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3775">
        <w:trPr>
          <w:trHeight w:hRule="exact" w:val="851"/>
        </w:trPr>
        <w:tc>
          <w:tcPr>
            <w:tcW w:w="1280" w:type="dxa"/>
            <w:tcBorders>
              <w:bottom w:val="single" w:sz="4" w:space="0" w:color="auto"/>
            </w:tcBorders>
          </w:tcPr>
          <w:p w:rsidR="00A83775" w:rsidRDefault="00A83775">
            <w:pPr>
              <w:rPr>
                <w:rFonts w:hint="eastAsia"/>
              </w:rPr>
            </w:pPr>
          </w:p>
        </w:tc>
        <w:tc>
          <w:tcPr>
            <w:tcW w:w="2273" w:type="dxa"/>
            <w:tcBorders>
              <w:bottom w:val="single" w:sz="4" w:space="0" w:color="auto"/>
            </w:tcBorders>
            <w:vAlign w:val="bottom"/>
          </w:tcPr>
          <w:p w:rsidR="00A83775" w:rsidRDefault="00A8377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3775" w:rsidRDefault="00A83775">
            <w:pPr>
              <w:spacing w:line="240" w:lineRule="atLeast"/>
              <w:jc w:val="right"/>
              <w:rPr>
                <w:szCs w:val="21"/>
              </w:rPr>
            </w:pPr>
            <w:r>
              <w:rPr>
                <w:sz w:val="40"/>
                <w:szCs w:val="40"/>
              </w:rPr>
              <w:t>C</w:t>
            </w:r>
            <w:r>
              <w:rPr>
                <w:rFonts w:hint="eastAsia"/>
                <w:sz w:val="40"/>
                <w:szCs w:val="40"/>
              </w:rPr>
              <w:t>EDAW</w:t>
            </w:r>
            <w:r>
              <w:rPr>
                <w:sz w:val="20"/>
                <w:lang w:val="en-GB"/>
              </w:rPr>
              <w:t>/C/</w:t>
            </w:r>
            <w:r>
              <w:rPr>
                <w:rFonts w:hint="eastAsia"/>
                <w:sz w:val="20"/>
                <w:lang w:val="en-GB"/>
              </w:rPr>
              <w:t>COL</w:t>
            </w:r>
            <w:r>
              <w:rPr>
                <w:sz w:val="20"/>
                <w:lang w:val="en-GB"/>
              </w:rPr>
              <w:t>/</w:t>
            </w:r>
            <w:r>
              <w:rPr>
                <w:rFonts w:hint="eastAsia"/>
                <w:sz w:val="20"/>
                <w:lang w:val="en-GB"/>
              </w:rPr>
              <w:t>7-8</w:t>
            </w:r>
          </w:p>
        </w:tc>
      </w:tr>
      <w:tr w:rsidR="00A83775">
        <w:trPr>
          <w:trHeight w:hRule="exact" w:val="2835"/>
        </w:trPr>
        <w:tc>
          <w:tcPr>
            <w:tcW w:w="1280" w:type="dxa"/>
            <w:tcBorders>
              <w:top w:val="single" w:sz="4" w:space="0" w:color="auto"/>
              <w:bottom w:val="single" w:sz="12" w:space="0" w:color="auto"/>
            </w:tcBorders>
          </w:tcPr>
          <w:p w:rsidR="00A83775" w:rsidRDefault="00A83775">
            <w:pPr>
              <w:spacing w:line="120" w:lineRule="atLeast"/>
              <w:rPr>
                <w:sz w:val="10"/>
                <w:szCs w:val="10"/>
              </w:rPr>
            </w:pPr>
          </w:p>
          <w:p w:rsidR="00A83775" w:rsidRDefault="00A8377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3775" w:rsidRDefault="00A83775">
            <w:pPr>
              <w:spacing w:before="160" w:line="240" w:lineRule="auto"/>
              <w:rPr>
                <w:rFonts w:eastAsia="SimHei" w:hint="eastAsia"/>
                <w:sz w:val="32"/>
                <w:szCs w:val="32"/>
              </w:rPr>
            </w:pPr>
            <w:r>
              <w:rPr>
                <w:rFonts w:eastAsia="SimHei" w:hint="eastAsia"/>
                <w:sz w:val="32"/>
                <w:szCs w:val="32"/>
                <w:lang w:val="fr-CH"/>
              </w:rPr>
              <w:t>消除对妇女一切形式歧视</w:t>
            </w:r>
            <w:r>
              <w:rPr>
                <w:rFonts w:eastAsia="SimHei" w:hint="eastAsia"/>
                <w:sz w:val="32"/>
                <w:szCs w:val="32"/>
              </w:rPr>
              <w:t>公约</w:t>
            </w:r>
          </w:p>
        </w:tc>
        <w:tc>
          <w:tcPr>
            <w:tcW w:w="2819" w:type="dxa"/>
            <w:tcBorders>
              <w:top w:val="single" w:sz="4" w:space="0" w:color="auto"/>
              <w:bottom w:val="single" w:sz="12" w:space="0" w:color="auto"/>
            </w:tcBorders>
          </w:tcPr>
          <w:p w:rsidR="00A83775" w:rsidRDefault="00A83775">
            <w:pPr>
              <w:spacing w:before="240" w:line="240" w:lineRule="atLeast"/>
              <w:rPr>
                <w:sz w:val="20"/>
              </w:rPr>
            </w:pPr>
            <w:r>
              <w:rPr>
                <w:sz w:val="20"/>
              </w:rPr>
              <w:t>Distr.: General</w:t>
            </w:r>
          </w:p>
          <w:p w:rsidR="00A83775" w:rsidRDefault="00A83775">
            <w:pPr>
              <w:spacing w:line="240" w:lineRule="atLeast"/>
              <w:rPr>
                <w:sz w:val="20"/>
              </w:rPr>
            </w:pPr>
            <w:r>
              <w:rPr>
                <w:sz w:val="20"/>
                <w:lang w:val="en-GB"/>
              </w:rPr>
              <w:t>2</w:t>
            </w:r>
            <w:r>
              <w:rPr>
                <w:rFonts w:hint="eastAsia"/>
                <w:sz w:val="20"/>
                <w:lang w:val="en-GB"/>
              </w:rPr>
              <w:t>2</w:t>
            </w:r>
            <w:r>
              <w:rPr>
                <w:sz w:val="20"/>
                <w:lang w:val="en-GB"/>
              </w:rPr>
              <w:t xml:space="preserve"> March 2012</w:t>
            </w:r>
          </w:p>
          <w:p w:rsidR="00A83775" w:rsidRDefault="00A83775">
            <w:pPr>
              <w:spacing w:line="240" w:lineRule="atLeast"/>
              <w:rPr>
                <w:sz w:val="20"/>
              </w:rPr>
            </w:pPr>
            <w:r>
              <w:rPr>
                <w:sz w:val="20"/>
              </w:rPr>
              <w:t xml:space="preserve">Chinese </w:t>
            </w:r>
          </w:p>
          <w:p w:rsidR="00A83775" w:rsidRDefault="00A83775">
            <w:pPr>
              <w:spacing w:line="240" w:lineRule="atLeast"/>
              <w:rPr>
                <w:rFonts w:hint="eastAsia"/>
                <w:sz w:val="20"/>
              </w:rPr>
            </w:pPr>
            <w:r>
              <w:rPr>
                <w:sz w:val="20"/>
              </w:rPr>
              <w:t>Original: Spanish</w:t>
            </w:r>
          </w:p>
        </w:tc>
      </w:tr>
    </w:tbl>
    <w:p w:rsidR="00A83775" w:rsidRDefault="00A83775">
      <w:pPr>
        <w:spacing w:before="120"/>
        <w:rPr>
          <w:rFonts w:eastAsia="SimHei"/>
          <w:sz w:val="24"/>
          <w:szCs w:val="24"/>
        </w:rPr>
      </w:pPr>
      <w:r>
        <w:rPr>
          <w:rFonts w:eastAsia="SimHei" w:hint="eastAsia"/>
          <w:sz w:val="24"/>
          <w:szCs w:val="24"/>
        </w:rPr>
        <w:t>消除对妇女歧视委员会</w:t>
      </w:r>
    </w:p>
    <w:p w:rsidR="00A83775" w:rsidRDefault="00A83775">
      <w:pPr>
        <w:pStyle w:val="HMGC"/>
        <w:rPr>
          <w:lang w:val="fr-CH"/>
        </w:rPr>
      </w:pPr>
      <w:r>
        <w:tab/>
      </w:r>
      <w:r>
        <w:tab/>
      </w:r>
      <w:r>
        <w:rPr>
          <w:rFonts w:hint="eastAsia"/>
        </w:rPr>
        <w:t>审议缔约国根据《消除对妇女一切形式歧视公约》第十八条提交的报告</w:t>
      </w:r>
    </w:p>
    <w:p w:rsidR="00A83775" w:rsidRDefault="00A83775">
      <w:pPr>
        <w:pStyle w:val="HChGC"/>
      </w:pPr>
      <w:r>
        <w:tab/>
      </w:r>
      <w:r>
        <w:tab/>
      </w:r>
      <w:bookmarkStart w:id="0" w:name="_Toc324430296"/>
      <w:r>
        <w:rPr>
          <w:rFonts w:hint="eastAsia"/>
        </w:rPr>
        <w:t>缔约国的第七次和第八次合并定期报告</w:t>
      </w:r>
      <w:bookmarkEnd w:id="0"/>
    </w:p>
    <w:p w:rsidR="00A83775" w:rsidRDefault="00A83775">
      <w:pPr>
        <w:pStyle w:val="HMGC"/>
        <w:rPr>
          <w:szCs w:val="28"/>
          <w:vertAlign w:val="superscript"/>
          <w:lang w:val="fr-CH"/>
        </w:rPr>
      </w:pPr>
      <w:r>
        <w:rPr>
          <w:lang w:val="fr-CH"/>
        </w:rPr>
        <w:tab/>
      </w:r>
      <w:r>
        <w:rPr>
          <w:lang w:val="fr-CH"/>
        </w:rPr>
        <w:tab/>
      </w:r>
      <w:r>
        <w:rPr>
          <w:rFonts w:hint="eastAsia"/>
        </w:rPr>
        <w:t>哥伦比亚</w:t>
      </w:r>
      <w:r>
        <w:rPr>
          <w:rStyle w:val="FootnoteReference"/>
          <w:position w:val="6"/>
          <w:sz w:val="34"/>
          <w:szCs w:val="34"/>
          <w:vertAlign w:val="baseline"/>
          <w:lang w:val="fr-CH"/>
        </w:rPr>
        <w:footnoteReference w:customMarkFollows="1" w:id="1"/>
        <w:t>*</w:t>
      </w:r>
      <w:r>
        <w:rPr>
          <w:position w:val="6"/>
          <w:szCs w:val="34"/>
          <w:lang w:val="fr-CH"/>
        </w:rPr>
        <w:t xml:space="preserve"> </w:t>
      </w:r>
      <w:r>
        <w:rPr>
          <w:rStyle w:val="FootnoteReference"/>
          <w:position w:val="6"/>
          <w:sz w:val="34"/>
          <w:szCs w:val="34"/>
          <w:vertAlign w:val="baseline"/>
          <w:lang w:val="fr-CH"/>
        </w:rPr>
        <w:footnoteReference w:customMarkFollows="1" w:id="2"/>
        <w:t>**</w:t>
      </w:r>
    </w:p>
    <w:p w:rsidR="00A83775" w:rsidRDefault="00A83775">
      <w:pPr>
        <w:tabs>
          <w:tab w:val="clear" w:pos="431"/>
        </w:tabs>
        <w:suppressAutoHyphens/>
        <w:overflowPunct/>
        <w:adjustRightInd/>
        <w:snapToGrid/>
        <w:spacing w:line="240" w:lineRule="atLeast"/>
        <w:ind w:right="1134"/>
        <w:jc w:val="right"/>
        <w:rPr>
          <w:rFonts w:hint="eastAsia"/>
        </w:rPr>
      </w:pPr>
      <w:r>
        <w:rPr>
          <w:rFonts w:hint="eastAsia"/>
          <w:szCs w:val="21"/>
          <w:lang w:val="fr-FR"/>
        </w:rPr>
        <w:t>[</w:t>
      </w:r>
      <w:r>
        <w:rPr>
          <w:snapToGrid/>
          <w:szCs w:val="21"/>
          <w:lang w:val="fr-FR"/>
        </w:rPr>
        <w:t>2011</w:t>
      </w:r>
      <w:r>
        <w:rPr>
          <w:rFonts w:hint="eastAsia"/>
          <w:snapToGrid/>
          <w:szCs w:val="21"/>
          <w:lang w:val="fr-FR"/>
        </w:rPr>
        <w:t>年</w:t>
      </w:r>
      <w:r>
        <w:rPr>
          <w:snapToGrid/>
          <w:szCs w:val="21"/>
          <w:lang w:val="fr-FR"/>
        </w:rPr>
        <w:t>7</w:t>
      </w:r>
      <w:r>
        <w:rPr>
          <w:rFonts w:hint="eastAsia"/>
          <w:snapToGrid/>
          <w:szCs w:val="21"/>
          <w:lang w:val="fr-FR"/>
        </w:rPr>
        <w:t>月</w:t>
      </w:r>
      <w:r>
        <w:rPr>
          <w:snapToGrid/>
          <w:szCs w:val="21"/>
          <w:lang w:val="fr-FR"/>
        </w:rPr>
        <w:t>28</w:t>
      </w:r>
      <w:r>
        <w:rPr>
          <w:rFonts w:hint="eastAsia"/>
          <w:szCs w:val="21"/>
          <w:lang w:val="fr-FR"/>
        </w:rPr>
        <w:t>日</w:t>
      </w:r>
      <w:r>
        <w:rPr>
          <w:rFonts w:hint="eastAsia"/>
          <w:szCs w:val="21"/>
          <w:lang w:val="fr-FR"/>
        </w:rPr>
        <w:t>]</w:t>
      </w:r>
    </w:p>
    <w:p w:rsidR="00A83775" w:rsidRDefault="00A83775">
      <w:pPr>
        <w:spacing w:after="120"/>
        <w:rPr>
          <w:sz w:val="28"/>
          <w:szCs w:val="28"/>
        </w:rPr>
      </w:pPr>
      <w:r>
        <w:rPr>
          <w:sz w:val="28"/>
          <w:szCs w:val="28"/>
        </w:rPr>
        <w:br w:type="page"/>
      </w:r>
      <w:r>
        <w:rPr>
          <w:rFonts w:hint="eastAsia"/>
          <w:sz w:val="28"/>
          <w:szCs w:val="28"/>
        </w:rPr>
        <w:t>目录</w:t>
      </w:r>
    </w:p>
    <w:p w:rsidR="00A83775" w:rsidRDefault="00A83775">
      <w:pPr>
        <w:pStyle w:val="a3"/>
        <w:rPr>
          <w:lang w:val="fr-FR"/>
        </w:rPr>
      </w:pPr>
      <w:r>
        <w:rPr>
          <w:lang w:val="fr-FR"/>
        </w:rPr>
        <w:tab/>
      </w:r>
      <w:r>
        <w:rPr>
          <w:lang w:val="fr-FR"/>
        </w:rPr>
        <w:tab/>
      </w:r>
      <w:r>
        <w:rPr>
          <w:rFonts w:hint="eastAsia"/>
          <w:lang w:val="fr-FR"/>
        </w:rPr>
        <w:t>缩略语</w:t>
      </w:r>
      <w:r>
        <w:rPr>
          <w:lang w:val="fr-FR"/>
        </w:rPr>
        <w:t>...............</w:t>
      </w:r>
      <w:r>
        <w:rPr>
          <w:lang w:val="fr-FR"/>
        </w:rPr>
        <w:tab/>
      </w:r>
      <w:r>
        <w:rPr>
          <w:lang w:val="fr-FR"/>
        </w:rPr>
        <w:tab/>
        <w:t>3</w:t>
      </w:r>
    </w:p>
    <w:p w:rsidR="00A83775" w:rsidRDefault="00A83775">
      <w:pPr>
        <w:pStyle w:val="a2"/>
        <w:rPr>
          <w:rFonts w:hint="eastAsia"/>
          <w:szCs w:val="21"/>
          <w:lang w:val="fr-CH"/>
        </w:rPr>
      </w:pPr>
      <w:r>
        <w:rPr>
          <w:szCs w:val="21"/>
          <w:lang w:val="fr-CH"/>
        </w:rPr>
        <w:tab/>
      </w:r>
      <w:r>
        <w:rPr>
          <w:rFonts w:hint="eastAsia"/>
          <w:szCs w:val="21"/>
        </w:rPr>
        <w:t>一</w:t>
      </w:r>
      <w:r>
        <w:rPr>
          <w:szCs w:val="21"/>
          <w:lang w:val="fr-CH"/>
        </w:rPr>
        <w:t>.</w:t>
      </w:r>
      <w:r>
        <w:rPr>
          <w:szCs w:val="21"/>
          <w:lang w:val="fr-CH"/>
        </w:rPr>
        <w:tab/>
      </w:r>
      <w:r>
        <w:rPr>
          <w:rFonts w:hint="eastAsia"/>
          <w:lang w:val="fr-FR"/>
        </w:rPr>
        <w:t>报告</w:t>
      </w:r>
      <w:r>
        <w:rPr>
          <w:rFonts w:hint="eastAsia"/>
          <w:szCs w:val="21"/>
          <w:lang w:val="fr-CH"/>
        </w:rPr>
        <w:t>的提交</w:t>
      </w:r>
      <w:r>
        <w:rPr>
          <w:szCs w:val="21"/>
          <w:lang w:val="fr-CH"/>
        </w:rPr>
        <w:tab/>
      </w:r>
      <w:r>
        <w:rPr>
          <w:szCs w:val="21"/>
          <w:lang w:val="fr-CH"/>
        </w:rPr>
        <w:tab/>
        <w:t>1-43</w:t>
      </w:r>
      <w:r>
        <w:rPr>
          <w:szCs w:val="21"/>
          <w:lang w:val="fr-CH"/>
        </w:rPr>
        <w:tab/>
      </w:r>
      <w:r>
        <w:rPr>
          <w:rFonts w:hint="eastAsia"/>
          <w:szCs w:val="21"/>
          <w:lang w:val="fr-CH"/>
        </w:rPr>
        <w:t>5</w:t>
      </w:r>
    </w:p>
    <w:p w:rsidR="00A83775" w:rsidRDefault="00A83775">
      <w:pPr>
        <w:pStyle w:val="a2"/>
        <w:rPr>
          <w:rFonts w:hint="eastAsia"/>
          <w:szCs w:val="21"/>
          <w:lang w:val="fr-FR"/>
        </w:rPr>
      </w:pPr>
      <w:r>
        <w:rPr>
          <w:szCs w:val="21"/>
          <w:lang w:val="fr-FR"/>
        </w:rPr>
        <w:tab/>
      </w:r>
      <w:r>
        <w:rPr>
          <w:szCs w:val="21"/>
          <w:lang w:val="fr-FR"/>
        </w:rPr>
        <w:tab/>
        <w:t>A.</w:t>
      </w:r>
      <w:r>
        <w:rPr>
          <w:szCs w:val="21"/>
          <w:lang w:val="fr-FR"/>
        </w:rPr>
        <w:tab/>
      </w:r>
      <w:r>
        <w:rPr>
          <w:rFonts w:hint="eastAsia"/>
          <w:lang w:val="fr-FR"/>
        </w:rPr>
        <w:t>编制</w:t>
      </w:r>
      <w:r>
        <w:rPr>
          <w:rFonts w:hint="eastAsia"/>
          <w:szCs w:val="21"/>
          <w:lang w:val="fr-FR"/>
        </w:rPr>
        <w:t>报告采用的方法</w:t>
      </w:r>
      <w:r>
        <w:rPr>
          <w:szCs w:val="21"/>
          <w:lang w:val="fr-FR"/>
        </w:rPr>
        <w:tab/>
      </w:r>
      <w:r>
        <w:rPr>
          <w:szCs w:val="21"/>
          <w:lang w:val="fr-FR"/>
        </w:rPr>
        <w:tab/>
        <w:t>10-11</w:t>
      </w:r>
      <w:r>
        <w:rPr>
          <w:szCs w:val="21"/>
          <w:lang w:val="fr-FR"/>
        </w:rPr>
        <w:tab/>
      </w:r>
      <w:r>
        <w:rPr>
          <w:rFonts w:hint="eastAsia"/>
          <w:szCs w:val="21"/>
          <w:lang w:val="fr-FR"/>
        </w:rPr>
        <w:t>6</w:t>
      </w:r>
    </w:p>
    <w:p w:rsidR="00A83775" w:rsidRDefault="00A83775">
      <w:pPr>
        <w:pStyle w:val="a2"/>
        <w:rPr>
          <w:rFonts w:hint="eastAsia"/>
          <w:szCs w:val="21"/>
          <w:lang w:val="fr-FR"/>
        </w:rPr>
      </w:pPr>
      <w:r>
        <w:rPr>
          <w:szCs w:val="21"/>
          <w:lang w:val="fr-FR"/>
        </w:rPr>
        <w:tab/>
      </w:r>
      <w:r>
        <w:rPr>
          <w:szCs w:val="21"/>
          <w:lang w:val="fr-FR"/>
        </w:rPr>
        <w:tab/>
        <w:t>B.</w:t>
      </w:r>
      <w:r>
        <w:rPr>
          <w:szCs w:val="21"/>
          <w:lang w:val="fr-FR"/>
        </w:rPr>
        <w:tab/>
      </w:r>
      <w:r>
        <w:rPr>
          <w:rFonts w:hint="eastAsia"/>
          <w:szCs w:val="21"/>
          <w:lang w:val="fr-FR"/>
        </w:rPr>
        <w:t>《公约》执行情况摘要</w:t>
      </w:r>
      <w:r>
        <w:rPr>
          <w:szCs w:val="21"/>
          <w:lang w:val="fr-FR"/>
        </w:rPr>
        <w:tab/>
      </w:r>
      <w:r>
        <w:rPr>
          <w:szCs w:val="21"/>
          <w:lang w:val="fr-FR"/>
        </w:rPr>
        <w:tab/>
        <w:t>12-43</w:t>
      </w:r>
      <w:r>
        <w:rPr>
          <w:szCs w:val="21"/>
          <w:lang w:val="fr-FR"/>
        </w:rPr>
        <w:tab/>
      </w:r>
      <w:r>
        <w:rPr>
          <w:rFonts w:hint="eastAsia"/>
          <w:szCs w:val="21"/>
          <w:lang w:val="fr-FR"/>
        </w:rPr>
        <w:t>9</w:t>
      </w:r>
    </w:p>
    <w:p w:rsidR="00A83775" w:rsidRDefault="00A83775">
      <w:pPr>
        <w:pStyle w:val="a2"/>
        <w:rPr>
          <w:rFonts w:hint="eastAsia"/>
          <w:szCs w:val="21"/>
          <w:lang w:val="fr-CH"/>
        </w:rPr>
      </w:pPr>
      <w:r>
        <w:rPr>
          <w:szCs w:val="21"/>
          <w:lang w:val="fr-CH"/>
        </w:rPr>
        <w:tab/>
      </w:r>
      <w:r>
        <w:rPr>
          <w:rFonts w:hint="eastAsia"/>
          <w:szCs w:val="21"/>
          <w:lang w:val="fr-CH"/>
        </w:rPr>
        <w:t>二</w:t>
      </w:r>
      <w:r>
        <w:rPr>
          <w:szCs w:val="21"/>
          <w:lang w:val="fr-CH"/>
        </w:rPr>
        <w:t>.</w:t>
      </w:r>
      <w:r>
        <w:rPr>
          <w:szCs w:val="21"/>
          <w:lang w:val="fr-CH"/>
        </w:rPr>
        <w:tab/>
      </w:r>
      <w:r>
        <w:rPr>
          <w:rFonts w:hint="eastAsia"/>
          <w:lang w:val="fr-FR"/>
        </w:rPr>
        <w:t>《公约》</w:t>
      </w:r>
      <w:r>
        <w:rPr>
          <w:rFonts w:hint="eastAsia"/>
          <w:szCs w:val="21"/>
          <w:lang w:val="fr-CH"/>
        </w:rPr>
        <w:t>第一部分</w:t>
      </w:r>
      <w:r>
        <w:rPr>
          <w:szCs w:val="21"/>
          <w:lang w:val="fr-CH"/>
        </w:rPr>
        <w:tab/>
      </w:r>
      <w:r>
        <w:rPr>
          <w:szCs w:val="21"/>
          <w:lang w:val="fr-CH"/>
        </w:rPr>
        <w:tab/>
        <w:t>44-238</w:t>
      </w:r>
      <w:r>
        <w:rPr>
          <w:szCs w:val="21"/>
          <w:lang w:val="fr-CH"/>
        </w:rPr>
        <w:tab/>
        <w:t>1</w:t>
      </w:r>
      <w:r>
        <w:rPr>
          <w:rFonts w:hint="eastAsia"/>
          <w:szCs w:val="21"/>
          <w:lang w:val="fr-CH"/>
        </w:rPr>
        <w:t>4</w:t>
      </w:r>
    </w:p>
    <w:p w:rsidR="00A83775" w:rsidRDefault="00A83775">
      <w:pPr>
        <w:pStyle w:val="a2"/>
        <w:rPr>
          <w:rFonts w:hint="eastAsia"/>
          <w:lang w:val="fr-FR"/>
        </w:rPr>
      </w:pPr>
      <w:r>
        <w:rPr>
          <w:szCs w:val="21"/>
          <w:lang w:val="fr-FR"/>
        </w:rPr>
        <w:tab/>
      </w:r>
      <w:r>
        <w:rPr>
          <w:szCs w:val="21"/>
          <w:lang w:val="fr-FR"/>
        </w:rPr>
        <w:tab/>
        <w:t>A.</w:t>
      </w:r>
      <w:r>
        <w:rPr>
          <w:szCs w:val="21"/>
          <w:lang w:val="fr-FR"/>
        </w:rPr>
        <w:tab/>
      </w:r>
      <w:r>
        <w:rPr>
          <w:rFonts w:hint="eastAsia"/>
          <w:lang w:val="fr-FR"/>
        </w:rPr>
        <w:t>第一条</w:t>
      </w:r>
      <w:r>
        <w:rPr>
          <w:lang w:val="fr-FR"/>
        </w:rPr>
        <w:tab/>
      </w:r>
      <w:r>
        <w:rPr>
          <w:lang w:val="fr-FR"/>
        </w:rPr>
        <w:tab/>
        <w:t>44-124</w:t>
      </w:r>
      <w:r>
        <w:rPr>
          <w:lang w:val="fr-FR"/>
        </w:rPr>
        <w:tab/>
        <w:t>1</w:t>
      </w:r>
      <w:r>
        <w:rPr>
          <w:rFonts w:hint="eastAsia"/>
          <w:lang w:val="fr-FR"/>
        </w:rPr>
        <w:t>4</w:t>
      </w:r>
    </w:p>
    <w:p w:rsidR="00A83775" w:rsidRDefault="00A83775">
      <w:pPr>
        <w:pStyle w:val="a2"/>
        <w:rPr>
          <w:rFonts w:hint="eastAsia"/>
          <w:lang w:val="fr-FR"/>
        </w:rPr>
      </w:pPr>
      <w:r>
        <w:rPr>
          <w:lang w:val="fr-FR"/>
        </w:rPr>
        <w:tab/>
      </w:r>
      <w:r>
        <w:rPr>
          <w:lang w:val="fr-FR"/>
        </w:rPr>
        <w:tab/>
        <w:t>B.</w:t>
      </w:r>
      <w:r>
        <w:rPr>
          <w:lang w:val="fr-FR"/>
        </w:rPr>
        <w:tab/>
      </w:r>
      <w:r>
        <w:rPr>
          <w:rFonts w:hint="eastAsia"/>
          <w:lang w:val="fr-FR"/>
        </w:rPr>
        <w:t>第二条和第三条</w:t>
      </w:r>
      <w:r>
        <w:rPr>
          <w:lang w:val="fr-FR"/>
        </w:rPr>
        <w:tab/>
      </w:r>
      <w:r>
        <w:rPr>
          <w:lang w:val="fr-FR"/>
        </w:rPr>
        <w:tab/>
        <w:t>125-158</w:t>
      </w:r>
      <w:r>
        <w:rPr>
          <w:lang w:val="fr-FR"/>
        </w:rPr>
        <w:tab/>
        <w:t>3</w:t>
      </w:r>
      <w:r>
        <w:rPr>
          <w:rFonts w:hint="eastAsia"/>
          <w:lang w:val="fr-FR"/>
        </w:rPr>
        <w:t>5</w:t>
      </w:r>
    </w:p>
    <w:p w:rsidR="00A83775" w:rsidRDefault="00A83775">
      <w:pPr>
        <w:pStyle w:val="a2"/>
        <w:rPr>
          <w:rFonts w:hint="eastAsia"/>
          <w:lang w:val="fr-FR"/>
        </w:rPr>
      </w:pPr>
      <w:r>
        <w:rPr>
          <w:lang w:val="fr-FR"/>
        </w:rPr>
        <w:tab/>
      </w:r>
      <w:r>
        <w:rPr>
          <w:lang w:val="fr-FR"/>
        </w:rPr>
        <w:tab/>
        <w:t>C.</w:t>
      </w:r>
      <w:r>
        <w:rPr>
          <w:lang w:val="fr-FR"/>
        </w:rPr>
        <w:tab/>
      </w:r>
      <w:r>
        <w:rPr>
          <w:rFonts w:hint="eastAsia"/>
          <w:lang w:val="fr-FR"/>
        </w:rPr>
        <w:t>第四条</w:t>
      </w:r>
      <w:r>
        <w:rPr>
          <w:lang w:val="fr-FR"/>
        </w:rPr>
        <w:tab/>
      </w:r>
      <w:r>
        <w:rPr>
          <w:lang w:val="fr-FR"/>
        </w:rPr>
        <w:tab/>
        <w:t>159-179</w:t>
      </w:r>
      <w:r>
        <w:rPr>
          <w:lang w:val="fr-FR"/>
        </w:rPr>
        <w:tab/>
      </w:r>
      <w:r>
        <w:rPr>
          <w:rFonts w:hint="eastAsia"/>
          <w:lang w:val="fr-FR"/>
        </w:rPr>
        <w:t>44</w:t>
      </w:r>
    </w:p>
    <w:p w:rsidR="00A83775" w:rsidRDefault="00A83775">
      <w:pPr>
        <w:pStyle w:val="a2"/>
        <w:rPr>
          <w:rFonts w:hint="eastAsia"/>
          <w:lang w:val="fr-FR"/>
        </w:rPr>
      </w:pPr>
      <w:r>
        <w:rPr>
          <w:lang w:val="fr-FR"/>
        </w:rPr>
        <w:tab/>
      </w:r>
      <w:r>
        <w:rPr>
          <w:lang w:val="fr-FR"/>
        </w:rPr>
        <w:tab/>
        <w:t>D.</w:t>
      </w:r>
      <w:r>
        <w:rPr>
          <w:lang w:val="fr-FR"/>
        </w:rPr>
        <w:tab/>
      </w:r>
      <w:r>
        <w:rPr>
          <w:rFonts w:hint="eastAsia"/>
          <w:lang w:val="fr-FR"/>
        </w:rPr>
        <w:t>第五条</w:t>
      </w:r>
      <w:r>
        <w:rPr>
          <w:lang w:val="fr-FR"/>
        </w:rPr>
        <w:tab/>
      </w:r>
      <w:r>
        <w:rPr>
          <w:lang w:val="fr-FR"/>
        </w:rPr>
        <w:tab/>
        <w:t>180-214</w:t>
      </w:r>
      <w:r>
        <w:rPr>
          <w:lang w:val="fr-FR"/>
        </w:rPr>
        <w:tab/>
      </w:r>
      <w:r>
        <w:rPr>
          <w:rFonts w:hint="eastAsia"/>
          <w:lang w:val="fr-FR"/>
        </w:rPr>
        <w:t>49</w:t>
      </w:r>
    </w:p>
    <w:p w:rsidR="00A83775" w:rsidRDefault="00A83775">
      <w:pPr>
        <w:pStyle w:val="a2"/>
        <w:rPr>
          <w:rFonts w:hint="eastAsia"/>
          <w:szCs w:val="21"/>
          <w:lang w:val="fr-FR"/>
        </w:rPr>
      </w:pPr>
      <w:r>
        <w:rPr>
          <w:lang w:val="fr-FR"/>
        </w:rPr>
        <w:tab/>
      </w:r>
      <w:r>
        <w:rPr>
          <w:lang w:val="fr-FR"/>
        </w:rPr>
        <w:tab/>
        <w:t>E.</w:t>
      </w:r>
      <w:r>
        <w:rPr>
          <w:lang w:val="fr-FR"/>
        </w:rPr>
        <w:tab/>
      </w:r>
      <w:r>
        <w:rPr>
          <w:rFonts w:hint="eastAsia"/>
          <w:lang w:val="fr-FR"/>
        </w:rPr>
        <w:t>第六条</w:t>
      </w:r>
      <w:r>
        <w:rPr>
          <w:szCs w:val="21"/>
          <w:lang w:val="fr-FR"/>
        </w:rPr>
        <w:tab/>
      </w:r>
      <w:r>
        <w:rPr>
          <w:szCs w:val="21"/>
          <w:lang w:val="fr-FR"/>
        </w:rPr>
        <w:tab/>
        <w:t>215-238</w:t>
      </w:r>
      <w:r>
        <w:rPr>
          <w:szCs w:val="21"/>
          <w:lang w:val="fr-FR"/>
        </w:rPr>
        <w:tab/>
      </w:r>
      <w:r>
        <w:rPr>
          <w:rFonts w:hint="eastAsia"/>
          <w:szCs w:val="21"/>
          <w:lang w:val="fr-FR"/>
        </w:rPr>
        <w:t>60</w:t>
      </w:r>
    </w:p>
    <w:p w:rsidR="00A83775" w:rsidRDefault="00A83775">
      <w:pPr>
        <w:pStyle w:val="a2"/>
        <w:rPr>
          <w:rFonts w:hint="eastAsia"/>
          <w:szCs w:val="21"/>
          <w:lang w:val="fr-CH"/>
        </w:rPr>
      </w:pPr>
      <w:r>
        <w:rPr>
          <w:szCs w:val="21"/>
          <w:lang w:val="fr-CH"/>
        </w:rPr>
        <w:tab/>
      </w:r>
      <w:r>
        <w:rPr>
          <w:rFonts w:hint="eastAsia"/>
          <w:szCs w:val="21"/>
          <w:lang w:val="fr-CH"/>
        </w:rPr>
        <w:t>三</w:t>
      </w:r>
      <w:r>
        <w:rPr>
          <w:szCs w:val="21"/>
          <w:lang w:val="fr-CH"/>
        </w:rPr>
        <w:t>.</w:t>
      </w:r>
      <w:r>
        <w:rPr>
          <w:szCs w:val="21"/>
          <w:lang w:val="fr-CH"/>
        </w:rPr>
        <w:tab/>
      </w:r>
      <w:r>
        <w:rPr>
          <w:rFonts w:hint="eastAsia"/>
          <w:szCs w:val="21"/>
          <w:lang w:val="fr-CH"/>
        </w:rPr>
        <w:t>《公约》第二部分</w:t>
      </w:r>
      <w:r>
        <w:rPr>
          <w:szCs w:val="21"/>
          <w:lang w:val="fr-CH"/>
        </w:rPr>
        <w:tab/>
      </w:r>
      <w:r>
        <w:rPr>
          <w:szCs w:val="21"/>
          <w:lang w:val="fr-CH"/>
        </w:rPr>
        <w:tab/>
        <w:t>239-286</w:t>
      </w:r>
      <w:r>
        <w:rPr>
          <w:szCs w:val="21"/>
          <w:lang w:val="fr-CH"/>
        </w:rPr>
        <w:tab/>
      </w:r>
      <w:r>
        <w:rPr>
          <w:rFonts w:hint="eastAsia"/>
          <w:szCs w:val="21"/>
          <w:lang w:val="fr-CH"/>
        </w:rPr>
        <w:t>66</w:t>
      </w:r>
    </w:p>
    <w:p w:rsidR="00A83775" w:rsidRDefault="00A83775">
      <w:pPr>
        <w:pStyle w:val="a2"/>
        <w:rPr>
          <w:rFonts w:hint="eastAsia"/>
          <w:lang w:val="fr-FR"/>
        </w:rPr>
      </w:pPr>
      <w:r>
        <w:rPr>
          <w:szCs w:val="21"/>
          <w:lang w:val="fr-FR"/>
        </w:rPr>
        <w:tab/>
      </w:r>
      <w:r>
        <w:rPr>
          <w:szCs w:val="21"/>
          <w:lang w:val="fr-FR"/>
        </w:rPr>
        <w:tab/>
        <w:t>A.</w:t>
      </w:r>
      <w:r>
        <w:rPr>
          <w:szCs w:val="21"/>
          <w:lang w:val="fr-FR"/>
        </w:rPr>
        <w:tab/>
      </w:r>
      <w:r>
        <w:rPr>
          <w:rFonts w:hint="eastAsia"/>
          <w:lang w:val="fr-FR"/>
        </w:rPr>
        <w:t>第七条</w:t>
      </w:r>
      <w:r>
        <w:rPr>
          <w:lang w:val="fr-FR"/>
        </w:rPr>
        <w:tab/>
      </w:r>
      <w:r>
        <w:rPr>
          <w:lang w:val="fr-FR"/>
        </w:rPr>
        <w:tab/>
        <w:t>239-269</w:t>
      </w:r>
      <w:r>
        <w:rPr>
          <w:lang w:val="fr-FR"/>
        </w:rPr>
        <w:tab/>
      </w:r>
      <w:r>
        <w:rPr>
          <w:rFonts w:hint="eastAsia"/>
          <w:lang w:val="fr-FR"/>
        </w:rPr>
        <w:t>66</w:t>
      </w:r>
    </w:p>
    <w:p w:rsidR="00A83775" w:rsidRDefault="00A83775">
      <w:pPr>
        <w:pStyle w:val="a2"/>
        <w:rPr>
          <w:rFonts w:hint="eastAsia"/>
          <w:lang w:val="fr-FR"/>
        </w:rPr>
      </w:pPr>
      <w:r>
        <w:rPr>
          <w:lang w:val="fr-FR"/>
        </w:rPr>
        <w:tab/>
      </w:r>
      <w:r>
        <w:rPr>
          <w:lang w:val="fr-FR"/>
        </w:rPr>
        <w:tab/>
        <w:t>B.</w:t>
      </w:r>
      <w:r>
        <w:rPr>
          <w:lang w:val="fr-FR"/>
        </w:rPr>
        <w:tab/>
      </w:r>
      <w:r>
        <w:rPr>
          <w:rFonts w:hint="eastAsia"/>
          <w:lang w:val="fr-FR"/>
        </w:rPr>
        <w:t>第八条</w:t>
      </w:r>
      <w:r>
        <w:rPr>
          <w:lang w:val="fr-FR"/>
        </w:rPr>
        <w:tab/>
      </w:r>
      <w:r>
        <w:rPr>
          <w:lang w:val="fr-FR"/>
        </w:rPr>
        <w:tab/>
        <w:t>270-277</w:t>
      </w:r>
      <w:r>
        <w:rPr>
          <w:lang w:val="fr-FR"/>
        </w:rPr>
        <w:tab/>
      </w:r>
      <w:r>
        <w:rPr>
          <w:rFonts w:hint="eastAsia"/>
          <w:lang w:val="fr-FR"/>
        </w:rPr>
        <w:t>75</w:t>
      </w:r>
    </w:p>
    <w:p w:rsidR="00A83775" w:rsidRDefault="00A83775">
      <w:pPr>
        <w:pStyle w:val="a2"/>
        <w:rPr>
          <w:rFonts w:hint="eastAsia"/>
          <w:szCs w:val="21"/>
          <w:lang w:val="fr-FR"/>
        </w:rPr>
      </w:pPr>
      <w:r>
        <w:rPr>
          <w:lang w:val="fr-FR"/>
        </w:rPr>
        <w:tab/>
      </w:r>
      <w:r>
        <w:rPr>
          <w:lang w:val="fr-FR"/>
        </w:rPr>
        <w:tab/>
        <w:t>C.</w:t>
      </w:r>
      <w:r>
        <w:rPr>
          <w:lang w:val="fr-FR"/>
        </w:rPr>
        <w:tab/>
      </w:r>
      <w:r>
        <w:rPr>
          <w:rFonts w:hint="eastAsia"/>
          <w:lang w:val="fr-FR"/>
        </w:rPr>
        <w:t>第九</w:t>
      </w:r>
      <w:r>
        <w:rPr>
          <w:rFonts w:hint="eastAsia"/>
          <w:szCs w:val="21"/>
          <w:lang w:val="fr-FR"/>
        </w:rPr>
        <w:t>条</w:t>
      </w:r>
      <w:r>
        <w:rPr>
          <w:szCs w:val="21"/>
          <w:lang w:val="fr-FR"/>
        </w:rPr>
        <w:tab/>
      </w:r>
      <w:r>
        <w:rPr>
          <w:szCs w:val="21"/>
          <w:lang w:val="fr-FR"/>
        </w:rPr>
        <w:tab/>
        <w:t>278-286</w:t>
      </w:r>
      <w:r>
        <w:rPr>
          <w:szCs w:val="21"/>
          <w:lang w:val="fr-FR"/>
        </w:rPr>
        <w:tab/>
      </w:r>
      <w:r>
        <w:rPr>
          <w:rFonts w:hint="eastAsia"/>
          <w:szCs w:val="21"/>
          <w:lang w:val="fr-FR"/>
        </w:rPr>
        <w:t>76</w:t>
      </w:r>
    </w:p>
    <w:p w:rsidR="00A83775" w:rsidRDefault="00A83775">
      <w:pPr>
        <w:pStyle w:val="a2"/>
        <w:rPr>
          <w:rFonts w:hint="eastAsia"/>
          <w:szCs w:val="21"/>
          <w:lang w:val="fr-CH"/>
        </w:rPr>
      </w:pPr>
      <w:r>
        <w:rPr>
          <w:szCs w:val="21"/>
          <w:lang w:val="fr-CH"/>
        </w:rPr>
        <w:tab/>
      </w:r>
      <w:r>
        <w:rPr>
          <w:rFonts w:hint="eastAsia"/>
          <w:szCs w:val="21"/>
          <w:lang w:val="fr-CH"/>
        </w:rPr>
        <w:t>四</w:t>
      </w:r>
      <w:r>
        <w:rPr>
          <w:szCs w:val="21"/>
          <w:lang w:val="fr-CH"/>
        </w:rPr>
        <w:t>.</w:t>
      </w:r>
      <w:r>
        <w:rPr>
          <w:szCs w:val="21"/>
          <w:lang w:val="fr-CH"/>
        </w:rPr>
        <w:tab/>
      </w:r>
      <w:r>
        <w:rPr>
          <w:rFonts w:hint="eastAsia"/>
          <w:lang w:val="fr-FR"/>
        </w:rPr>
        <w:t>《公约》</w:t>
      </w:r>
      <w:r>
        <w:rPr>
          <w:rFonts w:hint="eastAsia"/>
          <w:szCs w:val="21"/>
          <w:lang w:val="fr-CH"/>
        </w:rPr>
        <w:t>第三部分</w:t>
      </w:r>
      <w:r>
        <w:rPr>
          <w:szCs w:val="21"/>
          <w:lang w:val="fr-CH"/>
        </w:rPr>
        <w:tab/>
      </w:r>
      <w:r>
        <w:rPr>
          <w:szCs w:val="21"/>
          <w:lang w:val="fr-CH"/>
        </w:rPr>
        <w:tab/>
        <w:t>287-593</w:t>
      </w:r>
      <w:r>
        <w:rPr>
          <w:szCs w:val="21"/>
          <w:lang w:val="fr-CH"/>
        </w:rPr>
        <w:tab/>
      </w:r>
      <w:r>
        <w:rPr>
          <w:rFonts w:hint="eastAsia"/>
          <w:szCs w:val="21"/>
          <w:lang w:val="fr-CH"/>
        </w:rPr>
        <w:t>79</w:t>
      </w:r>
    </w:p>
    <w:p w:rsidR="00A83775" w:rsidRDefault="00A83775">
      <w:pPr>
        <w:pStyle w:val="a2"/>
        <w:rPr>
          <w:rFonts w:hint="eastAsia"/>
          <w:lang w:val="fr-FR"/>
        </w:rPr>
      </w:pPr>
      <w:r>
        <w:rPr>
          <w:szCs w:val="21"/>
          <w:lang w:val="fr-FR"/>
        </w:rPr>
        <w:tab/>
      </w:r>
      <w:r>
        <w:rPr>
          <w:szCs w:val="21"/>
          <w:lang w:val="fr-FR"/>
        </w:rPr>
        <w:tab/>
        <w:t>A.</w:t>
      </w:r>
      <w:r>
        <w:rPr>
          <w:szCs w:val="21"/>
          <w:lang w:val="fr-FR"/>
        </w:rPr>
        <w:tab/>
      </w:r>
      <w:r>
        <w:rPr>
          <w:rFonts w:hint="eastAsia"/>
          <w:lang w:val="fr-FR"/>
        </w:rPr>
        <w:t>第十条</w:t>
      </w:r>
      <w:r>
        <w:rPr>
          <w:lang w:val="fr-FR"/>
        </w:rPr>
        <w:tab/>
      </w:r>
      <w:r>
        <w:rPr>
          <w:lang w:val="fr-FR"/>
        </w:rPr>
        <w:tab/>
        <w:t>287-350</w:t>
      </w:r>
      <w:r>
        <w:rPr>
          <w:lang w:val="fr-FR"/>
        </w:rPr>
        <w:tab/>
      </w:r>
      <w:r>
        <w:rPr>
          <w:rFonts w:hint="eastAsia"/>
          <w:lang w:val="fr-FR"/>
        </w:rPr>
        <w:t>79</w:t>
      </w:r>
    </w:p>
    <w:p w:rsidR="00A83775" w:rsidRDefault="00A83775">
      <w:pPr>
        <w:pStyle w:val="a2"/>
        <w:rPr>
          <w:rFonts w:hint="eastAsia"/>
          <w:lang w:val="fr-FR"/>
        </w:rPr>
      </w:pPr>
      <w:r>
        <w:rPr>
          <w:lang w:val="fr-FR"/>
        </w:rPr>
        <w:tab/>
      </w:r>
      <w:r>
        <w:rPr>
          <w:lang w:val="fr-FR"/>
        </w:rPr>
        <w:tab/>
        <w:t>B.</w:t>
      </w:r>
      <w:r>
        <w:rPr>
          <w:lang w:val="fr-FR"/>
        </w:rPr>
        <w:tab/>
      </w:r>
      <w:r>
        <w:rPr>
          <w:rFonts w:hint="eastAsia"/>
          <w:lang w:val="fr-FR"/>
        </w:rPr>
        <w:t>第十一条和第十三条</w:t>
      </w:r>
      <w:r>
        <w:rPr>
          <w:lang w:val="fr-FR"/>
        </w:rPr>
        <w:tab/>
      </w:r>
      <w:r>
        <w:rPr>
          <w:lang w:val="fr-FR"/>
        </w:rPr>
        <w:tab/>
        <w:t>351-424</w:t>
      </w:r>
      <w:r>
        <w:rPr>
          <w:lang w:val="fr-FR"/>
        </w:rPr>
        <w:tab/>
      </w:r>
      <w:r>
        <w:rPr>
          <w:rFonts w:hint="eastAsia"/>
          <w:lang w:val="fr-FR"/>
        </w:rPr>
        <w:t>89</w:t>
      </w:r>
    </w:p>
    <w:p w:rsidR="00A83775" w:rsidRDefault="00A83775">
      <w:pPr>
        <w:pStyle w:val="a2"/>
        <w:rPr>
          <w:rFonts w:hint="eastAsia"/>
          <w:lang w:val="fr-FR"/>
        </w:rPr>
      </w:pPr>
      <w:r>
        <w:rPr>
          <w:lang w:val="fr-FR"/>
        </w:rPr>
        <w:tab/>
      </w:r>
      <w:r>
        <w:rPr>
          <w:lang w:val="fr-FR"/>
        </w:rPr>
        <w:tab/>
        <w:t>C.</w:t>
      </w:r>
      <w:r>
        <w:rPr>
          <w:lang w:val="fr-FR"/>
        </w:rPr>
        <w:tab/>
      </w:r>
      <w:r>
        <w:rPr>
          <w:rFonts w:hint="eastAsia"/>
          <w:lang w:val="fr-FR"/>
        </w:rPr>
        <w:t>第十二条</w:t>
      </w:r>
      <w:r>
        <w:rPr>
          <w:lang w:val="fr-FR"/>
        </w:rPr>
        <w:tab/>
      </w:r>
      <w:r>
        <w:rPr>
          <w:lang w:val="fr-FR"/>
        </w:rPr>
        <w:tab/>
        <w:t>425-541</w:t>
      </w:r>
      <w:r>
        <w:rPr>
          <w:lang w:val="fr-FR"/>
        </w:rPr>
        <w:tab/>
      </w:r>
      <w:r>
        <w:rPr>
          <w:rFonts w:hint="eastAsia"/>
          <w:lang w:val="fr-FR"/>
        </w:rPr>
        <w:t>102</w:t>
      </w:r>
    </w:p>
    <w:p w:rsidR="00A83775" w:rsidRDefault="00A83775">
      <w:pPr>
        <w:pStyle w:val="a2"/>
        <w:rPr>
          <w:rFonts w:hint="eastAsia"/>
          <w:szCs w:val="21"/>
          <w:lang w:val="fr-FR"/>
        </w:rPr>
      </w:pPr>
      <w:r>
        <w:rPr>
          <w:lang w:val="fr-FR"/>
        </w:rPr>
        <w:tab/>
      </w:r>
      <w:r>
        <w:rPr>
          <w:lang w:val="fr-FR"/>
        </w:rPr>
        <w:tab/>
        <w:t>D.</w:t>
      </w:r>
      <w:r>
        <w:rPr>
          <w:lang w:val="fr-FR"/>
        </w:rPr>
        <w:tab/>
      </w:r>
      <w:r>
        <w:rPr>
          <w:rFonts w:hint="eastAsia"/>
          <w:lang w:val="fr-FR"/>
        </w:rPr>
        <w:t>第十四条</w:t>
      </w:r>
      <w:r>
        <w:rPr>
          <w:szCs w:val="21"/>
          <w:lang w:val="fr-FR"/>
        </w:rPr>
        <w:tab/>
      </w:r>
      <w:r>
        <w:rPr>
          <w:szCs w:val="21"/>
          <w:lang w:val="fr-FR"/>
        </w:rPr>
        <w:tab/>
        <w:t>542-593</w:t>
      </w:r>
      <w:r>
        <w:rPr>
          <w:szCs w:val="21"/>
          <w:lang w:val="fr-FR"/>
        </w:rPr>
        <w:tab/>
        <w:t>1</w:t>
      </w:r>
      <w:r>
        <w:rPr>
          <w:rFonts w:hint="eastAsia"/>
          <w:szCs w:val="21"/>
          <w:lang w:val="fr-FR"/>
        </w:rPr>
        <w:t>23</w:t>
      </w:r>
    </w:p>
    <w:p w:rsidR="00A83775" w:rsidRDefault="00A83775">
      <w:pPr>
        <w:pStyle w:val="a2"/>
        <w:rPr>
          <w:rFonts w:hint="eastAsia"/>
          <w:szCs w:val="21"/>
          <w:lang w:val="fr-CH"/>
        </w:rPr>
      </w:pPr>
      <w:r>
        <w:rPr>
          <w:szCs w:val="21"/>
          <w:lang w:val="fr-CH"/>
        </w:rPr>
        <w:tab/>
      </w:r>
      <w:r>
        <w:rPr>
          <w:rFonts w:hint="eastAsia"/>
          <w:szCs w:val="21"/>
          <w:lang w:val="fr-CH"/>
        </w:rPr>
        <w:t>五</w:t>
      </w:r>
      <w:r>
        <w:rPr>
          <w:szCs w:val="21"/>
          <w:lang w:val="fr-CH"/>
        </w:rPr>
        <w:t>.</w:t>
      </w:r>
      <w:r>
        <w:rPr>
          <w:szCs w:val="21"/>
          <w:lang w:val="fr-CH"/>
        </w:rPr>
        <w:tab/>
      </w:r>
      <w:r>
        <w:rPr>
          <w:rFonts w:hint="eastAsia"/>
          <w:lang w:val="fr-FR"/>
        </w:rPr>
        <w:t>《公约》</w:t>
      </w:r>
      <w:r>
        <w:rPr>
          <w:rFonts w:hint="eastAsia"/>
          <w:szCs w:val="21"/>
          <w:lang w:val="fr-CH"/>
        </w:rPr>
        <w:t>第四部分</w:t>
      </w:r>
      <w:r>
        <w:rPr>
          <w:szCs w:val="21"/>
          <w:lang w:val="fr-CH"/>
        </w:rPr>
        <w:tab/>
      </w:r>
      <w:r>
        <w:rPr>
          <w:szCs w:val="21"/>
          <w:lang w:val="fr-CH"/>
        </w:rPr>
        <w:tab/>
        <w:t>594-635</w:t>
      </w:r>
      <w:r>
        <w:rPr>
          <w:szCs w:val="21"/>
          <w:lang w:val="fr-CH"/>
        </w:rPr>
        <w:tab/>
        <w:t>1</w:t>
      </w:r>
      <w:r>
        <w:rPr>
          <w:rFonts w:hint="eastAsia"/>
          <w:szCs w:val="21"/>
          <w:lang w:val="fr-CH"/>
        </w:rPr>
        <w:t>32</w:t>
      </w:r>
    </w:p>
    <w:p w:rsidR="00A83775" w:rsidRDefault="00A83775">
      <w:pPr>
        <w:pStyle w:val="a2"/>
        <w:rPr>
          <w:rFonts w:hint="eastAsia"/>
          <w:lang w:val="fr-FR"/>
        </w:rPr>
      </w:pPr>
      <w:r>
        <w:rPr>
          <w:lang w:val="fr-FR"/>
        </w:rPr>
        <w:tab/>
      </w:r>
      <w:r>
        <w:rPr>
          <w:lang w:val="fr-FR"/>
        </w:rPr>
        <w:tab/>
        <w:t>A.</w:t>
      </w:r>
      <w:r>
        <w:rPr>
          <w:lang w:val="fr-FR"/>
        </w:rPr>
        <w:tab/>
      </w:r>
      <w:r>
        <w:rPr>
          <w:rFonts w:hint="eastAsia"/>
          <w:lang w:val="fr-FR"/>
        </w:rPr>
        <w:t>第十五条</w:t>
      </w:r>
      <w:r>
        <w:rPr>
          <w:lang w:val="fr-FR"/>
        </w:rPr>
        <w:tab/>
      </w:r>
      <w:r>
        <w:rPr>
          <w:lang w:val="fr-FR"/>
        </w:rPr>
        <w:tab/>
        <w:t>594-610</w:t>
      </w:r>
      <w:r>
        <w:rPr>
          <w:lang w:val="fr-FR"/>
        </w:rPr>
        <w:tab/>
        <w:t>1</w:t>
      </w:r>
      <w:r>
        <w:rPr>
          <w:rFonts w:hint="eastAsia"/>
          <w:lang w:val="fr-FR"/>
        </w:rPr>
        <w:t>32</w:t>
      </w:r>
    </w:p>
    <w:p w:rsidR="00A83775" w:rsidRDefault="00A83775">
      <w:pPr>
        <w:pStyle w:val="a2"/>
        <w:rPr>
          <w:rFonts w:hint="eastAsia"/>
          <w:szCs w:val="21"/>
          <w:lang w:val="fr-FR"/>
        </w:rPr>
      </w:pPr>
      <w:r>
        <w:rPr>
          <w:lang w:val="fr-FR"/>
        </w:rPr>
        <w:tab/>
      </w:r>
      <w:r>
        <w:rPr>
          <w:lang w:val="fr-FR"/>
        </w:rPr>
        <w:tab/>
        <w:t>B.</w:t>
      </w:r>
      <w:r>
        <w:rPr>
          <w:lang w:val="fr-FR"/>
        </w:rPr>
        <w:tab/>
      </w:r>
      <w:r>
        <w:rPr>
          <w:rFonts w:hint="eastAsia"/>
          <w:szCs w:val="21"/>
          <w:lang w:val="fr-FR"/>
        </w:rPr>
        <w:t>第十六条</w:t>
      </w:r>
      <w:r>
        <w:rPr>
          <w:szCs w:val="21"/>
          <w:lang w:val="fr-FR"/>
        </w:rPr>
        <w:tab/>
      </w:r>
      <w:r>
        <w:rPr>
          <w:szCs w:val="21"/>
          <w:lang w:val="fr-FR"/>
        </w:rPr>
        <w:tab/>
        <w:t>611-635</w:t>
      </w:r>
      <w:r>
        <w:rPr>
          <w:szCs w:val="21"/>
          <w:lang w:val="fr-FR"/>
        </w:rPr>
        <w:tab/>
        <w:t>1</w:t>
      </w:r>
      <w:r>
        <w:rPr>
          <w:rFonts w:hint="eastAsia"/>
          <w:szCs w:val="21"/>
          <w:lang w:val="fr-FR"/>
        </w:rPr>
        <w:t>36</w:t>
      </w:r>
    </w:p>
    <w:p w:rsidR="00A83775" w:rsidRDefault="00A83775">
      <w:pPr>
        <w:pStyle w:val="a2"/>
        <w:rPr>
          <w:rFonts w:hint="eastAsia"/>
          <w:szCs w:val="21"/>
          <w:lang w:val="fr-CH"/>
        </w:rPr>
      </w:pPr>
      <w:r>
        <w:rPr>
          <w:szCs w:val="21"/>
          <w:lang w:val="fr-CH"/>
        </w:rPr>
        <w:tab/>
      </w:r>
      <w:r>
        <w:rPr>
          <w:rFonts w:hint="eastAsia"/>
          <w:szCs w:val="21"/>
          <w:lang w:val="fr-CH"/>
        </w:rPr>
        <w:t>六</w:t>
      </w:r>
      <w:r>
        <w:rPr>
          <w:szCs w:val="21"/>
          <w:lang w:val="fr-CH"/>
        </w:rPr>
        <w:t>.</w:t>
      </w:r>
      <w:r>
        <w:rPr>
          <w:szCs w:val="21"/>
          <w:lang w:val="fr-CH"/>
        </w:rPr>
        <w:tab/>
      </w:r>
      <w:r>
        <w:rPr>
          <w:rFonts w:hint="eastAsia"/>
          <w:lang w:val="fr-FR"/>
        </w:rPr>
        <w:t>其他</w:t>
      </w:r>
      <w:r>
        <w:rPr>
          <w:rFonts w:hint="eastAsia"/>
          <w:szCs w:val="21"/>
          <w:lang w:val="fr-CH"/>
        </w:rPr>
        <w:t>问题</w:t>
      </w:r>
      <w:r>
        <w:rPr>
          <w:szCs w:val="21"/>
          <w:lang w:val="fr-CH"/>
        </w:rPr>
        <w:t>.</w:t>
      </w:r>
      <w:r>
        <w:rPr>
          <w:szCs w:val="21"/>
          <w:lang w:val="fr-CH"/>
        </w:rPr>
        <w:tab/>
      </w:r>
      <w:r>
        <w:rPr>
          <w:szCs w:val="21"/>
          <w:lang w:val="fr-CH"/>
        </w:rPr>
        <w:tab/>
        <w:t>636-68</w:t>
      </w:r>
      <w:r>
        <w:rPr>
          <w:rFonts w:hint="eastAsia"/>
          <w:szCs w:val="21"/>
          <w:lang w:val="fr-CH"/>
        </w:rPr>
        <w:t>8</w:t>
      </w:r>
      <w:r>
        <w:rPr>
          <w:szCs w:val="21"/>
          <w:lang w:val="fr-CH"/>
        </w:rPr>
        <w:tab/>
        <w:t>1</w:t>
      </w:r>
      <w:r>
        <w:rPr>
          <w:rFonts w:hint="eastAsia"/>
          <w:szCs w:val="21"/>
          <w:lang w:val="fr-CH"/>
        </w:rPr>
        <w:t>40</w:t>
      </w:r>
    </w:p>
    <w:p w:rsidR="00A83775" w:rsidRDefault="00A83775">
      <w:pPr>
        <w:pStyle w:val="a2"/>
        <w:rPr>
          <w:rFonts w:hint="eastAsia"/>
          <w:szCs w:val="21"/>
          <w:lang w:val="fr-FR"/>
        </w:rPr>
      </w:pPr>
      <w:r>
        <w:rPr>
          <w:szCs w:val="21"/>
          <w:lang w:val="fr-FR"/>
        </w:rPr>
        <w:tab/>
      </w:r>
      <w:r>
        <w:rPr>
          <w:szCs w:val="21"/>
          <w:lang w:val="fr-FR"/>
        </w:rPr>
        <w:tab/>
        <w:t>A.</w:t>
      </w:r>
      <w:r>
        <w:rPr>
          <w:szCs w:val="21"/>
          <w:lang w:val="fr-FR"/>
        </w:rPr>
        <w:tab/>
      </w:r>
      <w:r>
        <w:rPr>
          <w:rFonts w:hint="eastAsia"/>
          <w:szCs w:val="21"/>
          <w:lang w:val="fr-FR"/>
        </w:rPr>
        <w:t>为消除暴力而采取的措施</w:t>
      </w:r>
      <w:r>
        <w:rPr>
          <w:szCs w:val="21"/>
          <w:lang w:val="fr-FR"/>
        </w:rPr>
        <w:tab/>
      </w:r>
      <w:r>
        <w:rPr>
          <w:szCs w:val="21"/>
          <w:lang w:val="fr-FR"/>
        </w:rPr>
        <w:tab/>
        <w:t>636-669</w:t>
      </w:r>
      <w:r>
        <w:rPr>
          <w:szCs w:val="21"/>
          <w:lang w:val="fr-FR"/>
        </w:rPr>
        <w:tab/>
        <w:t>1</w:t>
      </w:r>
      <w:r>
        <w:rPr>
          <w:rFonts w:hint="eastAsia"/>
          <w:szCs w:val="21"/>
          <w:lang w:val="fr-FR"/>
        </w:rPr>
        <w:t>40</w:t>
      </w:r>
    </w:p>
    <w:p w:rsidR="00A83775" w:rsidRDefault="00A83775">
      <w:pPr>
        <w:pStyle w:val="a2"/>
        <w:rPr>
          <w:sz w:val="28"/>
          <w:szCs w:val="28"/>
        </w:rPr>
      </w:pPr>
      <w:r>
        <w:rPr>
          <w:szCs w:val="21"/>
          <w:lang w:val="fr-FR"/>
        </w:rPr>
        <w:tab/>
      </w:r>
      <w:r>
        <w:rPr>
          <w:szCs w:val="21"/>
          <w:lang w:val="fr-FR"/>
        </w:rPr>
        <w:tab/>
        <w:t>B.</w:t>
      </w:r>
      <w:r>
        <w:rPr>
          <w:szCs w:val="21"/>
          <w:lang w:val="fr-FR"/>
        </w:rPr>
        <w:tab/>
      </w:r>
      <w:r>
        <w:rPr>
          <w:rFonts w:hint="eastAsia"/>
          <w:szCs w:val="21"/>
          <w:lang w:val="fr-FR"/>
        </w:rPr>
        <w:t>关爱</w:t>
      </w:r>
      <w:r>
        <w:rPr>
          <w:rFonts w:hint="eastAsia"/>
          <w:lang w:val="fr-FR"/>
        </w:rPr>
        <w:t>流离失所</w:t>
      </w:r>
      <w:r>
        <w:rPr>
          <w:rFonts w:hint="eastAsia"/>
          <w:szCs w:val="21"/>
          <w:lang w:val="fr-FR"/>
        </w:rPr>
        <w:t>人口</w:t>
      </w:r>
      <w:r>
        <w:rPr>
          <w:szCs w:val="21"/>
          <w:lang w:val="fr-FR"/>
        </w:rPr>
        <w:tab/>
      </w:r>
      <w:r>
        <w:rPr>
          <w:szCs w:val="21"/>
          <w:lang w:val="fr-FR"/>
        </w:rPr>
        <w:tab/>
        <w:t>670-68</w:t>
      </w:r>
      <w:r>
        <w:rPr>
          <w:rFonts w:hint="eastAsia"/>
          <w:szCs w:val="21"/>
          <w:lang w:val="fr-FR"/>
        </w:rPr>
        <w:t>8</w:t>
      </w:r>
      <w:r>
        <w:rPr>
          <w:szCs w:val="21"/>
          <w:lang w:val="fr-FR"/>
        </w:rPr>
        <w:tab/>
        <w:t>1</w:t>
      </w:r>
      <w:r>
        <w:rPr>
          <w:rFonts w:hint="eastAsia"/>
          <w:szCs w:val="21"/>
          <w:lang w:val="fr-FR"/>
        </w:rPr>
        <w:t>49</w:t>
      </w:r>
    </w:p>
    <w:p w:rsidR="00A83775" w:rsidRDefault="00A83775">
      <w:pPr>
        <w:pStyle w:val="HChGC"/>
        <w:rPr>
          <w:rFonts w:hint="eastAsia"/>
          <w:lang w:val="es-ES"/>
        </w:rPr>
      </w:pPr>
      <w:r>
        <w:rPr>
          <w:rFonts w:eastAsia="KaiTi_GB2312"/>
          <w:sz w:val="18"/>
          <w:szCs w:val="18"/>
        </w:rPr>
        <w:br w:type="page"/>
      </w:r>
      <w:r>
        <w:rPr>
          <w:rFonts w:eastAsia="KaiTi_GB2312"/>
          <w:sz w:val="18"/>
          <w:szCs w:val="18"/>
        </w:rPr>
        <w:tab/>
      </w:r>
      <w:r>
        <w:rPr>
          <w:rFonts w:eastAsia="KaiTi_GB2312"/>
          <w:sz w:val="18"/>
          <w:szCs w:val="18"/>
        </w:rPr>
        <w:tab/>
      </w:r>
      <w:r>
        <w:rPr>
          <w:rFonts w:hint="eastAsia"/>
          <w:noProof/>
          <w:lang w:val="es-ES"/>
        </w:rPr>
        <w:t>缩略语</w:t>
      </w:r>
    </w:p>
    <w:tbl>
      <w:tblPr>
        <w:tblW w:w="8450" w:type="dxa"/>
        <w:tblInd w:w="1068" w:type="dxa"/>
        <w:tblLayout w:type="fixed"/>
        <w:tblLook w:val="00A0"/>
      </w:tblPr>
      <w:tblGrid>
        <w:gridCol w:w="2810"/>
        <w:gridCol w:w="5640"/>
      </w:tblGrid>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rFonts w:hint="eastAsia"/>
                <w:lang w:val="es-ES"/>
              </w:rPr>
            </w:pPr>
            <w:r>
              <w:rPr>
                <w:noProof/>
                <w:lang w:val="es-ES"/>
              </w:rPr>
              <w:t>Acción Social</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pPr>
            <w:r>
              <w:rPr>
                <w:lang w:val="zh-CN"/>
              </w:rPr>
              <w:t>总统府社会行动和国际合作署</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pPr>
            <w:r>
              <w:rPr>
                <w:noProof/>
              </w:rPr>
              <w:t>ACPEM</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pPr>
            <w:r>
              <w:rPr>
                <w:lang w:val="zh-CN"/>
              </w:rPr>
              <w:t>妇女平等事务总统高级顾问办公室</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lang w:val="es-ES"/>
              </w:rPr>
            </w:pPr>
            <w:r>
              <w:rPr>
                <w:noProof/>
                <w:lang w:val="es-ES"/>
              </w:rPr>
              <w:t>APS</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pPr>
            <w:r>
              <w:rPr>
                <w:lang w:val="zh-CN"/>
              </w:rPr>
              <w:t>初级卫生保健护理</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lang w:val="es-ES"/>
              </w:rPr>
            </w:pPr>
            <w:r>
              <w:rPr>
                <w:noProof/>
                <w:lang w:val="es-ES"/>
              </w:rPr>
              <w:t>C.C.C.</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pPr>
            <w:r>
              <w:rPr>
                <w:lang w:val="zh-CN"/>
              </w:rPr>
              <w:t>哥伦比亚宪法法院</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lang w:val="es-ES"/>
              </w:rPr>
            </w:pPr>
            <w:r>
              <w:rPr>
                <w:noProof/>
                <w:lang w:val="es-ES"/>
              </w:rPr>
              <w:t>C.S. de la J.</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pPr>
            <w:r>
              <w:rPr>
                <w:lang w:val="zh-CN"/>
              </w:rPr>
              <w:t>最高司法委员会</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lang w:val="es-ES"/>
              </w:rPr>
            </w:pPr>
            <w:r>
              <w:rPr>
                <w:noProof/>
                <w:lang w:val="es-ES"/>
              </w:rPr>
              <w:t>CAIVAS</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pPr>
            <w:r>
              <w:rPr>
                <w:lang w:val="zh-CN"/>
              </w:rPr>
              <w:t>性暴力受害者全面关怀和研究中心</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lang w:val="es-ES"/>
              </w:rPr>
            </w:pPr>
            <w:r>
              <w:rPr>
                <w:noProof/>
                <w:lang w:val="es-ES"/>
              </w:rPr>
              <w:t>CAVIF</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pacing w:val="-4"/>
              </w:rPr>
            </w:pPr>
            <w:r>
              <w:rPr>
                <w:spacing w:val="-4"/>
                <w:lang w:val="zh-CN"/>
              </w:rPr>
              <w:t>家庭内暴力受害者全面关怀和研究中心</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lang w:val="es-ES"/>
              </w:rPr>
            </w:pPr>
            <w:r>
              <w:rPr>
                <w:noProof/>
                <w:lang w:val="es-ES"/>
              </w:rPr>
              <w:t>CINEP</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pPr>
            <w:r>
              <w:rPr>
                <w:lang w:val="zh-CN"/>
              </w:rPr>
              <w:t>研究和大众教育中心</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lang w:val="es-ES"/>
              </w:rPr>
            </w:pPr>
            <w:r>
              <w:rPr>
                <w:noProof/>
                <w:lang w:val="es-ES"/>
              </w:rPr>
              <w:t>CNAIPD</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pPr>
            <w:r>
              <w:rPr>
                <w:lang w:val="zh-CN"/>
              </w:rPr>
              <w:t>全面关爱流离失所人口国家委员会</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lang w:val="es-ES"/>
              </w:rPr>
            </w:pPr>
            <w:r>
              <w:rPr>
                <w:noProof/>
                <w:lang w:val="es-ES"/>
              </w:rPr>
              <w:t>CNRR</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pPr>
            <w:r>
              <w:rPr>
                <w:lang w:val="zh-CN"/>
              </w:rPr>
              <w:t>国家赔偿与和解委员会</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lang w:val="es-ES"/>
              </w:rPr>
            </w:pPr>
            <w:r>
              <w:rPr>
                <w:noProof/>
                <w:lang w:val="es-ES"/>
              </w:rPr>
              <w:t>CP</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pPr>
            <w:r>
              <w:rPr>
                <w:lang w:val="zh-CN"/>
              </w:rPr>
              <w:t>政治宪法</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lang w:val="es-ES"/>
              </w:rPr>
            </w:pPr>
            <w:r>
              <w:rPr>
                <w:noProof/>
                <w:lang w:val="es-ES"/>
              </w:rPr>
              <w:t>CPEM</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pPr>
            <w:r>
              <w:rPr>
                <w:lang w:val="zh-CN"/>
              </w:rPr>
              <w:t>总统府妇女平等委员会</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lang w:val="es-ES"/>
              </w:rPr>
            </w:pPr>
            <w:r>
              <w:rPr>
                <w:noProof/>
                <w:lang w:val="es-ES"/>
              </w:rPr>
              <w:t>CPP</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pPr>
            <w:r>
              <w:rPr>
                <w:lang w:val="zh-CN"/>
              </w:rPr>
              <w:t>刑事诉讼法</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lang w:val="es-ES"/>
              </w:rPr>
            </w:pPr>
            <w:r>
              <w:rPr>
                <w:noProof/>
                <w:lang w:val="es-ES"/>
              </w:rPr>
              <w:t>CSJ</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lang w:val="es-MX"/>
              </w:rPr>
            </w:pPr>
            <w:r>
              <w:rPr>
                <w:lang w:val="zh-CN"/>
              </w:rPr>
              <w:t>最高司法法院</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lang w:val="es-ES"/>
              </w:rPr>
            </w:pPr>
            <w:r>
              <w:rPr>
                <w:noProof/>
                <w:lang w:val="es-ES"/>
              </w:rPr>
              <w:t>CTI</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pPr>
            <w:r>
              <w:rPr>
                <w:lang w:val="zh-CN"/>
              </w:rPr>
              <w:t>调查研究技术团队</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lang w:val="es-ES"/>
              </w:rPr>
            </w:pPr>
            <w:r>
              <w:rPr>
                <w:noProof/>
                <w:lang w:val="es-ES"/>
              </w:rPr>
              <w:t>DAFP</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pPr>
            <w:r>
              <w:rPr>
                <w:lang w:val="zh-CN"/>
              </w:rPr>
              <w:t>公共职能管理局</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lang w:val="es-ES"/>
              </w:rPr>
            </w:pPr>
            <w:r>
              <w:rPr>
                <w:noProof/>
                <w:lang w:val="es-ES"/>
              </w:rPr>
              <w:t>DANE</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pPr>
            <w:r>
              <w:rPr>
                <w:lang w:val="zh-CN"/>
              </w:rPr>
              <w:t>国家统计局</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lang w:val="es-ES"/>
              </w:rPr>
            </w:pPr>
            <w:r>
              <w:rPr>
                <w:noProof/>
                <w:lang w:val="es-ES"/>
              </w:rPr>
              <w:t>DDHH</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pPr>
            <w:r>
              <w:rPr>
                <w:lang w:val="zh-CN"/>
              </w:rPr>
              <w:t>人权</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lang w:val="es-ES"/>
              </w:rPr>
            </w:pPr>
            <w:r>
              <w:rPr>
                <w:noProof/>
                <w:lang w:val="es-ES"/>
              </w:rPr>
              <w:t>DIH</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pPr>
            <w:r>
              <w:rPr>
                <w:lang w:val="zh-CN"/>
              </w:rPr>
              <w:t>国际人道主义法</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lang w:val="es-ES"/>
              </w:rPr>
            </w:pPr>
            <w:r>
              <w:rPr>
                <w:noProof/>
                <w:lang w:val="es-ES"/>
              </w:rPr>
              <w:t>DIJIN</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lang w:val="es-MX"/>
              </w:rPr>
            </w:pPr>
            <w:r>
              <w:rPr>
                <w:lang w:val="zh-CN"/>
              </w:rPr>
              <w:t>司法警察署</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lang w:val="es-ES"/>
              </w:rPr>
            </w:pPr>
            <w:r>
              <w:rPr>
                <w:noProof/>
                <w:lang w:val="es-ES"/>
              </w:rPr>
              <w:t>DNP</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pPr>
            <w:r>
              <w:rPr>
                <w:lang w:val="zh-CN"/>
              </w:rPr>
              <w:t>国家计划部</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lang w:val="es-ES"/>
              </w:rPr>
            </w:pPr>
            <w:r>
              <w:rPr>
                <w:noProof/>
                <w:lang w:val="es-ES"/>
              </w:rPr>
              <w:t>ENDS</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pPr>
            <w:r>
              <w:rPr>
                <w:lang w:val="zh-CN"/>
              </w:rPr>
              <w:t>全国人口与卫生普查</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lang w:val="es-ES"/>
              </w:rPr>
            </w:pPr>
            <w:r>
              <w:rPr>
                <w:noProof/>
                <w:lang w:val="es-ES"/>
              </w:rPr>
              <w:t>FGN</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pPr>
            <w:r>
              <w:rPr>
                <w:lang w:val="zh-CN"/>
              </w:rPr>
              <w:t>国家总检察署</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lang w:val="es-ES"/>
              </w:rPr>
            </w:pPr>
            <w:r>
              <w:rPr>
                <w:noProof/>
                <w:lang w:val="es-ES"/>
              </w:rPr>
              <w:t>FNUAP</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pPr>
            <w:r>
              <w:rPr>
                <w:lang w:val="zh-CN"/>
              </w:rPr>
              <w:t>联合国人口基金</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lang w:val="es-ES"/>
              </w:rPr>
            </w:pPr>
            <w:r>
              <w:rPr>
                <w:noProof/>
                <w:lang w:val="es-ES"/>
              </w:rPr>
              <w:t>FOMMUR</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pPr>
            <w:r>
              <w:rPr>
                <w:lang w:val="zh-CN"/>
              </w:rPr>
              <w:t>农村妇女促进基金</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lang w:val="es-ES"/>
              </w:rPr>
            </w:pPr>
            <w:r>
              <w:rPr>
                <w:noProof/>
                <w:lang w:val="es-ES"/>
              </w:rPr>
              <w:t>GEDES</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rFonts w:hint="eastAsia"/>
                <w:lang w:val="es-MX"/>
              </w:rPr>
            </w:pPr>
            <w:r>
              <w:rPr>
                <w:lang w:val="zh-CN"/>
              </w:rPr>
              <w:t>性犯罪</w:t>
            </w:r>
            <w:r>
              <w:rPr>
                <w:rFonts w:hint="eastAsia"/>
                <w:lang w:val="zh-CN"/>
              </w:rPr>
              <w:t>特案组</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lang w:val="es-ES"/>
              </w:rPr>
            </w:pPr>
            <w:r>
              <w:rPr>
                <w:noProof/>
                <w:lang w:val="es-ES"/>
              </w:rPr>
              <w:t>ICBF</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pPr>
            <w:r>
              <w:rPr>
                <w:lang w:val="zh-CN"/>
              </w:rPr>
              <w:t>哥伦比亚家庭福利研究所</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lang w:val="es-ES"/>
              </w:rPr>
            </w:pPr>
            <w:r>
              <w:rPr>
                <w:noProof/>
                <w:lang w:val="es-ES"/>
              </w:rPr>
              <w:t>INCODER</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哥伦比亚农村发展研究所</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INML y CF</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国家法律医学和法医学研究所</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MADR</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农业和农村发展部</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MAP/MUSE</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杀伤性地雷</w:t>
            </w:r>
            <w:r>
              <w:rPr>
                <w:szCs w:val="21"/>
                <w:lang w:val="zh-CN"/>
              </w:rPr>
              <w:t>/</w:t>
            </w:r>
            <w:r>
              <w:rPr>
                <w:rFonts w:hAnsi="SimSun"/>
                <w:szCs w:val="21"/>
                <w:lang w:val="zh-CN"/>
              </w:rPr>
              <w:t>未爆弹药</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MDN</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国防部</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MEN</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国家教育部</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MIJ</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内政和司法部</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MINTIC</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信息技术和通信部</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MPS</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社会保障部</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MRE</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lang w:val="es-MX"/>
              </w:rPr>
            </w:pPr>
            <w:r>
              <w:rPr>
                <w:rFonts w:hAnsi="SimSun"/>
                <w:szCs w:val="21"/>
                <w:lang w:val="zh-CN"/>
              </w:rPr>
              <w:t>外交部</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OAG</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两性问题观察站</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ODM</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千年发展目标</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OIM</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国际移民组织</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PAICMA</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杀伤性地雷全面处置行动总统计划</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PGN</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国家总检察长办公室</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PLANEDH</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人权教育国家计划</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PMCFM</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国家妇女企业培训计划</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PND</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国家发展计划</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PNUD</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rFonts w:hint="eastAsia"/>
                <w:szCs w:val="21"/>
              </w:rPr>
            </w:pPr>
            <w:r>
              <w:rPr>
                <w:rFonts w:hAnsi="SimSun"/>
                <w:szCs w:val="21"/>
                <w:lang w:val="zh-CN"/>
              </w:rPr>
              <w:t>联合国开发计划署</w:t>
            </w:r>
            <w:r>
              <w:rPr>
                <w:rFonts w:hAnsi="SimSun" w:hint="eastAsia"/>
                <w:szCs w:val="21"/>
                <w:lang w:val="zh-CN"/>
              </w:rPr>
              <w:t>（开发署）</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Política afirmativa</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hint="eastAsia"/>
                <w:szCs w:val="21"/>
                <w:lang w:val="zh-CN"/>
              </w:rPr>
              <w:t>“</w:t>
            </w:r>
            <w:r>
              <w:rPr>
                <w:rFonts w:hAnsi="SimSun"/>
                <w:szCs w:val="21"/>
                <w:lang w:val="zh-CN"/>
              </w:rPr>
              <w:t>妇女：和平与发展的建设者</w:t>
            </w:r>
            <w:r>
              <w:rPr>
                <w:rFonts w:hAnsi="SimSun" w:hint="eastAsia"/>
                <w:szCs w:val="21"/>
                <w:lang w:val="zh-CN"/>
              </w:rPr>
              <w:t>”</w:t>
            </w:r>
            <w:r>
              <w:rPr>
                <w:rFonts w:hAnsi="SimSun"/>
                <w:szCs w:val="21"/>
                <w:lang w:val="zh-CN"/>
              </w:rPr>
              <w:t>扶持政策</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PROFAMILIA</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哥伦比亚家庭福利促进协会</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PSD</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lang w:val="es-MX"/>
              </w:rPr>
            </w:pPr>
            <w:r>
              <w:rPr>
                <w:rFonts w:hAnsi="SimSun"/>
                <w:szCs w:val="21"/>
                <w:lang w:val="zh-CN"/>
              </w:rPr>
              <w:t>民主安全政策</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RUPD</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流离失所人口登记处</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SENA</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国家学徒服务局</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SIJIN</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司法警察厅</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SISPRO</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社会保障综合信息系统</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SIVIGILA</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国家公共卫生监测系统</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SNAIPD</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国家流离失所者全面照料系统</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SNBF</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家庭福利国家体系</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UNIFEM</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联合国妇女发展基金</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UNODC</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联合国毒品和犯罪问题办公室</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USAID</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美国国际开发署</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VBG</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基于性别的暴力行为</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VCM</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暴力侵害妇女行为</w:t>
            </w:r>
          </w:p>
        </w:tc>
      </w:tr>
      <w:tr w:rsidR="00A83775">
        <w:tc>
          <w:tcPr>
            <w:tcW w:w="281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jc w:val="left"/>
              <w:rPr>
                <w:szCs w:val="21"/>
                <w:lang w:val="es-ES"/>
              </w:rPr>
            </w:pPr>
            <w:r>
              <w:rPr>
                <w:noProof/>
                <w:szCs w:val="21"/>
                <w:lang w:val="es-ES"/>
              </w:rPr>
              <w:t>VIF</w:t>
            </w:r>
          </w:p>
        </w:tc>
        <w:tc>
          <w:tcPr>
            <w:tcW w:w="5640" w:type="dxa"/>
          </w:tcPr>
          <w:p w:rsidR="00A83775" w:rsidRDefault="00A83775">
            <w:pPr>
              <w:pStyle w:val="SingleTxtGC"/>
              <w:tabs>
                <w:tab w:val="clear" w:pos="431"/>
                <w:tab w:val="clear" w:pos="1134"/>
                <w:tab w:val="clear" w:pos="1565"/>
                <w:tab w:val="clear" w:pos="1996"/>
                <w:tab w:val="clear" w:pos="2427"/>
              </w:tabs>
              <w:spacing w:before="80" w:after="0" w:line="300" w:lineRule="exact"/>
              <w:ind w:left="0" w:right="0"/>
              <w:rPr>
                <w:szCs w:val="21"/>
              </w:rPr>
            </w:pPr>
            <w:r>
              <w:rPr>
                <w:rFonts w:hAnsi="SimSun"/>
                <w:szCs w:val="21"/>
                <w:lang w:val="zh-CN"/>
              </w:rPr>
              <w:t>家庭内暴力</w:t>
            </w:r>
          </w:p>
        </w:tc>
      </w:tr>
    </w:tbl>
    <w:p w:rsidR="00A83775" w:rsidRDefault="00A83775">
      <w:pPr>
        <w:pStyle w:val="SingleTxtGC"/>
      </w:pPr>
    </w:p>
    <w:p w:rsidR="00A83775" w:rsidRDefault="00A83775">
      <w:pPr>
        <w:pStyle w:val="HChGC"/>
      </w:pPr>
      <w:r>
        <w:br w:type="page"/>
      </w:r>
      <w:r>
        <w:rPr>
          <w:lang w:val="es-ES"/>
        </w:rPr>
        <w:tab/>
      </w:r>
      <w:r>
        <w:rPr>
          <w:rFonts w:hint="eastAsia"/>
          <w:lang w:val="zh-CN"/>
        </w:rPr>
        <w:t>一</w:t>
      </w:r>
      <w:r>
        <w:t>.</w:t>
      </w:r>
      <w:r>
        <w:rPr>
          <w:lang w:val="es-ES"/>
        </w:rPr>
        <w:tab/>
      </w:r>
      <w:r>
        <w:rPr>
          <w:rFonts w:hint="eastAsia"/>
          <w:lang w:val="zh-CN"/>
        </w:rPr>
        <w:t>报告的提交</w:t>
      </w:r>
    </w:p>
    <w:p w:rsidR="00A83775" w:rsidRDefault="00A83775">
      <w:pPr>
        <w:pStyle w:val="SingleTxtGC"/>
        <w:rPr>
          <w:lang w:val="es-ES"/>
        </w:rPr>
      </w:pPr>
      <w:r>
        <w:t xml:space="preserve">1.  </w:t>
      </w:r>
      <w:r>
        <w:rPr>
          <w:rFonts w:hint="eastAsia"/>
          <w:lang w:val="zh-CN"/>
        </w:rPr>
        <w:t>哥伦比亚于</w:t>
      </w:r>
      <w:r>
        <w:rPr>
          <w:lang w:val="zh-CN"/>
        </w:rPr>
        <w:t>1982</w:t>
      </w:r>
      <w:r>
        <w:rPr>
          <w:rFonts w:hint="eastAsia"/>
          <w:lang w:val="zh-CN"/>
        </w:rPr>
        <w:t>年</w:t>
      </w:r>
      <w:r>
        <w:rPr>
          <w:lang w:val="zh-CN"/>
        </w:rPr>
        <w:t>1</w:t>
      </w:r>
      <w:r>
        <w:rPr>
          <w:rFonts w:hint="eastAsia"/>
          <w:lang w:val="zh-CN"/>
        </w:rPr>
        <w:t>月</w:t>
      </w:r>
      <w:r>
        <w:rPr>
          <w:lang w:val="zh-CN"/>
        </w:rPr>
        <w:t>19</w:t>
      </w:r>
      <w:r>
        <w:rPr>
          <w:rFonts w:hint="eastAsia"/>
          <w:lang w:val="zh-CN"/>
        </w:rPr>
        <w:t>日批准了《消除对妇女一切形式歧视公约》（</w:t>
      </w:r>
      <w:r>
        <w:rPr>
          <w:lang w:val="zh-CN"/>
        </w:rPr>
        <w:t>1979</w:t>
      </w:r>
      <w:r>
        <w:rPr>
          <w:rFonts w:hint="eastAsia"/>
          <w:lang w:val="zh-CN"/>
        </w:rPr>
        <w:t>年获批通过）。并于</w:t>
      </w:r>
      <w:r>
        <w:rPr>
          <w:lang w:val="zh-CN"/>
        </w:rPr>
        <w:t>2007</w:t>
      </w:r>
      <w:r>
        <w:rPr>
          <w:rFonts w:hint="eastAsia"/>
          <w:lang w:val="zh-CN"/>
        </w:rPr>
        <w:t>年</w:t>
      </w:r>
      <w:r>
        <w:rPr>
          <w:lang w:val="zh-CN"/>
        </w:rPr>
        <w:t>1</w:t>
      </w:r>
      <w:r>
        <w:rPr>
          <w:rFonts w:hint="eastAsia"/>
          <w:lang w:val="zh-CN"/>
        </w:rPr>
        <w:t>月</w:t>
      </w:r>
      <w:r>
        <w:rPr>
          <w:lang w:val="zh-CN"/>
        </w:rPr>
        <w:t>23</w:t>
      </w:r>
      <w:r>
        <w:rPr>
          <w:rFonts w:hint="eastAsia"/>
          <w:lang w:val="zh-CN"/>
        </w:rPr>
        <w:t>日批准了《公约任择议定书》（</w:t>
      </w:r>
      <w:r>
        <w:rPr>
          <w:lang w:val="zh-CN"/>
        </w:rPr>
        <w:t>1999</w:t>
      </w:r>
      <w:r>
        <w:rPr>
          <w:rFonts w:hint="eastAsia"/>
          <w:lang w:val="zh-CN"/>
        </w:rPr>
        <w:t>年获批通过）。根据《公约》第十八条之规定，哥伦比亚迄今已经向委员会提交了六次定期报告。</w:t>
      </w:r>
    </w:p>
    <w:p w:rsidR="00A83775" w:rsidRDefault="00A83775">
      <w:pPr>
        <w:pStyle w:val="SingleTxtGC"/>
        <w:rPr>
          <w:lang w:val="es-ES"/>
        </w:rPr>
      </w:pPr>
      <w:r>
        <w:rPr>
          <w:lang w:val="es-ES"/>
        </w:rPr>
        <w:t xml:space="preserve">2.  </w:t>
      </w:r>
      <w:r>
        <w:rPr>
          <w:rFonts w:hint="eastAsia"/>
          <w:lang w:val="zh-CN"/>
        </w:rPr>
        <w:t>根据消除对妇女歧视委员会在对哥伦比亚的第七次定期报告的结论性意见（</w:t>
      </w:r>
      <w:r>
        <w:rPr>
          <w:lang w:val="zh-CN"/>
        </w:rPr>
        <w:t>CEDAW/C/COL/CO/6</w:t>
      </w:r>
      <w:r>
        <w:rPr>
          <w:rFonts w:hint="eastAsia"/>
          <w:lang w:val="zh-CN"/>
        </w:rPr>
        <w:t>）第</w:t>
      </w:r>
      <w:r>
        <w:rPr>
          <w:lang w:val="zh-CN"/>
        </w:rPr>
        <w:t>37</w:t>
      </w:r>
      <w:r>
        <w:rPr>
          <w:rFonts w:hint="eastAsia"/>
          <w:lang w:val="zh-CN"/>
        </w:rPr>
        <w:t>条之规定，第七次和第八次定期报告以合并方式提交。</w:t>
      </w:r>
    </w:p>
    <w:p w:rsidR="00A83775" w:rsidRDefault="00A83775">
      <w:pPr>
        <w:pStyle w:val="SingleTxtGC"/>
        <w:rPr>
          <w:lang w:val="es-ES"/>
        </w:rPr>
      </w:pPr>
      <w:r>
        <w:rPr>
          <w:lang w:val="es-ES"/>
        </w:rPr>
        <w:t xml:space="preserve">3.  </w:t>
      </w:r>
      <w:r>
        <w:rPr>
          <w:rFonts w:hint="eastAsia"/>
          <w:lang w:val="zh-CN"/>
        </w:rPr>
        <w:t>本次合并报告中包含的是</w:t>
      </w:r>
      <w:r>
        <w:rPr>
          <w:lang w:val="zh-CN"/>
        </w:rPr>
        <w:t>2006-2010</w:t>
      </w:r>
      <w:r>
        <w:rPr>
          <w:rFonts w:hint="eastAsia"/>
          <w:lang w:val="zh-CN"/>
        </w:rPr>
        <w:t>年报告期所对应的信息。但是，由于无法实时获得相应报告期内的统计信息，因此将采用从不同的信息体系中获得的资讯来逐一阐述《公约》承认的每一项权利。</w:t>
      </w:r>
    </w:p>
    <w:p w:rsidR="00A83775" w:rsidRDefault="00A83775">
      <w:pPr>
        <w:pStyle w:val="SingleTxtGC"/>
        <w:rPr>
          <w:lang w:val="es-ES"/>
        </w:rPr>
      </w:pPr>
      <w:r>
        <w:rPr>
          <w:lang w:val="es-ES"/>
        </w:rPr>
        <w:t xml:space="preserve">4.  </w:t>
      </w:r>
      <w:r>
        <w:rPr>
          <w:rFonts w:hint="eastAsia"/>
          <w:lang w:val="zh-CN"/>
        </w:rPr>
        <w:t>由胡安·曼努埃尔·桑托斯总统领导的现任政府采取的相应行动将对应《公约》的每一条进行论述，标题为</w:t>
      </w:r>
      <w:r>
        <w:rPr>
          <w:rFonts w:eastAsia="KaiTi_GB2312" w:hint="eastAsia"/>
          <w:lang w:val="zh-CN"/>
        </w:rPr>
        <w:t>新出台或持续推行的措施</w:t>
      </w:r>
      <w:r>
        <w:rPr>
          <w:rFonts w:hint="eastAsia"/>
          <w:lang w:val="zh-CN"/>
        </w:rPr>
        <w:t>，在这方面考虑到了现届政府任期自</w:t>
      </w:r>
      <w:r>
        <w:rPr>
          <w:lang w:val="zh-CN"/>
        </w:rPr>
        <w:t>2010</w:t>
      </w:r>
      <w:r>
        <w:rPr>
          <w:rFonts w:hint="eastAsia"/>
          <w:lang w:val="zh-CN"/>
        </w:rPr>
        <w:t>年</w:t>
      </w:r>
      <w:r>
        <w:rPr>
          <w:lang w:val="zh-CN"/>
        </w:rPr>
        <w:t>8</w:t>
      </w:r>
      <w:r>
        <w:rPr>
          <w:rFonts w:hint="eastAsia"/>
          <w:lang w:val="zh-CN"/>
        </w:rPr>
        <w:t>月</w:t>
      </w:r>
      <w:r>
        <w:rPr>
          <w:lang w:val="zh-CN"/>
        </w:rPr>
        <w:t>7</w:t>
      </w:r>
      <w:r>
        <w:rPr>
          <w:rFonts w:hint="eastAsia"/>
          <w:lang w:val="zh-CN"/>
        </w:rPr>
        <w:t>日开始，且还有编制本报告的空窗期。</w:t>
      </w:r>
    </w:p>
    <w:p w:rsidR="00A83775" w:rsidRDefault="00A83775">
      <w:pPr>
        <w:pStyle w:val="SingleTxtGC"/>
        <w:rPr>
          <w:lang w:val="es-ES"/>
        </w:rPr>
      </w:pPr>
      <w:r>
        <w:rPr>
          <w:lang w:val="es-ES"/>
        </w:rPr>
        <w:t xml:space="preserve">5.  </w:t>
      </w:r>
      <w:r>
        <w:rPr>
          <w:rFonts w:hint="eastAsia"/>
          <w:lang w:val="zh-CN"/>
        </w:rPr>
        <w:t>本次报告的编制是从</w:t>
      </w:r>
      <w:r>
        <w:rPr>
          <w:lang w:val="zh-CN"/>
        </w:rPr>
        <w:t>2010</w:t>
      </w:r>
      <w:r>
        <w:rPr>
          <w:rFonts w:hint="eastAsia"/>
          <w:lang w:val="zh-CN"/>
        </w:rPr>
        <w:t>年</w:t>
      </w:r>
      <w:r>
        <w:rPr>
          <w:lang w:val="zh-CN"/>
        </w:rPr>
        <w:t>3</w:t>
      </w:r>
      <w:r>
        <w:rPr>
          <w:rFonts w:hint="eastAsia"/>
          <w:lang w:val="zh-CN"/>
        </w:rPr>
        <w:t>月份开始在外交部、妇女平等事务总统高级顾问办公室、总统人权和国际人道主义法事务署的领导下开展的，有义务承担公约执行工作的政府部门全都参与其中，而一些州一级的实体也做出了贡献。</w:t>
      </w:r>
    </w:p>
    <w:p w:rsidR="00A83775" w:rsidRDefault="00A83775">
      <w:pPr>
        <w:pStyle w:val="SingleTxtGC"/>
        <w:rPr>
          <w:lang w:val="es-ES_tradnl"/>
        </w:rPr>
      </w:pPr>
      <w:r>
        <w:rPr>
          <w:lang w:val="es-ES"/>
        </w:rPr>
        <w:t xml:space="preserve">6.  </w:t>
      </w:r>
      <w:r>
        <w:rPr>
          <w:rFonts w:hint="eastAsia"/>
          <w:lang w:val="zh-CN"/>
        </w:rPr>
        <w:t>考虑到报告提交的相关现行规定（</w:t>
      </w:r>
      <w:r>
        <w:rPr>
          <w:lang w:val="zh-CN"/>
        </w:rPr>
        <w:t>HRI/GEN/2/Rev.6</w:t>
      </w:r>
      <w:r>
        <w:rPr>
          <w:rFonts w:hint="eastAsia"/>
          <w:lang w:val="zh-CN"/>
        </w:rPr>
        <w:t>），本次报告的结构是与《公约》的主要段落相呼应的。这对应了报告中的四大部分，即：第一部分（第一至六条）、第二部分（第七至九条）、第三部分（第十至十四条）和第四部分（第十五和十六条）。</w:t>
      </w:r>
    </w:p>
    <w:p w:rsidR="00A83775" w:rsidRDefault="00A83775">
      <w:pPr>
        <w:pStyle w:val="SingleTxtGC"/>
        <w:rPr>
          <w:lang w:val="es-ES"/>
        </w:rPr>
      </w:pPr>
      <w:r>
        <w:rPr>
          <w:lang w:val="es-ES"/>
        </w:rPr>
        <w:t xml:space="preserve">7.  </w:t>
      </w:r>
      <w:r>
        <w:rPr>
          <w:rFonts w:hint="eastAsia"/>
          <w:lang w:val="zh-CN"/>
        </w:rPr>
        <w:t>根据委员会关于暴力侵害妇女问题的第</w:t>
      </w:r>
      <w:r>
        <w:rPr>
          <w:lang w:val="zh-CN"/>
        </w:rPr>
        <w:t>19</w:t>
      </w:r>
      <w:r>
        <w:rPr>
          <w:rFonts w:hint="eastAsia"/>
          <w:lang w:val="zh-CN"/>
        </w:rPr>
        <w:t>（</w:t>
      </w:r>
      <w:r>
        <w:rPr>
          <w:lang w:val="zh-CN"/>
        </w:rPr>
        <w:t>1992</w:t>
      </w:r>
      <w:r>
        <w:rPr>
          <w:rFonts w:hint="eastAsia"/>
          <w:lang w:val="zh-CN"/>
        </w:rPr>
        <w:t>）号一般性建议，在与《公约》第一条相关的信息中介绍了哥伦比亚为应对这一问题而推进实施的主要行动。此外，在介绍由哥伦比亚开展的旨在根除对妇女的暴力行为和关爱被迫流离失所的妇女儿童的主要活动的两部分内容时，考虑到了委员会在其之前的结论性意见中具体提出的建议（</w:t>
      </w:r>
      <w:r>
        <w:rPr>
          <w:lang w:val="zh-CN"/>
        </w:rPr>
        <w:t>CEDAW/C/COL/CO/6</w:t>
      </w:r>
      <w:r>
        <w:rPr>
          <w:rFonts w:hint="eastAsia"/>
          <w:lang w:val="zh-CN"/>
        </w:rPr>
        <w:t>，第</w:t>
      </w:r>
      <w:r>
        <w:rPr>
          <w:lang w:val="zh-CN"/>
        </w:rPr>
        <w:t>11</w:t>
      </w:r>
      <w:r>
        <w:rPr>
          <w:rFonts w:hint="eastAsia"/>
          <w:lang w:val="zh-CN"/>
        </w:rPr>
        <w:t>、</w:t>
      </w:r>
      <w:r>
        <w:rPr>
          <w:lang w:val="zh-CN"/>
        </w:rPr>
        <w:t>13</w:t>
      </w:r>
      <w:r>
        <w:rPr>
          <w:rFonts w:hint="eastAsia"/>
          <w:lang w:val="zh-CN"/>
        </w:rPr>
        <w:t>和</w:t>
      </w:r>
      <w:r>
        <w:rPr>
          <w:lang w:val="zh-CN"/>
        </w:rPr>
        <w:t>19</w:t>
      </w:r>
      <w:r>
        <w:rPr>
          <w:rFonts w:hint="eastAsia"/>
          <w:lang w:val="zh-CN"/>
        </w:rPr>
        <w:t>段）。</w:t>
      </w:r>
    </w:p>
    <w:p w:rsidR="00A83775" w:rsidRDefault="00A83775">
      <w:pPr>
        <w:pStyle w:val="SingleTxtGC"/>
        <w:rPr>
          <w:lang w:val="es-ES"/>
        </w:rPr>
      </w:pPr>
      <w:r>
        <w:rPr>
          <w:lang w:val="es-ES"/>
        </w:rPr>
        <w:t xml:space="preserve">8.  </w:t>
      </w:r>
      <w:r>
        <w:rPr>
          <w:rFonts w:hint="eastAsia"/>
          <w:lang w:val="zh-CN"/>
        </w:rPr>
        <w:t>针对委员会专门提出的其他建议，在针对每一条的论述中都会包含与每项建议有关的信息。</w:t>
      </w:r>
    </w:p>
    <w:p w:rsidR="00A83775" w:rsidRDefault="00A83775">
      <w:pPr>
        <w:pStyle w:val="SingleTxtGC"/>
        <w:rPr>
          <w:lang w:val="es-ES"/>
        </w:rPr>
      </w:pPr>
      <w:r>
        <w:rPr>
          <w:lang w:val="es-ES"/>
        </w:rPr>
        <w:t xml:space="preserve">9.  </w:t>
      </w:r>
      <w:r>
        <w:rPr>
          <w:rFonts w:hint="eastAsia"/>
          <w:lang w:val="zh-CN"/>
        </w:rPr>
        <w:t>最后，应当指出的是针对每一条展开的论述中所援引的附件都是报告的组成部分，且规定了附件的比例，这些附件都是围绕《公约》各条规定来组织编写的。在立法措施和司法措施方面，列出的每项法规的全文都包含在附带的</w:t>
      </w:r>
      <w:r>
        <w:rPr>
          <w:lang w:val="zh-CN"/>
        </w:rPr>
        <w:t>CD</w:t>
      </w:r>
      <w:r>
        <w:rPr>
          <w:rFonts w:hint="eastAsia"/>
          <w:lang w:val="zh-CN"/>
        </w:rPr>
        <w:t>中（可在秘书处查阅）。</w:t>
      </w:r>
    </w:p>
    <w:p w:rsidR="00A83775" w:rsidRDefault="00A83775">
      <w:pPr>
        <w:pStyle w:val="H1GC"/>
        <w:rPr>
          <w:lang w:val="es-ES"/>
        </w:rPr>
      </w:pPr>
      <w:r>
        <w:rPr>
          <w:lang w:val="es-ES_tradnl"/>
        </w:rPr>
        <w:tab/>
      </w:r>
      <w:r>
        <w:rPr>
          <w:lang w:val="zh-CN"/>
        </w:rPr>
        <w:t>A.</w:t>
      </w:r>
      <w:r>
        <w:rPr>
          <w:lang w:val="es-ES_tradnl"/>
        </w:rPr>
        <w:tab/>
      </w:r>
      <w:r>
        <w:rPr>
          <w:rFonts w:hint="eastAsia"/>
          <w:lang w:val="zh-CN"/>
        </w:rPr>
        <w:t>编制报告采用的方法</w:t>
      </w:r>
    </w:p>
    <w:p w:rsidR="00A83775" w:rsidRDefault="00A83775">
      <w:pPr>
        <w:pStyle w:val="SingleTxtGC"/>
      </w:pPr>
      <w:r>
        <w:rPr>
          <w:lang w:val="es-ES_tradnl"/>
        </w:rPr>
        <w:t xml:space="preserve">10.  </w:t>
      </w:r>
      <w:r>
        <w:rPr>
          <w:rFonts w:hint="eastAsia"/>
          <w:lang w:val="zh-CN"/>
        </w:rPr>
        <w:t>接下来将介绍在常规性报告的编制工作中所采用的方法，这是由外交部设计构思的，并根据在每次常规性报告编制过程中累积的经验进行补充或完善。</w:t>
      </w:r>
    </w:p>
    <w:tbl>
      <w:tblPr>
        <w:tblW w:w="0" w:type="auto"/>
        <w:tblInd w:w="12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340"/>
        <w:gridCol w:w="6110"/>
      </w:tblGrid>
      <w:tr w:rsidR="00A83775">
        <w:tc>
          <w:tcPr>
            <w:tcW w:w="2340" w:type="dxa"/>
          </w:tcPr>
          <w:p w:rsidR="00A83775" w:rsidRDefault="00A83775">
            <w:pPr>
              <w:pStyle w:val="SingleTxtGC"/>
              <w:rPr>
                <w:lang w:val="es-ES"/>
              </w:rPr>
            </w:pPr>
            <w: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91" type="#_x0000_t13" style="position:absolute;left:0;text-align:left;margin-left:.15pt;margin-top:5.25pt;width:96pt;height:221.65pt;z-index:1" adj="16223,6169" strokecolor="#d99594" strokeweight="1pt">
                  <v:fill color2="#e5b8b7" focusposition="1" focussize="" focus="100%" type="gradient"/>
                  <v:shadow on="t" type="perspective" color="#622423" opacity=".5" offset="1pt" offset2="-3pt"/>
                  <v:textbox style="mso-next-textbox:#_x0000_s1091">
                    <w:txbxContent>
                      <w:p w:rsidR="00A83775" w:rsidRDefault="00A83775">
                        <w:pPr>
                          <w:pStyle w:val="BodyText2"/>
                          <w:spacing w:line="240" w:lineRule="auto"/>
                          <w:rPr>
                            <w:rFonts w:ascii="SimHei" w:eastAsia="SimHei"/>
                            <w:shadow/>
                            <w:noProof/>
                            <w:sz w:val="21"/>
                            <w:szCs w:val="21"/>
                          </w:rPr>
                        </w:pPr>
                      </w:p>
                      <w:p w:rsidR="00A83775" w:rsidRDefault="00A83775">
                        <w:pPr>
                          <w:pStyle w:val="BodyText2"/>
                          <w:spacing w:before="360" w:line="240" w:lineRule="auto"/>
                          <w:rPr>
                            <w:rFonts w:ascii="SimHei" w:eastAsia="SimHei" w:hAnsi="Segoe UI" w:hint="eastAsia"/>
                            <w:color w:val="4F81BD"/>
                            <w:sz w:val="21"/>
                            <w:szCs w:val="21"/>
                          </w:rPr>
                        </w:pPr>
                        <w:r>
                          <w:rPr>
                            <w:rFonts w:ascii="SimHei" w:eastAsia="SimHei" w:hint="eastAsia"/>
                            <w:shadow/>
                            <w:noProof/>
                            <w:sz w:val="21"/>
                            <w:szCs w:val="21"/>
                          </w:rPr>
                          <w:t>一、决策阶段</w:t>
                        </w:r>
                      </w:p>
                      <w:p w:rsidR="00A83775" w:rsidRDefault="00A83775">
                        <w:pPr>
                          <w:spacing w:line="240" w:lineRule="auto"/>
                          <w:rPr>
                            <w:szCs w:val="24"/>
                          </w:rPr>
                        </w:pPr>
                      </w:p>
                    </w:txbxContent>
                  </v:textbox>
                </v:shape>
              </w:pict>
            </w:r>
          </w:p>
        </w:tc>
        <w:tc>
          <w:tcPr>
            <w:tcW w:w="6110" w:type="dxa"/>
          </w:tcPr>
          <w:p w:rsidR="00A83775" w:rsidRDefault="00A83775">
            <w:pPr>
              <w:pStyle w:val="SingleTxtGC"/>
              <w:tabs>
                <w:tab w:val="clear" w:pos="431"/>
                <w:tab w:val="clear" w:pos="1134"/>
                <w:tab w:val="clear" w:pos="1565"/>
                <w:tab w:val="clear" w:pos="1996"/>
                <w:tab w:val="clear" w:pos="2427"/>
                <w:tab w:val="left" w:pos="510"/>
              </w:tabs>
              <w:spacing w:before="120"/>
              <w:ind w:left="113" w:right="113"/>
              <w:rPr>
                <w:lang w:val="es-ES_tradnl"/>
              </w:rPr>
            </w:pPr>
            <w:r>
              <w:rPr>
                <w:lang w:val="es-ES_tradnl"/>
              </w:rPr>
              <w:t>1.</w:t>
            </w:r>
            <w:r>
              <w:rPr>
                <w:lang w:val="es-ES_tradnl"/>
              </w:rPr>
              <w:tab/>
            </w:r>
            <w:r>
              <w:rPr>
                <w:rFonts w:hint="eastAsia"/>
                <w:lang w:val="zh-CN"/>
              </w:rPr>
              <w:t>确定负责领导编制报告进程的工作组。</w:t>
            </w:r>
          </w:p>
          <w:p w:rsidR="00A83775" w:rsidRDefault="00A83775">
            <w:pPr>
              <w:pStyle w:val="SingleTxtGC"/>
              <w:tabs>
                <w:tab w:val="clear" w:pos="1134"/>
              </w:tabs>
              <w:ind w:left="510" w:right="113"/>
              <w:rPr>
                <w:lang w:val="es-ES_tradnl"/>
              </w:rPr>
            </w:pPr>
            <w:r>
              <w:rPr>
                <w:rFonts w:hint="eastAsia"/>
                <w:lang w:val="zh-CN"/>
              </w:rPr>
              <w:t>应当设立一家执行秘书处，负责领导整个编制过程，鉴于《公约》是一项人权国际文书，因而秘书处的组成成员应包括与该国际文书的主题相关的负责机关、总统人权和人道主义法事务署以及外交部。但是在报告编制的整个过程中应当使所有政府部门和州一级的实体参与其中，就《公约》的执行各司其职。需要着重指出的是，作为由一份政府报告，应当由国家三大权力机关共同开展工作，而作为一份国家报告，应当反映出国家、各行政大区和各地方的信息。</w:t>
            </w:r>
          </w:p>
          <w:p w:rsidR="00A83775" w:rsidRDefault="00A83775">
            <w:pPr>
              <w:pStyle w:val="SingleTxtGC"/>
              <w:tabs>
                <w:tab w:val="clear" w:pos="431"/>
                <w:tab w:val="clear" w:pos="1134"/>
                <w:tab w:val="clear" w:pos="1565"/>
                <w:tab w:val="clear" w:pos="1996"/>
                <w:tab w:val="clear" w:pos="2427"/>
                <w:tab w:val="left" w:pos="510"/>
              </w:tabs>
              <w:ind w:left="113" w:right="113"/>
              <w:rPr>
                <w:lang w:val="es-ES_tradnl"/>
              </w:rPr>
            </w:pPr>
            <w:r>
              <w:rPr>
                <w:lang w:val="es-ES_tradnl"/>
              </w:rPr>
              <w:t>2.</w:t>
            </w:r>
            <w:r>
              <w:rPr>
                <w:lang w:val="es-ES_tradnl"/>
              </w:rPr>
              <w:tab/>
            </w:r>
            <w:r>
              <w:rPr>
                <w:rFonts w:hint="eastAsia"/>
                <w:lang w:val="zh-CN"/>
              </w:rPr>
              <w:t>确定在报告编制</w:t>
            </w:r>
            <w:r>
              <w:rPr>
                <w:rFonts w:hint="eastAsia"/>
                <w:lang w:val="es-ES_tradnl"/>
              </w:rPr>
              <w:t>过程</w:t>
            </w:r>
            <w:r>
              <w:rPr>
                <w:rFonts w:hint="eastAsia"/>
                <w:lang w:val="zh-CN"/>
              </w:rPr>
              <w:t>中民间社会的参与。</w:t>
            </w:r>
          </w:p>
          <w:p w:rsidR="00A83775" w:rsidRDefault="00A83775">
            <w:pPr>
              <w:pStyle w:val="SingleTxtGC"/>
              <w:tabs>
                <w:tab w:val="clear" w:pos="1134"/>
              </w:tabs>
              <w:ind w:left="510" w:right="113"/>
              <w:rPr>
                <w:lang w:val="es-ES_tradnl"/>
              </w:rPr>
            </w:pPr>
            <w:r>
              <w:rPr>
                <w:rFonts w:hint="eastAsia"/>
                <w:lang w:val="zh-CN"/>
              </w:rPr>
              <w:t>虽然没有硬性要求与民间社会各组织联合开展工作，但是需要重点指出的是，委员会的指导方针中要求报告的提交过程应当在国别领域重视和创造条件让民众审视政府政策，并承诺由民间社会代表提出建设性意见，秉承合作和相互尊重的精神，以期能够在享有《公约》所保护的所有权利方面取得进步。</w:t>
            </w:r>
          </w:p>
          <w:p w:rsidR="00A83775" w:rsidRDefault="00A83775">
            <w:pPr>
              <w:pStyle w:val="SingleTxtGC"/>
              <w:tabs>
                <w:tab w:val="clear" w:pos="431"/>
                <w:tab w:val="clear" w:pos="1134"/>
                <w:tab w:val="clear" w:pos="1565"/>
                <w:tab w:val="clear" w:pos="1996"/>
                <w:tab w:val="clear" w:pos="2427"/>
                <w:tab w:val="left" w:pos="510"/>
              </w:tabs>
              <w:ind w:left="113" w:right="113"/>
              <w:rPr>
                <w:lang w:val="es-ES_tradnl"/>
              </w:rPr>
            </w:pPr>
            <w:r>
              <w:rPr>
                <w:lang w:val="es-ES_tradnl"/>
              </w:rPr>
              <w:t>3.</w:t>
            </w:r>
            <w:r>
              <w:rPr>
                <w:lang w:val="es-ES_tradnl"/>
              </w:rPr>
              <w:tab/>
            </w:r>
            <w:r>
              <w:rPr>
                <w:rFonts w:hint="eastAsia"/>
                <w:lang w:val="zh-CN"/>
              </w:rPr>
              <w:t>确定报告编制的必要资源。</w:t>
            </w:r>
          </w:p>
          <w:p w:rsidR="00A83775" w:rsidRDefault="00A83775">
            <w:pPr>
              <w:pStyle w:val="SingleTxtGC"/>
              <w:tabs>
                <w:tab w:val="clear" w:pos="1134"/>
              </w:tabs>
              <w:ind w:left="510" w:right="113"/>
              <w:rPr>
                <w:lang w:val="es-ES_tradnl"/>
              </w:rPr>
            </w:pPr>
            <w:r>
              <w:rPr>
                <w:rFonts w:hint="eastAsia"/>
                <w:lang w:val="zh-CN"/>
              </w:rPr>
              <w:t>有必要估算出报告编制工作需要的</w:t>
            </w:r>
            <w:r>
              <w:rPr>
                <w:rFonts w:hint="eastAsia"/>
                <w:lang w:val="es-ES_tradnl"/>
              </w:rPr>
              <w:t>资源</w:t>
            </w:r>
            <w:r>
              <w:rPr>
                <w:rFonts w:hint="eastAsia"/>
                <w:lang w:val="zh-CN"/>
              </w:rPr>
              <w:t>，包括召开机构间会议（需要全天候专职工作，特别是在信息分析阶段）、报告的发布和宣传、专家的聘请（视需要）以及其他的支持，并确定相应资金的来源。</w:t>
            </w:r>
          </w:p>
          <w:p w:rsidR="00A83775" w:rsidRDefault="00A83775">
            <w:pPr>
              <w:pStyle w:val="SingleTxtGC"/>
              <w:tabs>
                <w:tab w:val="clear" w:pos="431"/>
                <w:tab w:val="clear" w:pos="1134"/>
                <w:tab w:val="clear" w:pos="1565"/>
                <w:tab w:val="clear" w:pos="1996"/>
                <w:tab w:val="clear" w:pos="2427"/>
                <w:tab w:val="left" w:pos="510"/>
              </w:tabs>
              <w:ind w:left="113" w:right="113"/>
              <w:rPr>
                <w:lang w:val="es-ES_tradnl"/>
              </w:rPr>
            </w:pPr>
            <w:r>
              <w:rPr>
                <w:lang w:val="es-ES_tradnl"/>
              </w:rPr>
              <w:t>4.</w:t>
            </w:r>
            <w:r>
              <w:rPr>
                <w:lang w:val="es-ES_tradnl"/>
              </w:rPr>
              <w:tab/>
            </w:r>
            <w:r>
              <w:rPr>
                <w:rFonts w:hint="eastAsia"/>
                <w:lang w:val="zh-CN"/>
              </w:rPr>
              <w:t>确定编制报告所采用的</w:t>
            </w:r>
            <w:r>
              <w:rPr>
                <w:rFonts w:hint="eastAsia"/>
                <w:lang w:val="es-ES_tradnl"/>
              </w:rPr>
              <w:t>信息</w:t>
            </w:r>
            <w:r>
              <w:rPr>
                <w:rFonts w:hint="eastAsia"/>
                <w:lang w:val="zh-CN"/>
              </w:rPr>
              <w:t>的日期。</w:t>
            </w:r>
          </w:p>
          <w:p w:rsidR="00A83775" w:rsidRDefault="00A83775">
            <w:pPr>
              <w:pStyle w:val="SingleTxtGC"/>
              <w:tabs>
                <w:tab w:val="clear" w:pos="1134"/>
              </w:tabs>
              <w:ind w:left="510" w:right="113"/>
              <w:rPr>
                <w:lang w:val="es-ES_tradnl"/>
              </w:rPr>
            </w:pPr>
            <w:r>
              <w:rPr>
                <w:rFonts w:hint="eastAsia"/>
                <w:lang w:val="zh-CN"/>
              </w:rPr>
              <w:t>应当确定报告所涵盖的时间跨度，确定报告编制的截止期以及提交给委员会的大致期限。</w:t>
            </w:r>
          </w:p>
          <w:p w:rsidR="00A83775" w:rsidRDefault="00A83775">
            <w:pPr>
              <w:pStyle w:val="SingleTxtGC"/>
              <w:tabs>
                <w:tab w:val="clear" w:pos="431"/>
                <w:tab w:val="clear" w:pos="1134"/>
                <w:tab w:val="clear" w:pos="1565"/>
                <w:tab w:val="clear" w:pos="1996"/>
                <w:tab w:val="clear" w:pos="2427"/>
                <w:tab w:val="left" w:pos="510"/>
              </w:tabs>
              <w:ind w:left="113" w:right="113"/>
              <w:rPr>
                <w:lang w:val="es-ES_tradnl"/>
              </w:rPr>
            </w:pPr>
            <w:r>
              <w:rPr>
                <w:lang w:val="es-ES_tradnl"/>
              </w:rPr>
              <w:t>5.</w:t>
            </w:r>
            <w:r>
              <w:rPr>
                <w:lang w:val="es-ES_tradnl"/>
              </w:rPr>
              <w:tab/>
            </w:r>
            <w:r>
              <w:rPr>
                <w:rFonts w:hint="eastAsia"/>
                <w:lang w:val="zh-CN"/>
              </w:rPr>
              <w:t>确定工作时间安排表。</w:t>
            </w:r>
          </w:p>
          <w:p w:rsidR="00A83775" w:rsidRDefault="00A83775">
            <w:pPr>
              <w:pStyle w:val="SingleTxtGC"/>
              <w:tabs>
                <w:tab w:val="clear" w:pos="1134"/>
              </w:tabs>
              <w:ind w:left="493" w:right="113"/>
              <w:rPr>
                <w:lang w:val="en-GB"/>
              </w:rPr>
            </w:pPr>
            <w:r>
              <w:rPr>
                <w:rFonts w:hint="eastAsia"/>
                <w:lang w:val="zh-CN"/>
              </w:rPr>
              <w:t>应当根据本报告划分的阶段在工作时间表中写明应开展的活动和各项活动预计需要的时间，目的是确保报告能够按时提交给委员会。</w:t>
            </w:r>
          </w:p>
        </w:tc>
      </w:tr>
      <w:tr w:rsidR="00A83775">
        <w:tc>
          <w:tcPr>
            <w:tcW w:w="2340" w:type="dxa"/>
          </w:tcPr>
          <w:p w:rsidR="00A83775" w:rsidRDefault="00A83775">
            <w:pPr>
              <w:pStyle w:val="SingleTxtGC"/>
              <w:pageBreakBefore/>
              <w:rPr>
                <w:lang w:val="es-ES"/>
              </w:rPr>
            </w:pPr>
            <w:r>
              <w:pict>
                <v:shape id="_x0000_s1092" type="#_x0000_t13" style="position:absolute;left:0;text-align:left;margin-left:.3pt;margin-top:2.55pt;width:101.9pt;height:172.25pt;z-index:2;mso-position-horizontal-relative:text;mso-position-vertical-relative:text" strokecolor="#c2d69b" strokeweight="1pt">
                  <v:fill color2="#d6e3bc" focusposition="1" focussize="" focus="100%" type="gradient"/>
                  <v:shadow on="t" type="perspective" color="#4e6128" opacity=".5" offset="1pt" offset2="-3pt"/>
                  <v:textbox style="mso-next-textbox:#_x0000_s1092">
                    <w:txbxContent>
                      <w:p w:rsidR="00A83775" w:rsidRDefault="00A83775">
                        <w:pPr>
                          <w:spacing w:before="600" w:line="240" w:lineRule="auto"/>
                          <w:rPr>
                            <w:rFonts w:ascii="SimHei" w:eastAsia="SimHei" w:hint="eastAsia"/>
                            <w:shadow/>
                            <w:color w:val="000000"/>
                            <w:szCs w:val="21"/>
                            <w:lang w:val="es-MX"/>
                          </w:rPr>
                        </w:pPr>
                        <w:r>
                          <w:rPr>
                            <w:rFonts w:ascii="SimHei" w:eastAsia="SimHei" w:hint="eastAsia"/>
                            <w:shadow/>
                            <w:noProof/>
                            <w:color w:val="000000"/>
                            <w:szCs w:val="21"/>
                            <w:lang w:val="es-MX"/>
                          </w:rPr>
                          <w:t>二、筹备阶段</w:t>
                        </w:r>
                      </w:p>
                      <w:p w:rsidR="00A83775" w:rsidRDefault="00A83775">
                        <w:pPr>
                          <w:spacing w:line="240" w:lineRule="auto"/>
                          <w:rPr>
                            <w:rFonts w:ascii="Segoe UI" w:hAnsi="Segoe UI"/>
                            <w:b/>
                            <w:shadow/>
                            <w:color w:val="000000"/>
                            <w:szCs w:val="24"/>
                            <w:lang w:val="es-MX"/>
                          </w:rPr>
                        </w:pPr>
                      </w:p>
                    </w:txbxContent>
                  </v:textbox>
                </v:shape>
              </w:pict>
            </w:r>
          </w:p>
        </w:tc>
        <w:tc>
          <w:tcPr>
            <w:tcW w:w="6110" w:type="dxa"/>
          </w:tcPr>
          <w:p w:rsidR="00A83775" w:rsidRDefault="00A83775">
            <w:pPr>
              <w:pStyle w:val="SingleTxtGC"/>
              <w:tabs>
                <w:tab w:val="clear" w:pos="431"/>
                <w:tab w:val="clear" w:pos="1134"/>
                <w:tab w:val="clear" w:pos="1565"/>
                <w:tab w:val="clear" w:pos="1996"/>
                <w:tab w:val="clear" w:pos="2427"/>
                <w:tab w:val="left" w:pos="510"/>
              </w:tabs>
              <w:spacing w:before="120"/>
              <w:ind w:left="113" w:right="113"/>
              <w:rPr>
                <w:lang w:val="es-ES_tradnl"/>
              </w:rPr>
            </w:pPr>
            <w:r>
              <w:rPr>
                <w:lang w:val="es-ES_tradnl"/>
              </w:rPr>
              <w:t>1.</w:t>
            </w:r>
            <w:r>
              <w:rPr>
                <w:lang w:val="es-ES_tradnl"/>
              </w:rPr>
              <w:tab/>
            </w:r>
            <w:r>
              <w:rPr>
                <w:rFonts w:hint="eastAsia"/>
                <w:lang w:val="zh-CN"/>
              </w:rPr>
              <w:t>确定信息需求和获取</w:t>
            </w:r>
            <w:r>
              <w:rPr>
                <w:rFonts w:hint="eastAsia"/>
                <w:lang w:val="es-ES_tradnl"/>
              </w:rPr>
              <w:t>信息</w:t>
            </w:r>
            <w:r>
              <w:rPr>
                <w:rFonts w:hint="eastAsia"/>
                <w:lang w:val="zh-CN"/>
              </w:rPr>
              <w:t>的渠道。</w:t>
            </w:r>
          </w:p>
          <w:p w:rsidR="00A83775" w:rsidRDefault="00A83775">
            <w:pPr>
              <w:pStyle w:val="SingleTxtGC"/>
              <w:tabs>
                <w:tab w:val="clear" w:pos="1134"/>
              </w:tabs>
              <w:ind w:left="493" w:right="113"/>
              <w:rPr>
                <w:lang w:val="es-ES_tradnl"/>
              </w:rPr>
            </w:pPr>
            <w:r>
              <w:rPr>
                <w:rFonts w:hint="eastAsia"/>
                <w:lang w:val="zh-CN"/>
              </w:rPr>
              <w:t>应当编制一个包含委员会规定的报告编制指导方针的矩阵，在其中列明应当纳入报告中的信息，以反映出《公约》这一国际文书所承认的每一项权利。</w:t>
            </w:r>
          </w:p>
          <w:p w:rsidR="00A83775" w:rsidRDefault="00A83775">
            <w:pPr>
              <w:pStyle w:val="SingleTxtGC"/>
              <w:ind w:left="505" w:hanging="369"/>
              <w:rPr>
                <w:lang w:val="es-ES_tradnl"/>
              </w:rPr>
            </w:pPr>
            <w:r>
              <w:rPr>
                <w:lang w:val="es-ES_tradnl"/>
              </w:rPr>
              <w:t>2.</w:t>
            </w:r>
            <w:r>
              <w:rPr>
                <w:lang w:val="es-ES_tradnl"/>
              </w:rPr>
              <w:tab/>
            </w:r>
            <w:r>
              <w:rPr>
                <w:rFonts w:hint="eastAsia"/>
                <w:lang w:val="zh-CN"/>
              </w:rPr>
              <w:t>确定各实体之间的协作。</w:t>
            </w:r>
          </w:p>
          <w:p w:rsidR="00A83775" w:rsidRDefault="00A83775">
            <w:pPr>
              <w:pStyle w:val="SingleTxtGC"/>
              <w:tabs>
                <w:tab w:val="clear" w:pos="1134"/>
              </w:tabs>
              <w:ind w:left="510" w:right="113"/>
              <w:rPr>
                <w:lang w:val="es-ES_tradnl"/>
              </w:rPr>
            </w:pPr>
            <w:r>
              <w:rPr>
                <w:rFonts w:hint="eastAsia"/>
                <w:lang w:val="zh-CN"/>
              </w:rPr>
              <w:t>应当要求各州实体的最高权力当局指派一名代表担任本州内部信息收集的联络员，联络员有权按要求参加会议和讨论，在必要时与某领域的专家或技术人员接触，保持联络并邀请其到会讨论。</w:t>
            </w:r>
            <w:r>
              <w:rPr>
                <w:lang w:val="es-ES_tradnl"/>
              </w:rPr>
              <w:t xml:space="preserve"> </w:t>
            </w:r>
          </w:p>
          <w:p w:rsidR="00A83775" w:rsidRDefault="00A83775">
            <w:pPr>
              <w:pStyle w:val="SingleTxtGC"/>
              <w:tabs>
                <w:tab w:val="clear" w:pos="431"/>
                <w:tab w:val="clear" w:pos="1134"/>
                <w:tab w:val="clear" w:pos="1565"/>
                <w:tab w:val="clear" w:pos="1996"/>
                <w:tab w:val="clear" w:pos="2427"/>
                <w:tab w:val="left" w:pos="510"/>
              </w:tabs>
              <w:ind w:left="113" w:right="113"/>
              <w:rPr>
                <w:lang w:val="es-ES_tradnl"/>
              </w:rPr>
            </w:pPr>
            <w:r>
              <w:rPr>
                <w:lang w:val="es-ES_tradnl"/>
              </w:rPr>
              <w:t>3.</w:t>
            </w:r>
            <w:r>
              <w:rPr>
                <w:lang w:val="es-ES_tradnl"/>
              </w:rPr>
              <w:tab/>
            </w:r>
            <w:r>
              <w:rPr>
                <w:rFonts w:hint="eastAsia"/>
                <w:lang w:val="zh-CN"/>
              </w:rPr>
              <w:t>组织和开展第一次</w:t>
            </w:r>
            <w:r>
              <w:rPr>
                <w:rFonts w:hint="eastAsia"/>
                <w:lang w:val="es-ES_tradnl"/>
              </w:rPr>
              <w:t>工作会议</w:t>
            </w:r>
            <w:r>
              <w:rPr>
                <w:rFonts w:hint="eastAsia"/>
                <w:lang w:val="zh-CN"/>
              </w:rPr>
              <w:t>。</w:t>
            </w:r>
          </w:p>
          <w:p w:rsidR="00A83775" w:rsidRDefault="00A83775">
            <w:pPr>
              <w:pStyle w:val="SingleTxtGC"/>
              <w:tabs>
                <w:tab w:val="clear" w:pos="1134"/>
              </w:tabs>
              <w:ind w:left="510" w:right="113"/>
              <w:rPr>
                <w:lang w:val="es-ES_tradnl"/>
              </w:rPr>
            </w:pPr>
            <w:r>
              <w:rPr>
                <w:rFonts w:hint="eastAsia"/>
                <w:lang w:val="zh-CN"/>
              </w:rPr>
              <w:t>一旦确定了上述各方面的内容，即组织和开展第一次工作会议，在会上明确以下方面：</w:t>
            </w:r>
          </w:p>
          <w:p w:rsidR="00A83775" w:rsidRDefault="00A83775">
            <w:pPr>
              <w:pStyle w:val="SingleTxtGC"/>
              <w:tabs>
                <w:tab w:val="clear" w:pos="431"/>
                <w:tab w:val="clear" w:pos="1134"/>
                <w:tab w:val="clear" w:pos="1565"/>
                <w:tab w:val="clear" w:pos="1996"/>
                <w:tab w:val="clear" w:pos="2427"/>
                <w:tab w:val="left" w:pos="1376"/>
              </w:tabs>
              <w:ind w:left="510" w:right="113" w:firstLine="431"/>
              <w:rPr>
                <w:lang w:val="es-ES_tradnl"/>
              </w:rPr>
            </w:pPr>
            <w:r>
              <w:rPr>
                <w:lang w:val="es-ES_tradnl"/>
              </w:rPr>
              <w:t>a.</w:t>
            </w:r>
            <w:r>
              <w:rPr>
                <w:lang w:val="es-ES_tradnl"/>
              </w:rPr>
              <w:tab/>
            </w:r>
            <w:r>
              <w:rPr>
                <w:rFonts w:hint="eastAsia"/>
                <w:lang w:val="zh-CN"/>
              </w:rPr>
              <w:t>传达会议精神，阐明哥伦比亚作为缔约国应提交定期报告的义务。</w:t>
            </w:r>
          </w:p>
          <w:p w:rsidR="00A83775" w:rsidRDefault="00A83775">
            <w:pPr>
              <w:pStyle w:val="SingleTxtGC"/>
              <w:tabs>
                <w:tab w:val="clear" w:pos="431"/>
                <w:tab w:val="clear" w:pos="1134"/>
                <w:tab w:val="clear" w:pos="1565"/>
                <w:tab w:val="clear" w:pos="1996"/>
                <w:tab w:val="clear" w:pos="2427"/>
                <w:tab w:val="left" w:pos="1376"/>
              </w:tabs>
              <w:ind w:left="510" w:right="113" w:firstLine="431"/>
              <w:rPr>
                <w:lang w:val="es-ES_tradnl"/>
              </w:rPr>
            </w:pPr>
            <w:r>
              <w:rPr>
                <w:lang w:val="es-ES_tradnl"/>
              </w:rPr>
              <w:t>b.</w:t>
            </w:r>
            <w:r>
              <w:rPr>
                <w:lang w:val="es-ES_tradnl"/>
              </w:rPr>
              <w:tab/>
            </w:r>
            <w:r>
              <w:rPr>
                <w:rFonts w:hint="eastAsia"/>
                <w:lang w:val="zh-CN"/>
              </w:rPr>
              <w:t>对《公约》这一国际文书进行介绍，要求国内各州指派高级官员参与报告编制工作。</w:t>
            </w:r>
          </w:p>
          <w:p w:rsidR="00A83775" w:rsidRDefault="00A83775">
            <w:pPr>
              <w:pStyle w:val="SingleTxtGC"/>
              <w:tabs>
                <w:tab w:val="clear" w:pos="431"/>
                <w:tab w:val="clear" w:pos="1134"/>
                <w:tab w:val="clear" w:pos="1565"/>
                <w:tab w:val="clear" w:pos="1996"/>
                <w:tab w:val="clear" w:pos="2427"/>
                <w:tab w:val="left" w:pos="1376"/>
              </w:tabs>
              <w:ind w:left="510" w:right="113" w:firstLine="431"/>
              <w:rPr>
                <w:lang w:val="es-ES_tradnl"/>
              </w:rPr>
            </w:pPr>
            <w:r>
              <w:rPr>
                <w:lang w:val="es-ES_tradnl"/>
              </w:rPr>
              <w:t>c.</w:t>
            </w:r>
            <w:r>
              <w:rPr>
                <w:lang w:val="es-ES_tradnl"/>
              </w:rPr>
              <w:tab/>
            </w:r>
            <w:r>
              <w:rPr>
                <w:rFonts w:hint="eastAsia"/>
                <w:lang w:val="zh-CN"/>
              </w:rPr>
              <w:t>对最近一次提交给有关部门的报告内容做一下总体介绍，以明确编制工作的出发点。</w:t>
            </w:r>
          </w:p>
          <w:p w:rsidR="00A83775" w:rsidRDefault="00A83775">
            <w:pPr>
              <w:pStyle w:val="SingleTxtGC"/>
              <w:tabs>
                <w:tab w:val="clear" w:pos="431"/>
                <w:tab w:val="clear" w:pos="1134"/>
                <w:tab w:val="clear" w:pos="1565"/>
                <w:tab w:val="clear" w:pos="1996"/>
                <w:tab w:val="clear" w:pos="2427"/>
                <w:tab w:val="left" w:pos="1376"/>
              </w:tabs>
              <w:ind w:left="510" w:right="113" w:firstLine="431"/>
              <w:rPr>
                <w:lang w:val="es-ES_tradnl"/>
              </w:rPr>
            </w:pPr>
            <w:r>
              <w:rPr>
                <w:lang w:val="es-ES_tradnl"/>
              </w:rPr>
              <w:t>d.</w:t>
            </w:r>
            <w:r>
              <w:rPr>
                <w:lang w:val="es-ES_tradnl"/>
              </w:rPr>
              <w:tab/>
            </w:r>
            <w:r>
              <w:rPr>
                <w:rFonts w:hint="eastAsia"/>
                <w:lang w:val="zh-CN"/>
              </w:rPr>
              <w:t>介绍监管机构对缔约国提出的最新意见和建议，以及消除对妇女歧视委员会的总体建议。</w:t>
            </w:r>
          </w:p>
          <w:p w:rsidR="00A83775" w:rsidRDefault="00A83775">
            <w:pPr>
              <w:pStyle w:val="SingleTxtGC"/>
              <w:tabs>
                <w:tab w:val="clear" w:pos="431"/>
                <w:tab w:val="clear" w:pos="1134"/>
                <w:tab w:val="clear" w:pos="1565"/>
                <w:tab w:val="clear" w:pos="1996"/>
                <w:tab w:val="clear" w:pos="2427"/>
                <w:tab w:val="left" w:pos="1376"/>
              </w:tabs>
              <w:ind w:left="510" w:right="113" w:firstLine="431"/>
              <w:rPr>
                <w:lang w:val="es-ES_tradnl"/>
              </w:rPr>
            </w:pPr>
            <w:r>
              <w:rPr>
                <w:lang w:val="es-ES_tradnl"/>
              </w:rPr>
              <w:t>e.</w:t>
            </w:r>
            <w:r>
              <w:rPr>
                <w:lang w:val="es-ES_tradnl"/>
              </w:rPr>
              <w:tab/>
            </w:r>
            <w:r>
              <w:rPr>
                <w:rFonts w:hint="eastAsia"/>
                <w:lang w:val="zh-CN"/>
              </w:rPr>
              <w:t>介绍工作方法和工作时间表。</w:t>
            </w:r>
          </w:p>
          <w:p w:rsidR="00A83775" w:rsidRDefault="00A83775">
            <w:pPr>
              <w:pStyle w:val="SingleTxtGC"/>
              <w:tabs>
                <w:tab w:val="clear" w:pos="431"/>
                <w:tab w:val="clear" w:pos="1134"/>
                <w:tab w:val="clear" w:pos="1565"/>
                <w:tab w:val="clear" w:pos="1996"/>
                <w:tab w:val="clear" w:pos="2427"/>
                <w:tab w:val="left" w:pos="1376"/>
              </w:tabs>
              <w:ind w:left="510" w:right="113" w:firstLine="431"/>
              <w:rPr>
                <w:lang w:val="es-ES_tradnl"/>
              </w:rPr>
            </w:pPr>
            <w:r>
              <w:rPr>
                <w:lang w:val="es-ES_tradnl"/>
              </w:rPr>
              <w:t>f.</w:t>
            </w:r>
            <w:r>
              <w:rPr>
                <w:lang w:val="es-ES_tradnl"/>
              </w:rPr>
              <w:tab/>
            </w:r>
            <w:r>
              <w:rPr>
                <w:rFonts w:hint="eastAsia"/>
                <w:lang w:val="zh-CN"/>
              </w:rPr>
              <w:t>阐明每一个实体机关在报告编制工作中应承担的角色。</w:t>
            </w:r>
          </w:p>
          <w:p w:rsidR="00A83775" w:rsidRDefault="00A83775">
            <w:pPr>
              <w:pStyle w:val="SingleTxtGC"/>
              <w:tabs>
                <w:tab w:val="clear" w:pos="1134"/>
              </w:tabs>
              <w:ind w:left="510" w:right="113"/>
              <w:rPr>
                <w:lang w:val="en-GB"/>
              </w:rPr>
            </w:pPr>
            <w:r>
              <w:rPr>
                <w:rFonts w:hint="eastAsia"/>
                <w:lang w:val="zh-CN"/>
              </w:rPr>
              <w:t>（在这一阶段，可以要求得到联合国驻哥伦比亚人权高级专员办事处和</w:t>
            </w:r>
            <w:r>
              <w:rPr>
                <w:lang w:val="zh-CN"/>
              </w:rPr>
              <w:t>/</w:t>
            </w:r>
            <w:r>
              <w:rPr>
                <w:rFonts w:hint="eastAsia"/>
                <w:lang w:val="zh-CN"/>
              </w:rPr>
              <w:t>或其他联合国驻哥伦比亚机构的协助，以便其面向各实体机关帮助介绍与前文</w:t>
            </w:r>
            <w:r>
              <w:rPr>
                <w:lang w:val="zh-CN"/>
              </w:rPr>
              <w:t>a</w:t>
            </w:r>
            <w:r>
              <w:rPr>
                <w:rFonts w:hint="eastAsia"/>
                <w:lang w:val="zh-CN"/>
              </w:rPr>
              <w:t>、</w:t>
            </w:r>
            <w:r>
              <w:rPr>
                <w:lang w:val="zh-CN"/>
              </w:rPr>
              <w:t>b</w:t>
            </w:r>
            <w:r>
              <w:rPr>
                <w:rFonts w:hint="eastAsia"/>
                <w:lang w:val="zh-CN"/>
              </w:rPr>
              <w:t>和</w:t>
            </w:r>
            <w:r>
              <w:rPr>
                <w:lang w:val="zh-CN"/>
              </w:rPr>
              <w:t>d</w:t>
            </w:r>
            <w:r>
              <w:rPr>
                <w:rFonts w:hint="eastAsia"/>
                <w:lang w:val="zh-CN"/>
              </w:rPr>
              <w:t>款中有关的信息）。</w:t>
            </w:r>
          </w:p>
        </w:tc>
      </w:tr>
      <w:tr w:rsidR="00A83775">
        <w:trPr>
          <w:trHeight w:val="3584"/>
        </w:trPr>
        <w:tc>
          <w:tcPr>
            <w:tcW w:w="2340" w:type="dxa"/>
          </w:tcPr>
          <w:p w:rsidR="00A83775" w:rsidRDefault="00A83775">
            <w:pPr>
              <w:pStyle w:val="SingleTxtGC"/>
              <w:rPr>
                <w:lang w:val="es-ES"/>
              </w:rPr>
            </w:pPr>
            <w:r>
              <w:pict>
                <v:shape id="_x0000_s1093" type="#_x0000_t13" style="position:absolute;left:0;text-align:left;margin-left:.3pt;margin-top:2.55pt;width:105.75pt;height:158.95pt;z-index:3;mso-position-horizontal-relative:text;mso-position-vertical-relative:text" strokecolor="#92cddc" strokeweight="1pt">
                  <v:fill color2="#b6dde8" focusposition="1" focussize="" focus="100%" type="gradient"/>
                  <v:shadow on="t" type="perspective" color="#205867" opacity=".5" offset="1pt" offset2="-3pt"/>
                  <v:textbox style="mso-next-textbox:#_x0000_s1093">
                    <w:txbxContent>
                      <w:p w:rsidR="00A83775" w:rsidRDefault="00A83775">
                        <w:pPr>
                          <w:rPr>
                            <w:rFonts w:ascii="Arial Narrow" w:hAnsi="Arial Narrow"/>
                            <w:b/>
                            <w:szCs w:val="24"/>
                            <w:lang w:val="es-MX"/>
                          </w:rPr>
                        </w:pPr>
                      </w:p>
                      <w:p w:rsidR="00A83775" w:rsidRDefault="00A83775">
                        <w:pPr>
                          <w:rPr>
                            <w:rFonts w:ascii="SimHei" w:eastAsia="SimHei" w:hint="eastAsia"/>
                            <w:shadow/>
                            <w:color w:val="000000"/>
                            <w:szCs w:val="21"/>
                            <w:lang w:val="es-MX"/>
                          </w:rPr>
                        </w:pPr>
                        <w:r>
                          <w:rPr>
                            <w:rFonts w:ascii="SimHei" w:eastAsia="SimHei" w:hint="eastAsia"/>
                            <w:shadow/>
                            <w:noProof/>
                            <w:color w:val="000000"/>
                            <w:szCs w:val="21"/>
                            <w:lang w:val="es-MX"/>
                          </w:rPr>
                          <w:t>三、信息收集阶段</w:t>
                        </w:r>
                      </w:p>
                    </w:txbxContent>
                  </v:textbox>
                </v:shape>
              </w:pict>
            </w:r>
          </w:p>
        </w:tc>
        <w:tc>
          <w:tcPr>
            <w:tcW w:w="6110" w:type="dxa"/>
          </w:tcPr>
          <w:p w:rsidR="00A83775" w:rsidRDefault="00A83775">
            <w:pPr>
              <w:pStyle w:val="SingleTxtGC"/>
              <w:tabs>
                <w:tab w:val="clear" w:pos="431"/>
                <w:tab w:val="clear" w:pos="1134"/>
                <w:tab w:val="clear" w:pos="1565"/>
                <w:tab w:val="clear" w:pos="1996"/>
                <w:tab w:val="clear" w:pos="2427"/>
                <w:tab w:val="left" w:pos="510"/>
              </w:tabs>
              <w:spacing w:before="120"/>
              <w:ind w:left="113" w:right="113"/>
              <w:rPr>
                <w:lang w:val="es-ES_tradnl"/>
              </w:rPr>
            </w:pPr>
            <w:r>
              <w:rPr>
                <w:lang w:val="es-ES_tradnl"/>
              </w:rPr>
              <w:t>1.</w:t>
            </w:r>
            <w:r>
              <w:rPr>
                <w:lang w:val="es-ES_tradnl"/>
              </w:rPr>
              <w:tab/>
            </w:r>
            <w:r>
              <w:rPr>
                <w:rFonts w:hint="eastAsia"/>
                <w:lang w:val="zh-CN"/>
              </w:rPr>
              <w:t>编制并向每一家实体机关寄发信息专项申请书。</w:t>
            </w:r>
            <w:r>
              <w:rPr>
                <w:rFonts w:hint="eastAsia"/>
                <w:spacing w:val="-40"/>
              </w:rPr>
              <w:t>――</w:t>
            </w:r>
            <w:r>
              <w:rPr>
                <w:rFonts w:hint="eastAsia"/>
                <w:spacing w:val="-40"/>
              </w:rPr>
              <w:t xml:space="preserve"> </w:t>
            </w:r>
            <w:r>
              <w:rPr>
                <w:rFonts w:hint="eastAsia"/>
                <w:lang w:val="zh-CN"/>
              </w:rPr>
              <w:t>执行秘书处（在本信息收集阶段，执行秘书处负责承担四类工作）。</w:t>
            </w:r>
          </w:p>
          <w:p w:rsidR="00A83775" w:rsidRDefault="00A83775">
            <w:pPr>
              <w:pStyle w:val="SingleTxtGC"/>
              <w:tabs>
                <w:tab w:val="clear" w:pos="431"/>
                <w:tab w:val="clear" w:pos="1134"/>
                <w:tab w:val="clear" w:pos="1565"/>
                <w:tab w:val="clear" w:pos="1996"/>
                <w:tab w:val="clear" w:pos="2427"/>
                <w:tab w:val="left" w:pos="510"/>
              </w:tabs>
              <w:ind w:left="113" w:right="113"/>
              <w:rPr>
                <w:lang w:val="es-ES_tradnl"/>
              </w:rPr>
            </w:pPr>
            <w:r>
              <w:rPr>
                <w:lang w:val="es-ES_tradnl"/>
              </w:rPr>
              <w:t>2.</w:t>
            </w:r>
            <w:r>
              <w:rPr>
                <w:lang w:val="es-ES_tradnl"/>
              </w:rPr>
              <w:tab/>
            </w:r>
            <w:r>
              <w:rPr>
                <w:rFonts w:hint="eastAsia"/>
                <w:lang w:val="zh-CN"/>
              </w:rPr>
              <w:t>设计和应用数据资料</w:t>
            </w:r>
            <w:r>
              <w:rPr>
                <w:rFonts w:hint="eastAsia"/>
                <w:lang w:val="es-ES_tradnl"/>
              </w:rPr>
              <w:t>采集系统</w:t>
            </w:r>
            <w:r>
              <w:rPr>
                <w:rFonts w:hint="eastAsia"/>
                <w:lang w:val="zh-CN"/>
              </w:rPr>
              <w:t>。</w:t>
            </w:r>
          </w:p>
          <w:p w:rsidR="00A83775" w:rsidRDefault="00A83775">
            <w:pPr>
              <w:pStyle w:val="SingleTxtGC"/>
              <w:tabs>
                <w:tab w:val="clear" w:pos="431"/>
                <w:tab w:val="clear" w:pos="1134"/>
                <w:tab w:val="clear" w:pos="1565"/>
                <w:tab w:val="clear" w:pos="1996"/>
                <w:tab w:val="clear" w:pos="2427"/>
                <w:tab w:val="left" w:pos="510"/>
              </w:tabs>
              <w:ind w:left="113" w:right="113"/>
              <w:rPr>
                <w:lang w:val="es-ES_tradnl"/>
              </w:rPr>
            </w:pPr>
            <w:r>
              <w:rPr>
                <w:lang w:val="es-ES_tradnl"/>
              </w:rPr>
              <w:t>3.</w:t>
            </w:r>
            <w:r>
              <w:rPr>
                <w:lang w:val="es-ES_tradnl"/>
              </w:rPr>
              <w:tab/>
            </w:r>
            <w:r>
              <w:rPr>
                <w:rFonts w:hint="eastAsia"/>
                <w:lang w:val="zh-CN"/>
              </w:rPr>
              <w:t>信息的收集和编撰工作，</w:t>
            </w:r>
            <w:r>
              <w:rPr>
                <w:rFonts w:hint="eastAsia"/>
                <w:lang w:val="es-ES_tradnl"/>
              </w:rPr>
              <w:t>包括</w:t>
            </w:r>
            <w:r>
              <w:rPr>
                <w:rFonts w:hint="eastAsia"/>
                <w:lang w:val="zh-CN"/>
              </w:rPr>
              <w:t>对建议的后续跟踪。</w:t>
            </w:r>
          </w:p>
          <w:p w:rsidR="00A83775" w:rsidRDefault="00A83775">
            <w:pPr>
              <w:pStyle w:val="SingleTxtGC"/>
              <w:tabs>
                <w:tab w:val="clear" w:pos="431"/>
                <w:tab w:val="clear" w:pos="1134"/>
                <w:tab w:val="clear" w:pos="1565"/>
                <w:tab w:val="clear" w:pos="1996"/>
                <w:tab w:val="clear" w:pos="2427"/>
                <w:tab w:val="left" w:pos="510"/>
              </w:tabs>
              <w:ind w:left="113" w:right="113"/>
              <w:rPr>
                <w:lang w:val="es-ES_tradnl"/>
              </w:rPr>
            </w:pPr>
            <w:r>
              <w:rPr>
                <w:lang w:val="es-ES_tradnl"/>
              </w:rPr>
              <w:t>4.</w:t>
            </w:r>
            <w:r>
              <w:rPr>
                <w:lang w:val="es-ES_tradnl"/>
              </w:rPr>
              <w:tab/>
            </w:r>
            <w:r>
              <w:rPr>
                <w:rFonts w:hint="eastAsia"/>
                <w:lang w:val="zh-CN"/>
              </w:rPr>
              <w:t>信息工作的强化。</w:t>
            </w:r>
            <w:r>
              <w:rPr>
                <w:lang w:val="es-ES_tradnl"/>
              </w:rPr>
              <w:t xml:space="preserve"> </w:t>
            </w:r>
          </w:p>
          <w:p w:rsidR="00A83775" w:rsidRDefault="00A83775">
            <w:pPr>
              <w:pStyle w:val="SingleTxtGC"/>
              <w:tabs>
                <w:tab w:val="clear" w:pos="1134"/>
              </w:tabs>
              <w:ind w:left="510" w:right="113"/>
              <w:rPr>
                <w:lang w:val="en-GB"/>
              </w:rPr>
            </w:pPr>
            <w:r>
              <w:rPr>
                <w:rFonts w:hint="eastAsia"/>
                <w:lang w:val="zh-CN"/>
              </w:rPr>
              <w:t>此时可采集来自于非政府组织和其他非政府行为方的与报告编制有关的信息。</w:t>
            </w:r>
          </w:p>
        </w:tc>
      </w:tr>
      <w:tr w:rsidR="00A83775">
        <w:trPr>
          <w:trHeight w:val="4304"/>
        </w:trPr>
        <w:tc>
          <w:tcPr>
            <w:tcW w:w="2340" w:type="dxa"/>
          </w:tcPr>
          <w:p w:rsidR="00A83775" w:rsidRDefault="00A83775">
            <w:pPr>
              <w:pStyle w:val="SingleTxtGC"/>
              <w:rPr>
                <w:lang w:val="es-ES"/>
              </w:rPr>
            </w:pPr>
            <w:r>
              <w:pict>
                <v:shape id="_x0000_s1094" type="#_x0000_t13" style="position:absolute;left:0;text-align:left;margin-left:.35pt;margin-top:2.55pt;width:105.9pt;height:194.2pt;z-index:4;mso-position-horizontal-relative:text;mso-position-vertical-relative:text" strokecolor="#fabf8f" strokeweight="1pt">
                  <v:fill color2="#fbd4b4" focusposition="1" focussize="" focus="100%" type="gradient"/>
                  <v:shadow on="t" type="perspective" color="#974706" opacity=".5" offset="1pt" offset2="-3pt"/>
                  <v:textbox style="mso-next-textbox:#_x0000_s1094">
                    <w:txbxContent>
                      <w:p w:rsidR="00A83775" w:rsidRDefault="00A83775">
                        <w:pPr>
                          <w:rPr>
                            <w:b/>
                            <w:shadow/>
                            <w:color w:val="000000"/>
                            <w:szCs w:val="24"/>
                            <w:lang w:val="es-MX"/>
                          </w:rPr>
                        </w:pPr>
                      </w:p>
                      <w:p w:rsidR="00A83775" w:rsidRDefault="00A83775">
                        <w:pPr>
                          <w:rPr>
                            <w:b/>
                            <w:shadow/>
                            <w:color w:val="000000"/>
                            <w:szCs w:val="24"/>
                            <w:lang w:val="es-MX"/>
                          </w:rPr>
                        </w:pPr>
                      </w:p>
                      <w:p w:rsidR="00A83775" w:rsidRDefault="00A83775">
                        <w:pPr>
                          <w:rPr>
                            <w:rFonts w:ascii="SimHei" w:eastAsia="SimHei" w:hint="eastAsia"/>
                            <w:shadow/>
                            <w:color w:val="000000"/>
                            <w:szCs w:val="21"/>
                            <w:lang w:val="es-MX"/>
                          </w:rPr>
                        </w:pPr>
                        <w:r>
                          <w:rPr>
                            <w:rFonts w:ascii="SimHei" w:eastAsia="SimHei" w:hint="eastAsia"/>
                            <w:shadow/>
                            <w:noProof/>
                            <w:color w:val="000000"/>
                            <w:szCs w:val="21"/>
                            <w:lang w:val="es-MX"/>
                          </w:rPr>
                          <w:t>四、信息分析阶段</w:t>
                        </w:r>
                      </w:p>
                    </w:txbxContent>
                  </v:textbox>
                </v:shape>
              </w:pict>
            </w:r>
          </w:p>
          <w:p w:rsidR="00A83775" w:rsidRDefault="00A83775">
            <w:pPr>
              <w:pStyle w:val="SingleTxtGC"/>
              <w:rPr>
                <w:lang w:val="es-ES"/>
              </w:rPr>
            </w:pPr>
          </w:p>
          <w:p w:rsidR="00A83775" w:rsidRDefault="00A83775">
            <w:pPr>
              <w:pStyle w:val="SingleTxtGC"/>
              <w:numPr>
                <w:ilvl w:val="0"/>
                <w:numId w:val="6"/>
              </w:numPr>
              <w:rPr>
                <w:lang w:val="es-ES"/>
              </w:rPr>
            </w:pPr>
          </w:p>
          <w:p w:rsidR="00A83775" w:rsidRDefault="00A83775">
            <w:pPr>
              <w:pStyle w:val="SingleTxtGC"/>
              <w:numPr>
                <w:ilvl w:val="0"/>
                <w:numId w:val="6"/>
              </w:numPr>
              <w:rPr>
                <w:lang w:val="es-ES"/>
              </w:rPr>
            </w:pPr>
          </w:p>
          <w:p w:rsidR="00A83775" w:rsidRDefault="00A83775">
            <w:pPr>
              <w:pStyle w:val="SingleTxtGC"/>
              <w:numPr>
                <w:ilvl w:val="0"/>
                <w:numId w:val="6"/>
              </w:numPr>
              <w:rPr>
                <w:lang w:val="es-ES"/>
              </w:rPr>
            </w:pPr>
          </w:p>
          <w:p w:rsidR="00A83775" w:rsidRDefault="00A83775">
            <w:pPr>
              <w:pStyle w:val="SingleTxtGC"/>
              <w:numPr>
                <w:ilvl w:val="0"/>
                <w:numId w:val="6"/>
              </w:numPr>
              <w:rPr>
                <w:lang w:val="es-ES"/>
              </w:rPr>
            </w:pPr>
          </w:p>
          <w:p w:rsidR="00A83775" w:rsidRDefault="00A83775">
            <w:pPr>
              <w:pStyle w:val="SingleTxtGC"/>
              <w:numPr>
                <w:ilvl w:val="0"/>
                <w:numId w:val="6"/>
              </w:numPr>
              <w:rPr>
                <w:lang w:val="es-ES"/>
              </w:rPr>
            </w:pPr>
          </w:p>
          <w:p w:rsidR="00A83775" w:rsidRDefault="00A83775">
            <w:pPr>
              <w:pStyle w:val="SingleTxtGC"/>
              <w:rPr>
                <w:lang w:val="es-ES"/>
              </w:rPr>
            </w:pPr>
          </w:p>
        </w:tc>
        <w:tc>
          <w:tcPr>
            <w:tcW w:w="6110" w:type="dxa"/>
          </w:tcPr>
          <w:p w:rsidR="00A83775" w:rsidRDefault="00A83775">
            <w:pPr>
              <w:pStyle w:val="SingleTxtGC"/>
              <w:tabs>
                <w:tab w:val="clear" w:pos="431"/>
                <w:tab w:val="clear" w:pos="1134"/>
                <w:tab w:val="clear" w:pos="1565"/>
                <w:tab w:val="clear" w:pos="1996"/>
                <w:tab w:val="clear" w:pos="2427"/>
                <w:tab w:val="left" w:pos="510"/>
              </w:tabs>
              <w:spacing w:before="120"/>
              <w:ind w:left="113" w:right="113"/>
              <w:rPr>
                <w:lang w:val="es-ES_tradnl"/>
              </w:rPr>
            </w:pPr>
            <w:r>
              <w:rPr>
                <w:lang w:val="es-ES_tradnl"/>
              </w:rPr>
              <w:t>1.</w:t>
            </w:r>
            <w:r>
              <w:rPr>
                <w:lang w:val="es-ES_tradnl"/>
              </w:rPr>
              <w:tab/>
            </w:r>
            <w:r>
              <w:rPr>
                <w:rFonts w:hint="eastAsia"/>
                <w:lang w:val="zh-CN"/>
              </w:rPr>
              <w:t>对收集整理的信息进行分析和比较论证</w:t>
            </w:r>
            <w:r>
              <w:rPr>
                <w:rFonts w:hint="eastAsia"/>
                <w:spacing w:val="-50"/>
              </w:rPr>
              <w:t>―</w:t>
            </w:r>
            <w:r>
              <w:rPr>
                <w:rFonts w:hint="eastAsia"/>
              </w:rPr>
              <w:t>―</w:t>
            </w:r>
            <w:r>
              <w:rPr>
                <w:rFonts w:hint="eastAsia"/>
                <w:lang w:val="es-ES_tradnl"/>
              </w:rPr>
              <w:t>执行</w:t>
            </w:r>
            <w:r>
              <w:rPr>
                <w:rFonts w:hint="eastAsia"/>
                <w:lang w:val="zh-CN"/>
              </w:rPr>
              <w:t>秘书处。</w:t>
            </w:r>
          </w:p>
          <w:p w:rsidR="00A83775" w:rsidRDefault="00A83775">
            <w:pPr>
              <w:pStyle w:val="SingleTxtGC"/>
              <w:tabs>
                <w:tab w:val="clear" w:pos="431"/>
                <w:tab w:val="clear" w:pos="1134"/>
                <w:tab w:val="clear" w:pos="1565"/>
                <w:tab w:val="clear" w:pos="1996"/>
                <w:tab w:val="clear" w:pos="2427"/>
                <w:tab w:val="left" w:pos="510"/>
              </w:tabs>
              <w:ind w:left="113" w:right="113"/>
              <w:rPr>
                <w:lang w:val="es-ES_tradnl"/>
              </w:rPr>
            </w:pPr>
            <w:r>
              <w:rPr>
                <w:lang w:val="es-ES_tradnl"/>
              </w:rPr>
              <w:t>2.</w:t>
            </w:r>
            <w:r>
              <w:rPr>
                <w:lang w:val="es-ES_tradnl"/>
              </w:rPr>
              <w:tab/>
            </w:r>
            <w:r>
              <w:rPr>
                <w:rFonts w:hint="eastAsia"/>
                <w:lang w:val="zh-CN"/>
              </w:rPr>
              <w:t>针对各类主题开办信息分析会议。</w:t>
            </w:r>
          </w:p>
          <w:p w:rsidR="00A83775" w:rsidRDefault="00A83775">
            <w:pPr>
              <w:pStyle w:val="SingleTxtGC"/>
              <w:tabs>
                <w:tab w:val="clear" w:pos="1134"/>
              </w:tabs>
              <w:ind w:left="510" w:right="113"/>
              <w:rPr>
                <w:lang w:val="es-ES_tradnl"/>
              </w:rPr>
            </w:pPr>
            <w:r>
              <w:rPr>
                <w:rFonts w:hint="eastAsia"/>
                <w:lang w:val="zh-CN"/>
              </w:rPr>
              <w:t>在信息分析会议上，通过所有相关部门实体的参与，力求能够对逐步纳入到报告中的信息进行分析和评估，确保信息可靠、适用和切题，并力求使从各类渠道得到的信息都被纳入到所对应的主题中，克服数据或指标不同或不具可比性的挑战，根据需要介绍计划用于克服上述问题的方案，或对在解决此类挑战以及其他方面遇到的困难作出解释。</w:t>
            </w:r>
          </w:p>
          <w:p w:rsidR="00A83775" w:rsidRDefault="00A83775">
            <w:pPr>
              <w:pStyle w:val="SingleTxtGC"/>
              <w:tabs>
                <w:tab w:val="clear" w:pos="1134"/>
              </w:tabs>
              <w:ind w:left="510" w:right="113"/>
              <w:rPr>
                <w:lang w:val="en-GB"/>
              </w:rPr>
            </w:pPr>
            <w:r>
              <w:rPr>
                <w:rFonts w:hint="eastAsia"/>
                <w:lang w:val="zh-CN"/>
              </w:rPr>
              <w:t>需要指出的是，在整个报告编制过程中，应当考虑到委员会向缔约国提出的最新结论和建议。执行秘书处应力争让全体有关部门参与其中。</w:t>
            </w:r>
          </w:p>
        </w:tc>
      </w:tr>
      <w:tr w:rsidR="00A83775">
        <w:tc>
          <w:tcPr>
            <w:tcW w:w="2340" w:type="dxa"/>
          </w:tcPr>
          <w:p w:rsidR="00A83775" w:rsidRDefault="00A83775">
            <w:pPr>
              <w:pStyle w:val="SingleTxtGC"/>
              <w:rPr>
                <w:lang w:val="es-ES"/>
              </w:rPr>
            </w:pPr>
            <w:r>
              <w:pict>
                <v:shape id="_x0000_s1095" type="#_x0000_t13" style="position:absolute;left:0;text-align:left;margin-left:.3pt;margin-top:2.55pt;width:103.25pt;height:188.9pt;z-index:5;mso-position-horizontal-relative:text;mso-position-vertical-relative:text" fillcolor="#95b3d7" strokecolor="#95b3d7" strokeweight="1pt">
                  <v:fill color2="#dbe5f1" angle="-45" focus="-50%" type="gradient"/>
                  <v:shadow on="t" type="perspective" color="#243f60" opacity=".5" offset="1pt" offset2="-3pt"/>
                  <v:textbox style="mso-next-textbox:#_x0000_s1095">
                    <w:txbxContent>
                      <w:p w:rsidR="00A83775" w:rsidRDefault="00A83775">
                        <w:pPr>
                          <w:rPr>
                            <w:rFonts w:ascii="Arial Narrow" w:hAnsi="Arial Narrow"/>
                            <w:b/>
                            <w:szCs w:val="24"/>
                            <w:lang w:val="es-MX"/>
                          </w:rPr>
                        </w:pPr>
                      </w:p>
                      <w:p w:rsidR="00A83775" w:rsidRDefault="00A83775">
                        <w:pPr>
                          <w:spacing w:before="360" w:line="240" w:lineRule="auto"/>
                          <w:rPr>
                            <w:rFonts w:ascii="SimHei" w:eastAsia="SimHei"/>
                            <w:shadow/>
                            <w:noProof/>
                            <w:color w:val="000000"/>
                            <w:szCs w:val="21"/>
                            <w:lang w:val="es-MX"/>
                          </w:rPr>
                        </w:pPr>
                        <w:r>
                          <w:rPr>
                            <w:rFonts w:ascii="SimHei" w:eastAsia="SimHei" w:hint="eastAsia"/>
                            <w:shadow/>
                            <w:noProof/>
                            <w:color w:val="000000"/>
                            <w:szCs w:val="21"/>
                            <w:lang w:val="es-MX"/>
                          </w:rPr>
                          <w:t>五、报告编制阶段</w:t>
                        </w:r>
                      </w:p>
                    </w:txbxContent>
                  </v:textbox>
                </v:shape>
              </w:pict>
            </w:r>
          </w:p>
          <w:p w:rsidR="00A83775" w:rsidRDefault="00A83775">
            <w:pPr>
              <w:pStyle w:val="SingleTxtGC"/>
              <w:rPr>
                <w:lang w:val="es-ES"/>
              </w:rPr>
            </w:pPr>
          </w:p>
          <w:p w:rsidR="00A83775" w:rsidRDefault="00A83775">
            <w:pPr>
              <w:pStyle w:val="SingleTxtGC"/>
              <w:numPr>
                <w:ilvl w:val="0"/>
                <w:numId w:val="6"/>
              </w:numPr>
              <w:rPr>
                <w:lang w:val="es-ES"/>
              </w:rPr>
            </w:pPr>
          </w:p>
          <w:p w:rsidR="00A83775" w:rsidRDefault="00A83775">
            <w:pPr>
              <w:pStyle w:val="SingleTxtGC"/>
              <w:numPr>
                <w:ilvl w:val="0"/>
                <w:numId w:val="6"/>
              </w:numPr>
              <w:rPr>
                <w:lang w:val="es-ES"/>
              </w:rPr>
            </w:pPr>
          </w:p>
          <w:p w:rsidR="00A83775" w:rsidRDefault="00A83775">
            <w:pPr>
              <w:pStyle w:val="SingleTxtGC"/>
              <w:numPr>
                <w:ilvl w:val="0"/>
                <w:numId w:val="6"/>
              </w:numPr>
              <w:rPr>
                <w:lang w:val="es-ES"/>
              </w:rPr>
            </w:pPr>
          </w:p>
          <w:p w:rsidR="00A83775" w:rsidRDefault="00A83775">
            <w:pPr>
              <w:pStyle w:val="SingleTxtGC"/>
              <w:numPr>
                <w:ilvl w:val="0"/>
                <w:numId w:val="6"/>
              </w:numPr>
              <w:rPr>
                <w:lang w:val="es-ES"/>
              </w:rPr>
            </w:pPr>
          </w:p>
          <w:p w:rsidR="00A83775" w:rsidRDefault="00A83775">
            <w:pPr>
              <w:pStyle w:val="SingleTxtGC"/>
              <w:numPr>
                <w:ilvl w:val="0"/>
                <w:numId w:val="6"/>
              </w:numPr>
              <w:rPr>
                <w:lang w:val="es-ES"/>
              </w:rPr>
            </w:pPr>
          </w:p>
          <w:p w:rsidR="00A83775" w:rsidRDefault="00A83775">
            <w:pPr>
              <w:pStyle w:val="SingleTxtGC"/>
              <w:rPr>
                <w:lang w:val="es-ES"/>
              </w:rPr>
            </w:pPr>
          </w:p>
        </w:tc>
        <w:tc>
          <w:tcPr>
            <w:tcW w:w="6110" w:type="dxa"/>
          </w:tcPr>
          <w:p w:rsidR="00A83775" w:rsidRDefault="00A83775">
            <w:pPr>
              <w:pStyle w:val="SingleTxtGC"/>
              <w:tabs>
                <w:tab w:val="clear" w:pos="431"/>
                <w:tab w:val="clear" w:pos="1134"/>
                <w:tab w:val="clear" w:pos="1565"/>
                <w:tab w:val="clear" w:pos="1996"/>
                <w:tab w:val="clear" w:pos="2427"/>
                <w:tab w:val="left" w:pos="510"/>
              </w:tabs>
              <w:spacing w:before="120"/>
              <w:ind w:left="113" w:right="113"/>
              <w:rPr>
                <w:lang w:val="es-ES_tradnl"/>
              </w:rPr>
            </w:pPr>
            <w:r>
              <w:rPr>
                <w:lang w:val="es-ES_tradnl"/>
              </w:rPr>
              <w:t>1.</w:t>
            </w:r>
            <w:r>
              <w:rPr>
                <w:lang w:val="es-ES_tradnl"/>
              </w:rPr>
              <w:tab/>
            </w:r>
            <w:r>
              <w:rPr>
                <w:rFonts w:hint="eastAsia"/>
                <w:lang w:val="zh-CN"/>
              </w:rPr>
              <w:t>报告初稿的编制。</w:t>
            </w:r>
          </w:p>
          <w:p w:rsidR="00A83775" w:rsidRDefault="00A83775">
            <w:pPr>
              <w:pStyle w:val="SingleTxtGC"/>
              <w:tabs>
                <w:tab w:val="clear" w:pos="1134"/>
              </w:tabs>
              <w:ind w:left="510" w:right="113"/>
              <w:rPr>
                <w:lang w:val="es-ES_tradnl"/>
              </w:rPr>
            </w:pPr>
            <w:r>
              <w:rPr>
                <w:rFonts w:hint="eastAsia"/>
                <w:lang w:val="zh-CN"/>
              </w:rPr>
              <w:t>执行秘书处</w:t>
            </w:r>
          </w:p>
          <w:p w:rsidR="00A83775" w:rsidRDefault="00A83775">
            <w:pPr>
              <w:pStyle w:val="SingleTxtGC"/>
              <w:tabs>
                <w:tab w:val="clear" w:pos="431"/>
                <w:tab w:val="clear" w:pos="1134"/>
                <w:tab w:val="clear" w:pos="1565"/>
                <w:tab w:val="clear" w:pos="1996"/>
                <w:tab w:val="clear" w:pos="2427"/>
                <w:tab w:val="left" w:pos="510"/>
              </w:tabs>
              <w:ind w:left="113" w:right="113"/>
              <w:rPr>
                <w:rFonts w:hint="eastAsia"/>
                <w:lang w:val="es-ES_tradnl"/>
              </w:rPr>
            </w:pPr>
            <w:r>
              <w:rPr>
                <w:lang w:val="es-ES_tradnl"/>
              </w:rPr>
              <w:t>2.</w:t>
            </w:r>
            <w:r>
              <w:rPr>
                <w:lang w:val="es-ES_tradnl"/>
              </w:rPr>
              <w:tab/>
            </w:r>
            <w:r>
              <w:rPr>
                <w:rFonts w:hint="eastAsia"/>
                <w:lang w:val="zh-CN"/>
              </w:rPr>
              <w:t>将报告初稿分发给各实体机关</w:t>
            </w:r>
            <w:r>
              <w:rPr>
                <w:rFonts w:hint="eastAsia"/>
                <w:lang w:val="es-ES_tradnl"/>
              </w:rPr>
              <w:t>。</w:t>
            </w:r>
          </w:p>
          <w:p w:rsidR="00A83775" w:rsidRDefault="00A83775">
            <w:pPr>
              <w:pStyle w:val="SingleTxtGC"/>
              <w:tabs>
                <w:tab w:val="clear" w:pos="431"/>
                <w:tab w:val="clear" w:pos="1134"/>
                <w:tab w:val="clear" w:pos="1565"/>
                <w:tab w:val="clear" w:pos="1996"/>
                <w:tab w:val="clear" w:pos="2427"/>
                <w:tab w:val="left" w:pos="510"/>
              </w:tabs>
              <w:ind w:left="113" w:right="113"/>
              <w:rPr>
                <w:lang w:val="es-ES_tradnl"/>
              </w:rPr>
            </w:pPr>
            <w:r>
              <w:rPr>
                <w:lang w:val="es-ES_tradnl"/>
              </w:rPr>
              <w:t>3.</w:t>
            </w:r>
            <w:r>
              <w:rPr>
                <w:lang w:val="es-ES_tradnl"/>
              </w:rPr>
              <w:tab/>
            </w:r>
            <w:r>
              <w:rPr>
                <w:rFonts w:hint="eastAsia"/>
                <w:lang w:val="zh-CN"/>
              </w:rPr>
              <w:t>召开机构间会议，提交报告初稿。由执行秘书处负责组织召开会议，所有相关实体机关均参与其中。</w:t>
            </w:r>
          </w:p>
          <w:p w:rsidR="00A83775" w:rsidRDefault="00A83775">
            <w:pPr>
              <w:pStyle w:val="SingleTxtGC"/>
              <w:tabs>
                <w:tab w:val="clear" w:pos="431"/>
                <w:tab w:val="clear" w:pos="1134"/>
                <w:tab w:val="clear" w:pos="1565"/>
                <w:tab w:val="clear" w:pos="1996"/>
                <w:tab w:val="clear" w:pos="2427"/>
                <w:tab w:val="left" w:pos="510"/>
              </w:tabs>
              <w:ind w:left="113" w:right="113"/>
              <w:rPr>
                <w:lang w:val="es-ES_tradnl"/>
              </w:rPr>
            </w:pPr>
            <w:r>
              <w:rPr>
                <w:lang w:val="es-ES_tradnl"/>
              </w:rPr>
              <w:t>4.</w:t>
            </w:r>
            <w:r>
              <w:rPr>
                <w:lang w:val="es-ES_tradnl"/>
              </w:rPr>
              <w:tab/>
            </w:r>
            <w:r>
              <w:rPr>
                <w:rFonts w:hint="eastAsia"/>
                <w:lang w:val="zh-CN"/>
              </w:rPr>
              <w:t>由执行秘书处对初稿文本进行第一轮审议，由报告中涉及的主题领域的主管机关对文本进行第二轮审议。</w:t>
            </w:r>
          </w:p>
          <w:p w:rsidR="00A83775" w:rsidRDefault="00A83775">
            <w:pPr>
              <w:pStyle w:val="SingleTxtGC"/>
              <w:tabs>
                <w:tab w:val="clear" w:pos="431"/>
                <w:tab w:val="clear" w:pos="1134"/>
                <w:tab w:val="clear" w:pos="1565"/>
                <w:tab w:val="clear" w:pos="1996"/>
                <w:tab w:val="clear" w:pos="2427"/>
                <w:tab w:val="left" w:pos="510"/>
              </w:tabs>
              <w:ind w:left="113" w:right="113"/>
              <w:rPr>
                <w:lang w:val="es-ES_tradnl"/>
              </w:rPr>
            </w:pPr>
            <w:r>
              <w:rPr>
                <w:lang w:val="es-ES_tradnl"/>
              </w:rPr>
              <w:t>5.</w:t>
            </w:r>
            <w:r>
              <w:rPr>
                <w:lang w:val="es-ES_tradnl"/>
              </w:rPr>
              <w:tab/>
            </w:r>
            <w:r>
              <w:rPr>
                <w:rFonts w:hint="eastAsia"/>
                <w:lang w:val="zh-CN"/>
              </w:rPr>
              <w:t>对初稿进行调整修订并编制最终报告</w:t>
            </w:r>
          </w:p>
          <w:p w:rsidR="00A83775" w:rsidRDefault="00A83775">
            <w:pPr>
              <w:pStyle w:val="SingleTxtGC"/>
              <w:tabs>
                <w:tab w:val="clear" w:pos="431"/>
                <w:tab w:val="clear" w:pos="1134"/>
                <w:tab w:val="clear" w:pos="1565"/>
                <w:tab w:val="clear" w:pos="1996"/>
                <w:tab w:val="clear" w:pos="2427"/>
                <w:tab w:val="left" w:pos="510"/>
              </w:tabs>
              <w:ind w:left="113" w:right="113"/>
              <w:rPr>
                <w:lang w:val="es-ES_tradnl"/>
              </w:rPr>
            </w:pPr>
            <w:r>
              <w:rPr>
                <w:lang w:val="es-ES_tradnl"/>
              </w:rPr>
              <w:t>6.</w:t>
            </w:r>
            <w:r>
              <w:rPr>
                <w:lang w:val="es-ES_tradnl"/>
              </w:rPr>
              <w:tab/>
            </w:r>
            <w:r>
              <w:rPr>
                <w:rFonts w:hint="eastAsia"/>
                <w:lang w:val="zh-CN"/>
              </w:rPr>
              <w:t>报告的核准：</w:t>
            </w:r>
          </w:p>
          <w:p w:rsidR="00A83775" w:rsidRDefault="00A83775">
            <w:pPr>
              <w:pStyle w:val="SingleTxtGC"/>
              <w:tabs>
                <w:tab w:val="clear" w:pos="431"/>
                <w:tab w:val="clear" w:pos="1134"/>
                <w:tab w:val="clear" w:pos="1565"/>
                <w:tab w:val="clear" w:pos="1996"/>
                <w:tab w:val="clear" w:pos="2427"/>
              </w:tabs>
              <w:ind w:left="533"/>
              <w:rPr>
                <w:lang w:val="en-GB"/>
              </w:rPr>
            </w:pPr>
            <w:r>
              <w:rPr>
                <w:rFonts w:hint="eastAsia"/>
                <w:lang w:val="zh-CN"/>
              </w:rPr>
              <w:t>由组成执行秘书处的各部门机关的最高主管机构在外交部的全程参与下对报告进行核准。</w:t>
            </w:r>
          </w:p>
        </w:tc>
      </w:tr>
      <w:tr w:rsidR="00A83775">
        <w:trPr>
          <w:trHeight w:val="6644"/>
        </w:trPr>
        <w:tc>
          <w:tcPr>
            <w:tcW w:w="2340" w:type="dxa"/>
          </w:tcPr>
          <w:p w:rsidR="00A83775" w:rsidRDefault="00A83775">
            <w:pPr>
              <w:pStyle w:val="SingleTxtGC"/>
              <w:rPr>
                <w:lang w:val="es-ES"/>
              </w:rPr>
            </w:pPr>
            <w:r>
              <w:pict>
                <v:shape id="_x0000_s1096" type="#_x0000_t13" style="position:absolute;left:0;text-align:left;margin-left:.3pt;margin-top:2.55pt;width:103.25pt;height:3in;z-index:6;mso-position-horizontal-relative:text;mso-position-vertical-relative:text" strokecolor="#d99594" strokeweight="1pt">
                  <v:fill color2="#e5b8b7" focusposition="1" focussize="" focus="100%" type="gradient"/>
                  <v:shadow on="t" type="perspective" color="#622423" opacity=".5" offset="1pt" offset2="-3pt"/>
                  <v:textbox style="mso-next-textbox:#_x0000_s1096">
                    <w:txbxContent>
                      <w:p w:rsidR="00A83775" w:rsidRDefault="00A83775">
                        <w:pPr>
                          <w:rPr>
                            <w:rFonts w:ascii="Arial Narrow" w:hAnsi="Arial Narrow"/>
                            <w:b/>
                            <w:szCs w:val="24"/>
                            <w:lang w:val="es-MX"/>
                          </w:rPr>
                        </w:pPr>
                      </w:p>
                      <w:p w:rsidR="00A83775" w:rsidRDefault="00A83775">
                        <w:pPr>
                          <w:rPr>
                            <w:rFonts w:ascii="SimHei" w:eastAsia="SimHei" w:hint="eastAsia"/>
                            <w:shadow/>
                            <w:szCs w:val="21"/>
                            <w:lang w:val="es-MX"/>
                          </w:rPr>
                        </w:pPr>
                        <w:r>
                          <w:rPr>
                            <w:rFonts w:ascii="SimHei" w:eastAsia="SimHei" w:hint="eastAsia"/>
                            <w:shadow/>
                            <w:noProof/>
                            <w:szCs w:val="21"/>
                            <w:lang w:val="es-MX"/>
                          </w:rPr>
                          <w:t>六、提交报告</w:t>
                        </w:r>
                        <w:r>
                          <w:rPr>
                            <w:rFonts w:ascii="SimHei" w:eastAsia="SimHei" w:hint="eastAsia"/>
                            <w:shadow/>
                            <w:szCs w:val="21"/>
                            <w:lang w:val="es-MX"/>
                          </w:rPr>
                          <w:t xml:space="preserve"> </w:t>
                        </w:r>
                      </w:p>
                      <w:p w:rsidR="00A83775" w:rsidRDefault="00A83775">
                        <w:pPr>
                          <w:rPr>
                            <w:rFonts w:ascii="Arial Narrow" w:hAnsi="Arial Narrow"/>
                            <w:b/>
                            <w:szCs w:val="24"/>
                            <w:lang w:val="es-MX"/>
                          </w:rPr>
                        </w:pPr>
                      </w:p>
                    </w:txbxContent>
                  </v:textbox>
                </v:shape>
              </w:pict>
            </w:r>
          </w:p>
        </w:tc>
        <w:tc>
          <w:tcPr>
            <w:tcW w:w="6110" w:type="dxa"/>
          </w:tcPr>
          <w:p w:rsidR="00A83775" w:rsidRDefault="00A83775">
            <w:pPr>
              <w:pStyle w:val="Bullet1GC"/>
              <w:tabs>
                <w:tab w:val="clear" w:pos="431"/>
                <w:tab w:val="clear" w:pos="1996"/>
                <w:tab w:val="left" w:pos="540"/>
              </w:tabs>
              <w:ind w:left="526"/>
              <w:rPr>
                <w:lang w:val="es-ES_tradnl"/>
              </w:rPr>
            </w:pPr>
            <w:r>
              <w:rPr>
                <w:rFonts w:hint="eastAsia"/>
                <w:lang w:val="zh-CN"/>
              </w:rPr>
              <w:t>寄送报告</w:t>
            </w:r>
          </w:p>
          <w:p w:rsidR="00A83775" w:rsidRDefault="00A83775">
            <w:pPr>
              <w:pStyle w:val="SingleTxtGC"/>
              <w:tabs>
                <w:tab w:val="clear" w:pos="1134"/>
              </w:tabs>
              <w:ind w:left="930" w:right="113"/>
              <w:rPr>
                <w:lang w:val="es-ES_tradnl"/>
              </w:rPr>
            </w:pPr>
            <w:r>
              <w:rPr>
                <w:rFonts w:hint="eastAsia"/>
                <w:lang w:val="zh-CN"/>
              </w:rPr>
              <w:t>哥伦比亚通过外交部将报告寄发给联合国秘书长先生，秘书长将其转交相应的主管机关。同样，将以外交照会的形式，通过哥伦比亚驻日内瓦或纽约（视情况）的使团机关将报告寄送给相应主管部门的负责人。</w:t>
            </w:r>
          </w:p>
          <w:p w:rsidR="00A83775" w:rsidRDefault="00A83775">
            <w:pPr>
              <w:pStyle w:val="Bullet1GC"/>
              <w:tabs>
                <w:tab w:val="clear" w:pos="431"/>
                <w:tab w:val="clear" w:pos="1996"/>
                <w:tab w:val="left" w:pos="540"/>
              </w:tabs>
              <w:ind w:left="526"/>
              <w:rPr>
                <w:lang w:val="es-ES_tradnl"/>
              </w:rPr>
            </w:pPr>
            <w:r>
              <w:rPr>
                <w:rFonts w:hint="eastAsia"/>
                <w:lang w:val="zh-CN"/>
              </w:rPr>
              <w:t>格式</w:t>
            </w:r>
          </w:p>
          <w:p w:rsidR="00A83775" w:rsidRDefault="00A83775">
            <w:pPr>
              <w:pStyle w:val="SingleTxtGC"/>
              <w:tabs>
                <w:tab w:val="clear" w:pos="1134"/>
              </w:tabs>
              <w:ind w:left="930" w:right="113"/>
              <w:rPr>
                <w:lang w:val="es-ES_tradnl"/>
              </w:rPr>
            </w:pPr>
            <w:r>
              <w:rPr>
                <w:rFonts w:hint="eastAsia"/>
                <w:lang w:val="zh-CN"/>
              </w:rPr>
              <w:t>报告应以电子格式（软盘、</w:t>
            </w:r>
            <w:r>
              <w:rPr>
                <w:lang w:val="zh-CN"/>
              </w:rPr>
              <w:t>CD-ROM</w:t>
            </w:r>
            <w:r>
              <w:rPr>
                <w:rFonts w:hint="eastAsia"/>
                <w:lang w:val="zh-CN"/>
              </w:rPr>
              <w:t>或电子邮件）提交，同时附带一份印刷纸质样本。</w:t>
            </w:r>
          </w:p>
          <w:p w:rsidR="00A83775" w:rsidRDefault="00A83775">
            <w:pPr>
              <w:pStyle w:val="SingleTxtGC"/>
              <w:tabs>
                <w:tab w:val="clear" w:pos="1134"/>
              </w:tabs>
              <w:ind w:left="930" w:right="113"/>
              <w:rPr>
                <w:lang w:val="es-ES_tradnl"/>
              </w:rPr>
            </w:pPr>
            <w:r>
              <w:rPr>
                <w:rFonts w:hint="eastAsia"/>
                <w:lang w:val="zh-CN"/>
              </w:rPr>
              <w:t>报告的篇幅和格式应遵照各委员会确定的指导方针执行。</w:t>
            </w:r>
          </w:p>
          <w:p w:rsidR="00A83775" w:rsidRDefault="00A83775">
            <w:pPr>
              <w:pStyle w:val="SingleTxtGC"/>
              <w:tabs>
                <w:tab w:val="clear" w:pos="1134"/>
              </w:tabs>
              <w:ind w:left="930" w:right="113"/>
              <w:rPr>
                <w:spacing w:val="-4"/>
                <w:lang w:val="es-ES_tradnl"/>
              </w:rPr>
            </w:pPr>
            <w:r>
              <w:rPr>
                <w:rFonts w:hint="eastAsia"/>
                <w:spacing w:val="-4"/>
                <w:lang w:val="zh-CN"/>
              </w:rPr>
              <w:t>缔约国应以附件形式提交报告中提到的主要立法、司法、行政管理及其他性质的文本的样本，最好采用</w:t>
            </w:r>
            <w:r>
              <w:rPr>
                <w:spacing w:val="-4"/>
                <w:lang w:val="zh-CN"/>
              </w:rPr>
              <w:t>CD</w:t>
            </w:r>
            <w:r>
              <w:rPr>
                <w:rFonts w:hint="eastAsia"/>
                <w:spacing w:val="-4"/>
                <w:lang w:val="zh-CN"/>
              </w:rPr>
              <w:t>光盘的形式。</w:t>
            </w:r>
          </w:p>
          <w:p w:rsidR="00A83775" w:rsidRDefault="00A83775">
            <w:pPr>
              <w:pStyle w:val="SingleTxtGC"/>
              <w:tabs>
                <w:tab w:val="clear" w:pos="1134"/>
              </w:tabs>
              <w:ind w:left="930" w:right="113"/>
              <w:rPr>
                <w:lang w:val="en-GB"/>
              </w:rPr>
            </w:pPr>
            <w:r>
              <w:rPr>
                <w:rFonts w:hint="eastAsia"/>
                <w:lang w:val="zh-CN"/>
              </w:rPr>
              <w:t>报告应包含对文本中使用的缩略语的完整解释，特别是对涉及到国内机构、组织、法律等这些抛开哥伦比亚国情背景难以理解的缩略语的解释。</w:t>
            </w:r>
          </w:p>
        </w:tc>
      </w:tr>
    </w:tbl>
    <w:p w:rsidR="00A83775" w:rsidRDefault="00A83775">
      <w:pPr>
        <w:pStyle w:val="SingleTxtGC"/>
        <w:spacing w:before="240"/>
        <w:rPr>
          <w:lang w:val="es-ES"/>
        </w:rPr>
      </w:pPr>
      <w:r>
        <w:rPr>
          <w:lang w:val="es-ES"/>
        </w:rPr>
        <w:t xml:space="preserve">11.  </w:t>
      </w:r>
      <w:r>
        <w:rPr>
          <w:rFonts w:hint="eastAsia"/>
          <w:lang w:val="zh-CN"/>
        </w:rPr>
        <w:t>需要指出的是，依惯例，每个缔约国的民间社会组织也会向委员会提交其自行编制的“备用”报告，目的是使委员会能够对缔约国对其承诺的落实情况有不同的看法。此类备用报告是由民间社会组织主动以独立的方式自行编写的。</w:t>
      </w:r>
    </w:p>
    <w:p w:rsidR="00A83775" w:rsidRDefault="00A83775">
      <w:pPr>
        <w:pStyle w:val="H1GC"/>
        <w:rPr>
          <w:lang w:val="es-ES_tradnl"/>
        </w:rPr>
      </w:pPr>
      <w:r>
        <w:rPr>
          <w:rStyle w:val="H1GCChar"/>
        </w:rPr>
        <w:tab/>
        <w:t>B.</w:t>
      </w:r>
      <w:r>
        <w:rPr>
          <w:rStyle w:val="H1GCChar"/>
        </w:rPr>
        <w:tab/>
      </w:r>
      <w:r>
        <w:rPr>
          <w:rFonts w:hint="eastAsia"/>
          <w:lang w:val="es-ES"/>
        </w:rPr>
        <w:t>《</w:t>
      </w:r>
      <w:r>
        <w:rPr>
          <w:rFonts w:hint="eastAsia"/>
          <w:lang w:val="zh-CN"/>
        </w:rPr>
        <w:t>公约》执行情况摘要</w:t>
      </w:r>
    </w:p>
    <w:p w:rsidR="00A83775" w:rsidRDefault="00A83775">
      <w:pPr>
        <w:pStyle w:val="SingleTxtGC"/>
        <w:rPr>
          <w:lang w:val="es-ES"/>
        </w:rPr>
      </w:pPr>
      <w:r>
        <w:rPr>
          <w:lang w:val="es-ES"/>
        </w:rPr>
        <w:t xml:space="preserve">12.  </w:t>
      </w:r>
      <w:r>
        <w:rPr>
          <w:rFonts w:hint="eastAsia"/>
          <w:lang w:val="zh-CN"/>
        </w:rPr>
        <w:t>哥伦比亚总人口为</w:t>
      </w:r>
      <w:r>
        <w:rPr>
          <w:lang w:val="zh-CN"/>
        </w:rPr>
        <w:t>42</w:t>
      </w:r>
      <w:r>
        <w:t>,</w:t>
      </w:r>
      <w:r>
        <w:rPr>
          <w:lang w:val="zh-CN"/>
        </w:rPr>
        <w:t>888</w:t>
      </w:r>
      <w:r>
        <w:t>,</w:t>
      </w:r>
      <w:r>
        <w:rPr>
          <w:lang w:val="zh-CN"/>
        </w:rPr>
        <w:t>592</w:t>
      </w:r>
      <w:r>
        <w:rPr>
          <w:rFonts w:hint="eastAsia"/>
          <w:lang w:val="zh-CN"/>
        </w:rPr>
        <w:t>人，</w:t>
      </w:r>
      <w:r>
        <w:rPr>
          <w:vertAlign w:val="superscript"/>
          <w:lang w:val="zh-CN"/>
        </w:rPr>
        <w:footnoteReference w:id="3"/>
      </w:r>
      <w:r>
        <w:t xml:space="preserve"> </w:t>
      </w:r>
      <w:r>
        <w:rPr>
          <w:rFonts w:hint="eastAsia"/>
          <w:lang w:val="zh-CN"/>
        </w:rPr>
        <w:t>其中女性占</w:t>
      </w:r>
      <w:r>
        <w:rPr>
          <w:lang w:val="zh-CN"/>
        </w:rPr>
        <w:t>51.2%</w:t>
      </w:r>
      <w:r>
        <w:rPr>
          <w:rFonts w:hint="eastAsia"/>
          <w:lang w:val="zh-CN"/>
        </w:rPr>
        <w:t>，男性占</w:t>
      </w:r>
      <w:r>
        <w:rPr>
          <w:lang w:val="zh-CN"/>
        </w:rPr>
        <w:t>48.8%</w:t>
      </w:r>
      <w:r>
        <w:rPr>
          <w:rFonts w:hint="eastAsia"/>
          <w:lang w:val="zh-CN"/>
        </w:rPr>
        <w:t>。在各年龄段人口中，女性所占的比例数都高于男性，但</w:t>
      </w:r>
      <w:r>
        <w:rPr>
          <w:lang w:val="zh-CN"/>
        </w:rPr>
        <w:t>0-14</w:t>
      </w:r>
      <w:r>
        <w:rPr>
          <w:rFonts w:hint="eastAsia"/>
          <w:lang w:val="zh-CN"/>
        </w:rPr>
        <w:t>岁年龄组除外，在这一年龄段的人口中，男性占</w:t>
      </w:r>
      <w:r>
        <w:rPr>
          <w:lang w:val="zh-CN"/>
        </w:rPr>
        <w:t>51%</w:t>
      </w:r>
      <w:r>
        <w:rPr>
          <w:rFonts w:hint="eastAsia"/>
          <w:lang w:val="zh-CN"/>
        </w:rPr>
        <w:t>，女性占</w:t>
      </w:r>
      <w:r>
        <w:rPr>
          <w:lang w:val="zh-CN"/>
        </w:rPr>
        <w:t>49%</w:t>
      </w:r>
      <w:r>
        <w:rPr>
          <w:rFonts w:hint="eastAsia"/>
          <w:lang w:val="zh-CN"/>
        </w:rPr>
        <w:t>。在人种比例方面，印第安土著人口占</w:t>
      </w:r>
      <w:r>
        <w:rPr>
          <w:lang w:val="zh-CN"/>
        </w:rPr>
        <w:t>3.4%</w:t>
      </w:r>
      <w:r>
        <w:rPr>
          <w:rFonts w:hint="eastAsia"/>
          <w:lang w:val="zh-CN"/>
        </w:rPr>
        <w:t>，吉卜赛人占</w:t>
      </w:r>
      <w:r>
        <w:rPr>
          <w:lang w:val="zh-CN"/>
        </w:rPr>
        <w:t>0.001%</w:t>
      </w:r>
      <w:r>
        <w:rPr>
          <w:rFonts w:hint="eastAsia"/>
          <w:lang w:val="zh-CN"/>
        </w:rPr>
        <w:t>，非洲裔哥伦比亚人占</w:t>
      </w:r>
      <w:r>
        <w:rPr>
          <w:lang w:val="zh-CN"/>
        </w:rPr>
        <w:t>10.6%</w:t>
      </w:r>
      <w:r>
        <w:rPr>
          <w:rFonts w:hint="eastAsia"/>
          <w:lang w:val="zh-CN"/>
        </w:rPr>
        <w:t>。</w:t>
      </w:r>
      <w:r>
        <w:rPr>
          <w:vertAlign w:val="superscript"/>
          <w:lang w:val="zh-CN"/>
        </w:rPr>
        <w:footnoteReference w:id="4"/>
      </w:r>
      <w:r>
        <w:t xml:space="preserve"> </w:t>
      </w:r>
      <w:r>
        <w:rPr>
          <w:rFonts w:hint="eastAsia"/>
          <w:lang w:val="zh-CN"/>
        </w:rPr>
        <w:t>截至</w:t>
      </w:r>
      <w:r>
        <w:rPr>
          <w:lang w:val="zh-CN"/>
        </w:rPr>
        <w:t>2010</w:t>
      </w:r>
      <w:r>
        <w:rPr>
          <w:rFonts w:hint="eastAsia"/>
          <w:lang w:val="zh-CN"/>
        </w:rPr>
        <w:t>年，</w:t>
      </w:r>
      <w:r>
        <w:rPr>
          <w:lang w:val="zh-CN"/>
        </w:rPr>
        <w:t>34%</w:t>
      </w:r>
      <w:r>
        <w:rPr>
          <w:rFonts w:hint="eastAsia"/>
          <w:lang w:val="zh-CN"/>
        </w:rPr>
        <w:t>的家庭为女户主家庭。</w:t>
      </w:r>
    </w:p>
    <w:p w:rsidR="00A83775" w:rsidRDefault="00A83775">
      <w:pPr>
        <w:pStyle w:val="SingleTxtGC"/>
      </w:pPr>
      <w:r>
        <w:rPr>
          <w:lang w:val="es-ES"/>
        </w:rPr>
        <w:t xml:space="preserve">13.  </w:t>
      </w:r>
      <w:r>
        <w:rPr>
          <w:rFonts w:hint="eastAsia"/>
          <w:lang w:val="zh-CN"/>
        </w:rPr>
        <w:t>国家政府已经在《国家发展计划》中加入了若干特殊规定，旨在通过承认妇女的特殊性和特殊需求来促进两性平等，这是因为认识到了哥伦比亚妇女在国家发展中起到了重要作用。</w:t>
      </w:r>
    </w:p>
    <w:p w:rsidR="00A83775" w:rsidRDefault="00A83775">
      <w:pPr>
        <w:pStyle w:val="SingleTxtGC"/>
        <w:rPr>
          <w:lang w:val="es-ES"/>
        </w:rPr>
      </w:pPr>
      <w:r>
        <w:rPr>
          <w:lang w:val="zh-CN"/>
        </w:rPr>
        <w:t xml:space="preserve">14.  </w:t>
      </w:r>
      <w:r>
        <w:rPr>
          <w:rFonts w:hint="eastAsia"/>
          <w:lang w:val="zh-CN"/>
        </w:rPr>
        <w:t>在</w:t>
      </w:r>
      <w:r>
        <w:rPr>
          <w:lang w:val="zh-CN"/>
        </w:rPr>
        <w:t>2006-2010</w:t>
      </w:r>
      <w:r>
        <w:rPr>
          <w:rFonts w:hint="eastAsia"/>
          <w:lang w:val="zh-CN"/>
        </w:rPr>
        <w:t>年期间，继续推行由妇女平等事务总统高级顾问办公室领导开展的“妇女：和平与发展的建设者”扶持政策。该政策鼓励推行有利于妇女的特殊举措，其核心主题为就业和企业发展；根除侵害妇女的暴力行为；教育和文化；以及妇女的政治参与。为落实这一政策，鼓励公共和私人机构结成伙伴关系，将性别观点纳入到各实体机构的部门事务中。</w:t>
      </w:r>
    </w:p>
    <w:p w:rsidR="00A83775" w:rsidRDefault="00A83775">
      <w:pPr>
        <w:pStyle w:val="SingleTxtGC"/>
      </w:pPr>
      <w:r>
        <w:rPr>
          <w:lang w:val="es-ES"/>
        </w:rPr>
        <w:t xml:space="preserve">15.  </w:t>
      </w:r>
      <w:r>
        <w:rPr>
          <w:rFonts w:hint="eastAsia"/>
          <w:lang w:val="zh-CN"/>
        </w:rPr>
        <w:t>同样，将性别观点纳入到公权力机构的其他领域这项工作也逐步得到强化，创立了司法部门性别事务国家委员会（</w:t>
      </w:r>
      <w:r>
        <w:rPr>
          <w:lang w:val="zh-CN"/>
        </w:rPr>
        <w:t>2008</w:t>
      </w:r>
      <w:r>
        <w:rPr>
          <w:rFonts w:hint="eastAsia"/>
          <w:lang w:val="zh-CN"/>
        </w:rPr>
        <w:t>年）以及共和国国会妇女平等法律委员会（</w:t>
      </w:r>
      <w:r>
        <w:rPr>
          <w:lang w:val="zh-CN"/>
        </w:rPr>
        <w:t>2011</w:t>
      </w:r>
      <w:r>
        <w:rPr>
          <w:rFonts w:hint="eastAsia"/>
          <w:lang w:val="zh-CN"/>
        </w:rPr>
        <w:t>年）。而国家总检察院和国家审计总署</w:t>
      </w:r>
      <w:r>
        <w:rPr>
          <w:vertAlign w:val="superscript"/>
          <w:lang w:val="zh-CN"/>
        </w:rPr>
        <w:footnoteReference w:id="5"/>
      </w:r>
      <w:r>
        <w:t xml:space="preserve"> </w:t>
      </w:r>
      <w:r>
        <w:rPr>
          <w:rFonts w:hint="eastAsia"/>
          <w:lang w:val="zh-CN"/>
        </w:rPr>
        <w:t>也强化了其在性别事务方面的机制，从全国范围内巩固了性别事务机制，加强了在促进和保护妇女权利方面的工作主动性。</w:t>
      </w:r>
    </w:p>
    <w:p w:rsidR="00A83775" w:rsidRDefault="00A83775">
      <w:pPr>
        <w:pStyle w:val="SingleTxtGC"/>
      </w:pPr>
      <w:r>
        <w:rPr>
          <w:lang w:val="zh-CN"/>
        </w:rPr>
        <w:t xml:space="preserve">16.  </w:t>
      </w:r>
      <w:r>
        <w:rPr>
          <w:rFonts w:hint="eastAsia"/>
          <w:lang w:val="zh-CN"/>
        </w:rPr>
        <w:t>需要强调的是，在哥伦比亚，暴力侵害妇女问题已经得到了全社会的重视和关切。随着</w:t>
      </w:r>
      <w:r>
        <w:rPr>
          <w:lang w:val="zh-CN"/>
        </w:rPr>
        <w:t>2008</w:t>
      </w:r>
      <w:r>
        <w:rPr>
          <w:rFonts w:hint="eastAsia"/>
          <w:lang w:val="zh-CN"/>
        </w:rPr>
        <w:t>年第</w:t>
      </w:r>
      <w:r>
        <w:rPr>
          <w:lang w:val="zh-CN"/>
        </w:rPr>
        <w:t>1257</w:t>
      </w:r>
      <w:r>
        <w:rPr>
          <w:rFonts w:hint="eastAsia"/>
          <w:lang w:val="zh-CN"/>
        </w:rPr>
        <w:t>号法</w:t>
      </w:r>
      <w:r>
        <w:rPr>
          <w:vertAlign w:val="superscript"/>
          <w:lang w:val="zh-CN"/>
        </w:rPr>
        <w:footnoteReference w:id="6"/>
      </w:r>
      <w:r>
        <w:rPr>
          <w:rFonts w:hint="eastAsia"/>
          <w:spacing w:val="-40"/>
        </w:rPr>
        <w:t>――</w:t>
      </w:r>
      <w:r>
        <w:rPr>
          <w:rFonts w:hint="eastAsia"/>
          <w:spacing w:val="-40"/>
        </w:rPr>
        <w:t xml:space="preserve"> </w:t>
      </w:r>
      <w:r>
        <w:rPr>
          <w:rFonts w:hint="eastAsia"/>
          <w:lang w:val="zh-CN"/>
        </w:rPr>
        <w:t>《让生活远离暴力侵害法》的出台，基于国际标准确定了暴力侵害妇女行为的概念，该法的出台标志着在根除这一问题方面的一项主要进步。</w:t>
      </w:r>
    </w:p>
    <w:p w:rsidR="00A83775" w:rsidRDefault="00A83775">
      <w:pPr>
        <w:pStyle w:val="SingleTxtGC"/>
        <w:rPr>
          <w:lang w:val="es-ES"/>
        </w:rPr>
      </w:pPr>
      <w:r>
        <w:rPr>
          <w:lang w:val="zh-CN"/>
        </w:rPr>
        <w:t xml:space="preserve">17.  </w:t>
      </w:r>
      <w:r>
        <w:rPr>
          <w:rFonts w:hint="eastAsia"/>
          <w:lang w:val="zh-CN"/>
        </w:rPr>
        <w:t>此外，通过</w:t>
      </w:r>
      <w:r>
        <w:rPr>
          <w:lang w:val="zh-CN"/>
        </w:rPr>
        <w:t>2010</w:t>
      </w:r>
      <w:r>
        <w:rPr>
          <w:rFonts w:hint="eastAsia"/>
          <w:lang w:val="zh-CN"/>
        </w:rPr>
        <w:t>年的第</w:t>
      </w:r>
      <w:r>
        <w:rPr>
          <w:lang w:val="zh-CN"/>
        </w:rPr>
        <w:t>164</w:t>
      </w:r>
      <w:r>
        <w:rPr>
          <w:rFonts w:hint="eastAsia"/>
          <w:lang w:val="zh-CN"/>
        </w:rPr>
        <w:t>号法令，设立了根除暴力侵害妇女行为部际委员会，认识到了暴力侵害妇女行为具有多面性的特点，并提出了一项多部门机构间干预战略，以便开展协调努力，对受害妇女开展全面、个性化、普遍的优质关爱。在本报告中将提到其他一系列的举措，其目的是帮助实现这一目标，并力争确保妇女享有一个远离暴力侵害的生活，使受害妇女得到全面关爱和恢复，并确保悲剧不再重演。</w:t>
      </w:r>
    </w:p>
    <w:p w:rsidR="00A83775" w:rsidRDefault="00A83775">
      <w:pPr>
        <w:pStyle w:val="SingleTxtGC"/>
        <w:rPr>
          <w:lang w:val="zh-CN"/>
        </w:rPr>
      </w:pPr>
      <w:r>
        <w:rPr>
          <w:lang w:val="es-ES"/>
        </w:rPr>
        <w:t xml:space="preserve">18.  </w:t>
      </w:r>
      <w:r>
        <w:rPr>
          <w:rFonts w:hint="eastAsia"/>
          <w:lang w:val="zh-CN"/>
        </w:rPr>
        <w:t>在这些举措中</w:t>
      </w:r>
      <w:r>
        <w:rPr>
          <w:rFonts w:hint="eastAsia"/>
          <w:lang w:val="es-ES"/>
        </w:rPr>
        <w:t>，</w:t>
      </w:r>
      <w:r>
        <w:rPr>
          <w:rFonts w:hint="eastAsia"/>
          <w:lang w:val="zh-CN"/>
        </w:rPr>
        <w:t>特别值得一提的是</w:t>
      </w:r>
      <w:r>
        <w:rPr>
          <w:lang w:val="es-ES"/>
        </w:rPr>
        <w:t>2011</w:t>
      </w:r>
      <w:r>
        <w:rPr>
          <w:rFonts w:hint="eastAsia"/>
          <w:lang w:val="zh-CN"/>
        </w:rPr>
        <w:t>年</w:t>
      </w:r>
      <w:r>
        <w:rPr>
          <w:lang w:val="es-ES"/>
        </w:rPr>
        <w:t>6</w:t>
      </w:r>
      <w:r>
        <w:rPr>
          <w:rFonts w:hint="eastAsia"/>
          <w:lang w:val="zh-CN"/>
        </w:rPr>
        <w:t>月</w:t>
      </w:r>
      <w:r>
        <w:rPr>
          <w:lang w:val="es-ES"/>
        </w:rPr>
        <w:t>10</w:t>
      </w:r>
      <w:r>
        <w:rPr>
          <w:rFonts w:hint="eastAsia"/>
          <w:lang w:val="zh-CN"/>
        </w:rPr>
        <w:t>日由胡安</w:t>
      </w:r>
      <w:r>
        <w:rPr>
          <w:rFonts w:hint="eastAsia"/>
          <w:lang w:val="es-ES"/>
        </w:rPr>
        <w:t>·</w:t>
      </w:r>
      <w:r>
        <w:rPr>
          <w:rFonts w:hint="eastAsia"/>
          <w:lang w:val="zh-CN"/>
        </w:rPr>
        <w:t>曼努埃尔</w:t>
      </w:r>
      <w:r>
        <w:rPr>
          <w:rFonts w:hint="eastAsia"/>
          <w:lang w:val="es-ES"/>
        </w:rPr>
        <w:t>·</w:t>
      </w:r>
      <w:r>
        <w:rPr>
          <w:rFonts w:hint="eastAsia"/>
          <w:lang w:val="zh-CN"/>
        </w:rPr>
        <w:t>桑托斯·卡尔德隆总统颁布的《受害者和土地归还法》，联合国秘书长潘基文及诺贝尔和平奖候选人尤兰妲·穆卡加莎娜见证了该法的颁布过程。在该法的受益者中，妇女占据了相当大的比例。</w:t>
      </w:r>
    </w:p>
    <w:p w:rsidR="00A83775" w:rsidRDefault="00A83775">
      <w:pPr>
        <w:pStyle w:val="SingleTxtGC"/>
      </w:pPr>
      <w:r>
        <w:rPr>
          <w:lang w:val="zh-CN"/>
        </w:rPr>
        <w:t xml:space="preserve">19.  </w:t>
      </w:r>
      <w:r>
        <w:rPr>
          <w:rFonts w:hint="eastAsia"/>
          <w:lang w:val="zh-CN"/>
        </w:rPr>
        <w:t>同样，逐步实施了其他举措，如与在武装冲突框架内对性暴力案件有罪不罚的现象作斗争的方案、人权保护官保障工作组、总检察署差别化观点侦查策略以及复员军人两性平等战略。</w:t>
      </w:r>
    </w:p>
    <w:p w:rsidR="00A83775" w:rsidRDefault="00A83775">
      <w:pPr>
        <w:pStyle w:val="SingleTxtGC"/>
        <w:rPr>
          <w:lang w:val="zh-CN"/>
        </w:rPr>
      </w:pPr>
      <w:r>
        <w:rPr>
          <w:lang w:val="zh-CN"/>
        </w:rPr>
        <w:t xml:space="preserve">20.  </w:t>
      </w:r>
      <w:r>
        <w:rPr>
          <w:rFonts w:hint="eastAsia"/>
          <w:lang w:val="zh-CN"/>
        </w:rPr>
        <w:t>在对暴力侵害妇女行为进行信息登记方面，正逐步努力创立和巩固信息系统，通过有助于制定这方面的公共政策的各项指标来发现对妇女各种形式的暴力侵害行为。政府已经将对性暴力的信息登记工作列为一项挑战。</w:t>
      </w:r>
    </w:p>
    <w:p w:rsidR="00A83775" w:rsidRDefault="00A83775">
      <w:pPr>
        <w:pStyle w:val="SingleTxtGC"/>
        <w:rPr>
          <w:lang w:val="es-CO"/>
        </w:rPr>
      </w:pPr>
      <w:r>
        <w:rPr>
          <w:lang w:val="zh-CN"/>
        </w:rPr>
        <w:t xml:space="preserve">21.  </w:t>
      </w:r>
      <w:r>
        <w:rPr>
          <w:rFonts w:hint="eastAsia"/>
          <w:lang w:val="zh-CN"/>
        </w:rPr>
        <w:t>现任政府坚持继续通过上述举措以及其他举措来努力解决暴力侵害妇女问题，这一问题在家庭范围和公共场合中均有发生。数据显示，在家庭环境中对配偶的暴力侵害和对女童的暴力侵害发生率较高。同样，政府承认在武装冲突背景下，妇女面临的风险较高，具有特殊脆弱性，这就是为什么要在工作中采用差别化措施并不断对工作措施进行改进，以便更好地帮助受到非法武装团体和其他犯罪团伙侵害的妇女。</w:t>
      </w:r>
    </w:p>
    <w:p w:rsidR="00A83775" w:rsidRDefault="00A83775">
      <w:pPr>
        <w:pStyle w:val="SingleTxtGC"/>
        <w:rPr>
          <w:lang w:val="zh-CN"/>
        </w:rPr>
      </w:pPr>
      <w:r>
        <w:rPr>
          <w:lang w:val="es-ES"/>
        </w:rPr>
        <w:t xml:space="preserve">22.  </w:t>
      </w:r>
      <w:r>
        <w:rPr>
          <w:rFonts w:hint="eastAsia"/>
          <w:lang w:val="zh-CN"/>
        </w:rPr>
        <w:t>在全面关爱流离失所人口的政策方面</w:t>
      </w:r>
      <w:r>
        <w:rPr>
          <w:rFonts w:hint="eastAsia"/>
          <w:lang w:val="es-CO"/>
        </w:rPr>
        <w:t>，</w:t>
      </w:r>
      <w:r>
        <w:rPr>
          <w:rFonts w:hint="eastAsia"/>
          <w:lang w:val="zh-CN"/>
        </w:rPr>
        <w:t>已经将性别观点纳入到了对流离失所的受害妇女的关爱活动中以及对宪法法院作出的第</w:t>
      </w:r>
      <w:r>
        <w:rPr>
          <w:lang w:val="es-CO"/>
        </w:rPr>
        <w:t>T-025-04</w:t>
      </w:r>
      <w:r>
        <w:rPr>
          <w:rFonts w:hint="eastAsia"/>
          <w:lang w:val="zh-CN"/>
        </w:rPr>
        <w:t>号判决和第</w:t>
      </w:r>
      <w:r>
        <w:rPr>
          <w:lang w:val="es-CO"/>
        </w:rPr>
        <w:t>092</w:t>
      </w:r>
      <w:r>
        <w:rPr>
          <w:rFonts w:hint="eastAsia"/>
          <w:lang w:val="zh-CN"/>
        </w:rPr>
        <w:t>号和第</w:t>
      </w:r>
      <w:r>
        <w:rPr>
          <w:lang w:val="zh-CN"/>
        </w:rPr>
        <w:t>237</w:t>
      </w:r>
      <w:r>
        <w:rPr>
          <w:rFonts w:hint="eastAsia"/>
          <w:lang w:val="zh-CN"/>
        </w:rPr>
        <w:t>号裁决的后续跟踪活动中，设计并实施了旨在专门针对处于流离失所状况或面临流离失所威胁的妇女的若干方案。但当前仍在推进开展不同的战略，以满足这方面的需求，并应对地方一级在战略实施方面的挑战。</w:t>
      </w:r>
    </w:p>
    <w:p w:rsidR="00A83775" w:rsidRDefault="00A83775">
      <w:pPr>
        <w:pStyle w:val="SingleTxtGC"/>
        <w:rPr>
          <w:lang w:val="es-ES"/>
        </w:rPr>
      </w:pPr>
      <w:r>
        <w:rPr>
          <w:lang w:val="zh-CN"/>
        </w:rPr>
        <w:t xml:space="preserve">23.  </w:t>
      </w:r>
      <w:r>
        <w:rPr>
          <w:rFonts w:hint="eastAsia"/>
          <w:lang w:val="zh-CN"/>
        </w:rPr>
        <w:t>在妇女参与政治生活和公共生活方面，除</w:t>
      </w:r>
      <w:r>
        <w:rPr>
          <w:lang w:val="zh-CN"/>
        </w:rPr>
        <w:t>2000</w:t>
      </w:r>
      <w:r>
        <w:rPr>
          <w:rFonts w:hint="eastAsia"/>
          <w:lang w:val="zh-CN"/>
        </w:rPr>
        <w:t>年的第</w:t>
      </w:r>
      <w:r>
        <w:rPr>
          <w:lang w:val="zh-CN"/>
        </w:rPr>
        <w:t>581</w:t>
      </w:r>
      <w:r>
        <w:rPr>
          <w:rFonts w:hint="eastAsia"/>
          <w:lang w:val="zh-CN"/>
        </w:rPr>
        <w:t>号《配额法》外，还签署了《将妇女有效纳入政治生活协定》，创立了共和国国会妇女平等法律委员会，强化了妇女社区委员会和妇女参与茶话会；开展了区域试点实验室和土著妇女全国碰头会，并举办了以此为主题的各类碰头会、论坛、讲习班和教育研讨会。</w:t>
      </w:r>
    </w:p>
    <w:p w:rsidR="00A83775" w:rsidRDefault="00A83775">
      <w:pPr>
        <w:pStyle w:val="SingleTxtGC"/>
        <w:rPr>
          <w:lang w:val="es-ES_tradnl"/>
        </w:rPr>
      </w:pPr>
      <w:r>
        <w:rPr>
          <w:lang w:val="es-ES_tradnl"/>
        </w:rPr>
        <w:t xml:space="preserve">24.  </w:t>
      </w:r>
      <w:r>
        <w:rPr>
          <w:rFonts w:hint="eastAsia"/>
          <w:lang w:val="zh-CN"/>
        </w:rPr>
        <w:t>在</w:t>
      </w:r>
      <w:r>
        <w:rPr>
          <w:lang w:val="es-ES"/>
        </w:rPr>
        <w:t>2010</w:t>
      </w:r>
      <w:r>
        <w:rPr>
          <w:rFonts w:hint="eastAsia"/>
          <w:lang w:val="zh-CN"/>
        </w:rPr>
        <w:t>年公职部门的最高层或其他决策性职位的任职比例方面</w:t>
      </w:r>
      <w:r>
        <w:rPr>
          <w:rFonts w:hint="eastAsia"/>
          <w:lang w:val="es-ES"/>
        </w:rPr>
        <w:t>，</w:t>
      </w:r>
      <w:r>
        <w:rPr>
          <w:rFonts w:hint="eastAsia"/>
          <w:lang w:val="zh-CN"/>
        </w:rPr>
        <w:t>行政机关、自治机关、监管机关和国家民政登记局都落实了《配额法》之规定</w:t>
      </w:r>
      <w:r>
        <w:rPr>
          <w:rFonts w:hint="eastAsia"/>
          <w:lang w:val="es-ES"/>
        </w:rPr>
        <w:t>，</w:t>
      </w:r>
      <w:r>
        <w:rPr>
          <w:rFonts w:hint="eastAsia"/>
          <w:lang w:val="zh-CN"/>
        </w:rPr>
        <w:t>力争使妇女的任职比例至少达到</w:t>
      </w:r>
      <w:r>
        <w:rPr>
          <w:lang w:val="es-ES"/>
        </w:rPr>
        <w:t>30%</w:t>
      </w:r>
      <w:r>
        <w:rPr>
          <w:rFonts w:hint="eastAsia"/>
          <w:lang w:val="zh-CN"/>
        </w:rPr>
        <w:t>。同样，共和国国会中女性的任职比例也有逐步提高。妇女在共和国国会中的代表比例一直都较低，因此正努力采取加强措施来提高妇女的比例。最近宪法法院已经责令强制执行政治改革草案，</w:t>
      </w:r>
      <w:r>
        <w:rPr>
          <w:vertAlign w:val="superscript"/>
          <w:lang w:val="zh-CN"/>
        </w:rPr>
        <w:footnoteReference w:id="7"/>
      </w:r>
      <w:r>
        <w:t xml:space="preserve"> </w:t>
      </w:r>
      <w:r>
        <w:rPr>
          <w:rFonts w:hint="eastAsia"/>
          <w:lang w:val="zh-CN"/>
        </w:rPr>
        <w:t>在草案中指出在各政党或政治团体提交的竞选候选人名单中女性候选人的比例最低必须达到</w:t>
      </w:r>
      <w:r>
        <w:rPr>
          <w:lang w:val="zh-CN"/>
        </w:rPr>
        <w:t>30%</w:t>
      </w:r>
      <w:r>
        <w:rPr>
          <w:rFonts w:hint="eastAsia"/>
          <w:lang w:val="zh-CN"/>
        </w:rPr>
        <w:t>，以便促进国内的两性平等。</w:t>
      </w:r>
    </w:p>
    <w:p w:rsidR="00A83775" w:rsidRDefault="00A83775">
      <w:pPr>
        <w:pStyle w:val="SingleTxtGC"/>
      </w:pPr>
      <w:r>
        <w:rPr>
          <w:lang w:val="es-ES_tradnl"/>
        </w:rPr>
        <w:t xml:space="preserve">25.  </w:t>
      </w:r>
      <w:r>
        <w:rPr>
          <w:rFonts w:hint="eastAsia"/>
          <w:lang w:val="zh-CN"/>
        </w:rPr>
        <w:t>在</w:t>
      </w:r>
      <w:r>
        <w:rPr>
          <w:lang w:val="zh-CN"/>
        </w:rPr>
        <w:t>1998-2002</w:t>
      </w:r>
      <w:r>
        <w:rPr>
          <w:rFonts w:hint="eastAsia"/>
          <w:lang w:val="zh-CN"/>
        </w:rPr>
        <w:t>届选举中，共和国参议院中妇女的当选比例为</w:t>
      </w:r>
      <w:r>
        <w:rPr>
          <w:lang w:val="zh-CN"/>
        </w:rPr>
        <w:t>13%</w:t>
      </w:r>
      <w:r>
        <w:rPr>
          <w:rFonts w:hint="eastAsia"/>
          <w:lang w:val="zh-CN"/>
        </w:rPr>
        <w:t>，而众议院中妇女的当选比例为</w:t>
      </w:r>
      <w:r>
        <w:rPr>
          <w:lang w:val="zh-CN"/>
        </w:rPr>
        <w:t>11%</w:t>
      </w:r>
      <w:r>
        <w:rPr>
          <w:rFonts w:hint="eastAsia"/>
          <w:lang w:val="zh-CN"/>
        </w:rPr>
        <w:t>。到</w:t>
      </w:r>
      <w:r>
        <w:rPr>
          <w:lang w:val="zh-CN"/>
        </w:rPr>
        <w:t>2010-2014</w:t>
      </w:r>
      <w:r>
        <w:rPr>
          <w:rFonts w:hint="eastAsia"/>
          <w:lang w:val="zh-CN"/>
        </w:rPr>
        <w:t>届选举，妇女在参众两院的当选比例分别为</w:t>
      </w:r>
      <w:r>
        <w:rPr>
          <w:lang w:val="zh-CN"/>
        </w:rPr>
        <w:t>16%</w:t>
      </w:r>
      <w:r>
        <w:rPr>
          <w:rFonts w:hint="eastAsia"/>
          <w:lang w:val="zh-CN"/>
        </w:rPr>
        <w:t>和</w:t>
      </w:r>
      <w:r>
        <w:rPr>
          <w:lang w:val="zh-CN"/>
        </w:rPr>
        <w:t>12%</w:t>
      </w:r>
      <w:r>
        <w:rPr>
          <w:rFonts w:hint="eastAsia"/>
          <w:lang w:val="zh-CN"/>
        </w:rPr>
        <w:t>。</w:t>
      </w:r>
    </w:p>
    <w:p w:rsidR="00A83775" w:rsidRDefault="00A83775">
      <w:pPr>
        <w:pStyle w:val="SingleTxtGC"/>
        <w:rPr>
          <w:lang w:val="es-CO"/>
        </w:rPr>
      </w:pPr>
      <w:r>
        <w:rPr>
          <w:lang w:val="zh-CN"/>
        </w:rPr>
        <w:t xml:space="preserve">26.  </w:t>
      </w:r>
      <w:r>
        <w:rPr>
          <w:rFonts w:hint="eastAsia"/>
          <w:lang w:val="zh-CN"/>
        </w:rPr>
        <w:t>通过“教育革命”政策使妇女受益，妇女接受各级教育的机会增多，作为弱势群体得到了更多的照顾，能够享受与国际接轨的优质教育，高等教育的质量得到了保障，学校基础设施得以改善，更多的学生有机会接触电脑和互联网，招才纳贤充实教师队伍并对教师进行评估，教育全面普及并得到了巩固加强和现代化。在本次报告期内，一些重要的政策，如《</w:t>
      </w:r>
      <w:r>
        <w:rPr>
          <w:lang w:val="zh-CN"/>
        </w:rPr>
        <w:t>2006-2016</w:t>
      </w:r>
      <w:r>
        <w:rPr>
          <w:rFonts w:hint="eastAsia"/>
          <w:lang w:val="zh-CN"/>
        </w:rPr>
        <w:t>年全国十年期教育计划》和《国家人权教育计划》均得到了细化落实。</w:t>
      </w:r>
    </w:p>
    <w:p w:rsidR="00A83775" w:rsidRDefault="00A83775">
      <w:pPr>
        <w:pStyle w:val="SingleTxtGC"/>
      </w:pPr>
      <w:r>
        <w:rPr>
          <w:lang w:val="es-CO"/>
        </w:rPr>
        <w:t xml:space="preserve">27.  </w:t>
      </w:r>
      <w:r>
        <w:rPr>
          <w:rFonts w:hint="eastAsia"/>
          <w:lang w:val="zh-CN"/>
        </w:rPr>
        <w:t>上述措施以及其他一些措施的效果可以通过以下指标反映出来：各级教育的覆盖率均有所提高，从而使得脱离教育体系的男童、女童和青少年人数有所减少。在男童和女童的基础教育和中等教育入学率方面，</w:t>
      </w:r>
      <w:r>
        <w:rPr>
          <w:lang w:val="zh-CN"/>
        </w:rPr>
        <w:t>2010</w:t>
      </w:r>
      <w:r>
        <w:rPr>
          <w:rFonts w:hint="eastAsia"/>
          <w:lang w:val="zh-CN"/>
        </w:rPr>
        <w:t>年</w:t>
      </w:r>
      <w:r>
        <w:rPr>
          <w:vertAlign w:val="superscript"/>
          <w:lang w:val="zh-CN"/>
        </w:rPr>
        <w:footnoteReference w:id="8"/>
      </w:r>
      <w:r>
        <w:t xml:space="preserve"> </w:t>
      </w:r>
      <w:r>
        <w:rPr>
          <w:rFonts w:hint="eastAsia"/>
          <w:lang w:val="zh-CN"/>
        </w:rPr>
        <w:t>基础教育和中学教育的注册学生数为</w:t>
      </w:r>
      <w:r>
        <w:rPr>
          <w:lang w:val="zh-CN"/>
        </w:rPr>
        <w:t>10</w:t>
      </w:r>
      <w:r>
        <w:t>,</w:t>
      </w:r>
      <w:r>
        <w:rPr>
          <w:lang w:val="zh-CN"/>
        </w:rPr>
        <w:t>978</w:t>
      </w:r>
      <w:r>
        <w:t>,</w:t>
      </w:r>
      <w:r>
        <w:rPr>
          <w:lang w:val="zh-CN"/>
        </w:rPr>
        <w:t>743</w:t>
      </w:r>
      <w:r>
        <w:rPr>
          <w:rFonts w:hint="eastAsia"/>
          <w:lang w:val="zh-CN"/>
        </w:rPr>
        <w:t>人，其中女童占</w:t>
      </w:r>
      <w:r>
        <w:rPr>
          <w:lang w:val="zh-CN"/>
        </w:rPr>
        <w:t>50%</w:t>
      </w:r>
      <w:r>
        <w:rPr>
          <w:rFonts w:hint="eastAsia"/>
          <w:lang w:val="zh-CN"/>
        </w:rPr>
        <w:t>；近六年来一直都维持着这一比例。在高等教育领域，</w:t>
      </w:r>
      <w:r>
        <w:rPr>
          <w:lang w:val="zh-CN"/>
        </w:rPr>
        <w:t>2002</w:t>
      </w:r>
      <w:r>
        <w:rPr>
          <w:rFonts w:hint="eastAsia"/>
          <w:lang w:val="zh-CN"/>
        </w:rPr>
        <w:t>年女生的注册入学人数为</w:t>
      </w:r>
      <w:r>
        <w:rPr>
          <w:lang w:val="zh-CN"/>
        </w:rPr>
        <w:t>514</w:t>
      </w:r>
      <w:r>
        <w:t>,</w:t>
      </w:r>
      <w:r>
        <w:rPr>
          <w:lang w:val="zh-CN"/>
        </w:rPr>
        <w:t>568</w:t>
      </w:r>
      <w:r>
        <w:rPr>
          <w:rFonts w:hint="eastAsia"/>
          <w:lang w:val="zh-CN"/>
        </w:rPr>
        <w:t>人，男生为</w:t>
      </w:r>
      <w:r>
        <w:rPr>
          <w:lang w:val="zh-CN"/>
        </w:rPr>
        <w:t>485</w:t>
      </w:r>
      <w:r>
        <w:t>,</w:t>
      </w:r>
      <w:r>
        <w:rPr>
          <w:lang w:val="zh-CN"/>
        </w:rPr>
        <w:t>580</w:t>
      </w:r>
      <w:r>
        <w:rPr>
          <w:rFonts w:hint="eastAsia"/>
          <w:lang w:val="zh-CN"/>
        </w:rPr>
        <w:t>人；到</w:t>
      </w:r>
      <w:r>
        <w:rPr>
          <w:lang w:val="zh-CN"/>
        </w:rPr>
        <w:t>2010</w:t>
      </w:r>
      <w:r>
        <w:rPr>
          <w:rFonts w:hint="eastAsia"/>
          <w:lang w:val="zh-CN"/>
        </w:rPr>
        <w:t>年，女生和男生的注册入学人数分别为</w:t>
      </w:r>
      <w:r>
        <w:rPr>
          <w:lang w:val="zh-CN"/>
        </w:rPr>
        <w:t>863</w:t>
      </w:r>
      <w:r>
        <w:t>,</w:t>
      </w:r>
      <w:r>
        <w:rPr>
          <w:lang w:val="zh-CN"/>
        </w:rPr>
        <w:t>473</w:t>
      </w:r>
      <w:r>
        <w:rPr>
          <w:rFonts w:hint="eastAsia"/>
          <w:lang w:val="zh-CN"/>
        </w:rPr>
        <w:t>人和</w:t>
      </w:r>
      <w:r>
        <w:rPr>
          <w:lang w:val="zh-CN"/>
        </w:rPr>
        <w:t>810</w:t>
      </w:r>
      <w:r>
        <w:t>,</w:t>
      </w:r>
      <w:r>
        <w:rPr>
          <w:lang w:val="zh-CN"/>
        </w:rPr>
        <w:t>947</w:t>
      </w:r>
      <w:r>
        <w:rPr>
          <w:rFonts w:hint="eastAsia"/>
          <w:lang w:val="zh-CN"/>
        </w:rPr>
        <w:t>人，男生人数增加了</w:t>
      </w:r>
      <w:r>
        <w:rPr>
          <w:lang w:val="zh-CN"/>
        </w:rPr>
        <w:t>67%</w:t>
      </w:r>
      <w:r>
        <w:rPr>
          <w:rFonts w:hint="eastAsia"/>
          <w:lang w:val="zh-CN"/>
        </w:rPr>
        <w:t>，女生人数增加了</w:t>
      </w:r>
      <w:r>
        <w:rPr>
          <w:lang w:val="zh-CN"/>
        </w:rPr>
        <w:t>67.8%</w:t>
      </w:r>
      <w:r>
        <w:rPr>
          <w:rFonts w:hint="eastAsia"/>
          <w:lang w:val="zh-CN"/>
        </w:rPr>
        <w:t>，而男女生的人数差从</w:t>
      </w:r>
      <w:r>
        <w:rPr>
          <w:lang w:val="zh-CN"/>
        </w:rPr>
        <w:t>28</w:t>
      </w:r>
      <w:r>
        <w:t>,</w:t>
      </w:r>
      <w:r>
        <w:rPr>
          <w:lang w:val="zh-CN"/>
        </w:rPr>
        <w:t>988</w:t>
      </w:r>
      <w:r>
        <w:rPr>
          <w:rFonts w:hint="eastAsia"/>
          <w:lang w:val="zh-CN"/>
        </w:rPr>
        <w:t>人变为</w:t>
      </w:r>
      <w:r>
        <w:rPr>
          <w:lang w:val="zh-CN"/>
        </w:rPr>
        <w:t>52</w:t>
      </w:r>
      <w:r>
        <w:t>,</w:t>
      </w:r>
      <w:r>
        <w:rPr>
          <w:lang w:val="zh-CN"/>
        </w:rPr>
        <w:t>526</w:t>
      </w:r>
      <w:r>
        <w:rPr>
          <w:rFonts w:hint="eastAsia"/>
          <w:lang w:val="zh-CN"/>
        </w:rPr>
        <w:t>人，女生数量更多。在毕业生人数方面，数据显示</w:t>
      </w:r>
      <w:r>
        <w:rPr>
          <w:lang w:val="zh-CN"/>
        </w:rPr>
        <w:t>2002</w:t>
      </w:r>
      <w:r>
        <w:rPr>
          <w:rFonts w:hint="eastAsia"/>
          <w:lang w:val="zh-CN"/>
        </w:rPr>
        <w:t>年至</w:t>
      </w:r>
      <w:r>
        <w:rPr>
          <w:lang w:val="zh-CN"/>
        </w:rPr>
        <w:t>2009</w:t>
      </w:r>
      <w:r>
        <w:rPr>
          <w:rFonts w:hint="eastAsia"/>
          <w:lang w:val="zh-CN"/>
        </w:rPr>
        <w:t>年期间女生的毕业人数稳占优势，这一时期高等教育的全体毕业生中，</w:t>
      </w:r>
      <w:r>
        <w:rPr>
          <w:lang w:val="zh-CN"/>
        </w:rPr>
        <w:t>55%</w:t>
      </w:r>
      <w:r>
        <w:rPr>
          <w:rFonts w:hint="eastAsia"/>
          <w:lang w:val="zh-CN"/>
        </w:rPr>
        <w:t>为女生，</w:t>
      </w:r>
      <w:r>
        <w:rPr>
          <w:lang w:val="zh-CN"/>
        </w:rPr>
        <w:t>45%</w:t>
      </w:r>
      <w:r>
        <w:rPr>
          <w:rFonts w:hint="eastAsia"/>
          <w:lang w:val="zh-CN"/>
        </w:rPr>
        <w:t>为男生。</w:t>
      </w:r>
      <w:r>
        <w:rPr>
          <w:lang w:val="zh-CN"/>
        </w:rPr>
        <w:t>2006-2010</w:t>
      </w:r>
      <w:r>
        <w:rPr>
          <w:rFonts w:hint="eastAsia"/>
          <w:lang w:val="zh-CN"/>
        </w:rPr>
        <w:t>年期间，由国家学徒服务局提供的职业培训的受益者中，</w:t>
      </w:r>
      <w:r>
        <w:rPr>
          <w:lang w:val="zh-CN"/>
        </w:rPr>
        <w:t>54%</w:t>
      </w:r>
      <w:r>
        <w:rPr>
          <w:rFonts w:hint="eastAsia"/>
          <w:lang w:val="zh-CN"/>
        </w:rPr>
        <w:t>为女性。</w:t>
      </w:r>
    </w:p>
    <w:p w:rsidR="00A83775" w:rsidRDefault="00A83775">
      <w:pPr>
        <w:pStyle w:val="SingleTxtGC"/>
      </w:pPr>
      <w:r>
        <w:rPr>
          <w:lang w:val="zh-CN"/>
        </w:rPr>
        <w:t xml:space="preserve">28.  </w:t>
      </w:r>
      <w:r>
        <w:rPr>
          <w:rFonts w:hint="eastAsia"/>
          <w:lang w:val="zh-CN"/>
        </w:rPr>
        <w:t>几乎各级教育的辍学率都有所下降，但是在高等教育领域辍学率非常高。虽然在数量上的差别有所改善，但是其他差别仍十分明显，这与学校中固有的性别陈规定型观念密切相关，并进而对女童、少女和妇女的能力、兴趣和潜力的全面发展造成了负面影响。</w:t>
      </w:r>
    </w:p>
    <w:p w:rsidR="00A83775" w:rsidRDefault="00A83775">
      <w:pPr>
        <w:pStyle w:val="SingleTxtGC"/>
        <w:rPr>
          <w:lang w:val="es-CO"/>
        </w:rPr>
      </w:pPr>
      <w:r>
        <w:rPr>
          <w:lang w:val="zh-CN"/>
        </w:rPr>
        <w:t xml:space="preserve">29.  </w:t>
      </w:r>
      <w:r>
        <w:rPr>
          <w:rFonts w:hint="eastAsia"/>
          <w:lang w:val="zh-CN"/>
        </w:rPr>
        <w:t>在政府出台的劳务市场和劳务关系政策方面，倾向于引导更多的哥伦比亚人就业，从事生产劳动，获得稳定收入，并加入社会保障体系，而良好的经济形势使这一切成为可能。在这方面，旨在促进经济增长的战略对各类一般性就业产生了影响，这反映在失业率减少且正式就业增加，而这意味着参加社会保障体系的缴费人数比例有所提高。</w:t>
      </w:r>
    </w:p>
    <w:p w:rsidR="00A83775" w:rsidRDefault="00A83775">
      <w:pPr>
        <w:pStyle w:val="SingleTxtGC"/>
        <w:rPr>
          <w:lang w:val="es-CO"/>
        </w:rPr>
      </w:pPr>
      <w:r>
        <w:rPr>
          <w:lang w:val="es-MX"/>
        </w:rPr>
        <w:t xml:space="preserve">30.  </w:t>
      </w:r>
      <w:r>
        <w:rPr>
          <w:lang w:val="zh-CN"/>
        </w:rPr>
        <w:t>2006-2010</w:t>
      </w:r>
      <w:r>
        <w:rPr>
          <w:rFonts w:hint="eastAsia"/>
          <w:lang w:val="zh-CN"/>
        </w:rPr>
        <w:t>年期间，妇女的劳动参与率增加了</w:t>
      </w:r>
      <w:r>
        <w:rPr>
          <w:lang w:val="zh-CN"/>
        </w:rPr>
        <w:t>5</w:t>
      </w:r>
      <w:r>
        <w:rPr>
          <w:rFonts w:hint="eastAsia"/>
          <w:lang w:val="zh-CN"/>
        </w:rPr>
        <w:t>个百分点，</w:t>
      </w:r>
      <w:r>
        <w:rPr>
          <w:vertAlign w:val="superscript"/>
          <w:lang w:val="zh-CN"/>
        </w:rPr>
        <w:footnoteReference w:id="9"/>
      </w:r>
      <w:r>
        <w:t xml:space="preserve"> </w:t>
      </w:r>
      <w:r>
        <w:rPr>
          <w:rFonts w:hint="eastAsia"/>
          <w:lang w:val="zh-CN"/>
        </w:rPr>
        <w:t>但是比男性的劳动参与率低</w:t>
      </w:r>
      <w:r>
        <w:rPr>
          <w:lang w:val="zh-CN"/>
        </w:rPr>
        <w:t>24</w:t>
      </w:r>
      <w:r>
        <w:rPr>
          <w:rFonts w:hint="eastAsia"/>
          <w:lang w:val="zh-CN"/>
        </w:rPr>
        <w:t>个百分点，在妇女参与有偿劳动方面存在准入障碍。在报告期内，妇女就业率提高了</w:t>
      </w:r>
      <w:r>
        <w:rPr>
          <w:lang w:val="zh-CN"/>
        </w:rPr>
        <w:t>4.4</w:t>
      </w:r>
      <w:r>
        <w:rPr>
          <w:rFonts w:hint="eastAsia"/>
          <w:lang w:val="zh-CN"/>
        </w:rPr>
        <w:t>个百分点，超过了男子就业率</w:t>
      </w:r>
      <w:r>
        <w:rPr>
          <w:lang w:val="zh-CN"/>
        </w:rPr>
        <w:t>2.2</w:t>
      </w:r>
      <w:r>
        <w:rPr>
          <w:rFonts w:hint="eastAsia"/>
          <w:lang w:val="zh-CN"/>
        </w:rPr>
        <w:t>个百分点的提高幅度，但是</w:t>
      </w:r>
      <w:r>
        <w:rPr>
          <w:lang w:val="zh-CN"/>
        </w:rPr>
        <w:t>2010</w:t>
      </w:r>
      <w:r>
        <w:rPr>
          <w:rFonts w:hint="eastAsia"/>
          <w:lang w:val="zh-CN"/>
        </w:rPr>
        <w:t>年男子就业率为</w:t>
      </w:r>
      <w:r>
        <w:rPr>
          <w:lang w:val="zh-CN"/>
        </w:rPr>
        <w:t>67.5%</w:t>
      </w:r>
      <w:r>
        <w:rPr>
          <w:rFonts w:hint="eastAsia"/>
          <w:lang w:val="zh-CN"/>
        </w:rPr>
        <w:t>，而妇女为</w:t>
      </w:r>
      <w:r>
        <w:rPr>
          <w:lang w:val="zh-CN"/>
        </w:rPr>
        <w:t>43.7%</w:t>
      </w:r>
      <w:r>
        <w:rPr>
          <w:rFonts w:hint="eastAsia"/>
          <w:lang w:val="zh-CN"/>
        </w:rPr>
        <w:t>。</w:t>
      </w:r>
      <w:r>
        <w:rPr>
          <w:vertAlign w:val="superscript"/>
          <w:lang w:val="zh-CN"/>
        </w:rPr>
        <w:footnoteReference w:id="10"/>
      </w:r>
      <w:r>
        <w:rPr>
          <w:lang w:val="es-MX"/>
        </w:rPr>
        <w:t xml:space="preserve"> </w:t>
      </w:r>
    </w:p>
    <w:p w:rsidR="00A83775" w:rsidRDefault="00A83775">
      <w:pPr>
        <w:pStyle w:val="SingleTxtGC"/>
        <w:rPr>
          <w:lang w:val="zh-CN"/>
        </w:rPr>
      </w:pPr>
      <w:r>
        <w:rPr>
          <w:lang w:val="es-MX"/>
        </w:rPr>
        <w:t xml:space="preserve">31.  </w:t>
      </w:r>
      <w:r>
        <w:rPr>
          <w:rFonts w:hint="eastAsia"/>
          <w:lang w:val="zh-CN"/>
        </w:rPr>
        <w:t>男性和女性的失业率都有所下降，男女失业率的差别相对稳定，略有缩减。</w:t>
      </w:r>
      <w:r>
        <w:rPr>
          <w:vertAlign w:val="superscript"/>
          <w:lang w:val="zh-CN"/>
        </w:rPr>
        <w:footnoteReference w:id="11"/>
      </w:r>
      <w:r>
        <w:t xml:space="preserve"> </w:t>
      </w:r>
      <w:r>
        <w:rPr>
          <w:lang w:val="zh-CN"/>
        </w:rPr>
        <w:t>2010</w:t>
      </w:r>
      <w:r>
        <w:rPr>
          <w:rFonts w:hint="eastAsia"/>
          <w:lang w:val="zh-CN"/>
        </w:rPr>
        <w:t>年，男性失业率为</w:t>
      </w:r>
      <w:r>
        <w:rPr>
          <w:lang w:val="zh-CN"/>
        </w:rPr>
        <w:t>9%</w:t>
      </w:r>
      <w:r>
        <w:rPr>
          <w:rFonts w:hint="eastAsia"/>
          <w:lang w:val="zh-CN"/>
        </w:rPr>
        <w:t>，女性则为</w:t>
      </w:r>
      <w:r>
        <w:rPr>
          <w:lang w:val="zh-CN"/>
        </w:rPr>
        <w:t>15.6%</w:t>
      </w:r>
      <w:r>
        <w:rPr>
          <w:rFonts w:hint="eastAsia"/>
          <w:lang w:val="zh-CN"/>
        </w:rPr>
        <w:t>。造成男女失业率差别的一个主要原因可能是由于过去妇女更多地从事照顾家庭和无偿劳动工作。在过去，妇女承担了生养子女和照顾家人的相关劳动，而这些劳动却无法获得市场价值回报，其付出都是无形而易被忽视的。</w:t>
      </w:r>
    </w:p>
    <w:p w:rsidR="00A83775" w:rsidRDefault="00A83775">
      <w:pPr>
        <w:pStyle w:val="SingleTxtGC"/>
        <w:rPr>
          <w:lang w:val="es-ES"/>
        </w:rPr>
      </w:pPr>
      <w:r>
        <w:rPr>
          <w:lang w:val="zh-CN"/>
        </w:rPr>
        <w:t xml:space="preserve">32.  </w:t>
      </w:r>
      <w:r>
        <w:rPr>
          <w:rFonts w:hint="eastAsia"/>
          <w:lang w:val="zh-CN"/>
        </w:rPr>
        <w:t>另一方面，社会医疗保障体系关于劳动力市场正式就业的数据显示，职业妇女所付出的劳动要远高于男子，但是其报酬却要少于男子。不过，近年来薪酬差异已在逐步缩减。</w:t>
      </w:r>
    </w:p>
    <w:p w:rsidR="00A83775" w:rsidRDefault="00A83775">
      <w:pPr>
        <w:pStyle w:val="SingleTxtGC"/>
        <w:rPr>
          <w:lang w:val="zh-CN"/>
        </w:rPr>
      </w:pPr>
      <w:r>
        <w:rPr>
          <w:lang w:val="es-ES"/>
        </w:rPr>
        <w:t xml:space="preserve">33.  </w:t>
      </w:r>
      <w:r>
        <w:rPr>
          <w:rFonts w:hint="eastAsia"/>
          <w:lang w:val="zh-CN"/>
        </w:rPr>
        <w:t>哥伦比亚政府认识到了在这一领域全面行使妇女权利方面存在的挑战，并推进各项活动以消除在劳务市场上存在的对妇女的歧视，推进实施各项战略来对妇女进行劳动培训并开展活动以促进就业和企业发展，等等。尤为值得一提的是最近出台了针对怀孕女工的法律，将其带薪产假延长到</w:t>
      </w:r>
      <w:r>
        <w:rPr>
          <w:lang w:val="zh-CN"/>
        </w:rPr>
        <w:t>14</w:t>
      </w:r>
      <w:r>
        <w:rPr>
          <w:rFonts w:hint="eastAsia"/>
          <w:lang w:val="zh-CN"/>
        </w:rPr>
        <w:t>周。</w:t>
      </w:r>
      <w:r>
        <w:rPr>
          <w:vertAlign w:val="superscript"/>
          <w:lang w:val="zh-CN"/>
        </w:rPr>
        <w:footnoteReference w:id="12"/>
      </w:r>
    </w:p>
    <w:p w:rsidR="00A83775" w:rsidRDefault="00A83775">
      <w:pPr>
        <w:pStyle w:val="SingleTxtGC"/>
        <w:rPr>
          <w:lang w:val="zh-CN"/>
        </w:rPr>
      </w:pPr>
      <w:r>
        <w:rPr>
          <w:lang w:val="zh-CN"/>
        </w:rPr>
        <w:t xml:space="preserve">34.  </w:t>
      </w:r>
      <w:r>
        <w:rPr>
          <w:rFonts w:hint="eastAsia"/>
          <w:lang w:val="zh-CN"/>
        </w:rPr>
        <w:t>在医疗保健领域，政府通过社会医疗保障总体系，将</w:t>
      </w:r>
      <w:r>
        <w:rPr>
          <w:lang w:val="zh-CN"/>
        </w:rPr>
        <w:t>96%</w:t>
      </w:r>
      <w:r>
        <w:rPr>
          <w:rFonts w:hint="eastAsia"/>
          <w:lang w:val="zh-CN"/>
        </w:rPr>
        <w:t>的哥伦比亚人口纳入到其保障范围内。同样还通过颁布若干司法令统一了义务保健计划，通过指导临床实践对艾滋病毒</w:t>
      </w:r>
      <w:r>
        <w:rPr>
          <w:lang w:val="zh-CN"/>
        </w:rPr>
        <w:t>/</w:t>
      </w:r>
      <w:r>
        <w:rPr>
          <w:rFonts w:hint="eastAsia"/>
          <w:lang w:val="zh-CN"/>
        </w:rPr>
        <w:t>艾滋病案例的科学诊治予以引导，以及指导对其他疾病进行护理。同时其他社会保障，如养老金保险和职业风险管理体系的保障覆盖面也有所增加。</w:t>
      </w:r>
    </w:p>
    <w:p w:rsidR="00A83775" w:rsidRDefault="00A83775">
      <w:pPr>
        <w:pStyle w:val="SingleTxtGC"/>
        <w:rPr>
          <w:lang w:val="es-CO"/>
        </w:rPr>
      </w:pPr>
      <w:r>
        <w:rPr>
          <w:lang w:val="zh-CN"/>
        </w:rPr>
        <w:t xml:space="preserve">35.  </w:t>
      </w:r>
      <w:r>
        <w:rPr>
          <w:rFonts w:hint="eastAsia"/>
          <w:lang w:val="zh-CN"/>
        </w:rPr>
        <w:t>在《</w:t>
      </w:r>
      <w:r>
        <w:rPr>
          <w:lang w:val="zh-CN"/>
        </w:rPr>
        <w:t>2007-2010</w:t>
      </w:r>
      <w:r>
        <w:rPr>
          <w:rFonts w:hint="eastAsia"/>
          <w:lang w:val="zh-CN"/>
        </w:rPr>
        <w:t>年国家公共卫生计划》的开展过程中，推进实施了若干行动，旨在降低儿童死亡率和发病率，维持疫苗的有效接种率并增进在性健康和生殖健康方面的权利。这些进步举措表现在六大方面：安全孕产、计划生育、青少年的性健康和生殖健康、宫颈癌和乳腺癌，包含艾滋病毒</w:t>
      </w:r>
      <w:r>
        <w:rPr>
          <w:lang w:val="zh-CN"/>
        </w:rPr>
        <w:t>/</w:t>
      </w:r>
      <w:r>
        <w:rPr>
          <w:rFonts w:hint="eastAsia"/>
          <w:lang w:val="zh-CN"/>
        </w:rPr>
        <w:t>艾滋病在内的性传播疾病以及预防家庭暴力和性暴力。</w:t>
      </w:r>
    </w:p>
    <w:p w:rsidR="00A83775" w:rsidRDefault="00A83775">
      <w:pPr>
        <w:pStyle w:val="SingleTxtGC"/>
        <w:rPr>
          <w:lang w:val="es-ES"/>
        </w:rPr>
      </w:pPr>
      <w:r>
        <w:rPr>
          <w:lang w:val="es-CO"/>
        </w:rPr>
        <w:t xml:space="preserve">36.  </w:t>
      </w:r>
      <w:r>
        <w:rPr>
          <w:lang w:val="zh-CN"/>
        </w:rPr>
        <w:t>2010</w:t>
      </w:r>
      <w:r>
        <w:rPr>
          <w:rFonts w:hint="eastAsia"/>
          <w:lang w:val="zh-CN"/>
        </w:rPr>
        <w:t>年全国人口和卫生普查结果显示，生育率出现了下降趋势，从</w:t>
      </w:r>
      <w:r>
        <w:rPr>
          <w:lang w:val="zh-CN"/>
        </w:rPr>
        <w:t>2005</w:t>
      </w:r>
      <w:r>
        <w:rPr>
          <w:rFonts w:hint="eastAsia"/>
          <w:lang w:val="zh-CN"/>
        </w:rPr>
        <w:t>年的人均生育</w:t>
      </w:r>
      <w:r>
        <w:rPr>
          <w:lang w:val="zh-CN"/>
        </w:rPr>
        <w:t>2.4</w:t>
      </w:r>
      <w:r>
        <w:rPr>
          <w:rFonts w:hint="eastAsia"/>
          <w:lang w:val="zh-CN"/>
        </w:rPr>
        <w:t>名子女下降到</w:t>
      </w:r>
      <w:r>
        <w:rPr>
          <w:lang w:val="zh-CN"/>
        </w:rPr>
        <w:t>2010</w:t>
      </w:r>
      <w:r>
        <w:rPr>
          <w:rFonts w:hint="eastAsia"/>
          <w:lang w:val="zh-CN"/>
        </w:rPr>
        <w:t>年的</w:t>
      </w:r>
      <w:r>
        <w:rPr>
          <w:lang w:val="zh-CN"/>
        </w:rPr>
        <w:t>2.1</w:t>
      </w:r>
      <w:r>
        <w:rPr>
          <w:rFonts w:hint="eastAsia"/>
          <w:lang w:val="zh-CN"/>
        </w:rPr>
        <w:t>名子女，但是，</w:t>
      </w:r>
      <w:r>
        <w:rPr>
          <w:lang w:val="zh-CN"/>
        </w:rPr>
        <w:t>15-19</w:t>
      </w:r>
      <w:r>
        <w:rPr>
          <w:rFonts w:hint="eastAsia"/>
          <w:lang w:val="zh-CN"/>
        </w:rPr>
        <w:t>岁年龄段的少女中，每五名就有一名有过怀孕经历。这一年龄段中</w:t>
      </w:r>
      <w:r>
        <w:rPr>
          <w:lang w:val="zh-CN"/>
        </w:rPr>
        <w:t>16%</w:t>
      </w:r>
      <w:r>
        <w:rPr>
          <w:rFonts w:hint="eastAsia"/>
          <w:lang w:val="zh-CN"/>
        </w:rPr>
        <w:t>已为人母，而</w:t>
      </w:r>
      <w:r>
        <w:rPr>
          <w:lang w:val="zh-CN"/>
        </w:rPr>
        <w:t>4%</w:t>
      </w:r>
      <w:r>
        <w:rPr>
          <w:rFonts w:hint="eastAsia"/>
          <w:lang w:val="zh-CN"/>
        </w:rPr>
        <w:t>正在等待其第一个子女的降生。</w:t>
      </w:r>
    </w:p>
    <w:p w:rsidR="00A83775" w:rsidRDefault="00A83775">
      <w:pPr>
        <w:pStyle w:val="SingleTxtGC"/>
        <w:rPr>
          <w:lang w:val="zh-CN"/>
        </w:rPr>
      </w:pPr>
      <w:r>
        <w:rPr>
          <w:lang w:val="es-ES"/>
        </w:rPr>
        <w:t xml:space="preserve">37.  </w:t>
      </w:r>
      <w:r>
        <w:rPr>
          <w:rFonts w:hint="eastAsia"/>
          <w:lang w:val="zh-CN"/>
        </w:rPr>
        <w:t>哥伦比亚政府通过社会保障部针对提高计划生育服务的覆盖面和缩减各类群体之间的不平等已经开展了大量努力。避孕措施的使用率在</w:t>
      </w:r>
      <w:r>
        <w:rPr>
          <w:lang w:val="zh-CN"/>
        </w:rPr>
        <w:t>1990</w:t>
      </w:r>
      <w:r>
        <w:rPr>
          <w:rFonts w:hint="eastAsia"/>
          <w:lang w:val="zh-CN"/>
        </w:rPr>
        <w:t>到</w:t>
      </w:r>
      <w:r>
        <w:rPr>
          <w:lang w:val="zh-CN"/>
        </w:rPr>
        <w:t>2010</w:t>
      </w:r>
      <w:r>
        <w:rPr>
          <w:rFonts w:hint="eastAsia"/>
          <w:lang w:val="zh-CN"/>
        </w:rPr>
        <w:t>年期间增加了</w:t>
      </w:r>
      <w:r>
        <w:rPr>
          <w:lang w:val="zh-CN"/>
        </w:rPr>
        <w:t>13</w:t>
      </w:r>
      <w:r>
        <w:rPr>
          <w:rFonts w:hint="eastAsia"/>
          <w:lang w:val="zh-CN"/>
        </w:rPr>
        <w:t>个百分点。</w:t>
      </w:r>
      <w:r>
        <w:rPr>
          <w:vertAlign w:val="superscript"/>
          <w:lang w:val="zh-CN"/>
        </w:rPr>
        <w:footnoteReference w:id="13"/>
      </w:r>
    </w:p>
    <w:p w:rsidR="00A83775" w:rsidRDefault="00A83775">
      <w:pPr>
        <w:pStyle w:val="SingleTxtGC"/>
        <w:rPr>
          <w:rFonts w:hint="eastAsia"/>
          <w:lang w:val="zh-CN"/>
        </w:rPr>
      </w:pPr>
      <w:r>
        <w:rPr>
          <w:lang w:val="zh-CN"/>
        </w:rPr>
        <w:t xml:space="preserve">38.  </w:t>
      </w:r>
      <w:r>
        <w:rPr>
          <w:rFonts w:hint="eastAsia"/>
          <w:lang w:val="zh-CN"/>
        </w:rPr>
        <w:t>近五年来</w:t>
      </w:r>
      <w:r>
        <w:rPr>
          <w:lang w:val="zh-CN"/>
        </w:rPr>
        <w:t>92%</w:t>
      </w:r>
      <w:r>
        <w:rPr>
          <w:rFonts w:hint="eastAsia"/>
          <w:lang w:val="zh-CN"/>
        </w:rPr>
        <w:t>的孕妇由医生负责接生，</w:t>
      </w:r>
      <w:r>
        <w:rPr>
          <w:lang w:val="zh-CN"/>
        </w:rPr>
        <w:t>5%</w:t>
      </w:r>
      <w:r>
        <w:rPr>
          <w:rFonts w:hint="eastAsia"/>
          <w:lang w:val="zh-CN"/>
        </w:rPr>
        <w:t>由护士负责接生，同样，产前检查的次数以及新生儿破伤风免疫接种的数量也有所增加。</w:t>
      </w:r>
      <w:r>
        <w:rPr>
          <w:lang w:val="zh-CN"/>
        </w:rPr>
        <w:t>56%-66%</w:t>
      </w:r>
      <w:r>
        <w:rPr>
          <w:rFonts w:hint="eastAsia"/>
          <w:lang w:val="zh-CN"/>
        </w:rPr>
        <w:t>的产后健康问题都得到了医生诊治。</w:t>
      </w:r>
    </w:p>
    <w:p w:rsidR="00A83775" w:rsidRDefault="00A83775">
      <w:pPr>
        <w:pStyle w:val="SingleTxtGC"/>
        <w:rPr>
          <w:rFonts w:hint="eastAsia"/>
          <w:lang w:val="zh-CN"/>
        </w:rPr>
      </w:pPr>
      <w:r>
        <w:rPr>
          <w:lang w:val="zh-CN"/>
        </w:rPr>
        <w:t xml:space="preserve">39.  </w:t>
      </w:r>
      <w:r>
        <w:rPr>
          <w:rFonts w:hint="eastAsia"/>
          <w:lang w:val="zh-CN"/>
        </w:rPr>
        <w:t>在对哥伦比亚允许终止妊娠原因的了解方面，略超过四分之三的妇女表示清楚每一项允许中断妊娠的原因：</w:t>
      </w:r>
      <w:r>
        <w:rPr>
          <w:lang w:val="zh-CN"/>
        </w:rPr>
        <w:t>76%</w:t>
      </w:r>
      <w:r>
        <w:rPr>
          <w:rFonts w:hint="eastAsia"/>
          <w:lang w:val="zh-CN"/>
        </w:rPr>
        <w:t>的妇女提到当怀孕对母体造成生命或健康危险时允许终止妊娠，</w:t>
      </w:r>
      <w:r>
        <w:rPr>
          <w:lang w:val="zh-CN"/>
        </w:rPr>
        <w:t>79%</w:t>
      </w:r>
      <w:r>
        <w:rPr>
          <w:rFonts w:hint="eastAsia"/>
          <w:lang w:val="zh-CN"/>
        </w:rPr>
        <w:t>的妇女提到当胎儿有严重畸形时允许终止妊娠，</w:t>
      </w:r>
      <w:r>
        <w:rPr>
          <w:lang w:val="zh-CN"/>
        </w:rPr>
        <w:t>78%</w:t>
      </w:r>
      <w:r>
        <w:rPr>
          <w:rFonts w:hint="eastAsia"/>
          <w:lang w:val="zh-CN"/>
        </w:rPr>
        <w:t>的妇女提到当女性因强奸受孕时允许终止妊娠。</w:t>
      </w:r>
      <w:r>
        <w:rPr>
          <w:lang w:val="zh-CN"/>
        </w:rPr>
        <w:t>2010</w:t>
      </w:r>
      <w:r>
        <w:rPr>
          <w:rFonts w:hint="eastAsia"/>
          <w:lang w:val="zh-CN"/>
        </w:rPr>
        <w:t>年全国人口和卫生普查结果显示了解上述三大允许终止妊娠原因的妇女以</w:t>
      </w:r>
      <w:r>
        <w:rPr>
          <w:lang w:val="zh-CN"/>
        </w:rPr>
        <w:t>20-34</w:t>
      </w:r>
      <w:r>
        <w:rPr>
          <w:rFonts w:hint="eastAsia"/>
          <w:lang w:val="zh-CN"/>
        </w:rPr>
        <w:t>岁女性、单身女性和已生育过</w:t>
      </w:r>
      <w:r>
        <w:rPr>
          <w:lang w:val="zh-CN"/>
        </w:rPr>
        <w:t>1-2</w:t>
      </w:r>
      <w:r>
        <w:rPr>
          <w:rFonts w:hint="eastAsia"/>
          <w:lang w:val="zh-CN"/>
        </w:rPr>
        <w:t>名活产子女的女性居多。</w:t>
      </w:r>
    </w:p>
    <w:p w:rsidR="00A83775" w:rsidRDefault="00A83775">
      <w:pPr>
        <w:pStyle w:val="SingleTxtGC"/>
        <w:rPr>
          <w:rFonts w:hint="eastAsia"/>
          <w:lang w:val="es-ES"/>
        </w:rPr>
      </w:pPr>
      <w:r>
        <w:rPr>
          <w:lang w:val="zh-CN"/>
        </w:rPr>
        <w:t xml:space="preserve">40.  </w:t>
      </w:r>
      <w:r>
        <w:rPr>
          <w:rFonts w:hint="eastAsia"/>
          <w:lang w:val="zh-CN"/>
        </w:rPr>
        <w:t>艾滋病毒</w:t>
      </w:r>
      <w:r>
        <w:rPr>
          <w:lang w:val="zh-CN"/>
        </w:rPr>
        <w:t>/</w:t>
      </w:r>
      <w:r>
        <w:rPr>
          <w:rFonts w:hint="eastAsia"/>
          <w:lang w:val="zh-CN"/>
        </w:rPr>
        <w:t>艾滋病的知识几近得到了普及：</w:t>
      </w:r>
      <w:r>
        <w:rPr>
          <w:lang w:val="zh-CN"/>
        </w:rPr>
        <w:t>2010</w:t>
      </w:r>
      <w:r>
        <w:rPr>
          <w:rFonts w:hint="eastAsia"/>
          <w:lang w:val="zh-CN"/>
        </w:rPr>
        <w:t>年全国人口和卫生普查的受访者中，</w:t>
      </w:r>
      <w:r>
        <w:rPr>
          <w:lang w:val="zh-CN"/>
        </w:rPr>
        <w:t>99%</w:t>
      </w:r>
      <w:r>
        <w:rPr>
          <w:rFonts w:hint="eastAsia"/>
          <w:lang w:val="zh-CN"/>
        </w:rPr>
        <w:t>表示曾经听说过这一疾病。</w:t>
      </w:r>
      <w:r>
        <w:rPr>
          <w:lang w:val="zh-CN"/>
        </w:rPr>
        <w:t>15-24</w:t>
      </w:r>
      <w:r>
        <w:rPr>
          <w:rFonts w:hint="eastAsia"/>
          <w:lang w:val="zh-CN"/>
        </w:rPr>
        <w:t>岁年龄段的年轻群体对这一疾病的认识较少。只有一半（</w:t>
      </w:r>
      <w:r>
        <w:rPr>
          <w:lang w:val="zh-CN"/>
        </w:rPr>
        <w:t>51%</w:t>
      </w:r>
      <w:r>
        <w:rPr>
          <w:rFonts w:hint="eastAsia"/>
          <w:lang w:val="zh-CN"/>
        </w:rPr>
        <w:t>）的受访者正确答出了艾滋病毒可能会通过哺乳传播这一问题，只有近</w:t>
      </w:r>
      <w:r>
        <w:rPr>
          <w:lang w:val="zh-CN"/>
        </w:rPr>
        <w:t>32%</w:t>
      </w:r>
      <w:r>
        <w:rPr>
          <w:rFonts w:hint="eastAsia"/>
          <w:lang w:val="zh-CN"/>
        </w:rPr>
        <w:t>的受访者表示艾滋病通过母婴垂直传播的风险可以通过母亲在怀孕期间服用特殊药物而降低。</w:t>
      </w:r>
    </w:p>
    <w:p w:rsidR="00A83775" w:rsidRDefault="00A83775">
      <w:pPr>
        <w:pStyle w:val="SingleTxtGC"/>
        <w:rPr>
          <w:lang w:val="zh-CN"/>
        </w:rPr>
      </w:pPr>
      <w:r>
        <w:rPr>
          <w:lang w:val="es-ES"/>
        </w:rPr>
        <w:t xml:space="preserve">41.  </w:t>
      </w:r>
      <w:r>
        <w:rPr>
          <w:rFonts w:hint="eastAsia"/>
          <w:lang w:val="zh-CN"/>
        </w:rPr>
        <w:t>在国内开展的最近几次癌症发病率统计中，乳腺癌高居首位，每年有接近</w:t>
      </w:r>
      <w:r>
        <w:rPr>
          <w:lang w:val="zh-CN"/>
        </w:rPr>
        <w:t>7 000</w:t>
      </w:r>
      <w:r>
        <w:rPr>
          <w:rFonts w:hint="eastAsia"/>
          <w:lang w:val="zh-CN"/>
        </w:rPr>
        <w:t>例新增病例，紧随其后的是宫颈癌，每年新增病例</w:t>
      </w:r>
      <w:r>
        <w:rPr>
          <w:lang w:val="zh-CN"/>
        </w:rPr>
        <w:t>5 600</w:t>
      </w:r>
      <w:r>
        <w:rPr>
          <w:rFonts w:hint="eastAsia"/>
          <w:lang w:val="zh-CN"/>
        </w:rPr>
        <w:t>例。在哥伦比亚社会医疗保障总体系中，</w:t>
      </w:r>
      <w:r>
        <w:rPr>
          <w:lang w:val="zh-CN"/>
        </w:rPr>
        <w:t>25-69</w:t>
      </w:r>
      <w:r>
        <w:rPr>
          <w:rFonts w:hint="eastAsia"/>
          <w:lang w:val="zh-CN"/>
        </w:rPr>
        <w:t>岁年龄段以及未满</w:t>
      </w:r>
      <w:r>
        <w:rPr>
          <w:lang w:val="zh-CN"/>
        </w:rPr>
        <w:t>25</w:t>
      </w:r>
      <w:r>
        <w:rPr>
          <w:rFonts w:hint="eastAsia"/>
          <w:lang w:val="zh-CN"/>
        </w:rPr>
        <w:t>岁但有活跃性生活的所有女性参保者均有权接受免费细胞学检查。</w:t>
      </w:r>
    </w:p>
    <w:p w:rsidR="00A83775" w:rsidRDefault="00A83775">
      <w:pPr>
        <w:pStyle w:val="SingleTxtGC"/>
      </w:pPr>
      <w:r>
        <w:rPr>
          <w:lang w:val="zh-CN"/>
        </w:rPr>
        <w:t xml:space="preserve">42.  </w:t>
      </w:r>
      <w:r>
        <w:rPr>
          <w:rFonts w:hint="eastAsia"/>
          <w:lang w:val="zh-CN"/>
        </w:rPr>
        <w:t>另一方面，就国家性别事务机制问题，在桑托斯总统的领导下，妇女平等事务总统顾问办公室通过</w:t>
      </w:r>
      <w:r>
        <w:rPr>
          <w:lang w:val="zh-CN"/>
        </w:rPr>
        <w:t>2010</w:t>
      </w:r>
      <w:r>
        <w:rPr>
          <w:rFonts w:hint="eastAsia"/>
          <w:lang w:val="zh-CN"/>
        </w:rPr>
        <w:t>年的第</w:t>
      </w:r>
      <w:r>
        <w:rPr>
          <w:lang w:val="zh-CN"/>
        </w:rPr>
        <w:t>3445</w:t>
      </w:r>
      <w:r>
        <w:rPr>
          <w:rFonts w:hint="eastAsia"/>
          <w:lang w:val="zh-CN"/>
        </w:rPr>
        <w:t>号法令被更改为总统高级顾问办公室，并批准了高级顾问办公室的职能。现届政府十分重视通过这一机构将性别观点全面纳入到国家政策中，以便实现男女机会均等。为此，已经承诺从技术上和预算上强化这一机制，以便落实其各项目标。</w:t>
      </w:r>
    </w:p>
    <w:p w:rsidR="00A83775" w:rsidRDefault="00A83775">
      <w:pPr>
        <w:pStyle w:val="SingleTxtGC"/>
        <w:rPr>
          <w:lang w:val="zh-CN"/>
        </w:rPr>
      </w:pPr>
      <w:r>
        <w:rPr>
          <w:lang w:val="zh-CN"/>
        </w:rPr>
        <w:t xml:space="preserve">43.  </w:t>
      </w:r>
      <w:r>
        <w:rPr>
          <w:rFonts w:hint="eastAsia"/>
          <w:lang w:val="zh-CN"/>
        </w:rPr>
        <w:t>同样，在《</w:t>
      </w:r>
      <w:r>
        <w:rPr>
          <w:lang w:val="zh-CN"/>
        </w:rPr>
        <w:t>2011-2014</w:t>
      </w:r>
      <w:r>
        <w:rPr>
          <w:rFonts w:hint="eastAsia"/>
          <w:lang w:val="zh-CN"/>
        </w:rPr>
        <w:t>年国家发展计划》框架内，国家政府和各家妇女组织通过决议声明有必要制定和实施一项针对妇女的不可分割、相互依存的两性平等公共政策，这一承诺已被纳入到本报告中。这一进程的特点就是促进妇女组织的广泛参与，加强其与国家政府之间的联系。预计公共政策将于</w:t>
      </w:r>
      <w:r>
        <w:rPr>
          <w:lang w:val="zh-CN"/>
        </w:rPr>
        <w:t>2012</w:t>
      </w:r>
      <w:r>
        <w:rPr>
          <w:rFonts w:hint="eastAsia"/>
          <w:lang w:val="zh-CN"/>
        </w:rPr>
        <w:t>年</w:t>
      </w:r>
      <w:r>
        <w:rPr>
          <w:lang w:val="zh-CN"/>
        </w:rPr>
        <w:t>3</w:t>
      </w:r>
      <w:r>
        <w:rPr>
          <w:rFonts w:hint="eastAsia"/>
          <w:lang w:val="zh-CN"/>
        </w:rPr>
        <w:t>月出台。</w:t>
      </w:r>
    </w:p>
    <w:p w:rsidR="00A83775" w:rsidRDefault="00A83775">
      <w:pPr>
        <w:pStyle w:val="HChGC"/>
        <w:rPr>
          <w:lang w:val="es-ES_tradnl"/>
        </w:rPr>
      </w:pPr>
      <w:r>
        <w:rPr>
          <w:lang w:val="es-ES_tradnl"/>
        </w:rPr>
        <w:tab/>
      </w:r>
      <w:r>
        <w:rPr>
          <w:rFonts w:hint="eastAsia"/>
          <w:lang w:val="zh-CN"/>
        </w:rPr>
        <w:t>二</w:t>
      </w:r>
      <w:r>
        <w:t>.</w:t>
      </w:r>
      <w:r>
        <w:rPr>
          <w:lang w:val="es-ES_tradnl"/>
        </w:rPr>
        <w:tab/>
      </w:r>
      <w:r>
        <w:rPr>
          <w:rFonts w:hint="eastAsia"/>
          <w:lang w:val="zh-CN"/>
        </w:rPr>
        <w:t>《公约》第一部分</w:t>
      </w:r>
    </w:p>
    <w:p w:rsidR="00A83775" w:rsidRDefault="00A83775">
      <w:pPr>
        <w:pStyle w:val="H1GC"/>
        <w:rPr>
          <w:lang w:val="es-ES"/>
        </w:rPr>
      </w:pPr>
      <w:r>
        <w:rPr>
          <w:lang w:val="es-ES"/>
        </w:rPr>
        <w:tab/>
      </w:r>
      <w:r>
        <w:rPr>
          <w:lang w:val="zh-CN"/>
        </w:rPr>
        <w:t>A.</w:t>
      </w:r>
      <w:r>
        <w:rPr>
          <w:lang w:val="es-ES"/>
        </w:rPr>
        <w:tab/>
      </w:r>
      <w:r>
        <w:rPr>
          <w:rFonts w:hint="eastAsia"/>
          <w:lang w:val="zh-CN"/>
        </w:rPr>
        <w:t>第一条</w:t>
      </w:r>
    </w:p>
    <w:p w:rsidR="00A83775" w:rsidRDefault="00A83775">
      <w:pPr>
        <w:pStyle w:val="SingleTxtGC"/>
        <w:rPr>
          <w:lang w:val="zh-CN"/>
        </w:rPr>
      </w:pPr>
      <w:r>
        <w:rPr>
          <w:lang w:val="es-ES"/>
        </w:rPr>
        <w:t xml:space="preserve">44.  </w:t>
      </w:r>
      <w:r>
        <w:rPr>
          <w:rFonts w:hint="eastAsia"/>
          <w:lang w:val="zh-CN"/>
        </w:rPr>
        <w:t>本节涉及到了委员会在其之前的结论性意见中对哥伦比亚具体提出的建议（</w:t>
      </w:r>
      <w:r>
        <w:rPr>
          <w:lang w:val="zh-CN"/>
        </w:rPr>
        <w:t>CEDAW/C/COL/CO/6</w:t>
      </w:r>
      <w:r>
        <w:rPr>
          <w:rFonts w:hint="eastAsia"/>
          <w:lang w:val="zh-CN"/>
        </w:rPr>
        <w:t>，第</w:t>
      </w:r>
      <w:r>
        <w:rPr>
          <w:lang w:val="zh-CN"/>
        </w:rPr>
        <w:t>11</w:t>
      </w:r>
      <w:r>
        <w:rPr>
          <w:rFonts w:hint="eastAsia"/>
          <w:lang w:val="zh-CN"/>
        </w:rPr>
        <w:t>、</w:t>
      </w:r>
      <w:r>
        <w:rPr>
          <w:lang w:val="zh-CN"/>
        </w:rPr>
        <w:t>13</w:t>
      </w:r>
      <w:r>
        <w:rPr>
          <w:rFonts w:hint="eastAsia"/>
          <w:lang w:val="zh-CN"/>
        </w:rPr>
        <w:t>和</w:t>
      </w:r>
      <w:r>
        <w:rPr>
          <w:lang w:val="zh-CN"/>
        </w:rPr>
        <w:t>19</w:t>
      </w:r>
      <w:r>
        <w:rPr>
          <w:rFonts w:hint="eastAsia"/>
          <w:lang w:val="zh-CN"/>
        </w:rPr>
        <w:t>段）以及委员会的第</w:t>
      </w:r>
      <w:r>
        <w:rPr>
          <w:lang w:val="zh-CN"/>
        </w:rPr>
        <w:t>19</w:t>
      </w:r>
      <w:r>
        <w:rPr>
          <w:rFonts w:hint="eastAsia"/>
          <w:lang w:val="zh-CN"/>
        </w:rPr>
        <w:t>号一般性建议。</w:t>
      </w:r>
    </w:p>
    <w:p w:rsidR="00A83775" w:rsidRDefault="00A83775">
      <w:pPr>
        <w:pStyle w:val="SingleTxtGC"/>
        <w:rPr>
          <w:lang w:val="zh-CN"/>
        </w:rPr>
      </w:pPr>
      <w:r>
        <w:rPr>
          <w:lang w:val="zh-CN"/>
        </w:rPr>
        <w:t xml:space="preserve">45.  </w:t>
      </w:r>
      <w:r>
        <w:rPr>
          <w:rFonts w:hint="eastAsia"/>
          <w:lang w:val="zh-CN"/>
        </w:rPr>
        <w:t>在“对妇女的歧视”的定义方面，哥伦比亚宪法和法律制度框架与《公约》第一条中规定的定义一致。</w:t>
      </w:r>
      <w:r>
        <w:rPr>
          <w:vertAlign w:val="superscript"/>
          <w:lang w:val="zh-CN"/>
        </w:rPr>
        <w:footnoteReference w:id="14"/>
      </w:r>
    </w:p>
    <w:p w:rsidR="00A83775" w:rsidRDefault="00A83775">
      <w:pPr>
        <w:pStyle w:val="SingleTxtGC"/>
        <w:rPr>
          <w:lang w:val="es-ES"/>
        </w:rPr>
      </w:pPr>
      <w:r>
        <w:rPr>
          <w:lang w:val="zh-CN"/>
        </w:rPr>
        <w:t xml:space="preserve">46.  </w:t>
      </w:r>
      <w:r>
        <w:rPr>
          <w:rFonts w:hint="eastAsia"/>
          <w:lang w:val="zh-CN"/>
        </w:rPr>
        <w:t>委员会在其第</w:t>
      </w:r>
      <w:r>
        <w:rPr>
          <w:lang w:val="zh-CN"/>
        </w:rPr>
        <w:t>19</w:t>
      </w:r>
      <w:r>
        <w:rPr>
          <w:rFonts w:hint="eastAsia"/>
          <w:lang w:val="zh-CN"/>
        </w:rPr>
        <w:t>号一般性建议中认为歧视的定义包括基于性别的暴力，即因为其是女性而对之施加暴力，或女性受害比例特大，并要求缔约国在其定期报告中纳入与之有关的信息，接下来将阐述哥伦比亚为预防和根除对妇女的暴力侵害这一项妨碍妇女在平等框架内全面发展的因素而采取的行政、立法和司法战略和措施。在教育、政治、社会和经济领域采取的其他相关战略将在论述《公约》的对应条文时予以介绍。</w:t>
      </w:r>
    </w:p>
    <w:p w:rsidR="00A83775" w:rsidRDefault="00A83775">
      <w:pPr>
        <w:pStyle w:val="H23GC"/>
        <w:rPr>
          <w:lang w:val="es-ES"/>
        </w:rPr>
      </w:pPr>
      <w:r>
        <w:rPr>
          <w:lang w:val="es-ES"/>
        </w:rPr>
        <w:tab/>
        <w:t>1.</w:t>
      </w:r>
      <w:r>
        <w:rPr>
          <w:lang w:val="es-ES"/>
        </w:rPr>
        <w:tab/>
      </w:r>
      <w:r>
        <w:rPr>
          <w:rFonts w:hint="eastAsia"/>
          <w:lang w:val="zh-CN"/>
        </w:rPr>
        <w:t>行政措施</w:t>
      </w:r>
    </w:p>
    <w:p w:rsidR="00A83775" w:rsidRDefault="00A83775">
      <w:pPr>
        <w:pStyle w:val="SingleTxtGC"/>
        <w:rPr>
          <w:lang w:val="zh-CN"/>
        </w:rPr>
      </w:pPr>
      <w:r>
        <w:rPr>
          <w:lang w:val="es-ES"/>
        </w:rPr>
        <w:t xml:space="preserve">47.  </w:t>
      </w:r>
      <w:r>
        <w:rPr>
          <w:rFonts w:hint="eastAsia"/>
          <w:lang w:val="es-ES"/>
        </w:rPr>
        <w:t>《</w:t>
      </w:r>
      <w:r>
        <w:rPr>
          <w:lang w:val="zh-CN"/>
        </w:rPr>
        <w:t>2006-2010</w:t>
      </w:r>
      <w:r>
        <w:rPr>
          <w:rFonts w:hint="eastAsia"/>
          <w:lang w:val="zh-CN"/>
        </w:rPr>
        <w:t>年国家发展计划》</w:t>
      </w:r>
      <w:r>
        <w:rPr>
          <w:rFonts w:hint="eastAsia"/>
          <w:spacing w:val="-40"/>
        </w:rPr>
        <w:t>――</w:t>
      </w:r>
      <w:r>
        <w:rPr>
          <w:rFonts w:hint="eastAsia"/>
          <w:spacing w:val="-40"/>
        </w:rPr>
        <w:t xml:space="preserve"> </w:t>
      </w:r>
      <w:r>
        <w:rPr>
          <w:rFonts w:hint="eastAsia"/>
          <w:lang w:val="zh-CN"/>
        </w:rPr>
        <w:t>“</w:t>
      </w:r>
      <w:r>
        <w:rPr>
          <w:rFonts w:eastAsia="KaiTi_GB2312" w:hint="eastAsia"/>
          <w:lang w:val="zh-CN"/>
        </w:rPr>
        <w:t>共同体国家。实现全面发展</w:t>
      </w:r>
      <w:r>
        <w:rPr>
          <w:rFonts w:hint="eastAsia"/>
          <w:lang w:val="zh-CN"/>
        </w:rPr>
        <w:t>”中指出，为建设一个更为平等、人性化和公正的社会，需要确保使妇女和男子都融入社会生活，针对处于弱势条件或劣势状况的妇女出台具体战略，以改善其现</w:t>
      </w:r>
      <w:r>
        <w:rPr>
          <w:rFonts w:hint="eastAsia"/>
          <w:lang w:val="zh-CN"/>
        </w:rPr>
        <w:t xml:space="preserve"> </w:t>
      </w:r>
      <w:r>
        <w:rPr>
          <w:rFonts w:hint="eastAsia"/>
          <w:lang w:val="zh-CN"/>
        </w:rPr>
        <w:t>状。</w:t>
      </w:r>
      <w:r>
        <w:rPr>
          <w:vertAlign w:val="superscript"/>
          <w:lang w:val="en-GB"/>
        </w:rPr>
        <w:footnoteReference w:id="15"/>
      </w:r>
      <w:r>
        <w:rPr>
          <w:rFonts w:hint="eastAsia"/>
          <w:lang w:val="zh-CN"/>
        </w:rPr>
        <w:t xml:space="preserve"> </w:t>
      </w:r>
      <w:r>
        <w:rPr>
          <w:rFonts w:hint="eastAsia"/>
          <w:lang w:val="zh-CN"/>
        </w:rPr>
        <w:t>为此，制定战略如下：</w:t>
      </w:r>
      <w:r>
        <w:rPr>
          <w:rFonts w:hint="eastAsia"/>
          <w:lang w:val="zh-CN"/>
        </w:rPr>
        <w:t>(</w:t>
      </w:r>
      <w:r>
        <w:rPr>
          <w:lang w:val="zh-CN"/>
        </w:rPr>
        <w:t>a)</w:t>
      </w:r>
      <w:r>
        <w:rPr>
          <w:rFonts w:hint="eastAsia"/>
          <w:lang w:val="zh-CN"/>
        </w:rPr>
        <w:t xml:space="preserve"> </w:t>
      </w:r>
      <w:r>
        <w:rPr>
          <w:rFonts w:hint="eastAsia"/>
          <w:lang w:val="zh-CN"/>
        </w:rPr>
        <w:t>将性别观点纳入到国家政府的纲领、计划和方案中，</w:t>
      </w:r>
      <w:r>
        <w:rPr>
          <w:vertAlign w:val="superscript"/>
          <w:lang w:val="zh-CN"/>
        </w:rPr>
        <w:footnoteReference w:id="16"/>
      </w:r>
      <w:r>
        <w:t xml:space="preserve"> </w:t>
      </w:r>
      <w:r>
        <w:rPr>
          <w:rFonts w:hint="eastAsia"/>
          <w:lang w:val="zh-CN"/>
        </w:rPr>
        <w:t>(</w:t>
      </w:r>
      <w:r>
        <w:rPr>
          <w:lang w:val="zh-CN"/>
        </w:rPr>
        <w:t>b)</w:t>
      </w:r>
      <w:r>
        <w:rPr>
          <w:rFonts w:hint="eastAsia"/>
          <w:lang w:val="zh-CN"/>
        </w:rPr>
        <w:t xml:space="preserve"> </w:t>
      </w:r>
      <w:r>
        <w:rPr>
          <w:rFonts w:hint="eastAsia"/>
          <w:lang w:val="zh-CN"/>
        </w:rPr>
        <w:t>实施“妇女：和平与发展的建设者”扶持政策（</w:t>
      </w:r>
      <w:r>
        <w:rPr>
          <w:lang w:val="zh-CN"/>
        </w:rPr>
        <w:t>2003</w:t>
      </w:r>
      <w:r>
        <w:rPr>
          <w:rFonts w:hint="eastAsia"/>
          <w:lang w:val="zh-CN"/>
        </w:rPr>
        <w:t>年）；</w:t>
      </w:r>
      <w:r>
        <w:rPr>
          <w:rFonts w:hint="eastAsia"/>
          <w:lang w:val="zh-CN"/>
        </w:rPr>
        <w:t>(</w:t>
      </w:r>
      <w:r>
        <w:rPr>
          <w:lang w:val="zh-CN"/>
        </w:rPr>
        <w:t>c)</w:t>
      </w:r>
      <w:r>
        <w:rPr>
          <w:rFonts w:hint="eastAsia"/>
          <w:lang w:val="zh-CN"/>
        </w:rPr>
        <w:t xml:space="preserve"> </w:t>
      </w:r>
      <w:r>
        <w:rPr>
          <w:rFonts w:hint="eastAsia"/>
          <w:lang w:val="zh-CN"/>
        </w:rPr>
        <w:t>制定</w:t>
      </w:r>
      <w:r>
        <w:rPr>
          <w:lang w:val="zh-CN"/>
        </w:rPr>
        <w:t>2006-2010</w:t>
      </w:r>
      <w:r>
        <w:rPr>
          <w:rFonts w:hint="eastAsia"/>
          <w:lang w:val="zh-CN"/>
        </w:rPr>
        <w:t>年国家政府的社会政策。</w:t>
      </w:r>
      <w:r>
        <w:rPr>
          <w:lang w:val="zh-CN"/>
        </w:rPr>
        <w:t xml:space="preserve"> </w:t>
      </w:r>
    </w:p>
    <w:p w:rsidR="00A83775" w:rsidRDefault="00A83775">
      <w:pPr>
        <w:pStyle w:val="SingleTxtGC"/>
        <w:rPr>
          <w:lang w:val="es-ES"/>
        </w:rPr>
      </w:pPr>
      <w:r>
        <w:rPr>
          <w:lang w:val="zh-CN"/>
        </w:rPr>
        <w:t>48.  2005</w:t>
      </w:r>
      <w:r>
        <w:rPr>
          <w:rFonts w:hint="eastAsia"/>
          <w:lang w:val="zh-CN"/>
        </w:rPr>
        <w:t>年的第</w:t>
      </w:r>
      <w:r>
        <w:rPr>
          <w:lang w:val="zh-CN"/>
        </w:rPr>
        <w:t>091</w:t>
      </w:r>
      <w:r>
        <w:rPr>
          <w:rFonts w:hint="eastAsia"/>
          <w:lang w:val="zh-CN"/>
        </w:rPr>
        <w:t>号国家经济社会政策委员会发布了哥伦比亚为到</w:t>
      </w:r>
      <w:r>
        <w:rPr>
          <w:lang w:val="zh-CN"/>
        </w:rPr>
        <w:t>2015</w:t>
      </w:r>
      <w:r>
        <w:rPr>
          <w:rFonts w:hint="eastAsia"/>
          <w:lang w:val="zh-CN"/>
        </w:rPr>
        <w:t>年实现千年发展目标而实施的目标和策略。针对千年发展目标</w:t>
      </w:r>
      <w:r>
        <w:rPr>
          <w:lang w:val="zh-CN"/>
        </w:rPr>
        <w:t>3:</w:t>
      </w:r>
      <w:r>
        <w:rPr>
          <w:rFonts w:hint="eastAsia"/>
          <w:lang w:val="zh-CN"/>
        </w:rPr>
        <w:t>促进两性平等并赋予妇女权利，国家经济社会政策委员会规定了最好到</w:t>
      </w:r>
      <w:r>
        <w:rPr>
          <w:lang w:val="zh-CN"/>
        </w:rPr>
        <w:t>2005</w:t>
      </w:r>
      <w:r>
        <w:rPr>
          <w:rFonts w:hint="eastAsia"/>
          <w:lang w:val="zh-CN"/>
        </w:rPr>
        <w:t>年消除初等教育和中等教育中的两性差距，并至迟于</w:t>
      </w:r>
      <w:r>
        <w:rPr>
          <w:lang w:val="zh-CN"/>
        </w:rPr>
        <w:t>2015</w:t>
      </w:r>
      <w:r>
        <w:rPr>
          <w:rFonts w:hint="eastAsia"/>
          <w:lang w:val="zh-CN"/>
        </w:rPr>
        <w:t>年消除所有各级教育中的这种差距的必要性。但是，鉴于哥伦比亚在受教育方面并没有严重的两性差距，因而将其目标设定为改善评估能力，能够准确引导政策和纲领的走向，还应确立性别暴力和政治、经济和劳务市场参与领域的优先事项。针对这些领域的战略和目标将在本报告中进行分析</w:t>
      </w:r>
      <w:r>
        <w:rPr>
          <w:rFonts w:hint="eastAsia"/>
          <w:lang w:val="es-ES"/>
        </w:rPr>
        <w:t>，</w:t>
      </w:r>
      <w:r>
        <w:rPr>
          <w:rFonts w:hint="eastAsia"/>
          <w:lang w:val="zh-CN"/>
        </w:rPr>
        <w:t>具体在与《公约》第二条和第三条相关的段落中。</w:t>
      </w:r>
    </w:p>
    <w:p w:rsidR="00A83775" w:rsidRDefault="00A83775">
      <w:pPr>
        <w:pStyle w:val="SingleTxtGC"/>
        <w:rPr>
          <w:rFonts w:hint="eastAsia"/>
          <w:lang w:val="zh-CN"/>
        </w:rPr>
      </w:pPr>
      <w:r>
        <w:rPr>
          <w:lang w:val="es-ES"/>
        </w:rPr>
        <w:t xml:space="preserve">49.  </w:t>
      </w:r>
      <w:r>
        <w:rPr>
          <w:rFonts w:hint="eastAsia"/>
          <w:lang w:val="zh-CN"/>
        </w:rPr>
        <w:t>政府对现有的对妇女和男子的生命安全和人身完整性构成威胁的各种形式的暴力行为的程度和复杂性有清醒的认识</w:t>
      </w:r>
      <w:r>
        <w:rPr>
          <w:rFonts w:hint="eastAsia"/>
          <w:lang w:val="es-ES"/>
        </w:rPr>
        <w:t>，</w:t>
      </w:r>
      <w:r>
        <w:rPr>
          <w:rFonts w:hint="eastAsia"/>
          <w:lang w:val="zh-CN"/>
        </w:rPr>
        <w:t>因此已经设计和实施了一系列旨在抗击这一痼疾的公共政策。这些政策已经或正在逐步纳入性别观点，并参考了这方面的国际标准，其中主要有：</w:t>
      </w:r>
    </w:p>
    <w:p w:rsidR="00A83775" w:rsidRDefault="00A83775">
      <w:pPr>
        <w:pStyle w:val="SingleTxtGC"/>
        <w:numPr>
          <w:ilvl w:val="0"/>
          <w:numId w:val="17"/>
        </w:numPr>
        <w:rPr>
          <w:lang w:val="es-ES"/>
        </w:rPr>
      </w:pPr>
      <w:r>
        <w:rPr>
          <w:lang w:val="zh-CN"/>
        </w:rPr>
        <w:t>民主安全政策；</w:t>
      </w:r>
    </w:p>
    <w:p w:rsidR="00A83775" w:rsidRDefault="00A83775">
      <w:pPr>
        <w:pStyle w:val="SingleTxtGC"/>
        <w:numPr>
          <w:ilvl w:val="0"/>
          <w:numId w:val="17"/>
        </w:numPr>
        <w:rPr>
          <w:lang w:val="es-ES"/>
        </w:rPr>
      </w:pPr>
      <w:r>
        <w:rPr>
          <w:lang w:val="zh-CN"/>
        </w:rPr>
        <w:t>国防部在人权和人道主义法方面的综合政策；</w:t>
      </w:r>
    </w:p>
    <w:p w:rsidR="00A83775" w:rsidRDefault="00A83775">
      <w:pPr>
        <w:pStyle w:val="SingleTxtGC"/>
        <w:numPr>
          <w:ilvl w:val="0"/>
          <w:numId w:val="17"/>
        </w:numPr>
        <w:rPr>
          <w:lang w:val="es-ES"/>
        </w:rPr>
      </w:pPr>
      <w:r>
        <w:rPr>
          <w:lang w:val="zh-CN"/>
        </w:rPr>
        <w:t>针对非法武装人员和团体的重返经济社会生活国家政策</w:t>
      </w:r>
      <w:r>
        <w:t>；</w:t>
      </w:r>
    </w:p>
    <w:p w:rsidR="00A83775" w:rsidRDefault="00A83775">
      <w:pPr>
        <w:pStyle w:val="SingleTxtGC"/>
        <w:numPr>
          <w:ilvl w:val="0"/>
          <w:numId w:val="17"/>
        </w:numPr>
        <w:rPr>
          <w:lang w:val="es-ES"/>
        </w:rPr>
      </w:pPr>
      <w:r>
        <w:rPr>
          <w:lang w:val="zh-CN"/>
        </w:rPr>
        <w:t>总统人权和人道主义法事务署的打击有罪不罚现象政策；</w:t>
      </w:r>
    </w:p>
    <w:p w:rsidR="00A83775" w:rsidRDefault="00A83775">
      <w:pPr>
        <w:pStyle w:val="SingleTxtGC"/>
        <w:numPr>
          <w:ilvl w:val="0"/>
          <w:numId w:val="17"/>
        </w:numPr>
        <w:rPr>
          <w:lang w:val="es-ES"/>
        </w:rPr>
      </w:pPr>
      <w:r>
        <w:rPr>
          <w:lang w:val="zh-CN"/>
        </w:rPr>
        <w:t>国家性健康和生殖健康政策；</w:t>
      </w:r>
    </w:p>
    <w:p w:rsidR="00A83775" w:rsidRDefault="00A83775">
      <w:pPr>
        <w:pStyle w:val="SingleTxtGC"/>
        <w:numPr>
          <w:ilvl w:val="0"/>
          <w:numId w:val="17"/>
        </w:numPr>
        <w:rPr>
          <w:lang w:val="es-ES"/>
        </w:rPr>
      </w:pPr>
      <w:r>
        <w:rPr>
          <w:lang w:val="zh-CN"/>
        </w:rPr>
        <w:t>全面关爱流离失所人口国家政策；</w:t>
      </w:r>
    </w:p>
    <w:p w:rsidR="00A83775" w:rsidRDefault="00A83775">
      <w:pPr>
        <w:pStyle w:val="SingleTxtGC"/>
        <w:numPr>
          <w:ilvl w:val="0"/>
          <w:numId w:val="17"/>
        </w:numPr>
        <w:rPr>
          <w:lang w:val="es-ES"/>
        </w:rPr>
      </w:pPr>
      <w:r>
        <w:rPr>
          <w:rFonts w:hint="eastAsia"/>
          <w:lang w:val="zh-CN"/>
        </w:rPr>
        <w:t>“</w:t>
      </w:r>
      <w:r>
        <w:rPr>
          <w:lang w:val="zh-CN"/>
        </w:rPr>
        <w:t>妇女：和平与发展的建设者</w:t>
      </w:r>
      <w:r>
        <w:rPr>
          <w:rFonts w:hint="eastAsia"/>
          <w:lang w:val="zh-CN"/>
        </w:rPr>
        <w:t>”</w:t>
      </w:r>
      <w:r>
        <w:rPr>
          <w:lang w:val="zh-CN"/>
        </w:rPr>
        <w:t>扶持政策；</w:t>
      </w:r>
    </w:p>
    <w:p w:rsidR="00A83775" w:rsidRDefault="00A83775">
      <w:pPr>
        <w:pStyle w:val="SingleTxtGC"/>
        <w:numPr>
          <w:ilvl w:val="0"/>
          <w:numId w:val="17"/>
        </w:numPr>
        <w:rPr>
          <w:lang w:val="es-ES"/>
        </w:rPr>
      </w:pPr>
      <w:r>
        <w:rPr>
          <w:lang w:val="zh-CN"/>
        </w:rPr>
        <w:t>缔造和平共处的国家政策；</w:t>
      </w:r>
    </w:p>
    <w:p w:rsidR="00A83775" w:rsidRDefault="00A83775">
      <w:pPr>
        <w:pStyle w:val="SingleTxtGC"/>
        <w:numPr>
          <w:ilvl w:val="0"/>
          <w:numId w:val="17"/>
        </w:numPr>
        <w:rPr>
          <w:lang w:val="es-ES"/>
        </w:rPr>
      </w:pPr>
      <w:r>
        <w:rPr>
          <w:lang w:val="zh-CN"/>
        </w:rPr>
        <w:t>预防游走于法律边缘的武装团体和有组织犯罪团伙招募和使用儿童和青少年的政策；</w:t>
      </w:r>
    </w:p>
    <w:p w:rsidR="00A83775" w:rsidRDefault="00A83775">
      <w:pPr>
        <w:pStyle w:val="SingleTxtGC"/>
        <w:numPr>
          <w:ilvl w:val="0"/>
          <w:numId w:val="17"/>
        </w:numPr>
        <w:rPr>
          <w:lang w:val="es-ES"/>
        </w:rPr>
      </w:pPr>
      <w:r>
        <w:rPr>
          <w:lang w:val="zh-CN"/>
        </w:rPr>
        <w:t>国防部就性权利和生殖权利、平等权利、基于性别的暴力行为、性健康和生殖健康出台的政策。</w:t>
      </w:r>
    </w:p>
    <w:p w:rsidR="00A83775" w:rsidRDefault="00A83775">
      <w:pPr>
        <w:pStyle w:val="SingleTxtGC"/>
        <w:numPr>
          <w:ilvl w:val="0"/>
          <w:numId w:val="17"/>
        </w:numPr>
        <w:rPr>
          <w:lang w:val="es-ES"/>
        </w:rPr>
      </w:pPr>
      <w:r>
        <w:rPr>
          <w:lang w:val="zh-CN"/>
        </w:rPr>
        <w:t>2002-2006</w:t>
      </w:r>
      <w:r>
        <w:rPr>
          <w:lang w:val="zh-CN"/>
        </w:rPr>
        <w:t>年国家性健康和生殖健康政策；</w:t>
      </w:r>
    </w:p>
    <w:p w:rsidR="00A83775" w:rsidRDefault="00A83775">
      <w:pPr>
        <w:pStyle w:val="SingleTxtGC"/>
        <w:numPr>
          <w:ilvl w:val="0"/>
          <w:numId w:val="17"/>
        </w:numPr>
        <w:rPr>
          <w:lang w:val="es-ES"/>
        </w:rPr>
      </w:pPr>
      <w:r>
        <w:rPr>
          <w:lang w:val="zh-CN"/>
        </w:rPr>
        <w:t>打击贩运人口国家战略。</w:t>
      </w:r>
    </w:p>
    <w:p w:rsidR="00A83775" w:rsidRDefault="00A83775">
      <w:pPr>
        <w:pStyle w:val="SingleTxtGC"/>
        <w:rPr>
          <w:rFonts w:hint="eastAsia"/>
          <w:lang w:val="es-ES"/>
        </w:rPr>
      </w:pPr>
      <w:r>
        <w:rPr>
          <w:lang w:val="es-ES"/>
        </w:rPr>
        <w:t xml:space="preserve">50.  </w:t>
      </w:r>
      <w:r>
        <w:rPr>
          <w:rFonts w:hint="eastAsia"/>
          <w:lang w:val="zh-CN"/>
        </w:rPr>
        <w:t>同样也建立了机构间协调机制和机构内部协调机制，谋求增进和保护遭受暴力侵害的妇女和女童的权利，这些机制有：</w:t>
      </w:r>
    </w:p>
    <w:p w:rsidR="00A83775" w:rsidRDefault="00A83775">
      <w:pPr>
        <w:pStyle w:val="SingleTxtGC"/>
        <w:numPr>
          <w:ilvl w:val="0"/>
          <w:numId w:val="16"/>
        </w:numPr>
        <w:rPr>
          <w:lang w:val="es-ES"/>
        </w:rPr>
      </w:pPr>
      <w:r>
        <w:rPr>
          <w:rFonts w:hint="eastAsia"/>
          <w:lang w:val="zh-CN"/>
        </w:rPr>
        <w:t>根据</w:t>
      </w:r>
      <w:r>
        <w:rPr>
          <w:lang w:val="zh-CN"/>
        </w:rPr>
        <w:t>2008</w:t>
      </w:r>
      <w:r>
        <w:rPr>
          <w:rFonts w:hint="eastAsia"/>
          <w:lang w:val="zh-CN"/>
        </w:rPr>
        <w:t>年的第</w:t>
      </w:r>
      <w:r>
        <w:rPr>
          <w:lang w:val="zh-CN"/>
        </w:rPr>
        <w:t>1257</w:t>
      </w:r>
      <w:r>
        <w:rPr>
          <w:rFonts w:hint="eastAsia"/>
          <w:lang w:val="zh-CN"/>
        </w:rPr>
        <w:t>号法设立的监察委员会；</w:t>
      </w:r>
      <w:r>
        <w:rPr>
          <w:vertAlign w:val="superscript"/>
          <w:lang w:val="zh-CN"/>
        </w:rPr>
        <w:footnoteReference w:id="17"/>
      </w:r>
    </w:p>
    <w:p w:rsidR="00A83775" w:rsidRDefault="00A83775">
      <w:pPr>
        <w:pStyle w:val="SingleTxtGC"/>
        <w:numPr>
          <w:ilvl w:val="0"/>
          <w:numId w:val="16"/>
        </w:numPr>
        <w:rPr>
          <w:lang w:val="es-ES"/>
        </w:rPr>
      </w:pPr>
      <w:r>
        <w:rPr>
          <w:rFonts w:hint="eastAsia"/>
          <w:lang w:val="zh-CN"/>
        </w:rPr>
        <w:t>打击贩运人口机构间委员会；</w:t>
      </w:r>
    </w:p>
    <w:p w:rsidR="00A83775" w:rsidRDefault="00A83775">
      <w:pPr>
        <w:pStyle w:val="SingleTxtGC"/>
        <w:numPr>
          <w:ilvl w:val="0"/>
          <w:numId w:val="16"/>
        </w:numPr>
        <w:rPr>
          <w:lang w:val="es-ES"/>
        </w:rPr>
      </w:pPr>
      <w:r>
        <w:rPr>
          <w:rFonts w:hint="eastAsia"/>
          <w:lang w:val="zh-CN"/>
        </w:rPr>
        <w:t>国家流离失所者全面照料系统；</w:t>
      </w:r>
      <w:r>
        <w:rPr>
          <w:vertAlign w:val="superscript"/>
          <w:lang w:val="zh-CN"/>
        </w:rPr>
        <w:footnoteReference w:id="18"/>
      </w:r>
    </w:p>
    <w:p w:rsidR="00A83775" w:rsidRDefault="00A83775">
      <w:pPr>
        <w:pStyle w:val="SingleTxtGC"/>
        <w:numPr>
          <w:ilvl w:val="0"/>
          <w:numId w:val="16"/>
        </w:numPr>
        <w:rPr>
          <w:lang w:val="es-ES"/>
        </w:rPr>
      </w:pPr>
      <w:r>
        <w:rPr>
          <w:rFonts w:hint="eastAsia"/>
          <w:lang w:val="zh-CN"/>
        </w:rPr>
        <w:t>预防性暴力和全面关爱性虐待受害儿童和青少年机构间咨询委员会；</w:t>
      </w:r>
      <w:r>
        <w:rPr>
          <w:vertAlign w:val="superscript"/>
          <w:lang w:val="zh-CN"/>
        </w:rPr>
        <w:footnoteReference w:id="19"/>
      </w:r>
    </w:p>
    <w:p w:rsidR="00A83775" w:rsidRDefault="00A83775">
      <w:pPr>
        <w:pStyle w:val="SingleTxtGC"/>
        <w:numPr>
          <w:ilvl w:val="0"/>
          <w:numId w:val="16"/>
        </w:numPr>
        <w:rPr>
          <w:lang w:val="es-ES"/>
        </w:rPr>
      </w:pPr>
      <w:r>
        <w:rPr>
          <w:rFonts w:hint="eastAsia"/>
          <w:lang w:val="zh-CN"/>
        </w:rPr>
        <w:t>性暴力和基于性别原因的暴力问题多功能团队；</w:t>
      </w:r>
      <w:r>
        <w:rPr>
          <w:vertAlign w:val="superscript"/>
          <w:lang w:val="zh-CN"/>
        </w:rPr>
        <w:footnoteReference w:id="20"/>
      </w:r>
    </w:p>
    <w:p w:rsidR="00A83775" w:rsidRDefault="00A83775">
      <w:pPr>
        <w:pStyle w:val="SingleTxtGC"/>
        <w:numPr>
          <w:ilvl w:val="0"/>
          <w:numId w:val="16"/>
        </w:numPr>
        <w:rPr>
          <w:lang w:val="es-ES"/>
        </w:rPr>
      </w:pPr>
      <w:r>
        <w:rPr>
          <w:rFonts w:hint="eastAsia"/>
          <w:lang w:val="zh-CN"/>
        </w:rPr>
        <w:t>社会保障部和哥伦比亚家庭福利研究所的家庭内暴力和性暴力事务组；</w:t>
      </w:r>
      <w:r>
        <w:rPr>
          <w:vertAlign w:val="superscript"/>
          <w:lang w:val="zh-CN"/>
        </w:rPr>
        <w:footnoteReference w:id="21"/>
      </w:r>
    </w:p>
    <w:p w:rsidR="00A83775" w:rsidRDefault="00A83775">
      <w:pPr>
        <w:pStyle w:val="SingleTxtGC"/>
        <w:numPr>
          <w:ilvl w:val="0"/>
          <w:numId w:val="16"/>
        </w:numPr>
        <w:rPr>
          <w:lang w:val="es-ES"/>
        </w:rPr>
      </w:pPr>
      <w:r>
        <w:rPr>
          <w:rFonts w:hint="eastAsia"/>
          <w:lang w:val="zh-CN"/>
        </w:rPr>
        <w:t>预防招募儿童和青少年入伍部际委员会；</w:t>
      </w:r>
    </w:p>
    <w:p w:rsidR="00A83775" w:rsidRDefault="00A83775">
      <w:pPr>
        <w:pStyle w:val="SingleTxtGC"/>
        <w:numPr>
          <w:ilvl w:val="0"/>
          <w:numId w:val="16"/>
        </w:numPr>
        <w:rPr>
          <w:lang w:val="es-ES"/>
        </w:rPr>
      </w:pPr>
      <w:r>
        <w:rPr>
          <w:rFonts w:hint="eastAsia"/>
          <w:lang w:val="zh-CN"/>
        </w:rPr>
        <w:t>国家总检察署打击对妇女的暴力犯罪有罪不罚机构间工作组（参见下文）。</w:t>
      </w:r>
    </w:p>
    <w:p w:rsidR="00A83775" w:rsidRDefault="00A83775">
      <w:pPr>
        <w:pStyle w:val="SingleTxtGC"/>
        <w:rPr>
          <w:rFonts w:hint="eastAsia"/>
          <w:lang w:val="zh-CN"/>
        </w:rPr>
      </w:pPr>
      <w:r>
        <w:rPr>
          <w:lang w:val="es-ES"/>
        </w:rPr>
        <w:t xml:space="preserve">51.  </w:t>
      </w:r>
      <w:r>
        <w:rPr>
          <w:rFonts w:hint="eastAsia"/>
          <w:lang w:val="zh-CN"/>
        </w:rPr>
        <w:t>此外，尤为值得一提的是，在哥伦比亚取得的最重要的一项进步，就是值此报告编制工作收尾之际，</w:t>
      </w:r>
      <w:r>
        <w:rPr>
          <w:lang w:val="zh-CN"/>
        </w:rPr>
        <w:t>2011</w:t>
      </w:r>
      <w:r>
        <w:rPr>
          <w:rFonts w:hint="eastAsia"/>
          <w:lang w:val="zh-CN"/>
        </w:rPr>
        <w:t>年</w:t>
      </w:r>
      <w:r>
        <w:rPr>
          <w:lang w:val="zh-CN"/>
        </w:rPr>
        <w:t>6</w:t>
      </w:r>
      <w:r>
        <w:rPr>
          <w:rFonts w:hint="eastAsia"/>
          <w:lang w:val="zh-CN"/>
        </w:rPr>
        <w:t>月</w:t>
      </w:r>
      <w:r>
        <w:rPr>
          <w:lang w:val="zh-CN"/>
        </w:rPr>
        <w:t>10</w:t>
      </w:r>
      <w:r>
        <w:rPr>
          <w:rFonts w:hint="eastAsia"/>
          <w:lang w:val="zh-CN"/>
        </w:rPr>
        <w:t>日出台了第</w:t>
      </w:r>
      <w:r>
        <w:rPr>
          <w:lang w:val="zh-CN"/>
        </w:rPr>
        <w:t>1448</w:t>
      </w:r>
      <w:r>
        <w:rPr>
          <w:rFonts w:hint="eastAsia"/>
          <w:lang w:val="zh-CN"/>
        </w:rPr>
        <w:t>号法，即《受害者和土地归还法》，该法颁布了旨在对内部武装冲突受害者进行关爱、救助和赔偿的若干举措以及其他一些规定。</w:t>
      </w:r>
    </w:p>
    <w:p w:rsidR="00A83775" w:rsidRDefault="00A83775">
      <w:pPr>
        <w:pStyle w:val="SingleTxtGC"/>
        <w:rPr>
          <w:lang w:val="zh-CN"/>
        </w:rPr>
      </w:pPr>
      <w:r>
        <w:rPr>
          <w:lang w:val="zh-CN"/>
        </w:rPr>
        <w:t xml:space="preserve">52.  </w:t>
      </w:r>
      <w:r>
        <w:rPr>
          <w:rFonts w:hint="eastAsia"/>
          <w:lang w:val="zh-CN"/>
        </w:rPr>
        <w:t>“妇女：和平与发展的建设者”扶持政策。这是妇女平等事务总统高级顾问办公室拟订的一项政策（</w:t>
      </w:r>
      <w:r>
        <w:rPr>
          <w:lang w:val="zh-CN"/>
        </w:rPr>
        <w:t>2003</w:t>
      </w:r>
      <w:r>
        <w:rPr>
          <w:rFonts w:hint="eastAsia"/>
          <w:lang w:val="zh-CN"/>
        </w:rPr>
        <w:t>年至</w:t>
      </w:r>
      <w:r>
        <w:rPr>
          <w:lang w:val="zh-CN"/>
        </w:rPr>
        <w:t>2010</w:t>
      </w:r>
      <w:r>
        <w:rPr>
          <w:rFonts w:hint="eastAsia"/>
          <w:lang w:val="zh-CN"/>
        </w:rPr>
        <w:t>年</w:t>
      </w:r>
      <w:r>
        <w:rPr>
          <w:lang w:val="zh-CN"/>
        </w:rPr>
        <w:t>8</w:t>
      </w:r>
      <w:r>
        <w:rPr>
          <w:rFonts w:hint="eastAsia"/>
          <w:lang w:val="zh-CN"/>
        </w:rPr>
        <w:t>月），通过这一政策在以下五大核心领域开展了工作：</w:t>
      </w:r>
      <w:r>
        <w:rPr>
          <w:rFonts w:hint="eastAsia"/>
          <w:lang w:val="zh-CN"/>
        </w:rPr>
        <w:t>(</w:t>
      </w:r>
      <w:r>
        <w:rPr>
          <w:lang w:val="zh-CN"/>
        </w:rPr>
        <w:t>a)</w:t>
      </w:r>
      <w:r>
        <w:rPr>
          <w:rFonts w:hint="eastAsia"/>
          <w:lang w:val="zh-CN"/>
        </w:rPr>
        <w:t xml:space="preserve"> </w:t>
      </w:r>
      <w:r>
        <w:rPr>
          <w:rFonts w:hint="eastAsia"/>
          <w:lang w:val="zh-CN"/>
        </w:rPr>
        <w:t>预防暴力侵害妇女行为；</w:t>
      </w:r>
      <w:r>
        <w:rPr>
          <w:rFonts w:hint="eastAsia"/>
          <w:lang w:val="zh-CN"/>
        </w:rPr>
        <w:t>(</w:t>
      </w:r>
      <w:r>
        <w:rPr>
          <w:lang w:val="zh-CN"/>
        </w:rPr>
        <w:t>b)</w:t>
      </w:r>
      <w:r>
        <w:rPr>
          <w:rFonts w:hint="eastAsia"/>
          <w:lang w:val="zh-CN"/>
        </w:rPr>
        <w:t xml:space="preserve"> </w:t>
      </w:r>
      <w:r>
        <w:rPr>
          <w:rFonts w:hint="eastAsia"/>
          <w:lang w:val="zh-CN"/>
        </w:rPr>
        <w:t>政治参与；</w:t>
      </w:r>
      <w:r>
        <w:rPr>
          <w:rFonts w:hint="eastAsia"/>
          <w:lang w:val="zh-CN"/>
        </w:rPr>
        <w:t>(</w:t>
      </w:r>
      <w:r>
        <w:rPr>
          <w:lang w:val="zh-CN"/>
        </w:rPr>
        <w:t>c)</w:t>
      </w:r>
      <w:r>
        <w:rPr>
          <w:rFonts w:hint="eastAsia"/>
          <w:lang w:val="zh-CN"/>
        </w:rPr>
        <w:t xml:space="preserve"> </w:t>
      </w:r>
      <w:r>
        <w:rPr>
          <w:rFonts w:hint="eastAsia"/>
          <w:lang w:val="zh-CN"/>
        </w:rPr>
        <w:t>教育和文化；</w:t>
      </w:r>
      <w:r>
        <w:rPr>
          <w:rFonts w:hint="eastAsia"/>
          <w:lang w:val="zh-CN"/>
        </w:rPr>
        <w:t>(</w:t>
      </w:r>
      <w:r>
        <w:rPr>
          <w:lang w:val="zh-CN"/>
        </w:rPr>
        <w:t>d)</w:t>
      </w:r>
      <w:r>
        <w:rPr>
          <w:rFonts w:hint="eastAsia"/>
          <w:lang w:val="zh-CN"/>
        </w:rPr>
        <w:t xml:space="preserve"> </w:t>
      </w:r>
      <w:r>
        <w:rPr>
          <w:rFonts w:hint="eastAsia"/>
          <w:lang w:val="zh-CN"/>
        </w:rPr>
        <w:t>就业和企业发展；</w:t>
      </w:r>
      <w:r>
        <w:rPr>
          <w:rFonts w:hint="eastAsia"/>
          <w:lang w:val="zh-CN"/>
        </w:rPr>
        <w:t>(</w:t>
      </w:r>
      <w:r>
        <w:rPr>
          <w:lang w:val="zh-CN"/>
        </w:rPr>
        <w:t>e)</w:t>
      </w:r>
      <w:r>
        <w:rPr>
          <w:rFonts w:hint="eastAsia"/>
          <w:lang w:val="zh-CN"/>
        </w:rPr>
        <w:t xml:space="preserve"> </w:t>
      </w:r>
      <w:r>
        <w:rPr>
          <w:rFonts w:hint="eastAsia"/>
          <w:lang w:val="zh-CN"/>
        </w:rPr>
        <w:t>强化机构体制。接下来将从定性角度和定量角度阐述这一政策在其第一个核心领域</w:t>
      </w:r>
      <w:r>
        <w:rPr>
          <w:rFonts w:hint="eastAsia"/>
          <w:spacing w:val="-40"/>
        </w:rPr>
        <w:t>――</w:t>
      </w:r>
      <w:r>
        <w:rPr>
          <w:rFonts w:hint="eastAsia"/>
          <w:spacing w:val="-40"/>
        </w:rPr>
        <w:t xml:space="preserve"> </w:t>
      </w:r>
      <w:r>
        <w:rPr>
          <w:rFonts w:hint="eastAsia"/>
          <w:lang w:val="zh-CN"/>
        </w:rPr>
        <w:t>预防暴力方面取得的进展，与其他领域有关的信息将在本报告中与就业和企业发展、政治参与、教育和文化有关的章节进行论述。</w:t>
      </w:r>
    </w:p>
    <w:p w:rsidR="00A83775" w:rsidRDefault="00A83775">
      <w:pPr>
        <w:pStyle w:val="SingleTxtGC"/>
        <w:rPr>
          <w:rFonts w:hint="eastAsia"/>
          <w:lang w:val="es-ES"/>
        </w:rPr>
      </w:pPr>
      <w:r>
        <w:rPr>
          <w:lang w:val="zh-CN"/>
        </w:rPr>
        <w:t xml:space="preserve">53.  </w:t>
      </w:r>
      <w:r>
        <w:rPr>
          <w:rFonts w:hint="eastAsia"/>
          <w:lang w:val="zh-CN"/>
        </w:rPr>
        <w:t>在预防暴力的工作领域，实施了以下战略，具体将在报告的下文中进行论述：</w:t>
      </w:r>
    </w:p>
    <w:p w:rsidR="00A83775" w:rsidRDefault="00A83775">
      <w:pPr>
        <w:pStyle w:val="SingleTxtGC"/>
        <w:numPr>
          <w:ilvl w:val="0"/>
          <w:numId w:val="18"/>
        </w:numPr>
        <w:rPr>
          <w:lang w:val="es-ES"/>
        </w:rPr>
      </w:pPr>
      <w:r>
        <w:rPr>
          <w:rFonts w:hint="eastAsia"/>
          <w:lang w:val="zh-CN"/>
        </w:rPr>
        <w:t>对妇女进行与其权利相关的法律扫盲；</w:t>
      </w:r>
    </w:p>
    <w:p w:rsidR="00A83775" w:rsidRDefault="00A83775">
      <w:pPr>
        <w:pStyle w:val="SingleTxtGC"/>
        <w:numPr>
          <w:ilvl w:val="0"/>
          <w:numId w:val="18"/>
        </w:numPr>
        <w:rPr>
          <w:lang w:val="es-ES"/>
        </w:rPr>
      </w:pPr>
      <w:r>
        <w:rPr>
          <w:rFonts w:hint="eastAsia"/>
          <w:lang w:val="zh-CN"/>
        </w:rPr>
        <w:t>将性别观点纳入到全面关爱流离失所人口的政策中；</w:t>
      </w:r>
    </w:p>
    <w:p w:rsidR="00A83775" w:rsidRDefault="00A83775">
      <w:pPr>
        <w:pStyle w:val="SingleTxtGC"/>
        <w:numPr>
          <w:ilvl w:val="0"/>
          <w:numId w:val="18"/>
        </w:numPr>
        <w:rPr>
          <w:lang w:val="es-ES"/>
        </w:rPr>
      </w:pPr>
      <w:r>
        <w:rPr>
          <w:rFonts w:hint="eastAsia"/>
          <w:lang w:val="zh-CN"/>
        </w:rPr>
        <w:t>机构间协作机制；</w:t>
      </w:r>
    </w:p>
    <w:p w:rsidR="00A83775" w:rsidRDefault="00A83775">
      <w:pPr>
        <w:pStyle w:val="SingleTxtGC"/>
        <w:tabs>
          <w:tab w:val="clear" w:pos="1134"/>
          <w:tab w:val="clear" w:pos="2427"/>
          <w:tab w:val="left" w:pos="2600"/>
        </w:tabs>
        <w:ind w:left="2600" w:hanging="584"/>
        <w:rPr>
          <w:lang w:val="es-ES"/>
        </w:rPr>
      </w:pPr>
      <w:r>
        <w:rPr>
          <w:rFonts w:hint="eastAsia"/>
          <w:lang w:val="zh-CN"/>
        </w:rPr>
        <w:t>(</w:t>
      </w:r>
      <w:r>
        <w:rPr>
          <w:rFonts w:hint="eastAsia"/>
          <w:lang w:val="zh-CN"/>
        </w:rPr>
        <w:t>一</w:t>
      </w:r>
      <w:r>
        <w:t>)</w:t>
      </w:r>
      <w:r>
        <w:rPr>
          <w:lang w:val="es-ES"/>
        </w:rPr>
        <w:tab/>
      </w:r>
      <w:r>
        <w:rPr>
          <w:rFonts w:hint="eastAsia"/>
          <w:lang w:val="zh-CN"/>
        </w:rPr>
        <w:t>欧洲委员会社会凝聚力项目；</w:t>
      </w:r>
    </w:p>
    <w:p w:rsidR="00A83775" w:rsidRDefault="00A83775">
      <w:pPr>
        <w:pStyle w:val="SingleTxtGC"/>
        <w:tabs>
          <w:tab w:val="clear" w:pos="1134"/>
          <w:tab w:val="clear" w:pos="2427"/>
          <w:tab w:val="left" w:pos="2600"/>
        </w:tabs>
        <w:ind w:left="2600" w:hanging="584"/>
        <w:rPr>
          <w:lang w:val="es-ES"/>
        </w:rPr>
      </w:pPr>
      <w:r>
        <w:rPr>
          <w:rFonts w:hint="eastAsia"/>
          <w:lang w:val="es-ES"/>
        </w:rPr>
        <w:t>(</w:t>
      </w:r>
      <w:r>
        <w:rPr>
          <w:rFonts w:hint="eastAsia"/>
          <w:lang w:val="zh-CN"/>
        </w:rPr>
        <w:t>二</w:t>
      </w:r>
      <w:r>
        <w:t>)</w:t>
      </w:r>
      <w:r>
        <w:rPr>
          <w:lang w:val="es-ES"/>
        </w:rPr>
        <w:tab/>
      </w:r>
      <w:r>
        <w:rPr>
          <w:rFonts w:hint="eastAsia"/>
          <w:spacing w:val="-6"/>
          <w:lang w:val="zh-CN"/>
        </w:rPr>
        <w:t>创立</w:t>
      </w:r>
      <w:r>
        <w:rPr>
          <w:rFonts w:hint="eastAsia"/>
          <w:lang w:val="zh-CN"/>
        </w:rPr>
        <w:t>了根除暴力侵害妇女行为部际委员会；</w:t>
      </w:r>
      <w:r>
        <w:rPr>
          <w:vertAlign w:val="superscript"/>
          <w:lang w:val="zh-CN"/>
        </w:rPr>
        <w:footnoteReference w:id="22"/>
      </w:r>
    </w:p>
    <w:p w:rsidR="00A83775" w:rsidRDefault="00A83775">
      <w:pPr>
        <w:pStyle w:val="SingleTxtGC"/>
        <w:numPr>
          <w:ilvl w:val="0"/>
          <w:numId w:val="18"/>
        </w:numPr>
        <w:rPr>
          <w:lang w:val="es-ES"/>
        </w:rPr>
      </w:pPr>
      <w:r>
        <w:rPr>
          <w:rFonts w:hint="eastAsia"/>
          <w:lang w:val="zh-CN"/>
        </w:rPr>
        <w:t>通过司法途径捍卫哥伦比亚妇女权利的战略计划；</w:t>
      </w:r>
    </w:p>
    <w:p w:rsidR="00A83775" w:rsidRDefault="00A83775">
      <w:pPr>
        <w:pStyle w:val="SingleTxtGC"/>
        <w:numPr>
          <w:ilvl w:val="0"/>
          <w:numId w:val="18"/>
        </w:numPr>
        <w:rPr>
          <w:lang w:val="es-ES"/>
        </w:rPr>
      </w:pPr>
      <w:r>
        <w:rPr>
          <w:rFonts w:hint="eastAsia"/>
          <w:lang w:val="zh-CN"/>
        </w:rPr>
        <w:t>打击贩运人口战略；</w:t>
      </w:r>
    </w:p>
    <w:p w:rsidR="00A83775" w:rsidRDefault="00A83775">
      <w:pPr>
        <w:pStyle w:val="SingleTxtGC"/>
        <w:numPr>
          <w:ilvl w:val="0"/>
          <w:numId w:val="18"/>
        </w:numPr>
        <w:rPr>
          <w:lang w:val="es-ES"/>
        </w:rPr>
      </w:pPr>
      <w:r>
        <w:rPr>
          <w:rFonts w:hint="eastAsia"/>
          <w:lang w:val="zh-CN"/>
        </w:rPr>
        <w:t>性别事务和通信战略；</w:t>
      </w:r>
    </w:p>
    <w:p w:rsidR="00A83775" w:rsidRDefault="00A83775">
      <w:pPr>
        <w:pStyle w:val="SingleTxtGC"/>
        <w:numPr>
          <w:ilvl w:val="0"/>
          <w:numId w:val="18"/>
        </w:numPr>
        <w:rPr>
          <w:lang w:val="es-ES"/>
        </w:rPr>
      </w:pPr>
      <w:r>
        <w:rPr>
          <w:rFonts w:hint="eastAsia"/>
          <w:lang w:val="zh-CN"/>
        </w:rPr>
        <w:t>通过两性问题观察站加强对暴力侵害妇女行为信息的收集和分析工作。</w:t>
      </w:r>
    </w:p>
    <w:p w:rsidR="00A83775" w:rsidRDefault="00A83775">
      <w:pPr>
        <w:pStyle w:val="SingleTxtGC"/>
        <w:rPr>
          <w:rFonts w:hint="eastAsia"/>
          <w:lang w:val="es-ES"/>
        </w:rPr>
      </w:pPr>
      <w:r>
        <w:rPr>
          <w:rFonts w:hint="eastAsia"/>
          <w:lang w:val="zh-CN"/>
        </w:rPr>
        <w:tab/>
      </w:r>
      <w:r>
        <w:rPr>
          <w:rFonts w:hint="eastAsia"/>
          <w:lang w:val="zh-CN"/>
        </w:rPr>
        <w:t>与</w:t>
      </w:r>
      <w:r>
        <w:rPr>
          <w:rFonts w:hint="eastAsia"/>
          <w:lang w:val="zh-CN"/>
        </w:rPr>
        <w:t>(</w:t>
      </w:r>
      <w:r>
        <w:rPr>
          <w:lang w:val="zh-CN"/>
        </w:rPr>
        <w:t>b</w:t>
      </w:r>
      <w:r>
        <w:t>)</w:t>
      </w:r>
      <w:r>
        <w:rPr>
          <w:rFonts w:hint="eastAsia"/>
          <w:lang w:val="zh-CN"/>
        </w:rPr>
        <w:t>款和</w:t>
      </w:r>
      <w:r>
        <w:rPr>
          <w:rFonts w:hint="eastAsia"/>
          <w:lang w:val="zh-CN"/>
        </w:rPr>
        <w:t>(</w:t>
      </w:r>
      <w:r>
        <w:rPr>
          <w:lang w:val="zh-CN"/>
        </w:rPr>
        <w:t>e</w:t>
      </w:r>
      <w:r>
        <w:t>)</w:t>
      </w:r>
      <w:r>
        <w:rPr>
          <w:rFonts w:hint="eastAsia"/>
          <w:lang w:val="zh-CN"/>
        </w:rPr>
        <w:t>款有关的信息将在与暴力侵害妇女行为和流离失所妇女有关的章节中进一步论述。</w:t>
      </w:r>
    </w:p>
    <w:p w:rsidR="00A83775" w:rsidRDefault="00A83775">
      <w:pPr>
        <w:pStyle w:val="SingleTxtGC"/>
        <w:rPr>
          <w:lang w:val="zh-CN"/>
        </w:rPr>
      </w:pPr>
      <w:r>
        <w:rPr>
          <w:lang w:val="es-ES"/>
        </w:rPr>
        <w:t xml:space="preserve">54.  </w:t>
      </w:r>
      <w:r>
        <w:rPr>
          <w:rFonts w:hint="eastAsia"/>
          <w:lang w:val="zh-CN"/>
        </w:rPr>
        <w:t>这些举措有助于将暴力侵害妇女问题纳入到国家议程中，并提高全社会对此类歧视的严重性的认识。</w:t>
      </w:r>
    </w:p>
    <w:p w:rsidR="00A83775" w:rsidRDefault="00A83775">
      <w:pPr>
        <w:pStyle w:val="SingleTxtGC"/>
        <w:rPr>
          <w:lang w:val="zh-CN"/>
        </w:rPr>
      </w:pPr>
      <w:r>
        <w:rPr>
          <w:lang w:val="zh-CN"/>
        </w:rPr>
        <w:t xml:space="preserve">55.  </w:t>
      </w:r>
      <w:r>
        <w:rPr>
          <w:rFonts w:hint="eastAsia"/>
          <w:lang w:val="zh-CN"/>
        </w:rPr>
        <w:t>在由妇女平等事务总统顾问办公室（即现在的妇女平等事务总统高级顾问办公室）开展的</w:t>
      </w:r>
      <w:r>
        <w:rPr>
          <w:rFonts w:eastAsia="SimHei" w:hint="eastAsia"/>
          <w:lang w:val="zh-CN"/>
        </w:rPr>
        <w:t>法律扫盲</w:t>
      </w:r>
      <w:r>
        <w:rPr>
          <w:rFonts w:hint="eastAsia"/>
          <w:lang w:val="zh-CN"/>
        </w:rPr>
        <w:t>工作方面，</w:t>
      </w:r>
      <w:r>
        <w:rPr>
          <w:lang w:val="zh-CN"/>
        </w:rPr>
        <w:t>2003-2010</w:t>
      </w:r>
      <w:r>
        <w:rPr>
          <w:rFonts w:hint="eastAsia"/>
          <w:lang w:val="zh-CN"/>
        </w:rPr>
        <w:t>年期间顾问办公室在全国范围内开办了近</w:t>
      </w:r>
      <w:r>
        <w:rPr>
          <w:lang w:val="zh-CN"/>
        </w:rPr>
        <w:t>750</w:t>
      </w:r>
      <w:r>
        <w:rPr>
          <w:rFonts w:hint="eastAsia"/>
          <w:lang w:val="zh-CN"/>
        </w:rPr>
        <w:t>次讲习班，提高妇女对其权利的认识并了解举报暴力事件、避免施暴者逍遥法外的重要性，在讲习班中分发了教育宣传册，标题为：“通向无暴力之路和</w:t>
      </w:r>
      <w:r>
        <w:rPr>
          <w:lang w:val="zh-CN"/>
        </w:rPr>
        <w:t>2008</w:t>
      </w:r>
      <w:r>
        <w:rPr>
          <w:rFonts w:hint="eastAsia"/>
          <w:lang w:val="zh-CN"/>
        </w:rPr>
        <w:t>年的第</w:t>
      </w:r>
      <w:r>
        <w:rPr>
          <w:lang w:val="zh-CN"/>
        </w:rPr>
        <w:t>1257</w:t>
      </w:r>
      <w:r>
        <w:rPr>
          <w:rFonts w:hint="eastAsia"/>
          <w:lang w:val="zh-CN"/>
        </w:rPr>
        <w:t>号法”。</w:t>
      </w:r>
    </w:p>
    <w:p w:rsidR="00A83775" w:rsidRDefault="00A83775">
      <w:pPr>
        <w:pStyle w:val="SingleTxtGC"/>
        <w:rPr>
          <w:lang w:val="zh-CN"/>
        </w:rPr>
      </w:pPr>
      <w:r>
        <w:rPr>
          <w:lang w:val="zh-CN"/>
        </w:rPr>
        <w:t xml:space="preserve">56.  </w:t>
      </w:r>
      <w:r>
        <w:rPr>
          <w:rFonts w:hint="eastAsia"/>
          <w:lang w:val="zh-CN"/>
        </w:rPr>
        <w:t>通过实施</w:t>
      </w:r>
      <w:r>
        <w:rPr>
          <w:rFonts w:eastAsia="SimHei" w:hint="eastAsia"/>
          <w:lang w:val="zh-CN"/>
        </w:rPr>
        <w:t>欧洲委员会社会凝聚力项目</w:t>
      </w:r>
      <w:r>
        <w:rPr>
          <w:rFonts w:hint="eastAsia"/>
          <w:lang w:val="zh-CN"/>
        </w:rPr>
        <w:t>（</w:t>
      </w:r>
      <w:r>
        <w:rPr>
          <w:lang w:val="zh-CN"/>
        </w:rPr>
        <w:t>2009</w:t>
      </w:r>
      <w:r>
        <w:rPr>
          <w:rFonts w:hint="eastAsia"/>
          <w:lang w:val="zh-CN"/>
        </w:rPr>
        <w:t>年），促进了西班牙与哥伦比亚之间关于强化负责增进和保障妇女权利的行政机关、国家总检察署和总检察院的职能的经验交流，确立了关于全面关爱暴力受害妇女的机构间合作议定书的基础。</w:t>
      </w:r>
      <w:r>
        <w:rPr>
          <w:lang w:val="zh-CN"/>
        </w:rPr>
        <w:t xml:space="preserve"> </w:t>
      </w:r>
    </w:p>
    <w:p w:rsidR="00A83775" w:rsidRDefault="00A83775">
      <w:pPr>
        <w:pStyle w:val="SingleTxtGC"/>
        <w:rPr>
          <w:lang w:val="es-ES"/>
        </w:rPr>
      </w:pPr>
      <w:r>
        <w:rPr>
          <w:lang w:val="zh-CN"/>
        </w:rPr>
        <w:t xml:space="preserve">57.  </w:t>
      </w:r>
      <w:r>
        <w:rPr>
          <w:rFonts w:eastAsia="SimHei" w:hint="eastAsia"/>
          <w:lang w:val="zh-CN"/>
        </w:rPr>
        <w:t>名为根除暴力侵害妇女行为机构间工作组的部际委员会</w:t>
      </w:r>
      <w:r>
        <w:rPr>
          <w:rFonts w:hint="eastAsia"/>
          <w:lang w:val="zh-CN"/>
        </w:rPr>
        <w:t>。该委员会是通过</w:t>
      </w:r>
      <w:r>
        <w:rPr>
          <w:lang w:val="zh-CN"/>
        </w:rPr>
        <w:t>2010</w:t>
      </w:r>
      <w:r>
        <w:rPr>
          <w:rFonts w:hint="eastAsia"/>
          <w:lang w:val="zh-CN"/>
        </w:rPr>
        <w:t>年的第</w:t>
      </w:r>
      <w:r>
        <w:rPr>
          <w:lang w:val="zh-CN"/>
        </w:rPr>
        <w:t>164</w:t>
      </w:r>
      <w:r>
        <w:rPr>
          <w:rFonts w:hint="eastAsia"/>
          <w:lang w:val="zh-CN"/>
        </w:rPr>
        <w:t>号法令创立的，旨在努力加强负有根除对妇女的暴力侵害行为的职能的各实体单位之间的联系、协调和合作，以实现对受害妇女的全面、个性化、普遍和优质的关怀救助。工作组认识到了暴力侵害妇女行为具有多面性的特点，从而提出了一项多部门机构间干预战略。同样，推动设立了根除暴力侵害妇女行为区域工作组，秉承同样的宗旨，但其工作重点落在了各地区，现已设立了</w:t>
      </w:r>
      <w:r>
        <w:rPr>
          <w:lang w:val="zh-CN"/>
        </w:rPr>
        <w:t>6</w:t>
      </w:r>
      <w:r>
        <w:rPr>
          <w:rFonts w:hint="eastAsia"/>
          <w:lang w:val="zh-CN"/>
        </w:rPr>
        <w:t>个区域工作组。</w:t>
      </w:r>
      <w:r>
        <w:rPr>
          <w:vertAlign w:val="superscript"/>
          <w:lang w:val="zh-CN"/>
        </w:rPr>
        <w:footnoteReference w:id="23"/>
      </w:r>
    </w:p>
    <w:p w:rsidR="00A83775" w:rsidRDefault="00A83775">
      <w:pPr>
        <w:pStyle w:val="SingleTxtGC"/>
        <w:rPr>
          <w:lang w:val="es-ES"/>
        </w:rPr>
      </w:pPr>
      <w:r>
        <w:rPr>
          <w:lang w:val="es-ES"/>
        </w:rPr>
        <w:t xml:space="preserve">58.  </w:t>
      </w:r>
      <w:r>
        <w:rPr>
          <w:rFonts w:hint="eastAsia"/>
          <w:lang w:val="zh-CN"/>
        </w:rPr>
        <w:t>在前一次报告中（哥伦比亚向委员会递交的第五次和第六次合并定期报告），已经提到了投入实施</w:t>
      </w:r>
      <w:r>
        <w:rPr>
          <w:rFonts w:eastAsia="SimHei" w:hint="eastAsia"/>
          <w:lang w:val="zh-CN"/>
        </w:rPr>
        <w:t>通过司法途径捍卫哥伦比亚妇女权利的战略计划</w:t>
      </w:r>
      <w:r>
        <w:rPr>
          <w:rFonts w:hint="eastAsia"/>
          <w:lang w:val="zh-CN"/>
        </w:rPr>
        <w:t>。</w:t>
      </w:r>
      <w:r>
        <w:rPr>
          <w:vertAlign w:val="superscript"/>
          <w:lang w:val="zh-CN"/>
        </w:rPr>
        <w:footnoteReference w:id="24"/>
      </w:r>
      <w:r>
        <w:rPr>
          <w:rFonts w:hint="eastAsia"/>
          <w:lang w:val="zh-CN"/>
        </w:rPr>
        <w:t xml:space="preserve"> </w:t>
      </w:r>
      <w:r>
        <w:rPr>
          <w:rFonts w:hint="eastAsia"/>
          <w:lang w:val="zh-CN"/>
        </w:rPr>
        <w:t>通过妇女平等事务总统高级顾问办公室和马德里社区就国家政府一级开展的合作协议实施过程中，由西班牙和哥伦比亚专家组成的工作组在经过一轮对哥伦比亚妇女的实际状况进行研究后，拟订了</w:t>
      </w:r>
      <w:r>
        <w:rPr>
          <w:lang w:val="zh-CN"/>
        </w:rPr>
        <w:t>116</w:t>
      </w:r>
      <w:r>
        <w:rPr>
          <w:rFonts w:hint="eastAsia"/>
          <w:lang w:val="zh-CN"/>
        </w:rPr>
        <w:t>条措施，旨在通过加强政府行动来增进妇女权利和平等，开展新举措以完善哥伦比亚法律法规所包含的权利的行使和落实，具体分为三类工作：</w:t>
      </w:r>
      <w:r>
        <w:rPr>
          <w:rFonts w:hint="eastAsia"/>
          <w:lang w:val="zh-CN"/>
        </w:rPr>
        <w:t>(</w:t>
      </w:r>
      <w:r>
        <w:rPr>
          <w:lang w:val="zh-CN"/>
        </w:rPr>
        <w:t>a)</w:t>
      </w:r>
      <w:r>
        <w:rPr>
          <w:rFonts w:hint="eastAsia"/>
          <w:lang w:val="zh-CN"/>
        </w:rPr>
        <w:t xml:space="preserve"> </w:t>
      </w:r>
      <w:r>
        <w:rPr>
          <w:rFonts w:hint="eastAsia"/>
          <w:lang w:val="zh-CN"/>
        </w:rPr>
        <w:t>保护妇女免受家庭内暴力；</w:t>
      </w:r>
      <w:r>
        <w:rPr>
          <w:rFonts w:hint="eastAsia"/>
          <w:lang w:val="zh-CN"/>
        </w:rPr>
        <w:t>(</w:t>
      </w:r>
      <w:r>
        <w:rPr>
          <w:lang w:val="zh-CN"/>
        </w:rPr>
        <w:t>b)</w:t>
      </w:r>
      <w:r>
        <w:rPr>
          <w:rFonts w:hint="eastAsia"/>
          <w:lang w:val="zh-CN"/>
        </w:rPr>
        <w:t xml:space="preserve"> </w:t>
      </w:r>
      <w:r>
        <w:rPr>
          <w:rFonts w:hint="eastAsia"/>
          <w:lang w:val="zh-CN"/>
        </w:rPr>
        <w:t>解决婚姻破裂问题；及</w:t>
      </w:r>
      <w:r>
        <w:rPr>
          <w:rFonts w:hint="eastAsia"/>
          <w:lang w:val="zh-CN"/>
        </w:rPr>
        <w:t>(</w:t>
      </w:r>
      <w:r>
        <w:rPr>
          <w:lang w:val="zh-CN"/>
        </w:rPr>
        <w:t>c)</w:t>
      </w:r>
      <w:r>
        <w:rPr>
          <w:rFonts w:hint="eastAsia"/>
          <w:lang w:val="zh-CN"/>
        </w:rPr>
        <w:t xml:space="preserve"> </w:t>
      </w:r>
      <w:r>
        <w:rPr>
          <w:rFonts w:hint="eastAsia"/>
          <w:lang w:val="zh-CN"/>
        </w:rPr>
        <w:t>劳动歧视。</w:t>
      </w:r>
    </w:p>
    <w:p w:rsidR="00A83775" w:rsidRDefault="00A83775">
      <w:pPr>
        <w:pStyle w:val="SingleTxtGC"/>
        <w:rPr>
          <w:rFonts w:hint="eastAsia"/>
          <w:lang w:val="es-ES"/>
        </w:rPr>
      </w:pPr>
      <w:r>
        <w:rPr>
          <w:lang w:val="es-ES"/>
        </w:rPr>
        <w:t xml:space="preserve">59.  </w:t>
      </w:r>
      <w:r>
        <w:rPr>
          <w:rFonts w:hint="eastAsia"/>
          <w:lang w:val="zh-CN"/>
        </w:rPr>
        <w:t>取得的成果主要如下</w:t>
      </w:r>
      <w:r>
        <w:rPr>
          <w:rFonts w:hint="eastAsia"/>
          <w:lang w:val="es-ES"/>
        </w:rPr>
        <w:t>：</w:t>
      </w:r>
    </w:p>
    <w:p w:rsidR="00A83775" w:rsidRDefault="00A83775">
      <w:pPr>
        <w:pStyle w:val="SingleTxtGC"/>
        <w:numPr>
          <w:ilvl w:val="0"/>
          <w:numId w:val="19"/>
        </w:numPr>
        <w:rPr>
          <w:lang w:val="es-ES"/>
        </w:rPr>
      </w:pPr>
      <w:r>
        <w:rPr>
          <w:rFonts w:hint="eastAsia"/>
          <w:lang w:val="zh-CN"/>
        </w:rPr>
        <w:t>在婚姻破裂的状况下实施保护：在各所大学的法律咨询所的协助下，推动将性别观点纳入到向妇女和社区提供的免费法律援助工作中；开设一家法律咨询类广播节目“妇女咨询热线”，对各类典型案例进行分析并将栏目内容登载到上文提到的网站；</w:t>
      </w:r>
    </w:p>
    <w:p w:rsidR="00A83775" w:rsidRDefault="00A83775">
      <w:pPr>
        <w:pStyle w:val="SingleTxtGC"/>
        <w:numPr>
          <w:ilvl w:val="0"/>
          <w:numId w:val="19"/>
        </w:numPr>
        <w:rPr>
          <w:lang w:val="es-ES"/>
        </w:rPr>
      </w:pPr>
      <w:r>
        <w:rPr>
          <w:rFonts w:hint="eastAsia"/>
          <w:lang w:val="zh-CN"/>
        </w:rPr>
        <w:t>对遭受劳动歧视者实施保护：</w:t>
      </w:r>
    </w:p>
    <w:p w:rsidR="00A83775" w:rsidRDefault="00A83775">
      <w:pPr>
        <w:pStyle w:val="SingleTxtGC"/>
        <w:tabs>
          <w:tab w:val="clear" w:pos="1134"/>
          <w:tab w:val="clear" w:pos="2427"/>
          <w:tab w:val="left" w:pos="2600"/>
        </w:tabs>
        <w:ind w:left="2600" w:hanging="581"/>
        <w:rPr>
          <w:rFonts w:hint="eastAsia"/>
          <w:lang w:val="es-ES"/>
        </w:rPr>
      </w:pPr>
      <w:r>
        <w:rPr>
          <w:rFonts w:hint="eastAsia"/>
          <w:lang w:val="zh-CN"/>
        </w:rPr>
        <w:t>(</w:t>
      </w:r>
      <w:r>
        <w:rPr>
          <w:rFonts w:hint="eastAsia"/>
          <w:lang w:val="zh-CN"/>
        </w:rPr>
        <w:t>一</w:t>
      </w:r>
      <w:r>
        <w:t>)</w:t>
      </w:r>
      <w:r>
        <w:rPr>
          <w:lang w:val="es-ES"/>
        </w:rPr>
        <w:tab/>
      </w:r>
      <w:r>
        <w:rPr>
          <w:rFonts w:hint="eastAsia"/>
          <w:spacing w:val="-6"/>
          <w:lang w:val="zh-CN"/>
        </w:rPr>
        <w:t>在远程教育学位课程班教材中加入一个培训模块：妇女与性别事务；</w:t>
      </w:r>
    </w:p>
    <w:p w:rsidR="00A83775" w:rsidRDefault="00A83775">
      <w:pPr>
        <w:pStyle w:val="SingleTxtGC"/>
        <w:tabs>
          <w:tab w:val="clear" w:pos="1134"/>
          <w:tab w:val="clear" w:pos="2427"/>
          <w:tab w:val="left" w:pos="2600"/>
        </w:tabs>
        <w:ind w:left="2600" w:hanging="581"/>
        <w:rPr>
          <w:lang w:val="es-ES"/>
        </w:rPr>
      </w:pPr>
      <w:r>
        <w:rPr>
          <w:rFonts w:hint="eastAsia"/>
          <w:lang w:val="es-ES"/>
        </w:rPr>
        <w:t>(</w:t>
      </w:r>
      <w:r>
        <w:rPr>
          <w:rFonts w:hint="eastAsia"/>
          <w:lang w:val="zh-CN"/>
        </w:rPr>
        <w:t>二</w:t>
      </w:r>
      <w:r>
        <w:t>)</w:t>
      </w:r>
      <w:r>
        <w:rPr>
          <w:lang w:val="es-ES"/>
        </w:rPr>
        <w:tab/>
      </w:r>
      <w:r>
        <w:rPr>
          <w:rFonts w:hint="eastAsia"/>
          <w:lang w:val="zh-CN"/>
        </w:rPr>
        <w:t>使妇女平等事务总统高级顾问办公室与全国咖啡业者联合会就家庭内暴力、工会政治参与和经济自主权事务结成了工作联盟关系，开发了咖啡业从业妇女事务议程。</w:t>
      </w:r>
    </w:p>
    <w:p w:rsidR="00A83775" w:rsidRDefault="00A83775">
      <w:pPr>
        <w:pStyle w:val="SingleTxtGC"/>
        <w:rPr>
          <w:lang w:val="es-ES"/>
        </w:rPr>
      </w:pPr>
      <w:r>
        <w:rPr>
          <w:lang w:val="es-ES"/>
        </w:rPr>
        <w:t xml:space="preserve">60.  </w:t>
      </w:r>
      <w:r>
        <w:rPr>
          <w:rFonts w:hint="eastAsia"/>
          <w:lang w:val="zh-CN"/>
        </w:rPr>
        <w:t>为实施《</w:t>
      </w:r>
      <w:r>
        <w:rPr>
          <w:lang w:val="zh-CN"/>
        </w:rPr>
        <w:t>2008-2009</w:t>
      </w:r>
      <w:r>
        <w:rPr>
          <w:rFonts w:hint="eastAsia"/>
          <w:lang w:val="zh-CN"/>
        </w:rPr>
        <w:t>年战略计划》，从措施重要性、互补性和资金实力角度考虑，优先开展了</w:t>
      </w:r>
      <w:r>
        <w:rPr>
          <w:lang w:val="zh-CN"/>
        </w:rPr>
        <w:t>25</w:t>
      </w:r>
      <w:r>
        <w:rPr>
          <w:rFonts w:hint="eastAsia"/>
          <w:lang w:val="zh-CN"/>
        </w:rPr>
        <w:t>项措施。这些措施的详情介绍可参见“哥伦比亚捍卫妇女权利战略计划实施方案”，该方案是由妇女平等事务总统高级顾问办公室和哈维利亚纳大学的思想政治学院制定、由马德里社区资助并在妇女平等事务总统高级顾问办公室的配合下开展实施的，方案的执行期为</w:t>
      </w:r>
      <w:r>
        <w:rPr>
          <w:lang w:val="zh-CN"/>
        </w:rPr>
        <w:t>2008</w:t>
      </w:r>
      <w:r>
        <w:rPr>
          <w:rFonts w:hint="eastAsia"/>
          <w:lang w:val="zh-CN"/>
        </w:rPr>
        <w:t>年</w:t>
      </w:r>
      <w:r>
        <w:rPr>
          <w:lang w:val="zh-CN"/>
        </w:rPr>
        <w:t>9</w:t>
      </w:r>
      <w:r>
        <w:rPr>
          <w:rFonts w:hint="eastAsia"/>
          <w:lang w:val="zh-CN"/>
        </w:rPr>
        <w:t>月</w:t>
      </w:r>
      <w:r>
        <w:rPr>
          <w:lang w:val="zh-CN"/>
        </w:rPr>
        <w:t>15</w:t>
      </w:r>
      <w:r>
        <w:rPr>
          <w:rFonts w:hint="eastAsia"/>
          <w:lang w:val="zh-CN"/>
        </w:rPr>
        <w:t>日至</w:t>
      </w:r>
      <w:r>
        <w:rPr>
          <w:lang w:val="zh-CN"/>
        </w:rPr>
        <w:t>2009</w:t>
      </w:r>
      <w:r>
        <w:rPr>
          <w:rFonts w:hint="eastAsia"/>
          <w:lang w:val="zh-CN"/>
        </w:rPr>
        <w:t>年</w:t>
      </w:r>
      <w:r>
        <w:rPr>
          <w:lang w:val="zh-CN"/>
        </w:rPr>
        <w:t>12</w:t>
      </w:r>
      <w:r>
        <w:rPr>
          <w:rFonts w:hint="eastAsia"/>
          <w:lang w:val="zh-CN"/>
        </w:rPr>
        <w:t>月</w:t>
      </w:r>
      <w:r>
        <w:rPr>
          <w:lang w:val="zh-CN"/>
        </w:rPr>
        <w:t>31</w:t>
      </w:r>
      <w:r>
        <w:rPr>
          <w:rFonts w:hint="eastAsia"/>
          <w:lang w:val="zh-CN"/>
        </w:rPr>
        <w:t>日。在本条的附件一中包含了该战略计划的全文。</w:t>
      </w:r>
    </w:p>
    <w:p w:rsidR="00A83775" w:rsidRDefault="00A83775">
      <w:pPr>
        <w:pStyle w:val="SingleTxtGC"/>
        <w:rPr>
          <w:lang w:val="zh-CN"/>
        </w:rPr>
      </w:pPr>
      <w:r>
        <w:rPr>
          <w:lang w:val="es-ES"/>
        </w:rPr>
        <w:t xml:space="preserve">61.  </w:t>
      </w:r>
      <w:r>
        <w:rPr>
          <w:rFonts w:hint="eastAsia"/>
          <w:lang w:val="zh-CN"/>
        </w:rPr>
        <w:t>实施开展的措施旨在围绕上述三类工作对现有立法进行修改；与媒体开展合作，培养增进平等价值观并打造一个平衡的形象；实施培训方案；出台旨在预防和处理暴力侵害妇女行为的行动议定书；对马德里社区与哥伦比亚的合作策略进行可行性研究，为移民在其权利主张方面提供咨询、陪伴服务并出台机制，并对婚姻破裂后出现的问题予以解决；在企业界开展思想教育活动，消除业界对聘用女工的偏见；等等。</w:t>
      </w:r>
    </w:p>
    <w:p w:rsidR="00A83775" w:rsidRDefault="00A83775">
      <w:pPr>
        <w:pStyle w:val="SingleTxtGC"/>
        <w:rPr>
          <w:lang w:val="es-ES"/>
        </w:rPr>
      </w:pPr>
      <w:r>
        <w:rPr>
          <w:lang w:val="zh-CN"/>
        </w:rPr>
        <w:t xml:space="preserve">62.  </w:t>
      </w:r>
      <w:r>
        <w:rPr>
          <w:rFonts w:hint="eastAsia"/>
          <w:lang w:val="zh-CN"/>
        </w:rPr>
        <w:t>在立法改革措施方面，需要强调的是通过司法途径捍卫哥伦比亚妇女权利的战略计划的全文已被妇女平等事务总统高级顾问办公室提交给了共和国国会的妇女事务组，目的是将之作为其主张实施有利于妇女的立法改革提案的佐证。根据妇女平等事务总统高级顾问办公室的审议，战略计划中提出的与暴力侵害妇女行为有关的立法改革内容有</w:t>
      </w:r>
      <w:r>
        <w:rPr>
          <w:lang w:val="zh-CN"/>
        </w:rPr>
        <w:t>99%</w:t>
      </w:r>
      <w:r>
        <w:rPr>
          <w:rFonts w:hint="eastAsia"/>
          <w:lang w:val="zh-CN"/>
        </w:rPr>
        <w:t>都被纳入到了</w:t>
      </w:r>
      <w:r>
        <w:rPr>
          <w:lang w:val="zh-CN"/>
        </w:rPr>
        <w:t>2008</w:t>
      </w:r>
      <w:r>
        <w:rPr>
          <w:rFonts w:hint="eastAsia"/>
          <w:lang w:val="zh-CN"/>
        </w:rPr>
        <w:t>年的第</w:t>
      </w:r>
      <w:r>
        <w:rPr>
          <w:lang w:val="zh-CN"/>
        </w:rPr>
        <w:t>1257</w:t>
      </w:r>
      <w:r>
        <w:rPr>
          <w:rFonts w:hint="eastAsia"/>
          <w:lang w:val="zh-CN"/>
        </w:rPr>
        <w:t>号法中。</w:t>
      </w:r>
      <w:r>
        <w:rPr>
          <w:vertAlign w:val="superscript"/>
          <w:lang w:val="zh-CN"/>
        </w:rPr>
        <w:footnoteReference w:id="25"/>
      </w:r>
    </w:p>
    <w:p w:rsidR="00A83775" w:rsidRDefault="00A83775">
      <w:pPr>
        <w:pStyle w:val="SingleTxtGC"/>
        <w:rPr>
          <w:vertAlign w:val="subscript"/>
        </w:rPr>
      </w:pPr>
      <w:r>
        <w:rPr>
          <w:lang w:val="es-ES"/>
        </w:rPr>
        <w:t xml:space="preserve">63.  </w:t>
      </w:r>
      <w:r>
        <w:rPr>
          <w:rFonts w:hint="eastAsia"/>
          <w:lang w:val="zh-CN"/>
        </w:rPr>
        <w:t>在研究旨在应对暴力侵害妇女问题的机制的影响和效力方面，在本战略计划框架内，围绕计划的三类工作重点对妇女所处状况进行了研究，</w:t>
      </w:r>
      <w:r>
        <w:rPr>
          <w:vertAlign w:val="superscript"/>
          <w:lang w:val="en-GB"/>
        </w:rPr>
        <w:footnoteReference w:id="26"/>
      </w:r>
      <w:r>
        <w:rPr>
          <w:rFonts w:hint="eastAsia"/>
          <w:lang w:val="zh-CN"/>
        </w:rPr>
        <w:t xml:space="preserve"> </w:t>
      </w:r>
      <w:r>
        <w:rPr>
          <w:rFonts w:hint="eastAsia"/>
          <w:lang w:val="zh-CN"/>
        </w:rPr>
        <w:t>并在这一研究的基础上提出了有针对性的建议。</w:t>
      </w:r>
      <w:r>
        <w:rPr>
          <w:vertAlign w:val="superscript"/>
          <w:lang w:val="zh-CN"/>
        </w:rPr>
        <w:footnoteReference w:id="27"/>
      </w:r>
    </w:p>
    <w:p w:rsidR="00A83775" w:rsidRDefault="00A83775">
      <w:pPr>
        <w:pStyle w:val="SingleTxtGC"/>
        <w:rPr>
          <w:lang w:val="es-ES"/>
        </w:rPr>
      </w:pPr>
      <w:r>
        <w:rPr>
          <w:lang w:val="es-ES"/>
        </w:rPr>
        <w:t xml:space="preserve">64.  </w:t>
      </w:r>
      <w:r>
        <w:rPr>
          <w:rFonts w:hint="eastAsia"/>
          <w:lang w:val="zh-CN"/>
        </w:rPr>
        <w:t>结果如下：</w:t>
      </w:r>
    </w:p>
    <w:p w:rsidR="00A83775" w:rsidRDefault="00A83775">
      <w:pPr>
        <w:pStyle w:val="SingleTxtGC"/>
        <w:numPr>
          <w:ilvl w:val="0"/>
          <w:numId w:val="20"/>
        </w:numPr>
        <w:rPr>
          <w:lang w:val="es-ES"/>
        </w:rPr>
      </w:pPr>
      <w:r>
        <w:rPr>
          <w:rFonts w:hint="eastAsia"/>
          <w:lang w:val="zh-CN"/>
        </w:rPr>
        <w:t>在全国、地区和地方一级采集与家庭内暴力事件的预防、侦查、处理和培训有关的信息，在国内案件高发的城市开展一揽子服务；向家庭赔偿保险公司（与“鼓励阅读”基金会联合）的参保妇女分发宣传材料；</w:t>
      </w:r>
    </w:p>
    <w:p w:rsidR="00A83775" w:rsidRDefault="00A83775">
      <w:pPr>
        <w:pStyle w:val="SingleTxtGC"/>
        <w:numPr>
          <w:ilvl w:val="0"/>
          <w:numId w:val="20"/>
        </w:numPr>
        <w:rPr>
          <w:lang w:val="es-ES"/>
        </w:rPr>
      </w:pPr>
      <w:r>
        <w:rPr>
          <w:rFonts w:hint="eastAsia"/>
          <w:lang w:val="zh-CN"/>
        </w:rPr>
        <w:t>编制教材，主要有：家庭读书计划：关于妇女权利的日常读本，关于儿童权利的地铁宣传材料；制作和播放广播系列片－《</w:t>
      </w:r>
      <w:r>
        <w:rPr>
          <w:rFonts w:eastAsia="KaiTi_GB2312" w:hint="eastAsia"/>
          <w:lang w:val="zh-CN"/>
        </w:rPr>
        <w:t>妇女之言</w:t>
      </w:r>
      <w:r>
        <w:rPr>
          <w:rFonts w:hint="eastAsia"/>
          <w:lang w:val="zh-CN"/>
        </w:rPr>
        <w:t>》：通过哥伦比亚大学广播网的</w:t>
      </w:r>
      <w:r>
        <w:rPr>
          <w:lang w:val="zh-CN"/>
        </w:rPr>
        <w:t>35</w:t>
      </w:r>
      <w:r>
        <w:rPr>
          <w:rFonts w:hint="eastAsia"/>
          <w:lang w:val="zh-CN"/>
        </w:rPr>
        <w:t>个基站播放；</w:t>
      </w:r>
    </w:p>
    <w:p w:rsidR="00A83775" w:rsidRDefault="00A83775">
      <w:pPr>
        <w:pStyle w:val="SingleTxtGC"/>
        <w:numPr>
          <w:ilvl w:val="0"/>
          <w:numId w:val="20"/>
        </w:numPr>
        <w:rPr>
          <w:lang w:val="es-ES"/>
        </w:rPr>
      </w:pPr>
      <w:r>
        <w:rPr>
          <w:rFonts w:hint="eastAsia"/>
          <w:lang w:val="zh-CN"/>
        </w:rPr>
        <w:t>发展远程虚拟教育：妇女和性别事务学位课程：</w:t>
      </w:r>
    </w:p>
    <w:p w:rsidR="00A83775" w:rsidRDefault="00A83775">
      <w:pPr>
        <w:pStyle w:val="SingleTxtGC"/>
        <w:tabs>
          <w:tab w:val="clear" w:pos="1134"/>
          <w:tab w:val="clear" w:pos="2427"/>
          <w:tab w:val="left" w:pos="2600"/>
        </w:tabs>
        <w:ind w:left="2600" w:hanging="584"/>
        <w:rPr>
          <w:lang w:val="es-ES"/>
        </w:rPr>
      </w:pPr>
      <w:r>
        <w:rPr>
          <w:rFonts w:hint="eastAsia"/>
          <w:lang w:val="zh-CN"/>
        </w:rPr>
        <w:t>(</w:t>
      </w:r>
      <w:r>
        <w:rPr>
          <w:rFonts w:hint="eastAsia"/>
          <w:lang w:val="zh-CN"/>
        </w:rPr>
        <w:t>一</w:t>
      </w:r>
      <w:r>
        <w:t>)</w:t>
      </w:r>
      <w:r>
        <w:rPr>
          <w:lang w:val="es-ES"/>
        </w:rPr>
        <w:tab/>
      </w:r>
      <w:r>
        <w:rPr>
          <w:rFonts w:hint="eastAsia"/>
          <w:lang w:val="zh-CN"/>
        </w:rPr>
        <w:t>对教师进行培训；</w:t>
      </w:r>
    </w:p>
    <w:p w:rsidR="00A83775" w:rsidRDefault="00A83775">
      <w:pPr>
        <w:pStyle w:val="SingleTxtGC"/>
        <w:tabs>
          <w:tab w:val="clear" w:pos="1134"/>
          <w:tab w:val="clear" w:pos="2427"/>
          <w:tab w:val="left" w:pos="2600"/>
        </w:tabs>
        <w:ind w:left="2600" w:hanging="584"/>
        <w:rPr>
          <w:vertAlign w:val="subscript"/>
        </w:rPr>
      </w:pPr>
      <w:r>
        <w:rPr>
          <w:rFonts w:hint="eastAsia"/>
          <w:lang w:val="zh-CN"/>
        </w:rPr>
        <w:t>(</w:t>
      </w:r>
      <w:r>
        <w:rPr>
          <w:rFonts w:hint="eastAsia"/>
          <w:lang w:val="zh-CN"/>
        </w:rPr>
        <w:t>二</w:t>
      </w:r>
      <w:r>
        <w:t>)</w:t>
      </w:r>
      <w:r>
        <w:rPr>
          <w:lang w:val="es-ES"/>
        </w:rPr>
        <w:tab/>
      </w:r>
      <w:r>
        <w:rPr>
          <w:rFonts w:hint="eastAsia"/>
          <w:lang w:val="zh-CN"/>
        </w:rPr>
        <w:t>在全国范围内启动培训方案；</w:t>
      </w:r>
    </w:p>
    <w:p w:rsidR="00A83775" w:rsidRDefault="00A83775">
      <w:pPr>
        <w:pStyle w:val="SingleTxtGC"/>
        <w:tabs>
          <w:tab w:val="clear" w:pos="1134"/>
          <w:tab w:val="clear" w:pos="2427"/>
          <w:tab w:val="left" w:pos="2600"/>
        </w:tabs>
        <w:ind w:left="2600" w:hanging="584"/>
        <w:rPr>
          <w:lang w:val="es-ES"/>
        </w:rPr>
      </w:pPr>
      <w:r>
        <w:rPr>
          <w:rFonts w:hint="eastAsia"/>
        </w:rPr>
        <w:t>(</w:t>
      </w:r>
      <w:r>
        <w:rPr>
          <w:rFonts w:hint="eastAsia"/>
          <w:lang w:val="zh-CN"/>
        </w:rPr>
        <w:t>三</w:t>
      </w:r>
      <w:r>
        <w:t>)</w:t>
      </w:r>
      <w:r>
        <w:rPr>
          <w:rFonts w:hint="eastAsia"/>
          <w:lang w:val="zh-CN"/>
        </w:rPr>
        <w:tab/>
      </w:r>
      <w:r>
        <w:rPr>
          <w:rFonts w:hint="eastAsia"/>
          <w:lang w:val="zh-CN"/>
        </w:rPr>
        <w:t>在哥伦比亚</w:t>
      </w:r>
      <w:r>
        <w:rPr>
          <w:lang w:val="zh-CN"/>
        </w:rPr>
        <w:t>31</w:t>
      </w:r>
      <w:r>
        <w:rPr>
          <w:rFonts w:hint="eastAsia"/>
          <w:lang w:val="zh-CN"/>
        </w:rPr>
        <w:t>个城市进行巡回讲演，参与人员达</w:t>
      </w:r>
      <w:r>
        <w:rPr>
          <w:lang w:val="zh-CN"/>
        </w:rPr>
        <w:t>562</w:t>
      </w:r>
      <w:r>
        <w:rPr>
          <w:rFonts w:hint="eastAsia"/>
          <w:lang w:val="zh-CN"/>
        </w:rPr>
        <w:t>人；</w:t>
      </w:r>
    </w:p>
    <w:p w:rsidR="00A83775" w:rsidRDefault="00A83775">
      <w:pPr>
        <w:pStyle w:val="SingleTxtGC"/>
        <w:numPr>
          <w:ilvl w:val="0"/>
          <w:numId w:val="20"/>
        </w:numPr>
        <w:rPr>
          <w:lang w:val="zh-CN"/>
        </w:rPr>
      </w:pPr>
      <w:r>
        <w:rPr>
          <w:rFonts w:hint="eastAsia"/>
          <w:lang w:val="zh-CN"/>
        </w:rPr>
        <w:t>制作和播放广播系列片</w:t>
      </w:r>
      <w:r>
        <w:rPr>
          <w:rFonts w:hint="eastAsia"/>
          <w:spacing w:val="-50"/>
          <w:lang w:val="es-ES"/>
        </w:rPr>
        <w:t>―</w:t>
      </w:r>
      <w:r>
        <w:rPr>
          <w:rFonts w:hint="eastAsia"/>
          <w:lang w:val="es-ES"/>
        </w:rPr>
        <w:t>―</w:t>
      </w:r>
      <w:r>
        <w:rPr>
          <w:rFonts w:hint="eastAsia"/>
          <w:lang w:val="zh-CN"/>
        </w:rPr>
        <w:t>《妇女咨询热线》：通过哥伦比亚大学广播网的</w:t>
      </w:r>
      <w:r>
        <w:rPr>
          <w:lang w:val="zh-CN"/>
        </w:rPr>
        <w:t>35</w:t>
      </w:r>
      <w:r>
        <w:rPr>
          <w:rFonts w:hint="eastAsia"/>
          <w:lang w:val="zh-CN"/>
        </w:rPr>
        <w:t>个基站播放，</w:t>
      </w:r>
      <w:r>
        <w:rPr>
          <w:lang w:val="zh-CN"/>
        </w:rPr>
        <w:t>70</w:t>
      </w:r>
      <w:r>
        <w:rPr>
          <w:rFonts w:hint="eastAsia"/>
          <w:lang w:val="zh-CN"/>
        </w:rPr>
        <w:t>家国内各所大学法律咨询所参与了节目的制作和转播；</w:t>
      </w:r>
    </w:p>
    <w:p w:rsidR="00A83775" w:rsidRDefault="00A83775">
      <w:pPr>
        <w:pStyle w:val="SingleTxtGC"/>
        <w:numPr>
          <w:ilvl w:val="0"/>
          <w:numId w:val="20"/>
        </w:numPr>
        <w:rPr>
          <w:lang w:val="zh-CN"/>
        </w:rPr>
      </w:pPr>
      <w:r>
        <w:rPr>
          <w:rFonts w:hint="eastAsia"/>
          <w:lang w:val="zh-CN"/>
        </w:rPr>
        <w:t>着手对国内和国际的卫生保健议定书进行分析；</w:t>
      </w:r>
    </w:p>
    <w:p w:rsidR="00A83775" w:rsidRDefault="00A83775">
      <w:pPr>
        <w:pStyle w:val="SingleTxtGC"/>
        <w:numPr>
          <w:ilvl w:val="0"/>
          <w:numId w:val="20"/>
        </w:numPr>
        <w:rPr>
          <w:lang w:val="zh-CN"/>
        </w:rPr>
      </w:pPr>
      <w:r>
        <w:rPr>
          <w:rFonts w:hint="eastAsia"/>
          <w:lang w:val="zh-CN"/>
        </w:rPr>
        <w:t>对医疗保健卡的发放情况进行评估；</w:t>
      </w:r>
    </w:p>
    <w:p w:rsidR="00A83775" w:rsidRDefault="00A83775">
      <w:pPr>
        <w:pStyle w:val="SingleTxtGC"/>
        <w:numPr>
          <w:ilvl w:val="0"/>
          <w:numId w:val="20"/>
        </w:numPr>
        <w:rPr>
          <w:lang w:val="zh-CN"/>
        </w:rPr>
      </w:pPr>
      <w:r>
        <w:rPr>
          <w:rFonts w:hint="eastAsia"/>
          <w:lang w:val="zh-CN"/>
        </w:rPr>
        <w:t>审查针对国家警察编制的手册是否合规；</w:t>
      </w:r>
    </w:p>
    <w:p w:rsidR="00A83775" w:rsidRDefault="00A83775">
      <w:pPr>
        <w:pStyle w:val="SingleTxtGC"/>
        <w:numPr>
          <w:ilvl w:val="0"/>
          <w:numId w:val="20"/>
        </w:numPr>
        <w:rPr>
          <w:lang w:val="zh-CN"/>
        </w:rPr>
      </w:pPr>
      <w:r>
        <w:rPr>
          <w:rFonts w:hint="eastAsia"/>
          <w:lang w:val="zh-CN"/>
        </w:rPr>
        <w:t>与国家警察代表保持联系，以落实相关议定书；</w:t>
      </w:r>
    </w:p>
    <w:p w:rsidR="00A83775" w:rsidRDefault="00A83775">
      <w:pPr>
        <w:pStyle w:val="SingleTxtGC"/>
        <w:numPr>
          <w:ilvl w:val="0"/>
          <w:numId w:val="20"/>
        </w:numPr>
        <w:rPr>
          <w:lang w:val="zh-CN"/>
        </w:rPr>
      </w:pPr>
      <w:r>
        <w:rPr>
          <w:rFonts w:hint="eastAsia"/>
          <w:lang w:val="zh-CN"/>
        </w:rPr>
        <w:t>对</w:t>
      </w:r>
      <w:hyperlink r:id="rId8" w:tooltip="http://www.mujercolombia.com/" w:history="1">
        <w:r>
          <w:rPr>
            <w:lang w:val="zh-CN"/>
          </w:rPr>
          <w:t>www.mujercolombia.com</w:t>
        </w:r>
      </w:hyperlink>
      <w:r>
        <w:rPr>
          <w:rFonts w:hint="eastAsia"/>
          <w:lang w:val="zh-CN"/>
        </w:rPr>
        <w:t>网站进行维护并在网站上开辟一栏，用于登记家庭内暴力案件；</w:t>
      </w:r>
    </w:p>
    <w:p w:rsidR="00A83775" w:rsidRDefault="00A83775">
      <w:pPr>
        <w:pStyle w:val="SingleTxtGC"/>
        <w:numPr>
          <w:ilvl w:val="0"/>
          <w:numId w:val="20"/>
        </w:numPr>
        <w:rPr>
          <w:lang w:val="zh-CN"/>
        </w:rPr>
      </w:pPr>
      <w:r>
        <w:rPr>
          <w:rFonts w:hint="eastAsia"/>
          <w:lang w:val="zh-CN"/>
        </w:rPr>
        <w:t>编制“</w:t>
      </w:r>
      <w:r>
        <w:rPr>
          <w:lang w:val="zh-CN"/>
        </w:rPr>
        <w:t>通向无暴力之路</w:t>
      </w:r>
      <w:r>
        <w:rPr>
          <w:rFonts w:hint="eastAsia"/>
          <w:lang w:val="zh-CN"/>
        </w:rPr>
        <w:t>”和第</w:t>
      </w:r>
      <w:r>
        <w:rPr>
          <w:lang w:val="zh-CN"/>
        </w:rPr>
        <w:t>1257</w:t>
      </w:r>
      <w:r>
        <w:rPr>
          <w:rFonts w:hint="eastAsia"/>
          <w:lang w:val="zh-CN"/>
        </w:rPr>
        <w:t>号法的宣传材料，以便通过网站、大众传媒、教育机构和公共图书馆进行宣传。</w:t>
      </w:r>
    </w:p>
    <w:p w:rsidR="00A83775" w:rsidRDefault="00A83775">
      <w:pPr>
        <w:pStyle w:val="SingleTxtGC"/>
        <w:numPr>
          <w:ilvl w:val="0"/>
          <w:numId w:val="20"/>
        </w:numPr>
        <w:rPr>
          <w:lang w:val="zh-CN"/>
        </w:rPr>
      </w:pPr>
      <w:r>
        <w:rPr>
          <w:rFonts w:hint="eastAsia"/>
          <w:lang w:val="zh-CN"/>
        </w:rPr>
        <w:t>向国会妇女事务组递交了需要审议的提案并于</w:t>
      </w:r>
      <w:r>
        <w:rPr>
          <w:lang w:val="zh-CN"/>
        </w:rPr>
        <w:t>2008</w:t>
      </w:r>
      <w:r>
        <w:rPr>
          <w:rFonts w:hint="eastAsia"/>
          <w:lang w:val="zh-CN"/>
        </w:rPr>
        <w:t>年形成了第</w:t>
      </w:r>
      <w:r>
        <w:rPr>
          <w:lang w:val="zh-CN"/>
        </w:rPr>
        <w:t>1257</w:t>
      </w:r>
      <w:r>
        <w:rPr>
          <w:rFonts w:hint="eastAsia"/>
          <w:lang w:val="zh-CN"/>
        </w:rPr>
        <w:t>号法；</w:t>
      </w:r>
    </w:p>
    <w:p w:rsidR="00A83775" w:rsidRDefault="00A83775">
      <w:pPr>
        <w:pStyle w:val="SingleTxtGC"/>
        <w:numPr>
          <w:ilvl w:val="0"/>
          <w:numId w:val="20"/>
        </w:numPr>
        <w:rPr>
          <w:lang w:val="es-ES"/>
        </w:rPr>
      </w:pPr>
      <w:r>
        <w:rPr>
          <w:rFonts w:hint="eastAsia"/>
          <w:lang w:val="zh-CN"/>
        </w:rPr>
        <w:t>成立了根除暴力侵害妇女行为国家委员会，并设立了根除暴力侵害妇女行为区域工作组（</w:t>
      </w:r>
      <w:r>
        <w:rPr>
          <w:lang w:val="zh-CN"/>
        </w:rPr>
        <w:t>9</w:t>
      </w:r>
      <w:r>
        <w:rPr>
          <w:rFonts w:hint="eastAsia"/>
          <w:lang w:val="zh-CN"/>
        </w:rPr>
        <w:t>个区域工作组），这在前文已经提到过。</w:t>
      </w:r>
    </w:p>
    <w:p w:rsidR="00A83775" w:rsidRDefault="00A83775">
      <w:pPr>
        <w:pStyle w:val="SingleTxtGC"/>
        <w:rPr>
          <w:lang w:val="zh-CN"/>
        </w:rPr>
      </w:pPr>
      <w:r>
        <w:rPr>
          <w:lang w:val="es-ES"/>
        </w:rPr>
        <w:t xml:space="preserve">65.  </w:t>
      </w:r>
      <w:r>
        <w:rPr>
          <w:rFonts w:hint="eastAsia"/>
          <w:lang w:val="zh-CN"/>
        </w:rPr>
        <w:t>为确保媒体尊重妇女权利，立足于妇女平等事务总统高级顾问办公室的宣传策略，已经就妇女和两性平等事务面向全社会开展了提高认识运动，与大众传媒合作，通过新闻小贴士、新闻稿、电文、自由媒体、宣传板和访谈节目的形式，对有助于提高妇女地位的方案和项目进行宣传。</w:t>
      </w:r>
    </w:p>
    <w:p w:rsidR="00A83775" w:rsidRDefault="00A83775">
      <w:pPr>
        <w:pStyle w:val="SingleTxtGC"/>
        <w:rPr>
          <w:lang w:val="es-ES"/>
        </w:rPr>
      </w:pPr>
      <w:r>
        <w:rPr>
          <w:lang w:val="zh-CN"/>
        </w:rPr>
        <w:t xml:space="preserve">66.  </w:t>
      </w:r>
      <w:r>
        <w:rPr>
          <w:rFonts w:hint="eastAsia"/>
          <w:lang w:val="zh-CN"/>
        </w:rPr>
        <w:t>此外还应重点提到</w:t>
      </w:r>
      <w:r>
        <w:rPr>
          <w:rFonts w:eastAsia="SimHei" w:hint="eastAsia"/>
          <w:lang w:val="zh-CN"/>
        </w:rPr>
        <w:t>全面打击基于性别原因的暴力行为方案</w:t>
      </w:r>
      <w:r>
        <w:rPr>
          <w:rFonts w:hint="eastAsia"/>
          <w:lang w:val="zh-CN"/>
        </w:rPr>
        <w:t>，这是由相关联合国机构（妇发基金－国际移民组织－人口基金）和国家政府－妇女平等事务总统高级顾问办公室合作开展的项目，得到了开发署西班牙基金会的资助，目的是实现千年发展目标。这一方案谋求实现在哥伦比亚根除一切形式的性别暴力，重点关注配偶间的暴力行为、性暴力、人口贩运、非法武装团体的暴力行为以及侵害处于流离失所状况的土著妇女和非洲裔哥伦比亚妇女的传统陋习。方案在全国范围以及四个重点地区开展了活动，强化了国家机关和地方机构的职能，同样也强化了民间社会组织在预防、侦查、登记和监测基于性别原因的暴力行为方面的作用；关爱基于性别原因的暴力行为的受害者；遵照国际文书的规定开发了一个针对基于性别原因的暴力行为的法律和公共政策框架。</w:t>
      </w:r>
      <w:r>
        <w:rPr>
          <w:vertAlign w:val="superscript"/>
          <w:lang w:val="zh-CN"/>
        </w:rPr>
        <w:footnoteReference w:id="28"/>
      </w:r>
      <w:r>
        <w:rPr>
          <w:lang w:val="es-ES"/>
        </w:rPr>
        <w:t xml:space="preserve"> </w:t>
      </w:r>
    </w:p>
    <w:p w:rsidR="00A83775" w:rsidRDefault="00A83775">
      <w:pPr>
        <w:pStyle w:val="SingleTxtGC"/>
        <w:rPr>
          <w:rFonts w:hint="eastAsia"/>
          <w:vertAlign w:val="subscript"/>
        </w:rPr>
      </w:pPr>
      <w:r>
        <w:rPr>
          <w:lang w:val="es-ES"/>
        </w:rPr>
        <w:t xml:space="preserve">67.  </w:t>
      </w:r>
      <w:r>
        <w:rPr>
          <w:rFonts w:hint="eastAsia"/>
          <w:lang w:val="zh-CN"/>
        </w:rPr>
        <w:t>另一方面，哥伦比亚政府已着手实施针对国家公职人员的</w:t>
      </w:r>
      <w:r>
        <w:rPr>
          <w:rFonts w:eastAsia="SimHei" w:hint="eastAsia"/>
          <w:lang w:val="zh-CN"/>
        </w:rPr>
        <w:t>机构间宣传战略</w:t>
      </w:r>
      <w:r>
        <w:rPr>
          <w:rFonts w:hint="eastAsia"/>
          <w:lang w:val="zh-CN"/>
        </w:rPr>
        <w:t>，目的是提高公职人员对其执行</w:t>
      </w:r>
      <w:r>
        <w:rPr>
          <w:lang w:val="zh-CN"/>
        </w:rPr>
        <w:t>2008</w:t>
      </w:r>
      <w:r>
        <w:rPr>
          <w:rFonts w:hint="eastAsia"/>
          <w:lang w:val="zh-CN"/>
        </w:rPr>
        <w:t>年的第</w:t>
      </w:r>
      <w:r>
        <w:rPr>
          <w:lang w:val="zh-CN"/>
        </w:rPr>
        <w:t>1257</w:t>
      </w:r>
      <w:r>
        <w:rPr>
          <w:rFonts w:hint="eastAsia"/>
          <w:lang w:val="zh-CN"/>
        </w:rPr>
        <w:t>号法及针对流离失所妇女的第</w:t>
      </w:r>
      <w:r>
        <w:rPr>
          <w:lang w:val="zh-CN"/>
        </w:rPr>
        <w:t>092</w:t>
      </w:r>
      <w:r>
        <w:rPr>
          <w:rFonts w:hint="eastAsia"/>
          <w:lang w:val="zh-CN"/>
        </w:rPr>
        <w:t>号裁决所负有的责任和义务的认识，并据此承诺实施新出台的程序，预防、治理和惩罚暴力侵害妇女行为。为此在战略推行过程中采取的宣传活动的立足点和出发点是：</w:t>
      </w:r>
      <w:r>
        <w:rPr>
          <w:lang w:val="zh-CN"/>
        </w:rPr>
        <w:t>(a)</w:t>
      </w:r>
      <w:r>
        <w:rPr>
          <w:rFonts w:hint="eastAsia"/>
          <w:lang w:val="zh-CN"/>
        </w:rPr>
        <w:t xml:space="preserve"> </w:t>
      </w:r>
      <w:r>
        <w:rPr>
          <w:rFonts w:hint="eastAsia"/>
          <w:lang w:val="zh-CN"/>
        </w:rPr>
        <w:t>使公职人员认识到其肩负的责任并向受害妇女提供信息；</w:t>
      </w:r>
      <w:r>
        <w:rPr>
          <w:lang w:val="zh-CN"/>
        </w:rPr>
        <w:t>(b)</w:t>
      </w:r>
      <w:r>
        <w:rPr>
          <w:rFonts w:hint="eastAsia"/>
          <w:lang w:val="zh-CN"/>
        </w:rPr>
        <w:t xml:space="preserve"> </w:t>
      </w:r>
      <w:r>
        <w:rPr>
          <w:rFonts w:hint="eastAsia"/>
          <w:lang w:val="zh-CN"/>
        </w:rPr>
        <w:t>树立不诉诸暴力的好男人形象；</w:t>
      </w:r>
      <w:r>
        <w:rPr>
          <w:lang w:val="zh-CN"/>
        </w:rPr>
        <w:t>(c)</w:t>
      </w:r>
      <w:r>
        <w:rPr>
          <w:rFonts w:hint="eastAsia"/>
          <w:lang w:val="zh-CN"/>
        </w:rPr>
        <w:t xml:space="preserve"> </w:t>
      </w:r>
      <w:r>
        <w:rPr>
          <w:rFonts w:hint="eastAsia"/>
          <w:lang w:val="zh-CN"/>
        </w:rPr>
        <w:t>向全社会进行宣传。负责具体实施这一战略的是根除暴力侵害妇女行为媒体宣传机构间委员会，该委员会是在</w:t>
      </w:r>
      <w:r>
        <w:rPr>
          <w:lang w:val="zh-CN"/>
        </w:rPr>
        <w:t>2009</w:t>
      </w:r>
      <w:r>
        <w:rPr>
          <w:rFonts w:hint="eastAsia"/>
          <w:lang w:val="zh-CN"/>
        </w:rPr>
        <w:t>年</w:t>
      </w:r>
      <w:r>
        <w:rPr>
          <w:lang w:val="zh-CN"/>
        </w:rPr>
        <w:t>6</w:t>
      </w:r>
      <w:r>
        <w:rPr>
          <w:rFonts w:hint="eastAsia"/>
          <w:lang w:val="zh-CN"/>
        </w:rPr>
        <w:t>月</w:t>
      </w:r>
      <w:r>
        <w:rPr>
          <w:lang w:val="zh-CN"/>
        </w:rPr>
        <w:t>1</w:t>
      </w:r>
      <w:r>
        <w:rPr>
          <w:rFonts w:hint="eastAsia"/>
          <w:lang w:val="zh-CN"/>
        </w:rPr>
        <w:t>日正式成立的。委员会的上级领导机关为信息技术和通信部、妇女平等事务总统高级顾问办公室和社会行动署。</w:t>
      </w:r>
      <w:r>
        <w:rPr>
          <w:vertAlign w:val="superscript"/>
          <w:lang w:val="es-CO"/>
        </w:rPr>
        <w:footnoteReference w:id="29"/>
      </w:r>
    </w:p>
    <w:p w:rsidR="00A83775" w:rsidRDefault="00A83775">
      <w:pPr>
        <w:pStyle w:val="SingleTxtGC"/>
        <w:rPr>
          <w:lang w:val="zh-CN"/>
        </w:rPr>
      </w:pPr>
      <w:r>
        <w:rPr>
          <w:lang w:val="es-CO"/>
        </w:rPr>
        <w:t xml:space="preserve">68.  </w:t>
      </w:r>
      <w:r>
        <w:rPr>
          <w:rFonts w:hint="eastAsia"/>
          <w:lang w:val="zh-CN"/>
        </w:rPr>
        <w:t>媒体宣传委员会于</w:t>
      </w:r>
      <w:r>
        <w:rPr>
          <w:lang w:val="zh-CN"/>
        </w:rPr>
        <w:t>2010</w:t>
      </w:r>
      <w:r>
        <w:rPr>
          <w:rFonts w:hint="eastAsia"/>
          <w:lang w:val="zh-CN"/>
        </w:rPr>
        <w:t>年</w:t>
      </w:r>
      <w:r>
        <w:rPr>
          <w:lang w:val="zh-CN"/>
        </w:rPr>
        <w:t>6</w:t>
      </w:r>
      <w:r>
        <w:rPr>
          <w:rFonts w:hint="eastAsia"/>
          <w:lang w:val="zh-CN"/>
        </w:rPr>
        <w:t>月</w:t>
      </w:r>
      <w:r>
        <w:rPr>
          <w:lang w:val="zh-CN"/>
        </w:rPr>
        <w:t>28</w:t>
      </w:r>
      <w:r>
        <w:rPr>
          <w:rFonts w:hint="eastAsia"/>
          <w:lang w:val="zh-CN"/>
        </w:rPr>
        <w:t>日核准并于</w:t>
      </w:r>
      <w:r>
        <w:rPr>
          <w:lang w:val="zh-CN"/>
        </w:rPr>
        <w:t>2010</w:t>
      </w:r>
      <w:r>
        <w:rPr>
          <w:rFonts w:hint="eastAsia"/>
          <w:lang w:val="zh-CN"/>
        </w:rPr>
        <w:t>年</w:t>
      </w:r>
      <w:r>
        <w:rPr>
          <w:lang w:val="zh-CN"/>
        </w:rPr>
        <w:t>11</w:t>
      </w:r>
      <w:r>
        <w:rPr>
          <w:rFonts w:hint="eastAsia"/>
          <w:lang w:val="zh-CN"/>
        </w:rPr>
        <w:t>月</w:t>
      </w:r>
      <w:r>
        <w:rPr>
          <w:lang w:val="zh-CN"/>
        </w:rPr>
        <w:t>2</w:t>
      </w:r>
      <w:r>
        <w:rPr>
          <w:rFonts w:hint="eastAsia"/>
          <w:lang w:val="zh-CN"/>
        </w:rPr>
        <w:t>日正式开始实施这一战略，其核心是“赋予女性权利”，这一综合性宣传战略的目标是力争减少一切形式的暴力侵害妇女行为，特别是对处于流离失所状况的妇女的暴力侵害，并加快改革步伐，使国家和社会以新的法律环境为契机，推动妇女进步，使其享受无暴力的生活（参见对第五条的答复）。</w:t>
      </w:r>
    </w:p>
    <w:p w:rsidR="00A83775" w:rsidRDefault="00A83775">
      <w:pPr>
        <w:pStyle w:val="SingleTxtGC"/>
        <w:rPr>
          <w:lang w:val="es-ES"/>
        </w:rPr>
      </w:pPr>
      <w:r>
        <w:rPr>
          <w:lang w:val="zh-CN"/>
        </w:rPr>
        <w:t xml:space="preserve">69.  </w:t>
      </w:r>
      <w:r>
        <w:rPr>
          <w:rFonts w:hint="eastAsia"/>
          <w:lang w:val="zh-CN"/>
        </w:rPr>
        <w:t>内政和司法部在</w:t>
      </w:r>
      <w:r>
        <w:rPr>
          <w:lang w:val="zh-CN"/>
        </w:rPr>
        <w:t>2007</w:t>
      </w:r>
      <w:r>
        <w:rPr>
          <w:rFonts w:hint="eastAsia"/>
          <w:lang w:val="zh-CN"/>
        </w:rPr>
        <w:t>年制定出台了“</w:t>
      </w:r>
      <w:r>
        <w:rPr>
          <w:rFonts w:eastAsia="SimHei" w:hint="eastAsia"/>
          <w:lang w:val="zh-CN"/>
        </w:rPr>
        <w:t>哥伦比亚广播电台部门政策</w:t>
      </w:r>
      <w:r>
        <w:rPr>
          <w:rFonts w:hint="eastAsia"/>
          <w:lang w:val="zh-CN"/>
        </w:rPr>
        <w:t>”，并制定了旨在引导广播电台遵守现有的法律制度规定和更好地承担起媒体的社会责任，如尊重儿童和青少年的人格尊严的方针；并出台了旨在根除暴力侵害妇女行为的纲领方案；预防吸烟和酗酒，等等。内政和司法部正努力推广普及社区广播服务，将之作为一项有助于推动地区发展、促进公平、实现多元化、巩固文化同一性与和平共处的战略。</w:t>
      </w:r>
    </w:p>
    <w:p w:rsidR="00A83775" w:rsidRDefault="00A83775">
      <w:pPr>
        <w:pStyle w:val="SingleTxtGC"/>
        <w:rPr>
          <w:lang w:val="zh-CN"/>
        </w:rPr>
      </w:pPr>
      <w:r>
        <w:rPr>
          <w:lang w:val="es-MX"/>
        </w:rPr>
        <w:t xml:space="preserve">70.  </w:t>
      </w:r>
      <w:r>
        <w:rPr>
          <w:rFonts w:hint="eastAsia"/>
          <w:lang w:val="es-MX"/>
        </w:rPr>
        <w:t>《</w:t>
      </w:r>
      <w:r>
        <w:rPr>
          <w:lang w:val="zh-CN"/>
        </w:rPr>
        <w:t>2005-2015</w:t>
      </w:r>
      <w:r>
        <w:rPr>
          <w:rFonts w:eastAsia="SimHei" w:hint="eastAsia"/>
          <w:lang w:val="zh-CN"/>
        </w:rPr>
        <w:t>年缔造和平共处国家计划</w:t>
      </w:r>
      <w:r>
        <w:rPr>
          <w:rFonts w:hint="eastAsia"/>
          <w:lang w:val="zh-CN"/>
        </w:rPr>
        <w:t>》。由哥伦比亚家庭福利研究所</w:t>
      </w:r>
      <w:r>
        <w:rPr>
          <w:vertAlign w:val="superscript"/>
          <w:lang w:val="zh-CN"/>
        </w:rPr>
        <w:footnoteReference w:id="30"/>
      </w:r>
      <w:r>
        <w:t xml:space="preserve"> </w:t>
      </w:r>
      <w:r>
        <w:rPr>
          <w:rFonts w:hint="eastAsia"/>
          <w:lang w:val="zh-CN"/>
        </w:rPr>
        <w:t>负责协调这一计划在全国、各地区和各省市的开展实施，并通过部门间和机构间的联动机制，合作开展预防、侦查和关注各类形式的性别暴力和家庭内暴力行为，并使家庭、民间社会组织和国际合作机构都全面投身于这一工作。</w:t>
      </w:r>
      <w:r>
        <w:rPr>
          <w:vertAlign w:val="superscript"/>
          <w:lang w:val="zh-CN"/>
        </w:rPr>
        <w:footnoteReference w:id="31"/>
      </w:r>
    </w:p>
    <w:p w:rsidR="00A83775" w:rsidRDefault="00A83775">
      <w:pPr>
        <w:pStyle w:val="SingleTxtGC"/>
        <w:rPr>
          <w:lang w:val="es-ES"/>
        </w:rPr>
      </w:pPr>
      <w:r>
        <w:rPr>
          <w:lang w:val="zh-CN"/>
        </w:rPr>
        <w:t xml:space="preserve">71.   </w:t>
      </w:r>
      <w:r>
        <w:rPr>
          <w:rFonts w:hint="eastAsia"/>
          <w:lang w:val="zh-CN"/>
        </w:rPr>
        <w:t>同样，还由哥伦比亚家庭福利研究所负责敦促国内</w:t>
      </w:r>
      <w:r>
        <w:rPr>
          <w:lang w:val="zh-CN"/>
        </w:rPr>
        <w:t>32</w:t>
      </w:r>
      <w:r>
        <w:rPr>
          <w:rFonts w:hint="eastAsia"/>
          <w:lang w:val="zh-CN"/>
        </w:rPr>
        <w:t>个省及波哥大特区制定并核准了</w:t>
      </w:r>
      <w:r>
        <w:rPr>
          <w:lang w:val="zh-CN"/>
        </w:rPr>
        <w:t>33</w:t>
      </w:r>
      <w:r>
        <w:rPr>
          <w:rFonts w:hint="eastAsia"/>
          <w:lang w:val="zh-CN"/>
        </w:rPr>
        <w:t>项计划。当前，</w:t>
      </w:r>
      <w:r>
        <w:rPr>
          <w:lang w:val="zh-CN"/>
        </w:rPr>
        <w:t>31</w:t>
      </w:r>
      <w:r>
        <w:rPr>
          <w:rFonts w:hint="eastAsia"/>
          <w:lang w:val="zh-CN"/>
        </w:rPr>
        <w:t>项省计划和</w:t>
      </w:r>
      <w:r>
        <w:rPr>
          <w:lang w:val="zh-CN"/>
        </w:rPr>
        <w:t>1</w:t>
      </w:r>
      <w:r>
        <w:rPr>
          <w:rFonts w:hint="eastAsia"/>
          <w:lang w:val="zh-CN"/>
        </w:rPr>
        <w:t>项特区计划已经进行了调整更新，其有效期直至</w:t>
      </w:r>
      <w:r>
        <w:rPr>
          <w:lang w:val="zh-CN"/>
        </w:rPr>
        <w:t>2015</w:t>
      </w:r>
      <w:r>
        <w:rPr>
          <w:rFonts w:hint="eastAsia"/>
          <w:lang w:val="zh-CN"/>
        </w:rPr>
        <w:t>年，只有</w:t>
      </w:r>
      <w:r>
        <w:rPr>
          <w:lang w:val="zh-CN"/>
        </w:rPr>
        <w:t>1</w:t>
      </w:r>
      <w:r>
        <w:rPr>
          <w:rFonts w:hint="eastAsia"/>
          <w:lang w:val="zh-CN"/>
        </w:rPr>
        <w:t>项除外，这项计划的有效期截至</w:t>
      </w:r>
      <w:r>
        <w:rPr>
          <w:lang w:val="zh-CN"/>
        </w:rPr>
        <w:t>2011</w:t>
      </w:r>
      <w:r>
        <w:rPr>
          <w:rFonts w:hint="eastAsia"/>
          <w:lang w:val="zh-CN"/>
        </w:rPr>
        <w:t>年，尚待讨论将其更新至</w:t>
      </w:r>
      <w:r>
        <w:rPr>
          <w:lang w:val="zh-CN"/>
        </w:rPr>
        <w:t>2015</w:t>
      </w:r>
      <w:r>
        <w:rPr>
          <w:rFonts w:hint="eastAsia"/>
          <w:lang w:val="zh-CN"/>
        </w:rPr>
        <w:t>年。</w:t>
      </w:r>
    </w:p>
    <w:p w:rsidR="00A83775" w:rsidRDefault="00A83775">
      <w:pPr>
        <w:pStyle w:val="SingleTxtGC"/>
      </w:pPr>
      <w:r>
        <w:rPr>
          <w:lang w:val="es-ES"/>
        </w:rPr>
        <w:t xml:space="preserve">72.  </w:t>
      </w:r>
      <w:r>
        <w:rPr>
          <w:rFonts w:hint="eastAsia"/>
          <w:lang w:val="zh-CN"/>
        </w:rPr>
        <w:t>通过各项地区计划，国内各地方单位以及家庭福利家庭体系驻各地的办事机构秉承捍卫人权，保障公民的安全与和谐共处，缔造和谐共处的家庭环境，巩固家庭的民主团结，求同存异，尊重各成员的人格尊严和权利，不因其年龄、性别、文化、身体或智力残疾而区别对待的原则，开展各类活动。</w:t>
      </w:r>
    </w:p>
    <w:p w:rsidR="00A83775" w:rsidRDefault="00A83775">
      <w:pPr>
        <w:pStyle w:val="SingleTxtGC"/>
        <w:rPr>
          <w:lang w:val="es-ES"/>
        </w:rPr>
      </w:pPr>
      <w:r>
        <w:rPr>
          <w:lang w:val="zh-CN"/>
        </w:rPr>
        <w:t xml:space="preserve">73.  </w:t>
      </w:r>
      <w:r>
        <w:rPr>
          <w:rFonts w:hint="eastAsia"/>
          <w:lang w:val="zh-CN"/>
        </w:rPr>
        <w:t>哥伦比亚家庭福利研究所开发了各类旨在防范家庭内暴力的计划方案，如：</w:t>
      </w:r>
      <w:r>
        <w:rPr>
          <w:lang w:val="zh-CN"/>
        </w:rPr>
        <w:t>(a)</w:t>
      </w:r>
      <w:r>
        <w:rPr>
          <w:rFonts w:hint="eastAsia"/>
          <w:lang w:val="zh-CN"/>
        </w:rPr>
        <w:t xml:space="preserve"> </w:t>
      </w:r>
      <w:r>
        <w:rPr>
          <w:rFonts w:hint="eastAsia"/>
          <w:lang w:val="zh-CN"/>
        </w:rPr>
        <w:t>福利住房方案；</w:t>
      </w:r>
      <w:r>
        <w:rPr>
          <w:lang w:val="zh-CN"/>
        </w:rPr>
        <w:t>(b)</w:t>
      </w:r>
      <w:r>
        <w:rPr>
          <w:rFonts w:hint="eastAsia"/>
          <w:lang w:val="zh-CN"/>
        </w:rPr>
        <w:t xml:space="preserve"> </w:t>
      </w:r>
      <w:r>
        <w:rPr>
          <w:rFonts w:hint="eastAsia"/>
          <w:lang w:val="zh-CN"/>
        </w:rPr>
        <w:t>鼓励在家庭中针对四到六岁儿童开展接触社会的活动；</w:t>
      </w:r>
      <w:r>
        <w:rPr>
          <w:lang w:val="zh-CN"/>
        </w:rPr>
        <w:t>(c)</w:t>
      </w:r>
      <w:r>
        <w:rPr>
          <w:rFonts w:hint="eastAsia"/>
          <w:lang w:val="zh-CN"/>
        </w:rPr>
        <w:t xml:space="preserve"> </w:t>
      </w:r>
      <w:r>
        <w:rPr>
          <w:rFonts w:hint="eastAsia"/>
          <w:lang w:val="zh-CN"/>
        </w:rPr>
        <w:t>树立模范家庭典型；</w:t>
      </w:r>
      <w:r>
        <w:rPr>
          <w:lang w:val="zh-CN"/>
        </w:rPr>
        <w:t>(d)</w:t>
      </w:r>
      <w:r>
        <w:rPr>
          <w:rFonts w:hint="eastAsia"/>
          <w:lang w:val="zh-CN"/>
        </w:rPr>
        <w:t xml:space="preserve"> </w:t>
      </w:r>
      <w:r>
        <w:rPr>
          <w:rFonts w:hint="eastAsia"/>
          <w:lang w:val="zh-CN"/>
        </w:rPr>
        <w:t>与公共执法部门签署协议，等等。在本报告中与《公约》第十六条的执行情况有关的章节中将对上述信息展开论述。</w:t>
      </w:r>
    </w:p>
    <w:p w:rsidR="00A83775" w:rsidRDefault="00A83775">
      <w:pPr>
        <w:pStyle w:val="SingleTxtGC"/>
        <w:rPr>
          <w:lang w:val="es-CO"/>
        </w:rPr>
      </w:pPr>
      <w:r>
        <w:rPr>
          <w:lang w:val="es-CO"/>
        </w:rPr>
        <w:t xml:space="preserve">74.  </w:t>
      </w:r>
      <w:r>
        <w:rPr>
          <w:rFonts w:hint="eastAsia"/>
          <w:lang w:val="zh-CN"/>
        </w:rPr>
        <w:t>在司法领域开展的旨在保障妇女人权的工作中，一项主要战略就是最高司法委员会通过颁布</w:t>
      </w:r>
      <w:r>
        <w:rPr>
          <w:lang w:val="zh-CN"/>
        </w:rPr>
        <w:t>2008</w:t>
      </w:r>
      <w:r>
        <w:rPr>
          <w:rFonts w:hint="eastAsia"/>
          <w:lang w:val="zh-CN"/>
        </w:rPr>
        <w:t>年的第</w:t>
      </w:r>
      <w:r>
        <w:rPr>
          <w:lang w:val="zh-CN"/>
        </w:rPr>
        <w:t>4552</w:t>
      </w:r>
      <w:r>
        <w:rPr>
          <w:rFonts w:hint="eastAsia"/>
          <w:lang w:val="zh-CN"/>
        </w:rPr>
        <w:t>号决议创建了</w:t>
      </w:r>
      <w:r>
        <w:rPr>
          <w:rFonts w:eastAsia="SimHei" w:hint="eastAsia"/>
          <w:lang w:val="zh-CN"/>
        </w:rPr>
        <w:t>司法部门性别事务国家委员会</w:t>
      </w:r>
      <w:r>
        <w:rPr>
          <w:rFonts w:hint="eastAsia"/>
          <w:lang w:val="zh-CN"/>
        </w:rPr>
        <w:t>，谋求促进男女机会的真正平等并在与司法部门的职能、宗旨和工作成果有关的司法决策中不出现性别歧视，相应信息将在与《公约》第十五条的执行情况有关的章节中进行论述。</w:t>
      </w:r>
    </w:p>
    <w:p w:rsidR="00A83775" w:rsidRDefault="00A83775">
      <w:pPr>
        <w:pStyle w:val="SingleTxtGC"/>
      </w:pPr>
      <w:r>
        <w:rPr>
          <w:lang w:val="es-ES"/>
        </w:rPr>
        <w:t xml:space="preserve">75.  </w:t>
      </w:r>
      <w:r>
        <w:rPr>
          <w:rFonts w:eastAsia="SimHei" w:hint="eastAsia"/>
          <w:lang w:val="zh-CN"/>
        </w:rPr>
        <w:t>暴力受害妇女可以得到的服务</w:t>
      </w:r>
      <w:r>
        <w:rPr>
          <w:rFonts w:hint="eastAsia"/>
          <w:lang w:val="zh-CN"/>
        </w:rPr>
        <w:t>。国家总检察署已经针对受害妇女在权利方面的弱势状况出台了一项机构战略，加强对侵害自由和人身完整性、性剥削、家庭内暴力和贩运人口罪行的有效侦查，在诉讼程序中切实落实犯罪受害者的知情权、保护权和体面待遇权利，并应用机构间跨学科关爱模式，在性暴力受害者全面关怀和研究中心及家庭内暴力受害者全面关怀和研究中心的干预下，避免受害者在诉讼中再次遭受伤害。</w:t>
      </w:r>
    </w:p>
    <w:p w:rsidR="00A83775" w:rsidRDefault="00A83775">
      <w:pPr>
        <w:pStyle w:val="SingleTxtGC"/>
        <w:rPr>
          <w:lang w:val="zh-CN"/>
        </w:rPr>
      </w:pPr>
      <w:r>
        <w:rPr>
          <w:lang w:val="zh-CN"/>
        </w:rPr>
        <w:t xml:space="preserve">76.  </w:t>
      </w:r>
      <w:r>
        <w:rPr>
          <w:rFonts w:hint="eastAsia"/>
          <w:lang w:val="zh-CN"/>
        </w:rPr>
        <w:t>此类特殊关爱和重点侦查模式旨在使遵照宪法和法律规定负有相应职权的各责任单位协调合作，以此简化办案手续和操作，使人力和经济资源得到优化利用，避免受害者，尤其是遭受上述罪行侵害的妇女、儿童和青少年在办案程序中遭受虐待或再次受到伤害。截至目前上述办案模式已经在</w:t>
      </w:r>
      <w:r>
        <w:rPr>
          <w:lang w:val="zh-CN"/>
        </w:rPr>
        <w:t>25</w:t>
      </w:r>
      <w:r>
        <w:rPr>
          <w:rFonts w:hint="eastAsia"/>
          <w:lang w:val="zh-CN"/>
        </w:rPr>
        <w:t>个城市中得以施行。</w:t>
      </w:r>
      <w:r>
        <w:rPr>
          <w:vertAlign w:val="superscript"/>
          <w:lang w:val="zh-CN"/>
        </w:rPr>
        <w:footnoteReference w:id="32"/>
      </w:r>
    </w:p>
    <w:p w:rsidR="00A83775" w:rsidRDefault="00A83775">
      <w:pPr>
        <w:pStyle w:val="SingleTxtGC"/>
        <w:rPr>
          <w:lang w:val="es-ES"/>
        </w:rPr>
      </w:pPr>
      <w:r>
        <w:rPr>
          <w:lang w:val="zh-CN"/>
        </w:rPr>
        <w:t xml:space="preserve">77.  </w:t>
      </w:r>
      <w:r>
        <w:rPr>
          <w:rFonts w:hint="eastAsia"/>
          <w:lang w:val="zh-CN"/>
        </w:rPr>
        <w:t>为确保使遭受家庭内暴力和性暴力侵害的妇女获得适当的服务，家庭内暴力受害者全面关怀和研究中心和性暴力受害者全面关怀和研究中心通过与哥伦比亚家庭福利研究所、国家警察部门、国家法律医学和法医学研究所、市级政府部门、检察院等单位开展机构间合作，负责向侵害自由和人身完整性、性剥削、家庭内暴力和贩运人口罪行的受害妇女、儿童和青少年提供及时有效的救助服务，并在工作过程中尊重受害者的人格尊严。力争向受害者提供及时有效的心理、社会、司法、法医学救助并尽快调查侦破案件，帮助受害者从伤害中恢复过来并出台犯罪预防机制。</w:t>
      </w:r>
    </w:p>
    <w:p w:rsidR="00A83775" w:rsidRDefault="00A83775">
      <w:pPr>
        <w:pStyle w:val="SingleTxtGC"/>
        <w:rPr>
          <w:lang w:val="zh-CN"/>
        </w:rPr>
      </w:pPr>
      <w:r>
        <w:rPr>
          <w:lang w:val="es-ES"/>
        </w:rPr>
        <w:t xml:space="preserve">78.  </w:t>
      </w:r>
      <w:r>
        <w:rPr>
          <w:rFonts w:hint="eastAsia"/>
          <w:lang w:val="zh-CN"/>
        </w:rPr>
        <w:t>性暴力受害者全面关怀和研究中心中设有访谈室，在其中安装有格赛尔摄录机，避免受害者与施暴者接触，以此避免在案件调查、侦破和检控程序中使受害人再次受到伤害并避免加深受害人对其所遭受暴行的痛苦感觉，目的是确保尊重受害人的最高权益和人格尊严。</w:t>
      </w:r>
    </w:p>
    <w:p w:rsidR="00A83775" w:rsidRDefault="00A83775">
      <w:pPr>
        <w:pStyle w:val="SingleTxtGC"/>
        <w:rPr>
          <w:lang w:val="zh-CN"/>
        </w:rPr>
      </w:pPr>
      <w:r>
        <w:rPr>
          <w:lang w:val="zh-CN"/>
        </w:rPr>
        <w:t xml:space="preserve">79.  </w:t>
      </w:r>
      <w:r>
        <w:rPr>
          <w:rFonts w:hint="eastAsia"/>
          <w:lang w:val="zh-CN"/>
        </w:rPr>
        <w:t>国家警察部门的儿童和青少年警察署在妇女免遭暴力市政计划署、妇发基金－和平志愿者协会和家庭内暴力受害者全面关怀和研究中心的咨询指导下制定颁布了家庭内暴力受害妇女关爱议定书、标准化办案程序以及各级风险处理机制，相应措施自</w:t>
      </w:r>
      <w:r>
        <w:rPr>
          <w:lang w:val="zh-CN"/>
        </w:rPr>
        <w:t>2011</w:t>
      </w:r>
      <w:r>
        <w:rPr>
          <w:rFonts w:hint="eastAsia"/>
          <w:lang w:val="zh-CN"/>
        </w:rPr>
        <w:t>年</w:t>
      </w:r>
      <w:r>
        <w:rPr>
          <w:lang w:val="zh-CN"/>
        </w:rPr>
        <w:t>1</w:t>
      </w:r>
      <w:r>
        <w:rPr>
          <w:rFonts w:hint="eastAsia"/>
          <w:lang w:val="zh-CN"/>
        </w:rPr>
        <w:t>月起通过一项试点计划在波哥大特区的恩加蒂瓦区试行，后续将视情况进行评估并作出必要调整，以便在全国范围内普及推广。</w:t>
      </w:r>
    </w:p>
    <w:p w:rsidR="00A83775" w:rsidRDefault="00A83775">
      <w:pPr>
        <w:pStyle w:val="SingleTxtGC"/>
        <w:rPr>
          <w:lang w:val="es-ES"/>
        </w:rPr>
      </w:pPr>
      <w:r>
        <w:rPr>
          <w:lang w:val="zh-CN"/>
        </w:rPr>
        <w:t xml:space="preserve">80.  </w:t>
      </w:r>
      <w:r>
        <w:rPr>
          <w:rFonts w:hint="eastAsia"/>
          <w:lang w:val="zh-CN"/>
        </w:rPr>
        <w:t>通过内政和司法部设立了</w:t>
      </w:r>
      <w:r>
        <w:rPr>
          <w:rFonts w:eastAsia="SimHei" w:hint="eastAsia"/>
          <w:lang w:val="zh-CN"/>
        </w:rPr>
        <w:t>司法事务所</w:t>
      </w:r>
      <w:r>
        <w:rPr>
          <w:rFonts w:hint="eastAsia"/>
          <w:lang w:val="zh-CN"/>
        </w:rPr>
        <w:t>，其性质是以提供信息、指导、参考和服务的方式解决冲突的机构间工作组，在工作中采用和实施各项正式和非正式的司法机制。国内已成立了</w:t>
      </w:r>
      <w:r>
        <w:rPr>
          <w:lang w:val="zh-CN"/>
        </w:rPr>
        <w:t>66</w:t>
      </w:r>
      <w:r>
        <w:rPr>
          <w:rFonts w:hint="eastAsia"/>
          <w:lang w:val="zh-CN"/>
        </w:rPr>
        <w:t>家司法事务所。通过这一举措将国家一级和地方一级的司法管理当局都汇聚在了同一屋檐下。事务所可根据需要开展一些专题项目，如关注家庭内暴力问题、将性别和人种因素纳入到司法救助公共政策中、发展实施法学教育项目，等等。</w:t>
      </w:r>
      <w:r>
        <w:rPr>
          <w:vertAlign w:val="superscript"/>
          <w:lang w:val="zh-CN"/>
        </w:rPr>
        <w:footnoteReference w:id="33"/>
      </w:r>
    </w:p>
    <w:p w:rsidR="00A83775" w:rsidRDefault="00A83775">
      <w:pPr>
        <w:pStyle w:val="SingleTxtGC"/>
      </w:pPr>
      <w:r>
        <w:rPr>
          <w:lang w:val="es-ES"/>
        </w:rPr>
        <w:t xml:space="preserve">81.  </w:t>
      </w:r>
      <w:r>
        <w:rPr>
          <w:rFonts w:eastAsia="SimHei" w:hint="eastAsia"/>
          <w:lang w:val="zh-CN"/>
        </w:rPr>
        <w:t>家庭事务警局</w:t>
      </w:r>
      <w:r>
        <w:rPr>
          <w:rFonts w:hint="eastAsia"/>
          <w:lang w:val="es-ES"/>
        </w:rPr>
        <w:t>，</w:t>
      </w:r>
      <w:r>
        <w:rPr>
          <w:rFonts w:hint="eastAsia"/>
          <w:lang w:val="zh-CN"/>
        </w:rPr>
        <w:t>作为家庭福利国家体系的成员单位</w:t>
      </w:r>
      <w:r>
        <w:rPr>
          <w:rFonts w:hint="eastAsia"/>
          <w:lang w:val="es-ES"/>
        </w:rPr>
        <w:t>，</w:t>
      </w:r>
      <w:r>
        <w:rPr>
          <w:rFonts w:hint="eastAsia"/>
          <w:lang w:val="zh-CN"/>
        </w:rPr>
        <w:t>负责通过各类恢复和保护行动预防、保障、恢复和修复家庭成员的权利，目的是确保所有人免受家庭内暴力的侵害。家庭内暴力保护行动是一项宪法规定的行动，它是指家庭事务警局在接案后采取的精简化的总括性程序。</w:t>
      </w:r>
      <w:r>
        <w:rPr>
          <w:vertAlign w:val="superscript"/>
          <w:lang w:val="zh-CN"/>
        </w:rPr>
        <w:footnoteReference w:id="34"/>
      </w:r>
      <w:r>
        <w:rPr>
          <w:rFonts w:hint="eastAsia"/>
          <w:lang w:val="zh-CN"/>
        </w:rPr>
        <w:t xml:space="preserve"> </w:t>
      </w:r>
      <w:r>
        <w:rPr>
          <w:rFonts w:hint="eastAsia"/>
          <w:lang w:val="zh-CN"/>
        </w:rPr>
        <w:t>这一行动是与对家庭内暴力的刑事处置程序相互独立的，单独办案。</w:t>
      </w:r>
    </w:p>
    <w:p w:rsidR="00A83775" w:rsidRDefault="00A83775">
      <w:pPr>
        <w:pStyle w:val="SingleTxtGC"/>
      </w:pPr>
      <w:r>
        <w:rPr>
          <w:lang w:val="zh-CN"/>
        </w:rPr>
        <w:t xml:space="preserve">82.  </w:t>
      </w:r>
      <w:r>
        <w:rPr>
          <w:rFonts w:hint="eastAsia"/>
          <w:lang w:val="zh-CN"/>
        </w:rPr>
        <w:t>在与性犯罪调查有关的工作方面，国家警察已经通过设立性犯罪特案组这一部门来专门负责打击此类犯罪，该跨学科部门是由司法警察厅和调查研究技术团队中的调查人员组成的，他们都接受了与犯罪学有关的培训，并与单一检察官工作，这样可以对所有经办案件进行专门的后续跟踪并对数据进行比较，这样，当多起案件涉及到同一个犯罪嫌疑人时，可并案调查。</w:t>
      </w:r>
    </w:p>
    <w:p w:rsidR="00A83775" w:rsidRDefault="00A83775">
      <w:pPr>
        <w:pStyle w:val="SingleTxtGC"/>
        <w:rPr>
          <w:lang w:val="zh-CN"/>
        </w:rPr>
      </w:pPr>
      <w:r>
        <w:rPr>
          <w:lang w:val="zh-CN"/>
        </w:rPr>
        <w:t xml:space="preserve">83.  </w:t>
      </w:r>
      <w:r>
        <w:rPr>
          <w:rFonts w:hint="eastAsia"/>
          <w:lang w:val="zh-CN"/>
        </w:rPr>
        <w:t>在所有的警察机关中都设有一个违纪案件调查办公室，负责接收和引导违纪人员，使其能够适时得到公民待遇。针对性虐待或暴力虐待案件已经实施了一项协议，遵照这一协议，无需当事人说明受害经过或陈述事实，即可得到相应信息和救助。</w:t>
      </w:r>
    </w:p>
    <w:p w:rsidR="00A83775" w:rsidRDefault="00A83775">
      <w:pPr>
        <w:pStyle w:val="SingleTxtGC"/>
        <w:rPr>
          <w:lang w:val="es-ES"/>
        </w:rPr>
      </w:pPr>
      <w:r>
        <w:rPr>
          <w:lang w:val="zh-CN"/>
        </w:rPr>
        <w:t xml:space="preserve">84.  </w:t>
      </w:r>
      <w:r>
        <w:rPr>
          <w:rFonts w:hint="eastAsia"/>
          <w:lang w:val="zh-CN"/>
        </w:rPr>
        <w:t>第</w:t>
      </w:r>
      <w:r>
        <w:rPr>
          <w:lang w:val="zh-CN"/>
        </w:rPr>
        <w:t>1257</w:t>
      </w:r>
      <w:r>
        <w:rPr>
          <w:rFonts w:hint="eastAsia"/>
          <w:lang w:val="zh-CN"/>
        </w:rPr>
        <w:t>号法规定的一项救助措施</w:t>
      </w:r>
      <w:r>
        <w:rPr>
          <w:vertAlign w:val="superscript"/>
          <w:lang w:val="zh-CN"/>
        </w:rPr>
        <w:footnoteReference w:id="35"/>
      </w:r>
      <w:r>
        <w:rPr>
          <w:rFonts w:hint="eastAsia"/>
          <w:lang w:val="zh-CN"/>
        </w:rPr>
        <w:t xml:space="preserve"> </w:t>
      </w:r>
      <w:r>
        <w:rPr>
          <w:rFonts w:hint="eastAsia"/>
          <w:lang w:val="zh-CN"/>
        </w:rPr>
        <w:t>就是确保为遭受暴力侵害的妇女提供食宿照顾。尚未在全国范围内出台为暴力受害妇女提供食宿服务的机制。但是，地方一级的政府当局都纷纷出台机制来确保为遭受暴力侵害的妇女提供住宿、庇护和诊治关爱服务，其中主要包括：</w:t>
      </w:r>
    </w:p>
    <w:p w:rsidR="00A83775" w:rsidRDefault="00A83775">
      <w:pPr>
        <w:pStyle w:val="SingleTxtGC"/>
        <w:rPr>
          <w:lang w:val="zh-CN"/>
        </w:rPr>
      </w:pPr>
      <w:r>
        <w:rPr>
          <w:lang w:val="es-ES"/>
        </w:rPr>
        <w:t xml:space="preserve">85.  </w:t>
      </w:r>
      <w:r>
        <w:rPr>
          <w:rFonts w:eastAsia="SimHei" w:hint="eastAsia"/>
          <w:lang w:val="zh-CN"/>
        </w:rPr>
        <w:t>为人身完整性正遭受家庭内暴力威胁的妇女及其未满</w:t>
      </w:r>
      <w:r>
        <w:rPr>
          <w:rFonts w:eastAsia="SimHei"/>
          <w:lang w:val="zh-CN"/>
        </w:rPr>
        <w:t>14</w:t>
      </w:r>
      <w:r>
        <w:rPr>
          <w:rFonts w:eastAsia="SimHei" w:hint="eastAsia"/>
          <w:lang w:val="zh-CN"/>
        </w:rPr>
        <w:t>岁的子女提供全面帮助的收容所：一项注重成本</w:t>
      </w:r>
      <w:r>
        <w:rPr>
          <w:rFonts w:eastAsia="SimHei"/>
          <w:lang w:val="zh-CN"/>
        </w:rPr>
        <w:t>/</w:t>
      </w:r>
      <w:r>
        <w:rPr>
          <w:rFonts w:eastAsia="SimHei" w:hint="eastAsia"/>
          <w:lang w:val="zh-CN"/>
        </w:rPr>
        <w:t>效益结合的旨在提供切实有效的人道主义庇护和权利修复模式</w:t>
      </w:r>
      <w:r>
        <w:rPr>
          <w:rFonts w:hint="eastAsia"/>
          <w:lang w:val="zh-CN"/>
        </w:rPr>
        <w:t>（麦德林市－安蒂奥基亚省）：这一模式自</w:t>
      </w:r>
      <w:r>
        <w:rPr>
          <w:lang w:val="zh-CN"/>
        </w:rPr>
        <w:t>2006</w:t>
      </w:r>
      <w:r>
        <w:rPr>
          <w:rFonts w:hint="eastAsia"/>
          <w:lang w:val="zh-CN"/>
        </w:rPr>
        <w:t>年以来得以成功实施，其工作重心是为人身完整性正遭受家庭内暴力威胁的妇女及其子女提供保护和全面帮助，为此基于性别和权利观点采取了一项保护措施，为向职能当局报案称其自身和</w:t>
      </w:r>
      <w:r>
        <w:rPr>
          <w:lang w:val="zh-CN"/>
        </w:rPr>
        <w:t>/</w:t>
      </w:r>
      <w:r>
        <w:rPr>
          <w:rFonts w:hint="eastAsia"/>
          <w:lang w:val="zh-CN"/>
        </w:rPr>
        <w:t>或子女的生命安全正遭受家庭内暴力威胁的妇女立即采取临时性保护措施，并提供综合性救助服务。</w:t>
      </w:r>
      <w:r>
        <w:rPr>
          <w:vertAlign w:val="superscript"/>
          <w:lang w:val="zh-CN"/>
        </w:rPr>
        <w:footnoteReference w:id="36"/>
      </w:r>
      <w:r>
        <w:rPr>
          <w:lang w:val="zh-CN"/>
        </w:rPr>
        <w:t xml:space="preserve"> </w:t>
      </w:r>
    </w:p>
    <w:p w:rsidR="00A83775" w:rsidRDefault="00A83775">
      <w:pPr>
        <w:pStyle w:val="SingleTxtGC"/>
        <w:rPr>
          <w:lang w:val="zh-CN"/>
        </w:rPr>
      </w:pPr>
      <w:r>
        <w:rPr>
          <w:lang w:val="zh-CN"/>
        </w:rPr>
        <w:t xml:space="preserve">86.  </w:t>
      </w:r>
      <w:r>
        <w:rPr>
          <w:rFonts w:eastAsia="SimHei" w:hint="eastAsia"/>
          <w:lang w:val="zh-CN"/>
        </w:rPr>
        <w:t>隶属于区规划署的妇女、性别和性多元化事务处（波哥大特区）</w:t>
      </w:r>
      <w:r>
        <w:rPr>
          <w:rFonts w:hint="eastAsia"/>
          <w:lang w:val="zh-CN"/>
        </w:rPr>
        <w:t>：在“波哥大发展促进计划：实现更美好的生活（</w:t>
      </w:r>
      <w:r>
        <w:rPr>
          <w:lang w:val="zh-CN"/>
        </w:rPr>
        <w:t>2008-2012</w:t>
      </w:r>
      <w:r>
        <w:rPr>
          <w:rFonts w:hint="eastAsia"/>
          <w:lang w:val="zh-CN"/>
        </w:rPr>
        <w:t>年）”框架内，加入了“建设运营四家针对遭受家庭内暴力侵害的妇女的庇护所”。</w:t>
      </w:r>
      <w:r>
        <w:rPr>
          <w:lang w:val="zh-CN"/>
        </w:rPr>
        <w:t>2009</w:t>
      </w:r>
      <w:r>
        <w:rPr>
          <w:rFonts w:hint="eastAsia"/>
          <w:lang w:val="zh-CN"/>
        </w:rPr>
        <w:t>年</w:t>
      </w:r>
      <w:r>
        <w:rPr>
          <w:lang w:val="zh-CN"/>
        </w:rPr>
        <w:t>10</w:t>
      </w:r>
      <w:r>
        <w:rPr>
          <w:rFonts w:hint="eastAsia"/>
          <w:lang w:val="zh-CN"/>
        </w:rPr>
        <w:t>月第一家庇护所在陶萨基略镇建设落成。同样还开展实施了名为“模范家庭：实现无暴力生活权利，打造一个保障充足的城市”的方案，力争创造条件使得城内各家庭的权利得到承认、行使和恢复，以改善家庭的生活质量，在针对家庭出台的公共政策和综合性社会管理的框架内实现家庭的全面、自主和可持续发展，使得遭受家庭内暴力和</w:t>
      </w:r>
      <w:r>
        <w:rPr>
          <w:lang w:val="zh-CN"/>
        </w:rPr>
        <w:t>/</w:t>
      </w:r>
      <w:r>
        <w:rPr>
          <w:rFonts w:hint="eastAsia"/>
          <w:lang w:val="zh-CN"/>
        </w:rPr>
        <w:t>或家庭性暴力侵害的妇女能够有庇护之所（米琴俱乐部之家</w:t>
      </w:r>
      <w:r>
        <w:rPr>
          <w:vertAlign w:val="superscript"/>
          <w:lang w:val="zh-CN"/>
        </w:rPr>
        <w:footnoteReference w:id="37"/>
      </w:r>
      <w:r>
        <w:rPr>
          <w:rFonts w:hint="eastAsia"/>
          <w:lang w:val="zh-CN"/>
        </w:rPr>
        <w:t>），为受害妇女自身或其未成年子女提供临时性的收容、庇护和全面救助服务。</w:t>
      </w:r>
    </w:p>
    <w:p w:rsidR="00A83775" w:rsidRDefault="00A83775">
      <w:pPr>
        <w:pStyle w:val="SingleTxtGC"/>
        <w:rPr>
          <w:lang w:val="zh-CN"/>
        </w:rPr>
      </w:pPr>
      <w:r>
        <w:rPr>
          <w:lang w:val="zh-CN"/>
        </w:rPr>
        <w:t xml:space="preserve">87.  </w:t>
      </w:r>
      <w:r>
        <w:rPr>
          <w:rFonts w:hint="eastAsia"/>
          <w:lang w:val="zh-CN"/>
        </w:rPr>
        <w:t>针对在诉讼程序中为受害者免费提供法律援助的内容，</w:t>
      </w:r>
      <w:r>
        <w:rPr>
          <w:lang w:val="zh-CN"/>
        </w:rPr>
        <w:t>2008</w:t>
      </w:r>
      <w:r>
        <w:rPr>
          <w:rFonts w:hint="eastAsia"/>
          <w:lang w:val="zh-CN"/>
        </w:rPr>
        <w:t>年的第</w:t>
      </w:r>
      <w:r>
        <w:rPr>
          <w:lang w:val="zh-CN"/>
        </w:rPr>
        <w:t>1257</w:t>
      </w:r>
      <w:r>
        <w:rPr>
          <w:rFonts w:hint="eastAsia"/>
          <w:lang w:val="zh-CN"/>
        </w:rPr>
        <w:t>号法在其第</w:t>
      </w:r>
      <w:r>
        <w:rPr>
          <w:lang w:val="zh-CN"/>
        </w:rPr>
        <w:t>8</w:t>
      </w:r>
      <w:r>
        <w:rPr>
          <w:rFonts w:hint="eastAsia"/>
          <w:lang w:val="zh-CN"/>
        </w:rPr>
        <w:t>条中规定了所有受害者有权：（……）自主管当局受理其遭受暴力侵害的案件之时起即可免费接受及时的法律引导、咨询和有针对性的司法技术援助服务。可责令施暴者承担上述救助和援助服务的费用。国家应保障这一权利，针对施暴者采取相应的行动，在任何情况下均应通过公诉机关确保提供上述服务。</w:t>
      </w:r>
    </w:p>
    <w:p w:rsidR="00A83775" w:rsidRDefault="00A83775">
      <w:pPr>
        <w:pStyle w:val="SingleTxtGC"/>
      </w:pPr>
      <w:r>
        <w:rPr>
          <w:lang w:val="zh-CN"/>
        </w:rPr>
        <w:t xml:space="preserve">88.  </w:t>
      </w:r>
      <w:r>
        <w:rPr>
          <w:rFonts w:hint="eastAsia"/>
          <w:lang w:val="zh-CN"/>
        </w:rPr>
        <w:t>为此，在该法律实施条例规定的程序框架内，人民权利监察员办公室指派了为受害妇女进行辩护的公设辩护人员，并根据预算资源的增加逐步增加公设辩护人员的数量。除指派人员外，还开展了各类旨在强化并提高服务质量的各类举措。</w:t>
      </w:r>
    </w:p>
    <w:p w:rsidR="00A83775" w:rsidRDefault="00A83775">
      <w:pPr>
        <w:pStyle w:val="SingleTxtGC"/>
        <w:rPr>
          <w:lang w:val="es-MX"/>
        </w:rPr>
      </w:pPr>
      <w:r>
        <w:rPr>
          <w:lang w:val="zh-CN"/>
        </w:rPr>
        <w:t>89.  2010</w:t>
      </w:r>
      <w:r>
        <w:rPr>
          <w:rFonts w:hint="eastAsia"/>
          <w:lang w:val="zh-CN"/>
        </w:rPr>
        <w:t>年公诉机关实施了一项试点计划，旨在为暴力受害妇女和儿童提供指导、法律咨询和司法技术援助服务，在计划中对典型案例进行了重点关注。计划取得了以下成果：</w:t>
      </w:r>
      <w:r>
        <w:rPr>
          <w:lang w:val="zh-CN"/>
        </w:rPr>
        <w:t>(a)</w:t>
      </w:r>
      <w:r>
        <w:rPr>
          <w:rFonts w:hint="eastAsia"/>
          <w:lang w:val="zh-CN"/>
        </w:rPr>
        <w:t>关于妇女和女童在获得司法救助方面所面临的心理社会障碍和司法阻碍的最终报告，报告中提出了在内部条例制度中的关切点；</w:t>
      </w:r>
      <w:r>
        <w:rPr>
          <w:lang w:val="zh-CN"/>
        </w:rPr>
        <w:t>(b)</w:t>
      </w:r>
      <w:r>
        <w:rPr>
          <w:rFonts w:hint="eastAsia"/>
          <w:lang w:val="zh-CN"/>
        </w:rPr>
        <w:t>设计制定了“旨在强化对受害妇女和儿童的司法救助的指导、司法咨询和司法技术援助纲领”，在纲领中纳入了三条战略行动方针。</w:t>
      </w:r>
      <w:r>
        <w:rPr>
          <w:vertAlign w:val="superscript"/>
          <w:lang w:val="zh-CN"/>
        </w:rPr>
        <w:footnoteReference w:id="38"/>
      </w:r>
    </w:p>
    <w:p w:rsidR="00A83775" w:rsidRDefault="00A83775">
      <w:pPr>
        <w:pStyle w:val="SingleTxtGC"/>
      </w:pPr>
      <w:r>
        <w:rPr>
          <w:lang w:val="es-ES"/>
        </w:rPr>
        <w:t xml:space="preserve">90.  </w:t>
      </w:r>
      <w:r>
        <w:rPr>
          <w:rFonts w:hint="eastAsia"/>
          <w:lang w:val="zh-CN"/>
        </w:rPr>
        <w:t>为实施《旨在强化对受害妇女和儿童的司法救助的指导、司法咨询和司法技术援助纲领》中包含的培训方案，</w:t>
      </w:r>
      <w:r>
        <w:rPr>
          <w:lang w:val="zh-CN"/>
        </w:rPr>
        <w:t>2010</w:t>
      </w:r>
      <w:r>
        <w:rPr>
          <w:rFonts w:hint="eastAsia"/>
          <w:lang w:val="zh-CN"/>
        </w:rPr>
        <w:t>年利用预算资源开始着手设计课程结构，使在关爱、咨询、申诉手续、指导和司法技术援助程序中涉及到的公民权利监察员办公室下属各部门开展协调行动。</w:t>
      </w:r>
    </w:p>
    <w:p w:rsidR="00A83775" w:rsidRDefault="00A83775">
      <w:pPr>
        <w:pStyle w:val="SingleTxtGC"/>
        <w:rPr>
          <w:lang w:val="zh-CN"/>
        </w:rPr>
      </w:pPr>
      <w:r>
        <w:rPr>
          <w:lang w:val="zh-CN"/>
        </w:rPr>
        <w:t xml:space="preserve">91.  </w:t>
      </w:r>
      <w:r>
        <w:rPr>
          <w:rFonts w:hint="eastAsia"/>
          <w:lang w:val="zh-CN"/>
        </w:rPr>
        <w:t>还有其他一些在公诉程序中向受害人提供免费公设辩护服务的单位，如在全国境内与国家公设辩护体系有关的法律专业人士；法学系毕业生；</w:t>
      </w:r>
      <w:r>
        <w:rPr>
          <w:vertAlign w:val="superscript"/>
          <w:lang w:val="zh-CN"/>
        </w:rPr>
        <w:footnoteReference w:id="39"/>
      </w:r>
      <w:r>
        <w:rPr>
          <w:rFonts w:hint="eastAsia"/>
          <w:lang w:val="zh-CN"/>
        </w:rPr>
        <w:t>以及国内各所正规大学法学系的法律咨询所的学生，他们构成了国家公设辩护体系的组成部分。其他相关机构，如国家总检察长办公室，负责对诉讼程序的监管事项并确保受害者权利得到保障。另一方面，检察机关有义务告知受害者其享有的权利、与诉讼程序相关的信息并为受害者指派一名公设辩护律师或法律咨询所。</w:t>
      </w:r>
    </w:p>
    <w:p w:rsidR="00A83775" w:rsidRDefault="00A83775">
      <w:pPr>
        <w:pStyle w:val="SingleTxtGC"/>
        <w:rPr>
          <w:rFonts w:hint="eastAsia"/>
          <w:lang w:val="zh-CN"/>
        </w:rPr>
      </w:pPr>
      <w:r>
        <w:rPr>
          <w:lang w:val="zh-CN"/>
        </w:rPr>
        <w:t xml:space="preserve">92.  </w:t>
      </w:r>
      <w:r>
        <w:rPr>
          <w:rFonts w:hint="eastAsia"/>
          <w:lang w:val="zh-CN"/>
        </w:rPr>
        <w:t>在免费热线电话方面，哥伦比亚家庭福利研究所开通了一条全国免费电话帮助热线</w:t>
      </w:r>
      <w:r>
        <w:rPr>
          <w:rFonts w:hint="eastAsia"/>
          <w:spacing w:val="-40"/>
          <w:lang w:val="zh-CN"/>
        </w:rPr>
        <w:t>――</w:t>
      </w:r>
      <w:r>
        <w:rPr>
          <w:rFonts w:hint="eastAsia"/>
          <w:spacing w:val="-40"/>
          <w:lang w:val="zh-CN"/>
        </w:rPr>
        <w:t xml:space="preserve"> </w:t>
      </w:r>
      <w:r>
        <w:rPr>
          <w:lang w:val="zh-CN"/>
        </w:rPr>
        <w:t>018000918080</w:t>
      </w:r>
      <w:r>
        <w:rPr>
          <w:rFonts w:hint="eastAsia"/>
          <w:lang w:val="zh-CN"/>
        </w:rPr>
        <w:t>，提供</w:t>
      </w:r>
      <w:r>
        <w:rPr>
          <w:lang w:val="zh-CN"/>
        </w:rPr>
        <w:t>24</w:t>
      </w:r>
      <w:r>
        <w:rPr>
          <w:rFonts w:hint="eastAsia"/>
          <w:lang w:val="zh-CN"/>
        </w:rPr>
        <w:t>小时全天候服务，受理报案和投诉，并提供与巩固家庭团结和保护未成年人等主题有关的信息和援助服务。尽管此类电话热线与哥伦比亚家庭福利研究所实施的其他方案一样并未直接将帮助对象专门界定为妇女和女童，但是在这些方案中确实纳入了性别观点。</w:t>
      </w:r>
    </w:p>
    <w:p w:rsidR="00A83775" w:rsidRDefault="00A83775">
      <w:pPr>
        <w:pStyle w:val="SingleTxtGC"/>
        <w:rPr>
          <w:lang w:val="es-CO"/>
        </w:rPr>
      </w:pPr>
      <w:r>
        <w:rPr>
          <w:lang w:val="zh-CN"/>
        </w:rPr>
        <w:t xml:space="preserve">93.  </w:t>
      </w:r>
      <w:r>
        <w:rPr>
          <w:rFonts w:hint="eastAsia"/>
          <w:lang w:val="zh-CN"/>
        </w:rPr>
        <w:t>国家总检察署内部的和平与正义工作组开通了一条受害者帮助热线，电话号码为：波哥大</w:t>
      </w:r>
      <w:r>
        <w:rPr>
          <w:lang w:val="zh-CN"/>
        </w:rPr>
        <w:t>—5879745</w:t>
      </w:r>
      <w:r>
        <w:rPr>
          <w:rFonts w:hint="eastAsia"/>
          <w:lang w:val="zh-CN"/>
        </w:rPr>
        <w:t>，国内其他地区</w:t>
      </w:r>
      <w:r>
        <w:rPr>
          <w:rFonts w:hint="eastAsia"/>
          <w:spacing w:val="-40"/>
          <w:lang w:val="zh-CN"/>
        </w:rPr>
        <w:t>――</w:t>
      </w:r>
      <w:r>
        <w:rPr>
          <w:spacing w:val="-40"/>
        </w:rPr>
        <w:t xml:space="preserve"> </w:t>
      </w:r>
      <w:r>
        <w:rPr>
          <w:lang w:val="zh-CN"/>
        </w:rPr>
        <w:t>018000916999</w:t>
      </w:r>
      <w:r>
        <w:rPr>
          <w:rFonts w:hint="eastAsia"/>
          <w:lang w:val="zh-CN"/>
        </w:rPr>
        <w:t>，热线工作人员为心理学家、人道主义学家以及善于处理情绪和情感障碍问题的专家，目的是感知非法组织对社会造成的危害；热线设置了七（</w:t>
      </w:r>
      <w:r>
        <w:rPr>
          <w:lang w:val="zh-CN"/>
        </w:rPr>
        <w:t>7</w:t>
      </w:r>
      <w:r>
        <w:rPr>
          <w:rFonts w:hint="eastAsia"/>
          <w:lang w:val="zh-CN"/>
        </w:rPr>
        <w:t>）个选项，在其中包含了针对性暴力和非法招募未成年人案件的选项。</w:t>
      </w:r>
      <w:r>
        <w:rPr>
          <w:vertAlign w:val="superscript"/>
          <w:lang w:val="zh-CN"/>
        </w:rPr>
        <w:footnoteReference w:id="40"/>
      </w:r>
      <w:r>
        <w:rPr>
          <w:lang w:val="es-CO"/>
        </w:rPr>
        <w:t xml:space="preserve"> </w:t>
      </w:r>
    </w:p>
    <w:p w:rsidR="00A83775" w:rsidRDefault="00A83775">
      <w:pPr>
        <w:pStyle w:val="SingleTxtGC"/>
        <w:rPr>
          <w:lang w:val="zh-CN"/>
        </w:rPr>
      </w:pPr>
      <w:r>
        <w:rPr>
          <w:lang w:val="es-ES"/>
        </w:rPr>
        <w:t xml:space="preserve">94.  </w:t>
      </w:r>
      <w:r>
        <w:rPr>
          <w:rFonts w:hint="eastAsia"/>
          <w:lang w:val="zh-CN"/>
        </w:rPr>
        <w:t>社会保障部逐步在初级卫生保健护理战略中推进开展精神卫生工作。针对卫生保健服务用户开展宣传推广和保健预防活动，并与二级和三级卫生保健护理相关联。社会保障部设计拟定了“妇女友好关爱治疗室”战略，以便开展医疗保健和心理卫生工作。</w:t>
      </w:r>
      <w:r>
        <w:rPr>
          <w:vertAlign w:val="superscript"/>
          <w:lang w:val="zh-CN"/>
        </w:rPr>
        <w:footnoteReference w:id="41"/>
      </w:r>
      <w:r>
        <w:rPr>
          <w:lang w:val="zh-CN"/>
        </w:rPr>
        <w:t xml:space="preserve"> </w:t>
      </w:r>
    </w:p>
    <w:p w:rsidR="00A83775" w:rsidRDefault="00A83775" w:rsidP="00A06C40">
      <w:pPr>
        <w:pStyle w:val="SingleTxtGC"/>
        <w:keepLines/>
        <w:rPr>
          <w:lang w:val="zh-CN"/>
        </w:rPr>
      </w:pPr>
      <w:r>
        <w:rPr>
          <w:lang w:val="zh-CN"/>
        </w:rPr>
        <w:t xml:space="preserve">95.  </w:t>
      </w:r>
      <w:r>
        <w:rPr>
          <w:rFonts w:hint="eastAsia"/>
          <w:lang w:val="zh-CN"/>
        </w:rPr>
        <w:t>哥伦比亚家庭福利研究所强化了旨在通过心理救助的跨学科工作组的职能：暴力受害人口流动服务站，其目的是针对家庭内暴力案件和性暴力案件，通过精神卫生和心理卫生领域的专业人士以及社会工作者提供救助服务。这些专业人士将根据当地的机构情况进行危机干预和医疗转介服务。</w:t>
      </w:r>
    </w:p>
    <w:p w:rsidR="00A83775" w:rsidRDefault="00A83775">
      <w:pPr>
        <w:pStyle w:val="SingleTxtGC"/>
        <w:rPr>
          <w:lang w:val="zh-CN"/>
        </w:rPr>
      </w:pPr>
      <w:r>
        <w:rPr>
          <w:lang w:val="zh-CN"/>
        </w:rPr>
        <w:t xml:space="preserve">96.  </w:t>
      </w:r>
      <w:r>
        <w:rPr>
          <w:rFonts w:hint="eastAsia"/>
          <w:lang w:val="zh-CN"/>
        </w:rPr>
        <w:t>另一方面，在第</w:t>
      </w:r>
      <w:r>
        <w:rPr>
          <w:lang w:val="zh-CN"/>
        </w:rPr>
        <w:t>1257</w:t>
      </w:r>
      <w:r>
        <w:rPr>
          <w:rFonts w:hint="eastAsia"/>
          <w:lang w:val="zh-CN"/>
        </w:rPr>
        <w:t>号法规定的旨在保护遭受各种形式的暴力侵害的妇女的措施中，其中一项就是规定受害者有权从公共或私人机构中获得康复治疗和心理辅导，费用由施暴者承担。</w:t>
      </w:r>
    </w:p>
    <w:p w:rsidR="00A83775" w:rsidRDefault="00A83775">
      <w:pPr>
        <w:pStyle w:val="SingleTxtGC"/>
        <w:rPr>
          <w:lang w:val="zh-CN"/>
        </w:rPr>
      </w:pPr>
      <w:r>
        <w:rPr>
          <w:lang w:val="zh-CN"/>
        </w:rPr>
        <w:t xml:space="preserve">97.  </w:t>
      </w:r>
      <w:r>
        <w:rPr>
          <w:rFonts w:eastAsia="SimHei" w:hint="eastAsia"/>
          <w:lang w:val="zh-CN"/>
        </w:rPr>
        <w:t>向负责救助受害妇女的公职人员进行培训</w:t>
      </w:r>
      <w:r>
        <w:rPr>
          <w:rFonts w:hint="eastAsia"/>
          <w:lang w:val="zh-CN"/>
        </w:rPr>
        <w:t>。在关爱受害者方面，国家法律医学和法医学研究所自</w:t>
      </w:r>
      <w:r>
        <w:rPr>
          <w:lang w:val="zh-CN"/>
        </w:rPr>
        <w:t>2009</w:t>
      </w:r>
      <w:r>
        <w:rPr>
          <w:rFonts w:hint="eastAsia"/>
          <w:lang w:val="zh-CN"/>
        </w:rPr>
        <w:t>年以来已经设计并实施了一项关于针对性别原因的暴力行为的法医诊治的培训方案，其重点针对对象为因武装冲突原因处于流离失所境地的妇女，方案实施的依据为</w:t>
      </w:r>
      <w:r>
        <w:rPr>
          <w:lang w:val="zh-CN"/>
        </w:rPr>
        <w:t>2008</w:t>
      </w:r>
      <w:r>
        <w:rPr>
          <w:rFonts w:hint="eastAsia"/>
          <w:lang w:val="zh-CN"/>
        </w:rPr>
        <w:t>年的第</w:t>
      </w:r>
      <w:r>
        <w:rPr>
          <w:lang w:val="zh-CN"/>
        </w:rPr>
        <w:t>1257</w:t>
      </w:r>
      <w:r>
        <w:rPr>
          <w:rFonts w:hint="eastAsia"/>
          <w:lang w:val="zh-CN"/>
        </w:rPr>
        <w:t>号法以及旨在根除暴力侵害妇女行为的国际标准。培训对象为各地区的法医人员以及法医专业的牙科医生。</w:t>
      </w:r>
      <w:r>
        <w:rPr>
          <w:lang w:val="zh-CN"/>
        </w:rPr>
        <w:t>2010</w:t>
      </w:r>
      <w:r>
        <w:rPr>
          <w:rFonts w:hint="eastAsia"/>
          <w:lang w:val="zh-CN"/>
        </w:rPr>
        <w:t>年，设计了一项针对这一主题的远程培训课，借助远程教育平台，通过法律医学和法医学院逐步对所有相关公职人员进行了培训，此项工作得到了法医学研究所的支持。</w:t>
      </w:r>
    </w:p>
    <w:p w:rsidR="00A83775" w:rsidRDefault="00A83775">
      <w:pPr>
        <w:pStyle w:val="SingleTxtGC"/>
        <w:rPr>
          <w:lang w:val="zh-CN"/>
        </w:rPr>
      </w:pPr>
      <w:r>
        <w:rPr>
          <w:lang w:val="zh-CN"/>
        </w:rPr>
        <w:t>98.  2009</w:t>
      </w:r>
      <w:r>
        <w:rPr>
          <w:rFonts w:hint="eastAsia"/>
          <w:lang w:val="zh-CN"/>
        </w:rPr>
        <w:t>年国家法律医学和法医学研究所在全面打击基于性别原因的暴力行为方案的支持下设计了一项“预防、处理和根除哥伦比亚一切形式的性别暴力行为综合战略”，在战略中着重强调加强对各地进行机构培训的重要性，并制定了构架法律医学和法医学研究所基于性别的暴力行为审理指导文件。</w:t>
      </w:r>
      <w:r>
        <w:rPr>
          <w:vertAlign w:val="superscript"/>
          <w:lang w:val="zh-CN"/>
        </w:rPr>
        <w:footnoteReference w:id="42"/>
      </w:r>
      <w:r>
        <w:rPr>
          <w:rFonts w:hint="eastAsia"/>
          <w:lang w:val="zh-CN"/>
        </w:rPr>
        <w:t xml:space="preserve"> </w:t>
      </w:r>
      <w:r>
        <w:rPr>
          <w:rFonts w:hint="eastAsia"/>
          <w:lang w:val="zh-CN"/>
        </w:rPr>
        <w:t>样，国家法律医学和法医学研究所还编制了相关指南手册和实施条例，以便研究所的专家开展工作，并方便卫生部门的医生或社会服务部门的人员将此类法医规定全面应用于对性犯罪案件的调查，以及法医部门和卫生部门的人员据以进行调查取证工作。</w:t>
      </w:r>
      <w:r>
        <w:rPr>
          <w:vertAlign w:val="superscript"/>
          <w:lang w:val="zh-CN"/>
        </w:rPr>
        <w:footnoteReference w:id="43"/>
      </w:r>
      <w:r>
        <w:rPr>
          <w:lang w:val="zh-CN"/>
        </w:rPr>
        <w:t xml:space="preserve"> </w:t>
      </w:r>
    </w:p>
    <w:p w:rsidR="00A83775" w:rsidRDefault="00A83775">
      <w:pPr>
        <w:pStyle w:val="SingleTxtGC"/>
        <w:rPr>
          <w:lang w:val="es-ES"/>
        </w:rPr>
      </w:pPr>
      <w:r>
        <w:rPr>
          <w:lang w:val="zh-CN"/>
        </w:rPr>
        <w:t xml:space="preserve">99.  </w:t>
      </w:r>
      <w:r>
        <w:rPr>
          <w:rFonts w:eastAsia="SimHei" w:hint="eastAsia"/>
          <w:lang w:val="zh-CN"/>
        </w:rPr>
        <w:t>其他行动</w:t>
      </w:r>
      <w:r>
        <w:rPr>
          <w:rFonts w:hint="eastAsia"/>
          <w:lang w:val="zh-CN"/>
        </w:rPr>
        <w:t>：国家法律医学和法医学研究所与研究和大众教育中心</w:t>
      </w:r>
      <w:r>
        <w:rPr>
          <w:vertAlign w:val="superscript"/>
          <w:lang w:val="zh-CN"/>
        </w:rPr>
        <w:footnoteReference w:id="44"/>
      </w:r>
      <w:r>
        <w:t xml:space="preserve"> </w:t>
      </w:r>
      <w:r>
        <w:rPr>
          <w:rFonts w:hint="eastAsia"/>
          <w:lang w:val="zh-CN"/>
        </w:rPr>
        <w:t>合作，实施了一项关于在哥伦比亚武装冲突中的性暴力案件登记中所面临的无形阻碍的研究，其开展的主要工作以及结论发表在《</w:t>
      </w:r>
      <w:r>
        <w:rPr>
          <w:lang w:val="zh-CN"/>
        </w:rPr>
        <w:t>FORENSIS</w:t>
      </w:r>
      <w:r>
        <w:rPr>
          <w:rFonts w:hint="eastAsia"/>
          <w:lang w:val="zh-CN"/>
        </w:rPr>
        <w:t>（法医学）》杂志中，其中包含</w:t>
      </w:r>
      <w:r>
        <w:rPr>
          <w:lang w:val="zh-CN"/>
        </w:rPr>
        <w:t>2009</w:t>
      </w:r>
      <w:r>
        <w:rPr>
          <w:rFonts w:hint="eastAsia"/>
          <w:lang w:val="zh-CN"/>
        </w:rPr>
        <w:t>年的数据。</w:t>
      </w:r>
      <w:r>
        <w:rPr>
          <w:vertAlign w:val="superscript"/>
          <w:lang w:val="zh-CN"/>
        </w:rPr>
        <w:footnoteReference w:id="45"/>
      </w:r>
      <w:r>
        <w:rPr>
          <w:lang w:val="es-ES"/>
        </w:rPr>
        <w:t xml:space="preserve"> </w:t>
      </w:r>
    </w:p>
    <w:p w:rsidR="00A83775" w:rsidRDefault="00A83775">
      <w:pPr>
        <w:pStyle w:val="SingleTxtGC"/>
        <w:rPr>
          <w:lang w:val="zh-CN"/>
        </w:rPr>
      </w:pPr>
      <w:r>
        <w:rPr>
          <w:lang w:val="es-ES"/>
        </w:rPr>
        <w:t xml:space="preserve">100.  </w:t>
      </w:r>
      <w:r>
        <w:rPr>
          <w:rFonts w:hint="eastAsia"/>
          <w:lang w:val="zh-CN"/>
        </w:rPr>
        <w:t>国家警察，在缔造和平共处的家庭氛围政策框架下，已经开展实施了在国家警察打击家庭内暴力综合行动计划。在既有的流行病学监测体系的基础上，每年就这一问题提交一份分析报告，并从该报告入手，在全国范围内引导在卫生领域的心理学家和社会工作者开展相关行动。在精神卫生专业人员的协助下，在所有的警察部门中围绕方案内容开展了与卫生保健教育有关的活动。</w:t>
      </w:r>
      <w:r>
        <w:rPr>
          <w:lang w:val="zh-CN"/>
        </w:rPr>
        <w:t xml:space="preserve"> </w:t>
      </w:r>
    </w:p>
    <w:p w:rsidR="00A83775" w:rsidRDefault="00A83775">
      <w:pPr>
        <w:pStyle w:val="SingleTxtGC"/>
        <w:rPr>
          <w:lang w:val="zh-CN"/>
        </w:rPr>
      </w:pPr>
      <w:r>
        <w:rPr>
          <w:lang w:val="zh-CN"/>
        </w:rPr>
        <w:t xml:space="preserve">101.  </w:t>
      </w:r>
      <w:r>
        <w:rPr>
          <w:rFonts w:hint="eastAsia"/>
          <w:lang w:val="zh-CN"/>
        </w:rPr>
        <w:t>妇女平等事务总统高级顾问办公室，通过妇发基金和罗萨里奥大学结成了联盟，旨在就基于性别原因的暴力问题以及妇女权利问题开展司法监察工作，其中，妇女权利细分为：</w:t>
      </w:r>
      <w:r>
        <w:rPr>
          <w:lang w:val="zh-CN"/>
        </w:rPr>
        <w:t>(a)</w:t>
      </w:r>
      <w:r>
        <w:rPr>
          <w:rFonts w:hint="eastAsia"/>
          <w:lang w:val="zh-CN"/>
        </w:rPr>
        <w:t xml:space="preserve"> </w:t>
      </w:r>
      <w:r>
        <w:rPr>
          <w:rFonts w:hint="eastAsia"/>
          <w:lang w:val="zh-CN"/>
        </w:rPr>
        <w:t>性权利和生殖权利；</w:t>
      </w:r>
      <w:r>
        <w:rPr>
          <w:lang w:val="zh-CN"/>
        </w:rPr>
        <w:t>(b)</w:t>
      </w:r>
      <w:r>
        <w:rPr>
          <w:rFonts w:hint="eastAsia"/>
          <w:lang w:val="zh-CN"/>
        </w:rPr>
        <w:t xml:space="preserve"> </w:t>
      </w:r>
      <w:r>
        <w:rPr>
          <w:rFonts w:hint="eastAsia"/>
          <w:lang w:val="zh-CN"/>
        </w:rPr>
        <w:t>劳动权利；</w:t>
      </w:r>
      <w:r>
        <w:rPr>
          <w:lang w:val="zh-CN"/>
        </w:rPr>
        <w:t>(c)</w:t>
      </w:r>
      <w:r>
        <w:rPr>
          <w:rFonts w:hint="eastAsia"/>
          <w:lang w:val="zh-CN"/>
        </w:rPr>
        <w:t xml:space="preserve"> </w:t>
      </w:r>
      <w:r>
        <w:rPr>
          <w:rFonts w:hint="eastAsia"/>
          <w:lang w:val="zh-CN"/>
        </w:rPr>
        <w:t>社会保障（医疗保障和养老保障）；</w:t>
      </w:r>
      <w:r>
        <w:rPr>
          <w:lang w:val="zh-CN"/>
        </w:rPr>
        <w:t>(d)</w:t>
      </w:r>
      <w:r>
        <w:rPr>
          <w:rFonts w:hint="eastAsia"/>
          <w:lang w:val="zh-CN"/>
        </w:rPr>
        <w:t xml:space="preserve"> </w:t>
      </w:r>
      <w:r>
        <w:rPr>
          <w:rFonts w:hint="eastAsia"/>
          <w:lang w:val="zh-CN"/>
        </w:rPr>
        <w:t>囚犯权利；及</w:t>
      </w:r>
      <w:r>
        <w:rPr>
          <w:lang w:val="zh-CN"/>
        </w:rPr>
        <w:t>(e)</w:t>
      </w:r>
      <w:r>
        <w:rPr>
          <w:rFonts w:hint="eastAsia"/>
          <w:lang w:val="zh-CN"/>
        </w:rPr>
        <w:t xml:space="preserve"> </w:t>
      </w:r>
      <w:r>
        <w:rPr>
          <w:rFonts w:hint="eastAsia"/>
          <w:lang w:val="zh-CN"/>
        </w:rPr>
        <w:t>参与和进入决策空间。</w:t>
      </w:r>
      <w:r>
        <w:rPr>
          <w:vertAlign w:val="superscript"/>
          <w:lang w:val="zh-CN"/>
        </w:rPr>
        <w:footnoteReference w:id="46"/>
      </w:r>
    </w:p>
    <w:p w:rsidR="00A83775" w:rsidRDefault="00A83775">
      <w:pPr>
        <w:pStyle w:val="SingleTxtGC"/>
        <w:rPr>
          <w:lang w:val="es-ES_tradnl"/>
        </w:rPr>
      </w:pPr>
      <w:r>
        <w:rPr>
          <w:lang w:val="zh-CN"/>
        </w:rPr>
        <w:t xml:space="preserve">102.  </w:t>
      </w:r>
      <w:r>
        <w:rPr>
          <w:rFonts w:hint="eastAsia"/>
          <w:lang w:val="zh-CN"/>
        </w:rPr>
        <w:t>遵照这一程序制定了一则文件：对基于性别原因的暴力问题和妇女权利问题的司法监察（第一阶段）及对卡塔赫纳市、帕斯托市和卡利市巡回法院的刑事法官和家庭事务法官在</w:t>
      </w:r>
      <w:r>
        <w:rPr>
          <w:lang w:val="zh-CN"/>
        </w:rPr>
        <w:t>2005-2009</w:t>
      </w:r>
      <w:r>
        <w:rPr>
          <w:rFonts w:hint="eastAsia"/>
          <w:lang w:val="zh-CN"/>
        </w:rPr>
        <w:t>年这一时期所作的判决的研究和后续跟踪（第二阶段）。</w:t>
      </w:r>
      <w:r>
        <w:rPr>
          <w:vertAlign w:val="superscript"/>
          <w:lang w:val="zh-CN"/>
        </w:rPr>
        <w:footnoteReference w:id="47"/>
      </w:r>
      <w:r>
        <w:rPr>
          <w:rFonts w:hint="eastAsia"/>
          <w:lang w:val="zh-CN"/>
        </w:rPr>
        <w:t>这一程序强化了之前在两性问题观察站框架内开展的活动，这些活动旨在对高等法院就妇女权利问题的判例进行跟踪监察。</w:t>
      </w:r>
      <w:r>
        <w:rPr>
          <w:vertAlign w:val="superscript"/>
          <w:lang w:val="zh-CN"/>
        </w:rPr>
        <w:footnoteReference w:id="48"/>
      </w:r>
      <w:r>
        <w:rPr>
          <w:lang w:val="es-ES_tradnl"/>
        </w:rPr>
        <w:t xml:space="preserve"> </w:t>
      </w:r>
    </w:p>
    <w:p w:rsidR="00A83775" w:rsidRDefault="00A83775" w:rsidP="00A06C40">
      <w:pPr>
        <w:pStyle w:val="SingleTxtGC"/>
        <w:keepLines/>
        <w:rPr>
          <w:rFonts w:hint="eastAsia"/>
          <w:lang w:val="es-ES"/>
        </w:rPr>
      </w:pPr>
      <w:r>
        <w:rPr>
          <w:lang w:val="es-ES"/>
        </w:rPr>
        <w:t xml:space="preserve">103.  </w:t>
      </w:r>
      <w:r>
        <w:rPr>
          <w:rFonts w:hint="eastAsia"/>
          <w:lang w:val="zh-CN"/>
        </w:rPr>
        <w:t>最后，需要指出的是国家总检察长办公室</w:t>
      </w:r>
      <w:r>
        <w:rPr>
          <w:vertAlign w:val="superscript"/>
          <w:lang w:val="zh-CN"/>
        </w:rPr>
        <w:footnoteReference w:id="49"/>
      </w:r>
      <w:r>
        <w:rPr>
          <w:rFonts w:hint="eastAsia"/>
          <w:lang w:val="zh-CN"/>
        </w:rPr>
        <w:t xml:space="preserve"> </w:t>
      </w:r>
      <w:r>
        <w:rPr>
          <w:rFonts w:hint="eastAsia"/>
          <w:lang w:val="zh-CN"/>
        </w:rPr>
        <w:t>发了一个妇女权利保障高级监察体系，这是一项定期评估战略，主要围绕以下主题开展：</w:t>
      </w:r>
      <w:r>
        <w:rPr>
          <w:lang w:val="zh-CN"/>
        </w:rPr>
        <w:t>(a)</w:t>
      </w:r>
      <w:r>
        <w:rPr>
          <w:rFonts w:hint="eastAsia"/>
          <w:lang w:val="zh-CN"/>
        </w:rPr>
        <w:t xml:space="preserve"> </w:t>
      </w:r>
      <w:r>
        <w:rPr>
          <w:rFonts w:hint="eastAsia"/>
          <w:lang w:val="zh-CN"/>
        </w:rPr>
        <w:t>承认与妇女权利有关的国际文书并通过设立主管机构落实文书规定；</w:t>
      </w:r>
      <w:r>
        <w:rPr>
          <w:lang w:val="zh-CN"/>
        </w:rPr>
        <w:t>(b)</w:t>
      </w:r>
      <w:r>
        <w:rPr>
          <w:rFonts w:hint="eastAsia"/>
          <w:lang w:val="zh-CN"/>
        </w:rPr>
        <w:t xml:space="preserve"> </w:t>
      </w:r>
      <w:r>
        <w:rPr>
          <w:rFonts w:hint="eastAsia"/>
          <w:lang w:val="zh-CN"/>
        </w:rPr>
        <w:t>国际文书所保障权利的落实状况以及与妇女权利有关信息的公开透明度和质量。监察和评估工作是持续开展的，并根据结果编制相应报告</w:t>
      </w:r>
      <w:r>
        <w:rPr>
          <w:vertAlign w:val="superscript"/>
          <w:lang w:val="zh-CN"/>
        </w:rPr>
        <w:footnoteReference w:id="50"/>
      </w:r>
      <w:r>
        <w:rPr>
          <w:rFonts w:hint="eastAsia"/>
          <w:lang w:val="zh-CN"/>
        </w:rPr>
        <w:t>。针对妇女和青少年权利问题编制了六份监察报告：</w:t>
      </w:r>
      <w:r>
        <w:rPr>
          <w:lang w:val="zh-CN"/>
        </w:rPr>
        <w:t>(a)</w:t>
      </w:r>
      <w:r>
        <w:rPr>
          <w:rFonts w:hint="eastAsia"/>
          <w:lang w:val="zh-CN"/>
        </w:rPr>
        <w:t xml:space="preserve"> </w:t>
      </w:r>
      <w:r>
        <w:rPr>
          <w:rFonts w:hint="eastAsia"/>
          <w:lang w:val="zh-CN"/>
        </w:rPr>
        <w:t>与保障妇女权利有关的监察报告，报告内容发布在《保障妇女权利教育指南》和《跟踪监察工作教育和操作指南》中；</w:t>
      </w:r>
      <w:r>
        <w:rPr>
          <w:lang w:val="zh-CN"/>
        </w:rPr>
        <w:t>(b)</w:t>
      </w:r>
      <w:r>
        <w:rPr>
          <w:rFonts w:hint="eastAsia"/>
          <w:lang w:val="zh-CN"/>
        </w:rPr>
        <w:t>《青少年权利仍有待落实》；</w:t>
      </w:r>
      <w:r>
        <w:rPr>
          <w:lang w:val="zh-CN"/>
        </w:rPr>
        <w:t>(c)</w:t>
      </w:r>
      <w:r>
        <w:rPr>
          <w:rFonts w:hint="eastAsia"/>
          <w:lang w:val="zh-CN"/>
        </w:rPr>
        <w:t xml:space="preserve"> </w:t>
      </w:r>
      <w:r>
        <w:rPr>
          <w:rFonts w:hint="eastAsia"/>
          <w:lang w:val="zh-CN"/>
        </w:rPr>
        <w:t>国家总检察长办公室与妇女权利的有效落实；</w:t>
      </w:r>
      <w:r>
        <w:rPr>
          <w:lang w:val="zh-CN"/>
        </w:rPr>
        <w:t>(d)</w:t>
      </w:r>
      <w:r>
        <w:rPr>
          <w:rFonts w:hint="eastAsia"/>
          <w:lang w:val="zh-CN"/>
        </w:rPr>
        <w:t xml:space="preserve"> </w:t>
      </w:r>
      <w:r>
        <w:rPr>
          <w:rFonts w:hint="eastAsia"/>
          <w:lang w:val="zh-CN"/>
        </w:rPr>
        <w:t>对第</w:t>
      </w:r>
      <w:r>
        <w:rPr>
          <w:lang w:val="zh-CN"/>
        </w:rPr>
        <w:t>092</w:t>
      </w:r>
      <w:r>
        <w:rPr>
          <w:rFonts w:hint="eastAsia"/>
          <w:lang w:val="zh-CN"/>
        </w:rPr>
        <w:t>号裁决的后续行动报告：妇女、冲突与妇女权利；</w:t>
      </w:r>
      <w:r>
        <w:rPr>
          <w:lang w:val="zh-CN"/>
        </w:rPr>
        <w:t>(e)</w:t>
      </w:r>
      <w:r>
        <w:rPr>
          <w:rFonts w:hint="eastAsia"/>
          <w:lang w:val="zh-CN"/>
        </w:rPr>
        <w:t xml:space="preserve"> </w:t>
      </w:r>
      <w:r>
        <w:rPr>
          <w:rFonts w:hint="eastAsia"/>
          <w:lang w:val="zh-CN"/>
        </w:rPr>
        <w:t>聚焦哥伦比亚暴力侵害妇女问题现状；及</w:t>
      </w:r>
      <w:r>
        <w:rPr>
          <w:rFonts w:hint="eastAsia"/>
          <w:lang w:val="zh-CN"/>
        </w:rPr>
        <w:t>(</w:t>
      </w:r>
      <w:r>
        <w:rPr>
          <w:lang w:val="zh-CN"/>
        </w:rPr>
        <w:t>f)</w:t>
      </w:r>
      <w:r>
        <w:rPr>
          <w:rFonts w:hint="eastAsia"/>
          <w:lang w:val="zh-CN"/>
        </w:rPr>
        <w:t xml:space="preserve"> </w:t>
      </w:r>
      <w:r>
        <w:rPr>
          <w:rFonts w:hint="eastAsia"/>
          <w:lang w:val="zh-CN"/>
        </w:rPr>
        <w:t>妇女权利的有效性：仍待解决的司法问题。</w:t>
      </w:r>
    </w:p>
    <w:p w:rsidR="00A83775" w:rsidRDefault="00A83775">
      <w:pPr>
        <w:pStyle w:val="H23GC"/>
        <w:rPr>
          <w:lang w:val="es-ES"/>
        </w:rPr>
      </w:pPr>
      <w:r>
        <w:rPr>
          <w:lang w:val="es-ES"/>
        </w:rPr>
        <w:tab/>
        <w:t>2.</w:t>
      </w:r>
      <w:r>
        <w:rPr>
          <w:lang w:val="es-ES"/>
        </w:rPr>
        <w:tab/>
      </w:r>
      <w:r>
        <w:rPr>
          <w:rFonts w:hint="eastAsia"/>
          <w:lang w:val="zh-CN"/>
        </w:rPr>
        <w:t>立法措施</w:t>
      </w:r>
    </w:p>
    <w:p w:rsidR="00A83775" w:rsidRDefault="00A83775">
      <w:pPr>
        <w:pStyle w:val="SingleTxtGC"/>
        <w:rPr>
          <w:lang w:val="es-CO"/>
        </w:rPr>
      </w:pPr>
      <w:r>
        <w:rPr>
          <w:lang w:val="es-ES"/>
        </w:rPr>
        <w:t xml:space="preserve">104.  </w:t>
      </w:r>
      <w:r>
        <w:rPr>
          <w:rFonts w:hint="eastAsia"/>
          <w:lang w:val="zh-CN"/>
        </w:rPr>
        <w:t>本次报告期内哥伦比亚在立法方面的主要进步就是出台了</w:t>
      </w:r>
      <w:r>
        <w:rPr>
          <w:lang w:val="zh-CN"/>
        </w:rPr>
        <w:t>2008</w:t>
      </w:r>
      <w:r>
        <w:rPr>
          <w:rFonts w:eastAsia="SimHei" w:hint="eastAsia"/>
          <w:lang w:val="zh-CN"/>
        </w:rPr>
        <w:t>年的第</w:t>
      </w:r>
      <w:r>
        <w:rPr>
          <w:rFonts w:eastAsia="SimHei"/>
          <w:lang w:val="zh-CN"/>
        </w:rPr>
        <w:t>1257</w:t>
      </w:r>
      <w:r>
        <w:rPr>
          <w:rFonts w:eastAsia="SimHei" w:hint="eastAsia"/>
          <w:lang w:val="zh-CN"/>
        </w:rPr>
        <w:t>号法</w:t>
      </w:r>
      <w:r>
        <w:rPr>
          <w:rFonts w:hint="eastAsia"/>
          <w:lang w:val="zh-CN"/>
        </w:rPr>
        <w:t>，通过这一法律规定了关于提高对妇女的各种形式的暴力侵害和歧视问题的认识和觉悟，预防和惩治对妇女各种形式的暴力侵害和歧视行为，改革《刑法典》、《刑事诉讼法》、</w:t>
      </w:r>
      <w:r>
        <w:rPr>
          <w:lang w:val="zh-CN"/>
        </w:rPr>
        <w:t>1996</w:t>
      </w:r>
      <w:r>
        <w:rPr>
          <w:rFonts w:hint="eastAsia"/>
          <w:lang w:val="zh-CN"/>
        </w:rPr>
        <w:t>年的第</w:t>
      </w:r>
      <w:r>
        <w:rPr>
          <w:lang w:val="zh-CN"/>
        </w:rPr>
        <w:t>294</w:t>
      </w:r>
      <w:r>
        <w:rPr>
          <w:rFonts w:hint="eastAsia"/>
          <w:lang w:val="zh-CN"/>
        </w:rPr>
        <w:t>号法以及其他一些规定。随着该法律的颁布，从根本上改变了哥伦比亚对待暴力侵害妇女问题的法律立场。考虑到这部法律的重要性，在本报告中将对该法进行单独论述。在本条所含的附件</w:t>
      </w:r>
      <w:r>
        <w:rPr>
          <w:lang w:val="zh-CN"/>
        </w:rPr>
        <w:t>2</w:t>
      </w:r>
      <w:r>
        <w:rPr>
          <w:rFonts w:hint="eastAsia"/>
          <w:lang w:val="zh-CN"/>
        </w:rPr>
        <w:t>中，列出了报告期内采取的其他立法措施，此外还列出了本部法律的全文。</w:t>
      </w:r>
    </w:p>
    <w:p w:rsidR="00A83775" w:rsidRDefault="00A83775">
      <w:pPr>
        <w:pStyle w:val="H23GC"/>
        <w:rPr>
          <w:lang w:val="es-ES"/>
        </w:rPr>
      </w:pPr>
      <w:r>
        <w:rPr>
          <w:lang w:val="es-ES"/>
        </w:rPr>
        <w:tab/>
        <w:t>3.</w:t>
      </w:r>
      <w:r>
        <w:rPr>
          <w:lang w:val="es-ES"/>
        </w:rPr>
        <w:tab/>
      </w:r>
      <w:r>
        <w:rPr>
          <w:rFonts w:hint="eastAsia"/>
          <w:lang w:val="zh-CN"/>
        </w:rPr>
        <w:t>司法措施</w:t>
      </w:r>
    </w:p>
    <w:p w:rsidR="00A83775" w:rsidRDefault="00A83775">
      <w:pPr>
        <w:pStyle w:val="SingleTxtGC"/>
        <w:rPr>
          <w:rFonts w:hint="eastAsia"/>
          <w:lang w:val="es-ES"/>
        </w:rPr>
      </w:pPr>
      <w:r>
        <w:rPr>
          <w:lang w:val="es-ES"/>
        </w:rPr>
        <w:t xml:space="preserve">105.  </w:t>
      </w:r>
      <w:r>
        <w:rPr>
          <w:rFonts w:hint="eastAsia"/>
          <w:lang w:val="zh-CN"/>
        </w:rPr>
        <w:t>在本条所含的附件</w:t>
      </w:r>
      <w:r>
        <w:rPr>
          <w:lang w:val="zh-CN"/>
        </w:rPr>
        <w:t>3</w:t>
      </w:r>
      <w:r>
        <w:rPr>
          <w:rFonts w:hint="eastAsia"/>
          <w:lang w:val="zh-CN"/>
        </w:rPr>
        <w:t>中，包含了以下判决书的全文：</w:t>
      </w:r>
    </w:p>
    <w:p w:rsidR="00A83775" w:rsidRDefault="00A83775">
      <w:pPr>
        <w:pStyle w:val="SingleTxtGC"/>
        <w:numPr>
          <w:ilvl w:val="0"/>
          <w:numId w:val="21"/>
        </w:numPr>
        <w:rPr>
          <w:lang w:val="es-ES"/>
        </w:rPr>
      </w:pPr>
      <w:r>
        <w:rPr>
          <w:rFonts w:hint="eastAsia"/>
          <w:lang w:val="zh-CN"/>
        </w:rPr>
        <w:t>哥伦比亚宪法法院的第</w:t>
      </w:r>
      <w:r>
        <w:rPr>
          <w:lang w:val="zh-CN"/>
        </w:rPr>
        <w:t>T-453-05</w:t>
      </w:r>
      <w:r>
        <w:rPr>
          <w:rFonts w:hint="eastAsia"/>
          <w:lang w:val="zh-CN"/>
        </w:rPr>
        <w:t>号判决：裁令“防范司法部门的办案人员做出以下阻碍调查取证的行为；</w:t>
      </w:r>
      <w:r>
        <w:rPr>
          <w:rFonts w:hint="eastAsia"/>
          <w:lang w:val="zh-CN"/>
        </w:rPr>
        <w:t>(</w:t>
      </w:r>
      <w:r>
        <w:rPr>
          <w:rFonts w:hint="eastAsia"/>
          <w:lang w:val="zh-CN"/>
        </w:rPr>
        <w:t>一</w:t>
      </w:r>
      <w:r>
        <w:rPr>
          <w:rFonts w:hint="eastAsia"/>
          <w:lang w:val="zh-CN"/>
        </w:rPr>
        <w:t>)</w:t>
      </w:r>
      <w:r>
        <w:t xml:space="preserve"> </w:t>
      </w:r>
      <w:r>
        <w:rPr>
          <w:rFonts w:hint="eastAsia"/>
          <w:lang w:val="zh-CN"/>
        </w:rPr>
        <w:t>以不合理或不相称的方式侵犯隐私权；或</w:t>
      </w:r>
      <w:r>
        <w:rPr>
          <w:rFonts w:hint="eastAsia"/>
          <w:lang w:val="zh-CN"/>
        </w:rPr>
        <w:t>(</w:t>
      </w:r>
      <w:r>
        <w:rPr>
          <w:rFonts w:hint="eastAsia"/>
          <w:lang w:val="zh-CN"/>
        </w:rPr>
        <w:t>二</w:t>
      </w:r>
      <w:r>
        <w:rPr>
          <w:rFonts w:hint="eastAsia"/>
          <w:lang w:val="zh-CN"/>
        </w:rPr>
        <w:t>)</w:t>
      </w:r>
      <w:r>
        <w:t xml:space="preserve"> </w:t>
      </w:r>
      <w:r>
        <w:rPr>
          <w:rFonts w:hint="eastAsia"/>
          <w:lang w:val="zh-CN"/>
        </w:rPr>
        <w:t>为办案目的而展示妇女案发前或案发后的生活隐私，从而诱导其承认与所办案件毫无关联的性行为”；</w:t>
      </w:r>
    </w:p>
    <w:p w:rsidR="00A83775" w:rsidRDefault="00A83775">
      <w:pPr>
        <w:pStyle w:val="SingleTxtGC"/>
        <w:numPr>
          <w:ilvl w:val="0"/>
          <w:numId w:val="21"/>
        </w:numPr>
        <w:rPr>
          <w:lang w:val="es-ES"/>
        </w:rPr>
      </w:pPr>
      <w:r>
        <w:rPr>
          <w:rFonts w:hint="eastAsia"/>
          <w:lang w:val="zh-CN"/>
        </w:rPr>
        <w:t>哥伦比亚宪法法院的第</w:t>
      </w:r>
      <w:r>
        <w:rPr>
          <w:lang w:val="zh-CN"/>
        </w:rPr>
        <w:t>T-458-07</w:t>
      </w:r>
      <w:r>
        <w:rPr>
          <w:rFonts w:hint="eastAsia"/>
          <w:lang w:val="zh-CN"/>
        </w:rPr>
        <w:t>号判决：重申最高司法法院</w:t>
      </w:r>
      <w:r>
        <w:rPr>
          <w:vertAlign w:val="superscript"/>
          <w:lang w:val="zh-CN"/>
        </w:rPr>
        <w:footnoteReference w:id="51"/>
      </w:r>
      <w:r>
        <w:rPr>
          <w:rFonts w:hint="eastAsia"/>
          <w:lang w:val="zh-CN"/>
        </w:rPr>
        <w:t xml:space="preserve"> </w:t>
      </w:r>
      <w:r>
        <w:rPr>
          <w:rFonts w:hint="eastAsia"/>
          <w:lang w:val="zh-CN"/>
        </w:rPr>
        <w:t>判例“根据判例精神，在对未成年人的性暴力案件中，身体反应不得被视为未成年人接受性关系的证据”；</w:t>
      </w:r>
    </w:p>
    <w:p w:rsidR="00A83775" w:rsidRDefault="00A83775">
      <w:pPr>
        <w:pStyle w:val="SingleTxtGC"/>
        <w:numPr>
          <w:ilvl w:val="0"/>
          <w:numId w:val="21"/>
        </w:numPr>
        <w:rPr>
          <w:lang w:val="es-ES"/>
        </w:rPr>
      </w:pPr>
      <w:r>
        <w:rPr>
          <w:rFonts w:hint="eastAsia"/>
          <w:lang w:val="zh-CN"/>
        </w:rPr>
        <w:t>刑事上诉庭的判决，诉讼号为</w:t>
      </w:r>
      <w:r>
        <w:rPr>
          <w:lang w:val="zh-CN"/>
        </w:rPr>
        <w:t>23508</w:t>
      </w:r>
      <w:r>
        <w:rPr>
          <w:rFonts w:hint="eastAsia"/>
          <w:lang w:val="zh-CN"/>
        </w:rPr>
        <w:t>，</w:t>
      </w:r>
      <w:r>
        <w:rPr>
          <w:lang w:val="zh-CN"/>
        </w:rPr>
        <w:t>2009</w:t>
      </w:r>
      <w:r>
        <w:rPr>
          <w:rFonts w:hint="eastAsia"/>
          <w:lang w:val="zh-CN"/>
        </w:rPr>
        <w:t>年</w:t>
      </w:r>
      <w:r>
        <w:rPr>
          <w:lang w:val="zh-CN"/>
        </w:rPr>
        <w:t>9</w:t>
      </w:r>
      <w:r>
        <w:rPr>
          <w:rFonts w:hint="eastAsia"/>
          <w:lang w:val="zh-CN"/>
        </w:rPr>
        <w:t>月</w:t>
      </w:r>
      <w:r>
        <w:rPr>
          <w:lang w:val="zh-CN"/>
        </w:rPr>
        <w:t>23</w:t>
      </w:r>
      <w:r>
        <w:rPr>
          <w:rFonts w:hint="eastAsia"/>
          <w:lang w:val="zh-CN"/>
        </w:rPr>
        <w:t>日，最高司法法院</w:t>
      </w:r>
      <w:r>
        <w:rPr>
          <w:rFonts w:hint="eastAsia"/>
          <w:spacing w:val="-50"/>
        </w:rPr>
        <w:t>―</w:t>
      </w:r>
      <w:r>
        <w:rPr>
          <w:rFonts w:hint="eastAsia"/>
        </w:rPr>
        <w:t>―</w:t>
      </w:r>
      <w:r>
        <w:rPr>
          <w:rFonts w:hint="eastAsia"/>
          <w:lang w:val="zh-CN"/>
        </w:rPr>
        <w:t>权利</w:t>
      </w:r>
      <w:r>
        <w:rPr>
          <w:lang w:val="zh-CN"/>
        </w:rPr>
        <w:t>/</w:t>
      </w:r>
      <w:r>
        <w:rPr>
          <w:rFonts w:hint="eastAsia"/>
          <w:lang w:val="zh-CN"/>
        </w:rPr>
        <w:t>性犯罪：对与妇女权益相关的国内和国际文书协定和法律进行了审查。分析了应如何在性犯罪的刑事诉讼程序中使办案人员遵守法规制度，研究了暴力犯罪的影响范围，遵从法院所秉持的判例方针。指出：“应当遵循上文提到的法律法规和判例框架，即明确做出裁决决定的范围，在这个意义上说，当辩护律师采用质疑受害人所陈述事实的可信度这一辩护策略时，应当特别注意在整个诉讼过程中当事人是否表现出仇恨、怨怒或关切心理（或者受害人没有表现出其他任何情绪、状况或条件），通过评估确认受害妇女的新生活和隐私相关信息是否属实，但不得以任何方式直接或间接损害其人格尊严或进行歧视”；</w:t>
      </w:r>
    </w:p>
    <w:p w:rsidR="00A83775" w:rsidRDefault="00A83775">
      <w:pPr>
        <w:pStyle w:val="SingleTxtGC"/>
        <w:numPr>
          <w:ilvl w:val="0"/>
          <w:numId w:val="21"/>
        </w:numPr>
        <w:rPr>
          <w:lang w:val="es-ES"/>
        </w:rPr>
      </w:pPr>
      <w:r>
        <w:rPr>
          <w:rFonts w:hint="eastAsia"/>
          <w:lang w:val="zh-CN"/>
        </w:rPr>
        <w:t>哥伦比亚宪法法院的第</w:t>
      </w:r>
      <w:r>
        <w:rPr>
          <w:lang w:val="zh-CN"/>
        </w:rPr>
        <w:t>C-776-10</w:t>
      </w:r>
      <w:r>
        <w:rPr>
          <w:rFonts w:hint="eastAsia"/>
          <w:lang w:val="zh-CN"/>
        </w:rPr>
        <w:t>号判决。在判决中宣布</w:t>
      </w:r>
      <w:r>
        <w:rPr>
          <w:lang w:val="zh-CN"/>
        </w:rPr>
        <w:t>2008</w:t>
      </w:r>
      <w:r>
        <w:rPr>
          <w:rFonts w:hint="eastAsia"/>
          <w:lang w:val="zh-CN"/>
        </w:rPr>
        <w:t>年第</w:t>
      </w:r>
      <w:r>
        <w:rPr>
          <w:lang w:val="zh-CN"/>
        </w:rPr>
        <w:t>1257</w:t>
      </w:r>
      <w:r>
        <w:rPr>
          <w:rFonts w:hint="eastAsia"/>
          <w:lang w:val="zh-CN"/>
        </w:rPr>
        <w:t>号法的第</w:t>
      </w:r>
      <w:r>
        <w:rPr>
          <w:lang w:val="zh-CN"/>
        </w:rPr>
        <w:t>13</w:t>
      </w:r>
      <w:r>
        <w:rPr>
          <w:rFonts w:hint="eastAsia"/>
          <w:lang w:val="zh-CN"/>
        </w:rPr>
        <w:t>条（部分）和第</w:t>
      </w:r>
      <w:r>
        <w:rPr>
          <w:lang w:val="zh-CN"/>
        </w:rPr>
        <w:t>19</w:t>
      </w:r>
      <w:r>
        <w:rPr>
          <w:rFonts w:hint="eastAsia"/>
          <w:lang w:val="zh-CN"/>
        </w:rPr>
        <w:t>条（部分）的合宪性，这两条中的内容与卫生保健领域的措施相关，旨在保障暴力受害妇女的食宿权利以及确保医疗保健机构和医疗保健体系的相应单位为受害妇女及其子女通过医疗救助、心理和情绪干预等服务。“本庭考虑到向遭受暴力侵害的妇女提供饮食和住宿帮助构成对其健康权的保护和关爱措施的组成部分（……）。（……）向其提供饮食和住宿帮助有助于保护其被侵害的健康权，有助于其身体健康的恢复和情绪的稳定，可以使受害妇女有一个过渡期，在康复后按照受害妇女的人生规划继续今后的生活”。</w:t>
      </w:r>
    </w:p>
    <w:p w:rsidR="00A83775" w:rsidRDefault="00A83775">
      <w:pPr>
        <w:pStyle w:val="H23GC"/>
        <w:rPr>
          <w:lang w:val="es-ES"/>
        </w:rPr>
      </w:pPr>
      <w:r>
        <w:rPr>
          <w:lang w:val="es-ES"/>
        </w:rPr>
        <w:tab/>
        <w:t>4.</w:t>
      </w:r>
      <w:r>
        <w:rPr>
          <w:lang w:val="es-ES"/>
        </w:rPr>
        <w:tab/>
      </w:r>
      <w:r>
        <w:rPr>
          <w:rFonts w:hint="eastAsia"/>
          <w:lang w:val="zh-CN"/>
        </w:rPr>
        <w:t>现状</w:t>
      </w:r>
      <w:r>
        <w:rPr>
          <w:rFonts w:hint="eastAsia"/>
          <w:lang w:val="zh-CN"/>
        </w:rPr>
        <w:t>/</w:t>
      </w:r>
      <w:r>
        <w:rPr>
          <w:rFonts w:hint="eastAsia"/>
          <w:lang w:val="zh-CN"/>
        </w:rPr>
        <w:t>统计信息</w:t>
      </w:r>
    </w:p>
    <w:p w:rsidR="00A83775" w:rsidRDefault="00A83775" w:rsidP="00A06C40">
      <w:pPr>
        <w:pStyle w:val="SingleTxtGC"/>
        <w:spacing w:after="240"/>
        <w:rPr>
          <w:rFonts w:hint="eastAsia"/>
          <w:lang w:val="zh-CN"/>
        </w:rPr>
      </w:pPr>
      <w:r>
        <w:rPr>
          <w:lang w:val="es-ES"/>
        </w:rPr>
        <w:t xml:space="preserve">106.  </w:t>
      </w:r>
      <w:r>
        <w:rPr>
          <w:rFonts w:hint="eastAsia"/>
          <w:lang w:val="zh-CN"/>
        </w:rPr>
        <w:t>政府对创建和巩固旨在发现各种形式的暴力侵害妇女行为的信息体系的重要性有清醒的认识，为此已经着手努力开展对此类暴力行为的衡量方式进行标准化和统一的工作，与这方面信息的生成单位和指标用户单位开展部门联动，以此促进各单位加强其指标库工作以及信息生成能力，为各类公共政策的制定提供支持。在这个意义上，开展工作的情况如下：</w:t>
      </w:r>
    </w:p>
    <w:tbl>
      <w:tblPr>
        <w:tblW w:w="7370" w:type="dxa"/>
        <w:tblInd w:w="1134" w:type="dxa"/>
        <w:tblLayout w:type="fixed"/>
        <w:tblCellMar>
          <w:left w:w="0" w:type="dxa"/>
          <w:right w:w="0" w:type="dxa"/>
        </w:tblCellMar>
        <w:tblLook w:val="00A0"/>
      </w:tblPr>
      <w:tblGrid>
        <w:gridCol w:w="1462"/>
        <w:gridCol w:w="5908"/>
      </w:tblGrid>
      <w:tr w:rsidR="00A83775">
        <w:trPr>
          <w:trHeight w:val="240"/>
        </w:trPr>
        <w:tc>
          <w:tcPr>
            <w:tcW w:w="1462" w:type="dxa"/>
            <w:tcBorders>
              <w:top w:val="single" w:sz="12" w:space="0" w:color="auto"/>
            </w:tcBorders>
            <w:shd w:val="clear" w:color="auto" w:fill="auto"/>
          </w:tcPr>
          <w:p w:rsidR="00A83775" w:rsidRDefault="00A83775">
            <w:pPr>
              <w:pStyle w:val="a5"/>
              <w:spacing w:before="80" w:after="80" w:line="200" w:lineRule="atLeast"/>
              <w:ind w:left="113"/>
              <w:rPr>
                <w:sz w:val="21"/>
                <w:szCs w:val="21"/>
              </w:rPr>
            </w:pPr>
            <w:r>
              <w:rPr>
                <w:rFonts w:hint="eastAsia"/>
                <w:sz w:val="21"/>
                <w:szCs w:val="21"/>
                <w:lang w:val="zh-CN"/>
              </w:rPr>
              <w:t>妇女平等事务总统高级顾问办公室的两性问题观察站</w:t>
            </w:r>
          </w:p>
        </w:tc>
        <w:tc>
          <w:tcPr>
            <w:tcW w:w="5908" w:type="dxa"/>
            <w:tcBorders>
              <w:top w:val="single" w:sz="12" w:space="0" w:color="auto"/>
            </w:tcBorders>
            <w:shd w:val="clear" w:color="auto" w:fill="auto"/>
            <w:vAlign w:val="bottom"/>
          </w:tcPr>
          <w:p w:rsidR="00A83775" w:rsidRDefault="00A83775">
            <w:pPr>
              <w:pStyle w:val="a5"/>
              <w:spacing w:before="80" w:after="80" w:line="200" w:lineRule="atLeast"/>
              <w:ind w:left="113"/>
              <w:rPr>
                <w:sz w:val="21"/>
                <w:szCs w:val="21"/>
                <w:lang w:val="es-ES"/>
              </w:rPr>
            </w:pPr>
            <w:r>
              <w:rPr>
                <w:rFonts w:hint="eastAsia"/>
                <w:sz w:val="21"/>
                <w:szCs w:val="21"/>
                <w:lang w:val="zh-CN"/>
              </w:rPr>
              <w:t>收集和分析定性和定量辅助信息，以更大程度地了解在特定时期内在性别关系领域发生的变化。两性问题观察站与国家法律医学和法医学研究所、国家警察、国家统计局等机构建立了协作关系。</w:t>
            </w:r>
          </w:p>
          <w:p w:rsidR="00A83775" w:rsidRDefault="00A83775">
            <w:pPr>
              <w:pStyle w:val="a5"/>
              <w:spacing w:before="80" w:after="80" w:line="200" w:lineRule="atLeast"/>
              <w:ind w:left="113"/>
              <w:rPr>
                <w:sz w:val="21"/>
                <w:szCs w:val="21"/>
                <w:lang w:val="es-ES"/>
              </w:rPr>
            </w:pPr>
            <w:r>
              <w:rPr>
                <w:rFonts w:hint="eastAsia"/>
                <w:sz w:val="21"/>
                <w:szCs w:val="21"/>
                <w:lang w:val="zh-CN"/>
              </w:rPr>
              <w:t>推进开展了一项旨在以持续方式遵照国际标准对各项指标进行研究、设计和调整的程序。</w:t>
            </w:r>
            <w:r>
              <w:rPr>
                <w:rStyle w:val="FootnoteReference"/>
                <w:color w:val="auto"/>
                <w:szCs w:val="21"/>
                <w:lang w:val="zh-CN"/>
              </w:rPr>
              <w:footnoteReference w:id="52"/>
            </w:r>
            <w:r>
              <w:rPr>
                <w:sz w:val="21"/>
                <w:szCs w:val="21"/>
                <w:vertAlign w:val="superscript"/>
                <w:lang w:val="es-ES"/>
              </w:rPr>
              <w:t xml:space="preserve"> </w:t>
            </w:r>
          </w:p>
        </w:tc>
      </w:tr>
      <w:tr w:rsidR="00A83775">
        <w:trPr>
          <w:trHeight w:val="240"/>
        </w:trPr>
        <w:tc>
          <w:tcPr>
            <w:tcW w:w="1462" w:type="dxa"/>
            <w:shd w:val="clear" w:color="auto" w:fill="auto"/>
          </w:tcPr>
          <w:p w:rsidR="00A83775" w:rsidRDefault="00A83775">
            <w:pPr>
              <w:pStyle w:val="a5"/>
              <w:pageBreakBefore/>
              <w:spacing w:before="0" w:afterLines="120" w:line="320" w:lineRule="exact"/>
              <w:ind w:left="113"/>
              <w:rPr>
                <w:sz w:val="21"/>
                <w:szCs w:val="21"/>
              </w:rPr>
            </w:pPr>
            <w:r>
              <w:rPr>
                <w:rFonts w:hint="eastAsia"/>
                <w:sz w:val="21"/>
                <w:szCs w:val="21"/>
                <w:lang w:val="zh-CN"/>
              </w:rPr>
              <w:t>国家法律医学和法医学研究所</w:t>
            </w:r>
          </w:p>
        </w:tc>
        <w:tc>
          <w:tcPr>
            <w:tcW w:w="5908" w:type="dxa"/>
            <w:shd w:val="clear" w:color="auto" w:fill="auto"/>
          </w:tcPr>
          <w:p w:rsidR="00A83775" w:rsidRDefault="00A83775">
            <w:pPr>
              <w:pStyle w:val="a5"/>
              <w:spacing w:before="0" w:after="240" w:line="320" w:lineRule="exact"/>
              <w:ind w:left="113"/>
              <w:rPr>
                <w:rFonts w:hint="eastAsia"/>
                <w:sz w:val="21"/>
                <w:szCs w:val="21"/>
                <w:lang w:val="es-ES"/>
              </w:rPr>
            </w:pPr>
            <w:r>
              <w:rPr>
                <w:rFonts w:hint="eastAsia"/>
                <w:sz w:val="21"/>
                <w:szCs w:val="21"/>
                <w:lang w:val="zh-CN"/>
              </w:rPr>
              <w:t>自</w:t>
            </w:r>
            <w:r>
              <w:rPr>
                <w:sz w:val="21"/>
                <w:szCs w:val="21"/>
                <w:lang w:val="zh-CN"/>
              </w:rPr>
              <w:t>1999</w:t>
            </w:r>
            <w:r>
              <w:rPr>
                <w:rFonts w:hint="eastAsia"/>
                <w:sz w:val="21"/>
                <w:szCs w:val="21"/>
                <w:lang w:val="zh-CN"/>
              </w:rPr>
              <w:t>年以来，研究所在其网页</w:t>
            </w:r>
            <w:r>
              <w:rPr>
                <w:rStyle w:val="FootnoteReference"/>
                <w:szCs w:val="21"/>
                <w:lang w:val="zh-CN"/>
              </w:rPr>
              <w:footnoteReference w:id="53"/>
            </w:r>
            <w:r>
              <w:rPr>
                <w:sz w:val="21"/>
                <w:szCs w:val="21"/>
              </w:rPr>
              <w:t xml:space="preserve"> </w:t>
            </w:r>
            <w:r>
              <w:rPr>
                <w:rFonts w:hint="eastAsia"/>
                <w:sz w:val="21"/>
                <w:szCs w:val="21"/>
                <w:lang w:val="zh-CN"/>
              </w:rPr>
              <w:t>友情链接了相应的统计数据，按照性别分类介绍了暴力致死致伤的相关信息。</w:t>
            </w:r>
          </w:p>
          <w:p w:rsidR="00A83775" w:rsidRDefault="00A83775">
            <w:pPr>
              <w:pStyle w:val="a5"/>
              <w:ind w:left="113"/>
              <w:rPr>
                <w:sz w:val="21"/>
                <w:szCs w:val="21"/>
                <w:lang w:val="es-ES"/>
              </w:rPr>
            </w:pPr>
            <w:r>
              <w:rPr>
                <w:rFonts w:hint="eastAsia"/>
                <w:sz w:val="21"/>
                <w:szCs w:val="21"/>
                <w:lang w:val="zh-CN"/>
              </w:rPr>
              <w:t>每年在《</w:t>
            </w:r>
            <w:r>
              <w:rPr>
                <w:sz w:val="21"/>
                <w:szCs w:val="21"/>
                <w:lang w:val="zh-CN"/>
              </w:rPr>
              <w:t>FORENSIS</w:t>
            </w:r>
            <w:r>
              <w:rPr>
                <w:rFonts w:hint="eastAsia"/>
                <w:sz w:val="21"/>
                <w:szCs w:val="21"/>
                <w:lang w:val="zh-CN"/>
              </w:rPr>
              <w:t>（法医学）》杂志中发布与暴力致死相关的数据，</w:t>
            </w:r>
            <w:r>
              <w:rPr>
                <w:rStyle w:val="FootnoteReference"/>
                <w:color w:val="auto"/>
                <w:szCs w:val="21"/>
                <w:lang w:val="zh-CN"/>
              </w:rPr>
              <w:footnoteReference w:id="54"/>
            </w:r>
            <w:r>
              <w:rPr>
                <w:sz w:val="21"/>
                <w:szCs w:val="21"/>
              </w:rPr>
              <w:t xml:space="preserve"> </w:t>
            </w:r>
            <w:r>
              <w:rPr>
                <w:rFonts w:hint="eastAsia"/>
                <w:sz w:val="21"/>
                <w:szCs w:val="21"/>
                <w:lang w:val="zh-CN"/>
              </w:rPr>
              <w:t>在这一出版物中对由法医机关受理的各种形式的暴力行为（凶杀、自杀、性学专家报告、家庭内暴力、配偶间暴力，等等）的统计信息进行分析说明，作为巩固其专业活动的统计工作的结果。此类统计分析包含了对每一种暴力形式的人口社会学描述。</w:t>
            </w:r>
            <w:r>
              <w:rPr>
                <w:rStyle w:val="FootnoteReference"/>
                <w:szCs w:val="21"/>
                <w:lang w:val="zh-CN"/>
              </w:rPr>
              <w:footnoteReference w:id="55"/>
            </w:r>
            <w:r>
              <w:rPr>
                <w:rFonts w:hint="eastAsia"/>
                <w:sz w:val="21"/>
                <w:szCs w:val="21"/>
                <w:lang w:val="zh-CN"/>
              </w:rPr>
              <w:t xml:space="preserve"> </w:t>
            </w:r>
          </w:p>
          <w:p w:rsidR="00A83775" w:rsidRDefault="00A83775">
            <w:pPr>
              <w:pStyle w:val="a5"/>
              <w:spacing w:before="0" w:after="240" w:line="320" w:lineRule="exact"/>
              <w:ind w:left="113"/>
              <w:rPr>
                <w:sz w:val="21"/>
                <w:szCs w:val="21"/>
              </w:rPr>
            </w:pPr>
            <w:r>
              <w:rPr>
                <w:sz w:val="21"/>
                <w:szCs w:val="21"/>
                <w:lang w:val="zh-CN"/>
              </w:rPr>
              <w:t>2010</w:t>
            </w:r>
            <w:r>
              <w:rPr>
                <w:rFonts w:hint="eastAsia"/>
                <w:sz w:val="21"/>
                <w:szCs w:val="21"/>
                <w:lang w:val="zh-CN"/>
              </w:rPr>
              <w:t>年，发布了一份名为“以德报怨的妇女”的报告，内容涉及在</w:t>
            </w:r>
            <w:r>
              <w:rPr>
                <w:sz w:val="21"/>
                <w:szCs w:val="21"/>
                <w:lang w:val="zh-CN"/>
              </w:rPr>
              <w:t>2004-2008</w:t>
            </w:r>
            <w:r>
              <w:rPr>
                <w:rFonts w:hint="eastAsia"/>
                <w:sz w:val="21"/>
                <w:szCs w:val="21"/>
                <w:lang w:val="zh-CN"/>
              </w:rPr>
              <w:t>年期间对暴力侵害妇女行为的流行病学研究（本条附件</w:t>
            </w:r>
            <w:r>
              <w:rPr>
                <w:sz w:val="21"/>
                <w:szCs w:val="21"/>
                <w:lang w:val="zh-CN"/>
              </w:rPr>
              <w:t>4</w:t>
            </w:r>
            <w:r>
              <w:rPr>
                <w:rFonts w:hint="eastAsia"/>
                <w:sz w:val="21"/>
                <w:szCs w:val="21"/>
                <w:lang w:val="zh-CN"/>
              </w:rPr>
              <w:t>）。</w:t>
            </w:r>
          </w:p>
        </w:tc>
      </w:tr>
      <w:tr w:rsidR="00A83775">
        <w:trPr>
          <w:trHeight w:val="240"/>
        </w:trPr>
        <w:tc>
          <w:tcPr>
            <w:tcW w:w="1462" w:type="dxa"/>
            <w:shd w:val="clear" w:color="auto" w:fill="auto"/>
          </w:tcPr>
          <w:p w:rsidR="00A83775" w:rsidRDefault="00A83775">
            <w:pPr>
              <w:pStyle w:val="a5"/>
              <w:spacing w:before="0" w:afterLines="120" w:line="320" w:lineRule="exact"/>
              <w:ind w:left="113"/>
              <w:rPr>
                <w:sz w:val="21"/>
                <w:szCs w:val="21"/>
              </w:rPr>
            </w:pPr>
            <w:r>
              <w:rPr>
                <w:rFonts w:hint="eastAsia"/>
                <w:sz w:val="21"/>
                <w:szCs w:val="21"/>
                <w:lang w:val="zh-CN"/>
              </w:rPr>
              <w:t>国家警察</w:t>
            </w:r>
          </w:p>
        </w:tc>
        <w:tc>
          <w:tcPr>
            <w:tcW w:w="5908" w:type="dxa"/>
            <w:shd w:val="clear" w:color="auto" w:fill="auto"/>
          </w:tcPr>
          <w:p w:rsidR="00A83775" w:rsidRDefault="00A83775">
            <w:pPr>
              <w:pStyle w:val="a5"/>
              <w:spacing w:before="0" w:after="240" w:line="320" w:lineRule="exact"/>
              <w:ind w:left="113"/>
              <w:rPr>
                <w:spacing w:val="-2"/>
                <w:sz w:val="21"/>
                <w:szCs w:val="21"/>
                <w:lang w:val="es-ES"/>
              </w:rPr>
            </w:pPr>
            <w:r>
              <w:rPr>
                <w:rFonts w:hint="eastAsia"/>
                <w:spacing w:val="-2"/>
                <w:sz w:val="21"/>
                <w:szCs w:val="21"/>
                <w:lang w:val="zh-CN"/>
              </w:rPr>
              <w:t>通过司法警察署的犯罪学研究中心登记了用于衡量性别暴力的各项指标。</w:t>
            </w:r>
            <w:r>
              <w:rPr>
                <w:rStyle w:val="FootnoteReference"/>
                <w:color w:val="auto"/>
                <w:spacing w:val="-2"/>
                <w:szCs w:val="21"/>
                <w:lang w:val="zh-CN"/>
              </w:rPr>
              <w:footnoteReference w:id="56"/>
            </w:r>
          </w:p>
        </w:tc>
      </w:tr>
      <w:tr w:rsidR="00A83775">
        <w:trPr>
          <w:trHeight w:val="240"/>
        </w:trPr>
        <w:tc>
          <w:tcPr>
            <w:tcW w:w="1462" w:type="dxa"/>
            <w:shd w:val="clear" w:color="auto" w:fill="auto"/>
          </w:tcPr>
          <w:p w:rsidR="00A83775" w:rsidRDefault="00A83775">
            <w:pPr>
              <w:pStyle w:val="a5"/>
              <w:spacing w:before="0" w:afterLines="120" w:line="320" w:lineRule="exact"/>
              <w:ind w:left="113"/>
              <w:rPr>
                <w:sz w:val="21"/>
                <w:szCs w:val="21"/>
              </w:rPr>
            </w:pPr>
            <w:r>
              <w:rPr>
                <w:rFonts w:hint="eastAsia"/>
                <w:sz w:val="21"/>
                <w:szCs w:val="21"/>
                <w:lang w:val="zh-CN"/>
              </w:rPr>
              <w:t>国家总检察署</w:t>
            </w:r>
          </w:p>
        </w:tc>
        <w:tc>
          <w:tcPr>
            <w:tcW w:w="5908" w:type="dxa"/>
            <w:shd w:val="clear" w:color="auto" w:fill="auto"/>
          </w:tcPr>
          <w:p w:rsidR="00A83775" w:rsidRDefault="00A83775">
            <w:pPr>
              <w:pStyle w:val="a5"/>
              <w:spacing w:before="0" w:after="240" w:line="320" w:lineRule="exact"/>
              <w:ind w:left="113"/>
              <w:rPr>
                <w:sz w:val="21"/>
                <w:szCs w:val="21"/>
                <w:lang w:val="es-CO"/>
              </w:rPr>
            </w:pPr>
            <w:r>
              <w:rPr>
                <w:rFonts w:hint="eastAsia"/>
                <w:sz w:val="21"/>
                <w:szCs w:val="21"/>
                <w:lang w:val="zh-CN"/>
              </w:rPr>
              <w:t>根据</w:t>
            </w:r>
            <w:r>
              <w:rPr>
                <w:sz w:val="21"/>
                <w:szCs w:val="21"/>
                <w:lang w:val="zh-CN"/>
              </w:rPr>
              <w:t>2000</w:t>
            </w:r>
            <w:r>
              <w:rPr>
                <w:rFonts w:hint="eastAsia"/>
                <w:sz w:val="21"/>
                <w:szCs w:val="21"/>
                <w:lang w:val="zh-CN"/>
              </w:rPr>
              <w:t>年的第</w:t>
            </w:r>
            <w:r>
              <w:rPr>
                <w:sz w:val="21"/>
                <w:szCs w:val="21"/>
                <w:lang w:val="zh-CN"/>
              </w:rPr>
              <w:t>600</w:t>
            </w:r>
            <w:r>
              <w:rPr>
                <w:rFonts w:hint="eastAsia"/>
                <w:sz w:val="21"/>
                <w:szCs w:val="21"/>
                <w:lang w:val="zh-CN"/>
              </w:rPr>
              <w:t>号法（即原先的《刑事诉讼法》）和</w:t>
            </w:r>
            <w:r>
              <w:rPr>
                <w:sz w:val="21"/>
                <w:szCs w:val="21"/>
                <w:lang w:val="zh-CN"/>
              </w:rPr>
              <w:t>2004</w:t>
            </w:r>
            <w:r>
              <w:rPr>
                <w:rFonts w:hint="eastAsia"/>
                <w:sz w:val="21"/>
                <w:szCs w:val="21"/>
                <w:lang w:val="zh-CN"/>
              </w:rPr>
              <w:t>年的第</w:t>
            </w:r>
            <w:r>
              <w:rPr>
                <w:sz w:val="21"/>
                <w:szCs w:val="21"/>
                <w:lang w:val="zh-CN"/>
              </w:rPr>
              <w:t>906</w:t>
            </w:r>
            <w:r>
              <w:rPr>
                <w:rFonts w:hint="eastAsia"/>
                <w:sz w:val="21"/>
                <w:szCs w:val="21"/>
                <w:lang w:val="zh-CN"/>
              </w:rPr>
              <w:t>号法（即现在的《刑事诉讼法》）设定的研究体系对开展的研究进行登记，以便对受害人为妇女和女童的研究进行分析。</w:t>
            </w:r>
            <w:r>
              <w:rPr>
                <w:rStyle w:val="FootnoteReference"/>
                <w:color w:val="auto"/>
                <w:szCs w:val="21"/>
                <w:lang w:val="zh-CN"/>
              </w:rPr>
              <w:footnoteReference w:id="57"/>
            </w:r>
            <w:r>
              <w:rPr>
                <w:sz w:val="21"/>
                <w:szCs w:val="21"/>
                <w:lang w:val="es-ES"/>
              </w:rPr>
              <w:t xml:space="preserve"> </w:t>
            </w:r>
          </w:p>
        </w:tc>
      </w:tr>
      <w:tr w:rsidR="00A83775">
        <w:trPr>
          <w:trHeight w:val="240"/>
        </w:trPr>
        <w:tc>
          <w:tcPr>
            <w:tcW w:w="1462" w:type="dxa"/>
            <w:shd w:val="clear" w:color="auto" w:fill="auto"/>
          </w:tcPr>
          <w:p w:rsidR="00A83775" w:rsidRDefault="00A83775">
            <w:pPr>
              <w:pStyle w:val="a5"/>
              <w:spacing w:before="0" w:afterLines="120" w:line="320" w:lineRule="exact"/>
              <w:ind w:left="113"/>
              <w:rPr>
                <w:sz w:val="21"/>
                <w:szCs w:val="21"/>
              </w:rPr>
            </w:pPr>
            <w:r>
              <w:rPr>
                <w:rFonts w:hint="eastAsia"/>
                <w:sz w:val="21"/>
                <w:szCs w:val="21"/>
                <w:lang w:val="zh-CN"/>
              </w:rPr>
              <w:t>社会保障部</w:t>
            </w:r>
          </w:p>
        </w:tc>
        <w:tc>
          <w:tcPr>
            <w:tcW w:w="5908" w:type="dxa"/>
            <w:shd w:val="clear" w:color="auto" w:fill="auto"/>
          </w:tcPr>
          <w:p w:rsidR="00A83775" w:rsidRDefault="00A83775">
            <w:pPr>
              <w:pStyle w:val="a5"/>
              <w:spacing w:before="0" w:after="240" w:line="320" w:lineRule="exact"/>
              <w:ind w:left="113"/>
              <w:rPr>
                <w:sz w:val="21"/>
                <w:szCs w:val="21"/>
                <w:lang w:val="es-ES"/>
              </w:rPr>
            </w:pPr>
            <w:r>
              <w:rPr>
                <w:rFonts w:hint="eastAsia"/>
                <w:sz w:val="21"/>
                <w:szCs w:val="21"/>
                <w:lang w:val="zh-CN"/>
              </w:rPr>
              <w:t>创建了各类信息系统，包括根据国际标准汇集了各类与社会保障相关信息的社会保障总体系，以及公共卫生监测体系，该体系汇集了与外部原因造成的暴力和伤害，包括在妇女的生活圈中发生的暴力侵害妇女行为的相关信息。</w:t>
            </w:r>
            <w:r>
              <w:rPr>
                <w:rStyle w:val="FootnoteReference"/>
                <w:color w:val="auto"/>
                <w:szCs w:val="21"/>
                <w:lang w:val="zh-CN"/>
              </w:rPr>
              <w:footnoteReference w:id="58"/>
            </w:r>
          </w:p>
          <w:p w:rsidR="00A83775" w:rsidRDefault="00A83775">
            <w:pPr>
              <w:pStyle w:val="a5"/>
              <w:spacing w:before="0" w:after="240" w:line="320" w:lineRule="exact"/>
              <w:ind w:left="113"/>
              <w:rPr>
                <w:sz w:val="21"/>
                <w:szCs w:val="21"/>
                <w:lang w:val="es-ES"/>
              </w:rPr>
            </w:pPr>
            <w:r>
              <w:rPr>
                <w:rFonts w:hint="eastAsia"/>
                <w:sz w:val="21"/>
                <w:szCs w:val="21"/>
                <w:lang w:val="zh-CN"/>
              </w:rPr>
              <w:t>全国人口和卫生普查。由哥伦比亚家庭促进协会在社会保障部和美国国际开发署的资助下开展。其目的是获取与性健康和生殖健康国家政策相应目标有关的涉及人口统计和卫生保健的最新信息。普查自</w:t>
            </w:r>
            <w:r>
              <w:rPr>
                <w:sz w:val="21"/>
                <w:szCs w:val="21"/>
                <w:lang w:val="zh-CN"/>
              </w:rPr>
              <w:t>1990</w:t>
            </w:r>
            <w:r>
              <w:rPr>
                <w:rFonts w:hint="eastAsia"/>
                <w:sz w:val="21"/>
                <w:szCs w:val="21"/>
                <w:lang w:val="zh-CN"/>
              </w:rPr>
              <w:t>年以来每五年开展一次，旨在收集育龄妇女的健康状况、生育史和家庭环境有关的信息。</w:t>
            </w:r>
            <w:r>
              <w:rPr>
                <w:rStyle w:val="FootnoteReference"/>
                <w:color w:val="auto"/>
                <w:szCs w:val="21"/>
                <w:lang w:val="zh-CN"/>
              </w:rPr>
              <w:footnoteReference w:id="59"/>
            </w:r>
            <w:r>
              <w:rPr>
                <w:sz w:val="21"/>
                <w:szCs w:val="21"/>
                <w:lang w:val="es-ES"/>
              </w:rPr>
              <w:t xml:space="preserve"> </w:t>
            </w:r>
          </w:p>
        </w:tc>
      </w:tr>
      <w:tr w:rsidR="00A83775">
        <w:trPr>
          <w:trHeight w:val="240"/>
        </w:trPr>
        <w:tc>
          <w:tcPr>
            <w:tcW w:w="1462" w:type="dxa"/>
            <w:tcBorders>
              <w:bottom w:val="single" w:sz="12" w:space="0" w:color="auto"/>
            </w:tcBorders>
            <w:shd w:val="clear" w:color="auto" w:fill="auto"/>
          </w:tcPr>
          <w:p w:rsidR="00A83775" w:rsidRDefault="00A83775">
            <w:pPr>
              <w:pStyle w:val="a5"/>
              <w:spacing w:before="0" w:afterLines="120" w:line="320" w:lineRule="exact"/>
              <w:ind w:left="113"/>
              <w:rPr>
                <w:sz w:val="21"/>
                <w:szCs w:val="21"/>
              </w:rPr>
            </w:pPr>
            <w:r>
              <w:rPr>
                <w:rFonts w:hint="eastAsia"/>
                <w:sz w:val="21"/>
                <w:szCs w:val="21"/>
                <w:lang w:val="zh-CN"/>
              </w:rPr>
              <w:t>共和国副总统办公室人权和人道主义法观察站</w:t>
            </w:r>
          </w:p>
        </w:tc>
        <w:tc>
          <w:tcPr>
            <w:tcW w:w="5908" w:type="dxa"/>
            <w:tcBorders>
              <w:bottom w:val="single" w:sz="12" w:space="0" w:color="auto"/>
            </w:tcBorders>
            <w:shd w:val="clear" w:color="auto" w:fill="auto"/>
          </w:tcPr>
          <w:p w:rsidR="00A83775" w:rsidRDefault="00A83775">
            <w:pPr>
              <w:pStyle w:val="a5"/>
              <w:spacing w:before="0" w:after="240" w:line="320" w:lineRule="exact"/>
              <w:ind w:left="113"/>
              <w:rPr>
                <w:sz w:val="21"/>
                <w:szCs w:val="21"/>
                <w:lang w:val="es-ES"/>
              </w:rPr>
            </w:pPr>
            <w:r>
              <w:rPr>
                <w:rFonts w:hint="eastAsia"/>
                <w:sz w:val="21"/>
                <w:szCs w:val="21"/>
                <w:lang w:val="zh-CN"/>
              </w:rPr>
              <w:t>收集与侵犯人权有关的信息并按性别进行分列</w:t>
            </w:r>
            <w:r>
              <w:rPr>
                <w:rStyle w:val="FootnoteReference"/>
                <w:color w:val="auto"/>
                <w:szCs w:val="21"/>
                <w:lang w:val="zh-CN"/>
              </w:rPr>
              <w:footnoteReference w:id="60"/>
            </w:r>
            <w:r>
              <w:rPr>
                <w:rFonts w:hint="eastAsia"/>
                <w:sz w:val="21"/>
                <w:szCs w:val="21"/>
                <w:lang w:val="zh-CN"/>
              </w:rPr>
              <w:t>。</w:t>
            </w:r>
            <w:r>
              <w:rPr>
                <w:sz w:val="21"/>
                <w:szCs w:val="21"/>
                <w:lang w:val="zh-CN"/>
              </w:rPr>
              <w:t>2010</w:t>
            </w:r>
            <w:r>
              <w:rPr>
                <w:rFonts w:hint="eastAsia"/>
                <w:sz w:val="21"/>
                <w:szCs w:val="21"/>
                <w:lang w:val="zh-CN"/>
              </w:rPr>
              <w:t>年，制定了一份介绍性的文件，首次深入介绍了在</w:t>
            </w:r>
            <w:r>
              <w:rPr>
                <w:sz w:val="21"/>
                <w:szCs w:val="21"/>
                <w:lang w:val="zh-CN"/>
              </w:rPr>
              <w:t>2003-2009</w:t>
            </w:r>
            <w:r>
              <w:rPr>
                <w:rFonts w:hint="eastAsia"/>
                <w:sz w:val="21"/>
                <w:szCs w:val="21"/>
                <w:lang w:val="zh-CN"/>
              </w:rPr>
              <w:t>年期间、</w:t>
            </w:r>
            <w:r>
              <w:rPr>
                <w:sz w:val="21"/>
                <w:szCs w:val="21"/>
                <w:lang w:val="zh-CN"/>
              </w:rPr>
              <w:t>2009</w:t>
            </w:r>
            <w:r>
              <w:rPr>
                <w:rFonts w:hint="eastAsia"/>
                <w:sz w:val="21"/>
                <w:szCs w:val="21"/>
                <w:lang w:val="zh-CN"/>
              </w:rPr>
              <w:t>年前几个月以及</w:t>
            </w:r>
            <w:r>
              <w:rPr>
                <w:sz w:val="21"/>
                <w:szCs w:val="21"/>
                <w:lang w:val="zh-CN"/>
              </w:rPr>
              <w:t>2010</w:t>
            </w:r>
            <w:r>
              <w:rPr>
                <w:rFonts w:hint="eastAsia"/>
                <w:sz w:val="21"/>
                <w:szCs w:val="21"/>
                <w:lang w:val="zh-CN"/>
              </w:rPr>
              <w:t>年国内的暴力行为对妇女造成了怎样的伤害，但并没有确立暴力和性别之间的因果关系。（更多信息参见下文）。</w:t>
            </w:r>
          </w:p>
        </w:tc>
      </w:tr>
    </w:tbl>
    <w:p w:rsidR="00A83775" w:rsidRDefault="00A83775">
      <w:pPr>
        <w:pStyle w:val="SingleTxtGC"/>
        <w:spacing w:before="240"/>
        <w:rPr>
          <w:lang w:val="es-ES"/>
        </w:rPr>
      </w:pPr>
      <w:r>
        <w:rPr>
          <w:lang w:val="es-ES"/>
        </w:rPr>
        <w:t xml:space="preserve">107.  </w:t>
      </w:r>
      <w:r>
        <w:rPr>
          <w:rFonts w:hint="eastAsia"/>
          <w:lang w:val="zh-CN"/>
        </w:rPr>
        <w:t>通过上述举措，各机构已经加强了对与基于性别原因的暴力行为有关的信息进行登记、生成和分析的能力。</w:t>
      </w:r>
    </w:p>
    <w:p w:rsidR="00A83775" w:rsidRDefault="00A83775">
      <w:pPr>
        <w:pStyle w:val="SingleTxtGC"/>
        <w:rPr>
          <w:lang w:val="zh-CN"/>
        </w:rPr>
      </w:pPr>
      <w:r>
        <w:rPr>
          <w:lang w:val="es-CO"/>
        </w:rPr>
        <w:t xml:space="preserve">108.  </w:t>
      </w:r>
      <w:r>
        <w:rPr>
          <w:rFonts w:hint="eastAsia"/>
          <w:lang w:val="zh-CN"/>
        </w:rPr>
        <w:t>妇女平等事务总统高级顾问办公室下属的两性问题观察站报告的数字对各种形式的暴力侵害妇女行为进行了说明。接下来将简要介绍与身体暴力、性暴力和心理暴力有关的较具代表性的数据。（欲了解更多信息，请参看本报告所附的表格和图表，其中对下列各项指标逐一进行了说明）。</w:t>
      </w:r>
    </w:p>
    <w:p w:rsidR="00A83775" w:rsidRDefault="00A83775">
      <w:pPr>
        <w:pStyle w:val="SingleTxtGC"/>
        <w:rPr>
          <w:rFonts w:hint="eastAsia"/>
          <w:b/>
        </w:rPr>
      </w:pPr>
      <w:r>
        <w:rPr>
          <w:lang w:val="zh-CN"/>
        </w:rPr>
        <w:t xml:space="preserve">109.  </w:t>
      </w:r>
      <w:r>
        <w:rPr>
          <w:rFonts w:hint="eastAsia"/>
          <w:lang w:val="zh-CN"/>
        </w:rPr>
        <w:t>在配偶间的身体暴力方面，国家法律医学和法医学研究所的数据显示，自</w:t>
      </w:r>
      <w:r>
        <w:rPr>
          <w:lang w:val="zh-CN"/>
        </w:rPr>
        <w:t>2006</w:t>
      </w:r>
      <w:r>
        <w:rPr>
          <w:rFonts w:hint="eastAsia"/>
          <w:lang w:val="zh-CN"/>
        </w:rPr>
        <w:t>年以来配偶间身体暴力的受害者多为妇女，且一直维持着这一趋势；仅在</w:t>
      </w:r>
      <w:r>
        <w:rPr>
          <w:lang w:val="zh-CN"/>
        </w:rPr>
        <w:t>2010</w:t>
      </w:r>
      <w:r>
        <w:rPr>
          <w:rFonts w:hint="eastAsia"/>
          <w:lang w:val="zh-CN"/>
        </w:rPr>
        <w:t>年一年内受理的</w:t>
      </w:r>
      <w:r>
        <w:rPr>
          <w:lang w:val="zh-CN"/>
        </w:rPr>
        <w:t>51</w:t>
      </w:r>
      <w:r>
        <w:t>,</w:t>
      </w:r>
      <w:r>
        <w:rPr>
          <w:lang w:val="zh-CN"/>
        </w:rPr>
        <w:t>430</w:t>
      </w:r>
      <w:r>
        <w:rPr>
          <w:rFonts w:hint="eastAsia"/>
          <w:lang w:val="zh-CN"/>
        </w:rPr>
        <w:t>例配偶间暴力虐待案件中，</w:t>
      </w:r>
      <w:r>
        <w:rPr>
          <w:lang w:val="zh-CN"/>
        </w:rPr>
        <w:t>45</w:t>
      </w:r>
      <w:r>
        <w:t>,</w:t>
      </w:r>
      <w:r>
        <w:rPr>
          <w:lang w:val="zh-CN"/>
        </w:rPr>
        <w:t>389</w:t>
      </w:r>
      <w:r>
        <w:rPr>
          <w:rFonts w:hint="eastAsia"/>
          <w:lang w:val="zh-CN"/>
        </w:rPr>
        <w:t>例的施暴对象为妇女。而在此类案件中男性作为受害者的案例数量较少，仅为</w:t>
      </w:r>
      <w:r>
        <w:rPr>
          <w:lang w:val="zh-CN"/>
        </w:rPr>
        <w:t>6</w:t>
      </w:r>
      <w:r>
        <w:t>,</w:t>
      </w:r>
      <w:r>
        <w:rPr>
          <w:lang w:val="zh-CN"/>
        </w:rPr>
        <w:t>041</w:t>
      </w:r>
      <w:r>
        <w:rPr>
          <w:rFonts w:hint="eastAsia"/>
          <w:lang w:val="zh-CN"/>
        </w:rPr>
        <w:t>例，与前面的数字形成了鲜明的对比。但是，正如在前文中提到的，法医学会受理的案件数字也向我们显示，近年来案发数量正在不断增加。本条的附件</w:t>
      </w:r>
      <w:r>
        <w:rPr>
          <w:lang w:val="zh-CN"/>
        </w:rPr>
        <w:t>5</w:t>
      </w:r>
      <w:r>
        <w:rPr>
          <w:rFonts w:hint="eastAsia"/>
          <w:lang w:val="zh-CN"/>
        </w:rPr>
        <w:t>中就包含了这些年来的详细案件信息以及最为典型的案例。</w:t>
      </w:r>
    </w:p>
    <w:p w:rsidR="00A83775" w:rsidRDefault="00A83775">
      <w:pPr>
        <w:pStyle w:val="SingleTxtGC"/>
        <w:rPr>
          <w:lang w:val="zh-CN"/>
        </w:rPr>
      </w:pPr>
      <w:r>
        <w:rPr>
          <w:lang w:val="es-ES"/>
        </w:rPr>
        <w:t xml:space="preserve">110.  </w:t>
      </w:r>
      <w:r>
        <w:rPr>
          <w:rFonts w:hint="eastAsia"/>
          <w:lang w:val="zh-CN"/>
        </w:rPr>
        <w:t>而</w:t>
      </w:r>
      <w:r>
        <w:rPr>
          <w:lang w:val="zh-CN"/>
        </w:rPr>
        <w:t>2010</w:t>
      </w:r>
      <w:r>
        <w:rPr>
          <w:rFonts w:hint="eastAsia"/>
          <w:lang w:val="zh-CN"/>
        </w:rPr>
        <w:t>年全国人口和卫生普查结果显示，</w:t>
      </w:r>
      <w:r>
        <w:rPr>
          <w:rFonts w:eastAsia="SimHei" w:hint="eastAsia"/>
          <w:lang w:val="zh-CN"/>
        </w:rPr>
        <w:t>有过婚史或同居经历的妇女中，</w:t>
      </w:r>
      <w:r>
        <w:rPr>
          <w:rFonts w:eastAsia="SimHei"/>
          <w:lang w:val="zh-CN"/>
        </w:rPr>
        <w:t>37%</w:t>
      </w:r>
      <w:r>
        <w:rPr>
          <w:rFonts w:eastAsia="SimHei" w:hint="eastAsia"/>
          <w:lang w:val="zh-CN"/>
        </w:rPr>
        <w:t>曾经遭受过其丈夫或同居伴侣的人身侵害</w:t>
      </w:r>
      <w:r>
        <w:rPr>
          <w:rFonts w:hint="eastAsia"/>
          <w:lang w:val="zh-CN"/>
        </w:rPr>
        <w:t>。与</w:t>
      </w:r>
      <w:r>
        <w:rPr>
          <w:lang w:val="zh-CN"/>
        </w:rPr>
        <w:t>2005</w:t>
      </w:r>
      <w:r>
        <w:rPr>
          <w:rFonts w:hint="eastAsia"/>
          <w:lang w:val="zh-CN"/>
        </w:rPr>
        <w:t>年全国人口和卫生普查结果相比，下降了</w:t>
      </w:r>
      <w:r>
        <w:rPr>
          <w:lang w:val="zh-CN"/>
        </w:rPr>
        <w:t>2</w:t>
      </w:r>
      <w:r>
        <w:rPr>
          <w:rFonts w:hint="eastAsia"/>
          <w:lang w:val="zh-CN"/>
        </w:rPr>
        <w:t>个百分点。特别需要注意的是，在侵害类型方面，由受害妇女的丈夫或同居伴侣实施的性暴力所占比例在</w:t>
      </w:r>
      <w:r>
        <w:rPr>
          <w:lang w:val="zh-CN"/>
        </w:rPr>
        <w:t>2005</w:t>
      </w:r>
      <w:r>
        <w:rPr>
          <w:rFonts w:hint="eastAsia"/>
          <w:lang w:val="zh-CN"/>
        </w:rPr>
        <w:t>至</w:t>
      </w:r>
      <w:r>
        <w:rPr>
          <w:lang w:val="zh-CN"/>
        </w:rPr>
        <w:t>2010</w:t>
      </w:r>
      <w:r>
        <w:rPr>
          <w:rFonts w:hint="eastAsia"/>
          <w:lang w:val="zh-CN"/>
        </w:rPr>
        <w:t>年期间下降了</w:t>
      </w:r>
      <w:r>
        <w:rPr>
          <w:lang w:val="zh-CN"/>
        </w:rPr>
        <w:t>2</w:t>
      </w:r>
      <w:r>
        <w:rPr>
          <w:rFonts w:hint="eastAsia"/>
          <w:lang w:val="zh-CN"/>
        </w:rPr>
        <w:t>个百分点，从</w:t>
      </w:r>
      <w:r>
        <w:rPr>
          <w:lang w:val="zh-CN"/>
        </w:rPr>
        <w:t>11.5%</w:t>
      </w:r>
      <w:r>
        <w:rPr>
          <w:rFonts w:hint="eastAsia"/>
          <w:lang w:val="zh-CN"/>
        </w:rPr>
        <w:t>降至</w:t>
      </w:r>
      <w:r>
        <w:rPr>
          <w:lang w:val="zh-CN"/>
        </w:rPr>
        <w:t>9.7%</w:t>
      </w:r>
      <w:r>
        <w:rPr>
          <w:rFonts w:hint="eastAsia"/>
          <w:lang w:val="zh-CN"/>
        </w:rPr>
        <w:t>。尽管如此，由男方实施的性暴力所占比例仍然很高。</w:t>
      </w:r>
    </w:p>
    <w:p w:rsidR="00A83775" w:rsidRDefault="00A83775">
      <w:pPr>
        <w:pStyle w:val="SingleTxtGC"/>
        <w:rPr>
          <w:lang w:val="es-ES"/>
        </w:rPr>
      </w:pPr>
      <w:r>
        <w:rPr>
          <w:lang w:val="zh-CN"/>
        </w:rPr>
        <w:t xml:space="preserve">111.  </w:t>
      </w:r>
      <w:r>
        <w:rPr>
          <w:rFonts w:hint="eastAsia"/>
          <w:lang w:val="zh-CN"/>
        </w:rPr>
        <w:t>而在</w:t>
      </w:r>
      <w:r>
        <w:rPr>
          <w:rFonts w:eastAsia="SimHei" w:hint="eastAsia"/>
          <w:lang w:val="zh-CN"/>
        </w:rPr>
        <w:t>由配偶以外的其他人员实施的人身侵害方面，全国人口和卫生普查结果显示，受访妇女中有</w:t>
      </w:r>
      <w:r>
        <w:rPr>
          <w:rFonts w:eastAsia="SimHei"/>
          <w:lang w:val="zh-CN"/>
        </w:rPr>
        <w:t>14%</w:t>
      </w:r>
      <w:r>
        <w:rPr>
          <w:rFonts w:eastAsia="SimHei" w:hint="eastAsia"/>
          <w:lang w:val="zh-CN"/>
        </w:rPr>
        <w:t>表示其曾经遭受过丈夫或配偶以外的其他人员实施的人身侵害</w:t>
      </w:r>
      <w:r>
        <w:rPr>
          <w:rFonts w:hint="eastAsia"/>
          <w:lang w:val="zh-CN"/>
        </w:rPr>
        <w:t>。正如在</w:t>
      </w:r>
      <w:r>
        <w:rPr>
          <w:lang w:val="zh-CN"/>
        </w:rPr>
        <w:t>2010</w:t>
      </w:r>
      <w:r>
        <w:rPr>
          <w:rFonts w:hint="eastAsia"/>
          <w:lang w:val="zh-CN"/>
        </w:rPr>
        <w:t>年全国人口和卫生普查的分析中所指出的，这一比例与</w:t>
      </w:r>
      <w:r>
        <w:rPr>
          <w:lang w:val="zh-CN"/>
        </w:rPr>
        <w:t>2005</w:t>
      </w:r>
      <w:r>
        <w:rPr>
          <w:rFonts w:hint="eastAsia"/>
          <w:lang w:val="zh-CN"/>
        </w:rPr>
        <w:t>年的普查数据相比下降了</w:t>
      </w:r>
      <w:r>
        <w:rPr>
          <w:lang w:val="zh-CN"/>
        </w:rPr>
        <w:t>2</w:t>
      </w:r>
      <w:r>
        <w:rPr>
          <w:rFonts w:hint="eastAsia"/>
          <w:lang w:val="zh-CN"/>
        </w:rPr>
        <w:t>个百分点。对妇女施加暴力的人员大多为：前夫或前任配偶（</w:t>
      </w:r>
      <w:r>
        <w:rPr>
          <w:lang w:val="zh-CN"/>
        </w:rPr>
        <w:t>35%</w:t>
      </w:r>
      <w:r>
        <w:rPr>
          <w:rFonts w:hint="eastAsia"/>
          <w:lang w:val="zh-CN"/>
        </w:rPr>
        <w:t>），受害妇女的父母（</w:t>
      </w:r>
      <w:r>
        <w:rPr>
          <w:lang w:val="zh-CN"/>
        </w:rPr>
        <w:t>20%</w:t>
      </w:r>
      <w:r>
        <w:rPr>
          <w:rFonts w:hint="eastAsia"/>
          <w:lang w:val="zh-CN"/>
        </w:rPr>
        <w:t>），受害妇女的其他亲属（</w:t>
      </w:r>
      <w:r>
        <w:rPr>
          <w:lang w:val="zh-CN"/>
        </w:rPr>
        <w:t>16%</w:t>
      </w:r>
      <w:r>
        <w:rPr>
          <w:rFonts w:hint="eastAsia"/>
          <w:lang w:val="zh-CN"/>
        </w:rPr>
        <w:t>），前任男友（</w:t>
      </w:r>
      <w:r>
        <w:rPr>
          <w:lang w:val="zh-CN"/>
        </w:rPr>
        <w:t>14%</w:t>
      </w:r>
      <w:r>
        <w:rPr>
          <w:rFonts w:hint="eastAsia"/>
          <w:lang w:val="zh-CN"/>
        </w:rPr>
        <w:t>）。这些数据反映出，即使婚姻</w:t>
      </w:r>
      <w:r>
        <w:rPr>
          <w:lang w:val="zh-CN"/>
        </w:rPr>
        <w:t>/</w:t>
      </w:r>
      <w:r>
        <w:rPr>
          <w:rFonts w:hint="eastAsia"/>
          <w:lang w:val="zh-CN"/>
        </w:rPr>
        <w:t>同居关系已经结束，但是前任丈夫</w:t>
      </w:r>
      <w:r>
        <w:rPr>
          <w:lang w:val="zh-CN"/>
        </w:rPr>
        <w:t>/</w:t>
      </w:r>
      <w:r>
        <w:rPr>
          <w:rFonts w:hint="eastAsia"/>
          <w:lang w:val="zh-CN"/>
        </w:rPr>
        <w:t>配偶仍是最具施暴威胁者这一事实。</w:t>
      </w:r>
    </w:p>
    <w:p w:rsidR="00A83775" w:rsidRDefault="00A83775">
      <w:pPr>
        <w:pStyle w:val="SingleTxtGC"/>
        <w:rPr>
          <w:lang w:val="zh-CN"/>
        </w:rPr>
      </w:pPr>
      <w:r>
        <w:rPr>
          <w:lang w:val="es-ES"/>
        </w:rPr>
        <w:t xml:space="preserve">112.  </w:t>
      </w:r>
      <w:r>
        <w:rPr>
          <w:rFonts w:hint="eastAsia"/>
          <w:lang w:val="zh-CN"/>
        </w:rPr>
        <w:t>国家法律医学和法医学研究所提供的与性暴力有关的信息显示，自</w:t>
      </w:r>
      <w:r>
        <w:rPr>
          <w:lang w:val="zh-CN"/>
        </w:rPr>
        <w:t>2007</w:t>
      </w:r>
      <w:r>
        <w:rPr>
          <w:rFonts w:hint="eastAsia"/>
          <w:lang w:val="zh-CN"/>
        </w:rPr>
        <w:t>年以来，与男性相比，妇女更易遭受性暴力的侵害。仅在</w:t>
      </w:r>
      <w:r>
        <w:rPr>
          <w:lang w:val="zh-CN"/>
        </w:rPr>
        <w:t>2010</w:t>
      </w:r>
      <w:r>
        <w:rPr>
          <w:rFonts w:hint="eastAsia"/>
          <w:lang w:val="zh-CN"/>
        </w:rPr>
        <w:t>年，针对妇女实施的性暴力案件为</w:t>
      </w:r>
      <w:r>
        <w:rPr>
          <w:lang w:val="zh-CN"/>
        </w:rPr>
        <w:t>15</w:t>
      </w:r>
      <w:r>
        <w:t>,</w:t>
      </w:r>
      <w:r>
        <w:rPr>
          <w:lang w:val="zh-CN"/>
        </w:rPr>
        <w:t>191</w:t>
      </w:r>
      <w:r>
        <w:rPr>
          <w:rFonts w:hint="eastAsia"/>
          <w:lang w:val="zh-CN"/>
        </w:rPr>
        <w:t>起，而针对男性实施的案件为</w:t>
      </w:r>
      <w:r>
        <w:rPr>
          <w:lang w:val="zh-CN"/>
        </w:rPr>
        <w:t>2</w:t>
      </w:r>
      <w:r>
        <w:t>,</w:t>
      </w:r>
      <w:r>
        <w:rPr>
          <w:lang w:val="zh-CN"/>
        </w:rPr>
        <w:t>938</w:t>
      </w:r>
      <w:r>
        <w:rPr>
          <w:rFonts w:hint="eastAsia"/>
          <w:lang w:val="zh-CN"/>
        </w:rPr>
        <w:t>起。</w:t>
      </w:r>
      <w:r>
        <w:rPr>
          <w:vertAlign w:val="superscript"/>
          <w:lang w:val="zh-CN"/>
        </w:rPr>
        <w:footnoteReference w:id="61"/>
      </w:r>
    </w:p>
    <w:p w:rsidR="00A83775" w:rsidRDefault="00A83775">
      <w:pPr>
        <w:pStyle w:val="SingleTxtGC"/>
        <w:rPr>
          <w:lang w:val="es-ES"/>
        </w:rPr>
      </w:pPr>
      <w:r>
        <w:rPr>
          <w:lang w:val="zh-CN"/>
        </w:rPr>
        <w:t xml:space="preserve">113.  </w:t>
      </w:r>
      <w:r>
        <w:rPr>
          <w:rFonts w:hint="eastAsia"/>
          <w:lang w:val="zh-CN"/>
        </w:rPr>
        <w:t>同样，</w:t>
      </w:r>
      <w:r>
        <w:rPr>
          <w:rFonts w:eastAsia="SimHei" w:hint="eastAsia"/>
          <w:lang w:val="zh-CN"/>
        </w:rPr>
        <w:t>在</w:t>
      </w:r>
      <w:r>
        <w:rPr>
          <w:rFonts w:eastAsia="SimHei"/>
          <w:lang w:val="zh-CN"/>
        </w:rPr>
        <w:t>2010</w:t>
      </w:r>
      <w:r>
        <w:rPr>
          <w:rFonts w:eastAsia="SimHei" w:hint="eastAsia"/>
          <w:lang w:val="zh-CN"/>
        </w:rPr>
        <w:t>年对妇女的施暴行为大多发生在家庭场合中。在这方面，遭受家人（继父、父亲、叔伯兄弟等等）暴力虐待的受害妇女数量为</w:t>
      </w:r>
      <w:r>
        <w:rPr>
          <w:rFonts w:eastAsia="SimHei"/>
          <w:lang w:val="zh-CN"/>
        </w:rPr>
        <w:t>5</w:t>
      </w:r>
      <w:r>
        <w:rPr>
          <w:rFonts w:eastAsia="SimHei"/>
        </w:rPr>
        <w:t>,</w:t>
      </w:r>
      <w:r>
        <w:rPr>
          <w:rFonts w:eastAsia="SimHei"/>
          <w:lang w:val="zh-CN"/>
        </w:rPr>
        <w:t>4</w:t>
      </w:r>
      <w:r>
        <w:rPr>
          <w:rFonts w:eastAsia="SimHei" w:hint="eastAsia"/>
          <w:lang w:val="zh-CN"/>
        </w:rPr>
        <w:t>8</w:t>
      </w:r>
      <w:r>
        <w:rPr>
          <w:rFonts w:eastAsia="SimHei"/>
          <w:lang w:val="zh-CN"/>
        </w:rPr>
        <w:t>2</w:t>
      </w:r>
      <w:r>
        <w:rPr>
          <w:rFonts w:eastAsia="SimHei" w:hint="eastAsia"/>
          <w:lang w:val="zh-CN"/>
        </w:rPr>
        <w:t>人，而受害男子的数量为</w:t>
      </w:r>
      <w:r>
        <w:rPr>
          <w:rFonts w:eastAsia="SimHei"/>
          <w:lang w:val="zh-CN"/>
        </w:rPr>
        <w:t>1</w:t>
      </w:r>
      <w:r>
        <w:rPr>
          <w:rFonts w:eastAsia="SimHei"/>
        </w:rPr>
        <w:t>,</w:t>
      </w:r>
      <w:r>
        <w:rPr>
          <w:rFonts w:eastAsia="SimHei"/>
          <w:lang w:val="zh-CN"/>
        </w:rPr>
        <w:t>003</w:t>
      </w:r>
      <w:r>
        <w:rPr>
          <w:rFonts w:eastAsia="SimHei" w:hint="eastAsia"/>
          <w:lang w:val="zh-CN"/>
        </w:rPr>
        <w:t>人</w:t>
      </w:r>
      <w:r>
        <w:rPr>
          <w:rFonts w:hint="eastAsia"/>
          <w:lang w:val="zh-CN"/>
        </w:rPr>
        <w:t>。另一方面，可以看出除家庭成员实施的性暴力外，性暴力案件施暴者中“其他熟人”类人员（邻居、老师、房东、供货商等等）排在第二位。</w:t>
      </w:r>
      <w:r>
        <w:rPr>
          <w:lang w:val="zh-CN"/>
        </w:rPr>
        <w:t>2010</w:t>
      </w:r>
      <w:r>
        <w:rPr>
          <w:rFonts w:hint="eastAsia"/>
          <w:lang w:val="zh-CN"/>
        </w:rPr>
        <w:t>年发生的此类强奸妇女案件总数为</w:t>
      </w:r>
      <w:r>
        <w:rPr>
          <w:lang w:val="zh-CN"/>
        </w:rPr>
        <w:t>3</w:t>
      </w:r>
      <w:r>
        <w:t>,</w:t>
      </w:r>
      <w:r>
        <w:rPr>
          <w:lang w:val="zh-CN"/>
        </w:rPr>
        <w:t>019</w:t>
      </w:r>
      <w:r>
        <w:rPr>
          <w:rFonts w:hint="eastAsia"/>
          <w:lang w:val="zh-CN"/>
        </w:rPr>
        <w:t>起。</w:t>
      </w:r>
    </w:p>
    <w:p w:rsidR="00A83775" w:rsidRDefault="00A83775">
      <w:pPr>
        <w:pStyle w:val="SingleTxtGC"/>
        <w:rPr>
          <w:lang w:val="es-ES"/>
        </w:rPr>
      </w:pPr>
      <w:r>
        <w:rPr>
          <w:lang w:val="es-ES"/>
        </w:rPr>
        <w:t xml:space="preserve">114.  </w:t>
      </w:r>
      <w:r>
        <w:rPr>
          <w:rFonts w:hint="eastAsia"/>
          <w:lang w:val="zh-CN"/>
        </w:rPr>
        <w:t>全国人口和卫生普查结果显示，</w:t>
      </w:r>
      <w:r>
        <w:rPr>
          <w:lang w:val="zh-CN"/>
        </w:rPr>
        <w:t>6%</w:t>
      </w:r>
      <w:r>
        <w:rPr>
          <w:rFonts w:eastAsia="SimHei" w:hint="eastAsia"/>
          <w:lang w:val="zh-CN"/>
        </w:rPr>
        <w:t>的受访女性表示曾遭受过性侵犯</w:t>
      </w:r>
      <w:r>
        <w:rPr>
          <w:rFonts w:hint="eastAsia"/>
          <w:lang w:val="zh-CN"/>
        </w:rPr>
        <w:t>。这一数字与</w:t>
      </w:r>
      <w:r>
        <w:rPr>
          <w:lang w:val="zh-CN"/>
        </w:rPr>
        <w:t>2005</w:t>
      </w:r>
      <w:r>
        <w:rPr>
          <w:rFonts w:hint="eastAsia"/>
          <w:lang w:val="zh-CN"/>
        </w:rPr>
        <w:t>年的普查结果相比没有变化。值得一提的是，在这里所说的强奸案件并不包括由丈夫或配偶实施的性侵犯，因为这种情况已经在由丈夫实施的人身侵害章节中进行了论述。施暴者的身份大多为：前夫（</w:t>
      </w:r>
      <w:r>
        <w:rPr>
          <w:lang w:val="zh-CN"/>
        </w:rPr>
        <w:t>18%</w:t>
      </w:r>
      <w:r>
        <w:rPr>
          <w:rFonts w:hint="eastAsia"/>
          <w:lang w:val="zh-CN"/>
        </w:rPr>
        <w:t>）、陌生人（</w:t>
      </w:r>
      <w:r>
        <w:rPr>
          <w:lang w:val="zh-CN"/>
        </w:rPr>
        <w:t>16%</w:t>
      </w:r>
      <w:r>
        <w:rPr>
          <w:rFonts w:hint="eastAsia"/>
          <w:lang w:val="zh-CN"/>
        </w:rPr>
        <w:t>）、朋友（</w:t>
      </w:r>
      <w:r>
        <w:rPr>
          <w:lang w:val="zh-CN"/>
        </w:rPr>
        <w:t>12%</w:t>
      </w:r>
      <w:r>
        <w:rPr>
          <w:rFonts w:hint="eastAsia"/>
          <w:lang w:val="zh-CN"/>
        </w:rPr>
        <w:t>）及亲属（</w:t>
      </w:r>
      <w:r>
        <w:rPr>
          <w:lang w:val="zh-CN"/>
        </w:rPr>
        <w:t>10%</w:t>
      </w:r>
      <w:r>
        <w:rPr>
          <w:rFonts w:hint="eastAsia"/>
          <w:lang w:val="zh-CN"/>
        </w:rPr>
        <w:t>）。这些数字显示，在哥伦比亚，对妇女的一种最严重的性侵害行为的施暴者主要来自于受害妇女本身所在的生活圈中。</w:t>
      </w:r>
      <w:r>
        <w:rPr>
          <w:lang w:val="es-ES"/>
        </w:rPr>
        <w:t xml:space="preserve"> </w:t>
      </w:r>
    </w:p>
    <w:p w:rsidR="00A83775" w:rsidRDefault="00A83775">
      <w:pPr>
        <w:pStyle w:val="SingleTxtGC"/>
      </w:pPr>
      <w:r>
        <w:rPr>
          <w:lang w:val="es-ES"/>
        </w:rPr>
        <w:t xml:space="preserve">115.  </w:t>
      </w:r>
      <w:r>
        <w:rPr>
          <w:rFonts w:hint="eastAsia"/>
          <w:lang w:val="zh-CN"/>
        </w:rPr>
        <w:t>在各种形式的精神虐待问题上，</w:t>
      </w:r>
      <w:r>
        <w:rPr>
          <w:lang w:val="zh-CN"/>
        </w:rPr>
        <w:t>2010</w:t>
      </w:r>
      <w:r>
        <w:rPr>
          <w:rFonts w:hint="eastAsia"/>
          <w:lang w:val="zh-CN"/>
        </w:rPr>
        <w:t>年全国人口和卫生普查结果显示，</w:t>
      </w:r>
      <w:r>
        <w:rPr>
          <w:lang w:val="zh-CN"/>
        </w:rPr>
        <w:t>65%</w:t>
      </w:r>
      <w:r>
        <w:rPr>
          <w:rFonts w:hint="eastAsia"/>
          <w:lang w:val="zh-CN"/>
        </w:rPr>
        <w:t>的受访妇女表示曾经遭受过由其丈夫或配偶实施的某种形式的控制。</w:t>
      </w:r>
      <w:r>
        <w:rPr>
          <w:vertAlign w:val="superscript"/>
          <w:lang w:val="zh-CN"/>
        </w:rPr>
        <w:footnoteReference w:id="62"/>
      </w:r>
      <w:r>
        <w:rPr>
          <w:rFonts w:hint="eastAsia"/>
          <w:lang w:val="zh-CN"/>
        </w:rPr>
        <w:t xml:space="preserve"> </w:t>
      </w:r>
      <w:r>
        <w:rPr>
          <w:rFonts w:hint="eastAsia"/>
          <w:lang w:val="zh-CN"/>
        </w:rPr>
        <w:t>与</w:t>
      </w:r>
      <w:r>
        <w:rPr>
          <w:lang w:val="zh-CN"/>
        </w:rPr>
        <w:t>2005</w:t>
      </w:r>
      <w:r>
        <w:rPr>
          <w:rFonts w:hint="eastAsia"/>
          <w:lang w:val="zh-CN"/>
        </w:rPr>
        <w:t>年全国人口和卫生普查结果相比，这方面的比例未有任何下降。让妇女最不堪忍受的控制方式包括以下情况：丈夫吃醋（</w:t>
      </w:r>
      <w:r>
        <w:rPr>
          <w:lang w:val="zh-CN"/>
        </w:rPr>
        <w:t>54.3%</w:t>
      </w:r>
      <w:r>
        <w:rPr>
          <w:rFonts w:hint="eastAsia"/>
          <w:lang w:val="zh-CN"/>
        </w:rPr>
        <w:t>），坚持要知道妻子</w:t>
      </w:r>
      <w:r>
        <w:rPr>
          <w:lang w:val="zh-CN"/>
        </w:rPr>
        <w:t>/</w:t>
      </w:r>
      <w:r>
        <w:rPr>
          <w:rFonts w:hint="eastAsia"/>
          <w:lang w:val="zh-CN"/>
        </w:rPr>
        <w:t>配偶的行踪（</w:t>
      </w:r>
      <w:r>
        <w:rPr>
          <w:lang w:val="zh-CN"/>
        </w:rPr>
        <w:t>39%</w:t>
      </w:r>
      <w:r>
        <w:rPr>
          <w:rFonts w:hint="eastAsia"/>
          <w:lang w:val="zh-CN"/>
        </w:rPr>
        <w:t>），指责妻子</w:t>
      </w:r>
      <w:r>
        <w:rPr>
          <w:lang w:val="zh-CN"/>
        </w:rPr>
        <w:t>/</w:t>
      </w:r>
      <w:r>
        <w:rPr>
          <w:rFonts w:hint="eastAsia"/>
          <w:lang w:val="zh-CN"/>
        </w:rPr>
        <w:t>配偶不忠（</w:t>
      </w:r>
      <w:r>
        <w:rPr>
          <w:lang w:val="zh-CN"/>
        </w:rPr>
        <w:t>34%</w:t>
      </w:r>
      <w:r>
        <w:rPr>
          <w:rFonts w:hint="eastAsia"/>
          <w:lang w:val="zh-CN"/>
        </w:rPr>
        <w:t>），无视妻子</w:t>
      </w:r>
      <w:r>
        <w:rPr>
          <w:lang w:val="zh-CN"/>
        </w:rPr>
        <w:t>/</w:t>
      </w:r>
      <w:r>
        <w:rPr>
          <w:rFonts w:hint="eastAsia"/>
          <w:lang w:val="zh-CN"/>
        </w:rPr>
        <w:t>配偶（</w:t>
      </w:r>
      <w:r>
        <w:rPr>
          <w:lang w:val="zh-CN"/>
        </w:rPr>
        <w:t>33%</w:t>
      </w:r>
      <w:r>
        <w:rPr>
          <w:rFonts w:hint="eastAsia"/>
          <w:lang w:val="zh-CN"/>
        </w:rPr>
        <w:t>）和阻止妻子</w:t>
      </w:r>
      <w:r>
        <w:rPr>
          <w:lang w:val="zh-CN"/>
        </w:rPr>
        <w:t>/</w:t>
      </w:r>
      <w:r>
        <w:rPr>
          <w:rFonts w:hint="eastAsia"/>
          <w:lang w:val="zh-CN"/>
        </w:rPr>
        <w:t>配偶与（男女性）朋友接触（</w:t>
      </w:r>
      <w:r>
        <w:rPr>
          <w:lang w:val="zh-CN"/>
        </w:rPr>
        <w:t>29%</w:t>
      </w:r>
      <w:r>
        <w:rPr>
          <w:rFonts w:hint="eastAsia"/>
          <w:lang w:val="zh-CN"/>
        </w:rPr>
        <w:t>）。</w:t>
      </w:r>
    </w:p>
    <w:p w:rsidR="00A83775" w:rsidRDefault="00A83775">
      <w:pPr>
        <w:pStyle w:val="SingleTxtGC"/>
        <w:rPr>
          <w:lang w:val="es-ES"/>
        </w:rPr>
      </w:pPr>
      <w:r>
        <w:rPr>
          <w:lang w:val="zh-CN"/>
        </w:rPr>
        <w:t>116.  2010</w:t>
      </w:r>
      <w:r>
        <w:rPr>
          <w:rFonts w:hint="eastAsia"/>
          <w:lang w:val="zh-CN"/>
        </w:rPr>
        <w:t>年全国人口和卫生普查所开展调查显示，</w:t>
      </w:r>
      <w:r>
        <w:rPr>
          <w:lang w:val="zh-CN"/>
        </w:rPr>
        <w:t>32%</w:t>
      </w:r>
      <w:r>
        <w:rPr>
          <w:rFonts w:hint="eastAsia"/>
          <w:lang w:val="zh-CN"/>
        </w:rPr>
        <w:t>的受访已婚女性宣称其曾经受到过丈夫或配偶的威胁。与</w:t>
      </w:r>
      <w:r>
        <w:rPr>
          <w:lang w:val="zh-CN"/>
        </w:rPr>
        <w:t>2005</w:t>
      </w:r>
      <w:r>
        <w:rPr>
          <w:rFonts w:hint="eastAsia"/>
          <w:lang w:val="zh-CN"/>
        </w:rPr>
        <w:t>年的普查数据相比，这一比例持稳。按照比例从高到低的顺序，妇女宣称其受到的配偶的威胁类型为：最多的是威胁称抛弃妻子（</w:t>
      </w:r>
      <w:r>
        <w:rPr>
          <w:lang w:val="zh-CN"/>
        </w:rPr>
        <w:t>21%</w:t>
      </w:r>
      <w:r>
        <w:rPr>
          <w:rFonts w:hint="eastAsia"/>
          <w:lang w:val="zh-CN"/>
        </w:rPr>
        <w:t>），其次是将子女从妇女身边夺走（</w:t>
      </w:r>
      <w:r>
        <w:rPr>
          <w:lang w:val="zh-CN"/>
        </w:rPr>
        <w:t>17%</w:t>
      </w:r>
      <w:r>
        <w:rPr>
          <w:rFonts w:hint="eastAsia"/>
          <w:lang w:val="zh-CN"/>
        </w:rPr>
        <w:t>），最后则是威胁不给家用（</w:t>
      </w:r>
      <w:r>
        <w:rPr>
          <w:lang w:val="zh-CN"/>
        </w:rPr>
        <w:t>16%</w:t>
      </w:r>
      <w:r>
        <w:rPr>
          <w:rFonts w:hint="eastAsia"/>
          <w:lang w:val="zh-CN"/>
        </w:rPr>
        <w:t>）。</w:t>
      </w:r>
    </w:p>
    <w:p w:rsidR="00A83775" w:rsidRDefault="00A83775">
      <w:pPr>
        <w:pStyle w:val="H23GC"/>
        <w:rPr>
          <w:lang w:val="es-ES"/>
        </w:rPr>
      </w:pPr>
      <w:r>
        <w:rPr>
          <w:lang w:val="es-ES"/>
        </w:rPr>
        <w:tab/>
        <w:t>5.</w:t>
      </w:r>
      <w:r>
        <w:rPr>
          <w:lang w:val="es-ES"/>
        </w:rPr>
        <w:tab/>
      </w:r>
      <w:r>
        <w:rPr>
          <w:rFonts w:hint="eastAsia"/>
          <w:lang w:val="zh-CN"/>
        </w:rPr>
        <w:t>新出台或持续推行的措施</w:t>
      </w:r>
    </w:p>
    <w:p w:rsidR="00A83775" w:rsidRDefault="00A83775">
      <w:pPr>
        <w:pStyle w:val="SingleTxtGC"/>
        <w:rPr>
          <w:lang w:val="zh-CN"/>
        </w:rPr>
      </w:pPr>
      <w:r>
        <w:rPr>
          <w:lang w:val="es-ES"/>
        </w:rPr>
        <w:t xml:space="preserve">117.  </w:t>
      </w:r>
      <w:r>
        <w:rPr>
          <w:rFonts w:eastAsia="SimHei" w:hint="eastAsia"/>
          <w:lang w:val="es-ES"/>
        </w:rPr>
        <w:t>《</w:t>
      </w:r>
      <w:r>
        <w:rPr>
          <w:rFonts w:eastAsia="SimHei"/>
          <w:lang w:val="zh-CN"/>
        </w:rPr>
        <w:t>2010-2014</w:t>
      </w:r>
      <w:r>
        <w:rPr>
          <w:rFonts w:eastAsia="SimHei" w:hint="eastAsia"/>
          <w:lang w:val="zh-CN"/>
        </w:rPr>
        <w:t>年国家发展计划》</w:t>
      </w:r>
      <w:r>
        <w:rPr>
          <w:rFonts w:eastAsia="SimHei" w:hint="eastAsia"/>
          <w:spacing w:val="-40"/>
          <w:lang w:val="zh-CN"/>
        </w:rPr>
        <w:t>――</w:t>
      </w:r>
      <w:r>
        <w:rPr>
          <w:rFonts w:eastAsia="SimHei" w:hint="eastAsia"/>
          <w:spacing w:val="-40"/>
          <w:lang w:val="zh-CN"/>
        </w:rPr>
        <w:t xml:space="preserve"> </w:t>
      </w:r>
      <w:r>
        <w:rPr>
          <w:rFonts w:hint="eastAsia"/>
          <w:lang w:val="zh-CN"/>
        </w:rPr>
        <w:t>“</w:t>
      </w:r>
      <w:r>
        <w:rPr>
          <w:rFonts w:eastAsia="SimHei" w:hint="eastAsia"/>
          <w:lang w:val="zh-CN"/>
        </w:rPr>
        <w:t>实现共同繁荣”</w:t>
      </w:r>
      <w:r>
        <w:rPr>
          <w:rFonts w:hint="eastAsia"/>
          <w:lang w:val="zh-CN"/>
        </w:rPr>
        <w:t>。在计划的基础框架中加入了一章新内容，旨在实现两性平等，并实施各项战略消除在劳动力市场和生产活动、获得社会服务、参与政治生活中消除对妇女的歧视，并根除基于性别原因的暴力现象。这一国家发展计划是通过</w:t>
      </w:r>
      <w:r>
        <w:rPr>
          <w:lang w:val="zh-CN"/>
        </w:rPr>
        <w:t>2011</w:t>
      </w:r>
      <w:r>
        <w:rPr>
          <w:rFonts w:hint="eastAsia"/>
          <w:lang w:val="zh-CN"/>
        </w:rPr>
        <w:t>年</w:t>
      </w:r>
      <w:r>
        <w:rPr>
          <w:lang w:val="zh-CN"/>
        </w:rPr>
        <w:t>6</w:t>
      </w:r>
      <w:r>
        <w:rPr>
          <w:rFonts w:hint="eastAsia"/>
          <w:lang w:val="zh-CN"/>
        </w:rPr>
        <w:t>月</w:t>
      </w:r>
      <w:r>
        <w:rPr>
          <w:lang w:val="zh-CN"/>
        </w:rPr>
        <w:t>16</w:t>
      </w:r>
      <w:r>
        <w:rPr>
          <w:rFonts w:hint="eastAsia"/>
          <w:lang w:val="zh-CN"/>
        </w:rPr>
        <w:t>日的第</w:t>
      </w:r>
      <w:r>
        <w:rPr>
          <w:lang w:val="zh-CN"/>
        </w:rPr>
        <w:t>1450</w:t>
      </w:r>
      <w:r>
        <w:rPr>
          <w:rFonts w:hint="eastAsia"/>
          <w:lang w:val="zh-CN"/>
        </w:rPr>
        <w:t>号法颁布出台的。</w:t>
      </w:r>
    </w:p>
    <w:p w:rsidR="00A83775" w:rsidRDefault="00A83775">
      <w:pPr>
        <w:pStyle w:val="SingleTxtGC"/>
        <w:rPr>
          <w:lang w:val="zh-CN"/>
        </w:rPr>
      </w:pPr>
      <w:r>
        <w:rPr>
          <w:lang w:val="zh-CN"/>
        </w:rPr>
        <w:t xml:space="preserve">118.  </w:t>
      </w:r>
      <w:r>
        <w:rPr>
          <w:rFonts w:hint="eastAsia"/>
          <w:lang w:val="zh-CN"/>
        </w:rPr>
        <w:t>在本节中，国家政府践行了其承诺，出台了一项旨在全面保护人权，特别是妇女权利，实现两性平等的两性平等国家政策。在妇女平等事务总统高级顾问办公室的领导下，各妇女组织也纷纷参与到这一政策的设计实施过程中。</w:t>
      </w:r>
    </w:p>
    <w:p w:rsidR="00A83775" w:rsidRDefault="00A83775">
      <w:pPr>
        <w:pStyle w:val="SingleTxtGC"/>
        <w:rPr>
          <w:lang w:val="es-ES"/>
        </w:rPr>
      </w:pPr>
      <w:r>
        <w:rPr>
          <w:lang w:val="zh-CN"/>
        </w:rPr>
        <w:t xml:space="preserve">119.  </w:t>
      </w:r>
      <w:r>
        <w:rPr>
          <w:rFonts w:hint="eastAsia"/>
          <w:lang w:val="zh-CN"/>
        </w:rPr>
        <w:t>同样，在第五章巩固和平局面这一章中，包含了一节与人权、国际人道主义法和过渡时期的司法公正有关的内容，在这一节中规定应设计制定一项关于人权和国际人道主义法的综合性国家政策。这一政策是由九部分内容组成的，其中一个组成部分就是平等和不歧视。</w:t>
      </w:r>
      <w:r>
        <w:rPr>
          <w:vertAlign w:val="superscript"/>
          <w:lang w:val="zh-CN"/>
        </w:rPr>
        <w:footnoteReference w:id="63"/>
      </w:r>
      <w:r>
        <w:rPr>
          <w:rFonts w:hint="eastAsia"/>
          <w:lang w:val="zh-CN"/>
        </w:rPr>
        <w:t xml:space="preserve"> </w:t>
      </w:r>
      <w:r>
        <w:rPr>
          <w:rFonts w:hint="eastAsia"/>
          <w:lang w:val="zh-CN"/>
        </w:rPr>
        <w:t>此外，立足于重视强化报案制度和机构答复制度这一核心，在公民安全保障政策中加入了旨在加强对家庭内暴力和性暴力受害者的关爱的各项行动。</w:t>
      </w:r>
    </w:p>
    <w:p w:rsidR="00A83775" w:rsidRDefault="00A83775">
      <w:pPr>
        <w:pStyle w:val="SingleTxtGC"/>
        <w:rPr>
          <w:lang w:val="zh-CN"/>
        </w:rPr>
      </w:pPr>
      <w:r>
        <w:rPr>
          <w:lang w:val="es-ES"/>
        </w:rPr>
        <w:t xml:space="preserve">120.  </w:t>
      </w:r>
      <w:r>
        <w:rPr>
          <w:rFonts w:hint="eastAsia"/>
          <w:lang w:val="zh-CN"/>
        </w:rPr>
        <w:t>关于计划在今后开展的行动，在预防对妇女的暴力侵害的框架内，继续努力强化旨在根除对妇女的暴力侵害的机构间联动机制和合作机制，例如，根除暴力侵害妇女行为机构间工作组及相关区域工作组，或者从地方一级开展行动以解决这一问题。同样，妇女平等事务总统高级顾问办公室继续向各地方职能机关提供技术支持，帮助其开展预防、惩治和根除暴力侵害妇女行为的工作，以确保使受害妇女得到全面的保护和关爱服务。</w:t>
      </w:r>
    </w:p>
    <w:p w:rsidR="00A83775" w:rsidRDefault="00A83775">
      <w:pPr>
        <w:pStyle w:val="SingleTxtGC"/>
        <w:rPr>
          <w:lang w:val="zh-CN"/>
        </w:rPr>
      </w:pPr>
      <w:r>
        <w:rPr>
          <w:lang w:val="zh-CN"/>
        </w:rPr>
        <w:t xml:space="preserve">121.  </w:t>
      </w:r>
      <w:r>
        <w:rPr>
          <w:rFonts w:hint="eastAsia"/>
          <w:lang w:val="zh-CN"/>
        </w:rPr>
        <w:t>设立了国家暴力问题观察站，隶属于社会保障部，其宗旨是调查、记录、整理、分析、发现、跟踪和监测各种形式的暴力问题，并将工作重心落在基于性别的暴力问题、家庭内暴力和性暴力问题上。国家暴力问题观察站与两性问题观察站和妇女平等事务总统高级顾问办公室之间建立了部门联动机制，开展协调合作，规定了与基于性别原因的暴力问题相关的信息源和其他职能。</w:t>
      </w:r>
    </w:p>
    <w:p w:rsidR="00A83775" w:rsidRDefault="00A83775">
      <w:pPr>
        <w:pStyle w:val="SingleTxtGC"/>
        <w:rPr>
          <w:rFonts w:hint="eastAsia"/>
          <w:lang w:val="es-ES"/>
        </w:rPr>
      </w:pPr>
      <w:r>
        <w:rPr>
          <w:lang w:val="zh-CN"/>
        </w:rPr>
        <w:t xml:space="preserve">122.  </w:t>
      </w:r>
      <w:r>
        <w:rPr>
          <w:rFonts w:hint="eastAsia"/>
          <w:lang w:val="zh-CN"/>
        </w:rPr>
        <w:t>国家总检察署旨在改善司法公正，真正及时为受害妇女伸张正义的强化战略：</w:t>
      </w:r>
    </w:p>
    <w:p w:rsidR="00A83775" w:rsidRDefault="00A83775">
      <w:pPr>
        <w:pStyle w:val="SingleTxtGC"/>
        <w:numPr>
          <w:ilvl w:val="0"/>
          <w:numId w:val="24"/>
        </w:numPr>
        <w:rPr>
          <w:lang w:val="es-MX"/>
        </w:rPr>
      </w:pPr>
      <w:r>
        <w:rPr>
          <w:rFonts w:hint="eastAsia"/>
          <w:lang w:val="zh-CN"/>
        </w:rPr>
        <w:t>开展培训和提高认识运动，主题涉及到性别暴力、服务文化方法论、危机处理等方面（犯罪学研究学院）；</w:t>
      </w:r>
    </w:p>
    <w:p w:rsidR="00A83775" w:rsidRDefault="00A83775">
      <w:pPr>
        <w:pStyle w:val="SingleTxtGC"/>
        <w:numPr>
          <w:ilvl w:val="0"/>
          <w:numId w:val="24"/>
        </w:numPr>
        <w:rPr>
          <w:lang w:val="es-MX"/>
        </w:rPr>
      </w:pPr>
      <w:r>
        <w:rPr>
          <w:rFonts w:hint="eastAsia"/>
          <w:lang w:val="zh-CN"/>
        </w:rPr>
        <w:t>编制培训手册，使公职人员具备相应工作素质，能够在妇女报案时做出正确应对；</w:t>
      </w:r>
      <w:r>
        <w:rPr>
          <w:vertAlign w:val="superscript"/>
          <w:lang w:val="zh-CN"/>
        </w:rPr>
        <w:footnoteReference w:id="64"/>
      </w:r>
    </w:p>
    <w:p w:rsidR="00A83775" w:rsidRDefault="00A83775">
      <w:pPr>
        <w:pStyle w:val="SingleTxtGC"/>
        <w:numPr>
          <w:ilvl w:val="0"/>
          <w:numId w:val="24"/>
        </w:numPr>
        <w:rPr>
          <w:lang w:val="es-CO"/>
        </w:rPr>
      </w:pPr>
      <w:r>
        <w:rPr>
          <w:rFonts w:hint="eastAsia"/>
          <w:lang w:val="zh-CN"/>
        </w:rPr>
        <w:t>巩固和发展家庭内暴力受害者全面关怀和研究中心和性暴力受害者全面关怀和研究中心，承认性暴力受害者和家庭内暴力受害者需要得到差别化的对待；</w:t>
      </w:r>
    </w:p>
    <w:p w:rsidR="00A83775" w:rsidRDefault="00A83775">
      <w:pPr>
        <w:pStyle w:val="SingleTxtGC"/>
        <w:numPr>
          <w:ilvl w:val="0"/>
          <w:numId w:val="24"/>
        </w:numPr>
        <w:rPr>
          <w:spacing w:val="-2"/>
          <w:lang w:val="es-MX"/>
        </w:rPr>
      </w:pPr>
      <w:r>
        <w:rPr>
          <w:rFonts w:hint="eastAsia"/>
          <w:spacing w:val="-2"/>
          <w:lang w:val="zh-CN"/>
        </w:rPr>
        <w:t>在家庭内暴力受害者全面关怀和研究中心与性暴力受害者全面关怀和研究中心的管理模式框架内规定应尊重遭受此类暴力侵害的受害妇女的隐私权；</w:t>
      </w:r>
      <w:r>
        <w:rPr>
          <w:spacing w:val="-2"/>
          <w:vertAlign w:val="superscript"/>
          <w:lang w:val="zh-CN"/>
        </w:rPr>
        <w:footnoteReference w:id="65"/>
      </w:r>
      <w:r>
        <w:rPr>
          <w:spacing w:val="-2"/>
          <w:lang w:val="es-MX"/>
        </w:rPr>
        <w:t xml:space="preserve"> </w:t>
      </w:r>
    </w:p>
    <w:p w:rsidR="00A83775" w:rsidRDefault="00A83775">
      <w:pPr>
        <w:pStyle w:val="SingleTxtGC"/>
        <w:numPr>
          <w:ilvl w:val="0"/>
          <w:numId w:val="24"/>
        </w:numPr>
        <w:rPr>
          <w:lang w:val="es-CO"/>
        </w:rPr>
      </w:pPr>
      <w:r>
        <w:rPr>
          <w:rFonts w:hint="eastAsia"/>
          <w:lang w:val="zh-CN"/>
        </w:rPr>
        <w:t>改善对相关案件的调查方法，并根据每一种犯罪行为的构成成分将方法推广到对其他形式的暴力侵害妇女案件的调查中。</w:t>
      </w:r>
      <w:r>
        <w:rPr>
          <w:vertAlign w:val="superscript"/>
          <w:lang w:val="zh-CN"/>
        </w:rPr>
        <w:footnoteReference w:id="66"/>
      </w:r>
      <w:r>
        <w:rPr>
          <w:lang w:val="es-MX"/>
        </w:rPr>
        <w:t xml:space="preserve"> </w:t>
      </w:r>
    </w:p>
    <w:p w:rsidR="00A83775" w:rsidRDefault="00A83775">
      <w:pPr>
        <w:pStyle w:val="SingleTxtGC"/>
        <w:rPr>
          <w:lang w:val="es-ES"/>
        </w:rPr>
      </w:pPr>
      <w:r>
        <w:rPr>
          <w:lang w:val="es-ES"/>
        </w:rPr>
        <w:t xml:space="preserve">123.  </w:t>
      </w:r>
      <w:r>
        <w:rPr>
          <w:rFonts w:hint="eastAsia"/>
          <w:lang w:val="zh-CN"/>
        </w:rPr>
        <w:t>而国防部正在对家庭内暴力流行病学监测系统进行调整，实施了针对心理卫生专业和社会工作领域的专业人员的专项培训，目的是为性暴力和家庭内暴力受害者提供心理辅导和治疗服务。</w:t>
      </w:r>
    </w:p>
    <w:p w:rsidR="00A83775" w:rsidRDefault="00A83775">
      <w:pPr>
        <w:pStyle w:val="SingleTxtGC"/>
        <w:rPr>
          <w:rFonts w:hint="eastAsia"/>
          <w:lang w:val="es-ES"/>
        </w:rPr>
      </w:pPr>
      <w:r>
        <w:rPr>
          <w:lang w:val="es-ES"/>
        </w:rPr>
        <w:t xml:space="preserve">124.  </w:t>
      </w:r>
      <w:r>
        <w:rPr>
          <w:rFonts w:hint="eastAsia"/>
          <w:lang w:val="zh-CN"/>
        </w:rPr>
        <w:t>哥伦比亚家庭福利研究所继续开展实施</w:t>
      </w:r>
      <w:r>
        <w:rPr>
          <w:lang w:val="zh-CN"/>
        </w:rPr>
        <w:t>33</w:t>
      </w:r>
      <w:r>
        <w:rPr>
          <w:rFonts w:hint="eastAsia"/>
          <w:lang w:val="zh-CN"/>
        </w:rPr>
        <w:t>项省和地区一级的计划并对计划的实施情况进行跟踪，以落实缔造和平共处的家庭氛围国家政策。</w:t>
      </w:r>
    </w:p>
    <w:p w:rsidR="00A83775" w:rsidRDefault="00A83775">
      <w:pPr>
        <w:pStyle w:val="H1GC"/>
        <w:rPr>
          <w:lang w:val="es-ES"/>
        </w:rPr>
      </w:pPr>
      <w:r>
        <w:rPr>
          <w:lang w:val="es-ES"/>
        </w:rPr>
        <w:tab/>
      </w:r>
      <w:r>
        <w:rPr>
          <w:lang w:val="en-GB"/>
        </w:rPr>
        <w:t>B.</w:t>
      </w:r>
      <w:r>
        <w:rPr>
          <w:lang w:val="es-ES"/>
        </w:rPr>
        <w:tab/>
      </w:r>
      <w:r>
        <w:rPr>
          <w:rFonts w:hint="eastAsia"/>
          <w:lang w:val="zh-CN"/>
        </w:rPr>
        <w:t>第二条和第三条</w:t>
      </w:r>
    </w:p>
    <w:p w:rsidR="00A83775" w:rsidRDefault="00A83775">
      <w:pPr>
        <w:pStyle w:val="SingleTxtGC"/>
        <w:rPr>
          <w:lang w:val="es-ES"/>
        </w:rPr>
      </w:pPr>
      <w:r>
        <w:rPr>
          <w:lang w:val="es-ES"/>
        </w:rPr>
        <w:t xml:space="preserve">125.  </w:t>
      </w:r>
      <w:r>
        <w:rPr>
          <w:rFonts w:hint="eastAsia"/>
          <w:lang w:val="zh-CN"/>
        </w:rPr>
        <w:t>本节内容涉及与委员会向哥伦比亚提出的具体建议（</w:t>
      </w:r>
      <w:r>
        <w:rPr>
          <w:lang w:val="zh-CN"/>
        </w:rPr>
        <w:t>CEDAW/C/COL/</w:t>
      </w:r>
      <w:r>
        <w:rPr>
          <w:rFonts w:hint="eastAsia"/>
          <w:lang w:val="zh-CN"/>
        </w:rPr>
        <w:t xml:space="preserve"> </w:t>
      </w:r>
      <w:r>
        <w:rPr>
          <w:lang w:val="zh-CN"/>
        </w:rPr>
        <w:t>CO/6</w:t>
      </w:r>
      <w:r>
        <w:rPr>
          <w:rFonts w:hint="eastAsia"/>
          <w:lang w:val="zh-CN"/>
        </w:rPr>
        <w:t>，第</w:t>
      </w:r>
      <w:r>
        <w:rPr>
          <w:lang w:val="zh-CN"/>
        </w:rPr>
        <w:t>15</w:t>
      </w:r>
      <w:r>
        <w:rPr>
          <w:rFonts w:hint="eastAsia"/>
          <w:lang w:val="zh-CN"/>
        </w:rPr>
        <w:t>段和第</w:t>
      </w:r>
      <w:r>
        <w:rPr>
          <w:lang w:val="zh-CN"/>
        </w:rPr>
        <w:t>36</w:t>
      </w:r>
      <w:r>
        <w:rPr>
          <w:rFonts w:hint="eastAsia"/>
          <w:lang w:val="zh-CN"/>
        </w:rPr>
        <w:t>段）相关的内容。</w:t>
      </w:r>
      <w:r>
        <w:rPr>
          <w:lang w:val="es-ES"/>
        </w:rPr>
        <w:t xml:space="preserve"> </w:t>
      </w:r>
    </w:p>
    <w:p w:rsidR="00A83775" w:rsidRDefault="00A83775">
      <w:pPr>
        <w:pStyle w:val="H23GC"/>
        <w:rPr>
          <w:lang w:val="es-ES"/>
        </w:rPr>
      </w:pPr>
      <w:r>
        <w:rPr>
          <w:lang w:val="es-ES"/>
        </w:rPr>
        <w:tab/>
        <w:t>1.</w:t>
      </w:r>
      <w:r>
        <w:rPr>
          <w:lang w:val="es-ES"/>
        </w:rPr>
        <w:tab/>
      </w:r>
      <w:r>
        <w:rPr>
          <w:rFonts w:hint="eastAsia"/>
          <w:lang w:val="zh-CN"/>
        </w:rPr>
        <w:t>行政措施</w:t>
      </w:r>
    </w:p>
    <w:p w:rsidR="00A83775" w:rsidRDefault="00A83775">
      <w:pPr>
        <w:pStyle w:val="SingleTxtGC"/>
      </w:pPr>
      <w:r>
        <w:rPr>
          <w:lang w:val="es-ES"/>
        </w:rPr>
        <w:t xml:space="preserve">126.  </w:t>
      </w:r>
      <w:r>
        <w:rPr>
          <w:rFonts w:hint="eastAsia"/>
          <w:lang w:val="zh-CN"/>
        </w:rPr>
        <w:t>哥伦比亚打造平等社会的工作是从承认各类人群在需求上存在明显差异性这一点入手的，为此需要国家的特殊关照和保护，以便改善其生活条件和生活质量。</w:t>
      </w:r>
    </w:p>
    <w:p w:rsidR="00A83775" w:rsidRDefault="00A83775">
      <w:pPr>
        <w:pStyle w:val="SingleTxtGC"/>
        <w:rPr>
          <w:lang w:val="es-ES"/>
        </w:rPr>
      </w:pPr>
      <w:r>
        <w:rPr>
          <w:lang w:val="zh-CN"/>
        </w:rPr>
        <w:t xml:space="preserve">127.  </w:t>
      </w:r>
      <w:r>
        <w:rPr>
          <w:rFonts w:hint="eastAsia"/>
          <w:lang w:val="zh-CN"/>
        </w:rPr>
        <w:t>根据这一认识已经逐步通过各项国家发展计划加以深化，在计划中加入了旨在实现两性平等的专项规定。在《</w:t>
      </w:r>
      <w:r>
        <w:rPr>
          <w:lang w:val="zh-CN"/>
        </w:rPr>
        <w:t>2006-2010</w:t>
      </w:r>
      <w:r>
        <w:rPr>
          <w:rFonts w:hint="eastAsia"/>
          <w:lang w:val="zh-CN"/>
        </w:rPr>
        <w:t>年国家发展计划》中，明文规定必须：</w:t>
      </w:r>
      <w:r>
        <w:rPr>
          <w:lang w:val="zh-CN"/>
        </w:rPr>
        <w:t>(a)</w:t>
      </w:r>
      <w:r>
        <w:rPr>
          <w:rFonts w:hint="eastAsia"/>
          <w:lang w:val="zh-CN"/>
        </w:rPr>
        <w:t xml:space="preserve"> </w:t>
      </w:r>
      <w:r>
        <w:rPr>
          <w:rFonts w:hint="eastAsia"/>
          <w:lang w:val="zh-CN"/>
        </w:rPr>
        <w:t>通过执行各项有利于妇女的战略计划和具体方案，推进实施“妇女：和平与发展的建设者”扶持政策；</w:t>
      </w:r>
      <w:r>
        <w:rPr>
          <w:lang w:val="zh-CN"/>
        </w:rPr>
        <w:t>(b)</w:t>
      </w:r>
      <w:r>
        <w:rPr>
          <w:rFonts w:hint="eastAsia"/>
          <w:lang w:val="zh-CN"/>
        </w:rPr>
        <w:t xml:space="preserve"> </w:t>
      </w:r>
      <w:r>
        <w:rPr>
          <w:rFonts w:hint="eastAsia"/>
          <w:lang w:val="zh-CN"/>
        </w:rPr>
        <w:t>在旨在根除极端贫困现象的社会保障网等各类方案、就业和企业发展方案、性健康和生殖健康方案以及家庭内暴力问题和政治参与事务中强调尊重性别差异的重要性。此外应当指出，妇女平等事务总统高级顾问办公室下属的两性问题观察站作为性别事务的主管机构，应承担起从两性平等角度对在这一政策框架内开展的各项活动进行监督的责任，推进各项行动的开展并针对问题提出意见建议，以采取纠正措施。</w:t>
      </w:r>
    </w:p>
    <w:p w:rsidR="00A83775" w:rsidRDefault="00A83775">
      <w:pPr>
        <w:pStyle w:val="SingleTxtGC"/>
        <w:rPr>
          <w:rFonts w:hint="eastAsia"/>
          <w:lang w:val="es-ES"/>
        </w:rPr>
      </w:pPr>
      <w:r>
        <w:rPr>
          <w:lang w:val="es-ES"/>
        </w:rPr>
        <w:t xml:space="preserve">128.  </w:t>
      </w:r>
      <w:r>
        <w:rPr>
          <w:rFonts w:hint="eastAsia"/>
          <w:lang w:val="zh-CN"/>
        </w:rPr>
        <w:t>在</w:t>
      </w:r>
      <w:r>
        <w:rPr>
          <w:lang w:val="zh-CN"/>
        </w:rPr>
        <w:t>2006-2010</w:t>
      </w:r>
      <w:r>
        <w:rPr>
          <w:rFonts w:hint="eastAsia"/>
          <w:lang w:val="zh-CN"/>
        </w:rPr>
        <w:t>年计划框架内，采取的主要战略举措包括：</w:t>
      </w:r>
    </w:p>
    <w:p w:rsidR="00A83775" w:rsidRDefault="00A83775">
      <w:pPr>
        <w:pStyle w:val="SingleTxtGC"/>
        <w:numPr>
          <w:ilvl w:val="0"/>
          <w:numId w:val="23"/>
        </w:numPr>
        <w:rPr>
          <w:lang w:val="es-ES"/>
        </w:rPr>
      </w:pPr>
      <w:r>
        <w:rPr>
          <w:rFonts w:hint="eastAsia"/>
          <w:lang w:val="zh-CN"/>
        </w:rPr>
        <w:t>确保提供现代避孕方式，消除在获取计划生育服务方面的壁垒；鼓励负责任的性关系，将工作重点关注人群设定为青少年人口；降低产妇死亡率；增加在分娩期间的专门护理服务；</w:t>
      </w:r>
    </w:p>
    <w:p w:rsidR="00A83775" w:rsidRDefault="00A83775">
      <w:pPr>
        <w:pStyle w:val="SingleTxtGC"/>
        <w:numPr>
          <w:ilvl w:val="0"/>
          <w:numId w:val="23"/>
        </w:numPr>
        <w:rPr>
          <w:lang w:val="es-ES"/>
        </w:rPr>
      </w:pPr>
      <w:r>
        <w:rPr>
          <w:rFonts w:hint="eastAsia"/>
          <w:lang w:val="zh-CN"/>
        </w:rPr>
        <w:t>开展部门间协作，预防和处理暴力侵害妇女问题；</w:t>
      </w:r>
      <w:r>
        <w:rPr>
          <w:lang w:val="es-ES"/>
        </w:rPr>
        <w:t xml:space="preserve"> </w:t>
      </w:r>
    </w:p>
    <w:p w:rsidR="00A83775" w:rsidRDefault="00A83775">
      <w:pPr>
        <w:pStyle w:val="SingleTxtGC"/>
        <w:numPr>
          <w:ilvl w:val="0"/>
          <w:numId w:val="23"/>
        </w:numPr>
        <w:rPr>
          <w:lang w:val="es-ES"/>
        </w:rPr>
      </w:pPr>
      <w:r>
        <w:rPr>
          <w:rFonts w:hint="eastAsia"/>
          <w:lang w:val="zh-CN"/>
        </w:rPr>
        <w:t>在司法救助方面，落实在通过司法途径捍卫哥伦比亚妇女权利的战略计划框架内制定出台的各项意见建议；</w:t>
      </w:r>
    </w:p>
    <w:p w:rsidR="00A83775" w:rsidRDefault="00A83775">
      <w:pPr>
        <w:pStyle w:val="SingleTxtGC"/>
        <w:numPr>
          <w:ilvl w:val="0"/>
          <w:numId w:val="23"/>
        </w:numPr>
        <w:rPr>
          <w:lang w:val="es-ES"/>
        </w:rPr>
      </w:pPr>
      <w:r>
        <w:rPr>
          <w:rFonts w:hint="eastAsia"/>
          <w:lang w:val="zh-CN"/>
        </w:rPr>
        <w:t>推广《配额法》，对国内各实体对这一法律的落实情况予以跟踪监督；</w:t>
      </w:r>
    </w:p>
    <w:p w:rsidR="00A83775" w:rsidRDefault="00A83775">
      <w:pPr>
        <w:pStyle w:val="SingleTxtGC"/>
        <w:numPr>
          <w:ilvl w:val="0"/>
          <w:numId w:val="23"/>
        </w:numPr>
        <w:rPr>
          <w:lang w:val="es-ES"/>
        </w:rPr>
      </w:pPr>
      <w:r>
        <w:rPr>
          <w:rFonts w:hint="eastAsia"/>
          <w:lang w:val="zh-CN"/>
        </w:rPr>
        <w:t>推动落实农村妇女的权利（</w:t>
      </w:r>
      <w:r>
        <w:rPr>
          <w:lang w:val="zh-CN"/>
        </w:rPr>
        <w:t>2002</w:t>
      </w:r>
      <w:r>
        <w:rPr>
          <w:rFonts w:hint="eastAsia"/>
          <w:lang w:val="zh-CN"/>
        </w:rPr>
        <w:t>年第</w:t>
      </w:r>
      <w:r>
        <w:rPr>
          <w:lang w:val="zh-CN"/>
        </w:rPr>
        <w:t>731</w:t>
      </w:r>
      <w:r>
        <w:rPr>
          <w:rFonts w:hint="eastAsia"/>
          <w:lang w:val="zh-CN"/>
        </w:rPr>
        <w:t>号法）；</w:t>
      </w:r>
    </w:p>
    <w:p w:rsidR="00A83775" w:rsidRDefault="00A83775">
      <w:pPr>
        <w:pStyle w:val="SingleTxtGC"/>
        <w:numPr>
          <w:ilvl w:val="0"/>
          <w:numId w:val="23"/>
        </w:numPr>
        <w:rPr>
          <w:lang w:val="es-ES"/>
        </w:rPr>
      </w:pPr>
      <w:r>
        <w:rPr>
          <w:rFonts w:hint="eastAsia"/>
          <w:lang w:val="zh-CN"/>
        </w:rPr>
        <w:t>采取各项政策，帮助妇女创收、创造就业岗位并提高妇女的创业能力，确保妇女的劳动权利和个人权利得到充分尊重；</w:t>
      </w:r>
    </w:p>
    <w:p w:rsidR="00A83775" w:rsidRDefault="00A83775">
      <w:pPr>
        <w:pStyle w:val="SingleTxtGC"/>
        <w:numPr>
          <w:ilvl w:val="0"/>
          <w:numId w:val="23"/>
        </w:numPr>
        <w:rPr>
          <w:lang w:val="es-ES"/>
        </w:rPr>
      </w:pPr>
      <w:r>
        <w:rPr>
          <w:rFonts w:hint="eastAsia"/>
          <w:lang w:val="zh-CN"/>
        </w:rPr>
        <w:t>通过两性问题观察站对哥伦比亚妇女的状况进行监测并提高妇女地位。</w:t>
      </w:r>
      <w:r>
        <w:rPr>
          <w:vertAlign w:val="superscript"/>
          <w:lang w:val="zh-CN"/>
        </w:rPr>
        <w:footnoteReference w:id="67"/>
      </w:r>
      <w:r>
        <w:rPr>
          <w:lang w:val="es-ES"/>
        </w:rPr>
        <w:t xml:space="preserve"> </w:t>
      </w:r>
    </w:p>
    <w:p w:rsidR="00A83775" w:rsidRDefault="00A83775">
      <w:pPr>
        <w:pStyle w:val="SingleTxtGC"/>
        <w:rPr>
          <w:lang w:val="zh-CN"/>
        </w:rPr>
      </w:pPr>
      <w:r>
        <w:rPr>
          <w:lang w:val="es-ES"/>
        </w:rPr>
        <w:t xml:space="preserve">129.  </w:t>
      </w:r>
      <w:r>
        <w:rPr>
          <w:rFonts w:hint="eastAsia"/>
          <w:lang w:val="zh-CN"/>
        </w:rPr>
        <w:t>妇女平等事务总统高级顾问办公室通过以下举措：</w:t>
      </w:r>
      <w:r>
        <w:rPr>
          <w:lang w:val="zh-CN"/>
        </w:rPr>
        <w:t>(a)</w:t>
      </w:r>
      <w:r>
        <w:rPr>
          <w:rFonts w:hint="eastAsia"/>
          <w:lang w:val="zh-CN"/>
        </w:rPr>
        <w:t xml:space="preserve"> </w:t>
      </w:r>
      <w:r>
        <w:rPr>
          <w:rFonts w:hint="eastAsia"/>
          <w:lang w:val="zh-CN"/>
        </w:rPr>
        <w:t>实施开展有利于妇女的积极政策；</w:t>
      </w:r>
      <w:r>
        <w:rPr>
          <w:lang w:val="zh-CN"/>
        </w:rPr>
        <w:t>(b)</w:t>
      </w:r>
      <w:r>
        <w:rPr>
          <w:rFonts w:hint="eastAsia"/>
          <w:lang w:val="zh-CN"/>
        </w:rPr>
        <w:t xml:space="preserve"> </w:t>
      </w:r>
      <w:r>
        <w:rPr>
          <w:rFonts w:hint="eastAsia"/>
          <w:lang w:val="zh-CN"/>
        </w:rPr>
        <w:t>性别问题主流化战略；和</w:t>
      </w:r>
      <w:r>
        <w:rPr>
          <w:lang w:val="zh-CN"/>
        </w:rPr>
        <w:t>(c)</w:t>
      </w:r>
      <w:r>
        <w:rPr>
          <w:rFonts w:hint="eastAsia"/>
          <w:lang w:val="zh-CN"/>
        </w:rPr>
        <w:t xml:space="preserve"> </w:t>
      </w:r>
      <w:r>
        <w:rPr>
          <w:rFonts w:hint="eastAsia"/>
          <w:lang w:val="zh-CN"/>
        </w:rPr>
        <w:t>从性别角度监督社会政策和民主安全政策的落实情况，加强了中央和地方各级</w:t>
      </w:r>
      <w:r>
        <w:rPr>
          <w:lang w:val="zh-CN"/>
        </w:rPr>
        <w:t>80</w:t>
      </w:r>
      <w:r>
        <w:rPr>
          <w:rFonts w:hint="eastAsia"/>
          <w:lang w:val="zh-CN"/>
        </w:rPr>
        <w:t>多家国家机关之间在根除对妇女的暴力侵害和歧视问题上的部门联动和协调合作关系，强化了部门机制。</w:t>
      </w:r>
    </w:p>
    <w:p w:rsidR="00A83775" w:rsidRDefault="00A83775">
      <w:pPr>
        <w:pStyle w:val="SingleTxtGC"/>
        <w:rPr>
          <w:rFonts w:hint="eastAsia"/>
          <w:lang w:val="es-ES"/>
        </w:rPr>
      </w:pPr>
      <w:r>
        <w:rPr>
          <w:lang w:val="zh-CN"/>
        </w:rPr>
        <w:t xml:space="preserve">130.  </w:t>
      </w:r>
      <w:r>
        <w:rPr>
          <w:rFonts w:hint="eastAsia"/>
          <w:lang w:val="zh-CN"/>
        </w:rPr>
        <w:t>同样，推动设立各项旨在实现公共和私人部门两性平等的机制和联盟，以强化各实体的工作，将两性平等和不歧视妇女的原则落到实处。为强化工作成果，国家政府在由妇女平等事务总统高级顾问办公室领导实施的性别观点主流化战略的框架内，在全国范围内重视开展将两性平等观点纳入相关政策、计划和方案的工作。这些政策、计划和方案主要有：</w:t>
      </w:r>
      <w:r>
        <w:rPr>
          <w:lang w:val="zh-CN"/>
        </w:rPr>
        <w:t>(a)</w:t>
      </w:r>
      <w:r>
        <w:rPr>
          <w:rFonts w:hint="eastAsia"/>
          <w:lang w:val="zh-CN"/>
        </w:rPr>
        <w:t xml:space="preserve"> </w:t>
      </w:r>
      <w:r>
        <w:rPr>
          <w:rFonts w:hint="eastAsia"/>
          <w:lang w:val="zh-CN"/>
        </w:rPr>
        <w:t>为妇女提供各类金融资助机会的活动；</w:t>
      </w:r>
      <w:r>
        <w:rPr>
          <w:lang w:val="zh-CN"/>
        </w:rPr>
        <w:t>(b)</w:t>
      </w:r>
      <w:r>
        <w:rPr>
          <w:rFonts w:hint="eastAsia"/>
          <w:lang w:val="zh-CN"/>
        </w:rPr>
        <w:t xml:space="preserve"> </w:t>
      </w:r>
      <w:r>
        <w:rPr>
          <w:rFonts w:hint="eastAsia"/>
          <w:lang w:val="zh-CN"/>
        </w:rPr>
        <w:t>旨在根除极端贫困现象的社会保障网</w:t>
      </w:r>
      <w:r>
        <w:rPr>
          <w:rFonts w:hint="eastAsia"/>
          <w:spacing w:val="-40"/>
          <w:lang w:val="zh-CN"/>
        </w:rPr>
        <w:t>――</w:t>
      </w:r>
      <w:r>
        <w:rPr>
          <w:rFonts w:hint="eastAsia"/>
          <w:spacing w:val="-40"/>
          <w:lang w:val="zh-CN"/>
        </w:rPr>
        <w:t xml:space="preserve"> </w:t>
      </w:r>
      <w:r>
        <w:rPr>
          <w:lang w:val="zh-CN"/>
        </w:rPr>
        <w:t>JUNTOS</w:t>
      </w:r>
      <w:r>
        <w:rPr>
          <w:rFonts w:hint="eastAsia"/>
          <w:lang w:val="zh-CN"/>
        </w:rPr>
        <w:t>；</w:t>
      </w:r>
      <w:r>
        <w:rPr>
          <w:lang w:val="zh-CN"/>
        </w:rPr>
        <w:t>(c)</w:t>
      </w:r>
      <w:r>
        <w:rPr>
          <w:rFonts w:hint="eastAsia"/>
          <w:lang w:val="zh-CN"/>
        </w:rPr>
        <w:t xml:space="preserve"> </w:t>
      </w:r>
      <w:r>
        <w:rPr>
          <w:rFonts w:hint="eastAsia"/>
          <w:lang w:val="zh-CN"/>
        </w:rPr>
        <w:t>打击人口贩运国家战略（参见与《公约》第六条有关的内容）；</w:t>
      </w:r>
      <w:r>
        <w:rPr>
          <w:lang w:val="zh-CN"/>
        </w:rPr>
        <w:t>(d)</w:t>
      </w:r>
      <w:r>
        <w:rPr>
          <w:rFonts w:hint="eastAsia"/>
          <w:lang w:val="zh-CN"/>
        </w:rPr>
        <w:t xml:space="preserve"> </w:t>
      </w:r>
      <w:r>
        <w:rPr>
          <w:rFonts w:hint="eastAsia"/>
          <w:lang w:val="zh-CN"/>
        </w:rPr>
        <w:t>关爱流离失所人口政策以及从两性差别化角度对流离失所人口进行全面关爱的指导方针（参见下文相关内容）；</w:t>
      </w:r>
      <w:r>
        <w:rPr>
          <w:lang w:val="zh-CN"/>
        </w:rPr>
        <w:t>(e)</w:t>
      </w:r>
      <w:r>
        <w:rPr>
          <w:rFonts w:hint="eastAsia"/>
          <w:lang w:val="zh-CN"/>
        </w:rPr>
        <w:t xml:space="preserve"> </w:t>
      </w:r>
      <w:r>
        <w:rPr>
          <w:rFonts w:hint="eastAsia"/>
          <w:lang w:val="zh-CN"/>
        </w:rPr>
        <w:t>就业安置和重返经济社会政策；（参见与《公约》第一条有关的内容）。为开展上述举措，采用了各种工具，如性别问题主流化培训手册（在开发署的支持下于</w:t>
      </w:r>
      <w:r>
        <w:rPr>
          <w:lang w:val="zh-CN"/>
        </w:rPr>
        <w:t>2006</w:t>
      </w:r>
      <w:r>
        <w:rPr>
          <w:rFonts w:hint="eastAsia"/>
          <w:lang w:val="zh-CN"/>
        </w:rPr>
        <w:t>年制定出台），与各有关部门</w:t>
      </w:r>
      <w:r>
        <w:rPr>
          <w:vertAlign w:val="superscript"/>
          <w:lang w:val="zh-CN"/>
        </w:rPr>
        <w:footnoteReference w:id="68"/>
      </w:r>
      <w:r>
        <w:rPr>
          <w:rFonts w:hint="eastAsia"/>
          <w:lang w:val="zh-CN"/>
        </w:rPr>
        <w:t>签署各类重要条约协定，用于为公共管理部门提供技术援助。</w:t>
      </w:r>
    </w:p>
    <w:p w:rsidR="00A83775" w:rsidRDefault="00A83775">
      <w:pPr>
        <w:pStyle w:val="SingleTxtGC"/>
        <w:rPr>
          <w:lang w:val="es-ES"/>
        </w:rPr>
      </w:pPr>
      <w:r>
        <w:rPr>
          <w:lang w:val="es-ES"/>
        </w:rPr>
        <w:t xml:space="preserve">131.  </w:t>
      </w:r>
      <w:r>
        <w:rPr>
          <w:rFonts w:hint="eastAsia"/>
          <w:lang w:val="zh-CN"/>
        </w:rPr>
        <w:t>以下方案：由国家计划部和总统社会行动和国际合作署实施的旨在根除极端贫困现象的社会保障网方案</w:t>
      </w:r>
      <w:r>
        <w:rPr>
          <w:vertAlign w:val="superscript"/>
          <w:lang w:val="zh-CN"/>
        </w:rPr>
        <w:footnoteReference w:id="69"/>
      </w:r>
      <w:r>
        <w:t xml:space="preserve"> </w:t>
      </w:r>
      <w:r>
        <w:rPr>
          <w:rFonts w:hint="eastAsia"/>
          <w:lang w:val="zh-CN"/>
        </w:rPr>
        <w:t>和“家庭在行动”方案，</w:t>
      </w:r>
      <w:r>
        <w:rPr>
          <w:vertAlign w:val="superscript"/>
          <w:lang w:val="zh-CN"/>
        </w:rPr>
        <w:footnoteReference w:id="70"/>
      </w:r>
      <w:r>
        <w:t xml:space="preserve"> </w:t>
      </w:r>
      <w:r>
        <w:rPr>
          <w:rFonts w:hint="eastAsia"/>
          <w:lang w:val="zh-CN"/>
        </w:rPr>
        <w:t>均力争在其工作中纳入性别观点以及平等、不歧视、提高妇女地位和促进妇女发展的原则。在旨在根除极端贫困现象的社会保障网框架内，妇女平等事务总统高级顾问办公室在</w:t>
      </w:r>
      <w:r>
        <w:rPr>
          <w:lang w:val="zh-CN"/>
        </w:rPr>
        <w:t>2007</w:t>
      </w:r>
      <w:r>
        <w:rPr>
          <w:rFonts w:hint="eastAsia"/>
          <w:lang w:val="zh-CN"/>
        </w:rPr>
        <w:t>年签署了一份协议书，旨在出台综合性的政策来关爱弱势群体，遵循以下三大基本组成部分：家人陪同和社区陪同、机构强化以及向旨在根除极端贫困现象的社会保障网目标人群的政策倾斜。</w:t>
      </w:r>
      <w:r>
        <w:rPr>
          <w:vertAlign w:val="superscript"/>
          <w:lang w:val="zh-CN"/>
        </w:rPr>
        <w:footnoteReference w:id="71"/>
      </w:r>
      <w:r>
        <w:t xml:space="preserve"> </w:t>
      </w:r>
      <w:r>
        <w:rPr>
          <w:rFonts w:hint="eastAsia"/>
          <w:lang w:val="zh-CN"/>
        </w:rPr>
        <w:t>妇女平等事务总统高级顾问办公室，还在旨在根除极端贫困现象的社会保障网的试点城市中努力开展国家妇女企业培训计划，允许其参与获得各种机会，并向作为保障网受益对象的目标年轻女户主发放</w:t>
      </w:r>
      <w:r>
        <w:rPr>
          <w:lang w:val="zh-CN"/>
        </w:rPr>
        <w:t>1</w:t>
      </w:r>
      <w:r>
        <w:t>,</w:t>
      </w:r>
      <w:r>
        <w:rPr>
          <w:lang w:val="zh-CN"/>
        </w:rPr>
        <w:t>153</w:t>
      </w:r>
      <w:r>
        <w:rPr>
          <w:rFonts w:hint="eastAsia"/>
          <w:lang w:val="zh-CN"/>
        </w:rPr>
        <w:t>笔信贷，其中</w:t>
      </w:r>
      <w:r>
        <w:rPr>
          <w:lang w:val="zh-CN"/>
        </w:rPr>
        <w:t>383</w:t>
      </w:r>
      <w:r>
        <w:rPr>
          <w:rFonts w:hint="eastAsia"/>
          <w:lang w:val="zh-CN"/>
        </w:rPr>
        <w:t>笔发放给处于流离失所的弱势状况的妇女，</w:t>
      </w:r>
      <w:r>
        <w:rPr>
          <w:lang w:val="zh-CN"/>
        </w:rPr>
        <w:t>737</w:t>
      </w:r>
      <w:r>
        <w:rPr>
          <w:rFonts w:hint="eastAsia"/>
          <w:lang w:val="zh-CN"/>
        </w:rPr>
        <w:t>笔发放给处于社会经济地位弱势的妇女，还是</w:t>
      </w:r>
      <w:r>
        <w:rPr>
          <w:lang w:val="zh-CN"/>
        </w:rPr>
        <w:t>33</w:t>
      </w:r>
      <w:r>
        <w:rPr>
          <w:rFonts w:hint="eastAsia"/>
          <w:lang w:val="zh-CN"/>
        </w:rPr>
        <w:t>笔发放给“家庭在行动”方案的受益妇女。</w:t>
      </w:r>
    </w:p>
    <w:p w:rsidR="00A83775" w:rsidRDefault="00A83775">
      <w:pPr>
        <w:pStyle w:val="SingleTxtGC"/>
        <w:rPr>
          <w:lang w:val="es-ES_tradnl"/>
        </w:rPr>
      </w:pPr>
      <w:r>
        <w:rPr>
          <w:lang w:val="es-ES_tradnl"/>
        </w:rPr>
        <w:t xml:space="preserve">132.  </w:t>
      </w:r>
      <w:r>
        <w:rPr>
          <w:rFonts w:hint="eastAsia"/>
          <w:lang w:val="zh-CN"/>
        </w:rPr>
        <w:t>至于“家庭在行动”方案，截至</w:t>
      </w:r>
      <w:r>
        <w:rPr>
          <w:lang w:val="zh-CN"/>
        </w:rPr>
        <w:t>2009</w:t>
      </w:r>
      <w:r>
        <w:rPr>
          <w:rFonts w:hint="eastAsia"/>
          <w:lang w:val="zh-CN"/>
        </w:rPr>
        <w:t>年</w:t>
      </w:r>
      <w:r>
        <w:rPr>
          <w:lang w:val="zh-CN"/>
        </w:rPr>
        <w:t>12</w:t>
      </w:r>
      <w:r>
        <w:rPr>
          <w:rFonts w:hint="eastAsia"/>
          <w:lang w:val="zh-CN"/>
        </w:rPr>
        <w:t>月，数据显示共计有</w:t>
      </w:r>
      <w:r>
        <w:rPr>
          <w:lang w:val="zh-CN"/>
        </w:rPr>
        <w:t>2</w:t>
      </w:r>
      <w:r>
        <w:t>,</w:t>
      </w:r>
      <w:r>
        <w:rPr>
          <w:lang w:val="zh-CN"/>
        </w:rPr>
        <w:t>555</w:t>
      </w:r>
      <w:r>
        <w:t>,</w:t>
      </w:r>
      <w:r>
        <w:rPr>
          <w:lang w:val="zh-CN"/>
        </w:rPr>
        <w:t>491</w:t>
      </w:r>
      <w:r>
        <w:rPr>
          <w:rFonts w:eastAsia="SimHei" w:hint="eastAsia"/>
          <w:lang w:val="zh-CN"/>
        </w:rPr>
        <w:t>名户主</w:t>
      </w:r>
      <w:r>
        <w:rPr>
          <w:rFonts w:hint="eastAsia"/>
          <w:lang w:val="zh-CN"/>
        </w:rPr>
        <w:t>从方案中受益，享受到了补助津贴，其中</w:t>
      </w:r>
      <w:r>
        <w:rPr>
          <w:lang w:val="zh-CN"/>
        </w:rPr>
        <w:t>2</w:t>
      </w:r>
      <w:r>
        <w:t>,</w:t>
      </w:r>
      <w:r>
        <w:rPr>
          <w:lang w:val="zh-CN"/>
        </w:rPr>
        <w:t>304</w:t>
      </w:r>
      <w:r>
        <w:t>,</w:t>
      </w:r>
      <w:r>
        <w:rPr>
          <w:lang w:val="zh-CN"/>
        </w:rPr>
        <w:t>657</w:t>
      </w:r>
      <w:r>
        <w:rPr>
          <w:rFonts w:hint="eastAsia"/>
          <w:lang w:val="zh-CN"/>
        </w:rPr>
        <w:t>人为妇女，占到了受益人口总数的</w:t>
      </w:r>
      <w:r>
        <w:rPr>
          <w:lang w:val="zh-CN"/>
        </w:rPr>
        <w:t>90%</w:t>
      </w:r>
      <w:r>
        <w:rPr>
          <w:rFonts w:hint="eastAsia"/>
          <w:lang w:val="zh-CN"/>
        </w:rPr>
        <w:t>。</w:t>
      </w:r>
      <w:r>
        <w:rPr>
          <w:vertAlign w:val="superscript"/>
          <w:lang w:val="zh-CN"/>
        </w:rPr>
        <w:footnoteReference w:id="72"/>
      </w:r>
    </w:p>
    <w:p w:rsidR="00A83775" w:rsidRDefault="00A83775">
      <w:pPr>
        <w:pStyle w:val="SingleTxtGC"/>
        <w:rPr>
          <w:lang w:val="es-ES"/>
        </w:rPr>
      </w:pPr>
      <w:r>
        <w:rPr>
          <w:lang w:val="es-ES"/>
        </w:rPr>
        <w:t xml:space="preserve">133.  </w:t>
      </w:r>
      <w:r>
        <w:rPr>
          <w:rFonts w:hint="eastAsia"/>
          <w:lang w:val="zh-CN"/>
        </w:rPr>
        <w:t>国家政府各单位在制定公共政策时，可以向妇女平等事务总统高级顾问办公室进行咨询，并在其技术支持下将性别观点纳入到其开展实施的各项计划和方案中。妇女平等事务总统高级顾问办公室，在近四年来已逐步加大其工作力度，向国内各单位、公共和私营部门实体提供技术支持，并与媒体协力合作，围绕“妇女：和平与发展的建设者”扶持政策（</w:t>
      </w:r>
      <w:r>
        <w:rPr>
          <w:lang w:val="zh-CN"/>
        </w:rPr>
        <w:t>2003</w:t>
      </w:r>
      <w:r>
        <w:rPr>
          <w:rFonts w:hint="eastAsia"/>
          <w:lang w:val="zh-CN"/>
        </w:rPr>
        <w:t>年至</w:t>
      </w:r>
      <w:r>
        <w:rPr>
          <w:lang w:val="zh-CN"/>
        </w:rPr>
        <w:t>2010</w:t>
      </w:r>
      <w:r>
        <w:rPr>
          <w:rFonts w:hint="eastAsia"/>
          <w:lang w:val="zh-CN"/>
        </w:rPr>
        <w:t>年</w:t>
      </w:r>
      <w:r>
        <w:rPr>
          <w:lang w:val="zh-CN"/>
        </w:rPr>
        <w:t>8</w:t>
      </w:r>
      <w:r>
        <w:rPr>
          <w:rFonts w:hint="eastAsia"/>
          <w:lang w:val="zh-CN"/>
        </w:rPr>
        <w:t>月）的各项核心主题开展实施各类方案、项目和战略，从定性和定量角度促进性别问题主流化工作的发展。</w:t>
      </w:r>
    </w:p>
    <w:p w:rsidR="00A83775" w:rsidRDefault="00A83775">
      <w:pPr>
        <w:pStyle w:val="SingleTxtGC"/>
        <w:rPr>
          <w:vanish/>
          <w:lang w:val="es-ES"/>
        </w:rPr>
      </w:pPr>
      <w:r>
        <w:rPr>
          <w:lang w:val="es-ES"/>
        </w:rPr>
        <w:t xml:space="preserve">134.  </w:t>
      </w:r>
      <w:r>
        <w:rPr>
          <w:rFonts w:hint="eastAsia"/>
          <w:lang w:val="zh-CN"/>
        </w:rPr>
        <w:t>另一方面</w:t>
      </w:r>
      <w:r>
        <w:rPr>
          <w:rFonts w:hint="eastAsia"/>
          <w:lang w:val="es-ES"/>
        </w:rPr>
        <w:t>，</w:t>
      </w:r>
      <w:r>
        <w:rPr>
          <w:rFonts w:hint="eastAsia"/>
          <w:lang w:val="zh-CN"/>
        </w:rPr>
        <w:t>在委员会关于加强</w:t>
      </w:r>
      <w:r>
        <w:rPr>
          <w:rFonts w:hint="eastAsia"/>
        </w:rPr>
        <w:t>提高妇女地位国家机制</w:t>
      </w:r>
      <w:r>
        <w:rPr>
          <w:rFonts w:hint="eastAsia"/>
          <w:lang w:val="zh-CN"/>
        </w:rPr>
        <w:t>的能力的建议框架内</w:t>
      </w:r>
      <w:r>
        <w:rPr>
          <w:rFonts w:hint="eastAsia"/>
          <w:lang w:val="es-ES"/>
        </w:rPr>
        <w:t>（</w:t>
      </w:r>
      <w:r>
        <w:rPr>
          <w:lang w:val="es-ES"/>
        </w:rPr>
        <w:t>CEDAW/C/COL/CO/6</w:t>
      </w:r>
      <w:r>
        <w:rPr>
          <w:rFonts w:hint="eastAsia"/>
          <w:lang w:val="es-ES"/>
        </w:rPr>
        <w:t>，</w:t>
      </w:r>
      <w:r>
        <w:rPr>
          <w:rFonts w:hint="eastAsia"/>
          <w:lang w:val="zh-CN"/>
        </w:rPr>
        <w:t>第</w:t>
      </w:r>
      <w:r>
        <w:rPr>
          <w:lang w:val="es-ES"/>
        </w:rPr>
        <w:t>15</w:t>
      </w:r>
      <w:r>
        <w:rPr>
          <w:rFonts w:hint="eastAsia"/>
          <w:lang w:val="zh-CN"/>
        </w:rPr>
        <w:t>段</w:t>
      </w:r>
      <w:r>
        <w:rPr>
          <w:rFonts w:hint="eastAsia"/>
          <w:lang w:val="es-ES"/>
        </w:rPr>
        <w:t>），</w:t>
      </w:r>
      <w:r>
        <w:rPr>
          <w:rFonts w:hint="eastAsia"/>
          <w:lang w:val="zh-CN"/>
        </w:rPr>
        <w:t>值得一提的是国家政府在</w:t>
      </w:r>
      <w:r>
        <w:rPr>
          <w:lang w:val="es-ES"/>
        </w:rPr>
        <w:t>2006-2010</w:t>
      </w:r>
      <w:r>
        <w:rPr>
          <w:rFonts w:hint="eastAsia"/>
          <w:lang w:val="zh-CN"/>
        </w:rPr>
        <w:t>年期间</w:t>
      </w:r>
      <w:r>
        <w:rPr>
          <w:rFonts w:hint="eastAsia"/>
          <w:lang w:val="es-ES"/>
        </w:rPr>
        <w:t>，</w:t>
      </w:r>
      <w:r>
        <w:rPr>
          <w:rFonts w:hint="eastAsia"/>
          <w:lang w:val="zh-CN"/>
        </w:rPr>
        <w:t>从《</w:t>
      </w:r>
      <w:r>
        <w:rPr>
          <w:lang w:val="es-ES"/>
        </w:rPr>
        <w:t>2002-2006</w:t>
      </w:r>
      <w:r>
        <w:rPr>
          <w:rFonts w:hint="eastAsia"/>
          <w:lang w:val="zh-CN"/>
        </w:rPr>
        <w:t>年国家发展计划》中规定的任务作为工作切入点</w:t>
      </w:r>
      <w:r>
        <w:rPr>
          <w:rFonts w:hint="eastAsia"/>
          <w:lang w:val="es-ES"/>
        </w:rPr>
        <w:t>，</w:t>
      </w:r>
      <w:r>
        <w:rPr>
          <w:rFonts w:hint="eastAsia"/>
          <w:lang w:val="zh-CN"/>
        </w:rPr>
        <w:t>继续实施制定出台的“</w:t>
      </w:r>
      <w:r>
        <w:rPr>
          <w:lang w:val="zh-CN"/>
        </w:rPr>
        <w:t>妇女：和平与发展的建设者</w:t>
      </w:r>
      <w:r>
        <w:rPr>
          <w:rFonts w:hint="eastAsia"/>
          <w:lang w:val="zh-CN"/>
        </w:rPr>
        <w:t>”</w:t>
      </w:r>
      <w:r>
        <w:rPr>
          <w:lang w:val="zh-CN"/>
        </w:rPr>
        <w:t>扶持政策</w:t>
      </w:r>
      <w:r>
        <w:rPr>
          <w:rFonts w:hint="eastAsia"/>
          <w:lang w:val="es-ES"/>
        </w:rPr>
        <w:t>，</w:t>
      </w:r>
      <w:r>
        <w:rPr>
          <w:rFonts w:hint="eastAsia"/>
          <w:lang w:val="zh-CN"/>
        </w:rPr>
        <w:t>并将以下内容列为其优先发展的核心主题</w:t>
      </w:r>
      <w:r>
        <w:rPr>
          <w:rFonts w:hint="eastAsia"/>
          <w:lang w:val="es-ES"/>
        </w:rPr>
        <w:t>：</w:t>
      </w:r>
      <w:r>
        <w:rPr>
          <w:lang w:val="es-ES"/>
        </w:rPr>
        <w:t>(a)</w:t>
      </w:r>
      <w:r>
        <w:rPr>
          <w:rFonts w:hint="eastAsia"/>
          <w:lang w:val="es-ES"/>
        </w:rPr>
        <w:t xml:space="preserve"> </w:t>
      </w:r>
      <w:r>
        <w:rPr>
          <w:rFonts w:hint="eastAsia"/>
          <w:lang w:val="es-ES"/>
        </w:rPr>
        <w:t>就业和企业发展；</w:t>
      </w:r>
      <w:r>
        <w:rPr>
          <w:lang w:val="es-ES"/>
        </w:rPr>
        <w:t>(b)</w:t>
      </w:r>
      <w:r>
        <w:rPr>
          <w:rFonts w:hint="eastAsia"/>
          <w:lang w:val="es-ES"/>
        </w:rPr>
        <w:t xml:space="preserve"> </w:t>
      </w:r>
      <w:r>
        <w:rPr>
          <w:rFonts w:hint="eastAsia"/>
          <w:lang w:val="es-ES"/>
        </w:rPr>
        <w:t>教育和文化；</w:t>
      </w:r>
      <w:r>
        <w:rPr>
          <w:lang w:val="es-ES"/>
        </w:rPr>
        <w:t>(c)</w:t>
      </w:r>
      <w:r>
        <w:rPr>
          <w:rFonts w:hint="eastAsia"/>
          <w:lang w:val="es-ES"/>
        </w:rPr>
        <w:t xml:space="preserve"> </w:t>
      </w:r>
      <w:r>
        <w:rPr>
          <w:rFonts w:hint="eastAsia"/>
          <w:lang w:val="es-ES"/>
        </w:rPr>
        <w:t>暴力侵害妇女行为；</w:t>
      </w:r>
      <w:r>
        <w:rPr>
          <w:lang w:val="es-ES"/>
        </w:rPr>
        <w:t>(d)</w:t>
      </w:r>
      <w:r>
        <w:rPr>
          <w:rFonts w:hint="eastAsia"/>
          <w:lang w:val="es-ES"/>
        </w:rPr>
        <w:t xml:space="preserve"> </w:t>
      </w:r>
      <w:r>
        <w:rPr>
          <w:rFonts w:hint="eastAsia"/>
          <w:lang w:val="es-ES"/>
        </w:rPr>
        <w:t>政治参与；</w:t>
      </w:r>
      <w:r>
        <w:rPr>
          <w:lang w:val="es-ES"/>
        </w:rPr>
        <w:t>(e)</w:t>
      </w:r>
      <w:r>
        <w:rPr>
          <w:rFonts w:hint="eastAsia"/>
          <w:lang w:val="es-ES"/>
        </w:rPr>
        <w:t xml:space="preserve"> </w:t>
      </w:r>
      <w:r>
        <w:rPr>
          <w:rFonts w:hint="eastAsia"/>
          <w:lang w:val="es-ES"/>
        </w:rPr>
        <w:t>强化机构体制；加强开展相关行动，并不断与时俱进，在活动开展过程中让更多新生力量参与其中，确保在公权力部门各机关和社会其他部门的工作日程中加入性别观点。</w:t>
      </w:r>
    </w:p>
    <w:p w:rsidR="00A83775" w:rsidRDefault="00A83775">
      <w:pPr>
        <w:pStyle w:val="SingleTxtGC"/>
        <w:rPr>
          <w:lang w:val="es-MX"/>
        </w:rPr>
      </w:pPr>
      <w:r>
        <w:rPr>
          <w:lang w:val="es-MX"/>
        </w:rPr>
        <w:t xml:space="preserve">135.  </w:t>
      </w:r>
      <w:r>
        <w:rPr>
          <w:lang w:val="es-ES"/>
        </w:rPr>
        <w:t>2006-2010</w:t>
      </w:r>
      <w:r>
        <w:rPr>
          <w:rFonts w:hint="eastAsia"/>
          <w:lang w:val="zh-CN"/>
        </w:rPr>
        <w:t>年期间</w:t>
      </w:r>
      <w:r>
        <w:rPr>
          <w:rFonts w:hint="eastAsia"/>
          <w:lang w:val="es-ES"/>
        </w:rPr>
        <w:t>，</w:t>
      </w:r>
      <w:r>
        <w:rPr>
          <w:rFonts w:hint="eastAsia"/>
          <w:lang w:val="zh-CN"/>
        </w:rPr>
        <w:t>妇女平等事务总统高级顾问办公室使用和调动的国家预算资金的金额将近</w:t>
      </w:r>
      <w:r>
        <w:rPr>
          <w:lang w:val="es-ES"/>
        </w:rPr>
        <w:t>20.9</w:t>
      </w:r>
      <w:r>
        <w:rPr>
          <w:rFonts w:hint="eastAsia"/>
          <w:lang w:val="zh-CN"/>
        </w:rPr>
        <w:t>亿美元</w:t>
      </w:r>
      <w:r>
        <w:rPr>
          <w:rFonts w:hint="eastAsia"/>
          <w:lang w:val="es-ES"/>
        </w:rPr>
        <w:t>，</w:t>
      </w:r>
      <w:r>
        <w:rPr>
          <w:vertAlign w:val="superscript"/>
          <w:lang w:val="zh-CN"/>
        </w:rPr>
        <w:footnoteReference w:id="73"/>
      </w:r>
      <w:r>
        <w:rPr>
          <w:lang w:val="es-ES"/>
        </w:rPr>
        <w:t xml:space="preserve"> </w:t>
      </w:r>
      <w:r>
        <w:rPr>
          <w:rFonts w:hint="eastAsia"/>
          <w:lang w:val="zh-CN"/>
        </w:rPr>
        <w:t>但是</w:t>
      </w:r>
      <w:r>
        <w:rPr>
          <w:rFonts w:hint="eastAsia"/>
          <w:lang w:val="es-ES"/>
        </w:rPr>
        <w:t>，</w:t>
      </w:r>
      <w:r>
        <w:rPr>
          <w:rFonts w:hint="eastAsia"/>
          <w:lang w:val="zh-CN"/>
        </w:rPr>
        <w:t>如果要推行所有实施战略</w:t>
      </w:r>
      <w:r>
        <w:rPr>
          <w:rFonts w:hint="eastAsia"/>
          <w:lang w:val="es-ES"/>
        </w:rPr>
        <w:t>，</w:t>
      </w:r>
      <w:r>
        <w:rPr>
          <w:rFonts w:hint="eastAsia"/>
          <w:lang w:val="zh-CN"/>
        </w:rPr>
        <w:t>则需要努力争取更多的资源</w:t>
      </w:r>
      <w:r>
        <w:rPr>
          <w:rFonts w:hint="eastAsia"/>
          <w:lang w:val="es-ES"/>
        </w:rPr>
        <w:t>，</w:t>
      </w:r>
      <w:r>
        <w:rPr>
          <w:rFonts w:hint="eastAsia"/>
          <w:lang w:val="zh-CN"/>
        </w:rPr>
        <w:t>开辟其他筹资渠道</w:t>
      </w:r>
      <w:r>
        <w:rPr>
          <w:rFonts w:hint="eastAsia"/>
          <w:lang w:val="es-ES"/>
        </w:rPr>
        <w:t>，</w:t>
      </w:r>
      <w:r>
        <w:rPr>
          <w:rFonts w:hint="eastAsia"/>
          <w:lang w:val="zh-CN"/>
        </w:rPr>
        <w:t>为此需要与公共、私营部门的其他单位结成联盟并开展国际合作。</w:t>
      </w:r>
    </w:p>
    <w:p w:rsidR="00A83775" w:rsidRDefault="00A83775">
      <w:pPr>
        <w:pStyle w:val="SingleTxtGC"/>
        <w:rPr>
          <w:lang w:val="es-ES"/>
        </w:rPr>
      </w:pPr>
      <w:r>
        <w:rPr>
          <w:lang w:val="es-MX"/>
        </w:rPr>
        <w:t xml:space="preserve">136.  </w:t>
      </w:r>
      <w:r>
        <w:rPr>
          <w:rFonts w:hint="eastAsia"/>
          <w:lang w:val="zh-CN"/>
        </w:rPr>
        <w:t>在胡安·曼努埃尔·桑托斯总统的领导下，通过</w:t>
      </w:r>
      <w:r>
        <w:rPr>
          <w:lang w:val="zh-CN"/>
        </w:rPr>
        <w:t>2010</w:t>
      </w:r>
      <w:r>
        <w:rPr>
          <w:rFonts w:hint="eastAsia"/>
          <w:lang w:val="zh-CN"/>
        </w:rPr>
        <w:t>年的第</w:t>
      </w:r>
      <w:r>
        <w:rPr>
          <w:lang w:val="zh-CN"/>
        </w:rPr>
        <w:t>3445</w:t>
      </w:r>
      <w:r>
        <w:rPr>
          <w:rFonts w:hint="eastAsia"/>
          <w:lang w:val="zh-CN"/>
        </w:rPr>
        <w:t>号法令，妇女平等事务总统顾问办公室被提升到总统高级顾问办公室级别，同时其职能延续</w:t>
      </w:r>
      <w:r>
        <w:rPr>
          <w:lang w:val="zh-CN"/>
        </w:rPr>
        <w:t>2003</w:t>
      </w:r>
      <w:r>
        <w:rPr>
          <w:rFonts w:hint="eastAsia"/>
          <w:lang w:val="zh-CN"/>
        </w:rPr>
        <w:t>年第</w:t>
      </w:r>
      <w:r>
        <w:rPr>
          <w:lang w:val="zh-CN"/>
        </w:rPr>
        <w:t>517</w:t>
      </w:r>
      <w:r>
        <w:rPr>
          <w:rFonts w:hint="eastAsia"/>
          <w:lang w:val="zh-CN"/>
        </w:rPr>
        <w:t>号法令批准的内容。</w:t>
      </w:r>
      <w:r>
        <w:rPr>
          <w:vertAlign w:val="superscript"/>
          <w:lang w:val="zh-CN"/>
        </w:rPr>
        <w:footnoteReference w:id="74"/>
      </w:r>
      <w:r>
        <w:t xml:space="preserve"> </w:t>
      </w:r>
      <w:r>
        <w:rPr>
          <w:rFonts w:hint="eastAsia"/>
          <w:lang w:val="zh-CN"/>
        </w:rPr>
        <w:t>同样，通过使性别问题在其他方案中的主流化，在整个增进和保障妇女人权的进程中加强了与其他性别事务和人权事务相关单位</w:t>
      </w:r>
      <w:r>
        <w:rPr>
          <w:vertAlign w:val="superscript"/>
          <w:lang w:val="zh-CN"/>
        </w:rPr>
        <w:footnoteReference w:id="75"/>
      </w:r>
      <w:r>
        <w:t xml:space="preserve"> </w:t>
      </w:r>
      <w:r>
        <w:rPr>
          <w:rFonts w:hint="eastAsia"/>
          <w:lang w:val="zh-CN"/>
        </w:rPr>
        <w:t>的合作和协调联动关系。妇女平等事务总统高级顾问办公室的职能为：</w:t>
      </w:r>
    </w:p>
    <w:p w:rsidR="00A83775" w:rsidRDefault="00A83775">
      <w:pPr>
        <w:pStyle w:val="SingleTxtGC"/>
        <w:numPr>
          <w:ilvl w:val="0"/>
          <w:numId w:val="25"/>
        </w:numPr>
        <w:rPr>
          <w:lang w:val="es-ES"/>
        </w:rPr>
      </w:pPr>
      <w:r>
        <w:rPr>
          <w:rFonts w:hint="eastAsia"/>
          <w:lang w:val="zh-CN"/>
        </w:rPr>
        <w:t>在共和国总统颁布的主题指导方针的指引下，协助总统和国家政府设计拟订各项旨在推动男女平等的政府政策；</w:t>
      </w:r>
    </w:p>
    <w:p w:rsidR="00A83775" w:rsidRDefault="00A83775">
      <w:pPr>
        <w:pStyle w:val="SingleTxtGC"/>
        <w:numPr>
          <w:ilvl w:val="0"/>
          <w:numId w:val="25"/>
        </w:numPr>
        <w:rPr>
          <w:lang w:val="es-ES"/>
        </w:rPr>
      </w:pPr>
      <w:r>
        <w:rPr>
          <w:rFonts w:hint="eastAsia"/>
          <w:lang w:val="zh-CN"/>
        </w:rPr>
        <w:t>推动将性别观点纳入国家和地方公共实体的各项政策、计划和方案的制定、实施和跟踪落实过程中；</w:t>
      </w:r>
    </w:p>
    <w:p w:rsidR="00A83775" w:rsidRDefault="00A83775">
      <w:pPr>
        <w:pStyle w:val="SingleTxtGC"/>
        <w:numPr>
          <w:ilvl w:val="0"/>
          <w:numId w:val="25"/>
        </w:numPr>
        <w:rPr>
          <w:lang w:val="es-ES"/>
        </w:rPr>
      </w:pPr>
      <w:r>
        <w:rPr>
          <w:rFonts w:hint="eastAsia"/>
          <w:lang w:val="zh-CN"/>
        </w:rPr>
        <w:t>制定对与妇女平等和性别观点有关的国内法律法规和国际公约协定的落实情况的跟踪监测机制；</w:t>
      </w:r>
    </w:p>
    <w:p w:rsidR="00A83775" w:rsidRDefault="00A83775">
      <w:pPr>
        <w:pStyle w:val="SingleTxtGC"/>
        <w:numPr>
          <w:ilvl w:val="0"/>
          <w:numId w:val="25"/>
        </w:numPr>
        <w:rPr>
          <w:lang w:val="es-ES"/>
        </w:rPr>
      </w:pPr>
      <w:r>
        <w:rPr>
          <w:rFonts w:hint="eastAsia"/>
          <w:lang w:val="zh-CN"/>
        </w:rPr>
        <w:t>与私营部门、国际组织、非政府组织、大专院校和科研机构结成战略联盟，以鼓励和加强对妇女处境和现状的认识、研究和分析；</w:t>
      </w:r>
    </w:p>
    <w:p w:rsidR="00A83775" w:rsidRDefault="00A83775">
      <w:pPr>
        <w:pStyle w:val="SingleTxtGC"/>
        <w:numPr>
          <w:ilvl w:val="0"/>
          <w:numId w:val="25"/>
        </w:numPr>
        <w:rPr>
          <w:lang w:val="es-ES"/>
        </w:rPr>
      </w:pPr>
      <w:r>
        <w:rPr>
          <w:rFonts w:hint="eastAsia"/>
          <w:lang w:val="zh-CN"/>
        </w:rPr>
        <w:t>在全国范围内对各家妇女事务机构、妇女社区组织和妇女社会组织提供支持，确保其能够积极参与到当地开展的行动和方案中；</w:t>
      </w:r>
    </w:p>
    <w:p w:rsidR="00A83775" w:rsidRDefault="00A83775">
      <w:pPr>
        <w:pStyle w:val="SingleTxtGC"/>
        <w:numPr>
          <w:ilvl w:val="0"/>
          <w:numId w:val="25"/>
        </w:numPr>
        <w:rPr>
          <w:lang w:val="es-ES"/>
        </w:rPr>
      </w:pPr>
      <w:r>
        <w:rPr>
          <w:rFonts w:hint="eastAsia"/>
          <w:lang w:val="zh-CN"/>
        </w:rPr>
        <w:t>推动出台既有法律的实施条例，切实实现妇女的平等；</w:t>
      </w:r>
    </w:p>
    <w:p w:rsidR="00A83775" w:rsidRDefault="00A83775">
      <w:pPr>
        <w:pStyle w:val="SingleTxtGC"/>
        <w:numPr>
          <w:ilvl w:val="0"/>
          <w:numId w:val="25"/>
        </w:numPr>
        <w:rPr>
          <w:lang w:val="es-ES"/>
        </w:rPr>
      </w:pPr>
      <w:r>
        <w:rPr>
          <w:rFonts w:hint="eastAsia"/>
          <w:lang w:val="zh-CN"/>
        </w:rPr>
        <w:t>引导来自于国际合作的资金和行动，用于发展各项旨在确保两性平等和使妇女参与社会、政治和经济事务的项目；</w:t>
      </w:r>
    </w:p>
    <w:p w:rsidR="00A83775" w:rsidRDefault="00A83775">
      <w:pPr>
        <w:pStyle w:val="SingleTxtGC"/>
        <w:numPr>
          <w:ilvl w:val="0"/>
          <w:numId w:val="25"/>
        </w:numPr>
        <w:rPr>
          <w:lang w:val="zh-CN"/>
        </w:rPr>
      </w:pPr>
      <w:r>
        <w:rPr>
          <w:rFonts w:hint="eastAsia"/>
          <w:lang w:val="zh-CN"/>
        </w:rPr>
        <w:t>共和国总统赋予委员会的其他职能。</w:t>
      </w:r>
    </w:p>
    <w:p w:rsidR="00A83775" w:rsidRDefault="00A83775">
      <w:pPr>
        <w:pStyle w:val="SingleTxtGC"/>
        <w:rPr>
          <w:rFonts w:hint="eastAsia"/>
          <w:lang w:val="es-CO"/>
        </w:rPr>
      </w:pPr>
      <w:r>
        <w:rPr>
          <w:lang w:val="es-MX"/>
        </w:rPr>
        <w:t xml:space="preserve">137.  </w:t>
      </w:r>
      <w:r>
        <w:rPr>
          <w:rFonts w:hint="eastAsia"/>
          <w:lang w:val="zh-CN"/>
        </w:rPr>
        <w:t>在国际上，哥伦比亚也致力于推广平等、不歧视和提高妇女地位的原则，由妇女平等事务总统高级顾问办公室作为政府代表，在泛美体系和世界人权体系的各类政府间论坛上发挥了积极作用，</w:t>
      </w:r>
      <w:r>
        <w:rPr>
          <w:lang w:val="zh-CN"/>
        </w:rPr>
        <w:t>2008-2010</w:t>
      </w:r>
      <w:r>
        <w:rPr>
          <w:rFonts w:hint="eastAsia"/>
          <w:lang w:val="zh-CN"/>
        </w:rPr>
        <w:t>年期间担任美洲妇女委员会领导委员会成员；</w:t>
      </w:r>
      <w:r>
        <w:rPr>
          <w:lang w:val="zh-CN"/>
        </w:rPr>
        <w:t>2006-2008</w:t>
      </w:r>
      <w:r>
        <w:rPr>
          <w:rFonts w:hint="eastAsia"/>
          <w:lang w:val="zh-CN"/>
        </w:rPr>
        <w:t>年期间担任美洲妇女委员会的副主席国；并在</w:t>
      </w:r>
      <w:r>
        <w:rPr>
          <w:lang w:val="zh-CN"/>
        </w:rPr>
        <w:t>2007-2009</w:t>
      </w:r>
      <w:r>
        <w:rPr>
          <w:rFonts w:hint="eastAsia"/>
          <w:lang w:val="zh-CN"/>
        </w:rPr>
        <w:t>届拉加经委会的拉丁美洲和加勒比妇女事务地区研讨会的领导委员会中担任副主席国。此外，哥伦比亚还当选为</w:t>
      </w:r>
      <w:r>
        <w:rPr>
          <w:lang w:val="zh-CN"/>
        </w:rPr>
        <w:t>2009-2012</w:t>
      </w:r>
      <w:r>
        <w:rPr>
          <w:rFonts w:hint="eastAsia"/>
          <w:lang w:val="zh-CN"/>
        </w:rPr>
        <w:t>年妇女司法和社会委员会的成员国，并在委员会第五十四届会议上，为</w:t>
      </w:r>
      <w:r>
        <w:rPr>
          <w:lang w:val="zh-CN"/>
        </w:rPr>
        <w:t>66</w:t>
      </w:r>
      <w:r>
        <w:rPr>
          <w:rFonts w:hint="eastAsia"/>
          <w:lang w:val="zh-CN"/>
        </w:rPr>
        <w:t>个成员国共同提出并达成共识的关于提高妇女经济地位的决议投了赞成票。</w:t>
      </w:r>
    </w:p>
    <w:p w:rsidR="00A83775" w:rsidRDefault="00A83775">
      <w:pPr>
        <w:pStyle w:val="SingleTxtGC"/>
        <w:rPr>
          <w:lang w:val="zh-CN"/>
        </w:rPr>
      </w:pPr>
      <w:r>
        <w:rPr>
          <w:lang w:val="es-CO"/>
        </w:rPr>
        <w:t xml:space="preserve">138.  </w:t>
      </w:r>
      <w:r>
        <w:rPr>
          <w:rFonts w:hint="eastAsia"/>
          <w:lang w:val="es-CO"/>
        </w:rPr>
        <w:t>在区域合作和一体化领域，哥伦比亚领导创办了安第斯地区妇女事务部长网络（</w:t>
      </w:r>
      <w:r>
        <w:rPr>
          <w:rFonts w:hint="eastAsia"/>
          <w:lang w:val="es-CO"/>
        </w:rPr>
        <w:t>REMMA</w:t>
      </w:r>
      <w:r>
        <w:rPr>
          <w:rFonts w:hint="eastAsia"/>
          <w:lang w:val="es-CO"/>
        </w:rPr>
        <w:t>），</w:t>
      </w:r>
      <w:r>
        <w:rPr>
          <w:vertAlign w:val="superscript"/>
          <w:lang w:val="es-ES"/>
        </w:rPr>
        <w:footnoteReference w:id="76"/>
      </w:r>
      <w:r>
        <w:rPr>
          <w:lang w:val="es-CO"/>
        </w:rPr>
        <w:t xml:space="preserve"> </w:t>
      </w:r>
      <w:r>
        <w:rPr>
          <w:rFonts w:hint="eastAsia"/>
          <w:lang w:val="es-CO"/>
        </w:rPr>
        <w:t>其目的是开辟一个经验交流的空间，特别是交流与强化国家机制有关的经验。在提高妇女地位的工作方面，安第斯地区妇女事务部长网络发起了一项倡议，倡导创建安第斯地区妇女事务和机会平等政府高层顾问委员会，其主</w:t>
      </w:r>
      <w:r>
        <w:rPr>
          <w:rFonts w:hint="eastAsia"/>
          <w:lang w:val="zh-CN"/>
        </w:rPr>
        <w:t>旨是支持推进次区域一体化进程，秉持人权观点、性别观点和跨文化观点，将妇女事务列为工作重心，致力于促进落实男女机会平等、消除暴力侵害妇女行为并将这一区域打造成为一个更加平等公正的新社会。</w:t>
      </w:r>
    </w:p>
    <w:p w:rsidR="00A83775" w:rsidRDefault="00A83775">
      <w:pPr>
        <w:pStyle w:val="SingleTxtGC"/>
        <w:rPr>
          <w:lang w:val="zh-CN"/>
        </w:rPr>
      </w:pPr>
      <w:r>
        <w:rPr>
          <w:lang w:val="zh-CN"/>
        </w:rPr>
        <w:t xml:space="preserve">139.  </w:t>
      </w:r>
      <w:r>
        <w:rPr>
          <w:rFonts w:hint="eastAsia"/>
          <w:lang w:val="zh-CN"/>
        </w:rPr>
        <w:t>在哥伦比亚，已经在立法和司法领域、各监管部门以及私营部门中创建了其他旨在促进两性平等的机制。在这方面，性别问题主流化进程已经在中期内显效，创立了一个国家性别事务体系，并使之成为了一项国策，有助于在公共实体和私人领域的各项事务中落实平等和不歧视原则。</w:t>
      </w:r>
    </w:p>
    <w:p w:rsidR="00A83775" w:rsidRDefault="00A83775">
      <w:pPr>
        <w:pStyle w:val="SingleTxtGC"/>
        <w:rPr>
          <w:lang w:val="es-ES"/>
        </w:rPr>
      </w:pPr>
      <w:r>
        <w:rPr>
          <w:lang w:val="zh-CN"/>
        </w:rPr>
        <w:t xml:space="preserve">140.  </w:t>
      </w:r>
      <w:r>
        <w:rPr>
          <w:rFonts w:hint="eastAsia"/>
          <w:lang w:val="zh-CN"/>
        </w:rPr>
        <w:t>在立法领域，</w:t>
      </w:r>
      <w:r>
        <w:rPr>
          <w:rFonts w:hint="eastAsia"/>
          <w:lang w:val="zh-CN"/>
        </w:rPr>
        <w:t>2006</w:t>
      </w:r>
      <w:r>
        <w:rPr>
          <w:rFonts w:hint="eastAsia"/>
          <w:lang w:val="zh-CN"/>
        </w:rPr>
        <w:t>年创立了共和国国会两院事务委员会来开展相应工作，专注于两性</w:t>
      </w:r>
      <w:r>
        <w:rPr>
          <w:rFonts w:hint="eastAsia"/>
          <w:lang w:val="es-ES"/>
        </w:rPr>
        <w:t>平等、社会权利、劳工政策、心理健康、性健康和生殖健康</w:t>
      </w:r>
      <w:r>
        <w:rPr>
          <w:vertAlign w:val="superscript"/>
          <w:lang w:val="es-ES"/>
        </w:rPr>
        <w:footnoteReference w:id="77"/>
      </w:r>
      <w:r>
        <w:rPr>
          <w:lang w:val="es-ES"/>
        </w:rPr>
        <w:t xml:space="preserve"> </w:t>
      </w:r>
      <w:r>
        <w:rPr>
          <w:rFonts w:hint="eastAsia"/>
          <w:lang w:val="es-ES"/>
        </w:rPr>
        <w:t>等主题，即我们所说的妇女事务处，这是一个旨在推动立法项目的开展，消除对妇女的歧视的有组织、多元化空间，从政策层面促进提高妇女的地位。</w:t>
      </w:r>
    </w:p>
    <w:p w:rsidR="00A83775" w:rsidRDefault="00A83775">
      <w:pPr>
        <w:pStyle w:val="SingleTxtGC"/>
        <w:rPr>
          <w:lang w:val="zh-CN"/>
        </w:rPr>
      </w:pPr>
      <w:r>
        <w:rPr>
          <w:lang w:val="es-ES"/>
        </w:rPr>
        <w:t xml:space="preserve">141.  </w:t>
      </w:r>
      <w:r>
        <w:rPr>
          <w:rFonts w:hint="eastAsia"/>
          <w:lang w:val="es-ES"/>
        </w:rPr>
        <w:t>同样，通过</w:t>
      </w:r>
      <w:r>
        <w:rPr>
          <w:rFonts w:hint="eastAsia"/>
          <w:lang w:val="es-ES"/>
        </w:rPr>
        <w:t>2011</w:t>
      </w:r>
      <w:r>
        <w:rPr>
          <w:rFonts w:hint="eastAsia"/>
          <w:lang w:val="es-ES"/>
        </w:rPr>
        <w:t>年的第</w:t>
      </w:r>
      <w:r>
        <w:rPr>
          <w:rFonts w:hint="eastAsia"/>
          <w:lang w:val="es-ES"/>
        </w:rPr>
        <w:t>1134</w:t>
      </w:r>
      <w:r>
        <w:rPr>
          <w:rFonts w:hint="eastAsia"/>
          <w:lang w:val="es-ES"/>
        </w:rPr>
        <w:t>号法，对</w:t>
      </w:r>
      <w:r>
        <w:rPr>
          <w:rFonts w:hint="eastAsia"/>
          <w:lang w:val="es-ES"/>
        </w:rPr>
        <w:t>1992</w:t>
      </w:r>
      <w:r>
        <w:rPr>
          <w:rFonts w:hint="eastAsia"/>
          <w:lang w:val="es-ES"/>
        </w:rPr>
        <w:t>年的第</w:t>
      </w:r>
      <w:r>
        <w:rPr>
          <w:rFonts w:hint="eastAsia"/>
          <w:lang w:val="es-ES"/>
        </w:rPr>
        <w:t>5</w:t>
      </w:r>
      <w:r>
        <w:rPr>
          <w:rFonts w:hint="eastAsia"/>
          <w:lang w:val="es-ES"/>
        </w:rPr>
        <w:t>号法</w:t>
      </w:r>
      <w:r>
        <w:rPr>
          <w:vertAlign w:val="superscript"/>
          <w:lang w:val="es-ES"/>
        </w:rPr>
        <w:footnoteReference w:id="78"/>
      </w:r>
      <w:r>
        <w:rPr>
          <w:lang w:val="es-ES"/>
        </w:rPr>
        <w:t xml:space="preserve"> </w:t>
      </w:r>
      <w:r>
        <w:rPr>
          <w:rFonts w:hint="eastAsia"/>
          <w:lang w:val="es-ES"/>
        </w:rPr>
        <w:t>进行了修订，并创立了共和国国会妇女平等法律委员会，其主旨是促进妇女参与实施立法工作和政治</w:t>
      </w:r>
      <w:r>
        <w:rPr>
          <w:rFonts w:hint="eastAsia"/>
          <w:lang w:val="zh-CN"/>
        </w:rPr>
        <w:t>监管工作。</w:t>
      </w:r>
    </w:p>
    <w:p w:rsidR="00A83775" w:rsidRDefault="00A83775">
      <w:pPr>
        <w:pStyle w:val="SingleTxtGC"/>
      </w:pPr>
      <w:r>
        <w:rPr>
          <w:lang w:val="zh-CN"/>
        </w:rPr>
        <w:t xml:space="preserve">142.  </w:t>
      </w:r>
      <w:r>
        <w:rPr>
          <w:rFonts w:hint="eastAsia"/>
          <w:lang w:val="zh-CN"/>
        </w:rPr>
        <w:t>在司法领域，创立了性别事务国家委员会（</w:t>
      </w:r>
      <w:r>
        <w:rPr>
          <w:rFonts w:hint="eastAsia"/>
          <w:lang w:val="zh-CN"/>
        </w:rPr>
        <w:t>2008</w:t>
      </w:r>
      <w:r>
        <w:rPr>
          <w:rFonts w:hint="eastAsia"/>
          <w:lang w:val="zh-CN"/>
        </w:rPr>
        <w:t>年），其主旨是促进有效落实在司法决策中的男女机会平等和不以性别为由进行歧视。</w:t>
      </w:r>
    </w:p>
    <w:p w:rsidR="00A83775" w:rsidRDefault="00A83775">
      <w:pPr>
        <w:pStyle w:val="SingleTxtGC"/>
        <w:rPr>
          <w:lang w:val="es-ES"/>
        </w:rPr>
      </w:pPr>
      <w:r>
        <w:rPr>
          <w:lang w:val="zh-CN"/>
        </w:rPr>
        <w:t xml:space="preserve">143.  </w:t>
      </w:r>
      <w:r>
        <w:rPr>
          <w:rFonts w:hint="eastAsia"/>
          <w:lang w:val="zh-CN"/>
        </w:rPr>
        <w:t>监管部门（国家总检察长办公室和公民权利监察员办公室），因负有捍卫和增进人</w:t>
      </w:r>
      <w:r>
        <w:rPr>
          <w:rFonts w:hint="eastAsia"/>
          <w:lang w:val="es-ES"/>
        </w:rPr>
        <w:t>权之职，已经努力加强了其在遵守和落实妇女人权方面的能力、机制和程序。国家总检察长办公室</w:t>
      </w:r>
      <w:r>
        <w:rPr>
          <w:vertAlign w:val="superscript"/>
          <w:lang w:val="en-GB"/>
        </w:rPr>
        <w:footnoteReference w:id="79"/>
      </w:r>
      <w:r>
        <w:rPr>
          <w:lang w:val="es-ES"/>
        </w:rPr>
        <w:t xml:space="preserve"> </w:t>
      </w:r>
      <w:r>
        <w:rPr>
          <w:rFonts w:hint="eastAsia"/>
          <w:lang w:val="es-ES"/>
        </w:rPr>
        <w:t>凭借其对预防和监管行政和司法部门的行为、开展纪律监察和行政司法干预的职能，开展实施各项战略来跟踪落实《消除对妇女一切形式歧视公约》。</w:t>
      </w:r>
      <w:r>
        <w:rPr>
          <w:vertAlign w:val="superscript"/>
          <w:lang w:val="en-GB"/>
        </w:rPr>
        <w:footnoteReference w:id="80"/>
      </w:r>
      <w:r>
        <w:rPr>
          <w:lang w:val="es-ES"/>
        </w:rPr>
        <w:t xml:space="preserve"> </w:t>
      </w:r>
      <w:r>
        <w:rPr>
          <w:rFonts w:hint="eastAsia"/>
          <w:lang w:val="es-ES"/>
        </w:rPr>
        <w:t>在前面提到的高级监察体系的协助下，国家总检察长办公室致力于营造平等氛围，预防涉及性别问题和妇女权利的歧视、不公和暴力现象，为此倡导：</w:t>
      </w:r>
      <w:r>
        <w:rPr>
          <w:rFonts w:hint="eastAsia"/>
          <w:lang w:val="es-ES"/>
        </w:rPr>
        <w:t xml:space="preserve">(a) </w:t>
      </w:r>
      <w:r>
        <w:rPr>
          <w:rFonts w:hint="eastAsia"/>
          <w:lang w:val="es-ES"/>
        </w:rPr>
        <w:t>推进在公共治理中纳入性别观点；</w:t>
      </w:r>
      <w:r>
        <w:rPr>
          <w:rFonts w:hint="eastAsia"/>
          <w:lang w:val="es-ES"/>
        </w:rPr>
        <w:t xml:space="preserve">(b) </w:t>
      </w:r>
      <w:r>
        <w:rPr>
          <w:rFonts w:hint="eastAsia"/>
          <w:lang w:val="es-ES"/>
        </w:rPr>
        <w:t>确保各机关落实其在权利方面负有的责任；</w:t>
      </w:r>
      <w:r>
        <w:rPr>
          <w:rFonts w:hint="eastAsia"/>
          <w:lang w:val="es-ES"/>
        </w:rPr>
        <w:t xml:space="preserve">(c) </w:t>
      </w:r>
      <w:r>
        <w:rPr>
          <w:rFonts w:hint="eastAsia"/>
          <w:lang w:val="es-ES"/>
        </w:rPr>
        <w:t>促进及时生成与权利有关的高质量信息，并注意按性别、区域、种族和年龄分列；</w:t>
      </w:r>
      <w:r>
        <w:rPr>
          <w:rFonts w:hint="eastAsia"/>
          <w:lang w:val="es-ES"/>
        </w:rPr>
        <w:t xml:space="preserve">(d) </w:t>
      </w:r>
      <w:r>
        <w:rPr>
          <w:rFonts w:hint="eastAsia"/>
          <w:lang w:val="es-ES"/>
        </w:rPr>
        <w:t>促进与性别问题有关的国际法规的认识、调整和因地制宜的应用；</w:t>
      </w:r>
      <w:r>
        <w:rPr>
          <w:rFonts w:hint="eastAsia"/>
          <w:lang w:val="es-ES"/>
        </w:rPr>
        <w:t xml:space="preserve">(e) </w:t>
      </w:r>
      <w:r>
        <w:rPr>
          <w:rFonts w:hint="eastAsia"/>
          <w:lang w:val="es-ES"/>
        </w:rPr>
        <w:t>加强社区在巩固跟踪和监督进程中的作用。监督的结果将通过《谋求平等》杂志面向全国公布。</w:t>
      </w:r>
    </w:p>
    <w:p w:rsidR="00A83775" w:rsidRDefault="00A83775">
      <w:pPr>
        <w:pStyle w:val="SingleTxtGC"/>
        <w:rPr>
          <w:lang w:val="zh-CN"/>
        </w:rPr>
      </w:pPr>
      <w:r>
        <w:rPr>
          <w:lang w:val="es-MX"/>
        </w:rPr>
        <w:t xml:space="preserve">144.  </w:t>
      </w:r>
      <w:r>
        <w:rPr>
          <w:rFonts w:hint="eastAsia"/>
          <w:lang w:val="es-MX"/>
        </w:rPr>
        <w:t>国家总检察长办公室同样也已经逐步在内部推进了针对领导层、普通公职人员以及国内的所有本部门从业人员的能力强化工作，开展了有助于提高检察部门素质的活动，以便适应法治国家本身的要求，在打造平等事业上取得进展。遵</w:t>
      </w:r>
      <w:r>
        <w:rPr>
          <w:rFonts w:hint="eastAsia"/>
          <w:lang w:val="zh-CN"/>
        </w:rPr>
        <w:t>照</w:t>
      </w:r>
      <w:r>
        <w:rPr>
          <w:rFonts w:hint="eastAsia"/>
          <w:lang w:val="zh-CN"/>
        </w:rPr>
        <w:t>2010</w:t>
      </w:r>
      <w:r>
        <w:rPr>
          <w:rFonts w:hint="eastAsia"/>
          <w:lang w:val="zh-CN"/>
        </w:rPr>
        <w:t>年</w:t>
      </w:r>
      <w:r>
        <w:rPr>
          <w:rFonts w:hint="eastAsia"/>
          <w:lang w:val="zh-CN"/>
        </w:rPr>
        <w:t>5</w:t>
      </w:r>
      <w:r>
        <w:rPr>
          <w:rFonts w:hint="eastAsia"/>
          <w:lang w:val="zh-CN"/>
        </w:rPr>
        <w:t>月</w:t>
      </w:r>
      <w:r>
        <w:rPr>
          <w:rFonts w:hint="eastAsia"/>
          <w:lang w:val="zh-CN"/>
        </w:rPr>
        <w:t>24</w:t>
      </w:r>
      <w:r>
        <w:rPr>
          <w:rFonts w:hint="eastAsia"/>
          <w:lang w:val="zh-CN"/>
        </w:rPr>
        <w:t>日颁布的第</w:t>
      </w:r>
      <w:r>
        <w:rPr>
          <w:rFonts w:hint="eastAsia"/>
          <w:lang w:val="zh-CN"/>
        </w:rPr>
        <w:t>210</w:t>
      </w:r>
      <w:r>
        <w:rPr>
          <w:rFonts w:hint="eastAsia"/>
          <w:lang w:val="zh-CN"/>
        </w:rPr>
        <w:t>号决议，国家总检察长办公室批准了检察部门平等和不歧视政策，目的是使国家总检察长办公室、公民权利监察员办公室的所有公职人员以及市政机关人员都在执行公务时执行这一政策，并借此谋求有效落实男女之间的真正平等。</w:t>
      </w:r>
    </w:p>
    <w:p w:rsidR="00A83775" w:rsidRDefault="00A83775">
      <w:pPr>
        <w:pStyle w:val="SingleTxtGC"/>
        <w:rPr>
          <w:lang w:val="zh-CN"/>
        </w:rPr>
      </w:pPr>
      <w:r>
        <w:rPr>
          <w:lang w:val="zh-CN"/>
        </w:rPr>
        <w:t xml:space="preserve">145.  </w:t>
      </w:r>
      <w:r>
        <w:rPr>
          <w:rFonts w:hint="eastAsia"/>
          <w:lang w:val="zh-CN"/>
        </w:rPr>
        <w:t>公民权利监察员办公室，通过儿童、青少年和妇女权利保护代表机构和流离失所人口关爱办事处对国家各机关单位在落实与妇女人权有关的国际文书的工作上进行了跟踪和检查，并敦促将性别观点纳入到各项公共政策中；推动落实着重于预防、惩治和克服歧视和对妇女、少女和女童的暴力侵害问题的差别化观点；并加强妇女的参与，推进提高妇女地位和赋予女性权利的进程。</w:t>
      </w:r>
    </w:p>
    <w:p w:rsidR="00A83775" w:rsidRDefault="00A83775">
      <w:pPr>
        <w:pStyle w:val="SingleTxtGC"/>
        <w:rPr>
          <w:lang w:val="es-ES"/>
        </w:rPr>
      </w:pPr>
      <w:r>
        <w:rPr>
          <w:lang w:val="zh-CN"/>
        </w:rPr>
        <w:t xml:space="preserve">146.  </w:t>
      </w:r>
      <w:r>
        <w:rPr>
          <w:rFonts w:hint="eastAsia"/>
          <w:lang w:val="zh-CN"/>
        </w:rPr>
        <w:t>在</w:t>
      </w:r>
      <w:r>
        <w:rPr>
          <w:rFonts w:hint="eastAsia"/>
          <w:lang w:val="zh-CN"/>
        </w:rPr>
        <w:t>200</w:t>
      </w:r>
      <w:r>
        <w:rPr>
          <w:rFonts w:hint="eastAsia"/>
          <w:lang w:val="es-CO"/>
        </w:rPr>
        <w:t>9-2012</w:t>
      </w:r>
      <w:r>
        <w:rPr>
          <w:rFonts w:hint="eastAsia"/>
          <w:lang w:val="es-CO"/>
        </w:rPr>
        <w:t>年战略计划中公民权利监察员办公室纳入了以下战略行动：</w:t>
      </w:r>
    </w:p>
    <w:p w:rsidR="00A83775" w:rsidRDefault="00A83775">
      <w:pPr>
        <w:pStyle w:val="SingleTxtGC"/>
        <w:numPr>
          <w:ilvl w:val="0"/>
          <w:numId w:val="26"/>
        </w:numPr>
        <w:rPr>
          <w:rFonts w:hint="eastAsia"/>
          <w:lang w:val="es-ES"/>
        </w:rPr>
      </w:pPr>
      <w:r>
        <w:rPr>
          <w:rFonts w:hint="eastAsia"/>
          <w:lang w:val="es-ES"/>
        </w:rPr>
        <w:t>制定和推行公共政策，将着力点落在了保护遭受社会政治侵害的妇女以及实施和落实</w:t>
      </w:r>
      <w:r>
        <w:rPr>
          <w:rFonts w:hint="eastAsia"/>
          <w:lang w:val="es-ES"/>
        </w:rPr>
        <w:t>2008</w:t>
      </w:r>
      <w:r>
        <w:rPr>
          <w:rFonts w:hint="eastAsia"/>
          <w:lang w:val="es-ES"/>
        </w:rPr>
        <w:t>年的第</w:t>
      </w:r>
      <w:r>
        <w:rPr>
          <w:rFonts w:hint="eastAsia"/>
          <w:lang w:val="es-ES"/>
        </w:rPr>
        <w:t>1257</w:t>
      </w:r>
      <w:r>
        <w:rPr>
          <w:rFonts w:hint="eastAsia"/>
          <w:lang w:val="es-ES"/>
        </w:rPr>
        <w:t>号法这两项工作上；</w:t>
      </w:r>
    </w:p>
    <w:p w:rsidR="00A83775" w:rsidRDefault="00A83775">
      <w:pPr>
        <w:pStyle w:val="SingleTxtGC"/>
        <w:numPr>
          <w:ilvl w:val="0"/>
          <w:numId w:val="26"/>
        </w:numPr>
        <w:rPr>
          <w:lang w:val="es-ES"/>
        </w:rPr>
      </w:pPr>
      <w:r>
        <w:rPr>
          <w:rFonts w:hint="eastAsia"/>
          <w:lang w:val="es-ES"/>
        </w:rPr>
        <w:t>确保受害妇女能够通过司法途径伸张正义；</w:t>
      </w:r>
    </w:p>
    <w:p w:rsidR="00A83775" w:rsidRDefault="00A83775">
      <w:pPr>
        <w:pStyle w:val="SingleTxtGC"/>
        <w:numPr>
          <w:ilvl w:val="0"/>
          <w:numId w:val="26"/>
        </w:numPr>
        <w:rPr>
          <w:lang w:val="es-ES"/>
        </w:rPr>
      </w:pPr>
      <w:r>
        <w:rPr>
          <w:rFonts w:hint="eastAsia"/>
          <w:lang w:val="es-ES"/>
        </w:rPr>
        <w:t>针对</w:t>
      </w:r>
      <w:r>
        <w:rPr>
          <w:rFonts w:hint="eastAsia"/>
          <w:lang w:val="es-ES"/>
        </w:rPr>
        <w:t>2008</w:t>
      </w:r>
      <w:r>
        <w:rPr>
          <w:rFonts w:hint="eastAsia"/>
          <w:lang w:val="es-ES"/>
        </w:rPr>
        <w:t>年的第</w:t>
      </w:r>
      <w:r>
        <w:rPr>
          <w:rFonts w:hint="eastAsia"/>
          <w:lang w:val="es-ES"/>
        </w:rPr>
        <w:t>1257</w:t>
      </w:r>
      <w:r>
        <w:rPr>
          <w:rFonts w:hint="eastAsia"/>
          <w:lang w:val="es-ES"/>
        </w:rPr>
        <w:t>号法开展宣传推广和培训活动；</w:t>
      </w:r>
    </w:p>
    <w:p w:rsidR="00A83775" w:rsidRDefault="00A83775">
      <w:pPr>
        <w:pStyle w:val="SingleTxtGC"/>
        <w:numPr>
          <w:ilvl w:val="0"/>
          <w:numId w:val="26"/>
        </w:numPr>
        <w:rPr>
          <w:lang w:val="es-ES"/>
        </w:rPr>
      </w:pPr>
      <w:r>
        <w:rPr>
          <w:rFonts w:hint="eastAsia"/>
          <w:lang w:val="es-ES"/>
        </w:rPr>
        <w:t>宣传和增进性权利和生殖权利；</w:t>
      </w:r>
    </w:p>
    <w:p w:rsidR="00A83775" w:rsidRDefault="00A83775">
      <w:pPr>
        <w:pStyle w:val="SingleTxtGC"/>
        <w:numPr>
          <w:ilvl w:val="0"/>
          <w:numId w:val="26"/>
        </w:numPr>
        <w:rPr>
          <w:rFonts w:hint="eastAsia"/>
          <w:lang w:val="es-ES"/>
        </w:rPr>
      </w:pPr>
      <w:r>
        <w:rPr>
          <w:rFonts w:hint="eastAsia"/>
          <w:lang w:val="es-ES"/>
        </w:rPr>
        <w:t>提高公民权利监察员办公室的服务质量，落实对受害妇女的关爱；</w:t>
      </w:r>
    </w:p>
    <w:p w:rsidR="00A83775" w:rsidRDefault="00A83775">
      <w:pPr>
        <w:pStyle w:val="SingleTxtGC"/>
        <w:numPr>
          <w:ilvl w:val="0"/>
          <w:numId w:val="26"/>
        </w:numPr>
        <w:rPr>
          <w:lang w:val="es-CO"/>
        </w:rPr>
      </w:pPr>
      <w:r>
        <w:rPr>
          <w:rFonts w:hint="eastAsia"/>
          <w:lang w:val="es-ES"/>
        </w:rPr>
        <w:t>在教育领域增进女童和少女的权利，预防对此类人口的歧视。</w:t>
      </w:r>
    </w:p>
    <w:p w:rsidR="00A83775" w:rsidRDefault="00A83775">
      <w:pPr>
        <w:pStyle w:val="SingleTxtGC"/>
        <w:rPr>
          <w:lang w:val="zh-CN"/>
        </w:rPr>
      </w:pPr>
      <w:r>
        <w:rPr>
          <w:lang w:val="es-ES"/>
        </w:rPr>
        <w:t xml:space="preserve">147.  </w:t>
      </w:r>
      <w:r>
        <w:rPr>
          <w:rFonts w:hint="eastAsia"/>
          <w:lang w:val="es-ES"/>
        </w:rPr>
        <w:t>而共和国审计总署，</w:t>
      </w:r>
      <w:r>
        <w:rPr>
          <w:vertAlign w:val="superscript"/>
          <w:lang w:val="es-ES"/>
        </w:rPr>
        <w:footnoteReference w:id="81"/>
      </w:r>
      <w:r>
        <w:rPr>
          <w:lang w:val="es-ES"/>
        </w:rPr>
        <w:t xml:space="preserve"> </w:t>
      </w:r>
      <w:r>
        <w:rPr>
          <w:rFonts w:hint="eastAsia"/>
          <w:lang w:val="es-ES"/>
        </w:rPr>
        <w:t>通过在各公共机关坚持开展改进行动，从</w:t>
      </w:r>
      <w:r>
        <w:rPr>
          <w:rFonts w:hint="eastAsia"/>
          <w:lang w:val="es-ES"/>
        </w:rPr>
        <w:t>5</w:t>
      </w:r>
      <w:r>
        <w:rPr>
          <w:rFonts w:hint="eastAsia"/>
          <w:lang w:val="es-ES"/>
        </w:rPr>
        <w:t>年前开始推进将性</w:t>
      </w:r>
      <w:r>
        <w:rPr>
          <w:rFonts w:hint="eastAsia"/>
          <w:lang w:val="zh-CN"/>
        </w:rPr>
        <w:t>别观点内化到部门政策中。最近已经设计拟定了两性平等和多样化方案，该方案奉行一条针对这一主题的审计方针，以便为性别事务划拨相应预算。</w:t>
      </w:r>
    </w:p>
    <w:p w:rsidR="00A83775" w:rsidRDefault="00A83775">
      <w:pPr>
        <w:pStyle w:val="SingleTxtGC"/>
        <w:rPr>
          <w:lang w:val="es-ES"/>
        </w:rPr>
      </w:pPr>
      <w:r>
        <w:rPr>
          <w:lang w:val="zh-CN"/>
        </w:rPr>
        <w:t xml:space="preserve">148.  </w:t>
      </w:r>
      <w:r>
        <w:rPr>
          <w:rFonts w:hint="eastAsia"/>
          <w:lang w:val="zh-CN"/>
        </w:rPr>
        <w:t>在私人领域，在落实</w:t>
      </w:r>
      <w:r>
        <w:rPr>
          <w:rFonts w:hint="eastAsia"/>
          <w:lang w:val="zh-CN"/>
        </w:rPr>
        <w:t>2005</w:t>
      </w:r>
      <w:r>
        <w:rPr>
          <w:rFonts w:hint="eastAsia"/>
          <w:lang w:val="zh-CN"/>
        </w:rPr>
        <w:t>年的男女平等国家协议的各项承诺的过程中，以及通过司法</w:t>
      </w:r>
      <w:r>
        <w:rPr>
          <w:rFonts w:hint="eastAsia"/>
          <w:lang w:val="en-GB"/>
        </w:rPr>
        <w:t>途径捍卫哥伦比亚妇女权利的战略计划的实施进程中，发现在妇女充分参与劳动市场和其他领域方面存在很多困难，为此，妇女平等事务总统高级顾问办公室推行了一项战略，与各家行会和私人企业开展合作，以签署劳动平等议程，在其中，行会部门明确承诺将敦促各企业实现两性平等，以提高妇女地位，落实各项具体行动，确保妇女有效融入劳动部门。</w:t>
      </w:r>
      <w:r>
        <w:rPr>
          <w:lang w:val="es-ES"/>
        </w:rPr>
        <w:t xml:space="preserve"> </w:t>
      </w:r>
    </w:p>
    <w:p w:rsidR="00A83775" w:rsidRDefault="00A83775">
      <w:pPr>
        <w:pStyle w:val="H23GC"/>
        <w:rPr>
          <w:lang w:val="es-ES"/>
        </w:rPr>
      </w:pPr>
      <w:r>
        <w:rPr>
          <w:lang w:val="es-ES"/>
        </w:rPr>
        <w:tab/>
        <w:t>2.</w:t>
      </w:r>
      <w:r>
        <w:rPr>
          <w:lang w:val="es-ES"/>
        </w:rPr>
        <w:tab/>
      </w:r>
      <w:r>
        <w:rPr>
          <w:rFonts w:hint="eastAsia"/>
          <w:lang w:val="es-ES"/>
        </w:rPr>
        <w:t>立法措施</w:t>
      </w:r>
    </w:p>
    <w:p w:rsidR="00A83775" w:rsidRDefault="00A83775">
      <w:pPr>
        <w:pStyle w:val="SingleTxtGC"/>
        <w:rPr>
          <w:lang w:val="es-ES"/>
        </w:rPr>
      </w:pPr>
      <w:r>
        <w:rPr>
          <w:lang w:val="es-ES"/>
        </w:rPr>
        <w:t xml:space="preserve">149.  </w:t>
      </w:r>
      <w:r>
        <w:rPr>
          <w:rFonts w:hint="eastAsia"/>
          <w:lang w:val="es-ES"/>
        </w:rPr>
        <w:t>在这些条文对应的附件</w:t>
      </w:r>
      <w:r>
        <w:rPr>
          <w:rFonts w:hint="eastAsia"/>
          <w:lang w:val="es-ES"/>
        </w:rPr>
        <w:t>2</w:t>
      </w:r>
      <w:r>
        <w:rPr>
          <w:rFonts w:hint="eastAsia"/>
          <w:lang w:val="es-ES"/>
        </w:rPr>
        <w:t>中，包含了以下立法措施的文本：</w:t>
      </w:r>
    </w:p>
    <w:p w:rsidR="00A83775" w:rsidRDefault="00A83775">
      <w:pPr>
        <w:pStyle w:val="SingleTxtGC"/>
        <w:numPr>
          <w:ilvl w:val="0"/>
          <w:numId w:val="27"/>
        </w:numPr>
        <w:rPr>
          <w:lang w:val="es-ES"/>
        </w:rPr>
      </w:pPr>
      <w:r>
        <w:rPr>
          <w:rFonts w:hint="eastAsia"/>
          <w:lang w:val="es-ES"/>
        </w:rPr>
        <w:t>2011</w:t>
      </w:r>
      <w:r>
        <w:rPr>
          <w:rFonts w:hint="eastAsia"/>
          <w:lang w:val="es-ES"/>
        </w:rPr>
        <w:t>年的第</w:t>
      </w:r>
      <w:r>
        <w:rPr>
          <w:rFonts w:hint="eastAsia"/>
          <w:lang w:val="es-ES"/>
        </w:rPr>
        <w:t>1434</w:t>
      </w:r>
      <w:r>
        <w:rPr>
          <w:rFonts w:hint="eastAsia"/>
          <w:lang w:val="es-ES"/>
        </w:rPr>
        <w:t>号法，依据这一法律成立了</w:t>
      </w:r>
      <w:r>
        <w:rPr>
          <w:lang w:val="en-GB"/>
        </w:rPr>
        <w:t>共和国国会妇女平等法律委员会</w:t>
      </w:r>
      <w:r>
        <w:rPr>
          <w:rFonts w:hint="eastAsia"/>
          <w:lang w:val="en-GB"/>
        </w:rPr>
        <w:t>；</w:t>
      </w:r>
    </w:p>
    <w:p w:rsidR="00A83775" w:rsidRDefault="00A83775">
      <w:pPr>
        <w:pStyle w:val="SingleTxtGC"/>
        <w:numPr>
          <w:ilvl w:val="0"/>
          <w:numId w:val="27"/>
        </w:numPr>
        <w:rPr>
          <w:lang w:val="es-ES"/>
        </w:rPr>
      </w:pPr>
      <w:r>
        <w:rPr>
          <w:rFonts w:hint="eastAsia"/>
          <w:lang w:val="es-ES"/>
        </w:rPr>
        <w:t>2010</w:t>
      </w:r>
      <w:r>
        <w:rPr>
          <w:rFonts w:hint="eastAsia"/>
          <w:lang w:val="es-ES"/>
        </w:rPr>
        <w:t>年的第</w:t>
      </w:r>
      <w:r>
        <w:rPr>
          <w:rFonts w:hint="eastAsia"/>
          <w:lang w:val="es-ES"/>
        </w:rPr>
        <w:t>1413</w:t>
      </w:r>
      <w:r>
        <w:rPr>
          <w:rFonts w:hint="eastAsia"/>
          <w:lang w:val="es-ES"/>
        </w:rPr>
        <w:t>号法，依据这一法律规定将无薪家务劳动也纳入到经济活动中，计入国民核算体系；</w:t>
      </w:r>
    </w:p>
    <w:p w:rsidR="00A83775" w:rsidRDefault="00A83775">
      <w:pPr>
        <w:pStyle w:val="SingleTxtGC"/>
        <w:numPr>
          <w:ilvl w:val="0"/>
          <w:numId w:val="27"/>
        </w:numPr>
        <w:rPr>
          <w:lang w:val="es-ES"/>
        </w:rPr>
      </w:pPr>
      <w:r>
        <w:rPr>
          <w:rFonts w:hint="eastAsia"/>
          <w:lang w:val="es-ES"/>
        </w:rPr>
        <w:t>2010</w:t>
      </w:r>
      <w:r>
        <w:rPr>
          <w:rFonts w:hint="eastAsia"/>
          <w:lang w:val="es-ES"/>
        </w:rPr>
        <w:t>年的第</w:t>
      </w:r>
      <w:r>
        <w:rPr>
          <w:rFonts w:hint="eastAsia"/>
          <w:lang w:val="es-ES"/>
        </w:rPr>
        <w:t>164</w:t>
      </w:r>
      <w:r>
        <w:rPr>
          <w:rFonts w:hint="eastAsia"/>
          <w:lang w:val="es-ES"/>
        </w:rPr>
        <w:t>号法令，依据这一法令创立了“</w:t>
      </w:r>
      <w:r>
        <w:rPr>
          <w:rFonts w:hint="eastAsia"/>
          <w:lang w:val="en-GB"/>
        </w:rPr>
        <w:t>根除暴力侵害妇女行为机构间工作组</w:t>
      </w:r>
      <w:r>
        <w:rPr>
          <w:rFonts w:hint="eastAsia"/>
          <w:lang w:val="es-ES"/>
        </w:rPr>
        <w:t>”这一部际委员会；</w:t>
      </w:r>
    </w:p>
    <w:p w:rsidR="00A83775" w:rsidRDefault="00A83775">
      <w:pPr>
        <w:pStyle w:val="SingleTxtGC"/>
        <w:numPr>
          <w:ilvl w:val="0"/>
          <w:numId w:val="27"/>
        </w:numPr>
        <w:rPr>
          <w:lang w:val="es-CO"/>
        </w:rPr>
      </w:pPr>
      <w:r>
        <w:rPr>
          <w:rFonts w:hint="eastAsia"/>
          <w:lang w:val="es-ES"/>
        </w:rPr>
        <w:t>2010</w:t>
      </w:r>
      <w:r>
        <w:rPr>
          <w:rFonts w:hint="eastAsia"/>
          <w:lang w:val="es-ES"/>
        </w:rPr>
        <w:t>年的第</w:t>
      </w:r>
      <w:r>
        <w:rPr>
          <w:rFonts w:hint="eastAsia"/>
          <w:lang w:val="es-ES"/>
        </w:rPr>
        <w:t>3445</w:t>
      </w:r>
      <w:r>
        <w:rPr>
          <w:rFonts w:hint="eastAsia"/>
          <w:lang w:val="es-ES"/>
        </w:rPr>
        <w:t>号法令，规定批准</w:t>
      </w:r>
      <w:r>
        <w:rPr>
          <w:rFonts w:hint="eastAsia"/>
          <w:lang w:val="es-ES"/>
        </w:rPr>
        <w:t>2003</w:t>
      </w:r>
      <w:r>
        <w:rPr>
          <w:rFonts w:hint="eastAsia"/>
          <w:lang w:val="es-ES"/>
        </w:rPr>
        <w:t>年第</w:t>
      </w:r>
      <w:r>
        <w:rPr>
          <w:rFonts w:hint="eastAsia"/>
          <w:lang w:val="es-ES"/>
        </w:rPr>
        <w:t>517</w:t>
      </w:r>
      <w:r>
        <w:rPr>
          <w:rFonts w:hint="eastAsia"/>
          <w:lang w:val="es-ES"/>
        </w:rPr>
        <w:t>号法令赋予妇女平等事务总统高级顾问办公室的各项职能，并将其级别转变为总统高级顾问办公室；</w:t>
      </w:r>
    </w:p>
    <w:p w:rsidR="00A83775" w:rsidRDefault="00A83775">
      <w:pPr>
        <w:pStyle w:val="SingleTxtGC"/>
        <w:numPr>
          <w:ilvl w:val="0"/>
          <w:numId w:val="27"/>
        </w:numPr>
        <w:rPr>
          <w:lang w:val="es-CO"/>
        </w:rPr>
      </w:pPr>
      <w:r>
        <w:rPr>
          <w:lang w:val="es-MX"/>
        </w:rPr>
        <w:t>2010</w:t>
      </w:r>
      <w:r>
        <w:rPr>
          <w:rFonts w:hint="eastAsia"/>
          <w:lang w:val="es-MX"/>
        </w:rPr>
        <w:t>年</w:t>
      </w:r>
      <w:r>
        <w:rPr>
          <w:rFonts w:hint="eastAsia"/>
          <w:lang w:val="es-MX"/>
        </w:rPr>
        <w:t>5</w:t>
      </w:r>
      <w:r>
        <w:rPr>
          <w:rFonts w:hint="eastAsia"/>
          <w:lang w:val="es-MX"/>
        </w:rPr>
        <w:t>月</w:t>
      </w:r>
      <w:r>
        <w:rPr>
          <w:rFonts w:hint="eastAsia"/>
          <w:lang w:val="es-MX"/>
        </w:rPr>
        <w:t>24</w:t>
      </w:r>
      <w:r>
        <w:rPr>
          <w:rFonts w:hint="eastAsia"/>
          <w:lang w:val="es-MX"/>
        </w:rPr>
        <w:t>日的第</w:t>
      </w:r>
      <w:r>
        <w:rPr>
          <w:rFonts w:hint="eastAsia"/>
          <w:lang w:val="es-MX"/>
        </w:rPr>
        <w:t>210</w:t>
      </w:r>
      <w:r>
        <w:rPr>
          <w:rFonts w:hint="eastAsia"/>
          <w:lang w:val="es-MX"/>
        </w:rPr>
        <w:t>号决议，规定采用总检察院的平等和不歧视政策；</w:t>
      </w:r>
    </w:p>
    <w:p w:rsidR="00A83775" w:rsidRDefault="00A83775">
      <w:pPr>
        <w:pStyle w:val="SingleTxtGC"/>
        <w:numPr>
          <w:ilvl w:val="0"/>
          <w:numId w:val="27"/>
        </w:numPr>
        <w:rPr>
          <w:rFonts w:hint="eastAsia"/>
          <w:lang w:val="es-ES"/>
        </w:rPr>
      </w:pPr>
      <w:r>
        <w:rPr>
          <w:rFonts w:hint="eastAsia"/>
          <w:lang w:val="es-CO"/>
        </w:rPr>
        <w:t>最高司法委员会</w:t>
      </w:r>
      <w:r>
        <w:rPr>
          <w:rFonts w:hint="eastAsia"/>
          <w:lang w:val="es-CO"/>
        </w:rPr>
        <w:t>2008</w:t>
      </w:r>
      <w:r>
        <w:rPr>
          <w:rFonts w:hint="eastAsia"/>
          <w:lang w:val="es-CO"/>
        </w:rPr>
        <w:t>年颁布的第</w:t>
      </w:r>
      <w:r>
        <w:rPr>
          <w:rFonts w:hint="eastAsia"/>
          <w:lang w:val="es-CO"/>
        </w:rPr>
        <w:t>4552</w:t>
      </w:r>
      <w:r>
        <w:rPr>
          <w:rFonts w:hint="eastAsia"/>
          <w:lang w:val="es-CO"/>
        </w:rPr>
        <w:t>号决议，据此创立了</w:t>
      </w:r>
      <w:r>
        <w:rPr>
          <w:lang w:val="en-GB"/>
        </w:rPr>
        <w:t>司法部门性别事务国家委员会</w:t>
      </w:r>
      <w:r>
        <w:rPr>
          <w:rFonts w:hint="eastAsia"/>
          <w:lang w:val="es-ES"/>
        </w:rPr>
        <w:t>；</w:t>
      </w:r>
    </w:p>
    <w:p w:rsidR="00A83775" w:rsidRDefault="00A83775">
      <w:pPr>
        <w:pStyle w:val="SingleTxtGC"/>
        <w:numPr>
          <w:ilvl w:val="0"/>
          <w:numId w:val="27"/>
        </w:numPr>
        <w:rPr>
          <w:rFonts w:hint="eastAsia"/>
          <w:spacing w:val="-2"/>
          <w:lang w:val="es-ES"/>
        </w:rPr>
      </w:pPr>
      <w:r>
        <w:rPr>
          <w:rFonts w:hint="eastAsia"/>
          <w:spacing w:val="-2"/>
          <w:lang w:val="es-ES"/>
        </w:rPr>
        <w:t>2007</w:t>
      </w:r>
      <w:r>
        <w:rPr>
          <w:rFonts w:hint="eastAsia"/>
          <w:spacing w:val="-2"/>
          <w:lang w:val="es-ES"/>
        </w:rPr>
        <w:t>年的第</w:t>
      </w:r>
      <w:r>
        <w:rPr>
          <w:rFonts w:hint="eastAsia"/>
          <w:spacing w:val="-2"/>
          <w:lang w:val="es-ES"/>
        </w:rPr>
        <w:t>1151</w:t>
      </w:r>
      <w:r>
        <w:rPr>
          <w:rFonts w:hint="eastAsia"/>
          <w:spacing w:val="-2"/>
          <w:lang w:val="es-ES"/>
        </w:rPr>
        <w:t>号法，据此通过了《</w:t>
      </w:r>
      <w:r>
        <w:rPr>
          <w:rFonts w:hint="eastAsia"/>
          <w:spacing w:val="-2"/>
          <w:lang w:val="es-ES"/>
        </w:rPr>
        <w:t>2006-2010</w:t>
      </w:r>
      <w:r>
        <w:rPr>
          <w:rFonts w:hint="eastAsia"/>
          <w:spacing w:val="-2"/>
          <w:lang w:val="es-ES"/>
        </w:rPr>
        <w:t>年国家发展计划》。</w:t>
      </w:r>
      <w:r>
        <w:rPr>
          <w:spacing w:val="-2"/>
          <w:vertAlign w:val="superscript"/>
          <w:lang w:val="es-ES"/>
        </w:rPr>
        <w:footnoteReference w:id="82"/>
      </w:r>
    </w:p>
    <w:p w:rsidR="00A83775" w:rsidRDefault="00A83775">
      <w:pPr>
        <w:pStyle w:val="H23GC"/>
        <w:rPr>
          <w:lang w:val="es-ES"/>
        </w:rPr>
      </w:pPr>
      <w:r>
        <w:rPr>
          <w:lang w:val="es-ES"/>
        </w:rPr>
        <w:tab/>
        <w:t>3.</w:t>
      </w:r>
      <w:r>
        <w:rPr>
          <w:lang w:val="es-ES"/>
        </w:rPr>
        <w:tab/>
      </w:r>
      <w:r>
        <w:rPr>
          <w:rFonts w:hint="eastAsia"/>
          <w:lang w:val="es-ES"/>
        </w:rPr>
        <w:t>现状</w:t>
      </w:r>
      <w:r>
        <w:rPr>
          <w:rFonts w:hint="eastAsia"/>
          <w:lang w:val="es-ES"/>
        </w:rPr>
        <w:t>/</w:t>
      </w:r>
      <w:r>
        <w:rPr>
          <w:rFonts w:hint="eastAsia"/>
          <w:lang w:val="es-ES"/>
        </w:rPr>
        <w:t>统计信息</w:t>
      </w:r>
    </w:p>
    <w:p w:rsidR="00A83775" w:rsidRDefault="00A83775">
      <w:pPr>
        <w:pStyle w:val="SingleTxtGC"/>
        <w:rPr>
          <w:lang w:val="es-ES"/>
        </w:rPr>
      </w:pPr>
      <w:r>
        <w:rPr>
          <w:lang w:val="es-ES"/>
        </w:rPr>
        <w:t xml:space="preserve">150.  </w:t>
      </w:r>
      <w:r>
        <w:rPr>
          <w:rFonts w:hint="eastAsia"/>
          <w:lang w:val="es-ES"/>
        </w:rPr>
        <w:t>在本报告中与就业、政治参与、教育、卫生保健等方面有关的每一个章节中，都提到了与男女平等、不歧视、促进妇女发展和提高妇女地位这些原则有关的数据和资料。但是，在本条所对应的附件</w:t>
      </w:r>
      <w:r>
        <w:rPr>
          <w:rFonts w:hint="eastAsia"/>
          <w:lang w:val="es-ES"/>
        </w:rPr>
        <w:t>1</w:t>
      </w:r>
      <w:r>
        <w:rPr>
          <w:rFonts w:hint="eastAsia"/>
          <w:lang w:val="es-ES"/>
        </w:rPr>
        <w:t>中，包含了一则由两性问题观察站编写的关于对国家政府社会政策和与妇女有关的民族安全政策的跟踪监测有关的文件，在其中包含与这方面内容有关的补充信息。</w:t>
      </w:r>
    </w:p>
    <w:p w:rsidR="00A83775" w:rsidRDefault="00A83775">
      <w:pPr>
        <w:pStyle w:val="H23GC"/>
        <w:rPr>
          <w:rFonts w:hint="eastAsia"/>
          <w:lang w:val="es-ES"/>
        </w:rPr>
      </w:pPr>
      <w:r>
        <w:rPr>
          <w:lang w:val="es-ES"/>
        </w:rPr>
        <w:tab/>
        <w:t>4.</w:t>
      </w:r>
      <w:r>
        <w:rPr>
          <w:lang w:val="es-ES"/>
        </w:rPr>
        <w:tab/>
      </w:r>
      <w:r>
        <w:rPr>
          <w:rFonts w:hint="eastAsia"/>
          <w:lang w:val="es-ES"/>
        </w:rPr>
        <w:t>新出台的或酝酿出台的政策</w:t>
      </w:r>
    </w:p>
    <w:p w:rsidR="00A83775" w:rsidRDefault="00A83775">
      <w:pPr>
        <w:pStyle w:val="SingleTxtGC"/>
        <w:rPr>
          <w:lang w:val="zh-CN"/>
        </w:rPr>
      </w:pPr>
      <w:r>
        <w:rPr>
          <w:lang w:val="es-MX"/>
        </w:rPr>
        <w:t xml:space="preserve">151.  </w:t>
      </w:r>
      <w:r>
        <w:rPr>
          <w:lang w:val="en-GB"/>
        </w:rPr>
        <w:t>在</w:t>
      </w:r>
      <w:r>
        <w:rPr>
          <w:rFonts w:hint="eastAsia"/>
          <w:lang w:val="en-GB"/>
        </w:rPr>
        <w:t>《</w:t>
      </w:r>
      <w:r>
        <w:rPr>
          <w:lang w:val="en-GB"/>
        </w:rPr>
        <w:t>2011-2014</w:t>
      </w:r>
      <w:r>
        <w:rPr>
          <w:lang w:val="en-GB"/>
        </w:rPr>
        <w:t>年国家发展计划</w:t>
      </w:r>
      <w:r>
        <w:rPr>
          <w:rFonts w:hint="eastAsia"/>
          <w:lang w:val="en-GB"/>
        </w:rPr>
        <w:t>》</w:t>
      </w:r>
      <w:r>
        <w:rPr>
          <w:lang w:val="en-GB"/>
        </w:rPr>
        <w:t>框架内，国家政府和各家妇女组织通过决议声明有必要制定和实施一项针对妇女的不可分割、相互依存的两性平等公共政策</w:t>
      </w:r>
      <w:r>
        <w:rPr>
          <w:rFonts w:hint="eastAsia"/>
          <w:lang w:val="es-MX"/>
        </w:rPr>
        <w:t>。在</w:t>
      </w:r>
      <w:r>
        <w:rPr>
          <w:rFonts w:hint="eastAsia"/>
          <w:lang w:val="zh-CN"/>
        </w:rPr>
        <w:t>这一进程中特别注意到了对各人口群体（非洲裔哥伦比亚人和土著人口、吉卜赛人、城乡人口）的特殊性；制定专项行动计划，以确保妇女享有远离暴力的生活；对处于流离失所状况的妇女进行全面关爱；并在政治、经济和文化领域实施各项旨在打击歧视妇女现象的战略。</w:t>
      </w:r>
    </w:p>
    <w:p w:rsidR="00A83775" w:rsidRDefault="00A83775">
      <w:pPr>
        <w:pStyle w:val="SingleTxtGC"/>
        <w:rPr>
          <w:lang w:val="es-MX"/>
        </w:rPr>
      </w:pPr>
      <w:r>
        <w:rPr>
          <w:lang w:val="zh-CN"/>
        </w:rPr>
        <w:t xml:space="preserve">152.  </w:t>
      </w:r>
      <w:r>
        <w:rPr>
          <w:rFonts w:hint="eastAsia"/>
          <w:lang w:val="zh-CN"/>
        </w:rPr>
        <w:t>这一政策制定工作的领导机关是妇女平等事务总统高级顾问办公室，并得到了共和国副总统办公室的支持并开展了国际合作。</w:t>
      </w:r>
      <w:r>
        <w:rPr>
          <w:vertAlign w:val="superscript"/>
          <w:lang w:val="zh-CN"/>
        </w:rPr>
        <w:footnoteReference w:id="83"/>
      </w:r>
      <w:r>
        <w:t xml:space="preserve"> </w:t>
      </w:r>
      <w:r>
        <w:rPr>
          <w:rFonts w:hint="eastAsia"/>
          <w:lang w:val="zh-CN"/>
        </w:rPr>
        <w:t>国家政府、妇女组织和国际社会都清楚表达了其支持意愿，纷纷参与其中，推动采取各项战略来确保实现哥伦比亚的男</w:t>
      </w:r>
      <w:r>
        <w:rPr>
          <w:rFonts w:hint="eastAsia"/>
          <w:lang w:val="es-ES"/>
        </w:rPr>
        <w:t>女机会平等。设定的目标是到</w:t>
      </w:r>
      <w:r>
        <w:rPr>
          <w:rFonts w:hint="eastAsia"/>
          <w:lang w:val="es-ES"/>
        </w:rPr>
        <w:t>2012</w:t>
      </w:r>
      <w:r>
        <w:rPr>
          <w:rFonts w:hint="eastAsia"/>
          <w:lang w:val="es-ES"/>
        </w:rPr>
        <w:t>年</w:t>
      </w:r>
      <w:r>
        <w:rPr>
          <w:rFonts w:hint="eastAsia"/>
          <w:lang w:val="es-ES"/>
        </w:rPr>
        <w:t>3</w:t>
      </w:r>
      <w:r>
        <w:rPr>
          <w:rFonts w:hint="eastAsia"/>
          <w:lang w:val="es-ES"/>
        </w:rPr>
        <w:t>月出台这一公共政策。</w:t>
      </w:r>
    </w:p>
    <w:p w:rsidR="00A83775" w:rsidRDefault="00A83775">
      <w:pPr>
        <w:pStyle w:val="SingleTxtGC"/>
        <w:rPr>
          <w:lang w:val="zh-CN"/>
        </w:rPr>
      </w:pPr>
      <w:r>
        <w:rPr>
          <w:lang w:val="es-MX"/>
        </w:rPr>
        <w:t xml:space="preserve">153.  </w:t>
      </w:r>
      <w:r>
        <w:rPr>
          <w:rFonts w:hint="eastAsia"/>
          <w:lang w:val="es-MX"/>
        </w:rPr>
        <w:t>同样，在国家发展计划框架内，政府采取了其他战略来谋求实现两性平等，</w:t>
      </w:r>
      <w:r>
        <w:rPr>
          <w:rFonts w:hint="eastAsia"/>
          <w:lang w:val="zh-CN"/>
        </w:rPr>
        <w:t>其战略重心落在：开发用于衡量无偿劳动的工具；开展部门间行动，以实现机会均等；对基于性别原因的暴力行为进行跟踪监督，并制定相应的指导方针和策略，以根除此类现象；推动妇女参与政治生活。</w:t>
      </w:r>
    </w:p>
    <w:p w:rsidR="00A83775" w:rsidRDefault="00A83775">
      <w:pPr>
        <w:pStyle w:val="SingleTxtGC"/>
        <w:rPr>
          <w:lang w:val="zh-CN"/>
        </w:rPr>
      </w:pPr>
      <w:r>
        <w:rPr>
          <w:lang w:val="zh-CN"/>
        </w:rPr>
        <w:t xml:space="preserve">154.  </w:t>
      </w:r>
      <w:r>
        <w:rPr>
          <w:rFonts w:hint="eastAsia"/>
          <w:lang w:val="zh-CN"/>
        </w:rPr>
        <w:t>针对委员会提出的关于广泛传播委员会各项意见和建议以及旨在提高妇女地位的国际文书的具体意见方面（</w:t>
      </w:r>
      <w:r>
        <w:rPr>
          <w:lang w:val="zh-CN"/>
        </w:rPr>
        <w:t>CEDAW/C/COL/CO/6</w:t>
      </w:r>
      <w:r>
        <w:rPr>
          <w:rFonts w:hint="eastAsia"/>
          <w:lang w:val="zh-CN"/>
        </w:rPr>
        <w:t>，第</w:t>
      </w:r>
      <w:r>
        <w:rPr>
          <w:rFonts w:hint="eastAsia"/>
          <w:lang w:val="zh-CN"/>
        </w:rPr>
        <w:t>36</w:t>
      </w:r>
      <w:r>
        <w:rPr>
          <w:rFonts w:hint="eastAsia"/>
          <w:lang w:val="zh-CN"/>
        </w:rPr>
        <w:t>段），外交部与妇女平等事务总统高级顾问办公室合作，对与保障妇女权利有关的国际文书的执行情况进行了跟踪监督，在公共部门的配合下面向全国开展了提高认识运动、培训活动和工作会议，以确保各项活动和战略的落实，提高妇女地位，履行其承担的国际义务，加强性别问题主流化战略。</w:t>
      </w:r>
    </w:p>
    <w:p w:rsidR="00A83775" w:rsidRDefault="00A83775">
      <w:pPr>
        <w:pStyle w:val="SingleTxtGC"/>
        <w:rPr>
          <w:lang w:val="es-ES"/>
        </w:rPr>
      </w:pPr>
      <w:r>
        <w:rPr>
          <w:lang w:val="zh-CN"/>
        </w:rPr>
        <w:t xml:space="preserve">155.  </w:t>
      </w:r>
      <w:r>
        <w:rPr>
          <w:rFonts w:hint="eastAsia"/>
          <w:lang w:val="zh-CN"/>
        </w:rPr>
        <w:t>而国家总</w:t>
      </w:r>
      <w:r>
        <w:rPr>
          <w:rFonts w:hint="eastAsia"/>
          <w:lang w:val="es-ES"/>
        </w:rPr>
        <w:t>检察长办公室，为促成公共实体代表与社会代表之间的沟通对话，以社会代表的身份在</w:t>
      </w:r>
      <w:r>
        <w:rPr>
          <w:rFonts w:hint="eastAsia"/>
          <w:lang w:val="es-ES"/>
        </w:rPr>
        <w:t>2007-2008</w:t>
      </w:r>
      <w:r>
        <w:rPr>
          <w:rFonts w:hint="eastAsia"/>
          <w:lang w:val="es-ES"/>
        </w:rPr>
        <w:t>年期间开展了若干行动，以强化社区在监督落实消除对妇女歧视委员会向哥伦比亚提出的建议方面的作用。国家总检察长办公室会同国内各家妇女网络，开展了针对《公约》执行情况的建议的跟踪落实的公共听证会，并在这一时期开辟了一个社区与国内和当地政府机关对话的空间，目的是加快制定公共政策的进程。</w:t>
      </w:r>
    </w:p>
    <w:p w:rsidR="00A83775" w:rsidRDefault="00A83775">
      <w:pPr>
        <w:pStyle w:val="SingleTxtGC"/>
        <w:rPr>
          <w:lang w:val="zh-CN"/>
        </w:rPr>
      </w:pPr>
      <w:r>
        <w:rPr>
          <w:lang w:val="es-ES"/>
        </w:rPr>
        <w:t xml:space="preserve">156.  </w:t>
      </w:r>
      <w:r>
        <w:rPr>
          <w:rFonts w:hint="eastAsia"/>
          <w:lang w:val="es-ES"/>
        </w:rPr>
        <w:t>另一方面，在</w:t>
      </w:r>
      <w:r>
        <w:rPr>
          <w:rFonts w:hint="eastAsia"/>
          <w:lang w:val="es-ES"/>
        </w:rPr>
        <w:t>2006-2010</w:t>
      </w:r>
      <w:r>
        <w:rPr>
          <w:rFonts w:hint="eastAsia"/>
          <w:lang w:val="es-ES"/>
        </w:rPr>
        <w:t>年期间，妇女平等事务总统高级顾问办公室已经开展努力以促进和强化各界妇女组织参与到哥伦比亚政府开展的旨在增进妇女权利的各项战略中。在</w:t>
      </w:r>
      <w:r>
        <w:rPr>
          <w:rFonts w:hint="eastAsia"/>
          <w:lang w:val="en-GB"/>
        </w:rPr>
        <w:t>“</w:t>
      </w:r>
      <w:r>
        <w:rPr>
          <w:lang w:val="en-GB"/>
        </w:rPr>
        <w:t>妇女：和平与发展的建设者</w:t>
      </w:r>
      <w:r>
        <w:rPr>
          <w:rFonts w:hint="eastAsia"/>
          <w:lang w:val="en-GB"/>
        </w:rPr>
        <w:t>”</w:t>
      </w:r>
      <w:r>
        <w:rPr>
          <w:lang w:val="en-GB"/>
        </w:rPr>
        <w:t>扶持政策</w:t>
      </w:r>
      <w:r>
        <w:rPr>
          <w:rFonts w:hint="eastAsia"/>
          <w:lang w:val="en-GB"/>
        </w:rPr>
        <w:t>这一框架内，通过支持社会经济地位较低的城乡家庭女户主开办微型企业，努力提高妇女的经济地位并促进妇女在经济、政治和社会领域的发展</w:t>
      </w:r>
      <w:r>
        <w:rPr>
          <w:rFonts w:hint="eastAsia"/>
          <w:lang w:val="es-ES"/>
        </w:rPr>
        <w:t>；增强妇女的创业能力；促进妇女参与政治生活，根除对妇女的暴力侵害行为，为此，力争使各界妇女组织积极参与其中，这些妇女组织主要代表以下人口：家庭女户主；微型企业女业主和创业妇女</w:t>
      </w:r>
      <w:r>
        <w:rPr>
          <w:rFonts w:hint="eastAsia"/>
          <w:lang w:val="zh-CN"/>
        </w:rPr>
        <w:t>；流离失所妇女群体；女作家联盟以及文化界妇女的联盟；女性社会领袖和社区领袖；致力于增进妇女、青年女性、女教师、女性土著人口、非洲裔哥伦比亚妇女、女企业主以及农村妇女人权的妇女组织。各家妇女社会委员会成员，妇女省级网络成员，等等。欲了解更多信息，请参与本条附件</w:t>
      </w:r>
      <w:r>
        <w:rPr>
          <w:rFonts w:hint="eastAsia"/>
          <w:lang w:val="zh-CN"/>
        </w:rPr>
        <w:t>1</w:t>
      </w:r>
      <w:r>
        <w:rPr>
          <w:rFonts w:hint="eastAsia"/>
          <w:lang w:val="zh-CN"/>
        </w:rPr>
        <w:t>的内容：“</w:t>
      </w:r>
      <w:r>
        <w:rPr>
          <w:rFonts w:hint="eastAsia"/>
          <w:lang w:val="zh-CN"/>
        </w:rPr>
        <w:t>2002</w:t>
      </w:r>
      <w:r>
        <w:rPr>
          <w:lang w:val="zh-CN"/>
        </w:rPr>
        <w:t>-2010</w:t>
      </w:r>
      <w:r>
        <w:rPr>
          <w:rFonts w:hint="eastAsia"/>
          <w:lang w:val="zh-CN"/>
        </w:rPr>
        <w:t>年妇女平等事务总统高级顾问办公室的管理运作”。</w:t>
      </w:r>
    </w:p>
    <w:p w:rsidR="00A83775" w:rsidRDefault="00A83775">
      <w:pPr>
        <w:pStyle w:val="SingleTxtGC"/>
        <w:rPr>
          <w:lang w:val="es-ES"/>
        </w:rPr>
      </w:pPr>
      <w:r>
        <w:rPr>
          <w:lang w:val="zh-CN"/>
        </w:rPr>
        <w:t xml:space="preserve">157.  </w:t>
      </w:r>
      <w:r>
        <w:rPr>
          <w:rFonts w:hint="eastAsia"/>
          <w:lang w:val="zh-CN"/>
        </w:rPr>
        <w:t>另一幕有助于加强与妇女组织互动的情景就是在根除对妇女的暴力侵害的行动框架内，颁布了</w:t>
      </w:r>
      <w:r>
        <w:rPr>
          <w:rFonts w:hint="eastAsia"/>
          <w:lang w:val="zh-CN"/>
        </w:rPr>
        <w:t>2008</w:t>
      </w:r>
      <w:r>
        <w:rPr>
          <w:rFonts w:hint="eastAsia"/>
          <w:lang w:val="zh-CN"/>
        </w:rPr>
        <w:t>年的第</w:t>
      </w:r>
      <w:r>
        <w:rPr>
          <w:rFonts w:hint="eastAsia"/>
          <w:lang w:val="zh-CN"/>
        </w:rPr>
        <w:t>1257</w:t>
      </w:r>
      <w:r>
        <w:rPr>
          <w:rFonts w:hint="eastAsia"/>
          <w:lang w:val="zh-CN"/>
        </w:rPr>
        <w:t>号法，在其中规定：妇女平等事务总统顾问办公室应在</w:t>
      </w:r>
      <w:r>
        <w:rPr>
          <w:rFonts w:hint="eastAsia"/>
          <w:lang w:val="es-ES"/>
        </w:rPr>
        <w:t>国家总检察长办公室和公民权利监察员办公室的配合下创设一家旨在监督这一法律的执行和落实情况的监察委员会，委员会应有妇女组织的参与，在现实中，这一委员会业已创立，且其法定成员包括妇女平等事务总统高级顾问办公室代表，检察院专门负责儿童、青少年和家庭权利保护的机构代表，专门负责保护儿童、青少年和妇女权利的公诉机关代表，以及三名经过民主选举程序产生的妇女组织的代表。</w:t>
      </w:r>
      <w:r>
        <w:rPr>
          <w:vertAlign w:val="superscript"/>
          <w:lang w:val="es-ES"/>
        </w:rPr>
        <w:footnoteReference w:id="84"/>
      </w:r>
    </w:p>
    <w:p w:rsidR="00A83775" w:rsidRDefault="00A83775">
      <w:pPr>
        <w:pStyle w:val="SingleTxtGC"/>
        <w:rPr>
          <w:lang w:val="es-ES"/>
        </w:rPr>
      </w:pPr>
      <w:r>
        <w:rPr>
          <w:lang w:val="es-ES"/>
        </w:rPr>
        <w:t xml:space="preserve">158.  </w:t>
      </w:r>
      <w:r>
        <w:rPr>
          <w:rFonts w:hint="eastAsia"/>
          <w:lang w:val="es-ES"/>
        </w:rPr>
        <w:t>此外，特别需要指出的是在制定两性平等公共政策的框架内加速了参与进程，其特点是促进妇女组织的广泛参与并使其与国家政府的关系更加密切。在这一进程中来自各类人口群体、国内各实体、私营部门、学术界和国际社会等领域的妇女纷纷参与其中。为此，设立了若干合作机构，其成员构成为：</w:t>
      </w:r>
      <w:r>
        <w:rPr>
          <w:rFonts w:hint="eastAsia"/>
          <w:lang w:val="es-ES"/>
        </w:rPr>
        <w:t xml:space="preserve">(a) </w:t>
      </w:r>
      <w:r>
        <w:rPr>
          <w:rFonts w:hint="eastAsia"/>
          <w:lang w:val="es-ES"/>
        </w:rPr>
        <w:t>协调工作组；</w:t>
      </w:r>
      <w:r>
        <w:rPr>
          <w:vertAlign w:val="superscript"/>
          <w:lang w:val="en-GB"/>
        </w:rPr>
        <w:footnoteReference w:id="85"/>
      </w:r>
      <w:r>
        <w:rPr>
          <w:lang w:val="es-ES"/>
        </w:rPr>
        <w:t xml:space="preserve"> </w:t>
      </w:r>
      <w:r>
        <w:rPr>
          <w:rFonts w:hint="eastAsia"/>
          <w:lang w:val="es-ES"/>
        </w:rPr>
        <w:t xml:space="preserve">(b) </w:t>
      </w:r>
      <w:r>
        <w:rPr>
          <w:rFonts w:hint="eastAsia"/>
          <w:lang w:val="es-ES"/>
        </w:rPr>
        <w:t>技术支持工作组；</w:t>
      </w:r>
      <w:r>
        <w:rPr>
          <w:vertAlign w:val="superscript"/>
          <w:lang w:val="en-GB"/>
        </w:rPr>
        <w:footnoteReference w:id="86"/>
      </w:r>
      <w:r>
        <w:rPr>
          <w:lang w:val="es-ES"/>
        </w:rPr>
        <w:t xml:space="preserve"> </w:t>
      </w:r>
      <w:r>
        <w:rPr>
          <w:rFonts w:hint="eastAsia"/>
          <w:lang w:val="es-ES"/>
        </w:rPr>
        <w:t xml:space="preserve">(c) </w:t>
      </w:r>
      <w:r>
        <w:rPr>
          <w:rFonts w:hint="eastAsia"/>
          <w:lang w:val="es-ES"/>
        </w:rPr>
        <w:t>技术秘书处。</w:t>
      </w:r>
    </w:p>
    <w:p w:rsidR="00A83775" w:rsidRDefault="00A83775">
      <w:pPr>
        <w:pStyle w:val="H1GC"/>
        <w:rPr>
          <w:lang w:val="es-ES"/>
        </w:rPr>
      </w:pPr>
      <w:r>
        <w:rPr>
          <w:lang w:val="es-ES"/>
        </w:rPr>
        <w:tab/>
        <w:t>C.</w:t>
      </w:r>
      <w:r>
        <w:rPr>
          <w:lang w:val="es-ES"/>
        </w:rPr>
        <w:tab/>
      </w:r>
      <w:r>
        <w:rPr>
          <w:rFonts w:hint="eastAsia"/>
          <w:lang w:val="es-ES"/>
        </w:rPr>
        <w:t>第四条</w:t>
      </w:r>
    </w:p>
    <w:p w:rsidR="00A83775" w:rsidRDefault="00A83775">
      <w:pPr>
        <w:pStyle w:val="SingleTxtGC"/>
        <w:rPr>
          <w:lang w:val="es-ES"/>
        </w:rPr>
      </w:pPr>
      <w:r>
        <w:rPr>
          <w:lang w:val="es-ES"/>
        </w:rPr>
        <w:t xml:space="preserve">159.  </w:t>
      </w:r>
      <w:r>
        <w:rPr>
          <w:rFonts w:hint="eastAsia"/>
          <w:lang w:val="es-ES"/>
        </w:rPr>
        <w:t>与委员会向哥伦比亚提出的具体建议</w:t>
      </w:r>
      <w:r>
        <w:rPr>
          <w:rFonts w:hint="eastAsia"/>
          <w:lang w:val="en-GB"/>
        </w:rPr>
        <w:t>（</w:t>
      </w:r>
      <w:r>
        <w:rPr>
          <w:lang w:val="es-ES"/>
        </w:rPr>
        <w:t>CEDAW/C/COL/CO/6</w:t>
      </w:r>
      <w:r>
        <w:rPr>
          <w:rFonts w:hint="eastAsia"/>
          <w:lang w:val="es-ES"/>
        </w:rPr>
        <w:t>，第</w:t>
      </w:r>
      <w:r>
        <w:rPr>
          <w:lang w:val="es-ES"/>
        </w:rPr>
        <w:t>17</w:t>
      </w:r>
      <w:r>
        <w:rPr>
          <w:rFonts w:hint="eastAsia"/>
          <w:lang w:val="es-ES"/>
        </w:rPr>
        <w:t>、</w:t>
      </w:r>
      <w:r>
        <w:rPr>
          <w:lang w:val="es-ES"/>
        </w:rPr>
        <w:t>27</w:t>
      </w:r>
      <w:r>
        <w:rPr>
          <w:rFonts w:hint="eastAsia"/>
          <w:lang w:val="es-ES"/>
        </w:rPr>
        <w:t>和</w:t>
      </w:r>
      <w:r>
        <w:rPr>
          <w:lang w:val="es-ES"/>
        </w:rPr>
        <w:t>35</w:t>
      </w:r>
      <w:r>
        <w:rPr>
          <w:rFonts w:hint="eastAsia"/>
          <w:lang w:val="es-ES"/>
        </w:rPr>
        <w:t>段）及委员会第</w:t>
      </w:r>
      <w:r>
        <w:rPr>
          <w:rFonts w:hint="eastAsia"/>
          <w:lang w:val="es-ES"/>
        </w:rPr>
        <w:t>5</w:t>
      </w:r>
      <w:r>
        <w:rPr>
          <w:rFonts w:hint="eastAsia"/>
          <w:lang w:val="es-ES"/>
        </w:rPr>
        <w:t>、</w:t>
      </w:r>
      <w:r>
        <w:rPr>
          <w:rFonts w:hint="eastAsia"/>
          <w:lang w:val="es-ES"/>
        </w:rPr>
        <w:t>8</w:t>
      </w:r>
      <w:r>
        <w:rPr>
          <w:rFonts w:hint="eastAsia"/>
          <w:lang w:val="es-ES"/>
        </w:rPr>
        <w:t>和</w:t>
      </w:r>
      <w:r>
        <w:rPr>
          <w:rFonts w:hint="eastAsia"/>
          <w:lang w:val="es-ES"/>
        </w:rPr>
        <w:t>18</w:t>
      </w:r>
      <w:r>
        <w:rPr>
          <w:rFonts w:hint="eastAsia"/>
          <w:lang w:val="es-ES"/>
        </w:rPr>
        <w:t>号一般性建议有关。</w:t>
      </w:r>
    </w:p>
    <w:p w:rsidR="00A83775" w:rsidRDefault="00A83775">
      <w:pPr>
        <w:pStyle w:val="H23GC"/>
        <w:rPr>
          <w:lang w:val="es-ES"/>
        </w:rPr>
      </w:pPr>
      <w:r>
        <w:rPr>
          <w:lang w:val="es-ES"/>
        </w:rPr>
        <w:tab/>
        <w:t>1.</w:t>
      </w:r>
      <w:r>
        <w:rPr>
          <w:lang w:val="es-ES"/>
        </w:rPr>
        <w:tab/>
      </w:r>
      <w:r>
        <w:rPr>
          <w:rFonts w:hint="eastAsia"/>
          <w:lang w:val="es-ES"/>
        </w:rPr>
        <w:t>行政措施</w:t>
      </w:r>
    </w:p>
    <w:p w:rsidR="00A83775" w:rsidRDefault="00A83775">
      <w:pPr>
        <w:pStyle w:val="SingleTxtGC"/>
        <w:rPr>
          <w:lang w:val="es-ES"/>
        </w:rPr>
      </w:pPr>
      <w:r>
        <w:rPr>
          <w:lang w:val="es-ES"/>
        </w:rPr>
        <w:t xml:space="preserve">160.  </w:t>
      </w:r>
      <w:r>
        <w:rPr>
          <w:rFonts w:hint="eastAsia"/>
          <w:lang w:val="es-ES"/>
        </w:rPr>
        <w:t>正如在上一条中提到的，国家政府在</w:t>
      </w:r>
      <w:r>
        <w:rPr>
          <w:rFonts w:hint="eastAsia"/>
          <w:lang w:val="es-ES"/>
        </w:rPr>
        <w:t>2006-2010</w:t>
      </w:r>
      <w:r>
        <w:rPr>
          <w:rFonts w:hint="eastAsia"/>
          <w:lang w:val="es-ES"/>
        </w:rPr>
        <w:t>年期间继续实施</w:t>
      </w:r>
      <w:r>
        <w:rPr>
          <w:rFonts w:hint="eastAsia"/>
          <w:lang w:val="en-GB"/>
        </w:rPr>
        <w:t>“妇女：和平与发展的建设者”扶持政策，推动落实了各项有利于妇女的具体措施，涉及到的核心主题有：就业和企业发展；消除暴力侵害妇女行为；教育和文化；妇女的政治参与。这些措施是在各级政府机关和私人部门的共同努力下合作实施的。接下来将按照每一个主题分别论述为谋求真正实现男女平等而采取的行动：</w:t>
      </w:r>
      <w:r>
        <w:rPr>
          <w:lang w:val="es-ES"/>
        </w:rPr>
        <w:t xml:space="preserve"> </w:t>
      </w:r>
    </w:p>
    <w:p w:rsidR="00A83775" w:rsidRDefault="00A83775">
      <w:pPr>
        <w:pStyle w:val="H23GC"/>
        <w:rPr>
          <w:lang w:val="es-ES"/>
        </w:rPr>
      </w:pPr>
      <w:r>
        <w:rPr>
          <w:lang w:val="es-ES"/>
        </w:rPr>
        <w:tab/>
      </w:r>
      <w:r>
        <w:rPr>
          <w:lang w:val="es-ES"/>
        </w:rPr>
        <w:tab/>
      </w:r>
      <w:r>
        <w:rPr>
          <w:rFonts w:hint="eastAsia"/>
          <w:lang w:val="es-ES"/>
        </w:rPr>
        <w:t>与妇女就业和企业发展有关的主题：</w:t>
      </w:r>
    </w:p>
    <w:p w:rsidR="00A83775" w:rsidRDefault="00A83775">
      <w:pPr>
        <w:pStyle w:val="SingleTxtGC"/>
        <w:rPr>
          <w:lang w:val="es-ES"/>
        </w:rPr>
      </w:pPr>
      <w:r>
        <w:rPr>
          <w:lang w:val="es-ES"/>
        </w:rPr>
        <w:t xml:space="preserve">161.  </w:t>
      </w:r>
      <w:r>
        <w:rPr>
          <w:rFonts w:hint="eastAsia"/>
          <w:lang w:val="es-ES"/>
        </w:rPr>
        <w:t>这一主题核心的总体目的就是开展努力以赋予妇女经济权利。妇女平等事务总统高级顾问办公室针对妇女开发了若干扶持措施，目的是帮助妇女创造收入，实现</w:t>
      </w:r>
      <w:r>
        <w:rPr>
          <w:rFonts w:hint="eastAsia"/>
          <w:lang w:val="zh-CN"/>
        </w:rPr>
        <w:t>经济</w:t>
      </w:r>
      <w:r>
        <w:rPr>
          <w:rFonts w:hint="eastAsia"/>
          <w:lang w:val="es-ES"/>
        </w:rPr>
        <w:t>独立并减少妇女在面对暴力侵害时的脆弱性，为此开展了以下方案：国家妇女企业培训计划（</w:t>
      </w:r>
      <w:r>
        <w:rPr>
          <w:rFonts w:hint="eastAsia"/>
          <w:lang w:val="es-ES"/>
        </w:rPr>
        <w:t>PMCFM</w:t>
      </w:r>
      <w:r>
        <w:rPr>
          <w:rFonts w:hint="eastAsia"/>
          <w:lang w:val="es-ES"/>
        </w:rPr>
        <w:t>）；女企业家综合发展国家方案（女企业家计划）；</w:t>
      </w:r>
      <w:r>
        <w:rPr>
          <w:rFonts w:hint="eastAsia"/>
          <w:lang w:val="es-CO"/>
        </w:rPr>
        <w:t>为妇女提供各类金融资助机会的活动</w:t>
      </w:r>
      <w:r>
        <w:rPr>
          <w:rFonts w:hint="eastAsia"/>
          <w:lang w:val="es-ES"/>
        </w:rPr>
        <w:t>；劳动平等议程以及信息通信技术培训计划。</w:t>
      </w:r>
    </w:p>
    <w:p w:rsidR="00A83775" w:rsidRDefault="00A83775">
      <w:pPr>
        <w:pStyle w:val="SingleTxtGC"/>
        <w:rPr>
          <w:lang w:val="zh-CN"/>
        </w:rPr>
      </w:pPr>
      <w:r>
        <w:rPr>
          <w:lang w:val="es-ES"/>
        </w:rPr>
        <w:t xml:space="preserve">162.  </w:t>
      </w:r>
      <w:r>
        <w:rPr>
          <w:rFonts w:hint="eastAsia"/>
          <w:lang w:val="es-ES"/>
        </w:rPr>
        <w:t>国家妇女企业培训计划旨在强化家庭女户主创办和经营微型企业的能力，给予其小额贷款，并提供公司经营的相关培训，打造出一种与储蓄和支付有关的企业文化。女企业家计划通过对女企业家进行培训，培养其开创精神、经营能力、与银行</w:t>
      </w:r>
      <w:r>
        <w:rPr>
          <w:rFonts w:hint="eastAsia"/>
          <w:lang w:val="zh-CN"/>
        </w:rPr>
        <w:t>打交道的能力和营销能力并结成社会联盟和网络，加强妇女的创业能力。妇女发展机会库计划旨在向贫困妇女和低收入妇女提供小额贷款和其他金融服务，使目标对象的意识觉醒，认识到妇女所面临的劳动歧视和工资歧视，开发出能够更好协调其职场生活和家庭生活的战略，等等；并通过实施信息和通信技术培训计划，面向妇女开展了与使用技术服务有关的培训。</w:t>
      </w:r>
    </w:p>
    <w:p w:rsidR="00A83775" w:rsidRDefault="00A83775">
      <w:pPr>
        <w:pStyle w:val="SingleTxtGC"/>
        <w:rPr>
          <w:lang w:val="es-ES"/>
        </w:rPr>
      </w:pPr>
      <w:r>
        <w:rPr>
          <w:lang w:val="zh-CN"/>
        </w:rPr>
        <w:t xml:space="preserve">163.  </w:t>
      </w:r>
      <w:r>
        <w:rPr>
          <w:rFonts w:hint="eastAsia"/>
          <w:lang w:val="zh-CN"/>
        </w:rPr>
        <w:t>为开展这</w:t>
      </w:r>
      <w:r>
        <w:rPr>
          <w:rFonts w:hint="eastAsia"/>
          <w:lang w:val="es-ES"/>
        </w:rPr>
        <w:t>些战略，妇女平等事务总统高级顾问办公室已经协调各部门的工作，在国家和地方一级建立了部门联动机制，并使得公共和私人部门之间建立起了协同效应，通过这种方式激发相关方面的社会责任感和企业责任感，帮助克服贫困问题。在本报告与《公约》第十一条和第十三条相关的章节中对这方面的内容进行了展开论述。</w:t>
      </w:r>
    </w:p>
    <w:p w:rsidR="00A83775" w:rsidRDefault="00A83775">
      <w:pPr>
        <w:pStyle w:val="H23GC"/>
        <w:rPr>
          <w:rFonts w:hint="eastAsia"/>
          <w:lang w:val="es-ES"/>
        </w:rPr>
      </w:pPr>
      <w:r>
        <w:rPr>
          <w:lang w:val="es-ES"/>
        </w:rPr>
        <w:tab/>
      </w:r>
      <w:r>
        <w:rPr>
          <w:lang w:val="es-ES"/>
        </w:rPr>
        <w:tab/>
      </w:r>
      <w:r>
        <w:rPr>
          <w:rFonts w:hint="eastAsia"/>
          <w:lang w:val="es-ES"/>
        </w:rPr>
        <w:t>与预防一切形式的暴力侵害妇女行为有关的主题</w:t>
      </w:r>
    </w:p>
    <w:p w:rsidR="00A83775" w:rsidRDefault="00A83775">
      <w:pPr>
        <w:pStyle w:val="SingleTxtGC"/>
        <w:rPr>
          <w:lang w:val="es-ES"/>
        </w:rPr>
      </w:pPr>
      <w:r>
        <w:rPr>
          <w:lang w:val="es-ES"/>
        </w:rPr>
        <w:t xml:space="preserve">164.  </w:t>
      </w:r>
      <w:r>
        <w:rPr>
          <w:rFonts w:hint="eastAsia"/>
          <w:lang w:val="es-ES"/>
        </w:rPr>
        <w:t>哥伦比亚推动实施各项政策、战略、项目和方案，目的是预防、惩治和根除暴力侵害妇女行为，开展这方面的思想教育、培训和信息通报，对相应事件进行调查并予以处置。妇女平等事务总统高级顾问办公室与各家国际合作机构、私人企业和公共部门实体开展合作，重点开展了以下方案和战略：</w:t>
      </w:r>
      <w:r>
        <w:rPr>
          <w:rFonts w:hint="eastAsia"/>
          <w:lang w:val="en-GB"/>
        </w:rPr>
        <w:t>对妇女进行与其权利相关的法律扫盲活动</w:t>
      </w:r>
      <w:r>
        <w:rPr>
          <w:rFonts w:hint="eastAsia"/>
          <w:lang w:val="es-ES"/>
        </w:rPr>
        <w:t>；</w:t>
      </w:r>
      <w:r>
        <w:rPr>
          <w:rFonts w:hint="eastAsia"/>
          <w:lang w:val="en-GB"/>
        </w:rPr>
        <w:t>通过司法途径捍卫哥伦比亚妇女权利的战略计划</w:t>
      </w:r>
      <w:r>
        <w:rPr>
          <w:rFonts w:hint="eastAsia"/>
          <w:lang w:val="es-ES"/>
        </w:rPr>
        <w:t>；</w:t>
      </w:r>
      <w:r>
        <w:rPr>
          <w:lang w:val="en-GB"/>
        </w:rPr>
        <w:t>打击人口贩运国家战略</w:t>
      </w:r>
      <w:r>
        <w:rPr>
          <w:rFonts w:hint="eastAsia"/>
          <w:lang w:val="es-ES"/>
        </w:rPr>
        <w:t>；在复员政策框架内针对由复员人口的家庭开展预防家庭内暴力的计划；</w:t>
      </w:r>
      <w:r>
        <w:rPr>
          <w:rFonts w:hint="eastAsia"/>
          <w:lang w:val="en-GB"/>
        </w:rPr>
        <w:t>全面打击基于性别原因的暴力行为方案；旨在谋求司法公正的欧洲委员会社会凝聚力项目；旨在将性别差异化观点融入对处于流离失所状况或面临流离失所风险的人口的全面关爱政策中的行动；以及两性平等宣传战略。与上述战略有关的说明及其实施成果在本报告与《公约》第一、五和六条的执行情况有关的章节中进行了论述。</w:t>
      </w:r>
    </w:p>
    <w:p w:rsidR="00A83775" w:rsidRDefault="00A83775">
      <w:pPr>
        <w:pStyle w:val="H23GC"/>
        <w:rPr>
          <w:lang w:val="es-ES"/>
        </w:rPr>
      </w:pPr>
      <w:r>
        <w:rPr>
          <w:lang w:val="es-ES"/>
        </w:rPr>
        <w:tab/>
      </w:r>
      <w:r>
        <w:rPr>
          <w:lang w:val="es-ES"/>
        </w:rPr>
        <w:tab/>
      </w:r>
      <w:r>
        <w:rPr>
          <w:rFonts w:hint="eastAsia"/>
          <w:lang w:val="es-ES"/>
        </w:rPr>
        <w:t>与妇女的政治参与和公民权利有关的主题</w:t>
      </w:r>
    </w:p>
    <w:p w:rsidR="00A83775" w:rsidRDefault="00A83775">
      <w:pPr>
        <w:pStyle w:val="SingleTxtGC"/>
        <w:rPr>
          <w:lang w:val="es-ES"/>
        </w:rPr>
      </w:pPr>
      <w:r>
        <w:rPr>
          <w:lang w:val="es-ES"/>
        </w:rPr>
        <w:t xml:space="preserve">165.  </w:t>
      </w:r>
      <w:r>
        <w:rPr>
          <w:rFonts w:hint="eastAsia"/>
          <w:lang w:val="es-ES"/>
        </w:rPr>
        <w:t>2006</w:t>
      </w:r>
      <w:r>
        <w:rPr>
          <w:rFonts w:hint="eastAsia"/>
          <w:lang w:val="es-ES"/>
        </w:rPr>
        <w:t>至</w:t>
      </w:r>
      <w:r>
        <w:rPr>
          <w:rFonts w:hint="eastAsia"/>
          <w:lang w:val="es-ES"/>
        </w:rPr>
        <w:t>2010</w:t>
      </w:r>
      <w:r>
        <w:rPr>
          <w:rFonts w:hint="eastAsia"/>
          <w:lang w:val="es-ES"/>
        </w:rPr>
        <w:t>年期间，为保障妇女在与男子同等的条件下进入各大政权机关并充分参与政治决策，妇女平等事务总统高级顾问办公室在以下方案的框架内开展了各类行动：</w:t>
      </w:r>
      <w:r>
        <w:rPr>
          <w:lang w:val="en-GB"/>
        </w:rPr>
        <w:t>妇女社区委员会</w:t>
      </w:r>
      <w:r>
        <w:rPr>
          <w:rFonts w:hint="eastAsia"/>
          <w:lang w:val="en-GB"/>
        </w:rPr>
        <w:t>方案；以妇女为目标对象的</w:t>
      </w:r>
      <w:r>
        <w:rPr>
          <w:lang w:val="en-GB"/>
        </w:rPr>
        <w:t>各类碰头会、论坛、</w:t>
      </w:r>
      <w:r>
        <w:rPr>
          <w:lang w:val="zh-CN"/>
        </w:rPr>
        <w:t>讲习班</w:t>
      </w:r>
      <w:r>
        <w:rPr>
          <w:lang w:val="en-GB"/>
        </w:rPr>
        <w:t>和教育研讨会</w:t>
      </w:r>
      <w:r>
        <w:rPr>
          <w:rFonts w:hint="eastAsia"/>
          <w:lang w:val="en-GB"/>
        </w:rPr>
        <w:t>；咖啡业从业妇女委员会。在本报告与《公约》第七条的执行情况有关的章节</w:t>
      </w:r>
      <w:r>
        <w:rPr>
          <w:rFonts w:hint="eastAsia"/>
          <w:lang w:val="es-ES"/>
        </w:rPr>
        <w:t>中将对这方面的信息进行展开论述。</w:t>
      </w:r>
    </w:p>
    <w:p w:rsidR="00A83775" w:rsidRDefault="00A83775">
      <w:pPr>
        <w:pStyle w:val="H23GC"/>
        <w:rPr>
          <w:lang w:val="es-ES"/>
        </w:rPr>
      </w:pPr>
      <w:r>
        <w:rPr>
          <w:lang w:val="es-ES"/>
        </w:rPr>
        <w:tab/>
      </w:r>
      <w:r>
        <w:rPr>
          <w:lang w:val="es-ES"/>
        </w:rPr>
        <w:tab/>
      </w:r>
      <w:r>
        <w:rPr>
          <w:rFonts w:hint="eastAsia"/>
          <w:lang w:val="es-ES"/>
        </w:rPr>
        <w:t>与教育和文化有关的主题</w:t>
      </w:r>
    </w:p>
    <w:p w:rsidR="00A83775" w:rsidRDefault="00A83775">
      <w:pPr>
        <w:pStyle w:val="SingleTxtGC"/>
        <w:rPr>
          <w:lang w:val="zh-CN"/>
        </w:rPr>
      </w:pPr>
      <w:r>
        <w:rPr>
          <w:lang w:val="es-ES"/>
        </w:rPr>
        <w:t xml:space="preserve">166.  </w:t>
      </w:r>
      <w:r>
        <w:rPr>
          <w:rFonts w:hint="eastAsia"/>
          <w:lang w:val="es-ES"/>
        </w:rPr>
        <w:t>这一主题的目的是鼓励社会各界推动教育发展，以便推广重视性别多样性、性别宽容和尊重性别的不同的生活价值观。在这一主题领域，推动开展了哥伦比亚女作家碰头会项目和妇女与体育行动计划。哥伦比亚女作家碰头会的举办主旨为在文化界中引入性别观点，并认识到妇女文学创作的价值以及她们对哥伦比亚文学发展所做出的贡献。在</w:t>
      </w:r>
      <w:r>
        <w:rPr>
          <w:rFonts w:hint="eastAsia"/>
          <w:lang w:val="es-ES"/>
        </w:rPr>
        <w:t>2006-2010</w:t>
      </w:r>
      <w:r>
        <w:rPr>
          <w:rFonts w:hint="eastAsia"/>
          <w:lang w:val="es-ES"/>
        </w:rPr>
        <w:t>年期间，举办了四届哥伦比亚女作家碰头会</w:t>
      </w:r>
      <w:r>
        <w:rPr>
          <w:rFonts w:hint="eastAsia"/>
          <w:lang w:val="zh-CN"/>
        </w:rPr>
        <w:t>，在同一时期，出版了</w:t>
      </w:r>
      <w:r>
        <w:rPr>
          <w:rFonts w:hint="eastAsia"/>
          <w:lang w:val="zh-CN"/>
        </w:rPr>
        <w:t>4</w:t>
      </w:r>
      <w:r>
        <w:rPr>
          <w:rFonts w:hint="eastAsia"/>
          <w:lang w:val="zh-CN"/>
        </w:rPr>
        <w:t>卷碰头会备忘录，这一出版物的发行量约为</w:t>
      </w:r>
      <w:r>
        <w:rPr>
          <w:rFonts w:hint="eastAsia"/>
          <w:lang w:val="zh-CN"/>
        </w:rPr>
        <w:t>2</w:t>
      </w:r>
      <w:r>
        <w:t>,</w:t>
      </w:r>
      <w:r>
        <w:rPr>
          <w:rFonts w:hint="eastAsia"/>
          <w:lang w:val="zh-CN"/>
        </w:rPr>
        <w:t>800</w:t>
      </w:r>
      <w:r>
        <w:rPr>
          <w:rFonts w:hint="eastAsia"/>
          <w:lang w:val="zh-CN"/>
        </w:rPr>
        <w:t>份。而妇女与体育行动计划是由妇女与体育委员会</w:t>
      </w:r>
      <w:r>
        <w:rPr>
          <w:vertAlign w:val="superscript"/>
          <w:lang w:val="zh-CN"/>
        </w:rPr>
        <w:footnoteReference w:id="87"/>
      </w:r>
      <w:r>
        <w:t xml:space="preserve"> </w:t>
      </w:r>
      <w:r>
        <w:rPr>
          <w:rFonts w:hint="eastAsia"/>
          <w:lang w:val="zh-CN"/>
        </w:rPr>
        <w:t>推动实施的，通过这一举措对从事体育、休闲和体育运动以及有机会与从事此类活动的妇女和女童工作的妇女进行培训和思想教育。在本报告与《公约》第二条和第三条的执行情况对应的附件</w:t>
      </w:r>
      <w:r>
        <w:rPr>
          <w:rFonts w:hint="eastAsia"/>
          <w:lang w:val="zh-CN"/>
        </w:rPr>
        <w:t>1</w:t>
      </w:r>
      <w:r>
        <w:rPr>
          <w:rFonts w:hint="eastAsia"/>
          <w:lang w:val="zh-CN"/>
        </w:rPr>
        <w:t>中对这方面的信息进行了展开论述。</w:t>
      </w:r>
    </w:p>
    <w:p w:rsidR="00A83775" w:rsidRDefault="00A83775">
      <w:pPr>
        <w:pStyle w:val="SingleTxtGC"/>
        <w:rPr>
          <w:lang w:val="es-ES"/>
        </w:rPr>
      </w:pPr>
      <w:r>
        <w:rPr>
          <w:lang w:val="zh-CN"/>
        </w:rPr>
        <w:t xml:space="preserve">167.  </w:t>
      </w:r>
      <w:r>
        <w:rPr>
          <w:rFonts w:hint="eastAsia"/>
          <w:lang w:val="zh-CN"/>
        </w:rPr>
        <w:t>考虑</w:t>
      </w:r>
      <w:r>
        <w:rPr>
          <w:rFonts w:hint="eastAsia"/>
          <w:lang w:val="es-ES"/>
        </w:rPr>
        <w:t>到哥伦比亚的种族多样性，国家政府实施的政策、方案和项目均将提高土著妇女和非洲裔妇女的地位和促进其发展作为政府的目标。自</w:t>
      </w:r>
      <w:r>
        <w:rPr>
          <w:rFonts w:hint="eastAsia"/>
          <w:lang w:val="es-ES"/>
        </w:rPr>
        <w:t>1991</w:t>
      </w:r>
      <w:r>
        <w:rPr>
          <w:rFonts w:hint="eastAsia"/>
          <w:lang w:val="es-ES"/>
        </w:rPr>
        <w:t>年《宪法》入手，已经努力加快了解、推广和重视少数民族权利和文化的进程，这要归功于国内完善的立法和差别化的司法管辖政策，</w:t>
      </w:r>
      <w:r>
        <w:rPr>
          <w:vertAlign w:val="superscript"/>
          <w:lang w:val="es-ES"/>
        </w:rPr>
        <w:footnoteReference w:id="88"/>
      </w:r>
      <w:r>
        <w:rPr>
          <w:lang w:val="es-ES"/>
        </w:rPr>
        <w:t xml:space="preserve"> </w:t>
      </w:r>
      <w:r>
        <w:rPr>
          <w:rFonts w:hint="eastAsia"/>
          <w:lang w:val="es-ES"/>
        </w:rPr>
        <w:t>以及政府为有效落实少数民族权利而做出的努力。少数民族在共和国国会中拥有特别代表席位，</w:t>
      </w:r>
      <w:r>
        <w:rPr>
          <w:vertAlign w:val="superscript"/>
          <w:lang w:val="es-ES"/>
        </w:rPr>
        <w:footnoteReference w:id="89"/>
      </w:r>
      <w:r>
        <w:rPr>
          <w:lang w:val="es-ES"/>
        </w:rPr>
        <w:t xml:space="preserve"> </w:t>
      </w:r>
      <w:r>
        <w:rPr>
          <w:rFonts w:hint="eastAsia"/>
          <w:lang w:val="es-ES"/>
        </w:rPr>
        <w:t>并对其聚居地的土地享有集体所有权，可按其传统习俗对土地进行开发利用，</w:t>
      </w:r>
      <w:r>
        <w:rPr>
          <w:vertAlign w:val="superscript"/>
          <w:lang w:val="es-ES"/>
        </w:rPr>
        <w:footnoteReference w:id="90"/>
      </w:r>
      <w:r>
        <w:rPr>
          <w:lang w:val="es-ES"/>
        </w:rPr>
        <w:t xml:space="preserve"> </w:t>
      </w:r>
      <w:r>
        <w:rPr>
          <w:rFonts w:hint="eastAsia"/>
          <w:lang w:val="es-ES"/>
        </w:rPr>
        <w:t>同时还拥有与政府的对话空间。</w:t>
      </w:r>
    </w:p>
    <w:p w:rsidR="00A83775" w:rsidRDefault="00A83775">
      <w:pPr>
        <w:pStyle w:val="SingleTxtGC"/>
        <w:rPr>
          <w:lang w:val="zh-CN"/>
        </w:rPr>
      </w:pPr>
      <w:r>
        <w:rPr>
          <w:lang w:val="es-ES"/>
        </w:rPr>
        <w:t xml:space="preserve">168.  </w:t>
      </w:r>
      <w:r>
        <w:rPr>
          <w:rFonts w:hint="eastAsia"/>
          <w:lang w:val="es-ES"/>
        </w:rPr>
        <w:t>在教育方面，国家教育部已经开展实施了一项民族教育政策，目的是补充和完善土著地区和非洲裔哥伦比亚社区的教育体系。为提高对土著人民、非洲裔哥伦比亚人民和其他少数民族人民的教育质量，对教育模式在参与人群和文化特性上进行了改造，推行了各类灵活的教学模式，并向地方实体提供技术支持，帮助开展实施对民族教育的评估认证程序。同时巩固落实针对民族团体和少数民族开</w:t>
      </w:r>
      <w:r>
        <w:rPr>
          <w:rFonts w:hint="eastAsia"/>
          <w:lang w:val="zh-CN"/>
        </w:rPr>
        <w:t>展的国家双语计划以及针对不识字青少年和成年人开展的国家扫盲和普及基础教育方案，并将方案的重点实施对象设定为土著人民和非洲裔哥伦比亚人。同样，确保少数民族人民能够享有特殊的大学升学名额。</w:t>
      </w:r>
    </w:p>
    <w:p w:rsidR="00A83775" w:rsidRDefault="00A83775">
      <w:pPr>
        <w:pStyle w:val="SingleTxtGC"/>
        <w:rPr>
          <w:lang w:val="es-ES"/>
        </w:rPr>
      </w:pPr>
      <w:r>
        <w:rPr>
          <w:lang w:val="zh-CN"/>
        </w:rPr>
        <w:t xml:space="preserve">169.  </w:t>
      </w:r>
      <w:r>
        <w:rPr>
          <w:rFonts w:hint="eastAsia"/>
          <w:lang w:val="zh-CN"/>
        </w:rPr>
        <w:t>妇女平等事务总统高级顾问办公室依据</w:t>
      </w:r>
      <w:r>
        <w:rPr>
          <w:rFonts w:eastAsia="SimHei" w:hint="eastAsia"/>
          <w:lang w:val="zh-CN"/>
        </w:rPr>
        <w:t>尊重多样性</w:t>
      </w:r>
      <w:r>
        <w:rPr>
          <w:rFonts w:hint="eastAsia"/>
          <w:lang w:val="zh-CN"/>
        </w:rPr>
        <w:t>原则，</w:t>
      </w:r>
      <w:r>
        <w:rPr>
          <w:vertAlign w:val="superscript"/>
          <w:lang w:val="zh-CN"/>
        </w:rPr>
        <w:footnoteReference w:id="91"/>
      </w:r>
      <w:r>
        <w:t xml:space="preserve"> </w:t>
      </w:r>
      <w:r>
        <w:rPr>
          <w:rFonts w:hint="eastAsia"/>
          <w:lang w:val="zh-CN"/>
        </w:rPr>
        <w:t>在开展下列各领域的各类</w:t>
      </w:r>
      <w:r>
        <w:rPr>
          <w:rFonts w:hint="eastAsia"/>
          <w:lang w:val="es-ES"/>
        </w:rPr>
        <w:t>方案的过程中推动各方参与保护土著妇女和非洲裔哥伦比亚妇女权利：就业和企业发展；政治参与；教育和文化；对妇女的暴力侵害。同样，还推进落实各项有利于土著妇女的活动，保护其基本权利，为此，举办了多次土著妇女事务大会，参与组织包括哥伦比亚全国土著组织、哥伦比亚土著事务管理局以及哥伦比亚亚马孙地区土著人民组织，同时开展了两次调查研究，以制定国内民族团体现状的报告：“</w:t>
      </w:r>
      <w:r>
        <w:t>基于种族类别的性别分析</w:t>
      </w:r>
      <w:r>
        <w:rPr>
          <w:rFonts w:hint="eastAsia"/>
          <w:lang w:val="es-ES"/>
        </w:rPr>
        <w:t>”和“哥伦比亚土著妇女权利状况分析”。还开展了其他旨在赋予土著妇女权利的行动，目的是加强妇女的参与，相关信息在本报告与《公约》第七条的执行情况有关的章节中进行了展开论述。</w:t>
      </w:r>
    </w:p>
    <w:p w:rsidR="00A83775" w:rsidRDefault="00A83775">
      <w:pPr>
        <w:pStyle w:val="SingleTxtGC"/>
        <w:rPr>
          <w:lang w:val="es-ES"/>
        </w:rPr>
      </w:pPr>
      <w:r>
        <w:rPr>
          <w:lang w:val="es-ES"/>
        </w:rPr>
        <w:t xml:space="preserve">170.  </w:t>
      </w:r>
      <w:r>
        <w:rPr>
          <w:rFonts w:hint="eastAsia"/>
          <w:lang w:val="es-ES"/>
        </w:rPr>
        <w:t>针对非洲裔哥伦比亚妇女，文化部已经开展了若干旨在赋予其权利的项目，这些项目的出发点是：强化非洲裔哥伦比亚妇女组织和网络，加快民族文化发展进程，</w:t>
      </w:r>
      <w:r>
        <w:rPr>
          <w:vertAlign w:val="superscript"/>
          <w:lang w:val="es-ES"/>
        </w:rPr>
        <w:footnoteReference w:id="92"/>
      </w:r>
      <w:r>
        <w:rPr>
          <w:lang w:val="es-ES"/>
        </w:rPr>
        <w:t xml:space="preserve"> </w:t>
      </w:r>
      <w:r>
        <w:rPr>
          <w:rFonts w:hint="eastAsia"/>
          <w:lang w:val="es-ES"/>
        </w:rPr>
        <w:t>从民族文化、政治和性别问题角度培养妇女领袖。</w:t>
      </w:r>
      <w:r>
        <w:rPr>
          <w:vertAlign w:val="superscript"/>
          <w:lang w:val="es-ES"/>
        </w:rPr>
        <w:footnoteReference w:id="93"/>
      </w:r>
      <w:r>
        <w:rPr>
          <w:lang w:val="es-ES"/>
        </w:rPr>
        <w:t xml:space="preserve"> </w:t>
      </w:r>
      <w:r>
        <w:rPr>
          <w:rFonts w:hint="eastAsia"/>
          <w:lang w:val="es-ES"/>
        </w:rPr>
        <w:t>同样，推进实施将</w:t>
      </w:r>
      <w:r>
        <w:rPr>
          <w:rFonts w:hint="eastAsia"/>
          <w:lang w:val="zh-CN"/>
        </w:rPr>
        <w:t>差别</w:t>
      </w:r>
      <w:r>
        <w:rPr>
          <w:rFonts w:hint="eastAsia"/>
          <w:lang w:val="es-ES"/>
        </w:rPr>
        <w:t>化观点内化为各实体和组织的主流化机制以及无害化行动，将之作为一项机构战略，用于培养公职人员的技术能力和专业能力，使他们能够从尊重各人口群体，认识和包容其特性的角度入手制定、实施各项计划和方案并监督其落实情况，并始终坚持注重性别观点和民族差异性等工作主线。</w:t>
      </w:r>
    </w:p>
    <w:p w:rsidR="00A83775" w:rsidRDefault="00A83775">
      <w:pPr>
        <w:pStyle w:val="SingleTxtGC"/>
        <w:rPr>
          <w:lang w:val="zh-CN"/>
        </w:rPr>
      </w:pPr>
      <w:r>
        <w:rPr>
          <w:lang w:val="es-ES"/>
        </w:rPr>
        <w:t xml:space="preserve">171.  </w:t>
      </w:r>
      <w:r>
        <w:rPr>
          <w:rFonts w:hint="eastAsia"/>
          <w:lang w:val="es-ES"/>
        </w:rPr>
        <w:t>2009</w:t>
      </w:r>
      <w:r>
        <w:rPr>
          <w:rFonts w:hint="eastAsia"/>
          <w:lang w:val="es-ES"/>
        </w:rPr>
        <w:t>年期间，在开展哥伦比亚女作家碰头会</w:t>
      </w:r>
      <w:r>
        <w:rPr>
          <w:rFonts w:hint="eastAsia"/>
          <w:spacing w:val="-40"/>
          <w:lang w:val="es-ES"/>
        </w:rPr>
        <w:t>――</w:t>
      </w:r>
      <w:r>
        <w:rPr>
          <w:rFonts w:hint="eastAsia"/>
          <w:spacing w:val="-40"/>
          <w:lang w:val="es-ES"/>
        </w:rPr>
        <w:t xml:space="preserve"> </w:t>
      </w:r>
      <w:r>
        <w:rPr>
          <w:rFonts w:hint="eastAsia"/>
          <w:lang w:val="es-ES"/>
        </w:rPr>
        <w:t>教育和文化领域的方案的过</w:t>
      </w:r>
      <w:r>
        <w:rPr>
          <w:rFonts w:hint="eastAsia"/>
          <w:lang w:val="zh-CN"/>
        </w:rPr>
        <w:t>程中，妇女平等事务总统高级顾问办公室对哥伦比亚非洲文学做出了高度评价，出版了《太平洋地区</w:t>
      </w:r>
      <w:r>
        <w:rPr>
          <w:rFonts w:hint="eastAsia"/>
          <w:lang w:val="zh-CN"/>
        </w:rPr>
        <w:t>21</w:t>
      </w:r>
      <w:r>
        <w:rPr>
          <w:rFonts w:hint="eastAsia"/>
          <w:lang w:val="zh-CN"/>
        </w:rPr>
        <w:t>位黑人诗人文选》一书，并推出了一幕音乐舞台剧。</w:t>
      </w:r>
    </w:p>
    <w:p w:rsidR="00A83775" w:rsidRDefault="00A83775">
      <w:pPr>
        <w:pStyle w:val="SingleTxtGC"/>
        <w:rPr>
          <w:lang w:val="es-ES"/>
        </w:rPr>
      </w:pPr>
      <w:r>
        <w:rPr>
          <w:lang w:val="zh-CN"/>
        </w:rPr>
        <w:t xml:space="preserve">172.  </w:t>
      </w:r>
      <w:r>
        <w:rPr>
          <w:rFonts w:hint="eastAsia"/>
          <w:lang w:val="zh-CN"/>
        </w:rPr>
        <w:t>另一方面，正如在与《公约》第一条的执行情况有关的章节中提到的，国家政府颁布了国家经济社会政策委员会的</w:t>
      </w:r>
      <w:r>
        <w:rPr>
          <w:rFonts w:hint="eastAsia"/>
          <w:lang w:val="zh-CN"/>
        </w:rPr>
        <w:t>2005</w:t>
      </w:r>
      <w:r>
        <w:rPr>
          <w:rFonts w:hint="eastAsia"/>
          <w:lang w:val="zh-CN"/>
        </w:rPr>
        <w:t>年第</w:t>
      </w:r>
      <w:r>
        <w:rPr>
          <w:rFonts w:hint="eastAsia"/>
          <w:lang w:val="zh-CN"/>
        </w:rPr>
        <w:t>091</w:t>
      </w:r>
      <w:r>
        <w:rPr>
          <w:rFonts w:hint="eastAsia"/>
          <w:lang w:val="zh-CN"/>
        </w:rPr>
        <w:t>号决议，旨在到</w:t>
      </w:r>
      <w:r>
        <w:rPr>
          <w:rFonts w:hint="eastAsia"/>
          <w:lang w:val="zh-CN"/>
        </w:rPr>
        <w:t>2015</w:t>
      </w:r>
      <w:r>
        <w:rPr>
          <w:rFonts w:hint="eastAsia"/>
          <w:lang w:val="zh-CN"/>
        </w:rPr>
        <w:t>年实现千年发展目标。针对千年发展目标</w:t>
      </w:r>
      <w:r>
        <w:rPr>
          <w:rFonts w:hint="eastAsia"/>
          <w:lang w:val="zh-CN"/>
        </w:rPr>
        <w:t>3</w:t>
      </w:r>
      <w:r>
        <w:rPr>
          <w:rFonts w:hint="eastAsia"/>
          <w:lang w:val="zh-CN"/>
        </w:rPr>
        <w:t>：促进两性平等并赋予妇女权力，针对性别暴力、政治参与和经济参与以及劳动力市场问题制定了相应的战略并推动开展相应的行动，目的是加快实现男女之间的事实平等。</w:t>
      </w:r>
      <w:r>
        <w:rPr>
          <w:rFonts w:hint="eastAsia"/>
          <w:lang w:val="zh-CN"/>
        </w:rPr>
        <w:t>2010</w:t>
      </w:r>
      <w:r>
        <w:rPr>
          <w:rFonts w:hint="eastAsia"/>
          <w:lang w:val="zh-CN"/>
        </w:rPr>
        <w:t>年，在国家计划部和国家</w:t>
      </w:r>
      <w:r>
        <w:rPr>
          <w:rFonts w:hint="eastAsia"/>
          <w:lang w:val="es-MX"/>
        </w:rPr>
        <w:t>统计局的领导下，对哥伦比亚落实此项千年发展目标的进展状况进行了审查。在审查过程中发现，无法对国家在落实千年发展目标</w:t>
      </w:r>
      <w:r>
        <w:rPr>
          <w:rFonts w:hint="eastAsia"/>
          <w:lang w:val="es-MX"/>
        </w:rPr>
        <w:t>3</w:t>
      </w:r>
      <w:r>
        <w:rPr>
          <w:rFonts w:hint="eastAsia"/>
          <w:lang w:val="es-MX"/>
        </w:rPr>
        <w:t>的工作上所取得的进步进行说明，因为相应指标的设置并不符合要揭示问题、进行跟踪监督并落实设定的目标和战略所需要的特性。这样，可以认定，无论是相应的国家目标，还是各关切领域的具体目标还是掌握的指标都不足够准确。从这个意义上说，相应的目标和指标都需要进行适当修改，以便能够对目标的落实情况进行具体和准确的跟踪监测。</w:t>
      </w:r>
    </w:p>
    <w:p w:rsidR="00A83775" w:rsidRDefault="00A83775">
      <w:pPr>
        <w:pStyle w:val="SingleTxtGC"/>
        <w:rPr>
          <w:lang w:val="zh-CN"/>
        </w:rPr>
      </w:pPr>
      <w:r>
        <w:rPr>
          <w:lang w:val="es-ES"/>
        </w:rPr>
        <w:t xml:space="preserve">173.  </w:t>
      </w:r>
      <w:r>
        <w:rPr>
          <w:rFonts w:hint="eastAsia"/>
          <w:lang w:val="es-ES"/>
        </w:rPr>
        <w:t>针对</w:t>
      </w:r>
      <w:r>
        <w:rPr>
          <w:rFonts w:eastAsia="SimHei" w:hint="eastAsia"/>
          <w:lang w:val="es-ES"/>
        </w:rPr>
        <w:t>消除暴力侵害这一主题</w:t>
      </w:r>
      <w:r>
        <w:rPr>
          <w:rFonts w:hint="eastAsia"/>
          <w:lang w:val="es-ES"/>
        </w:rPr>
        <w:t>，提出了以下目标，并制定了对应的战略：</w:t>
      </w:r>
      <w:r>
        <w:rPr>
          <w:vertAlign w:val="superscript"/>
          <w:lang w:val="es-ES"/>
        </w:rPr>
        <w:footnoteReference w:id="94"/>
      </w:r>
      <w:r>
        <w:rPr>
          <w:lang w:val="es-ES"/>
        </w:rPr>
        <w:t xml:space="preserve"> </w:t>
      </w:r>
      <w:r>
        <w:rPr>
          <w:rFonts w:hint="eastAsia"/>
          <w:lang w:val="es-ES"/>
        </w:rPr>
        <w:t xml:space="preserve">(a) </w:t>
      </w:r>
      <w:r>
        <w:rPr>
          <w:rFonts w:hint="eastAsia"/>
          <w:lang w:val="es-ES"/>
        </w:rPr>
        <w:t>设</w:t>
      </w:r>
      <w:r>
        <w:rPr>
          <w:rFonts w:hint="eastAsia"/>
          <w:lang w:val="zh-CN"/>
        </w:rPr>
        <w:t>计、开发和实施国家暴力观察站方案；</w:t>
      </w:r>
      <w:r>
        <w:rPr>
          <w:rFonts w:hint="eastAsia"/>
          <w:lang w:val="zh-CN"/>
        </w:rPr>
        <w:t xml:space="preserve">(b) </w:t>
      </w:r>
      <w:r>
        <w:rPr>
          <w:rFonts w:hint="eastAsia"/>
          <w:lang w:val="zh-CN"/>
        </w:rPr>
        <w:t>确定工作基准线，在其中纳入与性别暴力、家庭内暴力和性暴力跟踪监测有关的信息。</w:t>
      </w:r>
    </w:p>
    <w:p w:rsidR="00A83775" w:rsidRDefault="00A83775">
      <w:pPr>
        <w:pStyle w:val="SingleTxtGC"/>
        <w:rPr>
          <w:lang w:val="zh-CN"/>
        </w:rPr>
      </w:pPr>
      <w:r>
        <w:rPr>
          <w:lang w:val="zh-CN"/>
        </w:rPr>
        <w:t xml:space="preserve">174.  </w:t>
      </w:r>
      <w:r>
        <w:rPr>
          <w:rFonts w:hint="eastAsia"/>
          <w:lang w:val="zh-CN"/>
        </w:rPr>
        <w:t>在</w:t>
      </w:r>
      <w:r>
        <w:rPr>
          <w:rFonts w:eastAsia="SimHei" w:hint="eastAsia"/>
          <w:lang w:val="zh-CN"/>
        </w:rPr>
        <w:t>政治参与方面</w:t>
      </w:r>
      <w:r>
        <w:rPr>
          <w:rFonts w:hint="eastAsia"/>
          <w:lang w:val="zh-CN"/>
        </w:rPr>
        <w:t>，提出了如下目标：</w:t>
      </w:r>
      <w:r>
        <w:rPr>
          <w:vertAlign w:val="superscript"/>
          <w:lang w:val="zh-CN"/>
        </w:rPr>
        <w:footnoteReference w:id="95"/>
      </w:r>
      <w:r>
        <w:t xml:space="preserve"> </w:t>
      </w:r>
      <w:r>
        <w:rPr>
          <w:rFonts w:hint="eastAsia"/>
          <w:lang w:val="zh-CN"/>
        </w:rPr>
        <w:t xml:space="preserve">(a) </w:t>
      </w:r>
      <w:r>
        <w:rPr>
          <w:rFonts w:hint="eastAsia"/>
          <w:lang w:val="zh-CN"/>
        </w:rPr>
        <w:t>采取行动提高女性候选人的比例；</w:t>
      </w:r>
      <w:r>
        <w:rPr>
          <w:rFonts w:hint="eastAsia"/>
          <w:lang w:val="zh-CN"/>
        </w:rPr>
        <w:t xml:space="preserve">(b) </w:t>
      </w:r>
      <w:r>
        <w:rPr>
          <w:rFonts w:hint="eastAsia"/>
          <w:lang w:val="zh-CN"/>
        </w:rPr>
        <w:t>在国家层面和地区层面落实</w:t>
      </w:r>
      <w:r>
        <w:rPr>
          <w:rFonts w:hint="eastAsia"/>
          <w:lang w:val="zh-CN"/>
        </w:rPr>
        <w:t>2000</w:t>
      </w:r>
      <w:r>
        <w:rPr>
          <w:rFonts w:hint="eastAsia"/>
          <w:lang w:val="zh-CN"/>
        </w:rPr>
        <w:t>年第</w:t>
      </w:r>
      <w:r>
        <w:rPr>
          <w:rFonts w:hint="eastAsia"/>
          <w:lang w:val="zh-CN"/>
        </w:rPr>
        <w:t>581</w:t>
      </w:r>
      <w:r>
        <w:rPr>
          <w:rFonts w:hint="eastAsia"/>
          <w:lang w:val="zh-CN"/>
        </w:rPr>
        <w:t>号《配额法》。</w:t>
      </w:r>
    </w:p>
    <w:p w:rsidR="00A83775" w:rsidRDefault="00A83775">
      <w:pPr>
        <w:pStyle w:val="SingleTxtGC"/>
        <w:rPr>
          <w:lang w:val="es-ES"/>
        </w:rPr>
      </w:pPr>
      <w:r>
        <w:rPr>
          <w:lang w:val="zh-CN"/>
        </w:rPr>
        <w:t xml:space="preserve">175.  </w:t>
      </w:r>
      <w:r>
        <w:rPr>
          <w:rFonts w:hint="eastAsia"/>
          <w:lang w:val="zh-CN"/>
        </w:rPr>
        <w:t>最后，针对妇女参与经济活动这一主题，设定了以下目标：</w:t>
      </w:r>
      <w:r>
        <w:rPr>
          <w:vertAlign w:val="superscript"/>
          <w:lang w:val="zh-CN"/>
        </w:rPr>
        <w:footnoteReference w:id="96"/>
      </w:r>
      <w:r>
        <w:t xml:space="preserve"> </w:t>
      </w:r>
      <w:r>
        <w:rPr>
          <w:rFonts w:hint="eastAsia"/>
          <w:lang w:val="zh-CN"/>
        </w:rPr>
        <w:t xml:space="preserve">(a) </w:t>
      </w:r>
      <w:r>
        <w:rPr>
          <w:rFonts w:hint="eastAsia"/>
          <w:lang w:val="zh-CN"/>
        </w:rPr>
        <w:t>将男女的经济总体参与率</w:t>
      </w:r>
      <w:r>
        <w:rPr>
          <w:rFonts w:hint="eastAsia"/>
          <w:lang w:val="es-ES"/>
        </w:rPr>
        <w:t>的差距降低至</w:t>
      </w:r>
      <w:r>
        <w:rPr>
          <w:rFonts w:hint="eastAsia"/>
          <w:lang w:val="es-ES"/>
        </w:rPr>
        <w:t>20%</w:t>
      </w:r>
      <w:r>
        <w:rPr>
          <w:rFonts w:hint="eastAsia"/>
          <w:lang w:val="es-ES"/>
        </w:rPr>
        <w:t>，以达到拉美地区这方面差异较低的几个国家的平均水平；</w:t>
      </w:r>
      <w:r>
        <w:rPr>
          <w:rFonts w:hint="eastAsia"/>
          <w:lang w:val="es-ES"/>
        </w:rPr>
        <w:t xml:space="preserve">(b) </w:t>
      </w:r>
      <w:r>
        <w:rPr>
          <w:rFonts w:hint="eastAsia"/>
          <w:lang w:val="es-ES"/>
        </w:rPr>
        <w:t>将男女失业率的差距降低至</w:t>
      </w:r>
      <w:r>
        <w:rPr>
          <w:rFonts w:hint="eastAsia"/>
          <w:lang w:val="es-ES"/>
        </w:rPr>
        <w:t>3%</w:t>
      </w:r>
      <w:r>
        <w:rPr>
          <w:rFonts w:hint="eastAsia"/>
          <w:lang w:val="es-ES"/>
        </w:rPr>
        <w:t>，已达到拉美诸国的平均水平；</w:t>
      </w:r>
      <w:r>
        <w:rPr>
          <w:rFonts w:hint="eastAsia"/>
          <w:lang w:val="es-ES"/>
        </w:rPr>
        <w:t xml:space="preserve">(c) </w:t>
      </w:r>
      <w:r>
        <w:rPr>
          <w:rFonts w:hint="eastAsia"/>
          <w:lang w:val="es-ES"/>
        </w:rPr>
        <w:t>将男女劳动收入水平的差距缩减到</w:t>
      </w:r>
      <w:r>
        <w:rPr>
          <w:rFonts w:hint="eastAsia"/>
          <w:lang w:val="es-ES"/>
        </w:rPr>
        <w:t>20%</w:t>
      </w:r>
      <w:r>
        <w:rPr>
          <w:rFonts w:hint="eastAsia"/>
          <w:lang w:val="es-ES"/>
        </w:rPr>
        <w:t>以下。</w:t>
      </w:r>
    </w:p>
    <w:p w:rsidR="00A83775" w:rsidRDefault="00A83775">
      <w:pPr>
        <w:pStyle w:val="H23GC"/>
        <w:rPr>
          <w:lang w:val="es-ES"/>
        </w:rPr>
      </w:pPr>
      <w:r>
        <w:rPr>
          <w:lang w:val="es-ES"/>
        </w:rPr>
        <w:tab/>
        <w:t>2.</w:t>
      </w:r>
      <w:r>
        <w:rPr>
          <w:lang w:val="es-ES"/>
        </w:rPr>
        <w:tab/>
      </w:r>
      <w:r>
        <w:rPr>
          <w:rFonts w:hint="eastAsia"/>
          <w:lang w:val="es-ES"/>
        </w:rPr>
        <w:t>司法措施</w:t>
      </w:r>
    </w:p>
    <w:p w:rsidR="00A83775" w:rsidRDefault="00A83775">
      <w:pPr>
        <w:pStyle w:val="SingleTxtGC"/>
        <w:rPr>
          <w:lang w:val="es-ES"/>
        </w:rPr>
      </w:pPr>
      <w:r>
        <w:rPr>
          <w:lang w:val="es-ES"/>
        </w:rPr>
        <w:t xml:space="preserve">176.  </w:t>
      </w:r>
      <w:r>
        <w:rPr>
          <w:rFonts w:hint="eastAsia"/>
          <w:lang w:val="es-ES"/>
        </w:rPr>
        <w:t>宪法法院的司法干预已经成为哥伦比亚政府通过各种途径根除基于性别原因的歧视的其中一则手段。宪法法院的判决有助于给予妇女权利更大的保护，并且</w:t>
      </w:r>
      <w:r>
        <w:rPr>
          <w:rFonts w:hint="eastAsia"/>
          <w:lang w:val="zh-CN"/>
        </w:rPr>
        <w:t>已经</w:t>
      </w:r>
      <w:r>
        <w:rPr>
          <w:rFonts w:hint="eastAsia"/>
          <w:lang w:val="es-ES"/>
        </w:rPr>
        <w:t>扩展到了所有领域，通过法院的各项决议，设定了公共和私人实体在保护和保障妇女权利方面所承担的义务，明确了妇女有权享有特殊保护这一点，以便实现男性和女性在法律面前和在社会上的地位均衡，特别是在劳动权利方面的均衡，最后，保障妇女的生殖权利和性权利得到尊重。接下来将介绍宪法法院在报告期内做出的几例有代表性的判决，在本条所对应的附件</w:t>
      </w:r>
      <w:r>
        <w:rPr>
          <w:rFonts w:hint="eastAsia"/>
          <w:lang w:val="es-ES"/>
        </w:rPr>
        <w:t>1</w:t>
      </w:r>
      <w:r>
        <w:rPr>
          <w:rFonts w:hint="eastAsia"/>
          <w:lang w:val="es-ES"/>
        </w:rPr>
        <w:t>中列出了这些判决的全文。</w:t>
      </w:r>
    </w:p>
    <w:p w:rsidR="00A83775" w:rsidRDefault="00A83775">
      <w:pPr>
        <w:pStyle w:val="SingleTxtGC"/>
        <w:rPr>
          <w:lang w:val="zh-CN"/>
        </w:rPr>
      </w:pPr>
      <w:r>
        <w:rPr>
          <w:lang w:val="es-ES"/>
        </w:rPr>
        <w:t xml:space="preserve">177.  </w:t>
      </w:r>
      <w:r>
        <w:rPr>
          <w:rFonts w:eastAsia="SimHei" w:hint="eastAsia"/>
          <w:lang w:val="es-ES"/>
        </w:rPr>
        <w:t>第</w:t>
      </w:r>
      <w:r>
        <w:rPr>
          <w:rFonts w:eastAsia="SimHei" w:hint="eastAsia"/>
          <w:lang w:val="es-ES"/>
        </w:rPr>
        <w:t>T 247-10</w:t>
      </w:r>
      <w:r>
        <w:rPr>
          <w:rFonts w:eastAsia="SimHei" w:hint="eastAsia"/>
          <w:lang w:val="es-ES"/>
        </w:rPr>
        <w:t>号判决</w:t>
      </w:r>
      <w:r>
        <w:rPr>
          <w:rFonts w:hint="eastAsia"/>
          <w:lang w:val="es-ES"/>
        </w:rPr>
        <w:t>：法院对平等权和劳动权进行了分析。指出妇女处于弱势状况，更容易因为其女性的身份而被公司拒绝聘用，成为性别歧视的受害对象。法院规定：“在没有以客观标准进行评估的前提下，原告因为其女性的身份而被认定</w:t>
      </w:r>
      <w:r>
        <w:rPr>
          <w:rFonts w:hint="eastAsia"/>
          <w:lang w:val="zh-CN"/>
        </w:rPr>
        <w:t>为没有能力担任圣塔克拉拉电池公司的监察岗位工作，被排除了其受聘资格；这一情形，准确来说，表明</w:t>
      </w:r>
      <w:r>
        <w:rPr>
          <w:rFonts w:hint="eastAsia"/>
          <w:lang w:val="zh-CN"/>
        </w:rPr>
        <w:t>SOS</w:t>
      </w:r>
      <w:r>
        <w:rPr>
          <w:rFonts w:hint="eastAsia"/>
          <w:lang w:val="zh-CN"/>
        </w:rPr>
        <w:t>有限公司和</w:t>
      </w:r>
      <w:r>
        <w:rPr>
          <w:rFonts w:hint="eastAsia"/>
          <w:lang w:val="zh-CN"/>
        </w:rPr>
        <w:t>ECOPETROL</w:t>
      </w:r>
      <w:r>
        <w:rPr>
          <w:rFonts w:hint="eastAsia"/>
          <w:lang w:val="zh-CN"/>
        </w:rPr>
        <w:t>股份公司的行为具有歧视性，这两家公司在确定岗位人选时并没有采用根据岗位需要或岗位情况用人的标准，因此，其行为没有任何客观合理的依据，而是把性别因素列为了一项人员遴选的参数，其将当事人排除在监察岗位人选的做法带有性别偏见，其行为构成歧视罪”。</w:t>
      </w:r>
    </w:p>
    <w:p w:rsidR="00A83775" w:rsidRDefault="00A83775">
      <w:pPr>
        <w:pStyle w:val="SingleTxtGC"/>
        <w:rPr>
          <w:vertAlign w:val="superscript"/>
          <w:lang w:val="es-ES"/>
        </w:rPr>
      </w:pPr>
      <w:r>
        <w:rPr>
          <w:lang w:val="zh-CN"/>
        </w:rPr>
        <w:t xml:space="preserve">178.  </w:t>
      </w:r>
      <w:r>
        <w:rPr>
          <w:rFonts w:eastAsia="SimHei" w:hint="eastAsia"/>
          <w:lang w:val="zh-CN"/>
        </w:rPr>
        <w:t>第</w:t>
      </w:r>
      <w:r>
        <w:rPr>
          <w:rFonts w:eastAsia="SimHei" w:hint="eastAsia"/>
          <w:lang w:val="zh-CN"/>
        </w:rPr>
        <w:t>C-540-08</w:t>
      </w:r>
      <w:r>
        <w:rPr>
          <w:rFonts w:eastAsia="SimHei" w:hint="eastAsia"/>
          <w:lang w:val="zh-CN"/>
        </w:rPr>
        <w:t>号判决</w:t>
      </w:r>
      <w:r>
        <w:rPr>
          <w:rFonts w:hint="eastAsia"/>
          <w:lang w:val="zh-CN"/>
        </w:rPr>
        <w:t>中陈述如下：“当局应当在执法过程中对男性和女性给予平等待遇（</w:t>
      </w:r>
      <w:r>
        <w:rPr>
          <w:rFonts w:hint="eastAsia"/>
          <w:lang w:val="es-ES"/>
        </w:rPr>
        <w:t>法律面前平等），因此，议员应带头承担起以法律手段对男性和女性给予同等保护的义务（待遇平等或在法律上的平等），同时明令禁止在法律中以当事人作为男性或女性的身份不同而给予差别待遇（禁止歧视）”。</w:t>
      </w:r>
      <w:r>
        <w:rPr>
          <w:vertAlign w:val="superscript"/>
          <w:lang w:val="es-ES"/>
        </w:rPr>
        <w:footnoteReference w:id="97"/>
      </w:r>
    </w:p>
    <w:p w:rsidR="00A83775" w:rsidRDefault="00A83775">
      <w:pPr>
        <w:pStyle w:val="SingleTxtGC"/>
        <w:rPr>
          <w:lang w:val="es-ES"/>
        </w:rPr>
      </w:pPr>
      <w:r>
        <w:rPr>
          <w:lang w:val="es-ES"/>
        </w:rPr>
        <w:t xml:space="preserve">179.  </w:t>
      </w:r>
      <w:r>
        <w:rPr>
          <w:rFonts w:eastAsia="SimHei" w:hint="eastAsia"/>
          <w:lang w:val="es-ES"/>
        </w:rPr>
        <w:t>第</w:t>
      </w:r>
      <w:r>
        <w:rPr>
          <w:rFonts w:eastAsia="SimHei" w:hint="eastAsia"/>
          <w:lang w:val="es-ES"/>
        </w:rPr>
        <w:t>C-534-05</w:t>
      </w:r>
      <w:r>
        <w:rPr>
          <w:rFonts w:eastAsia="SimHei" w:hint="eastAsia"/>
          <w:lang w:val="es-ES"/>
        </w:rPr>
        <w:t>号判决</w:t>
      </w:r>
      <w:r>
        <w:rPr>
          <w:rFonts w:hint="eastAsia"/>
          <w:lang w:val="es-ES"/>
        </w:rPr>
        <w:t>。法院指出：“与对女性的特别保护所伴生的是为实现宪法目的而接受的歧视性待遇。或者，换一种说法，对妇女权利的硬性特别保护是一项宪法</w:t>
      </w:r>
      <w:r>
        <w:rPr>
          <w:rFonts w:hint="eastAsia"/>
          <w:lang w:val="zh-CN"/>
        </w:rPr>
        <w:t>目的</w:t>
      </w:r>
      <w:r>
        <w:rPr>
          <w:rFonts w:hint="eastAsia"/>
          <w:lang w:val="es-ES"/>
        </w:rPr>
        <w:t>，要达成这一目的，在某些情况下就需要一般性的平等条文做出让步，此外，还要考虑实施相关的国际文书和机制。法律法规中对女性给予了与男性同等条件的保护，但是在特定条件下为平衡男女所处的状况而进行了例外的规定（……）”。（……）“在我国的宪法秩序中实现了两项原则的共存……这两项原则是：</w:t>
      </w:r>
      <w:r>
        <w:rPr>
          <w:rFonts w:hint="eastAsia"/>
          <w:lang w:val="es-ES"/>
        </w:rPr>
        <w:t>(</w:t>
      </w:r>
      <w:r>
        <w:rPr>
          <w:rFonts w:hint="eastAsia"/>
          <w:lang w:val="es-ES"/>
        </w:rPr>
        <w:t>一</w:t>
      </w:r>
      <w:r>
        <w:rPr>
          <w:rFonts w:hint="eastAsia"/>
          <w:lang w:val="es-ES"/>
        </w:rPr>
        <w:t xml:space="preserve">) </w:t>
      </w:r>
      <w:r>
        <w:rPr>
          <w:rFonts w:hint="eastAsia"/>
          <w:lang w:val="es-ES"/>
        </w:rPr>
        <w:t>明文禁止基于性别原因的歧视；</w:t>
      </w:r>
      <w:r>
        <w:rPr>
          <w:rFonts w:hint="eastAsia"/>
          <w:lang w:val="es-ES"/>
        </w:rPr>
        <w:t>(</w:t>
      </w:r>
      <w:r>
        <w:rPr>
          <w:rFonts w:hint="eastAsia"/>
          <w:lang w:val="es-ES"/>
        </w:rPr>
        <w:t>二</w:t>
      </w:r>
      <w:r>
        <w:rPr>
          <w:rFonts w:hint="eastAsia"/>
          <w:lang w:val="es-ES"/>
        </w:rPr>
        <w:t xml:space="preserve">) </w:t>
      </w:r>
      <w:r>
        <w:rPr>
          <w:rFonts w:hint="eastAsia"/>
          <w:lang w:val="es-ES"/>
        </w:rPr>
        <w:t>将妇女和未成年人确定为需要特殊保护的群体。”</w:t>
      </w:r>
      <w:r>
        <w:rPr>
          <w:vertAlign w:val="superscript"/>
          <w:lang w:val="es-ES"/>
        </w:rPr>
        <w:footnoteReference w:id="98"/>
      </w:r>
    </w:p>
    <w:p w:rsidR="00A83775" w:rsidRDefault="00A83775">
      <w:pPr>
        <w:pStyle w:val="H1GC"/>
        <w:rPr>
          <w:lang w:val="es-ES_tradnl"/>
        </w:rPr>
      </w:pPr>
      <w:r>
        <w:rPr>
          <w:lang w:val="es-ES_tradnl"/>
        </w:rPr>
        <w:tab/>
        <w:t>D.</w:t>
      </w:r>
      <w:r>
        <w:rPr>
          <w:lang w:val="es-ES_tradnl"/>
        </w:rPr>
        <w:tab/>
      </w:r>
      <w:r>
        <w:rPr>
          <w:rFonts w:hint="eastAsia"/>
          <w:lang w:val="es-ES_tradnl"/>
        </w:rPr>
        <w:t>第五条</w:t>
      </w:r>
    </w:p>
    <w:p w:rsidR="00A83775" w:rsidRDefault="00A83775">
      <w:pPr>
        <w:pStyle w:val="SingleTxtGC"/>
        <w:rPr>
          <w:lang w:val="es-ES_tradnl"/>
        </w:rPr>
      </w:pPr>
      <w:r>
        <w:rPr>
          <w:lang w:val="es-ES_tradnl"/>
        </w:rPr>
        <w:t xml:space="preserve">180.  </w:t>
      </w:r>
      <w:r>
        <w:rPr>
          <w:rFonts w:hint="eastAsia"/>
          <w:lang w:val="es-ES"/>
        </w:rPr>
        <w:t>与委员会向哥伦比亚提出的具体建议（</w:t>
      </w:r>
      <w:r>
        <w:rPr>
          <w:lang w:val="es-ES"/>
        </w:rPr>
        <w:t>CEDAW/C/COL/CO/6</w:t>
      </w:r>
      <w:r>
        <w:rPr>
          <w:rFonts w:hint="eastAsia"/>
          <w:lang w:val="es-ES"/>
        </w:rPr>
        <w:t>，第</w:t>
      </w:r>
      <w:r>
        <w:rPr>
          <w:rFonts w:hint="eastAsia"/>
          <w:lang w:val="es-ES"/>
        </w:rPr>
        <w:t>25</w:t>
      </w:r>
      <w:r>
        <w:rPr>
          <w:rFonts w:hint="eastAsia"/>
          <w:lang w:val="es-ES"/>
        </w:rPr>
        <w:t>段）及委员会第</w:t>
      </w:r>
      <w:r>
        <w:rPr>
          <w:rFonts w:hint="eastAsia"/>
          <w:lang w:val="es-ES"/>
        </w:rPr>
        <w:t>3</w:t>
      </w:r>
      <w:r>
        <w:rPr>
          <w:rFonts w:hint="eastAsia"/>
          <w:lang w:val="es-ES"/>
        </w:rPr>
        <w:t>、</w:t>
      </w:r>
      <w:r>
        <w:rPr>
          <w:rFonts w:hint="eastAsia"/>
          <w:lang w:val="es-ES"/>
        </w:rPr>
        <w:t>12</w:t>
      </w:r>
      <w:r>
        <w:rPr>
          <w:rFonts w:hint="eastAsia"/>
          <w:lang w:val="es-ES"/>
        </w:rPr>
        <w:t>和</w:t>
      </w:r>
      <w:r>
        <w:rPr>
          <w:rFonts w:hint="eastAsia"/>
          <w:lang w:val="es-ES"/>
        </w:rPr>
        <w:t>19</w:t>
      </w:r>
      <w:r>
        <w:rPr>
          <w:rFonts w:hint="eastAsia"/>
          <w:lang w:val="es-ES"/>
        </w:rPr>
        <w:t>号一般性建议有关。</w:t>
      </w:r>
    </w:p>
    <w:p w:rsidR="00A83775" w:rsidRDefault="00A83775">
      <w:pPr>
        <w:pStyle w:val="H23GC"/>
        <w:rPr>
          <w:lang w:val="es-ES_tradnl"/>
        </w:rPr>
      </w:pPr>
      <w:r>
        <w:rPr>
          <w:lang w:val="es-ES_tradnl"/>
        </w:rPr>
        <w:tab/>
        <w:t>1.</w:t>
      </w:r>
      <w:r>
        <w:rPr>
          <w:lang w:val="es-ES_tradnl"/>
        </w:rPr>
        <w:tab/>
      </w:r>
      <w:r>
        <w:rPr>
          <w:rFonts w:hint="eastAsia"/>
          <w:lang w:val="es-ES_tradnl"/>
        </w:rPr>
        <w:t>行政措施</w:t>
      </w:r>
    </w:p>
    <w:p w:rsidR="00A83775" w:rsidRDefault="00A83775">
      <w:pPr>
        <w:pStyle w:val="SingleTxtGC"/>
        <w:rPr>
          <w:lang w:val="es-ES"/>
        </w:rPr>
      </w:pPr>
      <w:r>
        <w:rPr>
          <w:lang w:val="es-ES"/>
        </w:rPr>
        <w:t xml:space="preserve">181.  </w:t>
      </w:r>
      <w:r>
        <w:rPr>
          <w:rFonts w:hint="eastAsia"/>
          <w:lang w:val="es-ES"/>
        </w:rPr>
        <w:t>在为消除可能引致对妇女的歧视的文化观念而采取的措施方面，在本次报告对《公约》所承认的每项权利的论述中，都包含这方面的相关信息，但是，接下来将对一些主要措施进行着重论述：</w:t>
      </w:r>
    </w:p>
    <w:p w:rsidR="00A83775" w:rsidRDefault="00A83775">
      <w:pPr>
        <w:pStyle w:val="H23GC"/>
        <w:rPr>
          <w:lang w:val="es-CO"/>
        </w:rPr>
      </w:pPr>
      <w:r>
        <w:rPr>
          <w:lang w:val="es-CO"/>
        </w:rPr>
        <w:tab/>
      </w:r>
      <w:r>
        <w:rPr>
          <w:lang w:val="es-CO"/>
        </w:rPr>
        <w:tab/>
      </w:r>
      <w:r>
        <w:rPr>
          <w:rFonts w:hint="eastAsia"/>
          <w:lang w:val="es-CO"/>
        </w:rPr>
        <w:t>国家人权教育计划</w:t>
      </w:r>
      <w:r>
        <w:rPr>
          <w:rFonts w:hint="eastAsia"/>
          <w:spacing w:val="-40"/>
          <w:lang w:val="es-ES"/>
        </w:rPr>
        <w:t>――</w:t>
      </w:r>
      <w:r>
        <w:rPr>
          <w:rFonts w:hint="eastAsia"/>
          <w:spacing w:val="-40"/>
          <w:lang w:val="es-ES"/>
        </w:rPr>
        <w:t xml:space="preserve"> </w:t>
      </w:r>
      <w:r>
        <w:rPr>
          <w:lang w:val="es-CO"/>
        </w:rPr>
        <w:t>PLANEDH</w:t>
      </w:r>
    </w:p>
    <w:p w:rsidR="00A83775" w:rsidRDefault="00A83775">
      <w:pPr>
        <w:pStyle w:val="SingleTxtGC"/>
        <w:rPr>
          <w:lang w:val="es-ES"/>
        </w:rPr>
      </w:pPr>
      <w:r>
        <w:rPr>
          <w:lang w:val="es-CO"/>
        </w:rPr>
        <w:t xml:space="preserve">182.  </w:t>
      </w:r>
      <w:r>
        <w:rPr>
          <w:rFonts w:hint="eastAsia"/>
          <w:lang w:val="es-CO"/>
        </w:rPr>
        <w:t>《</w:t>
      </w:r>
      <w:r>
        <w:rPr>
          <w:rFonts w:hint="eastAsia"/>
          <w:lang w:val="es-ES"/>
        </w:rPr>
        <w:t>国家人权教育计划》是由国家教育部、公民权利监察员办公室、共和国副总统办公室在联合国人权事务高级专员驻哥伦比亚办事处，国际开发署驻哥伦比亚人权</w:t>
      </w:r>
      <w:r>
        <w:rPr>
          <w:rFonts w:hint="eastAsia"/>
          <w:lang w:val="zh-CN"/>
        </w:rPr>
        <w:t>计划</w:t>
      </w:r>
      <w:r>
        <w:rPr>
          <w:rFonts w:hint="eastAsia"/>
          <w:lang w:val="es-ES"/>
        </w:rPr>
        <w:t>处的支持下制定的。在这一计划的编制过程中，一些地区技术团体、全国人权宣传网络的社会领导者、民间社会组织、非政府组织、专家和学者也纷纷参与其中。</w:t>
      </w:r>
    </w:p>
    <w:p w:rsidR="00A83775" w:rsidRDefault="00A83775">
      <w:pPr>
        <w:pStyle w:val="SingleTxtGC"/>
        <w:rPr>
          <w:lang w:val="zh-CN"/>
        </w:rPr>
      </w:pPr>
      <w:r>
        <w:rPr>
          <w:lang w:val="es-ES"/>
        </w:rPr>
        <w:t xml:space="preserve">183.  </w:t>
      </w:r>
      <w:r>
        <w:rPr>
          <w:rFonts w:hint="eastAsia"/>
          <w:lang w:val="es-ES"/>
        </w:rPr>
        <w:t>国家人权教育计划中所规定的关于人权的教育旨在促进社会转型，使全社会都有权</w:t>
      </w:r>
      <w:r>
        <w:rPr>
          <w:rFonts w:hint="eastAsia"/>
          <w:lang w:val="zh-CN"/>
        </w:rPr>
        <w:t>追求其权利和自由，并增强男性和女性捍卫和行使其自由和权利的能力。</w:t>
      </w:r>
    </w:p>
    <w:p w:rsidR="00A83775" w:rsidRDefault="00A83775">
      <w:pPr>
        <w:pStyle w:val="SingleTxtGC"/>
        <w:rPr>
          <w:lang w:val="zh-CN"/>
        </w:rPr>
      </w:pPr>
      <w:r>
        <w:rPr>
          <w:lang w:val="zh-CN"/>
        </w:rPr>
        <w:t xml:space="preserve">184.  </w:t>
      </w:r>
      <w:r>
        <w:rPr>
          <w:rFonts w:hint="eastAsia"/>
          <w:lang w:val="zh-CN"/>
        </w:rPr>
        <w:t>国家人权教育计划的实施范围覆盖了正规教育（从学龄前教育到高等教育）、非正规教育和非正式教育各领域。计划力求将其实施范围扩展到社交、体制、文化和多民族事务的各领域，以及与教育有关的方方面面，以便从地方层面和国家层面保护和增进人权。</w:t>
      </w:r>
    </w:p>
    <w:p w:rsidR="00A83775" w:rsidRDefault="00A83775">
      <w:pPr>
        <w:pStyle w:val="SingleTxtGC"/>
        <w:rPr>
          <w:lang w:val="es-ES"/>
        </w:rPr>
      </w:pPr>
      <w:r>
        <w:rPr>
          <w:lang w:val="zh-CN"/>
        </w:rPr>
        <w:t xml:space="preserve">185.  </w:t>
      </w:r>
      <w:r>
        <w:rPr>
          <w:rFonts w:hint="eastAsia"/>
          <w:lang w:val="zh-CN"/>
        </w:rPr>
        <w:t>计划奠定了公共政策运作的基石，旨在确保国家和社会在这一领域行动的前进方向。计划</w:t>
      </w:r>
      <w:r>
        <w:rPr>
          <w:rFonts w:hint="eastAsia"/>
          <w:lang w:val="es-ES"/>
        </w:rPr>
        <w:t>的全文可在本条对应的附件</w:t>
      </w:r>
      <w:r>
        <w:rPr>
          <w:rFonts w:hint="eastAsia"/>
          <w:lang w:val="es-ES"/>
        </w:rPr>
        <w:t>1</w:t>
      </w:r>
      <w:r>
        <w:rPr>
          <w:rFonts w:hint="eastAsia"/>
          <w:lang w:val="es-ES"/>
        </w:rPr>
        <w:t>中查阅，当前正在实施的是旨在落实人权的教育试点项目，其目的是通过努力构筑一项关于人权教育的概念性和操作性的提案并验证其可行性。从这个意义上说，这一试点项目从权利的行使主体入手，通过与各地区的教育机关、大专院校和其他学术界成员通力合作，为权利主体的公民权利的发展和科学技能的发展提供了可能。</w:t>
      </w:r>
    </w:p>
    <w:p w:rsidR="00A83775" w:rsidRDefault="00A83775">
      <w:pPr>
        <w:pStyle w:val="H23GC"/>
        <w:rPr>
          <w:lang w:val="es-ES"/>
        </w:rPr>
      </w:pPr>
      <w:r>
        <w:rPr>
          <w:lang w:val="es-ES"/>
        </w:rPr>
        <w:tab/>
      </w:r>
      <w:r>
        <w:rPr>
          <w:lang w:val="es-ES"/>
        </w:rPr>
        <w:tab/>
      </w:r>
      <w:r>
        <w:rPr>
          <w:rFonts w:hint="eastAsia"/>
          <w:lang w:val="es-ES"/>
        </w:rPr>
        <w:t>旨在提高公职人员的素质和思想觉悟的行动</w:t>
      </w:r>
    </w:p>
    <w:p w:rsidR="00A83775" w:rsidRDefault="00A83775">
      <w:pPr>
        <w:pStyle w:val="SingleTxtGC"/>
        <w:rPr>
          <w:lang w:val="zh-CN"/>
        </w:rPr>
      </w:pPr>
      <w:r>
        <w:rPr>
          <w:lang w:val="es-ES"/>
        </w:rPr>
        <w:t xml:space="preserve">186.  </w:t>
      </w:r>
      <w:r>
        <w:rPr>
          <w:rFonts w:eastAsia="KaiTi_GB2312" w:hint="eastAsia"/>
          <w:lang w:val="es-ES"/>
        </w:rPr>
        <w:t>性别事务国家委员会战略</w:t>
      </w:r>
      <w:r>
        <w:rPr>
          <w:rFonts w:hint="eastAsia"/>
          <w:lang w:val="es-ES"/>
        </w:rPr>
        <w:t>的主要职能就是面向司法部门的全体男性和女性公职人员，以持续、系统化和体制化的方式开展与两性平等有关的培训、调查研究和思想教育。立足于横向培养方案，</w:t>
      </w:r>
      <w:r>
        <w:rPr>
          <w:rFonts w:hint="eastAsia"/>
          <w:lang w:val="es-ES"/>
        </w:rPr>
        <w:t>2008</w:t>
      </w:r>
      <w:r>
        <w:rPr>
          <w:rFonts w:hint="eastAsia"/>
          <w:lang w:val="es-ES"/>
        </w:rPr>
        <w:t>年推进实施了名为在司法管理中开展关</w:t>
      </w:r>
      <w:r>
        <w:rPr>
          <w:rFonts w:hint="eastAsia"/>
          <w:lang w:val="zh-CN"/>
        </w:rPr>
        <w:t>于性别观点的司法人员培训子方案，其目的是提高司法人员的觉悟，使其认识到将性别观点纳入各领域的重要性，以此作为一项主要手段，帮助转变在历史上对世界上众多人口群体产生深远影响的歧视文化。</w:t>
      </w:r>
    </w:p>
    <w:p w:rsidR="00A83775" w:rsidRDefault="00A83775">
      <w:pPr>
        <w:pStyle w:val="SingleTxtGC"/>
        <w:rPr>
          <w:lang w:val="es-ES"/>
        </w:rPr>
      </w:pPr>
      <w:r>
        <w:rPr>
          <w:lang w:val="zh-CN"/>
        </w:rPr>
        <w:t xml:space="preserve">187.  </w:t>
      </w:r>
      <w:r>
        <w:rPr>
          <w:rFonts w:hint="eastAsia"/>
          <w:lang w:val="zh-CN"/>
        </w:rPr>
        <w:t>推进开展了以下活动：评定并发布了性别观点模块和自我引导学习模块；采用了</w:t>
      </w:r>
      <w:r>
        <w:rPr>
          <w:rFonts w:hint="eastAsia"/>
          <w:lang w:val="es-ES_tradnl"/>
        </w:rPr>
        <w:t>关于将性别观点纳入到司法培训方案中的作者指南；举办了司法主管机关关于性别问题的第六次碰头会，在会上就在司法领域纳入性别观点的工作所取得的进展进行了分析和讨论；促成了将罗德里格·拉腊·波尼亚司法学院认证为司法部门国家性别事务委员会的成员单位，这项工作自</w:t>
      </w:r>
      <w:r>
        <w:rPr>
          <w:rFonts w:hint="eastAsia"/>
          <w:lang w:val="es-ES_tradnl"/>
        </w:rPr>
        <w:t>2002</w:t>
      </w:r>
      <w:r>
        <w:rPr>
          <w:rFonts w:hint="eastAsia"/>
          <w:lang w:val="es-ES_tradnl"/>
        </w:rPr>
        <w:t>年启动，目的是通过最高司法委员会与人口基金之间协议达成的年度工作计划的落实，将司法院校纳入委员会的成员范畴，以获得雄厚的技术支持，将其主要目的设定为在司法决议、司法管理功能和司法部门的工作中促进男女机会平等和消除基于性别原因的歧视。</w:t>
      </w:r>
      <w:r>
        <w:rPr>
          <w:rFonts w:hint="eastAsia"/>
          <w:lang w:val="es-ES"/>
        </w:rPr>
        <w:t>在共和国大法官和各级法官的培训课程的教育大纲中纳入与性别观点有关的主题，落实</w:t>
      </w:r>
      <w:r>
        <w:rPr>
          <w:rFonts w:hint="eastAsia"/>
          <w:lang w:val="es-ES"/>
        </w:rPr>
        <w:t>2009</w:t>
      </w:r>
      <w:r>
        <w:rPr>
          <w:rFonts w:hint="eastAsia"/>
          <w:lang w:val="es-ES"/>
        </w:rPr>
        <w:t>年的宣传工作；开办培训班，配合开展面向督导员网络的培训工作，在工作过程中拟订针对这一课题的结构大纲，参与此类课程培训的约有</w:t>
      </w:r>
      <w:r>
        <w:rPr>
          <w:rFonts w:hint="eastAsia"/>
          <w:lang w:val="es-ES"/>
        </w:rPr>
        <w:t>1 800</w:t>
      </w:r>
      <w:r>
        <w:rPr>
          <w:rFonts w:hint="eastAsia"/>
          <w:lang w:val="es-ES"/>
        </w:rPr>
        <w:t>名有志从事司法工作并提高其工作能力的学员。</w:t>
      </w:r>
    </w:p>
    <w:p w:rsidR="00A83775" w:rsidRDefault="00A83775">
      <w:pPr>
        <w:pStyle w:val="SingleTxtGC"/>
        <w:rPr>
          <w:rFonts w:hint="eastAsia"/>
          <w:lang w:val="zh-CN"/>
        </w:rPr>
      </w:pPr>
      <w:r>
        <w:rPr>
          <w:lang w:val="es-ES"/>
        </w:rPr>
        <w:t xml:space="preserve">188.  </w:t>
      </w:r>
      <w:r>
        <w:rPr>
          <w:rFonts w:hint="eastAsia"/>
          <w:lang w:val="es-ES"/>
        </w:rPr>
        <w:t>2008-2010</w:t>
      </w:r>
      <w:r>
        <w:rPr>
          <w:rFonts w:hint="eastAsia"/>
          <w:lang w:val="es-ES"/>
        </w:rPr>
        <w:t>年期间，在全国范围内通过视频会议的形式实施了一项针对司法人员的信息和通信战略，会议主题为指导应用《国际人权宣言》、《美洲人权宣言》、</w:t>
      </w:r>
      <w:r>
        <w:rPr>
          <w:rFonts w:hint="eastAsia"/>
          <w:lang w:val="zh-CN"/>
        </w:rPr>
        <w:t>《公民权利和政治权利公约》、《消除对妇女一切形式歧视公约》中所规定的在司法管理中应当遵循的原则。</w:t>
      </w:r>
      <w:r>
        <w:rPr>
          <w:vertAlign w:val="superscript"/>
          <w:lang w:val="zh-CN"/>
        </w:rPr>
        <w:footnoteReference w:id="99"/>
      </w:r>
    </w:p>
    <w:p w:rsidR="00A83775" w:rsidRDefault="00A83775">
      <w:pPr>
        <w:pStyle w:val="SingleTxtGC"/>
        <w:rPr>
          <w:rFonts w:hint="eastAsia"/>
          <w:lang w:val="es-ES"/>
        </w:rPr>
      </w:pPr>
      <w:r>
        <w:rPr>
          <w:lang w:val="zh-CN"/>
        </w:rPr>
        <w:t xml:space="preserve">189.  </w:t>
      </w:r>
      <w:r>
        <w:rPr>
          <w:rFonts w:hint="eastAsia"/>
          <w:lang w:val="zh-CN"/>
        </w:rPr>
        <w:t>内政和司法部启动了一项针对国际和国内与性别事务和提高认识运动有关的判例法的审查程序。在这一工作进程中对大约</w:t>
      </w:r>
      <w:r>
        <w:rPr>
          <w:rFonts w:hint="eastAsia"/>
          <w:lang w:val="zh-CN"/>
        </w:rPr>
        <w:t>130</w:t>
      </w:r>
      <w:r>
        <w:rPr>
          <w:rFonts w:hint="eastAsia"/>
          <w:lang w:val="zh-CN"/>
        </w:rPr>
        <w:t>名公务员进行了培训并制定了针对司法</w:t>
      </w:r>
      <w:r>
        <w:rPr>
          <w:rFonts w:hint="eastAsia"/>
          <w:lang w:val="es-ES"/>
        </w:rPr>
        <w:t>机关公务员的法律指南手册，在其中纳入了与哥伦比亚存在的基于性别原因的暴力、性暴力和家庭内暴力问题有关的国际文书和条约、法规和判例。</w:t>
      </w:r>
    </w:p>
    <w:p w:rsidR="00A83775" w:rsidRDefault="00A83775">
      <w:pPr>
        <w:pStyle w:val="SingleTxtGC"/>
        <w:rPr>
          <w:lang w:val="es-ES"/>
        </w:rPr>
      </w:pPr>
      <w:r>
        <w:rPr>
          <w:lang w:val="es-ES"/>
        </w:rPr>
        <w:t xml:space="preserve">190.  </w:t>
      </w:r>
      <w:r>
        <w:rPr>
          <w:rFonts w:hint="eastAsia"/>
          <w:lang w:val="es-ES"/>
        </w:rPr>
        <w:t>国防部已经制定出台了若干战略，旨在对公务员进行培训和指导，涉及的主题包括</w:t>
      </w:r>
      <w:r>
        <w:rPr>
          <w:rFonts w:hint="eastAsia"/>
          <w:lang w:val="zh-CN"/>
        </w:rPr>
        <w:t>保护</w:t>
      </w:r>
      <w:r>
        <w:rPr>
          <w:rFonts w:hint="eastAsia"/>
          <w:lang w:val="es-ES"/>
        </w:rPr>
        <w:t>和保障人权以及根除一切形式的歧视现象，并将工作重点落在了基于性别原因的暴力问题上。</w:t>
      </w:r>
      <w:r>
        <w:rPr>
          <w:vertAlign w:val="superscript"/>
          <w:lang w:val="es-ES"/>
        </w:rPr>
        <w:footnoteReference w:id="100"/>
      </w:r>
      <w:r>
        <w:rPr>
          <w:lang w:val="es-ES"/>
        </w:rPr>
        <w:t xml:space="preserve"> </w:t>
      </w:r>
      <w:r>
        <w:rPr>
          <w:rFonts w:hint="eastAsia"/>
          <w:lang w:val="es-ES"/>
        </w:rPr>
        <w:t>这样，在国家警察部队中，负责保护儿童和青少年的工作组在预防性行动方针指导下，通过“睁开你的双眼”方案，依据为确定各市镇存在的问题而开展的诊断分析的结果，在各所院校中开展了提高认识运动，目标对象为学生群体、教师群体以及学生家长。</w:t>
      </w:r>
    </w:p>
    <w:p w:rsidR="00A83775" w:rsidRDefault="00A83775">
      <w:pPr>
        <w:pStyle w:val="SingleTxtGC"/>
        <w:rPr>
          <w:lang w:val="zh-CN"/>
        </w:rPr>
      </w:pPr>
      <w:r>
        <w:rPr>
          <w:lang w:val="es-ES"/>
        </w:rPr>
        <w:t xml:space="preserve">191.  </w:t>
      </w:r>
      <w:r>
        <w:rPr>
          <w:rFonts w:hint="eastAsia"/>
          <w:lang w:val="es-ES"/>
        </w:rPr>
        <w:t>另一方面，哥伦比亚家庭福利研究所，考虑到有必要消除在教育培训中与性别问题有关的陈规定型观念，已经制定和发布了旨在增进性权利和生殖权利的若干文件，着重关注性别问题，涉及的主题包括：全面关爱儿童和青少年的性健康和生</w:t>
      </w:r>
      <w:r>
        <w:rPr>
          <w:rFonts w:hint="eastAsia"/>
          <w:lang w:val="zh-CN"/>
        </w:rPr>
        <w:t>殖健康、性权利和生殖权利的运作模式；在方案框架内对哥伦比亚街头流浪儿童和青少年提供帮助，这一举措在七个城市中推行；发布了四本指导手册，内容包括应采用何种方法来应对儿童、青少年及公职人员的焦虑不安和需要（</w:t>
      </w:r>
      <w:r>
        <w:rPr>
          <w:rFonts w:hint="eastAsia"/>
          <w:lang w:val="zh-CN"/>
        </w:rPr>
        <w:t>2</w:t>
      </w:r>
      <w:r>
        <w:t>,</w:t>
      </w:r>
      <w:r>
        <w:rPr>
          <w:rFonts w:hint="eastAsia"/>
          <w:lang w:val="zh-CN"/>
        </w:rPr>
        <w:t>500</w:t>
      </w:r>
      <w:r>
        <w:rPr>
          <w:rFonts w:hint="eastAsia"/>
          <w:lang w:val="zh-CN"/>
        </w:rPr>
        <w:t>份）；设计并验证了三个工作模块，考虑到了哥伦比亚家庭福利研究所各类预防方案的需要，目的是促进青少年的参与和领导力，鼓励青年创业并培养一批性健康和生殖健康宣讲员，立足于生活技能的培养，这些活动可以随时随地由公务员和社区工作人员开展实施。</w:t>
      </w:r>
      <w:r>
        <w:rPr>
          <w:vertAlign w:val="superscript"/>
          <w:lang w:val="zh-CN"/>
        </w:rPr>
        <w:footnoteReference w:id="101"/>
      </w:r>
    </w:p>
    <w:p w:rsidR="00A83775" w:rsidRDefault="00A83775">
      <w:pPr>
        <w:pStyle w:val="SingleTxtGC"/>
        <w:rPr>
          <w:rFonts w:hint="eastAsia"/>
          <w:iCs/>
          <w:lang w:val="es-ES"/>
        </w:rPr>
      </w:pPr>
      <w:r>
        <w:rPr>
          <w:lang w:val="zh-CN"/>
        </w:rPr>
        <w:t xml:space="preserve">192.  </w:t>
      </w:r>
      <w:r>
        <w:rPr>
          <w:rFonts w:hint="eastAsia"/>
          <w:lang w:val="zh-CN"/>
        </w:rPr>
        <w:t>国家赔偿与和解委员会</w:t>
      </w:r>
      <w:r>
        <w:rPr>
          <w:vertAlign w:val="superscript"/>
          <w:lang w:val="zh-CN"/>
        </w:rPr>
        <w:footnoteReference w:id="102"/>
      </w:r>
      <w:r>
        <w:rPr>
          <w:lang w:val="zh-CN"/>
        </w:rPr>
        <w:t xml:space="preserve"> </w:t>
      </w:r>
      <w:r>
        <w:rPr>
          <w:rFonts w:hint="eastAsia"/>
          <w:lang w:val="zh-CN"/>
        </w:rPr>
        <w:t>已经编制了若干出版物，目的是宣传受害者权利和《正义与和平法》的相关知识，指导落实对暴力案件的处理，秉持解决矛盾冲突、重建历史回</w:t>
      </w:r>
      <w:r>
        <w:rPr>
          <w:rFonts w:hint="eastAsia"/>
          <w:lang w:val="es-ES"/>
        </w:rPr>
        <w:t>忆的原则，重视宣传人权和强迫遣送问题。这些出版物主要有：关于在武装冲突中性别暴力妇女案例归档成文和受害者帮助指导手册；性别暴力问题宣传册；冲突重现工具集；</w:t>
      </w:r>
      <w:r>
        <w:rPr>
          <w:rFonts w:hint="eastAsia"/>
          <w:iCs/>
          <w:lang w:val="es-ES"/>
        </w:rPr>
        <w:t>妇女权利网络宣传报；“再也不要”系列文集；由受害妇女讲述其亲身经历的广播系列剧；广播节目</w:t>
      </w:r>
      <w:r>
        <w:rPr>
          <w:rFonts w:hint="eastAsia"/>
          <w:spacing w:val="-40"/>
          <w:lang w:val="es-ES"/>
        </w:rPr>
        <w:t>――</w:t>
      </w:r>
      <w:r>
        <w:rPr>
          <w:rFonts w:hint="eastAsia"/>
          <w:spacing w:val="-40"/>
          <w:lang w:val="es-ES"/>
        </w:rPr>
        <w:t xml:space="preserve"> </w:t>
      </w:r>
      <w:r>
        <w:rPr>
          <w:rFonts w:hint="eastAsia"/>
          <w:iCs/>
          <w:lang w:val="es-ES"/>
        </w:rPr>
        <w:t>《受害妇女讲述进行时》；国家赔偿与和解委员会的公报；让我们来谈谈和解；历史回忆录：“博尔特特海湾大屠杀：视野中的瓦羽族妇女”，以及其他历史回忆录。</w:t>
      </w:r>
      <w:r>
        <w:rPr>
          <w:iCs/>
          <w:vertAlign w:val="superscript"/>
          <w:lang w:val="es-ES"/>
        </w:rPr>
        <w:footnoteReference w:id="103"/>
      </w:r>
    </w:p>
    <w:p w:rsidR="00A83775" w:rsidRDefault="00A83775">
      <w:pPr>
        <w:pStyle w:val="SingleTxtGC"/>
        <w:rPr>
          <w:lang w:val="es-ES"/>
        </w:rPr>
      </w:pPr>
      <w:r>
        <w:rPr>
          <w:lang w:val="es-ES"/>
        </w:rPr>
        <w:t xml:space="preserve">193.  </w:t>
      </w:r>
      <w:r>
        <w:rPr>
          <w:rFonts w:hint="eastAsia"/>
          <w:lang w:val="es-ES"/>
        </w:rPr>
        <w:t>另一方面，</w:t>
      </w:r>
      <w:r>
        <w:rPr>
          <w:lang w:val="en-GB"/>
        </w:rPr>
        <w:t>全面打击基于性别原因的暴力行为方案</w:t>
      </w:r>
      <w:r>
        <w:rPr>
          <w:rFonts w:hint="eastAsia"/>
          <w:lang w:val="es-ES"/>
        </w:rPr>
        <w:t>开展了一项</w:t>
      </w:r>
      <w:r>
        <w:rPr>
          <w:rFonts w:eastAsia="SimHei" w:hint="eastAsia"/>
          <w:lang w:val="es-ES"/>
        </w:rPr>
        <w:t>关于哥伦比亚对基于性别原因的暴力行为的社会忍耐度和体制忍耐度的研究</w:t>
      </w:r>
      <w:r>
        <w:rPr>
          <w:rFonts w:hint="eastAsia"/>
          <w:lang w:val="es-ES"/>
        </w:rPr>
        <w:t>（</w:t>
      </w:r>
      <w:r>
        <w:rPr>
          <w:rFonts w:hint="eastAsia"/>
          <w:lang w:val="es-ES"/>
        </w:rPr>
        <w:t>2009-2010</w:t>
      </w:r>
      <w:r>
        <w:rPr>
          <w:rFonts w:hint="eastAsia"/>
          <w:lang w:val="es-ES"/>
        </w:rPr>
        <w:t>年）——在本条对应的附件</w:t>
      </w:r>
      <w:r>
        <w:rPr>
          <w:rFonts w:hint="eastAsia"/>
          <w:lang w:val="es-ES"/>
        </w:rPr>
        <w:t>2</w:t>
      </w:r>
      <w:r>
        <w:rPr>
          <w:rFonts w:hint="eastAsia"/>
          <w:lang w:val="es-ES"/>
        </w:rPr>
        <w:t>中包含了这一研究报告的全文，研究有助于揭示哪些文化和历史因素有助于评判这一问题，将研究重点落在与这方面有关的习俗、态度、观念以及个人、社会和机构的相应做法上，目的是最终揭示出男女在权力关系上的不平等，妇女所处的权力地位的底层，而这是导致暴力侵害妇女行为产生的首要因素。</w:t>
      </w:r>
    </w:p>
    <w:p w:rsidR="00A83775" w:rsidRDefault="00A83775">
      <w:pPr>
        <w:pStyle w:val="SingleTxtGC"/>
        <w:rPr>
          <w:lang w:val="es-ES"/>
        </w:rPr>
      </w:pPr>
      <w:r>
        <w:rPr>
          <w:lang w:val="es-ES"/>
        </w:rPr>
        <w:t xml:space="preserve">194.  </w:t>
      </w:r>
      <w:r>
        <w:rPr>
          <w:rFonts w:hint="eastAsia"/>
          <w:lang w:val="es-ES"/>
        </w:rPr>
        <w:t>为编制这一研究报告，收集了</w:t>
      </w:r>
      <w:r>
        <w:rPr>
          <w:rFonts w:hint="eastAsia"/>
          <w:lang w:val="es-ES"/>
        </w:rPr>
        <w:t>1</w:t>
      </w:r>
      <w:r>
        <w:rPr>
          <w:lang w:val="es-ES"/>
        </w:rPr>
        <w:t>,</w:t>
      </w:r>
      <w:r>
        <w:rPr>
          <w:rFonts w:hint="eastAsia"/>
          <w:lang w:val="es-ES"/>
        </w:rPr>
        <w:t>080</w:t>
      </w:r>
      <w:r>
        <w:rPr>
          <w:rFonts w:hint="eastAsia"/>
          <w:lang w:val="es-ES"/>
        </w:rPr>
        <w:t>人的代表性样本，采样对象来自于哥伦比亚各市的普通民众，</w:t>
      </w:r>
      <w:r>
        <w:rPr>
          <w:vertAlign w:val="superscript"/>
          <w:lang w:val="es-ES"/>
        </w:rPr>
        <w:footnoteReference w:id="104"/>
      </w:r>
      <w:r>
        <w:rPr>
          <w:lang w:val="es-ES"/>
        </w:rPr>
        <w:t xml:space="preserve"> </w:t>
      </w:r>
      <w:r>
        <w:rPr>
          <w:rFonts w:hint="eastAsia"/>
          <w:lang w:val="es-ES"/>
        </w:rPr>
        <w:t>还收集了一个负有关爱基于性别原因的歧视的受害者职能的各家机关单位的样本，采样对象同样来自以上城市（涉及到卫生界、司法界和教育界）。此次调查在哥伦比亚无论从题材规模还是工作影响面来说都是独一无二的，揭示了对基于性别原因的暴力、夫妻生活、妇女的经济权力地位、男性和女性的主体地位等主题的定性和定量分析结果，在调查中采用了社会经济变量、种族变量和性别变量，等等。</w:t>
      </w:r>
      <w:r>
        <w:rPr>
          <w:lang w:val="es-ES"/>
        </w:rPr>
        <w:t xml:space="preserve"> </w:t>
      </w:r>
    </w:p>
    <w:p w:rsidR="00A83775" w:rsidRDefault="00A83775">
      <w:pPr>
        <w:pStyle w:val="H23GC"/>
        <w:rPr>
          <w:lang w:val="es-ES"/>
        </w:rPr>
      </w:pPr>
      <w:r>
        <w:rPr>
          <w:lang w:val="es-ES"/>
        </w:rPr>
        <w:tab/>
      </w:r>
      <w:r>
        <w:rPr>
          <w:lang w:val="es-ES"/>
        </w:rPr>
        <w:tab/>
      </w:r>
      <w:r>
        <w:rPr>
          <w:rFonts w:hint="eastAsia"/>
          <w:lang w:val="es-ES"/>
        </w:rPr>
        <w:t>媒体与妇女平等事务总统高级顾问办公室共同实施的战略</w:t>
      </w:r>
    </w:p>
    <w:p w:rsidR="00A83775" w:rsidRDefault="00A83775">
      <w:pPr>
        <w:pStyle w:val="SingleTxtGC"/>
        <w:rPr>
          <w:lang w:val="es-ES"/>
        </w:rPr>
      </w:pPr>
      <w:r>
        <w:rPr>
          <w:lang w:val="es-ES"/>
        </w:rPr>
        <w:t xml:space="preserve">195.  </w:t>
      </w:r>
      <w:r>
        <w:rPr>
          <w:rFonts w:hint="eastAsia"/>
          <w:lang w:val="es-ES"/>
        </w:rPr>
        <w:t>妇女平等事务总统高级顾问办公室与媒体合作共同开展了三次旨在提高对家庭内暴力、性暴力和性别陈规定型观念的认识和觉悟的运动。这三次运动是：</w:t>
      </w:r>
    </w:p>
    <w:p w:rsidR="00A83775" w:rsidRDefault="00A83775">
      <w:pPr>
        <w:pStyle w:val="SingleTxtGC"/>
        <w:numPr>
          <w:ilvl w:val="0"/>
          <w:numId w:val="28"/>
        </w:numPr>
        <w:rPr>
          <w:lang w:val="es-ES"/>
        </w:rPr>
      </w:pPr>
      <w:r>
        <w:rPr>
          <w:rFonts w:hint="eastAsia"/>
          <w:lang w:val="es-ES"/>
        </w:rPr>
        <w:t>“我选择了远离恐惧的生活”运动：与马德里社会达成了协议，在</w:t>
      </w:r>
      <w:r>
        <w:rPr>
          <w:rFonts w:hint="eastAsia"/>
          <w:lang w:val="es-ES"/>
        </w:rPr>
        <w:t>CM&amp;</w:t>
      </w:r>
      <w:r>
        <w:rPr>
          <w:rFonts w:hint="eastAsia"/>
          <w:lang w:val="es-ES"/>
        </w:rPr>
        <w:t>新闻播报露天电视牌上播放这一内容；</w:t>
      </w:r>
    </w:p>
    <w:p w:rsidR="00A83775" w:rsidRDefault="00A83775">
      <w:pPr>
        <w:pStyle w:val="SingleTxtGC"/>
        <w:numPr>
          <w:ilvl w:val="0"/>
          <w:numId w:val="28"/>
        </w:numPr>
        <w:rPr>
          <w:rFonts w:hint="eastAsia"/>
        </w:rPr>
      </w:pPr>
      <w:r>
        <w:rPr>
          <w:rFonts w:hint="eastAsia"/>
          <w:lang w:val="es-ES"/>
        </w:rPr>
        <w:t>在</w:t>
      </w:r>
      <w:r>
        <w:t>保护与赌博</w:t>
      </w:r>
      <w:r>
        <w:rPr>
          <w:rFonts w:hint="eastAsia"/>
        </w:rPr>
        <w:t>（</w:t>
      </w:r>
      <w:r>
        <w:t>美国食品药物公司名</w:t>
      </w:r>
      <w:r>
        <w:rPr>
          <w:rFonts w:hint="eastAsia"/>
        </w:rPr>
        <w:t>）公司的赞助下开展的名为“玫瑰有毒”宣传运动，活动宗旨是曝光虐待妇女问题并提高民众对这一问题的认识和觉悟，提供与妇女获取小额信贷有关机制的信息，这些小额贷款是由金融机构网络和非政府组织提供的，构成了向妇女提供金融机会政策的关联网络的组成部分；</w:t>
      </w:r>
    </w:p>
    <w:p w:rsidR="00A83775" w:rsidRDefault="00A83775">
      <w:pPr>
        <w:pStyle w:val="SingleTxtGC"/>
        <w:numPr>
          <w:ilvl w:val="0"/>
          <w:numId w:val="28"/>
        </w:numPr>
        <w:rPr>
          <w:lang w:val="es-ES"/>
        </w:rPr>
      </w:pPr>
      <w:r>
        <w:rPr>
          <w:rFonts w:hint="eastAsia"/>
          <w:lang w:val="es-ES"/>
        </w:rPr>
        <w:t>与哥伦比亚国家广播电视台合作，开展了一项教育运动，利用电视人物的榜样力量，推广教育信息、引导信息并提出建议，目的是提高受害者的地位，对负责向暴力和歧视受害妇女提供全面关爱的国家主管当局进行培训。</w:t>
      </w:r>
    </w:p>
    <w:p w:rsidR="00A83775" w:rsidRDefault="00A83775">
      <w:pPr>
        <w:pStyle w:val="H23GC"/>
        <w:rPr>
          <w:lang w:val="es-ES"/>
        </w:rPr>
      </w:pPr>
      <w:r>
        <w:rPr>
          <w:lang w:val="es-ES"/>
        </w:rPr>
        <w:tab/>
      </w:r>
      <w:r>
        <w:rPr>
          <w:lang w:val="es-ES"/>
        </w:rPr>
        <w:tab/>
      </w:r>
      <w:r>
        <w:rPr>
          <w:rFonts w:hint="eastAsia"/>
        </w:rPr>
        <w:t>通过司法途径捍卫哥伦比亚妇女权利的战略计划</w:t>
      </w:r>
    </w:p>
    <w:p w:rsidR="00A83775" w:rsidRDefault="00A83775">
      <w:pPr>
        <w:pStyle w:val="SingleTxtGC"/>
        <w:rPr>
          <w:lang w:val="es-ES"/>
        </w:rPr>
      </w:pPr>
      <w:r>
        <w:rPr>
          <w:lang w:val="es-ES"/>
        </w:rPr>
        <w:t xml:space="preserve">196.  </w:t>
      </w:r>
      <w:r>
        <w:rPr>
          <w:rFonts w:hint="eastAsia"/>
          <w:lang w:val="es-ES"/>
        </w:rPr>
        <w:t>前文已经提到了这一战略计划，与“玫瑰有毒”宣传运动密切配合，启用哥伦比亚媒体界的知名女艺员来创作广播节目材料。其文章和宣传材料都发表在了哈维利安杂志和数字杂志上，并在克里斯托电视频道和国家广播电视台的频道上播放。制作了两部广播系列节目（妇女之声和权利与其对立面），并通过哥伦比亚的大学广播网播放，广播网的成员单位有</w:t>
      </w:r>
      <w:r>
        <w:rPr>
          <w:rFonts w:hint="eastAsia"/>
          <w:lang w:val="es-ES"/>
        </w:rPr>
        <w:t>35</w:t>
      </w:r>
      <w:r>
        <w:rPr>
          <w:rFonts w:hint="eastAsia"/>
          <w:lang w:val="es-ES"/>
        </w:rPr>
        <w:t>家，并举办了“媒体与性别事务</w:t>
      </w:r>
      <w:r>
        <w:rPr>
          <w:rFonts w:hint="eastAsia"/>
          <w:spacing w:val="-40"/>
          <w:lang w:val="es-ES"/>
        </w:rPr>
        <w:t>――</w:t>
      </w:r>
      <w:r>
        <w:rPr>
          <w:rFonts w:hint="eastAsia"/>
          <w:spacing w:val="-40"/>
          <w:lang w:val="es-ES"/>
        </w:rPr>
        <w:t xml:space="preserve">  </w:t>
      </w:r>
      <w:r>
        <w:rPr>
          <w:rFonts w:hint="eastAsia"/>
          <w:lang w:val="es-ES"/>
        </w:rPr>
        <w:t>一种幸福的关系？”论坛，这是一个与传媒人进行对话的节目，并由</w:t>
      </w:r>
      <w:r>
        <w:rPr>
          <w:rFonts w:hint="eastAsia"/>
          <w:lang w:val="es-ES"/>
        </w:rPr>
        <w:t>BBC</w:t>
      </w:r>
      <w:r>
        <w:rPr>
          <w:rFonts w:hint="eastAsia"/>
          <w:lang w:val="es-ES"/>
        </w:rPr>
        <w:t>电台的资深顾问，伦敦金史密斯学院的一名专家参与其中，通过上述活动帮助巩固实施妇女平等事务总统高级顾问办公室的媒体战略。</w:t>
      </w:r>
    </w:p>
    <w:p w:rsidR="00A83775" w:rsidRDefault="00A83775" w:rsidP="00C9371F">
      <w:pPr>
        <w:pStyle w:val="SingleTxtGC"/>
        <w:rPr>
          <w:lang w:val="es-ES"/>
        </w:rPr>
      </w:pPr>
      <w:r>
        <w:rPr>
          <w:lang w:val="es-ES"/>
        </w:rPr>
        <w:t xml:space="preserve">197.  </w:t>
      </w:r>
      <w:r>
        <w:rPr>
          <w:rFonts w:hint="eastAsia"/>
          <w:lang w:val="es-ES"/>
        </w:rPr>
        <w:t>在上面提到的战略计划的框架内，开展了各类活动，其目的是对公务员进行培训，消除陈规定型观念，宣传与根除基于性别原因的一切形式的暴力侵害有关的法律法规，为此开展的主要活动有：开办远程教学班，</w:t>
      </w:r>
      <w:r>
        <w:rPr>
          <w:vertAlign w:val="superscript"/>
          <w:lang w:val="es-ES"/>
        </w:rPr>
        <w:footnoteReference w:id="105"/>
      </w:r>
      <w:r>
        <w:rPr>
          <w:lang w:val="es-ES"/>
        </w:rPr>
        <w:t xml:space="preserve"> </w:t>
      </w:r>
      <w:r>
        <w:rPr>
          <w:rFonts w:hint="eastAsia"/>
          <w:lang w:val="es-ES"/>
        </w:rPr>
        <w:t>共计培训了</w:t>
      </w:r>
      <w:r>
        <w:rPr>
          <w:rFonts w:hint="eastAsia"/>
          <w:lang w:val="es-ES"/>
        </w:rPr>
        <w:t>562</w:t>
      </w:r>
      <w:r>
        <w:rPr>
          <w:rFonts w:hint="eastAsia"/>
          <w:lang w:val="es-ES"/>
        </w:rPr>
        <w:t>人，这些学员的分布如下：</w:t>
      </w:r>
      <w:r>
        <w:rPr>
          <w:rFonts w:hint="eastAsia"/>
          <w:lang w:val="es-ES"/>
        </w:rPr>
        <w:t>148</w:t>
      </w:r>
      <w:r>
        <w:rPr>
          <w:rFonts w:hint="eastAsia"/>
          <w:lang w:val="es-ES"/>
        </w:rPr>
        <w:t>人来自私人企业；</w:t>
      </w:r>
      <w:r>
        <w:rPr>
          <w:rFonts w:hint="eastAsia"/>
          <w:lang w:val="es-ES"/>
        </w:rPr>
        <w:t>99</w:t>
      </w:r>
      <w:r>
        <w:rPr>
          <w:rFonts w:hint="eastAsia"/>
          <w:lang w:val="es-ES"/>
        </w:rPr>
        <w:t>人为政府公务员；</w:t>
      </w:r>
      <w:r>
        <w:rPr>
          <w:rFonts w:hint="eastAsia"/>
          <w:lang w:val="es-ES"/>
        </w:rPr>
        <w:t>95</w:t>
      </w:r>
      <w:r>
        <w:rPr>
          <w:rFonts w:hint="eastAsia"/>
          <w:lang w:val="es-ES"/>
        </w:rPr>
        <w:t>人来自公立和私立教育机构；</w:t>
      </w:r>
      <w:r>
        <w:rPr>
          <w:rFonts w:hint="eastAsia"/>
          <w:lang w:val="es-ES"/>
        </w:rPr>
        <w:t>74</w:t>
      </w:r>
      <w:r>
        <w:rPr>
          <w:rFonts w:hint="eastAsia"/>
          <w:lang w:val="es-ES"/>
        </w:rPr>
        <w:t>人来自非政府组织、公司和基金会；</w:t>
      </w:r>
      <w:r>
        <w:rPr>
          <w:rFonts w:hint="eastAsia"/>
          <w:lang w:val="es-ES"/>
        </w:rPr>
        <w:t>50</w:t>
      </w:r>
      <w:r>
        <w:rPr>
          <w:rFonts w:hint="eastAsia"/>
          <w:lang w:val="es-ES"/>
        </w:rPr>
        <w:t>人来自法医界；</w:t>
      </w:r>
      <w:r>
        <w:rPr>
          <w:rFonts w:hint="eastAsia"/>
          <w:lang w:val="es-ES"/>
        </w:rPr>
        <w:t>59</w:t>
      </w:r>
      <w:r>
        <w:rPr>
          <w:rFonts w:hint="eastAsia"/>
          <w:lang w:val="es-ES"/>
        </w:rPr>
        <w:t>人来自红十字会；</w:t>
      </w:r>
      <w:r>
        <w:rPr>
          <w:rFonts w:hint="eastAsia"/>
          <w:lang w:val="es-ES"/>
        </w:rPr>
        <w:t>15</w:t>
      </w:r>
      <w:r>
        <w:rPr>
          <w:rFonts w:hint="eastAsia"/>
          <w:lang w:val="es-ES"/>
        </w:rPr>
        <w:t>名哥伦比亚咖啡业从业人员联合会的女员工；</w:t>
      </w:r>
      <w:r>
        <w:rPr>
          <w:rFonts w:hint="eastAsia"/>
          <w:lang w:val="es-ES"/>
        </w:rPr>
        <w:t>12</w:t>
      </w:r>
      <w:r>
        <w:rPr>
          <w:rFonts w:hint="eastAsia"/>
          <w:lang w:val="es-ES"/>
        </w:rPr>
        <w:t>人来自国家警察和武装部队；</w:t>
      </w:r>
      <w:r>
        <w:rPr>
          <w:rFonts w:hint="eastAsia"/>
          <w:lang w:val="es-ES"/>
        </w:rPr>
        <w:t>11</w:t>
      </w:r>
      <w:r>
        <w:rPr>
          <w:rFonts w:hint="eastAsia"/>
          <w:lang w:val="es-ES"/>
        </w:rPr>
        <w:t>人来自国际组织；</w:t>
      </w:r>
      <w:r>
        <w:rPr>
          <w:rFonts w:hint="eastAsia"/>
          <w:lang w:val="es-ES"/>
        </w:rPr>
        <w:t>6</w:t>
      </w:r>
      <w:r>
        <w:rPr>
          <w:rFonts w:hint="eastAsia"/>
          <w:lang w:val="es-ES"/>
        </w:rPr>
        <w:t>名农村妇女代表以及</w:t>
      </w:r>
      <w:r>
        <w:rPr>
          <w:rFonts w:hint="eastAsia"/>
          <w:lang w:val="es-ES"/>
        </w:rPr>
        <w:t>2</w:t>
      </w:r>
      <w:r>
        <w:rPr>
          <w:rFonts w:hint="eastAsia"/>
          <w:lang w:val="es-ES"/>
        </w:rPr>
        <w:t>名媒体人（三大类）</w:t>
      </w:r>
      <w:r w:rsidR="00C9371F">
        <w:rPr>
          <w:rFonts w:hint="eastAsia"/>
          <w:lang w:val="en-GB"/>
        </w:rPr>
        <w:t>：</w:t>
      </w:r>
    </w:p>
    <w:p w:rsidR="00A83775" w:rsidRDefault="00A83775">
      <w:pPr>
        <w:pStyle w:val="SingleTxtGC"/>
        <w:numPr>
          <w:ilvl w:val="0"/>
          <w:numId w:val="29"/>
        </w:numPr>
        <w:rPr>
          <w:lang w:val="es-ES_tradnl"/>
        </w:rPr>
      </w:pPr>
      <w:r>
        <w:rPr>
          <w:rFonts w:hint="eastAsia"/>
          <w:lang w:val="es-ES_tradnl"/>
        </w:rPr>
        <w:t>制定并传播实现无暴力生活路线图：这一宣传材料的制作宗旨是为理解和关注家庭内暴力提供基本要素，澄清相关的基本司法概念和程序，以处理此类暴力问题。在全国范围内借助各类培训机会分发了</w:t>
      </w:r>
      <w:r>
        <w:rPr>
          <w:rFonts w:hint="eastAsia"/>
          <w:lang w:val="es-ES_tradnl"/>
        </w:rPr>
        <w:t>11</w:t>
      </w:r>
      <w:r>
        <w:rPr>
          <w:lang w:val="es-ES_tradnl"/>
        </w:rPr>
        <w:t>,</w:t>
      </w:r>
      <w:r>
        <w:rPr>
          <w:rFonts w:hint="eastAsia"/>
          <w:lang w:val="es-ES_tradnl"/>
        </w:rPr>
        <w:t>000</w:t>
      </w:r>
      <w:r>
        <w:rPr>
          <w:rFonts w:hint="eastAsia"/>
          <w:lang w:val="es-ES_tradnl"/>
        </w:rPr>
        <w:t>余份宣传材料，分发对象为各乡镇公务员、政府机关、教师、学生、妇女组织、等等；</w:t>
      </w:r>
    </w:p>
    <w:p w:rsidR="00A83775" w:rsidRDefault="00A83775">
      <w:pPr>
        <w:pStyle w:val="SingleTxtGC"/>
        <w:numPr>
          <w:ilvl w:val="0"/>
          <w:numId w:val="29"/>
        </w:numPr>
        <w:rPr>
          <w:lang w:val="es-ES_tradnl"/>
        </w:rPr>
      </w:pPr>
      <w:r>
        <w:rPr>
          <w:rFonts w:hint="eastAsia"/>
          <w:lang w:val="es-ES_tradnl"/>
        </w:rPr>
        <w:t>制作了两部广播系列节目：“妇女之声和权利与其对立面”和上文提过的“</w:t>
      </w:r>
      <w:r>
        <w:rPr>
          <w:rFonts w:hint="eastAsia"/>
          <w:lang w:val="en-GB"/>
        </w:rPr>
        <w:t>妇女咨询热线</w:t>
      </w:r>
      <w:r>
        <w:rPr>
          <w:rFonts w:hint="eastAsia"/>
          <w:lang w:val="es-ES_tradnl"/>
        </w:rPr>
        <w:t>”，通过哥伦比亚大学广播网的</w:t>
      </w:r>
      <w:r>
        <w:rPr>
          <w:rFonts w:hint="eastAsia"/>
          <w:lang w:val="es-ES_tradnl"/>
        </w:rPr>
        <w:t>35</w:t>
      </w:r>
      <w:r>
        <w:rPr>
          <w:rFonts w:hint="eastAsia"/>
          <w:lang w:val="es-ES_tradnl"/>
        </w:rPr>
        <w:t>个广播站播出这些节目。“妇女之声和权利与其对立面”这一台节目每周播放一期（在</w:t>
      </w:r>
      <w:r>
        <w:rPr>
          <w:rFonts w:hint="eastAsia"/>
          <w:lang w:val="es-ES_tradnl"/>
        </w:rPr>
        <w:t>2009</w:t>
      </w:r>
      <w:r>
        <w:rPr>
          <w:rFonts w:hint="eastAsia"/>
          <w:lang w:val="es-ES_tradnl"/>
        </w:rPr>
        <w:t>年一年共播出了</w:t>
      </w:r>
      <w:r>
        <w:rPr>
          <w:rFonts w:hint="eastAsia"/>
          <w:lang w:val="es-ES_tradnl"/>
        </w:rPr>
        <w:t>15</w:t>
      </w:r>
      <w:r>
        <w:rPr>
          <w:rFonts w:hint="eastAsia"/>
          <w:lang w:val="es-ES_tradnl"/>
        </w:rPr>
        <w:t>期），其节目宗旨即使强调妇女人权，特别是关注家庭内暴力、婚姻关系破裂和劳动歧视这三大主题：这一节目同样关注性别关系以及男性所承担的角色。另一方面，“</w:t>
      </w:r>
      <w:r>
        <w:rPr>
          <w:rFonts w:hint="eastAsia"/>
          <w:lang w:val="en-GB"/>
        </w:rPr>
        <w:t>妇女咨询热线</w:t>
      </w:r>
      <w:r>
        <w:rPr>
          <w:rFonts w:hint="eastAsia"/>
          <w:lang w:val="es-ES_tradnl"/>
        </w:rPr>
        <w:t>”这一台短节目的宗旨就是利用各所大学的法律和心理咨询机构来宣传与妇女有关的具体信息。这两台节目在全国共拥有</w:t>
      </w:r>
      <w:r>
        <w:rPr>
          <w:rFonts w:hint="eastAsia"/>
          <w:lang w:val="es-ES_tradnl"/>
        </w:rPr>
        <w:t>800</w:t>
      </w:r>
      <w:r>
        <w:rPr>
          <w:lang w:val="es-ES_tradnl"/>
        </w:rPr>
        <w:t>,</w:t>
      </w:r>
      <w:r>
        <w:rPr>
          <w:rFonts w:hint="eastAsia"/>
          <w:lang w:val="es-ES_tradnl"/>
        </w:rPr>
        <w:t>000</w:t>
      </w:r>
      <w:r>
        <w:rPr>
          <w:rFonts w:hint="eastAsia"/>
          <w:lang w:val="es-ES_tradnl"/>
        </w:rPr>
        <w:t>名听众，节目内容广受欢迎。签署了劳动平等议程，这在前文已经进行了论述。</w:t>
      </w:r>
    </w:p>
    <w:p w:rsidR="00A83775" w:rsidRDefault="00A83775">
      <w:pPr>
        <w:pStyle w:val="H23GC"/>
        <w:rPr>
          <w:lang w:val="es-ES"/>
        </w:rPr>
      </w:pPr>
      <w:r>
        <w:rPr>
          <w:lang w:val="es-ES"/>
        </w:rPr>
        <w:tab/>
      </w:r>
      <w:r>
        <w:rPr>
          <w:lang w:val="es-ES"/>
        </w:rPr>
        <w:tab/>
      </w:r>
      <w:r>
        <w:rPr>
          <w:rFonts w:hint="eastAsia"/>
          <w:lang w:val="es-ES"/>
        </w:rPr>
        <w:t>旨在根除基于性别原因的暴力问题的机构间宣传战略</w:t>
      </w:r>
    </w:p>
    <w:p w:rsidR="00A83775" w:rsidRDefault="00A83775">
      <w:pPr>
        <w:pStyle w:val="SingleTxtGC"/>
        <w:rPr>
          <w:lang w:val="es-CO"/>
        </w:rPr>
      </w:pPr>
      <w:r>
        <w:rPr>
          <w:lang w:val="es-ES"/>
        </w:rPr>
        <w:t xml:space="preserve">198.  </w:t>
      </w:r>
      <w:r>
        <w:rPr>
          <w:rFonts w:hint="eastAsia"/>
          <w:lang w:val="es-ES"/>
        </w:rPr>
        <w:t>正如在本报告关于《公约》第一条的执行情况中所述的，这一战略的实施目的是</w:t>
      </w:r>
      <w:r>
        <w:rPr>
          <w:lang w:val="en-GB"/>
        </w:rPr>
        <w:t>提高公职人员对其所负有的责任和义务的认识，并据此承诺实施新出台的程序，预防、治理和惩罚暴力侵害妇女行为</w:t>
      </w:r>
      <w:r>
        <w:rPr>
          <w:rFonts w:hint="eastAsia"/>
          <w:lang w:val="en-GB"/>
        </w:rPr>
        <w:t>；使妇女了解其自身权利并知道如何行使这些权利；并使男性不再动辄诉诸暴力，使全社会不再姑息对妇女的暴力侵害行为。这一战略内容包括：</w:t>
      </w:r>
    </w:p>
    <w:p w:rsidR="00A83775" w:rsidRDefault="00A83775">
      <w:pPr>
        <w:pStyle w:val="SingleTxtGC"/>
        <w:numPr>
          <w:ilvl w:val="0"/>
          <w:numId w:val="30"/>
        </w:numPr>
        <w:rPr>
          <w:rFonts w:hint="eastAsia"/>
          <w:lang w:val="es-CO"/>
        </w:rPr>
      </w:pPr>
      <w:r>
        <w:rPr>
          <w:rFonts w:hint="eastAsia"/>
          <w:lang w:val="es-CO"/>
        </w:rPr>
        <w:t>名人信息：介绍相关资讯以及通过名人效应开展宣传，普及第</w:t>
      </w:r>
      <w:r>
        <w:rPr>
          <w:rFonts w:hint="eastAsia"/>
          <w:lang w:val="es-CO"/>
        </w:rPr>
        <w:t>1257</w:t>
      </w:r>
      <w:r>
        <w:rPr>
          <w:rFonts w:hint="eastAsia"/>
          <w:lang w:val="es-CO"/>
        </w:rPr>
        <w:t>号法和第</w:t>
      </w:r>
      <w:r>
        <w:rPr>
          <w:rFonts w:hint="eastAsia"/>
          <w:lang w:val="es-CO"/>
        </w:rPr>
        <w:t>092</w:t>
      </w:r>
      <w:r>
        <w:rPr>
          <w:rFonts w:hint="eastAsia"/>
          <w:lang w:val="es-CO"/>
        </w:rPr>
        <w:t>号裁决所规定的原则；</w:t>
      </w:r>
      <w:r>
        <w:rPr>
          <w:vertAlign w:val="superscript"/>
          <w:lang w:val="es-CO"/>
        </w:rPr>
        <w:footnoteReference w:id="106"/>
      </w:r>
    </w:p>
    <w:p w:rsidR="00A83775" w:rsidRDefault="00A83775">
      <w:pPr>
        <w:pStyle w:val="SingleTxtGC"/>
        <w:numPr>
          <w:ilvl w:val="0"/>
          <w:numId w:val="30"/>
        </w:numPr>
        <w:rPr>
          <w:lang w:val="es-CO"/>
        </w:rPr>
      </w:pPr>
      <w:r>
        <w:rPr>
          <w:rFonts w:hint="eastAsia"/>
          <w:lang w:val="es-CO"/>
        </w:rPr>
        <w:t>广播节目：录制了</w:t>
      </w:r>
      <w:r>
        <w:rPr>
          <w:rFonts w:hint="eastAsia"/>
          <w:lang w:val="es-CO"/>
        </w:rPr>
        <w:t>6</w:t>
      </w:r>
      <w:r>
        <w:rPr>
          <w:rFonts w:hint="eastAsia"/>
          <w:lang w:val="es-CO"/>
        </w:rPr>
        <w:t>期与战略参与人员进行对话访谈的电台节目，并面向全国通过武装部队（海陆空三军）系统的所有电台、国家警察的</w:t>
      </w:r>
      <w:r>
        <w:rPr>
          <w:rFonts w:hint="eastAsia"/>
          <w:lang w:val="es-CO"/>
        </w:rPr>
        <w:t>36</w:t>
      </w:r>
      <w:r>
        <w:rPr>
          <w:rFonts w:hint="eastAsia"/>
          <w:lang w:val="es-CO"/>
        </w:rPr>
        <w:t>个广播站、大学广播网以及</w:t>
      </w:r>
      <w:r>
        <w:rPr>
          <w:rFonts w:hint="eastAsia"/>
          <w:lang w:val="es-CO"/>
        </w:rPr>
        <w:t>26</w:t>
      </w:r>
      <w:r>
        <w:rPr>
          <w:rFonts w:hint="eastAsia"/>
          <w:lang w:val="es-CO"/>
        </w:rPr>
        <w:t>个土著地方电台播放。而广播节目由国家广播电台负责录制，作为其一项企业社会责任予以落实；</w:t>
      </w:r>
    </w:p>
    <w:p w:rsidR="00A83775" w:rsidRDefault="00A83775">
      <w:pPr>
        <w:pStyle w:val="SingleTxtGC"/>
        <w:numPr>
          <w:ilvl w:val="0"/>
          <w:numId w:val="30"/>
        </w:numPr>
        <w:rPr>
          <w:lang w:val="es-CO"/>
        </w:rPr>
      </w:pPr>
      <w:r>
        <w:rPr>
          <w:rFonts w:hint="eastAsia"/>
          <w:lang w:val="es-CO"/>
        </w:rPr>
        <w:t>网站：</w:t>
      </w:r>
      <w:r>
        <w:rPr>
          <w:lang w:val="es-CO"/>
        </w:rPr>
        <w:t>www.mujertienesderechos.org</w:t>
      </w:r>
      <w:r>
        <w:rPr>
          <w:rFonts w:hint="eastAsia"/>
          <w:lang w:val="es-CO"/>
        </w:rPr>
        <w:t>；</w:t>
      </w:r>
    </w:p>
    <w:p w:rsidR="00A83775" w:rsidRDefault="00A83775">
      <w:pPr>
        <w:pStyle w:val="SingleTxtGC"/>
        <w:numPr>
          <w:ilvl w:val="0"/>
          <w:numId w:val="30"/>
        </w:numPr>
        <w:rPr>
          <w:lang w:val="es-CO"/>
        </w:rPr>
      </w:pPr>
      <w:r>
        <w:rPr>
          <w:rFonts w:hint="eastAsia"/>
          <w:lang w:val="es-CO"/>
        </w:rPr>
        <w:t>对活动代言人进行培训：对作为社区电台节目代言人的男性和女性参与者进行培训和思想教育，截至目前已经培养了</w:t>
      </w:r>
      <w:r>
        <w:rPr>
          <w:rFonts w:hint="eastAsia"/>
          <w:lang w:val="es-CO"/>
        </w:rPr>
        <w:t>100</w:t>
      </w:r>
      <w:r>
        <w:rPr>
          <w:rFonts w:hint="eastAsia"/>
          <w:lang w:val="es-CO"/>
        </w:rPr>
        <w:t>名男性和女性代言人；</w:t>
      </w:r>
    </w:p>
    <w:p w:rsidR="00A83775" w:rsidRDefault="00A83775">
      <w:pPr>
        <w:pStyle w:val="SingleTxtGC"/>
        <w:numPr>
          <w:ilvl w:val="0"/>
          <w:numId w:val="30"/>
        </w:numPr>
        <w:rPr>
          <w:lang w:val="es-CO"/>
        </w:rPr>
      </w:pPr>
      <w:r>
        <w:rPr>
          <w:rFonts w:hint="eastAsia"/>
          <w:lang w:val="es-CO"/>
        </w:rPr>
        <w:t>积极接收的方法：编制了一部载有关于培训公众积极接收没有性别倾向的信息的工作方法的手册。（面向教育工作者的工作手册）以及一部面向新闻从业人员和媒体的关于定期报告暴力侵害妇女问题的手册；</w:t>
      </w:r>
    </w:p>
    <w:p w:rsidR="00A83775" w:rsidRDefault="00A83775">
      <w:pPr>
        <w:pStyle w:val="SingleTxtGC"/>
        <w:numPr>
          <w:ilvl w:val="0"/>
          <w:numId w:val="30"/>
        </w:numPr>
        <w:rPr>
          <w:lang w:val="es-CO"/>
        </w:rPr>
      </w:pPr>
      <w:r>
        <w:rPr>
          <w:rFonts w:hint="eastAsia"/>
          <w:lang w:val="es-CO"/>
        </w:rPr>
        <w:t>教育视频：制作并播放了各类长短篇教育视频，主题是关于国家各实体在</w:t>
      </w:r>
      <w:r>
        <w:rPr>
          <w:rFonts w:hint="eastAsia"/>
          <w:lang w:val="es-CO"/>
        </w:rPr>
        <w:t>2008</w:t>
      </w:r>
      <w:r>
        <w:rPr>
          <w:rFonts w:hint="eastAsia"/>
          <w:lang w:val="es-CO"/>
        </w:rPr>
        <w:t>年第</w:t>
      </w:r>
      <w:r>
        <w:rPr>
          <w:rFonts w:hint="eastAsia"/>
          <w:lang w:val="es-CO"/>
        </w:rPr>
        <w:t>1257</w:t>
      </w:r>
      <w:r>
        <w:rPr>
          <w:rFonts w:hint="eastAsia"/>
          <w:lang w:val="es-CO"/>
        </w:rPr>
        <w:t>号法和第</w:t>
      </w:r>
      <w:r>
        <w:rPr>
          <w:rFonts w:hint="eastAsia"/>
          <w:lang w:val="es-CO"/>
        </w:rPr>
        <w:t>092</w:t>
      </w:r>
      <w:r>
        <w:rPr>
          <w:rFonts w:hint="eastAsia"/>
          <w:lang w:val="es-CO"/>
        </w:rPr>
        <w:t>号裁决方面所应承担的职责。这一教材被分发给通信委员会下属的所有单位，以开展教育工作；</w:t>
      </w:r>
    </w:p>
    <w:p w:rsidR="00A83775" w:rsidRDefault="00A83775">
      <w:pPr>
        <w:pStyle w:val="SingleTxtGC"/>
        <w:numPr>
          <w:ilvl w:val="0"/>
          <w:numId w:val="30"/>
        </w:numPr>
        <w:rPr>
          <w:lang w:val="es-CO"/>
        </w:rPr>
      </w:pPr>
      <w:r>
        <w:rPr>
          <w:rFonts w:hint="eastAsia"/>
          <w:lang w:val="es-CO"/>
        </w:rPr>
        <w:t>针对新闻从业人员的讲习班：培训主题为新闻人的社会责任和道德责任，在讲习班的内容中纳入了防范一切基于性别原因的暴力行为的培训环节。在安蒂奥基亚大学的配合下在全国</w:t>
      </w:r>
      <w:r>
        <w:rPr>
          <w:rFonts w:hint="eastAsia"/>
          <w:lang w:val="es-CO"/>
        </w:rPr>
        <w:t>32</w:t>
      </w:r>
      <w:r>
        <w:rPr>
          <w:rFonts w:hint="eastAsia"/>
          <w:lang w:val="es-CO"/>
        </w:rPr>
        <w:t>个省会城市中共开办了</w:t>
      </w:r>
      <w:r>
        <w:rPr>
          <w:rFonts w:hint="eastAsia"/>
          <w:lang w:val="es-CO"/>
        </w:rPr>
        <w:t>64</w:t>
      </w:r>
      <w:r>
        <w:rPr>
          <w:rFonts w:hint="eastAsia"/>
          <w:lang w:val="es-CO"/>
        </w:rPr>
        <w:t>期讲习班，仅在</w:t>
      </w:r>
      <w:r>
        <w:rPr>
          <w:rFonts w:hint="eastAsia"/>
          <w:lang w:val="es-CO"/>
        </w:rPr>
        <w:t>2010</w:t>
      </w:r>
      <w:r>
        <w:rPr>
          <w:rFonts w:hint="eastAsia"/>
          <w:lang w:val="es-CO"/>
        </w:rPr>
        <w:t>年接受培训的新闻人就达到</w:t>
      </w:r>
      <w:r>
        <w:rPr>
          <w:rFonts w:hint="eastAsia"/>
          <w:lang w:val="es-CO"/>
        </w:rPr>
        <w:t>901</w:t>
      </w:r>
      <w:r>
        <w:rPr>
          <w:rFonts w:hint="eastAsia"/>
          <w:lang w:val="es-CO"/>
        </w:rPr>
        <w:t>名；</w:t>
      </w:r>
    </w:p>
    <w:p w:rsidR="00A83775" w:rsidRDefault="00A83775">
      <w:pPr>
        <w:pStyle w:val="SingleTxtGC"/>
        <w:numPr>
          <w:ilvl w:val="0"/>
          <w:numId w:val="30"/>
        </w:numPr>
        <w:rPr>
          <w:lang w:val="es-CO"/>
        </w:rPr>
      </w:pPr>
      <w:r>
        <w:rPr>
          <w:rFonts w:hint="eastAsia"/>
          <w:lang w:val="es-CO"/>
        </w:rPr>
        <w:t>开展行动以便使地方实体加入到宣传战略中：信息技术和通信部，妇女平等事务总统高级顾问办公室和社会行动署，借助打击基于性别原因的暴力行为的综合方案，已经着手推进一项旨在将各地方实体纳入到哥伦比亚政府消除基于性别原因的暴力问题的宣传战略中的工作（战略的地区化）。已有下列地方政府正式加入了这一战略：考卡山谷、亚马孙、金迪奥、普图马约和伊瓦格；以下乡镇同样也正式加入了这一战略：麦德林、圣地亚哥德卡利、帕斯托、布埃纳文图拉、卡塔赫纳、索加莫索和索亚查；加入这一战略的组织包括：</w:t>
      </w:r>
      <w:r>
        <w:rPr>
          <w:rFonts w:hint="eastAsia"/>
          <w:lang w:val="es-CO"/>
        </w:rPr>
        <w:t>GIZ</w:t>
      </w:r>
      <w:r>
        <w:rPr>
          <w:rFonts w:hint="eastAsia"/>
          <w:lang w:val="es-CO"/>
        </w:rPr>
        <w:t>（一家德国公司）、雅芳基金会、家庭资源整合中心（</w:t>
      </w:r>
      <w:r>
        <w:rPr>
          <w:lang w:val="es-ES"/>
        </w:rPr>
        <w:t>Cerfami</w:t>
      </w:r>
      <w:r>
        <w:rPr>
          <w:rFonts w:hint="eastAsia"/>
          <w:lang w:val="es-ES"/>
        </w:rPr>
        <w:t>）</w:t>
      </w:r>
      <w:r>
        <w:rPr>
          <w:rFonts w:hint="eastAsia"/>
          <w:lang w:val="es-CO"/>
        </w:rPr>
        <w:t>、卡彭安第斯基金会、妇女、艺术和生活（</w:t>
      </w:r>
      <w:r>
        <w:rPr>
          <w:rFonts w:hint="eastAsia"/>
          <w:lang w:val="es-CO"/>
        </w:rPr>
        <w:t>MAVI</w:t>
      </w:r>
      <w:r>
        <w:rPr>
          <w:rFonts w:hint="eastAsia"/>
          <w:lang w:val="es-CO"/>
        </w:rPr>
        <w:t>）基金会、时髦天后组织和妇女银行。</w:t>
      </w:r>
    </w:p>
    <w:p w:rsidR="00A83775" w:rsidRDefault="00A83775">
      <w:pPr>
        <w:pStyle w:val="H23GC"/>
        <w:rPr>
          <w:lang w:val="es-CO"/>
        </w:rPr>
      </w:pPr>
      <w:r>
        <w:rPr>
          <w:lang w:val="es-ES"/>
        </w:rPr>
        <w:tab/>
      </w:r>
      <w:r>
        <w:rPr>
          <w:lang w:val="es-ES"/>
        </w:rPr>
        <w:tab/>
      </w:r>
      <w:r>
        <w:rPr>
          <w:rFonts w:hint="eastAsia"/>
          <w:lang w:val="es-ES"/>
        </w:rPr>
        <w:t>信息技术和通信部的各项战略</w:t>
      </w:r>
    </w:p>
    <w:p w:rsidR="00A83775" w:rsidRDefault="00A83775">
      <w:pPr>
        <w:pStyle w:val="SingleTxtGC"/>
        <w:rPr>
          <w:lang w:val="es-ES"/>
        </w:rPr>
      </w:pPr>
      <w:r>
        <w:rPr>
          <w:lang w:val="es-CO"/>
        </w:rPr>
        <w:t xml:space="preserve">199.  </w:t>
      </w:r>
      <w:r>
        <w:rPr>
          <w:rFonts w:hint="eastAsia"/>
          <w:lang w:val="es-CO"/>
        </w:rPr>
        <w:t>该机构制定实施了“健康上网”运动，其目的是预防和打击通过互联网对未成年人、儿童和青少年进行性剥削和色情旅游的行为，并开通了一条免费的全国热线</w:t>
      </w:r>
      <w:r>
        <w:rPr>
          <w:lang w:val="es-CO"/>
        </w:rPr>
        <w:t>018000912667</w:t>
      </w:r>
      <w:r>
        <w:rPr>
          <w:rFonts w:hint="eastAsia"/>
          <w:lang w:val="es-CO"/>
        </w:rPr>
        <w:t>，以此为全球网络的供应商和用户提供与网络的合法使用有关的信息。信息技术和通信部针对社区电台开发了一些培训方案，努力提供与社区电台的社会与文化可持续发展有关的方方面面的信息和知识。此外，在开展与电台节目制作有关的培训过程中，已经建立了若干包含相关社会主题的模块，在这些培训模块中纳入了两性平等主题。同样，还专门针对妇女的社会组织举办了若干次会议和培训，以鼓励其积极参与社区电台节目编制委员会的工作。推动开展了若干培训计划，以培养适应各类媒体工作的新闻从业者，在培训计划中包含了预防一切基于性别原因的暴力行为的主题。</w:t>
      </w:r>
    </w:p>
    <w:p w:rsidR="00A83775" w:rsidRDefault="00A83775">
      <w:pPr>
        <w:pStyle w:val="SingleTxtGC"/>
        <w:rPr>
          <w:lang w:val="es-ES"/>
        </w:rPr>
      </w:pPr>
      <w:r>
        <w:rPr>
          <w:lang w:val="es-ES"/>
        </w:rPr>
        <w:t xml:space="preserve">200.  </w:t>
      </w:r>
      <w:r>
        <w:rPr>
          <w:rFonts w:hint="eastAsia"/>
          <w:lang w:val="es-ES"/>
        </w:rPr>
        <w:t>在数字化扫盲工作方面，逐步制定和开发各类旨在加强妇女，特别是女企业家了解和使用信息和通信技术的活动。向妇女提供技术支持，创建了各类信息和通信创新网络，帮助妇女实现劳动就业并将其发展潜力从地方层面扩展到国家层面，为此开展了关于信息和通信技术使用的培训，确保妇女能够克服信息障碍，参与信息社会，并着重加强妇女在国家的政治、经济和社会发展中的自主权和影响力。</w:t>
      </w:r>
    </w:p>
    <w:p w:rsidR="00A83775" w:rsidRDefault="00A83775">
      <w:pPr>
        <w:pStyle w:val="H23GC"/>
        <w:rPr>
          <w:lang w:val="es-ES_tradnl"/>
        </w:rPr>
      </w:pPr>
      <w:r>
        <w:rPr>
          <w:lang w:val="es-ES_tradnl"/>
        </w:rPr>
        <w:tab/>
      </w:r>
      <w:r>
        <w:rPr>
          <w:lang w:val="es-ES_tradnl"/>
        </w:rPr>
        <w:tab/>
      </w:r>
      <w:r>
        <w:rPr>
          <w:rFonts w:hint="eastAsia"/>
          <w:lang w:val="es-ES_tradnl"/>
        </w:rPr>
        <w:t>恩贝拉维拉项目</w:t>
      </w:r>
      <w:r>
        <w:rPr>
          <w:lang w:val="es-ES_tradnl"/>
        </w:rPr>
        <w:t xml:space="preserve"> – </w:t>
      </w:r>
      <w:r>
        <w:rPr>
          <w:rFonts w:hint="eastAsia"/>
          <w:lang w:val="es-ES_tradnl"/>
        </w:rPr>
        <w:t>转变残害女性特征的做法</w:t>
      </w:r>
    </w:p>
    <w:p w:rsidR="00A83775" w:rsidRDefault="00A83775">
      <w:pPr>
        <w:pStyle w:val="SingleTxtGC"/>
        <w:rPr>
          <w:lang w:val="es-ES_tradnl"/>
        </w:rPr>
      </w:pPr>
      <w:r>
        <w:rPr>
          <w:lang w:val="es-ES_tradnl"/>
        </w:rPr>
        <w:t xml:space="preserve">201.  </w:t>
      </w:r>
      <w:r>
        <w:rPr>
          <w:rFonts w:hint="eastAsia"/>
          <w:lang w:val="es-ES_tradnl"/>
        </w:rPr>
        <w:t>在哥伦比亚这一文化习俗逐步被人们所了解，这是在里萨拉尔达的里科镇和米斯特拉顿市生活的恩贝拉族人民所特有的；与里科镇的情况相比，在</w:t>
      </w:r>
      <w:r>
        <w:rPr>
          <w:rFonts w:hint="eastAsia"/>
          <w:lang w:val="zh-CN"/>
        </w:rPr>
        <w:t>米斯特拉顿市</w:t>
      </w:r>
      <w:r>
        <w:rPr>
          <w:rFonts w:hint="eastAsia"/>
          <w:lang w:val="es-ES_tradnl"/>
        </w:rPr>
        <w:t>发生的切除女性生殖器事件的比例非常低。针对这一问题，出台了恩贝拉维拉项目，据以开辟一个让妇女们参与讨论其自身权利的空间，并通过各种灵活的程序来引导改善这一土著社区的生活条件，包括转变和根除切除女性生殖器这一不人道的做法。</w:t>
      </w:r>
    </w:p>
    <w:p w:rsidR="00A83775" w:rsidRDefault="00A83775">
      <w:pPr>
        <w:pStyle w:val="SingleTxtGC"/>
        <w:rPr>
          <w:lang w:val="zh-CN"/>
        </w:rPr>
      </w:pPr>
      <w:r>
        <w:rPr>
          <w:lang w:val="es-CO"/>
        </w:rPr>
        <w:t xml:space="preserve">202.  </w:t>
      </w:r>
      <w:r>
        <w:rPr>
          <w:rFonts w:hint="eastAsia"/>
          <w:lang w:val="es-CO"/>
        </w:rPr>
        <w:t>自</w:t>
      </w:r>
      <w:r>
        <w:rPr>
          <w:rFonts w:hint="eastAsia"/>
          <w:lang w:val="es-CO"/>
        </w:rPr>
        <w:t>2006</w:t>
      </w:r>
      <w:r>
        <w:rPr>
          <w:rFonts w:hint="eastAsia"/>
          <w:lang w:val="es-CO"/>
        </w:rPr>
        <w:t>年以来，通过由哥伦比亚家庭福利研究所、社会保障部、人口基金、联合国</w:t>
      </w:r>
      <w:r>
        <w:rPr>
          <w:rFonts w:hint="eastAsia"/>
          <w:lang w:val="en-GB"/>
        </w:rPr>
        <w:t>打击性别暴力综合方案组、内政和司法部、国家总检察长办公室、公民权利监察员办公室、里萨拉尔达土著地区委员会（</w:t>
      </w:r>
      <w:r>
        <w:rPr>
          <w:rFonts w:hint="eastAsia"/>
          <w:lang w:val="en-GB"/>
        </w:rPr>
        <w:t>CRIR</w:t>
      </w:r>
      <w:r>
        <w:rPr>
          <w:rFonts w:hint="eastAsia"/>
          <w:lang w:val="en-GB"/>
        </w:rPr>
        <w:t>）以及哥伦比亚国家土著委</w:t>
      </w:r>
      <w:r>
        <w:rPr>
          <w:rFonts w:hint="eastAsia"/>
          <w:lang w:val="zh-CN"/>
        </w:rPr>
        <w:t>员会（</w:t>
      </w:r>
      <w:r>
        <w:rPr>
          <w:rFonts w:hint="eastAsia"/>
          <w:lang w:val="zh-CN"/>
        </w:rPr>
        <w:t>ONIC</w:t>
      </w:r>
      <w:r>
        <w:rPr>
          <w:rFonts w:hint="eastAsia"/>
          <w:lang w:val="zh-CN"/>
        </w:rPr>
        <w:t>）组成的机构间工作组的努力，实施开展了</w:t>
      </w:r>
      <w:r>
        <w:rPr>
          <w:rFonts w:eastAsia="SimHei" w:hint="eastAsia"/>
          <w:lang w:val="zh-CN"/>
        </w:rPr>
        <w:t>恩贝拉维拉项目：加强恩贝拉妇女的人权</w:t>
      </w:r>
      <w:r>
        <w:rPr>
          <w:rFonts w:hint="eastAsia"/>
          <w:lang w:val="zh-CN"/>
        </w:rPr>
        <w:t>，这一项目现已进行到第二阶段。</w:t>
      </w:r>
    </w:p>
    <w:p w:rsidR="00A83775" w:rsidRDefault="00A83775">
      <w:pPr>
        <w:pStyle w:val="SingleTxtGC"/>
        <w:rPr>
          <w:lang w:val="zh-CN"/>
        </w:rPr>
      </w:pPr>
      <w:r>
        <w:rPr>
          <w:lang w:val="zh-CN"/>
        </w:rPr>
        <w:t xml:space="preserve">203.  </w:t>
      </w:r>
      <w:r>
        <w:rPr>
          <w:rFonts w:hint="eastAsia"/>
          <w:lang w:val="zh-CN"/>
        </w:rPr>
        <w:t>这一项目的构成如下：</w:t>
      </w:r>
      <w:r>
        <w:rPr>
          <w:rFonts w:hint="eastAsia"/>
          <w:lang w:val="zh-CN"/>
        </w:rPr>
        <w:t xml:space="preserve">(a) </w:t>
      </w:r>
      <w:r>
        <w:rPr>
          <w:rFonts w:hint="eastAsia"/>
          <w:lang w:val="zh-CN"/>
        </w:rPr>
        <w:t>关于残害女性特征做法起源的内部反思：反思目的是从根本上转变这一做法，而不是仅采取医疗救治；</w:t>
      </w:r>
      <w:r>
        <w:rPr>
          <w:rFonts w:hint="eastAsia"/>
          <w:lang w:val="zh-CN"/>
        </w:rPr>
        <w:t xml:space="preserve">(b) </w:t>
      </w:r>
      <w:r>
        <w:rPr>
          <w:rFonts w:hint="eastAsia"/>
          <w:lang w:val="zh-CN"/>
        </w:rPr>
        <w:t>加强里萨拉尔达土著地区委员会在妇女和家庭事务领域的职能；</w:t>
      </w:r>
      <w:r>
        <w:rPr>
          <w:rFonts w:hint="eastAsia"/>
          <w:lang w:val="zh-CN"/>
        </w:rPr>
        <w:t xml:space="preserve">(c) </w:t>
      </w:r>
      <w:r>
        <w:rPr>
          <w:rFonts w:hint="eastAsia"/>
          <w:lang w:val="zh-CN"/>
        </w:rPr>
        <w:t>加强生活规划；</w:t>
      </w:r>
      <w:r>
        <w:rPr>
          <w:rFonts w:hint="eastAsia"/>
          <w:lang w:val="zh-CN"/>
        </w:rPr>
        <w:t xml:space="preserve">(d) </w:t>
      </w:r>
      <w:r>
        <w:rPr>
          <w:rFonts w:hint="eastAsia"/>
          <w:lang w:val="zh-CN"/>
        </w:rPr>
        <w:t>支持地方和市政当局开展工作。当前，里萨拉尔达土著地区委员会发布了一项决议，禁止土著社区采取残害女性生殖器的行为并呼吁社会监督，建立跟踪监督机制，有效落实这一决议。</w:t>
      </w:r>
    </w:p>
    <w:p w:rsidR="00A83775" w:rsidRDefault="00A83775">
      <w:pPr>
        <w:pStyle w:val="SingleTxtGC"/>
        <w:rPr>
          <w:lang w:val="es-ES"/>
        </w:rPr>
      </w:pPr>
      <w:r>
        <w:rPr>
          <w:lang w:val="zh-CN"/>
        </w:rPr>
        <w:t xml:space="preserve">204.  </w:t>
      </w:r>
      <w:r>
        <w:rPr>
          <w:rFonts w:hint="eastAsia"/>
          <w:lang w:val="zh-CN"/>
        </w:rPr>
        <w:t>作为项目实施的结果，采纳了</w:t>
      </w:r>
      <w:r>
        <w:rPr>
          <w:rFonts w:hint="eastAsia"/>
          <w:lang w:val="zh-CN"/>
        </w:rPr>
        <w:t>2009</w:t>
      </w:r>
      <w:r>
        <w:rPr>
          <w:rFonts w:hint="eastAsia"/>
          <w:lang w:val="zh-CN"/>
        </w:rPr>
        <w:t>年的恩贝拉第</w:t>
      </w:r>
      <w:r>
        <w:rPr>
          <w:rFonts w:hint="eastAsia"/>
          <w:lang w:val="zh-CN"/>
        </w:rPr>
        <w:t>001</w:t>
      </w:r>
      <w:r>
        <w:rPr>
          <w:rFonts w:hint="eastAsia"/>
          <w:lang w:val="zh-CN"/>
        </w:rPr>
        <w:t>号决议，通过这项决议取缔了残害女</w:t>
      </w:r>
      <w:r>
        <w:rPr>
          <w:rFonts w:hint="eastAsia"/>
          <w:lang w:val="es-ES"/>
        </w:rPr>
        <w:t>性生殖器的做法，使其列为第二届恩贝拉妇女碰头会的一项任务，在会上除拟定提议消除相应的暴力现象外，还加强了土著妇女的领导能力和参与能力，并将</w:t>
      </w:r>
      <w:r>
        <w:rPr>
          <w:rFonts w:hint="eastAsia"/>
          <w:lang w:val="es-ES"/>
        </w:rPr>
        <w:t>2008</w:t>
      </w:r>
      <w:r>
        <w:rPr>
          <w:rFonts w:hint="eastAsia"/>
          <w:lang w:val="es-ES"/>
        </w:rPr>
        <w:t>年的第</w:t>
      </w:r>
      <w:r>
        <w:rPr>
          <w:rFonts w:hint="eastAsia"/>
          <w:lang w:val="es-ES"/>
        </w:rPr>
        <w:t>1257</w:t>
      </w:r>
      <w:r>
        <w:rPr>
          <w:rFonts w:hint="eastAsia"/>
          <w:lang w:val="es-ES"/>
        </w:rPr>
        <w:t>号法纳入到了市镇发展规划中，具体拟定了一项投资计划，以便相应的市镇当局、省级主管部门和土著当局协力推行这一计划，落实这一地区的土著妇女权利。</w:t>
      </w:r>
    </w:p>
    <w:p w:rsidR="00A83775" w:rsidRDefault="00A83775">
      <w:pPr>
        <w:pStyle w:val="SingleTxtGC"/>
        <w:rPr>
          <w:lang w:val="zh-CN"/>
        </w:rPr>
      </w:pPr>
      <w:r>
        <w:rPr>
          <w:lang w:val="es-ES_tradnl"/>
        </w:rPr>
        <w:t xml:space="preserve">205.  </w:t>
      </w:r>
      <w:r>
        <w:rPr>
          <w:rFonts w:hint="eastAsia"/>
          <w:lang w:val="es-ES_tradnl"/>
        </w:rPr>
        <w:t>拉萨拉尔达卫生厅和社会保障部在其权限范围内参与了这一进程，为</w:t>
      </w:r>
      <w:r>
        <w:rPr>
          <w:rFonts w:hint="eastAsia"/>
          <w:lang w:val="es-ES_tradnl"/>
        </w:rPr>
        <w:t>2009</w:t>
      </w:r>
      <w:r>
        <w:rPr>
          <w:rFonts w:hint="eastAsia"/>
          <w:lang w:val="es-ES_tradnl"/>
        </w:rPr>
        <w:t>年</w:t>
      </w:r>
      <w:r>
        <w:rPr>
          <w:rFonts w:hint="eastAsia"/>
          <w:lang w:val="es-ES_tradnl"/>
        </w:rPr>
        <w:t>8</w:t>
      </w:r>
      <w:r>
        <w:rPr>
          <w:rFonts w:hint="eastAsia"/>
          <w:lang w:val="es-ES_tradnl"/>
        </w:rPr>
        <w:t>月在马尔塞拉市召开的几次机构间会议和第二届恩贝拉妇女碰头会上提供了技术支持，与会成员包括</w:t>
      </w:r>
      <w:r>
        <w:rPr>
          <w:rFonts w:hint="eastAsia"/>
          <w:lang w:val="es-ES_tradnl"/>
        </w:rPr>
        <w:t>500</w:t>
      </w:r>
      <w:r>
        <w:rPr>
          <w:rFonts w:hint="eastAsia"/>
          <w:lang w:val="es-ES_tradnl"/>
        </w:rPr>
        <w:t>多名土著妇女以及来自各政府实体、土著组织、联合国机构</w:t>
      </w:r>
      <w:r>
        <w:rPr>
          <w:rFonts w:hint="eastAsia"/>
          <w:lang w:val="zh-CN"/>
        </w:rPr>
        <w:t>和非政府组织的</w:t>
      </w:r>
      <w:r>
        <w:rPr>
          <w:rFonts w:hint="eastAsia"/>
          <w:lang w:val="zh-CN"/>
        </w:rPr>
        <w:t>50</w:t>
      </w:r>
      <w:r>
        <w:rPr>
          <w:rFonts w:hint="eastAsia"/>
          <w:lang w:val="zh-CN"/>
        </w:rPr>
        <w:t>名代表。</w:t>
      </w:r>
      <w:r>
        <w:rPr>
          <w:lang w:val="zh-CN"/>
        </w:rPr>
        <w:t xml:space="preserve"> </w:t>
      </w:r>
    </w:p>
    <w:p w:rsidR="00A83775" w:rsidRDefault="00A83775">
      <w:pPr>
        <w:pStyle w:val="SingleTxtGC"/>
        <w:rPr>
          <w:lang w:val="es-ES_tradnl"/>
        </w:rPr>
      </w:pPr>
      <w:r>
        <w:rPr>
          <w:lang w:val="zh-CN"/>
        </w:rPr>
        <w:t xml:space="preserve">206.  </w:t>
      </w:r>
      <w:r>
        <w:rPr>
          <w:rFonts w:hint="eastAsia"/>
          <w:lang w:val="zh-CN"/>
        </w:rPr>
        <w:t>里科镇和米斯特拉顿市的卫生工作人员参加了与残害女性生殖器主题有关的工作会、培训</w:t>
      </w:r>
      <w:r>
        <w:rPr>
          <w:rFonts w:hint="eastAsia"/>
          <w:lang w:val="es-ES_tradnl"/>
        </w:rPr>
        <w:t>和反思会；呼吁卫生督导员、医疗卫生单位的医务工作者加入到这些社区的编外工作组和助产士队伍中。通过这些举措，使社区拥有了超过</w:t>
      </w:r>
      <w:r>
        <w:rPr>
          <w:rFonts w:hint="eastAsia"/>
          <w:lang w:val="es-ES_tradnl"/>
        </w:rPr>
        <w:t>150</w:t>
      </w:r>
      <w:r>
        <w:rPr>
          <w:rFonts w:hint="eastAsia"/>
          <w:lang w:val="es-ES_tradnl"/>
        </w:rPr>
        <w:t>名训练有素、业务熟练的助产士，以确保为社区提供服务并在土著产妇分娩时提供适时的护理照顾。</w:t>
      </w:r>
      <w:r>
        <w:rPr>
          <w:lang w:val="es-ES_tradnl"/>
        </w:rPr>
        <w:t xml:space="preserve"> </w:t>
      </w:r>
    </w:p>
    <w:p w:rsidR="00A83775" w:rsidRDefault="00A83775">
      <w:pPr>
        <w:pStyle w:val="SingleTxtGC"/>
        <w:rPr>
          <w:rFonts w:hint="eastAsia"/>
          <w:lang w:val="es-ES_tradnl"/>
        </w:rPr>
      </w:pPr>
      <w:r>
        <w:rPr>
          <w:lang w:val="es-ES_tradnl"/>
        </w:rPr>
        <w:t xml:space="preserve">207.  </w:t>
      </w:r>
      <w:r>
        <w:rPr>
          <w:rFonts w:hint="eastAsia"/>
          <w:lang w:val="es-ES_tradnl"/>
        </w:rPr>
        <w:t>通过</w:t>
      </w:r>
      <w:r>
        <w:rPr>
          <w:rFonts w:hint="eastAsia"/>
          <w:lang w:val="zh-CN"/>
        </w:rPr>
        <w:t>上述</w:t>
      </w:r>
      <w:r>
        <w:rPr>
          <w:rFonts w:hint="eastAsia"/>
          <w:lang w:val="es-ES_tradnl"/>
        </w:rPr>
        <w:t>举措取得了以下主要成果：</w:t>
      </w:r>
    </w:p>
    <w:p w:rsidR="00A83775" w:rsidRDefault="00A83775">
      <w:pPr>
        <w:pStyle w:val="SingleTxtGC"/>
        <w:numPr>
          <w:ilvl w:val="0"/>
          <w:numId w:val="31"/>
        </w:numPr>
        <w:rPr>
          <w:lang w:val="es-ES_tradnl"/>
        </w:rPr>
      </w:pPr>
      <w:r>
        <w:rPr>
          <w:rFonts w:hint="eastAsia"/>
          <w:lang w:val="es-ES_tradnl"/>
        </w:rPr>
        <w:t>面向国际推出恩贝拉维拉项目，吸引了</w:t>
      </w:r>
      <w:r>
        <w:rPr>
          <w:rFonts w:hint="eastAsia"/>
          <w:lang w:val="es-ES_tradnl"/>
        </w:rPr>
        <w:t>200</w:t>
      </w:r>
      <w:r>
        <w:rPr>
          <w:rFonts w:hint="eastAsia"/>
          <w:lang w:val="es-ES_tradnl"/>
        </w:rPr>
        <w:t>余名恩贝拉妇女参加，传统当局和社区也参与其中，举办日期和地点为</w:t>
      </w:r>
      <w:r>
        <w:rPr>
          <w:rFonts w:hint="eastAsia"/>
          <w:lang w:val="es-ES_tradnl"/>
        </w:rPr>
        <w:t>2009</w:t>
      </w:r>
      <w:r>
        <w:rPr>
          <w:rFonts w:hint="eastAsia"/>
          <w:lang w:val="es-ES_tradnl"/>
        </w:rPr>
        <w:t>年</w:t>
      </w:r>
      <w:r>
        <w:rPr>
          <w:rFonts w:hint="eastAsia"/>
          <w:lang w:val="es-ES_tradnl"/>
        </w:rPr>
        <w:t>4</w:t>
      </w:r>
      <w:r>
        <w:rPr>
          <w:rFonts w:hint="eastAsia"/>
          <w:lang w:val="es-ES_tradnl"/>
        </w:rPr>
        <w:t>月</w:t>
      </w:r>
      <w:r>
        <w:rPr>
          <w:rFonts w:hint="eastAsia"/>
          <w:lang w:val="es-ES_tradnl"/>
        </w:rPr>
        <w:t>24</w:t>
      </w:r>
      <w:r>
        <w:rPr>
          <w:rFonts w:hint="eastAsia"/>
          <w:lang w:val="es-ES_tradnl"/>
        </w:rPr>
        <w:t>日在里萨拉尔达省议会园区；</w:t>
      </w:r>
    </w:p>
    <w:p w:rsidR="00A83775" w:rsidRDefault="00A83775">
      <w:pPr>
        <w:pStyle w:val="SingleTxtGC"/>
        <w:numPr>
          <w:ilvl w:val="0"/>
          <w:numId w:val="31"/>
        </w:numPr>
        <w:rPr>
          <w:lang w:val="es-ES_tradnl"/>
        </w:rPr>
      </w:pPr>
      <w:r>
        <w:rPr>
          <w:rFonts w:hint="eastAsia"/>
          <w:lang w:val="es-ES_tradnl"/>
        </w:rPr>
        <w:t>与土著机构和当局达成了协议，以推进转变和根除残害妇女生殖器这一做法的工作进程；</w:t>
      </w:r>
    </w:p>
    <w:p w:rsidR="00A83775" w:rsidRDefault="00A83775">
      <w:pPr>
        <w:pStyle w:val="SingleTxtGC"/>
        <w:numPr>
          <w:ilvl w:val="0"/>
          <w:numId w:val="31"/>
        </w:numPr>
        <w:rPr>
          <w:lang w:val="es-ES_tradnl"/>
        </w:rPr>
      </w:pPr>
      <w:r>
        <w:rPr>
          <w:rFonts w:hint="eastAsia"/>
          <w:lang w:val="es-ES_tradnl"/>
        </w:rPr>
        <w:t>由土著事务主管部门提出了在米斯特拉顿市和里科镇开展对恩贝拉维拉（恩贝拉妇女）人权的提高认识运动项目的草案，正在等待草案的后续审议通过；</w:t>
      </w:r>
    </w:p>
    <w:p w:rsidR="00A83775" w:rsidRDefault="00A83775">
      <w:pPr>
        <w:pStyle w:val="SingleTxtGC"/>
        <w:numPr>
          <w:ilvl w:val="0"/>
          <w:numId w:val="31"/>
        </w:numPr>
        <w:rPr>
          <w:lang w:val="es-ES_tradnl"/>
        </w:rPr>
      </w:pPr>
      <w:r>
        <w:rPr>
          <w:rFonts w:hint="eastAsia"/>
          <w:lang w:val="es-ES_tradnl"/>
        </w:rPr>
        <w:t>地方主管部门与土著事务主管部门之间就这一时期内所出现的案件问题应提供的帮助和应担负的责任签署了协议；</w:t>
      </w:r>
    </w:p>
    <w:p w:rsidR="00A83775" w:rsidRDefault="00A83775">
      <w:pPr>
        <w:pStyle w:val="SingleTxtGC"/>
        <w:numPr>
          <w:ilvl w:val="0"/>
          <w:numId w:val="31"/>
        </w:numPr>
        <w:rPr>
          <w:lang w:val="es-ES_tradnl"/>
        </w:rPr>
      </w:pPr>
      <w:r>
        <w:rPr>
          <w:rFonts w:hint="eastAsia"/>
          <w:lang w:val="es-ES_tradnl"/>
        </w:rPr>
        <w:t>与土著事务当局协调推进项目的实施工作；</w:t>
      </w:r>
    </w:p>
    <w:p w:rsidR="00A83775" w:rsidRDefault="00A83775">
      <w:pPr>
        <w:pStyle w:val="SingleTxtGC"/>
        <w:numPr>
          <w:ilvl w:val="0"/>
          <w:numId w:val="31"/>
        </w:numPr>
        <w:rPr>
          <w:lang w:val="es-ES_tradnl"/>
        </w:rPr>
      </w:pPr>
      <w:r>
        <w:rPr>
          <w:rFonts w:hint="eastAsia"/>
          <w:lang w:val="es-ES_tradnl"/>
        </w:rPr>
        <w:t>应恩贝拉人民的申请，在地区一级和国家一级开办了两次讲习班，目标对象为新闻从业人员和媒体，目的是更好地处理与残害女性生殖器这一行为有关的主题；</w:t>
      </w:r>
    </w:p>
    <w:p w:rsidR="00A83775" w:rsidRDefault="00A83775">
      <w:pPr>
        <w:pStyle w:val="SingleTxtGC"/>
        <w:numPr>
          <w:ilvl w:val="0"/>
          <w:numId w:val="31"/>
        </w:numPr>
        <w:rPr>
          <w:rFonts w:hint="eastAsia"/>
          <w:lang w:val="es-ES_tradnl"/>
        </w:rPr>
      </w:pPr>
      <w:r>
        <w:rPr>
          <w:rFonts w:hint="eastAsia"/>
          <w:lang w:val="es-ES_tradnl"/>
        </w:rPr>
        <w:t>在妇女领袖的呼吁下组织举办了</w:t>
      </w:r>
      <w:r>
        <w:rPr>
          <w:rFonts w:hint="eastAsia"/>
          <w:lang w:val="es-ES_tradnl"/>
        </w:rPr>
        <w:t>60</w:t>
      </w:r>
      <w:r>
        <w:rPr>
          <w:rFonts w:hint="eastAsia"/>
          <w:lang w:val="es-ES_tradnl"/>
        </w:rPr>
        <w:t>次反思会；</w:t>
      </w:r>
    </w:p>
    <w:p w:rsidR="00A83775" w:rsidRDefault="00A83775">
      <w:pPr>
        <w:pStyle w:val="SingleTxtGC"/>
        <w:numPr>
          <w:ilvl w:val="0"/>
          <w:numId w:val="31"/>
        </w:numPr>
        <w:rPr>
          <w:lang w:val="es-ES_tradnl"/>
        </w:rPr>
      </w:pPr>
      <w:r>
        <w:rPr>
          <w:rFonts w:hint="eastAsia"/>
          <w:lang w:val="es-ES_tradnl"/>
        </w:rPr>
        <w:t>针对妇女领袖开办了六期培训讲习班；</w:t>
      </w:r>
      <w:r>
        <w:rPr>
          <w:rFonts w:hint="eastAsia"/>
          <w:lang w:val="es-ES_tradnl"/>
        </w:rPr>
        <w:t>2009</w:t>
      </w:r>
      <w:r>
        <w:rPr>
          <w:rFonts w:hint="eastAsia"/>
          <w:lang w:val="es-ES_tradnl"/>
        </w:rPr>
        <w:t>年举办了里萨拉尔达土著妇女第二届碰头会，参与人员超过</w:t>
      </w:r>
      <w:r>
        <w:rPr>
          <w:rFonts w:hint="eastAsia"/>
          <w:lang w:val="es-ES_tradnl"/>
        </w:rPr>
        <w:t>550</w:t>
      </w:r>
      <w:r>
        <w:rPr>
          <w:rFonts w:hint="eastAsia"/>
          <w:lang w:val="es-ES_tradnl"/>
        </w:rPr>
        <w:t>名。</w:t>
      </w:r>
    </w:p>
    <w:p w:rsidR="00A83775" w:rsidRDefault="00A83775">
      <w:pPr>
        <w:pStyle w:val="H23GC"/>
        <w:rPr>
          <w:lang w:val="es-ES"/>
        </w:rPr>
      </w:pPr>
      <w:r>
        <w:rPr>
          <w:lang w:val="es-ES"/>
        </w:rPr>
        <w:tab/>
        <w:t>2.</w:t>
      </w:r>
      <w:r>
        <w:rPr>
          <w:lang w:val="es-ES"/>
        </w:rPr>
        <w:tab/>
      </w:r>
      <w:r>
        <w:rPr>
          <w:rFonts w:hint="eastAsia"/>
          <w:lang w:val="es-ES"/>
        </w:rPr>
        <w:t>立法措施</w:t>
      </w:r>
    </w:p>
    <w:p w:rsidR="00A83775" w:rsidRDefault="00A83775">
      <w:pPr>
        <w:pStyle w:val="SingleTxtGC"/>
        <w:rPr>
          <w:rFonts w:hint="eastAsia"/>
          <w:lang w:val="es-ES"/>
        </w:rPr>
      </w:pPr>
      <w:r>
        <w:rPr>
          <w:lang w:val="es-ES"/>
        </w:rPr>
        <w:t xml:space="preserve">208.  </w:t>
      </w:r>
      <w:r>
        <w:rPr>
          <w:rFonts w:hint="eastAsia"/>
          <w:lang w:val="zh-CN"/>
        </w:rPr>
        <w:t>值得一提</w:t>
      </w:r>
      <w:r>
        <w:rPr>
          <w:rFonts w:hint="eastAsia"/>
          <w:lang w:val="es-ES"/>
        </w:rPr>
        <w:t>的有：</w:t>
      </w:r>
    </w:p>
    <w:p w:rsidR="00A83775" w:rsidRDefault="00A83775">
      <w:pPr>
        <w:pStyle w:val="SingleTxtGC"/>
        <w:numPr>
          <w:ilvl w:val="0"/>
          <w:numId w:val="32"/>
        </w:numPr>
        <w:rPr>
          <w:rFonts w:hint="eastAsia"/>
          <w:lang w:val="es-ES"/>
        </w:rPr>
      </w:pPr>
      <w:r>
        <w:rPr>
          <w:rFonts w:hint="eastAsia"/>
          <w:lang w:val="es-ES"/>
        </w:rPr>
        <w:t>前文已经提到的</w:t>
      </w:r>
      <w:r>
        <w:rPr>
          <w:rFonts w:eastAsia="SimHei" w:hint="eastAsia"/>
          <w:lang w:val="es-ES"/>
        </w:rPr>
        <w:t>2006</w:t>
      </w:r>
      <w:r>
        <w:rPr>
          <w:rFonts w:eastAsia="SimHei" w:hint="eastAsia"/>
          <w:lang w:val="es-ES"/>
        </w:rPr>
        <w:t>年的第</w:t>
      </w:r>
      <w:r>
        <w:rPr>
          <w:rFonts w:eastAsia="SimHei" w:hint="eastAsia"/>
          <w:lang w:val="es-ES"/>
        </w:rPr>
        <w:t>1098</w:t>
      </w:r>
      <w:r>
        <w:rPr>
          <w:rFonts w:eastAsia="SimHei" w:hint="eastAsia"/>
          <w:lang w:val="es-ES"/>
        </w:rPr>
        <w:t>号法</w:t>
      </w:r>
      <w:r>
        <w:rPr>
          <w:rFonts w:hint="eastAsia"/>
          <w:lang w:val="es-ES"/>
        </w:rPr>
        <w:t>第</w:t>
      </w:r>
      <w:r>
        <w:rPr>
          <w:rFonts w:hint="eastAsia"/>
          <w:lang w:val="es-ES"/>
        </w:rPr>
        <w:t>41</w:t>
      </w:r>
      <w:r>
        <w:rPr>
          <w:rFonts w:hint="eastAsia"/>
          <w:lang w:val="es-ES"/>
        </w:rPr>
        <w:t>条第</w:t>
      </w:r>
      <w:r>
        <w:rPr>
          <w:rFonts w:hint="eastAsia"/>
          <w:lang w:val="es-ES"/>
        </w:rPr>
        <w:t>37</w:t>
      </w:r>
      <w:r>
        <w:rPr>
          <w:rFonts w:hint="eastAsia"/>
          <w:lang w:val="es-ES"/>
        </w:rPr>
        <w:t>款：敦促媒体落实本法典赋予其的责任；</w:t>
      </w:r>
    </w:p>
    <w:p w:rsidR="00A83775" w:rsidRDefault="00A83775">
      <w:pPr>
        <w:pStyle w:val="SingleTxtGC"/>
        <w:numPr>
          <w:ilvl w:val="0"/>
          <w:numId w:val="32"/>
        </w:numPr>
        <w:rPr>
          <w:rFonts w:hint="eastAsia"/>
          <w:lang w:val="es-ES"/>
        </w:rPr>
      </w:pPr>
      <w:r>
        <w:rPr>
          <w:rFonts w:hint="eastAsia"/>
          <w:lang w:val="es-ES"/>
        </w:rPr>
        <w:t>前文已经提到的</w:t>
      </w:r>
      <w:r>
        <w:rPr>
          <w:rFonts w:eastAsia="SimHei" w:hint="eastAsia"/>
          <w:lang w:val="es-ES"/>
        </w:rPr>
        <w:t>2008</w:t>
      </w:r>
      <w:r>
        <w:rPr>
          <w:rFonts w:eastAsia="SimHei" w:hint="eastAsia"/>
          <w:lang w:val="es-ES"/>
        </w:rPr>
        <w:t>年的第</w:t>
      </w:r>
      <w:r>
        <w:rPr>
          <w:rFonts w:eastAsia="SimHei" w:hint="eastAsia"/>
          <w:lang w:val="es-ES"/>
        </w:rPr>
        <w:t>1257</w:t>
      </w:r>
      <w:r>
        <w:rPr>
          <w:rFonts w:eastAsia="SimHei" w:hint="eastAsia"/>
          <w:lang w:val="es-ES"/>
        </w:rPr>
        <w:t>号法</w:t>
      </w:r>
      <w:r>
        <w:rPr>
          <w:rFonts w:hint="eastAsia"/>
          <w:lang w:val="es-ES"/>
        </w:rPr>
        <w:t>：</w:t>
      </w:r>
    </w:p>
    <w:p w:rsidR="00A83775" w:rsidRDefault="00A83775">
      <w:pPr>
        <w:pStyle w:val="SingleTxtGC"/>
        <w:tabs>
          <w:tab w:val="clear" w:pos="1134"/>
          <w:tab w:val="clear" w:pos="2427"/>
          <w:tab w:val="left" w:pos="2600"/>
        </w:tabs>
        <w:ind w:left="2600" w:hanging="581"/>
        <w:rPr>
          <w:lang w:val="es-ES_tradnl"/>
        </w:rPr>
      </w:pPr>
      <w:r>
        <w:rPr>
          <w:rFonts w:hint="eastAsia"/>
          <w:lang w:val="es-ES"/>
        </w:rPr>
        <w:t>(</w:t>
      </w:r>
      <w:r>
        <w:rPr>
          <w:rFonts w:hint="eastAsia"/>
          <w:lang w:val="es-ES"/>
        </w:rPr>
        <w:t>一</w:t>
      </w:r>
      <w:r>
        <w:rPr>
          <w:rFonts w:hint="eastAsia"/>
          <w:lang w:val="es-ES"/>
        </w:rPr>
        <w:t>)</w:t>
      </w:r>
      <w:r>
        <w:rPr>
          <w:lang w:val="es-ES_tradnl"/>
        </w:rPr>
        <w:tab/>
      </w:r>
      <w:r>
        <w:rPr>
          <w:rFonts w:hint="eastAsia"/>
          <w:lang w:val="es-ES_tradnl"/>
        </w:rPr>
        <w:t>在第九条关于提高认识和预防性措施的规定中，着重强调制定和实施公共政策，以此承认由于性别、年龄、种族、在家庭和社会群体中所扮演角色的不同而存在社会差异性和社会不平等；</w:t>
      </w:r>
    </w:p>
    <w:p w:rsidR="00A83775" w:rsidRDefault="00A83775">
      <w:pPr>
        <w:pStyle w:val="SingleTxtGC"/>
        <w:tabs>
          <w:tab w:val="clear" w:pos="1134"/>
          <w:tab w:val="clear" w:pos="2427"/>
          <w:tab w:val="left" w:pos="2600"/>
        </w:tabs>
        <w:ind w:left="2600" w:hanging="581"/>
        <w:rPr>
          <w:lang w:val="es-ES_tradnl"/>
        </w:rPr>
      </w:pPr>
      <w:r>
        <w:rPr>
          <w:rFonts w:hint="eastAsia"/>
          <w:lang w:val="es-ES_tradnl"/>
        </w:rPr>
        <w:t>(</w:t>
      </w:r>
      <w:r>
        <w:rPr>
          <w:rFonts w:hint="eastAsia"/>
          <w:lang w:val="es-ES_tradnl"/>
        </w:rPr>
        <w:t>二</w:t>
      </w:r>
      <w:r>
        <w:rPr>
          <w:rFonts w:hint="eastAsia"/>
          <w:lang w:val="es-ES_tradnl"/>
        </w:rPr>
        <w:t>)</w:t>
      </w:r>
      <w:r>
        <w:rPr>
          <w:lang w:val="es-ES_tradnl"/>
        </w:rPr>
        <w:tab/>
      </w:r>
      <w:r>
        <w:rPr>
          <w:rFonts w:hint="eastAsia"/>
          <w:lang w:val="es-ES_tradnl"/>
        </w:rPr>
        <w:t>在第十一条关于教育措施的规定中，强调培养树立尊重权利、自由、自立自强和男女平等的意识；预防和保护受害妇女，使其不会遭遇辍学危机；鼓励妇女参与职业技能培训方案，等等；</w:t>
      </w:r>
    </w:p>
    <w:p w:rsidR="00A83775" w:rsidRDefault="00A83775">
      <w:pPr>
        <w:pStyle w:val="SingleTxtGC"/>
        <w:tabs>
          <w:tab w:val="clear" w:pos="1134"/>
          <w:tab w:val="clear" w:pos="2427"/>
          <w:tab w:val="left" w:pos="2600"/>
        </w:tabs>
        <w:ind w:left="2600" w:hanging="581"/>
        <w:rPr>
          <w:lang w:val="es-ES_tradnl"/>
        </w:rPr>
      </w:pPr>
      <w:r>
        <w:rPr>
          <w:rFonts w:hint="eastAsia"/>
          <w:lang w:val="es-ES_tradnl"/>
        </w:rPr>
        <w:t>(</w:t>
      </w:r>
      <w:r>
        <w:rPr>
          <w:rFonts w:hint="eastAsia"/>
          <w:lang w:val="es-ES_tradnl"/>
        </w:rPr>
        <w:t>三</w:t>
      </w:r>
      <w:r>
        <w:rPr>
          <w:rFonts w:hint="eastAsia"/>
          <w:lang w:val="es-ES_tradnl"/>
        </w:rPr>
        <w:t>)</w:t>
      </w:r>
      <w:r>
        <w:rPr>
          <w:lang w:val="es-ES_tradnl"/>
        </w:rPr>
        <w:tab/>
      </w:r>
      <w:r>
        <w:rPr>
          <w:rFonts w:hint="eastAsia"/>
          <w:lang w:val="es-ES_tradnl"/>
        </w:rPr>
        <w:t>在第十条中规定有义务开发一项宣传战略，以便制定各类宣传方案，帮助根除对妇女一切形式的暴力侵害，确保尊重妇女的尊严体面并促进男女平等。</w:t>
      </w:r>
    </w:p>
    <w:p w:rsidR="00A83775" w:rsidRDefault="00A83775">
      <w:pPr>
        <w:pStyle w:val="H23GC"/>
        <w:rPr>
          <w:lang w:val="es-ES"/>
        </w:rPr>
      </w:pPr>
      <w:r>
        <w:rPr>
          <w:lang w:val="es-ES"/>
        </w:rPr>
        <w:tab/>
        <w:t>3.</w:t>
      </w:r>
      <w:r>
        <w:rPr>
          <w:lang w:val="es-ES"/>
        </w:rPr>
        <w:tab/>
      </w:r>
      <w:r>
        <w:rPr>
          <w:rFonts w:hint="eastAsia"/>
          <w:lang w:val="es-ES"/>
        </w:rPr>
        <w:t>司法措施</w:t>
      </w:r>
    </w:p>
    <w:p w:rsidR="00A83775" w:rsidRDefault="00A83775">
      <w:pPr>
        <w:pStyle w:val="SingleTxtGC"/>
        <w:rPr>
          <w:lang w:val="es-ES"/>
        </w:rPr>
      </w:pPr>
      <w:r>
        <w:rPr>
          <w:lang w:val="es-ES"/>
        </w:rPr>
        <w:t xml:space="preserve">209.  </w:t>
      </w:r>
      <w:r>
        <w:rPr>
          <w:rFonts w:hint="eastAsia"/>
          <w:lang w:val="zh-CN"/>
        </w:rPr>
        <w:t>值得一提</w:t>
      </w:r>
      <w:r>
        <w:rPr>
          <w:rFonts w:hint="eastAsia"/>
          <w:lang w:val="es-ES"/>
        </w:rPr>
        <w:t>的有：</w:t>
      </w:r>
    </w:p>
    <w:p w:rsidR="00A83775" w:rsidRDefault="00A83775">
      <w:pPr>
        <w:pStyle w:val="SingleTxtGC"/>
        <w:numPr>
          <w:ilvl w:val="0"/>
          <w:numId w:val="33"/>
        </w:numPr>
        <w:rPr>
          <w:bCs/>
          <w:lang w:val="es-CO"/>
        </w:rPr>
      </w:pPr>
      <w:r>
        <w:rPr>
          <w:rFonts w:eastAsia="SimHei" w:hint="eastAsia"/>
          <w:lang w:val="es-ES"/>
        </w:rPr>
        <w:t>第</w:t>
      </w:r>
      <w:r>
        <w:rPr>
          <w:rFonts w:eastAsia="SimHei" w:hint="eastAsia"/>
          <w:lang w:val="es-ES"/>
        </w:rPr>
        <w:t>C 804-06</w:t>
      </w:r>
      <w:r>
        <w:rPr>
          <w:rFonts w:eastAsia="SimHei" w:hint="eastAsia"/>
          <w:lang w:val="es-ES"/>
        </w:rPr>
        <w:t>号关于司法用语的判决</w:t>
      </w:r>
      <w:r>
        <w:rPr>
          <w:rFonts w:hint="eastAsia"/>
          <w:lang w:val="es-ES"/>
        </w:rPr>
        <w:t>。法院指出：“作为一项主要交流工具和思考工具的语言本身，正如其反映出的习惯、观念和价值观，当事人身处的特定社会环境、其被包容还是被排斥的处境同样也影射到司法用语中。（……）采用的原则表明了司法是包容性的还是排斥性的，这反映在语言所在的价值观和思想氛围上。语言不仅能够反映并揭示出一种特定的文化所蕴含的习惯和价值观，而且能够形成并固化此类习惯和价值观。男性已经获得了确定这些事项的权力，因而他们总是从他们自己的角度看问题（……）”。法院宣布《民法典》第</w:t>
      </w:r>
      <w:r>
        <w:rPr>
          <w:rFonts w:hint="eastAsia"/>
          <w:lang w:val="es-ES"/>
        </w:rPr>
        <w:t>33</w:t>
      </w:r>
      <w:r>
        <w:rPr>
          <w:rFonts w:hint="eastAsia"/>
          <w:lang w:val="es-ES"/>
        </w:rPr>
        <w:t>条</w:t>
      </w:r>
      <w:r>
        <w:rPr>
          <w:bCs/>
          <w:vertAlign w:val="superscript"/>
          <w:lang w:val="es-CO"/>
        </w:rPr>
        <w:footnoteReference w:id="107"/>
      </w:r>
      <w:r>
        <w:rPr>
          <w:lang w:val="es-ES"/>
        </w:rPr>
        <w:t xml:space="preserve"> </w:t>
      </w:r>
      <w:r>
        <w:rPr>
          <w:rFonts w:hint="eastAsia"/>
          <w:lang w:val="es-ES"/>
        </w:rPr>
        <w:t>中所使用的司法语言具有违宪性，但是这一句除外：“人这个词从一般意义上来讲是指的人类物种中的单个个体，不以性别而有所区分。”鉴于司法用语本身以及司法定义方式的影响力，应当通过这一方式来实现司法文化的转变。</w:t>
      </w:r>
    </w:p>
    <w:p w:rsidR="00A83775" w:rsidRDefault="00A83775">
      <w:pPr>
        <w:pStyle w:val="SingleTxtGC"/>
        <w:numPr>
          <w:ilvl w:val="0"/>
          <w:numId w:val="33"/>
        </w:numPr>
        <w:rPr>
          <w:rFonts w:hint="eastAsia"/>
          <w:bCs/>
          <w:lang w:val="es-CO"/>
        </w:rPr>
      </w:pPr>
      <w:r>
        <w:rPr>
          <w:rFonts w:eastAsia="SimHei" w:hint="eastAsia"/>
          <w:lang w:val="es-ES"/>
        </w:rPr>
        <w:t>第</w:t>
      </w:r>
      <w:r>
        <w:rPr>
          <w:rFonts w:eastAsia="SimHei" w:hint="eastAsia"/>
          <w:lang w:val="es-ES"/>
        </w:rPr>
        <w:t>C-442-09</w:t>
      </w:r>
      <w:r>
        <w:rPr>
          <w:rFonts w:eastAsia="SimHei" w:hint="eastAsia"/>
          <w:lang w:val="es-ES"/>
        </w:rPr>
        <w:t>号判决</w:t>
      </w:r>
      <w:r>
        <w:rPr>
          <w:rFonts w:hint="eastAsia"/>
          <w:lang w:val="es-ES"/>
        </w:rPr>
        <w:t>，宣布</w:t>
      </w:r>
      <w:r>
        <w:rPr>
          <w:rFonts w:hint="eastAsia"/>
          <w:lang w:val="es-ES"/>
        </w:rPr>
        <w:t>2006</w:t>
      </w:r>
      <w:r>
        <w:rPr>
          <w:rFonts w:hint="eastAsia"/>
          <w:lang w:val="es-ES"/>
        </w:rPr>
        <w:t>年的第</w:t>
      </w:r>
      <w:r>
        <w:rPr>
          <w:rFonts w:hint="eastAsia"/>
          <w:lang w:val="es-ES"/>
        </w:rPr>
        <w:t>1098</w:t>
      </w:r>
      <w:r>
        <w:rPr>
          <w:rFonts w:hint="eastAsia"/>
          <w:lang w:val="es-ES"/>
        </w:rPr>
        <w:t>号法（儿童和青少年法）第</w:t>
      </w:r>
      <w:r>
        <w:rPr>
          <w:rFonts w:hint="eastAsia"/>
          <w:lang w:val="es-ES"/>
        </w:rPr>
        <w:t>41</w:t>
      </w:r>
      <w:r>
        <w:rPr>
          <w:rFonts w:hint="eastAsia"/>
          <w:lang w:val="es-ES"/>
        </w:rPr>
        <w:t>条第</w:t>
      </w:r>
      <w:r>
        <w:rPr>
          <w:rFonts w:hint="eastAsia"/>
          <w:lang w:val="es-ES"/>
        </w:rPr>
        <w:t>37</w:t>
      </w:r>
      <w:r>
        <w:rPr>
          <w:rFonts w:hint="eastAsia"/>
          <w:lang w:val="es-ES"/>
        </w:rPr>
        <w:t>款具有强制执行力，规定：敦促媒体落实本法典赋予其的责任</w:t>
      </w:r>
      <w:r>
        <w:rPr>
          <w:rFonts w:hint="eastAsia"/>
          <w:bCs/>
          <w:lang w:val="es-CO"/>
        </w:rPr>
        <w:t>。</w:t>
      </w:r>
    </w:p>
    <w:p w:rsidR="00A83775" w:rsidRDefault="00A83775">
      <w:pPr>
        <w:pStyle w:val="H23GC"/>
        <w:rPr>
          <w:rFonts w:hint="eastAsia"/>
          <w:lang w:val="es-ES"/>
        </w:rPr>
      </w:pPr>
      <w:r>
        <w:rPr>
          <w:lang w:val="es-ES"/>
        </w:rPr>
        <w:tab/>
        <w:t>4.</w:t>
      </w:r>
      <w:r>
        <w:rPr>
          <w:lang w:val="es-ES"/>
        </w:rPr>
        <w:tab/>
      </w:r>
      <w:r>
        <w:rPr>
          <w:rFonts w:hint="eastAsia"/>
          <w:lang w:val="es-ES"/>
        </w:rPr>
        <w:t>现状</w:t>
      </w:r>
      <w:r>
        <w:rPr>
          <w:rFonts w:hint="eastAsia"/>
          <w:lang w:val="es-ES"/>
        </w:rPr>
        <w:t>/</w:t>
      </w:r>
      <w:r>
        <w:rPr>
          <w:rFonts w:hint="eastAsia"/>
          <w:lang w:val="es-ES"/>
        </w:rPr>
        <w:t>统计信息</w:t>
      </w:r>
    </w:p>
    <w:p w:rsidR="00A83775" w:rsidRDefault="00A83775">
      <w:pPr>
        <w:pStyle w:val="SingleTxtGC"/>
        <w:rPr>
          <w:lang w:val="es-ES"/>
        </w:rPr>
      </w:pPr>
      <w:r>
        <w:rPr>
          <w:lang w:val="es-ES"/>
        </w:rPr>
        <w:t xml:space="preserve">210.  </w:t>
      </w:r>
      <w:r>
        <w:rPr>
          <w:rFonts w:hint="eastAsia"/>
          <w:lang w:val="es-ES"/>
        </w:rPr>
        <w:t>上文</w:t>
      </w:r>
      <w:r>
        <w:rPr>
          <w:rFonts w:hint="eastAsia"/>
          <w:lang w:val="zh-CN"/>
        </w:rPr>
        <w:t>提到</w:t>
      </w:r>
      <w:r>
        <w:rPr>
          <w:rFonts w:hint="eastAsia"/>
          <w:lang w:val="es-ES"/>
        </w:rPr>
        <w:t>的对基于性别原因的暴力的容忍度的研究揭示了以下统计信</w:t>
      </w:r>
      <w:r>
        <w:rPr>
          <w:rFonts w:hint="eastAsia"/>
          <w:lang w:val="es-ES"/>
        </w:rPr>
        <w:t xml:space="preserve">  </w:t>
      </w:r>
      <w:r>
        <w:rPr>
          <w:rFonts w:hint="eastAsia"/>
          <w:lang w:val="es-ES"/>
        </w:rPr>
        <w:t>息：</w:t>
      </w:r>
      <w:r>
        <w:rPr>
          <w:vertAlign w:val="superscript"/>
          <w:lang w:val="es-ES"/>
        </w:rPr>
        <w:footnoteReference w:id="108"/>
      </w:r>
    </w:p>
    <w:p w:rsidR="00A83775" w:rsidRDefault="00A83775">
      <w:pPr>
        <w:pStyle w:val="SingleTxtGC"/>
        <w:numPr>
          <w:ilvl w:val="0"/>
          <w:numId w:val="34"/>
        </w:numPr>
        <w:rPr>
          <w:rFonts w:hint="eastAsia"/>
          <w:lang w:val="es-ES_tradnl"/>
        </w:rPr>
      </w:pPr>
      <w:r>
        <w:rPr>
          <w:rFonts w:hint="eastAsia"/>
          <w:lang w:val="es-ES_tradnl"/>
        </w:rPr>
        <w:t>52%</w:t>
      </w:r>
      <w:r>
        <w:rPr>
          <w:rFonts w:hint="eastAsia"/>
          <w:lang w:val="es-ES_tradnl"/>
        </w:rPr>
        <w:t>的受调查人口为女性，而接受调查的人口中，</w:t>
      </w:r>
      <w:r>
        <w:rPr>
          <w:rFonts w:hint="eastAsia"/>
          <w:lang w:val="es-ES_tradnl"/>
        </w:rPr>
        <w:t>10</w:t>
      </w:r>
      <w:r>
        <w:rPr>
          <w:rFonts w:hint="eastAsia"/>
          <w:lang w:val="es-ES_tradnl"/>
        </w:rPr>
        <w:t>人中有</w:t>
      </w:r>
      <w:r>
        <w:rPr>
          <w:rFonts w:hint="eastAsia"/>
          <w:lang w:val="es-ES_tradnl"/>
        </w:rPr>
        <w:t>5</w:t>
      </w:r>
      <w:r>
        <w:rPr>
          <w:rFonts w:hint="eastAsia"/>
          <w:lang w:val="es-ES_tradnl"/>
        </w:rPr>
        <w:t>人表示曾遭遇过基于性别原因的暴力侵害，而事实表明受害妇女中</w:t>
      </w:r>
      <w:r>
        <w:rPr>
          <w:rFonts w:hint="eastAsia"/>
          <w:lang w:val="es-ES_tradnl"/>
        </w:rPr>
        <w:t>32%</w:t>
      </w:r>
      <w:r>
        <w:rPr>
          <w:rFonts w:hint="eastAsia"/>
          <w:lang w:val="es-ES_tradnl"/>
        </w:rPr>
        <w:t>的年龄在</w:t>
      </w:r>
      <w:r>
        <w:rPr>
          <w:rFonts w:hint="eastAsia"/>
          <w:lang w:val="es-ES_tradnl"/>
        </w:rPr>
        <w:t>18-30</w:t>
      </w:r>
      <w:r>
        <w:rPr>
          <w:rFonts w:hint="eastAsia"/>
          <w:lang w:val="es-ES_tradnl"/>
        </w:rPr>
        <w:t>岁之间，</w:t>
      </w:r>
      <w:r>
        <w:rPr>
          <w:rFonts w:hint="eastAsia"/>
          <w:lang w:val="es-ES_tradnl"/>
        </w:rPr>
        <w:t>18%</w:t>
      </w:r>
      <w:r>
        <w:rPr>
          <w:rFonts w:hint="eastAsia"/>
          <w:lang w:val="es-ES_tradnl"/>
        </w:rPr>
        <w:t>的年龄在</w:t>
      </w:r>
      <w:r>
        <w:rPr>
          <w:rFonts w:hint="eastAsia"/>
          <w:lang w:val="es-ES_tradnl"/>
        </w:rPr>
        <w:t>11-17</w:t>
      </w:r>
      <w:r>
        <w:rPr>
          <w:rFonts w:hint="eastAsia"/>
          <w:lang w:val="es-ES_tradnl"/>
        </w:rPr>
        <w:t>岁之间。只有</w:t>
      </w:r>
      <w:r>
        <w:rPr>
          <w:rFonts w:hint="eastAsia"/>
          <w:lang w:val="es-ES_tradnl"/>
        </w:rPr>
        <w:t>38%</w:t>
      </w:r>
      <w:r>
        <w:rPr>
          <w:rFonts w:hint="eastAsia"/>
          <w:lang w:val="es-ES_tradnl"/>
        </w:rPr>
        <w:t>的人对暴力事件进行了报案；</w:t>
      </w:r>
    </w:p>
    <w:p w:rsidR="00A83775" w:rsidRDefault="00A83775">
      <w:pPr>
        <w:pStyle w:val="SingleTxtGC"/>
        <w:numPr>
          <w:ilvl w:val="0"/>
          <w:numId w:val="34"/>
        </w:numPr>
        <w:rPr>
          <w:lang w:val="es-ES_tradnl"/>
        </w:rPr>
      </w:pPr>
      <w:r>
        <w:rPr>
          <w:rFonts w:hint="eastAsia"/>
          <w:lang w:val="es-ES_tradnl"/>
        </w:rPr>
        <w:t>在学历方面，每</w:t>
      </w:r>
      <w:r>
        <w:rPr>
          <w:rFonts w:hint="eastAsia"/>
          <w:lang w:val="es-ES_tradnl"/>
        </w:rPr>
        <w:t>10</w:t>
      </w:r>
      <w:r>
        <w:rPr>
          <w:rFonts w:hint="eastAsia"/>
          <w:lang w:val="es-ES_tradnl"/>
        </w:rPr>
        <w:t>名受害女性中有</w:t>
      </w:r>
      <w:r>
        <w:rPr>
          <w:rFonts w:hint="eastAsia"/>
          <w:lang w:val="es-ES_tradnl"/>
        </w:rPr>
        <w:t>2</w:t>
      </w:r>
      <w:r>
        <w:rPr>
          <w:rFonts w:hint="eastAsia"/>
          <w:lang w:val="es-ES_tradnl"/>
        </w:rPr>
        <w:t>名完成了小学教育，</w:t>
      </w:r>
      <w:r>
        <w:rPr>
          <w:rFonts w:hint="eastAsia"/>
          <w:lang w:val="es-ES_tradnl"/>
        </w:rPr>
        <w:t>5</w:t>
      </w:r>
      <w:r>
        <w:rPr>
          <w:rFonts w:hint="eastAsia"/>
          <w:lang w:val="es-ES_tradnl"/>
        </w:rPr>
        <w:t>名完成了中学学业，</w:t>
      </w:r>
      <w:r>
        <w:rPr>
          <w:rFonts w:hint="eastAsia"/>
          <w:lang w:val="es-ES_tradnl"/>
        </w:rPr>
        <w:t>7%</w:t>
      </w:r>
      <w:r>
        <w:rPr>
          <w:rFonts w:hint="eastAsia"/>
          <w:lang w:val="es-ES_tradnl"/>
        </w:rPr>
        <w:t>接受了技术或技能培训，</w:t>
      </w:r>
      <w:r>
        <w:rPr>
          <w:rFonts w:hint="eastAsia"/>
          <w:lang w:val="es-ES_tradnl"/>
        </w:rPr>
        <w:t>6%</w:t>
      </w:r>
      <w:r>
        <w:rPr>
          <w:rFonts w:hint="eastAsia"/>
          <w:lang w:val="es-ES_tradnl"/>
        </w:rPr>
        <w:t>拥有大学学历，</w:t>
      </w:r>
      <w:r>
        <w:rPr>
          <w:rFonts w:hint="eastAsia"/>
          <w:lang w:val="es-ES_tradnl"/>
        </w:rPr>
        <w:t>1%</w:t>
      </w:r>
      <w:r>
        <w:rPr>
          <w:rFonts w:hint="eastAsia"/>
          <w:lang w:val="es-ES_tradnl"/>
        </w:rPr>
        <w:t>拥有研究生学历；</w:t>
      </w:r>
    </w:p>
    <w:p w:rsidR="00A83775" w:rsidRDefault="00A83775">
      <w:pPr>
        <w:pStyle w:val="SingleTxtGC"/>
        <w:numPr>
          <w:ilvl w:val="0"/>
          <w:numId w:val="34"/>
        </w:numPr>
        <w:rPr>
          <w:lang w:val="es-ES_tradnl"/>
        </w:rPr>
      </w:pPr>
      <w:r>
        <w:rPr>
          <w:rFonts w:hint="eastAsia"/>
          <w:lang w:val="es-ES_tradnl"/>
        </w:rPr>
        <w:t>每</w:t>
      </w:r>
      <w:r>
        <w:rPr>
          <w:rFonts w:hint="eastAsia"/>
          <w:lang w:val="es-ES_tradnl"/>
        </w:rPr>
        <w:t>10</w:t>
      </w:r>
      <w:r>
        <w:rPr>
          <w:rFonts w:hint="eastAsia"/>
          <w:lang w:val="es-ES_tradnl"/>
        </w:rPr>
        <w:t>名受害妇女中就有</w:t>
      </w:r>
      <w:r>
        <w:rPr>
          <w:rFonts w:hint="eastAsia"/>
          <w:lang w:val="es-ES_tradnl"/>
        </w:rPr>
        <w:t>3</w:t>
      </w:r>
      <w:r>
        <w:rPr>
          <w:rFonts w:hint="eastAsia"/>
          <w:lang w:val="es-ES_tradnl"/>
        </w:rPr>
        <w:t>名有同居关系且育有子女，</w:t>
      </w:r>
      <w:r>
        <w:rPr>
          <w:rFonts w:hint="eastAsia"/>
          <w:lang w:val="es-ES_tradnl"/>
        </w:rPr>
        <w:t>15%</w:t>
      </w:r>
      <w:r>
        <w:rPr>
          <w:rFonts w:hint="eastAsia"/>
          <w:lang w:val="es-ES_tradnl"/>
        </w:rPr>
        <w:t>为已婚且有子女，</w:t>
      </w:r>
      <w:r>
        <w:rPr>
          <w:rFonts w:hint="eastAsia"/>
          <w:lang w:val="es-ES_tradnl"/>
        </w:rPr>
        <w:t>13%</w:t>
      </w:r>
      <w:r>
        <w:rPr>
          <w:rFonts w:hint="eastAsia"/>
          <w:lang w:val="es-ES_tradnl"/>
        </w:rPr>
        <w:t>为单身且无子女。其中，</w:t>
      </w:r>
      <w:r>
        <w:rPr>
          <w:rFonts w:hint="eastAsia"/>
          <w:lang w:val="es-ES_tradnl"/>
        </w:rPr>
        <w:t>24%</w:t>
      </w:r>
      <w:r>
        <w:rPr>
          <w:rFonts w:hint="eastAsia"/>
          <w:lang w:val="es-ES_tradnl"/>
        </w:rPr>
        <w:t>属于第一社会阶层，</w:t>
      </w:r>
      <w:r>
        <w:rPr>
          <w:rFonts w:hint="eastAsia"/>
          <w:lang w:val="es-ES_tradnl"/>
        </w:rPr>
        <w:t>28%</w:t>
      </w:r>
      <w:r>
        <w:rPr>
          <w:rFonts w:hint="eastAsia"/>
          <w:lang w:val="es-ES_tradnl"/>
        </w:rPr>
        <w:t>属于第二社会阶层，</w:t>
      </w:r>
      <w:r>
        <w:rPr>
          <w:rFonts w:hint="eastAsia"/>
          <w:lang w:val="es-ES_tradnl"/>
        </w:rPr>
        <w:t>27%</w:t>
      </w:r>
      <w:r>
        <w:rPr>
          <w:rFonts w:hint="eastAsia"/>
          <w:lang w:val="es-ES_tradnl"/>
        </w:rPr>
        <w:t>属于第三社会阶层，其余两成属于第四至六社会阶层。</w:t>
      </w:r>
      <w:r>
        <w:rPr>
          <w:rFonts w:hint="eastAsia"/>
          <w:lang w:val="es-ES_tradnl"/>
        </w:rPr>
        <w:t>55%</w:t>
      </w:r>
      <w:r>
        <w:rPr>
          <w:rFonts w:hint="eastAsia"/>
          <w:lang w:val="es-ES_tradnl"/>
        </w:rPr>
        <w:t>的受害妇女没有完成中学学业，</w:t>
      </w:r>
      <w:r>
        <w:rPr>
          <w:rFonts w:hint="eastAsia"/>
          <w:lang w:val="es-ES_tradnl"/>
        </w:rPr>
        <w:t>33%</w:t>
      </w:r>
      <w:r>
        <w:rPr>
          <w:rFonts w:hint="eastAsia"/>
          <w:lang w:val="es-ES_tradnl"/>
        </w:rPr>
        <w:t>的受害妇女认为男人不让他的伴侣离开是正常的。</w:t>
      </w:r>
    </w:p>
    <w:p w:rsidR="00A83775" w:rsidRDefault="00A83775">
      <w:pPr>
        <w:pStyle w:val="SingleTxtGC"/>
        <w:numPr>
          <w:ilvl w:val="0"/>
          <w:numId w:val="34"/>
        </w:numPr>
        <w:rPr>
          <w:lang w:val="es-ES_tradnl"/>
        </w:rPr>
      </w:pPr>
      <w:r>
        <w:rPr>
          <w:rFonts w:hint="eastAsia"/>
          <w:lang w:val="es-ES_tradnl"/>
        </w:rPr>
        <w:t>在对遭受性别暴力的妇女的帮助方面，向受访者提出的问题是：在遭受暴力侵害，无论属于哪种形式的暴力时，你知道应该到哪个</w:t>
      </w:r>
      <w:r>
        <w:rPr>
          <w:rFonts w:hint="eastAsia"/>
          <w:lang w:val="es-ES_tradnl"/>
        </w:rPr>
        <w:t>/</w:t>
      </w:r>
      <w:r>
        <w:rPr>
          <w:rFonts w:hint="eastAsia"/>
          <w:lang w:val="es-ES_tradnl"/>
        </w:rPr>
        <w:t>哪几个部门求助吗？</w:t>
      </w:r>
      <w:r>
        <w:rPr>
          <w:rFonts w:hint="eastAsia"/>
          <w:lang w:val="es-ES_tradnl"/>
        </w:rPr>
        <w:t>67%</w:t>
      </w:r>
      <w:r>
        <w:rPr>
          <w:rFonts w:hint="eastAsia"/>
          <w:lang w:val="es-ES_tradnl"/>
        </w:rPr>
        <w:t>的受访人员表示首先想到的就是向警察求救，</w:t>
      </w:r>
      <w:r>
        <w:rPr>
          <w:rFonts w:hint="eastAsia"/>
          <w:lang w:val="es-ES_tradnl"/>
        </w:rPr>
        <w:t>25%</w:t>
      </w:r>
      <w:r>
        <w:rPr>
          <w:rFonts w:hint="eastAsia"/>
          <w:lang w:val="es-ES_tradnl"/>
        </w:rPr>
        <w:t>表示要向检察机关求助，</w:t>
      </w:r>
      <w:r>
        <w:rPr>
          <w:rFonts w:hint="eastAsia"/>
          <w:lang w:val="es-ES_tradnl"/>
        </w:rPr>
        <w:t>24%</w:t>
      </w:r>
      <w:r>
        <w:rPr>
          <w:rFonts w:hint="eastAsia"/>
          <w:lang w:val="es-ES_tradnl"/>
        </w:rPr>
        <w:t>的人表示要向家庭事务警局求助，而</w:t>
      </w:r>
      <w:r>
        <w:rPr>
          <w:rFonts w:hint="eastAsia"/>
          <w:lang w:val="es-ES_tradnl"/>
        </w:rPr>
        <w:t>12%</w:t>
      </w:r>
      <w:r>
        <w:rPr>
          <w:rFonts w:hint="eastAsia"/>
          <w:lang w:val="es-ES_tradnl"/>
        </w:rPr>
        <w:t>表示要向家庭福利研究所求助。无论是男性还是女性受访者在这一问题上的选择比例大致相当，各城市的水平也类似。女性受害者第一倾向于向当地的社区家庭事务警局求助（</w:t>
      </w:r>
      <w:r>
        <w:rPr>
          <w:rFonts w:hint="eastAsia"/>
          <w:lang w:val="es-ES_tradnl"/>
        </w:rPr>
        <w:t>63%</w:t>
      </w:r>
      <w:r>
        <w:rPr>
          <w:rFonts w:hint="eastAsia"/>
          <w:lang w:val="es-ES_tradnl"/>
        </w:rPr>
        <w:t>），第二选择就是检察机关（</w:t>
      </w:r>
      <w:r>
        <w:rPr>
          <w:rFonts w:hint="eastAsia"/>
          <w:lang w:val="es-ES_tradnl"/>
        </w:rPr>
        <w:t>32%</w:t>
      </w:r>
      <w:r>
        <w:rPr>
          <w:rFonts w:hint="eastAsia"/>
          <w:lang w:val="es-ES_tradnl"/>
        </w:rPr>
        <w:t>），这两项都超出了一般水平（</w:t>
      </w:r>
      <w:r>
        <w:rPr>
          <w:rFonts w:hint="eastAsia"/>
          <w:lang w:val="es-ES_tradnl"/>
        </w:rPr>
        <w:t>25%</w:t>
      </w:r>
      <w:r>
        <w:rPr>
          <w:rFonts w:hint="eastAsia"/>
          <w:lang w:val="es-ES_tradnl"/>
        </w:rPr>
        <w:t>）。</w:t>
      </w:r>
    </w:p>
    <w:p w:rsidR="00A83775" w:rsidRDefault="00A83775">
      <w:pPr>
        <w:pStyle w:val="SingleTxtGC"/>
        <w:rPr>
          <w:lang w:val="es-ES"/>
        </w:rPr>
      </w:pPr>
      <w:r>
        <w:rPr>
          <w:lang w:val="es-ES"/>
        </w:rPr>
        <w:t xml:space="preserve">211.  </w:t>
      </w:r>
      <w:r>
        <w:rPr>
          <w:rFonts w:hint="eastAsia"/>
          <w:lang w:val="es-ES"/>
        </w:rPr>
        <w:t>针对公务员开展的调查中发现的一些积极迹象有：</w:t>
      </w:r>
    </w:p>
    <w:p w:rsidR="00A83775" w:rsidRDefault="00A83775">
      <w:pPr>
        <w:pStyle w:val="SingleTxtGC"/>
        <w:numPr>
          <w:ilvl w:val="0"/>
          <w:numId w:val="35"/>
        </w:numPr>
        <w:rPr>
          <w:lang w:val="es-ES_tradnl"/>
        </w:rPr>
      </w:pPr>
      <w:r>
        <w:rPr>
          <w:rFonts w:hint="eastAsia"/>
          <w:lang w:val="es-ES_tradnl"/>
        </w:rPr>
        <w:t>96%</w:t>
      </w:r>
      <w:r>
        <w:rPr>
          <w:rFonts w:hint="eastAsia"/>
          <w:lang w:val="es-ES_tradnl"/>
        </w:rPr>
        <w:t>接受调查的公职人员不同意由男性主导何时和如何发生性行为；</w:t>
      </w:r>
    </w:p>
    <w:p w:rsidR="00A83775" w:rsidRDefault="00A83775">
      <w:pPr>
        <w:pStyle w:val="SingleTxtGC"/>
        <w:numPr>
          <w:ilvl w:val="0"/>
          <w:numId w:val="35"/>
        </w:numPr>
        <w:rPr>
          <w:lang w:val="es-ES_tradnl"/>
        </w:rPr>
      </w:pPr>
      <w:r>
        <w:rPr>
          <w:rFonts w:hint="eastAsia"/>
          <w:lang w:val="es-ES_tradnl"/>
        </w:rPr>
        <w:t>只有</w:t>
      </w:r>
      <w:r>
        <w:rPr>
          <w:rFonts w:hint="eastAsia"/>
          <w:lang w:val="es-ES_tradnl"/>
        </w:rPr>
        <w:t>1%</w:t>
      </w:r>
      <w:r>
        <w:rPr>
          <w:rFonts w:hint="eastAsia"/>
          <w:lang w:val="es-ES_tradnl"/>
        </w:rPr>
        <w:t>的受访公职人员认同女性最重要的作用就是照料家庭和做饭烧菜这一观点；</w:t>
      </w:r>
    </w:p>
    <w:p w:rsidR="00A83775" w:rsidRDefault="00A83775">
      <w:pPr>
        <w:pStyle w:val="SingleTxtGC"/>
        <w:numPr>
          <w:ilvl w:val="0"/>
          <w:numId w:val="35"/>
        </w:numPr>
        <w:rPr>
          <w:rFonts w:hint="eastAsia"/>
          <w:lang w:val="es-ES_tradnl"/>
        </w:rPr>
      </w:pPr>
      <w:r>
        <w:rPr>
          <w:rFonts w:hint="eastAsia"/>
          <w:lang w:val="es-ES_tradnl"/>
        </w:rPr>
        <w:t>10</w:t>
      </w:r>
      <w:r>
        <w:rPr>
          <w:rFonts w:hint="eastAsia"/>
          <w:lang w:val="es-ES_tradnl"/>
        </w:rPr>
        <w:t>个受访对象中有</w:t>
      </w:r>
      <w:r>
        <w:rPr>
          <w:rFonts w:hint="eastAsia"/>
          <w:lang w:val="es-ES_tradnl"/>
        </w:rPr>
        <w:t>8</w:t>
      </w:r>
      <w:r>
        <w:rPr>
          <w:rFonts w:hint="eastAsia"/>
          <w:lang w:val="es-ES_tradnl"/>
        </w:rPr>
        <w:t>个认为在遭受摸臀或袭胸骚扰时应向主管部门报案；</w:t>
      </w:r>
    </w:p>
    <w:p w:rsidR="00A83775" w:rsidRDefault="00A83775">
      <w:pPr>
        <w:pStyle w:val="SingleTxtGC"/>
        <w:numPr>
          <w:ilvl w:val="0"/>
          <w:numId w:val="35"/>
        </w:numPr>
        <w:rPr>
          <w:rFonts w:hint="eastAsia"/>
          <w:lang w:val="es-ES_tradnl"/>
        </w:rPr>
      </w:pPr>
      <w:r>
        <w:rPr>
          <w:rFonts w:hint="eastAsia"/>
          <w:lang w:val="es-ES_tradnl"/>
        </w:rPr>
        <w:t>在调查对基于性别原因的暴力行为这一话题的认知度方面，</w:t>
      </w:r>
      <w:r>
        <w:rPr>
          <w:rFonts w:hint="eastAsia"/>
          <w:lang w:val="es-ES_tradnl"/>
        </w:rPr>
        <w:t>96%</w:t>
      </w:r>
      <w:r>
        <w:rPr>
          <w:rFonts w:hint="eastAsia"/>
          <w:lang w:val="es-ES_tradnl"/>
        </w:rPr>
        <w:t>的受访者表示对此高度重视或一般重视。</w:t>
      </w:r>
    </w:p>
    <w:p w:rsidR="00A83775" w:rsidRDefault="00A83775">
      <w:pPr>
        <w:pStyle w:val="SingleTxtGC"/>
        <w:rPr>
          <w:lang w:val="es-ES"/>
        </w:rPr>
      </w:pPr>
      <w:r>
        <w:rPr>
          <w:lang w:val="es-ES"/>
        </w:rPr>
        <w:t xml:space="preserve">212.  </w:t>
      </w:r>
      <w:r>
        <w:rPr>
          <w:rFonts w:hint="eastAsia"/>
          <w:lang w:val="es-ES"/>
        </w:rPr>
        <w:t>针对公务员开展的调查中发现的一些令人担忧的迹象有：</w:t>
      </w:r>
    </w:p>
    <w:p w:rsidR="00A83775" w:rsidRDefault="00A83775">
      <w:pPr>
        <w:pStyle w:val="SingleTxtGC"/>
        <w:numPr>
          <w:ilvl w:val="0"/>
          <w:numId w:val="36"/>
        </w:numPr>
        <w:rPr>
          <w:lang w:val="es-ES_tradnl"/>
        </w:rPr>
      </w:pPr>
      <w:r>
        <w:rPr>
          <w:rFonts w:hint="eastAsia"/>
          <w:lang w:val="es-ES_tradnl"/>
        </w:rPr>
        <w:t>每</w:t>
      </w:r>
      <w:r>
        <w:rPr>
          <w:rFonts w:hint="eastAsia"/>
          <w:lang w:val="es-ES_tradnl"/>
        </w:rPr>
        <w:t>10</w:t>
      </w:r>
      <w:r>
        <w:rPr>
          <w:rFonts w:hint="eastAsia"/>
          <w:lang w:val="es-ES_tradnl"/>
        </w:rPr>
        <w:t>名受访公务员中就有</w:t>
      </w:r>
      <w:r>
        <w:rPr>
          <w:rFonts w:hint="eastAsia"/>
          <w:lang w:val="es-ES_tradnl"/>
        </w:rPr>
        <w:t>2</w:t>
      </w:r>
      <w:r>
        <w:rPr>
          <w:rFonts w:hint="eastAsia"/>
          <w:lang w:val="es-ES_tradnl"/>
        </w:rPr>
        <w:t>名认为妇女在遭到其配偶虐打后仍与其在一起是因为她们有受虐癖。每</w:t>
      </w:r>
      <w:r>
        <w:rPr>
          <w:rFonts w:hint="eastAsia"/>
          <w:lang w:val="es-ES_tradnl"/>
        </w:rPr>
        <w:t>10</w:t>
      </w:r>
      <w:r>
        <w:rPr>
          <w:rFonts w:hint="eastAsia"/>
          <w:lang w:val="es-ES_tradnl"/>
        </w:rPr>
        <w:t>名受访公务员中有</w:t>
      </w:r>
      <w:r>
        <w:rPr>
          <w:rFonts w:hint="eastAsia"/>
          <w:lang w:val="es-ES_tradnl"/>
        </w:rPr>
        <w:t>2</w:t>
      </w:r>
      <w:r>
        <w:rPr>
          <w:rFonts w:hint="eastAsia"/>
          <w:lang w:val="es-ES_tradnl"/>
        </w:rPr>
        <w:t>名认为女性穿着暴露是一种对施暴者的挑逗行为；</w:t>
      </w:r>
    </w:p>
    <w:p w:rsidR="00A83775" w:rsidRDefault="00A83775">
      <w:pPr>
        <w:pStyle w:val="SingleTxtGC"/>
        <w:numPr>
          <w:ilvl w:val="0"/>
          <w:numId w:val="36"/>
        </w:numPr>
        <w:rPr>
          <w:lang w:val="es-ES_tradnl"/>
        </w:rPr>
      </w:pPr>
      <w:r>
        <w:rPr>
          <w:rFonts w:hint="eastAsia"/>
          <w:lang w:val="es-ES_tradnl"/>
        </w:rPr>
        <w:t>受访公务员中，每</w:t>
      </w:r>
      <w:r>
        <w:rPr>
          <w:rFonts w:hint="eastAsia"/>
          <w:lang w:val="es-ES_tradnl"/>
        </w:rPr>
        <w:t>10</w:t>
      </w:r>
      <w:r>
        <w:rPr>
          <w:rFonts w:hint="eastAsia"/>
          <w:lang w:val="es-ES_tradnl"/>
        </w:rPr>
        <w:t>名女性中有</w:t>
      </w:r>
      <w:r>
        <w:rPr>
          <w:rFonts w:hint="eastAsia"/>
          <w:lang w:val="es-ES_tradnl"/>
        </w:rPr>
        <w:t>1.2</w:t>
      </w:r>
      <w:r>
        <w:rPr>
          <w:rFonts w:hint="eastAsia"/>
          <w:lang w:val="es-ES_tradnl"/>
        </w:rPr>
        <w:t>人，每</w:t>
      </w:r>
      <w:r>
        <w:rPr>
          <w:rFonts w:hint="eastAsia"/>
          <w:lang w:val="es-ES_tradnl"/>
        </w:rPr>
        <w:t>10</w:t>
      </w:r>
      <w:r>
        <w:rPr>
          <w:rFonts w:hint="eastAsia"/>
          <w:lang w:val="es-ES_tradnl"/>
        </w:rPr>
        <w:t>名男性中有</w:t>
      </w:r>
      <w:r>
        <w:rPr>
          <w:rFonts w:hint="eastAsia"/>
          <w:lang w:val="es-ES_tradnl"/>
        </w:rPr>
        <w:t>2.3</w:t>
      </w:r>
      <w:r>
        <w:rPr>
          <w:rFonts w:hint="eastAsia"/>
          <w:lang w:val="es-ES_tradnl"/>
        </w:rPr>
        <w:t>人认为暴力之所以产生是因为男性通过这种方式获得尊重；</w:t>
      </w:r>
    </w:p>
    <w:p w:rsidR="00A83775" w:rsidRDefault="00A83775">
      <w:pPr>
        <w:pStyle w:val="SingleTxtGC"/>
        <w:numPr>
          <w:ilvl w:val="0"/>
          <w:numId w:val="36"/>
        </w:numPr>
        <w:rPr>
          <w:rFonts w:hint="eastAsia"/>
          <w:webHidden/>
          <w:lang w:val="es-ES_tradnl"/>
        </w:rPr>
      </w:pPr>
      <w:r>
        <w:rPr>
          <w:rFonts w:hint="eastAsia"/>
          <w:webHidden/>
          <w:lang w:val="es-ES_tradnl"/>
        </w:rPr>
        <w:t>每</w:t>
      </w:r>
      <w:r>
        <w:rPr>
          <w:rFonts w:hint="eastAsia"/>
          <w:webHidden/>
          <w:lang w:val="es-ES_tradnl"/>
        </w:rPr>
        <w:t>10</w:t>
      </w:r>
      <w:r>
        <w:rPr>
          <w:rFonts w:hint="eastAsia"/>
          <w:webHidden/>
          <w:lang w:val="es-ES_tradnl"/>
        </w:rPr>
        <w:t>名受访者中有</w:t>
      </w:r>
      <w:r>
        <w:rPr>
          <w:rFonts w:hint="eastAsia"/>
          <w:webHidden/>
          <w:lang w:val="es-ES_tradnl"/>
        </w:rPr>
        <w:t>6</w:t>
      </w:r>
      <w:r>
        <w:rPr>
          <w:rFonts w:hint="eastAsia"/>
          <w:webHidden/>
          <w:lang w:val="es-ES_tradnl"/>
        </w:rPr>
        <w:t>人认为保留侵害妇女行为在贫穷落后地区更为常见；</w:t>
      </w:r>
    </w:p>
    <w:p w:rsidR="00A83775" w:rsidRDefault="00A83775">
      <w:pPr>
        <w:pStyle w:val="SingleTxtGC"/>
        <w:numPr>
          <w:ilvl w:val="0"/>
          <w:numId w:val="36"/>
        </w:numPr>
        <w:rPr>
          <w:lang w:val="es-ES_tradnl"/>
        </w:rPr>
      </w:pPr>
      <w:r>
        <w:rPr>
          <w:rFonts w:hint="eastAsia"/>
          <w:webHidden/>
          <w:lang w:val="es-ES_tradnl"/>
        </w:rPr>
        <w:t>每</w:t>
      </w:r>
      <w:r>
        <w:rPr>
          <w:rFonts w:hint="eastAsia"/>
          <w:webHidden/>
          <w:lang w:val="es-ES_tradnl"/>
        </w:rPr>
        <w:t>10</w:t>
      </w:r>
      <w:r>
        <w:rPr>
          <w:rFonts w:hint="eastAsia"/>
          <w:webHidden/>
          <w:lang w:val="es-ES_tradnl"/>
        </w:rPr>
        <w:t>名受访者中有</w:t>
      </w:r>
      <w:r>
        <w:rPr>
          <w:rFonts w:hint="eastAsia"/>
          <w:webHidden/>
          <w:lang w:val="es-ES_tradnl"/>
        </w:rPr>
        <w:t>5</w:t>
      </w:r>
      <w:r>
        <w:rPr>
          <w:rFonts w:hint="eastAsia"/>
          <w:webHidden/>
          <w:lang w:val="es-ES_tradnl"/>
        </w:rPr>
        <w:t>人认同家庭问题只应该与家庭成员讨论这一点；</w:t>
      </w:r>
    </w:p>
    <w:p w:rsidR="00A83775" w:rsidRDefault="00A83775">
      <w:pPr>
        <w:pStyle w:val="SingleTxtGC"/>
        <w:numPr>
          <w:ilvl w:val="0"/>
          <w:numId w:val="36"/>
        </w:numPr>
        <w:rPr>
          <w:lang w:val="es-ES_tradnl"/>
        </w:rPr>
      </w:pPr>
      <w:r>
        <w:rPr>
          <w:rFonts w:hint="eastAsia"/>
          <w:webHidden/>
          <w:lang w:val="es-ES_tradnl"/>
        </w:rPr>
        <w:t>每</w:t>
      </w:r>
      <w:r>
        <w:rPr>
          <w:rFonts w:hint="eastAsia"/>
          <w:webHidden/>
          <w:lang w:val="es-ES_tradnl"/>
        </w:rPr>
        <w:t>10</w:t>
      </w:r>
      <w:r>
        <w:rPr>
          <w:rFonts w:hint="eastAsia"/>
          <w:webHidden/>
          <w:lang w:val="es-ES_tradnl"/>
        </w:rPr>
        <w:t>名受访者中有</w:t>
      </w:r>
      <w:r>
        <w:rPr>
          <w:rFonts w:hint="eastAsia"/>
          <w:webHidden/>
          <w:lang w:val="es-ES_tradnl"/>
        </w:rPr>
        <w:t>9.4</w:t>
      </w:r>
      <w:r>
        <w:rPr>
          <w:rFonts w:hint="eastAsia"/>
          <w:webHidden/>
          <w:lang w:val="es-ES_tradnl"/>
        </w:rPr>
        <w:t>人表示一旦夫妻之间发生暴力事件，应当努力达成双方的和解，在这一点上，</w:t>
      </w:r>
      <w:r>
        <w:rPr>
          <w:rFonts w:hint="eastAsia"/>
          <w:webHidden/>
          <w:lang w:val="es-ES_tradnl"/>
        </w:rPr>
        <w:t>10</w:t>
      </w:r>
      <w:r>
        <w:rPr>
          <w:rFonts w:hint="eastAsia"/>
          <w:webHidden/>
          <w:lang w:val="es-ES_tradnl"/>
        </w:rPr>
        <w:t>人中有</w:t>
      </w:r>
      <w:r>
        <w:rPr>
          <w:rFonts w:hint="eastAsia"/>
          <w:webHidden/>
          <w:lang w:val="es-ES_tradnl"/>
        </w:rPr>
        <w:t>8</w:t>
      </w:r>
      <w:r>
        <w:rPr>
          <w:rFonts w:hint="eastAsia"/>
          <w:webHidden/>
          <w:lang w:val="es-ES_tradnl"/>
        </w:rPr>
        <w:t>人认为家庭完整重于一切，因此最好的解决途径就是和解。</w:t>
      </w:r>
    </w:p>
    <w:p w:rsidR="00A83775" w:rsidRDefault="00A83775">
      <w:pPr>
        <w:pStyle w:val="H23GC"/>
        <w:rPr>
          <w:lang w:val="es-ES"/>
        </w:rPr>
      </w:pPr>
      <w:r>
        <w:rPr>
          <w:lang w:val="es-ES"/>
        </w:rPr>
        <w:tab/>
        <w:t>5.</w:t>
      </w:r>
      <w:r>
        <w:rPr>
          <w:lang w:val="es-ES"/>
        </w:rPr>
        <w:tab/>
      </w:r>
      <w:r>
        <w:rPr>
          <w:rFonts w:hint="eastAsia"/>
          <w:lang w:val="en-GB"/>
        </w:rPr>
        <w:t>新出台或持续推行的措施</w:t>
      </w:r>
    </w:p>
    <w:p w:rsidR="00A83775" w:rsidRDefault="00A83775">
      <w:pPr>
        <w:pStyle w:val="SingleTxtGC"/>
        <w:rPr>
          <w:bCs/>
          <w:u w:val="single"/>
          <w:lang w:val="es-ES"/>
        </w:rPr>
      </w:pPr>
      <w:r>
        <w:rPr>
          <w:bCs/>
          <w:lang w:val="es-ES"/>
        </w:rPr>
        <w:t xml:space="preserve">213.  </w:t>
      </w:r>
      <w:r>
        <w:rPr>
          <w:rFonts w:hint="eastAsia"/>
          <w:bCs/>
          <w:lang w:val="es-ES"/>
        </w:rPr>
        <w:t>在</w:t>
      </w:r>
      <w:r>
        <w:rPr>
          <w:rFonts w:hint="eastAsia"/>
          <w:lang w:val="en-GB"/>
        </w:rPr>
        <w:t>国家赔偿与和解委员会开展的工作方面，委员会计划在</w:t>
      </w:r>
      <w:r>
        <w:rPr>
          <w:rFonts w:hint="eastAsia"/>
          <w:lang w:val="en-GB"/>
        </w:rPr>
        <w:t>2011</w:t>
      </w:r>
      <w:r>
        <w:rPr>
          <w:rFonts w:hint="eastAsia"/>
          <w:lang w:val="en-GB"/>
        </w:rPr>
        <w:t>年</w:t>
      </w:r>
      <w:r>
        <w:rPr>
          <w:rFonts w:hint="eastAsia"/>
          <w:lang w:val="en-GB"/>
        </w:rPr>
        <w:t>9</w:t>
      </w:r>
      <w:r>
        <w:rPr>
          <w:rFonts w:hint="eastAsia"/>
          <w:lang w:val="en-GB"/>
        </w:rPr>
        <w:t>月提交加勒比海岸历史回忆和性别问题报告，并在其法定任期届满前提交和解委员会历史回顾最终报告。</w:t>
      </w:r>
      <w:r>
        <w:rPr>
          <w:rFonts w:hint="eastAsia"/>
          <w:lang w:val="en-GB"/>
        </w:rPr>
        <w:t>2011</w:t>
      </w:r>
      <w:r>
        <w:rPr>
          <w:rFonts w:hint="eastAsia"/>
          <w:lang w:val="en-GB"/>
        </w:rPr>
        <w:t>年期间，针对有关部门推进实施了一项培训和社会化程序，并出版了《</w:t>
      </w:r>
      <w:r>
        <w:rPr>
          <w:rFonts w:hint="eastAsia"/>
          <w:lang w:val="es-ES"/>
        </w:rPr>
        <w:t>关于在武装冲突中性别暴力妇女案例归档成文和受害者帮助指导手册</w:t>
      </w:r>
      <w:r>
        <w:rPr>
          <w:rFonts w:hint="eastAsia"/>
          <w:lang w:val="en-GB"/>
        </w:rPr>
        <w:t>》</w:t>
      </w:r>
      <w:r>
        <w:rPr>
          <w:rFonts w:hint="eastAsia"/>
          <w:bCs/>
          <w:lang w:val="es-ES"/>
        </w:rPr>
        <w:t>，目的是使有关部门有能力对基于性别原因的暴力行为的受害妇女给予适当照顾并保护其尊严体面。</w:t>
      </w:r>
    </w:p>
    <w:p w:rsidR="00A83775" w:rsidRDefault="00A83775">
      <w:pPr>
        <w:pStyle w:val="SingleTxtGC"/>
        <w:rPr>
          <w:bCs/>
          <w:lang w:val="es-ES"/>
        </w:rPr>
      </w:pPr>
      <w:r>
        <w:rPr>
          <w:bCs/>
          <w:lang w:val="es-ES"/>
        </w:rPr>
        <w:t xml:space="preserve">214.  </w:t>
      </w:r>
      <w:r>
        <w:rPr>
          <w:rFonts w:hint="eastAsia"/>
          <w:bCs/>
          <w:lang w:val="es-ES"/>
        </w:rPr>
        <w:t>在</w:t>
      </w:r>
      <w:r>
        <w:rPr>
          <w:rFonts w:hint="eastAsia"/>
          <w:lang w:val="zh-CN"/>
        </w:rPr>
        <w:t>关于</w:t>
      </w:r>
      <w:r>
        <w:rPr>
          <w:rFonts w:hint="eastAsia"/>
          <w:bCs/>
          <w:lang w:val="es-ES"/>
        </w:rPr>
        <w:t>前文提到的机构容忍度调查方面，</w:t>
      </w:r>
      <w:r>
        <w:rPr>
          <w:rFonts w:hint="eastAsia"/>
          <w:lang w:val="en-GB"/>
        </w:rPr>
        <w:t>全面打击基于性别原因的暴力行为方案</w:t>
      </w:r>
      <w:r>
        <w:rPr>
          <w:rFonts w:hint="eastAsia"/>
          <w:bCs/>
          <w:lang w:val="es-ES"/>
        </w:rPr>
        <w:t>组开展了以下行动：</w:t>
      </w:r>
    </w:p>
    <w:p w:rsidR="00A83775" w:rsidRDefault="00A83775">
      <w:pPr>
        <w:pStyle w:val="SingleTxtGC"/>
        <w:numPr>
          <w:ilvl w:val="0"/>
          <w:numId w:val="37"/>
        </w:numPr>
        <w:rPr>
          <w:lang w:val="es-ES"/>
        </w:rPr>
      </w:pPr>
      <w:r>
        <w:rPr>
          <w:rFonts w:hint="eastAsia"/>
          <w:lang w:val="es-ES"/>
        </w:rPr>
        <w:t>在方案推行地区对调查结果进行了发布和宣传，并要求地方主管部门、社会组织、妇女组织、地方学术机构和研究机构都参与这一工作；</w:t>
      </w:r>
    </w:p>
    <w:p w:rsidR="00A83775" w:rsidRDefault="00A83775">
      <w:pPr>
        <w:pStyle w:val="SingleTxtGC"/>
        <w:numPr>
          <w:ilvl w:val="0"/>
          <w:numId w:val="37"/>
        </w:numPr>
        <w:rPr>
          <w:lang w:val="es-ES"/>
        </w:rPr>
      </w:pPr>
      <w:r>
        <w:rPr>
          <w:rFonts w:hint="eastAsia"/>
          <w:lang w:val="es-ES"/>
        </w:rPr>
        <w:t>与国家总检察长办公室合作，向其公务员分发相应文件并确定工作方针，让相关部门遵照这一方针，根据调查结果开展相应活动；</w:t>
      </w:r>
    </w:p>
    <w:p w:rsidR="00A83775" w:rsidRDefault="00A83775">
      <w:pPr>
        <w:pStyle w:val="SingleTxtGC"/>
        <w:numPr>
          <w:ilvl w:val="0"/>
          <w:numId w:val="37"/>
        </w:numPr>
        <w:rPr>
          <w:lang w:val="es-ES"/>
        </w:rPr>
      </w:pPr>
      <w:r>
        <w:rPr>
          <w:rFonts w:hint="eastAsia"/>
          <w:lang w:val="es-ES"/>
        </w:rPr>
        <w:t>制定工作基线，以分析从文化观点上转变基于性别原因的暴力行为，这是方案组实施干预的产物。</w:t>
      </w:r>
    </w:p>
    <w:p w:rsidR="00A83775" w:rsidRDefault="00A83775">
      <w:pPr>
        <w:pStyle w:val="H1GC"/>
        <w:rPr>
          <w:rFonts w:hint="eastAsia"/>
          <w:lang w:val="es-ES"/>
        </w:rPr>
      </w:pPr>
      <w:r>
        <w:rPr>
          <w:lang w:val="es-ES"/>
        </w:rPr>
        <w:tab/>
        <w:t>E.</w:t>
      </w:r>
      <w:r>
        <w:rPr>
          <w:lang w:val="es-ES"/>
        </w:rPr>
        <w:tab/>
      </w:r>
      <w:r>
        <w:rPr>
          <w:rFonts w:hint="eastAsia"/>
          <w:lang w:val="es-ES"/>
        </w:rPr>
        <w:t>第六条</w:t>
      </w:r>
    </w:p>
    <w:p w:rsidR="00A83775" w:rsidRDefault="00A83775">
      <w:pPr>
        <w:pStyle w:val="SingleTxtGC"/>
        <w:rPr>
          <w:lang w:val="es-ES"/>
        </w:rPr>
      </w:pPr>
      <w:r>
        <w:rPr>
          <w:lang w:val="es-ES"/>
        </w:rPr>
        <w:t xml:space="preserve">215.  </w:t>
      </w:r>
      <w:r>
        <w:rPr>
          <w:rFonts w:hint="eastAsia"/>
          <w:lang w:val="es-ES"/>
        </w:rPr>
        <w:t>与委员会向哥伦比亚提出的具体建议（</w:t>
      </w:r>
      <w:r>
        <w:rPr>
          <w:lang w:val="es-ES"/>
        </w:rPr>
        <w:t>CEDAW/C/COL/CO/6</w:t>
      </w:r>
      <w:r>
        <w:rPr>
          <w:rFonts w:hint="eastAsia"/>
          <w:lang w:val="es-ES"/>
        </w:rPr>
        <w:t>，第</w:t>
      </w:r>
      <w:r>
        <w:rPr>
          <w:rFonts w:hint="eastAsia"/>
          <w:lang w:val="es-ES"/>
        </w:rPr>
        <w:t>21</w:t>
      </w:r>
      <w:r>
        <w:rPr>
          <w:rFonts w:hint="eastAsia"/>
          <w:lang w:val="es-ES"/>
        </w:rPr>
        <w:t>段）及委员会第</w:t>
      </w:r>
      <w:r>
        <w:rPr>
          <w:rFonts w:hint="eastAsia"/>
          <w:lang w:val="es-ES"/>
        </w:rPr>
        <w:t>15</w:t>
      </w:r>
      <w:r>
        <w:rPr>
          <w:rFonts w:hint="eastAsia"/>
          <w:lang w:val="es-ES"/>
        </w:rPr>
        <w:t>和</w:t>
      </w:r>
      <w:r>
        <w:rPr>
          <w:rFonts w:hint="eastAsia"/>
          <w:lang w:val="es-ES"/>
        </w:rPr>
        <w:t>19</w:t>
      </w:r>
      <w:r>
        <w:rPr>
          <w:rFonts w:hint="eastAsia"/>
          <w:lang w:val="es-ES"/>
        </w:rPr>
        <w:t>号一般性建议有关。</w:t>
      </w:r>
    </w:p>
    <w:p w:rsidR="00A83775" w:rsidRDefault="00A83775">
      <w:pPr>
        <w:pStyle w:val="H23GC"/>
        <w:rPr>
          <w:lang w:val="es-ES"/>
        </w:rPr>
      </w:pPr>
      <w:r>
        <w:rPr>
          <w:lang w:val="es-ES"/>
        </w:rPr>
        <w:tab/>
        <w:t>1.</w:t>
      </w:r>
      <w:r>
        <w:rPr>
          <w:lang w:val="es-ES"/>
        </w:rPr>
        <w:tab/>
      </w:r>
      <w:r>
        <w:rPr>
          <w:rFonts w:hint="eastAsia"/>
          <w:lang w:val="es-ES"/>
        </w:rPr>
        <w:t>行政措施</w:t>
      </w:r>
    </w:p>
    <w:p w:rsidR="00A83775" w:rsidRDefault="00A83775">
      <w:pPr>
        <w:pStyle w:val="H23GC"/>
        <w:rPr>
          <w:rFonts w:hint="eastAsia"/>
          <w:lang w:val="es-ES"/>
        </w:rPr>
      </w:pPr>
      <w:r>
        <w:rPr>
          <w:lang w:val="es-ES"/>
        </w:rPr>
        <w:tab/>
      </w:r>
      <w:r>
        <w:rPr>
          <w:lang w:val="es-ES"/>
        </w:rPr>
        <w:tab/>
      </w:r>
      <w:r>
        <w:rPr>
          <w:rFonts w:hint="eastAsia"/>
          <w:lang w:val="es-ES"/>
        </w:rPr>
        <w:t>打击人口贩运国家战略（</w:t>
      </w:r>
      <w:r>
        <w:rPr>
          <w:lang w:val="es-ES"/>
        </w:rPr>
        <w:t>2007-2012</w:t>
      </w:r>
      <w:r>
        <w:rPr>
          <w:rFonts w:hint="eastAsia"/>
          <w:lang w:val="es-ES"/>
        </w:rPr>
        <w:t>年）</w:t>
      </w:r>
    </w:p>
    <w:p w:rsidR="00A83775" w:rsidRDefault="00A83775">
      <w:pPr>
        <w:pStyle w:val="SingleTxtGC"/>
        <w:rPr>
          <w:lang w:val="zh-CN"/>
        </w:rPr>
      </w:pPr>
      <w:r>
        <w:rPr>
          <w:lang w:val="es-ES"/>
        </w:rPr>
        <w:t xml:space="preserve">216.  </w:t>
      </w:r>
      <w:r>
        <w:rPr>
          <w:rFonts w:hint="eastAsia"/>
          <w:lang w:val="es-ES"/>
        </w:rPr>
        <w:t>这一国家战略是依据</w:t>
      </w:r>
      <w:r>
        <w:rPr>
          <w:rFonts w:hint="eastAsia"/>
          <w:lang w:val="es-ES"/>
        </w:rPr>
        <w:t>2008</w:t>
      </w:r>
      <w:r>
        <w:rPr>
          <w:rFonts w:hint="eastAsia"/>
          <w:lang w:val="es-ES"/>
        </w:rPr>
        <w:t>年的第</w:t>
      </w:r>
      <w:r>
        <w:rPr>
          <w:rFonts w:hint="eastAsia"/>
          <w:lang w:val="es-ES"/>
        </w:rPr>
        <w:t>4786</w:t>
      </w:r>
      <w:r>
        <w:rPr>
          <w:rFonts w:hint="eastAsia"/>
          <w:lang w:val="es-ES"/>
        </w:rPr>
        <w:t>号法令实施的，其目的是从人权、性别、全</w:t>
      </w:r>
      <w:r>
        <w:rPr>
          <w:rFonts w:hint="eastAsia"/>
          <w:lang w:val="zh-CN"/>
        </w:rPr>
        <w:t>面保护和地区保护的角度实施旨在打击境内和境外人口贩运的国家政策并减少此类现象。</w:t>
      </w:r>
    </w:p>
    <w:p w:rsidR="00A83775" w:rsidRDefault="00A83775">
      <w:pPr>
        <w:pStyle w:val="SingleTxtGC"/>
        <w:rPr>
          <w:iCs/>
          <w:lang w:val="es-CO"/>
        </w:rPr>
      </w:pPr>
      <w:r>
        <w:rPr>
          <w:lang w:val="zh-CN"/>
        </w:rPr>
        <w:t xml:space="preserve">217.  </w:t>
      </w:r>
      <w:r>
        <w:rPr>
          <w:rFonts w:hint="eastAsia"/>
          <w:lang w:val="zh-CN"/>
        </w:rPr>
        <w:t>这一国家战略所开展的行动分为四条主线：预防：旨在通过实施各类方案、项目和措施预防人口贩运活动，这些活动是由公共当局在民间社会组织和私人部门以及国际组织的通力配合下开展实施的；救助和保护：确保对人口贩运活动的受害者给予高质量的全面救助和保护，在行政系统、侦察系统和司法系统内部开发各类全</w:t>
      </w:r>
      <w:r>
        <w:rPr>
          <w:rFonts w:hint="eastAsia"/>
          <w:lang w:val="es-ES"/>
        </w:rPr>
        <w:t>面保护机制；国际合作：强化双边、地区和多边国际合作机制，以优化开展打击人口贩运活动的工作；及加强负责侦查和审判人口贩运罪行的国家机关的能力，以便更为迅捷高效地对这一犯罪行为进行追查和惩治。</w:t>
      </w:r>
    </w:p>
    <w:p w:rsidR="00A83775" w:rsidRDefault="00A83775">
      <w:pPr>
        <w:pStyle w:val="SingleTxtGC"/>
        <w:rPr>
          <w:lang w:val="zh-CN"/>
        </w:rPr>
      </w:pPr>
      <w:r>
        <w:rPr>
          <w:iCs/>
          <w:lang w:val="es-CO"/>
        </w:rPr>
        <w:t xml:space="preserve">218.  </w:t>
      </w:r>
      <w:r>
        <w:rPr>
          <w:rFonts w:hint="eastAsia"/>
          <w:iCs/>
          <w:lang w:val="es-CO"/>
        </w:rPr>
        <w:t>这一国家战略的中央主管机关为其机构间委员会，负责颁布适用于全国境内各</w:t>
      </w:r>
      <w:r>
        <w:rPr>
          <w:rFonts w:hint="eastAsia"/>
          <w:lang w:val="zh-CN"/>
        </w:rPr>
        <w:t>领域和各部门的总体规定。从其本质上看，委员会颁布的规定需要在地方上落实，即通过地方负责打击人口贩运活动的分管委员会来具体实施，这些地方分管委员会有权因地制宜做出必要调整，以符合当地的地域特性和人口特性。</w:t>
      </w:r>
    </w:p>
    <w:p w:rsidR="00A83775" w:rsidRDefault="00A83775">
      <w:pPr>
        <w:pStyle w:val="SingleTxtGC"/>
        <w:rPr>
          <w:lang w:val="es-CO"/>
        </w:rPr>
      </w:pPr>
      <w:r>
        <w:rPr>
          <w:lang w:val="zh-CN"/>
        </w:rPr>
        <w:t xml:space="preserve">219.  </w:t>
      </w:r>
      <w:r>
        <w:rPr>
          <w:rFonts w:hint="eastAsia"/>
          <w:lang w:val="zh-CN"/>
        </w:rPr>
        <w:t>如果受害者是男童、女童或青少年时，为保障其权利，在办案过程中需要其他有关部门的参与合作，哥伦比亚家庭福利研究所就参与了省级和市级打击人口贩运委员会的工作。同样还推进执行和落实了《</w:t>
      </w:r>
      <w:r>
        <w:rPr>
          <w:rFonts w:hint="eastAsia"/>
          <w:lang w:val="zh-CN"/>
        </w:rPr>
        <w:t>2008-2015</w:t>
      </w:r>
      <w:r>
        <w:rPr>
          <w:rFonts w:hint="eastAsia"/>
          <w:lang w:val="zh-CN"/>
        </w:rPr>
        <w:t>年预防和根除最恶劣形式的童</w:t>
      </w:r>
      <w:r>
        <w:rPr>
          <w:rFonts w:hint="eastAsia"/>
          <w:lang w:val="es-CO"/>
        </w:rPr>
        <w:t>工劳动及保护青年劳工国家战略》和《预防和根除对未满</w:t>
      </w:r>
      <w:r>
        <w:rPr>
          <w:rFonts w:hint="eastAsia"/>
          <w:lang w:val="es-CO"/>
        </w:rPr>
        <w:t>18</w:t>
      </w:r>
      <w:r>
        <w:rPr>
          <w:rFonts w:hint="eastAsia"/>
          <w:lang w:val="es-CO"/>
        </w:rPr>
        <w:t>岁的男童、女童和青少年的性剥削现象的国家行动计划》。</w:t>
      </w:r>
      <w:r>
        <w:rPr>
          <w:vertAlign w:val="superscript"/>
          <w:lang w:val="es-CO"/>
        </w:rPr>
        <w:footnoteReference w:id="109"/>
      </w:r>
      <w:r>
        <w:rPr>
          <w:lang w:val="es-CO"/>
        </w:rPr>
        <w:t xml:space="preserve"> </w:t>
      </w:r>
    </w:p>
    <w:p w:rsidR="00A83775" w:rsidRDefault="00A83775">
      <w:pPr>
        <w:pStyle w:val="SingleTxtGC"/>
        <w:rPr>
          <w:lang w:val="zh-CN"/>
        </w:rPr>
      </w:pPr>
      <w:r>
        <w:rPr>
          <w:lang w:val="es-ES"/>
        </w:rPr>
        <w:t xml:space="preserve">220.  </w:t>
      </w:r>
      <w:r>
        <w:rPr>
          <w:rFonts w:hint="eastAsia"/>
          <w:lang w:val="es-ES"/>
        </w:rPr>
        <w:t>在打击人口贩运活动机构间委员会框架内，就监督和控制工作问题，公民权利监察员办公室以直接或间接方式与其他有关部门合作开展了若干行动，目的是确保人口贩运活动受害妇女的权利得到尊重，这一工作与公民权利监察员办公室所</w:t>
      </w:r>
      <w:r>
        <w:rPr>
          <w:rFonts w:hint="eastAsia"/>
          <w:lang w:val="zh-CN"/>
        </w:rPr>
        <w:t>担负的司法救助职能并不冲突。而国家总检察长办公室则对有义务救助被贩卖妇女的有关部门的行动进行监督。</w:t>
      </w:r>
    </w:p>
    <w:p w:rsidR="00A83775" w:rsidRDefault="00A83775">
      <w:pPr>
        <w:pStyle w:val="SingleTxtGC"/>
        <w:rPr>
          <w:lang w:val="es-CO"/>
        </w:rPr>
      </w:pPr>
      <w:r>
        <w:rPr>
          <w:lang w:val="zh-CN"/>
        </w:rPr>
        <w:t xml:space="preserve">221.  </w:t>
      </w:r>
      <w:r>
        <w:rPr>
          <w:rFonts w:hint="eastAsia"/>
          <w:lang w:val="zh-CN"/>
        </w:rPr>
        <w:t>妇女平等事务总统高级顾问办公室，作为委员会的成员机构，将预防工作这一主线引入到了其在全国范围内开展的教育培训活动中，就人口贩运问题开展提高认识运动，同时也将这一主线引入到了对侵害妇女的暴力行为进行定性分类的预防模块中。在这方面，</w:t>
      </w:r>
      <w:r>
        <w:rPr>
          <w:rFonts w:hint="eastAsia"/>
          <w:lang w:val="zh-CN"/>
        </w:rPr>
        <w:t>2006</w:t>
      </w:r>
      <w:r>
        <w:rPr>
          <w:rFonts w:hint="eastAsia"/>
          <w:lang w:val="zh-CN"/>
        </w:rPr>
        <w:t>年委员会在国际移民组织的支持下在两性问题观察站第</w:t>
      </w:r>
      <w:r>
        <w:rPr>
          <w:rFonts w:hint="eastAsia"/>
          <w:lang w:val="zh-CN"/>
        </w:rPr>
        <w:t>7</w:t>
      </w:r>
      <w:r>
        <w:rPr>
          <w:rFonts w:hint="eastAsia"/>
          <w:lang w:val="es-ES"/>
        </w:rPr>
        <w:t>期公报了发表了名为“人口贩运如不得根除，奴隶制将继续存在”的文章，这一范本在全面打击基于性别原因的暴力行为方案组的支持下于</w:t>
      </w:r>
      <w:r>
        <w:rPr>
          <w:rFonts w:hint="eastAsia"/>
          <w:lang w:val="es-ES"/>
        </w:rPr>
        <w:t>2009</w:t>
      </w:r>
      <w:r>
        <w:rPr>
          <w:rFonts w:hint="eastAsia"/>
          <w:lang w:val="es-ES"/>
        </w:rPr>
        <w:t>年重印并在各类培训活动中进行分发</w:t>
      </w:r>
      <w:r>
        <w:rPr>
          <w:rFonts w:hint="eastAsia"/>
          <w:lang w:val="es-CO"/>
        </w:rPr>
        <w:t>。</w:t>
      </w:r>
      <w:r>
        <w:rPr>
          <w:vertAlign w:val="superscript"/>
          <w:lang w:val="es-CO"/>
        </w:rPr>
        <w:footnoteReference w:id="110"/>
      </w:r>
      <w:r>
        <w:rPr>
          <w:lang w:val="es-CO"/>
        </w:rPr>
        <w:t xml:space="preserve"> </w:t>
      </w:r>
    </w:p>
    <w:p w:rsidR="00A83775" w:rsidRDefault="00A83775">
      <w:pPr>
        <w:pStyle w:val="H23GC"/>
        <w:rPr>
          <w:lang w:val="es-CO"/>
        </w:rPr>
      </w:pPr>
      <w:r>
        <w:rPr>
          <w:lang w:val="es-CO"/>
        </w:rPr>
        <w:tab/>
      </w:r>
      <w:r>
        <w:rPr>
          <w:lang w:val="es-CO"/>
        </w:rPr>
        <w:tab/>
      </w:r>
      <w:r>
        <w:rPr>
          <w:rFonts w:hint="eastAsia"/>
          <w:lang w:val="es-CO"/>
        </w:rPr>
        <w:t>打击人口贩运活动信息中心，</w:t>
      </w:r>
      <w:r>
        <w:rPr>
          <w:lang w:val="es-CO"/>
        </w:rPr>
        <w:t>2008</w:t>
      </w:r>
      <w:r>
        <w:rPr>
          <w:rFonts w:hint="eastAsia"/>
          <w:lang w:val="es-CO"/>
        </w:rPr>
        <w:t>年</w:t>
      </w:r>
    </w:p>
    <w:p w:rsidR="00A83775" w:rsidRDefault="00A83775">
      <w:pPr>
        <w:pStyle w:val="SingleTxtGC"/>
        <w:rPr>
          <w:lang w:val="es-CO"/>
        </w:rPr>
      </w:pPr>
      <w:r>
        <w:rPr>
          <w:lang w:val="es-CO"/>
        </w:rPr>
        <w:t xml:space="preserve">222.  </w:t>
      </w:r>
      <w:r>
        <w:rPr>
          <w:rFonts w:hint="eastAsia"/>
          <w:lang w:val="es-CO"/>
        </w:rPr>
        <w:t>2008</w:t>
      </w:r>
      <w:r>
        <w:rPr>
          <w:rFonts w:hint="eastAsia"/>
          <w:lang w:val="es-CO"/>
        </w:rPr>
        <w:t>年成立了打击人口贩运活动信息中心（</w:t>
      </w:r>
      <w:r>
        <w:rPr>
          <w:rFonts w:hint="eastAsia"/>
          <w:lang w:val="es-CO"/>
        </w:rPr>
        <w:t>COAT</w:t>
      </w:r>
      <w:r>
        <w:rPr>
          <w:rFonts w:hint="eastAsia"/>
          <w:lang w:val="es-CO"/>
        </w:rPr>
        <w:t>），该中心被作为试点项目，其主旨就是采用人口贩运信息体系，生成相关统计信息，以便优化工作程序，同时以之作为基础来分析、设定这一国家战略所要达成的目标并对其落实情况进行评估。</w:t>
      </w:r>
    </w:p>
    <w:p w:rsidR="00A83775" w:rsidRDefault="00A83775">
      <w:pPr>
        <w:pStyle w:val="H23GC"/>
        <w:rPr>
          <w:lang w:val="es-ES"/>
        </w:rPr>
      </w:pPr>
      <w:r>
        <w:rPr>
          <w:lang w:val="es-ES"/>
        </w:rPr>
        <w:tab/>
      </w:r>
      <w:r>
        <w:rPr>
          <w:lang w:val="es-ES"/>
        </w:rPr>
        <w:tab/>
      </w:r>
      <w:r>
        <w:rPr>
          <w:rFonts w:hint="eastAsia"/>
          <w:lang w:val="es-ES"/>
        </w:rPr>
        <w:t>在地区层面、省级层面和</w:t>
      </w:r>
      <w:r>
        <w:rPr>
          <w:rFonts w:hint="eastAsia"/>
          <w:lang w:val="es-ES"/>
        </w:rPr>
        <w:t>/</w:t>
      </w:r>
      <w:r>
        <w:rPr>
          <w:rFonts w:hint="eastAsia"/>
          <w:lang w:val="es-ES"/>
        </w:rPr>
        <w:t>或市级层面设立工作委员会</w:t>
      </w:r>
    </w:p>
    <w:p w:rsidR="00A83775" w:rsidRDefault="00A83775">
      <w:pPr>
        <w:pStyle w:val="SingleTxtGC"/>
        <w:rPr>
          <w:lang w:val="es-CO"/>
        </w:rPr>
      </w:pPr>
      <w:r>
        <w:rPr>
          <w:lang w:val="es-ES"/>
        </w:rPr>
        <w:t xml:space="preserve">223.  </w:t>
      </w:r>
      <w:r>
        <w:rPr>
          <w:rFonts w:hint="eastAsia"/>
          <w:lang w:val="es-ES"/>
        </w:rPr>
        <w:t>在将这一公共政策落实到地方的战略开发工作中，由于一些省份或市镇引起自身的地理、社会和经济特性，使得工作开展的难度较大，或者说被定性为人口贩运受害者的来源地、中转地或目的地（某些地区同时具备这三项属性），因此有必要调整这一国家战略中设定的行动主线以便适应当地的地理和社会特</w:t>
      </w:r>
      <w:r>
        <w:rPr>
          <w:rFonts w:hint="eastAsia"/>
          <w:lang w:val="es-ES"/>
        </w:rPr>
        <w:t xml:space="preserve"> </w:t>
      </w:r>
      <w:r>
        <w:rPr>
          <w:rFonts w:hint="eastAsia"/>
          <w:lang w:val="es-ES"/>
        </w:rPr>
        <w:t>性。</w:t>
      </w:r>
      <w:r>
        <w:rPr>
          <w:iCs/>
          <w:vertAlign w:val="superscript"/>
          <w:lang w:val="es-CO"/>
        </w:rPr>
        <w:footnoteReference w:id="111"/>
      </w:r>
      <w:r>
        <w:rPr>
          <w:lang w:val="es-ES"/>
        </w:rPr>
        <w:t xml:space="preserve"> </w:t>
      </w:r>
      <w:r>
        <w:rPr>
          <w:rFonts w:hint="eastAsia"/>
          <w:lang w:val="zh-CN"/>
        </w:rPr>
        <w:t>内政</w:t>
      </w:r>
      <w:r>
        <w:rPr>
          <w:rFonts w:hint="eastAsia"/>
          <w:lang w:val="es-ES"/>
        </w:rPr>
        <w:t>和司法部已经对相应的地方当局开展了提高认识培训，以设立相应的省级委员会，当前已经在哥伦比亚全境的</w:t>
      </w:r>
      <w:r>
        <w:rPr>
          <w:rFonts w:hint="eastAsia"/>
          <w:lang w:val="es-ES"/>
        </w:rPr>
        <w:t>32</w:t>
      </w:r>
      <w:r>
        <w:rPr>
          <w:rFonts w:hint="eastAsia"/>
          <w:lang w:val="es-ES"/>
        </w:rPr>
        <w:t>个省份中设立了</w:t>
      </w:r>
      <w:r>
        <w:rPr>
          <w:rFonts w:hint="eastAsia"/>
          <w:lang w:val="es-ES"/>
        </w:rPr>
        <w:t>27</w:t>
      </w:r>
      <w:r>
        <w:rPr>
          <w:rFonts w:hint="eastAsia"/>
          <w:lang w:val="es-ES"/>
        </w:rPr>
        <w:t>家委员会，其中，监控数据显示</w:t>
      </w:r>
      <w:r>
        <w:rPr>
          <w:rFonts w:hint="eastAsia"/>
          <w:lang w:val="es-ES"/>
        </w:rPr>
        <w:t>2010</w:t>
      </w:r>
      <w:r>
        <w:rPr>
          <w:rFonts w:hint="eastAsia"/>
          <w:lang w:val="es-ES"/>
        </w:rPr>
        <w:t>年就成立了</w:t>
      </w:r>
      <w:r>
        <w:rPr>
          <w:rFonts w:hint="eastAsia"/>
          <w:lang w:val="es-ES"/>
        </w:rPr>
        <w:t>10</w:t>
      </w:r>
      <w:r>
        <w:rPr>
          <w:rFonts w:hint="eastAsia"/>
          <w:lang w:val="es-ES"/>
        </w:rPr>
        <w:t>家省级委员会，他们分别设立在：圣安德烈斯和普罗威登西亚省、博亚卡省、阿劳卡省、金迪奥省、马格达莱纳省、瓜伊尼亚省、瓜维亚雷省、沃佩斯省、卡萨纳雷省和普图马约省。</w:t>
      </w:r>
    </w:p>
    <w:p w:rsidR="00A83775" w:rsidRDefault="00A83775">
      <w:pPr>
        <w:pStyle w:val="H23GC"/>
        <w:rPr>
          <w:lang w:val="es-ES"/>
        </w:rPr>
      </w:pPr>
      <w:r>
        <w:rPr>
          <w:lang w:val="es-ES"/>
        </w:rPr>
        <w:tab/>
      </w:r>
      <w:r>
        <w:rPr>
          <w:lang w:val="es-ES"/>
        </w:rPr>
        <w:tab/>
      </w:r>
      <w:r>
        <w:rPr>
          <w:rFonts w:hint="eastAsia"/>
          <w:lang w:val="es-ES"/>
        </w:rPr>
        <w:t>预防性措施</w:t>
      </w:r>
    </w:p>
    <w:p w:rsidR="00A83775" w:rsidRDefault="00A83775">
      <w:pPr>
        <w:pStyle w:val="SingleTxtGC"/>
        <w:rPr>
          <w:lang w:val="es-CO"/>
        </w:rPr>
      </w:pPr>
      <w:r>
        <w:rPr>
          <w:lang w:val="es-CO"/>
        </w:rPr>
        <w:t xml:space="preserve">224.  </w:t>
      </w:r>
      <w:r>
        <w:rPr>
          <w:rFonts w:hint="eastAsia"/>
          <w:lang w:val="es-CO"/>
        </w:rPr>
        <w:t>内政和司法部与国际移民组织通过大众传媒和其他媒体，开展了一次短期性的预防运动，名为“让人口贩运活动无路可走”，活动针对人口贩运活动在哥伦比亚最常见的四种方式即：奴役式婚姻、拐带乞讨人口、性剥削和劳动剥削。这一预防性运动采用了典型参照，新闻宣传和广播、电视、互联网、城市设备集团（</w:t>
      </w:r>
      <w:r>
        <w:rPr>
          <w:rFonts w:hint="eastAsia"/>
          <w:lang w:val="es-CO"/>
        </w:rPr>
        <w:t>Eucol</w:t>
      </w:r>
      <w:r>
        <w:rPr>
          <w:rFonts w:hint="eastAsia"/>
          <w:lang w:val="es-CO"/>
        </w:rPr>
        <w:t>）</w:t>
      </w:r>
      <w:r>
        <w:rPr>
          <w:vertAlign w:val="superscript"/>
          <w:lang w:val="es-CO"/>
        </w:rPr>
        <w:footnoteReference w:id="112"/>
      </w:r>
      <w:r>
        <w:rPr>
          <w:lang w:val="es-CO"/>
        </w:rPr>
        <w:t xml:space="preserve"> </w:t>
      </w:r>
      <w:r>
        <w:rPr>
          <w:rFonts w:hint="eastAsia"/>
          <w:lang w:val="es-CO"/>
        </w:rPr>
        <w:t>的广告牌、宣传海报以及在地铁这一波哥大的大众交通工具上的宣传广告等方式来实施。</w:t>
      </w:r>
    </w:p>
    <w:p w:rsidR="00A83775" w:rsidRDefault="00A83775">
      <w:pPr>
        <w:pStyle w:val="SingleTxtGC"/>
        <w:rPr>
          <w:bCs/>
          <w:iCs/>
          <w:lang w:val="es-CO"/>
        </w:rPr>
      </w:pPr>
      <w:r>
        <w:rPr>
          <w:bCs/>
          <w:lang w:val="es-PE"/>
        </w:rPr>
        <w:t xml:space="preserve">225.  </w:t>
      </w:r>
      <w:r>
        <w:rPr>
          <w:rFonts w:hint="eastAsia"/>
          <w:bCs/>
          <w:lang w:val="es-PE"/>
        </w:rPr>
        <w:t>开展的其他预防行动主要有：内政和司法部、联合国毒品和犯罪问题办公室以及哥伦比亚</w:t>
      </w:r>
      <w:r>
        <w:rPr>
          <w:rFonts w:hint="eastAsia"/>
          <w:bCs/>
          <w:lang w:val="es-PE"/>
        </w:rPr>
        <w:t>2010</w:t>
      </w:r>
      <w:r>
        <w:rPr>
          <w:rFonts w:hint="eastAsia"/>
          <w:bCs/>
          <w:lang w:val="es-PE"/>
        </w:rPr>
        <w:t>年国家精英模特大赛</w:t>
      </w:r>
      <w:r>
        <w:rPr>
          <w:bCs/>
          <w:vertAlign w:val="superscript"/>
          <w:lang w:val="es-PE"/>
        </w:rPr>
        <w:footnoteReference w:id="113"/>
      </w:r>
      <w:r>
        <w:rPr>
          <w:bCs/>
          <w:lang w:val="es-PE"/>
        </w:rPr>
        <w:t xml:space="preserve"> </w:t>
      </w:r>
      <w:r>
        <w:rPr>
          <w:rFonts w:hint="eastAsia"/>
          <w:bCs/>
          <w:lang w:val="es-PE"/>
        </w:rPr>
        <w:t>这三家公共部门之间联合行动，目的是在全国范围内向参加大赛组织的各类赛事的青少年及家长宣传提高认识和预防人口贩运的信息。而为专门针对</w:t>
      </w:r>
      <w:r>
        <w:rPr>
          <w:rFonts w:hint="eastAsia"/>
          <w:bCs/>
          <w:lang w:val="es-PE"/>
        </w:rPr>
        <w:t>14-26</w:t>
      </w:r>
      <w:r>
        <w:rPr>
          <w:rFonts w:hint="eastAsia"/>
          <w:bCs/>
          <w:lang w:val="es-PE"/>
        </w:rPr>
        <w:t>岁年龄段的年轻人宣传预防人口贩运的相关</w:t>
      </w:r>
      <w:r>
        <w:rPr>
          <w:rFonts w:hint="eastAsia"/>
          <w:lang w:val="zh-CN"/>
        </w:rPr>
        <w:t>信息</w:t>
      </w:r>
      <w:r>
        <w:rPr>
          <w:rFonts w:hint="eastAsia"/>
          <w:bCs/>
          <w:lang w:val="es-PE"/>
        </w:rPr>
        <w:t>，播出了名为“玛丽亚你要去哪儿？”的视频和单曲，节目在</w:t>
      </w:r>
      <w:r>
        <w:rPr>
          <w:rFonts w:hint="eastAsia"/>
          <w:bCs/>
          <w:lang w:val="es-PE"/>
        </w:rPr>
        <w:t>400</w:t>
      </w:r>
      <w:r>
        <w:rPr>
          <w:rFonts w:hint="eastAsia"/>
          <w:bCs/>
          <w:lang w:val="es-PE"/>
        </w:rPr>
        <w:t>名参加者的帮助下录制，并适用于各类关于打击人口贩运活动的提高认识活动。</w:t>
      </w:r>
    </w:p>
    <w:p w:rsidR="00A83775" w:rsidRDefault="00A83775">
      <w:pPr>
        <w:pStyle w:val="H23GC"/>
        <w:rPr>
          <w:lang w:val="es-CO"/>
        </w:rPr>
      </w:pPr>
      <w:r>
        <w:rPr>
          <w:lang w:val="es-CO"/>
        </w:rPr>
        <w:tab/>
      </w:r>
      <w:r>
        <w:rPr>
          <w:lang w:val="es-CO"/>
        </w:rPr>
        <w:tab/>
      </w:r>
      <w:r>
        <w:rPr>
          <w:rFonts w:hint="eastAsia"/>
          <w:lang w:val="es-CO"/>
        </w:rPr>
        <w:t>调查研究的开展：</w:t>
      </w:r>
    </w:p>
    <w:p w:rsidR="00A83775" w:rsidRDefault="00A83775">
      <w:pPr>
        <w:pStyle w:val="SingleTxtGC"/>
        <w:rPr>
          <w:rFonts w:hint="eastAsia"/>
          <w:bCs/>
          <w:iCs/>
          <w:lang w:val="es-CO"/>
        </w:rPr>
      </w:pPr>
      <w:r>
        <w:rPr>
          <w:bCs/>
          <w:iCs/>
          <w:lang w:val="es-CO"/>
        </w:rPr>
        <w:t xml:space="preserve">226.  </w:t>
      </w:r>
      <w:r>
        <w:rPr>
          <w:rFonts w:hint="eastAsia"/>
          <w:lang w:val="zh-CN"/>
        </w:rPr>
        <w:t>值得一提</w:t>
      </w:r>
      <w:r>
        <w:rPr>
          <w:rFonts w:hint="eastAsia"/>
          <w:bCs/>
          <w:iCs/>
          <w:lang w:val="es-CO"/>
        </w:rPr>
        <w:t>的有：</w:t>
      </w:r>
    </w:p>
    <w:p w:rsidR="00A83775" w:rsidRDefault="00A83775">
      <w:pPr>
        <w:pStyle w:val="SingleTxtGC"/>
        <w:numPr>
          <w:ilvl w:val="0"/>
          <w:numId w:val="38"/>
        </w:numPr>
        <w:rPr>
          <w:lang w:val="es-CO"/>
        </w:rPr>
      </w:pPr>
      <w:r>
        <w:rPr>
          <w:rFonts w:hint="eastAsia"/>
          <w:lang w:val="es-CO"/>
        </w:rPr>
        <w:t>哥伦比亚针对人口贩运所采取的司法措施。犯罪调查研究活动由内政和司法部与联合国毒品和犯罪问题办公室资助开展，在</w:t>
      </w:r>
      <w:r>
        <w:rPr>
          <w:rFonts w:hint="eastAsia"/>
          <w:lang w:val="es-CO"/>
        </w:rPr>
        <w:t>2009</w:t>
      </w:r>
      <w:r>
        <w:rPr>
          <w:rFonts w:hint="eastAsia"/>
          <w:lang w:val="es-CO"/>
        </w:rPr>
        <w:t>年由罗莎里奥圣母大学法学院的人权和刑事法研究组负责具体实施。研究成果包括确定了由于刑事办案程序的教条化造成的国内和国际层面上开展司法工作所面临的主要困难和问题，开展相应工作所需遵循的国际原则以及社会组织的经验，在本条所对应的附件</w:t>
      </w:r>
      <w:r>
        <w:rPr>
          <w:rFonts w:hint="eastAsia"/>
          <w:lang w:val="es-CO"/>
        </w:rPr>
        <w:t>1</w:t>
      </w:r>
      <w:r>
        <w:rPr>
          <w:rFonts w:hint="eastAsia"/>
          <w:lang w:val="es-CO"/>
        </w:rPr>
        <w:t>中，对这一研究所得出的主要结论进行了介绍；</w:t>
      </w:r>
    </w:p>
    <w:p w:rsidR="00A83775" w:rsidRDefault="00A83775">
      <w:pPr>
        <w:pStyle w:val="SingleTxtGC"/>
        <w:numPr>
          <w:ilvl w:val="0"/>
          <w:numId w:val="38"/>
        </w:numPr>
        <w:rPr>
          <w:lang w:val="es-PE"/>
        </w:rPr>
      </w:pPr>
      <w:r>
        <w:rPr>
          <w:rFonts w:hint="eastAsia"/>
          <w:lang w:val="es-CO"/>
        </w:rPr>
        <w:t>国家就人口贩运现象进行的调查和探索，</w:t>
      </w:r>
      <w:r>
        <w:rPr>
          <w:vertAlign w:val="superscript"/>
          <w:lang w:val="es-ES_tradnl"/>
        </w:rPr>
        <w:footnoteReference w:id="114"/>
      </w:r>
      <w:r>
        <w:rPr>
          <w:lang w:val="es-CO"/>
        </w:rPr>
        <w:t xml:space="preserve"> </w:t>
      </w:r>
      <w:r>
        <w:rPr>
          <w:rFonts w:hint="eastAsia"/>
          <w:lang w:val="es-CO"/>
        </w:rPr>
        <w:t>在这一工作中指出，由于公共秩序问题造成的人员流离失所现象加剧了人口贩运受害妇女所处的弱势条件，受害妇女被卷入了非法交易中，被迫从事强迫劳动或服务、奴役、乞讨和卖淫剥削。这样，流离失所的女童和妇女由于其条件所迫而不得不接受此类诱惑，与人口贩运搭上了关系。针对这种情况设计实施了关于人口贩运活动的信息通报和提高认识培训班，其针对对象就是处于流离失所状况的妇女，目的是在人口贩运案件高发地区加大对这一现象的宣传打击力度，赋予当事人预防、识别和举办此类犯罪案件的工具。</w:t>
      </w:r>
      <w:r>
        <w:rPr>
          <w:rFonts w:hint="eastAsia"/>
          <w:lang w:val="es-ES_tradnl"/>
        </w:rPr>
        <w:t>这一时期在省级层面上开办了七期信息通报和提高认识培训班，受训对象为处于流离失所状况的</w:t>
      </w:r>
      <w:r>
        <w:rPr>
          <w:rFonts w:hint="eastAsia"/>
          <w:lang w:val="es-ES_tradnl"/>
        </w:rPr>
        <w:t>307</w:t>
      </w:r>
      <w:r>
        <w:rPr>
          <w:rFonts w:hint="eastAsia"/>
          <w:lang w:val="es-ES_tradnl"/>
        </w:rPr>
        <w:t>名妇女；</w:t>
      </w:r>
    </w:p>
    <w:p w:rsidR="00A83775" w:rsidRDefault="00A83775">
      <w:pPr>
        <w:pStyle w:val="SingleTxtGC"/>
        <w:numPr>
          <w:ilvl w:val="0"/>
          <w:numId w:val="38"/>
        </w:numPr>
        <w:rPr>
          <w:lang w:val="es-ES"/>
        </w:rPr>
      </w:pPr>
      <w:r>
        <w:rPr>
          <w:rFonts w:hint="eastAsia"/>
          <w:lang w:val="es-PE"/>
        </w:rPr>
        <w:t>由金融信息和分析科</w:t>
      </w:r>
      <w:r>
        <w:rPr>
          <w:vertAlign w:val="superscript"/>
          <w:lang w:val="es-ES"/>
        </w:rPr>
        <w:footnoteReference w:id="115"/>
      </w:r>
      <w:r>
        <w:rPr>
          <w:lang w:val="es-PE"/>
        </w:rPr>
        <w:t xml:space="preserve"> </w:t>
      </w:r>
      <w:r>
        <w:rPr>
          <w:rFonts w:hint="eastAsia"/>
          <w:lang w:val="es-PE"/>
        </w:rPr>
        <w:t>拟定的对哥伦比亚境内与人口贩运罪行有关的洗黑钱活动的分类认定法，相关信息将在下文进行介绍。</w:t>
      </w:r>
    </w:p>
    <w:p w:rsidR="00A83775" w:rsidRDefault="00A83775">
      <w:pPr>
        <w:pStyle w:val="H23GC"/>
        <w:rPr>
          <w:rFonts w:hint="eastAsia"/>
          <w:lang w:val="es-ES"/>
        </w:rPr>
      </w:pPr>
      <w:r>
        <w:rPr>
          <w:lang w:val="es-CO"/>
        </w:rPr>
        <w:tab/>
      </w:r>
      <w:r>
        <w:rPr>
          <w:lang w:val="es-CO"/>
        </w:rPr>
        <w:tab/>
      </w:r>
      <w:r>
        <w:rPr>
          <w:rFonts w:hint="eastAsia"/>
          <w:lang w:val="es-CO"/>
        </w:rPr>
        <w:t>救助人口贩运受害妇女国家试点路线</w:t>
      </w:r>
    </w:p>
    <w:p w:rsidR="00A83775" w:rsidRDefault="00A83775">
      <w:pPr>
        <w:pStyle w:val="SingleTxtGC"/>
        <w:rPr>
          <w:lang w:val="es-ES"/>
        </w:rPr>
      </w:pPr>
      <w:r>
        <w:rPr>
          <w:lang w:val="es-ES"/>
        </w:rPr>
        <w:t xml:space="preserve">227.  </w:t>
      </w:r>
      <w:r>
        <w:rPr>
          <w:rFonts w:hint="eastAsia"/>
          <w:lang w:val="es-ES"/>
        </w:rPr>
        <w:t>针对救助和保护这条工作主线，打击人口贩运活动机构间委员会在其各类培训工作中介绍了这一路线，通过这一举措将应当针对人口贩运罪行的成年受害妇女所开展的行动联系起来，在本条对应的附件</w:t>
      </w:r>
      <w:r>
        <w:rPr>
          <w:rFonts w:hint="eastAsia"/>
          <w:lang w:val="es-ES"/>
        </w:rPr>
        <w:t>2</w:t>
      </w:r>
      <w:r>
        <w:rPr>
          <w:rFonts w:hint="eastAsia"/>
          <w:lang w:val="es-ES"/>
        </w:rPr>
        <w:t>中包含了相应的完整文本。</w:t>
      </w:r>
    </w:p>
    <w:p w:rsidR="00A83775" w:rsidRDefault="00A83775">
      <w:pPr>
        <w:pStyle w:val="H23GC"/>
        <w:rPr>
          <w:lang w:val="es-ES"/>
        </w:rPr>
      </w:pPr>
      <w:r>
        <w:rPr>
          <w:lang w:val="es-CO"/>
        </w:rPr>
        <w:tab/>
      </w:r>
      <w:r>
        <w:rPr>
          <w:lang w:val="es-CO"/>
        </w:rPr>
        <w:tab/>
      </w:r>
      <w:r>
        <w:rPr>
          <w:rFonts w:hint="eastAsia"/>
          <w:lang w:val="es-CO"/>
        </w:rPr>
        <w:t>在地方层面对公职人员开展专门训练的环节</w:t>
      </w:r>
    </w:p>
    <w:p w:rsidR="00A83775" w:rsidRDefault="00A83775">
      <w:pPr>
        <w:pStyle w:val="SingleTxtGC"/>
        <w:rPr>
          <w:lang w:val="zh-CN"/>
        </w:rPr>
      </w:pPr>
      <w:r>
        <w:rPr>
          <w:lang w:val="es-ES"/>
        </w:rPr>
        <w:t xml:space="preserve">228.  </w:t>
      </w:r>
      <w:r>
        <w:rPr>
          <w:rFonts w:hint="eastAsia"/>
          <w:lang w:val="es-ES"/>
        </w:rPr>
        <w:t>针对侦查和审判这条工作主线，在与联合国毒品与犯罪问题办公室签署的合作协议框架内，设计了一个在地方层面对公职人员开展专门训练的环节，让有关部门的工作人员通过积极参与省一级的培训课程，具备实战能力，使负责相应工作的公职</w:t>
      </w:r>
      <w:r>
        <w:rPr>
          <w:rFonts w:hint="eastAsia"/>
          <w:lang w:val="zh-CN"/>
        </w:rPr>
        <w:t>人员能够有效识别和审理可能在国内任何一个地方发生的贩运人口罪行。</w:t>
      </w:r>
    </w:p>
    <w:p w:rsidR="00A83775" w:rsidRDefault="00A83775">
      <w:pPr>
        <w:pStyle w:val="SingleTxtGC"/>
        <w:rPr>
          <w:lang w:val="es-CO"/>
        </w:rPr>
      </w:pPr>
      <w:r>
        <w:rPr>
          <w:lang w:val="zh-CN"/>
        </w:rPr>
        <w:t xml:space="preserve">229.  </w:t>
      </w:r>
      <w:r>
        <w:rPr>
          <w:rFonts w:hint="eastAsia"/>
          <w:lang w:val="zh-CN"/>
        </w:rPr>
        <w:t>参加此类培训课程的人员均来自总检察署、哥伦比亚家庭福利研究所、安全保障部门、</w:t>
      </w:r>
      <w:r>
        <w:rPr>
          <w:rFonts w:hint="eastAsia"/>
          <w:lang w:val="es-CO"/>
        </w:rPr>
        <w:t>国家警察、公民权利监察员办公室、国家总检察长办公室驻各地办事机构的代表，以及司法机关公务员、政府各机关的公务员。</w:t>
      </w:r>
      <w:r>
        <w:rPr>
          <w:rFonts w:hint="eastAsia"/>
          <w:lang w:val="es-CO"/>
        </w:rPr>
        <w:t>2010</w:t>
      </w:r>
      <w:r>
        <w:rPr>
          <w:rFonts w:hint="eastAsia"/>
          <w:lang w:val="es-CO"/>
        </w:rPr>
        <w:t>年以贩运人口案件审理的特别议定书为基础实施了一项培训方案，并在培训中采用了模拟审判技术。利用这一方法，分别在卡尔达斯省、玻利瓦尔省、马格达莱纳省和纳里尼奥省举办了四次培训课程，共有</w:t>
      </w:r>
      <w:r>
        <w:rPr>
          <w:rFonts w:hint="eastAsia"/>
          <w:lang w:val="es-CO"/>
        </w:rPr>
        <w:t>174</w:t>
      </w:r>
      <w:r>
        <w:rPr>
          <w:rFonts w:hint="eastAsia"/>
          <w:lang w:val="es-CO"/>
        </w:rPr>
        <w:t>人接受了培训并通过了认证。</w:t>
      </w:r>
    </w:p>
    <w:p w:rsidR="00A83775" w:rsidRDefault="00A83775">
      <w:pPr>
        <w:pStyle w:val="SingleTxtGC"/>
        <w:rPr>
          <w:lang w:val="es-ES"/>
        </w:rPr>
      </w:pPr>
      <w:r>
        <w:rPr>
          <w:lang w:val="es-CO"/>
        </w:rPr>
        <w:t xml:space="preserve">230.  </w:t>
      </w:r>
      <w:r>
        <w:rPr>
          <w:rFonts w:hint="eastAsia"/>
          <w:lang w:val="es-CO"/>
        </w:rPr>
        <w:t>同样针对这一主线，</w:t>
      </w:r>
      <w:r>
        <w:rPr>
          <w:rFonts w:hint="eastAsia"/>
          <w:lang w:val="es-CO"/>
        </w:rPr>
        <w:t>2005</w:t>
      </w:r>
      <w:r>
        <w:rPr>
          <w:rFonts w:hint="eastAsia"/>
          <w:lang w:val="es-CO"/>
        </w:rPr>
        <w:t>年的第</w:t>
      </w:r>
      <w:r>
        <w:rPr>
          <w:rFonts w:hint="eastAsia"/>
          <w:lang w:val="es-CO"/>
        </w:rPr>
        <w:t>985</w:t>
      </w:r>
      <w:r>
        <w:rPr>
          <w:rFonts w:hint="eastAsia"/>
          <w:lang w:val="es-CO"/>
        </w:rPr>
        <w:t>号法将金融信息和分析科</w:t>
      </w:r>
      <w:r>
        <w:rPr>
          <w:vertAlign w:val="superscript"/>
          <w:lang w:val="es-ES"/>
        </w:rPr>
        <w:footnoteReference w:id="116"/>
      </w:r>
      <w:r>
        <w:rPr>
          <w:lang w:val="es-CO"/>
        </w:rPr>
        <w:t xml:space="preserve"> </w:t>
      </w:r>
      <w:r>
        <w:rPr>
          <w:rFonts w:hint="eastAsia"/>
          <w:lang w:val="es-CO"/>
        </w:rPr>
        <w:t>列为了人口贩运活动机构间委员会</w:t>
      </w:r>
      <w:r>
        <w:rPr>
          <w:rFonts w:hint="eastAsia"/>
          <w:lang w:val="es-CO"/>
        </w:rPr>
        <w:t>14</w:t>
      </w:r>
      <w:r>
        <w:rPr>
          <w:rFonts w:hint="eastAsia"/>
          <w:lang w:val="es-CO"/>
        </w:rPr>
        <w:t>家成员单位之一，自</w:t>
      </w:r>
      <w:r>
        <w:rPr>
          <w:rFonts w:hint="eastAsia"/>
          <w:lang w:val="es-CO"/>
        </w:rPr>
        <w:t>2006</w:t>
      </w:r>
      <w:r>
        <w:rPr>
          <w:rFonts w:hint="eastAsia"/>
          <w:lang w:val="es-CO"/>
        </w:rPr>
        <w:t>年开始参与委员会事务。为赋予该机构技术和分析手段以便对与人口贩运有关的洗黑钱活动进行司法调查和追踪，</w:t>
      </w:r>
      <w:r>
        <w:rPr>
          <w:rFonts w:hint="eastAsia"/>
          <w:lang w:val="es-CO"/>
        </w:rPr>
        <w:t>2010</w:t>
      </w:r>
      <w:r>
        <w:rPr>
          <w:rFonts w:hint="eastAsia"/>
          <w:lang w:val="es-CO"/>
        </w:rPr>
        <w:t>年金融信息和分析科</w:t>
      </w:r>
      <w:r>
        <w:rPr>
          <w:rFonts w:hint="eastAsia"/>
          <w:bCs/>
          <w:lang w:val="es-PE"/>
        </w:rPr>
        <w:t>拟定了《</w:t>
      </w:r>
      <w:r>
        <w:rPr>
          <w:rFonts w:eastAsia="SimHei" w:hint="eastAsia"/>
          <w:bCs/>
          <w:lang w:val="es-PE"/>
        </w:rPr>
        <w:t>对哥伦比亚境内与人口贩运罪行有关的洗黑钱活动的分类认定法</w:t>
      </w:r>
      <w:r>
        <w:rPr>
          <w:rFonts w:hint="eastAsia"/>
          <w:lang w:val="es-CO"/>
        </w:rPr>
        <w:t>》一文，在其中包含了五种分类，之后在国家总检察长办公室、国家警察和国家总检察署的配合下对文章所述的分类方法进行了验证。在</w:t>
      </w:r>
      <w:r>
        <w:rPr>
          <w:rFonts w:hint="eastAsia"/>
          <w:lang w:val="es-CO"/>
        </w:rPr>
        <w:t>2009</w:t>
      </w:r>
      <w:r>
        <w:rPr>
          <w:rFonts w:hint="eastAsia"/>
          <w:lang w:val="es-CO"/>
        </w:rPr>
        <w:t>年</w:t>
      </w:r>
      <w:r>
        <w:rPr>
          <w:rFonts w:hint="eastAsia"/>
          <w:lang w:val="es-CO"/>
        </w:rPr>
        <w:t>10</w:t>
      </w:r>
      <w:r>
        <w:rPr>
          <w:rFonts w:hint="eastAsia"/>
          <w:lang w:val="es-CO"/>
        </w:rPr>
        <w:t>月至</w:t>
      </w:r>
      <w:r>
        <w:rPr>
          <w:rFonts w:hint="eastAsia"/>
          <w:lang w:val="es-CO"/>
        </w:rPr>
        <w:t>2010</w:t>
      </w:r>
      <w:r>
        <w:rPr>
          <w:rFonts w:hint="eastAsia"/>
          <w:lang w:val="es-CO"/>
        </w:rPr>
        <w:t>年</w:t>
      </w:r>
      <w:r>
        <w:rPr>
          <w:rFonts w:hint="eastAsia"/>
          <w:lang w:val="es-CO"/>
        </w:rPr>
        <w:t>10</w:t>
      </w:r>
      <w:r>
        <w:rPr>
          <w:rFonts w:hint="eastAsia"/>
          <w:lang w:val="es-CO"/>
        </w:rPr>
        <w:t>月期间，金融信息和分析科设计并实施了一个关于贩运人口的基本模块，在其中包含了一轮会议安排，让</w:t>
      </w:r>
      <w:r>
        <w:rPr>
          <w:rFonts w:hint="eastAsia"/>
          <w:lang w:val="es-CO"/>
        </w:rPr>
        <w:t>500</w:t>
      </w:r>
      <w:r>
        <w:rPr>
          <w:rFonts w:hint="eastAsia"/>
          <w:lang w:val="es-CO"/>
        </w:rPr>
        <w:t>余名司法警察机关的公务员参加了会议，这一工具是由</w:t>
      </w:r>
      <w:r>
        <w:rPr>
          <w:lang w:val="en-GB"/>
        </w:rPr>
        <w:t>国际刑事调查训练援助方案</w:t>
      </w:r>
      <w:r>
        <w:rPr>
          <w:rFonts w:hint="eastAsia"/>
          <w:lang w:val="en-GB"/>
        </w:rPr>
        <w:t>（</w:t>
      </w:r>
      <w:r>
        <w:rPr>
          <w:rFonts w:hint="eastAsia"/>
          <w:lang w:val="en-GB"/>
        </w:rPr>
        <w:t>ICITAP</w:t>
      </w:r>
      <w:r>
        <w:rPr>
          <w:rFonts w:hint="eastAsia"/>
          <w:lang w:val="en-GB"/>
        </w:rPr>
        <w:t>）在美国大使馆的配合下在哥伦比亚的</w:t>
      </w:r>
      <w:r>
        <w:rPr>
          <w:rFonts w:hint="eastAsia"/>
          <w:lang w:val="en-GB"/>
        </w:rPr>
        <w:t>20</w:t>
      </w:r>
      <w:r>
        <w:rPr>
          <w:rFonts w:hint="eastAsia"/>
          <w:lang w:val="en-GB"/>
        </w:rPr>
        <w:t>个城市中实施开展的。</w:t>
      </w:r>
    </w:p>
    <w:p w:rsidR="00A83775" w:rsidRDefault="00A83775">
      <w:pPr>
        <w:pStyle w:val="H23GC"/>
        <w:rPr>
          <w:lang w:val="es-ES"/>
        </w:rPr>
      </w:pPr>
      <w:r>
        <w:rPr>
          <w:lang w:val="es-ES"/>
        </w:rPr>
        <w:tab/>
      </w:r>
      <w:r>
        <w:rPr>
          <w:lang w:val="es-ES"/>
        </w:rPr>
        <w:tab/>
      </w:r>
      <w:r>
        <w:rPr>
          <w:rFonts w:hint="eastAsia"/>
          <w:lang w:val="es-ES"/>
        </w:rPr>
        <w:t>双边会晤</w:t>
      </w:r>
    </w:p>
    <w:p w:rsidR="00A83775" w:rsidRDefault="00A83775">
      <w:pPr>
        <w:pStyle w:val="SingleTxtGC"/>
        <w:rPr>
          <w:rFonts w:hint="eastAsia"/>
          <w:lang w:val="es-ES"/>
        </w:rPr>
      </w:pPr>
      <w:r>
        <w:rPr>
          <w:lang w:val="es-ES"/>
        </w:rPr>
        <w:t xml:space="preserve">231.  </w:t>
      </w:r>
      <w:r>
        <w:rPr>
          <w:rFonts w:hint="eastAsia"/>
          <w:lang w:val="es-ES"/>
        </w:rPr>
        <w:t>针对国际合作这一工作方针，</w:t>
      </w:r>
      <w:r>
        <w:rPr>
          <w:rFonts w:hint="eastAsia"/>
          <w:lang w:val="es-ES"/>
        </w:rPr>
        <w:t>2008-2010</w:t>
      </w:r>
      <w:r>
        <w:rPr>
          <w:rFonts w:hint="eastAsia"/>
          <w:lang w:val="es-ES"/>
        </w:rPr>
        <w:t>年期间，举行了五次双边会晤，以交流关于打击人口贩运活动的经验，这五次会晤是：</w:t>
      </w:r>
    </w:p>
    <w:p w:rsidR="00A83775" w:rsidRDefault="00A83775">
      <w:pPr>
        <w:pStyle w:val="SingleTxtGC"/>
        <w:numPr>
          <w:ilvl w:val="0"/>
          <w:numId w:val="39"/>
        </w:numPr>
        <w:rPr>
          <w:lang w:val="es-ES_tradnl"/>
        </w:rPr>
      </w:pPr>
      <w:r>
        <w:rPr>
          <w:rFonts w:hint="eastAsia"/>
          <w:lang w:val="es-ES_tradnl"/>
        </w:rPr>
        <w:t>2008</w:t>
      </w:r>
      <w:r>
        <w:rPr>
          <w:rFonts w:hint="eastAsia"/>
          <w:lang w:val="es-ES_tradnl"/>
        </w:rPr>
        <w:t>年</w:t>
      </w:r>
      <w:r>
        <w:rPr>
          <w:rFonts w:hint="eastAsia"/>
          <w:lang w:val="es-ES_tradnl"/>
        </w:rPr>
        <w:t>9</w:t>
      </w:r>
      <w:r>
        <w:rPr>
          <w:rFonts w:hint="eastAsia"/>
          <w:lang w:val="es-ES_tradnl"/>
        </w:rPr>
        <w:t>月</w:t>
      </w:r>
      <w:r>
        <w:rPr>
          <w:rFonts w:hint="eastAsia"/>
          <w:lang w:val="es-ES_tradnl"/>
        </w:rPr>
        <w:t>19</w:t>
      </w:r>
      <w:r>
        <w:rPr>
          <w:rFonts w:hint="eastAsia"/>
          <w:lang w:val="es-ES_tradnl"/>
        </w:rPr>
        <w:t>日，在波哥大召开了第十一届哥伦比亚－巴西睦邻友好和一体化委员会全会，双边工作组会晤目的就是打击刑事犯罪和恐怖主义，会上讨论了与人口贩运有关的事宜；</w:t>
      </w:r>
    </w:p>
    <w:p w:rsidR="00A83775" w:rsidRDefault="00A83775">
      <w:pPr>
        <w:pStyle w:val="SingleTxtGC"/>
        <w:numPr>
          <w:ilvl w:val="0"/>
          <w:numId w:val="39"/>
        </w:numPr>
        <w:rPr>
          <w:lang w:val="es-ES_tradnl"/>
        </w:rPr>
      </w:pPr>
      <w:r>
        <w:rPr>
          <w:rFonts w:hint="eastAsia"/>
          <w:lang w:val="es-ES_tradnl"/>
        </w:rPr>
        <w:t>2009</w:t>
      </w:r>
      <w:r>
        <w:rPr>
          <w:rFonts w:hint="eastAsia"/>
          <w:lang w:val="es-ES_tradnl"/>
        </w:rPr>
        <w:t>年</w:t>
      </w:r>
      <w:r>
        <w:rPr>
          <w:rFonts w:hint="eastAsia"/>
          <w:lang w:val="es-ES_tradnl"/>
        </w:rPr>
        <w:t>1</w:t>
      </w:r>
      <w:r>
        <w:rPr>
          <w:rFonts w:hint="eastAsia"/>
          <w:lang w:val="es-ES_tradnl"/>
        </w:rPr>
        <w:t>月</w:t>
      </w:r>
      <w:r>
        <w:rPr>
          <w:rFonts w:hint="eastAsia"/>
          <w:lang w:val="es-ES_tradnl"/>
        </w:rPr>
        <w:t>26</w:t>
      </w:r>
      <w:r>
        <w:rPr>
          <w:rFonts w:hint="eastAsia"/>
          <w:lang w:val="es-ES_tradnl"/>
        </w:rPr>
        <w:t>日和</w:t>
      </w:r>
      <w:r>
        <w:rPr>
          <w:rFonts w:hint="eastAsia"/>
          <w:lang w:val="es-ES_tradnl"/>
        </w:rPr>
        <w:t>27</w:t>
      </w:r>
      <w:r>
        <w:rPr>
          <w:rFonts w:hint="eastAsia"/>
          <w:lang w:val="es-ES_tradnl"/>
        </w:rPr>
        <w:t>日，在波哥大举办了“哥伦比亚共和国与特立尼达和多巴哥共和国关于人口贩运问题的信息和经验交流会”。会议期间讨论了两国人口贩运活动的总体状况，介绍了两国在这方面各自取得的进步并确定了两国在多个领域的双边合作事宜；</w:t>
      </w:r>
    </w:p>
    <w:p w:rsidR="00A83775" w:rsidRDefault="00A83775">
      <w:pPr>
        <w:pStyle w:val="SingleTxtGC"/>
        <w:numPr>
          <w:ilvl w:val="0"/>
          <w:numId w:val="39"/>
        </w:numPr>
        <w:rPr>
          <w:lang w:val="es-ES_tradnl"/>
        </w:rPr>
      </w:pPr>
      <w:r>
        <w:rPr>
          <w:rFonts w:hint="eastAsia"/>
          <w:lang w:val="es-ES_tradnl"/>
        </w:rPr>
        <w:t>2009</w:t>
      </w:r>
      <w:r>
        <w:rPr>
          <w:rFonts w:hint="eastAsia"/>
          <w:lang w:val="es-ES_tradnl"/>
        </w:rPr>
        <w:t>年</w:t>
      </w:r>
      <w:r>
        <w:rPr>
          <w:rFonts w:hint="eastAsia"/>
          <w:lang w:val="es-ES_tradnl"/>
        </w:rPr>
        <w:t>9</w:t>
      </w:r>
      <w:r>
        <w:rPr>
          <w:rFonts w:hint="eastAsia"/>
          <w:lang w:val="es-ES_tradnl"/>
        </w:rPr>
        <w:t>月</w:t>
      </w:r>
      <w:r>
        <w:rPr>
          <w:rFonts w:hint="eastAsia"/>
          <w:lang w:val="es-ES_tradnl"/>
        </w:rPr>
        <w:t>24</w:t>
      </w:r>
      <w:r>
        <w:rPr>
          <w:rFonts w:hint="eastAsia"/>
          <w:lang w:val="es-ES_tradnl"/>
        </w:rPr>
        <w:t>日和</w:t>
      </w:r>
      <w:r>
        <w:rPr>
          <w:rFonts w:hint="eastAsia"/>
          <w:lang w:val="es-ES_tradnl"/>
        </w:rPr>
        <w:t>25</w:t>
      </w:r>
      <w:r>
        <w:rPr>
          <w:rFonts w:hint="eastAsia"/>
          <w:lang w:val="es-ES_tradnl"/>
        </w:rPr>
        <w:t>日，在波哥大召开了哥伦比亚－巴拿马关于人口贩运的两国会晤，会上探讨了这一罪行的概念框架和司法框架，以及两国关于打击这一犯罪活动的机构体制，约定就打击人口贩运活动开展国际合作。同样还确定了在两个领域的双边合作事宜；</w:t>
      </w:r>
    </w:p>
    <w:p w:rsidR="00A83775" w:rsidRDefault="00A83775">
      <w:pPr>
        <w:pStyle w:val="SingleTxtGC"/>
        <w:numPr>
          <w:ilvl w:val="0"/>
          <w:numId w:val="39"/>
        </w:numPr>
        <w:rPr>
          <w:lang w:val="es-ES_tradnl"/>
        </w:rPr>
      </w:pPr>
      <w:r>
        <w:rPr>
          <w:rFonts w:hint="eastAsia"/>
          <w:lang w:val="es-ES_tradnl"/>
        </w:rPr>
        <w:t>在哥伦比亚－智利关于打击有组织犯罪和恐怖主义的行动计划框架内，</w:t>
      </w:r>
      <w:r>
        <w:rPr>
          <w:rFonts w:hint="eastAsia"/>
          <w:lang w:val="es-ES_tradnl"/>
        </w:rPr>
        <w:t>2010</w:t>
      </w:r>
      <w:r>
        <w:rPr>
          <w:rFonts w:hint="eastAsia"/>
          <w:lang w:val="es-ES_tradnl"/>
        </w:rPr>
        <w:t>年</w:t>
      </w:r>
      <w:r>
        <w:rPr>
          <w:rFonts w:hint="eastAsia"/>
          <w:lang w:val="es-ES_tradnl"/>
        </w:rPr>
        <w:t>9</w:t>
      </w:r>
      <w:r>
        <w:rPr>
          <w:rFonts w:hint="eastAsia"/>
          <w:lang w:val="es-ES_tradnl"/>
        </w:rPr>
        <w:t>月</w:t>
      </w:r>
      <w:r>
        <w:rPr>
          <w:rFonts w:hint="eastAsia"/>
          <w:lang w:val="es-ES_tradnl"/>
        </w:rPr>
        <w:t>6</w:t>
      </w:r>
      <w:r>
        <w:rPr>
          <w:rFonts w:hint="eastAsia"/>
          <w:lang w:val="es-ES_tradnl"/>
        </w:rPr>
        <w:t>日和</w:t>
      </w:r>
      <w:r>
        <w:rPr>
          <w:rFonts w:hint="eastAsia"/>
          <w:lang w:val="es-ES_tradnl"/>
        </w:rPr>
        <w:t>7</w:t>
      </w:r>
      <w:r>
        <w:rPr>
          <w:rFonts w:hint="eastAsia"/>
          <w:lang w:val="es-ES_tradnl"/>
        </w:rPr>
        <w:t>日在圣地亚哥市，两国就这一事项进行了经验交流会晤，主题为“人口贩运：从国家和国际合作角度开展的协调反应机制”；</w:t>
      </w:r>
    </w:p>
    <w:p w:rsidR="00A83775" w:rsidRDefault="00A83775">
      <w:pPr>
        <w:pStyle w:val="SingleTxtGC"/>
        <w:numPr>
          <w:ilvl w:val="0"/>
          <w:numId w:val="39"/>
        </w:numPr>
        <w:rPr>
          <w:lang w:val="es-ES_tradnl"/>
        </w:rPr>
      </w:pPr>
      <w:r>
        <w:rPr>
          <w:rFonts w:hint="eastAsia"/>
          <w:lang w:val="es-ES_tradnl"/>
        </w:rPr>
        <w:t>在哥伦比亚－洪都拉斯关于打击有组织犯罪和恐怖主义的行动计划框架内，</w:t>
      </w:r>
      <w:r>
        <w:rPr>
          <w:rFonts w:hint="eastAsia"/>
          <w:lang w:val="es-ES_tradnl"/>
        </w:rPr>
        <w:t>2010</w:t>
      </w:r>
      <w:r>
        <w:rPr>
          <w:rFonts w:hint="eastAsia"/>
          <w:lang w:val="es-ES_tradnl"/>
        </w:rPr>
        <w:t>年</w:t>
      </w:r>
      <w:r>
        <w:rPr>
          <w:rFonts w:hint="eastAsia"/>
          <w:lang w:val="es-ES_tradnl"/>
        </w:rPr>
        <w:t>12</w:t>
      </w:r>
      <w:r>
        <w:rPr>
          <w:rFonts w:hint="eastAsia"/>
          <w:lang w:val="es-ES_tradnl"/>
        </w:rPr>
        <w:t>月</w:t>
      </w:r>
      <w:r>
        <w:rPr>
          <w:rFonts w:hint="eastAsia"/>
          <w:lang w:val="es-ES_tradnl"/>
        </w:rPr>
        <w:t>15</w:t>
      </w:r>
      <w:r>
        <w:rPr>
          <w:rFonts w:hint="eastAsia"/>
          <w:lang w:val="es-ES_tradnl"/>
        </w:rPr>
        <w:t>日至</w:t>
      </w:r>
      <w:r>
        <w:rPr>
          <w:rFonts w:hint="eastAsia"/>
          <w:lang w:val="es-ES_tradnl"/>
        </w:rPr>
        <w:t>17</w:t>
      </w:r>
      <w:r>
        <w:rPr>
          <w:rFonts w:hint="eastAsia"/>
          <w:lang w:val="es-ES_tradnl"/>
        </w:rPr>
        <w:t>日在</w:t>
      </w:r>
      <w:r>
        <w:rPr>
          <w:lang w:val="es-ES_tradnl"/>
        </w:rPr>
        <w:t>特古西加尔巴</w:t>
      </w:r>
      <w:r>
        <w:rPr>
          <w:rFonts w:hint="eastAsia"/>
          <w:lang w:val="es-ES_tradnl"/>
        </w:rPr>
        <w:t>市，两国就这一事项进行了经验交流会晤，主题为“人口贩运：从国家和国际合作角度开展的协调反应机制”。</w:t>
      </w:r>
    </w:p>
    <w:p w:rsidR="00A83775" w:rsidRDefault="00A83775">
      <w:pPr>
        <w:pStyle w:val="H23GC"/>
        <w:rPr>
          <w:lang w:val="es-ES"/>
        </w:rPr>
      </w:pPr>
      <w:r>
        <w:rPr>
          <w:lang w:val="es-ES"/>
        </w:rPr>
        <w:tab/>
        <w:t>2.</w:t>
      </w:r>
      <w:r>
        <w:rPr>
          <w:lang w:val="es-ES"/>
        </w:rPr>
        <w:tab/>
      </w:r>
      <w:r>
        <w:rPr>
          <w:rFonts w:hint="eastAsia"/>
          <w:lang w:val="es-ES"/>
        </w:rPr>
        <w:t>立法措施</w:t>
      </w:r>
    </w:p>
    <w:p w:rsidR="00A83775" w:rsidRDefault="00A83775">
      <w:pPr>
        <w:pStyle w:val="SingleTxtGC"/>
        <w:rPr>
          <w:bCs/>
          <w:lang w:val="es-ES"/>
        </w:rPr>
      </w:pPr>
      <w:r>
        <w:rPr>
          <w:bCs/>
          <w:lang w:val="es-ES"/>
        </w:rPr>
        <w:t xml:space="preserve">232.  </w:t>
      </w:r>
      <w:r>
        <w:rPr>
          <w:rFonts w:hint="eastAsia"/>
          <w:bCs/>
          <w:lang w:val="es-ES"/>
        </w:rPr>
        <w:t>在本条对应的附件</w:t>
      </w:r>
      <w:r>
        <w:rPr>
          <w:rFonts w:hint="eastAsia"/>
          <w:bCs/>
          <w:lang w:val="es-ES"/>
        </w:rPr>
        <w:t>4</w:t>
      </w:r>
      <w:r>
        <w:rPr>
          <w:rFonts w:hint="eastAsia"/>
          <w:bCs/>
          <w:lang w:val="es-ES"/>
        </w:rPr>
        <w:t>中，包含了以下法律文本：</w:t>
      </w:r>
    </w:p>
    <w:p w:rsidR="00A83775" w:rsidRDefault="00A83775">
      <w:pPr>
        <w:pStyle w:val="SingleTxtGC"/>
        <w:numPr>
          <w:ilvl w:val="0"/>
          <w:numId w:val="40"/>
        </w:numPr>
        <w:rPr>
          <w:lang w:val="es-ES"/>
        </w:rPr>
      </w:pPr>
      <w:r>
        <w:rPr>
          <w:rFonts w:hint="eastAsia"/>
          <w:lang w:val="es-ES"/>
        </w:rPr>
        <w:t>2005</w:t>
      </w:r>
      <w:r>
        <w:rPr>
          <w:rFonts w:hint="eastAsia"/>
          <w:lang w:val="es-ES"/>
        </w:rPr>
        <w:t>年的第</w:t>
      </w:r>
      <w:r>
        <w:rPr>
          <w:rFonts w:hint="eastAsia"/>
          <w:lang w:val="es-ES"/>
        </w:rPr>
        <w:t>985</w:t>
      </w:r>
      <w:r>
        <w:rPr>
          <w:rFonts w:hint="eastAsia"/>
          <w:lang w:val="es-ES"/>
        </w:rPr>
        <w:t>号法“根据这一法律出台了打击人口贩运的措施，并颁布了用于关爱和保护人口贩运受害者的法规”：修改了人口贩运罪行的刑事类型并创立了打击人口贩运活动机构间委员会。在这部法律中将以下形式的活动界定为人口贩运：卖淫剥削或其他形式的性剥削，强迫劳动或服务，奴役或与奴役类似的活动，以奴隶身份驱使，强迫乞讨，奴役婚姻，人体器官买卖，性旅游以及其他形式的剥削。</w:t>
      </w:r>
      <w:r>
        <w:rPr>
          <w:vertAlign w:val="superscript"/>
          <w:lang w:val="es-ES"/>
        </w:rPr>
        <w:footnoteReference w:id="117"/>
      </w:r>
      <w:r>
        <w:rPr>
          <w:lang w:val="es-ES"/>
        </w:rPr>
        <w:t xml:space="preserve"> </w:t>
      </w:r>
      <w:r>
        <w:rPr>
          <w:rFonts w:hint="eastAsia"/>
          <w:lang w:val="es-ES"/>
        </w:rPr>
        <w:t>在本条对应的附件</w:t>
      </w:r>
      <w:r>
        <w:rPr>
          <w:rFonts w:hint="eastAsia"/>
          <w:lang w:val="es-ES"/>
        </w:rPr>
        <w:t>3</w:t>
      </w:r>
      <w:r>
        <w:rPr>
          <w:rFonts w:hint="eastAsia"/>
          <w:lang w:val="es-ES"/>
        </w:rPr>
        <w:t>中介绍了《哥伦比亚刑法典》中关于人口贩运、教唆卖淫、强迫卖淫或性奴役的有关规定，介绍了这些犯罪分别触犯的不同司法规定以及根据国际标准进行的分类。</w:t>
      </w:r>
    </w:p>
    <w:p w:rsidR="00A83775" w:rsidRDefault="00A83775">
      <w:pPr>
        <w:pStyle w:val="SingleTxtGC"/>
        <w:numPr>
          <w:ilvl w:val="0"/>
          <w:numId w:val="40"/>
        </w:numPr>
        <w:rPr>
          <w:rFonts w:hint="eastAsia"/>
          <w:lang w:val="es-ES"/>
        </w:rPr>
      </w:pPr>
      <w:r>
        <w:rPr>
          <w:rFonts w:hint="eastAsia"/>
          <w:lang w:val="es-ES"/>
        </w:rPr>
        <w:t>在前文中已经提到的</w:t>
      </w:r>
      <w:r>
        <w:rPr>
          <w:rFonts w:hint="eastAsia"/>
          <w:lang w:val="es-ES"/>
        </w:rPr>
        <w:t>2008</w:t>
      </w:r>
      <w:r>
        <w:rPr>
          <w:rFonts w:hint="eastAsia"/>
          <w:lang w:val="es-ES"/>
        </w:rPr>
        <w:t>年的第</w:t>
      </w:r>
      <w:r>
        <w:rPr>
          <w:rFonts w:hint="eastAsia"/>
          <w:lang w:val="es-ES"/>
        </w:rPr>
        <w:t>1257</w:t>
      </w:r>
      <w:r>
        <w:rPr>
          <w:rFonts w:hint="eastAsia"/>
          <w:lang w:val="es-ES"/>
        </w:rPr>
        <w:t>号法，该法律修改了关于教唆卖淫罪（《刑法典》第</w:t>
      </w:r>
      <w:r>
        <w:rPr>
          <w:rFonts w:hint="eastAsia"/>
          <w:lang w:val="es-ES"/>
        </w:rPr>
        <w:t>213</w:t>
      </w:r>
      <w:r>
        <w:rPr>
          <w:rFonts w:hint="eastAsia"/>
          <w:lang w:val="es-ES"/>
        </w:rPr>
        <w:t>条）和强迫卖淫罪（《刑法典》第</w:t>
      </w:r>
      <w:r>
        <w:rPr>
          <w:rFonts w:hint="eastAsia"/>
          <w:lang w:val="es-ES"/>
        </w:rPr>
        <w:t>214</w:t>
      </w:r>
      <w:r>
        <w:rPr>
          <w:rFonts w:hint="eastAsia"/>
          <w:lang w:val="es-ES"/>
        </w:rPr>
        <w:t>条）所对应的量刑基础。通过这种方式规定，当“（……）第</w:t>
      </w:r>
      <w:r>
        <w:rPr>
          <w:rFonts w:hint="eastAsia"/>
          <w:lang w:val="es-ES"/>
        </w:rPr>
        <w:t>3</w:t>
      </w:r>
      <w:r>
        <w:rPr>
          <w:rFonts w:hint="eastAsia"/>
          <w:lang w:val="es-ES"/>
        </w:rPr>
        <w:t>款：如果犯罪人与受害人有四代以内血缘或亲缘关系，或与其配偶或伴侣或长期同居对象有一代姻亲关系，或者是在一个家庭中长期居住的成员，或者利用受害人的信任使犯罪人或一个或多个犯罪参与人得手。本条所述之姻亲关系是指任何形式的婚姻或自由结合关系。第</w:t>
      </w:r>
      <w:r>
        <w:rPr>
          <w:rFonts w:hint="eastAsia"/>
          <w:lang w:val="es-ES"/>
        </w:rPr>
        <w:t>4</w:t>
      </w:r>
      <w:r>
        <w:rPr>
          <w:rFonts w:hint="eastAsia"/>
          <w:lang w:val="es-ES"/>
        </w:rPr>
        <w:t>款：犯罪施行对象因其年龄、种族、身体残疾、心理残疾或智力残疾、职业或行业原因而属于弱势群体”。在上述情况下，量刑力度从加刑三分之一提高到加刑一半”；</w:t>
      </w:r>
    </w:p>
    <w:p w:rsidR="00A83775" w:rsidRDefault="00A83775">
      <w:pPr>
        <w:pStyle w:val="SingleTxtGC"/>
        <w:numPr>
          <w:ilvl w:val="0"/>
          <w:numId w:val="40"/>
        </w:numPr>
        <w:rPr>
          <w:lang w:val="es-ES"/>
        </w:rPr>
      </w:pPr>
      <w:r>
        <w:rPr>
          <w:rFonts w:hint="eastAsia"/>
          <w:lang w:val="es-ES"/>
        </w:rPr>
        <w:t>2009</w:t>
      </w:r>
      <w:r>
        <w:rPr>
          <w:rFonts w:hint="eastAsia"/>
          <w:lang w:val="es-ES"/>
        </w:rPr>
        <w:t>年的第</w:t>
      </w:r>
      <w:r>
        <w:rPr>
          <w:rFonts w:hint="eastAsia"/>
          <w:lang w:val="es-ES"/>
        </w:rPr>
        <w:t>1329</w:t>
      </w:r>
      <w:r>
        <w:rPr>
          <w:rFonts w:hint="eastAsia"/>
          <w:lang w:val="es-ES"/>
        </w:rPr>
        <w:t>号法和</w:t>
      </w:r>
      <w:r>
        <w:rPr>
          <w:rFonts w:hint="eastAsia"/>
          <w:lang w:val="es-ES"/>
        </w:rPr>
        <w:t>2009</w:t>
      </w:r>
      <w:r>
        <w:rPr>
          <w:rFonts w:hint="eastAsia"/>
          <w:lang w:val="es-ES"/>
        </w:rPr>
        <w:t>年的第</w:t>
      </w:r>
      <w:r>
        <w:rPr>
          <w:rFonts w:hint="eastAsia"/>
          <w:lang w:val="es-ES"/>
        </w:rPr>
        <w:t>1336</w:t>
      </w:r>
      <w:r>
        <w:rPr>
          <w:rFonts w:hint="eastAsia"/>
          <w:lang w:val="es-ES"/>
        </w:rPr>
        <w:t>号法：关于对男童、女童和青少年的商业性剥削的法律，这已经在前文中进行了论述。</w:t>
      </w:r>
    </w:p>
    <w:p w:rsidR="00A83775" w:rsidRDefault="00A83775">
      <w:pPr>
        <w:pStyle w:val="H23GC"/>
        <w:rPr>
          <w:lang w:val="es-ES"/>
        </w:rPr>
      </w:pPr>
      <w:r>
        <w:rPr>
          <w:lang w:val="es-ES"/>
        </w:rPr>
        <w:tab/>
        <w:t>3.</w:t>
      </w:r>
      <w:r>
        <w:rPr>
          <w:lang w:val="es-ES"/>
        </w:rPr>
        <w:tab/>
      </w:r>
      <w:r>
        <w:rPr>
          <w:rFonts w:hint="eastAsia"/>
          <w:lang w:val="es-ES"/>
        </w:rPr>
        <w:t>司法措施</w:t>
      </w:r>
    </w:p>
    <w:p w:rsidR="00A83775" w:rsidRDefault="00A83775">
      <w:pPr>
        <w:pStyle w:val="SingleTxtGC"/>
        <w:rPr>
          <w:iCs/>
          <w:lang w:val="es-ES"/>
        </w:rPr>
      </w:pPr>
      <w:r>
        <w:rPr>
          <w:iCs/>
          <w:lang w:val="es-ES"/>
        </w:rPr>
        <w:t xml:space="preserve">233.  </w:t>
      </w:r>
      <w:r>
        <w:rPr>
          <w:rFonts w:hint="eastAsia"/>
          <w:iCs/>
          <w:lang w:val="es-ES"/>
        </w:rPr>
        <w:t>在本条对应的附件</w:t>
      </w:r>
      <w:r>
        <w:rPr>
          <w:rFonts w:hint="eastAsia"/>
          <w:iCs/>
          <w:lang w:val="es-ES"/>
        </w:rPr>
        <w:t>5</w:t>
      </w:r>
      <w:r>
        <w:rPr>
          <w:rFonts w:hint="eastAsia"/>
          <w:iCs/>
          <w:lang w:val="es-ES"/>
        </w:rPr>
        <w:t>中，列出了下列审判的全文：</w:t>
      </w:r>
    </w:p>
    <w:p w:rsidR="00A83775" w:rsidRDefault="00A83775">
      <w:pPr>
        <w:pStyle w:val="SingleTxtGC"/>
        <w:numPr>
          <w:ilvl w:val="0"/>
          <w:numId w:val="41"/>
        </w:numPr>
        <w:rPr>
          <w:lang w:val="es-ES"/>
        </w:rPr>
      </w:pPr>
      <w:r>
        <w:rPr>
          <w:rFonts w:hint="eastAsia"/>
          <w:lang w:val="es-ES"/>
        </w:rPr>
        <w:t>最高司法法院，</w:t>
      </w:r>
      <w:r>
        <w:rPr>
          <w:rFonts w:hint="eastAsia"/>
          <w:lang w:val="es-ES"/>
        </w:rPr>
        <w:t>2006</w:t>
      </w:r>
      <w:r>
        <w:rPr>
          <w:rFonts w:hint="eastAsia"/>
          <w:lang w:val="es-ES"/>
        </w:rPr>
        <w:t>年</w:t>
      </w:r>
      <w:r>
        <w:rPr>
          <w:rFonts w:hint="eastAsia"/>
          <w:lang w:val="es-ES"/>
        </w:rPr>
        <w:t>10</w:t>
      </w:r>
      <w:r>
        <w:rPr>
          <w:rFonts w:hint="eastAsia"/>
          <w:lang w:val="es-ES"/>
        </w:rPr>
        <w:t>月</w:t>
      </w:r>
      <w:r>
        <w:rPr>
          <w:rFonts w:hint="eastAsia"/>
          <w:lang w:val="es-ES"/>
        </w:rPr>
        <w:t>12</w:t>
      </w:r>
      <w:r>
        <w:rPr>
          <w:rFonts w:hint="eastAsia"/>
          <w:lang w:val="es-ES"/>
        </w:rPr>
        <w:t>日作出的上诉判决，卷宗号</w:t>
      </w:r>
      <w:r>
        <w:rPr>
          <w:rFonts w:hint="eastAsia"/>
          <w:lang w:val="es-ES"/>
        </w:rPr>
        <w:t>25465</w:t>
      </w:r>
      <w:r>
        <w:rPr>
          <w:rFonts w:hint="eastAsia"/>
          <w:lang w:val="es-ES"/>
        </w:rPr>
        <w:t>，主审大法官：马丽娜·普利多·德·巴隆，判决称：“现在，由于根据</w:t>
      </w:r>
      <w:r>
        <w:rPr>
          <w:rFonts w:hint="eastAsia"/>
          <w:lang w:val="es-ES"/>
        </w:rPr>
        <w:t>2002</w:t>
      </w:r>
      <w:r>
        <w:rPr>
          <w:rFonts w:hint="eastAsia"/>
          <w:lang w:val="es-ES"/>
        </w:rPr>
        <w:t>年的第</w:t>
      </w:r>
      <w:r>
        <w:rPr>
          <w:rFonts w:hint="eastAsia"/>
          <w:lang w:val="es-ES"/>
        </w:rPr>
        <w:t>747</w:t>
      </w:r>
      <w:r>
        <w:rPr>
          <w:rFonts w:hint="eastAsia"/>
          <w:lang w:val="es-ES"/>
        </w:rPr>
        <w:t>号法对</w:t>
      </w:r>
      <w:r>
        <w:rPr>
          <w:rFonts w:hint="eastAsia"/>
          <w:lang w:val="es-ES"/>
        </w:rPr>
        <w:t>2000</w:t>
      </w:r>
      <w:r>
        <w:rPr>
          <w:rFonts w:hint="eastAsia"/>
          <w:lang w:val="es-ES"/>
        </w:rPr>
        <w:t>年的第</w:t>
      </w:r>
      <w:r>
        <w:rPr>
          <w:rFonts w:hint="eastAsia"/>
          <w:lang w:val="es-ES"/>
        </w:rPr>
        <w:t>599</w:t>
      </w:r>
      <w:r>
        <w:rPr>
          <w:rFonts w:hint="eastAsia"/>
          <w:lang w:val="es-ES"/>
        </w:rPr>
        <w:t>号法第</w:t>
      </w:r>
      <w:r>
        <w:rPr>
          <w:rFonts w:hint="eastAsia"/>
          <w:lang w:val="es-ES"/>
        </w:rPr>
        <w:t>188</w:t>
      </w:r>
      <w:r>
        <w:rPr>
          <w:rFonts w:hint="eastAsia"/>
          <w:lang w:val="es-ES"/>
        </w:rPr>
        <w:t>条进行了补充，增加了第</w:t>
      </w:r>
      <w:r>
        <w:rPr>
          <w:rFonts w:hint="eastAsia"/>
          <w:lang w:val="es-ES"/>
        </w:rPr>
        <w:t>188A</w:t>
      </w:r>
      <w:r>
        <w:rPr>
          <w:rFonts w:hint="eastAsia"/>
          <w:lang w:val="es-ES"/>
        </w:rPr>
        <w:t>条，在这一条中对人口贩运罪进行了定性，并明确了这一罪行与偷运移民罪之间的相似点和不同点，因为人们往往会对二者产生混淆，正如本案的情况”。（在附件中包含了这一判决的全文）；</w:t>
      </w:r>
    </w:p>
    <w:p w:rsidR="00A83775" w:rsidRDefault="00A83775">
      <w:pPr>
        <w:pStyle w:val="SingleTxtGC"/>
        <w:numPr>
          <w:ilvl w:val="0"/>
          <w:numId w:val="41"/>
        </w:numPr>
        <w:rPr>
          <w:lang w:val="es-ES"/>
        </w:rPr>
      </w:pPr>
      <w:r>
        <w:rPr>
          <w:rFonts w:hint="eastAsia"/>
          <w:lang w:val="pt-BR"/>
        </w:rPr>
        <w:t>第</w:t>
      </w:r>
      <w:r>
        <w:rPr>
          <w:rFonts w:hint="eastAsia"/>
          <w:lang w:val="pt-BR"/>
        </w:rPr>
        <w:t>C-636/09</w:t>
      </w:r>
      <w:r>
        <w:rPr>
          <w:rFonts w:hint="eastAsia"/>
          <w:lang w:val="pt-BR"/>
        </w:rPr>
        <w:t>号判决：指出：卖淫行为并不在禁止之列，但是国家有义务减少其危害性。“对于法院来说，显而易见，尽管哥伦比亚的宪法制度并未对卖淫行为明令禁止，但是宪法规定了国家不得忽视其危害性，因此尽管这一行为合法，但是必须对卖淫行为设置合理的限定，各级公共当局应当采取必要措施来避免这一行为的蔓延并减轻其负面效应，将其认定为人性的堕落，是社会中滋生的黑暗面”</w:t>
      </w:r>
      <w:r>
        <w:rPr>
          <w:rFonts w:hint="eastAsia"/>
          <w:lang w:val="es-ES"/>
        </w:rPr>
        <w:t>。</w:t>
      </w:r>
      <w:r>
        <w:rPr>
          <w:vertAlign w:val="superscript"/>
          <w:lang w:val="es-ES"/>
        </w:rPr>
        <w:footnoteReference w:id="118"/>
      </w:r>
      <w:r>
        <w:rPr>
          <w:lang w:val="es-ES"/>
        </w:rPr>
        <w:t xml:space="preserve"> </w:t>
      </w:r>
    </w:p>
    <w:p w:rsidR="00A83775" w:rsidRDefault="00A83775">
      <w:pPr>
        <w:pStyle w:val="H23GC"/>
        <w:rPr>
          <w:rFonts w:hint="eastAsia"/>
          <w:lang w:val="es-ES"/>
        </w:rPr>
      </w:pPr>
      <w:r>
        <w:rPr>
          <w:lang w:val="es-ES"/>
        </w:rPr>
        <w:tab/>
        <w:t>4.</w:t>
      </w:r>
      <w:r>
        <w:rPr>
          <w:lang w:val="es-ES"/>
        </w:rPr>
        <w:tab/>
      </w:r>
      <w:r>
        <w:rPr>
          <w:rFonts w:hint="eastAsia"/>
          <w:lang w:val="es-ES"/>
        </w:rPr>
        <w:t>现状</w:t>
      </w:r>
      <w:r>
        <w:rPr>
          <w:rFonts w:hint="eastAsia"/>
          <w:lang w:val="es-ES"/>
        </w:rPr>
        <w:t>/</w:t>
      </w:r>
      <w:r>
        <w:rPr>
          <w:rFonts w:hint="eastAsia"/>
          <w:lang w:val="es-ES"/>
        </w:rPr>
        <w:t>统计信息</w:t>
      </w:r>
    </w:p>
    <w:p w:rsidR="00A83775" w:rsidRDefault="00A83775">
      <w:pPr>
        <w:pStyle w:val="SingleTxtGC"/>
        <w:rPr>
          <w:lang w:val="es-ES"/>
        </w:rPr>
      </w:pPr>
      <w:r>
        <w:rPr>
          <w:lang w:val="es-ES"/>
        </w:rPr>
        <w:t xml:space="preserve">234.  </w:t>
      </w:r>
      <w:r>
        <w:rPr>
          <w:rFonts w:hint="eastAsia"/>
          <w:lang w:val="es-ES"/>
        </w:rPr>
        <w:t>在本条所对应的附件</w:t>
      </w:r>
      <w:r>
        <w:rPr>
          <w:rFonts w:hint="eastAsia"/>
          <w:lang w:val="es-ES"/>
        </w:rPr>
        <w:t>6</w:t>
      </w:r>
      <w:r>
        <w:rPr>
          <w:rFonts w:hint="eastAsia"/>
          <w:lang w:val="es-ES"/>
        </w:rPr>
        <w:t>中附有外交部提供的与境外人口贩运有关的数字。外交部</w:t>
      </w:r>
      <w:r>
        <w:rPr>
          <w:rFonts w:hint="eastAsia"/>
          <w:lang w:val="zh-CN"/>
        </w:rPr>
        <w:t>通过</w:t>
      </w:r>
      <w:r>
        <w:rPr>
          <w:rFonts w:hint="eastAsia"/>
          <w:lang w:val="es-ES"/>
        </w:rPr>
        <w:t>哥伦比亚驻外各领事馆受理的关于此类案件的报告整理得出了这些统计信息。</w:t>
      </w:r>
    </w:p>
    <w:p w:rsidR="00A83775" w:rsidRDefault="00A83775">
      <w:pPr>
        <w:pStyle w:val="SingleTxtGC"/>
        <w:rPr>
          <w:lang w:val="es-ES"/>
        </w:rPr>
      </w:pPr>
      <w:r>
        <w:rPr>
          <w:lang w:val="es-CO"/>
        </w:rPr>
        <w:t xml:space="preserve">235.  </w:t>
      </w:r>
      <w:r>
        <w:rPr>
          <w:rFonts w:hint="eastAsia"/>
          <w:lang w:val="es-CO"/>
        </w:rPr>
        <w:t>另一方面，刑事案件研究处的刑事犯罪研究中心以及刑警组织掌握了与国家警察总署</w:t>
      </w:r>
      <w:r>
        <w:rPr>
          <w:rFonts w:hint="eastAsia"/>
          <w:lang w:val="zh-CN"/>
        </w:rPr>
        <w:t>了解</w:t>
      </w:r>
      <w:r>
        <w:rPr>
          <w:rFonts w:hint="eastAsia"/>
          <w:lang w:val="es-CO"/>
        </w:rPr>
        <w:t>或者已经受理的案件的相应数据。需要强调的一点是，国家警察总署，不同于打击人口贩运活动信息中心（</w:t>
      </w:r>
      <w:r>
        <w:rPr>
          <w:rFonts w:hint="eastAsia"/>
          <w:lang w:val="es-CO"/>
        </w:rPr>
        <w:t>COAT</w:t>
      </w:r>
      <w:r>
        <w:rPr>
          <w:rFonts w:hint="eastAsia"/>
          <w:lang w:val="es-CO"/>
        </w:rPr>
        <w:t>），其提供的统计信息对应的是专门由国家警察总署掌握的犯罪案件以及由其开展的行动，相应信息通过违法犯罪与侦查行动统计信息系统（</w:t>
      </w:r>
      <w:r>
        <w:rPr>
          <w:rFonts w:hint="eastAsia"/>
          <w:lang w:val="es-CO"/>
        </w:rPr>
        <w:t>SIEDCO</w:t>
      </w:r>
      <w:r>
        <w:rPr>
          <w:rFonts w:hint="eastAsia"/>
          <w:lang w:val="es-CO"/>
        </w:rPr>
        <w:t>）这一应用进行报告，其接触到的人口贩运案件仅涉及境内犯罪部分。详情请参见本条对应的附件</w:t>
      </w:r>
      <w:r>
        <w:rPr>
          <w:rFonts w:hint="eastAsia"/>
          <w:lang w:val="es-CO"/>
        </w:rPr>
        <w:t>7</w:t>
      </w:r>
      <w:r>
        <w:rPr>
          <w:rFonts w:hint="eastAsia"/>
          <w:lang w:val="es-CO"/>
        </w:rPr>
        <w:t>和附件</w:t>
      </w:r>
      <w:r>
        <w:rPr>
          <w:rFonts w:hint="eastAsia"/>
          <w:lang w:val="es-CO"/>
        </w:rPr>
        <w:t>8</w:t>
      </w:r>
      <w:r>
        <w:rPr>
          <w:rFonts w:hint="eastAsia"/>
          <w:lang w:val="es-CO"/>
        </w:rPr>
        <w:t>。</w:t>
      </w:r>
    </w:p>
    <w:p w:rsidR="00A83775" w:rsidRDefault="00A83775">
      <w:pPr>
        <w:pStyle w:val="H23GC"/>
        <w:rPr>
          <w:rFonts w:hint="eastAsia"/>
          <w:lang w:val="es-ES"/>
        </w:rPr>
      </w:pPr>
      <w:r>
        <w:rPr>
          <w:lang w:val="es-ES"/>
        </w:rPr>
        <w:tab/>
        <w:t>5.</w:t>
      </w:r>
      <w:r>
        <w:rPr>
          <w:lang w:val="es-ES"/>
        </w:rPr>
        <w:tab/>
      </w:r>
      <w:r>
        <w:rPr>
          <w:rFonts w:hint="eastAsia"/>
          <w:lang w:val="es-ES"/>
        </w:rPr>
        <w:t>新出台或持续推行的措施</w:t>
      </w:r>
    </w:p>
    <w:p w:rsidR="00A83775" w:rsidRDefault="00A83775">
      <w:pPr>
        <w:pStyle w:val="SingleTxtGC"/>
        <w:rPr>
          <w:rFonts w:eastAsia="SimHei"/>
          <w:lang w:val="es-ES"/>
        </w:rPr>
      </w:pPr>
      <w:r>
        <w:rPr>
          <w:rFonts w:eastAsia="SimHei" w:hint="eastAsia"/>
          <w:lang w:val="es-ES"/>
        </w:rPr>
        <w:t>拟定各类针对人口贩运受害妇女的紧急救助方案，以间接方式帮助受害者得到身心康复和社会恢复</w:t>
      </w:r>
    </w:p>
    <w:p w:rsidR="00A83775" w:rsidRDefault="00A83775">
      <w:pPr>
        <w:pStyle w:val="SingleTxtGC"/>
        <w:rPr>
          <w:lang w:val="es-ES"/>
        </w:rPr>
      </w:pPr>
      <w:r>
        <w:rPr>
          <w:lang w:val="es-ES"/>
        </w:rPr>
        <w:t xml:space="preserve">236.  </w:t>
      </w:r>
      <w:r>
        <w:rPr>
          <w:rFonts w:hint="eastAsia"/>
          <w:lang w:val="es-ES"/>
        </w:rPr>
        <w:t>根据</w:t>
      </w:r>
      <w:r>
        <w:rPr>
          <w:rFonts w:hint="eastAsia"/>
          <w:lang w:val="es-ES"/>
        </w:rPr>
        <w:t>2005</w:t>
      </w:r>
      <w:r>
        <w:rPr>
          <w:rFonts w:hint="eastAsia"/>
          <w:lang w:val="es-ES"/>
        </w:rPr>
        <w:t>年的第</w:t>
      </w:r>
      <w:r>
        <w:rPr>
          <w:rFonts w:hint="eastAsia"/>
          <w:lang w:val="es-ES"/>
        </w:rPr>
        <w:t>985</w:t>
      </w:r>
      <w:r>
        <w:rPr>
          <w:rFonts w:hint="eastAsia"/>
          <w:lang w:val="es-ES"/>
        </w:rPr>
        <w:t>号法第</w:t>
      </w:r>
      <w:r>
        <w:rPr>
          <w:rFonts w:hint="eastAsia"/>
          <w:lang w:val="es-ES"/>
        </w:rPr>
        <w:t>7</w:t>
      </w:r>
      <w:r>
        <w:rPr>
          <w:rFonts w:hint="eastAsia"/>
          <w:lang w:val="es-ES"/>
        </w:rPr>
        <w:t>条</w:t>
      </w:r>
      <w:r>
        <w:rPr>
          <w:vertAlign w:val="superscript"/>
          <w:lang w:val="es-ES"/>
        </w:rPr>
        <w:footnoteReference w:id="119"/>
      </w:r>
      <w:r>
        <w:rPr>
          <w:lang w:val="es-ES"/>
        </w:rPr>
        <w:t xml:space="preserve"> </w:t>
      </w:r>
      <w:r>
        <w:rPr>
          <w:rFonts w:hint="eastAsia"/>
          <w:lang w:val="es-ES"/>
        </w:rPr>
        <w:t>之规定，哥伦比亚政府应当设计制定此类方案。为提供适当的救助服务，内政和司法部正努力制定出台一则救助法令草案，旨在让国家各部门各司其职，在各项方案和计划的实施以及服务的提供过程中承担其应尽的责任。以此使该法律中规划的救助方针以适当方式有效落到实处。</w:t>
      </w:r>
      <w:r>
        <w:rPr>
          <w:lang w:val="es-ES"/>
        </w:rPr>
        <w:t xml:space="preserve"> </w:t>
      </w:r>
    </w:p>
    <w:p w:rsidR="00A83775" w:rsidRDefault="00A83775">
      <w:pPr>
        <w:pStyle w:val="SingleTxtGC"/>
        <w:rPr>
          <w:lang w:val="es-ES"/>
        </w:rPr>
      </w:pPr>
      <w:r>
        <w:rPr>
          <w:lang w:val="es-ES"/>
        </w:rPr>
        <w:t xml:space="preserve">237.  </w:t>
      </w:r>
      <w:r>
        <w:rPr>
          <w:rFonts w:hint="eastAsia"/>
          <w:lang w:val="es-ES"/>
        </w:rPr>
        <w:t>通过在哥伦比亚制定和实施一项旨在对受害妇女进行救助的战略，努力</w:t>
      </w:r>
      <w:r>
        <w:rPr>
          <w:rFonts w:eastAsia="SimHei" w:hint="eastAsia"/>
          <w:lang w:val="es-ES"/>
        </w:rPr>
        <w:t>强化帮助受害者的工作力度</w:t>
      </w:r>
      <w:r>
        <w:rPr>
          <w:rFonts w:hint="eastAsia"/>
          <w:lang w:val="es-ES"/>
        </w:rPr>
        <w:t>。这一战略在于开展必要行动，并支付在对由</w:t>
      </w:r>
      <w:r>
        <w:rPr>
          <w:rFonts w:hint="eastAsia"/>
          <w:lang w:val="es-CO"/>
        </w:rPr>
        <w:t>打击人口贩运活动</w:t>
      </w:r>
      <w:r>
        <w:rPr>
          <w:rFonts w:hint="eastAsia"/>
          <w:lang w:val="zh-CN"/>
        </w:rPr>
        <w:t>信息中心</w:t>
      </w:r>
      <w:r>
        <w:rPr>
          <w:rFonts w:hint="eastAsia"/>
          <w:lang w:val="es-CO"/>
        </w:rPr>
        <w:t>确定为人口贩运受害者实施紧急救助和帮助其重返社会的过程中所发生的服务费用。</w:t>
      </w:r>
    </w:p>
    <w:p w:rsidR="00A83775" w:rsidRDefault="00A83775">
      <w:pPr>
        <w:pStyle w:val="SingleTxtGC"/>
        <w:rPr>
          <w:rFonts w:hint="eastAsia"/>
          <w:lang w:val="es-ES"/>
        </w:rPr>
      </w:pPr>
      <w:r>
        <w:rPr>
          <w:lang w:val="es-ES"/>
        </w:rPr>
        <w:t xml:space="preserve">238.  </w:t>
      </w:r>
      <w:r>
        <w:rPr>
          <w:rFonts w:hint="eastAsia"/>
          <w:lang w:val="es-ES"/>
        </w:rPr>
        <w:t>计划开展工作以</w:t>
      </w:r>
      <w:r>
        <w:rPr>
          <w:rFonts w:eastAsia="SimHei" w:hint="eastAsia"/>
          <w:lang w:val="es-ES"/>
        </w:rPr>
        <w:t>加强打击人口贩运活动国家战略的各项工作主线</w:t>
      </w:r>
      <w:r>
        <w:rPr>
          <w:rFonts w:hint="eastAsia"/>
          <w:lang w:val="es-ES"/>
        </w:rPr>
        <w:t>，为此开展了以下行动：使国家信息系统投入使用并维持其运转，设计开展一次预防性运动以及在</w:t>
      </w:r>
      <w:r>
        <w:rPr>
          <w:rFonts w:hint="eastAsia"/>
          <w:lang w:val="zh-CN"/>
        </w:rPr>
        <w:t>大众传媒</w:t>
      </w:r>
      <w:r>
        <w:rPr>
          <w:rFonts w:hint="eastAsia"/>
          <w:lang w:val="es-ES"/>
        </w:rPr>
        <w:t>上对该运动的宣传计划，运动规模覆盖国家和地方层面，实施一项预防性战略，将工作重点向来自瓜伊尼亚省土著人口的男童、女童和青少年倾斜，并开展一项调查研究，明确哥伦比亚人口贩运活动的规模和相关要素。</w:t>
      </w:r>
      <w:r>
        <w:rPr>
          <w:vertAlign w:val="superscript"/>
          <w:lang w:val="es-ES"/>
        </w:rPr>
        <w:footnoteReference w:id="120"/>
      </w:r>
    </w:p>
    <w:p w:rsidR="00A83775" w:rsidRDefault="00A83775">
      <w:pPr>
        <w:pStyle w:val="HChGC"/>
        <w:rPr>
          <w:lang w:val="es-ES"/>
        </w:rPr>
      </w:pPr>
      <w:r>
        <w:rPr>
          <w:rFonts w:hint="eastAsia"/>
          <w:lang w:val="es-ES"/>
        </w:rPr>
        <w:tab/>
      </w:r>
      <w:r>
        <w:rPr>
          <w:rFonts w:hint="eastAsia"/>
          <w:lang w:val="es-ES"/>
        </w:rPr>
        <w:t>三</w:t>
      </w:r>
      <w:r>
        <w:rPr>
          <w:lang w:val="es-ES"/>
        </w:rPr>
        <w:t>.</w:t>
      </w:r>
      <w:r>
        <w:rPr>
          <w:rFonts w:hint="eastAsia"/>
          <w:lang w:val="es-ES"/>
        </w:rPr>
        <w:tab/>
      </w:r>
      <w:r>
        <w:rPr>
          <w:rFonts w:hint="eastAsia"/>
          <w:lang w:val="es-ES"/>
        </w:rPr>
        <w:t>《公约》第二部分</w:t>
      </w:r>
    </w:p>
    <w:p w:rsidR="00A83775" w:rsidRDefault="00A83775">
      <w:pPr>
        <w:pStyle w:val="H1GC"/>
        <w:rPr>
          <w:rFonts w:hint="eastAsia"/>
          <w:lang w:val="es-ES"/>
        </w:rPr>
      </w:pPr>
      <w:r>
        <w:rPr>
          <w:lang w:val="es-ES"/>
        </w:rPr>
        <w:tab/>
        <w:t>A.</w:t>
      </w:r>
      <w:r>
        <w:rPr>
          <w:lang w:val="es-ES"/>
        </w:rPr>
        <w:tab/>
      </w:r>
      <w:r>
        <w:rPr>
          <w:rFonts w:hint="eastAsia"/>
          <w:lang w:val="es-ES"/>
        </w:rPr>
        <w:t>第七条</w:t>
      </w:r>
    </w:p>
    <w:p w:rsidR="00A83775" w:rsidRDefault="00A83775">
      <w:pPr>
        <w:pStyle w:val="SingleTxtGC"/>
        <w:rPr>
          <w:lang w:val="es-ES"/>
        </w:rPr>
      </w:pPr>
      <w:r>
        <w:rPr>
          <w:lang w:val="es-ES"/>
        </w:rPr>
        <w:t xml:space="preserve">239.  </w:t>
      </w:r>
      <w:r>
        <w:rPr>
          <w:rFonts w:hint="eastAsia"/>
          <w:lang w:val="es-ES"/>
        </w:rPr>
        <w:t>与委员会向哥伦比亚提出的具体建议（</w:t>
      </w:r>
      <w:r>
        <w:rPr>
          <w:lang w:val="es-ES"/>
        </w:rPr>
        <w:t>CEDAW/C/COL/CO/6</w:t>
      </w:r>
      <w:r>
        <w:rPr>
          <w:rFonts w:hint="eastAsia"/>
          <w:lang w:val="es-ES"/>
        </w:rPr>
        <w:t>，第</w:t>
      </w:r>
      <w:r>
        <w:rPr>
          <w:rFonts w:hint="eastAsia"/>
          <w:lang w:val="es-ES"/>
        </w:rPr>
        <w:t>13</w:t>
      </w:r>
      <w:r>
        <w:rPr>
          <w:rFonts w:hint="eastAsia"/>
          <w:lang w:val="es-ES"/>
        </w:rPr>
        <w:t>段）及委员会</w:t>
      </w:r>
      <w:r>
        <w:rPr>
          <w:rFonts w:hint="eastAsia"/>
          <w:lang w:val="zh-CN"/>
        </w:rPr>
        <w:t>第</w:t>
      </w:r>
      <w:r>
        <w:rPr>
          <w:rFonts w:hint="eastAsia"/>
          <w:lang w:val="zh-CN"/>
        </w:rPr>
        <w:t>5</w:t>
      </w:r>
      <w:r>
        <w:rPr>
          <w:rFonts w:hint="eastAsia"/>
          <w:lang w:val="es-ES"/>
        </w:rPr>
        <w:t>和</w:t>
      </w:r>
      <w:r>
        <w:rPr>
          <w:rFonts w:hint="eastAsia"/>
          <w:lang w:val="es-ES"/>
        </w:rPr>
        <w:t>23</w:t>
      </w:r>
      <w:r>
        <w:rPr>
          <w:rFonts w:hint="eastAsia"/>
          <w:lang w:val="es-ES"/>
        </w:rPr>
        <w:t>号一般性建议有关。</w:t>
      </w:r>
    </w:p>
    <w:p w:rsidR="00A83775" w:rsidRDefault="00A83775">
      <w:pPr>
        <w:pStyle w:val="H23GC"/>
        <w:rPr>
          <w:lang w:val="es-ES"/>
        </w:rPr>
      </w:pPr>
      <w:r>
        <w:rPr>
          <w:lang w:val="es-ES"/>
        </w:rPr>
        <w:tab/>
        <w:t>1.</w:t>
      </w:r>
      <w:r>
        <w:rPr>
          <w:lang w:val="es-ES"/>
        </w:rPr>
        <w:tab/>
      </w:r>
      <w:r>
        <w:rPr>
          <w:rFonts w:hint="eastAsia"/>
          <w:lang w:val="es-ES"/>
        </w:rPr>
        <w:t>行政措施</w:t>
      </w:r>
      <w:r>
        <w:rPr>
          <w:lang w:val="es-ES"/>
        </w:rPr>
        <w:t xml:space="preserve"> </w:t>
      </w:r>
    </w:p>
    <w:p w:rsidR="00A83775" w:rsidRDefault="00A83775">
      <w:pPr>
        <w:pStyle w:val="SingleTxtGC"/>
        <w:rPr>
          <w:lang w:val="es-ES"/>
        </w:rPr>
      </w:pPr>
      <w:r>
        <w:rPr>
          <w:lang w:val="es-ES"/>
        </w:rPr>
        <w:t xml:space="preserve">240.  </w:t>
      </w:r>
      <w:r>
        <w:rPr>
          <w:rFonts w:eastAsia="SimHei" w:hint="eastAsia"/>
          <w:lang w:val="es-ES"/>
        </w:rPr>
        <w:t>关于使妇女有效参与政治的协定</w:t>
      </w:r>
      <w:r>
        <w:rPr>
          <w:rFonts w:hint="eastAsia"/>
          <w:lang w:val="es-ES"/>
        </w:rPr>
        <w:t>：</w:t>
      </w:r>
      <w:r>
        <w:rPr>
          <w:rFonts w:hint="eastAsia"/>
          <w:lang w:val="es-ES"/>
        </w:rPr>
        <w:t>2005</w:t>
      </w:r>
      <w:r>
        <w:rPr>
          <w:rFonts w:hint="eastAsia"/>
          <w:lang w:val="es-ES"/>
        </w:rPr>
        <w:t>年</w:t>
      </w:r>
      <w:r>
        <w:rPr>
          <w:rFonts w:hint="eastAsia"/>
          <w:lang w:val="es-ES"/>
        </w:rPr>
        <w:t>10</w:t>
      </w:r>
      <w:r>
        <w:rPr>
          <w:rFonts w:hint="eastAsia"/>
          <w:lang w:val="es-ES"/>
        </w:rPr>
        <w:t>月由各政党和政治团体签署。在协定中承诺加强妇女在民主政治中所起的作用，具体落实旨在确保通过各项解放妇女的行动使妇女切实进入权力场的各项战略。这一协定包含</w:t>
      </w:r>
      <w:r>
        <w:rPr>
          <w:rFonts w:hint="eastAsia"/>
          <w:lang w:val="es-ES"/>
        </w:rPr>
        <w:t>5</w:t>
      </w:r>
      <w:r>
        <w:rPr>
          <w:rFonts w:hint="eastAsia"/>
          <w:lang w:val="es-ES"/>
        </w:rPr>
        <w:t>条战略方针，涉及政治、经济、社交、战略和教育与培训领域。这些战略的实施情况由一家性别事务联络组负责监督，以跟踪监测协定中各项承诺的落实情况。有些政党，如民主变革中心党和激进变革党都已经设立了妇女事务厅。在本条对应的附件</w:t>
      </w:r>
      <w:r>
        <w:rPr>
          <w:rFonts w:hint="eastAsia"/>
          <w:lang w:val="es-ES"/>
        </w:rPr>
        <w:t>1</w:t>
      </w:r>
      <w:r>
        <w:rPr>
          <w:rFonts w:hint="eastAsia"/>
          <w:lang w:val="es-ES"/>
        </w:rPr>
        <w:t>中包含了这一协定。</w:t>
      </w:r>
    </w:p>
    <w:p w:rsidR="00A83775" w:rsidRDefault="00A83775">
      <w:pPr>
        <w:pStyle w:val="SingleTxtGC"/>
        <w:rPr>
          <w:lang w:val="es-ES"/>
        </w:rPr>
      </w:pPr>
      <w:r>
        <w:rPr>
          <w:lang w:val="es-ES"/>
        </w:rPr>
        <w:t xml:space="preserve">241.  </w:t>
      </w:r>
      <w:r>
        <w:rPr>
          <w:rFonts w:eastAsia="SimHei" w:hint="eastAsia"/>
          <w:lang w:val="zh-CN"/>
        </w:rPr>
        <w:t>论坛</w:t>
      </w:r>
      <w:r>
        <w:rPr>
          <w:rFonts w:eastAsia="SimHei" w:hint="eastAsia"/>
          <w:lang w:val="es-ES"/>
        </w:rPr>
        <w:t>/</w:t>
      </w:r>
      <w:r>
        <w:rPr>
          <w:rFonts w:eastAsia="SimHei" w:hint="eastAsia"/>
          <w:lang w:val="es-ES"/>
        </w:rPr>
        <w:t>研讨会</w:t>
      </w:r>
      <w:r>
        <w:rPr>
          <w:rFonts w:eastAsia="SimHei" w:hint="eastAsia"/>
          <w:lang w:val="es-ES"/>
        </w:rPr>
        <w:t>/</w:t>
      </w:r>
      <w:r>
        <w:rPr>
          <w:rFonts w:eastAsia="SimHei" w:hint="eastAsia"/>
          <w:lang w:val="es-ES"/>
        </w:rPr>
        <w:t>教育讲座等主题活动</w:t>
      </w:r>
      <w:r>
        <w:rPr>
          <w:rFonts w:hint="eastAsia"/>
          <w:lang w:val="es-ES"/>
        </w:rPr>
        <w:t>：开辟空间以了解旨在提高妇女地位和两性平等的国家政府各项战略，增进妇女权利，加强公民参与机制，在全国范围内将妇女纳入到由妇女平等事务总统高级顾问办公室推动实施的对其有利的方案和战略中。通过由</w:t>
      </w:r>
      <w:r>
        <w:rPr>
          <w:lang w:val="en-GB"/>
        </w:rPr>
        <w:t>妇女社区委员会和</w:t>
      </w:r>
      <w:r>
        <w:rPr>
          <w:rFonts w:hint="eastAsia"/>
          <w:lang w:val="en-GB"/>
        </w:rPr>
        <w:t>咖啡业从业</w:t>
      </w:r>
      <w:r>
        <w:rPr>
          <w:lang w:val="en-GB"/>
        </w:rPr>
        <w:t>妇女</w:t>
      </w:r>
      <w:r>
        <w:rPr>
          <w:rFonts w:hint="eastAsia"/>
          <w:lang w:val="es-ES"/>
        </w:rPr>
        <w:t>参与委员会，以及为妇女提供各类机会的教育讲座，每年以直接和间接方式接受培训的妇女人数已达到</w:t>
      </w:r>
      <w:r>
        <w:rPr>
          <w:rFonts w:hint="eastAsia"/>
          <w:lang w:val="es-ES"/>
        </w:rPr>
        <w:t>100</w:t>
      </w:r>
      <w:r>
        <w:rPr>
          <w:lang w:val="es-ES"/>
        </w:rPr>
        <w:t>,</w:t>
      </w:r>
      <w:r>
        <w:rPr>
          <w:rFonts w:hint="eastAsia"/>
          <w:lang w:val="es-ES"/>
        </w:rPr>
        <w:t>000</w:t>
      </w:r>
      <w:r>
        <w:rPr>
          <w:rFonts w:hint="eastAsia"/>
          <w:lang w:val="es-ES"/>
        </w:rPr>
        <w:t>人。</w:t>
      </w:r>
    </w:p>
    <w:p w:rsidR="00A83775" w:rsidRDefault="00A83775">
      <w:pPr>
        <w:pStyle w:val="SingleTxtGC"/>
        <w:rPr>
          <w:lang w:val="zh-CN"/>
        </w:rPr>
      </w:pPr>
      <w:r>
        <w:rPr>
          <w:lang w:val="es-ES"/>
        </w:rPr>
        <w:t xml:space="preserve">242.  </w:t>
      </w:r>
      <w:r>
        <w:rPr>
          <w:rFonts w:eastAsia="SimHei" w:hint="eastAsia"/>
          <w:lang w:val="es-ES"/>
        </w:rPr>
        <w:t>妇女社区委员会</w:t>
      </w:r>
      <w:r>
        <w:rPr>
          <w:rFonts w:hint="eastAsia"/>
          <w:lang w:val="es-ES"/>
        </w:rPr>
        <w:t>：妇女社区委员会的宗旨是：促进妇女参与公共政策，支持行政首长的工作，以推进落实有助于提高妇女地位和促进两性平等的现有政策，维</w:t>
      </w:r>
      <w:r>
        <w:rPr>
          <w:rFonts w:hint="eastAsia"/>
          <w:lang w:val="zh-CN"/>
        </w:rPr>
        <w:t>持各部门与妇女社会组织之间的经常性对话，在地方、省和市各级推动妇女参与进程，连结和支持妇女网络工作，促进参与和打击对妇女的暴力。</w:t>
      </w:r>
      <w:r>
        <w:rPr>
          <w:rFonts w:hint="eastAsia"/>
          <w:lang w:val="zh-CN"/>
        </w:rPr>
        <w:t>2008</w:t>
      </w:r>
      <w:r>
        <w:rPr>
          <w:rFonts w:hint="eastAsia"/>
          <w:lang w:val="zh-CN"/>
        </w:rPr>
        <w:t>年</w:t>
      </w:r>
      <w:r>
        <w:rPr>
          <w:rFonts w:hint="eastAsia"/>
          <w:lang w:val="zh-CN"/>
        </w:rPr>
        <w:t>9</w:t>
      </w:r>
      <w:r>
        <w:rPr>
          <w:rFonts w:hint="eastAsia"/>
          <w:lang w:val="zh-CN"/>
        </w:rPr>
        <w:t>月至</w:t>
      </w:r>
      <w:r>
        <w:rPr>
          <w:rFonts w:hint="eastAsia"/>
          <w:lang w:val="zh-CN"/>
        </w:rPr>
        <w:t>2010</w:t>
      </w:r>
      <w:r>
        <w:rPr>
          <w:rFonts w:hint="eastAsia"/>
          <w:lang w:val="zh-CN"/>
        </w:rPr>
        <w:t>年间，全国各地已成立了</w:t>
      </w:r>
      <w:r>
        <w:rPr>
          <w:rFonts w:hint="eastAsia"/>
          <w:lang w:val="zh-CN"/>
        </w:rPr>
        <w:t>125</w:t>
      </w:r>
      <w:r>
        <w:rPr>
          <w:rFonts w:hint="eastAsia"/>
          <w:lang w:val="zh-CN"/>
        </w:rPr>
        <w:t>家妇女社区委员会。</w:t>
      </w:r>
    </w:p>
    <w:p w:rsidR="00A83775" w:rsidRDefault="00A83775">
      <w:pPr>
        <w:pStyle w:val="SingleTxtGC"/>
      </w:pPr>
      <w:r>
        <w:rPr>
          <w:lang w:val="zh-CN"/>
        </w:rPr>
        <w:t xml:space="preserve">243.  </w:t>
      </w:r>
      <w:r>
        <w:rPr>
          <w:rFonts w:eastAsia="SimHei" w:hint="eastAsia"/>
          <w:lang w:val="zh-CN"/>
        </w:rPr>
        <w:t>咖啡业从业妇女参与委员会</w:t>
      </w:r>
      <w:r>
        <w:rPr>
          <w:rFonts w:hint="eastAsia"/>
          <w:lang w:val="zh-CN"/>
        </w:rPr>
        <w:t>：</w:t>
      </w:r>
      <w:r>
        <w:rPr>
          <w:rFonts w:hint="eastAsia"/>
          <w:lang w:val="zh-CN"/>
        </w:rPr>
        <w:t>2007</w:t>
      </w:r>
      <w:r>
        <w:rPr>
          <w:rFonts w:hint="eastAsia"/>
          <w:lang w:val="zh-CN"/>
        </w:rPr>
        <w:t>年，咖啡从业者全国联合会被列入由妇女平等事务总统高级顾问办公室领导的男女平等国家协议的成员单位。因此，已经在联合会内部通过各项程序提高咖啡业从业妇女的地位。在与《公约》第十四条的执行情况有关的章节中对这一信息进行了展开论述。</w:t>
      </w:r>
    </w:p>
    <w:p w:rsidR="00A83775" w:rsidRDefault="00A83775">
      <w:pPr>
        <w:pStyle w:val="SingleTxtGC"/>
      </w:pPr>
      <w:r>
        <w:rPr>
          <w:lang w:val="zh-CN"/>
        </w:rPr>
        <w:t xml:space="preserve">244.  </w:t>
      </w:r>
      <w:r>
        <w:rPr>
          <w:rFonts w:eastAsia="SimHei" w:hint="eastAsia"/>
          <w:lang w:val="zh-CN"/>
        </w:rPr>
        <w:t>土著妇女地区实验室</w:t>
      </w:r>
      <w:r>
        <w:rPr>
          <w:rFonts w:hint="eastAsia"/>
          <w:lang w:val="zh-CN"/>
        </w:rPr>
        <w:t>：妇女平等事务总统高级顾问办公室已经通过在圣塔玛利亚的内瓦达山系、考卡和亚马孙地区建立的</w:t>
      </w:r>
      <w:r>
        <w:rPr>
          <w:rFonts w:hint="eastAsia"/>
          <w:lang w:val="zh-CN"/>
        </w:rPr>
        <w:t>3</w:t>
      </w:r>
      <w:r>
        <w:rPr>
          <w:rFonts w:hint="eastAsia"/>
          <w:lang w:val="zh-CN"/>
        </w:rPr>
        <w:t>家土著妇女地区实验室（约有</w:t>
      </w:r>
      <w:r>
        <w:rPr>
          <w:rFonts w:hint="eastAsia"/>
          <w:lang w:val="zh-CN"/>
        </w:rPr>
        <w:t>181</w:t>
      </w:r>
      <w:r>
        <w:rPr>
          <w:rFonts w:hint="eastAsia"/>
          <w:lang w:val="zh-CN"/>
        </w:rPr>
        <w:t>名土著妇女参加）开展了一项旨在帮助当地土著妇女并加强其在社区中的参与的行动计划；同时在波哥大的中央会晤中收集了与土著妇女在社区中的作用有关的地区经验。作为对地区实验室和中央会晤做法的复制，在纳里尼奥实施了亚当项目，</w:t>
      </w:r>
      <w:r>
        <w:rPr>
          <w:vertAlign w:val="superscript"/>
          <w:lang w:val="zh-CN"/>
        </w:rPr>
        <w:footnoteReference w:id="121"/>
      </w:r>
      <w:r>
        <w:t xml:space="preserve"> </w:t>
      </w:r>
      <w:r>
        <w:rPr>
          <w:rFonts w:hint="eastAsia"/>
          <w:lang w:val="zh-CN"/>
        </w:rPr>
        <w:t>目的是拟定针对当地土著妇女的行动计划所遵循的工作路线方针。该项目得到了当地主管部门的支持，批准了项目实施的预算，并开辟了一个专门的空间来创建该省六大土著部族的土著妇女工作组。</w:t>
      </w:r>
    </w:p>
    <w:p w:rsidR="00A83775" w:rsidRDefault="00A83775">
      <w:pPr>
        <w:pStyle w:val="SingleTxtGC"/>
      </w:pPr>
      <w:r>
        <w:rPr>
          <w:lang w:val="zh-CN"/>
        </w:rPr>
        <w:t xml:space="preserve">245.  </w:t>
      </w:r>
      <w:r>
        <w:rPr>
          <w:rFonts w:eastAsia="SimHei" w:hint="eastAsia"/>
          <w:lang w:val="zh-CN"/>
        </w:rPr>
        <w:t>社区广播节目管委会</w:t>
      </w:r>
      <w:r>
        <w:rPr>
          <w:rFonts w:hint="eastAsia"/>
          <w:lang w:val="zh-CN"/>
        </w:rPr>
        <w:t>：旨在方便人民享有社区广播服务，将之作为一项有助于推动当地发展、增进平等、鼓励多元化、巩固文化特性以及和平共处的战略。信息技术和通信部专门召集各妇女社会组织积极参与其中。当前，在哥伦比亚共有</w:t>
      </w:r>
      <w:r>
        <w:rPr>
          <w:rFonts w:hint="eastAsia"/>
          <w:lang w:val="zh-CN"/>
        </w:rPr>
        <w:t>561</w:t>
      </w:r>
      <w:r>
        <w:rPr>
          <w:rFonts w:hint="eastAsia"/>
          <w:lang w:val="zh-CN"/>
        </w:rPr>
        <w:t>家由社会组织管理运作的社区广播电台，这与国内城市的数量相同，其中</w:t>
      </w:r>
      <w:r>
        <w:rPr>
          <w:rFonts w:hint="eastAsia"/>
          <w:lang w:val="zh-CN"/>
        </w:rPr>
        <w:t>118</w:t>
      </w:r>
      <w:r>
        <w:rPr>
          <w:rFonts w:hint="eastAsia"/>
          <w:lang w:val="zh-CN"/>
        </w:rPr>
        <w:t>家电台的法定代表人为女性。截至</w:t>
      </w:r>
      <w:r>
        <w:rPr>
          <w:rFonts w:hint="eastAsia"/>
          <w:lang w:val="zh-CN"/>
        </w:rPr>
        <w:t>2009</w:t>
      </w:r>
      <w:r>
        <w:rPr>
          <w:rFonts w:hint="eastAsia"/>
          <w:lang w:val="zh-CN"/>
        </w:rPr>
        <w:t>年</w:t>
      </w:r>
      <w:r>
        <w:rPr>
          <w:rFonts w:hint="eastAsia"/>
          <w:lang w:val="zh-CN"/>
        </w:rPr>
        <w:t>12</w:t>
      </w:r>
      <w:r>
        <w:rPr>
          <w:rFonts w:hint="eastAsia"/>
          <w:lang w:val="zh-CN"/>
        </w:rPr>
        <w:t>月</w:t>
      </w:r>
      <w:r>
        <w:rPr>
          <w:rFonts w:hint="eastAsia"/>
          <w:lang w:val="zh-CN"/>
        </w:rPr>
        <w:t>31</w:t>
      </w:r>
      <w:r>
        <w:rPr>
          <w:rFonts w:hint="eastAsia"/>
          <w:lang w:val="zh-CN"/>
        </w:rPr>
        <w:t>日，在社区广播节目管委会中妇女社会组织代表人数为</w:t>
      </w:r>
      <w:r>
        <w:rPr>
          <w:rFonts w:hint="eastAsia"/>
          <w:lang w:val="zh-CN"/>
        </w:rPr>
        <w:t>1</w:t>
      </w:r>
      <w:r>
        <w:t>,</w:t>
      </w:r>
      <w:r>
        <w:rPr>
          <w:rFonts w:hint="eastAsia"/>
          <w:lang w:val="zh-CN"/>
        </w:rPr>
        <w:t>914</w:t>
      </w:r>
      <w:r>
        <w:rPr>
          <w:rFonts w:hint="eastAsia"/>
          <w:lang w:val="zh-CN"/>
        </w:rPr>
        <w:t>人，也就是说，女代表的比例占到</w:t>
      </w:r>
      <w:r>
        <w:rPr>
          <w:rFonts w:hint="eastAsia"/>
          <w:lang w:val="zh-CN"/>
        </w:rPr>
        <w:t>31.5%</w:t>
      </w:r>
      <w:r>
        <w:rPr>
          <w:rFonts w:hint="eastAsia"/>
          <w:lang w:val="zh-CN"/>
        </w:rPr>
        <w:t>，他们有机会参与相关的决策事项。</w:t>
      </w:r>
    </w:p>
    <w:p w:rsidR="00A83775" w:rsidRDefault="00A83775">
      <w:pPr>
        <w:pStyle w:val="SingleTxtGC"/>
        <w:rPr>
          <w:rFonts w:hint="eastAsia"/>
          <w:lang w:val="es-ES"/>
        </w:rPr>
      </w:pPr>
      <w:r>
        <w:rPr>
          <w:lang w:val="zh-CN"/>
        </w:rPr>
        <w:t xml:space="preserve">246.  </w:t>
      </w:r>
      <w:r>
        <w:rPr>
          <w:rFonts w:hint="eastAsia"/>
          <w:lang w:val="zh-CN"/>
        </w:rPr>
        <w:t>共和国国会参众两院中负责两性平等、社会权利、政治权利、劳动权利、心理健康、性健康和生殖健康事务的主管委员会，这在前文中已经提到。在本届任期内，委员会的主要业绩就是推动颁布了</w:t>
      </w:r>
      <w:r>
        <w:rPr>
          <w:rFonts w:hint="eastAsia"/>
          <w:lang w:val="zh-CN"/>
        </w:rPr>
        <w:t>2008</w:t>
      </w:r>
      <w:r>
        <w:rPr>
          <w:rFonts w:hint="eastAsia"/>
          <w:lang w:val="zh-CN"/>
        </w:rPr>
        <w:t>年的第</w:t>
      </w:r>
      <w:r>
        <w:rPr>
          <w:rFonts w:hint="eastAsia"/>
          <w:lang w:val="zh-CN"/>
        </w:rPr>
        <w:t>1257</w:t>
      </w:r>
      <w:r>
        <w:rPr>
          <w:rFonts w:hint="eastAsia"/>
          <w:lang w:val="zh-CN"/>
        </w:rPr>
        <w:t>号法，</w:t>
      </w:r>
      <w:r>
        <w:rPr>
          <w:rFonts w:hint="eastAsia"/>
          <w:lang w:val="zh-CN"/>
        </w:rPr>
        <w:t>2010</w:t>
      </w:r>
      <w:r>
        <w:rPr>
          <w:rFonts w:hint="eastAsia"/>
          <w:lang w:val="zh-CN"/>
        </w:rPr>
        <w:t>年的第</w:t>
      </w:r>
      <w:r>
        <w:rPr>
          <w:rFonts w:hint="eastAsia"/>
          <w:lang w:val="zh-CN"/>
        </w:rPr>
        <w:t>1413</w:t>
      </w:r>
      <w:r>
        <w:rPr>
          <w:rFonts w:hint="eastAsia"/>
          <w:lang w:val="zh-CN"/>
        </w:rPr>
        <w:t>号法和</w:t>
      </w:r>
      <w:r>
        <w:rPr>
          <w:rFonts w:hint="eastAsia"/>
          <w:lang w:val="zh-CN"/>
        </w:rPr>
        <w:t>2011</w:t>
      </w:r>
      <w:r>
        <w:rPr>
          <w:rFonts w:hint="eastAsia"/>
          <w:lang w:val="zh-CN"/>
        </w:rPr>
        <w:t>年的第</w:t>
      </w:r>
      <w:r>
        <w:rPr>
          <w:rFonts w:hint="eastAsia"/>
          <w:lang w:val="zh-CN"/>
        </w:rPr>
        <w:t>1434</w:t>
      </w:r>
      <w:r>
        <w:rPr>
          <w:rFonts w:hint="eastAsia"/>
          <w:lang w:val="zh-CN"/>
        </w:rPr>
        <w:t>号法。通过颁布最后一则法律，加强和巩固了该事务委员</w:t>
      </w:r>
      <w:r>
        <w:rPr>
          <w:rFonts w:hint="eastAsia"/>
          <w:lang w:val="es-ES"/>
        </w:rPr>
        <w:t>会在近四年来推行的工作，并创立了具有常务委员会性质的</w:t>
      </w:r>
      <w:r>
        <w:rPr>
          <w:rFonts w:eastAsia="SimHei" w:hint="eastAsia"/>
          <w:lang w:val="es-ES"/>
        </w:rPr>
        <w:t>共和国国会妇女平等法律委员会</w:t>
      </w:r>
      <w:r>
        <w:rPr>
          <w:rFonts w:hint="eastAsia"/>
          <w:lang w:val="es-ES"/>
        </w:rPr>
        <w:t>。这一举措有助于在国内强化提高妇女政治地位的国家机制，谋求实现公共生活领域的男女机会平等。在本条对应的附件</w:t>
      </w:r>
      <w:r>
        <w:rPr>
          <w:rFonts w:hint="eastAsia"/>
          <w:lang w:val="es-ES"/>
        </w:rPr>
        <w:t>2</w:t>
      </w:r>
      <w:r>
        <w:rPr>
          <w:rFonts w:hint="eastAsia"/>
          <w:lang w:val="es-ES"/>
        </w:rPr>
        <w:t>中，包含了哥伦比亚性别事务国际合作工作组的</w:t>
      </w:r>
      <w:r>
        <w:rPr>
          <w:rFonts w:hint="eastAsia"/>
          <w:lang w:val="es-ES"/>
        </w:rPr>
        <w:t>2010</w:t>
      </w:r>
      <w:r>
        <w:rPr>
          <w:rFonts w:hint="eastAsia"/>
          <w:lang w:val="es-ES"/>
        </w:rPr>
        <w:t>年度工作报告</w:t>
      </w:r>
      <w:r>
        <w:rPr>
          <w:rFonts w:hint="eastAsia"/>
          <w:spacing w:val="-40"/>
        </w:rPr>
        <w:t>――</w:t>
      </w:r>
      <w:r>
        <w:rPr>
          <w:rFonts w:hint="eastAsia"/>
          <w:spacing w:val="-40"/>
        </w:rPr>
        <w:t xml:space="preserve"> </w:t>
      </w:r>
      <w:r>
        <w:rPr>
          <w:rFonts w:hint="eastAsia"/>
          <w:lang w:val="es-ES"/>
        </w:rPr>
        <w:t>《从外部角度看待共和国国会中的妇女代表席位》</w:t>
      </w:r>
      <w:r>
        <w:rPr>
          <w:rFonts w:hint="eastAsia"/>
          <w:lang w:val="es-CO"/>
        </w:rPr>
        <w:t>。</w:t>
      </w:r>
    </w:p>
    <w:p w:rsidR="00A83775" w:rsidRDefault="00A83775">
      <w:pPr>
        <w:pStyle w:val="SingleTxtGC"/>
        <w:rPr>
          <w:rFonts w:hint="eastAsia"/>
          <w:lang w:val="zh-CN"/>
        </w:rPr>
      </w:pPr>
      <w:r>
        <w:rPr>
          <w:lang w:val="es-ES"/>
        </w:rPr>
        <w:t xml:space="preserve">247.  </w:t>
      </w:r>
      <w:r>
        <w:rPr>
          <w:rFonts w:hint="eastAsia"/>
          <w:lang w:val="es-ES"/>
        </w:rPr>
        <w:t>国家赔偿与和解委员会致力于</w:t>
      </w:r>
      <w:r>
        <w:rPr>
          <w:rFonts w:eastAsia="SimHei" w:hint="eastAsia"/>
          <w:lang w:val="es-ES"/>
        </w:rPr>
        <w:t>推进提高武装冲突受害妇女的地位、培养其权利意</w:t>
      </w:r>
      <w:r>
        <w:rPr>
          <w:rFonts w:eastAsia="SimHei" w:hint="eastAsia"/>
          <w:lang w:val="zh-CN"/>
        </w:rPr>
        <w:t>识和领导能力的工作进程</w:t>
      </w:r>
      <w:r>
        <w:rPr>
          <w:rFonts w:hint="eastAsia"/>
          <w:lang w:val="zh-CN"/>
        </w:rPr>
        <w:t>，目的是保障受害妇女的人权，努力帮助其参与到寻求真相、正义、赔偿与和解的过程中。</w:t>
      </w:r>
      <w:r>
        <w:rPr>
          <w:vertAlign w:val="superscript"/>
          <w:lang w:val="zh-CN"/>
        </w:rPr>
        <w:footnoteReference w:id="122"/>
      </w:r>
    </w:p>
    <w:p w:rsidR="00A83775" w:rsidRDefault="00A83775">
      <w:pPr>
        <w:pStyle w:val="SingleTxtGC"/>
        <w:rPr>
          <w:lang w:val="es-ES"/>
        </w:rPr>
      </w:pPr>
      <w:r>
        <w:rPr>
          <w:lang w:val="zh-CN"/>
        </w:rPr>
        <w:t xml:space="preserve">248.  </w:t>
      </w:r>
      <w:r>
        <w:rPr>
          <w:rFonts w:eastAsia="SimHei" w:hint="eastAsia"/>
          <w:lang w:val="zh-CN"/>
        </w:rPr>
        <w:t>倡导构建照顾与赔偿受害者、实现和平与民族和解的相关地方政策的进程</w:t>
      </w:r>
      <w:r>
        <w:rPr>
          <w:rFonts w:hint="eastAsia"/>
          <w:lang w:val="zh-CN"/>
        </w:rPr>
        <w:t>。国家赔偿与和解委员会在国际合作的支持下，力争使武装冲突受害妇女有能力参与构建这方面的相关政策的进程。同样，与各类旨在关爱受害者、负责引导对受害者进行康复赔</w:t>
      </w:r>
      <w:r>
        <w:rPr>
          <w:rFonts w:hint="eastAsia"/>
          <w:lang w:val="es-ES"/>
        </w:rPr>
        <w:t>偿的政策的主管单位合作在国内开展了相应的培训和思想教育工作。</w:t>
      </w:r>
    </w:p>
    <w:p w:rsidR="00A83775" w:rsidRDefault="00A83775">
      <w:pPr>
        <w:pStyle w:val="H23GC"/>
        <w:rPr>
          <w:lang w:val="es-ES"/>
        </w:rPr>
      </w:pPr>
      <w:r>
        <w:rPr>
          <w:lang w:val="es-ES"/>
        </w:rPr>
        <w:tab/>
        <w:t>2.</w:t>
      </w:r>
      <w:r>
        <w:rPr>
          <w:lang w:val="es-ES"/>
        </w:rPr>
        <w:tab/>
      </w:r>
      <w:r>
        <w:rPr>
          <w:rFonts w:hint="eastAsia"/>
          <w:lang w:val="es-ES"/>
        </w:rPr>
        <w:t>立法措施</w:t>
      </w:r>
    </w:p>
    <w:p w:rsidR="00A83775" w:rsidRDefault="00A83775">
      <w:pPr>
        <w:pStyle w:val="SingleTxtGC"/>
        <w:rPr>
          <w:lang w:val="zh-CN"/>
        </w:rPr>
      </w:pPr>
      <w:r>
        <w:rPr>
          <w:lang w:val="es-ES"/>
        </w:rPr>
        <w:t xml:space="preserve">249.  </w:t>
      </w:r>
      <w:r>
        <w:rPr>
          <w:rFonts w:eastAsia="SimHei" w:hint="eastAsia"/>
          <w:lang w:val="es-ES"/>
        </w:rPr>
        <w:t>2011</w:t>
      </w:r>
      <w:r>
        <w:rPr>
          <w:rFonts w:eastAsia="SimHei" w:hint="eastAsia"/>
          <w:lang w:val="es-ES"/>
        </w:rPr>
        <w:t>年的第</w:t>
      </w:r>
      <w:r>
        <w:rPr>
          <w:rFonts w:eastAsia="SimHei" w:hint="eastAsia"/>
          <w:lang w:val="es-ES"/>
        </w:rPr>
        <w:t>1434</w:t>
      </w:r>
      <w:r>
        <w:rPr>
          <w:rFonts w:eastAsia="SimHei" w:hint="eastAsia"/>
          <w:lang w:val="es-ES"/>
        </w:rPr>
        <w:t>号法</w:t>
      </w:r>
      <w:r>
        <w:rPr>
          <w:rFonts w:hint="eastAsia"/>
          <w:lang w:val="es-ES"/>
        </w:rPr>
        <w:t>。“通过这一法律对</w:t>
      </w:r>
      <w:r>
        <w:rPr>
          <w:rFonts w:hint="eastAsia"/>
          <w:lang w:val="es-ES"/>
        </w:rPr>
        <w:t>1992</w:t>
      </w:r>
      <w:r>
        <w:rPr>
          <w:rFonts w:hint="eastAsia"/>
          <w:lang w:val="es-ES"/>
        </w:rPr>
        <w:t>年的第</w:t>
      </w:r>
      <w:r>
        <w:rPr>
          <w:rFonts w:hint="eastAsia"/>
          <w:lang w:val="es-ES"/>
        </w:rPr>
        <w:t>5</w:t>
      </w:r>
      <w:r>
        <w:rPr>
          <w:rFonts w:hint="eastAsia"/>
          <w:lang w:val="es-ES"/>
        </w:rPr>
        <w:t>号法进行了补充和修订，成</w:t>
      </w:r>
      <w:r>
        <w:rPr>
          <w:rFonts w:hint="eastAsia"/>
          <w:lang w:val="zh-CN"/>
        </w:rPr>
        <w:t>立了哥伦比亚共和国国会妇女平等法律委员会并颁布了其他一些规定”。这一法律的主旨是通过创立共和国国会妇女平等法律委员会</w:t>
      </w:r>
      <w:r>
        <w:rPr>
          <w:vertAlign w:val="superscript"/>
          <w:lang w:val="zh-CN"/>
        </w:rPr>
        <w:footnoteReference w:id="123"/>
      </w:r>
      <w:r>
        <w:t xml:space="preserve"> </w:t>
      </w:r>
      <w:r>
        <w:rPr>
          <w:rFonts w:hint="eastAsia"/>
          <w:lang w:val="zh-CN"/>
        </w:rPr>
        <w:t>促进妇女参与开展立法工作和政治管理工作。</w:t>
      </w:r>
    </w:p>
    <w:p w:rsidR="00A83775" w:rsidRDefault="00A83775">
      <w:pPr>
        <w:pStyle w:val="SingleTxtGC"/>
        <w:rPr>
          <w:lang w:val="es-ES"/>
        </w:rPr>
      </w:pPr>
      <w:r>
        <w:rPr>
          <w:lang w:val="zh-CN"/>
        </w:rPr>
        <w:t xml:space="preserve">250.  </w:t>
      </w:r>
      <w:r>
        <w:rPr>
          <w:rFonts w:hint="eastAsia"/>
          <w:lang w:val="zh-CN"/>
        </w:rPr>
        <w:t>在本条对应的附件</w:t>
      </w:r>
      <w:r>
        <w:rPr>
          <w:rFonts w:hint="eastAsia"/>
          <w:lang w:val="zh-CN"/>
        </w:rPr>
        <w:t>4</w:t>
      </w:r>
      <w:r>
        <w:rPr>
          <w:rFonts w:hint="eastAsia"/>
          <w:lang w:val="zh-CN"/>
        </w:rPr>
        <w:t>中，列出了在报告期内颁布的相关法律和法令清单，以及每一部法</w:t>
      </w:r>
      <w:r>
        <w:rPr>
          <w:rFonts w:hint="eastAsia"/>
          <w:lang w:val="es-ES"/>
        </w:rPr>
        <w:t>律和法令的全文。</w:t>
      </w:r>
    </w:p>
    <w:p w:rsidR="00A83775" w:rsidRDefault="00A83775">
      <w:pPr>
        <w:pStyle w:val="H23GC"/>
        <w:rPr>
          <w:lang w:val="es-ES"/>
        </w:rPr>
      </w:pPr>
      <w:r>
        <w:rPr>
          <w:lang w:val="es-ES"/>
        </w:rPr>
        <w:tab/>
        <w:t>3.</w:t>
      </w:r>
      <w:r>
        <w:rPr>
          <w:lang w:val="es-ES"/>
        </w:rPr>
        <w:tab/>
      </w:r>
      <w:r>
        <w:rPr>
          <w:rFonts w:hint="eastAsia"/>
          <w:lang w:val="es-ES"/>
        </w:rPr>
        <w:t>司法措施</w:t>
      </w:r>
    </w:p>
    <w:p w:rsidR="00A83775" w:rsidRDefault="00A83775">
      <w:pPr>
        <w:pStyle w:val="SingleTxtGC"/>
        <w:rPr>
          <w:rFonts w:hint="eastAsia"/>
          <w:bCs/>
          <w:lang w:val="es-CO"/>
        </w:rPr>
      </w:pPr>
      <w:r>
        <w:rPr>
          <w:bCs/>
          <w:lang w:val="es-CO"/>
        </w:rPr>
        <w:t xml:space="preserve">251.  </w:t>
      </w:r>
      <w:r>
        <w:rPr>
          <w:rFonts w:hint="eastAsia"/>
          <w:lang w:val="zh-CN"/>
        </w:rPr>
        <w:t>值得一提</w:t>
      </w:r>
      <w:r>
        <w:rPr>
          <w:rFonts w:hint="eastAsia"/>
          <w:bCs/>
          <w:lang w:val="es-CO"/>
        </w:rPr>
        <w:t>的有：</w:t>
      </w:r>
    </w:p>
    <w:p w:rsidR="00A83775" w:rsidRDefault="00A83775">
      <w:pPr>
        <w:pStyle w:val="SingleTxtGC"/>
        <w:numPr>
          <w:ilvl w:val="0"/>
          <w:numId w:val="42"/>
        </w:numPr>
        <w:rPr>
          <w:lang w:val="es-ES"/>
        </w:rPr>
      </w:pPr>
      <w:r>
        <w:rPr>
          <w:rFonts w:eastAsia="SimHei" w:hint="eastAsia"/>
          <w:lang w:val="es-CO"/>
        </w:rPr>
        <w:t>第</w:t>
      </w:r>
      <w:r>
        <w:rPr>
          <w:rFonts w:eastAsia="SimHei" w:hint="eastAsia"/>
          <w:lang w:val="es-CO"/>
        </w:rPr>
        <w:t>T 778-06</w:t>
      </w:r>
      <w:r>
        <w:rPr>
          <w:rFonts w:eastAsia="SimHei" w:hint="eastAsia"/>
          <w:lang w:val="es-CO"/>
        </w:rPr>
        <w:t>号判决</w:t>
      </w:r>
      <w:r>
        <w:rPr>
          <w:rFonts w:hint="eastAsia"/>
          <w:lang w:val="es-CO"/>
        </w:rPr>
        <w:t>：“法院认定将土著妇女排除在外侵犯了当事人的文化认同权利，因为在选举名册中应当对所有选民进行登记，以便公民能够根据在其对应的选区中自由地行使其选举权，没有任何一则法令能够据以认定当事人不符合规定的年龄要求，根据土著人民的世界观，当事人的年龄已经足以令其充分行使自身权利，包括政治代表权。原判决并不符合少数民族文化特殊性原则，对这一特殊性的否定违背了事实，因而存在根本性的错误。同样，原判决在程序上也站不住脚，因为未能确定当事人声称自己为土著人这一点是否属实，而这一条件对于案件的解决具有决定性影响”；</w:t>
      </w:r>
    </w:p>
    <w:p w:rsidR="00A83775" w:rsidRDefault="00A83775">
      <w:pPr>
        <w:pStyle w:val="SingleTxtGC"/>
        <w:numPr>
          <w:ilvl w:val="0"/>
          <w:numId w:val="42"/>
        </w:numPr>
        <w:rPr>
          <w:iCs/>
          <w:lang w:val="es-ES"/>
        </w:rPr>
      </w:pPr>
      <w:r>
        <w:rPr>
          <w:rFonts w:eastAsia="SimHei" w:hint="eastAsia"/>
          <w:lang w:val="es-ES"/>
        </w:rPr>
        <w:t>第</w:t>
      </w:r>
      <w:r>
        <w:rPr>
          <w:rFonts w:eastAsia="SimHei" w:hint="eastAsia"/>
          <w:lang w:val="es-ES"/>
        </w:rPr>
        <w:t>T 603-05</w:t>
      </w:r>
      <w:r>
        <w:rPr>
          <w:rFonts w:eastAsia="SimHei" w:hint="eastAsia"/>
          <w:lang w:val="es-ES"/>
        </w:rPr>
        <w:t>号判决</w:t>
      </w:r>
      <w:r>
        <w:rPr>
          <w:rFonts w:hint="eastAsia"/>
          <w:lang w:val="es-ES"/>
        </w:rPr>
        <w:t>，原告三名土著年轻人指称在伊皮亚莱斯留守地的土著市政厅的首长的选举过程中，只有约</w:t>
      </w:r>
      <w:r>
        <w:rPr>
          <w:rFonts w:hint="eastAsia"/>
          <w:lang w:val="es-ES"/>
        </w:rPr>
        <w:t>2</w:t>
      </w:r>
      <w:r>
        <w:rPr>
          <w:lang w:val="es-ES"/>
        </w:rPr>
        <w:t>,</w:t>
      </w:r>
      <w:r>
        <w:rPr>
          <w:rFonts w:hint="eastAsia"/>
          <w:lang w:val="es-ES"/>
        </w:rPr>
        <w:t>600</w:t>
      </w:r>
      <w:r>
        <w:rPr>
          <w:rFonts w:hint="eastAsia"/>
          <w:lang w:val="es-ES"/>
        </w:rPr>
        <w:t>人能够选举，而有</w:t>
      </w:r>
      <w:r>
        <w:rPr>
          <w:rFonts w:hint="eastAsia"/>
          <w:lang w:val="es-ES"/>
        </w:rPr>
        <w:t>2</w:t>
      </w:r>
      <w:r>
        <w:rPr>
          <w:lang w:val="es-ES"/>
        </w:rPr>
        <w:t>,</w:t>
      </w:r>
      <w:r>
        <w:rPr>
          <w:rFonts w:hint="eastAsia"/>
          <w:lang w:val="es-ES"/>
        </w:rPr>
        <w:t>500</w:t>
      </w:r>
      <w:r>
        <w:rPr>
          <w:rFonts w:hint="eastAsia"/>
          <w:lang w:val="es-ES"/>
        </w:rPr>
        <w:t>人尽管到了市政厅的选举地点，但是却无权投票“（……）而给出的理由却是投票时间过了”。法院表示：“对于投票选举的政治参与，不仅仅需要参与人员行使权利的主观能动性，还要求国家采取一定的行动来创造必要条件，使选举人能够切实行使这一权利。而后者是前者的必要前提条件”；</w:t>
      </w:r>
    </w:p>
    <w:p w:rsidR="00A83775" w:rsidRDefault="00A83775">
      <w:pPr>
        <w:pStyle w:val="SingleTxtGC"/>
        <w:numPr>
          <w:ilvl w:val="0"/>
          <w:numId w:val="42"/>
        </w:numPr>
        <w:rPr>
          <w:rFonts w:hint="eastAsia"/>
          <w:iCs/>
          <w:lang w:val="es-ES"/>
        </w:rPr>
      </w:pPr>
      <w:r>
        <w:rPr>
          <w:rFonts w:eastAsia="SimHei" w:hint="eastAsia"/>
          <w:lang w:val="es-CO"/>
        </w:rPr>
        <w:t>第</w:t>
      </w:r>
      <w:r>
        <w:rPr>
          <w:rFonts w:eastAsia="SimHei" w:hint="eastAsia"/>
          <w:lang w:val="es-CO"/>
        </w:rPr>
        <w:t>C-667-06</w:t>
      </w:r>
      <w:r>
        <w:rPr>
          <w:rFonts w:eastAsia="SimHei" w:hint="eastAsia"/>
          <w:lang w:val="es-CO"/>
        </w:rPr>
        <w:t>号判决</w:t>
      </w:r>
      <w:r>
        <w:rPr>
          <w:rFonts w:hint="eastAsia"/>
          <w:lang w:val="es-CO"/>
        </w:rPr>
        <w:t>，“可以肯定，作为争议对象的法律规定并不是一项排斥男性且即时性的法规。简单来说，被指控的条款给予了城市中的妇女以优先权，给予其特殊照顾，以便满足其尚未得到满足的需求。而事实就是如此，市政府的功能就是要解决在卫生保健、教育、环境卫生、饮用水、公共服务、住房、休闲娱乐和体育方面尚未得到满足的需要，其工作重心向妇女倾斜与《宪法》规定并不相悖，而恰恰是宪法本身规定了要对作为权利主体的女性进行特别保护”</w:t>
      </w:r>
      <w:r>
        <w:rPr>
          <w:rFonts w:hint="eastAsia"/>
          <w:iCs/>
          <w:lang w:val="es-ES"/>
        </w:rPr>
        <w:t>；</w:t>
      </w:r>
      <w:r>
        <w:rPr>
          <w:iCs/>
          <w:vertAlign w:val="superscript"/>
          <w:lang w:val="es-ES"/>
        </w:rPr>
        <w:footnoteReference w:id="124"/>
      </w:r>
    </w:p>
    <w:p w:rsidR="00A83775" w:rsidRDefault="00A83775">
      <w:pPr>
        <w:pStyle w:val="SingleTxtGC"/>
        <w:numPr>
          <w:ilvl w:val="0"/>
          <w:numId w:val="42"/>
        </w:numPr>
        <w:rPr>
          <w:lang w:val="es-ES"/>
        </w:rPr>
      </w:pPr>
      <w:r>
        <w:rPr>
          <w:rFonts w:eastAsia="SimHei" w:hint="eastAsia"/>
          <w:lang w:val="es-CO"/>
        </w:rPr>
        <w:t>第</w:t>
      </w:r>
      <w:r>
        <w:rPr>
          <w:rFonts w:eastAsia="SimHei" w:hint="eastAsia"/>
          <w:lang w:val="es-CO"/>
        </w:rPr>
        <w:t>C-804-06</w:t>
      </w:r>
      <w:r>
        <w:rPr>
          <w:rFonts w:eastAsia="SimHei" w:hint="eastAsia"/>
          <w:lang w:val="es-CO"/>
        </w:rPr>
        <w:t>号判决</w:t>
      </w:r>
      <w:r>
        <w:rPr>
          <w:rFonts w:hint="eastAsia"/>
          <w:lang w:val="es-CO"/>
        </w:rPr>
        <w:t>，对妇女参与公共行政部门决策的权利以及其保护机制进行了分析。判决宣布《民法典》第</w:t>
      </w:r>
      <w:r>
        <w:rPr>
          <w:rFonts w:hint="eastAsia"/>
          <w:lang w:val="es-CO"/>
        </w:rPr>
        <w:t>33</w:t>
      </w:r>
      <w:r>
        <w:rPr>
          <w:rFonts w:hint="eastAsia"/>
          <w:lang w:val="es-CO"/>
        </w:rPr>
        <w:t>条中所用的司法语言具有违宪性</w:t>
      </w:r>
      <w:r>
        <w:rPr>
          <w:vertAlign w:val="superscript"/>
          <w:lang w:val="es-CO"/>
        </w:rPr>
        <w:footnoteReference w:id="125"/>
      </w:r>
      <w:r>
        <w:rPr>
          <w:lang w:val="es-CO"/>
        </w:rPr>
        <w:t xml:space="preserve"> </w:t>
      </w:r>
      <w:r>
        <w:rPr>
          <w:rFonts w:hint="eastAsia"/>
          <w:lang w:val="es-CO"/>
        </w:rPr>
        <w:t>（参见缔约国对第五条的答复）</w:t>
      </w:r>
    </w:p>
    <w:p w:rsidR="00A83775" w:rsidRDefault="00A83775">
      <w:pPr>
        <w:pStyle w:val="SingleTxtGC"/>
        <w:numPr>
          <w:ilvl w:val="0"/>
          <w:numId w:val="42"/>
        </w:numPr>
        <w:rPr>
          <w:lang w:val="es-ES"/>
        </w:rPr>
      </w:pPr>
      <w:r>
        <w:rPr>
          <w:rFonts w:hint="eastAsia"/>
          <w:lang w:val="es-CO"/>
        </w:rPr>
        <w:t>2006</w:t>
      </w:r>
      <w:r>
        <w:rPr>
          <w:rFonts w:hint="eastAsia"/>
          <w:lang w:val="es-CO"/>
        </w:rPr>
        <w:t>年</w:t>
      </w:r>
      <w:r>
        <w:rPr>
          <w:rFonts w:hint="eastAsia"/>
          <w:lang w:val="es-CO"/>
        </w:rPr>
        <w:t>12</w:t>
      </w:r>
      <w:r>
        <w:rPr>
          <w:rFonts w:hint="eastAsia"/>
          <w:lang w:val="es-CO"/>
        </w:rPr>
        <w:t>月</w:t>
      </w:r>
      <w:r>
        <w:rPr>
          <w:rFonts w:hint="eastAsia"/>
          <w:lang w:val="es-CO"/>
        </w:rPr>
        <w:t>7</w:t>
      </w:r>
      <w:r>
        <w:rPr>
          <w:rFonts w:hint="eastAsia"/>
          <w:lang w:val="es-CO"/>
        </w:rPr>
        <w:t>日的</w:t>
      </w:r>
      <w:r>
        <w:rPr>
          <w:rFonts w:hint="eastAsia"/>
          <w:b/>
          <w:lang w:val="es-CO"/>
        </w:rPr>
        <w:t>第</w:t>
      </w:r>
      <w:r>
        <w:rPr>
          <w:b/>
          <w:lang w:val="es-ES"/>
        </w:rPr>
        <w:t>25000-23-24-000-2005-00961-01(4136)</w:t>
      </w:r>
      <w:r>
        <w:rPr>
          <w:rFonts w:hint="eastAsia"/>
          <w:b/>
          <w:lang w:val="es-ES"/>
        </w:rPr>
        <w:t>号判决和第</w:t>
      </w:r>
      <w:r>
        <w:rPr>
          <w:b/>
          <w:lang w:val="es-ES"/>
        </w:rPr>
        <w:t>25000-23-24-000-2005-00968-01</w:t>
      </w:r>
      <w:r>
        <w:rPr>
          <w:rFonts w:hint="eastAsia"/>
          <w:b/>
          <w:lang w:val="es-ES"/>
        </w:rPr>
        <w:t>号判决</w:t>
      </w:r>
      <w:r>
        <w:rPr>
          <w:rFonts w:hint="eastAsia"/>
          <w:lang w:val="es-ES"/>
        </w:rPr>
        <w:t>：“原告质疑波哥大市长所颁布的</w:t>
      </w:r>
      <w:r>
        <w:rPr>
          <w:rFonts w:hint="eastAsia"/>
          <w:lang w:val="es-ES"/>
        </w:rPr>
        <w:t>2005</w:t>
      </w:r>
      <w:r>
        <w:rPr>
          <w:rFonts w:hint="eastAsia"/>
          <w:lang w:val="es-ES"/>
        </w:rPr>
        <w:t>年</w:t>
      </w:r>
      <w:r>
        <w:rPr>
          <w:rFonts w:hint="eastAsia"/>
          <w:lang w:val="es-ES"/>
        </w:rPr>
        <w:t>8</w:t>
      </w:r>
      <w:r>
        <w:rPr>
          <w:rFonts w:hint="eastAsia"/>
          <w:lang w:val="es-ES"/>
        </w:rPr>
        <w:t>月</w:t>
      </w:r>
      <w:r>
        <w:rPr>
          <w:rFonts w:hint="eastAsia"/>
          <w:lang w:val="es-ES"/>
        </w:rPr>
        <w:t>4</w:t>
      </w:r>
      <w:r>
        <w:rPr>
          <w:rFonts w:hint="eastAsia"/>
          <w:lang w:val="es-ES"/>
        </w:rPr>
        <w:t>日的第</w:t>
      </w:r>
      <w:r>
        <w:rPr>
          <w:rFonts w:hint="eastAsia"/>
          <w:lang w:val="es-ES"/>
        </w:rPr>
        <w:t>256</w:t>
      </w:r>
      <w:r>
        <w:rPr>
          <w:rFonts w:hint="eastAsia"/>
          <w:lang w:val="es-ES"/>
        </w:rPr>
        <w:t>号行政令的合法性，该行政令援引所规定应在地方行政班子中纳入女性成员，并在市长班子的候选人中纳入女性人选，因为</w:t>
      </w:r>
      <w:r>
        <w:rPr>
          <w:rFonts w:hint="eastAsia"/>
          <w:lang w:val="es-ES"/>
        </w:rPr>
        <w:t>2000</w:t>
      </w:r>
      <w:r>
        <w:rPr>
          <w:rFonts w:hint="eastAsia"/>
          <w:lang w:val="es-ES"/>
        </w:rPr>
        <w:t>年的第</w:t>
      </w:r>
      <w:r>
        <w:rPr>
          <w:rFonts w:hint="eastAsia"/>
          <w:lang w:val="es-ES"/>
        </w:rPr>
        <w:t>C-371</w:t>
      </w:r>
      <w:r>
        <w:rPr>
          <w:rFonts w:hint="eastAsia"/>
          <w:lang w:val="es-ES"/>
        </w:rPr>
        <w:t>号判决在参选条件中加入了一项此类要求，而这项要求针对的对象是全体人员而非单一机关或单位。</w:t>
      </w:r>
      <w:r>
        <w:rPr>
          <w:rFonts w:hint="eastAsia"/>
          <w:lang w:val="es-ES"/>
        </w:rPr>
        <w:t>2000</w:t>
      </w:r>
      <w:r>
        <w:rPr>
          <w:rFonts w:hint="eastAsia"/>
          <w:lang w:val="es-ES"/>
        </w:rPr>
        <w:t>年的第</w:t>
      </w:r>
      <w:r>
        <w:rPr>
          <w:rFonts w:hint="eastAsia"/>
          <w:lang w:val="es-ES"/>
        </w:rPr>
        <w:t>581</w:t>
      </w:r>
      <w:r>
        <w:rPr>
          <w:rFonts w:hint="eastAsia"/>
          <w:lang w:val="es-ES"/>
        </w:rPr>
        <w:t>号法第</w:t>
      </w:r>
      <w:r>
        <w:rPr>
          <w:rFonts w:hint="eastAsia"/>
          <w:lang w:val="es-ES"/>
        </w:rPr>
        <w:t>6</w:t>
      </w:r>
      <w:r>
        <w:rPr>
          <w:rFonts w:hint="eastAsia"/>
          <w:lang w:val="es-ES"/>
        </w:rPr>
        <w:t>条应当理解为依照法律规定至少应当在行政领导人竞选名单中列入一名女性候选人，具体可参照以下几种可能执行：</w:t>
      </w:r>
      <w:r>
        <w:t>(</w:t>
      </w:r>
      <w:r>
        <w:rPr>
          <w:rFonts w:hint="eastAsia"/>
          <w:lang w:val="es-ES"/>
        </w:rPr>
        <w:t>一</w:t>
      </w:r>
      <w:r>
        <w:rPr>
          <w:rFonts w:hint="eastAsia"/>
          <w:lang w:val="es-ES"/>
        </w:rPr>
        <w:t xml:space="preserve">) </w:t>
      </w:r>
      <w:r>
        <w:rPr>
          <w:rFonts w:hint="eastAsia"/>
          <w:lang w:val="es-ES"/>
        </w:rPr>
        <w:t>参与不同的机构；及</w:t>
      </w:r>
      <w:r>
        <w:rPr>
          <w:lang w:val="es-ES"/>
        </w:rPr>
        <w:t>(</w:t>
      </w:r>
      <w:r>
        <w:rPr>
          <w:rFonts w:hint="eastAsia"/>
          <w:lang w:val="es-ES"/>
        </w:rPr>
        <w:t>二</w:t>
      </w:r>
      <w:r>
        <w:rPr>
          <w:rFonts w:hint="eastAsia"/>
          <w:lang w:val="es-ES"/>
        </w:rPr>
        <w:t xml:space="preserve">) </w:t>
      </w:r>
      <w:r>
        <w:rPr>
          <w:rFonts w:hint="eastAsia"/>
          <w:lang w:val="es-ES"/>
        </w:rPr>
        <w:t>一名或多名女性成员当选公务员或当选为不同机构的成员。因此，原告方举证的理由不成立，行政令的合法性得到确认，因为地方行政机关，由于是由多人组成的，因此其具有多元和民主代表性，应当被视为全体人员，因此，基于同样的原因，其排斥在其成员班子候选名单中纳入女性成员的做法违反了法律规定，不符合地方行政长官选举的法定做法”。</w:t>
      </w:r>
    </w:p>
    <w:p w:rsidR="00A83775" w:rsidRDefault="00A83775">
      <w:pPr>
        <w:pStyle w:val="H23GC"/>
        <w:rPr>
          <w:rFonts w:hint="eastAsia"/>
          <w:lang w:val="es-ES"/>
        </w:rPr>
      </w:pPr>
      <w:r>
        <w:rPr>
          <w:lang w:val="es-ES"/>
        </w:rPr>
        <w:tab/>
        <w:t>4.</w:t>
      </w:r>
      <w:r>
        <w:rPr>
          <w:lang w:val="es-ES"/>
        </w:rPr>
        <w:tab/>
      </w:r>
      <w:r>
        <w:rPr>
          <w:rFonts w:hint="eastAsia"/>
          <w:lang w:val="es-ES"/>
        </w:rPr>
        <w:t>现状</w:t>
      </w:r>
      <w:r>
        <w:rPr>
          <w:rFonts w:hint="eastAsia"/>
          <w:lang w:val="es-ES"/>
        </w:rPr>
        <w:t>/</w:t>
      </w:r>
      <w:r>
        <w:rPr>
          <w:rFonts w:hint="eastAsia"/>
          <w:lang w:val="es-ES"/>
        </w:rPr>
        <w:t>统计信息</w:t>
      </w:r>
    </w:p>
    <w:p w:rsidR="00A83775" w:rsidRDefault="00A83775">
      <w:pPr>
        <w:pStyle w:val="SingleTxtGC"/>
      </w:pPr>
      <w:r>
        <w:rPr>
          <w:lang w:val="es-ES"/>
        </w:rPr>
        <w:t xml:space="preserve">252.  </w:t>
      </w:r>
      <w:r>
        <w:rPr>
          <w:rFonts w:eastAsia="SimHei" w:hint="eastAsia"/>
          <w:lang w:val="es-ES"/>
        </w:rPr>
        <w:t>对</w:t>
      </w:r>
      <w:r>
        <w:rPr>
          <w:rFonts w:eastAsia="SimHei" w:hint="eastAsia"/>
          <w:lang w:val="es-ES"/>
        </w:rPr>
        <w:t>2000</w:t>
      </w:r>
      <w:r>
        <w:rPr>
          <w:rFonts w:eastAsia="SimHei" w:hint="eastAsia"/>
          <w:lang w:val="es-ES"/>
        </w:rPr>
        <w:t>年的第</w:t>
      </w:r>
      <w:r>
        <w:rPr>
          <w:rFonts w:eastAsia="SimHei" w:hint="eastAsia"/>
          <w:lang w:val="es-ES"/>
        </w:rPr>
        <w:t>581</w:t>
      </w:r>
      <w:r>
        <w:rPr>
          <w:rFonts w:eastAsia="SimHei" w:hint="eastAsia"/>
          <w:lang w:val="es-ES"/>
        </w:rPr>
        <w:t>号《配额法》的执行情况进行跟踪监测</w:t>
      </w:r>
      <w:r>
        <w:rPr>
          <w:rFonts w:hint="eastAsia"/>
          <w:lang w:val="es-ES"/>
        </w:rPr>
        <w:t>：针对女性担任全国各级机关的公共职务情况，公共信息管理局</w:t>
      </w:r>
      <w:r>
        <w:rPr>
          <w:vertAlign w:val="superscript"/>
          <w:lang w:val="es-ES"/>
        </w:rPr>
        <w:footnoteReference w:id="126"/>
      </w:r>
      <w:r>
        <w:rPr>
          <w:lang w:val="es-ES"/>
        </w:rPr>
        <w:t xml:space="preserve"> </w:t>
      </w:r>
      <w:r>
        <w:rPr>
          <w:rFonts w:hint="eastAsia"/>
          <w:lang w:val="es-ES"/>
        </w:rPr>
        <w:t>收集到的信息显示，在</w:t>
      </w:r>
      <w:r>
        <w:rPr>
          <w:rFonts w:hint="eastAsia"/>
          <w:lang w:val="es-ES"/>
        </w:rPr>
        <w:t>2006-2010</w:t>
      </w:r>
      <w:r>
        <w:rPr>
          <w:rFonts w:hint="eastAsia"/>
          <w:lang w:val="es-ES"/>
        </w:rPr>
        <w:t>年期间，各级监管和控制机关、</w:t>
      </w:r>
      <w:r>
        <w:rPr>
          <w:vertAlign w:val="superscript"/>
          <w:lang w:val="es-ES"/>
        </w:rPr>
        <w:footnoteReference w:id="127"/>
      </w:r>
      <w:r>
        <w:rPr>
          <w:lang w:val="es-ES"/>
        </w:rPr>
        <w:t xml:space="preserve"> </w:t>
      </w:r>
      <w:r>
        <w:rPr>
          <w:rFonts w:hint="eastAsia"/>
          <w:lang w:val="es-ES"/>
        </w:rPr>
        <w:t>行政机关和国家民政登记局这几家单位已经落实并超出了规定的女性成员达到</w:t>
      </w:r>
      <w:r>
        <w:rPr>
          <w:rFonts w:hint="eastAsia"/>
          <w:lang w:val="es-ES"/>
        </w:rPr>
        <w:t>30%</w:t>
      </w:r>
      <w:r>
        <w:rPr>
          <w:rFonts w:hint="eastAsia"/>
          <w:lang w:val="es-ES"/>
        </w:rPr>
        <w:t>的配额规定。但在司法机关和各类自治机关中</w:t>
      </w:r>
      <w:r>
        <w:rPr>
          <w:rFonts w:hint="eastAsia"/>
          <w:lang w:val="zh-CN"/>
        </w:rPr>
        <w:t>都没有达成这一目标，近五年来这些机关单位的女性成员比例平均在</w:t>
      </w:r>
      <w:r>
        <w:rPr>
          <w:rFonts w:hint="eastAsia"/>
          <w:lang w:val="zh-CN"/>
        </w:rPr>
        <w:t>23%</w:t>
      </w:r>
      <w:r>
        <w:rPr>
          <w:rFonts w:hint="eastAsia"/>
          <w:lang w:val="zh-CN"/>
        </w:rPr>
        <w:t>和</w:t>
      </w:r>
      <w:r>
        <w:rPr>
          <w:rFonts w:hint="eastAsia"/>
          <w:lang w:val="zh-CN"/>
        </w:rPr>
        <w:t>26%</w:t>
      </w:r>
      <w:r>
        <w:rPr>
          <w:rFonts w:hint="eastAsia"/>
          <w:lang w:val="zh-CN"/>
        </w:rPr>
        <w:t>之间浮动。在本条对应的附件</w:t>
      </w:r>
      <w:r>
        <w:rPr>
          <w:rFonts w:hint="eastAsia"/>
          <w:lang w:val="zh-CN"/>
        </w:rPr>
        <w:t>3</w:t>
      </w:r>
      <w:r>
        <w:rPr>
          <w:rFonts w:hint="eastAsia"/>
          <w:lang w:val="zh-CN"/>
        </w:rPr>
        <w:t>中，包含了公共职能管理局这一报告的全文。行政机关是落实配额规定最彻底的部门，行政机关中女性成员的比例超过了</w:t>
      </w:r>
      <w:r>
        <w:rPr>
          <w:rFonts w:hint="eastAsia"/>
          <w:lang w:val="zh-CN"/>
        </w:rPr>
        <w:t>40%</w:t>
      </w:r>
      <w:r>
        <w:rPr>
          <w:rFonts w:hint="eastAsia"/>
          <w:lang w:val="zh-CN"/>
        </w:rPr>
        <w:t>，紧随其后的是国家民政登记局，其女性成员的比例达到</w:t>
      </w:r>
      <w:r>
        <w:rPr>
          <w:rFonts w:hint="eastAsia"/>
          <w:lang w:val="zh-CN"/>
        </w:rPr>
        <w:t>36%</w:t>
      </w:r>
      <w:r>
        <w:rPr>
          <w:rFonts w:hint="eastAsia"/>
          <w:lang w:val="zh-CN"/>
        </w:rPr>
        <w:t>。与</w:t>
      </w:r>
      <w:r>
        <w:rPr>
          <w:rFonts w:hint="eastAsia"/>
          <w:lang w:val="zh-CN"/>
        </w:rPr>
        <w:t>2006</w:t>
      </w:r>
      <w:r>
        <w:rPr>
          <w:rFonts w:hint="eastAsia"/>
          <w:lang w:val="zh-CN"/>
        </w:rPr>
        <w:t>年同期的数字相比，女性在三大权力机关和各类自治机关中的参与比例呈上升趋势，而在监察和管理部门则呈下降趋势，从</w:t>
      </w:r>
      <w:r>
        <w:rPr>
          <w:rFonts w:hint="eastAsia"/>
          <w:lang w:val="zh-CN"/>
        </w:rPr>
        <w:t>2006</w:t>
      </w:r>
      <w:r>
        <w:rPr>
          <w:rFonts w:hint="eastAsia"/>
          <w:lang w:val="zh-CN"/>
        </w:rPr>
        <w:t>年的</w:t>
      </w:r>
      <w:r>
        <w:rPr>
          <w:rFonts w:hint="eastAsia"/>
          <w:lang w:val="zh-CN"/>
        </w:rPr>
        <w:t>44%</w:t>
      </w:r>
      <w:r>
        <w:rPr>
          <w:rFonts w:hint="eastAsia"/>
          <w:lang w:val="zh-CN"/>
        </w:rPr>
        <w:t>降至</w:t>
      </w:r>
      <w:r>
        <w:rPr>
          <w:rFonts w:hint="eastAsia"/>
          <w:lang w:val="zh-CN"/>
        </w:rPr>
        <w:t>2010</w:t>
      </w:r>
      <w:r>
        <w:rPr>
          <w:rFonts w:hint="eastAsia"/>
          <w:lang w:val="zh-CN"/>
        </w:rPr>
        <w:t>年的</w:t>
      </w:r>
      <w:r>
        <w:rPr>
          <w:rFonts w:hint="eastAsia"/>
          <w:lang w:val="zh-CN"/>
        </w:rPr>
        <w:t>35%</w:t>
      </w:r>
      <w:r>
        <w:rPr>
          <w:rFonts w:hint="eastAsia"/>
          <w:lang w:val="zh-CN"/>
        </w:rPr>
        <w:t>，尽管其比例依然维持在法律要求的最低限度之上。</w:t>
      </w:r>
    </w:p>
    <w:p w:rsidR="00A83775" w:rsidRDefault="00A83775">
      <w:pPr>
        <w:pStyle w:val="SingleTxtGC"/>
        <w:rPr>
          <w:lang w:val="es-ES"/>
        </w:rPr>
      </w:pPr>
      <w:r>
        <w:rPr>
          <w:lang w:val="zh-CN"/>
        </w:rPr>
        <w:t xml:space="preserve">253.  </w:t>
      </w:r>
      <w:r>
        <w:rPr>
          <w:rFonts w:hint="eastAsia"/>
          <w:lang w:val="zh-CN"/>
        </w:rPr>
        <w:t>下列数据也</w:t>
      </w:r>
      <w:r>
        <w:rPr>
          <w:rFonts w:hint="eastAsia"/>
          <w:lang w:val="es-ES"/>
        </w:rPr>
        <w:t>同样揭示了上述趋势：</w:t>
      </w:r>
    </w:p>
    <w:p w:rsidR="00A83775" w:rsidRDefault="00A83775">
      <w:pPr>
        <w:pStyle w:val="SingleTxtGC"/>
        <w:numPr>
          <w:ilvl w:val="0"/>
          <w:numId w:val="43"/>
        </w:numPr>
        <w:rPr>
          <w:rFonts w:hint="eastAsia"/>
          <w:lang w:val="es-ES_tradnl"/>
        </w:rPr>
      </w:pPr>
      <w:r>
        <w:rPr>
          <w:rFonts w:hint="eastAsia"/>
          <w:lang w:val="es-ES_tradnl"/>
        </w:rPr>
        <w:t>系统成员单位的总数达到了</w:t>
      </w:r>
      <w:r>
        <w:rPr>
          <w:rFonts w:hint="eastAsia"/>
          <w:lang w:val="es-ES_tradnl"/>
        </w:rPr>
        <w:t>178</w:t>
      </w:r>
      <w:r>
        <w:rPr>
          <w:rFonts w:hint="eastAsia"/>
          <w:lang w:val="es-ES_tradnl"/>
        </w:rPr>
        <w:t>家，而对应的女性成员数达到</w:t>
      </w:r>
      <w:r>
        <w:rPr>
          <w:rFonts w:hint="eastAsia"/>
          <w:lang w:val="es-ES_tradnl"/>
        </w:rPr>
        <w:t>1</w:t>
      </w:r>
      <w:r>
        <w:rPr>
          <w:lang w:val="es-ES_tradnl"/>
        </w:rPr>
        <w:t>,</w:t>
      </w:r>
      <w:r>
        <w:rPr>
          <w:rFonts w:hint="eastAsia"/>
          <w:lang w:val="es-ES_tradnl"/>
        </w:rPr>
        <w:t>210</w:t>
      </w:r>
      <w:r>
        <w:rPr>
          <w:rFonts w:hint="eastAsia"/>
          <w:lang w:val="es-ES_tradnl"/>
        </w:rPr>
        <w:t>人，女性代表比例达到</w:t>
      </w:r>
      <w:r>
        <w:rPr>
          <w:rFonts w:hint="eastAsia"/>
          <w:lang w:val="es-ES_tradnl"/>
        </w:rPr>
        <w:t>38%</w:t>
      </w:r>
      <w:r>
        <w:rPr>
          <w:rFonts w:hint="eastAsia"/>
          <w:lang w:val="es-ES_tradnl"/>
        </w:rPr>
        <w:t>；</w:t>
      </w:r>
      <w:r>
        <w:rPr>
          <w:vertAlign w:val="superscript"/>
          <w:lang w:val="es-ES_tradnl"/>
        </w:rPr>
        <w:footnoteReference w:id="128"/>
      </w:r>
    </w:p>
    <w:p w:rsidR="00A83775" w:rsidRDefault="00A83775">
      <w:pPr>
        <w:pStyle w:val="SingleTxtGC"/>
        <w:numPr>
          <w:ilvl w:val="0"/>
          <w:numId w:val="43"/>
        </w:numPr>
        <w:rPr>
          <w:lang w:val="es-ES_tradnl"/>
        </w:rPr>
      </w:pPr>
      <w:r>
        <w:rPr>
          <w:rFonts w:hint="eastAsia"/>
          <w:lang w:val="es-ES_tradnl"/>
        </w:rPr>
        <w:t>由</w:t>
      </w:r>
      <w:r>
        <w:rPr>
          <w:rFonts w:hint="eastAsia"/>
          <w:lang w:val="es-ES_tradnl"/>
        </w:rPr>
        <w:t>12</w:t>
      </w:r>
      <w:r>
        <w:rPr>
          <w:rFonts w:hint="eastAsia"/>
          <w:lang w:val="es-ES_tradnl"/>
        </w:rPr>
        <w:t>家部委提供的资料显示，这些部委机关的领导职务中超过</w:t>
      </w:r>
      <w:r>
        <w:rPr>
          <w:rFonts w:hint="eastAsia"/>
          <w:lang w:val="es-ES_tradnl"/>
        </w:rPr>
        <w:t>30%</w:t>
      </w:r>
      <w:r>
        <w:rPr>
          <w:rFonts w:hint="eastAsia"/>
          <w:lang w:val="es-ES_tradnl"/>
        </w:rPr>
        <w:t>由女性担任。为落实发展计划关于开展社会行动的目标，国家教育部、文化部、社会保障部、内政和司法部以及商务部、工业部和旅游部的女性参与比例已经达到了</w:t>
      </w:r>
      <w:r>
        <w:rPr>
          <w:rFonts w:hint="eastAsia"/>
          <w:lang w:val="es-ES_tradnl"/>
        </w:rPr>
        <w:t>57%</w:t>
      </w:r>
      <w:r>
        <w:rPr>
          <w:rFonts w:hint="eastAsia"/>
          <w:lang w:val="es-ES_tradnl"/>
        </w:rPr>
        <w:t>，而在通信部、农业和农村发展部、能源和矿业部、环境部、住房和国土发展部以及交通部的基层职务中，妇女的参与比例达到了</w:t>
      </w:r>
      <w:r>
        <w:rPr>
          <w:rFonts w:hint="eastAsia"/>
          <w:lang w:val="es-ES_tradnl"/>
        </w:rPr>
        <w:t>42%</w:t>
      </w:r>
      <w:r>
        <w:rPr>
          <w:rFonts w:hint="eastAsia"/>
          <w:lang w:val="es-ES_tradnl"/>
        </w:rPr>
        <w:t>。在国家行政管理领域，外交部、财政和公共信贷部以及国防部的女性参与比例达到了</w:t>
      </w:r>
      <w:r>
        <w:rPr>
          <w:rFonts w:hint="eastAsia"/>
          <w:lang w:val="es-ES_tradnl"/>
        </w:rPr>
        <w:t>43%</w:t>
      </w:r>
      <w:r>
        <w:rPr>
          <w:rFonts w:hint="eastAsia"/>
          <w:lang w:val="es-ES_tradnl"/>
        </w:rPr>
        <w:t>；</w:t>
      </w:r>
    </w:p>
    <w:p w:rsidR="00A83775" w:rsidRDefault="00A83775">
      <w:pPr>
        <w:pStyle w:val="SingleTxtGC"/>
        <w:numPr>
          <w:ilvl w:val="0"/>
          <w:numId w:val="43"/>
        </w:numPr>
        <w:rPr>
          <w:lang w:val="es-ES_tradnl"/>
        </w:rPr>
      </w:pPr>
      <w:r>
        <w:rPr>
          <w:rFonts w:hint="eastAsia"/>
          <w:lang w:val="es-ES_tradnl"/>
        </w:rPr>
        <w:t>立法部门报告称在其部门担任领导职务的女性成员比例平均为</w:t>
      </w:r>
      <w:r>
        <w:rPr>
          <w:rFonts w:hint="eastAsia"/>
          <w:lang w:val="es-ES_tradnl"/>
        </w:rPr>
        <w:t>25%</w:t>
      </w:r>
      <w:r>
        <w:rPr>
          <w:rFonts w:hint="eastAsia"/>
          <w:lang w:val="es-ES_tradnl"/>
        </w:rPr>
        <w:t>，这一数字与上一年的比例持平；</w:t>
      </w:r>
    </w:p>
    <w:p w:rsidR="00A83775" w:rsidRDefault="00A83775">
      <w:pPr>
        <w:pStyle w:val="SingleTxtGC"/>
        <w:numPr>
          <w:ilvl w:val="0"/>
          <w:numId w:val="43"/>
        </w:numPr>
        <w:rPr>
          <w:lang w:val="es-ES"/>
        </w:rPr>
      </w:pPr>
      <w:r>
        <w:rPr>
          <w:rFonts w:hint="eastAsia"/>
          <w:lang w:val="es-ES_tradnl"/>
        </w:rPr>
        <w:t>司法部门中女性参与比例为</w:t>
      </w:r>
      <w:r>
        <w:rPr>
          <w:rFonts w:hint="eastAsia"/>
          <w:lang w:val="es-ES_tradnl"/>
        </w:rPr>
        <w:t>26%</w:t>
      </w:r>
      <w:r>
        <w:rPr>
          <w:rFonts w:hint="eastAsia"/>
          <w:lang w:val="es-ES_tradnl"/>
        </w:rPr>
        <w:t>，其中国家总检察署的女性成员比例最高，达到</w:t>
      </w:r>
      <w:r>
        <w:rPr>
          <w:rFonts w:hint="eastAsia"/>
          <w:lang w:val="es-ES_tradnl"/>
        </w:rPr>
        <w:t>30.56%</w:t>
      </w:r>
      <w:r>
        <w:rPr>
          <w:rFonts w:hint="eastAsia"/>
          <w:lang w:val="es-ES_tradnl"/>
        </w:rPr>
        <w:t>，而</w:t>
      </w:r>
      <w:r>
        <w:rPr>
          <w:rFonts w:hint="eastAsia"/>
          <w:lang w:val="en-GB"/>
        </w:rPr>
        <w:t>国家法律医学和法医学研究所的女性成员比例继续低于</w:t>
      </w:r>
      <w:r>
        <w:rPr>
          <w:rFonts w:hint="eastAsia"/>
          <w:lang w:val="en-GB"/>
        </w:rPr>
        <w:t>30%</w:t>
      </w:r>
      <w:r>
        <w:rPr>
          <w:rFonts w:hint="eastAsia"/>
          <w:lang w:val="en-GB"/>
        </w:rPr>
        <w:t>；</w:t>
      </w:r>
    </w:p>
    <w:p w:rsidR="00A83775" w:rsidRDefault="00A83775">
      <w:pPr>
        <w:pStyle w:val="SingleTxtGC"/>
        <w:numPr>
          <w:ilvl w:val="0"/>
          <w:numId w:val="43"/>
        </w:numPr>
        <w:rPr>
          <w:lang w:val="es-ES_tradnl"/>
        </w:rPr>
      </w:pPr>
      <w:r>
        <w:rPr>
          <w:rFonts w:hint="eastAsia"/>
          <w:lang w:val="es-ES_tradnl"/>
        </w:rPr>
        <w:t>所有监察和管理机关下属单位的女性成员比例都超过了</w:t>
      </w:r>
      <w:r>
        <w:rPr>
          <w:rFonts w:hint="eastAsia"/>
          <w:lang w:val="es-ES_tradnl"/>
        </w:rPr>
        <w:t>30%</w:t>
      </w:r>
      <w:r>
        <w:rPr>
          <w:rFonts w:hint="eastAsia"/>
          <w:lang w:val="es-ES_tradnl"/>
        </w:rPr>
        <w:t>；</w:t>
      </w:r>
    </w:p>
    <w:p w:rsidR="00A83775" w:rsidRDefault="00A83775">
      <w:pPr>
        <w:pStyle w:val="SingleTxtGC"/>
        <w:rPr>
          <w:lang w:val="es-ES_tradnl"/>
        </w:rPr>
      </w:pPr>
      <w:r>
        <w:rPr>
          <w:lang w:val="es-ES_tradnl"/>
        </w:rPr>
        <w:t xml:space="preserve">254.  </w:t>
      </w:r>
      <w:r>
        <w:rPr>
          <w:rFonts w:hint="eastAsia"/>
          <w:lang w:val="zh-CN"/>
        </w:rPr>
        <w:t>另一方面</w:t>
      </w:r>
      <w:r>
        <w:rPr>
          <w:rFonts w:hint="eastAsia"/>
          <w:lang w:val="es-ES_tradnl"/>
        </w:rPr>
        <w:t>，根据</w:t>
      </w:r>
      <w:r>
        <w:rPr>
          <w:rFonts w:hint="eastAsia"/>
          <w:lang w:val="es-ES_tradnl"/>
        </w:rPr>
        <w:t>2010</w:t>
      </w:r>
      <w:r>
        <w:rPr>
          <w:rFonts w:hint="eastAsia"/>
          <w:lang w:val="es-ES_tradnl"/>
        </w:rPr>
        <w:t>年提供的国内综合信息，得出了以下结论：</w:t>
      </w:r>
    </w:p>
    <w:p w:rsidR="00A83775" w:rsidRDefault="00A83775">
      <w:pPr>
        <w:pStyle w:val="SingleTxtGC"/>
        <w:numPr>
          <w:ilvl w:val="0"/>
          <w:numId w:val="44"/>
        </w:numPr>
        <w:rPr>
          <w:lang w:val="es-ES_tradnl"/>
        </w:rPr>
      </w:pPr>
      <w:r>
        <w:rPr>
          <w:rFonts w:hint="eastAsia"/>
          <w:lang w:val="es-ES_tradnl"/>
        </w:rPr>
        <w:t>在全国范围内，共有</w:t>
      </w:r>
      <w:r>
        <w:rPr>
          <w:rFonts w:hint="eastAsia"/>
          <w:lang w:val="es-ES_tradnl"/>
        </w:rPr>
        <w:t>1</w:t>
      </w:r>
      <w:r>
        <w:rPr>
          <w:lang w:val="es-ES_tradnl"/>
        </w:rPr>
        <w:t>,</w:t>
      </w:r>
      <w:r>
        <w:rPr>
          <w:rFonts w:hint="eastAsia"/>
          <w:lang w:val="es-ES_tradnl"/>
        </w:rPr>
        <w:t>256</w:t>
      </w:r>
      <w:r>
        <w:rPr>
          <w:rFonts w:hint="eastAsia"/>
          <w:lang w:val="es-ES_tradnl"/>
        </w:rPr>
        <w:t>家中央机关和地方机关提交了相关信息；</w:t>
      </w:r>
    </w:p>
    <w:p w:rsidR="00A83775" w:rsidRDefault="00A83775">
      <w:pPr>
        <w:pStyle w:val="SingleTxtGC"/>
        <w:numPr>
          <w:ilvl w:val="0"/>
          <w:numId w:val="44"/>
        </w:numPr>
        <w:rPr>
          <w:lang w:val="es-ES_tradnl"/>
        </w:rPr>
      </w:pPr>
      <w:r>
        <w:rPr>
          <w:rFonts w:hint="eastAsia"/>
          <w:lang w:val="es-ES_tradnl"/>
        </w:rPr>
        <w:t>在对应于全国各级单位的合并报表显示共有</w:t>
      </w:r>
      <w:r>
        <w:rPr>
          <w:rFonts w:hint="eastAsia"/>
          <w:lang w:val="es-ES_tradnl"/>
        </w:rPr>
        <w:t>2</w:t>
      </w:r>
      <w:r>
        <w:rPr>
          <w:lang w:val="es-ES_tradnl"/>
        </w:rPr>
        <w:t>,</w:t>
      </w:r>
      <w:r>
        <w:rPr>
          <w:rFonts w:hint="eastAsia"/>
          <w:lang w:val="es-ES_tradnl"/>
        </w:rPr>
        <w:t>676</w:t>
      </w:r>
      <w:r>
        <w:rPr>
          <w:rFonts w:hint="eastAsia"/>
          <w:lang w:val="es-ES_tradnl"/>
        </w:rPr>
        <w:t>个职位是由女性担任的，这占到国内职位总数的</w:t>
      </w:r>
      <w:r>
        <w:rPr>
          <w:rFonts w:hint="eastAsia"/>
          <w:lang w:val="es-ES_tradnl"/>
        </w:rPr>
        <w:t>40%</w:t>
      </w:r>
      <w:r>
        <w:rPr>
          <w:rFonts w:hint="eastAsia"/>
          <w:lang w:val="es-ES_tradnl"/>
        </w:rPr>
        <w:t>；</w:t>
      </w:r>
    </w:p>
    <w:p w:rsidR="00A83775" w:rsidRDefault="00A83775">
      <w:pPr>
        <w:pStyle w:val="SingleTxtGC"/>
        <w:numPr>
          <w:ilvl w:val="0"/>
          <w:numId w:val="44"/>
        </w:numPr>
        <w:rPr>
          <w:lang w:val="es-ES_tradnl"/>
        </w:rPr>
      </w:pPr>
      <w:r>
        <w:rPr>
          <w:rFonts w:hint="eastAsia"/>
          <w:lang w:val="es-ES_tradnl"/>
        </w:rPr>
        <w:t>在提交了信息的行政区域中，全国职位总数为</w:t>
      </w:r>
      <w:r>
        <w:rPr>
          <w:rFonts w:hint="eastAsia"/>
          <w:lang w:val="es-ES_tradnl"/>
        </w:rPr>
        <w:t>802</w:t>
      </w:r>
      <w:r>
        <w:rPr>
          <w:rFonts w:hint="eastAsia"/>
          <w:lang w:val="es-ES_tradnl"/>
        </w:rPr>
        <w:t>个，其中</w:t>
      </w:r>
      <w:r>
        <w:rPr>
          <w:rFonts w:hint="eastAsia"/>
          <w:lang w:val="es-ES_tradnl"/>
        </w:rPr>
        <w:t>293</w:t>
      </w:r>
      <w:r>
        <w:rPr>
          <w:rFonts w:hint="eastAsia"/>
          <w:lang w:val="es-ES_tradnl"/>
        </w:rPr>
        <w:t>个由女性担任，占到</w:t>
      </w:r>
      <w:r>
        <w:rPr>
          <w:rFonts w:hint="eastAsia"/>
          <w:lang w:val="es-ES_tradnl"/>
        </w:rPr>
        <w:t>37%</w:t>
      </w:r>
      <w:r>
        <w:rPr>
          <w:rFonts w:hint="eastAsia"/>
          <w:lang w:val="es-ES_tradnl"/>
        </w:rPr>
        <w:t>；</w:t>
      </w:r>
    </w:p>
    <w:p w:rsidR="00A83775" w:rsidRDefault="00A83775">
      <w:pPr>
        <w:pStyle w:val="SingleTxtGC"/>
        <w:numPr>
          <w:ilvl w:val="0"/>
          <w:numId w:val="44"/>
        </w:numPr>
        <w:rPr>
          <w:lang w:val="es-ES_tradnl"/>
        </w:rPr>
      </w:pPr>
      <w:r>
        <w:rPr>
          <w:rFonts w:hint="eastAsia"/>
          <w:lang w:val="es-ES_tradnl"/>
        </w:rPr>
        <w:t>在提交了信息的</w:t>
      </w:r>
      <w:r>
        <w:rPr>
          <w:rFonts w:hint="eastAsia"/>
          <w:lang w:val="es-ES_tradnl"/>
        </w:rPr>
        <w:t>29</w:t>
      </w:r>
      <w:r>
        <w:rPr>
          <w:rFonts w:hint="eastAsia"/>
          <w:lang w:val="es-ES_tradnl"/>
        </w:rPr>
        <w:t>家行政区域中，有八个行政区的女性成员比例低于</w:t>
      </w:r>
      <w:r>
        <w:rPr>
          <w:rFonts w:hint="eastAsia"/>
          <w:lang w:val="es-ES_tradnl"/>
        </w:rPr>
        <w:t>30%</w:t>
      </w:r>
      <w:r>
        <w:rPr>
          <w:rFonts w:hint="eastAsia"/>
          <w:lang w:val="es-ES_tradnl"/>
        </w:rPr>
        <w:t>。</w:t>
      </w:r>
      <w:r>
        <w:rPr>
          <w:vertAlign w:val="superscript"/>
          <w:lang w:val="es-ES_tradnl"/>
        </w:rPr>
        <w:footnoteReference w:id="129"/>
      </w:r>
      <w:r>
        <w:rPr>
          <w:lang w:val="es-ES_tradnl"/>
        </w:rPr>
        <w:t xml:space="preserve"> </w:t>
      </w:r>
      <w:r>
        <w:rPr>
          <w:rFonts w:hint="eastAsia"/>
          <w:lang w:val="es-ES_tradnl"/>
        </w:rPr>
        <w:t>在提交了信息的省府中，职位总数为</w:t>
      </w:r>
      <w:r>
        <w:rPr>
          <w:rFonts w:hint="eastAsia"/>
          <w:lang w:val="es-ES_tradnl"/>
        </w:rPr>
        <w:t>659</w:t>
      </w:r>
      <w:r>
        <w:rPr>
          <w:rFonts w:hint="eastAsia"/>
          <w:lang w:val="es-ES_tradnl"/>
        </w:rPr>
        <w:t>个，其中</w:t>
      </w:r>
      <w:r>
        <w:rPr>
          <w:rFonts w:hint="eastAsia"/>
          <w:lang w:val="es-ES_tradnl"/>
        </w:rPr>
        <w:t>275</w:t>
      </w:r>
      <w:r>
        <w:rPr>
          <w:rFonts w:hint="eastAsia"/>
          <w:lang w:val="es-ES_tradnl"/>
        </w:rPr>
        <w:t>个由女性职位，占到</w:t>
      </w:r>
      <w:r>
        <w:rPr>
          <w:rFonts w:hint="eastAsia"/>
          <w:lang w:val="es-ES_tradnl"/>
        </w:rPr>
        <w:t>42%</w:t>
      </w:r>
      <w:r>
        <w:rPr>
          <w:rFonts w:hint="eastAsia"/>
          <w:lang w:val="es-ES_tradnl"/>
        </w:rPr>
        <w:t>；</w:t>
      </w:r>
    </w:p>
    <w:p w:rsidR="00A83775" w:rsidRDefault="00A83775">
      <w:pPr>
        <w:pStyle w:val="SingleTxtGC"/>
        <w:numPr>
          <w:ilvl w:val="0"/>
          <w:numId w:val="44"/>
        </w:numPr>
        <w:rPr>
          <w:lang w:val="es-ES_tradnl"/>
        </w:rPr>
      </w:pPr>
      <w:r>
        <w:rPr>
          <w:rFonts w:hint="eastAsia"/>
          <w:lang w:val="es-ES_tradnl"/>
        </w:rPr>
        <w:t>将</w:t>
      </w:r>
      <w:r>
        <w:rPr>
          <w:rFonts w:hint="eastAsia"/>
          <w:lang w:val="es-ES_tradnl"/>
        </w:rPr>
        <w:t>2005</w:t>
      </w:r>
      <w:r>
        <w:rPr>
          <w:rFonts w:hint="eastAsia"/>
          <w:lang w:val="es-ES_tradnl"/>
        </w:rPr>
        <w:t>年至</w:t>
      </w:r>
      <w:r>
        <w:rPr>
          <w:rFonts w:hint="eastAsia"/>
          <w:lang w:val="es-ES_tradnl"/>
        </w:rPr>
        <w:t>2010</w:t>
      </w:r>
      <w:r>
        <w:rPr>
          <w:rFonts w:hint="eastAsia"/>
          <w:lang w:val="es-ES_tradnl"/>
        </w:rPr>
        <w:t>年各省府，包括波哥大首都特区的数据进行比较，可以看出马尼萨莱斯市在近五年来从未达到这一法律规定的额度要求。</w:t>
      </w:r>
    </w:p>
    <w:p w:rsidR="00A83775" w:rsidRDefault="00A83775">
      <w:pPr>
        <w:pStyle w:val="SingleTxtGC"/>
        <w:rPr>
          <w:lang w:val="es-ES"/>
        </w:rPr>
      </w:pPr>
      <w:r>
        <w:rPr>
          <w:lang w:val="es-ES"/>
        </w:rPr>
        <w:t xml:space="preserve">255.  </w:t>
      </w:r>
      <w:r>
        <w:rPr>
          <w:rFonts w:hint="eastAsia"/>
          <w:lang w:val="es-ES"/>
        </w:rPr>
        <w:t>为鼓励落实</w:t>
      </w:r>
      <w:r>
        <w:rPr>
          <w:rFonts w:hint="eastAsia"/>
          <w:lang w:val="es-ES"/>
        </w:rPr>
        <w:t>2000</w:t>
      </w:r>
      <w:r>
        <w:rPr>
          <w:rFonts w:hint="eastAsia"/>
          <w:lang w:val="es-ES"/>
        </w:rPr>
        <w:t>年的第</w:t>
      </w:r>
      <w:r>
        <w:rPr>
          <w:rFonts w:hint="eastAsia"/>
          <w:lang w:val="es-ES"/>
        </w:rPr>
        <w:t>581</w:t>
      </w:r>
      <w:r>
        <w:rPr>
          <w:rFonts w:hint="eastAsia"/>
          <w:lang w:val="es-ES"/>
        </w:rPr>
        <w:t>号法，公共职能管理局通过公共就业管理处制定出台了若干战略，比如举办地区结构性会晤，以便在国内</w:t>
      </w:r>
      <w:r>
        <w:rPr>
          <w:rFonts w:hint="eastAsia"/>
          <w:lang w:val="es-ES"/>
        </w:rPr>
        <w:t>32</w:t>
      </w:r>
      <w:r>
        <w:rPr>
          <w:rFonts w:hint="eastAsia"/>
          <w:lang w:val="es-ES"/>
        </w:rPr>
        <w:t>个省份中宣传关于将女性纳入政局的政策，并采取了举办论坛、远程会议、通过网页进行宣传等措施。</w:t>
      </w:r>
    </w:p>
    <w:p w:rsidR="00A83775" w:rsidRDefault="00A83775">
      <w:pPr>
        <w:pStyle w:val="H23GC"/>
        <w:rPr>
          <w:lang w:val="es-ES"/>
        </w:rPr>
      </w:pPr>
      <w:r>
        <w:rPr>
          <w:lang w:val="es-ES"/>
        </w:rPr>
        <w:tab/>
      </w:r>
      <w:r>
        <w:rPr>
          <w:lang w:val="es-ES"/>
        </w:rPr>
        <w:tab/>
      </w:r>
      <w:r>
        <w:rPr>
          <w:rFonts w:hint="eastAsia"/>
          <w:lang w:val="es-ES"/>
        </w:rPr>
        <w:t>选举程序</w:t>
      </w:r>
    </w:p>
    <w:p w:rsidR="00A83775" w:rsidRDefault="00A83775">
      <w:pPr>
        <w:pStyle w:val="SingleTxtGC"/>
        <w:rPr>
          <w:lang w:val="es-ES"/>
        </w:rPr>
      </w:pPr>
      <w:r>
        <w:rPr>
          <w:lang w:val="es-ES"/>
        </w:rPr>
        <w:t xml:space="preserve">256.  </w:t>
      </w:r>
      <w:r>
        <w:rPr>
          <w:rFonts w:hint="eastAsia"/>
          <w:lang w:val="es-ES"/>
        </w:rPr>
        <w:t>国家民政登记总局已经开展了若干选举程序并向各政党和政治团体的咨商活动提供了支持，通过这些工作可以分析出女性在选举领域的参与程度如何。以下为分析得出的结论，详情在本条对应的附件</w:t>
      </w:r>
      <w:r>
        <w:rPr>
          <w:rFonts w:hint="eastAsia"/>
          <w:lang w:val="es-ES"/>
        </w:rPr>
        <w:t>3</w:t>
      </w:r>
      <w:r>
        <w:rPr>
          <w:rFonts w:hint="eastAsia"/>
          <w:lang w:val="es-ES"/>
        </w:rPr>
        <w:t>中进行了展开论述：</w:t>
      </w:r>
    </w:p>
    <w:p w:rsidR="00A83775" w:rsidRDefault="00A83775">
      <w:pPr>
        <w:pStyle w:val="SingleTxtGC"/>
        <w:numPr>
          <w:ilvl w:val="0"/>
          <w:numId w:val="45"/>
        </w:numPr>
        <w:rPr>
          <w:lang w:val="es-ES_tradnl"/>
        </w:rPr>
      </w:pPr>
      <w:r>
        <w:rPr>
          <w:rFonts w:hint="eastAsia"/>
          <w:lang w:val="es-ES_tradnl"/>
        </w:rPr>
        <w:t>从</w:t>
      </w:r>
      <w:r>
        <w:rPr>
          <w:rFonts w:hint="eastAsia"/>
          <w:lang w:val="es-ES_tradnl"/>
        </w:rPr>
        <w:t>1998-2002</w:t>
      </w:r>
      <w:r>
        <w:rPr>
          <w:rFonts w:hint="eastAsia"/>
          <w:lang w:val="es-ES_tradnl"/>
        </w:rPr>
        <w:t>届到</w:t>
      </w:r>
      <w:r>
        <w:rPr>
          <w:rFonts w:hint="eastAsia"/>
          <w:lang w:val="es-ES_tradnl"/>
        </w:rPr>
        <w:t>2010-2014</w:t>
      </w:r>
      <w:r>
        <w:rPr>
          <w:rFonts w:hint="eastAsia"/>
          <w:lang w:val="es-ES_tradnl"/>
        </w:rPr>
        <w:t>届的参众两院议员选举的过程中可以看出女性在参众两院所占比例有了明显渐进式的提高。在前一届选举中，参议院女性所占议席比例为</w:t>
      </w:r>
      <w:r>
        <w:rPr>
          <w:rFonts w:hint="eastAsia"/>
          <w:lang w:val="es-ES_tradnl"/>
        </w:rPr>
        <w:t>13%</w:t>
      </w:r>
      <w:r>
        <w:rPr>
          <w:rFonts w:hint="eastAsia"/>
          <w:lang w:val="es-ES_tradnl"/>
        </w:rPr>
        <w:t>，众议院中女性的议席比例为</w:t>
      </w:r>
      <w:r>
        <w:rPr>
          <w:rFonts w:hint="eastAsia"/>
          <w:lang w:val="es-ES_tradnl"/>
        </w:rPr>
        <w:t>11%</w:t>
      </w:r>
      <w:r>
        <w:rPr>
          <w:rFonts w:hint="eastAsia"/>
          <w:lang w:val="es-ES_tradnl"/>
        </w:rPr>
        <w:t>；而在后一届选举中，参议院中女性议席比例为</w:t>
      </w:r>
      <w:r>
        <w:rPr>
          <w:rFonts w:hint="eastAsia"/>
          <w:lang w:val="es-ES_tradnl"/>
        </w:rPr>
        <w:t>16%</w:t>
      </w:r>
      <w:r>
        <w:rPr>
          <w:rFonts w:hint="eastAsia"/>
          <w:lang w:val="es-ES_tradnl"/>
        </w:rPr>
        <w:t>，众议院中女性议席比例为</w:t>
      </w:r>
      <w:r>
        <w:rPr>
          <w:rFonts w:hint="eastAsia"/>
          <w:lang w:val="es-ES_tradnl"/>
        </w:rPr>
        <w:t>12%</w:t>
      </w:r>
      <w:r>
        <w:rPr>
          <w:rFonts w:hint="eastAsia"/>
          <w:lang w:val="es-ES_tradnl"/>
        </w:rPr>
        <w:t>。这一点无疑显示出在促进妇女参与政治生活并提高妇女对其政治权利和公民权利的认识的工作上所取得的缓慢进步。从总体上看，</w:t>
      </w:r>
      <w:r>
        <w:rPr>
          <w:rFonts w:hint="eastAsia"/>
          <w:lang w:val="es-ES_tradnl"/>
        </w:rPr>
        <w:t>2010-2014</w:t>
      </w:r>
      <w:r>
        <w:rPr>
          <w:rFonts w:hint="eastAsia"/>
          <w:lang w:val="es-ES_tradnl"/>
        </w:rPr>
        <w:t>届共和国国会选举中共有来自全国各地不同政党的</w:t>
      </w:r>
      <w:r>
        <w:rPr>
          <w:rFonts w:hint="eastAsia"/>
          <w:lang w:val="es-ES_tradnl"/>
        </w:rPr>
        <w:t>38</w:t>
      </w:r>
      <w:r>
        <w:rPr>
          <w:rFonts w:hint="eastAsia"/>
          <w:lang w:val="es-ES_tradnl"/>
        </w:rPr>
        <w:t>名妇女当选。在共和国参议院中妇女当选</w:t>
      </w:r>
      <w:r>
        <w:rPr>
          <w:rFonts w:hint="eastAsia"/>
          <w:lang w:val="es-ES_tradnl"/>
        </w:rPr>
        <w:t>17</w:t>
      </w:r>
      <w:r>
        <w:rPr>
          <w:rFonts w:hint="eastAsia"/>
          <w:lang w:val="es-ES_tradnl"/>
        </w:rPr>
        <w:t>个席位数，占其成员总数的</w:t>
      </w:r>
      <w:r>
        <w:rPr>
          <w:rFonts w:hint="eastAsia"/>
          <w:lang w:val="es-ES_tradnl"/>
        </w:rPr>
        <w:t>16.7%</w:t>
      </w:r>
      <w:r>
        <w:rPr>
          <w:rFonts w:hint="eastAsia"/>
          <w:lang w:val="es-ES_tradnl"/>
        </w:rPr>
        <w:t>。而众议院中妇女当选</w:t>
      </w:r>
      <w:r>
        <w:rPr>
          <w:rFonts w:hint="eastAsia"/>
          <w:lang w:val="es-ES_tradnl"/>
        </w:rPr>
        <w:t>21</w:t>
      </w:r>
      <w:r>
        <w:rPr>
          <w:rFonts w:hint="eastAsia"/>
          <w:lang w:val="es-ES_tradnl"/>
        </w:rPr>
        <w:t>个席位数，占</w:t>
      </w:r>
      <w:r>
        <w:rPr>
          <w:rFonts w:hint="eastAsia"/>
          <w:lang w:val="es-ES_tradnl"/>
        </w:rPr>
        <w:t>12.7%</w:t>
      </w:r>
      <w:r>
        <w:rPr>
          <w:rFonts w:hint="eastAsia"/>
          <w:lang w:val="es-ES_tradnl"/>
        </w:rPr>
        <w:t>，女议员占到国会议员总数的</w:t>
      </w:r>
      <w:r>
        <w:rPr>
          <w:rFonts w:hint="eastAsia"/>
          <w:lang w:val="es-ES_tradnl"/>
        </w:rPr>
        <w:t>14.2%</w:t>
      </w:r>
      <w:r>
        <w:rPr>
          <w:rFonts w:hint="eastAsia"/>
          <w:lang w:val="es-ES_tradnl"/>
        </w:rPr>
        <w:t>；</w:t>
      </w:r>
    </w:p>
    <w:p w:rsidR="00A83775" w:rsidRDefault="00A83775">
      <w:pPr>
        <w:pStyle w:val="SingleTxtGC"/>
        <w:numPr>
          <w:ilvl w:val="0"/>
          <w:numId w:val="45"/>
        </w:numPr>
        <w:rPr>
          <w:lang w:val="es-ES_tradnl"/>
        </w:rPr>
      </w:pPr>
      <w:r>
        <w:rPr>
          <w:rFonts w:hint="eastAsia"/>
          <w:lang w:val="es-ES_tradnl"/>
        </w:rPr>
        <w:t>将</w:t>
      </w:r>
      <w:r>
        <w:rPr>
          <w:rFonts w:hint="eastAsia"/>
          <w:lang w:val="es-ES_tradnl"/>
        </w:rPr>
        <w:t>2006-2010</w:t>
      </w:r>
      <w:r>
        <w:rPr>
          <w:rFonts w:hint="eastAsia"/>
          <w:lang w:val="es-ES_tradnl"/>
        </w:rPr>
        <w:t>届与</w:t>
      </w:r>
      <w:r>
        <w:rPr>
          <w:rFonts w:hint="eastAsia"/>
          <w:lang w:val="es-ES_tradnl"/>
        </w:rPr>
        <w:t>2010-2014</w:t>
      </w:r>
      <w:r>
        <w:rPr>
          <w:rFonts w:hint="eastAsia"/>
          <w:lang w:val="es-ES_tradnl"/>
        </w:rPr>
        <w:t>届共和国国会的情况进行比较，可以看出女议员所占比例稍有提高。女参议员的比例从</w:t>
      </w:r>
      <w:r>
        <w:rPr>
          <w:rFonts w:hint="eastAsia"/>
          <w:lang w:val="es-ES_tradnl"/>
        </w:rPr>
        <w:t>12%</w:t>
      </w:r>
      <w:r>
        <w:rPr>
          <w:rFonts w:hint="eastAsia"/>
          <w:lang w:val="es-ES_tradnl"/>
        </w:rPr>
        <w:t>提高到</w:t>
      </w:r>
      <w:r>
        <w:rPr>
          <w:rFonts w:hint="eastAsia"/>
          <w:lang w:val="es-ES_tradnl"/>
        </w:rPr>
        <w:t>16%</w:t>
      </w:r>
      <w:r>
        <w:rPr>
          <w:rFonts w:hint="eastAsia"/>
          <w:lang w:val="es-ES_tradnl"/>
        </w:rPr>
        <w:t>，女众议员的比例从</w:t>
      </w:r>
      <w:r>
        <w:rPr>
          <w:rFonts w:hint="eastAsia"/>
          <w:lang w:val="es-ES_tradnl"/>
        </w:rPr>
        <w:t>10%</w:t>
      </w:r>
      <w:r>
        <w:rPr>
          <w:rFonts w:hint="eastAsia"/>
          <w:lang w:val="es-ES_tradnl"/>
        </w:rPr>
        <w:t>提高到</w:t>
      </w:r>
      <w:r>
        <w:rPr>
          <w:rFonts w:hint="eastAsia"/>
          <w:lang w:val="es-ES_tradnl"/>
        </w:rPr>
        <w:t>12%</w:t>
      </w:r>
      <w:r>
        <w:rPr>
          <w:rFonts w:hint="eastAsia"/>
          <w:lang w:val="es-ES_tradnl"/>
        </w:rPr>
        <w:t>；</w:t>
      </w:r>
    </w:p>
    <w:p w:rsidR="00A83775" w:rsidRDefault="00A83775">
      <w:pPr>
        <w:pStyle w:val="SingleTxtGC"/>
        <w:numPr>
          <w:ilvl w:val="0"/>
          <w:numId w:val="45"/>
        </w:numPr>
        <w:rPr>
          <w:lang w:val="es-ES_tradnl"/>
        </w:rPr>
      </w:pPr>
      <w:r>
        <w:rPr>
          <w:rFonts w:hint="eastAsia"/>
          <w:lang w:val="es-ES_tradnl"/>
        </w:rPr>
        <w:t>各地区和地方的妇女参政情况如下：在省政府一级，将</w:t>
      </w:r>
      <w:r>
        <w:rPr>
          <w:rFonts w:hint="eastAsia"/>
          <w:lang w:val="es-ES_tradnl"/>
        </w:rPr>
        <w:t>2004-2007</w:t>
      </w:r>
      <w:r>
        <w:rPr>
          <w:rFonts w:hint="eastAsia"/>
          <w:lang w:val="es-ES_tradnl"/>
        </w:rPr>
        <w:t>届与</w:t>
      </w:r>
      <w:r>
        <w:rPr>
          <w:rFonts w:hint="eastAsia"/>
          <w:lang w:val="es-ES_tradnl"/>
        </w:rPr>
        <w:t>2007-2011</w:t>
      </w:r>
      <w:r>
        <w:rPr>
          <w:rFonts w:hint="eastAsia"/>
          <w:lang w:val="es-ES_tradnl"/>
        </w:rPr>
        <w:t>届的情况进行比较，可以看出女行政长官的比例从</w:t>
      </w:r>
      <w:r>
        <w:rPr>
          <w:rFonts w:hint="eastAsia"/>
          <w:lang w:val="es-ES_tradnl"/>
        </w:rPr>
        <w:t>6.25%</w:t>
      </w:r>
      <w:r>
        <w:rPr>
          <w:rFonts w:hint="eastAsia"/>
          <w:lang w:val="es-ES_tradnl"/>
        </w:rPr>
        <w:t>提高到</w:t>
      </w:r>
      <w:r>
        <w:rPr>
          <w:rFonts w:hint="eastAsia"/>
          <w:lang w:val="es-ES_tradnl"/>
        </w:rPr>
        <w:t>7.95%</w:t>
      </w:r>
      <w:r>
        <w:rPr>
          <w:rFonts w:hint="eastAsia"/>
          <w:lang w:val="es-ES_tradnl"/>
        </w:rPr>
        <w:t>。在省议会中，女议员的比例出现了轻微的下降，从</w:t>
      </w:r>
      <w:r>
        <w:rPr>
          <w:rFonts w:hint="eastAsia"/>
          <w:lang w:val="es-ES_tradnl"/>
        </w:rPr>
        <w:t>15%</w:t>
      </w:r>
      <w:r>
        <w:rPr>
          <w:rFonts w:hint="eastAsia"/>
          <w:lang w:val="es-ES_tradnl"/>
        </w:rPr>
        <w:t>降至</w:t>
      </w:r>
      <w:r>
        <w:rPr>
          <w:rFonts w:hint="eastAsia"/>
          <w:lang w:val="es-ES_tradnl"/>
        </w:rPr>
        <w:t>14.6%</w:t>
      </w:r>
      <w:r>
        <w:rPr>
          <w:rFonts w:hint="eastAsia"/>
          <w:lang w:val="es-ES_tradnl"/>
        </w:rPr>
        <w:t>。在市镇政府一级，女性官员的比例从</w:t>
      </w:r>
      <w:r>
        <w:rPr>
          <w:rFonts w:hint="eastAsia"/>
          <w:lang w:val="es-ES_tradnl"/>
        </w:rPr>
        <w:t>7.6%</w:t>
      </w:r>
      <w:r>
        <w:rPr>
          <w:rFonts w:hint="eastAsia"/>
          <w:lang w:val="es-ES_tradnl"/>
        </w:rPr>
        <w:t>提高到</w:t>
      </w:r>
      <w:r>
        <w:rPr>
          <w:rFonts w:hint="eastAsia"/>
          <w:lang w:val="es-ES_tradnl"/>
        </w:rPr>
        <w:t>12.52%</w:t>
      </w:r>
      <w:r>
        <w:rPr>
          <w:rFonts w:hint="eastAsia"/>
          <w:lang w:val="es-ES_tradnl"/>
        </w:rPr>
        <w:t>。而在市议会一级，女议员的比例维持稳定，分别是</w:t>
      </w:r>
      <w:r>
        <w:rPr>
          <w:rFonts w:hint="eastAsia"/>
          <w:lang w:val="es-ES_tradnl"/>
        </w:rPr>
        <w:t>13.71%</w:t>
      </w:r>
      <w:r>
        <w:rPr>
          <w:rFonts w:hint="eastAsia"/>
          <w:lang w:val="es-ES_tradnl"/>
        </w:rPr>
        <w:t>和</w:t>
      </w:r>
      <w:r>
        <w:rPr>
          <w:rFonts w:hint="eastAsia"/>
          <w:lang w:val="es-ES_tradnl"/>
        </w:rPr>
        <w:t>13.81%</w:t>
      </w:r>
      <w:r>
        <w:rPr>
          <w:rFonts w:hint="eastAsia"/>
          <w:lang w:val="es-ES_tradnl"/>
        </w:rPr>
        <w:t>。</w:t>
      </w:r>
    </w:p>
    <w:p w:rsidR="00A83775" w:rsidRDefault="00A83775">
      <w:pPr>
        <w:pStyle w:val="H23GC"/>
        <w:rPr>
          <w:b/>
          <w:lang w:val="es-ES"/>
        </w:rPr>
      </w:pPr>
      <w:r>
        <w:rPr>
          <w:lang w:val="es-ES"/>
        </w:rPr>
        <w:tab/>
      </w:r>
      <w:r>
        <w:rPr>
          <w:lang w:val="es-ES"/>
        </w:rPr>
        <w:tab/>
      </w:r>
      <w:r>
        <w:rPr>
          <w:rFonts w:hint="eastAsia"/>
          <w:lang w:val="es-ES"/>
        </w:rPr>
        <w:t>妇女在各政党中的参与比例及状况</w:t>
      </w:r>
    </w:p>
    <w:p w:rsidR="00A83775" w:rsidRDefault="00A83775">
      <w:pPr>
        <w:pStyle w:val="SingleTxtGC"/>
        <w:rPr>
          <w:b/>
          <w:lang w:val="es-ES"/>
        </w:rPr>
      </w:pPr>
      <w:r>
        <w:rPr>
          <w:lang w:val="es-ES"/>
        </w:rPr>
        <w:t xml:space="preserve">257.  </w:t>
      </w:r>
      <w:r>
        <w:rPr>
          <w:rFonts w:hint="eastAsia"/>
          <w:lang w:val="es-ES"/>
        </w:rPr>
        <w:t>2008</w:t>
      </w:r>
      <w:r>
        <w:rPr>
          <w:rFonts w:hint="eastAsia"/>
          <w:lang w:val="es-ES"/>
        </w:rPr>
        <w:t>年期间开展的各政党选举活动中妇女的参与比例根据选举的不同在</w:t>
      </w:r>
      <w:r>
        <w:rPr>
          <w:rFonts w:hint="eastAsia"/>
          <w:lang w:val="es-ES"/>
        </w:rPr>
        <w:t>15%</w:t>
      </w:r>
      <w:r>
        <w:rPr>
          <w:rFonts w:hint="eastAsia"/>
          <w:lang w:val="es-ES"/>
        </w:rPr>
        <w:t>至</w:t>
      </w:r>
      <w:r>
        <w:rPr>
          <w:rFonts w:hint="eastAsia"/>
          <w:lang w:val="es-ES"/>
        </w:rPr>
        <w:t>47%</w:t>
      </w:r>
      <w:r>
        <w:rPr>
          <w:rFonts w:hint="eastAsia"/>
          <w:lang w:val="es-ES"/>
        </w:rPr>
        <w:t>之间浮动。</w:t>
      </w:r>
      <w:r>
        <w:rPr>
          <w:vertAlign w:val="superscript"/>
          <w:lang w:val="es-ES"/>
        </w:rPr>
        <w:footnoteReference w:id="130"/>
      </w:r>
      <w:r>
        <w:rPr>
          <w:lang w:val="es-ES"/>
        </w:rPr>
        <w:t xml:space="preserve"> </w:t>
      </w:r>
      <w:r>
        <w:rPr>
          <w:rFonts w:hint="eastAsia"/>
          <w:lang w:val="es-ES"/>
        </w:rPr>
        <w:t>2009</w:t>
      </w:r>
      <w:r>
        <w:rPr>
          <w:rFonts w:hint="eastAsia"/>
          <w:lang w:val="es-ES"/>
        </w:rPr>
        <w:t>年的情况与上一年同期相比没有较大的变化。在</w:t>
      </w:r>
      <w:r>
        <w:rPr>
          <w:rFonts w:hint="eastAsia"/>
          <w:lang w:val="zh-CN"/>
        </w:rPr>
        <w:t>这一年</w:t>
      </w:r>
      <w:r>
        <w:rPr>
          <w:rFonts w:hint="eastAsia"/>
          <w:lang w:val="es-ES"/>
        </w:rPr>
        <w:t>的政党选举活动中妇女的参与比例根据选举的不同在</w:t>
      </w:r>
      <w:r>
        <w:rPr>
          <w:rFonts w:hint="eastAsia"/>
          <w:lang w:val="es-ES"/>
        </w:rPr>
        <w:t>7%</w:t>
      </w:r>
      <w:r>
        <w:rPr>
          <w:rFonts w:hint="eastAsia"/>
          <w:lang w:val="es-ES"/>
        </w:rPr>
        <w:t>至</w:t>
      </w:r>
      <w:r>
        <w:rPr>
          <w:rFonts w:hint="eastAsia"/>
          <w:lang w:val="es-ES"/>
        </w:rPr>
        <w:t>50%</w:t>
      </w:r>
      <w:r>
        <w:rPr>
          <w:rFonts w:hint="eastAsia"/>
          <w:lang w:val="es-ES"/>
        </w:rPr>
        <w:t>之间浮动。</w:t>
      </w:r>
      <w:r>
        <w:rPr>
          <w:vertAlign w:val="superscript"/>
          <w:lang w:val="es-ES"/>
        </w:rPr>
        <w:footnoteReference w:id="131"/>
      </w:r>
      <w:r>
        <w:rPr>
          <w:lang w:val="es-ES"/>
        </w:rPr>
        <w:t xml:space="preserve"> </w:t>
      </w:r>
      <w:r>
        <w:rPr>
          <w:rFonts w:hint="eastAsia"/>
          <w:lang w:val="es-ES"/>
        </w:rPr>
        <w:t>2010</w:t>
      </w:r>
      <w:r>
        <w:rPr>
          <w:rFonts w:hint="eastAsia"/>
          <w:lang w:val="es-ES"/>
        </w:rPr>
        <w:t>年保守党和绿党开展了关于总统候选人遴选的选举活动。在保守党所举办的选举活动中，妇女的参与比例为</w:t>
      </w:r>
      <w:r>
        <w:rPr>
          <w:rFonts w:hint="eastAsia"/>
          <w:lang w:val="es-ES"/>
        </w:rPr>
        <w:t>40%</w:t>
      </w:r>
      <w:r>
        <w:rPr>
          <w:rFonts w:hint="eastAsia"/>
          <w:lang w:val="es-ES"/>
        </w:rPr>
        <w:t>，即五名提名候选人中有两名为女性，而绿党的候选人名单中则没有出现女性成员。</w:t>
      </w:r>
    </w:p>
    <w:p w:rsidR="00A83775" w:rsidRDefault="00A83775">
      <w:pPr>
        <w:pStyle w:val="H23GC"/>
        <w:rPr>
          <w:lang w:val="es-ES"/>
        </w:rPr>
      </w:pPr>
      <w:r>
        <w:rPr>
          <w:lang w:val="es-ES"/>
        </w:rPr>
        <w:tab/>
      </w:r>
      <w:r>
        <w:rPr>
          <w:lang w:val="es-ES"/>
        </w:rPr>
        <w:tab/>
      </w:r>
      <w:r>
        <w:rPr>
          <w:rFonts w:hint="eastAsia"/>
          <w:lang w:val="es-ES"/>
        </w:rPr>
        <w:t>土著妇女和非洲裔妇女参与政治生活和公共生活的情况</w:t>
      </w:r>
    </w:p>
    <w:p w:rsidR="00A83775" w:rsidRDefault="00A83775">
      <w:pPr>
        <w:pStyle w:val="SingleTxtGC"/>
        <w:rPr>
          <w:lang w:val="es-ES"/>
        </w:rPr>
      </w:pPr>
      <w:r>
        <w:rPr>
          <w:lang w:val="es-ES"/>
        </w:rPr>
        <w:t xml:space="preserve">258.  </w:t>
      </w:r>
      <w:r>
        <w:rPr>
          <w:rFonts w:hint="eastAsia"/>
          <w:lang w:val="es-ES"/>
        </w:rPr>
        <w:t>2001</w:t>
      </w:r>
      <w:r>
        <w:rPr>
          <w:rFonts w:hint="eastAsia"/>
          <w:lang w:val="es-ES"/>
        </w:rPr>
        <w:t>年的第</w:t>
      </w:r>
      <w:r>
        <w:rPr>
          <w:rFonts w:hint="eastAsia"/>
          <w:lang w:val="es-ES"/>
        </w:rPr>
        <w:t>649</w:t>
      </w:r>
      <w:r>
        <w:rPr>
          <w:rFonts w:hint="eastAsia"/>
          <w:lang w:val="es-ES"/>
        </w:rPr>
        <w:t>号法</w:t>
      </w:r>
      <w:r>
        <w:rPr>
          <w:vertAlign w:val="superscript"/>
          <w:lang w:val="es-ES"/>
        </w:rPr>
        <w:footnoteReference w:id="132"/>
      </w:r>
      <w:r>
        <w:rPr>
          <w:lang w:val="es-ES"/>
        </w:rPr>
        <w:t xml:space="preserve"> </w:t>
      </w:r>
      <w:r>
        <w:rPr>
          <w:rFonts w:hint="eastAsia"/>
          <w:lang w:val="es-ES"/>
        </w:rPr>
        <w:t>规定专门设立非洲裔选区和土著选区，以便促进这部分人口真正有效参与政治生活，根据这一法律，</w:t>
      </w:r>
      <w:r>
        <w:rPr>
          <w:rFonts w:hint="eastAsia"/>
          <w:lang w:val="es-ES"/>
        </w:rPr>
        <w:t>2010</w:t>
      </w:r>
      <w:r>
        <w:rPr>
          <w:rFonts w:hint="eastAsia"/>
          <w:lang w:val="es-ES"/>
        </w:rPr>
        <w:t>年的众议院议员选举程序的记录显示，在土著特别选区中女性参与比例为</w:t>
      </w:r>
      <w:r>
        <w:rPr>
          <w:rFonts w:hint="eastAsia"/>
          <w:lang w:val="es-ES"/>
        </w:rPr>
        <w:t>37.5%</w:t>
      </w:r>
      <w:r>
        <w:rPr>
          <w:rFonts w:hint="eastAsia"/>
          <w:lang w:val="es-ES"/>
        </w:rPr>
        <w:t>，而在参议院选举的土著特别选区中女性参与比例为</w:t>
      </w:r>
      <w:r>
        <w:rPr>
          <w:rFonts w:hint="eastAsia"/>
          <w:lang w:val="es-ES"/>
        </w:rPr>
        <w:t>16.6%</w:t>
      </w:r>
      <w:r>
        <w:rPr>
          <w:rFonts w:hint="eastAsia"/>
          <w:lang w:val="es-ES"/>
        </w:rPr>
        <w:t>，而众议院选举的非洲裔选区中女性参与比例为</w:t>
      </w:r>
      <w:r>
        <w:rPr>
          <w:rFonts w:hint="eastAsia"/>
          <w:lang w:val="es-ES"/>
        </w:rPr>
        <w:t>15.9%</w:t>
      </w:r>
      <w:r>
        <w:rPr>
          <w:rFonts w:hint="eastAsia"/>
          <w:lang w:val="es-ES"/>
        </w:rPr>
        <w:t>。</w:t>
      </w:r>
    </w:p>
    <w:p w:rsidR="00A83775" w:rsidRDefault="00A83775">
      <w:pPr>
        <w:pStyle w:val="H23GC"/>
        <w:rPr>
          <w:lang w:val="es-CO"/>
        </w:rPr>
      </w:pPr>
      <w:r>
        <w:rPr>
          <w:lang w:val="es-CO"/>
        </w:rPr>
        <w:tab/>
      </w:r>
      <w:r>
        <w:rPr>
          <w:lang w:val="es-CO"/>
        </w:rPr>
        <w:tab/>
      </w:r>
      <w:r>
        <w:rPr>
          <w:rFonts w:hint="eastAsia"/>
          <w:lang w:val="es-CO"/>
        </w:rPr>
        <w:t>妇女在参与政治生活和公共生活中遭遇的暴力侵害</w:t>
      </w:r>
    </w:p>
    <w:p w:rsidR="00A83775" w:rsidRDefault="00A83775">
      <w:pPr>
        <w:pStyle w:val="SingleTxtGC"/>
        <w:rPr>
          <w:lang w:val="es-ES"/>
        </w:rPr>
      </w:pPr>
      <w:r>
        <w:rPr>
          <w:lang w:val="es-CO"/>
        </w:rPr>
        <w:t xml:space="preserve">259.  </w:t>
      </w:r>
      <w:r>
        <w:rPr>
          <w:rFonts w:hint="eastAsia"/>
          <w:lang w:val="es-ES"/>
        </w:rPr>
        <w:t>正如在前面提到的，共和国副总统府人权和人道主义法总统方案组下属的人权观察站已经编制了一份文件，文中对</w:t>
      </w:r>
      <w:r>
        <w:rPr>
          <w:rFonts w:hint="eastAsia"/>
          <w:lang w:val="es-ES"/>
        </w:rPr>
        <w:t>2003-2009</w:t>
      </w:r>
      <w:r>
        <w:rPr>
          <w:rFonts w:hint="eastAsia"/>
          <w:lang w:val="es-ES"/>
        </w:rPr>
        <w:t>年期间妇女所遭受的暴力侵害进行了初步概述，</w:t>
      </w:r>
      <w:r>
        <w:rPr>
          <w:vertAlign w:val="superscript"/>
          <w:lang w:val="es-ES"/>
        </w:rPr>
        <w:footnoteReference w:id="133"/>
      </w:r>
      <w:r>
        <w:rPr>
          <w:lang w:val="es-ES"/>
        </w:rPr>
        <w:t xml:space="preserve"> </w:t>
      </w:r>
      <w:r>
        <w:rPr>
          <w:rFonts w:hint="eastAsia"/>
          <w:lang w:val="es-ES"/>
        </w:rPr>
        <w:t>相关内容附在本章对应的附件</w:t>
      </w:r>
      <w:r>
        <w:rPr>
          <w:rFonts w:hint="eastAsia"/>
          <w:lang w:val="es-ES"/>
        </w:rPr>
        <w:t>5</w:t>
      </w:r>
      <w:r>
        <w:rPr>
          <w:rFonts w:hint="eastAsia"/>
          <w:lang w:val="es-ES"/>
        </w:rPr>
        <w:t>中，但是并没有阐明在民主安全政策内暴力与性别之间的联系。这一分析所得出的结论表明针对积极参与公共生活的女性社会领袖的暴力侵害程度有所减轻。为此提交了与杀害女记者、地方上的女性政要</w:t>
      </w:r>
      <w:r>
        <w:rPr>
          <w:vertAlign w:val="superscript"/>
          <w:lang w:val="es-ES"/>
        </w:rPr>
        <w:footnoteReference w:id="134"/>
      </w:r>
      <w:r>
        <w:rPr>
          <w:lang w:val="es-ES"/>
        </w:rPr>
        <w:t xml:space="preserve"> </w:t>
      </w:r>
      <w:r>
        <w:rPr>
          <w:rFonts w:hint="eastAsia"/>
          <w:lang w:val="es-ES"/>
        </w:rPr>
        <w:t>和杀戮工会宣导员、其他部门的工会成员、非工会成员的教师、社会领袖和社区领袖人物有关的报告。</w:t>
      </w:r>
      <w:r>
        <w:rPr>
          <w:vertAlign w:val="superscript"/>
          <w:lang w:val="es-ES"/>
        </w:rPr>
        <w:footnoteReference w:id="135"/>
      </w:r>
    </w:p>
    <w:p w:rsidR="00A83775" w:rsidRDefault="00A83775">
      <w:pPr>
        <w:pStyle w:val="SingleTxtGC"/>
        <w:rPr>
          <w:lang w:val="zh-CN"/>
        </w:rPr>
      </w:pPr>
      <w:r>
        <w:rPr>
          <w:lang w:val="es-ES"/>
        </w:rPr>
        <w:t xml:space="preserve">260.  </w:t>
      </w:r>
      <w:r>
        <w:rPr>
          <w:rFonts w:hint="eastAsia"/>
          <w:lang w:val="es-ES"/>
        </w:rPr>
        <w:t>自</w:t>
      </w:r>
      <w:r>
        <w:rPr>
          <w:rFonts w:hint="eastAsia"/>
          <w:lang w:val="es-ES"/>
        </w:rPr>
        <w:t>2</w:t>
      </w:r>
      <w:r>
        <w:rPr>
          <w:rFonts w:hint="eastAsia"/>
          <w:lang w:val="zh-CN"/>
        </w:rPr>
        <w:t>003</w:t>
      </w:r>
      <w:r>
        <w:rPr>
          <w:rFonts w:hint="eastAsia"/>
          <w:lang w:val="zh-CN"/>
        </w:rPr>
        <w:t>年以来，针对记者的沸沸扬扬的杀戮活动的风向出现了彻底转变，呈现出一种下降的趋势，杀戮活动频率极低，在</w:t>
      </w:r>
      <w:r>
        <w:rPr>
          <w:rFonts w:hint="eastAsia"/>
          <w:lang w:val="zh-CN"/>
        </w:rPr>
        <w:t>2008</w:t>
      </w:r>
      <w:r>
        <w:rPr>
          <w:rFonts w:hint="eastAsia"/>
          <w:lang w:val="zh-CN"/>
        </w:rPr>
        <w:t>年甚至绝迹。总体上看，</w:t>
      </w:r>
      <w:r>
        <w:rPr>
          <w:rFonts w:hint="eastAsia"/>
          <w:lang w:val="zh-CN"/>
        </w:rPr>
        <w:t>2003-2009</w:t>
      </w:r>
      <w:r>
        <w:rPr>
          <w:rFonts w:hint="eastAsia"/>
          <w:lang w:val="zh-CN"/>
        </w:rPr>
        <w:t>年期间针对记者的暴力行为减少了</w:t>
      </w:r>
      <w:r>
        <w:rPr>
          <w:rFonts w:hint="eastAsia"/>
          <w:lang w:val="zh-CN"/>
        </w:rPr>
        <w:t>83%</w:t>
      </w:r>
      <w:r>
        <w:rPr>
          <w:rFonts w:hint="eastAsia"/>
          <w:lang w:val="zh-CN"/>
        </w:rPr>
        <w:t>。需要强调的是，此类杀戮没有一例是针对从事这一行业的女性实施的。</w:t>
      </w:r>
    </w:p>
    <w:p w:rsidR="00A83775" w:rsidRDefault="00A83775">
      <w:pPr>
        <w:pStyle w:val="SingleTxtGC"/>
        <w:rPr>
          <w:lang w:val="es-ES"/>
        </w:rPr>
      </w:pPr>
      <w:r>
        <w:rPr>
          <w:lang w:val="zh-CN"/>
        </w:rPr>
        <w:t xml:space="preserve">261.  </w:t>
      </w:r>
      <w:r>
        <w:rPr>
          <w:rFonts w:hint="eastAsia"/>
          <w:lang w:val="zh-CN"/>
        </w:rPr>
        <w:t>而针对地方政要的杀戮情况是，在</w:t>
      </w:r>
      <w:r>
        <w:rPr>
          <w:rFonts w:hint="eastAsia"/>
          <w:lang w:val="zh-CN"/>
        </w:rPr>
        <w:t>2003-2009</w:t>
      </w:r>
      <w:r>
        <w:rPr>
          <w:rFonts w:hint="eastAsia"/>
          <w:lang w:val="zh-CN"/>
        </w:rPr>
        <w:t>年期间，在哥伦比亚有记载的针对地方政要</w:t>
      </w:r>
      <w:r>
        <w:rPr>
          <w:rFonts w:hint="eastAsia"/>
          <w:lang w:val="es-ES"/>
        </w:rPr>
        <w:t>的杀戮案件共计</w:t>
      </w:r>
      <w:r>
        <w:rPr>
          <w:rFonts w:hint="eastAsia"/>
          <w:lang w:val="es-ES"/>
        </w:rPr>
        <w:t>224</w:t>
      </w:r>
      <w:r>
        <w:rPr>
          <w:rFonts w:hint="eastAsia"/>
          <w:lang w:val="es-ES"/>
        </w:rPr>
        <w:t>起。其中，在这一易受攻击的受害群体中，有</w:t>
      </w:r>
      <w:r>
        <w:rPr>
          <w:rFonts w:hint="eastAsia"/>
          <w:lang w:val="es-ES"/>
        </w:rPr>
        <w:t>16</w:t>
      </w:r>
      <w:r>
        <w:rPr>
          <w:rFonts w:hint="eastAsia"/>
          <w:lang w:val="es-ES"/>
        </w:rPr>
        <w:t>起（</w:t>
      </w:r>
      <w:r>
        <w:rPr>
          <w:rFonts w:hint="eastAsia"/>
          <w:lang w:val="es-ES"/>
        </w:rPr>
        <w:t>7%</w:t>
      </w:r>
      <w:r>
        <w:rPr>
          <w:rFonts w:hint="eastAsia"/>
          <w:lang w:val="es-ES"/>
        </w:rPr>
        <w:t>）是针对女性实施的，</w:t>
      </w:r>
      <w:r>
        <w:rPr>
          <w:vertAlign w:val="superscript"/>
          <w:lang w:val="es-ES"/>
        </w:rPr>
        <w:footnoteReference w:id="136"/>
      </w:r>
      <w:r>
        <w:rPr>
          <w:lang w:val="es-ES"/>
        </w:rPr>
        <w:t xml:space="preserve"> </w:t>
      </w:r>
      <w:r>
        <w:rPr>
          <w:rFonts w:hint="eastAsia"/>
          <w:lang w:val="es-ES"/>
        </w:rPr>
        <w:t>其他</w:t>
      </w:r>
      <w:r>
        <w:rPr>
          <w:rFonts w:hint="eastAsia"/>
          <w:lang w:val="es-ES"/>
        </w:rPr>
        <w:t>208</w:t>
      </w:r>
      <w:r>
        <w:rPr>
          <w:rFonts w:hint="eastAsia"/>
          <w:lang w:val="es-ES"/>
        </w:rPr>
        <w:t>起（</w:t>
      </w:r>
      <w:r>
        <w:rPr>
          <w:rFonts w:hint="eastAsia"/>
          <w:lang w:val="es-ES"/>
        </w:rPr>
        <w:t>93%</w:t>
      </w:r>
      <w:r>
        <w:rPr>
          <w:rFonts w:hint="eastAsia"/>
          <w:lang w:val="es-ES"/>
        </w:rPr>
        <w:t>）是针对男性实施的。在这方面，</w:t>
      </w:r>
      <w:r>
        <w:rPr>
          <w:rFonts w:hint="eastAsia"/>
          <w:lang w:val="es-ES"/>
        </w:rPr>
        <w:t>2003-2009</w:t>
      </w:r>
      <w:r>
        <w:rPr>
          <w:rFonts w:hint="eastAsia"/>
          <w:lang w:val="es-ES"/>
        </w:rPr>
        <w:t>年期间针对地方政要的杀戮案件减少了</w:t>
      </w:r>
      <w:r>
        <w:rPr>
          <w:rFonts w:hint="eastAsia"/>
          <w:lang w:val="es-ES"/>
        </w:rPr>
        <w:t>83%</w:t>
      </w:r>
      <w:r>
        <w:rPr>
          <w:rFonts w:hint="eastAsia"/>
          <w:lang w:val="es-ES"/>
        </w:rPr>
        <w:t>，从过去的年均六人遇害降至年均一人。</w:t>
      </w:r>
      <w:r>
        <w:rPr>
          <w:lang w:val="es-ES"/>
        </w:rPr>
        <w:t xml:space="preserve"> </w:t>
      </w:r>
    </w:p>
    <w:p w:rsidR="00A83775" w:rsidRDefault="00A83775">
      <w:pPr>
        <w:pStyle w:val="SingleTxtGC"/>
        <w:rPr>
          <w:rFonts w:hint="eastAsia"/>
          <w:lang w:val="zh-CN"/>
        </w:rPr>
      </w:pPr>
      <w:r>
        <w:rPr>
          <w:lang w:val="es-ES"/>
        </w:rPr>
        <w:t xml:space="preserve">262.  </w:t>
      </w:r>
      <w:r>
        <w:rPr>
          <w:rFonts w:hint="eastAsia"/>
          <w:lang w:val="es-ES"/>
        </w:rPr>
        <w:t>而工会成员的情况是，社会保障部提供的信息显示，</w:t>
      </w:r>
      <w:r>
        <w:rPr>
          <w:rFonts w:hint="eastAsia"/>
          <w:lang w:val="es-ES"/>
        </w:rPr>
        <w:t>2003-2009</w:t>
      </w:r>
      <w:r>
        <w:rPr>
          <w:rFonts w:hint="eastAsia"/>
          <w:lang w:val="es-ES"/>
        </w:rPr>
        <w:t>年期间哥伦比亚</w:t>
      </w:r>
      <w:r>
        <w:rPr>
          <w:rFonts w:hint="eastAsia"/>
          <w:lang w:val="zh-CN"/>
        </w:rPr>
        <w:t>有记载的针对工会成员的杀戮案件共计</w:t>
      </w:r>
      <w:r>
        <w:rPr>
          <w:rFonts w:hint="eastAsia"/>
          <w:lang w:val="zh-CN"/>
        </w:rPr>
        <w:t>382</w:t>
      </w:r>
      <w:r>
        <w:rPr>
          <w:rFonts w:hint="eastAsia"/>
          <w:lang w:val="zh-CN"/>
        </w:rPr>
        <w:t>起，其中</w:t>
      </w:r>
      <w:r>
        <w:rPr>
          <w:rFonts w:hint="eastAsia"/>
          <w:lang w:val="zh-CN"/>
        </w:rPr>
        <w:t>79</w:t>
      </w:r>
      <w:r>
        <w:rPr>
          <w:rFonts w:hint="eastAsia"/>
          <w:lang w:val="zh-CN"/>
        </w:rPr>
        <w:t>起的受害人为女性（</w:t>
      </w:r>
      <w:r>
        <w:rPr>
          <w:rFonts w:hint="eastAsia"/>
          <w:lang w:val="zh-CN"/>
        </w:rPr>
        <w:t>21%</w:t>
      </w:r>
      <w:r>
        <w:rPr>
          <w:rFonts w:hint="eastAsia"/>
          <w:lang w:val="zh-CN"/>
        </w:rPr>
        <w:t>），</w:t>
      </w:r>
      <w:r>
        <w:rPr>
          <w:rFonts w:hint="eastAsia"/>
          <w:lang w:val="zh-CN"/>
        </w:rPr>
        <w:t>303</w:t>
      </w:r>
      <w:r>
        <w:rPr>
          <w:rFonts w:hint="eastAsia"/>
          <w:lang w:val="zh-CN"/>
        </w:rPr>
        <w:t>起为男性（</w:t>
      </w:r>
      <w:r>
        <w:rPr>
          <w:rFonts w:hint="eastAsia"/>
          <w:lang w:val="zh-CN"/>
        </w:rPr>
        <w:t>79%</w:t>
      </w:r>
      <w:r>
        <w:rPr>
          <w:rFonts w:hint="eastAsia"/>
          <w:lang w:val="zh-CN"/>
        </w:rPr>
        <w:t>）</w:t>
      </w:r>
      <w:r>
        <w:rPr>
          <w:vertAlign w:val="superscript"/>
          <w:lang w:val="zh-CN"/>
        </w:rPr>
        <w:footnoteReference w:id="137"/>
      </w:r>
    </w:p>
    <w:p w:rsidR="00A83775" w:rsidRDefault="00A83775">
      <w:pPr>
        <w:pStyle w:val="SingleTxtGC"/>
        <w:rPr>
          <w:rFonts w:hint="eastAsia"/>
          <w:lang w:val="es-ES"/>
        </w:rPr>
      </w:pPr>
      <w:r>
        <w:rPr>
          <w:lang w:val="zh-CN"/>
        </w:rPr>
        <w:t xml:space="preserve">263.  </w:t>
      </w:r>
      <w:r>
        <w:rPr>
          <w:rFonts w:hint="eastAsia"/>
          <w:lang w:val="zh-CN"/>
        </w:rPr>
        <w:t>在与杀害工会宣导员和其他部门的工会成员有关的问题上，观察站在其文件中指出：“（……）在这一时期，已经能够看出针对本报告所述的两类工会群体中的女</w:t>
      </w:r>
      <w:r>
        <w:rPr>
          <w:rFonts w:hint="eastAsia"/>
          <w:lang w:val="es-ES"/>
        </w:rPr>
        <w:t>性的杀戮事件的减少。事实上，针对工会宣导员的杀戮案件从</w:t>
      </w:r>
      <w:r>
        <w:rPr>
          <w:rFonts w:hint="eastAsia"/>
          <w:lang w:val="es-ES"/>
        </w:rPr>
        <w:t>2003</w:t>
      </w:r>
      <w:r>
        <w:rPr>
          <w:rFonts w:hint="eastAsia"/>
          <w:lang w:val="es-ES"/>
        </w:rPr>
        <w:t>年的</w:t>
      </w:r>
      <w:r>
        <w:rPr>
          <w:rFonts w:hint="eastAsia"/>
          <w:lang w:val="es-ES"/>
        </w:rPr>
        <w:t>19</w:t>
      </w:r>
      <w:r>
        <w:rPr>
          <w:rFonts w:hint="eastAsia"/>
          <w:lang w:val="es-ES"/>
        </w:rPr>
        <w:t>起降至</w:t>
      </w:r>
      <w:r>
        <w:rPr>
          <w:rFonts w:hint="eastAsia"/>
          <w:lang w:val="es-ES"/>
        </w:rPr>
        <w:t>2009</w:t>
      </w:r>
      <w:r>
        <w:rPr>
          <w:rFonts w:hint="eastAsia"/>
          <w:lang w:val="es-ES"/>
        </w:rPr>
        <w:t>年的</w:t>
      </w:r>
      <w:r>
        <w:rPr>
          <w:rFonts w:hint="eastAsia"/>
          <w:lang w:val="es-ES"/>
        </w:rPr>
        <w:t>2</w:t>
      </w:r>
      <w:r>
        <w:rPr>
          <w:rFonts w:hint="eastAsia"/>
          <w:lang w:val="es-ES"/>
        </w:rPr>
        <w:t>起，下降了</w:t>
      </w:r>
      <w:r>
        <w:rPr>
          <w:rFonts w:hint="eastAsia"/>
          <w:lang w:val="es-ES"/>
        </w:rPr>
        <w:t>89%</w:t>
      </w:r>
      <w:r>
        <w:rPr>
          <w:rFonts w:hint="eastAsia"/>
          <w:lang w:val="es-ES"/>
        </w:rPr>
        <w:t>，而针对其他部门的工会女性成员的案件数也从</w:t>
      </w:r>
      <w:r>
        <w:rPr>
          <w:rFonts w:hint="eastAsia"/>
          <w:lang w:val="es-ES"/>
        </w:rPr>
        <w:t>8</w:t>
      </w:r>
      <w:r>
        <w:rPr>
          <w:rFonts w:hint="eastAsia"/>
          <w:lang w:val="es-ES"/>
        </w:rPr>
        <w:t>起降至</w:t>
      </w:r>
      <w:r>
        <w:rPr>
          <w:rFonts w:hint="eastAsia"/>
          <w:lang w:val="es-ES"/>
        </w:rPr>
        <w:t>1</w:t>
      </w:r>
      <w:r>
        <w:rPr>
          <w:rFonts w:hint="eastAsia"/>
          <w:lang w:val="es-ES"/>
        </w:rPr>
        <w:t>起，降低了</w:t>
      </w:r>
      <w:r>
        <w:rPr>
          <w:rFonts w:hint="eastAsia"/>
          <w:lang w:val="es-ES"/>
        </w:rPr>
        <w:t>88%</w:t>
      </w:r>
      <w:r>
        <w:rPr>
          <w:rFonts w:hint="eastAsia"/>
          <w:lang w:val="es-ES"/>
        </w:rPr>
        <w:t>。（……）”。</w:t>
      </w:r>
      <w:r>
        <w:rPr>
          <w:vertAlign w:val="superscript"/>
          <w:lang w:val="es-ES"/>
        </w:rPr>
        <w:footnoteReference w:id="138"/>
      </w:r>
    </w:p>
    <w:p w:rsidR="00A83775" w:rsidRDefault="00A83775">
      <w:pPr>
        <w:pStyle w:val="SingleTxtGC"/>
        <w:rPr>
          <w:lang w:val="zh-CN"/>
        </w:rPr>
      </w:pPr>
      <w:r>
        <w:rPr>
          <w:lang w:val="es-ES"/>
        </w:rPr>
        <w:t xml:space="preserve">264.  </w:t>
      </w:r>
      <w:r>
        <w:rPr>
          <w:rFonts w:hint="eastAsia"/>
          <w:lang w:val="es-ES"/>
        </w:rPr>
        <w:t>20</w:t>
      </w:r>
      <w:r>
        <w:rPr>
          <w:rFonts w:hint="eastAsia"/>
          <w:lang w:val="zh-CN"/>
        </w:rPr>
        <w:t>04-2009</w:t>
      </w:r>
      <w:r>
        <w:rPr>
          <w:rFonts w:hint="eastAsia"/>
          <w:lang w:val="zh-CN"/>
        </w:rPr>
        <w:t>年期间，共报告了</w:t>
      </w:r>
      <w:r>
        <w:rPr>
          <w:rFonts w:hint="eastAsia"/>
          <w:lang w:val="zh-CN"/>
        </w:rPr>
        <w:t>75</w:t>
      </w:r>
      <w:r>
        <w:rPr>
          <w:rFonts w:hint="eastAsia"/>
          <w:lang w:val="zh-CN"/>
        </w:rPr>
        <w:t>起针对非工会成员的教师的杀戮案件，其中</w:t>
      </w:r>
      <w:r>
        <w:rPr>
          <w:rFonts w:hint="eastAsia"/>
          <w:lang w:val="zh-CN"/>
        </w:rPr>
        <w:t>59</w:t>
      </w:r>
      <w:r>
        <w:rPr>
          <w:rFonts w:hint="eastAsia"/>
          <w:lang w:val="zh-CN"/>
        </w:rPr>
        <w:t>起（</w:t>
      </w:r>
      <w:r>
        <w:rPr>
          <w:rFonts w:hint="eastAsia"/>
          <w:lang w:val="zh-CN"/>
        </w:rPr>
        <w:t>79%</w:t>
      </w:r>
      <w:r>
        <w:rPr>
          <w:rFonts w:hint="eastAsia"/>
          <w:lang w:val="zh-CN"/>
        </w:rPr>
        <w:t>）的针对对象为男性，</w:t>
      </w:r>
      <w:r>
        <w:rPr>
          <w:rFonts w:hint="eastAsia"/>
          <w:lang w:val="zh-CN"/>
        </w:rPr>
        <w:t>16</w:t>
      </w:r>
      <w:r>
        <w:rPr>
          <w:rFonts w:hint="eastAsia"/>
          <w:lang w:val="zh-CN"/>
        </w:rPr>
        <w:t>起（</w:t>
      </w:r>
      <w:r>
        <w:rPr>
          <w:rFonts w:hint="eastAsia"/>
          <w:lang w:val="zh-CN"/>
        </w:rPr>
        <w:t>21%</w:t>
      </w:r>
      <w:r>
        <w:rPr>
          <w:rFonts w:hint="eastAsia"/>
          <w:lang w:val="zh-CN"/>
        </w:rPr>
        <w:t>）的针对对象为女性。</w:t>
      </w:r>
      <w:r>
        <w:rPr>
          <w:lang w:val="zh-CN"/>
        </w:rPr>
        <w:t xml:space="preserve"> </w:t>
      </w:r>
    </w:p>
    <w:p w:rsidR="00A83775" w:rsidRDefault="00A83775">
      <w:pPr>
        <w:pStyle w:val="SingleTxtGC"/>
        <w:rPr>
          <w:lang w:val="zh-CN"/>
        </w:rPr>
      </w:pPr>
      <w:r>
        <w:rPr>
          <w:lang w:val="zh-CN"/>
        </w:rPr>
        <w:t xml:space="preserve">265.  </w:t>
      </w:r>
      <w:r>
        <w:rPr>
          <w:rFonts w:hint="eastAsia"/>
          <w:lang w:val="zh-CN"/>
        </w:rPr>
        <w:t>而女性社会领袖和社区领袖所处的状况是，</w:t>
      </w:r>
      <w:r>
        <w:rPr>
          <w:rFonts w:hint="eastAsia"/>
          <w:lang w:val="zh-CN"/>
        </w:rPr>
        <w:t>2003-2009</w:t>
      </w:r>
      <w:r>
        <w:rPr>
          <w:rFonts w:hint="eastAsia"/>
          <w:lang w:val="zh-CN"/>
        </w:rPr>
        <w:t>年期间，报告称有</w:t>
      </w:r>
      <w:r>
        <w:rPr>
          <w:rFonts w:hint="eastAsia"/>
          <w:lang w:val="zh-CN"/>
        </w:rPr>
        <w:t>341</w:t>
      </w:r>
      <w:r>
        <w:rPr>
          <w:rFonts w:hint="eastAsia"/>
          <w:lang w:val="zh-CN"/>
        </w:rPr>
        <w:t>名社会领袖和</w:t>
      </w:r>
      <w:r>
        <w:rPr>
          <w:rFonts w:hint="eastAsia"/>
          <w:lang w:val="zh-CN"/>
        </w:rPr>
        <w:t>/</w:t>
      </w:r>
      <w:r>
        <w:rPr>
          <w:rFonts w:hint="eastAsia"/>
          <w:lang w:val="zh-CN"/>
        </w:rPr>
        <w:t>或社区领袖遇害。其中，</w:t>
      </w:r>
      <w:r>
        <w:rPr>
          <w:rFonts w:hint="eastAsia"/>
          <w:lang w:val="zh-CN"/>
        </w:rPr>
        <w:t>298</w:t>
      </w:r>
      <w:r>
        <w:rPr>
          <w:rFonts w:hint="eastAsia"/>
          <w:lang w:val="zh-CN"/>
        </w:rPr>
        <w:t>名为男性（</w:t>
      </w:r>
      <w:r>
        <w:rPr>
          <w:rFonts w:hint="eastAsia"/>
          <w:lang w:val="zh-CN"/>
        </w:rPr>
        <w:t>87%</w:t>
      </w:r>
      <w:r>
        <w:rPr>
          <w:rFonts w:hint="eastAsia"/>
          <w:lang w:val="zh-CN"/>
        </w:rPr>
        <w:t>），</w:t>
      </w:r>
      <w:r>
        <w:rPr>
          <w:rFonts w:hint="eastAsia"/>
          <w:lang w:val="zh-CN"/>
        </w:rPr>
        <w:t>40</w:t>
      </w:r>
      <w:r>
        <w:rPr>
          <w:rFonts w:hint="eastAsia"/>
          <w:lang w:val="zh-CN"/>
        </w:rPr>
        <w:t>名为女性（</w:t>
      </w:r>
      <w:r>
        <w:rPr>
          <w:rFonts w:hint="eastAsia"/>
          <w:lang w:val="zh-CN"/>
        </w:rPr>
        <w:t>12%</w:t>
      </w:r>
      <w:r>
        <w:rPr>
          <w:rFonts w:hint="eastAsia"/>
          <w:lang w:val="zh-CN"/>
        </w:rPr>
        <w:t>），还有三起案件的资料中并说明遇害人的性别（</w:t>
      </w:r>
      <w:r>
        <w:rPr>
          <w:rFonts w:hint="eastAsia"/>
          <w:lang w:val="zh-CN"/>
        </w:rPr>
        <w:t>1%</w:t>
      </w:r>
      <w:r>
        <w:rPr>
          <w:rFonts w:hint="eastAsia"/>
          <w:lang w:val="zh-CN"/>
        </w:rPr>
        <w:t>）。女领袖遭杀戮的情况显示在这一时期每年都有女性社会</w:t>
      </w:r>
      <w:r>
        <w:rPr>
          <w:rFonts w:hint="eastAsia"/>
          <w:lang w:val="zh-CN"/>
        </w:rPr>
        <w:t>/</w:t>
      </w:r>
      <w:r>
        <w:rPr>
          <w:rFonts w:hint="eastAsia"/>
          <w:lang w:val="zh-CN"/>
        </w:rPr>
        <w:t>社区领袖遇害，但是</w:t>
      </w:r>
      <w:r>
        <w:rPr>
          <w:rFonts w:hint="eastAsia"/>
          <w:lang w:val="zh-CN"/>
        </w:rPr>
        <w:t>2004</w:t>
      </w:r>
      <w:r>
        <w:rPr>
          <w:rFonts w:hint="eastAsia"/>
          <w:lang w:val="zh-CN"/>
        </w:rPr>
        <w:t>年和</w:t>
      </w:r>
      <w:r>
        <w:rPr>
          <w:rFonts w:hint="eastAsia"/>
          <w:lang w:val="zh-CN"/>
        </w:rPr>
        <w:t>2008</w:t>
      </w:r>
      <w:r>
        <w:rPr>
          <w:rFonts w:hint="eastAsia"/>
          <w:lang w:val="zh-CN"/>
        </w:rPr>
        <w:t>年的情况最为糟糕，这两年分别有八名妇女遇暗杀，而在这七年中，第一年和最后一年的案件发生率最低。</w:t>
      </w:r>
    </w:p>
    <w:p w:rsidR="00A83775" w:rsidRDefault="00A83775">
      <w:pPr>
        <w:pStyle w:val="SingleTxtGC"/>
      </w:pPr>
      <w:r>
        <w:rPr>
          <w:lang w:val="zh-CN"/>
        </w:rPr>
        <w:t xml:space="preserve">266.  </w:t>
      </w:r>
      <w:r>
        <w:rPr>
          <w:rFonts w:hint="eastAsia"/>
          <w:lang w:val="zh-CN"/>
        </w:rPr>
        <w:t>与妇女、社会女领袖和社区女领袖的遇害案例有关的官方数字，与工会女成员的情况相同，在近年来都呈现出下降的趋势，并未发现有逐步上升的态势。</w:t>
      </w:r>
    </w:p>
    <w:p w:rsidR="00A83775" w:rsidRDefault="00A83775">
      <w:pPr>
        <w:pStyle w:val="SingleTxtGC"/>
        <w:rPr>
          <w:rFonts w:hint="eastAsia"/>
          <w:lang w:val="es-ES_tradnl"/>
        </w:rPr>
      </w:pPr>
      <w:r>
        <w:rPr>
          <w:lang w:val="zh-CN"/>
        </w:rPr>
        <w:t xml:space="preserve">267.  </w:t>
      </w:r>
      <w:r>
        <w:rPr>
          <w:rFonts w:hint="eastAsia"/>
          <w:lang w:val="zh-CN"/>
        </w:rPr>
        <w:t>担任社区和社会领导职务或致力于捍卫人权活动的妇女在很多时候都会成为威胁、绑架和暗杀的对</w:t>
      </w:r>
      <w:r>
        <w:rPr>
          <w:rFonts w:hint="eastAsia"/>
          <w:lang w:val="es-ES_tradnl"/>
        </w:rPr>
        <w:t>象。她们遇害的原因各异，但都与其所从事的事业所处的环境和因素有关。在这方面，女性社区领袖或农民领袖所处的风险最高，在</w:t>
      </w:r>
      <w:r>
        <w:rPr>
          <w:rFonts w:hint="eastAsia"/>
          <w:lang w:val="es-ES_tradnl"/>
        </w:rPr>
        <w:t>2003</w:t>
      </w:r>
      <w:r>
        <w:rPr>
          <w:rFonts w:hint="eastAsia"/>
          <w:lang w:val="es-ES_tradnl"/>
        </w:rPr>
        <w:t>年至</w:t>
      </w:r>
      <w:r>
        <w:rPr>
          <w:rFonts w:hint="eastAsia"/>
          <w:lang w:val="es-ES_tradnl"/>
        </w:rPr>
        <w:t>2009</w:t>
      </w:r>
      <w:r>
        <w:rPr>
          <w:rFonts w:hint="eastAsia"/>
          <w:lang w:val="es-ES_tradnl"/>
        </w:rPr>
        <w:t>年期间共有</w:t>
      </w:r>
      <w:r>
        <w:rPr>
          <w:rFonts w:hint="eastAsia"/>
          <w:lang w:val="es-ES_tradnl"/>
        </w:rPr>
        <w:t>17</w:t>
      </w:r>
      <w:r>
        <w:rPr>
          <w:rFonts w:hint="eastAsia"/>
          <w:lang w:val="es-ES_tradnl"/>
        </w:rPr>
        <w:t>起杀戮案是针对这一人群实施的，其中</w:t>
      </w:r>
      <w:r>
        <w:rPr>
          <w:rFonts w:hint="eastAsia"/>
          <w:lang w:val="es-ES_tradnl"/>
        </w:rPr>
        <w:t>2005</w:t>
      </w:r>
      <w:r>
        <w:rPr>
          <w:rFonts w:hint="eastAsia"/>
          <w:lang w:val="es-ES_tradnl"/>
        </w:rPr>
        <w:t>年和</w:t>
      </w:r>
      <w:r>
        <w:rPr>
          <w:rFonts w:hint="eastAsia"/>
          <w:lang w:val="es-ES_tradnl"/>
        </w:rPr>
        <w:t>2006</w:t>
      </w:r>
      <w:r>
        <w:rPr>
          <w:rFonts w:hint="eastAsia"/>
          <w:lang w:val="es-ES_tradnl"/>
        </w:rPr>
        <w:t>年的状况尤甚，这两年分别有</w:t>
      </w:r>
      <w:r>
        <w:rPr>
          <w:rFonts w:hint="eastAsia"/>
          <w:lang w:val="es-ES_tradnl"/>
        </w:rPr>
        <w:t>4</w:t>
      </w:r>
      <w:r>
        <w:rPr>
          <w:rFonts w:hint="eastAsia"/>
          <w:lang w:val="es-ES_tradnl"/>
        </w:rPr>
        <w:t>人遇害。紧随其后的是社会组织的女性领导成员，这一时期的遇害人数达</w:t>
      </w:r>
      <w:r>
        <w:rPr>
          <w:rFonts w:hint="eastAsia"/>
          <w:lang w:val="es-ES_tradnl"/>
        </w:rPr>
        <w:t>12</w:t>
      </w:r>
      <w:r>
        <w:rPr>
          <w:rFonts w:hint="eastAsia"/>
          <w:lang w:val="es-ES_tradnl"/>
        </w:rPr>
        <w:t>人，其中</w:t>
      </w:r>
      <w:r>
        <w:rPr>
          <w:rFonts w:hint="eastAsia"/>
          <w:lang w:val="es-ES_tradnl"/>
        </w:rPr>
        <w:t>7</w:t>
      </w:r>
      <w:r>
        <w:rPr>
          <w:rFonts w:hint="eastAsia"/>
          <w:lang w:val="es-ES_tradnl"/>
        </w:rPr>
        <w:t>人是在近几年遇害的，其中</w:t>
      </w:r>
      <w:r>
        <w:rPr>
          <w:rFonts w:hint="eastAsia"/>
          <w:lang w:val="es-ES_tradnl"/>
        </w:rPr>
        <w:t>2008</w:t>
      </w:r>
      <w:r>
        <w:rPr>
          <w:rFonts w:hint="eastAsia"/>
          <w:lang w:val="es-ES_tradnl"/>
        </w:rPr>
        <w:t>年</w:t>
      </w:r>
      <w:r>
        <w:rPr>
          <w:rFonts w:hint="eastAsia"/>
          <w:lang w:val="es-ES_tradnl"/>
        </w:rPr>
        <w:t>4</w:t>
      </w:r>
      <w:r>
        <w:rPr>
          <w:rFonts w:hint="eastAsia"/>
          <w:lang w:val="es-ES_tradnl"/>
        </w:rPr>
        <w:t>人遇害，</w:t>
      </w:r>
      <w:r>
        <w:rPr>
          <w:rFonts w:hint="eastAsia"/>
          <w:lang w:val="es-ES_tradnl"/>
        </w:rPr>
        <w:t>2009</w:t>
      </w:r>
      <w:r>
        <w:rPr>
          <w:rFonts w:hint="eastAsia"/>
          <w:lang w:val="es-ES_tradnl"/>
        </w:rPr>
        <w:t>年</w:t>
      </w:r>
      <w:r>
        <w:rPr>
          <w:rFonts w:hint="eastAsia"/>
          <w:lang w:val="es-ES_tradnl"/>
        </w:rPr>
        <w:t>3</w:t>
      </w:r>
      <w:r>
        <w:rPr>
          <w:rFonts w:hint="eastAsia"/>
          <w:lang w:val="es-ES_tradnl"/>
        </w:rPr>
        <w:t>人遇害。</w:t>
      </w:r>
      <w:r>
        <w:rPr>
          <w:vertAlign w:val="superscript"/>
          <w:lang w:val="es-ES_tradnl"/>
        </w:rPr>
        <w:footnoteReference w:id="139"/>
      </w:r>
    </w:p>
    <w:p w:rsidR="00A83775" w:rsidRDefault="00A83775">
      <w:pPr>
        <w:pStyle w:val="H23GC"/>
        <w:rPr>
          <w:lang w:val="es-ES"/>
        </w:rPr>
      </w:pPr>
      <w:r>
        <w:rPr>
          <w:lang w:val="es-ES"/>
        </w:rPr>
        <w:tab/>
        <w:t>5.</w:t>
      </w:r>
      <w:r>
        <w:rPr>
          <w:lang w:val="es-ES"/>
        </w:rPr>
        <w:tab/>
      </w:r>
      <w:r>
        <w:rPr>
          <w:rFonts w:hint="eastAsia"/>
          <w:lang w:val="en-GB"/>
        </w:rPr>
        <w:t>新出台或持续推行的措施</w:t>
      </w:r>
    </w:p>
    <w:p w:rsidR="00A83775" w:rsidRDefault="00A83775">
      <w:pPr>
        <w:pStyle w:val="SingleTxtGC"/>
        <w:rPr>
          <w:lang w:val="zh-CN"/>
        </w:rPr>
      </w:pPr>
      <w:r>
        <w:rPr>
          <w:lang w:val="es-ES"/>
        </w:rPr>
        <w:t xml:space="preserve">268.  </w:t>
      </w:r>
      <w:r>
        <w:rPr>
          <w:rFonts w:eastAsia="SimHei" w:hint="eastAsia"/>
          <w:lang w:val="es-ES"/>
        </w:rPr>
        <w:t>旨在保护妇女的公共政策</w:t>
      </w:r>
      <w:r>
        <w:rPr>
          <w:rFonts w:hint="eastAsia"/>
          <w:lang w:val="es-ES"/>
        </w:rPr>
        <w:t>。公民权利监察员办公室正在拟定一项公共政策，专门</w:t>
      </w:r>
      <w:r>
        <w:rPr>
          <w:rFonts w:hint="eastAsia"/>
          <w:lang w:val="zh-CN"/>
        </w:rPr>
        <w:t>用于保护因其领导身份或从事的增进人权工作而身处险境的妇女。</w:t>
      </w:r>
      <w:r>
        <w:rPr>
          <w:lang w:val="zh-CN"/>
        </w:rPr>
        <w:t xml:space="preserve"> </w:t>
      </w:r>
    </w:p>
    <w:p w:rsidR="00A83775" w:rsidRDefault="00A83775">
      <w:pPr>
        <w:pStyle w:val="SingleTxtGC"/>
        <w:rPr>
          <w:lang w:val="es-ES"/>
        </w:rPr>
      </w:pPr>
      <w:r>
        <w:rPr>
          <w:lang w:val="zh-CN"/>
        </w:rPr>
        <w:t xml:space="preserve">269.  </w:t>
      </w:r>
      <w:r>
        <w:rPr>
          <w:rFonts w:eastAsia="SimHei" w:hint="eastAsia"/>
          <w:lang w:val="zh-CN"/>
        </w:rPr>
        <w:t>捍卫人权者人身安全保障小组</w:t>
      </w:r>
      <w:r>
        <w:rPr>
          <w:rFonts w:hint="eastAsia"/>
          <w:lang w:val="zh-CN"/>
        </w:rPr>
        <w:t>，</w:t>
      </w:r>
      <w:r>
        <w:rPr>
          <w:vertAlign w:val="superscript"/>
          <w:lang w:val="zh-CN"/>
        </w:rPr>
        <w:footnoteReference w:id="140"/>
      </w:r>
      <w:r>
        <w:t xml:space="preserve"> </w:t>
      </w:r>
      <w:r>
        <w:rPr>
          <w:rFonts w:hint="eastAsia"/>
          <w:lang w:val="zh-CN"/>
        </w:rPr>
        <w:t>从这一程序的启动之初（</w:t>
      </w:r>
      <w:r>
        <w:rPr>
          <w:rFonts w:hint="eastAsia"/>
          <w:lang w:val="zh-CN"/>
        </w:rPr>
        <w:t>2009</w:t>
      </w:r>
      <w:r>
        <w:rPr>
          <w:rFonts w:hint="eastAsia"/>
          <w:lang w:val="zh-CN"/>
        </w:rPr>
        <w:t>年）就将捍卫人权</w:t>
      </w:r>
      <w:r>
        <w:rPr>
          <w:rFonts w:hint="eastAsia"/>
          <w:lang w:val="es-ES"/>
        </w:rPr>
        <w:t>者列为其工作对象并对性别问题进行了研究。但是，</w:t>
      </w:r>
      <w:r>
        <w:rPr>
          <w:rFonts w:hint="eastAsia"/>
          <w:lang w:val="es-ES"/>
        </w:rPr>
        <w:t>2011</w:t>
      </w:r>
      <w:r>
        <w:rPr>
          <w:rFonts w:hint="eastAsia"/>
          <w:lang w:val="es-ES"/>
        </w:rPr>
        <w:t>年</w:t>
      </w:r>
      <w:r>
        <w:rPr>
          <w:rFonts w:hint="eastAsia"/>
          <w:lang w:val="es-ES"/>
        </w:rPr>
        <w:t>3</w:t>
      </w:r>
      <w:r>
        <w:rPr>
          <w:rFonts w:hint="eastAsia"/>
          <w:lang w:val="es-ES"/>
        </w:rPr>
        <w:t>月正式在捍卫人权者和社会及社区女领袖人身安全保障小组中举办了第一次性别问题主题会议。</w:t>
      </w:r>
      <w:r>
        <w:rPr>
          <w:vertAlign w:val="superscript"/>
          <w:lang w:val="es-ES"/>
        </w:rPr>
        <w:footnoteReference w:id="141"/>
      </w:r>
      <w:r>
        <w:rPr>
          <w:lang w:val="es-ES"/>
        </w:rPr>
        <w:t xml:space="preserve"> </w:t>
      </w:r>
      <w:r>
        <w:rPr>
          <w:rFonts w:hint="eastAsia"/>
          <w:lang w:val="es-ES"/>
        </w:rPr>
        <w:t>这一重要举措有助于敦促各机构努力将性别观点纳入到捍卫人权者保护体系中，并推广国家总检察署的调查研究方法，等等。</w:t>
      </w:r>
    </w:p>
    <w:p w:rsidR="00A83775" w:rsidRDefault="00A83775">
      <w:pPr>
        <w:pStyle w:val="H1GC"/>
        <w:rPr>
          <w:lang w:val="es-ES"/>
        </w:rPr>
      </w:pPr>
      <w:r>
        <w:rPr>
          <w:lang w:val="es-ES"/>
        </w:rPr>
        <w:tab/>
        <w:t>B.</w:t>
      </w:r>
      <w:r>
        <w:rPr>
          <w:lang w:val="es-ES"/>
        </w:rPr>
        <w:tab/>
      </w:r>
      <w:r>
        <w:rPr>
          <w:rFonts w:hint="eastAsia"/>
          <w:lang w:val="es-ES"/>
        </w:rPr>
        <w:t>第八条</w:t>
      </w:r>
    </w:p>
    <w:p w:rsidR="00A83775" w:rsidRDefault="00A83775">
      <w:pPr>
        <w:pStyle w:val="SingleTxtGC"/>
        <w:rPr>
          <w:lang w:val="zh-CN"/>
        </w:rPr>
      </w:pPr>
      <w:r>
        <w:rPr>
          <w:lang w:val="es-ES"/>
        </w:rPr>
        <w:t xml:space="preserve">270.  </w:t>
      </w:r>
      <w:r>
        <w:rPr>
          <w:rFonts w:hint="eastAsia"/>
          <w:lang w:val="zh-CN"/>
        </w:rPr>
        <w:t>本节与委员会第</w:t>
      </w:r>
      <w:r>
        <w:rPr>
          <w:rFonts w:hint="eastAsia"/>
          <w:lang w:val="zh-CN"/>
        </w:rPr>
        <w:t>8</w:t>
      </w:r>
      <w:r>
        <w:rPr>
          <w:rFonts w:hint="eastAsia"/>
          <w:lang w:val="zh-CN"/>
        </w:rPr>
        <w:t>和</w:t>
      </w:r>
      <w:r>
        <w:rPr>
          <w:rFonts w:hint="eastAsia"/>
          <w:lang w:val="zh-CN"/>
        </w:rPr>
        <w:t>10</w:t>
      </w:r>
      <w:r>
        <w:rPr>
          <w:rFonts w:hint="eastAsia"/>
          <w:lang w:val="zh-CN"/>
        </w:rPr>
        <w:t>号一般性建议有关。</w:t>
      </w:r>
    </w:p>
    <w:p w:rsidR="00A83775" w:rsidRDefault="00A83775">
      <w:pPr>
        <w:pStyle w:val="SingleTxtGC"/>
        <w:rPr>
          <w:lang w:val="zh-CN"/>
        </w:rPr>
      </w:pPr>
      <w:r>
        <w:rPr>
          <w:lang w:val="zh-CN"/>
        </w:rPr>
        <w:t xml:space="preserve">271.  </w:t>
      </w:r>
      <w:r>
        <w:rPr>
          <w:rFonts w:hint="eastAsia"/>
          <w:lang w:val="zh-CN"/>
        </w:rPr>
        <w:t>根据</w:t>
      </w:r>
      <w:r>
        <w:rPr>
          <w:rFonts w:hint="eastAsia"/>
          <w:lang w:val="zh-CN"/>
        </w:rPr>
        <w:t>2000</w:t>
      </w:r>
      <w:r>
        <w:rPr>
          <w:rFonts w:hint="eastAsia"/>
          <w:lang w:val="zh-CN"/>
        </w:rPr>
        <w:t>年的第</w:t>
      </w:r>
      <w:r>
        <w:rPr>
          <w:rFonts w:hint="eastAsia"/>
          <w:lang w:val="zh-CN"/>
        </w:rPr>
        <w:t>274</w:t>
      </w:r>
      <w:r>
        <w:rPr>
          <w:rFonts w:hint="eastAsia"/>
          <w:lang w:val="zh-CN"/>
        </w:rPr>
        <w:t>号关于规范共和国对外服务和外交及领事工作的法令之规定，外交人员的遴选应当以当事人的个人能力为唯一依据，通过外交部每年面向所有符合招聘条例中规定条件的哥伦比亚公民（男性和女性）开展的招聘考试选拔人才。</w:t>
      </w:r>
    </w:p>
    <w:p w:rsidR="00A83775" w:rsidRDefault="00A83775">
      <w:pPr>
        <w:pStyle w:val="SingleTxtGC"/>
        <w:rPr>
          <w:lang w:val="zh-CN"/>
        </w:rPr>
      </w:pPr>
      <w:r>
        <w:rPr>
          <w:lang w:val="zh-CN"/>
        </w:rPr>
        <w:t xml:space="preserve">272.  </w:t>
      </w:r>
      <w:r>
        <w:rPr>
          <w:rFonts w:hint="eastAsia"/>
          <w:lang w:val="zh-CN"/>
        </w:rPr>
        <w:t>根据</w:t>
      </w:r>
      <w:r>
        <w:rPr>
          <w:rFonts w:hint="eastAsia"/>
          <w:lang w:val="zh-CN"/>
        </w:rPr>
        <w:t>2000</w:t>
      </w:r>
      <w:r>
        <w:rPr>
          <w:rFonts w:hint="eastAsia"/>
          <w:lang w:val="zh-CN"/>
        </w:rPr>
        <w:t>年的第</w:t>
      </w:r>
      <w:r>
        <w:rPr>
          <w:rFonts w:hint="eastAsia"/>
          <w:lang w:val="zh-CN"/>
        </w:rPr>
        <w:t>274</w:t>
      </w:r>
      <w:r>
        <w:rPr>
          <w:rFonts w:hint="eastAsia"/>
          <w:lang w:val="zh-CN"/>
        </w:rPr>
        <w:t>号法令第</w:t>
      </w:r>
      <w:r>
        <w:rPr>
          <w:rFonts w:hint="eastAsia"/>
          <w:lang w:val="zh-CN"/>
        </w:rPr>
        <w:t>6</w:t>
      </w:r>
      <w:r>
        <w:rPr>
          <w:rFonts w:hint="eastAsia"/>
          <w:lang w:val="zh-CN"/>
        </w:rPr>
        <w:t>条第一段的规定，大使和总领事的职位人选可以自由任免，相应的人事任免权由共和国总统根据《政治宪法》第</w:t>
      </w:r>
      <w:r>
        <w:rPr>
          <w:rFonts w:hint="eastAsia"/>
          <w:lang w:val="zh-CN"/>
        </w:rPr>
        <w:t>189</w:t>
      </w:r>
      <w:r>
        <w:rPr>
          <w:rFonts w:hint="eastAsia"/>
          <w:lang w:val="zh-CN"/>
        </w:rPr>
        <w:t>条第</w:t>
      </w:r>
      <w:r>
        <w:rPr>
          <w:rFonts w:hint="eastAsia"/>
          <w:lang w:val="zh-CN"/>
        </w:rPr>
        <w:t>2</w:t>
      </w:r>
      <w:r>
        <w:rPr>
          <w:rFonts w:hint="eastAsia"/>
          <w:lang w:val="zh-CN"/>
        </w:rPr>
        <w:t>款所赋职权行使。</w:t>
      </w:r>
    </w:p>
    <w:p w:rsidR="00A83775" w:rsidRDefault="00A83775">
      <w:pPr>
        <w:pStyle w:val="SingleTxtGC"/>
        <w:rPr>
          <w:lang w:val="es-ES"/>
        </w:rPr>
      </w:pPr>
      <w:r>
        <w:rPr>
          <w:lang w:val="zh-CN"/>
        </w:rPr>
        <w:t xml:space="preserve">273.  </w:t>
      </w:r>
      <w:r>
        <w:rPr>
          <w:rFonts w:hint="eastAsia"/>
          <w:lang w:val="zh-CN"/>
        </w:rPr>
        <w:t>同时，根据</w:t>
      </w:r>
      <w:r>
        <w:rPr>
          <w:rFonts w:hint="eastAsia"/>
          <w:lang w:val="zh-CN"/>
        </w:rPr>
        <w:t>2</w:t>
      </w:r>
      <w:r>
        <w:rPr>
          <w:rFonts w:hint="eastAsia"/>
          <w:lang w:val="es-ES"/>
        </w:rPr>
        <w:t>000</w:t>
      </w:r>
      <w:r>
        <w:rPr>
          <w:rFonts w:hint="eastAsia"/>
          <w:lang w:val="es-ES"/>
        </w:rPr>
        <w:t>年第</w:t>
      </w:r>
      <w:r>
        <w:rPr>
          <w:rFonts w:hint="eastAsia"/>
          <w:lang w:val="es-ES"/>
        </w:rPr>
        <w:t>274</w:t>
      </w:r>
      <w:r>
        <w:rPr>
          <w:rFonts w:hint="eastAsia"/>
          <w:lang w:val="es-ES"/>
        </w:rPr>
        <w:t>号法令第</w:t>
      </w:r>
      <w:r>
        <w:rPr>
          <w:rFonts w:hint="eastAsia"/>
          <w:lang w:val="es-ES"/>
        </w:rPr>
        <w:t>60</w:t>
      </w:r>
      <w:r>
        <w:rPr>
          <w:rFonts w:hint="eastAsia"/>
          <w:lang w:val="es-ES"/>
        </w:rPr>
        <w:t>条之规定，在外交和领事岗位上的公务员缺任时，应临时任命相应的替补人选。替补人员应从符合任职条件的男性和女性中任命。</w:t>
      </w:r>
    </w:p>
    <w:p w:rsidR="00A83775" w:rsidRDefault="00A83775">
      <w:pPr>
        <w:pStyle w:val="H23GC"/>
        <w:rPr>
          <w:lang w:val="es-ES"/>
        </w:rPr>
      </w:pPr>
      <w:r>
        <w:rPr>
          <w:lang w:val="es-ES"/>
        </w:rPr>
        <w:tab/>
        <w:t>1.</w:t>
      </w:r>
      <w:r>
        <w:rPr>
          <w:lang w:val="es-ES"/>
        </w:rPr>
        <w:tab/>
      </w:r>
      <w:r>
        <w:rPr>
          <w:rFonts w:hint="eastAsia"/>
          <w:lang w:val="es-ES"/>
        </w:rPr>
        <w:t>立法措施</w:t>
      </w:r>
    </w:p>
    <w:p w:rsidR="00A83775" w:rsidRDefault="00A83775">
      <w:pPr>
        <w:pStyle w:val="SingleTxtGC"/>
        <w:rPr>
          <w:lang w:val="es-ES"/>
        </w:rPr>
      </w:pPr>
      <w:r>
        <w:rPr>
          <w:lang w:val="es-ES"/>
        </w:rPr>
        <w:t xml:space="preserve">274.  </w:t>
      </w:r>
      <w:r>
        <w:rPr>
          <w:rFonts w:hint="eastAsia"/>
          <w:lang w:val="es-ES"/>
        </w:rPr>
        <w:t>在本条对应的附件</w:t>
      </w:r>
      <w:r>
        <w:rPr>
          <w:rFonts w:hint="eastAsia"/>
          <w:lang w:val="es-ES"/>
        </w:rPr>
        <w:t>1</w:t>
      </w:r>
      <w:r>
        <w:rPr>
          <w:rFonts w:hint="eastAsia"/>
          <w:lang w:val="es-ES"/>
        </w:rPr>
        <w:t>中包含了</w:t>
      </w:r>
      <w:r>
        <w:rPr>
          <w:rFonts w:hint="eastAsia"/>
          <w:lang w:val="es-ES"/>
        </w:rPr>
        <w:t>2000</w:t>
      </w:r>
      <w:r>
        <w:rPr>
          <w:rFonts w:hint="eastAsia"/>
          <w:lang w:val="es-ES"/>
        </w:rPr>
        <w:t>年的第</w:t>
      </w:r>
      <w:r>
        <w:rPr>
          <w:rFonts w:hint="eastAsia"/>
          <w:lang w:val="es-ES"/>
        </w:rPr>
        <w:t>274</w:t>
      </w:r>
      <w:r>
        <w:rPr>
          <w:rFonts w:hint="eastAsia"/>
          <w:lang w:val="es-ES"/>
        </w:rPr>
        <w:t>号法的全文。</w:t>
      </w:r>
    </w:p>
    <w:p w:rsidR="00A83775" w:rsidRDefault="00A83775">
      <w:pPr>
        <w:pStyle w:val="H23GC"/>
        <w:rPr>
          <w:lang w:val="es-ES"/>
        </w:rPr>
      </w:pPr>
      <w:r>
        <w:rPr>
          <w:lang w:val="es-ES"/>
        </w:rPr>
        <w:tab/>
        <w:t>2.</w:t>
      </w:r>
      <w:r>
        <w:rPr>
          <w:lang w:val="es-ES"/>
        </w:rPr>
        <w:tab/>
      </w:r>
      <w:r>
        <w:rPr>
          <w:rFonts w:hint="eastAsia"/>
          <w:lang w:val="es-ES"/>
        </w:rPr>
        <w:t>现状</w:t>
      </w:r>
      <w:r>
        <w:rPr>
          <w:rFonts w:hint="eastAsia"/>
          <w:lang w:val="es-ES"/>
        </w:rPr>
        <w:t>/</w:t>
      </w:r>
      <w:r>
        <w:rPr>
          <w:rFonts w:hint="eastAsia"/>
          <w:lang w:val="es-ES"/>
        </w:rPr>
        <w:t>统计信息</w:t>
      </w:r>
    </w:p>
    <w:p w:rsidR="00A83775" w:rsidRDefault="00A83775">
      <w:pPr>
        <w:pStyle w:val="SingleTxtGC"/>
        <w:rPr>
          <w:lang w:val="es-ES"/>
        </w:rPr>
      </w:pPr>
      <w:r>
        <w:rPr>
          <w:lang w:val="es-ES"/>
        </w:rPr>
        <w:t xml:space="preserve">275.  </w:t>
      </w:r>
      <w:r>
        <w:rPr>
          <w:rFonts w:hint="eastAsia"/>
          <w:lang w:val="zh-CN"/>
        </w:rPr>
        <w:t>截至</w:t>
      </w:r>
      <w:r>
        <w:rPr>
          <w:rFonts w:hint="eastAsia"/>
          <w:lang w:val="es-ES"/>
        </w:rPr>
        <w:t>2011</w:t>
      </w:r>
      <w:r>
        <w:rPr>
          <w:rFonts w:hint="eastAsia"/>
          <w:lang w:val="es-ES"/>
        </w:rPr>
        <w:t>年</w:t>
      </w:r>
      <w:r>
        <w:rPr>
          <w:rFonts w:hint="eastAsia"/>
          <w:lang w:val="es-ES"/>
        </w:rPr>
        <w:t>3</w:t>
      </w:r>
      <w:r>
        <w:rPr>
          <w:rFonts w:hint="eastAsia"/>
          <w:lang w:val="es-ES"/>
        </w:rPr>
        <w:t>月，登记的外交和领事类岗位数共计</w:t>
      </w:r>
      <w:r>
        <w:rPr>
          <w:rFonts w:hint="eastAsia"/>
          <w:lang w:val="es-ES"/>
        </w:rPr>
        <w:t>485</w:t>
      </w:r>
      <w:r>
        <w:rPr>
          <w:rFonts w:hint="eastAsia"/>
          <w:lang w:val="es-ES"/>
        </w:rPr>
        <w:t>个，其中</w:t>
      </w:r>
      <w:r>
        <w:rPr>
          <w:rFonts w:hint="eastAsia"/>
          <w:lang w:val="es-ES"/>
        </w:rPr>
        <w:t>257</w:t>
      </w:r>
      <w:r>
        <w:rPr>
          <w:rFonts w:hint="eastAsia"/>
          <w:lang w:val="es-ES"/>
        </w:rPr>
        <w:t>个岗位由女性担任，占总职位数的</w:t>
      </w:r>
      <w:r>
        <w:rPr>
          <w:rFonts w:hint="eastAsia"/>
          <w:lang w:val="es-ES"/>
        </w:rPr>
        <w:t>52.99%</w:t>
      </w:r>
      <w:r>
        <w:rPr>
          <w:rFonts w:hint="eastAsia"/>
          <w:lang w:val="es-ES"/>
        </w:rPr>
        <w:t>，外交使团长官的职位数共计</w:t>
      </w:r>
      <w:r>
        <w:rPr>
          <w:rFonts w:hint="eastAsia"/>
          <w:lang w:val="es-ES"/>
        </w:rPr>
        <w:t>46</w:t>
      </w:r>
      <w:r>
        <w:rPr>
          <w:rFonts w:hint="eastAsia"/>
          <w:lang w:val="es-ES"/>
        </w:rPr>
        <w:t>个，目前由女性担任的有</w:t>
      </w:r>
      <w:r>
        <w:rPr>
          <w:rFonts w:hint="eastAsia"/>
          <w:lang w:val="es-ES"/>
        </w:rPr>
        <w:t>12</w:t>
      </w:r>
      <w:r>
        <w:rPr>
          <w:rFonts w:hint="eastAsia"/>
          <w:lang w:val="es-ES"/>
        </w:rPr>
        <w:t>个，占到总数的</w:t>
      </w:r>
      <w:r>
        <w:rPr>
          <w:rFonts w:hint="eastAsia"/>
          <w:lang w:val="es-ES"/>
        </w:rPr>
        <w:t>26%</w:t>
      </w:r>
      <w:r>
        <w:rPr>
          <w:rFonts w:hint="eastAsia"/>
          <w:lang w:val="es-ES"/>
        </w:rPr>
        <w:t>。</w:t>
      </w:r>
    </w:p>
    <w:p w:rsidR="00A83775" w:rsidRDefault="00A83775">
      <w:pPr>
        <w:pStyle w:val="SingleTxtGC"/>
        <w:rPr>
          <w:lang w:val="zh-CN"/>
        </w:rPr>
      </w:pPr>
      <w:r>
        <w:rPr>
          <w:lang w:val="es-ES"/>
        </w:rPr>
        <w:t xml:space="preserve">276.  </w:t>
      </w:r>
      <w:r>
        <w:rPr>
          <w:rFonts w:hint="eastAsia"/>
          <w:lang w:val="es-ES"/>
        </w:rPr>
        <w:t>在国际会议和研讨会的代表团中女性成员构成方面，外交部</w:t>
      </w:r>
      <w:r>
        <w:rPr>
          <w:rFonts w:hint="eastAsia"/>
          <w:lang w:val="es-ES"/>
        </w:rPr>
        <w:t>2009</w:t>
      </w:r>
      <w:r>
        <w:rPr>
          <w:rFonts w:hint="eastAsia"/>
          <w:lang w:val="es-ES"/>
        </w:rPr>
        <w:t>年报告称，在出</w:t>
      </w:r>
      <w:r>
        <w:rPr>
          <w:rFonts w:hint="eastAsia"/>
          <w:lang w:val="zh-CN"/>
        </w:rPr>
        <w:t>席国际会议、国际盛事和国际研讨会的各类外交使团的</w:t>
      </w:r>
      <w:r>
        <w:rPr>
          <w:rFonts w:hint="eastAsia"/>
          <w:lang w:val="zh-CN"/>
        </w:rPr>
        <w:t>445</w:t>
      </w:r>
      <w:r>
        <w:rPr>
          <w:rFonts w:hint="eastAsia"/>
          <w:lang w:val="zh-CN"/>
        </w:rPr>
        <w:t>名公职人员中，女性代表人数为</w:t>
      </w:r>
      <w:r>
        <w:rPr>
          <w:rFonts w:hint="eastAsia"/>
          <w:lang w:val="zh-CN"/>
        </w:rPr>
        <w:t>148</w:t>
      </w:r>
      <w:r>
        <w:rPr>
          <w:rFonts w:hint="eastAsia"/>
          <w:lang w:val="zh-CN"/>
        </w:rPr>
        <w:t>名，占</w:t>
      </w:r>
      <w:r>
        <w:rPr>
          <w:rFonts w:hint="eastAsia"/>
          <w:lang w:val="zh-CN"/>
        </w:rPr>
        <w:t>33%</w:t>
      </w:r>
      <w:r>
        <w:rPr>
          <w:rFonts w:hint="eastAsia"/>
          <w:lang w:val="zh-CN"/>
        </w:rPr>
        <w:t>，而</w:t>
      </w:r>
      <w:r>
        <w:rPr>
          <w:rFonts w:hint="eastAsia"/>
          <w:lang w:val="zh-CN"/>
        </w:rPr>
        <w:t>2010</w:t>
      </w:r>
      <w:r>
        <w:rPr>
          <w:rFonts w:hint="eastAsia"/>
          <w:lang w:val="zh-CN"/>
        </w:rPr>
        <w:t>年，外交使团的成员总数为</w:t>
      </w:r>
      <w:r>
        <w:rPr>
          <w:rFonts w:hint="eastAsia"/>
          <w:lang w:val="zh-CN"/>
        </w:rPr>
        <w:t>267</w:t>
      </w:r>
      <w:r>
        <w:rPr>
          <w:rFonts w:hint="eastAsia"/>
          <w:lang w:val="zh-CN"/>
        </w:rPr>
        <w:t>名，其中女性代表</w:t>
      </w:r>
      <w:r>
        <w:rPr>
          <w:rFonts w:hint="eastAsia"/>
          <w:lang w:val="zh-CN"/>
        </w:rPr>
        <w:t>153</w:t>
      </w:r>
      <w:r>
        <w:rPr>
          <w:rFonts w:hint="eastAsia"/>
          <w:lang w:val="zh-CN"/>
        </w:rPr>
        <w:t>名，占</w:t>
      </w:r>
      <w:r>
        <w:rPr>
          <w:rFonts w:hint="eastAsia"/>
          <w:lang w:val="zh-CN"/>
        </w:rPr>
        <w:t>57%</w:t>
      </w:r>
      <w:r>
        <w:rPr>
          <w:rFonts w:hint="eastAsia"/>
          <w:lang w:val="zh-CN"/>
        </w:rPr>
        <w:t>。</w:t>
      </w:r>
    </w:p>
    <w:p w:rsidR="00A83775" w:rsidRDefault="00A83775">
      <w:pPr>
        <w:pStyle w:val="SingleTxtGC"/>
        <w:rPr>
          <w:lang w:val="es-ES"/>
        </w:rPr>
      </w:pPr>
      <w:r>
        <w:rPr>
          <w:lang w:val="zh-CN"/>
        </w:rPr>
        <w:t xml:space="preserve">277.  </w:t>
      </w:r>
      <w:r>
        <w:rPr>
          <w:rFonts w:hint="eastAsia"/>
          <w:lang w:val="zh-CN"/>
        </w:rPr>
        <w:t>同样，在联合国系统以及其他区域性组织和国际性组织中也有来自哥伦比亚的杰出女</w:t>
      </w:r>
      <w:r>
        <w:rPr>
          <w:rFonts w:hint="eastAsia"/>
          <w:lang w:val="es-ES"/>
        </w:rPr>
        <w:t>性被提名担任相应的职务。在</w:t>
      </w:r>
      <w:r>
        <w:rPr>
          <w:rFonts w:hint="eastAsia"/>
          <w:lang w:val="es-ES"/>
        </w:rPr>
        <w:t>2000</w:t>
      </w:r>
      <w:r>
        <w:rPr>
          <w:rFonts w:hint="eastAsia"/>
          <w:lang w:val="es-ES"/>
        </w:rPr>
        <w:t>年至</w:t>
      </w:r>
      <w:r>
        <w:rPr>
          <w:rFonts w:hint="eastAsia"/>
          <w:lang w:val="es-ES"/>
        </w:rPr>
        <w:t>2011</w:t>
      </w:r>
      <w:r>
        <w:rPr>
          <w:rFonts w:hint="eastAsia"/>
          <w:lang w:val="es-ES"/>
        </w:rPr>
        <w:t>年期间，共有</w:t>
      </w:r>
      <w:r>
        <w:rPr>
          <w:rFonts w:hint="eastAsia"/>
          <w:lang w:val="es-ES"/>
        </w:rPr>
        <w:t>11</w:t>
      </w:r>
      <w:r>
        <w:rPr>
          <w:rFonts w:hint="eastAsia"/>
          <w:lang w:val="es-ES"/>
        </w:rPr>
        <w:t>名妇女被提名竞选下列职务。</w:t>
      </w:r>
    </w:p>
    <w:tbl>
      <w:tblPr>
        <w:tblW w:w="7370" w:type="dxa"/>
        <w:tblInd w:w="1134" w:type="dxa"/>
        <w:tblCellMar>
          <w:left w:w="0" w:type="dxa"/>
          <w:right w:w="0" w:type="dxa"/>
        </w:tblCellMar>
        <w:tblLook w:val="00A0"/>
      </w:tblPr>
      <w:tblGrid>
        <w:gridCol w:w="3798"/>
        <w:gridCol w:w="3572"/>
      </w:tblGrid>
      <w:tr w:rsidR="00A83775">
        <w:trPr>
          <w:trHeight w:val="240"/>
          <w:tblHeader/>
        </w:trPr>
        <w:tc>
          <w:tcPr>
            <w:tcW w:w="4331" w:type="dxa"/>
            <w:tcBorders>
              <w:top w:val="single" w:sz="4" w:space="0" w:color="auto"/>
              <w:bottom w:val="single" w:sz="12" w:space="0" w:color="auto"/>
            </w:tcBorders>
            <w:shd w:val="clear" w:color="auto" w:fill="auto"/>
            <w:vAlign w:val="bottom"/>
          </w:tcPr>
          <w:p w:rsidR="00A83775" w:rsidRDefault="00A83775">
            <w:pPr>
              <w:pStyle w:val="a1"/>
              <w:rPr>
                <w:rFonts w:hint="eastAsia"/>
                <w:lang w:val="es-ES"/>
              </w:rPr>
            </w:pPr>
            <w:r>
              <w:rPr>
                <w:rFonts w:hint="eastAsia"/>
                <w:lang w:val="es-ES"/>
              </w:rPr>
              <w:t>职务</w:t>
            </w:r>
          </w:p>
        </w:tc>
        <w:tc>
          <w:tcPr>
            <w:tcW w:w="4173" w:type="dxa"/>
            <w:tcBorders>
              <w:top w:val="single" w:sz="4" w:space="0" w:color="auto"/>
              <w:bottom w:val="single" w:sz="12" w:space="0" w:color="auto"/>
            </w:tcBorders>
            <w:shd w:val="clear" w:color="auto" w:fill="auto"/>
            <w:vAlign w:val="bottom"/>
          </w:tcPr>
          <w:p w:rsidR="00A83775" w:rsidRDefault="00A83775">
            <w:pPr>
              <w:pStyle w:val="a1"/>
              <w:rPr>
                <w:rFonts w:hint="eastAsia"/>
                <w:lang w:val="es-ES"/>
              </w:rPr>
            </w:pPr>
            <w:r>
              <w:rPr>
                <w:rFonts w:hint="eastAsia"/>
                <w:lang w:val="es-ES"/>
              </w:rPr>
              <w:t>被提名人选</w:t>
            </w:r>
          </w:p>
        </w:tc>
      </w:tr>
      <w:tr w:rsidR="00A83775">
        <w:trPr>
          <w:trHeight w:val="240"/>
        </w:trPr>
        <w:tc>
          <w:tcPr>
            <w:tcW w:w="4331" w:type="dxa"/>
            <w:tcBorders>
              <w:top w:val="single" w:sz="12" w:space="0" w:color="auto"/>
            </w:tcBorders>
            <w:shd w:val="clear" w:color="auto" w:fill="auto"/>
          </w:tcPr>
          <w:p w:rsidR="00A83775" w:rsidRDefault="00A83775">
            <w:pPr>
              <w:pStyle w:val="a5"/>
              <w:rPr>
                <w:rFonts w:hint="eastAsia"/>
                <w:lang w:val="es-ES"/>
              </w:rPr>
            </w:pPr>
            <w:r>
              <w:t>安德列斯</w:t>
            </w:r>
            <w:r>
              <w:t>·</w:t>
            </w:r>
            <w:r>
              <w:t>贝略协定</w:t>
            </w:r>
            <w:r>
              <w:rPr>
                <w:rFonts w:hint="eastAsia"/>
                <w:lang w:val="es-ES"/>
              </w:rPr>
              <w:t>的执行秘书长</w:t>
            </w:r>
          </w:p>
        </w:tc>
        <w:tc>
          <w:tcPr>
            <w:tcW w:w="4173" w:type="dxa"/>
            <w:tcBorders>
              <w:top w:val="single" w:sz="12" w:space="0" w:color="auto"/>
            </w:tcBorders>
            <w:shd w:val="clear" w:color="auto" w:fill="auto"/>
          </w:tcPr>
          <w:p w:rsidR="00A83775" w:rsidRDefault="00A83775">
            <w:pPr>
              <w:pStyle w:val="a5"/>
              <w:rPr>
                <w:lang w:val="es-ES"/>
              </w:rPr>
            </w:pPr>
            <w:r>
              <w:rPr>
                <w:rFonts w:hint="eastAsia"/>
                <w:lang w:val="es-ES"/>
              </w:rPr>
              <w:t>安娜·米莱娜·埃斯科巴尔·阿劳霍</w:t>
            </w:r>
          </w:p>
        </w:tc>
      </w:tr>
      <w:tr w:rsidR="00A83775">
        <w:trPr>
          <w:trHeight w:val="240"/>
        </w:trPr>
        <w:tc>
          <w:tcPr>
            <w:tcW w:w="4331" w:type="dxa"/>
            <w:shd w:val="clear" w:color="auto" w:fill="auto"/>
          </w:tcPr>
          <w:p w:rsidR="00A83775" w:rsidRDefault="00A83775">
            <w:pPr>
              <w:pStyle w:val="a5"/>
              <w:rPr>
                <w:lang w:val="es-ES"/>
              </w:rPr>
            </w:pPr>
            <w:r>
              <w:rPr>
                <w:rFonts w:hint="eastAsia"/>
                <w:lang w:val="es-ES"/>
              </w:rPr>
              <w:t>中央应急基金（</w:t>
            </w:r>
            <w:r>
              <w:rPr>
                <w:rFonts w:hint="eastAsia"/>
                <w:lang w:val="es-ES"/>
              </w:rPr>
              <w:t>CERF</w:t>
            </w:r>
            <w:r>
              <w:rPr>
                <w:rFonts w:hint="eastAsia"/>
                <w:lang w:val="es-ES"/>
              </w:rPr>
              <w:t>）咨询组成员</w:t>
            </w:r>
          </w:p>
        </w:tc>
        <w:tc>
          <w:tcPr>
            <w:tcW w:w="4173" w:type="dxa"/>
            <w:shd w:val="clear" w:color="auto" w:fill="auto"/>
          </w:tcPr>
          <w:p w:rsidR="00A83775" w:rsidRDefault="00A83775">
            <w:pPr>
              <w:pStyle w:val="a5"/>
              <w:rPr>
                <w:lang w:val="es-ES"/>
              </w:rPr>
            </w:pPr>
            <w:r>
              <w:rPr>
                <w:rFonts w:hint="eastAsia"/>
                <w:lang w:val="es-ES"/>
              </w:rPr>
              <w:t>桑德拉·阿尔萨特</w:t>
            </w:r>
          </w:p>
        </w:tc>
      </w:tr>
      <w:tr w:rsidR="00A83775">
        <w:trPr>
          <w:trHeight w:val="240"/>
        </w:trPr>
        <w:tc>
          <w:tcPr>
            <w:tcW w:w="4331" w:type="dxa"/>
            <w:shd w:val="clear" w:color="auto" w:fill="auto"/>
          </w:tcPr>
          <w:p w:rsidR="00A83775" w:rsidRDefault="00A83775">
            <w:pPr>
              <w:pStyle w:val="a5"/>
              <w:rPr>
                <w:lang w:val="es-ES"/>
              </w:rPr>
            </w:pPr>
            <w:r>
              <w:rPr>
                <w:rFonts w:hint="eastAsia"/>
                <w:lang w:val="es-ES"/>
              </w:rPr>
              <w:t>儿童权利委员会成员</w:t>
            </w:r>
          </w:p>
        </w:tc>
        <w:tc>
          <w:tcPr>
            <w:tcW w:w="4173" w:type="dxa"/>
            <w:shd w:val="clear" w:color="auto" w:fill="auto"/>
          </w:tcPr>
          <w:p w:rsidR="00A83775" w:rsidRDefault="00A83775">
            <w:pPr>
              <w:pStyle w:val="a5"/>
              <w:rPr>
                <w:lang w:val="es-ES"/>
              </w:rPr>
            </w:pPr>
            <w:r>
              <w:rPr>
                <w:rFonts w:hint="eastAsia"/>
                <w:lang w:val="es-ES"/>
              </w:rPr>
              <w:t>贝亚特丽丝·利纳雷斯·坎蒂略</w:t>
            </w:r>
          </w:p>
        </w:tc>
      </w:tr>
      <w:tr w:rsidR="00A83775">
        <w:trPr>
          <w:trHeight w:val="240"/>
        </w:trPr>
        <w:tc>
          <w:tcPr>
            <w:tcW w:w="4331" w:type="dxa"/>
            <w:shd w:val="clear" w:color="auto" w:fill="auto"/>
          </w:tcPr>
          <w:p w:rsidR="00A83775" w:rsidRDefault="00A83775">
            <w:pPr>
              <w:pStyle w:val="a5"/>
              <w:rPr>
                <w:lang w:val="es-ES"/>
              </w:rPr>
            </w:pPr>
            <w:r>
              <w:rPr>
                <w:rFonts w:hint="eastAsia"/>
                <w:lang w:val="es-ES"/>
              </w:rPr>
              <w:t>美洲妇女委员会执行委员会成员</w:t>
            </w:r>
          </w:p>
        </w:tc>
        <w:tc>
          <w:tcPr>
            <w:tcW w:w="4173" w:type="dxa"/>
            <w:shd w:val="clear" w:color="auto" w:fill="auto"/>
          </w:tcPr>
          <w:p w:rsidR="00A83775" w:rsidRDefault="00A83775">
            <w:pPr>
              <w:pStyle w:val="a5"/>
              <w:rPr>
                <w:lang w:val="es-ES"/>
              </w:rPr>
            </w:pPr>
            <w:r>
              <w:rPr>
                <w:rFonts w:hint="eastAsia"/>
                <w:lang w:val="es-ES"/>
              </w:rPr>
              <w:t>马尔塔·露西娅·巴斯凯斯</w:t>
            </w:r>
          </w:p>
        </w:tc>
      </w:tr>
      <w:tr w:rsidR="00A83775">
        <w:trPr>
          <w:trHeight w:val="240"/>
        </w:trPr>
        <w:tc>
          <w:tcPr>
            <w:tcW w:w="4331" w:type="dxa"/>
            <w:shd w:val="clear" w:color="auto" w:fill="auto"/>
          </w:tcPr>
          <w:p w:rsidR="00A83775" w:rsidRDefault="00A83775">
            <w:pPr>
              <w:pStyle w:val="a5"/>
              <w:rPr>
                <w:lang w:val="es-ES"/>
              </w:rPr>
            </w:pPr>
            <w:r>
              <w:rPr>
                <w:rFonts w:hint="eastAsia"/>
                <w:lang w:val="es-ES"/>
              </w:rPr>
              <w:t>拉丁美洲和加勒比禁止核武器组织（</w:t>
            </w:r>
            <w:r>
              <w:rPr>
                <w:lang w:val="es-ES"/>
              </w:rPr>
              <w:t>OPANAL</w:t>
            </w:r>
            <w:r>
              <w:rPr>
                <w:rFonts w:hint="eastAsia"/>
                <w:lang w:val="es-ES"/>
              </w:rPr>
              <w:t>）秘书长</w:t>
            </w:r>
          </w:p>
        </w:tc>
        <w:tc>
          <w:tcPr>
            <w:tcW w:w="4173" w:type="dxa"/>
            <w:shd w:val="clear" w:color="auto" w:fill="auto"/>
          </w:tcPr>
          <w:p w:rsidR="00A83775" w:rsidRDefault="00A83775">
            <w:pPr>
              <w:pStyle w:val="a5"/>
              <w:rPr>
                <w:lang w:val="es-ES"/>
              </w:rPr>
            </w:pPr>
            <w:r>
              <w:rPr>
                <w:rFonts w:hint="eastAsia"/>
                <w:lang w:val="es-ES"/>
              </w:rPr>
              <w:t>克拉拉·伊内斯·瓦尔加斯·希尔瓦</w:t>
            </w:r>
          </w:p>
        </w:tc>
      </w:tr>
      <w:tr w:rsidR="00A83775">
        <w:trPr>
          <w:trHeight w:val="240"/>
        </w:trPr>
        <w:tc>
          <w:tcPr>
            <w:tcW w:w="4331" w:type="dxa"/>
            <w:shd w:val="clear" w:color="auto" w:fill="auto"/>
          </w:tcPr>
          <w:p w:rsidR="00A83775" w:rsidRDefault="00A83775">
            <w:pPr>
              <w:pStyle w:val="a5"/>
              <w:rPr>
                <w:lang w:val="es-ES"/>
              </w:rPr>
            </w:pPr>
            <w:r>
              <w:rPr>
                <w:rFonts w:hint="eastAsia"/>
                <w:lang w:val="es-ES"/>
              </w:rPr>
              <w:t>中央应急基金咨询组成员</w:t>
            </w:r>
          </w:p>
        </w:tc>
        <w:tc>
          <w:tcPr>
            <w:tcW w:w="4173" w:type="dxa"/>
            <w:shd w:val="clear" w:color="auto" w:fill="auto"/>
          </w:tcPr>
          <w:p w:rsidR="00A83775" w:rsidRDefault="00A83775">
            <w:pPr>
              <w:pStyle w:val="a5"/>
              <w:rPr>
                <w:lang w:val="es-ES"/>
              </w:rPr>
            </w:pPr>
            <w:r>
              <w:rPr>
                <w:rFonts w:hint="eastAsia"/>
                <w:lang w:val="es-ES"/>
              </w:rPr>
              <w:t>露丝·阿曼达·普利多</w:t>
            </w:r>
          </w:p>
        </w:tc>
      </w:tr>
      <w:tr w:rsidR="00A83775">
        <w:trPr>
          <w:trHeight w:val="240"/>
        </w:trPr>
        <w:tc>
          <w:tcPr>
            <w:tcW w:w="4331" w:type="dxa"/>
            <w:shd w:val="clear" w:color="auto" w:fill="auto"/>
          </w:tcPr>
          <w:p w:rsidR="00A83775" w:rsidRDefault="00A83775">
            <w:pPr>
              <w:pStyle w:val="a5"/>
              <w:rPr>
                <w:lang w:val="es-ES"/>
              </w:rPr>
            </w:pPr>
            <w:r>
              <w:rPr>
                <w:rFonts w:hint="eastAsia"/>
                <w:lang w:val="es-ES"/>
              </w:rPr>
              <w:t>负责对</w:t>
            </w:r>
            <w:r>
              <w:rPr>
                <w:lang w:val="en-GB"/>
              </w:rPr>
              <w:t>美洲人权公约关于经济、社会和文化权利领域的附加议定书；圣萨尔瓦多议定书</w:t>
            </w:r>
            <w:r>
              <w:rPr>
                <w:rFonts w:hint="eastAsia"/>
                <w:lang w:val="en-GB"/>
              </w:rPr>
              <w:t>的定期报告进行</w:t>
            </w:r>
            <w:r>
              <w:rPr>
                <w:rFonts w:hint="eastAsia"/>
                <w:lang w:val="es-ES"/>
              </w:rPr>
              <w:t>分析的工作组政府专家</w:t>
            </w:r>
          </w:p>
        </w:tc>
        <w:tc>
          <w:tcPr>
            <w:tcW w:w="4173" w:type="dxa"/>
            <w:shd w:val="clear" w:color="auto" w:fill="auto"/>
          </w:tcPr>
          <w:p w:rsidR="00A83775" w:rsidRDefault="00A83775">
            <w:pPr>
              <w:pStyle w:val="a5"/>
              <w:rPr>
                <w:lang w:val="es-ES"/>
              </w:rPr>
            </w:pPr>
            <w:r>
              <w:rPr>
                <w:rFonts w:hint="eastAsia"/>
                <w:lang w:val="es-ES"/>
              </w:rPr>
              <w:t>保拉·玛格丽塔·布恩蒂亚·加西亚</w:t>
            </w:r>
          </w:p>
        </w:tc>
      </w:tr>
      <w:tr w:rsidR="00A83775">
        <w:trPr>
          <w:trHeight w:val="240"/>
        </w:trPr>
        <w:tc>
          <w:tcPr>
            <w:tcW w:w="4331" w:type="dxa"/>
            <w:shd w:val="clear" w:color="auto" w:fill="auto"/>
          </w:tcPr>
          <w:p w:rsidR="00A83775" w:rsidRDefault="00A83775">
            <w:pPr>
              <w:pStyle w:val="a5"/>
              <w:rPr>
                <w:lang w:val="es-ES"/>
              </w:rPr>
            </w:pPr>
            <w:r>
              <w:rPr>
                <w:rFonts w:hint="eastAsia"/>
                <w:lang w:val="es-ES"/>
              </w:rPr>
              <w:t>美洲儿童研究所执行委员会领导委员会的哥伦比亚国家代表兼美洲儿童研究所董事会主席</w:t>
            </w:r>
          </w:p>
        </w:tc>
        <w:tc>
          <w:tcPr>
            <w:tcW w:w="4173" w:type="dxa"/>
            <w:shd w:val="clear" w:color="auto" w:fill="auto"/>
          </w:tcPr>
          <w:p w:rsidR="00A83775" w:rsidRDefault="00A83775">
            <w:pPr>
              <w:pStyle w:val="a5"/>
              <w:rPr>
                <w:lang w:val="es-ES"/>
              </w:rPr>
            </w:pPr>
            <w:r>
              <w:rPr>
                <w:rFonts w:hint="eastAsia"/>
                <w:lang w:val="es-ES"/>
              </w:rPr>
              <w:t>埃尔维拉·弗雷罗·埃尔南德斯</w:t>
            </w:r>
          </w:p>
        </w:tc>
      </w:tr>
      <w:tr w:rsidR="00A83775">
        <w:trPr>
          <w:trHeight w:val="240"/>
        </w:trPr>
        <w:tc>
          <w:tcPr>
            <w:tcW w:w="4331" w:type="dxa"/>
            <w:shd w:val="clear" w:color="auto" w:fill="auto"/>
          </w:tcPr>
          <w:p w:rsidR="00A83775" w:rsidRDefault="00A83775">
            <w:pPr>
              <w:pStyle w:val="a5"/>
              <w:rPr>
                <w:rFonts w:hint="eastAsia"/>
                <w:lang w:val="es-ES"/>
              </w:rPr>
            </w:pPr>
            <w:r>
              <w:rPr>
                <w:rFonts w:hint="eastAsia"/>
                <w:lang w:val="es-ES"/>
              </w:rPr>
              <w:t>联合国气候变化框架公约</w:t>
            </w:r>
            <w:r>
              <w:rPr>
                <w:lang w:val="es-ES"/>
              </w:rPr>
              <w:t>COP/CMP</w:t>
            </w:r>
            <w:r>
              <w:rPr>
                <w:rFonts w:hint="eastAsia"/>
                <w:lang w:val="es-ES"/>
              </w:rPr>
              <w:t>局副主席</w:t>
            </w:r>
          </w:p>
        </w:tc>
        <w:tc>
          <w:tcPr>
            <w:tcW w:w="4173" w:type="dxa"/>
            <w:shd w:val="clear" w:color="auto" w:fill="auto"/>
          </w:tcPr>
          <w:p w:rsidR="00A83775" w:rsidRDefault="00A83775">
            <w:pPr>
              <w:pStyle w:val="a5"/>
              <w:rPr>
                <w:lang w:val="es-ES"/>
              </w:rPr>
            </w:pPr>
            <w:r>
              <w:rPr>
                <w:rFonts w:hint="eastAsia"/>
                <w:lang w:val="es-ES"/>
              </w:rPr>
              <w:t>安德雷亚·加西亚</w:t>
            </w:r>
          </w:p>
        </w:tc>
      </w:tr>
      <w:tr w:rsidR="00A83775">
        <w:trPr>
          <w:trHeight w:val="240"/>
        </w:trPr>
        <w:tc>
          <w:tcPr>
            <w:tcW w:w="4331" w:type="dxa"/>
            <w:shd w:val="clear" w:color="auto" w:fill="auto"/>
          </w:tcPr>
          <w:p w:rsidR="00A83775" w:rsidRDefault="00A83775">
            <w:pPr>
              <w:pStyle w:val="a5"/>
              <w:rPr>
                <w:lang w:val="es-ES"/>
              </w:rPr>
            </w:pPr>
            <w:r>
              <w:rPr>
                <w:rFonts w:hint="eastAsia"/>
                <w:lang w:val="es-ES"/>
              </w:rPr>
              <w:t>意大利－拉丁美洲学会科学技术事务分管秘书</w:t>
            </w:r>
            <w:r>
              <w:rPr>
                <w:lang w:val="es-ES"/>
              </w:rPr>
              <w:t xml:space="preserve"> </w:t>
            </w:r>
          </w:p>
        </w:tc>
        <w:tc>
          <w:tcPr>
            <w:tcW w:w="4173" w:type="dxa"/>
            <w:shd w:val="clear" w:color="auto" w:fill="auto"/>
          </w:tcPr>
          <w:p w:rsidR="00A83775" w:rsidRDefault="00A83775">
            <w:pPr>
              <w:pStyle w:val="a5"/>
              <w:rPr>
                <w:lang w:val="es-ES"/>
              </w:rPr>
            </w:pPr>
            <w:r>
              <w:rPr>
                <w:rFonts w:hint="eastAsia"/>
                <w:lang w:val="es-ES"/>
              </w:rPr>
              <w:t>莫妮卡·索菲亚·迪马特</w:t>
            </w:r>
          </w:p>
        </w:tc>
      </w:tr>
      <w:tr w:rsidR="00A83775">
        <w:trPr>
          <w:trHeight w:val="240"/>
        </w:trPr>
        <w:tc>
          <w:tcPr>
            <w:tcW w:w="4331" w:type="dxa"/>
            <w:tcBorders>
              <w:bottom w:val="single" w:sz="12" w:space="0" w:color="auto"/>
            </w:tcBorders>
            <w:shd w:val="clear" w:color="auto" w:fill="auto"/>
          </w:tcPr>
          <w:p w:rsidR="00A83775" w:rsidRDefault="00A83775">
            <w:pPr>
              <w:pStyle w:val="a5"/>
              <w:rPr>
                <w:lang w:val="es-ES"/>
              </w:rPr>
            </w:pPr>
            <w:r>
              <w:rPr>
                <w:rFonts w:hint="eastAsia"/>
                <w:lang w:val="es-ES"/>
              </w:rPr>
              <w:t>教科文组织驻哈瓦那的地区办事处文化项目组副专员</w:t>
            </w:r>
          </w:p>
        </w:tc>
        <w:tc>
          <w:tcPr>
            <w:tcW w:w="4173" w:type="dxa"/>
            <w:tcBorders>
              <w:bottom w:val="single" w:sz="12" w:space="0" w:color="auto"/>
            </w:tcBorders>
            <w:shd w:val="clear" w:color="auto" w:fill="auto"/>
          </w:tcPr>
          <w:p w:rsidR="00A83775" w:rsidRDefault="00A83775">
            <w:pPr>
              <w:pStyle w:val="a5"/>
              <w:rPr>
                <w:lang w:val="es-ES"/>
              </w:rPr>
            </w:pPr>
            <w:r>
              <w:rPr>
                <w:rFonts w:hint="eastAsia"/>
                <w:lang w:val="es-ES"/>
              </w:rPr>
              <w:t>塔蒂亚娜·维耶加斯</w:t>
            </w:r>
          </w:p>
        </w:tc>
      </w:tr>
    </w:tbl>
    <w:p w:rsidR="00A83775" w:rsidRDefault="00A83775">
      <w:pPr>
        <w:pStyle w:val="H1GC"/>
        <w:rPr>
          <w:lang w:val="en-GB"/>
        </w:rPr>
      </w:pPr>
      <w:r>
        <w:rPr>
          <w:lang w:val="en-GB"/>
        </w:rPr>
        <w:tab/>
        <w:t>C.</w:t>
      </w:r>
      <w:r>
        <w:rPr>
          <w:lang w:val="en-GB"/>
        </w:rPr>
        <w:tab/>
      </w:r>
      <w:r>
        <w:rPr>
          <w:rFonts w:hint="eastAsia"/>
          <w:lang w:val="en-GB"/>
        </w:rPr>
        <w:t>第九条</w:t>
      </w:r>
    </w:p>
    <w:p w:rsidR="00A83775" w:rsidRDefault="00A83775">
      <w:pPr>
        <w:pStyle w:val="SingleTxtGC"/>
        <w:rPr>
          <w:lang w:val="es-ES_tradnl"/>
        </w:rPr>
      </w:pPr>
      <w:r>
        <w:rPr>
          <w:lang w:val="es-ES_tradnl"/>
        </w:rPr>
        <w:t xml:space="preserve">278.  </w:t>
      </w:r>
      <w:r>
        <w:rPr>
          <w:rFonts w:hint="eastAsia"/>
          <w:lang w:val="es-ES"/>
        </w:rPr>
        <w:t>本节与委员会第</w:t>
      </w:r>
      <w:r>
        <w:rPr>
          <w:rFonts w:hint="eastAsia"/>
          <w:lang w:val="es-ES"/>
        </w:rPr>
        <w:t>21</w:t>
      </w:r>
      <w:r>
        <w:rPr>
          <w:rFonts w:hint="eastAsia"/>
          <w:lang w:val="es-ES"/>
        </w:rPr>
        <w:t>号一般性建议有关。</w:t>
      </w:r>
    </w:p>
    <w:p w:rsidR="00A83775" w:rsidRDefault="00A83775">
      <w:pPr>
        <w:pStyle w:val="SingleTxtGC"/>
        <w:rPr>
          <w:rFonts w:hint="eastAsia"/>
        </w:rPr>
      </w:pPr>
      <w:r>
        <w:rPr>
          <w:lang w:val="es-ES"/>
        </w:rPr>
        <w:t xml:space="preserve">279.  </w:t>
      </w:r>
      <w:r>
        <w:rPr>
          <w:rFonts w:hint="eastAsia"/>
          <w:lang w:val="zh-CN"/>
        </w:rPr>
        <w:t>1991</w:t>
      </w:r>
      <w:r>
        <w:rPr>
          <w:rFonts w:hint="eastAsia"/>
          <w:lang w:val="es-ES"/>
        </w:rPr>
        <w:t>年的《政治宪法》第</w:t>
      </w:r>
      <w:r>
        <w:rPr>
          <w:rFonts w:hint="eastAsia"/>
          <w:lang w:val="es-ES"/>
        </w:rPr>
        <w:t>96</w:t>
      </w:r>
      <w:r>
        <w:rPr>
          <w:rFonts w:hint="eastAsia"/>
          <w:lang w:val="es-ES"/>
        </w:rPr>
        <w:t>条规定了</w:t>
      </w:r>
      <w:r>
        <w:rPr>
          <w:rFonts w:hint="eastAsia"/>
        </w:rPr>
        <w:t>哥伦比亚公民身份可因以下情况获得：</w:t>
      </w:r>
    </w:p>
    <w:p w:rsidR="00A83775" w:rsidRDefault="00A83775">
      <w:pPr>
        <w:pStyle w:val="SingleTxtGC"/>
        <w:numPr>
          <w:ilvl w:val="0"/>
          <w:numId w:val="46"/>
        </w:numPr>
      </w:pPr>
      <w:r>
        <w:rPr>
          <w:rFonts w:hint="eastAsia"/>
        </w:rPr>
        <w:t>出生：符合以下两种条件之一的哥伦比亚本国公民：父亲或者母亲是当地人或者哥伦比亚公民；或者是在出生时父母有一方居住在共和国境内的外国人子女；及在国外出生，其父方或母方为哥伦比亚公民，且之后定居在哥伦比亚境内或在共和国的领事处办理了登记的人员。</w:t>
      </w:r>
    </w:p>
    <w:p w:rsidR="00A83775" w:rsidRDefault="00A83775">
      <w:pPr>
        <w:pStyle w:val="SingleTxtGC"/>
        <w:numPr>
          <w:ilvl w:val="0"/>
          <w:numId w:val="46"/>
        </w:numPr>
        <w:rPr>
          <w:lang w:val="es-ES_tradnl"/>
        </w:rPr>
      </w:pPr>
      <w:r>
        <w:rPr>
          <w:rFonts w:hint="eastAsia"/>
        </w:rPr>
        <w:t>归化入籍：依据法律申请并获得入籍卡的外国人，同时法律也规定了在何种情况下将丧失因归化入籍而获得的哥伦比亚公民身份；出生于拉丁美洲和加勒比地区且居住于哥伦比亚的拉丁美洲和加勒比本土生人，经政府批准，依据法律以及互惠原则，可向其所在市政当局申请注册为哥伦比亚公民；及居住在共享边境地区的土著民族成员，可根据公共条约适用互惠原则。任何因出生而获得哥伦比亚国籍者均不得被剥夺其公民身份。哥伦比亚公民的身份不因取得另一国国籍的事实而丧失。</w:t>
      </w:r>
    </w:p>
    <w:p w:rsidR="00A83775" w:rsidRDefault="00A83775">
      <w:pPr>
        <w:pStyle w:val="SingleTxtGC"/>
        <w:rPr>
          <w:lang w:val="es-ES"/>
        </w:rPr>
      </w:pPr>
      <w:r>
        <w:rPr>
          <w:lang w:val="es-ES"/>
        </w:rPr>
        <w:t xml:space="preserve">280.  </w:t>
      </w:r>
      <w:r>
        <w:rPr>
          <w:rFonts w:hint="eastAsia"/>
        </w:rPr>
        <w:t>通过归化入籍的公民不被强迫放弃其原国籍或归入的国籍。宣布放弃哥伦比亚国籍者可以依据法律规定恢复其哥伦比亚国籍。</w:t>
      </w:r>
    </w:p>
    <w:p w:rsidR="00A83775" w:rsidRDefault="00A83775">
      <w:pPr>
        <w:pStyle w:val="SingleTxtGC"/>
        <w:rPr>
          <w:lang w:val="zh-CN"/>
        </w:rPr>
      </w:pPr>
      <w:r>
        <w:rPr>
          <w:lang w:val="es-ES"/>
        </w:rPr>
        <w:t xml:space="preserve">281.  </w:t>
      </w:r>
      <w:r>
        <w:rPr>
          <w:rFonts w:hint="eastAsia"/>
          <w:lang w:val="es-ES"/>
        </w:rPr>
        <w:t>根据《宪法》规定，因出生而获得哥伦比亚国籍者与归化入籍者之间有所区别，后者须得满足</w:t>
      </w:r>
      <w:r>
        <w:rPr>
          <w:rFonts w:hint="eastAsia"/>
          <w:lang w:val="es-ES"/>
        </w:rPr>
        <w:t>1993</w:t>
      </w:r>
      <w:r>
        <w:rPr>
          <w:rFonts w:hint="eastAsia"/>
          <w:lang w:val="es-ES"/>
        </w:rPr>
        <w:t>年的第</w:t>
      </w:r>
      <w:r>
        <w:rPr>
          <w:rFonts w:hint="eastAsia"/>
          <w:lang w:val="es-ES"/>
        </w:rPr>
        <w:t>43</w:t>
      </w:r>
      <w:r>
        <w:rPr>
          <w:rFonts w:hint="eastAsia"/>
          <w:lang w:val="es-ES"/>
        </w:rPr>
        <w:t>号法、</w:t>
      </w:r>
      <w:r>
        <w:rPr>
          <w:rFonts w:hint="eastAsia"/>
          <w:lang w:val="es-ES"/>
        </w:rPr>
        <w:t>1994</w:t>
      </w:r>
      <w:r>
        <w:rPr>
          <w:rFonts w:hint="eastAsia"/>
          <w:lang w:val="es-ES"/>
        </w:rPr>
        <w:t>年的第</w:t>
      </w:r>
      <w:r>
        <w:rPr>
          <w:rFonts w:hint="eastAsia"/>
          <w:lang w:val="es-ES"/>
        </w:rPr>
        <w:t>1869</w:t>
      </w:r>
      <w:r>
        <w:rPr>
          <w:rFonts w:hint="eastAsia"/>
          <w:lang w:val="es-ES"/>
        </w:rPr>
        <w:t>号法令和</w:t>
      </w:r>
      <w:r>
        <w:rPr>
          <w:rFonts w:hint="eastAsia"/>
          <w:lang w:val="es-ES"/>
        </w:rPr>
        <w:t>1995</w:t>
      </w:r>
      <w:r>
        <w:rPr>
          <w:rFonts w:hint="eastAsia"/>
          <w:lang w:val="es-ES"/>
        </w:rPr>
        <w:t>年的</w:t>
      </w:r>
      <w:r>
        <w:rPr>
          <w:rFonts w:hint="eastAsia"/>
          <w:lang w:val="zh-CN"/>
        </w:rPr>
        <w:t>第</w:t>
      </w:r>
      <w:r>
        <w:rPr>
          <w:rFonts w:hint="eastAsia"/>
          <w:lang w:val="zh-CN"/>
        </w:rPr>
        <w:t>2150</w:t>
      </w:r>
      <w:r>
        <w:rPr>
          <w:rFonts w:hint="eastAsia"/>
          <w:lang w:val="zh-CN"/>
        </w:rPr>
        <w:t>号法令之要求。</w:t>
      </w:r>
    </w:p>
    <w:p w:rsidR="00A83775" w:rsidRDefault="00A83775">
      <w:pPr>
        <w:pStyle w:val="SingleTxtGC"/>
      </w:pPr>
      <w:r>
        <w:rPr>
          <w:lang w:val="zh-CN"/>
        </w:rPr>
        <w:t xml:space="preserve">282.  </w:t>
      </w:r>
      <w:r>
        <w:rPr>
          <w:rFonts w:hint="eastAsia"/>
          <w:lang w:val="zh-CN"/>
        </w:rPr>
        <w:t>2011</w:t>
      </w:r>
      <w:r>
        <w:rPr>
          <w:rFonts w:hint="eastAsia"/>
          <w:lang w:val="zh-CN"/>
        </w:rPr>
        <w:t>年</w:t>
      </w:r>
      <w:r>
        <w:rPr>
          <w:rFonts w:hint="eastAsia"/>
          <w:lang w:val="zh-CN"/>
        </w:rPr>
        <w:t>3</w:t>
      </w:r>
      <w:r>
        <w:rPr>
          <w:rFonts w:hint="eastAsia"/>
          <w:lang w:val="zh-CN"/>
        </w:rPr>
        <w:t>月</w:t>
      </w:r>
      <w:r>
        <w:rPr>
          <w:rFonts w:hint="eastAsia"/>
          <w:lang w:val="zh-CN"/>
        </w:rPr>
        <w:t>18</w:t>
      </w:r>
      <w:r>
        <w:rPr>
          <w:rFonts w:hint="eastAsia"/>
          <w:lang w:val="zh-CN"/>
        </w:rPr>
        <w:t>日的第</w:t>
      </w:r>
      <w:r>
        <w:rPr>
          <w:rFonts w:hint="eastAsia"/>
          <w:lang w:val="zh-CN"/>
        </w:rPr>
        <w:t>830</w:t>
      </w:r>
      <w:r>
        <w:rPr>
          <w:rFonts w:hint="eastAsia"/>
          <w:lang w:val="zh-CN"/>
        </w:rPr>
        <w:t>号法令。规范了对哥伦比亚国民出行批文的签发事宜，设定了针对老年人和未成年人的要求条件，并规定应给予男子、妇女、男童或女童同等待遇。法令中并未以性别原因为由对女性设定附加的要求。</w:t>
      </w:r>
    </w:p>
    <w:p w:rsidR="00A83775" w:rsidRDefault="00A83775">
      <w:pPr>
        <w:pStyle w:val="SingleTxtGC"/>
        <w:rPr>
          <w:lang w:val="es-ES"/>
        </w:rPr>
      </w:pPr>
      <w:r>
        <w:rPr>
          <w:lang w:val="zh-CN"/>
        </w:rPr>
        <w:t xml:space="preserve">283.  </w:t>
      </w:r>
      <w:r>
        <w:rPr>
          <w:rFonts w:hint="eastAsia"/>
          <w:lang w:val="zh-CN"/>
        </w:rPr>
        <w:t>在</w:t>
      </w:r>
      <w:r>
        <w:rPr>
          <w:rFonts w:eastAsia="SimHei" w:hint="eastAsia"/>
          <w:lang w:val="zh-CN"/>
        </w:rPr>
        <w:t>关于哥</w:t>
      </w:r>
      <w:r>
        <w:rPr>
          <w:rFonts w:eastAsia="SimHei" w:hint="eastAsia"/>
          <w:lang w:val="es-ES"/>
        </w:rPr>
        <w:t>伦比亚未成年离境的现行规定</w:t>
      </w:r>
      <w:r>
        <w:rPr>
          <w:rFonts w:hint="eastAsia"/>
          <w:lang w:val="es-ES"/>
        </w:rPr>
        <w:t>方面有如下要求，这些规定体现出了儿童的最高利益原则以及承认为人父母者不分男女具有同等权利的原则：</w:t>
      </w:r>
    </w:p>
    <w:p w:rsidR="00A83775" w:rsidRDefault="00A83775">
      <w:pPr>
        <w:pStyle w:val="SingleTxtGC"/>
        <w:numPr>
          <w:ilvl w:val="0"/>
          <w:numId w:val="47"/>
        </w:numPr>
        <w:rPr>
          <w:lang w:val="es-ES_tradnl"/>
        </w:rPr>
      </w:pPr>
      <w:r>
        <w:rPr>
          <w:rFonts w:hint="eastAsia"/>
          <w:lang w:val="es-ES_tradnl"/>
        </w:rPr>
        <w:t>对于哥伦比亚籍以及居住在哥伦比亚境内的外籍男童、女童和青少年，如果离境需要得到其父母双方</w:t>
      </w:r>
      <w:r>
        <w:rPr>
          <w:vertAlign w:val="superscript"/>
          <w:lang w:val="es-ES_tradnl"/>
        </w:rPr>
        <w:footnoteReference w:id="142"/>
      </w:r>
      <w:r>
        <w:rPr>
          <w:lang w:val="es-ES_tradnl"/>
        </w:rPr>
        <w:t xml:space="preserve"> </w:t>
      </w:r>
      <w:r>
        <w:rPr>
          <w:rFonts w:hint="eastAsia"/>
          <w:lang w:val="es-ES_tradnl"/>
        </w:rPr>
        <w:t>或者未陪同未成年人出行的父母一方出具的离境同意书；</w:t>
      </w:r>
    </w:p>
    <w:p w:rsidR="00A83775" w:rsidRDefault="00A83775">
      <w:pPr>
        <w:pStyle w:val="SingleTxtGC"/>
        <w:numPr>
          <w:ilvl w:val="0"/>
          <w:numId w:val="47"/>
        </w:numPr>
        <w:rPr>
          <w:lang w:val="es-ES_tradnl"/>
        </w:rPr>
      </w:pPr>
      <w:r>
        <w:rPr>
          <w:rFonts w:hint="eastAsia"/>
          <w:lang w:val="es-ES_tradnl"/>
        </w:rPr>
        <w:t>同意书上应根据《儿童和青少年法》（</w:t>
      </w:r>
      <w:r>
        <w:rPr>
          <w:rFonts w:hint="eastAsia"/>
          <w:lang w:val="es-ES_tradnl"/>
        </w:rPr>
        <w:t>2006</w:t>
      </w:r>
      <w:r>
        <w:rPr>
          <w:rFonts w:hint="eastAsia"/>
          <w:lang w:val="es-ES_tradnl"/>
        </w:rPr>
        <w:t>年的第</w:t>
      </w:r>
      <w:r>
        <w:rPr>
          <w:rFonts w:hint="eastAsia"/>
          <w:lang w:val="es-ES_tradnl"/>
        </w:rPr>
        <w:t>1098</w:t>
      </w:r>
      <w:r>
        <w:rPr>
          <w:rFonts w:hint="eastAsia"/>
          <w:lang w:val="es-ES_tradnl"/>
        </w:rPr>
        <w:t>号法）之规定写明离境日期、出行目的、归国日期以及由何人陪同未成年人出行；</w:t>
      </w:r>
    </w:p>
    <w:p w:rsidR="00A83775" w:rsidRDefault="00A83775">
      <w:pPr>
        <w:pStyle w:val="SingleTxtGC"/>
        <w:numPr>
          <w:ilvl w:val="0"/>
          <w:numId w:val="47"/>
        </w:numPr>
        <w:rPr>
          <w:lang w:val="es-ES_tradnl"/>
        </w:rPr>
      </w:pPr>
      <w:r>
        <w:rPr>
          <w:rFonts w:hint="eastAsia"/>
          <w:lang w:val="es-ES_tradnl"/>
        </w:rPr>
        <w:t>同时，如果其所持护照中的可机读区域中没有出现未成年人父母的姓名，还应提交哥伦比亚籍儿童或青少年的民事登记证副本；</w:t>
      </w:r>
    </w:p>
    <w:p w:rsidR="00A83775" w:rsidRDefault="00A83775">
      <w:pPr>
        <w:pStyle w:val="SingleTxtGC"/>
        <w:numPr>
          <w:ilvl w:val="0"/>
          <w:numId w:val="47"/>
        </w:numPr>
        <w:rPr>
          <w:lang w:val="es-ES_tradnl"/>
        </w:rPr>
      </w:pPr>
      <w:r>
        <w:rPr>
          <w:rFonts w:hint="eastAsia"/>
          <w:lang w:val="es-ES_tradnl"/>
        </w:rPr>
        <w:t>如果出具同意书的父亲或母亲一方在哥伦比亚境内，则由公证人对其同意书进行公证，如果其身在境外，同意书应当由哥伦比亚驻当地的使领馆进行领事认证。如果在其居所附近没有哥伦比亚派驻的使领馆，则必须在当地公证人的见证下以西班牙语写就并签具，办理正规公证手续并提交将公证的同意书原件；</w:t>
      </w:r>
    </w:p>
    <w:p w:rsidR="00A83775" w:rsidRDefault="00A83775">
      <w:pPr>
        <w:pStyle w:val="SingleTxtGC"/>
        <w:numPr>
          <w:ilvl w:val="0"/>
          <w:numId w:val="47"/>
        </w:numPr>
        <w:rPr>
          <w:lang w:val="es-ES_tradnl"/>
        </w:rPr>
      </w:pPr>
      <w:r>
        <w:rPr>
          <w:rFonts w:hint="eastAsia"/>
          <w:lang w:val="es-ES_tradnl"/>
        </w:rPr>
        <w:t>如果父母中有一方身亡，应当提交身亡一方的死亡证明。如果父母双亡，应当根据</w:t>
      </w:r>
      <w:r>
        <w:rPr>
          <w:rFonts w:hint="eastAsia"/>
          <w:lang w:val="es-ES_tradnl"/>
        </w:rPr>
        <w:t>2006</w:t>
      </w:r>
      <w:r>
        <w:rPr>
          <w:rFonts w:hint="eastAsia"/>
          <w:lang w:val="es-ES_tradnl"/>
        </w:rPr>
        <w:t>年的第</w:t>
      </w:r>
      <w:r>
        <w:rPr>
          <w:rFonts w:hint="eastAsia"/>
          <w:lang w:val="es-ES_tradnl"/>
        </w:rPr>
        <w:t>1098</w:t>
      </w:r>
      <w:r>
        <w:rPr>
          <w:rFonts w:hint="eastAsia"/>
          <w:lang w:val="es-ES_tradnl"/>
        </w:rPr>
        <w:t>号法之规定提交由未成年人的法定代表人或监护人出具的离境同意书；</w:t>
      </w:r>
    </w:p>
    <w:p w:rsidR="00A83775" w:rsidRDefault="00A83775">
      <w:pPr>
        <w:pStyle w:val="SingleTxtGC"/>
        <w:numPr>
          <w:ilvl w:val="0"/>
          <w:numId w:val="47"/>
        </w:numPr>
        <w:rPr>
          <w:lang w:val="es-ES_tradnl"/>
        </w:rPr>
      </w:pPr>
      <w:r>
        <w:rPr>
          <w:rFonts w:hint="eastAsia"/>
          <w:lang w:val="es-ES_tradnl"/>
        </w:rPr>
        <w:t>对于收养的未成年人，应当提交具有强制执行效力的收养判决的副本；</w:t>
      </w:r>
    </w:p>
    <w:p w:rsidR="00A83775" w:rsidRDefault="00A83775">
      <w:pPr>
        <w:pStyle w:val="SingleTxtGC"/>
        <w:numPr>
          <w:ilvl w:val="0"/>
          <w:numId w:val="47"/>
        </w:numPr>
        <w:rPr>
          <w:lang w:val="es-ES_tradnl"/>
        </w:rPr>
      </w:pPr>
      <w:r>
        <w:rPr>
          <w:rFonts w:hint="eastAsia"/>
          <w:lang w:val="es-ES_tradnl"/>
        </w:rPr>
        <w:t>如果父母双方在这一事项上的意见有冲突，应当提交应家庭事务法官出具的许可书；</w:t>
      </w:r>
    </w:p>
    <w:p w:rsidR="00A83775" w:rsidRDefault="00A83775">
      <w:pPr>
        <w:pStyle w:val="SingleTxtGC"/>
        <w:numPr>
          <w:ilvl w:val="0"/>
          <w:numId w:val="47"/>
        </w:numPr>
        <w:rPr>
          <w:lang w:val="es-ES_tradnl"/>
        </w:rPr>
      </w:pPr>
      <w:r>
        <w:rPr>
          <w:rFonts w:hint="eastAsia"/>
          <w:lang w:val="es-ES_tradnl"/>
        </w:rPr>
        <w:t>如果未成年人的监护权落到父母中的其中一方，则需要提交具有强制执行效力的判决书的副本；</w:t>
      </w:r>
    </w:p>
    <w:p w:rsidR="00A83775" w:rsidRDefault="00A83775">
      <w:pPr>
        <w:pStyle w:val="SingleTxtGC"/>
        <w:numPr>
          <w:ilvl w:val="0"/>
          <w:numId w:val="47"/>
        </w:numPr>
        <w:rPr>
          <w:lang w:val="es-ES_tradnl"/>
        </w:rPr>
      </w:pPr>
      <w:r>
        <w:rPr>
          <w:rFonts w:hint="eastAsia"/>
          <w:lang w:val="es-ES_tradnl"/>
        </w:rPr>
        <w:t>如果以公证书形式出具同意书，应当提交公证书的副本并随附证明其仍有效的证明书；</w:t>
      </w:r>
    </w:p>
    <w:p w:rsidR="00A83775" w:rsidRDefault="00A83775">
      <w:pPr>
        <w:pStyle w:val="SingleTxtGC"/>
        <w:numPr>
          <w:ilvl w:val="0"/>
          <w:numId w:val="47"/>
        </w:numPr>
        <w:rPr>
          <w:lang w:val="es-ES_tradnl"/>
        </w:rPr>
      </w:pPr>
      <w:r>
        <w:rPr>
          <w:rFonts w:hint="eastAsia"/>
          <w:lang w:val="es-ES_tradnl"/>
        </w:rPr>
        <w:t>如果未成年人具有双重国籍，哥伦比亚国籍是其中之一的，应当遵守前面有关哥伦比亚国民的规定；</w:t>
      </w:r>
    </w:p>
    <w:p w:rsidR="00A83775" w:rsidRDefault="00A83775">
      <w:pPr>
        <w:pStyle w:val="SingleTxtGC"/>
        <w:numPr>
          <w:ilvl w:val="0"/>
          <w:numId w:val="47"/>
        </w:numPr>
        <w:rPr>
          <w:lang w:val="es-ES_tradnl"/>
        </w:rPr>
      </w:pPr>
      <w:r>
        <w:rPr>
          <w:rFonts w:hint="eastAsia"/>
          <w:lang w:val="es-ES_tradnl"/>
        </w:rPr>
        <w:t>如果父母双方或其中一方的下落不明、父母双方或其中一方不具备出具同意书的条件、或者未成年人没有法定代表人，则应由哥伦比亚家庭福利研究所</w:t>
      </w:r>
      <w:r>
        <w:rPr>
          <w:vertAlign w:val="superscript"/>
          <w:lang w:val="es-ES_tradnl"/>
        </w:rPr>
        <w:footnoteReference w:id="143"/>
      </w:r>
      <w:r>
        <w:rPr>
          <w:lang w:val="es-ES_tradnl"/>
        </w:rPr>
        <w:t xml:space="preserve"> </w:t>
      </w:r>
      <w:r>
        <w:rPr>
          <w:rFonts w:hint="eastAsia"/>
          <w:lang w:val="es-ES_tradnl"/>
        </w:rPr>
        <w:t>依照</w:t>
      </w:r>
      <w:r>
        <w:rPr>
          <w:rFonts w:hint="eastAsia"/>
          <w:lang w:val="es-ES_tradnl"/>
        </w:rPr>
        <w:t>2006</w:t>
      </w:r>
      <w:r>
        <w:rPr>
          <w:rFonts w:hint="eastAsia"/>
          <w:lang w:val="es-ES_tradnl"/>
        </w:rPr>
        <w:t>年的第</w:t>
      </w:r>
      <w:r>
        <w:rPr>
          <w:rFonts w:hint="eastAsia"/>
          <w:lang w:val="es-ES_tradnl"/>
        </w:rPr>
        <w:t>1098</w:t>
      </w:r>
      <w:r>
        <w:rPr>
          <w:rFonts w:hint="eastAsia"/>
          <w:lang w:val="es-ES_tradnl"/>
        </w:rPr>
        <w:t>号法第</w:t>
      </w:r>
      <w:r>
        <w:rPr>
          <w:rFonts w:hint="eastAsia"/>
          <w:lang w:val="es-ES_tradnl"/>
        </w:rPr>
        <w:t>110</w:t>
      </w:r>
      <w:r>
        <w:rPr>
          <w:rFonts w:hint="eastAsia"/>
          <w:lang w:val="es-ES_tradnl"/>
        </w:rPr>
        <w:t>条之规定出具同意书。</w:t>
      </w:r>
    </w:p>
    <w:p w:rsidR="00A83775" w:rsidRDefault="00A83775">
      <w:pPr>
        <w:pStyle w:val="SingleTxtGC"/>
        <w:rPr>
          <w:lang w:val="es-ES"/>
        </w:rPr>
      </w:pPr>
      <w:r>
        <w:rPr>
          <w:lang w:val="es-ES"/>
        </w:rPr>
        <w:t xml:space="preserve">284.  </w:t>
      </w:r>
      <w:r>
        <w:rPr>
          <w:rFonts w:hint="eastAsia"/>
          <w:lang w:val="es-ES"/>
        </w:rPr>
        <w:t>在</w:t>
      </w:r>
      <w:r>
        <w:rPr>
          <w:rFonts w:eastAsia="SimHei" w:hint="eastAsia"/>
          <w:lang w:val="es-ES"/>
        </w:rPr>
        <w:t>为未成年人和</w:t>
      </w:r>
      <w:r>
        <w:rPr>
          <w:rFonts w:eastAsia="SimHei" w:hint="eastAsia"/>
          <w:lang w:val="es-ES"/>
        </w:rPr>
        <w:t>/</w:t>
      </w:r>
      <w:r>
        <w:rPr>
          <w:rFonts w:eastAsia="SimHei" w:hint="eastAsia"/>
          <w:lang w:val="es-ES"/>
        </w:rPr>
        <w:t>或其父母签发护照</w:t>
      </w:r>
      <w:r>
        <w:rPr>
          <w:rFonts w:hint="eastAsia"/>
          <w:lang w:val="es-ES"/>
        </w:rPr>
        <w:t>方面，应遵照外交部</w:t>
      </w:r>
      <w:r>
        <w:rPr>
          <w:rFonts w:hint="eastAsia"/>
          <w:lang w:val="es-ES"/>
        </w:rPr>
        <w:t>2011</w:t>
      </w:r>
      <w:r>
        <w:rPr>
          <w:rFonts w:hint="eastAsia"/>
          <w:lang w:val="es-ES"/>
        </w:rPr>
        <w:t>年</w:t>
      </w:r>
      <w:r>
        <w:rPr>
          <w:rFonts w:hint="eastAsia"/>
          <w:lang w:val="es-ES"/>
        </w:rPr>
        <w:t>3</w:t>
      </w:r>
      <w:r>
        <w:rPr>
          <w:rFonts w:hint="eastAsia"/>
          <w:lang w:val="es-ES"/>
        </w:rPr>
        <w:t>月</w:t>
      </w:r>
      <w:r>
        <w:rPr>
          <w:rFonts w:hint="eastAsia"/>
          <w:lang w:val="es-ES"/>
        </w:rPr>
        <w:t>18</w:t>
      </w:r>
      <w:r>
        <w:rPr>
          <w:rFonts w:hint="eastAsia"/>
          <w:lang w:val="es-ES"/>
        </w:rPr>
        <w:t>日颁布的第</w:t>
      </w:r>
      <w:r>
        <w:rPr>
          <w:rFonts w:hint="eastAsia"/>
          <w:lang w:val="es-ES"/>
        </w:rPr>
        <w:t>830</w:t>
      </w:r>
      <w:r>
        <w:rPr>
          <w:rFonts w:hint="eastAsia"/>
          <w:lang w:val="es-ES"/>
        </w:rPr>
        <w:t>号法令之规定执行，该法令对为哥伦比亚国民签发出行文件的有关事宜进行了规范并颁布了其他规定。就这一问题，该法令第二章第</w:t>
      </w:r>
      <w:r>
        <w:rPr>
          <w:rFonts w:hint="eastAsia"/>
          <w:lang w:val="es-ES"/>
        </w:rPr>
        <w:t>13</w:t>
      </w:r>
      <w:r>
        <w:rPr>
          <w:rFonts w:hint="eastAsia"/>
          <w:lang w:val="es-ES"/>
        </w:rPr>
        <w:t>条设定了针对老年人和未成年人的要求条件，并规定应给予男子、妇女、男童或女童同等待遇。法令中并未以性别原因为由对女性设定附加的要求。法令中的这一条文就未成年的情况设定了如下要求：</w:t>
      </w:r>
    </w:p>
    <w:p w:rsidR="00A83775" w:rsidRDefault="00A83775">
      <w:pPr>
        <w:pStyle w:val="SingleTxtGC"/>
        <w:numPr>
          <w:ilvl w:val="0"/>
          <w:numId w:val="48"/>
        </w:numPr>
        <w:rPr>
          <w:lang w:val="es-ES_tradnl"/>
        </w:rPr>
      </w:pPr>
      <w:r>
        <w:rPr>
          <w:rFonts w:hint="eastAsia"/>
          <w:lang w:val="es-ES_tradnl"/>
        </w:rPr>
        <w:t>对于在哥伦比亚境内的未成年人，要求提交由民事登记机关出具的出生登记证明的认证副本以及身份证副本（如果有）；</w:t>
      </w:r>
    </w:p>
    <w:p w:rsidR="00A83775" w:rsidRDefault="00A83775">
      <w:pPr>
        <w:pStyle w:val="SingleTxtGC"/>
        <w:numPr>
          <w:ilvl w:val="0"/>
          <w:numId w:val="48"/>
        </w:numPr>
        <w:rPr>
          <w:lang w:val="es-ES_tradnl"/>
        </w:rPr>
      </w:pPr>
      <w:r>
        <w:rPr>
          <w:rFonts w:hint="eastAsia"/>
          <w:lang w:val="es-ES_tradnl"/>
        </w:rPr>
        <w:t>对于在境外的未成年人，要求提交由民事登记机关出具的出生登记证明的认证副本以及身份证副本（如果有）；</w:t>
      </w:r>
    </w:p>
    <w:p w:rsidR="00A83775" w:rsidRDefault="00A83775">
      <w:pPr>
        <w:pStyle w:val="SingleTxtGC"/>
        <w:numPr>
          <w:ilvl w:val="0"/>
          <w:numId w:val="48"/>
        </w:numPr>
        <w:rPr>
          <w:lang w:val="es-ES_tradnl"/>
        </w:rPr>
      </w:pPr>
      <w:r>
        <w:rPr>
          <w:rFonts w:hint="eastAsia"/>
          <w:lang w:val="es-ES_tradnl"/>
        </w:rPr>
        <w:t>未成年人出行时应有其父母一方或其法定代表人或者由其父母或法定代表人授权的第三人陪同，针对最后一种情况，该被授权人应提交能够证明其身份和资格的授权书复印件。</w:t>
      </w:r>
    </w:p>
    <w:p w:rsidR="00A83775" w:rsidRDefault="00A83775">
      <w:pPr>
        <w:pStyle w:val="H23GC"/>
        <w:rPr>
          <w:lang w:val="es-ES_tradnl"/>
        </w:rPr>
      </w:pPr>
      <w:r>
        <w:rPr>
          <w:lang w:val="es-ES_tradnl"/>
        </w:rPr>
        <w:tab/>
        <w:t>1.</w:t>
      </w:r>
      <w:r>
        <w:rPr>
          <w:lang w:val="es-ES_tradnl"/>
        </w:rPr>
        <w:tab/>
      </w:r>
      <w:r>
        <w:rPr>
          <w:rFonts w:hint="eastAsia"/>
          <w:lang w:val="es-ES_tradnl"/>
        </w:rPr>
        <w:t>立法措施</w:t>
      </w:r>
    </w:p>
    <w:p w:rsidR="00A83775" w:rsidRDefault="00A83775">
      <w:pPr>
        <w:pStyle w:val="SingleTxtGC"/>
        <w:rPr>
          <w:lang w:val="es-ES"/>
        </w:rPr>
      </w:pPr>
      <w:r>
        <w:rPr>
          <w:lang w:val="es-ES"/>
        </w:rPr>
        <w:t xml:space="preserve">285.  </w:t>
      </w:r>
      <w:r>
        <w:rPr>
          <w:rFonts w:hint="eastAsia"/>
          <w:lang w:val="es-ES"/>
        </w:rPr>
        <w:t>在本条对应的附件</w:t>
      </w:r>
      <w:r>
        <w:rPr>
          <w:rFonts w:hint="eastAsia"/>
          <w:lang w:val="es-ES"/>
        </w:rPr>
        <w:t>1</w:t>
      </w:r>
      <w:r>
        <w:rPr>
          <w:rFonts w:hint="eastAsia"/>
          <w:lang w:val="es-ES"/>
        </w:rPr>
        <w:t>中，列出了在本次报告期内颁布的与《公约》第九条有关的法律和法令清单以及对应的全文。</w:t>
      </w:r>
    </w:p>
    <w:p w:rsidR="00A83775" w:rsidRDefault="00A83775">
      <w:pPr>
        <w:pStyle w:val="H23GC"/>
        <w:rPr>
          <w:lang w:val="es-ES_tradnl"/>
        </w:rPr>
      </w:pPr>
      <w:r>
        <w:rPr>
          <w:lang w:val="es-ES_tradnl"/>
        </w:rPr>
        <w:tab/>
        <w:t>2.</w:t>
      </w:r>
      <w:r>
        <w:rPr>
          <w:lang w:val="es-ES_tradnl"/>
        </w:rPr>
        <w:tab/>
      </w:r>
      <w:r>
        <w:rPr>
          <w:rFonts w:hint="eastAsia"/>
          <w:lang w:val="es-ES_tradnl"/>
        </w:rPr>
        <w:t>现状</w:t>
      </w:r>
      <w:r>
        <w:rPr>
          <w:rFonts w:hint="eastAsia"/>
          <w:lang w:val="es-ES_tradnl"/>
        </w:rPr>
        <w:t>/</w:t>
      </w:r>
      <w:r>
        <w:rPr>
          <w:rFonts w:hint="eastAsia"/>
          <w:lang w:val="es-ES_tradnl"/>
        </w:rPr>
        <w:t>统计信息</w:t>
      </w:r>
    </w:p>
    <w:p w:rsidR="00A83775" w:rsidRDefault="00A83775">
      <w:pPr>
        <w:pStyle w:val="SingleTxtGC"/>
        <w:rPr>
          <w:lang w:val="es-ES"/>
        </w:rPr>
      </w:pPr>
      <w:r>
        <w:rPr>
          <w:lang w:val="es-ES"/>
        </w:rPr>
        <w:t xml:space="preserve">286.  </w:t>
      </w:r>
      <w:r>
        <w:rPr>
          <w:rFonts w:hint="eastAsia"/>
          <w:lang w:val="es-ES"/>
        </w:rPr>
        <w:t>2005</w:t>
      </w:r>
      <w:r>
        <w:rPr>
          <w:rFonts w:hint="eastAsia"/>
          <w:lang w:val="es-ES"/>
        </w:rPr>
        <w:t>年的普查结果显示，哥伦比亚的移民总数为</w:t>
      </w:r>
      <w:r>
        <w:rPr>
          <w:rFonts w:hint="eastAsia"/>
          <w:lang w:val="es-ES"/>
        </w:rPr>
        <w:t>109</w:t>
      </w:r>
      <w:r>
        <w:rPr>
          <w:lang w:val="es-ES"/>
        </w:rPr>
        <w:t>,</w:t>
      </w:r>
      <w:r>
        <w:rPr>
          <w:rFonts w:hint="eastAsia"/>
          <w:lang w:val="es-ES"/>
        </w:rPr>
        <w:t>971</w:t>
      </w:r>
      <w:r>
        <w:rPr>
          <w:rFonts w:hint="eastAsia"/>
          <w:lang w:val="es-ES"/>
        </w:rPr>
        <w:t>人，他们来自世界各大洲的</w:t>
      </w:r>
      <w:r>
        <w:rPr>
          <w:rFonts w:hint="eastAsia"/>
          <w:lang w:val="zh-CN"/>
        </w:rPr>
        <w:t>不同</w:t>
      </w:r>
      <w:r>
        <w:rPr>
          <w:rFonts w:hint="eastAsia"/>
          <w:lang w:val="es-ES"/>
        </w:rPr>
        <w:t>国家。在所有的移民中，</w:t>
      </w:r>
      <w:r>
        <w:rPr>
          <w:rFonts w:hint="eastAsia"/>
          <w:lang w:val="es-ES"/>
        </w:rPr>
        <w:t>56</w:t>
      </w:r>
      <w:r>
        <w:rPr>
          <w:lang w:val="es-ES"/>
        </w:rPr>
        <w:t>,</w:t>
      </w:r>
      <w:r>
        <w:rPr>
          <w:rFonts w:hint="eastAsia"/>
          <w:lang w:val="es-ES"/>
        </w:rPr>
        <w:t>889</w:t>
      </w:r>
      <w:r>
        <w:rPr>
          <w:rFonts w:hint="eastAsia"/>
          <w:lang w:val="es-ES"/>
        </w:rPr>
        <w:t>人为男性（</w:t>
      </w:r>
      <w:r>
        <w:rPr>
          <w:rFonts w:hint="eastAsia"/>
          <w:lang w:val="es-ES"/>
        </w:rPr>
        <w:t>51.7%</w:t>
      </w:r>
      <w:r>
        <w:rPr>
          <w:rFonts w:hint="eastAsia"/>
          <w:lang w:val="es-ES"/>
        </w:rPr>
        <w:t>），</w:t>
      </w:r>
      <w:r>
        <w:rPr>
          <w:rFonts w:hint="eastAsia"/>
          <w:lang w:val="es-ES"/>
        </w:rPr>
        <w:t>53</w:t>
      </w:r>
      <w:r>
        <w:rPr>
          <w:lang w:val="es-ES"/>
        </w:rPr>
        <w:t>,</w:t>
      </w:r>
      <w:r>
        <w:rPr>
          <w:rFonts w:hint="eastAsia"/>
          <w:lang w:val="es-ES"/>
        </w:rPr>
        <w:t>082</w:t>
      </w:r>
      <w:r>
        <w:rPr>
          <w:rFonts w:hint="eastAsia"/>
          <w:lang w:val="es-ES"/>
        </w:rPr>
        <w:t>人为女性（</w:t>
      </w:r>
      <w:r>
        <w:rPr>
          <w:rFonts w:hint="eastAsia"/>
          <w:lang w:val="es-ES"/>
        </w:rPr>
        <w:t>48.3%</w:t>
      </w:r>
      <w:r>
        <w:rPr>
          <w:rFonts w:hint="eastAsia"/>
          <w:lang w:val="es-ES"/>
        </w:rPr>
        <w:t>）。</w:t>
      </w:r>
    </w:p>
    <w:p w:rsidR="00A83775" w:rsidRDefault="00A83775">
      <w:pPr>
        <w:pStyle w:val="HChGC"/>
        <w:rPr>
          <w:rFonts w:hint="eastAsia"/>
          <w:lang w:val="es-ES_tradnl"/>
        </w:rPr>
      </w:pPr>
      <w:r>
        <w:rPr>
          <w:rFonts w:hint="eastAsia"/>
          <w:lang w:val="es-ES_tradnl"/>
        </w:rPr>
        <w:tab/>
      </w:r>
      <w:r>
        <w:rPr>
          <w:rFonts w:hint="eastAsia"/>
          <w:lang w:val="es-ES_tradnl"/>
        </w:rPr>
        <w:t>四</w:t>
      </w:r>
      <w:r>
        <w:rPr>
          <w:lang w:val="es-ES_tradnl"/>
        </w:rPr>
        <w:t>.</w:t>
      </w:r>
      <w:r>
        <w:rPr>
          <w:rFonts w:hint="eastAsia"/>
          <w:lang w:val="es-ES_tradnl"/>
        </w:rPr>
        <w:tab/>
      </w:r>
      <w:r>
        <w:rPr>
          <w:rFonts w:hint="eastAsia"/>
          <w:lang w:val="es-ES_tradnl"/>
        </w:rPr>
        <w:t>《公约》第三部分</w:t>
      </w:r>
    </w:p>
    <w:p w:rsidR="00A83775" w:rsidRDefault="00A83775">
      <w:pPr>
        <w:pStyle w:val="H1GC"/>
        <w:rPr>
          <w:lang w:val="es-ES_tradnl"/>
        </w:rPr>
      </w:pPr>
      <w:r>
        <w:rPr>
          <w:lang w:val="es-ES_tradnl"/>
        </w:rPr>
        <w:tab/>
        <w:t>A.</w:t>
      </w:r>
      <w:r>
        <w:rPr>
          <w:lang w:val="es-ES_tradnl"/>
        </w:rPr>
        <w:tab/>
      </w:r>
      <w:r>
        <w:rPr>
          <w:rFonts w:hint="eastAsia"/>
          <w:lang w:val="es-ES_tradnl"/>
        </w:rPr>
        <w:t>第十条</w:t>
      </w:r>
    </w:p>
    <w:p w:rsidR="00A83775" w:rsidRDefault="00A83775">
      <w:pPr>
        <w:pStyle w:val="H23GC"/>
        <w:rPr>
          <w:lang w:val="es-ES_tradnl"/>
        </w:rPr>
      </w:pPr>
      <w:r>
        <w:rPr>
          <w:lang w:val="es-ES_tradnl"/>
        </w:rPr>
        <w:tab/>
        <w:t>1.</w:t>
      </w:r>
      <w:r>
        <w:rPr>
          <w:lang w:val="es-ES_tradnl"/>
        </w:rPr>
        <w:tab/>
      </w:r>
      <w:r>
        <w:rPr>
          <w:rFonts w:hint="eastAsia"/>
          <w:lang w:val="es-ES_tradnl"/>
        </w:rPr>
        <w:t>行政措施</w:t>
      </w:r>
    </w:p>
    <w:p w:rsidR="00A83775" w:rsidRDefault="00A83775">
      <w:pPr>
        <w:pStyle w:val="H23GC"/>
        <w:rPr>
          <w:lang w:val="es-CO"/>
        </w:rPr>
      </w:pPr>
      <w:r>
        <w:rPr>
          <w:lang w:val="es-CO"/>
        </w:rPr>
        <w:tab/>
      </w:r>
      <w:r>
        <w:rPr>
          <w:lang w:val="es-CO"/>
        </w:rPr>
        <w:tab/>
      </w:r>
      <w:r>
        <w:rPr>
          <w:rFonts w:hint="eastAsia"/>
          <w:lang w:val="es-CO"/>
        </w:rPr>
        <w:t>“教育革命”政策</w:t>
      </w:r>
    </w:p>
    <w:p w:rsidR="00A83775" w:rsidRDefault="00A83775">
      <w:pPr>
        <w:pStyle w:val="SingleTxtGC"/>
        <w:rPr>
          <w:lang w:val="es-CO"/>
        </w:rPr>
      </w:pPr>
      <w:r>
        <w:rPr>
          <w:lang w:val="es-CO"/>
        </w:rPr>
        <w:t xml:space="preserve">287.  </w:t>
      </w:r>
      <w:r>
        <w:rPr>
          <w:rFonts w:hint="eastAsia"/>
          <w:lang w:val="es-CO"/>
        </w:rPr>
        <w:t>哥伦比亚自</w:t>
      </w:r>
      <w:r>
        <w:rPr>
          <w:rFonts w:hint="eastAsia"/>
          <w:lang w:val="es-CO"/>
        </w:rPr>
        <w:t>2000</w:t>
      </w:r>
      <w:r>
        <w:rPr>
          <w:rFonts w:hint="eastAsia"/>
          <w:lang w:val="es-CO"/>
        </w:rPr>
        <w:t>年开始推行这一政策，目的是创造条件让所有的男性和女性哥伦比亚人都享有更为平等的教育，即扩大教育的覆盖面并改善教育质量。这一政策的核心在于使教育部门围绕其用户组织开展工作，也就是说，使学生在任何时候、任何教育水平和教育阶段都成为一切教育活动的中心。</w:t>
      </w:r>
    </w:p>
    <w:p w:rsidR="00A83775" w:rsidRDefault="00A83775">
      <w:pPr>
        <w:pStyle w:val="SingleTxtGC"/>
        <w:rPr>
          <w:lang w:val="zh-CN"/>
        </w:rPr>
      </w:pPr>
      <w:r>
        <w:rPr>
          <w:lang w:val="es-CO"/>
        </w:rPr>
        <w:t xml:space="preserve">288.  </w:t>
      </w:r>
      <w:r>
        <w:rPr>
          <w:rFonts w:hint="eastAsia"/>
          <w:lang w:val="es-CO"/>
        </w:rPr>
        <w:t>为落实这一点，必须利用各类综合信息系统来对学生有更多的了解，以掌握以下资料：教育需求、辍学风险及造成辍学的因素、助学补贴或助学贷款、国家审</w:t>
      </w:r>
      <w:r>
        <w:rPr>
          <w:rFonts w:hint="eastAsia"/>
          <w:lang w:val="zh-CN"/>
        </w:rPr>
        <w:t>查的结果、对毕业生在劳务市场上的信息跟踪，等等。</w:t>
      </w:r>
    </w:p>
    <w:p w:rsidR="00A83775" w:rsidRDefault="00A83775">
      <w:pPr>
        <w:pStyle w:val="SingleTxtGC"/>
        <w:rPr>
          <w:lang w:val="es-CO"/>
        </w:rPr>
      </w:pPr>
      <w:r>
        <w:rPr>
          <w:lang w:val="zh-CN"/>
        </w:rPr>
        <w:t xml:space="preserve">289.  </w:t>
      </w:r>
      <w:r>
        <w:rPr>
          <w:rFonts w:hint="eastAsia"/>
          <w:lang w:val="zh-CN"/>
        </w:rPr>
        <w:t>这一政策的重心落实在五项转型行动上。其中两项行动就是界定期望实现的目标：</w:t>
      </w:r>
      <w:r>
        <w:rPr>
          <w:rFonts w:eastAsia="KaiTi_GB2312" w:hint="eastAsia"/>
          <w:lang w:val="zh-CN"/>
        </w:rPr>
        <w:t>全民终身教育和创新、竞争力与和平教育</w:t>
      </w:r>
      <w:r>
        <w:rPr>
          <w:rFonts w:hint="eastAsia"/>
          <w:lang w:val="zh-CN"/>
        </w:rPr>
        <w:t>，这两种教育模式在很大程度上强调的是教育的覆盖面和教育质量。另三项行动的重点集中在教育的管理运作程序上，旨在引导支持实现上文提到的两大教育目标，这三项行动是：</w:t>
      </w:r>
      <w:r>
        <w:rPr>
          <w:rFonts w:eastAsia="KaiTi_GB2312" w:hint="eastAsia"/>
          <w:lang w:val="zh-CN"/>
        </w:rPr>
        <w:t>强化教育机制、持续开展</w:t>
      </w:r>
      <w:r>
        <w:rPr>
          <w:rFonts w:eastAsia="KaiTi_GB2312" w:hint="eastAsia"/>
          <w:lang w:val="es-CO"/>
        </w:rPr>
        <w:t>教育机构的现代化改造以及促进全社会参与政策的制定和实施过程。</w:t>
      </w:r>
    </w:p>
    <w:p w:rsidR="00A83775" w:rsidRDefault="00A83775">
      <w:pPr>
        <w:pStyle w:val="SingleTxtGC"/>
      </w:pPr>
      <w:r>
        <w:rPr>
          <w:lang w:val="es-CO"/>
        </w:rPr>
        <w:t xml:space="preserve">290.  </w:t>
      </w:r>
      <w:r>
        <w:rPr>
          <w:rFonts w:eastAsia="KaiTi_GB2312" w:hint="eastAsia"/>
          <w:lang w:val="es-CO"/>
        </w:rPr>
        <w:t>全民终身教育</w:t>
      </w:r>
      <w:r>
        <w:rPr>
          <w:rFonts w:hint="eastAsia"/>
          <w:lang w:val="es-CO"/>
        </w:rPr>
        <w:t>这一转型概念旨在为全体哥伦比亚国民提供教育机会，重点向教育边缘化群体倾斜。因此，受教育对象不仅包括根据宪法规定需要接受义务教育的</w:t>
      </w:r>
      <w:r>
        <w:rPr>
          <w:rFonts w:hint="eastAsia"/>
          <w:lang w:val="zh-CN"/>
        </w:rPr>
        <w:t>男生和女生，还包括幼儿（</w:t>
      </w:r>
      <w:r>
        <w:rPr>
          <w:rFonts w:hint="eastAsia"/>
          <w:lang w:val="zh-CN"/>
        </w:rPr>
        <w:t>0-5</w:t>
      </w:r>
      <w:r>
        <w:rPr>
          <w:rFonts w:hint="eastAsia"/>
          <w:lang w:val="zh-CN"/>
        </w:rPr>
        <w:t>岁）、希望继续学业直至完成中学教育或技术培训的青少年以及希望接受高等教育的适龄年轻人。</w:t>
      </w:r>
    </w:p>
    <w:p w:rsidR="00A83775" w:rsidRDefault="00A83775">
      <w:pPr>
        <w:pStyle w:val="SingleTxtGC"/>
        <w:rPr>
          <w:lang w:val="zh-CN"/>
        </w:rPr>
      </w:pPr>
      <w:r>
        <w:rPr>
          <w:lang w:val="zh-CN"/>
        </w:rPr>
        <w:t xml:space="preserve">291.  </w:t>
      </w:r>
      <w:r>
        <w:rPr>
          <w:rFonts w:hint="eastAsia"/>
          <w:lang w:val="zh-CN"/>
        </w:rPr>
        <w:t>此外，强调需要针对从未进入正规教育系统的人口开展扫盲教育，并让放弃学业的人口重返校园，采取的方式有开展劳动技能培训或者通过其他形式的教育，重视开发其能力，以便公民能够活到老学到老。</w:t>
      </w:r>
    </w:p>
    <w:p w:rsidR="00A83775" w:rsidRDefault="00A83775">
      <w:pPr>
        <w:pStyle w:val="SingleTxtGC"/>
        <w:rPr>
          <w:lang w:val="es-CO"/>
        </w:rPr>
      </w:pPr>
      <w:r>
        <w:rPr>
          <w:lang w:val="zh-CN"/>
        </w:rPr>
        <w:t xml:space="preserve">292.  </w:t>
      </w:r>
      <w:r>
        <w:rPr>
          <w:rFonts w:hint="eastAsia"/>
          <w:lang w:val="zh-CN"/>
        </w:rPr>
        <w:t>这一政策对妇女和男子以及男童和女童所带来的主要益处反映在</w:t>
      </w:r>
      <w:r>
        <w:rPr>
          <w:rFonts w:hint="eastAsia"/>
          <w:lang w:val="zh-CN"/>
        </w:rPr>
        <w:t>10</w:t>
      </w:r>
      <w:r>
        <w:rPr>
          <w:rFonts w:hint="eastAsia"/>
          <w:lang w:val="zh-CN"/>
        </w:rPr>
        <w:t>个方面，正如在本章与</w:t>
      </w:r>
      <w:r>
        <w:rPr>
          <w:rFonts w:hint="eastAsia"/>
          <w:lang w:val="es-CO"/>
        </w:rPr>
        <w:t>现状或统计信息有关的段落中所看到的：</w:t>
      </w:r>
      <w:r>
        <w:rPr>
          <w:rFonts w:eastAsia="KaiTi_GB2312" w:hint="eastAsia"/>
          <w:lang w:val="es-CO"/>
        </w:rPr>
        <w:t>各级教育的供给均有增加，照顾弱势群体，比照国际标准开展素质教育，高等教育的质量有了保障，改善了学校基础设施，使更多的学生接触到电脑和互联网，根据工作能力和表现对教育工作者进行遴选和评估，强化教育机制并进行现代化运作以及实施参与性运作。</w:t>
      </w:r>
      <w:r>
        <w:rPr>
          <w:vertAlign w:val="superscript"/>
          <w:lang w:val="es-CO"/>
        </w:rPr>
        <w:footnoteReference w:id="144"/>
      </w:r>
    </w:p>
    <w:p w:rsidR="00A83775" w:rsidRDefault="00A83775">
      <w:pPr>
        <w:pStyle w:val="SingleTxtGC"/>
        <w:rPr>
          <w:lang w:val="es-CO"/>
        </w:rPr>
      </w:pPr>
      <w:r>
        <w:rPr>
          <w:lang w:val="es-CO"/>
        </w:rPr>
        <w:t xml:space="preserve">293.  </w:t>
      </w:r>
      <w:r>
        <w:rPr>
          <w:rFonts w:hint="eastAsia"/>
          <w:lang w:val="es-CO"/>
        </w:rPr>
        <w:t>这一政策在各级教育中对妇女产生的积极影响可参见附件</w:t>
      </w:r>
      <w:r>
        <w:rPr>
          <w:rFonts w:hint="eastAsia"/>
          <w:lang w:val="es-CO"/>
        </w:rPr>
        <w:t>6</w:t>
      </w:r>
      <w:r>
        <w:rPr>
          <w:rFonts w:hint="eastAsia"/>
          <w:lang w:val="es-CO"/>
        </w:rPr>
        <w:t>。</w:t>
      </w:r>
    </w:p>
    <w:p w:rsidR="00A83775" w:rsidRDefault="00A83775">
      <w:pPr>
        <w:pStyle w:val="H23GC"/>
        <w:rPr>
          <w:lang w:val="es-CO"/>
        </w:rPr>
      </w:pPr>
      <w:r>
        <w:rPr>
          <w:lang w:val="es-CO"/>
        </w:rPr>
        <w:tab/>
      </w:r>
      <w:r>
        <w:rPr>
          <w:lang w:val="es-CO"/>
        </w:rPr>
        <w:tab/>
      </w:r>
      <w:r>
        <w:rPr>
          <w:rFonts w:hint="eastAsia"/>
          <w:lang w:val="es-CO"/>
        </w:rPr>
        <w:t>2006-2016</w:t>
      </w:r>
      <w:r>
        <w:rPr>
          <w:rFonts w:hint="eastAsia"/>
          <w:lang w:val="es-CO"/>
        </w:rPr>
        <w:t>年国家十年期教育计划</w:t>
      </w:r>
    </w:p>
    <w:p w:rsidR="00A83775" w:rsidRDefault="00A83775">
      <w:pPr>
        <w:pStyle w:val="SingleTxtGC"/>
        <w:rPr>
          <w:lang w:val="zh-CN"/>
        </w:rPr>
      </w:pPr>
      <w:r>
        <w:rPr>
          <w:lang w:val="es-CO"/>
        </w:rPr>
        <w:t xml:space="preserve">294.  </w:t>
      </w:r>
      <w:r>
        <w:rPr>
          <w:rFonts w:hint="eastAsia"/>
          <w:lang w:val="es-CO"/>
        </w:rPr>
        <w:t>《</w:t>
      </w:r>
      <w:r>
        <w:rPr>
          <w:rFonts w:hint="eastAsia"/>
          <w:lang w:val="es-CO"/>
        </w:rPr>
        <w:t>1996-2005</w:t>
      </w:r>
      <w:r>
        <w:rPr>
          <w:rFonts w:hint="eastAsia"/>
          <w:lang w:val="es-CO"/>
        </w:rPr>
        <w:t>年十年期教育计划》届满后，国家教育部在私营部门各类组织的支持下</w:t>
      </w:r>
      <w:r>
        <w:rPr>
          <w:rFonts w:hint="eastAsia"/>
          <w:lang w:val="zh-CN"/>
        </w:rPr>
        <w:t>对计划的实施情况进行了评估，据以认定了在接下来的十年中教育工作所面临的困难和挑战。</w:t>
      </w:r>
      <w:r>
        <w:rPr>
          <w:vertAlign w:val="superscript"/>
          <w:lang w:val="zh-CN"/>
        </w:rPr>
        <w:footnoteReference w:id="145"/>
      </w:r>
      <w:r>
        <w:rPr>
          <w:lang w:val="zh-CN"/>
        </w:rPr>
        <w:t xml:space="preserve"> </w:t>
      </w:r>
    </w:p>
    <w:p w:rsidR="00A83775" w:rsidRDefault="00A83775">
      <w:pPr>
        <w:pStyle w:val="SingleTxtGC"/>
        <w:rPr>
          <w:lang w:val="zh-CN"/>
        </w:rPr>
      </w:pPr>
      <w:r>
        <w:rPr>
          <w:lang w:val="zh-CN"/>
        </w:rPr>
        <w:t xml:space="preserve">295.  </w:t>
      </w:r>
      <w:r>
        <w:rPr>
          <w:rFonts w:hint="eastAsia"/>
          <w:lang w:val="zh-CN"/>
        </w:rPr>
        <w:t>从这一评估结果入手，在国家教育部的领导下，经过广泛的公开磋商和讨论，制定出台了《</w:t>
      </w:r>
      <w:r>
        <w:rPr>
          <w:rFonts w:hint="eastAsia"/>
          <w:lang w:val="zh-CN"/>
        </w:rPr>
        <w:t>2006-2016</w:t>
      </w:r>
      <w:r>
        <w:rPr>
          <w:rFonts w:hint="eastAsia"/>
          <w:lang w:val="zh-CN"/>
        </w:rPr>
        <w:t>年国家十年期教育计划》：“以我们所需之教育建设我们梦想之国家”。</w:t>
      </w:r>
      <w:r>
        <w:rPr>
          <w:vertAlign w:val="superscript"/>
          <w:lang w:val="zh-CN"/>
        </w:rPr>
        <w:footnoteReference w:id="146"/>
      </w:r>
    </w:p>
    <w:p w:rsidR="00A83775" w:rsidRDefault="00A83775">
      <w:pPr>
        <w:pStyle w:val="SingleTxtGC"/>
        <w:rPr>
          <w:lang w:val="es-CO"/>
        </w:rPr>
      </w:pPr>
      <w:r>
        <w:rPr>
          <w:lang w:val="zh-CN"/>
        </w:rPr>
        <w:t xml:space="preserve">296.  </w:t>
      </w:r>
      <w:r>
        <w:rPr>
          <w:rFonts w:hint="eastAsia"/>
          <w:lang w:val="zh-CN"/>
        </w:rPr>
        <w:t>这一计划是一项谋求落实教育权利的社会契约，其目的是在十年的计划期内为国家的教育发展提供路线方针并奠定基准线。各级政府和教育机关所制定的规划以及与教育保护工作有关的社会和政治运动的文书均应以其作为参照，在这里，教育被视为一</w:t>
      </w:r>
      <w:r>
        <w:rPr>
          <w:rFonts w:hint="eastAsia"/>
          <w:lang w:val="es-CO"/>
        </w:rPr>
        <w:t>项个人的基本权利以及一项公共服务，因此，需要落实教育的社会功能，保障全体人民受教育的平等条件以及从启蒙教育到高等教育的全程教育参与。这就是说，该计划是一项从区到市到省乃至全国的教育管理工具。</w:t>
      </w:r>
    </w:p>
    <w:p w:rsidR="00A83775" w:rsidRDefault="00A83775">
      <w:pPr>
        <w:pStyle w:val="H23GC"/>
        <w:rPr>
          <w:lang w:val="es-CO"/>
        </w:rPr>
      </w:pPr>
      <w:r>
        <w:rPr>
          <w:lang w:val="es-CO"/>
        </w:rPr>
        <w:tab/>
      </w:r>
      <w:r>
        <w:rPr>
          <w:lang w:val="es-CO"/>
        </w:rPr>
        <w:tab/>
      </w:r>
      <w:r>
        <w:rPr>
          <w:rFonts w:hint="eastAsia"/>
          <w:lang w:val="es-CO"/>
        </w:rPr>
        <w:t>针对不识字青年和成年人的国家基础性扫盲方案</w:t>
      </w:r>
    </w:p>
    <w:p w:rsidR="00A83775" w:rsidRDefault="00A83775">
      <w:pPr>
        <w:pStyle w:val="SingleTxtGC"/>
        <w:rPr>
          <w:lang w:val="es-CO"/>
        </w:rPr>
      </w:pPr>
      <w:r>
        <w:rPr>
          <w:lang w:val="es-CO"/>
        </w:rPr>
        <w:t xml:space="preserve">297.  </w:t>
      </w:r>
      <w:r>
        <w:rPr>
          <w:rFonts w:hint="eastAsia"/>
          <w:lang w:val="es-CO"/>
        </w:rPr>
        <w:t>自</w:t>
      </w:r>
      <w:r>
        <w:rPr>
          <w:rFonts w:hint="eastAsia"/>
          <w:lang w:val="es-CO"/>
        </w:rPr>
        <w:t>2002</w:t>
      </w:r>
      <w:r>
        <w:rPr>
          <w:rFonts w:hint="eastAsia"/>
          <w:lang w:val="es-CO"/>
        </w:rPr>
        <w:t>年起，国家教育部开始实施这一方案，除了向青年和成年人教授读写知识外，还鼓励其重返校园。以这种教育模式，努力对</w:t>
      </w:r>
      <w:r>
        <w:rPr>
          <w:rFonts w:hint="eastAsia"/>
          <w:lang w:val="es-CO"/>
        </w:rPr>
        <w:t>15</w:t>
      </w:r>
      <w:r>
        <w:rPr>
          <w:rFonts w:hint="eastAsia"/>
          <w:lang w:val="es-CO"/>
        </w:rPr>
        <w:t>岁以上的不识字人口进行扫盲，也就是说让这些人达到相当于三年级的文化程度，并通过专项读写集成教育</w:t>
      </w:r>
      <w:r>
        <w:rPr>
          <w:rFonts w:hint="eastAsia"/>
          <w:lang w:val="zh-CN"/>
        </w:rPr>
        <w:t>阶段</w:t>
      </w:r>
      <w:r>
        <w:rPr>
          <w:vertAlign w:val="superscript"/>
          <w:lang w:val="es-CO"/>
        </w:rPr>
        <w:footnoteReference w:id="147"/>
      </w:r>
      <w:r>
        <w:t xml:space="preserve"> </w:t>
      </w:r>
      <w:r>
        <w:rPr>
          <w:rFonts w:hint="eastAsia"/>
          <w:lang w:val="es-CO"/>
        </w:rPr>
        <w:t>让扫盲对象继续受教育，直到完成十一年级的学业。此外，设定了一项资助机制，从</w:t>
      </w:r>
      <w:r>
        <w:rPr>
          <w:rFonts w:hint="eastAsia"/>
          <w:lang w:val="es-CO"/>
        </w:rPr>
        <w:t>2003</w:t>
      </w:r>
      <w:r>
        <w:rPr>
          <w:rFonts w:hint="eastAsia"/>
          <w:lang w:val="es-CO"/>
        </w:rPr>
        <w:t>年开始通过这项机制从国家总预算中划拨专款用于资助开展第一阶段（扫盲）的工作，并从普遍参与体系（</w:t>
      </w:r>
      <w:r>
        <w:rPr>
          <w:rFonts w:hint="eastAsia"/>
          <w:lang w:val="es-CO"/>
        </w:rPr>
        <w:t>SGP</w:t>
      </w:r>
      <w:r>
        <w:rPr>
          <w:rFonts w:hint="eastAsia"/>
          <w:lang w:val="es-CO"/>
        </w:rPr>
        <w:t>）中拨款资助开展第二至六阶段的工作。</w:t>
      </w:r>
      <w:r>
        <w:rPr>
          <w:rFonts w:hint="eastAsia"/>
          <w:lang w:val="es-CO"/>
        </w:rPr>
        <w:t>2003-2010</w:t>
      </w:r>
      <w:r>
        <w:rPr>
          <w:rFonts w:hint="eastAsia"/>
          <w:lang w:val="es-CO"/>
        </w:rPr>
        <w:t>年期间，国家教育部为这一方案共计投入了</w:t>
      </w:r>
      <w:r>
        <w:rPr>
          <w:rFonts w:hint="eastAsia"/>
          <w:lang w:val="es-CO"/>
        </w:rPr>
        <w:t>1</w:t>
      </w:r>
      <w:r>
        <w:rPr>
          <w:lang w:val="es-CO"/>
        </w:rPr>
        <w:t>,</w:t>
      </w:r>
      <w:r>
        <w:rPr>
          <w:rFonts w:hint="eastAsia"/>
          <w:lang w:val="es-CO"/>
        </w:rPr>
        <w:t>745.38</w:t>
      </w:r>
      <w:r>
        <w:rPr>
          <w:rFonts w:hint="eastAsia"/>
          <w:lang w:val="es-CO"/>
        </w:rPr>
        <w:t>亿比索（</w:t>
      </w:r>
      <w:r>
        <w:rPr>
          <w:rFonts w:hint="eastAsia"/>
          <w:lang w:val="es-CO"/>
        </w:rPr>
        <w:t>9</w:t>
      </w:r>
      <w:r>
        <w:rPr>
          <w:lang w:val="es-CO"/>
        </w:rPr>
        <w:t>,</w:t>
      </w:r>
      <w:r>
        <w:rPr>
          <w:rFonts w:hint="eastAsia"/>
          <w:lang w:val="es-CO"/>
        </w:rPr>
        <w:t>118</w:t>
      </w:r>
      <w:r>
        <w:rPr>
          <w:rFonts w:hint="eastAsia"/>
          <w:lang w:val="es-CO"/>
        </w:rPr>
        <w:t>万美元），使</w:t>
      </w:r>
      <w:r>
        <w:rPr>
          <w:rFonts w:hint="eastAsia"/>
          <w:lang w:val="es-CO"/>
        </w:rPr>
        <w:t>1</w:t>
      </w:r>
      <w:r>
        <w:rPr>
          <w:lang w:val="es-CO"/>
        </w:rPr>
        <w:t>,</w:t>
      </w:r>
      <w:r>
        <w:rPr>
          <w:rFonts w:hint="eastAsia"/>
          <w:lang w:val="es-CO"/>
        </w:rPr>
        <w:t>208</w:t>
      </w:r>
      <w:r>
        <w:rPr>
          <w:lang w:val="es-CO"/>
        </w:rPr>
        <w:t>,</w:t>
      </w:r>
      <w:r>
        <w:rPr>
          <w:rFonts w:hint="eastAsia"/>
          <w:lang w:val="es-CO"/>
        </w:rPr>
        <w:t>019</w:t>
      </w:r>
      <w:r>
        <w:rPr>
          <w:rFonts w:hint="eastAsia"/>
          <w:lang w:val="es-CO"/>
        </w:rPr>
        <w:t>人受益。在本条对应的附件</w:t>
      </w:r>
      <w:r>
        <w:rPr>
          <w:rFonts w:hint="eastAsia"/>
          <w:lang w:val="es-CO"/>
        </w:rPr>
        <w:t>6</w:t>
      </w:r>
      <w:r>
        <w:rPr>
          <w:rFonts w:hint="eastAsia"/>
          <w:lang w:val="es-CO"/>
        </w:rPr>
        <w:t>中介绍了哥伦比亚的总体文盲水平以及不识字妇女的比例。</w:t>
      </w:r>
    </w:p>
    <w:p w:rsidR="00A83775" w:rsidRDefault="00A83775">
      <w:pPr>
        <w:pStyle w:val="SingleTxtGC"/>
        <w:rPr>
          <w:lang w:val="es-CO"/>
        </w:rPr>
      </w:pPr>
      <w:r>
        <w:rPr>
          <w:lang w:val="es-CO"/>
        </w:rPr>
        <w:t xml:space="preserve">298.  </w:t>
      </w:r>
      <w:r>
        <w:rPr>
          <w:rFonts w:hint="eastAsia"/>
          <w:lang w:val="es-CO"/>
        </w:rPr>
        <w:t>此外，无论是被动员重返教育的妇女还是男子都根据这一计划的收容方针接受了</w:t>
      </w:r>
      <w:r>
        <w:rPr>
          <w:rFonts w:hint="eastAsia"/>
          <w:lang w:val="zh-CN"/>
        </w:rPr>
        <w:t>文化教育</w:t>
      </w:r>
      <w:r>
        <w:rPr>
          <w:rFonts w:hint="eastAsia"/>
          <w:lang w:val="es-CO"/>
        </w:rPr>
        <w:t>和培训服务。这一服务的目标对象为接受再教育的人员及其家人，他们可以通过各类文化教育方案开始或继续其学业：扫盲、小学基础教育、中学基础教育和中级职业培训。</w:t>
      </w:r>
    </w:p>
    <w:p w:rsidR="00A83775" w:rsidRDefault="00A83775">
      <w:pPr>
        <w:pStyle w:val="H23GC"/>
        <w:rPr>
          <w:lang w:val="es-CO"/>
        </w:rPr>
      </w:pPr>
      <w:r>
        <w:rPr>
          <w:lang w:val="es-CO"/>
        </w:rPr>
        <w:tab/>
      </w:r>
      <w:r>
        <w:rPr>
          <w:lang w:val="es-CO"/>
        </w:rPr>
        <w:tab/>
      </w:r>
      <w:r>
        <w:rPr>
          <w:rFonts w:hint="eastAsia"/>
          <w:lang w:val="es-CO"/>
        </w:rPr>
        <w:t>旨在扭转过早辍学趋势的各类行动</w:t>
      </w:r>
    </w:p>
    <w:p w:rsidR="00A83775" w:rsidRDefault="00A83775">
      <w:pPr>
        <w:pStyle w:val="SingleTxtGC"/>
        <w:rPr>
          <w:lang w:val="es-CO"/>
        </w:rPr>
      </w:pPr>
      <w:r>
        <w:rPr>
          <w:lang w:val="es-CO"/>
        </w:rPr>
        <w:t xml:space="preserve">299.  </w:t>
      </w:r>
      <w:r>
        <w:rPr>
          <w:rFonts w:hint="eastAsia"/>
          <w:lang w:val="es-CO"/>
        </w:rPr>
        <w:t>教育部自</w:t>
      </w:r>
      <w:r>
        <w:rPr>
          <w:rFonts w:hint="eastAsia"/>
          <w:lang w:val="es-CO"/>
        </w:rPr>
        <w:t>2004</w:t>
      </w:r>
      <w:r>
        <w:rPr>
          <w:rFonts w:hint="eastAsia"/>
          <w:lang w:val="es-CO"/>
        </w:rPr>
        <w:t>年开始逐步开发了若干专门系统来掌握和宣传教育部门的最新信息并以全面、及时和可靠的方式对用户进行与教育机构、文化教育和特性有关的引导。而预防高等教育辍学系统就是其中之一，这一体系对全国范围内的高等教育辍学情况进行了全面的诊断分析并从其成因出发针对每一家教育机构以及方案对这一现象进行了评估。</w:t>
      </w:r>
    </w:p>
    <w:p w:rsidR="00A83775" w:rsidRDefault="00A83775">
      <w:pPr>
        <w:pStyle w:val="SingleTxtGC"/>
        <w:rPr>
          <w:lang w:val="zh-CN"/>
        </w:rPr>
      </w:pPr>
      <w:r>
        <w:rPr>
          <w:lang w:val="es-CO"/>
        </w:rPr>
        <w:t xml:space="preserve">300.  </w:t>
      </w:r>
      <w:r>
        <w:rPr>
          <w:rFonts w:hint="eastAsia"/>
          <w:lang w:val="es-CO"/>
        </w:rPr>
        <w:t>与此同时，拟定了辍学现象监测、预防和分析信息系统，力争使各教育机构和地方机关掌握对辍学现象进行长期监测的工具，帮助这些单位尽早发现有辍学风险的儿</w:t>
      </w:r>
      <w:r>
        <w:rPr>
          <w:rFonts w:hint="eastAsia"/>
          <w:lang w:val="zh-CN"/>
        </w:rPr>
        <w:t>童并开展有针对性的预防行动。国内所有教育机构均可通过互联网登入这一系统，并在全国各大院校中通过电子培训（指使用计算机和互联网学习）的方式以及通过各地教育厅开办的讲习班开展相应工作。</w:t>
      </w:r>
    </w:p>
    <w:p w:rsidR="00A83775" w:rsidRDefault="00A83775">
      <w:pPr>
        <w:pStyle w:val="SingleTxtGC"/>
      </w:pPr>
      <w:r>
        <w:rPr>
          <w:lang w:val="zh-CN"/>
        </w:rPr>
        <w:t xml:space="preserve">301.  </w:t>
      </w:r>
      <w:r>
        <w:rPr>
          <w:rFonts w:hint="eastAsia"/>
          <w:lang w:val="zh-CN"/>
        </w:rPr>
        <w:t>通过这种方式对学生进行监测并掌握其完整信息的做法的好处就是能够知道每一名学生辍学的具体原因。这样就可以及时进行干预，实施预防性政策，包括进行有针对性的心理辅导和精神关爱，而不仅仅是简单纠正其行为。同时还能集中精力重点关注最有可能辍学的学生。辍学现象监测、预防和分析信息系统开展的研究以及收集到的资料显示，导致学生辍学的主要原因，众所周知，就是学习成绩差、交不起学费、不正确的职业价值观以及社会家庭环境的影响。这一系统的实际效用就是衡量各类因素的权重并敦促每一家教育机构根据其实际情况确定其工作重点。</w:t>
      </w:r>
    </w:p>
    <w:p w:rsidR="00A83775" w:rsidRDefault="00A83775">
      <w:pPr>
        <w:pStyle w:val="SingleTxtGC"/>
        <w:rPr>
          <w:lang w:val="zh-CN"/>
        </w:rPr>
      </w:pPr>
      <w:r>
        <w:rPr>
          <w:lang w:val="zh-CN"/>
        </w:rPr>
        <w:t xml:space="preserve">302.  </w:t>
      </w:r>
      <w:r>
        <w:rPr>
          <w:rFonts w:hint="eastAsia"/>
          <w:lang w:val="zh-CN"/>
        </w:rPr>
        <w:t>同样，辍学是由学校和社会各项因素综合作用的产物。从学校因素来说，主要是交不起学费和学习成绩差，没有完成学业的动力。而从社会因素看，主要是贫困和边缘化，过早参加工作，家庭暴力以及家庭变故。</w:t>
      </w:r>
    </w:p>
    <w:p w:rsidR="00A83775" w:rsidRDefault="00A83775">
      <w:pPr>
        <w:pStyle w:val="SingleTxtGC"/>
        <w:rPr>
          <w:lang w:val="zh-CN"/>
        </w:rPr>
      </w:pPr>
      <w:r>
        <w:rPr>
          <w:lang w:val="zh-CN"/>
        </w:rPr>
        <w:t xml:space="preserve">303.  </w:t>
      </w:r>
      <w:r>
        <w:rPr>
          <w:rFonts w:hint="eastAsia"/>
          <w:spacing w:val="-4"/>
          <w:lang w:val="zh-CN"/>
        </w:rPr>
        <w:t>为减缓这些因素，出台了各项方案，如推行免费教育，减免贫困家庭的教育费用，根据学生的入学情况为学生家庭提供补贴，提供学校饮食补贴，通过这些方式不仅照顾到儿童的全面发展，还关注其健康，以激励家庭坚持供子女上学。</w:t>
      </w:r>
    </w:p>
    <w:p w:rsidR="00A83775" w:rsidRDefault="00A83775">
      <w:pPr>
        <w:pStyle w:val="SingleTxtGC"/>
        <w:rPr>
          <w:lang w:val="es-CO"/>
        </w:rPr>
      </w:pPr>
      <w:r>
        <w:rPr>
          <w:lang w:val="zh-CN"/>
        </w:rPr>
        <w:t xml:space="preserve">304.  </w:t>
      </w:r>
      <w:r>
        <w:rPr>
          <w:rFonts w:hint="eastAsia"/>
          <w:lang w:val="zh-CN"/>
        </w:rPr>
        <w:t>通过实施各项战略来努</w:t>
      </w:r>
      <w:r>
        <w:rPr>
          <w:rFonts w:hint="eastAsia"/>
          <w:lang w:val="es-CO"/>
        </w:rPr>
        <w:t>力将学生留在校园中，这些战略包括：宣传战略，口号是“一个也不能少”和“不要找借口，不让孩子上学既剥夺了孩子的机会也让国家蒙受损失”，“学校呼唤学生”运动；直接参与摆脱贫困网；学校一揽子经济支持和补充支持战略：免费教育；整合教育机构；有关部门和互助银行的投资；学校供餐；学校交通；以及灵活的教育模式。在本条对应的附件</w:t>
      </w:r>
      <w:r>
        <w:rPr>
          <w:rFonts w:hint="eastAsia"/>
          <w:lang w:val="es-CO"/>
        </w:rPr>
        <w:t>1</w:t>
      </w:r>
      <w:r>
        <w:rPr>
          <w:rFonts w:hint="eastAsia"/>
          <w:lang w:val="es-CO"/>
        </w:rPr>
        <w:t>中介绍了与这些战略有关的更多信息。</w:t>
      </w:r>
    </w:p>
    <w:p w:rsidR="00A83775" w:rsidRDefault="00A83775">
      <w:pPr>
        <w:pStyle w:val="H23GC"/>
        <w:rPr>
          <w:lang w:val="es-CO"/>
        </w:rPr>
      </w:pPr>
      <w:r>
        <w:rPr>
          <w:lang w:val="es-CO"/>
        </w:rPr>
        <w:tab/>
      </w:r>
      <w:r>
        <w:rPr>
          <w:lang w:val="es-CO"/>
        </w:rPr>
        <w:tab/>
      </w:r>
      <w:r>
        <w:rPr>
          <w:rFonts w:hint="eastAsia"/>
          <w:lang w:val="es-CO"/>
        </w:rPr>
        <w:t>奖学金和补贴发放战略</w:t>
      </w:r>
    </w:p>
    <w:p w:rsidR="00A83775" w:rsidRDefault="00A83775">
      <w:pPr>
        <w:pStyle w:val="SingleTxtGC"/>
        <w:rPr>
          <w:lang w:val="zh-CN"/>
        </w:rPr>
      </w:pPr>
      <w:r>
        <w:rPr>
          <w:lang w:val="es-CO"/>
        </w:rPr>
        <w:t xml:space="preserve">305.  </w:t>
      </w:r>
      <w:r>
        <w:rPr>
          <w:rFonts w:hint="eastAsia"/>
          <w:lang w:val="es-CO"/>
        </w:rPr>
        <w:t>为达成扩大教育覆盖面而实施的主要战略之一就是向有需要的学生发放助学贷款并在入学和学习费用方面给予其资助。以此争取补助公立大学中经济条件困难的学生坚持完成学业，采用的方式是发放助学贷款和其他补贴，同时也对无力支付私立大学学</w:t>
      </w:r>
      <w:r>
        <w:rPr>
          <w:rFonts w:hint="eastAsia"/>
          <w:lang w:val="zh-CN"/>
        </w:rPr>
        <w:t>费的学生给予资助。</w:t>
      </w:r>
      <w:r>
        <w:rPr>
          <w:rFonts w:hint="eastAsia"/>
          <w:lang w:val="zh-CN"/>
        </w:rPr>
        <w:t>2002-2010</w:t>
      </w:r>
      <w:r>
        <w:rPr>
          <w:rFonts w:hint="eastAsia"/>
          <w:lang w:val="zh-CN"/>
        </w:rPr>
        <w:t>年期间，哥伦比亚教育和学习信贷局大幅提高了其贷款发放规模，从</w:t>
      </w:r>
      <w:r>
        <w:rPr>
          <w:rFonts w:hint="eastAsia"/>
          <w:lang w:val="zh-CN"/>
        </w:rPr>
        <w:t>2002</w:t>
      </w:r>
      <w:r>
        <w:rPr>
          <w:rFonts w:hint="eastAsia"/>
          <w:lang w:val="zh-CN"/>
        </w:rPr>
        <w:t>年的</w:t>
      </w:r>
      <w:r>
        <w:rPr>
          <w:rFonts w:hint="eastAsia"/>
          <w:lang w:val="zh-CN"/>
        </w:rPr>
        <w:t>65</w:t>
      </w:r>
      <w:r>
        <w:t>,</w:t>
      </w:r>
      <w:r>
        <w:rPr>
          <w:rFonts w:hint="eastAsia"/>
          <w:lang w:val="zh-CN"/>
        </w:rPr>
        <w:t>218</w:t>
      </w:r>
      <w:r>
        <w:rPr>
          <w:rFonts w:hint="eastAsia"/>
          <w:lang w:val="zh-CN"/>
        </w:rPr>
        <w:t>笔增至</w:t>
      </w:r>
      <w:r>
        <w:rPr>
          <w:rFonts w:hint="eastAsia"/>
          <w:lang w:val="zh-CN"/>
        </w:rPr>
        <w:t>2010</w:t>
      </w:r>
      <w:r>
        <w:rPr>
          <w:rFonts w:hint="eastAsia"/>
          <w:lang w:val="zh-CN"/>
        </w:rPr>
        <w:t>年的</w:t>
      </w:r>
      <w:r>
        <w:rPr>
          <w:rFonts w:hint="eastAsia"/>
          <w:lang w:val="zh-CN"/>
        </w:rPr>
        <w:t>259</w:t>
      </w:r>
      <w:r>
        <w:t>,</w:t>
      </w:r>
      <w:r>
        <w:rPr>
          <w:rFonts w:hint="eastAsia"/>
          <w:lang w:val="zh-CN"/>
        </w:rPr>
        <w:t>269</w:t>
      </w:r>
      <w:r>
        <w:rPr>
          <w:rFonts w:hint="eastAsia"/>
          <w:lang w:val="zh-CN"/>
        </w:rPr>
        <w:t>笔，年均增速达</w:t>
      </w:r>
      <w:r>
        <w:rPr>
          <w:rFonts w:hint="eastAsia"/>
          <w:lang w:val="zh-CN"/>
        </w:rPr>
        <w:t>18.9%</w:t>
      </w:r>
      <w:r>
        <w:rPr>
          <w:rFonts w:hint="eastAsia"/>
          <w:lang w:val="zh-CN"/>
        </w:rPr>
        <w:t>。这意味着</w:t>
      </w:r>
      <w:r>
        <w:rPr>
          <w:rFonts w:hint="eastAsia"/>
          <w:lang w:val="zh-CN"/>
        </w:rPr>
        <w:t>2002</w:t>
      </w:r>
      <w:r>
        <w:rPr>
          <w:rFonts w:hint="eastAsia"/>
          <w:lang w:val="zh-CN"/>
        </w:rPr>
        <w:t>年</w:t>
      </w:r>
      <w:r>
        <w:rPr>
          <w:rFonts w:hint="eastAsia"/>
          <w:lang w:val="zh-CN"/>
        </w:rPr>
        <w:t>7%</w:t>
      </w:r>
      <w:r>
        <w:rPr>
          <w:rFonts w:hint="eastAsia"/>
          <w:lang w:val="zh-CN"/>
        </w:rPr>
        <w:t>的国内本科生获得了助学贷款，而在</w:t>
      </w:r>
      <w:r>
        <w:rPr>
          <w:rFonts w:hint="eastAsia"/>
          <w:lang w:val="zh-CN"/>
        </w:rPr>
        <w:t>2010</w:t>
      </w:r>
      <w:r>
        <w:rPr>
          <w:rFonts w:hint="eastAsia"/>
          <w:lang w:val="zh-CN"/>
        </w:rPr>
        <w:t>年获得教育和信贷局贷款的学生比例至少达到了</w:t>
      </w:r>
      <w:r>
        <w:rPr>
          <w:rFonts w:hint="eastAsia"/>
          <w:lang w:val="zh-CN"/>
        </w:rPr>
        <w:t>14%</w:t>
      </w:r>
      <w:r>
        <w:rPr>
          <w:rFonts w:hint="eastAsia"/>
          <w:lang w:val="zh-CN"/>
        </w:rPr>
        <w:t>。</w:t>
      </w:r>
    </w:p>
    <w:p w:rsidR="00A83775" w:rsidRDefault="00A83775">
      <w:pPr>
        <w:pStyle w:val="SingleTxtGC"/>
        <w:rPr>
          <w:lang w:val="es-CO"/>
        </w:rPr>
      </w:pPr>
      <w:r>
        <w:rPr>
          <w:lang w:val="zh-CN"/>
        </w:rPr>
        <w:t xml:space="preserve">306.  </w:t>
      </w:r>
      <w:r>
        <w:rPr>
          <w:rFonts w:hint="eastAsia"/>
          <w:lang w:val="zh-CN"/>
        </w:rPr>
        <w:t>在</w:t>
      </w:r>
      <w:r>
        <w:rPr>
          <w:rFonts w:hint="eastAsia"/>
          <w:lang w:val="zh-CN"/>
        </w:rPr>
        <w:t>2003</w:t>
      </w:r>
      <w:r>
        <w:rPr>
          <w:rFonts w:hint="eastAsia"/>
          <w:lang w:val="zh-CN"/>
        </w:rPr>
        <w:t>年至</w:t>
      </w:r>
      <w:r>
        <w:rPr>
          <w:rFonts w:hint="eastAsia"/>
          <w:lang w:val="zh-CN"/>
        </w:rPr>
        <w:t>2010</w:t>
      </w:r>
      <w:r>
        <w:rPr>
          <w:rFonts w:hint="eastAsia"/>
          <w:lang w:val="zh-CN"/>
        </w:rPr>
        <w:t>年新增的贷款受益人中（</w:t>
      </w:r>
      <w:r>
        <w:rPr>
          <w:rFonts w:hint="eastAsia"/>
          <w:lang w:val="zh-CN"/>
        </w:rPr>
        <w:t>300</w:t>
      </w:r>
      <w:r>
        <w:t>,</w:t>
      </w:r>
      <w:r>
        <w:rPr>
          <w:rFonts w:hint="eastAsia"/>
          <w:lang w:val="zh-CN"/>
        </w:rPr>
        <w:t>055</w:t>
      </w:r>
      <w:r>
        <w:rPr>
          <w:rFonts w:hint="eastAsia"/>
          <w:lang w:val="zh-CN"/>
        </w:rPr>
        <w:t>人），有</w:t>
      </w:r>
      <w:r>
        <w:rPr>
          <w:rFonts w:hint="eastAsia"/>
          <w:lang w:val="zh-CN"/>
        </w:rPr>
        <w:t>97%</w:t>
      </w:r>
      <w:r>
        <w:rPr>
          <w:rFonts w:hint="eastAsia"/>
          <w:lang w:val="zh-CN"/>
        </w:rPr>
        <w:t>来自处于第一、二和三社会阶层的家</w:t>
      </w:r>
      <w:r>
        <w:rPr>
          <w:rFonts w:hint="eastAsia"/>
          <w:lang w:val="es-CO"/>
        </w:rPr>
        <w:t>庭。而接下来的助学对象也聚焦于这一人群，这一点表明教育和学习信贷局的贷款发放对象全部集中于经济贫困的学生，而来自第四、五和六社会阶层家庭的受益人比例仅占</w:t>
      </w:r>
      <w:r>
        <w:rPr>
          <w:rFonts w:hint="eastAsia"/>
          <w:lang w:val="es-CO"/>
        </w:rPr>
        <w:t>3%</w:t>
      </w:r>
      <w:r>
        <w:rPr>
          <w:rFonts w:hint="eastAsia"/>
          <w:lang w:val="es-CO"/>
        </w:rPr>
        <w:t>。</w:t>
      </w:r>
    </w:p>
    <w:p w:rsidR="00A83775" w:rsidRDefault="00A83775">
      <w:pPr>
        <w:pStyle w:val="SingleTxtGC"/>
        <w:spacing w:after="240"/>
        <w:rPr>
          <w:rFonts w:hint="eastAsia"/>
          <w:lang w:val="es-CO"/>
        </w:rPr>
      </w:pPr>
      <w:r>
        <w:rPr>
          <w:lang w:val="es-CO"/>
        </w:rPr>
        <w:t xml:space="preserve">307.  </w:t>
      </w:r>
      <w:r>
        <w:rPr>
          <w:rFonts w:hint="eastAsia"/>
          <w:lang w:val="es-CO"/>
        </w:rPr>
        <w:t>贫困学生同样还能享受其他福利：被划归为社会福利计划受益人遴选系统第</w:t>
      </w:r>
      <w:r>
        <w:rPr>
          <w:rFonts w:hint="eastAsia"/>
          <w:lang w:val="es-CO"/>
        </w:rPr>
        <w:t>1</w:t>
      </w:r>
      <w:r>
        <w:rPr>
          <w:rFonts w:hint="eastAsia"/>
          <w:lang w:val="es-CO"/>
        </w:rPr>
        <w:t>类和第</w:t>
      </w:r>
      <w:r>
        <w:rPr>
          <w:rFonts w:hint="eastAsia"/>
          <w:lang w:val="es-CO"/>
        </w:rPr>
        <w:t>2</w:t>
      </w:r>
      <w:r>
        <w:rPr>
          <w:rFonts w:hint="eastAsia"/>
          <w:lang w:val="es-CO"/>
        </w:rPr>
        <w:t>类的学生，近五年来共有</w:t>
      </w:r>
      <w:r>
        <w:rPr>
          <w:rFonts w:hint="eastAsia"/>
          <w:lang w:val="es-CO"/>
        </w:rPr>
        <w:t>92</w:t>
      </w:r>
      <w:r>
        <w:rPr>
          <w:lang w:val="es-CO"/>
        </w:rPr>
        <w:t>,</w:t>
      </w:r>
      <w:r>
        <w:rPr>
          <w:rFonts w:hint="eastAsia"/>
          <w:lang w:val="es-CO"/>
        </w:rPr>
        <w:t>831</w:t>
      </w:r>
      <w:r>
        <w:rPr>
          <w:rFonts w:hint="eastAsia"/>
          <w:lang w:val="es-CO"/>
        </w:rPr>
        <w:t>人属于这种情况，他们还可以享受相当于学费</w:t>
      </w:r>
      <w:r>
        <w:rPr>
          <w:rFonts w:hint="eastAsia"/>
          <w:lang w:val="zh-CN"/>
        </w:rPr>
        <w:t>价值</w:t>
      </w:r>
      <w:r>
        <w:rPr>
          <w:rFonts w:hint="eastAsia"/>
          <w:lang w:val="es-CO"/>
        </w:rPr>
        <w:t>25%</w:t>
      </w:r>
      <w:r>
        <w:rPr>
          <w:rFonts w:hint="eastAsia"/>
          <w:lang w:val="es-CO"/>
        </w:rPr>
        <w:t>的额外补贴。</w:t>
      </w:r>
      <w:r>
        <w:rPr>
          <w:rFonts w:hint="eastAsia"/>
          <w:lang w:val="es-CO"/>
        </w:rPr>
        <w:t>2010</w:t>
      </w:r>
      <w:r>
        <w:rPr>
          <w:rFonts w:hint="eastAsia"/>
          <w:lang w:val="es-CO"/>
        </w:rPr>
        <w:t>年，这一补贴的受益人数为</w:t>
      </w:r>
      <w:r>
        <w:rPr>
          <w:rFonts w:hint="eastAsia"/>
          <w:lang w:val="es-CO"/>
        </w:rPr>
        <w:t>24</w:t>
      </w:r>
      <w:r>
        <w:rPr>
          <w:lang w:val="es-CO"/>
        </w:rPr>
        <w:t>,</w:t>
      </w:r>
      <w:r>
        <w:rPr>
          <w:rFonts w:hint="eastAsia"/>
          <w:lang w:val="es-CO"/>
        </w:rPr>
        <w:t>000</w:t>
      </w:r>
      <w:r>
        <w:rPr>
          <w:rFonts w:hint="eastAsia"/>
          <w:lang w:val="es-CO"/>
        </w:rPr>
        <w:t>人，补贴金额共计</w:t>
      </w:r>
      <w:r>
        <w:rPr>
          <w:rFonts w:hint="eastAsia"/>
          <w:lang w:val="es-CO"/>
        </w:rPr>
        <w:t>739.5</w:t>
      </w:r>
      <w:r>
        <w:rPr>
          <w:rFonts w:hint="eastAsia"/>
          <w:lang w:val="es-CO"/>
        </w:rPr>
        <w:t>亿比索（约</w:t>
      </w:r>
      <w:r>
        <w:rPr>
          <w:rFonts w:hint="eastAsia"/>
          <w:lang w:val="es-CO"/>
        </w:rPr>
        <w:t>3</w:t>
      </w:r>
      <w:r>
        <w:rPr>
          <w:lang w:val="es-CO"/>
        </w:rPr>
        <w:t>,</w:t>
      </w:r>
      <w:r>
        <w:rPr>
          <w:rFonts w:hint="eastAsia"/>
          <w:lang w:val="es-CO"/>
        </w:rPr>
        <w:t>900</w:t>
      </w:r>
      <w:r>
        <w:rPr>
          <w:rFonts w:hint="eastAsia"/>
          <w:lang w:val="es-CO"/>
        </w:rPr>
        <w:t>万美元），也就是说，人均</w:t>
      </w:r>
      <w:r>
        <w:rPr>
          <w:rFonts w:hint="eastAsia"/>
          <w:lang w:val="es-CO"/>
        </w:rPr>
        <w:t>310</w:t>
      </w:r>
      <w:r>
        <w:rPr>
          <w:rFonts w:hint="eastAsia"/>
          <w:lang w:val="es-CO"/>
        </w:rPr>
        <w:t>万比索（</w:t>
      </w:r>
      <w:r>
        <w:rPr>
          <w:rFonts w:hint="eastAsia"/>
          <w:lang w:val="es-CO"/>
        </w:rPr>
        <w:t>1</w:t>
      </w:r>
      <w:r>
        <w:rPr>
          <w:lang w:val="es-CO"/>
        </w:rPr>
        <w:t>,</w:t>
      </w:r>
      <w:r>
        <w:rPr>
          <w:rFonts w:hint="eastAsia"/>
          <w:lang w:val="es-CO"/>
        </w:rPr>
        <w:t>620</w:t>
      </w:r>
      <w:r>
        <w:rPr>
          <w:rFonts w:hint="eastAsia"/>
          <w:lang w:val="es-CO"/>
        </w:rPr>
        <w:t>美元）。此外，在同一时期通过土著社区基金向土著学生发放了</w:t>
      </w:r>
      <w:r>
        <w:rPr>
          <w:rFonts w:hint="eastAsia"/>
          <w:lang w:val="es-CO"/>
        </w:rPr>
        <w:t>1</w:t>
      </w:r>
      <w:r>
        <w:rPr>
          <w:lang w:val="es-CO"/>
        </w:rPr>
        <w:t>,</w:t>
      </w:r>
      <w:r>
        <w:rPr>
          <w:rFonts w:hint="eastAsia"/>
          <w:lang w:val="es-CO"/>
        </w:rPr>
        <w:t>762</w:t>
      </w:r>
      <w:r>
        <w:rPr>
          <w:rFonts w:hint="eastAsia"/>
          <w:lang w:val="es-CO"/>
        </w:rPr>
        <w:t>笔助学贷款，通过非洲裔社区基金向非洲裔学生发放了</w:t>
      </w:r>
      <w:r>
        <w:rPr>
          <w:rFonts w:hint="eastAsia"/>
          <w:lang w:val="es-CO"/>
        </w:rPr>
        <w:t>3</w:t>
      </w:r>
      <w:r>
        <w:rPr>
          <w:lang w:val="es-CO"/>
        </w:rPr>
        <w:t>,</w:t>
      </w:r>
      <w:r>
        <w:rPr>
          <w:rFonts w:hint="eastAsia"/>
          <w:lang w:val="es-CO"/>
        </w:rPr>
        <w:t>270</w:t>
      </w:r>
      <w:r>
        <w:rPr>
          <w:rFonts w:hint="eastAsia"/>
          <w:lang w:val="es-CO"/>
        </w:rPr>
        <w:t>笔助学贷款。</w:t>
      </w:r>
      <w:r>
        <w:rPr>
          <w:vertAlign w:val="superscript"/>
          <w:lang w:val="es-CO"/>
        </w:rPr>
        <w:footnoteReference w:id="148"/>
      </w:r>
    </w:p>
    <w:tbl>
      <w:tblPr>
        <w:tblStyle w:val="TableGrid"/>
        <w:tblW w:w="0" w:type="auto"/>
        <w:jc w:val="center"/>
        <w:tblLayout w:type="fixed"/>
        <w:tblLook w:val="01E0"/>
      </w:tblPr>
      <w:tblGrid>
        <w:gridCol w:w="851"/>
        <w:gridCol w:w="851"/>
        <w:gridCol w:w="851"/>
        <w:gridCol w:w="851"/>
        <w:gridCol w:w="851"/>
        <w:gridCol w:w="851"/>
        <w:gridCol w:w="851"/>
        <w:gridCol w:w="851"/>
      </w:tblGrid>
      <w:tr w:rsidR="00A83775">
        <w:trPr>
          <w:jc w:val="center"/>
        </w:trPr>
        <w:tc>
          <w:tcPr>
            <w:tcW w:w="6808" w:type="dxa"/>
            <w:gridSpan w:val="8"/>
            <w:tcBorders>
              <w:bottom w:val="nil"/>
            </w:tcBorders>
          </w:tcPr>
          <w:p w:rsidR="00A83775" w:rsidRDefault="00A83775">
            <w:pPr>
              <w:pStyle w:val="SingleTxtG"/>
              <w:spacing w:after="0" w:line="320" w:lineRule="exact"/>
              <w:ind w:left="0" w:right="0"/>
              <w:jc w:val="center"/>
              <w:rPr>
                <w:rFonts w:eastAsia="SimHei" w:hint="eastAsia"/>
                <w:sz w:val="18"/>
                <w:szCs w:val="18"/>
                <w:lang w:val="es-CO" w:eastAsia="zh-CN"/>
              </w:rPr>
            </w:pPr>
            <w:r>
              <w:rPr>
                <w:rFonts w:eastAsia="SimHei" w:hint="eastAsia"/>
                <w:sz w:val="18"/>
                <w:szCs w:val="18"/>
                <w:lang w:val="es-CO" w:eastAsia="zh-CN"/>
              </w:rPr>
              <w:t>按性别分列的大学生助学贷款数量</w:t>
            </w:r>
          </w:p>
          <w:p w:rsidR="00A83775" w:rsidRDefault="00A83775">
            <w:pPr>
              <w:pStyle w:val="SingleTxtG"/>
              <w:spacing w:line="320" w:lineRule="exact"/>
              <w:ind w:left="0" w:right="0"/>
              <w:jc w:val="center"/>
              <w:rPr>
                <w:rFonts w:hint="eastAsia"/>
                <w:sz w:val="18"/>
                <w:szCs w:val="18"/>
                <w:lang w:val="es-CO"/>
              </w:rPr>
            </w:pPr>
            <w:r>
              <w:rPr>
                <w:rFonts w:eastAsia="SimHei" w:hint="eastAsia"/>
                <w:sz w:val="18"/>
                <w:szCs w:val="18"/>
                <w:lang w:val="es-CO"/>
              </w:rPr>
              <w:t>2004-2010</w:t>
            </w:r>
            <w:r>
              <w:rPr>
                <w:rFonts w:eastAsia="SimHei" w:hint="eastAsia"/>
                <w:sz w:val="18"/>
                <w:szCs w:val="18"/>
                <w:lang w:val="es-CO"/>
              </w:rPr>
              <w:t>年</w:t>
            </w:r>
          </w:p>
        </w:tc>
      </w:tr>
      <w:tr w:rsidR="00A83775">
        <w:trPr>
          <w:jc w:val="center"/>
        </w:trPr>
        <w:tc>
          <w:tcPr>
            <w:tcW w:w="6808" w:type="dxa"/>
            <w:gridSpan w:val="8"/>
            <w:tcBorders>
              <w:top w:val="nil"/>
            </w:tcBorders>
          </w:tcPr>
          <w:p w:rsidR="00A83775" w:rsidRDefault="00A83775">
            <w:pPr>
              <w:pStyle w:val="SingleTxtG"/>
              <w:spacing w:line="240" w:lineRule="auto"/>
              <w:ind w:left="0" w:right="-164"/>
              <w:jc w:val="right"/>
              <w:rPr>
                <w:rFonts w:hint="eastAsia"/>
                <w:i/>
                <w:sz w:val="18"/>
                <w:szCs w:val="18"/>
                <w:lang w:val="es-CO"/>
              </w:rPr>
            </w:pPr>
            <w:r>
              <w:rPr>
                <w:rFonts w:eastAsia="KaiTi_GB2312" w:hint="eastAsia"/>
                <w:sz w:val="18"/>
                <w:szCs w:val="18"/>
                <w:lang w:val="es-CO"/>
              </w:rPr>
              <w:pict>
                <v:shape id="_x0000_i1026" type="#_x0000_t75" style="width:299.25pt;height:126.75pt">
                  <v:imagedata r:id="rId9" o:title=""/>
                </v:shape>
              </w:pict>
            </w:r>
          </w:p>
        </w:tc>
      </w:tr>
      <w:tr w:rsidR="00A83775">
        <w:trPr>
          <w:jc w:val="center"/>
        </w:trPr>
        <w:tc>
          <w:tcPr>
            <w:tcW w:w="851" w:type="dxa"/>
          </w:tcPr>
          <w:p w:rsidR="00A83775" w:rsidRDefault="00A83775">
            <w:pPr>
              <w:pStyle w:val="SingleTxtG"/>
              <w:ind w:left="0" w:right="34"/>
              <w:rPr>
                <w:rFonts w:hint="eastAsia"/>
                <w:sz w:val="18"/>
                <w:szCs w:val="18"/>
                <w:lang w:val="es-CO"/>
              </w:rPr>
            </w:pPr>
          </w:p>
        </w:tc>
        <w:tc>
          <w:tcPr>
            <w:tcW w:w="851" w:type="dxa"/>
          </w:tcPr>
          <w:p w:rsidR="00A83775" w:rsidRDefault="00A83775">
            <w:pPr>
              <w:pStyle w:val="SingleTxtG"/>
              <w:spacing w:line="320" w:lineRule="exact"/>
              <w:ind w:left="0" w:right="34"/>
              <w:rPr>
                <w:rFonts w:hint="eastAsia"/>
                <w:sz w:val="18"/>
                <w:szCs w:val="18"/>
                <w:lang w:val="es-CO"/>
              </w:rPr>
            </w:pPr>
            <w:r>
              <w:rPr>
                <w:rFonts w:hint="eastAsia"/>
                <w:sz w:val="18"/>
                <w:szCs w:val="18"/>
                <w:lang w:val="es-CO"/>
              </w:rPr>
              <w:t>2004</w:t>
            </w:r>
            <w:r>
              <w:rPr>
                <w:rFonts w:hint="eastAsia"/>
                <w:sz w:val="18"/>
                <w:szCs w:val="18"/>
                <w:lang w:val="es-CO"/>
              </w:rPr>
              <w:t>年</w:t>
            </w:r>
          </w:p>
        </w:tc>
        <w:tc>
          <w:tcPr>
            <w:tcW w:w="851" w:type="dxa"/>
          </w:tcPr>
          <w:p w:rsidR="00A83775" w:rsidRDefault="00A83775">
            <w:pPr>
              <w:pStyle w:val="SingleTxtG"/>
              <w:spacing w:line="320" w:lineRule="exact"/>
              <w:ind w:left="0" w:right="34"/>
              <w:rPr>
                <w:rFonts w:hint="eastAsia"/>
                <w:sz w:val="18"/>
                <w:szCs w:val="18"/>
                <w:lang w:val="es-CO"/>
              </w:rPr>
            </w:pPr>
            <w:r>
              <w:rPr>
                <w:rFonts w:hint="eastAsia"/>
                <w:sz w:val="18"/>
                <w:szCs w:val="18"/>
                <w:lang w:val="es-CO"/>
              </w:rPr>
              <w:t>2005</w:t>
            </w:r>
            <w:r>
              <w:rPr>
                <w:rFonts w:hint="eastAsia"/>
                <w:sz w:val="18"/>
                <w:szCs w:val="18"/>
                <w:lang w:val="es-CO"/>
              </w:rPr>
              <w:t>年</w:t>
            </w:r>
          </w:p>
        </w:tc>
        <w:tc>
          <w:tcPr>
            <w:tcW w:w="851" w:type="dxa"/>
          </w:tcPr>
          <w:p w:rsidR="00A83775" w:rsidRDefault="00A83775">
            <w:pPr>
              <w:pStyle w:val="SingleTxtG"/>
              <w:spacing w:line="320" w:lineRule="exact"/>
              <w:ind w:left="0" w:right="34"/>
              <w:rPr>
                <w:rFonts w:hint="eastAsia"/>
                <w:sz w:val="18"/>
                <w:szCs w:val="18"/>
                <w:lang w:val="es-CO"/>
              </w:rPr>
            </w:pPr>
            <w:r>
              <w:rPr>
                <w:rFonts w:hint="eastAsia"/>
                <w:sz w:val="18"/>
                <w:szCs w:val="18"/>
                <w:lang w:val="es-CO"/>
              </w:rPr>
              <w:t>2006</w:t>
            </w:r>
            <w:r>
              <w:rPr>
                <w:rFonts w:hint="eastAsia"/>
                <w:sz w:val="18"/>
                <w:szCs w:val="18"/>
                <w:lang w:val="es-CO"/>
              </w:rPr>
              <w:t>年</w:t>
            </w:r>
          </w:p>
        </w:tc>
        <w:tc>
          <w:tcPr>
            <w:tcW w:w="851" w:type="dxa"/>
          </w:tcPr>
          <w:p w:rsidR="00A83775" w:rsidRDefault="00A83775">
            <w:pPr>
              <w:pStyle w:val="SingleTxtG"/>
              <w:spacing w:line="320" w:lineRule="exact"/>
              <w:ind w:left="0" w:right="34"/>
              <w:rPr>
                <w:rFonts w:hint="eastAsia"/>
                <w:sz w:val="18"/>
                <w:szCs w:val="18"/>
                <w:lang w:val="es-CO"/>
              </w:rPr>
            </w:pPr>
            <w:r>
              <w:rPr>
                <w:rFonts w:hint="eastAsia"/>
                <w:sz w:val="18"/>
                <w:szCs w:val="18"/>
                <w:lang w:val="es-CO"/>
              </w:rPr>
              <w:t>2007</w:t>
            </w:r>
            <w:r>
              <w:rPr>
                <w:rFonts w:hint="eastAsia"/>
                <w:sz w:val="18"/>
                <w:szCs w:val="18"/>
                <w:lang w:val="es-CO"/>
              </w:rPr>
              <w:t>年</w:t>
            </w:r>
          </w:p>
        </w:tc>
        <w:tc>
          <w:tcPr>
            <w:tcW w:w="851" w:type="dxa"/>
          </w:tcPr>
          <w:p w:rsidR="00A83775" w:rsidRDefault="00A83775">
            <w:pPr>
              <w:pStyle w:val="SingleTxtG"/>
              <w:spacing w:line="320" w:lineRule="exact"/>
              <w:ind w:left="0" w:right="34"/>
              <w:rPr>
                <w:rFonts w:hint="eastAsia"/>
                <w:sz w:val="18"/>
                <w:szCs w:val="18"/>
                <w:lang w:val="es-CO"/>
              </w:rPr>
            </w:pPr>
            <w:r>
              <w:rPr>
                <w:rFonts w:hint="eastAsia"/>
                <w:sz w:val="18"/>
                <w:szCs w:val="18"/>
                <w:lang w:val="es-CO"/>
              </w:rPr>
              <w:t>2008</w:t>
            </w:r>
            <w:r>
              <w:rPr>
                <w:rFonts w:hint="eastAsia"/>
                <w:sz w:val="18"/>
                <w:szCs w:val="18"/>
                <w:lang w:val="es-CO"/>
              </w:rPr>
              <w:t>年</w:t>
            </w:r>
          </w:p>
        </w:tc>
        <w:tc>
          <w:tcPr>
            <w:tcW w:w="851" w:type="dxa"/>
          </w:tcPr>
          <w:p w:rsidR="00A83775" w:rsidRDefault="00A83775">
            <w:pPr>
              <w:pStyle w:val="SingleTxtG"/>
              <w:spacing w:line="320" w:lineRule="exact"/>
              <w:ind w:left="0" w:right="34"/>
              <w:rPr>
                <w:rFonts w:hint="eastAsia"/>
                <w:sz w:val="18"/>
                <w:szCs w:val="18"/>
                <w:lang w:val="es-CO"/>
              </w:rPr>
            </w:pPr>
            <w:r>
              <w:rPr>
                <w:rFonts w:hint="eastAsia"/>
                <w:sz w:val="18"/>
                <w:szCs w:val="18"/>
                <w:lang w:val="es-CO"/>
              </w:rPr>
              <w:t>2009</w:t>
            </w:r>
            <w:r>
              <w:rPr>
                <w:rFonts w:hint="eastAsia"/>
                <w:sz w:val="18"/>
                <w:szCs w:val="18"/>
                <w:lang w:val="es-CO"/>
              </w:rPr>
              <w:t>年</w:t>
            </w:r>
          </w:p>
        </w:tc>
        <w:tc>
          <w:tcPr>
            <w:tcW w:w="851" w:type="dxa"/>
          </w:tcPr>
          <w:p w:rsidR="00A83775" w:rsidRDefault="00A83775">
            <w:pPr>
              <w:pStyle w:val="SingleTxtG"/>
              <w:spacing w:line="320" w:lineRule="exact"/>
              <w:ind w:left="0" w:right="34"/>
              <w:rPr>
                <w:rFonts w:hint="eastAsia"/>
                <w:sz w:val="18"/>
                <w:szCs w:val="18"/>
                <w:lang w:val="es-CO"/>
              </w:rPr>
            </w:pPr>
            <w:r>
              <w:rPr>
                <w:rFonts w:hint="eastAsia"/>
                <w:sz w:val="18"/>
                <w:szCs w:val="18"/>
                <w:lang w:val="es-CO"/>
              </w:rPr>
              <w:t>2010</w:t>
            </w:r>
            <w:r>
              <w:rPr>
                <w:rFonts w:hint="eastAsia"/>
                <w:sz w:val="18"/>
                <w:szCs w:val="18"/>
                <w:lang w:val="es-CO"/>
              </w:rPr>
              <w:t>年</w:t>
            </w:r>
          </w:p>
        </w:tc>
      </w:tr>
      <w:tr w:rsidR="00A83775">
        <w:trPr>
          <w:jc w:val="center"/>
        </w:trPr>
        <w:tc>
          <w:tcPr>
            <w:tcW w:w="851" w:type="dxa"/>
          </w:tcPr>
          <w:p w:rsidR="00A83775" w:rsidRDefault="00A83775">
            <w:pPr>
              <w:pStyle w:val="SingleTxtG"/>
              <w:spacing w:line="320" w:lineRule="exact"/>
              <w:ind w:left="0" w:right="34"/>
              <w:rPr>
                <w:rFonts w:hint="eastAsia"/>
                <w:sz w:val="18"/>
                <w:szCs w:val="18"/>
                <w:lang w:val="es-CO"/>
              </w:rPr>
            </w:pPr>
            <w:r>
              <w:rPr>
                <w:rFonts w:hint="eastAsia"/>
                <w:sz w:val="18"/>
                <w:szCs w:val="18"/>
                <w:lang w:val="es-CO"/>
              </w:rPr>
              <w:pict>
                <v:shape id="_x0000_i1027" type="#_x0000_t75" style="width:9pt;height:8.25pt">
                  <v:imagedata r:id="rId10" o:title=""/>
                </v:shape>
              </w:pict>
            </w:r>
            <w:r>
              <w:rPr>
                <w:rFonts w:hint="eastAsia"/>
                <w:sz w:val="18"/>
                <w:szCs w:val="18"/>
                <w:lang w:val="es-CO"/>
              </w:rPr>
              <w:t>女生</w:t>
            </w:r>
          </w:p>
        </w:tc>
        <w:tc>
          <w:tcPr>
            <w:tcW w:w="851" w:type="dxa"/>
          </w:tcPr>
          <w:p w:rsidR="00A83775" w:rsidRDefault="00A83775">
            <w:pPr>
              <w:pStyle w:val="SingleTxtG"/>
              <w:spacing w:line="320" w:lineRule="exact"/>
              <w:ind w:left="0" w:right="34"/>
              <w:rPr>
                <w:rFonts w:hint="eastAsia"/>
                <w:sz w:val="18"/>
                <w:szCs w:val="18"/>
                <w:lang w:val="es-CO"/>
              </w:rPr>
            </w:pPr>
            <w:r>
              <w:rPr>
                <w:rFonts w:hint="eastAsia"/>
                <w:sz w:val="18"/>
                <w:szCs w:val="18"/>
                <w:lang w:val="es-CO"/>
              </w:rPr>
              <w:t>14 621</w:t>
            </w:r>
          </w:p>
        </w:tc>
        <w:tc>
          <w:tcPr>
            <w:tcW w:w="851" w:type="dxa"/>
          </w:tcPr>
          <w:p w:rsidR="00A83775" w:rsidRDefault="00A83775">
            <w:pPr>
              <w:pStyle w:val="SingleTxtG"/>
              <w:spacing w:line="320" w:lineRule="exact"/>
              <w:ind w:left="0" w:right="34"/>
              <w:rPr>
                <w:rFonts w:hint="eastAsia"/>
                <w:sz w:val="18"/>
                <w:szCs w:val="18"/>
                <w:lang w:val="es-CO"/>
              </w:rPr>
            </w:pPr>
            <w:r>
              <w:rPr>
                <w:rFonts w:hint="eastAsia"/>
                <w:sz w:val="18"/>
                <w:szCs w:val="18"/>
                <w:lang w:val="es-CO"/>
              </w:rPr>
              <w:t>12 383</w:t>
            </w:r>
          </w:p>
        </w:tc>
        <w:tc>
          <w:tcPr>
            <w:tcW w:w="851" w:type="dxa"/>
          </w:tcPr>
          <w:p w:rsidR="00A83775" w:rsidRDefault="00A83775">
            <w:pPr>
              <w:pStyle w:val="SingleTxtG"/>
              <w:spacing w:line="320" w:lineRule="exact"/>
              <w:ind w:left="0" w:right="34"/>
              <w:rPr>
                <w:rFonts w:hint="eastAsia"/>
                <w:sz w:val="18"/>
                <w:szCs w:val="18"/>
                <w:lang w:val="es-CO"/>
              </w:rPr>
            </w:pPr>
            <w:r>
              <w:rPr>
                <w:rFonts w:hint="eastAsia"/>
                <w:sz w:val="18"/>
                <w:szCs w:val="18"/>
                <w:lang w:val="es-CO"/>
              </w:rPr>
              <w:t>19 613</w:t>
            </w:r>
          </w:p>
        </w:tc>
        <w:tc>
          <w:tcPr>
            <w:tcW w:w="851" w:type="dxa"/>
          </w:tcPr>
          <w:p w:rsidR="00A83775" w:rsidRDefault="00A83775">
            <w:pPr>
              <w:pStyle w:val="SingleTxtG"/>
              <w:spacing w:line="320" w:lineRule="exact"/>
              <w:ind w:left="0" w:right="34"/>
              <w:rPr>
                <w:rFonts w:hint="eastAsia"/>
                <w:sz w:val="18"/>
                <w:szCs w:val="18"/>
                <w:lang w:val="es-CO"/>
              </w:rPr>
            </w:pPr>
            <w:r>
              <w:rPr>
                <w:rFonts w:hint="eastAsia"/>
                <w:sz w:val="18"/>
                <w:szCs w:val="18"/>
                <w:lang w:val="es-CO"/>
              </w:rPr>
              <w:t>28 674</w:t>
            </w:r>
          </w:p>
        </w:tc>
        <w:tc>
          <w:tcPr>
            <w:tcW w:w="851" w:type="dxa"/>
          </w:tcPr>
          <w:p w:rsidR="00A83775" w:rsidRDefault="00A83775">
            <w:pPr>
              <w:pStyle w:val="SingleTxtG"/>
              <w:spacing w:line="320" w:lineRule="exact"/>
              <w:ind w:left="0" w:right="34"/>
              <w:rPr>
                <w:rFonts w:hint="eastAsia"/>
                <w:sz w:val="18"/>
                <w:szCs w:val="18"/>
                <w:lang w:val="es-CO"/>
              </w:rPr>
            </w:pPr>
            <w:r>
              <w:rPr>
                <w:rFonts w:hint="eastAsia"/>
                <w:sz w:val="18"/>
                <w:szCs w:val="18"/>
                <w:lang w:val="es-CO"/>
              </w:rPr>
              <w:t>23 231</w:t>
            </w:r>
          </w:p>
        </w:tc>
        <w:tc>
          <w:tcPr>
            <w:tcW w:w="851" w:type="dxa"/>
          </w:tcPr>
          <w:p w:rsidR="00A83775" w:rsidRDefault="00A83775">
            <w:pPr>
              <w:pStyle w:val="SingleTxtG"/>
              <w:spacing w:line="320" w:lineRule="exact"/>
              <w:ind w:left="0" w:right="34"/>
              <w:rPr>
                <w:rFonts w:hint="eastAsia"/>
                <w:sz w:val="18"/>
                <w:szCs w:val="18"/>
                <w:lang w:val="es-CO"/>
              </w:rPr>
            </w:pPr>
            <w:r>
              <w:rPr>
                <w:rFonts w:hint="eastAsia"/>
                <w:sz w:val="18"/>
                <w:szCs w:val="18"/>
                <w:lang w:val="es-CO"/>
              </w:rPr>
              <w:t>24 169</w:t>
            </w:r>
          </w:p>
        </w:tc>
        <w:tc>
          <w:tcPr>
            <w:tcW w:w="851" w:type="dxa"/>
          </w:tcPr>
          <w:p w:rsidR="00A83775" w:rsidRDefault="00A83775">
            <w:pPr>
              <w:pStyle w:val="SingleTxtG"/>
              <w:spacing w:line="320" w:lineRule="exact"/>
              <w:ind w:left="0" w:right="34"/>
              <w:rPr>
                <w:rFonts w:hint="eastAsia"/>
                <w:sz w:val="18"/>
                <w:szCs w:val="18"/>
                <w:lang w:val="es-CO"/>
              </w:rPr>
            </w:pPr>
            <w:r>
              <w:rPr>
                <w:rFonts w:hint="eastAsia"/>
                <w:sz w:val="18"/>
                <w:szCs w:val="18"/>
                <w:lang w:val="es-CO"/>
              </w:rPr>
              <w:t>23 307</w:t>
            </w:r>
          </w:p>
        </w:tc>
      </w:tr>
      <w:tr w:rsidR="00A83775">
        <w:trPr>
          <w:jc w:val="center"/>
        </w:trPr>
        <w:tc>
          <w:tcPr>
            <w:tcW w:w="851" w:type="dxa"/>
          </w:tcPr>
          <w:p w:rsidR="00A83775" w:rsidRDefault="00A83775">
            <w:pPr>
              <w:pStyle w:val="SingleTxtG"/>
              <w:spacing w:line="320" w:lineRule="exact"/>
              <w:ind w:left="0" w:right="34"/>
              <w:rPr>
                <w:rFonts w:hint="eastAsia"/>
                <w:sz w:val="18"/>
                <w:szCs w:val="18"/>
                <w:lang w:val="es-CO"/>
              </w:rPr>
            </w:pPr>
            <w:r>
              <w:rPr>
                <w:rFonts w:hint="eastAsia"/>
                <w:sz w:val="18"/>
                <w:szCs w:val="18"/>
                <w:lang w:val="es-CO"/>
              </w:rPr>
              <w:pict>
                <v:shape id="_x0000_i1028" type="#_x0000_t75" style="width:9.75pt;height:8.25pt">
                  <v:imagedata r:id="rId11" o:title=""/>
                </v:shape>
              </w:pict>
            </w:r>
            <w:r>
              <w:rPr>
                <w:rFonts w:hint="eastAsia"/>
                <w:sz w:val="18"/>
                <w:szCs w:val="18"/>
                <w:lang w:val="es-CO"/>
              </w:rPr>
              <w:t>男生</w:t>
            </w:r>
          </w:p>
        </w:tc>
        <w:tc>
          <w:tcPr>
            <w:tcW w:w="851" w:type="dxa"/>
          </w:tcPr>
          <w:p w:rsidR="00A83775" w:rsidRDefault="00A83775">
            <w:pPr>
              <w:pStyle w:val="SingleTxtG"/>
              <w:spacing w:line="320" w:lineRule="exact"/>
              <w:ind w:left="0" w:right="34"/>
              <w:rPr>
                <w:rFonts w:hint="eastAsia"/>
                <w:sz w:val="18"/>
                <w:szCs w:val="18"/>
                <w:lang w:val="es-CO"/>
              </w:rPr>
            </w:pPr>
            <w:r>
              <w:rPr>
                <w:rFonts w:hint="eastAsia"/>
                <w:sz w:val="18"/>
                <w:szCs w:val="18"/>
                <w:lang w:val="es-CO"/>
              </w:rPr>
              <w:t>11 668</w:t>
            </w:r>
          </w:p>
        </w:tc>
        <w:tc>
          <w:tcPr>
            <w:tcW w:w="851" w:type="dxa"/>
          </w:tcPr>
          <w:p w:rsidR="00A83775" w:rsidRDefault="00A83775">
            <w:pPr>
              <w:pStyle w:val="SingleTxtG"/>
              <w:spacing w:line="320" w:lineRule="exact"/>
              <w:ind w:left="0" w:right="34"/>
              <w:rPr>
                <w:rFonts w:hint="eastAsia"/>
                <w:sz w:val="18"/>
                <w:szCs w:val="18"/>
                <w:lang w:val="es-CO"/>
              </w:rPr>
            </w:pPr>
            <w:r>
              <w:rPr>
                <w:rFonts w:hint="eastAsia"/>
                <w:sz w:val="18"/>
                <w:szCs w:val="18"/>
                <w:lang w:val="es-CO"/>
              </w:rPr>
              <w:t>9 878</w:t>
            </w:r>
          </w:p>
        </w:tc>
        <w:tc>
          <w:tcPr>
            <w:tcW w:w="851" w:type="dxa"/>
          </w:tcPr>
          <w:p w:rsidR="00A83775" w:rsidRDefault="00A83775">
            <w:pPr>
              <w:pStyle w:val="SingleTxtG"/>
              <w:spacing w:line="320" w:lineRule="exact"/>
              <w:ind w:left="0" w:right="34"/>
              <w:rPr>
                <w:rFonts w:hint="eastAsia"/>
                <w:sz w:val="18"/>
                <w:szCs w:val="18"/>
                <w:lang w:val="es-CO"/>
              </w:rPr>
            </w:pPr>
            <w:r>
              <w:rPr>
                <w:rFonts w:hint="eastAsia"/>
                <w:sz w:val="18"/>
                <w:szCs w:val="18"/>
                <w:lang w:val="es-CO"/>
              </w:rPr>
              <w:t>15 554</w:t>
            </w:r>
          </w:p>
        </w:tc>
        <w:tc>
          <w:tcPr>
            <w:tcW w:w="851" w:type="dxa"/>
          </w:tcPr>
          <w:p w:rsidR="00A83775" w:rsidRDefault="00A83775">
            <w:pPr>
              <w:pStyle w:val="SingleTxtG"/>
              <w:spacing w:line="320" w:lineRule="exact"/>
              <w:ind w:left="0" w:right="34"/>
              <w:rPr>
                <w:rFonts w:hint="eastAsia"/>
                <w:sz w:val="18"/>
                <w:szCs w:val="18"/>
                <w:lang w:val="es-CO"/>
              </w:rPr>
            </w:pPr>
            <w:r>
              <w:rPr>
                <w:rFonts w:hint="eastAsia"/>
                <w:sz w:val="18"/>
                <w:szCs w:val="18"/>
                <w:lang w:val="es-CO"/>
              </w:rPr>
              <w:t>22 964</w:t>
            </w:r>
          </w:p>
        </w:tc>
        <w:tc>
          <w:tcPr>
            <w:tcW w:w="851" w:type="dxa"/>
          </w:tcPr>
          <w:p w:rsidR="00A83775" w:rsidRDefault="00A83775">
            <w:pPr>
              <w:pStyle w:val="SingleTxtG"/>
              <w:spacing w:line="320" w:lineRule="exact"/>
              <w:ind w:left="0" w:right="34"/>
              <w:rPr>
                <w:rFonts w:hint="eastAsia"/>
                <w:sz w:val="18"/>
                <w:szCs w:val="18"/>
                <w:lang w:val="es-CO"/>
              </w:rPr>
            </w:pPr>
            <w:r>
              <w:rPr>
                <w:rFonts w:hint="eastAsia"/>
                <w:sz w:val="18"/>
                <w:szCs w:val="18"/>
                <w:lang w:val="es-CO"/>
              </w:rPr>
              <w:t>18 641</w:t>
            </w:r>
          </w:p>
        </w:tc>
        <w:tc>
          <w:tcPr>
            <w:tcW w:w="851" w:type="dxa"/>
          </w:tcPr>
          <w:p w:rsidR="00A83775" w:rsidRDefault="00A83775">
            <w:pPr>
              <w:pStyle w:val="SingleTxtG"/>
              <w:spacing w:line="320" w:lineRule="exact"/>
              <w:ind w:left="0" w:right="34"/>
              <w:rPr>
                <w:rFonts w:hint="eastAsia"/>
                <w:sz w:val="18"/>
                <w:szCs w:val="18"/>
                <w:lang w:val="es-CO"/>
              </w:rPr>
            </w:pPr>
            <w:r>
              <w:rPr>
                <w:rFonts w:hint="eastAsia"/>
                <w:sz w:val="18"/>
                <w:szCs w:val="18"/>
                <w:lang w:val="es-CO"/>
              </w:rPr>
              <w:t>19 638</w:t>
            </w:r>
          </w:p>
        </w:tc>
        <w:tc>
          <w:tcPr>
            <w:tcW w:w="851" w:type="dxa"/>
          </w:tcPr>
          <w:p w:rsidR="00A83775" w:rsidRDefault="00A83775">
            <w:pPr>
              <w:pStyle w:val="SingleTxtG"/>
              <w:spacing w:line="320" w:lineRule="exact"/>
              <w:ind w:left="0" w:right="34"/>
              <w:rPr>
                <w:rFonts w:hint="eastAsia"/>
                <w:sz w:val="18"/>
                <w:szCs w:val="18"/>
                <w:lang w:val="es-CO"/>
              </w:rPr>
            </w:pPr>
            <w:r>
              <w:rPr>
                <w:rFonts w:hint="eastAsia"/>
                <w:sz w:val="18"/>
                <w:szCs w:val="18"/>
                <w:lang w:val="es-CO"/>
              </w:rPr>
              <w:t>18 696</w:t>
            </w:r>
          </w:p>
        </w:tc>
      </w:tr>
    </w:tbl>
    <w:p w:rsidR="00A83775" w:rsidRDefault="00A83775">
      <w:pPr>
        <w:pStyle w:val="SingleTxtGC"/>
        <w:spacing w:after="0" w:line="200" w:lineRule="exact"/>
        <w:rPr>
          <w:rFonts w:hint="eastAsia"/>
        </w:rPr>
      </w:pPr>
    </w:p>
    <w:p w:rsidR="00A83775" w:rsidRDefault="00A83775">
      <w:pPr>
        <w:pStyle w:val="SingleTxtGC"/>
        <w:rPr>
          <w:rFonts w:hint="eastAsia"/>
        </w:rPr>
      </w:pPr>
      <w:r>
        <w:rPr>
          <w:rFonts w:eastAsia="KaiTi_GB2312" w:hint="eastAsia"/>
          <w:sz w:val="19"/>
          <w:szCs w:val="19"/>
        </w:rPr>
        <w:t>资料来源：</w:t>
      </w:r>
      <w:r>
        <w:rPr>
          <w:rFonts w:hint="eastAsia"/>
          <w:sz w:val="19"/>
          <w:szCs w:val="19"/>
        </w:rPr>
        <w:t>宋</w:t>
      </w:r>
      <w:r>
        <w:rPr>
          <w:rFonts w:hint="eastAsia"/>
          <w:sz w:val="19"/>
          <w:szCs w:val="19"/>
          <w:lang w:val="es-CO"/>
        </w:rPr>
        <w:t>哥伦比亚教育和学习信贷局－由妇女平等事务总统高级顾问办公室下属的两性问题观察站整理。</w:t>
      </w:r>
    </w:p>
    <w:p w:rsidR="00A83775" w:rsidRDefault="00A83775">
      <w:pPr>
        <w:pStyle w:val="SingleTxtGC"/>
        <w:rPr>
          <w:lang w:val="es-ES"/>
        </w:rPr>
      </w:pPr>
      <w:r>
        <w:rPr>
          <w:lang w:val="es-ES"/>
        </w:rPr>
        <w:t xml:space="preserve">308.  </w:t>
      </w:r>
      <w:r>
        <w:rPr>
          <w:rFonts w:hint="eastAsia"/>
          <w:lang w:val="es-ES"/>
        </w:rPr>
        <w:t>在</w:t>
      </w:r>
      <w:r>
        <w:rPr>
          <w:rFonts w:hint="eastAsia"/>
          <w:lang w:val="es-ES"/>
        </w:rPr>
        <w:t>2004</w:t>
      </w:r>
      <w:r>
        <w:rPr>
          <w:rFonts w:hint="eastAsia"/>
          <w:lang w:val="es-ES"/>
        </w:rPr>
        <w:t>至</w:t>
      </w:r>
      <w:r>
        <w:rPr>
          <w:rFonts w:hint="eastAsia"/>
          <w:lang w:val="es-ES"/>
        </w:rPr>
        <w:t>2010</w:t>
      </w:r>
      <w:r>
        <w:rPr>
          <w:rFonts w:hint="eastAsia"/>
          <w:lang w:val="es-ES"/>
        </w:rPr>
        <w:t>年期间，获</w:t>
      </w:r>
      <w:r>
        <w:rPr>
          <w:lang w:val="es-ES"/>
        </w:rPr>
        <w:t>ACCESS</w:t>
      </w:r>
      <w:r>
        <w:rPr>
          <w:rFonts w:hint="eastAsia"/>
          <w:lang w:val="es-ES"/>
        </w:rPr>
        <w:t>大学助学贷款</w:t>
      </w:r>
      <w:r>
        <w:rPr>
          <w:vertAlign w:val="superscript"/>
          <w:lang w:val="es-ES"/>
        </w:rPr>
        <w:footnoteReference w:id="149"/>
      </w:r>
      <w:r>
        <w:rPr>
          <w:lang w:val="es-ES"/>
        </w:rPr>
        <w:t xml:space="preserve"> </w:t>
      </w:r>
      <w:r>
        <w:rPr>
          <w:rFonts w:hint="eastAsia"/>
          <w:lang w:val="es-ES"/>
        </w:rPr>
        <w:t>的受益女生人数超过了男生。</w:t>
      </w:r>
      <w:r>
        <w:rPr>
          <w:rFonts w:hint="eastAsia"/>
          <w:lang w:val="es-ES"/>
        </w:rPr>
        <w:t>2010</w:t>
      </w:r>
      <w:r>
        <w:rPr>
          <w:rFonts w:hint="eastAsia"/>
          <w:lang w:val="es-ES"/>
        </w:rPr>
        <w:t>年当年批准了</w:t>
      </w:r>
      <w:r>
        <w:rPr>
          <w:rFonts w:hint="eastAsia"/>
          <w:lang w:val="es-ES"/>
        </w:rPr>
        <w:t>42</w:t>
      </w:r>
      <w:r>
        <w:rPr>
          <w:lang w:val="es-ES"/>
        </w:rPr>
        <w:t>,</w:t>
      </w:r>
      <w:r>
        <w:rPr>
          <w:rFonts w:hint="eastAsia"/>
          <w:lang w:val="es-ES"/>
        </w:rPr>
        <w:t>003</w:t>
      </w:r>
      <w:r>
        <w:rPr>
          <w:rFonts w:hint="eastAsia"/>
          <w:lang w:val="es-ES"/>
        </w:rPr>
        <w:t>笔，其中</w:t>
      </w:r>
      <w:r>
        <w:rPr>
          <w:rFonts w:hint="eastAsia"/>
          <w:lang w:val="es-ES"/>
        </w:rPr>
        <w:t>55%</w:t>
      </w:r>
      <w:r>
        <w:rPr>
          <w:rFonts w:hint="eastAsia"/>
          <w:lang w:val="es-ES"/>
        </w:rPr>
        <w:t>（</w:t>
      </w:r>
      <w:r>
        <w:rPr>
          <w:rFonts w:hint="eastAsia"/>
          <w:lang w:val="es-ES"/>
        </w:rPr>
        <w:t>23</w:t>
      </w:r>
      <w:r>
        <w:rPr>
          <w:lang w:val="es-ES"/>
        </w:rPr>
        <w:t>,</w:t>
      </w:r>
      <w:r>
        <w:rPr>
          <w:rFonts w:hint="eastAsia"/>
          <w:lang w:val="es-ES"/>
        </w:rPr>
        <w:t>307</w:t>
      </w:r>
      <w:r>
        <w:rPr>
          <w:rFonts w:hint="eastAsia"/>
          <w:lang w:val="es-ES"/>
        </w:rPr>
        <w:t>笔）分发给了女生。</w:t>
      </w:r>
    </w:p>
    <w:p w:rsidR="00A83775" w:rsidRDefault="00A83775">
      <w:pPr>
        <w:pStyle w:val="H23GC"/>
        <w:rPr>
          <w:lang w:val="es-CO"/>
        </w:rPr>
      </w:pPr>
      <w:r>
        <w:rPr>
          <w:lang w:val="es-CO"/>
        </w:rPr>
        <w:tab/>
      </w:r>
      <w:r>
        <w:rPr>
          <w:lang w:val="es-CO"/>
        </w:rPr>
        <w:tab/>
      </w:r>
      <w:r>
        <w:rPr>
          <w:rFonts w:hint="eastAsia"/>
          <w:lang w:val="es-CO"/>
        </w:rPr>
        <w:t>在专业和职业培训方面给予男生和女生指导</w:t>
      </w:r>
    </w:p>
    <w:p w:rsidR="00A83775" w:rsidRDefault="00A83775">
      <w:pPr>
        <w:pStyle w:val="SingleTxtGC"/>
        <w:rPr>
          <w:lang w:val="zh-CN"/>
        </w:rPr>
      </w:pPr>
      <w:r>
        <w:rPr>
          <w:lang w:val="es-CO"/>
        </w:rPr>
        <w:t xml:space="preserve">309.  </w:t>
      </w:r>
      <w:r>
        <w:rPr>
          <w:rFonts w:hint="eastAsia"/>
          <w:lang w:val="es-CO"/>
        </w:rPr>
        <w:t>为向年轻人提供更多与区域经济有关的高等教育专业选择方面的资讯，发展各类资助方式，鼓励政府机关和私人机构参与当地高等教育机关推行的各类方案，为当地年轻人提供更多劳动机会，以促进其发展，国家教育部推行了“专业定位”方案，这一方案的开展得到了各地教育厅、哥伦比亚教育和学习信贷局以及其他</w:t>
      </w:r>
      <w:r>
        <w:rPr>
          <w:rFonts w:hint="eastAsia"/>
          <w:lang w:val="zh-CN"/>
        </w:rPr>
        <w:t>金融实体和教育信贷机构（各类家庭福利类金融机关、各省市对高等教育给予资助的集团企业、银行、基金，基金会或企业联合会）的共同支持。共和国总统府各部门、社会行动署和综合行动协调中心、青年事务委员会以及高等教育机关主管单位在</w:t>
      </w:r>
      <w:r>
        <w:rPr>
          <w:rFonts w:hint="eastAsia"/>
          <w:lang w:val="zh-CN"/>
        </w:rPr>
        <w:t>2006-2009</w:t>
      </w:r>
      <w:r>
        <w:rPr>
          <w:rFonts w:hint="eastAsia"/>
          <w:lang w:val="zh-CN"/>
        </w:rPr>
        <w:t>年期间共举办了</w:t>
      </w:r>
      <w:r>
        <w:rPr>
          <w:rFonts w:hint="eastAsia"/>
          <w:lang w:val="zh-CN"/>
        </w:rPr>
        <w:t>202</w:t>
      </w:r>
      <w:r>
        <w:rPr>
          <w:rFonts w:hint="eastAsia"/>
          <w:lang w:val="zh-CN"/>
        </w:rPr>
        <w:t>次学生宣讲会，参与学生人数达到了</w:t>
      </w:r>
      <w:r>
        <w:rPr>
          <w:rFonts w:hint="eastAsia"/>
          <w:lang w:val="zh-CN"/>
        </w:rPr>
        <w:t>530</w:t>
      </w:r>
      <w:r>
        <w:t>,</w:t>
      </w:r>
      <w:r>
        <w:rPr>
          <w:rFonts w:hint="eastAsia"/>
          <w:lang w:val="zh-CN"/>
        </w:rPr>
        <w:t>000</w:t>
      </w:r>
      <w:r>
        <w:rPr>
          <w:rFonts w:hint="eastAsia"/>
          <w:lang w:val="zh-CN"/>
        </w:rPr>
        <w:t>人，他们都是来自全国</w:t>
      </w:r>
      <w:r>
        <w:rPr>
          <w:rFonts w:hint="eastAsia"/>
          <w:lang w:val="zh-CN"/>
        </w:rPr>
        <w:t>31</w:t>
      </w:r>
      <w:r>
        <w:rPr>
          <w:rFonts w:hint="eastAsia"/>
          <w:lang w:val="zh-CN"/>
        </w:rPr>
        <w:t>个省份的高年级初中生及高中生。</w:t>
      </w:r>
    </w:p>
    <w:p w:rsidR="00A83775" w:rsidRDefault="00A83775">
      <w:pPr>
        <w:pStyle w:val="SingleTxtGC"/>
        <w:rPr>
          <w:lang w:val="es-CO"/>
        </w:rPr>
      </w:pPr>
      <w:r>
        <w:rPr>
          <w:lang w:val="zh-CN"/>
        </w:rPr>
        <w:t xml:space="preserve">310.  </w:t>
      </w:r>
      <w:r>
        <w:rPr>
          <w:rFonts w:hint="eastAsia"/>
          <w:lang w:val="zh-CN"/>
        </w:rPr>
        <w:t>这一战略已经成为一项有利于推进教育部开展的各类区域化项目和战略的重要手段，以便将高等教育工作落实到地方。信息和通信技术的引入以及通过门户网站“哥伦比亚学习网”所开展的工作，在年轻人填报专业时发挥了关键作用并为其选定专业提供了帮助；但是，这一方案仍希望扩大其覆盖面，让各地教育厅及其各自的职业指导方案也加入到这一方案中来。这样，就可以让更多的年轻人接受高等教育</w:t>
      </w:r>
      <w:r>
        <w:rPr>
          <w:rFonts w:hint="eastAsia"/>
          <w:lang w:val="es-CO"/>
        </w:rPr>
        <w:t>，并掌握更多城市的相关信息，让年轻人能够获得方案所提供的资助机会并能够在劳动力市场是作出更好的选择，除此之外，还能更好地发挥高等教育对其个人发展和家庭发展的附加值。</w:t>
      </w:r>
    </w:p>
    <w:p w:rsidR="00A83775" w:rsidRDefault="00A83775">
      <w:pPr>
        <w:pStyle w:val="H23GC"/>
        <w:rPr>
          <w:u w:val="single"/>
          <w:lang w:val="es-ES"/>
        </w:rPr>
      </w:pPr>
      <w:r>
        <w:rPr>
          <w:lang w:val="es-ES"/>
        </w:rPr>
        <w:tab/>
      </w:r>
      <w:r>
        <w:rPr>
          <w:lang w:val="es-ES"/>
        </w:rPr>
        <w:tab/>
      </w:r>
      <w:r>
        <w:rPr>
          <w:rFonts w:hint="eastAsia"/>
          <w:lang w:val="es-ES"/>
        </w:rPr>
        <w:t>综合性职业教育</w:t>
      </w:r>
    </w:p>
    <w:p w:rsidR="00A83775" w:rsidRDefault="00A83775">
      <w:pPr>
        <w:pStyle w:val="SingleTxtGC"/>
        <w:rPr>
          <w:lang w:val="zh-CN"/>
        </w:rPr>
      </w:pPr>
      <w:r>
        <w:rPr>
          <w:lang w:val="es-ES"/>
        </w:rPr>
        <w:t xml:space="preserve">311.  </w:t>
      </w:r>
      <w:r>
        <w:rPr>
          <w:rFonts w:hint="eastAsia"/>
          <w:lang w:val="es-ES"/>
        </w:rPr>
        <w:t>由国家学徒服务局提供的免费综合性职业培训，是通过一项教育程序开展实施的，旨在引导学生具备技术知识和技能并树立起正确的社会生存态度和价值观，帮助个人更</w:t>
      </w:r>
      <w:r>
        <w:rPr>
          <w:rFonts w:hint="eastAsia"/>
          <w:lang w:val="zh-CN"/>
        </w:rPr>
        <w:t>好地从事生产劳动。</w:t>
      </w:r>
      <w:r>
        <w:rPr>
          <w:vertAlign w:val="superscript"/>
          <w:lang w:val="zh-CN"/>
        </w:rPr>
        <w:footnoteReference w:id="150"/>
      </w:r>
      <w:r>
        <w:t xml:space="preserve"> </w:t>
      </w:r>
      <w:r>
        <w:rPr>
          <w:rFonts w:hint="eastAsia"/>
          <w:lang w:val="zh-CN"/>
        </w:rPr>
        <w:t>接受过国家学徒服务局的综合性职业培训的人员可获得能力认证，证实其具备开展某一专业或专业领域的工作的资质，可从事企业的创建、转型、维持经营和提供商品和劳务的相关工作，或者能够从事个体劳动。</w:t>
      </w:r>
    </w:p>
    <w:p w:rsidR="00A83775" w:rsidRDefault="00A83775">
      <w:pPr>
        <w:pStyle w:val="SingleTxtGC"/>
        <w:rPr>
          <w:lang w:val="es-ES"/>
        </w:rPr>
      </w:pPr>
      <w:r>
        <w:rPr>
          <w:lang w:val="zh-CN"/>
        </w:rPr>
        <w:t xml:space="preserve">312.  </w:t>
      </w:r>
      <w:r>
        <w:rPr>
          <w:rFonts w:hint="eastAsia"/>
          <w:lang w:val="zh-CN"/>
        </w:rPr>
        <w:t>培训内容分</w:t>
      </w:r>
      <w:r>
        <w:rPr>
          <w:rFonts w:hint="eastAsia"/>
          <w:lang w:val="es-ES"/>
        </w:rPr>
        <w:t>为两类：</w:t>
      </w:r>
      <w:r>
        <w:rPr>
          <w:lang w:val="es-ES"/>
        </w:rPr>
        <w:t xml:space="preserve"> </w:t>
      </w:r>
    </w:p>
    <w:p w:rsidR="00A83775" w:rsidRDefault="00A83775">
      <w:pPr>
        <w:pStyle w:val="SingleTxtGC"/>
        <w:numPr>
          <w:ilvl w:val="0"/>
          <w:numId w:val="49"/>
        </w:numPr>
        <w:rPr>
          <w:lang w:val="es-ES"/>
        </w:rPr>
      </w:pPr>
      <w:r>
        <w:rPr>
          <w:rFonts w:eastAsia="KaiTi_GB2312" w:hint="eastAsia"/>
          <w:lang w:val="es-ES"/>
        </w:rPr>
        <w:t>正规培训</w:t>
      </w:r>
      <w:r>
        <w:rPr>
          <w:rFonts w:hint="eastAsia"/>
          <w:lang w:val="es-ES"/>
        </w:rPr>
        <w:t>：旨在培养新手的业务操作方面的专业技术和技能，储备新劳动力；</w:t>
      </w:r>
    </w:p>
    <w:p w:rsidR="00A83775" w:rsidRDefault="00A83775">
      <w:pPr>
        <w:pStyle w:val="SingleTxtGC"/>
        <w:numPr>
          <w:ilvl w:val="0"/>
          <w:numId w:val="49"/>
        </w:numPr>
        <w:rPr>
          <w:lang w:val="es-ES"/>
        </w:rPr>
      </w:pPr>
      <w:r>
        <w:rPr>
          <w:rFonts w:eastAsia="KaiTi_GB2312" w:hint="eastAsia"/>
          <w:lang w:val="es-ES"/>
        </w:rPr>
        <w:t>进修培训</w:t>
      </w:r>
      <w:r>
        <w:rPr>
          <w:rFonts w:hint="eastAsia"/>
          <w:lang w:val="es-ES"/>
        </w:rPr>
        <w:t>：旨在更新和提高相关劳动者的知识和技能；以及使失业者的知识和技能得到提升，以便重新找到工作。</w:t>
      </w:r>
    </w:p>
    <w:p w:rsidR="00A83775" w:rsidRDefault="00A83775">
      <w:pPr>
        <w:pStyle w:val="SingleTxtGC"/>
        <w:rPr>
          <w:rFonts w:hint="eastAsia"/>
          <w:spacing w:val="-4"/>
          <w:lang w:val="es-ES"/>
        </w:rPr>
      </w:pPr>
      <w:r>
        <w:rPr>
          <w:lang w:val="es-ES"/>
        </w:rPr>
        <w:t xml:space="preserve">313.  </w:t>
      </w:r>
      <w:r>
        <w:rPr>
          <w:rFonts w:hint="eastAsia"/>
          <w:spacing w:val="-4"/>
          <w:lang w:val="es-ES"/>
        </w:rPr>
        <w:t>国家学徒服务局还开发了其他一些教育活动，例如青年在行动计划和农村青年计划，通过这些活动提高妇女的地位和参与度，详情可参阅本条对应的附件</w:t>
      </w:r>
      <w:r>
        <w:rPr>
          <w:rFonts w:hint="eastAsia"/>
          <w:spacing w:val="-4"/>
          <w:lang w:val="es-ES"/>
        </w:rPr>
        <w:t>6</w:t>
      </w:r>
      <w:r>
        <w:rPr>
          <w:rFonts w:hint="eastAsia"/>
          <w:spacing w:val="-4"/>
          <w:lang w:val="es-ES"/>
        </w:rPr>
        <w:t>。</w:t>
      </w:r>
    </w:p>
    <w:p w:rsidR="00A83775" w:rsidRDefault="00A83775">
      <w:pPr>
        <w:pStyle w:val="H23GC"/>
        <w:rPr>
          <w:lang w:val="es-CO"/>
        </w:rPr>
      </w:pPr>
      <w:r>
        <w:rPr>
          <w:lang w:val="es-CO"/>
        </w:rPr>
        <w:tab/>
      </w:r>
      <w:r>
        <w:rPr>
          <w:lang w:val="es-CO"/>
        </w:rPr>
        <w:tab/>
      </w:r>
      <w:r>
        <w:rPr>
          <w:rFonts w:hint="eastAsia"/>
          <w:lang w:val="es-CO"/>
        </w:rPr>
        <w:t>性教育和公民建设教育方案</w:t>
      </w:r>
    </w:p>
    <w:p w:rsidR="00A83775" w:rsidRDefault="00A83775">
      <w:pPr>
        <w:pStyle w:val="SingleTxtGC"/>
      </w:pPr>
      <w:r>
        <w:rPr>
          <w:lang w:val="es-CO"/>
        </w:rPr>
        <w:t xml:space="preserve">314.  </w:t>
      </w:r>
      <w:r>
        <w:rPr>
          <w:rFonts w:hint="eastAsia"/>
          <w:lang w:val="es-CO"/>
        </w:rPr>
        <w:t>这一方案旨在从对教育工作者和教育机构的长期培训程序入手，帮助开发男童</w:t>
      </w:r>
      <w:r>
        <w:rPr>
          <w:rFonts w:hint="eastAsia"/>
          <w:lang w:val="zh-CN"/>
        </w:rPr>
        <w:t>、女童、青少年和年轻人的公民意识和基本权利意识，通过各类教育活动来使其掌握相应的知识，对情感有正确的认知并具备情商和交际能力。</w:t>
      </w:r>
    </w:p>
    <w:p w:rsidR="00A83775" w:rsidRDefault="00A83775">
      <w:pPr>
        <w:pStyle w:val="SingleTxtGC"/>
        <w:rPr>
          <w:lang w:val="zh-CN"/>
        </w:rPr>
      </w:pPr>
      <w:r>
        <w:rPr>
          <w:lang w:val="zh-CN"/>
        </w:rPr>
        <w:t xml:space="preserve">315.  </w:t>
      </w:r>
      <w:r>
        <w:rPr>
          <w:rFonts w:hint="eastAsia"/>
          <w:lang w:val="zh-CN"/>
        </w:rPr>
        <w:t>方案希望让男童、女童、青少年和年轻人认识到，他们对其自己的身体具有完全的支配权，任何人未经其同意不得与其发生性关系；并且在其自身或他人的性权利遭受侵犯时可以向专管这一事务的人员或机构救助；让他们了解到他们有权免受一切压迫和性暴力，并有权遵从自己的决定，选择健康、体面和负责任的性生活，以丰富其自身和其他人的人生规划；并且有能力采取行动，以便使其自身以及其他任何人都不会被控制进行有损其身心完整性和社会完整性的性行为。这一方案立足于人权，力争让所有人都享有同等权利，同时尊重其各自的身份特性和差异性。</w:t>
      </w:r>
    </w:p>
    <w:p w:rsidR="00A83775" w:rsidRDefault="00A83775">
      <w:pPr>
        <w:pStyle w:val="SingleTxtGC"/>
        <w:rPr>
          <w:bCs/>
          <w:lang w:val="es-CO"/>
        </w:rPr>
      </w:pPr>
      <w:r>
        <w:rPr>
          <w:lang w:val="zh-CN"/>
        </w:rPr>
        <w:t xml:space="preserve">316.  </w:t>
      </w:r>
      <w:r>
        <w:rPr>
          <w:rFonts w:hint="eastAsia"/>
          <w:lang w:val="zh-CN"/>
        </w:rPr>
        <w:t>这一方案是在地方一级的教育主管部门的领导下开展实施的，各地教育厅负责指导和监督相关性教育教学大纲的开发。当前</w:t>
      </w:r>
      <w:r>
        <w:rPr>
          <w:rFonts w:hint="eastAsia"/>
          <w:lang w:val="zh-CN"/>
        </w:rPr>
        <w:t>95</w:t>
      </w:r>
      <w:r>
        <w:rPr>
          <w:rFonts w:hint="eastAsia"/>
          <w:lang w:val="zh-CN"/>
        </w:rPr>
        <w:t>家地方教育局中已有</w:t>
      </w:r>
      <w:r>
        <w:rPr>
          <w:rFonts w:hint="eastAsia"/>
          <w:lang w:val="zh-CN"/>
        </w:rPr>
        <w:t>71</w:t>
      </w:r>
      <w:r>
        <w:rPr>
          <w:rFonts w:hint="eastAsia"/>
          <w:lang w:val="zh-CN"/>
        </w:rPr>
        <w:t>家实施了这一方案，</w:t>
      </w:r>
      <w:r>
        <w:rPr>
          <w:rFonts w:hint="eastAsia"/>
          <w:lang w:val="zh-CN"/>
        </w:rPr>
        <w:t>2</w:t>
      </w:r>
      <w:r>
        <w:t>,</w:t>
      </w:r>
      <w:r>
        <w:rPr>
          <w:rFonts w:hint="eastAsia"/>
          <w:lang w:val="zh-CN"/>
        </w:rPr>
        <w:t>390</w:t>
      </w:r>
      <w:r>
        <w:rPr>
          <w:rFonts w:hint="eastAsia"/>
          <w:lang w:val="zh-CN"/>
        </w:rPr>
        <w:t>家教育机构正在制定性教育和公民建设教育的教学方案，现已出台的</w:t>
      </w:r>
      <w:r>
        <w:rPr>
          <w:rFonts w:hint="eastAsia"/>
          <w:lang w:val="es-CO"/>
        </w:rPr>
        <w:t>教学方案已有</w:t>
      </w:r>
      <w:r>
        <w:rPr>
          <w:rFonts w:hint="eastAsia"/>
          <w:lang w:val="es-CO"/>
        </w:rPr>
        <w:t>1</w:t>
      </w:r>
      <w:r>
        <w:rPr>
          <w:lang w:val="es-CO"/>
        </w:rPr>
        <w:t>,</w:t>
      </w:r>
      <w:r>
        <w:rPr>
          <w:rFonts w:hint="eastAsia"/>
          <w:lang w:val="es-CO"/>
        </w:rPr>
        <w:t>263</w:t>
      </w:r>
      <w:r>
        <w:rPr>
          <w:rFonts w:hint="eastAsia"/>
          <w:lang w:val="es-CO"/>
        </w:rPr>
        <w:t>个。国家教育部的质量监控局就方案的相关内容对相应操作者进行了培训。</w:t>
      </w:r>
    </w:p>
    <w:p w:rsidR="00A83775" w:rsidRDefault="00A83775">
      <w:pPr>
        <w:pStyle w:val="H23GC"/>
        <w:rPr>
          <w:lang w:val="es-CO"/>
        </w:rPr>
      </w:pPr>
      <w:r>
        <w:rPr>
          <w:lang w:val="es-CO"/>
        </w:rPr>
        <w:tab/>
      </w:r>
      <w:r>
        <w:rPr>
          <w:lang w:val="es-CO"/>
        </w:rPr>
        <w:tab/>
      </w:r>
      <w:r>
        <w:rPr>
          <w:rFonts w:hint="eastAsia"/>
          <w:lang w:val="es-CO"/>
        </w:rPr>
        <w:t>保障弱势人群的权利</w:t>
      </w:r>
    </w:p>
    <w:p w:rsidR="00A83775" w:rsidRDefault="00A83775">
      <w:pPr>
        <w:pStyle w:val="SingleTxtGC"/>
        <w:rPr>
          <w:lang w:val="zh-CN"/>
        </w:rPr>
      </w:pPr>
      <w:r>
        <w:rPr>
          <w:lang w:val="es-CO"/>
        </w:rPr>
        <w:t xml:space="preserve">317.  </w:t>
      </w:r>
      <w:r>
        <w:rPr>
          <w:rFonts w:hint="eastAsia"/>
          <w:lang w:val="es-CO"/>
        </w:rPr>
        <w:t>在追求全民教育的过程中，这一政策的工作重心在于将弱势群体纳入其中。最突出成就是使</w:t>
      </w:r>
      <w:r>
        <w:rPr>
          <w:rFonts w:hint="eastAsia"/>
          <w:lang w:val="es-CO"/>
        </w:rPr>
        <w:t>5</w:t>
      </w:r>
      <w:r>
        <w:rPr>
          <w:rFonts w:hint="eastAsia"/>
          <w:lang w:val="es-CO"/>
        </w:rPr>
        <w:t>至</w:t>
      </w:r>
      <w:r>
        <w:rPr>
          <w:rFonts w:hint="eastAsia"/>
          <w:lang w:val="es-CO"/>
        </w:rPr>
        <w:t>17</w:t>
      </w:r>
      <w:r>
        <w:rPr>
          <w:rFonts w:hint="eastAsia"/>
          <w:lang w:val="es-CO"/>
        </w:rPr>
        <w:t>岁年龄段的流离失所人口中的</w:t>
      </w:r>
      <w:r>
        <w:rPr>
          <w:rFonts w:hint="eastAsia"/>
          <w:lang w:val="es-CO"/>
        </w:rPr>
        <w:t>86.5%</w:t>
      </w:r>
      <w:r>
        <w:rPr>
          <w:rFonts w:hint="eastAsia"/>
          <w:lang w:val="es-CO"/>
        </w:rPr>
        <w:t>得到了照顾。同</w:t>
      </w:r>
      <w:r>
        <w:rPr>
          <w:rFonts w:hint="eastAsia"/>
          <w:lang w:val="zh-CN"/>
        </w:rPr>
        <w:t>样，通过课堂整治措施，在</w:t>
      </w:r>
      <w:r>
        <w:rPr>
          <w:rFonts w:hint="eastAsia"/>
          <w:lang w:val="zh-CN"/>
        </w:rPr>
        <w:t>2010</w:t>
      </w:r>
      <w:r>
        <w:rPr>
          <w:rFonts w:hint="eastAsia"/>
          <w:lang w:val="zh-CN"/>
        </w:rPr>
        <w:t>年使残疾学生的入学人数达到了</w:t>
      </w:r>
      <w:r>
        <w:rPr>
          <w:rFonts w:hint="eastAsia"/>
          <w:lang w:val="zh-CN"/>
        </w:rPr>
        <w:t>107 258</w:t>
      </w:r>
      <w:r>
        <w:rPr>
          <w:rFonts w:hint="eastAsia"/>
          <w:lang w:val="zh-CN"/>
        </w:rPr>
        <w:t>人，从入学率上看，自</w:t>
      </w:r>
      <w:r>
        <w:rPr>
          <w:rFonts w:hint="eastAsia"/>
          <w:lang w:val="zh-CN"/>
        </w:rPr>
        <w:t>2006</w:t>
      </w:r>
      <w:r>
        <w:rPr>
          <w:rFonts w:hint="eastAsia"/>
          <w:lang w:val="zh-CN"/>
        </w:rPr>
        <w:t>年以来实现了</w:t>
      </w:r>
      <w:r>
        <w:rPr>
          <w:rFonts w:hint="eastAsia"/>
          <w:lang w:val="zh-CN"/>
        </w:rPr>
        <w:t>24%</w:t>
      </w:r>
      <w:r>
        <w:rPr>
          <w:rFonts w:hint="eastAsia"/>
          <w:lang w:val="zh-CN"/>
        </w:rPr>
        <w:t>的增幅。在本条对应的附件</w:t>
      </w:r>
      <w:r>
        <w:rPr>
          <w:rFonts w:hint="eastAsia"/>
          <w:lang w:val="zh-CN"/>
        </w:rPr>
        <w:t>2</w:t>
      </w:r>
      <w:r>
        <w:rPr>
          <w:rFonts w:hint="eastAsia"/>
          <w:lang w:val="zh-CN"/>
        </w:rPr>
        <w:t>中介绍了能够反映出这些进步的一些指标。</w:t>
      </w:r>
    </w:p>
    <w:p w:rsidR="00A83775" w:rsidRDefault="00A83775">
      <w:pPr>
        <w:pStyle w:val="SingleTxtGC"/>
        <w:rPr>
          <w:rFonts w:hint="eastAsia"/>
          <w:lang w:val="es-CO"/>
        </w:rPr>
      </w:pPr>
      <w:r>
        <w:rPr>
          <w:lang w:val="zh-CN"/>
        </w:rPr>
        <w:t xml:space="preserve">318.  </w:t>
      </w:r>
      <w:r>
        <w:rPr>
          <w:rFonts w:hint="eastAsia"/>
          <w:lang w:val="zh-CN"/>
        </w:rPr>
        <w:t>另一方面，宪法法院针对被迫流离失所现象采取了相应的对策，值得一提的有：</w:t>
      </w:r>
      <w:r>
        <w:rPr>
          <w:rFonts w:hint="eastAsia"/>
          <w:lang w:val="zh-CN"/>
        </w:rPr>
        <w:t>2004</w:t>
      </w:r>
      <w:r>
        <w:rPr>
          <w:rFonts w:hint="eastAsia"/>
          <w:lang w:val="zh-CN"/>
        </w:rPr>
        <w:t>年的第</w:t>
      </w:r>
      <w:r>
        <w:rPr>
          <w:rFonts w:hint="eastAsia"/>
          <w:lang w:val="zh-CN"/>
        </w:rPr>
        <w:t>T-025</w:t>
      </w:r>
      <w:r>
        <w:rPr>
          <w:rFonts w:hint="eastAsia"/>
          <w:lang w:val="zh-CN"/>
        </w:rPr>
        <w:t>号关于流离失所妇女的教育权利的判决，法院责令制定并实施针对</w:t>
      </w:r>
      <w:r>
        <w:rPr>
          <w:rFonts w:hint="eastAsia"/>
          <w:lang w:val="zh-CN"/>
        </w:rPr>
        <w:t>15</w:t>
      </w:r>
      <w:r>
        <w:rPr>
          <w:rFonts w:hint="eastAsia"/>
          <w:lang w:val="zh-CN"/>
        </w:rPr>
        <w:t>岁以上流离失所妇女的教育方案；通过</w:t>
      </w:r>
      <w:r>
        <w:rPr>
          <w:rFonts w:hint="eastAsia"/>
          <w:lang w:val="zh-CN"/>
        </w:rPr>
        <w:t>2008</w:t>
      </w:r>
      <w:r>
        <w:rPr>
          <w:rFonts w:hint="eastAsia"/>
          <w:lang w:val="zh-CN"/>
        </w:rPr>
        <w:t>年的第</w:t>
      </w:r>
      <w:r>
        <w:rPr>
          <w:rFonts w:hint="eastAsia"/>
          <w:lang w:val="zh-CN"/>
        </w:rPr>
        <w:t>092</w:t>
      </w:r>
      <w:r>
        <w:rPr>
          <w:rFonts w:hint="eastAsia"/>
          <w:lang w:val="zh-CN"/>
        </w:rPr>
        <w:t>号裁决认定了在这一权利保障方面的若干空白；以及</w:t>
      </w:r>
      <w:r>
        <w:rPr>
          <w:rFonts w:hint="eastAsia"/>
          <w:lang w:val="zh-CN"/>
        </w:rPr>
        <w:t>2009</w:t>
      </w:r>
      <w:r>
        <w:rPr>
          <w:rFonts w:hint="eastAsia"/>
          <w:lang w:val="zh-CN"/>
        </w:rPr>
        <w:t>年的第</w:t>
      </w:r>
      <w:r>
        <w:rPr>
          <w:rFonts w:hint="eastAsia"/>
          <w:lang w:val="zh-CN"/>
        </w:rPr>
        <w:t>237</w:t>
      </w:r>
      <w:r>
        <w:rPr>
          <w:rFonts w:hint="eastAsia"/>
          <w:lang w:val="zh-CN"/>
        </w:rPr>
        <w:t>号裁决，通过这一裁决采</w:t>
      </w:r>
      <w:r>
        <w:rPr>
          <w:rFonts w:hint="eastAsia"/>
          <w:lang w:val="es-CO"/>
        </w:rPr>
        <w:t>纳了关注流离失所妇女问题的相关组织提出的方针，国家政府据此开展了以下行动：</w:t>
      </w:r>
    </w:p>
    <w:p w:rsidR="00A83775" w:rsidRDefault="00A83775">
      <w:pPr>
        <w:pStyle w:val="SingleTxtGC"/>
        <w:numPr>
          <w:ilvl w:val="0"/>
          <w:numId w:val="50"/>
        </w:numPr>
        <w:rPr>
          <w:lang w:val="es-ES_tradnl"/>
        </w:rPr>
      </w:pPr>
      <w:r>
        <w:rPr>
          <w:rFonts w:hint="eastAsia"/>
          <w:lang w:val="es-ES_tradnl"/>
        </w:rPr>
        <w:t>教育部门扩展了其教育范围，通过传统教育与灵活的教育模式相结合的方式，对流离失所人口和弱势群体进行照顾。在教育模式中纳入了有助于认定被排除在教育服务之外的人口的战略以及有助于让学生坚持学业以及提高教育质量的战略，主要包括心理辅导、学校供餐和发放学习用品等方式。同时，通过各项旨在提高教育质量的战略完善对弱势群体的照顾，为此推行的主要项目有：性教育和公民建设教育；关于行使人权的教育和环境教育；</w:t>
      </w:r>
    </w:p>
    <w:p w:rsidR="00A83775" w:rsidRDefault="00A83775">
      <w:pPr>
        <w:pStyle w:val="SingleTxtGC"/>
        <w:numPr>
          <w:ilvl w:val="0"/>
          <w:numId w:val="50"/>
        </w:numPr>
        <w:rPr>
          <w:lang w:val="es-ES_tradnl"/>
        </w:rPr>
      </w:pPr>
      <w:r>
        <w:rPr>
          <w:rFonts w:hint="eastAsia"/>
          <w:lang w:val="es-ES_tradnl"/>
        </w:rPr>
        <w:t>实施并不断完善针对</w:t>
      </w:r>
      <w:r>
        <w:rPr>
          <w:rFonts w:hint="eastAsia"/>
          <w:lang w:val="es-ES_tradnl"/>
        </w:rPr>
        <w:t>15</w:t>
      </w:r>
      <w:r>
        <w:rPr>
          <w:rFonts w:hint="eastAsia"/>
          <w:lang w:val="es-ES_tradnl"/>
        </w:rPr>
        <w:t>岁以上流离失所妇女的教育支持方案，其根本目的就是使这一女性群体有机会以平等方式接受素质教育并坚持完成学业。在对《公约》本条的执行情况对应的附件</w:t>
      </w:r>
      <w:r>
        <w:rPr>
          <w:rFonts w:hint="eastAsia"/>
          <w:lang w:val="es-ES_tradnl"/>
        </w:rPr>
        <w:t>3</w:t>
      </w:r>
      <w:r>
        <w:rPr>
          <w:rFonts w:hint="eastAsia"/>
          <w:lang w:val="es-ES_tradnl"/>
        </w:rPr>
        <w:t>中，对方案的信息进行了展开论述并介绍了取得的主要进展。</w:t>
      </w:r>
    </w:p>
    <w:p w:rsidR="00A83775" w:rsidRDefault="00A83775">
      <w:pPr>
        <w:pStyle w:val="H23GC"/>
        <w:rPr>
          <w:lang w:val="es-CO"/>
        </w:rPr>
      </w:pPr>
      <w:r>
        <w:rPr>
          <w:lang w:val="es-CO"/>
        </w:rPr>
        <w:tab/>
      </w:r>
      <w:r>
        <w:rPr>
          <w:lang w:val="es-CO"/>
        </w:rPr>
        <w:tab/>
      </w:r>
      <w:r>
        <w:rPr>
          <w:rFonts w:hint="eastAsia"/>
          <w:lang w:val="es-CO"/>
        </w:rPr>
        <w:t>保护怀孕女生免受各类歧视</w:t>
      </w:r>
    </w:p>
    <w:p w:rsidR="00A83775" w:rsidRDefault="00A83775">
      <w:pPr>
        <w:pStyle w:val="SingleTxtGC"/>
        <w:rPr>
          <w:lang w:val="zh-CN"/>
        </w:rPr>
      </w:pPr>
      <w:r>
        <w:rPr>
          <w:lang w:val="es-CO"/>
        </w:rPr>
        <w:t xml:space="preserve">319.  </w:t>
      </w:r>
      <w:r>
        <w:rPr>
          <w:rFonts w:hint="eastAsia"/>
          <w:lang w:val="es-CO"/>
        </w:rPr>
        <w:t>国家教育部敦促各地教育局努力保障所有的学生都能够不受任何歧视地入学并在教育机构中完成学业，怀孕学生也不得例外。在各类性教育和公民建设教育以及关于行使人权的教育的通用项目框架内，已经从性别角度宣布将妇女、女童和少女认定为具备完全公民资质、能够行使权利的社会主体。为此，将上述人口认定为</w:t>
      </w:r>
      <w:r>
        <w:rPr>
          <w:rFonts w:hint="eastAsia"/>
          <w:lang w:val="zh-CN"/>
        </w:rPr>
        <w:t>权利主体，以确认其需求和利益所在，开设与这类人群实时沟通的渠道，并为她们创造行使权利，特别是性权利和生殖权利的各项条件，使她们在日常生活中能够切实行使这些权利。这在转变导致对妇女的各类歧视的文化范式中发挥了重要作用。</w:t>
      </w:r>
    </w:p>
    <w:p w:rsidR="00A83775" w:rsidRDefault="00A83775">
      <w:pPr>
        <w:pStyle w:val="SingleTxtGC"/>
        <w:rPr>
          <w:lang w:val="es-CO"/>
        </w:rPr>
      </w:pPr>
      <w:r>
        <w:rPr>
          <w:lang w:val="zh-CN"/>
        </w:rPr>
        <w:t xml:space="preserve">320.  </w:t>
      </w:r>
      <w:r>
        <w:rPr>
          <w:rFonts w:hint="eastAsia"/>
          <w:lang w:val="zh-CN"/>
        </w:rPr>
        <w:t>当前面临的最大挑战就是要在各教育机构中落实这些项目，以便培养个人的自主性，树立自强自立、宽容忍耐、团结友爱、互相尊重和民主参与的价值观。但是，由于社会和文化转型过程需要时间，哥伦比亚政府也出台了各项监督机制，以确保落实</w:t>
      </w:r>
      <w:r>
        <w:rPr>
          <w:rFonts w:hint="eastAsia"/>
          <w:lang w:val="es-CO"/>
        </w:rPr>
        <w:t>这些权利。</w:t>
      </w:r>
    </w:p>
    <w:p w:rsidR="00A83775" w:rsidRDefault="00A83775">
      <w:pPr>
        <w:pStyle w:val="H23GC"/>
        <w:rPr>
          <w:rFonts w:hint="eastAsia"/>
          <w:lang w:val="es-ES_tradnl"/>
        </w:rPr>
      </w:pPr>
      <w:r>
        <w:rPr>
          <w:lang w:val="es-ES_tradnl"/>
        </w:rPr>
        <w:tab/>
        <w:t>2.</w:t>
      </w:r>
      <w:r>
        <w:rPr>
          <w:lang w:val="es-ES_tradnl"/>
        </w:rPr>
        <w:tab/>
      </w:r>
      <w:r>
        <w:rPr>
          <w:rFonts w:hint="eastAsia"/>
          <w:lang w:val="es-ES_tradnl"/>
        </w:rPr>
        <w:t>立法措施</w:t>
      </w:r>
    </w:p>
    <w:p w:rsidR="00A83775" w:rsidRDefault="00A83775">
      <w:pPr>
        <w:pStyle w:val="SingleTxtGC"/>
        <w:rPr>
          <w:lang w:val="es-CO"/>
        </w:rPr>
      </w:pPr>
      <w:r>
        <w:rPr>
          <w:lang w:val="es-ES"/>
        </w:rPr>
        <w:t xml:space="preserve">321.  </w:t>
      </w:r>
      <w:r>
        <w:rPr>
          <w:rFonts w:hint="eastAsia"/>
          <w:lang w:val="es-ES"/>
        </w:rPr>
        <w:t>1991</w:t>
      </w:r>
      <w:r>
        <w:rPr>
          <w:rFonts w:hint="eastAsia"/>
          <w:lang w:val="es-ES"/>
        </w:rPr>
        <w:t>年的《政治宪法》</w:t>
      </w:r>
      <w:r>
        <w:rPr>
          <w:vertAlign w:val="superscript"/>
          <w:lang w:val="es-ES"/>
        </w:rPr>
        <w:footnoteReference w:id="151"/>
      </w:r>
      <w:r>
        <w:rPr>
          <w:lang w:val="es-ES"/>
        </w:rPr>
        <w:t xml:space="preserve"> </w:t>
      </w:r>
      <w:r>
        <w:rPr>
          <w:rFonts w:hint="eastAsia"/>
          <w:lang w:val="es-ES"/>
        </w:rPr>
        <w:t>承认教育是一项基本权利，</w:t>
      </w:r>
      <w:r>
        <w:rPr>
          <w:rFonts w:hint="eastAsia"/>
          <w:lang w:val="es-ES"/>
        </w:rPr>
        <w:t>1994</w:t>
      </w:r>
      <w:r>
        <w:rPr>
          <w:rFonts w:hint="eastAsia"/>
          <w:lang w:val="es-ES"/>
        </w:rPr>
        <w:t>年的第</w:t>
      </w:r>
      <w:r>
        <w:rPr>
          <w:rFonts w:hint="eastAsia"/>
          <w:lang w:val="es-ES"/>
        </w:rPr>
        <w:t>115</w:t>
      </w:r>
      <w:r>
        <w:rPr>
          <w:rFonts w:hint="eastAsia"/>
          <w:lang w:val="es-ES"/>
        </w:rPr>
        <w:t>号法，</w:t>
      </w:r>
      <w:r>
        <w:rPr>
          <w:vertAlign w:val="superscript"/>
          <w:lang w:val="es-ES"/>
        </w:rPr>
        <w:footnoteReference w:id="152"/>
      </w:r>
      <w:r>
        <w:rPr>
          <w:lang w:val="es-ES"/>
        </w:rPr>
        <w:t xml:space="preserve"> </w:t>
      </w:r>
      <w:r>
        <w:rPr>
          <w:rFonts w:hint="eastAsia"/>
          <w:lang w:val="es-ES"/>
        </w:rPr>
        <w:t>或者称《教育总法》中写入了保障教育权利和不歧视的规定。</w:t>
      </w:r>
    </w:p>
    <w:p w:rsidR="00A83775" w:rsidRDefault="00A83775">
      <w:pPr>
        <w:pStyle w:val="SingleTxtGC"/>
        <w:rPr>
          <w:bCs/>
          <w:lang w:val="es-ES"/>
        </w:rPr>
      </w:pPr>
      <w:r>
        <w:rPr>
          <w:lang w:val="es-ES"/>
        </w:rPr>
        <w:t xml:space="preserve">322.  </w:t>
      </w:r>
      <w:r>
        <w:rPr>
          <w:rFonts w:hint="eastAsia"/>
          <w:lang w:val="es-ES"/>
        </w:rPr>
        <w:t>2007</w:t>
      </w:r>
      <w:r>
        <w:rPr>
          <w:rFonts w:hint="eastAsia"/>
          <w:lang w:val="es-ES"/>
        </w:rPr>
        <w:t>年的第</w:t>
      </w:r>
      <w:r>
        <w:rPr>
          <w:rFonts w:hint="eastAsia"/>
          <w:lang w:val="es-ES"/>
        </w:rPr>
        <w:t>1146</w:t>
      </w:r>
      <w:r>
        <w:rPr>
          <w:rFonts w:hint="eastAsia"/>
          <w:lang w:val="es-ES"/>
        </w:rPr>
        <w:t>号法</w:t>
      </w:r>
      <w:r>
        <w:rPr>
          <w:vertAlign w:val="superscript"/>
          <w:lang w:val="es-ES"/>
        </w:rPr>
        <w:footnoteReference w:id="153"/>
      </w:r>
      <w:r>
        <w:rPr>
          <w:lang w:val="es-ES"/>
        </w:rPr>
        <w:t xml:space="preserve"> </w:t>
      </w:r>
      <w:r>
        <w:rPr>
          <w:rFonts w:hint="eastAsia"/>
          <w:lang w:val="es-ES"/>
        </w:rPr>
        <w:t>规定了对可能殃及男女生的性虐待以及其他任何形式的歧视的防范、早期发现、自我保护、侦查和举报的相关法律机制，其作用范围不光局限在校园中，还扩展到了校外。并规定了针对教育领域的歧视现象，无论是性骚扰还是其他形式的歧视的受害妇女的法律机制，责令各教育机构颁布相应条例，在其中包含用于开展对性虐待和歧视事件的调查和举报的所有要素，同时不妨碍当事人向主管当局进行举报。</w:t>
      </w:r>
    </w:p>
    <w:p w:rsidR="00A83775" w:rsidRDefault="00A83775">
      <w:pPr>
        <w:pStyle w:val="SingleTxtGC"/>
        <w:rPr>
          <w:lang w:val="es-ES"/>
        </w:rPr>
      </w:pPr>
      <w:r>
        <w:rPr>
          <w:lang w:val="es-ES"/>
        </w:rPr>
        <w:t xml:space="preserve">323.  </w:t>
      </w:r>
      <w:r>
        <w:rPr>
          <w:rFonts w:hint="eastAsia"/>
          <w:lang w:val="es-ES"/>
        </w:rPr>
        <w:t>2008</w:t>
      </w:r>
      <w:r>
        <w:rPr>
          <w:rFonts w:hint="eastAsia"/>
          <w:lang w:val="es-ES"/>
        </w:rPr>
        <w:t>年的第</w:t>
      </w:r>
      <w:r>
        <w:rPr>
          <w:rFonts w:hint="eastAsia"/>
          <w:lang w:val="es-ES"/>
        </w:rPr>
        <w:t>1257</w:t>
      </w:r>
      <w:r>
        <w:rPr>
          <w:rFonts w:hint="eastAsia"/>
          <w:lang w:val="es-ES"/>
        </w:rPr>
        <w:t>号法（前面已经提到过）在第十一条关于教育措施的规定中要求教育部应当确保让所有教育机构在其教学工作中培养学生学会尊重权利、</w:t>
      </w:r>
      <w:r>
        <w:rPr>
          <w:rFonts w:hint="eastAsia"/>
          <w:lang w:val="zh-CN"/>
        </w:rPr>
        <w:t>自由</w:t>
      </w:r>
      <w:r>
        <w:rPr>
          <w:rFonts w:hint="eastAsia"/>
          <w:lang w:val="es-ES"/>
        </w:rPr>
        <w:t>、自立自强以及男女平等，作为宣导人权的组成部分，开发相关政策和方案，用于提交教育界的认识和觉悟，重点针对教师、学生和家长就暴力侵害妇女问题进行相关培训和训练，设计和实施针对遭受某种暴力侵害的女性辍学的预防和保护措施，促进妇女参与各类劳动技能和职业培训方案，使其能够从事传统上的非女性化专业，特别是基础科学和应用科学类的专业性工作。当前正在加快这一法律的实施条例的制定工作。</w:t>
      </w:r>
    </w:p>
    <w:p w:rsidR="00A83775" w:rsidRDefault="00A83775">
      <w:pPr>
        <w:pStyle w:val="SingleTxtGC"/>
        <w:rPr>
          <w:lang w:val="es-CO"/>
        </w:rPr>
      </w:pPr>
      <w:r>
        <w:rPr>
          <w:lang w:val="es-CO"/>
        </w:rPr>
        <w:t xml:space="preserve">324.  </w:t>
      </w:r>
      <w:r>
        <w:rPr>
          <w:rFonts w:hint="eastAsia"/>
          <w:lang w:val="es-CO"/>
        </w:rPr>
        <w:t>在本条对应的附件</w:t>
      </w:r>
      <w:r>
        <w:rPr>
          <w:rFonts w:hint="eastAsia"/>
          <w:lang w:val="es-CO"/>
        </w:rPr>
        <w:t>4</w:t>
      </w:r>
      <w:r>
        <w:rPr>
          <w:rFonts w:hint="eastAsia"/>
          <w:lang w:val="es-CO"/>
        </w:rPr>
        <w:t>中介绍了在报告期内采取的其他重要立法措施并将每一项</w:t>
      </w:r>
      <w:r>
        <w:rPr>
          <w:rFonts w:hint="eastAsia"/>
          <w:lang w:val="zh-CN"/>
        </w:rPr>
        <w:t>法律</w:t>
      </w:r>
      <w:r>
        <w:rPr>
          <w:rFonts w:hint="eastAsia"/>
          <w:lang w:val="es-CO"/>
        </w:rPr>
        <w:t>的全文都登载在了附件中。</w:t>
      </w:r>
    </w:p>
    <w:p w:rsidR="00A83775" w:rsidRDefault="00A83775">
      <w:pPr>
        <w:pStyle w:val="H23GC"/>
        <w:rPr>
          <w:lang w:val="es-ES_tradnl"/>
        </w:rPr>
      </w:pPr>
      <w:r>
        <w:rPr>
          <w:lang w:val="es-ES_tradnl"/>
        </w:rPr>
        <w:tab/>
        <w:t>3.</w:t>
      </w:r>
      <w:r>
        <w:rPr>
          <w:lang w:val="es-ES_tradnl"/>
        </w:rPr>
        <w:tab/>
      </w:r>
      <w:r>
        <w:rPr>
          <w:rFonts w:hint="eastAsia"/>
          <w:lang w:val="es-ES_tradnl"/>
        </w:rPr>
        <w:t>司法措施</w:t>
      </w:r>
    </w:p>
    <w:p w:rsidR="00A83775" w:rsidRDefault="00A83775">
      <w:pPr>
        <w:pStyle w:val="SingleTxtGC"/>
        <w:rPr>
          <w:lang w:val="es-CO"/>
        </w:rPr>
      </w:pPr>
      <w:r>
        <w:rPr>
          <w:lang w:val="es-CO"/>
        </w:rPr>
        <w:t xml:space="preserve">325.  </w:t>
      </w:r>
      <w:r>
        <w:rPr>
          <w:rFonts w:eastAsia="SimHei" w:hint="eastAsia"/>
          <w:lang w:val="es-CO"/>
        </w:rPr>
        <w:t>宪法法院</w:t>
      </w:r>
      <w:r>
        <w:rPr>
          <w:rFonts w:eastAsia="SimHei" w:hint="eastAsia"/>
          <w:lang w:val="es-CO"/>
        </w:rPr>
        <w:t>2004</w:t>
      </w:r>
      <w:r>
        <w:rPr>
          <w:rFonts w:eastAsia="SimHei" w:hint="eastAsia"/>
          <w:lang w:val="es-CO"/>
        </w:rPr>
        <w:t>年的第</w:t>
      </w:r>
      <w:r>
        <w:rPr>
          <w:rFonts w:eastAsia="SimHei" w:hint="eastAsia"/>
          <w:lang w:val="es-CO"/>
        </w:rPr>
        <w:t>025</w:t>
      </w:r>
      <w:r>
        <w:rPr>
          <w:rFonts w:eastAsia="SimHei" w:hint="eastAsia"/>
          <w:lang w:val="es-CO"/>
        </w:rPr>
        <w:t>号判决</w:t>
      </w:r>
      <w:r>
        <w:rPr>
          <w:rFonts w:hint="eastAsia"/>
          <w:lang w:val="es-CO"/>
        </w:rPr>
        <w:t>。宪法法院认定国家针对流离失所现象开展的工作力度不足，没有彻底履行国家在这方面的宪法义务，且现有的关于应对强迫流离失所问题的公共政策中还存在若干未及的空白，导致流离失所妇女仍陷于无所依傍的境地。根据前面提到的，法院下达了专项指令，以填补这些公共政策中的空白，以保障受影响妇女的权利。为此，责令社会行动署拟订并实施十三项方案，并将性别观点融入其中。在被迫流离失所受害妇女的教育权利方面，法院责令制定并实施了以下方案：对</w:t>
      </w:r>
      <w:r>
        <w:rPr>
          <w:rFonts w:hint="eastAsia"/>
          <w:lang w:val="es-CO"/>
        </w:rPr>
        <w:t>15</w:t>
      </w:r>
      <w:r>
        <w:rPr>
          <w:rFonts w:hint="eastAsia"/>
          <w:lang w:val="es-CO"/>
        </w:rPr>
        <w:t>岁以上流离失所女性的教育支持方案，保护流离失所的土著妇女权利的方案以及保护流离失所的非洲裔妇女权利的方案（</w:t>
      </w:r>
      <w:r>
        <w:rPr>
          <w:rFonts w:hint="eastAsia"/>
          <w:lang w:val="es-CO"/>
        </w:rPr>
        <w:t>2008</w:t>
      </w:r>
      <w:r>
        <w:rPr>
          <w:rFonts w:hint="eastAsia"/>
          <w:lang w:val="es-CO"/>
        </w:rPr>
        <w:t>年的第</w:t>
      </w:r>
      <w:r>
        <w:rPr>
          <w:rFonts w:hint="eastAsia"/>
          <w:lang w:val="es-CO"/>
        </w:rPr>
        <w:t>092</w:t>
      </w:r>
      <w:r>
        <w:rPr>
          <w:rFonts w:hint="eastAsia"/>
          <w:lang w:val="es-CO"/>
        </w:rPr>
        <w:t>号裁决和</w:t>
      </w:r>
      <w:r>
        <w:rPr>
          <w:rFonts w:hint="eastAsia"/>
          <w:lang w:val="es-CO"/>
        </w:rPr>
        <w:t>2009</w:t>
      </w:r>
      <w:r>
        <w:rPr>
          <w:rFonts w:hint="eastAsia"/>
          <w:lang w:val="es-CO"/>
        </w:rPr>
        <w:t>年的第</w:t>
      </w:r>
      <w:r>
        <w:rPr>
          <w:rFonts w:hint="eastAsia"/>
          <w:lang w:val="es-CO"/>
        </w:rPr>
        <w:t>237</w:t>
      </w:r>
      <w:r>
        <w:rPr>
          <w:rFonts w:hint="eastAsia"/>
          <w:lang w:val="es-CO"/>
        </w:rPr>
        <w:t>号裁决）。</w:t>
      </w:r>
      <w:r>
        <w:rPr>
          <w:lang w:val="es-CO"/>
        </w:rPr>
        <w:t xml:space="preserve"> </w:t>
      </w:r>
    </w:p>
    <w:p w:rsidR="00A83775" w:rsidRDefault="00A83775">
      <w:pPr>
        <w:pStyle w:val="SingleTxtGC"/>
        <w:rPr>
          <w:rFonts w:hint="eastAsia"/>
          <w:lang w:val="zh-CN"/>
        </w:rPr>
      </w:pPr>
      <w:r>
        <w:rPr>
          <w:lang w:val="es-CO"/>
        </w:rPr>
        <w:t xml:space="preserve">326.  </w:t>
      </w:r>
      <w:r>
        <w:rPr>
          <w:rFonts w:eastAsia="SimHei" w:hint="eastAsia"/>
          <w:lang w:val="es-CO"/>
        </w:rPr>
        <w:t>2</w:t>
      </w:r>
      <w:r>
        <w:rPr>
          <w:rFonts w:eastAsia="SimHei" w:hint="eastAsia"/>
          <w:lang w:val="zh-CN"/>
        </w:rPr>
        <w:t>008</w:t>
      </w:r>
      <w:r>
        <w:rPr>
          <w:rFonts w:eastAsia="SimHei" w:hint="eastAsia"/>
          <w:lang w:val="zh-CN"/>
        </w:rPr>
        <w:t>年的第</w:t>
      </w:r>
      <w:r>
        <w:rPr>
          <w:rFonts w:eastAsia="SimHei" w:hint="eastAsia"/>
          <w:lang w:val="zh-CN"/>
        </w:rPr>
        <w:t>092</w:t>
      </w:r>
      <w:r>
        <w:rPr>
          <w:rFonts w:eastAsia="SimHei" w:hint="eastAsia"/>
          <w:lang w:val="zh-CN"/>
        </w:rPr>
        <w:t>号裁决</w:t>
      </w:r>
      <w:r>
        <w:rPr>
          <w:rFonts w:hint="eastAsia"/>
          <w:lang w:val="zh-CN"/>
        </w:rPr>
        <w:t>。在宪法法院责令开展实施的方案中，包括上面提到的对</w:t>
      </w:r>
      <w:r>
        <w:rPr>
          <w:rFonts w:hint="eastAsia"/>
          <w:lang w:val="zh-CN"/>
        </w:rPr>
        <w:t>15</w:t>
      </w:r>
      <w:r>
        <w:rPr>
          <w:rFonts w:hint="eastAsia"/>
          <w:lang w:val="zh-CN"/>
        </w:rPr>
        <w:t>岁以上流离失所女性的教育支持方案。</w:t>
      </w:r>
    </w:p>
    <w:p w:rsidR="00A83775" w:rsidRDefault="00A83775">
      <w:pPr>
        <w:pStyle w:val="SingleTxtGC"/>
        <w:rPr>
          <w:lang w:val="es-ES"/>
        </w:rPr>
      </w:pPr>
      <w:r>
        <w:rPr>
          <w:lang w:val="zh-CN"/>
        </w:rPr>
        <w:t xml:space="preserve">327.  </w:t>
      </w:r>
      <w:r>
        <w:rPr>
          <w:rFonts w:eastAsia="SimHei" w:hint="eastAsia"/>
          <w:lang w:val="zh-CN"/>
        </w:rPr>
        <w:t>2010</w:t>
      </w:r>
      <w:r>
        <w:rPr>
          <w:rFonts w:eastAsia="SimHei" w:hint="eastAsia"/>
          <w:lang w:val="zh-CN"/>
        </w:rPr>
        <w:t>年的第</w:t>
      </w:r>
      <w:r>
        <w:rPr>
          <w:rFonts w:eastAsia="SimHei" w:hint="eastAsia"/>
          <w:lang w:val="zh-CN"/>
        </w:rPr>
        <w:t>C-374</w:t>
      </w:r>
      <w:r>
        <w:rPr>
          <w:rFonts w:eastAsia="SimHei" w:hint="eastAsia"/>
          <w:lang w:val="zh-CN"/>
        </w:rPr>
        <w:t>号判决</w:t>
      </w:r>
      <w:r>
        <w:rPr>
          <w:rFonts w:hint="eastAsia"/>
          <w:lang w:val="zh-CN"/>
        </w:rPr>
        <w:t>，通过这一判决宣布</w:t>
      </w:r>
      <w:r>
        <w:rPr>
          <w:rFonts w:hint="eastAsia"/>
          <w:lang w:val="zh-CN"/>
        </w:rPr>
        <w:t>1994</w:t>
      </w:r>
      <w:r>
        <w:rPr>
          <w:rFonts w:hint="eastAsia"/>
          <w:lang w:val="zh-CN"/>
        </w:rPr>
        <w:t>年的第</w:t>
      </w:r>
      <w:r>
        <w:rPr>
          <w:rFonts w:hint="eastAsia"/>
          <w:lang w:val="zh-CN"/>
        </w:rPr>
        <w:t>115</w:t>
      </w:r>
      <w:r>
        <w:rPr>
          <w:rFonts w:hint="eastAsia"/>
          <w:lang w:val="zh-CN"/>
        </w:rPr>
        <w:t>号法第</w:t>
      </w:r>
      <w:r>
        <w:rPr>
          <w:rFonts w:hint="eastAsia"/>
          <w:lang w:val="zh-CN"/>
        </w:rPr>
        <w:t>183</w:t>
      </w:r>
      <w:r>
        <w:rPr>
          <w:rFonts w:hint="eastAsia"/>
          <w:lang w:val="zh-CN"/>
        </w:rPr>
        <w:t>条</w:t>
      </w:r>
      <w:r>
        <w:rPr>
          <w:vertAlign w:val="superscript"/>
          <w:lang w:val="zh-CN"/>
        </w:rPr>
        <w:footnoteReference w:id="154"/>
      </w:r>
      <w:r>
        <w:t xml:space="preserve"> </w:t>
      </w:r>
      <w:r>
        <w:rPr>
          <w:rFonts w:hint="eastAsia"/>
          <w:lang w:val="zh-CN"/>
        </w:rPr>
        <w:t>违宪，因为该条规定了在正规教育的小学教育中收取名额费的可能性。法院指出，国</w:t>
      </w:r>
      <w:r>
        <w:rPr>
          <w:rFonts w:hint="eastAsia"/>
          <w:lang w:val="es-ES"/>
        </w:rPr>
        <w:t>家有义务立即明确落实对免费小学教育的保障，并逐步实现免费的中学教育和高等教育。在本条对应的附件</w:t>
      </w:r>
      <w:r>
        <w:rPr>
          <w:rFonts w:hint="eastAsia"/>
          <w:lang w:val="es-ES"/>
        </w:rPr>
        <w:t>5</w:t>
      </w:r>
      <w:r>
        <w:rPr>
          <w:rFonts w:hint="eastAsia"/>
          <w:lang w:val="es-ES"/>
        </w:rPr>
        <w:t>中包含了上述判决书的全文。</w:t>
      </w:r>
    </w:p>
    <w:p w:rsidR="00A83775" w:rsidRDefault="00A83775">
      <w:pPr>
        <w:pStyle w:val="H23GC"/>
        <w:rPr>
          <w:lang w:val="es-ES_tradnl"/>
        </w:rPr>
      </w:pPr>
      <w:r>
        <w:rPr>
          <w:lang w:val="es-ES_tradnl"/>
        </w:rPr>
        <w:tab/>
        <w:t>4.</w:t>
      </w:r>
      <w:r>
        <w:rPr>
          <w:lang w:val="es-ES_tradnl"/>
        </w:rPr>
        <w:tab/>
      </w:r>
      <w:r>
        <w:rPr>
          <w:rFonts w:hint="eastAsia"/>
          <w:lang w:val="es-ES_tradnl"/>
        </w:rPr>
        <w:t>现状</w:t>
      </w:r>
      <w:r>
        <w:rPr>
          <w:rFonts w:hint="eastAsia"/>
          <w:lang w:val="es-ES_tradnl"/>
        </w:rPr>
        <w:t>/</w:t>
      </w:r>
      <w:r>
        <w:rPr>
          <w:rFonts w:hint="eastAsia"/>
          <w:lang w:val="es-ES_tradnl"/>
        </w:rPr>
        <w:t>统计信息</w:t>
      </w:r>
    </w:p>
    <w:p w:rsidR="00A83775" w:rsidRDefault="00A83775">
      <w:pPr>
        <w:pStyle w:val="SingleTxtGC"/>
        <w:rPr>
          <w:lang w:val="zh-CN"/>
        </w:rPr>
      </w:pPr>
      <w:r>
        <w:rPr>
          <w:lang w:val="es-ES"/>
        </w:rPr>
        <w:t xml:space="preserve">328.  </w:t>
      </w:r>
      <w:r>
        <w:rPr>
          <w:rFonts w:hint="eastAsia"/>
          <w:lang w:val="es-ES"/>
        </w:rPr>
        <w:t>在本章对应的附件</w:t>
      </w:r>
      <w:r>
        <w:rPr>
          <w:rFonts w:hint="eastAsia"/>
          <w:lang w:val="es-ES"/>
        </w:rPr>
        <w:t>6</w:t>
      </w:r>
      <w:r>
        <w:rPr>
          <w:rFonts w:hint="eastAsia"/>
          <w:lang w:val="es-ES"/>
        </w:rPr>
        <w:t>中包含了与此有关的详细统计信息，能够表明当前的形势，反映出在各级教育中对男性和女性的教育权利的保障。接下来将对主要进步成果</w:t>
      </w:r>
      <w:r>
        <w:rPr>
          <w:rFonts w:hint="eastAsia"/>
          <w:lang w:val="zh-CN"/>
        </w:rPr>
        <w:t>进行概括介绍：</w:t>
      </w:r>
    </w:p>
    <w:p w:rsidR="00A83775" w:rsidRDefault="00A83775">
      <w:pPr>
        <w:pStyle w:val="SingleTxtGC"/>
        <w:rPr>
          <w:lang w:val="es-ES"/>
        </w:rPr>
      </w:pPr>
      <w:r>
        <w:rPr>
          <w:lang w:val="zh-CN"/>
        </w:rPr>
        <w:t xml:space="preserve">329.  </w:t>
      </w:r>
      <w:r>
        <w:rPr>
          <w:rFonts w:hint="eastAsia"/>
          <w:lang w:val="zh-CN"/>
        </w:rPr>
        <w:t>在</w:t>
      </w:r>
      <w:r>
        <w:rPr>
          <w:rFonts w:hint="eastAsia"/>
          <w:lang w:val="zh-CN"/>
        </w:rPr>
        <w:t>5-14</w:t>
      </w:r>
      <w:r>
        <w:rPr>
          <w:rFonts w:hint="eastAsia"/>
          <w:lang w:val="zh-CN"/>
        </w:rPr>
        <w:t>岁年龄段人口对应的</w:t>
      </w:r>
      <w:r>
        <w:rPr>
          <w:rFonts w:eastAsia="SimHei" w:hint="eastAsia"/>
          <w:lang w:val="zh-CN"/>
        </w:rPr>
        <w:t>过渡阶段和基础教育阶段</w:t>
      </w:r>
      <w:r>
        <w:rPr>
          <w:rFonts w:hint="eastAsia"/>
          <w:lang w:val="zh-CN"/>
        </w:rPr>
        <w:t>的教育总体普及率方面，从</w:t>
      </w:r>
      <w:r>
        <w:rPr>
          <w:rFonts w:hint="eastAsia"/>
          <w:lang w:val="zh-CN"/>
        </w:rPr>
        <w:t>2002</w:t>
      </w:r>
      <w:r>
        <w:rPr>
          <w:rFonts w:hint="eastAsia"/>
          <w:lang w:val="zh-CN"/>
        </w:rPr>
        <w:t>年的</w:t>
      </w:r>
      <w:r>
        <w:rPr>
          <w:rFonts w:hint="eastAsia"/>
          <w:lang w:val="zh-CN"/>
        </w:rPr>
        <w:t>96.7%</w:t>
      </w:r>
      <w:r>
        <w:rPr>
          <w:rFonts w:hint="eastAsia"/>
          <w:lang w:val="zh-CN"/>
        </w:rPr>
        <w:t>增至</w:t>
      </w:r>
      <w:r>
        <w:rPr>
          <w:rFonts w:hint="eastAsia"/>
          <w:lang w:val="zh-CN"/>
        </w:rPr>
        <w:t>2009</w:t>
      </w:r>
      <w:r>
        <w:rPr>
          <w:rFonts w:hint="eastAsia"/>
          <w:lang w:val="zh-CN"/>
        </w:rPr>
        <w:t>年的</w:t>
      </w:r>
      <w:r>
        <w:rPr>
          <w:rFonts w:hint="eastAsia"/>
          <w:lang w:val="zh-CN"/>
        </w:rPr>
        <w:t>110.51%</w:t>
      </w:r>
      <w:r>
        <w:rPr>
          <w:rFonts w:hint="eastAsia"/>
          <w:lang w:val="zh-CN"/>
        </w:rPr>
        <w:t>，这表明被排除在教育体系之外的男童和女</w:t>
      </w:r>
      <w:r>
        <w:rPr>
          <w:rFonts w:hint="eastAsia"/>
          <w:lang w:val="es-ES"/>
        </w:rPr>
        <w:t>童人数有所减少。公立教育机构中男童和女童的注册入学率提高了</w:t>
      </w:r>
      <w:r>
        <w:rPr>
          <w:rFonts w:hint="eastAsia"/>
          <w:lang w:val="es-ES"/>
        </w:rPr>
        <w:t>19.72%</w:t>
      </w:r>
      <w:r>
        <w:rPr>
          <w:rFonts w:hint="eastAsia"/>
          <w:lang w:val="es-ES"/>
        </w:rPr>
        <w:t>，占到注册入学总数的</w:t>
      </w:r>
      <w:r>
        <w:rPr>
          <w:rFonts w:hint="eastAsia"/>
          <w:lang w:val="es-ES"/>
        </w:rPr>
        <w:t>85.98%</w:t>
      </w:r>
      <w:r>
        <w:rPr>
          <w:rFonts w:hint="eastAsia"/>
          <w:lang w:val="es-ES"/>
        </w:rPr>
        <w:t>，而私立教育机构中男童和女童的注册入学率下降了</w:t>
      </w:r>
      <w:r>
        <w:rPr>
          <w:rFonts w:hint="eastAsia"/>
          <w:lang w:val="es-ES"/>
        </w:rPr>
        <w:t>18.89%</w:t>
      </w:r>
      <w:r>
        <w:rPr>
          <w:rFonts w:hint="eastAsia"/>
          <w:lang w:val="es-ES"/>
        </w:rPr>
        <w:t>。</w:t>
      </w:r>
    </w:p>
    <w:p w:rsidR="00A83775" w:rsidRDefault="00A83775">
      <w:pPr>
        <w:pStyle w:val="SingleTxtGC"/>
        <w:rPr>
          <w:lang w:val="es-ES"/>
        </w:rPr>
      </w:pPr>
      <w:r>
        <w:rPr>
          <w:lang w:val="es-ES"/>
        </w:rPr>
        <w:t xml:space="preserve">330.  </w:t>
      </w:r>
      <w:r>
        <w:rPr>
          <w:rFonts w:hint="eastAsia"/>
          <w:lang w:val="es-ES"/>
        </w:rPr>
        <w:t>在</w:t>
      </w:r>
      <w:r>
        <w:rPr>
          <w:rFonts w:hint="eastAsia"/>
          <w:lang w:val="es-ES"/>
        </w:rPr>
        <w:t>15-16</w:t>
      </w:r>
      <w:r>
        <w:rPr>
          <w:rFonts w:hint="eastAsia"/>
          <w:lang w:val="es-ES"/>
        </w:rPr>
        <w:t>岁年龄段人口对应的</w:t>
      </w:r>
      <w:r>
        <w:rPr>
          <w:rFonts w:eastAsia="SimHei" w:hint="eastAsia"/>
          <w:lang w:val="es-ES"/>
        </w:rPr>
        <w:t>中学教育阶段</w:t>
      </w:r>
      <w:r>
        <w:rPr>
          <w:rFonts w:hint="eastAsia"/>
          <w:lang w:val="es-ES"/>
        </w:rPr>
        <w:t>，教育总体普及率从</w:t>
      </w:r>
      <w:r>
        <w:rPr>
          <w:rFonts w:hint="eastAsia"/>
          <w:lang w:val="es-ES"/>
        </w:rPr>
        <w:t>2002</w:t>
      </w:r>
      <w:r>
        <w:rPr>
          <w:rFonts w:hint="eastAsia"/>
          <w:lang w:val="es-ES"/>
        </w:rPr>
        <w:t>年的</w:t>
      </w:r>
      <w:r>
        <w:rPr>
          <w:rFonts w:hint="eastAsia"/>
          <w:lang w:val="es-ES"/>
        </w:rPr>
        <w:t>57.43%</w:t>
      </w:r>
      <w:r>
        <w:rPr>
          <w:rFonts w:hint="eastAsia"/>
          <w:lang w:val="es-ES"/>
        </w:rPr>
        <w:t>发展到</w:t>
      </w:r>
      <w:r>
        <w:rPr>
          <w:rFonts w:hint="eastAsia"/>
          <w:lang w:val="es-ES"/>
        </w:rPr>
        <w:t>2009</w:t>
      </w:r>
      <w:r>
        <w:rPr>
          <w:rFonts w:hint="eastAsia"/>
          <w:lang w:val="es-ES"/>
        </w:rPr>
        <w:t>年的</w:t>
      </w:r>
      <w:r>
        <w:rPr>
          <w:rFonts w:hint="eastAsia"/>
          <w:lang w:val="es-ES"/>
        </w:rPr>
        <w:t>75.76%</w:t>
      </w:r>
      <w:r>
        <w:rPr>
          <w:rFonts w:hint="eastAsia"/>
          <w:lang w:val="es-ES"/>
        </w:rPr>
        <w:t>，将被排除在教育体系之外的人数减少了</w:t>
      </w:r>
      <w:r>
        <w:rPr>
          <w:rFonts w:hint="eastAsia"/>
          <w:lang w:val="es-ES"/>
        </w:rPr>
        <w:t>29.7%</w:t>
      </w:r>
      <w:r>
        <w:rPr>
          <w:rFonts w:hint="eastAsia"/>
          <w:lang w:val="es-ES"/>
        </w:rPr>
        <w:t>。公立教育机构中男童和女童的注册入学率从</w:t>
      </w:r>
      <w:r>
        <w:rPr>
          <w:rFonts w:hint="eastAsia"/>
          <w:lang w:val="es-ES"/>
        </w:rPr>
        <w:t>2002</w:t>
      </w:r>
      <w:r>
        <w:rPr>
          <w:rFonts w:hint="eastAsia"/>
          <w:lang w:val="es-ES"/>
        </w:rPr>
        <w:t>年的</w:t>
      </w:r>
      <w:r>
        <w:rPr>
          <w:rFonts w:hint="eastAsia"/>
          <w:lang w:val="es-ES"/>
        </w:rPr>
        <w:t>70.6%</w:t>
      </w:r>
      <w:r>
        <w:rPr>
          <w:rFonts w:hint="eastAsia"/>
          <w:lang w:val="es-ES"/>
        </w:rPr>
        <w:t>提高到</w:t>
      </w:r>
      <w:r>
        <w:rPr>
          <w:rFonts w:hint="eastAsia"/>
          <w:lang w:val="es-ES"/>
        </w:rPr>
        <w:t>2009</w:t>
      </w:r>
      <w:r>
        <w:rPr>
          <w:rFonts w:hint="eastAsia"/>
          <w:lang w:val="es-ES"/>
        </w:rPr>
        <w:t>年的</w:t>
      </w:r>
      <w:r>
        <w:rPr>
          <w:rFonts w:hint="eastAsia"/>
          <w:lang w:val="es-ES"/>
        </w:rPr>
        <w:t>81.06%</w:t>
      </w:r>
      <w:r>
        <w:rPr>
          <w:rFonts w:hint="eastAsia"/>
          <w:lang w:val="es-ES"/>
        </w:rPr>
        <w:t>。由于原先公立学校的招生人数有限，随着公立中学规模的扩大，有越来越多的学生从私立学校转入了公立学校。</w:t>
      </w:r>
    </w:p>
    <w:p w:rsidR="00A83775" w:rsidRDefault="00A83775">
      <w:pPr>
        <w:pStyle w:val="SingleTxtGC"/>
        <w:rPr>
          <w:lang w:val="zh-CN"/>
        </w:rPr>
      </w:pPr>
      <w:r>
        <w:rPr>
          <w:lang w:val="es-ES"/>
        </w:rPr>
        <w:t xml:space="preserve">331.  </w:t>
      </w:r>
      <w:r>
        <w:rPr>
          <w:rFonts w:hint="eastAsia"/>
          <w:lang w:val="es-ES"/>
        </w:rPr>
        <w:t>在国家政府推行的教育政策所取得的成就方面，最显著的就是基础教育和中等教</w:t>
      </w:r>
      <w:r>
        <w:rPr>
          <w:rFonts w:hint="eastAsia"/>
          <w:lang w:val="zh-CN"/>
        </w:rPr>
        <w:t>育中男生和女生注册入学率方面的不断提高。</w:t>
      </w:r>
      <w:r>
        <w:rPr>
          <w:rFonts w:hint="eastAsia"/>
          <w:lang w:val="zh-CN"/>
        </w:rPr>
        <w:t>2010</w:t>
      </w:r>
      <w:r>
        <w:rPr>
          <w:rFonts w:hint="eastAsia"/>
          <w:lang w:val="zh-CN"/>
        </w:rPr>
        <w:t>年，</w:t>
      </w:r>
      <w:r>
        <w:rPr>
          <w:vertAlign w:val="superscript"/>
          <w:lang w:val="zh-CN"/>
        </w:rPr>
        <w:footnoteReference w:id="155"/>
      </w:r>
      <w:r>
        <w:t xml:space="preserve"> </w:t>
      </w:r>
      <w:r>
        <w:rPr>
          <w:rFonts w:hint="eastAsia"/>
          <w:lang w:val="zh-CN"/>
        </w:rPr>
        <w:t>教育部报告称基础教育和中等教育阶段的</w:t>
      </w:r>
      <w:r>
        <w:rPr>
          <w:rFonts w:eastAsia="SimHei" w:hint="eastAsia"/>
          <w:lang w:val="zh-CN"/>
        </w:rPr>
        <w:t>注册学生总数达到</w:t>
      </w:r>
      <w:r>
        <w:rPr>
          <w:rFonts w:eastAsia="SimHei" w:hint="eastAsia"/>
          <w:lang w:val="zh-CN"/>
        </w:rPr>
        <w:t>10</w:t>
      </w:r>
      <w:r>
        <w:rPr>
          <w:rFonts w:eastAsia="SimHei"/>
        </w:rPr>
        <w:t>,</w:t>
      </w:r>
      <w:r>
        <w:rPr>
          <w:rFonts w:eastAsia="SimHei" w:hint="eastAsia"/>
          <w:lang w:val="zh-CN"/>
        </w:rPr>
        <w:t>978</w:t>
      </w:r>
      <w:r>
        <w:rPr>
          <w:rFonts w:eastAsia="SimHei"/>
        </w:rPr>
        <w:t>,</w:t>
      </w:r>
      <w:r>
        <w:rPr>
          <w:rFonts w:eastAsia="SimHei" w:hint="eastAsia"/>
          <w:lang w:val="zh-CN"/>
        </w:rPr>
        <w:t>743</w:t>
      </w:r>
      <w:r>
        <w:rPr>
          <w:rFonts w:eastAsia="SimHei" w:hint="eastAsia"/>
          <w:lang w:val="zh-CN"/>
        </w:rPr>
        <w:t>人</w:t>
      </w:r>
      <w:r>
        <w:rPr>
          <w:rFonts w:hint="eastAsia"/>
          <w:lang w:val="zh-CN"/>
        </w:rPr>
        <w:t>，其中</w:t>
      </w:r>
      <w:r>
        <w:rPr>
          <w:rFonts w:eastAsia="SimHei" w:hint="eastAsia"/>
          <w:lang w:val="zh-CN"/>
        </w:rPr>
        <w:t>女生占</w:t>
      </w:r>
      <w:r>
        <w:rPr>
          <w:rFonts w:eastAsia="SimHei" w:hint="eastAsia"/>
          <w:lang w:val="zh-CN"/>
        </w:rPr>
        <w:t>50%</w:t>
      </w:r>
      <w:r>
        <w:rPr>
          <w:rFonts w:hint="eastAsia"/>
          <w:lang w:val="zh-CN"/>
        </w:rPr>
        <w:t>；近六年来女生一直维持在这一比例上。</w:t>
      </w:r>
    </w:p>
    <w:p w:rsidR="00A83775" w:rsidRDefault="00A83775">
      <w:pPr>
        <w:pStyle w:val="SingleTxtGC"/>
        <w:rPr>
          <w:lang w:val="es-CO"/>
        </w:rPr>
      </w:pPr>
      <w:r>
        <w:rPr>
          <w:lang w:val="zh-CN"/>
        </w:rPr>
        <w:t xml:space="preserve">332.  </w:t>
      </w:r>
      <w:r>
        <w:rPr>
          <w:rFonts w:hint="eastAsia"/>
          <w:lang w:val="zh-CN"/>
        </w:rPr>
        <w:t>在</w:t>
      </w:r>
      <w:r>
        <w:rPr>
          <w:rFonts w:eastAsia="SimHei" w:hint="eastAsia"/>
          <w:lang w:val="zh-CN"/>
        </w:rPr>
        <w:t>技术和技能培训</w:t>
      </w:r>
      <w:r>
        <w:rPr>
          <w:rFonts w:hint="eastAsia"/>
          <w:lang w:val="zh-CN"/>
        </w:rPr>
        <w:t>方面，</w:t>
      </w:r>
      <w:r>
        <w:rPr>
          <w:rFonts w:hint="eastAsia"/>
          <w:lang w:val="zh-CN"/>
        </w:rPr>
        <w:t>2002-2010</w:t>
      </w:r>
      <w:r>
        <w:rPr>
          <w:rFonts w:hint="eastAsia"/>
          <w:lang w:val="zh-CN"/>
        </w:rPr>
        <w:t>年期间可以看出在这一领域的活跃表现：不仅学员数量有了大幅增长，而且地方一级发挥着越来越重要的作用，教育内容更加切合当</w:t>
      </w:r>
      <w:r>
        <w:rPr>
          <w:rFonts w:hint="eastAsia"/>
          <w:lang w:val="es-CO"/>
        </w:rPr>
        <w:t>地的实际需要。技术和技能培训项目新学员的数量增加了</w:t>
      </w:r>
      <w:r>
        <w:rPr>
          <w:rFonts w:hint="eastAsia"/>
          <w:lang w:val="es-CO"/>
        </w:rPr>
        <w:t>359</w:t>
      </w:r>
      <w:r>
        <w:rPr>
          <w:lang w:val="es-CO"/>
        </w:rPr>
        <w:t>,</w:t>
      </w:r>
      <w:r>
        <w:rPr>
          <w:rFonts w:hint="eastAsia"/>
          <w:lang w:val="es-CO"/>
        </w:rPr>
        <w:t>039</w:t>
      </w:r>
      <w:r>
        <w:rPr>
          <w:rFonts w:hint="eastAsia"/>
          <w:lang w:val="es-CO"/>
        </w:rPr>
        <w:t>人，在八年中增长了</w:t>
      </w:r>
      <w:r>
        <w:rPr>
          <w:rFonts w:hint="eastAsia"/>
          <w:lang w:val="es-CO"/>
        </w:rPr>
        <w:t>95.8%</w:t>
      </w:r>
      <w:r>
        <w:rPr>
          <w:rFonts w:hint="eastAsia"/>
          <w:lang w:val="es-CO"/>
        </w:rPr>
        <w:t>，年均增长率达到</w:t>
      </w:r>
      <w:r>
        <w:rPr>
          <w:rFonts w:hint="eastAsia"/>
          <w:lang w:val="es-CO"/>
        </w:rPr>
        <w:t>14.5%</w:t>
      </w:r>
      <w:r>
        <w:rPr>
          <w:rFonts w:hint="eastAsia"/>
          <w:lang w:val="es-CO"/>
        </w:rPr>
        <w:t>。而如果单看高等教育院校的招生情况，在技术和技能专业的招生比例年均增长</w:t>
      </w:r>
      <w:r>
        <w:rPr>
          <w:rFonts w:hint="eastAsia"/>
          <w:lang w:val="es-CO"/>
        </w:rPr>
        <w:t>4.6%</w:t>
      </w:r>
      <w:r>
        <w:rPr>
          <w:rFonts w:hint="eastAsia"/>
          <w:lang w:val="es-CO"/>
        </w:rPr>
        <w:t>。</w:t>
      </w:r>
    </w:p>
    <w:p w:rsidR="00A83775" w:rsidRDefault="00A83775">
      <w:pPr>
        <w:pStyle w:val="SingleTxtGC"/>
        <w:rPr>
          <w:rFonts w:hint="eastAsia"/>
          <w:lang w:val="zh-CN"/>
        </w:rPr>
      </w:pPr>
      <w:r>
        <w:rPr>
          <w:lang w:val="es-CO"/>
        </w:rPr>
        <w:t xml:space="preserve">333.  </w:t>
      </w:r>
      <w:r>
        <w:rPr>
          <w:rFonts w:hint="eastAsia"/>
          <w:lang w:val="es-CO"/>
        </w:rPr>
        <w:t>从文化程度看，技术和技能教育的水平有了大幅提高，技术和技能教育入学</w:t>
      </w:r>
      <w:r>
        <w:rPr>
          <w:rFonts w:hint="eastAsia"/>
          <w:lang w:val="zh-CN"/>
        </w:rPr>
        <w:t>率实现了年均</w:t>
      </w:r>
      <w:r>
        <w:rPr>
          <w:rFonts w:hint="eastAsia"/>
          <w:lang w:val="zh-CN"/>
        </w:rPr>
        <w:t>14.5%</w:t>
      </w:r>
      <w:r>
        <w:rPr>
          <w:rFonts w:hint="eastAsia"/>
          <w:lang w:val="zh-CN"/>
        </w:rPr>
        <w:t>的增幅，而大学教育的增幅则为</w:t>
      </w:r>
      <w:r>
        <w:rPr>
          <w:rFonts w:hint="eastAsia"/>
          <w:lang w:val="zh-CN"/>
        </w:rPr>
        <w:t>4.2%</w:t>
      </w:r>
      <w:r>
        <w:rPr>
          <w:rFonts w:hint="eastAsia"/>
          <w:lang w:val="zh-CN"/>
        </w:rPr>
        <w:t>。职业技术和技能专业的招生比例从</w:t>
      </w:r>
      <w:r>
        <w:rPr>
          <w:rFonts w:hint="eastAsia"/>
          <w:lang w:val="zh-CN"/>
        </w:rPr>
        <w:t>19.5%</w:t>
      </w:r>
      <w:r>
        <w:rPr>
          <w:rFonts w:hint="eastAsia"/>
          <w:lang w:val="zh-CN"/>
        </w:rPr>
        <w:t>提高到</w:t>
      </w:r>
      <w:r>
        <w:rPr>
          <w:rFonts w:hint="eastAsia"/>
          <w:lang w:val="zh-CN"/>
        </w:rPr>
        <w:t>34.2%</w:t>
      </w:r>
      <w:r>
        <w:rPr>
          <w:rFonts w:hint="eastAsia"/>
          <w:lang w:val="zh-CN"/>
        </w:rPr>
        <w:t>。</w:t>
      </w:r>
      <w:r>
        <w:rPr>
          <w:vertAlign w:val="superscript"/>
          <w:lang w:val="zh-CN"/>
        </w:rPr>
        <w:footnoteReference w:id="156"/>
      </w:r>
    </w:p>
    <w:p w:rsidR="00A83775" w:rsidRDefault="00A83775">
      <w:pPr>
        <w:pStyle w:val="SingleTxtGC"/>
        <w:rPr>
          <w:lang w:val="es-ES"/>
        </w:rPr>
      </w:pPr>
      <w:r>
        <w:rPr>
          <w:lang w:val="zh-CN"/>
        </w:rPr>
        <w:t xml:space="preserve">334.  </w:t>
      </w:r>
      <w:r>
        <w:rPr>
          <w:rFonts w:hint="eastAsia"/>
          <w:lang w:val="zh-CN"/>
        </w:rPr>
        <w:t>国家学徒服务局</w:t>
      </w:r>
      <w:r>
        <w:rPr>
          <w:rFonts w:hint="eastAsia"/>
          <w:spacing w:val="-40"/>
          <w:lang w:val="es-CO"/>
        </w:rPr>
        <w:t>――</w:t>
      </w:r>
      <w:r>
        <w:rPr>
          <w:rFonts w:hint="eastAsia"/>
          <w:spacing w:val="-40"/>
          <w:lang w:val="es-CO"/>
        </w:rPr>
        <w:t xml:space="preserve"> </w:t>
      </w:r>
      <w:r>
        <w:rPr>
          <w:rFonts w:hint="eastAsia"/>
          <w:lang w:val="zh-CN"/>
        </w:rPr>
        <w:t>SENA</w:t>
      </w:r>
      <w:r>
        <w:rPr>
          <w:rFonts w:hint="eastAsia"/>
          <w:lang w:val="zh-CN"/>
        </w:rPr>
        <w:t>，从两性平等入手推动开展就业培训。在这些方案的所有</w:t>
      </w:r>
      <w:r>
        <w:rPr>
          <w:rFonts w:hint="eastAsia"/>
          <w:lang w:val="es-ES"/>
        </w:rPr>
        <w:t>受益人中，</w:t>
      </w:r>
      <w:r>
        <w:rPr>
          <w:rFonts w:hint="eastAsia"/>
          <w:lang w:val="es-ES"/>
        </w:rPr>
        <w:t>54%</w:t>
      </w:r>
      <w:r>
        <w:rPr>
          <w:rFonts w:hint="eastAsia"/>
          <w:lang w:val="es-ES"/>
        </w:rPr>
        <w:t>为女性，</w:t>
      </w:r>
      <w:r>
        <w:rPr>
          <w:rFonts w:hint="eastAsia"/>
          <w:lang w:val="es-ES"/>
        </w:rPr>
        <w:t>2006-2010</w:t>
      </w:r>
      <w:r>
        <w:rPr>
          <w:rFonts w:hint="eastAsia"/>
          <w:lang w:val="es-ES"/>
        </w:rPr>
        <w:t>年期间，取得了以下成果：</w:t>
      </w:r>
    </w:p>
    <w:p w:rsidR="00A83775" w:rsidRDefault="00A83775">
      <w:pPr>
        <w:pStyle w:val="SingleTxtGC"/>
        <w:numPr>
          <w:ilvl w:val="0"/>
          <w:numId w:val="51"/>
        </w:numPr>
        <w:rPr>
          <w:lang w:val="es-ES_tradnl"/>
        </w:rPr>
      </w:pPr>
      <w:r>
        <w:rPr>
          <w:rFonts w:hint="eastAsia"/>
          <w:lang w:val="es-ES_tradnl"/>
        </w:rPr>
        <w:t>定向委培学员方案：在</w:t>
      </w:r>
      <w:r>
        <w:rPr>
          <w:rFonts w:hint="eastAsia"/>
          <w:lang w:val="es-ES_tradnl"/>
        </w:rPr>
        <w:t>2010</w:t>
      </w:r>
      <w:r>
        <w:rPr>
          <w:rFonts w:hint="eastAsia"/>
          <w:lang w:val="es-ES_tradnl"/>
        </w:rPr>
        <w:t>年期间共有</w:t>
      </w:r>
      <w:r>
        <w:rPr>
          <w:rFonts w:hint="eastAsia"/>
          <w:lang w:val="es-ES_tradnl"/>
        </w:rPr>
        <w:t>154</w:t>
      </w:r>
      <w:r>
        <w:rPr>
          <w:lang w:val="es-ES_tradnl"/>
        </w:rPr>
        <w:t>,</w:t>
      </w:r>
      <w:r>
        <w:rPr>
          <w:rFonts w:hint="eastAsia"/>
          <w:lang w:val="es-ES_tradnl"/>
        </w:rPr>
        <w:t>744</w:t>
      </w:r>
      <w:r>
        <w:rPr>
          <w:rFonts w:hint="eastAsia"/>
          <w:lang w:val="es-ES_tradnl"/>
        </w:rPr>
        <w:t>人受益，这是自</w:t>
      </w:r>
      <w:r>
        <w:rPr>
          <w:rFonts w:hint="eastAsia"/>
          <w:lang w:val="es-ES_tradnl"/>
        </w:rPr>
        <w:t>2004</w:t>
      </w:r>
      <w:r>
        <w:rPr>
          <w:rFonts w:hint="eastAsia"/>
          <w:lang w:val="es-ES_tradnl"/>
        </w:rPr>
        <w:t>年以来受益人数最多的一年，其中</w:t>
      </w:r>
      <w:r>
        <w:rPr>
          <w:rFonts w:hint="eastAsia"/>
          <w:lang w:val="es-ES_tradnl"/>
        </w:rPr>
        <w:t>53%</w:t>
      </w:r>
      <w:r>
        <w:rPr>
          <w:rFonts w:hint="eastAsia"/>
          <w:lang w:val="es-ES_tradnl"/>
        </w:rPr>
        <w:t>为女学员；</w:t>
      </w:r>
    </w:p>
    <w:p w:rsidR="00A83775" w:rsidRDefault="00A83775">
      <w:pPr>
        <w:pStyle w:val="SingleTxtGC"/>
        <w:numPr>
          <w:ilvl w:val="0"/>
          <w:numId w:val="51"/>
        </w:numPr>
        <w:rPr>
          <w:lang w:val="es-ES_tradnl"/>
        </w:rPr>
      </w:pPr>
      <w:r>
        <w:rPr>
          <w:rFonts w:hint="eastAsia"/>
          <w:lang w:val="es-ES_tradnl"/>
        </w:rPr>
        <w:t>综合性专业培养方案：</w:t>
      </w:r>
      <w:r>
        <w:rPr>
          <w:rFonts w:hint="eastAsia"/>
          <w:lang w:val="es-ES_tradnl"/>
        </w:rPr>
        <w:t>2010</w:t>
      </w:r>
      <w:r>
        <w:rPr>
          <w:rFonts w:hint="eastAsia"/>
          <w:lang w:val="es-ES_tradnl"/>
        </w:rPr>
        <w:t>年培训学员总数为</w:t>
      </w:r>
      <w:r>
        <w:rPr>
          <w:rFonts w:hint="eastAsia"/>
          <w:lang w:val="es-ES_tradnl"/>
        </w:rPr>
        <w:t>8</w:t>
      </w:r>
      <w:r>
        <w:rPr>
          <w:lang w:val="es-ES_tradnl"/>
        </w:rPr>
        <w:t>,</w:t>
      </w:r>
      <w:r>
        <w:rPr>
          <w:rFonts w:hint="eastAsia"/>
          <w:lang w:val="es-ES_tradnl"/>
        </w:rPr>
        <w:t>219</w:t>
      </w:r>
      <w:r>
        <w:rPr>
          <w:lang w:val="es-ES_tradnl"/>
        </w:rPr>
        <w:t>,</w:t>
      </w:r>
      <w:r>
        <w:rPr>
          <w:rFonts w:hint="eastAsia"/>
          <w:lang w:val="es-ES_tradnl"/>
        </w:rPr>
        <w:t>383</w:t>
      </w:r>
      <w:r>
        <w:rPr>
          <w:rFonts w:hint="eastAsia"/>
          <w:lang w:val="es-ES_tradnl"/>
        </w:rPr>
        <w:t>人，其中女学员占</w:t>
      </w:r>
      <w:r>
        <w:rPr>
          <w:rFonts w:hint="eastAsia"/>
          <w:lang w:val="es-ES_tradnl"/>
        </w:rPr>
        <w:t>51%</w:t>
      </w:r>
      <w:r>
        <w:rPr>
          <w:rFonts w:hint="eastAsia"/>
          <w:lang w:val="es-ES_tradnl"/>
        </w:rPr>
        <w:t>，这一趋势与前些年持平；</w:t>
      </w:r>
    </w:p>
    <w:p w:rsidR="00A83775" w:rsidRDefault="00A83775">
      <w:pPr>
        <w:pStyle w:val="SingleTxtGC"/>
        <w:numPr>
          <w:ilvl w:val="0"/>
          <w:numId w:val="51"/>
        </w:numPr>
        <w:rPr>
          <w:lang w:val="es-ES_tradnl"/>
        </w:rPr>
      </w:pPr>
      <w:r>
        <w:rPr>
          <w:rFonts w:hint="eastAsia"/>
          <w:lang w:val="es-ES_tradnl"/>
        </w:rPr>
        <w:t>农村青年方案：注册学员人数为</w:t>
      </w:r>
      <w:r>
        <w:rPr>
          <w:rFonts w:hint="eastAsia"/>
          <w:lang w:val="es-ES_tradnl"/>
        </w:rPr>
        <w:t>1</w:t>
      </w:r>
      <w:r>
        <w:rPr>
          <w:lang w:val="es-ES_tradnl"/>
        </w:rPr>
        <w:t>,</w:t>
      </w:r>
      <w:r>
        <w:rPr>
          <w:rFonts w:hint="eastAsia"/>
          <w:lang w:val="es-ES_tradnl"/>
        </w:rPr>
        <w:t>054</w:t>
      </w:r>
      <w:r>
        <w:rPr>
          <w:lang w:val="es-ES_tradnl"/>
        </w:rPr>
        <w:t>,</w:t>
      </w:r>
      <w:r>
        <w:rPr>
          <w:rFonts w:hint="eastAsia"/>
          <w:lang w:val="es-ES_tradnl"/>
        </w:rPr>
        <w:t>546</w:t>
      </w:r>
      <w:r>
        <w:rPr>
          <w:rFonts w:hint="eastAsia"/>
          <w:lang w:val="es-ES_tradnl"/>
        </w:rPr>
        <w:t>人，其中女学员占</w:t>
      </w:r>
      <w:r>
        <w:rPr>
          <w:rFonts w:hint="eastAsia"/>
          <w:lang w:val="es-ES_tradnl"/>
        </w:rPr>
        <w:t>52%</w:t>
      </w:r>
      <w:r>
        <w:rPr>
          <w:rFonts w:hint="eastAsia"/>
          <w:lang w:val="es-ES_tradnl"/>
        </w:rPr>
        <w:t>；</w:t>
      </w:r>
    </w:p>
    <w:p w:rsidR="00A83775" w:rsidRDefault="00A83775">
      <w:pPr>
        <w:pStyle w:val="SingleTxtGC"/>
        <w:numPr>
          <w:ilvl w:val="0"/>
          <w:numId w:val="51"/>
        </w:numPr>
        <w:rPr>
          <w:lang w:val="es-ES_tradnl"/>
        </w:rPr>
      </w:pPr>
      <w:r>
        <w:rPr>
          <w:rFonts w:hint="eastAsia"/>
          <w:lang w:val="es-ES_tradnl"/>
        </w:rPr>
        <w:t>远程虚拟培训方案：</w:t>
      </w:r>
      <w:r>
        <w:rPr>
          <w:rFonts w:hint="eastAsia"/>
          <w:lang w:val="es-ES_tradnl"/>
        </w:rPr>
        <w:t>2010</w:t>
      </w:r>
      <w:r>
        <w:rPr>
          <w:rFonts w:hint="eastAsia"/>
          <w:lang w:val="es-ES_tradnl"/>
        </w:rPr>
        <w:t>年参加远程虚拟培训的注册学员总数达</w:t>
      </w:r>
      <w:r>
        <w:rPr>
          <w:rFonts w:hint="eastAsia"/>
          <w:lang w:val="es-ES_tradnl"/>
        </w:rPr>
        <w:t>3</w:t>
      </w:r>
      <w:r>
        <w:rPr>
          <w:lang w:val="es-ES_tradnl"/>
        </w:rPr>
        <w:t>,</w:t>
      </w:r>
      <w:r>
        <w:rPr>
          <w:rFonts w:hint="eastAsia"/>
          <w:lang w:val="es-ES_tradnl"/>
        </w:rPr>
        <w:t>909</w:t>
      </w:r>
      <w:r>
        <w:rPr>
          <w:lang w:val="es-ES_tradnl"/>
        </w:rPr>
        <w:t>,</w:t>
      </w:r>
      <w:r>
        <w:rPr>
          <w:rFonts w:hint="eastAsia"/>
          <w:lang w:val="es-ES_tradnl"/>
        </w:rPr>
        <w:t>437</w:t>
      </w:r>
      <w:r>
        <w:rPr>
          <w:rFonts w:hint="eastAsia"/>
          <w:lang w:val="es-ES_tradnl"/>
        </w:rPr>
        <w:t>人，比上一年增加</w:t>
      </w:r>
      <w:r>
        <w:rPr>
          <w:rFonts w:hint="eastAsia"/>
          <w:lang w:val="es-ES_tradnl"/>
        </w:rPr>
        <w:t>14%</w:t>
      </w:r>
      <w:r>
        <w:rPr>
          <w:rFonts w:hint="eastAsia"/>
          <w:lang w:val="es-ES_tradnl"/>
        </w:rPr>
        <w:t>，其中女学员占学员总数的</w:t>
      </w:r>
      <w:r>
        <w:rPr>
          <w:rFonts w:hint="eastAsia"/>
          <w:lang w:val="es-ES_tradnl"/>
        </w:rPr>
        <w:t>48%</w:t>
      </w:r>
      <w:r>
        <w:rPr>
          <w:rFonts w:hint="eastAsia"/>
          <w:lang w:val="es-ES_tradnl"/>
        </w:rPr>
        <w:t>。</w:t>
      </w:r>
    </w:p>
    <w:p w:rsidR="00A83775" w:rsidRDefault="00A83775">
      <w:pPr>
        <w:pStyle w:val="SingleTxtGC"/>
        <w:rPr>
          <w:lang w:val="zh-CN"/>
        </w:rPr>
      </w:pPr>
      <w:r>
        <w:rPr>
          <w:lang w:val="es-ES"/>
        </w:rPr>
        <w:t xml:space="preserve">335.  </w:t>
      </w:r>
      <w:r>
        <w:rPr>
          <w:rFonts w:hint="eastAsia"/>
          <w:lang w:val="es-ES"/>
        </w:rPr>
        <w:t>在</w:t>
      </w:r>
      <w:r>
        <w:rPr>
          <w:rFonts w:eastAsia="SimHei" w:hint="eastAsia"/>
          <w:lang w:val="es-ES"/>
        </w:rPr>
        <w:t>高等教育</w:t>
      </w:r>
      <w:r>
        <w:rPr>
          <w:rFonts w:hint="eastAsia"/>
          <w:lang w:val="es-ES"/>
        </w:rPr>
        <w:t>阶段，</w:t>
      </w:r>
      <w:r>
        <w:rPr>
          <w:rFonts w:hint="eastAsia"/>
          <w:lang w:val="es-ES"/>
        </w:rPr>
        <w:t>2002</w:t>
      </w:r>
      <w:r>
        <w:rPr>
          <w:rFonts w:hint="eastAsia"/>
          <w:lang w:val="es-ES"/>
        </w:rPr>
        <w:t>年女生注册人数为</w:t>
      </w:r>
      <w:r>
        <w:rPr>
          <w:rFonts w:hint="eastAsia"/>
          <w:lang w:val="es-ES"/>
        </w:rPr>
        <w:t>514</w:t>
      </w:r>
      <w:r>
        <w:rPr>
          <w:lang w:val="es-ES"/>
        </w:rPr>
        <w:t>,</w:t>
      </w:r>
      <w:r>
        <w:rPr>
          <w:rFonts w:hint="eastAsia"/>
          <w:lang w:val="es-ES"/>
        </w:rPr>
        <w:t>568</w:t>
      </w:r>
      <w:r>
        <w:rPr>
          <w:rFonts w:hint="eastAsia"/>
          <w:lang w:val="es-ES"/>
        </w:rPr>
        <w:t>人，男生注册人数为</w:t>
      </w:r>
      <w:r>
        <w:rPr>
          <w:rFonts w:hint="eastAsia"/>
          <w:lang w:val="es-ES"/>
        </w:rPr>
        <w:t>485</w:t>
      </w:r>
      <w:r>
        <w:rPr>
          <w:lang w:val="es-ES"/>
        </w:rPr>
        <w:t>,</w:t>
      </w:r>
      <w:r>
        <w:rPr>
          <w:rFonts w:hint="eastAsia"/>
          <w:lang w:val="es-ES"/>
        </w:rPr>
        <w:t>580</w:t>
      </w:r>
      <w:r>
        <w:rPr>
          <w:rFonts w:hint="eastAsia"/>
          <w:lang w:val="es-ES"/>
        </w:rPr>
        <w:t>人；到</w:t>
      </w:r>
      <w:r>
        <w:rPr>
          <w:rFonts w:hint="eastAsia"/>
          <w:lang w:val="es-ES"/>
        </w:rPr>
        <w:t>2010</w:t>
      </w:r>
      <w:r>
        <w:rPr>
          <w:rFonts w:hint="eastAsia"/>
          <w:lang w:val="es-ES"/>
        </w:rPr>
        <w:t>年，女生和男生注册人数分别为</w:t>
      </w:r>
      <w:r>
        <w:rPr>
          <w:rFonts w:hint="eastAsia"/>
          <w:lang w:val="es-ES"/>
        </w:rPr>
        <w:t>864</w:t>
      </w:r>
      <w:r>
        <w:rPr>
          <w:lang w:val="es-ES"/>
        </w:rPr>
        <w:t>,</w:t>
      </w:r>
      <w:r>
        <w:rPr>
          <w:rFonts w:hint="eastAsia"/>
          <w:lang w:val="es-ES"/>
        </w:rPr>
        <w:t>473</w:t>
      </w:r>
      <w:r>
        <w:rPr>
          <w:rFonts w:hint="eastAsia"/>
          <w:lang w:val="es-ES"/>
        </w:rPr>
        <w:t>人和</w:t>
      </w:r>
      <w:r>
        <w:rPr>
          <w:rFonts w:hint="eastAsia"/>
          <w:lang w:val="es-ES"/>
        </w:rPr>
        <w:t>810</w:t>
      </w:r>
      <w:r>
        <w:rPr>
          <w:lang w:val="es-ES"/>
        </w:rPr>
        <w:t>,</w:t>
      </w:r>
      <w:r>
        <w:rPr>
          <w:rFonts w:hint="eastAsia"/>
          <w:lang w:val="es-ES"/>
        </w:rPr>
        <w:t>947</w:t>
      </w:r>
      <w:r>
        <w:rPr>
          <w:rFonts w:hint="eastAsia"/>
          <w:lang w:val="es-ES"/>
        </w:rPr>
        <w:t>人，增幅</w:t>
      </w:r>
      <w:r>
        <w:rPr>
          <w:rFonts w:hint="eastAsia"/>
          <w:lang w:val="zh-CN"/>
        </w:rPr>
        <w:t>达</w:t>
      </w:r>
      <w:r>
        <w:rPr>
          <w:rFonts w:hint="eastAsia"/>
          <w:lang w:val="zh-CN"/>
        </w:rPr>
        <w:t>67.8%</w:t>
      </w:r>
      <w:r>
        <w:rPr>
          <w:rFonts w:hint="eastAsia"/>
          <w:lang w:val="zh-CN"/>
        </w:rPr>
        <w:t>（其中男生增幅</w:t>
      </w:r>
      <w:r>
        <w:rPr>
          <w:rFonts w:hint="eastAsia"/>
          <w:lang w:val="zh-CN"/>
        </w:rPr>
        <w:t>67%</w:t>
      </w:r>
      <w:r>
        <w:rPr>
          <w:rFonts w:hint="eastAsia"/>
          <w:lang w:val="zh-CN"/>
        </w:rPr>
        <w:t>，女生</w:t>
      </w:r>
      <w:r>
        <w:rPr>
          <w:rFonts w:hint="eastAsia"/>
          <w:lang w:val="zh-CN"/>
        </w:rPr>
        <w:t>67.8%</w:t>
      </w:r>
      <w:r>
        <w:rPr>
          <w:rFonts w:hint="eastAsia"/>
          <w:lang w:val="zh-CN"/>
        </w:rPr>
        <w:t>）；男女生人数差距从</w:t>
      </w:r>
      <w:r>
        <w:rPr>
          <w:rFonts w:hint="eastAsia"/>
          <w:lang w:val="zh-CN"/>
        </w:rPr>
        <w:t>28</w:t>
      </w:r>
      <w:r>
        <w:t>,</w:t>
      </w:r>
      <w:r>
        <w:rPr>
          <w:rFonts w:hint="eastAsia"/>
          <w:lang w:val="zh-CN"/>
        </w:rPr>
        <w:t>988</w:t>
      </w:r>
      <w:r>
        <w:rPr>
          <w:rFonts w:hint="eastAsia"/>
          <w:lang w:val="zh-CN"/>
        </w:rPr>
        <w:t>人扩大到</w:t>
      </w:r>
      <w:r>
        <w:rPr>
          <w:rFonts w:hint="eastAsia"/>
          <w:lang w:val="zh-CN"/>
        </w:rPr>
        <w:t>52</w:t>
      </w:r>
      <w:r>
        <w:t>,</w:t>
      </w:r>
      <w:r>
        <w:rPr>
          <w:rFonts w:hint="eastAsia"/>
          <w:lang w:val="zh-CN"/>
        </w:rPr>
        <w:t>526</w:t>
      </w:r>
      <w:r>
        <w:rPr>
          <w:rFonts w:hint="eastAsia"/>
          <w:lang w:val="zh-CN"/>
        </w:rPr>
        <w:t>人，以女生人数居多。</w:t>
      </w:r>
    </w:p>
    <w:p w:rsidR="00A83775" w:rsidRDefault="00A83775">
      <w:pPr>
        <w:pStyle w:val="SingleTxtGC"/>
        <w:rPr>
          <w:lang w:val="es-CO"/>
        </w:rPr>
      </w:pPr>
      <w:r>
        <w:rPr>
          <w:lang w:val="zh-CN"/>
        </w:rPr>
        <w:t xml:space="preserve">336.  </w:t>
      </w:r>
      <w:r>
        <w:rPr>
          <w:rFonts w:hint="eastAsia"/>
          <w:lang w:val="zh-CN"/>
        </w:rPr>
        <w:t>其中女生报考比例最高的专业包括会计、企业管理、法学、心理学和工业工程专业</w:t>
      </w:r>
      <w:r>
        <w:rPr>
          <w:rFonts w:hint="eastAsia"/>
          <w:lang w:val="es-ES"/>
        </w:rPr>
        <w:t>。这五大专业的报考女生数量占到</w:t>
      </w:r>
      <w:r>
        <w:rPr>
          <w:rFonts w:hint="eastAsia"/>
          <w:lang w:val="es-ES"/>
        </w:rPr>
        <w:t>2010</w:t>
      </w:r>
      <w:r>
        <w:rPr>
          <w:rFonts w:hint="eastAsia"/>
          <w:lang w:val="es-ES"/>
        </w:rPr>
        <w:t>年报考女生总数的</w:t>
      </w:r>
      <w:r>
        <w:rPr>
          <w:rFonts w:hint="eastAsia"/>
          <w:lang w:val="es-ES"/>
        </w:rPr>
        <w:t>30.2%</w:t>
      </w:r>
      <w:r>
        <w:rPr>
          <w:rFonts w:hint="eastAsia"/>
          <w:lang w:val="es-ES"/>
        </w:rPr>
        <w:t>。</w:t>
      </w:r>
    </w:p>
    <w:p w:rsidR="00A83775" w:rsidRDefault="00A83775">
      <w:pPr>
        <w:pStyle w:val="SingleTxtGC"/>
        <w:rPr>
          <w:lang w:val="es-CO"/>
        </w:rPr>
      </w:pPr>
      <w:r>
        <w:rPr>
          <w:lang w:val="es-ES"/>
        </w:rPr>
        <w:t xml:space="preserve">337.  </w:t>
      </w:r>
      <w:r>
        <w:rPr>
          <w:rFonts w:hint="eastAsia"/>
          <w:lang w:val="es-ES"/>
        </w:rPr>
        <w:t>将</w:t>
      </w:r>
      <w:r>
        <w:rPr>
          <w:rFonts w:hint="eastAsia"/>
          <w:lang w:val="es-ES"/>
        </w:rPr>
        <w:t>2002</w:t>
      </w:r>
      <w:r>
        <w:rPr>
          <w:rFonts w:hint="eastAsia"/>
          <w:lang w:val="es-ES"/>
        </w:rPr>
        <w:t>年和</w:t>
      </w:r>
      <w:r>
        <w:rPr>
          <w:rFonts w:hint="eastAsia"/>
          <w:lang w:val="es-ES"/>
        </w:rPr>
        <w:t>2009</w:t>
      </w:r>
      <w:r>
        <w:rPr>
          <w:rFonts w:hint="eastAsia"/>
          <w:lang w:val="es-ES"/>
        </w:rPr>
        <w:t>年的情况进行对比可以发现，高等教育阶段的女生所学专业集中于经济类、管理类、会计及相关专业，社会和人文科学次之，而工程、建筑、城市规划及相关专业则是女生报考比例较少的专业。</w:t>
      </w:r>
      <w:r>
        <w:rPr>
          <w:rFonts w:hint="eastAsia"/>
          <w:lang w:val="es-ES"/>
        </w:rPr>
        <w:t>2002</w:t>
      </w:r>
      <w:r>
        <w:rPr>
          <w:rFonts w:hint="eastAsia"/>
          <w:lang w:val="es-ES"/>
        </w:rPr>
        <w:t>年至</w:t>
      </w:r>
      <w:r>
        <w:rPr>
          <w:rFonts w:hint="eastAsia"/>
          <w:lang w:val="es-ES"/>
        </w:rPr>
        <w:t>2009</w:t>
      </w:r>
      <w:r>
        <w:rPr>
          <w:rFonts w:hint="eastAsia"/>
          <w:lang w:val="es-ES"/>
        </w:rPr>
        <w:t>年期间女生报考人数增幅较大的专业为美学艺术类专业，增幅为</w:t>
      </w:r>
      <w:r>
        <w:rPr>
          <w:rFonts w:hint="eastAsia"/>
          <w:lang w:val="es-ES"/>
        </w:rPr>
        <w:t>70.7%</w:t>
      </w:r>
      <w:r>
        <w:rPr>
          <w:rFonts w:hint="eastAsia"/>
          <w:lang w:val="es-ES"/>
        </w:rPr>
        <w:t>，农业、兽医及相关专业次之，增幅为</w:t>
      </w:r>
      <w:r>
        <w:rPr>
          <w:rFonts w:hint="eastAsia"/>
          <w:lang w:val="es-ES"/>
        </w:rPr>
        <w:t>58.7%</w:t>
      </w:r>
      <w:r>
        <w:rPr>
          <w:rFonts w:hint="eastAsia"/>
          <w:lang w:val="es-ES"/>
        </w:rPr>
        <w:t>，经济类、管理类、会计及相关专业的增幅则为</w:t>
      </w:r>
      <w:r>
        <w:rPr>
          <w:rFonts w:hint="eastAsia"/>
          <w:lang w:val="es-ES"/>
        </w:rPr>
        <w:t>56.7%</w:t>
      </w:r>
      <w:r>
        <w:rPr>
          <w:rFonts w:hint="eastAsia"/>
          <w:lang w:val="es-ES"/>
        </w:rPr>
        <w:t>。</w:t>
      </w:r>
    </w:p>
    <w:p w:rsidR="00A83775" w:rsidRDefault="00A83775">
      <w:pPr>
        <w:pStyle w:val="SingleTxtGC"/>
        <w:rPr>
          <w:lang w:val="zh-CN"/>
        </w:rPr>
      </w:pPr>
      <w:r>
        <w:rPr>
          <w:lang w:val="es-ES"/>
        </w:rPr>
        <w:t xml:space="preserve">338.  </w:t>
      </w:r>
      <w:r>
        <w:rPr>
          <w:rFonts w:hint="eastAsia"/>
          <w:lang w:val="es-ES"/>
        </w:rPr>
        <w:t>从学校性质看，</w:t>
      </w:r>
      <w:r>
        <w:rPr>
          <w:rFonts w:hint="eastAsia"/>
          <w:lang w:val="es-ES"/>
        </w:rPr>
        <w:t>2002-2010</w:t>
      </w:r>
      <w:r>
        <w:rPr>
          <w:rFonts w:hint="eastAsia"/>
          <w:lang w:val="es-ES"/>
        </w:rPr>
        <w:t>年期间高等教育注册入学率发展较快的公立院校，招生人数</w:t>
      </w:r>
      <w:r>
        <w:rPr>
          <w:rFonts w:hint="eastAsia"/>
          <w:lang w:val="zh-CN"/>
        </w:rPr>
        <w:t>增长了</w:t>
      </w:r>
      <w:r>
        <w:rPr>
          <w:rFonts w:hint="eastAsia"/>
          <w:lang w:val="zh-CN"/>
        </w:rPr>
        <w:t>31%</w:t>
      </w:r>
      <w:r>
        <w:rPr>
          <w:rFonts w:hint="eastAsia"/>
          <w:lang w:val="zh-CN"/>
        </w:rPr>
        <w:t>，而同期私立学校的招生人数增长率为</w:t>
      </w:r>
      <w:r>
        <w:rPr>
          <w:rFonts w:hint="eastAsia"/>
          <w:lang w:val="zh-CN"/>
        </w:rPr>
        <w:t>27.4%</w:t>
      </w:r>
      <w:r>
        <w:rPr>
          <w:rFonts w:hint="eastAsia"/>
          <w:lang w:val="zh-CN"/>
        </w:rPr>
        <w:t>。</w:t>
      </w:r>
      <w:r>
        <w:rPr>
          <w:rFonts w:hint="eastAsia"/>
          <w:lang w:val="zh-CN"/>
        </w:rPr>
        <w:t>2010</w:t>
      </w:r>
      <w:r>
        <w:rPr>
          <w:rFonts w:hint="eastAsia"/>
          <w:lang w:val="zh-CN"/>
        </w:rPr>
        <w:t>年公立院校中招收的女生比例为</w:t>
      </w:r>
      <w:r>
        <w:rPr>
          <w:rFonts w:hint="eastAsia"/>
          <w:lang w:val="zh-CN"/>
        </w:rPr>
        <w:t>53.7%</w:t>
      </w:r>
      <w:r>
        <w:rPr>
          <w:rFonts w:hint="eastAsia"/>
          <w:lang w:val="zh-CN"/>
        </w:rPr>
        <w:t>，而私立院校中的女生比例则为</w:t>
      </w:r>
      <w:r>
        <w:rPr>
          <w:rFonts w:hint="eastAsia"/>
          <w:lang w:val="zh-CN"/>
        </w:rPr>
        <w:t>46.3%</w:t>
      </w:r>
      <w:r>
        <w:rPr>
          <w:rFonts w:hint="eastAsia"/>
          <w:lang w:val="zh-CN"/>
        </w:rPr>
        <w:t>。</w:t>
      </w:r>
    </w:p>
    <w:p w:rsidR="00A83775" w:rsidRDefault="00A83775">
      <w:pPr>
        <w:pStyle w:val="SingleTxtGC"/>
        <w:rPr>
          <w:lang w:val="zh-CN"/>
        </w:rPr>
      </w:pPr>
      <w:r>
        <w:rPr>
          <w:lang w:val="zh-CN"/>
        </w:rPr>
        <w:t xml:space="preserve">339.  </w:t>
      </w:r>
      <w:r>
        <w:rPr>
          <w:rFonts w:hint="eastAsia"/>
          <w:lang w:val="zh-CN"/>
        </w:rPr>
        <w:t>在</w:t>
      </w:r>
      <w:r>
        <w:rPr>
          <w:rFonts w:hint="eastAsia"/>
          <w:lang w:val="zh-CN"/>
        </w:rPr>
        <w:t>2002</w:t>
      </w:r>
      <w:r>
        <w:rPr>
          <w:rFonts w:hint="eastAsia"/>
          <w:lang w:val="zh-CN"/>
        </w:rPr>
        <w:t>年至</w:t>
      </w:r>
      <w:r>
        <w:rPr>
          <w:rFonts w:hint="eastAsia"/>
          <w:lang w:val="zh-CN"/>
        </w:rPr>
        <w:t>2009</w:t>
      </w:r>
      <w:r>
        <w:rPr>
          <w:rFonts w:hint="eastAsia"/>
          <w:lang w:val="zh-CN"/>
        </w:rPr>
        <w:t>年期间的毕业生情况方面，数据显示女毕业生的数量遥遥领先，高等教育毕业生中女生占</w:t>
      </w:r>
      <w:r>
        <w:rPr>
          <w:rFonts w:hint="eastAsia"/>
          <w:lang w:val="zh-CN"/>
        </w:rPr>
        <w:t>55%</w:t>
      </w:r>
      <w:r>
        <w:rPr>
          <w:rFonts w:hint="eastAsia"/>
          <w:lang w:val="zh-CN"/>
        </w:rPr>
        <w:t>，男生占</w:t>
      </w:r>
      <w:r>
        <w:rPr>
          <w:rFonts w:hint="eastAsia"/>
          <w:lang w:val="zh-CN"/>
        </w:rPr>
        <w:t>45%</w:t>
      </w:r>
      <w:r>
        <w:rPr>
          <w:rFonts w:hint="eastAsia"/>
          <w:lang w:val="zh-CN"/>
        </w:rPr>
        <w:t>。而女毕业生获得的学位也大多集中在上述高等教育女生比例占优的专业中。在教育学，卫生保健学，经济、管理和会计学中女毕业生所占的比例分别为</w:t>
      </w:r>
      <w:r>
        <w:rPr>
          <w:rFonts w:hint="eastAsia"/>
          <w:lang w:val="zh-CN"/>
        </w:rPr>
        <w:t>67%</w:t>
      </w:r>
      <w:r>
        <w:rPr>
          <w:rFonts w:hint="eastAsia"/>
          <w:lang w:val="zh-CN"/>
        </w:rPr>
        <w:t>、</w:t>
      </w:r>
      <w:r>
        <w:rPr>
          <w:rFonts w:hint="eastAsia"/>
          <w:lang w:val="zh-CN"/>
        </w:rPr>
        <w:t>72%</w:t>
      </w:r>
      <w:r>
        <w:rPr>
          <w:rFonts w:hint="eastAsia"/>
          <w:lang w:val="zh-CN"/>
        </w:rPr>
        <w:t>和</w:t>
      </w:r>
      <w:r>
        <w:rPr>
          <w:rFonts w:hint="eastAsia"/>
          <w:lang w:val="zh-CN"/>
        </w:rPr>
        <w:t>61%</w:t>
      </w:r>
      <w:r>
        <w:rPr>
          <w:rFonts w:hint="eastAsia"/>
          <w:lang w:val="zh-CN"/>
        </w:rPr>
        <w:t>。</w:t>
      </w:r>
    </w:p>
    <w:p w:rsidR="00A83775" w:rsidRDefault="00A83775">
      <w:pPr>
        <w:pStyle w:val="SingleTxtGC"/>
        <w:rPr>
          <w:lang w:val="zh-CN"/>
        </w:rPr>
      </w:pPr>
      <w:r>
        <w:rPr>
          <w:lang w:val="zh-CN"/>
        </w:rPr>
        <w:t xml:space="preserve">340.  </w:t>
      </w:r>
      <w:r>
        <w:rPr>
          <w:rFonts w:hint="eastAsia"/>
          <w:lang w:val="zh-CN"/>
        </w:rPr>
        <w:t>2010</w:t>
      </w:r>
      <w:r>
        <w:rPr>
          <w:rFonts w:hint="eastAsia"/>
          <w:lang w:val="zh-CN"/>
        </w:rPr>
        <w:t>年女生报考比例较高的本科专业主要有：生态休闲教育、师范教育、行政法专业、艺术师范类和幼儿师范教育专业。</w:t>
      </w:r>
      <w:r>
        <w:rPr>
          <w:rFonts w:hint="eastAsia"/>
          <w:lang w:val="zh-CN"/>
        </w:rPr>
        <w:t>2010</w:t>
      </w:r>
      <w:r>
        <w:rPr>
          <w:rFonts w:hint="eastAsia"/>
          <w:lang w:val="zh-CN"/>
        </w:rPr>
        <w:t>年这五类专业的女生人数占招录女生总数的</w:t>
      </w:r>
      <w:r>
        <w:rPr>
          <w:rFonts w:hint="eastAsia"/>
          <w:lang w:val="zh-CN"/>
        </w:rPr>
        <w:t>18.2%</w:t>
      </w:r>
      <w:r>
        <w:rPr>
          <w:rFonts w:hint="eastAsia"/>
          <w:lang w:val="zh-CN"/>
        </w:rPr>
        <w:t>。</w:t>
      </w:r>
    </w:p>
    <w:p w:rsidR="00A83775" w:rsidRDefault="00A83775">
      <w:pPr>
        <w:pStyle w:val="SingleTxtGC"/>
        <w:rPr>
          <w:lang w:val="es-CO"/>
        </w:rPr>
      </w:pPr>
      <w:r>
        <w:rPr>
          <w:lang w:val="zh-CN"/>
        </w:rPr>
        <w:t xml:space="preserve">341.  </w:t>
      </w:r>
      <w:r>
        <w:rPr>
          <w:rFonts w:hint="eastAsia"/>
          <w:lang w:val="zh-CN"/>
        </w:rPr>
        <w:t>在针对</w:t>
      </w:r>
      <w:r>
        <w:rPr>
          <w:rFonts w:eastAsia="SimHei" w:hint="eastAsia"/>
          <w:lang w:val="zh-CN"/>
        </w:rPr>
        <w:t>文盲人口</w:t>
      </w:r>
      <w:r>
        <w:rPr>
          <w:rFonts w:hint="eastAsia"/>
          <w:lang w:val="zh-CN"/>
        </w:rPr>
        <w:t>的扫盲工作方面，</w:t>
      </w:r>
      <w:r>
        <w:rPr>
          <w:rFonts w:hint="eastAsia"/>
          <w:lang w:val="zh-CN"/>
        </w:rPr>
        <w:t>2002</w:t>
      </w:r>
      <w:r>
        <w:rPr>
          <w:rFonts w:hint="eastAsia"/>
          <w:lang w:val="zh-CN"/>
        </w:rPr>
        <w:t>年文盲人口占</w:t>
      </w:r>
      <w:r>
        <w:rPr>
          <w:rFonts w:hint="eastAsia"/>
          <w:lang w:val="zh-CN"/>
        </w:rPr>
        <w:t>15</w:t>
      </w:r>
      <w:r>
        <w:rPr>
          <w:rFonts w:hint="eastAsia"/>
          <w:lang w:val="zh-CN"/>
        </w:rPr>
        <w:t>岁以上人口总数的</w:t>
      </w:r>
      <w:r>
        <w:rPr>
          <w:rFonts w:hint="eastAsia"/>
          <w:lang w:val="zh-CN"/>
        </w:rPr>
        <w:t>7.6%</w:t>
      </w:r>
      <w:r>
        <w:rPr>
          <w:rFonts w:hint="eastAsia"/>
          <w:lang w:val="zh-CN"/>
        </w:rPr>
        <w:t>，到</w:t>
      </w:r>
      <w:r>
        <w:rPr>
          <w:rFonts w:hint="eastAsia"/>
          <w:lang w:val="zh-CN"/>
        </w:rPr>
        <w:t>2009</w:t>
      </w:r>
      <w:r>
        <w:rPr>
          <w:rFonts w:hint="eastAsia"/>
          <w:lang w:val="zh-CN"/>
        </w:rPr>
        <w:t>年</w:t>
      </w:r>
      <w:r>
        <w:rPr>
          <w:rFonts w:hint="eastAsia"/>
          <w:lang w:val="es-CO"/>
        </w:rPr>
        <w:t>这一比例降至</w:t>
      </w:r>
      <w:r>
        <w:rPr>
          <w:rFonts w:hint="eastAsia"/>
          <w:lang w:val="es-CO"/>
        </w:rPr>
        <w:t>6.7%</w:t>
      </w:r>
      <w:r>
        <w:rPr>
          <w:rFonts w:hint="eastAsia"/>
          <w:lang w:val="es-CO"/>
        </w:rPr>
        <w:t>。不识字人口中以农村人口和老龄人口为主。</w:t>
      </w:r>
      <w:r>
        <w:rPr>
          <w:rFonts w:hint="eastAsia"/>
          <w:lang w:val="es-CO"/>
        </w:rPr>
        <w:t>2008</w:t>
      </w:r>
      <w:r>
        <w:rPr>
          <w:rFonts w:hint="eastAsia"/>
          <w:lang w:val="es-CO"/>
        </w:rPr>
        <w:t>年，大城市中的文盲率为</w:t>
      </w:r>
      <w:r>
        <w:rPr>
          <w:rFonts w:hint="eastAsia"/>
          <w:lang w:val="es-CO"/>
        </w:rPr>
        <w:t>4.2%</w:t>
      </w:r>
      <w:r>
        <w:rPr>
          <w:rFonts w:hint="eastAsia"/>
          <w:lang w:val="es-CO"/>
        </w:rPr>
        <w:t>，而农村地区的文盲率则为</w:t>
      </w:r>
      <w:r>
        <w:rPr>
          <w:rFonts w:hint="eastAsia"/>
          <w:lang w:val="es-CO"/>
        </w:rPr>
        <w:t>15.0%</w:t>
      </w:r>
      <w:r>
        <w:rPr>
          <w:rFonts w:hint="eastAsia"/>
          <w:lang w:val="es-CO"/>
        </w:rPr>
        <w:t>。同样，数据显示，</w:t>
      </w:r>
      <w:r>
        <w:rPr>
          <w:rFonts w:hint="eastAsia"/>
          <w:lang w:val="es-CO"/>
        </w:rPr>
        <w:t>15-24</w:t>
      </w:r>
      <w:r>
        <w:rPr>
          <w:rFonts w:hint="eastAsia"/>
          <w:lang w:val="es-CO"/>
        </w:rPr>
        <w:t>岁年轻人的文盲率为</w:t>
      </w:r>
      <w:r>
        <w:rPr>
          <w:rFonts w:hint="eastAsia"/>
          <w:lang w:val="es-CO"/>
        </w:rPr>
        <w:t>2.01%</w:t>
      </w:r>
      <w:r>
        <w:rPr>
          <w:rFonts w:hint="eastAsia"/>
          <w:lang w:val="es-CO"/>
        </w:rPr>
        <w:t>（大城市中的文盲率为</w:t>
      </w:r>
      <w:r>
        <w:rPr>
          <w:rFonts w:hint="eastAsia"/>
          <w:lang w:val="es-CO"/>
        </w:rPr>
        <w:t>1.1%</w:t>
      </w:r>
      <w:r>
        <w:rPr>
          <w:rFonts w:hint="eastAsia"/>
          <w:lang w:val="es-CO"/>
        </w:rPr>
        <w:t>），</w:t>
      </w:r>
      <w:r>
        <w:rPr>
          <w:rFonts w:hint="eastAsia"/>
          <w:lang w:val="es-CO"/>
        </w:rPr>
        <w:t>35</w:t>
      </w:r>
      <w:r>
        <w:rPr>
          <w:rFonts w:hint="eastAsia"/>
          <w:lang w:val="es-CO"/>
        </w:rPr>
        <w:t>岁及以上人口的文盲率为</w:t>
      </w:r>
      <w:r>
        <w:rPr>
          <w:rFonts w:hint="eastAsia"/>
          <w:lang w:val="es-CO"/>
        </w:rPr>
        <w:t>14%</w:t>
      </w:r>
      <w:r>
        <w:rPr>
          <w:rFonts w:hint="eastAsia"/>
          <w:lang w:val="es-CO"/>
        </w:rPr>
        <w:t>，</w:t>
      </w:r>
      <w:r>
        <w:rPr>
          <w:rFonts w:hint="eastAsia"/>
          <w:lang w:val="es-CO"/>
        </w:rPr>
        <w:t>45</w:t>
      </w:r>
      <w:r>
        <w:rPr>
          <w:rFonts w:hint="eastAsia"/>
          <w:lang w:val="es-CO"/>
        </w:rPr>
        <w:t>岁及以上人口的文盲率为</w:t>
      </w:r>
      <w:r>
        <w:rPr>
          <w:rFonts w:hint="eastAsia"/>
          <w:lang w:val="es-CO"/>
        </w:rPr>
        <w:t>18%</w:t>
      </w:r>
      <w:r>
        <w:rPr>
          <w:rFonts w:hint="eastAsia"/>
          <w:lang w:val="es-CO"/>
        </w:rPr>
        <w:t>，而问题最为显著的是农村地区，农村</w:t>
      </w:r>
      <w:r>
        <w:rPr>
          <w:rFonts w:hint="eastAsia"/>
          <w:lang w:val="es-CO"/>
        </w:rPr>
        <w:t>45</w:t>
      </w:r>
      <w:r>
        <w:rPr>
          <w:rFonts w:hint="eastAsia"/>
          <w:lang w:val="es-CO"/>
        </w:rPr>
        <w:t>岁以上人口的文盲率为</w:t>
      </w:r>
      <w:r>
        <w:rPr>
          <w:rFonts w:hint="eastAsia"/>
          <w:lang w:val="es-CO"/>
        </w:rPr>
        <w:t>28%</w:t>
      </w:r>
      <w:r>
        <w:rPr>
          <w:rFonts w:hint="eastAsia"/>
          <w:lang w:val="es-CO"/>
        </w:rPr>
        <w:t>。</w:t>
      </w:r>
    </w:p>
    <w:p w:rsidR="00A83775" w:rsidRDefault="00A83775">
      <w:pPr>
        <w:pStyle w:val="SingleTxtGC"/>
        <w:rPr>
          <w:lang w:val="zh-CN"/>
        </w:rPr>
      </w:pPr>
      <w:r>
        <w:rPr>
          <w:lang w:val="es-CO"/>
        </w:rPr>
        <w:t xml:space="preserve">342.  </w:t>
      </w:r>
      <w:r>
        <w:rPr>
          <w:rFonts w:hint="eastAsia"/>
          <w:lang w:val="es-CO"/>
        </w:rPr>
        <w:t>在本世纪第一个十年之初，男性和女性之间的文盲率差别不大，女性情况略好（男</w:t>
      </w:r>
      <w:r>
        <w:rPr>
          <w:rFonts w:hint="eastAsia"/>
          <w:lang w:val="zh-CN"/>
        </w:rPr>
        <w:t>性文盲率为</w:t>
      </w:r>
      <w:r>
        <w:rPr>
          <w:rFonts w:hint="eastAsia"/>
          <w:lang w:val="zh-CN"/>
        </w:rPr>
        <w:t>7.44%</w:t>
      </w:r>
      <w:r>
        <w:rPr>
          <w:rFonts w:hint="eastAsia"/>
          <w:lang w:val="zh-CN"/>
        </w:rPr>
        <w:t>，女性为</w:t>
      </w:r>
      <w:r>
        <w:rPr>
          <w:rFonts w:hint="eastAsia"/>
          <w:lang w:val="zh-CN"/>
        </w:rPr>
        <w:t>7.42%</w:t>
      </w:r>
      <w:r>
        <w:rPr>
          <w:rFonts w:hint="eastAsia"/>
          <w:lang w:val="zh-CN"/>
        </w:rPr>
        <w:t>）。到这个十年接近尾声时，每</w:t>
      </w:r>
      <w:r>
        <w:rPr>
          <w:rFonts w:hint="eastAsia"/>
          <w:lang w:val="zh-CN"/>
        </w:rPr>
        <w:t>100</w:t>
      </w:r>
      <w:r>
        <w:rPr>
          <w:rFonts w:hint="eastAsia"/>
          <w:lang w:val="zh-CN"/>
        </w:rPr>
        <w:t>名哥伦比亚人中的文盲数量为</w:t>
      </w:r>
      <w:r>
        <w:rPr>
          <w:rFonts w:hint="eastAsia"/>
          <w:lang w:val="zh-CN"/>
        </w:rPr>
        <w:t>6.76</w:t>
      </w:r>
      <w:r>
        <w:rPr>
          <w:rFonts w:hint="eastAsia"/>
          <w:lang w:val="zh-CN"/>
        </w:rPr>
        <w:t>人。女性在这方面的进步幅度更大，扩大了其与男性相比的优势（男性文盲率为</w:t>
      </w:r>
      <w:r>
        <w:rPr>
          <w:rFonts w:hint="eastAsia"/>
          <w:lang w:val="zh-CN"/>
        </w:rPr>
        <w:t>6.68%</w:t>
      </w:r>
      <w:r>
        <w:rPr>
          <w:rFonts w:hint="eastAsia"/>
          <w:lang w:val="zh-CN"/>
        </w:rPr>
        <w:t>，女性为</w:t>
      </w:r>
      <w:r>
        <w:rPr>
          <w:rFonts w:hint="eastAsia"/>
          <w:lang w:val="zh-CN"/>
        </w:rPr>
        <w:t>6.56%</w:t>
      </w:r>
      <w:r>
        <w:rPr>
          <w:rFonts w:hint="eastAsia"/>
          <w:lang w:val="zh-CN"/>
        </w:rPr>
        <w:t>）。</w:t>
      </w:r>
    </w:p>
    <w:p w:rsidR="00A83775" w:rsidRDefault="00A83775">
      <w:pPr>
        <w:pStyle w:val="SingleTxtGC"/>
        <w:rPr>
          <w:lang w:val="zh-CN"/>
        </w:rPr>
      </w:pPr>
      <w:r>
        <w:rPr>
          <w:lang w:val="zh-CN"/>
        </w:rPr>
        <w:t xml:space="preserve">343.  </w:t>
      </w:r>
      <w:r>
        <w:rPr>
          <w:rFonts w:hint="eastAsia"/>
          <w:lang w:val="zh-CN"/>
        </w:rPr>
        <w:t>正</w:t>
      </w:r>
      <w:r>
        <w:rPr>
          <w:rFonts w:eastAsia="SimHei" w:hint="eastAsia"/>
          <w:lang w:val="zh-CN"/>
        </w:rPr>
        <w:t>规院校中的辍学率</w:t>
      </w:r>
      <w:r>
        <w:rPr>
          <w:rFonts w:hint="eastAsia"/>
          <w:lang w:val="zh-CN"/>
        </w:rPr>
        <w:t>在</w:t>
      </w:r>
      <w:r>
        <w:rPr>
          <w:rFonts w:hint="eastAsia"/>
          <w:lang w:val="zh-CN"/>
        </w:rPr>
        <w:t>2002-2008</w:t>
      </w:r>
      <w:r>
        <w:rPr>
          <w:rFonts w:hint="eastAsia"/>
          <w:lang w:val="zh-CN"/>
        </w:rPr>
        <w:t>年期间下降了</w:t>
      </w:r>
      <w:r>
        <w:rPr>
          <w:rFonts w:hint="eastAsia"/>
          <w:lang w:val="zh-CN"/>
        </w:rPr>
        <w:t>2.85%</w:t>
      </w:r>
      <w:r>
        <w:rPr>
          <w:rFonts w:hint="eastAsia"/>
          <w:lang w:val="zh-CN"/>
        </w:rPr>
        <w:t>，从</w:t>
      </w:r>
      <w:r>
        <w:rPr>
          <w:rFonts w:hint="eastAsia"/>
          <w:lang w:val="zh-CN"/>
        </w:rPr>
        <w:t>2002</w:t>
      </w:r>
      <w:r>
        <w:rPr>
          <w:rFonts w:hint="eastAsia"/>
          <w:lang w:val="zh-CN"/>
        </w:rPr>
        <w:t>年的</w:t>
      </w:r>
      <w:r>
        <w:rPr>
          <w:rFonts w:hint="eastAsia"/>
          <w:lang w:val="zh-CN"/>
        </w:rPr>
        <w:t>8.0%</w:t>
      </w:r>
      <w:r>
        <w:rPr>
          <w:rFonts w:hint="eastAsia"/>
          <w:lang w:val="zh-CN"/>
        </w:rPr>
        <w:t>降至</w:t>
      </w:r>
      <w:r>
        <w:rPr>
          <w:rFonts w:hint="eastAsia"/>
          <w:lang w:val="zh-CN"/>
        </w:rPr>
        <w:t>2008</w:t>
      </w:r>
      <w:r>
        <w:rPr>
          <w:rFonts w:hint="eastAsia"/>
          <w:lang w:val="zh-CN"/>
        </w:rPr>
        <w:t>年的</w:t>
      </w:r>
      <w:r>
        <w:rPr>
          <w:rFonts w:hint="eastAsia"/>
          <w:lang w:val="zh-CN"/>
        </w:rPr>
        <w:t>5.15%</w:t>
      </w:r>
      <w:r>
        <w:rPr>
          <w:rFonts w:hint="eastAsia"/>
          <w:lang w:val="zh-CN"/>
        </w:rPr>
        <w:t>，基本上圆满达成了到</w:t>
      </w:r>
      <w:r>
        <w:rPr>
          <w:rFonts w:hint="eastAsia"/>
          <w:lang w:val="zh-CN"/>
        </w:rPr>
        <w:t>2010</w:t>
      </w:r>
      <w:r>
        <w:rPr>
          <w:rFonts w:hint="eastAsia"/>
          <w:lang w:val="zh-CN"/>
        </w:rPr>
        <w:t>年将辍学率降至</w:t>
      </w:r>
      <w:r>
        <w:rPr>
          <w:rFonts w:hint="eastAsia"/>
          <w:lang w:val="zh-CN"/>
        </w:rPr>
        <w:t>5%</w:t>
      </w:r>
      <w:r>
        <w:rPr>
          <w:rFonts w:hint="eastAsia"/>
          <w:lang w:val="zh-CN"/>
        </w:rPr>
        <w:t>这一目标。</w:t>
      </w:r>
    </w:p>
    <w:p w:rsidR="00A83775" w:rsidRDefault="00A83775">
      <w:pPr>
        <w:pStyle w:val="SingleTxtGC"/>
        <w:rPr>
          <w:lang w:val="es-CO"/>
        </w:rPr>
      </w:pPr>
      <w:r>
        <w:rPr>
          <w:lang w:val="zh-CN"/>
        </w:rPr>
        <w:t xml:space="preserve">344.  </w:t>
      </w:r>
      <w:r>
        <w:rPr>
          <w:rFonts w:hint="eastAsia"/>
          <w:lang w:val="zh-CN"/>
        </w:rPr>
        <w:t>在高等教育领域，辍学比率非常高。据估计，</w:t>
      </w:r>
      <w:r>
        <w:rPr>
          <w:rFonts w:hint="eastAsia"/>
          <w:lang w:val="zh-CN"/>
        </w:rPr>
        <w:t>2004</w:t>
      </w:r>
      <w:r>
        <w:rPr>
          <w:rFonts w:hint="eastAsia"/>
          <w:lang w:val="zh-CN"/>
        </w:rPr>
        <w:t>年</w:t>
      </w:r>
      <w:r>
        <w:rPr>
          <w:rFonts w:hint="eastAsia"/>
          <w:lang w:val="zh-CN"/>
        </w:rPr>
        <w:t>100</w:t>
      </w:r>
      <w:r>
        <w:rPr>
          <w:rFonts w:hint="eastAsia"/>
          <w:lang w:val="zh-CN"/>
        </w:rPr>
        <w:t>名考入高等教育院校的年轻人中有</w:t>
      </w:r>
      <w:r>
        <w:rPr>
          <w:rFonts w:hint="eastAsia"/>
          <w:lang w:val="zh-CN"/>
        </w:rPr>
        <w:t>48.4%</w:t>
      </w:r>
      <w:r>
        <w:rPr>
          <w:rFonts w:hint="eastAsia"/>
          <w:lang w:val="zh-CN"/>
        </w:rPr>
        <w:t>中途放弃了学业。这一总体比率在各院校、各地区和各专业中的起伏较大。据了解</w:t>
      </w:r>
      <w:r>
        <w:rPr>
          <w:rFonts w:hint="eastAsia"/>
          <w:lang w:val="es-CO"/>
        </w:rPr>
        <w:t>，</w:t>
      </w:r>
      <w:r>
        <w:rPr>
          <w:rFonts w:hint="eastAsia"/>
          <w:lang w:val="es-CO"/>
        </w:rPr>
        <w:t>2010</w:t>
      </w:r>
      <w:r>
        <w:rPr>
          <w:rFonts w:hint="eastAsia"/>
          <w:lang w:val="es-CO"/>
        </w:rPr>
        <w:t>年公立院校的辍学率为</w:t>
      </w:r>
      <w:r>
        <w:rPr>
          <w:rFonts w:hint="eastAsia"/>
          <w:lang w:val="es-CO"/>
        </w:rPr>
        <w:t>43%</w:t>
      </w:r>
      <w:r>
        <w:rPr>
          <w:rFonts w:hint="eastAsia"/>
          <w:lang w:val="es-CO"/>
        </w:rPr>
        <w:t>，略低于私立院校</w:t>
      </w:r>
      <w:r>
        <w:rPr>
          <w:rFonts w:hint="eastAsia"/>
          <w:lang w:val="es-CO"/>
        </w:rPr>
        <w:t>47.2%</w:t>
      </w:r>
      <w:r>
        <w:rPr>
          <w:rFonts w:hint="eastAsia"/>
          <w:lang w:val="es-CO"/>
        </w:rPr>
        <w:t>的水平。另一方面，职业技术类（</w:t>
      </w:r>
      <w:r>
        <w:rPr>
          <w:rFonts w:hint="eastAsia"/>
          <w:lang w:val="es-CO"/>
        </w:rPr>
        <w:t>59.6%</w:t>
      </w:r>
      <w:r>
        <w:rPr>
          <w:rFonts w:hint="eastAsia"/>
          <w:lang w:val="es-CO"/>
        </w:rPr>
        <w:t>）和技工类（</w:t>
      </w:r>
      <w:r>
        <w:rPr>
          <w:rFonts w:hint="eastAsia"/>
          <w:lang w:val="es-CO"/>
        </w:rPr>
        <w:t>55.4%</w:t>
      </w:r>
      <w:r>
        <w:rPr>
          <w:rFonts w:hint="eastAsia"/>
          <w:lang w:val="es-CO"/>
        </w:rPr>
        <w:t>）专业的辍学率要高于大学专业的辍学率（</w:t>
      </w:r>
      <w:r>
        <w:rPr>
          <w:rFonts w:hint="eastAsia"/>
          <w:lang w:val="es-CO"/>
        </w:rPr>
        <w:t>45.4%</w:t>
      </w:r>
      <w:r>
        <w:rPr>
          <w:rFonts w:hint="eastAsia"/>
          <w:lang w:val="es-CO"/>
        </w:rPr>
        <w:t>）。</w:t>
      </w:r>
    </w:p>
    <w:p w:rsidR="00A83775" w:rsidRDefault="00A83775">
      <w:pPr>
        <w:pStyle w:val="H23GC"/>
        <w:rPr>
          <w:lang w:val="es-ES_tradnl"/>
        </w:rPr>
      </w:pPr>
      <w:r>
        <w:rPr>
          <w:lang w:val="es-ES_tradnl"/>
        </w:rPr>
        <w:tab/>
        <w:t>5.</w:t>
      </w:r>
      <w:r>
        <w:rPr>
          <w:lang w:val="es-ES_tradnl"/>
        </w:rPr>
        <w:tab/>
      </w:r>
      <w:r>
        <w:rPr>
          <w:rFonts w:hint="eastAsia"/>
          <w:lang w:val="es-ES_tradnl"/>
        </w:rPr>
        <w:t>新出台或持续推行的措施</w:t>
      </w:r>
    </w:p>
    <w:p w:rsidR="00A83775" w:rsidRDefault="00A83775">
      <w:pPr>
        <w:pStyle w:val="SingleTxtGC"/>
        <w:rPr>
          <w:lang w:val="es-CO"/>
        </w:rPr>
      </w:pPr>
      <w:r>
        <w:rPr>
          <w:lang w:val="es-CO"/>
        </w:rPr>
        <w:t xml:space="preserve">345.  </w:t>
      </w:r>
      <w:r>
        <w:rPr>
          <w:rFonts w:hint="eastAsia"/>
          <w:lang w:val="es-CO"/>
        </w:rPr>
        <w:t>面对阻碍全面落实妇女的教育权利的各项经济挑战，国家努力推动开展针对年轻人和成年人的免费教育方案，以便使单身母亲也能入学受教育，而不必担心学费问题或者子女的照顾问题。同时，哥伦比亚政府还通过各地方教育厅和教育机构优化利用其从教育体系中得到的拨款这种做法来改善对妇女以及对全社会的教育服务。</w:t>
      </w:r>
    </w:p>
    <w:p w:rsidR="00A83775" w:rsidRDefault="00A83775">
      <w:pPr>
        <w:pStyle w:val="SingleTxtGC"/>
        <w:rPr>
          <w:lang w:val="zh-CN"/>
        </w:rPr>
      </w:pPr>
      <w:r>
        <w:rPr>
          <w:lang w:val="es-CO"/>
        </w:rPr>
        <w:t xml:space="preserve">346.  </w:t>
      </w:r>
      <w:r>
        <w:rPr>
          <w:rFonts w:hint="eastAsia"/>
          <w:lang w:val="es-CO"/>
        </w:rPr>
        <w:t>在文化挑战方面，政府力图通过各类教育手段降低各类歧视、殴打、性虐待、心理虐待和谩骂、经济依赖性、排斥和贫困现象。同样，政府鼓励两性平等，让妇女，特别是农村地区的妇女都能参加教育方案。此外，提高妇女的配偶、家长和子女关于妇女接受教育的重要性和必要性的认识和觉悟，尤其是针对妇女参加的教</w:t>
      </w:r>
      <w:r>
        <w:rPr>
          <w:rFonts w:hint="eastAsia"/>
          <w:lang w:val="zh-CN"/>
        </w:rPr>
        <w:t>育课程大多是夜校课程的情况。在这方面，有必要促进教育部门信息系统对此类人口的认定和特别关注，并继续实施包容性方案，让处于弱势状况的男童、女童和青少年能够入学受教育并坚持完成学业。</w:t>
      </w:r>
    </w:p>
    <w:p w:rsidR="00A83775" w:rsidRDefault="00A83775">
      <w:pPr>
        <w:pStyle w:val="SingleTxtGC"/>
        <w:rPr>
          <w:lang w:val="es-CO"/>
        </w:rPr>
      </w:pPr>
      <w:r>
        <w:rPr>
          <w:lang w:val="zh-CN"/>
        </w:rPr>
        <w:t xml:space="preserve">347.  </w:t>
      </w:r>
      <w:r>
        <w:rPr>
          <w:rFonts w:hint="eastAsia"/>
          <w:lang w:val="zh-CN"/>
        </w:rPr>
        <w:t>在社会领域，面对各项挑战，政府通过出台措施为妇女及其子女提供社会保障，让他们可以投入必要的时间来学习。为此，政府希望划定专门的道路和交通系统，以便学</w:t>
      </w:r>
      <w:r>
        <w:rPr>
          <w:rFonts w:hint="eastAsia"/>
          <w:lang w:val="es-CO"/>
        </w:rPr>
        <w:t>员能够更方便地就学，并确保交通安全，能够方便地前往学习场所。基于这一目标出台了《</w:t>
      </w:r>
      <w:r>
        <w:rPr>
          <w:rFonts w:hint="eastAsia"/>
          <w:lang w:val="es-CO"/>
        </w:rPr>
        <w:t>2009-2011</w:t>
      </w:r>
      <w:r>
        <w:rPr>
          <w:rFonts w:hint="eastAsia"/>
          <w:lang w:val="es-CO"/>
        </w:rPr>
        <w:t>年反周期投资计划》，通过这一计划力争在最近三年内建成必要的基础设施，执行预算为一万亿比索（</w:t>
      </w:r>
      <w:r>
        <w:rPr>
          <w:rFonts w:hint="eastAsia"/>
          <w:lang w:val="es-CO"/>
        </w:rPr>
        <w:t>5.22</w:t>
      </w:r>
      <w:r>
        <w:rPr>
          <w:rFonts w:hint="eastAsia"/>
          <w:lang w:val="es-CO"/>
        </w:rPr>
        <w:t>亿美元）。计划新建或翻修</w:t>
      </w:r>
      <w:r>
        <w:rPr>
          <w:rFonts w:hint="eastAsia"/>
          <w:lang w:val="es-CO"/>
        </w:rPr>
        <w:t>10</w:t>
      </w:r>
      <w:r>
        <w:rPr>
          <w:lang w:val="es-CO"/>
        </w:rPr>
        <w:t>,</w:t>
      </w:r>
      <w:r>
        <w:rPr>
          <w:rFonts w:hint="eastAsia"/>
          <w:lang w:val="es-CO"/>
        </w:rPr>
        <w:t>000</w:t>
      </w:r>
      <w:r>
        <w:rPr>
          <w:rFonts w:hint="eastAsia"/>
          <w:lang w:val="es-CO"/>
        </w:rPr>
        <w:t>余间教室，新增约</w:t>
      </w:r>
      <w:r>
        <w:rPr>
          <w:rFonts w:hint="eastAsia"/>
          <w:lang w:val="es-CO"/>
        </w:rPr>
        <w:t>891</w:t>
      </w:r>
      <w:r>
        <w:rPr>
          <w:lang w:val="es-CO"/>
        </w:rPr>
        <w:t>,</w:t>
      </w:r>
      <w:r>
        <w:rPr>
          <w:rFonts w:hint="eastAsia"/>
          <w:lang w:val="es-CO"/>
        </w:rPr>
        <w:t>410</w:t>
      </w:r>
      <w:r>
        <w:rPr>
          <w:rFonts w:hint="eastAsia"/>
          <w:lang w:val="es-CO"/>
        </w:rPr>
        <w:t>个入学名额。</w:t>
      </w:r>
      <w:r>
        <w:rPr>
          <w:lang w:val="es-CO"/>
        </w:rPr>
        <w:t xml:space="preserve"> </w:t>
      </w:r>
    </w:p>
    <w:p w:rsidR="00A83775" w:rsidRDefault="00A83775">
      <w:pPr>
        <w:pStyle w:val="SingleTxtGC"/>
        <w:rPr>
          <w:lang w:val="zh-CN"/>
        </w:rPr>
      </w:pPr>
      <w:r>
        <w:rPr>
          <w:lang w:val="es-CO"/>
        </w:rPr>
        <w:t xml:space="preserve">348.  </w:t>
      </w:r>
      <w:r>
        <w:rPr>
          <w:rFonts w:hint="eastAsia"/>
          <w:lang w:val="es-CO"/>
        </w:rPr>
        <w:t>2005-2007</w:t>
      </w:r>
      <w:r>
        <w:rPr>
          <w:rFonts w:hint="eastAsia"/>
          <w:lang w:val="es-CO"/>
        </w:rPr>
        <w:t>年期间，教育部就性教育和公民建设教育方案开展了一项研究。无论是这一研究的结果还是由人口基金开展的其他研究的结果都显示，哥伦比亚的若干地区</w:t>
      </w:r>
      <w:r>
        <w:rPr>
          <w:rFonts w:hint="eastAsia"/>
          <w:lang w:val="zh-CN"/>
        </w:rPr>
        <w:t>仍继续保持男性沙文主义的趋势。而这种行为是从家庭观念和文化观点中产生的，并会对家庭、社会和学校产生负面影响。</w:t>
      </w:r>
    </w:p>
    <w:p w:rsidR="00A83775" w:rsidRDefault="00A83775">
      <w:pPr>
        <w:pStyle w:val="SingleTxtGC"/>
        <w:rPr>
          <w:lang w:val="zh-CN"/>
        </w:rPr>
      </w:pPr>
      <w:r>
        <w:rPr>
          <w:lang w:val="zh-CN"/>
        </w:rPr>
        <w:t xml:space="preserve">349.  </w:t>
      </w:r>
      <w:r>
        <w:rPr>
          <w:rFonts w:hint="eastAsia"/>
          <w:lang w:val="zh-CN"/>
        </w:rPr>
        <w:t>这一点在决策方面表现尤为明显，男性在决策时会考虑、选择和承担其决策的后果，而女性的决策权掌握在其家庭手中。在这个意义上说，家庭认为女性没有决策能力，她们处于弱势并需要更多的保护和监控，因此不适合做出恰当的决策。</w:t>
      </w:r>
    </w:p>
    <w:p w:rsidR="00A83775" w:rsidRDefault="00A83775">
      <w:pPr>
        <w:pStyle w:val="SingleTxtGC"/>
        <w:rPr>
          <w:lang w:val="es-CO"/>
        </w:rPr>
      </w:pPr>
      <w:r>
        <w:rPr>
          <w:lang w:val="zh-CN"/>
        </w:rPr>
        <w:t xml:space="preserve">350.  </w:t>
      </w:r>
      <w:r>
        <w:rPr>
          <w:rFonts w:hint="eastAsia"/>
          <w:lang w:val="zh-CN"/>
        </w:rPr>
        <w:t>同时，这些研究得出的一个结论就是性别不平等以及拒绝多元化的现象在家庭环境中更为严重。妇女在家庭中要承担加诸于女性身上的责任并且将其视为一种美德，如果有所反抗，就会被认为不是好女人。面对这类情况，国家教育部已经努力使女性在</w:t>
      </w:r>
      <w:r>
        <w:rPr>
          <w:rFonts w:hint="eastAsia"/>
          <w:lang w:val="es-CO"/>
        </w:rPr>
        <w:t>平等和公正的条件下践行其教育权，但是由于这涉及到文化观念问题，因此这一转变过程进展十分缓慢。</w:t>
      </w:r>
    </w:p>
    <w:p w:rsidR="00A83775" w:rsidRDefault="00A83775">
      <w:pPr>
        <w:pStyle w:val="H1GC"/>
        <w:rPr>
          <w:lang w:val="es-ES_tradnl"/>
        </w:rPr>
      </w:pPr>
      <w:r>
        <w:rPr>
          <w:lang w:val="es-ES_tradnl"/>
        </w:rPr>
        <w:tab/>
        <w:t>B.</w:t>
      </w:r>
      <w:r>
        <w:rPr>
          <w:lang w:val="es-ES_tradnl"/>
        </w:rPr>
        <w:tab/>
      </w:r>
      <w:r>
        <w:rPr>
          <w:rFonts w:hint="eastAsia"/>
          <w:lang w:val="es-ES_tradnl"/>
        </w:rPr>
        <w:t>第十一条和第十三条</w:t>
      </w:r>
    </w:p>
    <w:p w:rsidR="00A83775" w:rsidRDefault="00A83775">
      <w:pPr>
        <w:pStyle w:val="SingleTxtGC"/>
        <w:rPr>
          <w:lang w:val="es-ES_tradnl"/>
        </w:rPr>
      </w:pPr>
      <w:r>
        <w:rPr>
          <w:lang w:val="es-ES_tradnl"/>
        </w:rPr>
        <w:t xml:space="preserve">351.  </w:t>
      </w:r>
      <w:r>
        <w:rPr>
          <w:rFonts w:hint="eastAsia"/>
          <w:lang w:val="es-ES"/>
        </w:rPr>
        <w:t>与委员会向哥伦比亚提出的具体建议（</w:t>
      </w:r>
      <w:r>
        <w:rPr>
          <w:lang w:val="es-ES"/>
        </w:rPr>
        <w:t>CEDAW/C/COL/CO/6</w:t>
      </w:r>
      <w:r>
        <w:rPr>
          <w:rFonts w:hint="eastAsia"/>
          <w:lang w:val="es-ES"/>
        </w:rPr>
        <w:t>，第</w:t>
      </w:r>
      <w:r>
        <w:rPr>
          <w:rFonts w:hint="eastAsia"/>
          <w:lang w:val="es-ES"/>
        </w:rPr>
        <w:t>29</w:t>
      </w:r>
      <w:r>
        <w:rPr>
          <w:rFonts w:hint="eastAsia"/>
          <w:lang w:val="es-ES"/>
        </w:rPr>
        <w:t>段）及委员会第</w:t>
      </w:r>
      <w:r>
        <w:rPr>
          <w:rFonts w:hint="eastAsia"/>
          <w:lang w:val="es-ES"/>
        </w:rPr>
        <w:t>12</w:t>
      </w:r>
      <w:r>
        <w:rPr>
          <w:rFonts w:hint="eastAsia"/>
          <w:lang w:val="es-ES"/>
        </w:rPr>
        <w:t>、</w:t>
      </w:r>
      <w:r>
        <w:rPr>
          <w:rFonts w:hint="eastAsia"/>
          <w:lang w:val="es-ES"/>
        </w:rPr>
        <w:t>13</w:t>
      </w:r>
      <w:r>
        <w:rPr>
          <w:rFonts w:hint="eastAsia"/>
          <w:lang w:val="es-ES"/>
        </w:rPr>
        <w:t>、</w:t>
      </w:r>
      <w:r>
        <w:rPr>
          <w:rFonts w:hint="eastAsia"/>
          <w:lang w:val="es-ES"/>
        </w:rPr>
        <w:t>16</w:t>
      </w:r>
      <w:r>
        <w:rPr>
          <w:rFonts w:hint="eastAsia"/>
          <w:lang w:val="es-ES"/>
        </w:rPr>
        <w:t>、</w:t>
      </w:r>
      <w:r>
        <w:rPr>
          <w:rFonts w:hint="eastAsia"/>
          <w:lang w:val="es-ES"/>
        </w:rPr>
        <w:t>17</w:t>
      </w:r>
      <w:r>
        <w:rPr>
          <w:rFonts w:hint="eastAsia"/>
          <w:lang w:val="es-ES"/>
        </w:rPr>
        <w:t>和</w:t>
      </w:r>
      <w:r>
        <w:rPr>
          <w:rFonts w:hint="eastAsia"/>
          <w:lang w:val="es-ES"/>
        </w:rPr>
        <w:t>19</w:t>
      </w:r>
      <w:r>
        <w:rPr>
          <w:rFonts w:hint="eastAsia"/>
          <w:lang w:val="es-ES"/>
        </w:rPr>
        <w:t>号一般性建议有关。</w:t>
      </w:r>
    </w:p>
    <w:p w:rsidR="00A83775" w:rsidRDefault="00A83775">
      <w:pPr>
        <w:pStyle w:val="H23GC"/>
        <w:rPr>
          <w:lang w:val="es-ES_tradnl"/>
        </w:rPr>
      </w:pPr>
      <w:r>
        <w:rPr>
          <w:lang w:val="es-ES_tradnl"/>
        </w:rPr>
        <w:tab/>
        <w:t>1.</w:t>
      </w:r>
      <w:r>
        <w:rPr>
          <w:lang w:val="es-ES_tradnl"/>
        </w:rPr>
        <w:tab/>
      </w:r>
      <w:r>
        <w:rPr>
          <w:rFonts w:hint="eastAsia"/>
          <w:lang w:val="es-ES_tradnl"/>
        </w:rPr>
        <w:t>行政措施</w:t>
      </w:r>
    </w:p>
    <w:p w:rsidR="00A83775" w:rsidRDefault="00A83775">
      <w:pPr>
        <w:pStyle w:val="SingleTxtGC"/>
        <w:rPr>
          <w:lang w:val="es-ES"/>
        </w:rPr>
      </w:pPr>
      <w:r>
        <w:rPr>
          <w:lang w:val="es-ES"/>
        </w:rPr>
        <w:t xml:space="preserve">352.  </w:t>
      </w:r>
      <w:r>
        <w:rPr>
          <w:rFonts w:hint="eastAsia"/>
          <w:lang w:val="zh-CN"/>
        </w:rPr>
        <w:t>政府</w:t>
      </w:r>
      <w:r>
        <w:rPr>
          <w:rFonts w:hint="eastAsia"/>
          <w:lang w:val="es-ES"/>
        </w:rPr>
        <w:t>通过出台针对劳动力市场和劳动关系的政策，已经使越来越多的哥伦比亚人能够从事生产劳动就业，获得稳定的收入并（倾向于以参保缴费的方式）参与社会保障体系。这些成就的取得要归功于国民经济的高度活跃。在这方面，旨在促进经济增长的战略从总体上对劳动和就业产生了积极影响，这反映在失业率的降低以及正规就业的增加上，这意味着社会保障体系参保缴费人数的增加。政府在这方面的第一步举措就是通过</w:t>
      </w:r>
      <w:r>
        <w:rPr>
          <w:rFonts w:hint="eastAsia"/>
          <w:lang w:val="es-ES"/>
        </w:rPr>
        <w:t>2002</w:t>
      </w:r>
      <w:r>
        <w:rPr>
          <w:rFonts w:hint="eastAsia"/>
          <w:lang w:val="es-ES"/>
        </w:rPr>
        <w:t>年的第</w:t>
      </w:r>
      <w:r>
        <w:rPr>
          <w:rFonts w:hint="eastAsia"/>
          <w:lang w:val="es-ES"/>
        </w:rPr>
        <w:t>789</w:t>
      </w:r>
      <w:r>
        <w:rPr>
          <w:rFonts w:hint="eastAsia"/>
          <w:lang w:val="es-ES"/>
        </w:rPr>
        <w:t>号法修改了法律法规框架，以便使劳动力市场更加灵活。</w:t>
      </w:r>
    </w:p>
    <w:p w:rsidR="00A83775" w:rsidRDefault="00A83775">
      <w:pPr>
        <w:pStyle w:val="SingleTxtGC"/>
        <w:rPr>
          <w:rFonts w:hint="eastAsia"/>
          <w:lang w:val="zh-CN"/>
        </w:rPr>
      </w:pPr>
      <w:r>
        <w:rPr>
          <w:lang w:val="es-ES"/>
        </w:rPr>
        <w:t xml:space="preserve">353.  </w:t>
      </w:r>
      <w:r>
        <w:rPr>
          <w:rFonts w:hint="eastAsia"/>
          <w:lang w:val="es-ES"/>
        </w:rPr>
        <w:t>为评估这一劳动领域的变更所产生的效果而开展的研究</w:t>
      </w:r>
      <w:r>
        <w:rPr>
          <w:vertAlign w:val="superscript"/>
          <w:lang w:val="es-ES"/>
        </w:rPr>
        <w:footnoteReference w:id="157"/>
      </w:r>
      <w:r>
        <w:rPr>
          <w:lang w:val="es-ES"/>
        </w:rPr>
        <w:t xml:space="preserve"> </w:t>
      </w:r>
      <w:r>
        <w:rPr>
          <w:rFonts w:hint="eastAsia"/>
          <w:lang w:val="es-ES"/>
        </w:rPr>
        <w:t>表明，哥伦比亚人的就业几率有所增加。改革检查委员会（</w:t>
      </w:r>
      <w:r>
        <w:rPr>
          <w:rFonts w:hint="eastAsia"/>
          <w:lang w:val="es-ES"/>
        </w:rPr>
        <w:t>2005</w:t>
      </w:r>
      <w:r>
        <w:rPr>
          <w:rFonts w:hint="eastAsia"/>
          <w:lang w:val="es-ES"/>
        </w:rPr>
        <w:t>年）指出，在改革之后的两年中，即</w:t>
      </w:r>
      <w:r>
        <w:rPr>
          <w:rFonts w:hint="eastAsia"/>
          <w:lang w:val="es-ES"/>
        </w:rPr>
        <w:t>2006</w:t>
      </w:r>
      <w:r>
        <w:rPr>
          <w:rFonts w:hint="eastAsia"/>
          <w:lang w:val="es-ES"/>
        </w:rPr>
        <w:t>年和</w:t>
      </w:r>
      <w:r>
        <w:rPr>
          <w:rFonts w:hint="eastAsia"/>
          <w:lang w:val="es-ES"/>
        </w:rPr>
        <w:t>2007</w:t>
      </w:r>
      <w:r>
        <w:rPr>
          <w:rFonts w:hint="eastAsia"/>
          <w:lang w:val="es-ES"/>
        </w:rPr>
        <w:t>年所生成的</w:t>
      </w:r>
      <w:r>
        <w:rPr>
          <w:rFonts w:hint="eastAsia"/>
          <w:lang w:val="es-ES"/>
        </w:rPr>
        <w:t>96</w:t>
      </w:r>
      <w:r>
        <w:rPr>
          <w:rFonts w:hint="eastAsia"/>
          <w:lang w:val="es-ES"/>
        </w:rPr>
        <w:t>万个就业岗位中，有</w:t>
      </w:r>
      <w:r>
        <w:rPr>
          <w:rFonts w:hint="eastAsia"/>
          <w:lang w:val="es-ES"/>
        </w:rPr>
        <w:t>35%</w:t>
      </w:r>
      <w:r>
        <w:rPr>
          <w:rFonts w:hint="eastAsia"/>
          <w:lang w:val="es-ES"/>
        </w:rPr>
        <w:t>是由于改革促成的。</w:t>
      </w:r>
      <w:r>
        <w:rPr>
          <w:rFonts w:hint="eastAsia"/>
          <w:lang w:val="zh-CN"/>
        </w:rPr>
        <w:t>此外，政府积极采取各项战略来完善对社会保障体系参保缴费人员和受益人员的身份认定程序，以及现有的审查程序。这些举措，配合较高的就业率，使得医疗保障体系、养老金体系、职业风险体系以及家庭互助救济体系的参保劳动者数量加速增长。与此同时，政府还做出了重大努力，以便生成新的营销渠道并促进在生产活动中进行创新，以提高哥伦比亚经济的竞争力和生产力。</w:t>
      </w:r>
      <w:r>
        <w:rPr>
          <w:vertAlign w:val="superscript"/>
          <w:lang w:val="zh-CN"/>
        </w:rPr>
        <w:footnoteReference w:id="158"/>
      </w:r>
    </w:p>
    <w:p w:rsidR="00A83775" w:rsidRDefault="00A83775">
      <w:pPr>
        <w:pStyle w:val="SingleTxtGC"/>
        <w:rPr>
          <w:lang w:val="zh-CN"/>
        </w:rPr>
      </w:pPr>
      <w:r>
        <w:rPr>
          <w:lang w:val="zh-CN"/>
        </w:rPr>
        <w:t xml:space="preserve">354.  </w:t>
      </w:r>
      <w:r>
        <w:rPr>
          <w:rFonts w:hint="eastAsia"/>
          <w:lang w:val="zh-CN"/>
        </w:rPr>
        <w:t>为激发劳动力市场的活力，政府已经开展了三方面的工作：活跃的劳动力供给；劳动中介和保护失业人员；劳动关系。</w:t>
      </w:r>
    </w:p>
    <w:p w:rsidR="00A83775" w:rsidRDefault="00A83775">
      <w:pPr>
        <w:pStyle w:val="SingleTxtGC"/>
        <w:rPr>
          <w:lang w:val="zh-CN"/>
        </w:rPr>
      </w:pPr>
      <w:r>
        <w:rPr>
          <w:lang w:val="zh-CN"/>
        </w:rPr>
        <w:t xml:space="preserve">355.  </w:t>
      </w:r>
      <w:r>
        <w:rPr>
          <w:rFonts w:eastAsia="SimHei" w:hint="eastAsia"/>
          <w:lang w:val="zh-CN"/>
        </w:rPr>
        <w:t>促进体面劳动</w:t>
      </w:r>
      <w:r>
        <w:rPr>
          <w:rFonts w:hint="eastAsia"/>
          <w:lang w:val="zh-CN"/>
        </w:rPr>
        <w:t>。在《</w:t>
      </w:r>
      <w:r>
        <w:rPr>
          <w:rFonts w:hint="eastAsia"/>
          <w:lang w:val="zh-CN"/>
        </w:rPr>
        <w:t>2006-2010</w:t>
      </w:r>
      <w:r>
        <w:rPr>
          <w:rFonts w:hint="eastAsia"/>
          <w:lang w:val="zh-CN"/>
        </w:rPr>
        <w:t>年国家发展计划》中规定，应当采取各项行动，通过宣传和推广各项基本原则和权利，预防和减少劳务冲突，实现体面劳动。同样，计划指出政府应当在相关国际组织，如国际劳工组织（劳工组织）的技术顾问下与雇主和劳动者共同促进体面劳动。哥伦比亚作为一个社会性的法治国家，已经就在已批准的协议框架内增进劳动权利、促进体面就业机会、完善社会保障和社会对话向劳工组织做出了承诺。</w:t>
      </w:r>
      <w:r>
        <w:rPr>
          <w:rFonts w:hint="eastAsia"/>
          <w:lang w:val="zh-CN"/>
        </w:rPr>
        <w:t>2006</w:t>
      </w:r>
      <w:r>
        <w:rPr>
          <w:rFonts w:hint="eastAsia"/>
          <w:lang w:val="zh-CN"/>
        </w:rPr>
        <w:t>年</w:t>
      </w:r>
      <w:r>
        <w:rPr>
          <w:rFonts w:hint="eastAsia"/>
          <w:lang w:val="zh-CN"/>
        </w:rPr>
        <w:t>6</w:t>
      </w:r>
      <w:r>
        <w:rPr>
          <w:rFonts w:hint="eastAsia"/>
          <w:lang w:val="zh-CN"/>
        </w:rPr>
        <w:t>月，批准了当前正执行的</w:t>
      </w:r>
      <w:r>
        <w:rPr>
          <w:rFonts w:hint="eastAsia"/>
          <w:lang w:val="zh-CN"/>
        </w:rPr>
        <w:t>2007-2010</w:t>
      </w:r>
      <w:r>
        <w:rPr>
          <w:rFonts w:hint="eastAsia"/>
          <w:lang w:val="zh-CN"/>
        </w:rPr>
        <w:t>年投资预算，其中包括旨在资助开展为促进体面劳动提供技术支持项目的专项预算。</w:t>
      </w:r>
    </w:p>
    <w:p w:rsidR="00A83775" w:rsidRDefault="00A83775">
      <w:pPr>
        <w:pStyle w:val="SingleTxtGC"/>
        <w:rPr>
          <w:rFonts w:hint="eastAsia"/>
          <w:lang w:val="zh-CN"/>
        </w:rPr>
      </w:pPr>
      <w:r>
        <w:rPr>
          <w:lang w:val="zh-CN"/>
        </w:rPr>
        <w:t xml:space="preserve">356.  </w:t>
      </w:r>
      <w:r>
        <w:rPr>
          <w:rFonts w:hint="eastAsia"/>
          <w:lang w:val="zh-CN"/>
        </w:rPr>
        <w:t>与此同时，对劳动法律法规进行了更新，寻求实现兼顾全球经济需求与哥伦比亚劳动者保障的和谐发展（与立法措施有关的</w:t>
      </w:r>
      <w:r>
        <w:rPr>
          <w:rFonts w:hint="eastAsia"/>
          <w:lang w:val="zh-CN"/>
        </w:rPr>
        <w:t>2002</w:t>
      </w:r>
      <w:r>
        <w:rPr>
          <w:rFonts w:hint="eastAsia"/>
          <w:lang w:val="zh-CN"/>
        </w:rPr>
        <w:t>年的第</w:t>
      </w:r>
      <w:r>
        <w:rPr>
          <w:rFonts w:hint="eastAsia"/>
          <w:lang w:val="zh-CN"/>
        </w:rPr>
        <w:t>789</w:t>
      </w:r>
      <w:r>
        <w:rPr>
          <w:rFonts w:hint="eastAsia"/>
          <w:lang w:val="zh-CN"/>
        </w:rPr>
        <w:t>号法、</w:t>
      </w:r>
      <w:r>
        <w:rPr>
          <w:rFonts w:hint="eastAsia"/>
          <w:lang w:val="zh-CN"/>
        </w:rPr>
        <w:t>2008</w:t>
      </w:r>
      <w:r>
        <w:rPr>
          <w:rFonts w:hint="eastAsia"/>
          <w:lang w:val="zh-CN"/>
        </w:rPr>
        <w:t>年的第</w:t>
      </w:r>
      <w:r>
        <w:rPr>
          <w:rFonts w:hint="eastAsia"/>
          <w:lang w:val="zh-CN"/>
        </w:rPr>
        <w:t>1210</w:t>
      </w:r>
      <w:r>
        <w:rPr>
          <w:rFonts w:hint="eastAsia"/>
          <w:lang w:val="zh-CN"/>
        </w:rPr>
        <w:t>号法、</w:t>
      </w:r>
      <w:r>
        <w:rPr>
          <w:rFonts w:hint="eastAsia"/>
          <w:lang w:val="zh-CN"/>
        </w:rPr>
        <w:t>2008</w:t>
      </w:r>
      <w:r>
        <w:rPr>
          <w:rFonts w:hint="eastAsia"/>
          <w:lang w:val="zh-CN"/>
        </w:rPr>
        <w:t>年的第</w:t>
      </w:r>
      <w:r>
        <w:rPr>
          <w:rFonts w:hint="eastAsia"/>
          <w:lang w:val="zh-CN"/>
        </w:rPr>
        <w:t>1233</w:t>
      </w:r>
      <w:r>
        <w:rPr>
          <w:rFonts w:hint="eastAsia"/>
          <w:lang w:val="zh-CN"/>
        </w:rPr>
        <w:t>号法和</w:t>
      </w:r>
      <w:r>
        <w:rPr>
          <w:rFonts w:hint="eastAsia"/>
          <w:lang w:val="zh-CN"/>
        </w:rPr>
        <w:t>2009</w:t>
      </w:r>
      <w:r>
        <w:rPr>
          <w:rFonts w:hint="eastAsia"/>
          <w:lang w:val="zh-CN"/>
        </w:rPr>
        <w:t>年的第</w:t>
      </w:r>
      <w:r>
        <w:rPr>
          <w:rFonts w:hint="eastAsia"/>
          <w:lang w:val="zh-CN"/>
        </w:rPr>
        <w:t>535</w:t>
      </w:r>
      <w:r>
        <w:rPr>
          <w:rFonts w:hint="eastAsia"/>
          <w:lang w:val="zh-CN"/>
        </w:rPr>
        <w:t>号法令）。</w:t>
      </w:r>
    </w:p>
    <w:p w:rsidR="00A83775" w:rsidRDefault="00A83775">
      <w:pPr>
        <w:pStyle w:val="SingleTxtGC"/>
        <w:rPr>
          <w:lang w:val="es-ES"/>
        </w:rPr>
      </w:pPr>
      <w:r>
        <w:rPr>
          <w:lang w:val="zh-CN"/>
        </w:rPr>
        <w:t xml:space="preserve">357.  </w:t>
      </w:r>
      <w:r>
        <w:rPr>
          <w:rFonts w:hint="eastAsia"/>
          <w:lang w:val="zh-CN"/>
        </w:rPr>
        <w:t>实施了“在基本权利框架内谋求一项体面劳动国家政策”战略，战略蕴含了四方面的诉求：劳动权利、就业权利、社会保障和社会对话。制定出台了一则文件，主题为“从</w:t>
      </w:r>
      <w:r>
        <w:rPr>
          <w:rFonts w:hint="eastAsia"/>
          <w:bCs/>
          <w:lang w:val="es-ES"/>
        </w:rPr>
        <w:t>对弱势群体的企业社会责任角度在哥伦比亚实施促进体面劳动的战略”，并敦促国内三大权力机关以及各国家实体各司其职，以便与企业家共同推进这一工作的开展，提高国内对体面劳动的认识，力图保障有助于平衡工作与家庭生活关系的最起码的权利和措施。</w:t>
      </w:r>
    </w:p>
    <w:p w:rsidR="00A83775" w:rsidRDefault="00A83775">
      <w:pPr>
        <w:pStyle w:val="SingleTxtGC"/>
        <w:rPr>
          <w:b/>
          <w:bCs/>
          <w:iCs/>
          <w:lang w:val="es-ES"/>
        </w:rPr>
      </w:pPr>
      <w:r>
        <w:rPr>
          <w:lang w:val="es-ES"/>
        </w:rPr>
        <w:t xml:space="preserve">358.  </w:t>
      </w:r>
      <w:r>
        <w:rPr>
          <w:rFonts w:hint="eastAsia"/>
          <w:lang w:val="es-ES"/>
        </w:rPr>
        <w:t>这一战略试图通过一个工作－家庭关系框架，帮助妇女摆脱强加于身上的家务重担，使</w:t>
      </w:r>
      <w:r>
        <w:rPr>
          <w:rFonts w:hint="eastAsia"/>
          <w:lang w:val="zh-CN"/>
        </w:rPr>
        <w:t>劳动者</w:t>
      </w:r>
      <w:r>
        <w:rPr>
          <w:rFonts w:hint="eastAsia"/>
          <w:lang w:val="es-ES"/>
        </w:rPr>
        <w:t>了解其基本权利，培养企业家在劳动领域的责任感，并提高企业家对其开展负责任的社会投资的思想觉悟，为此应采取以下措施：</w:t>
      </w:r>
    </w:p>
    <w:p w:rsidR="00A83775" w:rsidRDefault="00A83775">
      <w:pPr>
        <w:pStyle w:val="SingleTxtGC"/>
        <w:numPr>
          <w:ilvl w:val="0"/>
          <w:numId w:val="52"/>
        </w:numPr>
        <w:rPr>
          <w:rFonts w:hint="eastAsia"/>
          <w:lang w:val="es-ES_tradnl"/>
        </w:rPr>
      </w:pPr>
      <w:r>
        <w:rPr>
          <w:rFonts w:hint="eastAsia"/>
          <w:lang w:val="es-ES_tradnl"/>
        </w:rPr>
        <w:t>为针对弱势女劳动者的生产激励计划提供技术支持；</w:t>
      </w:r>
      <w:r>
        <w:rPr>
          <w:vertAlign w:val="superscript"/>
          <w:lang w:val="es-ES_tradnl"/>
        </w:rPr>
        <w:footnoteReference w:id="159"/>
      </w:r>
    </w:p>
    <w:p w:rsidR="00A83775" w:rsidRDefault="00A83775">
      <w:pPr>
        <w:pStyle w:val="SingleTxtGC"/>
        <w:numPr>
          <w:ilvl w:val="0"/>
          <w:numId w:val="52"/>
        </w:numPr>
        <w:rPr>
          <w:lang w:val="es-ES_tradnl"/>
        </w:rPr>
      </w:pPr>
      <w:r>
        <w:rPr>
          <w:rFonts w:hint="eastAsia"/>
          <w:lang w:val="es-ES_tradnl"/>
        </w:rPr>
        <w:t>与劳工组织签署了协议，协议规定开发旨在强化家庭女户主的创业能力的项目，从性别观点角度创办家庭式作坊、个体企业和生产合作社；</w:t>
      </w:r>
    </w:p>
    <w:p w:rsidR="00A83775" w:rsidRDefault="00A83775">
      <w:pPr>
        <w:pStyle w:val="SingleTxtGC"/>
        <w:numPr>
          <w:ilvl w:val="0"/>
          <w:numId w:val="52"/>
        </w:numPr>
        <w:rPr>
          <w:lang w:val="es-ES_tradnl"/>
        </w:rPr>
      </w:pPr>
      <w:r>
        <w:rPr>
          <w:rFonts w:hint="eastAsia"/>
          <w:lang w:val="es-ES_tradnl"/>
        </w:rPr>
        <w:t>在体面劳动项目框架内与劳工组织签署了三方协议，在协议中规定开展各类旨在面向全国为弱势家庭的女户主创造收入的方案。这一项目惠及来自各城市的</w:t>
      </w:r>
      <w:r>
        <w:rPr>
          <w:rFonts w:hint="eastAsia"/>
          <w:lang w:val="es-ES_tradnl"/>
        </w:rPr>
        <w:t>2</w:t>
      </w:r>
      <w:r>
        <w:rPr>
          <w:lang w:val="es-ES_tradnl"/>
        </w:rPr>
        <w:t>,</w:t>
      </w:r>
      <w:r>
        <w:rPr>
          <w:rFonts w:hint="eastAsia"/>
          <w:lang w:val="es-ES_tradnl"/>
        </w:rPr>
        <w:t>500</w:t>
      </w:r>
      <w:r>
        <w:rPr>
          <w:rFonts w:hint="eastAsia"/>
          <w:lang w:val="es-ES_tradnl"/>
        </w:rPr>
        <w:t>名妇女，为各地开展的生产性项目提供技术支持。</w:t>
      </w:r>
    </w:p>
    <w:p w:rsidR="00A83775" w:rsidRDefault="00A83775">
      <w:pPr>
        <w:pStyle w:val="SingleTxtGC"/>
        <w:rPr>
          <w:lang w:val="zh-CN"/>
        </w:rPr>
      </w:pPr>
      <w:r>
        <w:rPr>
          <w:lang w:val="es-ES"/>
        </w:rPr>
        <w:t xml:space="preserve">359.  </w:t>
      </w:r>
      <w:r>
        <w:rPr>
          <w:rFonts w:hint="eastAsia"/>
          <w:lang w:val="es-ES"/>
        </w:rPr>
        <w:t>作为</w:t>
      </w:r>
      <w:r>
        <w:rPr>
          <w:rFonts w:hint="eastAsia"/>
          <w:lang w:val="es-ES"/>
        </w:rPr>
        <w:t>2006</w:t>
      </w:r>
      <w:r>
        <w:rPr>
          <w:rFonts w:hint="eastAsia"/>
          <w:lang w:val="es-ES"/>
        </w:rPr>
        <w:t>年在日内瓦签署的“结社权与民主及国家体面劳动方案”三方协议的签署方，为鼓励劳动者、用人单位与政府之间的持续互动，国家在</w:t>
      </w:r>
      <w:r>
        <w:rPr>
          <w:rFonts w:hint="eastAsia"/>
          <w:lang w:val="es-ES"/>
        </w:rPr>
        <w:t>2010</w:t>
      </w:r>
      <w:r>
        <w:rPr>
          <w:rFonts w:hint="eastAsia"/>
          <w:lang w:val="es-ES"/>
        </w:rPr>
        <w:t>年</w:t>
      </w:r>
      <w:r>
        <w:rPr>
          <w:rFonts w:hint="eastAsia"/>
          <w:lang w:val="es-ES"/>
        </w:rPr>
        <w:t>6</w:t>
      </w:r>
      <w:r>
        <w:rPr>
          <w:rFonts w:hint="eastAsia"/>
          <w:lang w:val="es-ES"/>
        </w:rPr>
        <w:t>月份举行了大型纪念活动，纪念哥伦比亚经过</w:t>
      </w:r>
      <w:r>
        <w:rPr>
          <w:rFonts w:hint="eastAsia"/>
          <w:lang w:val="es-ES"/>
        </w:rPr>
        <w:t>21</w:t>
      </w:r>
      <w:r>
        <w:rPr>
          <w:rFonts w:hint="eastAsia"/>
          <w:lang w:val="es-ES"/>
        </w:rPr>
        <w:t>年的努力后终于被摘除出了专家委</w:t>
      </w:r>
      <w:r>
        <w:rPr>
          <w:rFonts w:hint="eastAsia"/>
          <w:lang w:val="zh-CN"/>
        </w:rPr>
        <w:t>员会和工会自由委员会需要严格审查的</w:t>
      </w:r>
      <w:r>
        <w:rPr>
          <w:rFonts w:hint="eastAsia"/>
          <w:lang w:val="zh-CN"/>
        </w:rPr>
        <w:t>25</w:t>
      </w:r>
      <w:r>
        <w:rPr>
          <w:rFonts w:hint="eastAsia"/>
          <w:lang w:val="zh-CN"/>
        </w:rPr>
        <w:t>个国家的名单，这要归功于其在彻底落实国际劳工协议方面所作出的努力。这表明哥伦比亚与劳工组织在法规制定方面的分歧已经被消除，并签署批准了以下法规：将集体辞退的评定资格移交到司法部门手中并颁布了《口述法》。</w:t>
      </w:r>
    </w:p>
    <w:p w:rsidR="00A83775" w:rsidRDefault="00A83775">
      <w:pPr>
        <w:pStyle w:val="SingleTxtGC"/>
        <w:rPr>
          <w:lang w:val="es-ES"/>
        </w:rPr>
      </w:pPr>
      <w:r>
        <w:rPr>
          <w:lang w:val="zh-CN"/>
        </w:rPr>
        <w:t xml:space="preserve">360.  </w:t>
      </w:r>
      <w:r>
        <w:rPr>
          <w:rFonts w:hint="eastAsia"/>
          <w:lang w:val="zh-CN"/>
        </w:rPr>
        <w:t>前面提到的进步是国家政府责成社会保障部、内政和司法部、外交部所开展努力的结</w:t>
      </w:r>
      <w:r>
        <w:rPr>
          <w:rFonts w:hint="eastAsia"/>
          <w:lang w:val="es-ES"/>
        </w:rPr>
        <w:t>果，并得到了各家劳工组织和企业家行会组织的参与，全社会都致力于为保护工会领袖和坚持打击有罪不罚做出艰苦努力。</w:t>
      </w:r>
    </w:p>
    <w:p w:rsidR="00A83775" w:rsidRDefault="00A83775">
      <w:pPr>
        <w:pStyle w:val="H23GC"/>
        <w:rPr>
          <w:lang w:val="es-CO"/>
        </w:rPr>
      </w:pPr>
      <w:r>
        <w:rPr>
          <w:lang w:val="es-CO"/>
        </w:rPr>
        <w:tab/>
      </w:r>
      <w:r>
        <w:rPr>
          <w:lang w:val="es-CO"/>
        </w:rPr>
        <w:tab/>
      </w:r>
      <w:r>
        <w:rPr>
          <w:rFonts w:hint="eastAsia"/>
          <w:lang w:val="es-CO"/>
        </w:rPr>
        <w:t>社会对话和协商空间</w:t>
      </w:r>
    </w:p>
    <w:p w:rsidR="00A83775" w:rsidRDefault="00A83775">
      <w:pPr>
        <w:pStyle w:val="SingleTxtGC"/>
        <w:rPr>
          <w:rFonts w:hint="eastAsia"/>
          <w:lang w:val="zh-CN"/>
        </w:rPr>
      </w:pPr>
      <w:r>
        <w:rPr>
          <w:lang w:val="es-CO"/>
        </w:rPr>
        <w:t xml:space="preserve">361.  </w:t>
      </w:r>
      <w:r>
        <w:rPr>
          <w:rFonts w:hint="eastAsia"/>
          <w:lang w:val="es-CO"/>
        </w:rPr>
        <w:t>在最近八年中，通过劳工政策和薪酬政策常务委员会，国家政府已经在劳务协商和劳资谈判工作取得了一定进展；同样，社会保障部通过劳工组织开发了若</w:t>
      </w:r>
      <w:r>
        <w:rPr>
          <w:rFonts w:hint="eastAsia"/>
          <w:lang w:val="zh-CN"/>
        </w:rPr>
        <w:t>干旨在鼓励国内社会对话的培训策略和方法。</w:t>
      </w:r>
    </w:p>
    <w:p w:rsidR="00A83775" w:rsidRDefault="00A83775">
      <w:pPr>
        <w:pStyle w:val="SingleTxtGC"/>
      </w:pPr>
      <w:r>
        <w:rPr>
          <w:lang w:val="zh-CN"/>
        </w:rPr>
        <w:t xml:space="preserve">362.  </w:t>
      </w:r>
      <w:r>
        <w:rPr>
          <w:rFonts w:hint="eastAsia"/>
          <w:lang w:val="zh-CN"/>
        </w:rPr>
        <w:t>哥伦比亚政府通过社会保障部，联合本国的多家劳动者总工会和企业家行会，领导开辟了若干对话空间，这方面的主要信息包含在这两条（第十一条和十三条）所对应的附件</w:t>
      </w:r>
      <w:r>
        <w:rPr>
          <w:rFonts w:hint="eastAsia"/>
          <w:lang w:val="zh-CN"/>
        </w:rPr>
        <w:t>1</w:t>
      </w:r>
      <w:r>
        <w:rPr>
          <w:rFonts w:hint="eastAsia"/>
          <w:lang w:val="zh-CN"/>
        </w:rPr>
        <w:t>中，政府十分重视通过社会对话和协商扩展和增进人权及劳动方面的基本权利。</w:t>
      </w:r>
    </w:p>
    <w:p w:rsidR="00A83775" w:rsidRDefault="00A83775">
      <w:pPr>
        <w:pStyle w:val="SingleTxtGC"/>
        <w:rPr>
          <w:lang w:val="es-ES"/>
        </w:rPr>
      </w:pPr>
      <w:r>
        <w:rPr>
          <w:lang w:val="zh-CN"/>
        </w:rPr>
        <w:t xml:space="preserve">363.  </w:t>
      </w:r>
      <w:r>
        <w:rPr>
          <w:rFonts w:eastAsia="SimHei" w:hint="eastAsia"/>
          <w:lang w:val="zh-CN"/>
        </w:rPr>
        <w:t>劳动中</w:t>
      </w:r>
      <w:r>
        <w:rPr>
          <w:rFonts w:eastAsia="SimHei" w:hint="eastAsia"/>
          <w:bCs/>
          <w:iCs/>
          <w:lang w:val="es-ES"/>
        </w:rPr>
        <w:t>介和对失业人员的保护</w:t>
      </w:r>
      <w:r>
        <w:rPr>
          <w:rFonts w:hint="eastAsia"/>
          <w:bCs/>
          <w:iCs/>
          <w:lang w:val="es-ES"/>
        </w:rPr>
        <w:t>。国家政府加强了国家学徒服务局的公共就业服务处</w:t>
      </w:r>
      <w:r>
        <w:rPr>
          <w:vertAlign w:val="superscript"/>
          <w:lang w:val="es-ES"/>
        </w:rPr>
        <w:footnoteReference w:id="160"/>
      </w:r>
      <w:r>
        <w:rPr>
          <w:bCs/>
          <w:iCs/>
          <w:lang w:val="es-ES"/>
        </w:rPr>
        <w:t xml:space="preserve"> </w:t>
      </w:r>
      <w:r>
        <w:rPr>
          <w:rFonts w:hint="eastAsia"/>
          <w:bCs/>
          <w:iCs/>
          <w:lang w:val="es-ES"/>
        </w:rPr>
        <w:t>的工作，作为国内的劳动中介机制，以完善就业指导和就业支持工具，帮助落实就业和增加就业安置，为此采用了各类措施来方便用人单位与求职者之间的互动联系。在劳动力供给和需求方面降低了市场的低效率，以此帮助扩展哥伦比亚人的就业机会。</w:t>
      </w:r>
    </w:p>
    <w:p w:rsidR="00A83775" w:rsidRDefault="00A83775">
      <w:pPr>
        <w:pStyle w:val="SingleTxtGC"/>
      </w:pPr>
      <w:r>
        <w:rPr>
          <w:lang w:val="es-ES"/>
        </w:rPr>
        <w:t xml:space="preserve">364.  </w:t>
      </w:r>
      <w:r>
        <w:rPr>
          <w:rFonts w:hint="eastAsia"/>
          <w:lang w:val="es-ES"/>
        </w:rPr>
        <w:t>此外，国家政府还通过促进就业和失业人员保护基金加强对失业者的保护力度</w:t>
      </w:r>
      <w:r>
        <w:rPr>
          <w:rFonts w:hint="eastAsia"/>
          <w:lang w:val="zh-CN"/>
        </w:rPr>
        <w:t>，这一基金是根据</w:t>
      </w:r>
      <w:r>
        <w:rPr>
          <w:rFonts w:hint="eastAsia"/>
          <w:lang w:val="zh-CN"/>
        </w:rPr>
        <w:t>2002</w:t>
      </w:r>
      <w:r>
        <w:rPr>
          <w:rFonts w:hint="eastAsia"/>
          <w:lang w:val="zh-CN"/>
        </w:rPr>
        <w:t>年的第</w:t>
      </w:r>
      <w:r>
        <w:rPr>
          <w:rFonts w:hint="eastAsia"/>
          <w:lang w:val="zh-CN"/>
        </w:rPr>
        <w:t>789</w:t>
      </w:r>
      <w:r>
        <w:rPr>
          <w:rFonts w:hint="eastAsia"/>
          <w:lang w:val="zh-CN"/>
        </w:rPr>
        <w:t>号法设立的。基金的保护分为三种模式：小额信贷、就业安置培训以及对失业者的补贴。</w:t>
      </w:r>
    </w:p>
    <w:p w:rsidR="00A83775" w:rsidRDefault="00A83775">
      <w:pPr>
        <w:pStyle w:val="SingleTxtGC"/>
        <w:rPr>
          <w:bCs/>
          <w:lang w:val="es-ES"/>
        </w:rPr>
      </w:pPr>
      <w:r>
        <w:rPr>
          <w:lang w:val="zh-CN"/>
        </w:rPr>
        <w:t xml:space="preserve">365.  </w:t>
      </w:r>
      <w:r>
        <w:rPr>
          <w:rFonts w:hint="eastAsia"/>
          <w:lang w:val="zh-CN"/>
        </w:rPr>
        <w:t>促</w:t>
      </w:r>
      <w:r>
        <w:rPr>
          <w:rFonts w:hint="eastAsia"/>
          <w:bCs/>
          <w:lang w:val="es-ES"/>
        </w:rPr>
        <w:t>进就业和失业人员保护基金所开展方案的主旨是：</w:t>
      </w:r>
    </w:p>
    <w:p w:rsidR="00A83775" w:rsidRDefault="00A83775">
      <w:pPr>
        <w:pStyle w:val="SingleTxtGC"/>
        <w:numPr>
          <w:ilvl w:val="0"/>
          <w:numId w:val="53"/>
        </w:numPr>
        <w:rPr>
          <w:lang w:val="es-ES"/>
        </w:rPr>
      </w:pPr>
      <w:r>
        <w:rPr>
          <w:rFonts w:hint="eastAsia"/>
          <w:lang w:val="es-ES"/>
        </w:rPr>
        <w:t>在方案实施期间，通过向失业人员发放相当于一倍半现行法定月工资额度的补贴确保失业人员的经济能力，这一补贴的发放期限最长为六个月；</w:t>
      </w:r>
    </w:p>
    <w:p w:rsidR="00A83775" w:rsidRDefault="00A83775">
      <w:pPr>
        <w:pStyle w:val="SingleTxtGC"/>
        <w:numPr>
          <w:ilvl w:val="0"/>
          <w:numId w:val="53"/>
        </w:numPr>
        <w:rPr>
          <w:lang w:val="es-ES"/>
        </w:rPr>
      </w:pPr>
      <w:r>
        <w:rPr>
          <w:rFonts w:hint="eastAsia"/>
          <w:lang w:val="es-ES"/>
        </w:rPr>
        <w:t>通过开办强化培训班，确保失业人员重新具备劳动技能；</w:t>
      </w:r>
    </w:p>
    <w:p w:rsidR="00A83775" w:rsidRDefault="00A83775">
      <w:pPr>
        <w:pStyle w:val="SingleTxtGC"/>
        <w:numPr>
          <w:ilvl w:val="0"/>
          <w:numId w:val="53"/>
        </w:numPr>
        <w:rPr>
          <w:lang w:val="es-ES"/>
        </w:rPr>
      </w:pPr>
      <w:r>
        <w:rPr>
          <w:rFonts w:hint="eastAsia"/>
          <w:lang w:val="es-ES"/>
        </w:rPr>
        <w:t>重点关注国内弱势群体，尤其是作为一家之主的失业人口。</w:t>
      </w:r>
    </w:p>
    <w:p w:rsidR="00A83775" w:rsidRDefault="00A83775">
      <w:pPr>
        <w:pStyle w:val="H23GC"/>
        <w:rPr>
          <w:lang w:val="es-ES_tradnl"/>
        </w:rPr>
      </w:pPr>
      <w:r>
        <w:rPr>
          <w:lang w:val="es-ES_tradnl"/>
        </w:rPr>
        <w:tab/>
      </w:r>
      <w:r>
        <w:rPr>
          <w:lang w:val="es-ES_tradnl"/>
        </w:rPr>
        <w:tab/>
      </w:r>
      <w:r>
        <w:rPr>
          <w:rFonts w:hint="eastAsia"/>
          <w:lang w:val="es-ES_tradnl"/>
        </w:rPr>
        <w:t>完善和强化劳动检查、监管和控制体系</w:t>
      </w:r>
    </w:p>
    <w:p w:rsidR="00A83775" w:rsidRDefault="00A83775">
      <w:pPr>
        <w:pStyle w:val="SingleTxtGC"/>
        <w:rPr>
          <w:lang w:val="zh-CN"/>
        </w:rPr>
      </w:pPr>
      <w:r>
        <w:rPr>
          <w:lang w:val="es-ES_tradnl"/>
        </w:rPr>
        <w:t xml:space="preserve">366.  </w:t>
      </w:r>
      <w:r>
        <w:rPr>
          <w:rFonts w:hint="eastAsia"/>
          <w:lang w:val="es-ES_tradnl"/>
        </w:rPr>
        <w:t>社会保障部已经将在劳动检查、监管和控制体系中实施预防性工作作为一项战略</w:t>
      </w:r>
      <w:r>
        <w:rPr>
          <w:rFonts w:hint="eastAsia"/>
          <w:lang w:val="zh-CN"/>
        </w:rPr>
        <w:t>，以促进和整改现有的劳动监察工作，创造一种落实法律法规和全面社会保障的文化，目的是帮助扩展社会保障体系的覆盖面以及金融可持续性。</w:t>
      </w:r>
    </w:p>
    <w:p w:rsidR="00A83775" w:rsidRDefault="00A83775">
      <w:pPr>
        <w:pStyle w:val="SingleTxtGC"/>
        <w:rPr>
          <w:lang w:val="zh-CN"/>
        </w:rPr>
      </w:pPr>
      <w:r>
        <w:rPr>
          <w:lang w:val="zh-CN"/>
        </w:rPr>
        <w:t xml:space="preserve">367.  </w:t>
      </w:r>
      <w:r>
        <w:rPr>
          <w:rFonts w:hint="eastAsia"/>
          <w:lang w:val="zh-CN"/>
        </w:rPr>
        <w:t>为此，劳动检查、监管和控制总局当前在各省省府设立了</w:t>
      </w:r>
      <w:r>
        <w:rPr>
          <w:rFonts w:hint="eastAsia"/>
          <w:lang w:val="zh-CN"/>
        </w:rPr>
        <w:t>28</w:t>
      </w:r>
      <w:r>
        <w:rPr>
          <w:rFonts w:hint="eastAsia"/>
          <w:lang w:val="zh-CN"/>
        </w:rPr>
        <w:t>家地方监管局，</w:t>
      </w:r>
      <w:r>
        <w:rPr>
          <w:rFonts w:hint="eastAsia"/>
          <w:lang w:val="zh-CN"/>
        </w:rPr>
        <w:t>2</w:t>
      </w:r>
      <w:r>
        <w:rPr>
          <w:rFonts w:hint="eastAsia"/>
          <w:lang w:val="zh-CN"/>
        </w:rPr>
        <w:t>家特别代表处，</w:t>
      </w:r>
      <w:r>
        <w:rPr>
          <w:rFonts w:hint="eastAsia"/>
          <w:lang w:val="zh-CN"/>
        </w:rPr>
        <w:t>117</w:t>
      </w:r>
      <w:r>
        <w:rPr>
          <w:rFonts w:hint="eastAsia"/>
          <w:lang w:val="zh-CN"/>
        </w:rPr>
        <w:t>家劳动监察机构，劳动监察人员共计</w:t>
      </w:r>
      <w:r>
        <w:rPr>
          <w:rFonts w:hint="eastAsia"/>
          <w:lang w:val="zh-CN"/>
        </w:rPr>
        <w:t>424</w:t>
      </w:r>
      <w:r>
        <w:rPr>
          <w:rFonts w:hint="eastAsia"/>
          <w:lang w:val="zh-CN"/>
        </w:rPr>
        <w:t>名。</w:t>
      </w:r>
      <w:r>
        <w:rPr>
          <w:lang w:val="zh-CN"/>
        </w:rPr>
        <w:t xml:space="preserve"> </w:t>
      </w:r>
    </w:p>
    <w:p w:rsidR="00A83775" w:rsidRDefault="00A83775">
      <w:pPr>
        <w:pStyle w:val="SingleTxtGC"/>
        <w:rPr>
          <w:lang w:val="es-ES"/>
        </w:rPr>
      </w:pPr>
      <w:r>
        <w:rPr>
          <w:lang w:val="zh-CN"/>
        </w:rPr>
        <w:t xml:space="preserve">368.  </w:t>
      </w:r>
      <w:r>
        <w:rPr>
          <w:rFonts w:hint="eastAsia"/>
          <w:lang w:val="zh-CN"/>
        </w:rPr>
        <w:t>劳动检查、监管和控制总局设定并落实的目标包括合理划定管辖范围并使之与国家的</w:t>
      </w:r>
      <w:r>
        <w:rPr>
          <w:rFonts w:hint="eastAsia"/>
          <w:lang w:val="es-ES_tradnl"/>
        </w:rPr>
        <w:t>经济和社会需要一致；为此在</w:t>
      </w:r>
      <w:r>
        <w:rPr>
          <w:rFonts w:hint="eastAsia"/>
          <w:lang w:val="es-ES_tradnl"/>
        </w:rPr>
        <w:t>2003</w:t>
      </w:r>
      <w:r>
        <w:rPr>
          <w:rFonts w:hint="eastAsia"/>
          <w:lang w:val="es-ES_tradnl"/>
        </w:rPr>
        <w:t>年颁布了第</w:t>
      </w:r>
      <w:r>
        <w:rPr>
          <w:rFonts w:hint="eastAsia"/>
          <w:lang w:val="es-ES_tradnl"/>
        </w:rPr>
        <w:t>4283</w:t>
      </w:r>
      <w:r>
        <w:rPr>
          <w:rFonts w:hint="eastAsia"/>
          <w:lang w:val="es-ES_tradnl"/>
        </w:rPr>
        <w:t>号决议，</w:t>
      </w:r>
      <w:r>
        <w:rPr>
          <w:rFonts w:hint="eastAsia"/>
          <w:lang w:val="es-ES"/>
        </w:rPr>
        <w:t>通过这一决议确定了社会保障部劳动监察的行政管辖范围。总局制定的关于统一社会保障方面的劳动标准以及各地方监管局的工作程序的目标，通过颁布相应的内部规章得以落实，这些规章涉及的主题有：集体裁员、行政公务员的职权、行政调查、仲裁法庭的办案手续、企业关停，等等。</w:t>
      </w:r>
    </w:p>
    <w:p w:rsidR="00A83775" w:rsidRDefault="00A83775">
      <w:pPr>
        <w:pStyle w:val="SingleTxtGC"/>
        <w:rPr>
          <w:lang w:val="zh-CN"/>
        </w:rPr>
      </w:pPr>
      <w:r>
        <w:rPr>
          <w:lang w:val="es-ES"/>
        </w:rPr>
        <w:t xml:space="preserve">369.  </w:t>
      </w:r>
      <w:r>
        <w:rPr>
          <w:rFonts w:hint="eastAsia"/>
          <w:spacing w:val="-4"/>
          <w:lang w:val="es-ES"/>
        </w:rPr>
        <w:t>同样还通过制定劳动监察和工作方针指南手册，作为社会保障部劳动监察人员的</w:t>
      </w:r>
      <w:r>
        <w:rPr>
          <w:rFonts w:hint="eastAsia"/>
          <w:spacing w:val="-4"/>
          <w:lang w:val="zh-CN"/>
        </w:rPr>
        <w:t>工作方式，应用于对伤残等级的评定查访中，以此来减少社会保障体系中偷逃和拖欠养老金和职业风险参保缴费现象并强化了对伤残评定的检查、监督和控制。</w:t>
      </w:r>
    </w:p>
    <w:p w:rsidR="00A83775" w:rsidRDefault="00A83775">
      <w:pPr>
        <w:pStyle w:val="SingleTxtGC"/>
        <w:rPr>
          <w:lang w:val="es-ES"/>
        </w:rPr>
      </w:pPr>
      <w:r>
        <w:rPr>
          <w:lang w:val="zh-CN"/>
        </w:rPr>
        <w:t xml:space="preserve">370.  </w:t>
      </w:r>
      <w:r>
        <w:rPr>
          <w:rFonts w:hint="eastAsia"/>
          <w:spacing w:val="-4"/>
          <w:lang w:val="zh-CN"/>
        </w:rPr>
        <w:t>通过颁布</w:t>
      </w:r>
      <w:r>
        <w:rPr>
          <w:rFonts w:hint="eastAsia"/>
          <w:spacing w:val="-4"/>
          <w:lang w:val="zh-CN"/>
        </w:rPr>
        <w:t>2006</w:t>
      </w:r>
      <w:r>
        <w:rPr>
          <w:rFonts w:hint="eastAsia"/>
          <w:spacing w:val="-4"/>
          <w:lang w:val="zh-CN"/>
        </w:rPr>
        <w:t>年的第</w:t>
      </w:r>
      <w:r>
        <w:rPr>
          <w:rFonts w:hint="eastAsia"/>
          <w:spacing w:val="-4"/>
          <w:lang w:val="zh-CN"/>
        </w:rPr>
        <w:t>657</w:t>
      </w:r>
      <w:r>
        <w:rPr>
          <w:rFonts w:hint="eastAsia"/>
          <w:spacing w:val="-4"/>
          <w:lang w:val="zh-CN"/>
        </w:rPr>
        <w:t>号法令，实施落实第</w:t>
      </w:r>
      <w:r>
        <w:rPr>
          <w:rFonts w:hint="eastAsia"/>
          <w:spacing w:val="-4"/>
          <w:lang w:val="zh-CN"/>
        </w:rPr>
        <w:t>67</w:t>
      </w:r>
      <w:r>
        <w:rPr>
          <w:rFonts w:hint="eastAsia"/>
          <w:spacing w:val="-4"/>
          <w:lang w:val="zh-CN"/>
        </w:rPr>
        <w:t>条关于民主游行的规定，通过这一</w:t>
      </w:r>
      <w:r>
        <w:rPr>
          <w:rFonts w:hint="eastAsia"/>
          <w:spacing w:val="-4"/>
          <w:lang w:val="es-ES"/>
        </w:rPr>
        <w:t>法令规范了《劳动法典》第</w:t>
      </w:r>
      <w:r>
        <w:rPr>
          <w:rFonts w:hint="eastAsia"/>
          <w:spacing w:val="-4"/>
          <w:lang w:val="es-ES"/>
        </w:rPr>
        <w:t>482</w:t>
      </w:r>
      <w:r>
        <w:rPr>
          <w:rFonts w:hint="eastAsia"/>
          <w:spacing w:val="-4"/>
          <w:lang w:val="es-ES"/>
        </w:rPr>
        <w:t>条至第</w:t>
      </w:r>
      <w:r>
        <w:rPr>
          <w:rFonts w:hint="eastAsia"/>
          <w:spacing w:val="-4"/>
          <w:lang w:val="es-ES"/>
        </w:rPr>
        <w:t>484</w:t>
      </w:r>
      <w:r>
        <w:rPr>
          <w:rFonts w:hint="eastAsia"/>
          <w:spacing w:val="-4"/>
          <w:lang w:val="es-ES"/>
        </w:rPr>
        <w:t>条中所载的工会合同规定。</w:t>
      </w:r>
    </w:p>
    <w:p w:rsidR="00A83775" w:rsidRDefault="00A83775">
      <w:pPr>
        <w:pStyle w:val="SingleTxtGC"/>
        <w:rPr>
          <w:lang w:val="zh-CN"/>
        </w:rPr>
      </w:pPr>
      <w:r>
        <w:rPr>
          <w:lang w:val="es-ES"/>
        </w:rPr>
        <w:t xml:space="preserve">371.  </w:t>
      </w:r>
      <w:r>
        <w:rPr>
          <w:rFonts w:hint="eastAsia"/>
          <w:lang w:val="es-ES"/>
        </w:rPr>
        <w:t>在这</w:t>
      </w:r>
      <w:r>
        <w:rPr>
          <w:rFonts w:hint="eastAsia"/>
          <w:lang w:val="zh-CN"/>
        </w:rPr>
        <w:t>两条对应的附件</w:t>
      </w:r>
      <w:r>
        <w:rPr>
          <w:rFonts w:hint="eastAsia"/>
          <w:lang w:val="zh-CN"/>
        </w:rPr>
        <w:t>4</w:t>
      </w:r>
      <w:r>
        <w:rPr>
          <w:rFonts w:hint="eastAsia"/>
          <w:lang w:val="zh-CN"/>
        </w:rPr>
        <w:t>中，介绍了相关统计信息，可以从中看出就业领域的公共政策对全体劳动者，特别是劳动妇女的影响。</w:t>
      </w:r>
    </w:p>
    <w:p w:rsidR="00A83775" w:rsidRDefault="00A83775">
      <w:pPr>
        <w:pStyle w:val="SingleTxtGC"/>
        <w:rPr>
          <w:lang w:val="es-ES"/>
        </w:rPr>
      </w:pPr>
      <w:r>
        <w:rPr>
          <w:lang w:val="zh-CN"/>
        </w:rPr>
        <w:t xml:space="preserve">372.  </w:t>
      </w:r>
      <w:r>
        <w:rPr>
          <w:rFonts w:eastAsia="SimHei" w:hint="eastAsia"/>
          <w:lang w:val="zh-CN"/>
        </w:rPr>
        <w:t>对妊娠期和哺乳期女工的保护</w:t>
      </w:r>
      <w:r>
        <w:rPr>
          <w:rFonts w:hint="eastAsia"/>
          <w:lang w:val="zh-CN"/>
        </w:rPr>
        <w:t>。作为对哥伦比亚《政治宪法》第</w:t>
      </w:r>
      <w:r>
        <w:rPr>
          <w:rFonts w:hint="eastAsia"/>
          <w:lang w:val="zh-CN"/>
        </w:rPr>
        <w:t>43</w:t>
      </w:r>
      <w:r>
        <w:rPr>
          <w:rFonts w:hint="eastAsia"/>
          <w:lang w:val="zh-CN"/>
        </w:rPr>
        <w:t>条和第</w:t>
      </w:r>
      <w:r>
        <w:rPr>
          <w:rFonts w:hint="eastAsia"/>
          <w:lang w:val="zh-CN"/>
        </w:rPr>
        <w:t>53</w:t>
      </w:r>
      <w:r>
        <w:rPr>
          <w:rFonts w:hint="eastAsia"/>
          <w:lang w:val="zh-CN"/>
        </w:rPr>
        <w:t>条之规定</w:t>
      </w:r>
      <w:r>
        <w:rPr>
          <w:rFonts w:hint="eastAsia"/>
          <w:lang w:val="es-ES"/>
        </w:rPr>
        <w:t>的补充，哥伦比亚颁布了《劳动法典》，该法典以一整章（第五章）的篇幅规定了对母性的保护和对未成年人的保护。</w:t>
      </w:r>
    </w:p>
    <w:p w:rsidR="00A83775" w:rsidRDefault="00A83775">
      <w:pPr>
        <w:pStyle w:val="SingleTxtGC"/>
        <w:rPr>
          <w:lang w:val="zh-CN"/>
        </w:rPr>
      </w:pPr>
      <w:r>
        <w:rPr>
          <w:lang w:val="es-ES"/>
        </w:rPr>
        <w:t xml:space="preserve">373.  </w:t>
      </w:r>
      <w:r>
        <w:rPr>
          <w:rFonts w:hint="eastAsia"/>
          <w:lang w:val="es-ES"/>
        </w:rPr>
        <w:t>在对妊娠期和哺乳期女工的保护方面，法律规定母性应享有国家的特别保护，并在该法典的第</w:t>
      </w:r>
      <w:r>
        <w:rPr>
          <w:rFonts w:hint="eastAsia"/>
          <w:lang w:val="es-ES"/>
        </w:rPr>
        <w:t>236</w:t>
      </w:r>
      <w:r>
        <w:rPr>
          <w:rFonts w:hint="eastAsia"/>
          <w:lang w:val="es-ES"/>
        </w:rPr>
        <w:t>条中规定了带薪产假的福利，在同一段落中，还规定产妇的丈夫</w:t>
      </w:r>
      <w:r>
        <w:rPr>
          <w:rFonts w:hint="eastAsia"/>
          <w:lang w:val="zh-CN"/>
        </w:rPr>
        <w:t>或同居配偶有权享有八个工作日的带薪陪产假；在第</w:t>
      </w:r>
      <w:r>
        <w:rPr>
          <w:rFonts w:hint="eastAsia"/>
          <w:lang w:val="zh-CN"/>
        </w:rPr>
        <w:t>237</w:t>
      </w:r>
      <w:r>
        <w:rPr>
          <w:rFonts w:hint="eastAsia"/>
          <w:lang w:val="zh-CN"/>
        </w:rPr>
        <w:t>条中承认妇女在流产时有权休带薪产假；在第</w:t>
      </w:r>
      <w:r>
        <w:rPr>
          <w:rFonts w:hint="eastAsia"/>
          <w:lang w:val="zh-CN"/>
        </w:rPr>
        <w:t>238</w:t>
      </w:r>
      <w:r>
        <w:rPr>
          <w:rFonts w:hint="eastAsia"/>
          <w:lang w:val="zh-CN"/>
        </w:rPr>
        <w:t>条中规定在哺乳期（产褥期）可享有带薪产假；在第</w:t>
      </w:r>
      <w:r>
        <w:rPr>
          <w:rFonts w:hint="eastAsia"/>
          <w:lang w:val="zh-CN"/>
        </w:rPr>
        <w:t>239</w:t>
      </w:r>
      <w:r>
        <w:rPr>
          <w:rFonts w:hint="eastAsia"/>
          <w:lang w:val="zh-CN"/>
        </w:rPr>
        <w:t>条中规定禁止在女工怀孕或哺乳期间对其进行辞退。</w:t>
      </w:r>
    </w:p>
    <w:p w:rsidR="00A83775" w:rsidRDefault="00A83775">
      <w:pPr>
        <w:pStyle w:val="SingleTxtGC"/>
        <w:rPr>
          <w:lang w:val="zh-CN"/>
        </w:rPr>
      </w:pPr>
      <w:r>
        <w:rPr>
          <w:lang w:val="zh-CN"/>
        </w:rPr>
        <w:t xml:space="preserve">374.  </w:t>
      </w:r>
      <w:r>
        <w:rPr>
          <w:rFonts w:hint="eastAsia"/>
          <w:lang w:val="zh-CN"/>
        </w:rPr>
        <w:t>此外，通过</w:t>
      </w:r>
      <w:r>
        <w:rPr>
          <w:rFonts w:hint="eastAsia"/>
          <w:lang w:val="zh-CN"/>
        </w:rPr>
        <w:t>2000</w:t>
      </w:r>
      <w:r>
        <w:rPr>
          <w:rFonts w:hint="eastAsia"/>
          <w:lang w:val="zh-CN"/>
        </w:rPr>
        <w:t>年的第</w:t>
      </w:r>
      <w:r>
        <w:rPr>
          <w:rFonts w:hint="eastAsia"/>
          <w:lang w:val="zh-CN"/>
        </w:rPr>
        <w:t>0047</w:t>
      </w:r>
      <w:r>
        <w:rPr>
          <w:rFonts w:hint="eastAsia"/>
          <w:lang w:val="zh-CN"/>
        </w:rPr>
        <w:t>号法令，颁布了关于社会保障体系参保的若干条例以及其他一些规定，指出劳动者有权在运作期内参保并获得收益，</w:t>
      </w:r>
      <w:r>
        <w:rPr>
          <w:rFonts w:hint="eastAsia"/>
          <w:lang w:val="zh-CN"/>
        </w:rPr>
        <w:t>2004</w:t>
      </w:r>
      <w:r>
        <w:rPr>
          <w:rFonts w:hint="eastAsia"/>
          <w:lang w:val="zh-CN"/>
        </w:rPr>
        <w:t>年的第</w:t>
      </w:r>
      <w:r>
        <w:rPr>
          <w:rFonts w:hint="eastAsia"/>
          <w:lang w:val="zh-CN"/>
        </w:rPr>
        <w:t>931</w:t>
      </w:r>
      <w:r>
        <w:rPr>
          <w:rFonts w:hint="eastAsia"/>
          <w:lang w:val="zh-CN"/>
        </w:rPr>
        <w:t>号法，颁布了劳动者（无论男女）可在同等条件下享有这一权利的相应规章条例，目的是赋予所有公民平等的条件。</w:t>
      </w:r>
    </w:p>
    <w:p w:rsidR="00A83775" w:rsidRDefault="00A83775">
      <w:pPr>
        <w:pStyle w:val="SingleTxtGC"/>
        <w:rPr>
          <w:rFonts w:hint="eastAsia"/>
          <w:spacing w:val="-2"/>
          <w:lang w:val="es-ES"/>
        </w:rPr>
      </w:pPr>
      <w:r>
        <w:rPr>
          <w:lang w:val="zh-CN"/>
        </w:rPr>
        <w:t xml:space="preserve">375.  </w:t>
      </w:r>
      <w:r>
        <w:rPr>
          <w:rFonts w:hint="eastAsia"/>
          <w:spacing w:val="-2"/>
          <w:lang w:val="zh-CN"/>
        </w:rPr>
        <w:t>在保护母性方面，</w:t>
      </w:r>
      <w:r>
        <w:rPr>
          <w:rFonts w:hint="eastAsia"/>
          <w:spacing w:val="-2"/>
          <w:lang w:val="zh-CN"/>
        </w:rPr>
        <w:t>2006</w:t>
      </w:r>
      <w:r>
        <w:rPr>
          <w:rFonts w:hint="eastAsia"/>
          <w:spacing w:val="-2"/>
          <w:lang w:val="zh-CN"/>
        </w:rPr>
        <w:t>年的第</w:t>
      </w:r>
      <w:r>
        <w:rPr>
          <w:rFonts w:hint="eastAsia"/>
          <w:spacing w:val="-2"/>
          <w:lang w:val="zh-CN"/>
        </w:rPr>
        <w:t>1098</w:t>
      </w:r>
      <w:r>
        <w:rPr>
          <w:rFonts w:hint="eastAsia"/>
          <w:spacing w:val="-2"/>
          <w:lang w:val="zh-CN"/>
        </w:rPr>
        <w:t>号法第</w:t>
      </w:r>
      <w:r>
        <w:rPr>
          <w:rFonts w:hint="eastAsia"/>
          <w:spacing w:val="-2"/>
          <w:lang w:val="zh-CN"/>
        </w:rPr>
        <w:t>41</w:t>
      </w:r>
      <w:r>
        <w:rPr>
          <w:rFonts w:hint="eastAsia"/>
          <w:spacing w:val="-2"/>
          <w:lang w:val="zh-CN"/>
        </w:rPr>
        <w:t>条第</w:t>
      </w:r>
      <w:r>
        <w:rPr>
          <w:rFonts w:hint="eastAsia"/>
          <w:spacing w:val="-2"/>
          <w:lang w:val="zh-CN"/>
        </w:rPr>
        <w:t>11</w:t>
      </w:r>
      <w:r>
        <w:rPr>
          <w:rFonts w:hint="eastAsia"/>
          <w:spacing w:val="-2"/>
          <w:lang w:val="zh-CN"/>
        </w:rPr>
        <w:t>款将“保障和保护对孕妇以及产褥期妇女的医疗护理覆盖面和质量</w:t>
      </w:r>
      <w:r>
        <w:rPr>
          <w:rFonts w:hint="eastAsia"/>
          <w:spacing w:val="-2"/>
          <w:lang w:val="zh-CN"/>
        </w:rPr>
        <w:t>[</w:t>
      </w:r>
      <w:r>
        <w:rPr>
          <w:rFonts w:hint="eastAsia"/>
          <w:spacing w:val="-2"/>
          <w:lang w:val="zh-CN"/>
        </w:rPr>
        <w:t>……</w:t>
      </w:r>
      <w:r>
        <w:rPr>
          <w:rFonts w:hint="eastAsia"/>
          <w:spacing w:val="-2"/>
          <w:lang w:val="zh-CN"/>
        </w:rPr>
        <w:t>]</w:t>
      </w:r>
      <w:r>
        <w:rPr>
          <w:rFonts w:hint="eastAsia"/>
          <w:spacing w:val="-2"/>
          <w:lang w:val="zh-CN"/>
        </w:rPr>
        <w:t>”列为一项国家义务。同样在该条的第</w:t>
      </w:r>
      <w:r>
        <w:rPr>
          <w:rFonts w:hint="eastAsia"/>
          <w:spacing w:val="-2"/>
          <w:lang w:val="zh-CN"/>
        </w:rPr>
        <w:t>15</w:t>
      </w:r>
      <w:r>
        <w:rPr>
          <w:rFonts w:hint="eastAsia"/>
          <w:spacing w:val="-2"/>
          <w:lang w:val="zh-CN"/>
        </w:rPr>
        <w:t>款中规定，针对以任何形式侵犯其受保护权利、人身完整性权利的少女孕妇以及</w:t>
      </w:r>
      <w:r>
        <w:rPr>
          <w:rFonts w:hint="eastAsia"/>
          <w:spacing w:val="-2"/>
          <w:lang w:val="zh-CN"/>
        </w:rPr>
        <w:t>1</w:t>
      </w:r>
      <w:r>
        <w:rPr>
          <w:rFonts w:hint="eastAsia"/>
          <w:spacing w:val="-2"/>
          <w:lang w:val="es-ES"/>
        </w:rPr>
        <w:t>8</w:t>
      </w:r>
      <w:r>
        <w:rPr>
          <w:rFonts w:hint="eastAsia"/>
          <w:spacing w:val="-2"/>
          <w:lang w:val="es-ES"/>
        </w:rPr>
        <w:t>岁以上孕妇、或遭受犯罪侵害的受害少女及</w:t>
      </w:r>
      <w:r>
        <w:rPr>
          <w:rFonts w:hint="eastAsia"/>
          <w:spacing w:val="-2"/>
          <w:lang w:val="es-ES"/>
        </w:rPr>
        <w:t>18</w:t>
      </w:r>
      <w:r>
        <w:rPr>
          <w:rFonts w:hint="eastAsia"/>
          <w:spacing w:val="-2"/>
          <w:lang w:val="es-ES"/>
        </w:rPr>
        <w:t>岁以上孕妇，为恢复其权利，应当实施一项对其进行特别关爱、确保恢复其权利的专项方案。</w:t>
      </w:r>
    </w:p>
    <w:p w:rsidR="00A83775" w:rsidRDefault="00A83775">
      <w:pPr>
        <w:pStyle w:val="SingleTxtGC"/>
        <w:rPr>
          <w:lang w:val="zh-CN"/>
        </w:rPr>
      </w:pPr>
      <w:r>
        <w:rPr>
          <w:lang w:val="es-ES"/>
        </w:rPr>
        <w:t xml:space="preserve">376.  </w:t>
      </w:r>
      <w:r>
        <w:rPr>
          <w:rFonts w:hint="eastAsia"/>
          <w:lang w:val="es-ES"/>
        </w:rPr>
        <w:t>国会经讨论通过了共和国政府的提案并即将颁布一项法律，据以将孕妇的产假期限增加两周，目的是使产妇与其新生儿共处的时间尽可能延长，并避免产妇因害怕产后假</w:t>
      </w:r>
      <w:r>
        <w:rPr>
          <w:rFonts w:hint="eastAsia"/>
          <w:lang w:val="zh-CN"/>
        </w:rPr>
        <w:t>时间过短，没有足够时间与孩子相处而放弃休产前假，这样对其身体健康以及对即将出生的幼儿健康都可能产生损害。</w:t>
      </w:r>
    </w:p>
    <w:p w:rsidR="00A83775" w:rsidRDefault="00A83775">
      <w:pPr>
        <w:pStyle w:val="SingleTxtGC"/>
      </w:pPr>
      <w:r>
        <w:rPr>
          <w:lang w:val="zh-CN"/>
        </w:rPr>
        <w:t xml:space="preserve">377.  </w:t>
      </w:r>
      <w:r>
        <w:rPr>
          <w:rFonts w:eastAsia="SimHei" w:hint="eastAsia"/>
          <w:lang w:val="zh-CN"/>
        </w:rPr>
        <w:t>社区福利家庭方案</w:t>
      </w:r>
      <w:r>
        <w:rPr>
          <w:rFonts w:hint="eastAsia"/>
          <w:lang w:val="zh-CN"/>
        </w:rPr>
        <w:t>。这一方案是在</w:t>
      </w:r>
      <w:r>
        <w:rPr>
          <w:rFonts w:hint="eastAsia"/>
          <w:lang w:val="zh-CN"/>
        </w:rPr>
        <w:t>1986</w:t>
      </w:r>
      <w:r>
        <w:rPr>
          <w:rFonts w:hint="eastAsia"/>
          <w:lang w:val="zh-CN"/>
        </w:rPr>
        <w:t>年底出台的，目的是通过由社区妈妈们</w:t>
      </w:r>
      <w:r>
        <w:rPr>
          <w:vertAlign w:val="superscript"/>
          <w:lang w:val="zh-CN"/>
        </w:rPr>
        <w:footnoteReference w:id="161"/>
      </w:r>
      <w:r>
        <w:t xml:space="preserve"> </w:t>
      </w:r>
      <w:r>
        <w:rPr>
          <w:rFonts w:hint="eastAsia"/>
          <w:lang w:val="zh-CN"/>
        </w:rPr>
        <w:t>开展的行动，帮助贫困家庭的七岁以下儿童更好地融入社会、改善其营养状况和生活条件。通过</w:t>
      </w:r>
      <w:r>
        <w:rPr>
          <w:rFonts w:hint="eastAsia"/>
          <w:lang w:val="zh-CN"/>
        </w:rPr>
        <w:t>1996</w:t>
      </w:r>
      <w:r>
        <w:rPr>
          <w:rFonts w:hint="eastAsia"/>
          <w:lang w:val="zh-CN"/>
        </w:rPr>
        <w:t>年的第</w:t>
      </w:r>
      <w:r>
        <w:rPr>
          <w:rFonts w:hint="eastAsia"/>
          <w:lang w:val="zh-CN"/>
        </w:rPr>
        <w:t>038</w:t>
      </w:r>
      <w:r>
        <w:rPr>
          <w:rFonts w:hint="eastAsia"/>
          <w:lang w:val="zh-CN"/>
        </w:rPr>
        <w:t>号决议，哥伦比亚家庭福利研究所颁布了旨在组织实施运作“多家企业资助的社区福利家庭”的指导方针、技术程序和管理办法。这些家庭所提供的服务是家庭福利研究所与各企业通力合作的结果，通过这种方式，企业家们自由表达了支持其雇员在个人福利政策框架内照顾子女的意愿。另一方面，通过</w:t>
      </w:r>
      <w:r>
        <w:rPr>
          <w:rFonts w:hint="eastAsia"/>
          <w:lang w:val="zh-CN"/>
        </w:rPr>
        <w:t>1996</w:t>
      </w:r>
      <w:r>
        <w:rPr>
          <w:rFonts w:hint="eastAsia"/>
          <w:lang w:val="zh-CN"/>
        </w:rPr>
        <w:t>年的第</w:t>
      </w:r>
      <w:r>
        <w:rPr>
          <w:rFonts w:hint="eastAsia"/>
          <w:lang w:val="zh-CN"/>
        </w:rPr>
        <w:t>039</w:t>
      </w:r>
      <w:r>
        <w:rPr>
          <w:rFonts w:hint="eastAsia"/>
          <w:lang w:val="zh-CN"/>
        </w:rPr>
        <w:t>号决议，哥伦比亚家庭福利研究所颁布了旨在组织实施运作“家庭式社区福利家庭”的指导方针、技术程序和管理办法，据此为发展中的家庭</w:t>
      </w:r>
      <w:r>
        <w:rPr>
          <w:vertAlign w:val="superscript"/>
          <w:lang w:val="zh-CN"/>
        </w:rPr>
        <w:footnoteReference w:id="162"/>
      </w:r>
      <w:r>
        <w:t xml:space="preserve"> </w:t>
      </w:r>
      <w:r>
        <w:rPr>
          <w:rFonts w:hint="eastAsia"/>
          <w:lang w:val="zh-CN"/>
        </w:rPr>
        <w:t>提供关照，以便让男童和女童自胎儿至两岁期间都得到照顾，目的是完善家庭的社会化功用，帮助家庭成员的全面发展并增加父母养育和照顾子女的责任感。</w:t>
      </w:r>
    </w:p>
    <w:p w:rsidR="00A83775" w:rsidRDefault="00A83775">
      <w:pPr>
        <w:pStyle w:val="SingleTxtGC"/>
        <w:rPr>
          <w:lang w:val="es-ES"/>
        </w:rPr>
      </w:pPr>
      <w:r>
        <w:rPr>
          <w:lang w:val="zh-CN"/>
        </w:rPr>
        <w:t xml:space="preserve">378.  </w:t>
      </w:r>
      <w:r>
        <w:rPr>
          <w:rFonts w:hint="eastAsia"/>
          <w:lang w:val="zh-CN"/>
        </w:rPr>
        <w:t>国家政府已经对家庭式社区福利家庭方案的效果进行了两次评估，并从中获得了一些建议，以便完</w:t>
      </w:r>
      <w:r>
        <w:rPr>
          <w:rFonts w:hint="eastAsia"/>
          <w:lang w:val="es-ES"/>
        </w:rPr>
        <w:t>善这一方案。</w:t>
      </w:r>
    </w:p>
    <w:p w:rsidR="00A83775" w:rsidRDefault="00A83775">
      <w:pPr>
        <w:pStyle w:val="SingleTxtGC"/>
        <w:rPr>
          <w:lang w:val="zh-CN"/>
        </w:rPr>
      </w:pPr>
      <w:r>
        <w:rPr>
          <w:bCs/>
          <w:lang w:val="es-ES"/>
        </w:rPr>
        <w:t xml:space="preserve">379.  </w:t>
      </w:r>
      <w:r>
        <w:rPr>
          <w:rFonts w:eastAsia="SimHei" w:hint="eastAsia"/>
          <w:bCs/>
          <w:lang w:val="es-ES"/>
        </w:rPr>
        <w:t>预防和根除最恶劣形式的童工劳动和保护青年劳工国家战略（</w:t>
      </w:r>
      <w:r>
        <w:rPr>
          <w:rFonts w:eastAsia="SimHei" w:hint="eastAsia"/>
          <w:bCs/>
          <w:lang w:val="es-ES"/>
        </w:rPr>
        <w:t>2008-2015</w:t>
      </w:r>
      <w:r>
        <w:rPr>
          <w:rFonts w:eastAsia="SimHei" w:hint="eastAsia"/>
          <w:bCs/>
          <w:lang w:val="es-ES"/>
        </w:rPr>
        <w:t>年）</w:t>
      </w:r>
      <w:r>
        <w:rPr>
          <w:rFonts w:hint="eastAsia"/>
          <w:bCs/>
          <w:lang w:val="es-ES"/>
        </w:rPr>
        <w:t>。为应对在《</w:t>
      </w:r>
      <w:r>
        <w:rPr>
          <w:rFonts w:hint="eastAsia"/>
          <w:bCs/>
          <w:lang w:val="es-ES"/>
        </w:rPr>
        <w:t>2002-2006</w:t>
      </w:r>
      <w:r>
        <w:rPr>
          <w:rFonts w:hint="eastAsia"/>
          <w:bCs/>
          <w:lang w:val="es-ES"/>
        </w:rPr>
        <w:t>年国家发展计划》和《</w:t>
      </w:r>
      <w:r>
        <w:rPr>
          <w:rFonts w:hint="eastAsia"/>
          <w:bCs/>
          <w:lang w:val="es-ES"/>
        </w:rPr>
        <w:t>2006-2010</w:t>
      </w:r>
      <w:r>
        <w:rPr>
          <w:rFonts w:hint="eastAsia"/>
          <w:bCs/>
          <w:lang w:val="es-ES"/>
        </w:rPr>
        <w:t>年国家发展计划》实施中遇到的问题，根据《哥伦比亚第二个百年远景文件：</w:t>
      </w:r>
      <w:r>
        <w:rPr>
          <w:rFonts w:hint="eastAsia"/>
          <w:bCs/>
          <w:lang w:val="es-ES"/>
        </w:rPr>
        <w:t>2019</w:t>
      </w:r>
      <w:r>
        <w:rPr>
          <w:rFonts w:hint="eastAsia"/>
          <w:bCs/>
          <w:lang w:val="es-ES"/>
        </w:rPr>
        <w:t>年》，哥伦比亚政</w:t>
      </w:r>
      <w:r>
        <w:rPr>
          <w:rFonts w:hint="eastAsia"/>
          <w:lang w:val="zh-CN"/>
        </w:rPr>
        <w:t>府开展了若干政策行动，以通过《预防和根除最恶劣形式的童工劳动和保护青年劳工国家战略》来根除童工劳动，这是全国各地的各级机构和行为方共同努力的结果的体现，为此组建了根除童工劳动和保护青年劳工机构间委员会和地区委员会，而国内各企业家组织、劳工组织和国家机关纷纷参与其中，国际劳工组织也对此给予了长期支持。</w:t>
      </w:r>
    </w:p>
    <w:p w:rsidR="00A83775" w:rsidRDefault="00A83775">
      <w:pPr>
        <w:pStyle w:val="SingleTxtGC"/>
        <w:rPr>
          <w:lang w:val="zh-CN"/>
        </w:rPr>
      </w:pPr>
      <w:r>
        <w:rPr>
          <w:lang w:val="zh-CN"/>
        </w:rPr>
        <w:t xml:space="preserve">380.  </w:t>
      </w:r>
      <w:r>
        <w:rPr>
          <w:rFonts w:hint="eastAsia"/>
          <w:lang w:val="zh-CN"/>
        </w:rPr>
        <w:t>在这一背景下，方案的主旨在于：让从事最恶劣形式童工劳动或有这一风险的男童、女童和青少年弃工就学，并由地方和国家为其提供尽可能多的必要服务；优先照顾此类男童、女童和青少年所在家庭，使其享受必要的国家和地方的社会服务，以便能够使其正常生产生活；协调并完善致力于这一工作的政府机关和非政府机构。</w:t>
      </w:r>
    </w:p>
    <w:p w:rsidR="00A83775" w:rsidRDefault="00A83775">
      <w:pPr>
        <w:pStyle w:val="SingleTxtGC"/>
        <w:rPr>
          <w:lang w:val="zh-CN"/>
        </w:rPr>
      </w:pPr>
      <w:r>
        <w:rPr>
          <w:lang w:val="zh-CN"/>
        </w:rPr>
        <w:t xml:space="preserve">381.  </w:t>
      </w:r>
      <w:r>
        <w:rPr>
          <w:rFonts w:hint="eastAsia"/>
          <w:lang w:val="zh-CN"/>
        </w:rPr>
        <w:t>政府在一项法律体制框架内实施的各项行动以应对与国内许多家庭的贫困状况直接相关的童工问题。为解决这一问题并对</w:t>
      </w:r>
      <w:r>
        <w:rPr>
          <w:rFonts w:hint="eastAsia"/>
          <w:lang w:val="zh-CN"/>
        </w:rPr>
        <w:t>1989</w:t>
      </w:r>
      <w:r>
        <w:rPr>
          <w:rFonts w:hint="eastAsia"/>
          <w:lang w:val="zh-CN"/>
        </w:rPr>
        <w:t>年颁布后一直沿用至今的《未成年人法典》进行更新，</w:t>
      </w:r>
      <w:r>
        <w:rPr>
          <w:rFonts w:hint="eastAsia"/>
          <w:lang w:val="zh-CN"/>
        </w:rPr>
        <w:t>2006</w:t>
      </w:r>
      <w:r>
        <w:rPr>
          <w:rFonts w:hint="eastAsia"/>
          <w:lang w:val="zh-CN"/>
        </w:rPr>
        <w:t>年</w:t>
      </w:r>
      <w:r>
        <w:rPr>
          <w:rFonts w:hint="eastAsia"/>
          <w:lang w:val="zh-CN"/>
        </w:rPr>
        <w:t>11</w:t>
      </w:r>
      <w:r>
        <w:rPr>
          <w:rFonts w:hint="eastAsia"/>
          <w:lang w:val="zh-CN"/>
        </w:rPr>
        <w:t>月</w:t>
      </w:r>
      <w:r>
        <w:rPr>
          <w:rFonts w:hint="eastAsia"/>
          <w:lang w:val="zh-CN"/>
        </w:rPr>
        <w:t>8</w:t>
      </w:r>
      <w:r>
        <w:rPr>
          <w:rFonts w:hint="eastAsia"/>
          <w:lang w:val="zh-CN"/>
        </w:rPr>
        <w:t>日批准通过了第</w:t>
      </w:r>
      <w:r>
        <w:rPr>
          <w:rFonts w:hint="eastAsia"/>
          <w:lang w:val="zh-CN"/>
        </w:rPr>
        <w:t>1098</w:t>
      </w:r>
      <w:r>
        <w:rPr>
          <w:rFonts w:hint="eastAsia"/>
          <w:lang w:val="zh-CN"/>
        </w:rPr>
        <w:t>号《儿童和青少年法》。在该法第</w:t>
      </w:r>
      <w:r>
        <w:rPr>
          <w:rFonts w:hint="eastAsia"/>
          <w:lang w:val="zh-CN"/>
        </w:rPr>
        <w:t>35</w:t>
      </w:r>
      <w:r>
        <w:rPr>
          <w:rFonts w:hint="eastAsia"/>
          <w:lang w:val="zh-CN"/>
        </w:rPr>
        <w:t>条中规定了允许从事劳动的最低年龄限制为</w:t>
      </w:r>
      <w:r>
        <w:rPr>
          <w:rFonts w:hint="eastAsia"/>
          <w:lang w:val="zh-CN"/>
        </w:rPr>
        <w:t>15</w:t>
      </w:r>
      <w:r>
        <w:rPr>
          <w:rFonts w:hint="eastAsia"/>
          <w:lang w:val="zh-CN"/>
        </w:rPr>
        <w:t>岁，</w:t>
      </w:r>
      <w:r>
        <w:rPr>
          <w:rFonts w:hint="eastAsia"/>
          <w:lang w:val="zh-CN"/>
        </w:rPr>
        <w:t>15</w:t>
      </w:r>
      <w:r>
        <w:rPr>
          <w:rFonts w:hint="eastAsia"/>
          <w:lang w:val="zh-CN"/>
        </w:rPr>
        <w:t>至</w:t>
      </w:r>
      <w:r>
        <w:rPr>
          <w:rFonts w:hint="eastAsia"/>
          <w:lang w:val="zh-CN"/>
        </w:rPr>
        <w:t>17</w:t>
      </w:r>
      <w:r>
        <w:rPr>
          <w:rFonts w:hint="eastAsia"/>
          <w:lang w:val="zh-CN"/>
        </w:rPr>
        <w:t>岁之间的少年应当得到由社会保障部或地方主管当局的批准后方可从事劳动，并充分保障哥伦比亚劳动领域的法律法规赋予此类人口的权利和劳动保护。</w:t>
      </w:r>
    </w:p>
    <w:p w:rsidR="00A83775" w:rsidRDefault="00A83775">
      <w:pPr>
        <w:pStyle w:val="SingleTxtGC"/>
        <w:rPr>
          <w:lang w:val="zh-CN"/>
        </w:rPr>
      </w:pPr>
      <w:r>
        <w:rPr>
          <w:lang w:val="zh-CN"/>
        </w:rPr>
        <w:t xml:space="preserve">382.  </w:t>
      </w:r>
      <w:r>
        <w:rPr>
          <w:rFonts w:hint="eastAsia"/>
          <w:lang w:val="zh-CN"/>
        </w:rPr>
        <w:t>同样，通过社会保障部</w:t>
      </w:r>
      <w:r>
        <w:rPr>
          <w:rFonts w:hint="eastAsia"/>
          <w:lang w:val="zh-CN"/>
        </w:rPr>
        <w:t>2008</w:t>
      </w:r>
      <w:r>
        <w:rPr>
          <w:rFonts w:hint="eastAsia"/>
          <w:lang w:val="zh-CN"/>
        </w:rPr>
        <w:t>年的第</w:t>
      </w:r>
      <w:r>
        <w:rPr>
          <w:rFonts w:hint="eastAsia"/>
          <w:lang w:val="zh-CN"/>
        </w:rPr>
        <w:t>01677</w:t>
      </w:r>
      <w:r>
        <w:rPr>
          <w:rFonts w:hint="eastAsia"/>
          <w:lang w:val="zh-CN"/>
        </w:rPr>
        <w:t>号决议，对被认定为最恶劣形式的童工劳动的活动进行了划定，并规定了对可能危害</w:t>
      </w:r>
      <w:r>
        <w:rPr>
          <w:rFonts w:hint="eastAsia"/>
          <w:lang w:val="zh-CN"/>
        </w:rPr>
        <w:t>18</w:t>
      </w:r>
      <w:r>
        <w:rPr>
          <w:rFonts w:hint="eastAsia"/>
          <w:lang w:val="zh-CN"/>
        </w:rPr>
        <w:t>岁以下未成年人健康和身心完整性的危险劳动或有害劳动条件的等级划分。掌握的最新数据显示，童工劳动率已经下降了</w:t>
      </w:r>
      <w:r>
        <w:rPr>
          <w:rFonts w:hint="eastAsia"/>
          <w:lang w:val="zh-CN"/>
        </w:rPr>
        <w:t>6.1</w:t>
      </w:r>
      <w:r>
        <w:rPr>
          <w:rFonts w:hint="eastAsia"/>
          <w:lang w:val="zh-CN"/>
        </w:rPr>
        <w:t>个百分点，从</w:t>
      </w:r>
      <w:r>
        <w:rPr>
          <w:rFonts w:hint="eastAsia"/>
          <w:lang w:val="zh-CN"/>
        </w:rPr>
        <w:t>2001</w:t>
      </w:r>
      <w:r>
        <w:rPr>
          <w:rFonts w:hint="eastAsia"/>
          <w:lang w:val="zh-CN"/>
        </w:rPr>
        <w:t>年的</w:t>
      </w:r>
      <w:r>
        <w:rPr>
          <w:rFonts w:hint="eastAsia"/>
          <w:lang w:val="zh-CN"/>
        </w:rPr>
        <w:t>12.9%</w:t>
      </w:r>
      <w:r>
        <w:rPr>
          <w:rFonts w:hint="eastAsia"/>
          <w:lang w:val="zh-CN"/>
        </w:rPr>
        <w:t>降至</w:t>
      </w:r>
      <w:r>
        <w:rPr>
          <w:rFonts w:hint="eastAsia"/>
          <w:lang w:val="zh-CN"/>
        </w:rPr>
        <w:t>2007</w:t>
      </w:r>
      <w:r>
        <w:rPr>
          <w:rFonts w:hint="eastAsia"/>
          <w:lang w:val="zh-CN"/>
        </w:rPr>
        <w:t>年的</w:t>
      </w:r>
      <w:r>
        <w:rPr>
          <w:rFonts w:hint="eastAsia"/>
          <w:lang w:val="zh-CN"/>
        </w:rPr>
        <w:t>6.8%</w:t>
      </w:r>
      <w:r>
        <w:rPr>
          <w:rFonts w:hint="eastAsia"/>
          <w:lang w:val="zh-CN"/>
        </w:rPr>
        <w:t>。</w:t>
      </w:r>
    </w:p>
    <w:p w:rsidR="00A83775" w:rsidRDefault="00A83775">
      <w:pPr>
        <w:pStyle w:val="SingleTxtGC"/>
        <w:rPr>
          <w:lang w:val="es-ES"/>
        </w:rPr>
      </w:pPr>
      <w:r>
        <w:rPr>
          <w:lang w:val="zh-CN"/>
        </w:rPr>
        <w:t xml:space="preserve">383.  </w:t>
      </w:r>
      <w:r>
        <w:rPr>
          <w:rFonts w:hint="eastAsia"/>
          <w:lang w:val="zh-CN"/>
        </w:rPr>
        <w:t>在根除童工劳动委员会技术秘书处的推动下，已经在全国各省完成了这一战略的社会化和实施落实工作。同样还对童工劳动的各项指标进行了跟踪监测，将相应模块纳入到了</w:t>
      </w:r>
      <w:r>
        <w:rPr>
          <w:rFonts w:hint="eastAsia"/>
          <w:lang w:val="es-CO"/>
        </w:rPr>
        <w:t>2003</w:t>
      </w:r>
      <w:r>
        <w:rPr>
          <w:rFonts w:hint="eastAsia"/>
          <w:lang w:val="es-CO"/>
        </w:rPr>
        <w:t>年第四季度和</w:t>
      </w:r>
      <w:r>
        <w:rPr>
          <w:rFonts w:hint="eastAsia"/>
          <w:lang w:val="es-CO"/>
        </w:rPr>
        <w:t>2005</w:t>
      </w:r>
      <w:r>
        <w:rPr>
          <w:rFonts w:hint="eastAsia"/>
          <w:lang w:val="es-CO"/>
        </w:rPr>
        <w:t>年的家庭持续性调查（</w:t>
      </w:r>
      <w:r>
        <w:rPr>
          <w:rFonts w:hint="eastAsia"/>
          <w:lang w:val="es-CO"/>
        </w:rPr>
        <w:t>ECH</w:t>
      </w:r>
      <w:r>
        <w:rPr>
          <w:rFonts w:hint="eastAsia"/>
          <w:lang w:val="es-CO"/>
        </w:rPr>
        <w:t>）问卷中，并将童工劳动模块纳入到了</w:t>
      </w:r>
      <w:r>
        <w:rPr>
          <w:rFonts w:hint="eastAsia"/>
          <w:lang w:val="es-CO"/>
        </w:rPr>
        <w:t>2007</w:t>
      </w:r>
      <w:r>
        <w:rPr>
          <w:rFonts w:hint="eastAsia"/>
          <w:lang w:val="es-CO"/>
        </w:rPr>
        <w:t>年第四季度的大规模家庭全面普查中。</w:t>
      </w:r>
      <w:r>
        <w:rPr>
          <w:vertAlign w:val="superscript"/>
          <w:lang w:val="es-ES"/>
        </w:rPr>
        <w:footnoteReference w:id="163"/>
      </w:r>
    </w:p>
    <w:p w:rsidR="00A83775" w:rsidRDefault="00A83775">
      <w:pPr>
        <w:pStyle w:val="SingleTxtGC"/>
        <w:pageBreakBefore/>
        <w:rPr>
          <w:rFonts w:eastAsia="SimHei"/>
          <w:lang w:val="es-ES"/>
        </w:rPr>
      </w:pPr>
      <w:r>
        <w:rPr>
          <w:rFonts w:eastAsia="SimHei" w:hint="eastAsia"/>
          <w:lang w:val="es-ES"/>
        </w:rPr>
        <w:t>童工劳动的参与率</w:t>
      </w:r>
      <w:r>
        <w:rPr>
          <w:rFonts w:eastAsia="SimHei"/>
          <w:lang w:val="es-ES"/>
        </w:rPr>
        <w:br/>
      </w:r>
      <w:r>
        <w:rPr>
          <w:rFonts w:hint="eastAsia"/>
          <w:lang w:val="es-ES"/>
        </w:rPr>
        <w:t>（年均水平）</w:t>
      </w:r>
    </w:p>
    <w:tbl>
      <w:tblPr>
        <w:tblStyle w:val="TableGrid"/>
        <w:tblW w:w="6890"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470"/>
        <w:gridCol w:w="4420"/>
      </w:tblGrid>
      <w:tr w:rsidR="00A83775">
        <w:tc>
          <w:tcPr>
            <w:tcW w:w="2470" w:type="dxa"/>
          </w:tcPr>
          <w:p w:rsidR="00A83775" w:rsidRDefault="00A83775">
            <w:pPr>
              <w:pStyle w:val="SingleTxtG"/>
              <w:spacing w:line="320" w:lineRule="exact"/>
              <w:ind w:left="0" w:right="351"/>
              <w:rPr>
                <w:rFonts w:hint="eastAsia"/>
                <w:b/>
                <w:color w:val="663300"/>
                <w:sz w:val="18"/>
                <w:szCs w:val="18"/>
                <w:lang w:val="es-ES" w:eastAsia="zh-CN"/>
              </w:rPr>
            </w:pPr>
            <w:r>
              <w:rPr>
                <w:rFonts w:hint="eastAsia"/>
                <w:color w:val="663300"/>
                <w:sz w:val="18"/>
                <w:szCs w:val="18"/>
                <w:lang w:val="es-ES" w:eastAsia="zh-CN"/>
              </w:rPr>
              <w:t>童工劳动的参与率从</w:t>
            </w:r>
            <w:r>
              <w:rPr>
                <w:rFonts w:hint="eastAsia"/>
                <w:color w:val="663300"/>
                <w:sz w:val="18"/>
                <w:szCs w:val="18"/>
                <w:lang w:val="es-ES" w:eastAsia="zh-CN"/>
              </w:rPr>
              <w:t>2001</w:t>
            </w:r>
            <w:r>
              <w:rPr>
                <w:rFonts w:hint="eastAsia"/>
                <w:color w:val="663300"/>
                <w:sz w:val="18"/>
                <w:szCs w:val="18"/>
                <w:lang w:val="es-ES" w:eastAsia="zh-CN"/>
              </w:rPr>
              <w:t>年的</w:t>
            </w:r>
            <w:r>
              <w:rPr>
                <w:rFonts w:hint="eastAsia"/>
                <w:color w:val="663300"/>
                <w:sz w:val="18"/>
                <w:szCs w:val="18"/>
                <w:lang w:val="es-ES" w:eastAsia="zh-CN"/>
              </w:rPr>
              <w:t>12.9%</w:t>
            </w:r>
            <w:r>
              <w:rPr>
                <w:rFonts w:hint="eastAsia"/>
                <w:color w:val="663300"/>
                <w:sz w:val="18"/>
                <w:szCs w:val="18"/>
                <w:lang w:val="es-ES" w:eastAsia="zh-CN"/>
              </w:rPr>
              <w:t>降至</w:t>
            </w:r>
            <w:r>
              <w:rPr>
                <w:rFonts w:hint="eastAsia"/>
                <w:color w:val="663300"/>
                <w:sz w:val="18"/>
                <w:szCs w:val="18"/>
                <w:lang w:val="es-ES" w:eastAsia="zh-CN"/>
              </w:rPr>
              <w:t>2007</w:t>
            </w:r>
            <w:r>
              <w:rPr>
                <w:rFonts w:hint="eastAsia"/>
                <w:color w:val="663300"/>
                <w:sz w:val="18"/>
                <w:szCs w:val="18"/>
                <w:lang w:val="es-ES" w:eastAsia="zh-CN"/>
              </w:rPr>
              <w:t>年的</w:t>
            </w:r>
            <w:r>
              <w:rPr>
                <w:rFonts w:hint="eastAsia"/>
                <w:color w:val="663300"/>
                <w:sz w:val="18"/>
                <w:szCs w:val="18"/>
                <w:lang w:val="es-ES" w:eastAsia="zh-CN"/>
              </w:rPr>
              <w:t>6.8%</w:t>
            </w:r>
            <w:r>
              <w:rPr>
                <w:rFonts w:hint="eastAsia"/>
                <w:color w:val="663300"/>
                <w:sz w:val="18"/>
                <w:szCs w:val="18"/>
                <w:lang w:val="es-ES" w:eastAsia="zh-CN"/>
              </w:rPr>
              <w:t>，从全国水平来看降低了</w:t>
            </w:r>
            <w:r>
              <w:rPr>
                <w:rFonts w:hint="eastAsia"/>
                <w:color w:val="663300"/>
                <w:sz w:val="18"/>
                <w:szCs w:val="18"/>
                <w:lang w:val="es-ES" w:eastAsia="zh-CN"/>
              </w:rPr>
              <w:t>6.1</w:t>
            </w:r>
            <w:r>
              <w:rPr>
                <w:rFonts w:hint="eastAsia"/>
                <w:color w:val="663300"/>
                <w:sz w:val="18"/>
                <w:szCs w:val="18"/>
                <w:lang w:val="es-ES" w:eastAsia="zh-CN"/>
              </w:rPr>
              <w:t>个百分点。</w:t>
            </w:r>
          </w:p>
        </w:tc>
        <w:tc>
          <w:tcPr>
            <w:tcW w:w="4420" w:type="dxa"/>
          </w:tcPr>
          <w:p w:rsidR="00A83775" w:rsidRDefault="00A83775">
            <w:pPr>
              <w:pStyle w:val="SingleTxtG"/>
              <w:spacing w:line="240" w:lineRule="auto"/>
              <w:ind w:left="0"/>
              <w:rPr>
                <w:rFonts w:hint="eastAsia"/>
                <w:b/>
                <w:lang w:val="es-ES"/>
              </w:rPr>
            </w:pPr>
            <w:r>
              <w:rPr>
                <w:rFonts w:eastAsia="SimHei" w:hint="eastAsia"/>
                <w:sz w:val="21"/>
                <w:lang w:val="es-ES"/>
              </w:rPr>
              <w:pict>
                <v:shape id="_x0000_i1029" type="#_x0000_t75" style="width:183pt;height:123pt">
                  <v:imagedata r:id="rId12" o:title=""/>
                </v:shape>
              </w:pict>
            </w:r>
          </w:p>
        </w:tc>
      </w:tr>
    </w:tbl>
    <w:p w:rsidR="00A83775" w:rsidRDefault="00A83775">
      <w:pPr>
        <w:pStyle w:val="SingleTxtGC"/>
        <w:spacing w:after="0" w:line="200" w:lineRule="exact"/>
        <w:rPr>
          <w:rFonts w:hint="eastAsia"/>
        </w:rPr>
      </w:pPr>
    </w:p>
    <w:p w:rsidR="00A83775" w:rsidRDefault="00A83775">
      <w:pPr>
        <w:pStyle w:val="SingleTxtGC"/>
        <w:rPr>
          <w:rFonts w:hint="eastAsia"/>
        </w:rPr>
      </w:pPr>
      <w:r>
        <w:rPr>
          <w:rFonts w:eastAsia="KaiTi_GB2312" w:hint="eastAsia"/>
          <w:sz w:val="19"/>
          <w:szCs w:val="19"/>
        </w:rPr>
        <w:t>资料来源：</w:t>
      </w:r>
      <w:r>
        <w:rPr>
          <w:rFonts w:hint="eastAsia"/>
          <w:sz w:val="19"/>
          <w:szCs w:val="19"/>
        </w:rPr>
        <w:t>国家统计局。</w:t>
      </w:r>
    </w:p>
    <w:p w:rsidR="00A83775" w:rsidRDefault="00A83775">
      <w:pPr>
        <w:pStyle w:val="SingleTxtGC"/>
        <w:spacing w:before="120"/>
        <w:rPr>
          <w:lang w:val="zh-CN"/>
        </w:rPr>
      </w:pPr>
      <w:r>
        <w:rPr>
          <w:lang w:val="es-ES_tradnl"/>
        </w:rPr>
        <w:t xml:space="preserve">384.  </w:t>
      </w:r>
      <w:r>
        <w:rPr>
          <w:rFonts w:hint="eastAsia"/>
          <w:lang w:val="es-ES_tradnl"/>
        </w:rPr>
        <w:t>这样，国家政府对</w:t>
      </w:r>
      <w:r>
        <w:rPr>
          <w:rFonts w:hint="eastAsia"/>
          <w:lang w:val="es-ES_tradnl"/>
        </w:rPr>
        <w:t>2003</w:t>
      </w:r>
      <w:r>
        <w:rPr>
          <w:rFonts w:hint="eastAsia"/>
          <w:lang w:val="es-ES_tradnl"/>
        </w:rPr>
        <w:t>年以来的结果进行了更新、比较、分析和解读。</w:t>
      </w:r>
      <w:r>
        <w:rPr>
          <w:rFonts w:hint="eastAsia"/>
          <w:lang w:val="es-ES_tradnl"/>
        </w:rPr>
        <w:t>2008</w:t>
      </w:r>
      <w:r>
        <w:rPr>
          <w:rFonts w:hint="eastAsia"/>
          <w:lang w:val="es-ES_tradnl"/>
        </w:rPr>
        <w:t>年开展了一次对</w:t>
      </w:r>
      <w:r>
        <w:rPr>
          <w:rFonts w:hint="eastAsia"/>
          <w:lang w:val="es-ES_tradnl"/>
        </w:rPr>
        <w:t>2001</w:t>
      </w:r>
      <w:r>
        <w:rPr>
          <w:rFonts w:hint="eastAsia"/>
          <w:lang w:val="es-ES_tradnl"/>
        </w:rPr>
        <w:t>年、</w:t>
      </w:r>
      <w:r>
        <w:rPr>
          <w:rFonts w:hint="eastAsia"/>
          <w:lang w:val="es-ES_tradnl"/>
        </w:rPr>
        <w:t>2003</w:t>
      </w:r>
      <w:r>
        <w:rPr>
          <w:rFonts w:hint="eastAsia"/>
          <w:lang w:val="es-ES_tradnl"/>
        </w:rPr>
        <w:t>年、</w:t>
      </w:r>
      <w:r>
        <w:rPr>
          <w:rFonts w:hint="eastAsia"/>
          <w:lang w:val="es-ES_tradnl"/>
        </w:rPr>
        <w:t>2005</w:t>
      </w:r>
      <w:r>
        <w:rPr>
          <w:rFonts w:hint="eastAsia"/>
          <w:lang w:val="es-ES_tradnl"/>
        </w:rPr>
        <w:t>年和</w:t>
      </w:r>
      <w:r>
        <w:rPr>
          <w:rFonts w:hint="eastAsia"/>
          <w:lang w:val="es-ES_tradnl"/>
        </w:rPr>
        <w:t>2007</w:t>
      </w:r>
      <w:r>
        <w:rPr>
          <w:rFonts w:hint="eastAsia"/>
          <w:lang w:val="es-ES_tradnl"/>
        </w:rPr>
        <w:t>年各年份关于童工劳动的深化分析和比较研究，通过此次研究工作，发现在这方面逐渐出现了积极的变化，男童、</w:t>
      </w:r>
      <w:r>
        <w:rPr>
          <w:rFonts w:hint="eastAsia"/>
          <w:lang w:val="zh-CN"/>
        </w:rPr>
        <w:t>女童和青少年的劳动参与率从</w:t>
      </w:r>
      <w:r>
        <w:rPr>
          <w:rFonts w:hint="eastAsia"/>
          <w:lang w:val="zh-CN"/>
        </w:rPr>
        <w:t>2001</w:t>
      </w:r>
      <w:r>
        <w:rPr>
          <w:rFonts w:hint="eastAsia"/>
          <w:lang w:val="zh-CN"/>
        </w:rPr>
        <w:t>年的</w:t>
      </w:r>
      <w:r>
        <w:rPr>
          <w:rFonts w:hint="eastAsia"/>
          <w:lang w:val="zh-CN"/>
        </w:rPr>
        <w:t>12.9%</w:t>
      </w:r>
      <w:r>
        <w:rPr>
          <w:rFonts w:hint="eastAsia"/>
          <w:lang w:val="zh-CN"/>
        </w:rPr>
        <w:t>降到</w:t>
      </w:r>
      <w:r>
        <w:rPr>
          <w:rFonts w:hint="eastAsia"/>
          <w:lang w:val="zh-CN"/>
        </w:rPr>
        <w:t>2003</w:t>
      </w:r>
      <w:r>
        <w:rPr>
          <w:rFonts w:hint="eastAsia"/>
          <w:lang w:val="zh-CN"/>
        </w:rPr>
        <w:t>年的</w:t>
      </w:r>
      <w:r>
        <w:rPr>
          <w:rFonts w:hint="eastAsia"/>
          <w:lang w:val="zh-CN"/>
        </w:rPr>
        <w:t>10.8%</w:t>
      </w:r>
      <w:r>
        <w:rPr>
          <w:rFonts w:hint="eastAsia"/>
          <w:lang w:val="zh-CN"/>
        </w:rPr>
        <w:t>再到</w:t>
      </w:r>
      <w:r>
        <w:rPr>
          <w:rFonts w:hint="eastAsia"/>
          <w:lang w:val="zh-CN"/>
        </w:rPr>
        <w:t>2005</w:t>
      </w:r>
      <w:r>
        <w:rPr>
          <w:rFonts w:hint="eastAsia"/>
          <w:lang w:val="zh-CN"/>
        </w:rPr>
        <w:t>年的</w:t>
      </w:r>
      <w:r>
        <w:rPr>
          <w:rFonts w:hint="eastAsia"/>
          <w:lang w:val="zh-CN"/>
        </w:rPr>
        <w:t>8.9%</w:t>
      </w:r>
      <w:r>
        <w:rPr>
          <w:rFonts w:hint="eastAsia"/>
          <w:lang w:val="zh-CN"/>
        </w:rPr>
        <w:t>直到降至</w:t>
      </w:r>
      <w:r>
        <w:rPr>
          <w:rFonts w:hint="eastAsia"/>
          <w:lang w:val="zh-CN"/>
        </w:rPr>
        <w:t>2007</w:t>
      </w:r>
      <w:r>
        <w:rPr>
          <w:rFonts w:hint="eastAsia"/>
          <w:lang w:val="zh-CN"/>
        </w:rPr>
        <w:t>年的</w:t>
      </w:r>
      <w:r>
        <w:rPr>
          <w:rFonts w:hint="eastAsia"/>
          <w:lang w:val="zh-CN"/>
        </w:rPr>
        <w:t>6.8%</w:t>
      </w:r>
      <w:r>
        <w:rPr>
          <w:rFonts w:hint="eastAsia"/>
          <w:lang w:val="zh-CN"/>
        </w:rPr>
        <w:t>。</w:t>
      </w:r>
    </w:p>
    <w:p w:rsidR="00A83775" w:rsidRDefault="00A83775">
      <w:pPr>
        <w:pStyle w:val="SingleTxtGC"/>
        <w:rPr>
          <w:lang w:val="zh-CN"/>
        </w:rPr>
      </w:pPr>
      <w:r>
        <w:rPr>
          <w:lang w:val="zh-CN"/>
        </w:rPr>
        <w:t xml:space="preserve">385.  </w:t>
      </w:r>
      <w:r>
        <w:rPr>
          <w:rFonts w:hint="eastAsia"/>
          <w:lang w:val="zh-CN"/>
        </w:rPr>
        <w:t>与此同时，这一研究对影响童工劳动数量增加或减少的风险因素的变化情况进行了分析，认定了童工劳动与学历水平之间的互逆趋势，这是因为就业的不稳定会影响学习成绩并使其学校缺勤率提高，这些因素反映到了辍学率的增加上。当男童、女童和青少年为工作耗费了其大部分的时间时，面对要为家庭带来经济收入这一生存需求，教育被迫退居其次。</w:t>
      </w:r>
    </w:p>
    <w:p w:rsidR="00A83775" w:rsidRDefault="00A83775">
      <w:pPr>
        <w:pStyle w:val="SingleTxtGC"/>
        <w:rPr>
          <w:lang w:val="es-ES"/>
        </w:rPr>
      </w:pPr>
      <w:r>
        <w:rPr>
          <w:lang w:val="zh-CN"/>
        </w:rPr>
        <w:t xml:space="preserve">386.  </w:t>
      </w:r>
      <w:r>
        <w:rPr>
          <w:rFonts w:hint="eastAsia"/>
          <w:lang w:val="zh-CN"/>
        </w:rPr>
        <w:t>在预防和根除童工劳动方面，政府通过开展各项行动落实《</w:t>
      </w:r>
      <w:r>
        <w:rPr>
          <w:rFonts w:hint="eastAsia"/>
          <w:lang w:val="zh-CN"/>
        </w:rPr>
        <w:t>2008-2015</w:t>
      </w:r>
      <w:r>
        <w:rPr>
          <w:rFonts w:hint="eastAsia"/>
          <w:lang w:val="zh-CN"/>
        </w:rPr>
        <w:t>年预防和根除最恶劣形式的童工劳动和保护青年劳工国家战略》。设定了一条用于认定童工劳动者的基线并加快国内各省市分管委员会的建设。同样，推进了各类公共和私人机构以及</w:t>
      </w:r>
      <w:r>
        <w:rPr>
          <w:lang w:val="zh-CN"/>
        </w:rPr>
        <w:t>旨</w:t>
      </w:r>
      <w:r>
        <w:rPr>
          <w:lang w:val="en-GB"/>
        </w:rPr>
        <w:t>在根除极端贫困现象的社会保障网</w:t>
      </w:r>
      <w:r>
        <w:rPr>
          <w:rFonts w:hint="eastAsia"/>
          <w:lang w:val="en-GB"/>
        </w:rPr>
        <w:t>（</w:t>
      </w:r>
      <w:r>
        <w:rPr>
          <w:rFonts w:hint="eastAsia"/>
          <w:lang w:val="es-ES"/>
        </w:rPr>
        <w:t>JUNTOS</w:t>
      </w:r>
      <w:r>
        <w:rPr>
          <w:rFonts w:hint="eastAsia"/>
          <w:lang w:val="es-ES"/>
        </w:rPr>
        <w:t>网络）的协调联动工作，贯彻落实针对童工群体的干预项目。同时，对战略进行了持续跟踪监测，并辅以童工劳动弱势地位指引图，强化了最恶劣形式童工劳动统一登记体系。</w:t>
      </w:r>
    </w:p>
    <w:p w:rsidR="00A83775" w:rsidRDefault="00A83775">
      <w:pPr>
        <w:pStyle w:val="H23GC"/>
        <w:rPr>
          <w:lang w:val="es-ES"/>
        </w:rPr>
      </w:pPr>
      <w:r>
        <w:rPr>
          <w:lang w:val="es-ES"/>
        </w:rPr>
        <w:tab/>
      </w:r>
      <w:r>
        <w:rPr>
          <w:lang w:val="es-ES"/>
        </w:rPr>
        <w:tab/>
      </w:r>
      <w:r>
        <w:rPr>
          <w:rFonts w:hint="eastAsia"/>
          <w:lang w:val="es-ES"/>
        </w:rPr>
        <w:t>对流离失所人口进行劳动培训的措施</w:t>
      </w:r>
    </w:p>
    <w:p w:rsidR="00A83775" w:rsidRDefault="00A83775">
      <w:pPr>
        <w:pStyle w:val="SingleTxtGC"/>
        <w:rPr>
          <w:lang w:val="zh-CN"/>
        </w:rPr>
      </w:pPr>
      <w:r>
        <w:rPr>
          <w:lang w:val="es-ES"/>
        </w:rPr>
        <w:t xml:space="preserve">387.  </w:t>
      </w:r>
      <w:r>
        <w:rPr>
          <w:rFonts w:hint="eastAsia"/>
          <w:lang w:val="es-ES"/>
        </w:rPr>
        <w:t>2006-2010</w:t>
      </w:r>
      <w:r>
        <w:rPr>
          <w:rFonts w:hint="eastAsia"/>
          <w:lang w:val="es-ES"/>
        </w:rPr>
        <w:t>年期间，共有</w:t>
      </w:r>
      <w:r>
        <w:rPr>
          <w:rFonts w:hint="eastAsia"/>
          <w:lang w:val="es-ES"/>
        </w:rPr>
        <w:t>1</w:t>
      </w:r>
      <w:r>
        <w:rPr>
          <w:lang w:val="es-ES"/>
        </w:rPr>
        <w:t>,</w:t>
      </w:r>
      <w:r>
        <w:rPr>
          <w:rFonts w:hint="eastAsia"/>
          <w:lang w:val="es-ES"/>
        </w:rPr>
        <w:t>780</w:t>
      </w:r>
      <w:r>
        <w:rPr>
          <w:lang w:val="es-ES"/>
        </w:rPr>
        <w:t>,</w:t>
      </w:r>
      <w:r>
        <w:rPr>
          <w:rFonts w:hint="eastAsia"/>
          <w:lang w:val="es-ES"/>
        </w:rPr>
        <w:t>383</w:t>
      </w:r>
      <w:r>
        <w:rPr>
          <w:rFonts w:hint="eastAsia"/>
          <w:lang w:val="es-ES"/>
        </w:rPr>
        <w:t>名流离失所人员从各类劳动培训方案中受益，其中</w:t>
      </w:r>
      <w:r>
        <w:rPr>
          <w:rFonts w:hint="eastAsia"/>
          <w:lang w:val="es-ES"/>
        </w:rPr>
        <w:t>65</w:t>
      </w:r>
      <w:r>
        <w:rPr>
          <w:rFonts w:hint="eastAsia"/>
          <w:lang w:val="zh-CN"/>
        </w:rPr>
        <w:t>%</w:t>
      </w:r>
      <w:r>
        <w:rPr>
          <w:rFonts w:hint="eastAsia"/>
          <w:lang w:val="zh-CN"/>
        </w:rPr>
        <w:t>的受益人口为女性，</w:t>
      </w:r>
      <w:r>
        <w:rPr>
          <w:rFonts w:hint="eastAsia"/>
          <w:lang w:val="zh-CN"/>
        </w:rPr>
        <w:t>2010</w:t>
      </w:r>
      <w:r>
        <w:rPr>
          <w:rFonts w:hint="eastAsia"/>
          <w:lang w:val="zh-CN"/>
        </w:rPr>
        <w:t>年的数据显示，接受培训的人数与上一年相比增加了</w:t>
      </w:r>
      <w:r>
        <w:rPr>
          <w:rFonts w:hint="eastAsia"/>
          <w:lang w:val="zh-CN"/>
        </w:rPr>
        <w:t>22%</w:t>
      </w:r>
      <w:r>
        <w:rPr>
          <w:rFonts w:hint="eastAsia"/>
          <w:lang w:val="zh-CN"/>
        </w:rPr>
        <w:t>。</w:t>
      </w:r>
    </w:p>
    <w:p w:rsidR="00A83775" w:rsidRDefault="00A83775">
      <w:pPr>
        <w:pStyle w:val="SingleTxtGC"/>
        <w:rPr>
          <w:lang w:val="es-ES"/>
        </w:rPr>
      </w:pPr>
      <w:r>
        <w:rPr>
          <w:lang w:val="zh-CN"/>
        </w:rPr>
        <w:t xml:space="preserve">388.  </w:t>
      </w:r>
      <w:r>
        <w:rPr>
          <w:rFonts w:hint="eastAsia"/>
          <w:lang w:val="zh-CN"/>
        </w:rPr>
        <w:t>从年龄段上来看，数据显示受益妇女大多集中在</w:t>
      </w:r>
      <w:r>
        <w:rPr>
          <w:rFonts w:hint="eastAsia"/>
          <w:lang w:val="zh-CN"/>
        </w:rPr>
        <w:t>31-40</w:t>
      </w:r>
      <w:r>
        <w:rPr>
          <w:rFonts w:hint="eastAsia"/>
          <w:lang w:val="zh-CN"/>
        </w:rPr>
        <w:t>岁年龄段（</w:t>
      </w:r>
      <w:r>
        <w:rPr>
          <w:rFonts w:hint="eastAsia"/>
          <w:lang w:val="zh-CN"/>
        </w:rPr>
        <w:t>96</w:t>
      </w:r>
      <w:r>
        <w:t>,</w:t>
      </w:r>
      <w:r>
        <w:rPr>
          <w:rFonts w:hint="eastAsia"/>
          <w:lang w:val="zh-CN"/>
        </w:rPr>
        <w:t>458</w:t>
      </w:r>
      <w:r>
        <w:rPr>
          <w:rFonts w:hint="eastAsia"/>
          <w:lang w:val="zh-CN"/>
        </w:rPr>
        <w:t>人），而</w:t>
      </w:r>
      <w:r>
        <w:rPr>
          <w:rFonts w:hint="eastAsia"/>
          <w:lang w:val="zh-CN"/>
        </w:rPr>
        <w:t>41-55</w:t>
      </w:r>
      <w:r>
        <w:rPr>
          <w:rFonts w:hint="eastAsia"/>
          <w:lang w:val="es-ES"/>
        </w:rPr>
        <w:t>岁年龄段次之（</w:t>
      </w:r>
      <w:r>
        <w:rPr>
          <w:rFonts w:hint="eastAsia"/>
          <w:lang w:val="es-ES"/>
        </w:rPr>
        <w:t>82</w:t>
      </w:r>
      <w:r>
        <w:rPr>
          <w:lang w:val="es-ES"/>
        </w:rPr>
        <w:t>,</w:t>
      </w:r>
      <w:r>
        <w:rPr>
          <w:rFonts w:hint="eastAsia"/>
          <w:lang w:val="es-ES"/>
        </w:rPr>
        <w:t>966</w:t>
      </w:r>
      <w:r>
        <w:rPr>
          <w:rFonts w:hint="eastAsia"/>
          <w:lang w:val="es-ES"/>
        </w:rPr>
        <w:t>人），接下来是</w:t>
      </w:r>
      <w:r>
        <w:rPr>
          <w:rFonts w:hint="eastAsia"/>
          <w:lang w:val="es-ES"/>
        </w:rPr>
        <w:t>18-24</w:t>
      </w:r>
      <w:r>
        <w:rPr>
          <w:rFonts w:hint="eastAsia"/>
          <w:lang w:val="es-ES"/>
        </w:rPr>
        <w:t>岁年龄段（</w:t>
      </w:r>
      <w:r>
        <w:rPr>
          <w:rFonts w:hint="eastAsia"/>
          <w:lang w:val="es-ES"/>
        </w:rPr>
        <w:t>76</w:t>
      </w:r>
      <w:r>
        <w:rPr>
          <w:lang w:val="es-ES"/>
        </w:rPr>
        <w:t>,</w:t>
      </w:r>
      <w:r>
        <w:rPr>
          <w:rFonts w:hint="eastAsia"/>
          <w:lang w:val="es-ES"/>
        </w:rPr>
        <w:t>116</w:t>
      </w:r>
      <w:r>
        <w:rPr>
          <w:rFonts w:hint="eastAsia"/>
          <w:lang w:val="es-ES"/>
        </w:rPr>
        <w:t>人）；在各年龄段中，受益女性的人数在多数情况下都多于男性受益者。</w:t>
      </w:r>
    </w:p>
    <w:p w:rsidR="00A83775" w:rsidRDefault="00A83775">
      <w:pPr>
        <w:pStyle w:val="H23GC"/>
        <w:rPr>
          <w:lang w:val="es-ES"/>
        </w:rPr>
      </w:pPr>
      <w:r>
        <w:rPr>
          <w:lang w:val="es-ES"/>
        </w:rPr>
        <w:tab/>
      </w:r>
      <w:r>
        <w:rPr>
          <w:lang w:val="es-ES"/>
        </w:rPr>
        <w:tab/>
      </w:r>
      <w:r>
        <w:rPr>
          <w:rFonts w:hint="eastAsia"/>
          <w:lang w:val="es-ES"/>
        </w:rPr>
        <w:t>劳动平等议程</w:t>
      </w:r>
    </w:p>
    <w:p w:rsidR="00A83775" w:rsidRDefault="00A83775">
      <w:pPr>
        <w:pStyle w:val="SingleTxtGC"/>
      </w:pPr>
      <w:r>
        <w:rPr>
          <w:lang w:val="es-ES"/>
        </w:rPr>
        <w:t xml:space="preserve">389.  </w:t>
      </w:r>
      <w:r>
        <w:rPr>
          <w:rFonts w:hint="eastAsia"/>
          <w:lang w:val="es-ES"/>
        </w:rPr>
        <w:t>这一协议是在</w:t>
      </w:r>
      <w:r>
        <w:rPr>
          <w:rFonts w:hint="eastAsia"/>
          <w:lang w:val="es-ES"/>
        </w:rPr>
        <w:t>2009</w:t>
      </w:r>
      <w:r>
        <w:rPr>
          <w:rFonts w:hint="eastAsia"/>
          <w:lang w:val="es-ES"/>
        </w:rPr>
        <w:t>年</w:t>
      </w:r>
      <w:r>
        <w:rPr>
          <w:rFonts w:hint="eastAsia"/>
          <w:lang w:val="es-ES"/>
        </w:rPr>
        <w:t>3</w:t>
      </w:r>
      <w:r>
        <w:rPr>
          <w:rFonts w:hint="eastAsia"/>
          <w:lang w:val="es-ES"/>
        </w:rPr>
        <w:t>月由</w:t>
      </w:r>
      <w:r>
        <w:rPr>
          <w:rFonts w:hint="eastAsia"/>
          <w:lang w:val="es-ES"/>
        </w:rPr>
        <w:t>17</w:t>
      </w:r>
      <w:r>
        <w:rPr>
          <w:rFonts w:hint="eastAsia"/>
          <w:lang w:val="es-ES"/>
        </w:rPr>
        <w:t>家国内行会组织和</w:t>
      </w:r>
      <w:r>
        <w:rPr>
          <w:rFonts w:hint="eastAsia"/>
          <w:lang w:val="es-ES"/>
        </w:rPr>
        <w:t>17</w:t>
      </w:r>
      <w:r>
        <w:rPr>
          <w:rFonts w:hint="eastAsia"/>
          <w:lang w:val="es-ES"/>
        </w:rPr>
        <w:t>家私人企业签署</w:t>
      </w:r>
      <w:r>
        <w:rPr>
          <w:rFonts w:hint="eastAsia"/>
          <w:lang w:val="es-ES"/>
        </w:rPr>
        <w:t xml:space="preserve"> </w:t>
      </w:r>
      <w:r>
        <w:rPr>
          <w:rFonts w:hint="eastAsia"/>
          <w:lang w:val="es-ES"/>
        </w:rPr>
        <w:t>的。</w:t>
      </w:r>
      <w:r>
        <w:rPr>
          <w:vertAlign w:val="superscript"/>
          <w:lang w:val="es-CO"/>
        </w:rPr>
        <w:footnoteReference w:id="164"/>
      </w:r>
      <w:r>
        <w:rPr>
          <w:lang w:val="es-ES"/>
        </w:rPr>
        <w:t xml:space="preserve"> </w:t>
      </w:r>
      <w:r>
        <w:rPr>
          <w:rFonts w:hint="eastAsia"/>
          <w:lang w:val="es-ES"/>
        </w:rPr>
        <w:t>通过这一协</w:t>
      </w:r>
      <w:r>
        <w:rPr>
          <w:rFonts w:hint="eastAsia"/>
          <w:lang w:val="zh-CN"/>
        </w:rPr>
        <w:t>议的签署，共有</w:t>
      </w:r>
      <w:r>
        <w:rPr>
          <w:rFonts w:hint="eastAsia"/>
          <w:lang w:val="zh-CN"/>
        </w:rPr>
        <w:t>39</w:t>
      </w:r>
      <w:r>
        <w:rPr>
          <w:rFonts w:hint="eastAsia"/>
          <w:lang w:val="zh-CN"/>
        </w:rPr>
        <w:t>家国家一级和地方一级的行会组织承诺在劳动上给予妇女平等对待。这一承诺包含</w:t>
      </w:r>
      <w:r>
        <w:rPr>
          <w:rFonts w:hint="eastAsia"/>
          <w:lang w:val="zh-CN"/>
        </w:rPr>
        <w:t>12</w:t>
      </w:r>
      <w:r>
        <w:rPr>
          <w:rFonts w:hint="eastAsia"/>
          <w:lang w:val="zh-CN"/>
        </w:rPr>
        <w:t>项战略，旨在克服在劳动雇用方面对妇女的歧视，谋求男女薪资平等，协调工作和家庭生活，努力实现男女在家务上的分工合作，等等。</w:t>
      </w:r>
    </w:p>
    <w:p w:rsidR="00A83775" w:rsidRDefault="00A83775">
      <w:pPr>
        <w:pStyle w:val="SingleTxtGC"/>
        <w:rPr>
          <w:lang w:val="es-CO"/>
        </w:rPr>
      </w:pPr>
      <w:r>
        <w:rPr>
          <w:lang w:val="zh-CN"/>
        </w:rPr>
        <w:t xml:space="preserve">390.  </w:t>
      </w:r>
      <w:r>
        <w:rPr>
          <w:rFonts w:hint="eastAsia"/>
          <w:lang w:val="zh-CN"/>
        </w:rPr>
        <w:t>为开展这些战略，创立了行会间性别事务办公室，作为行会间分享经验和知识的专有空间，</w:t>
      </w:r>
      <w:r>
        <w:rPr>
          <w:rFonts w:hint="eastAsia"/>
          <w:lang w:val="es-CO"/>
        </w:rPr>
        <w:t>并积聚各方努力来具体落实议程规定的行动。这可以视作是行会领域为实现企业中的两性平等而做出的一项明确承诺，以提高妇女的地位，落实各项具体行动来确保使妇女有效融入劳动领域。</w:t>
      </w:r>
    </w:p>
    <w:p w:rsidR="00A83775" w:rsidRDefault="00A83775">
      <w:pPr>
        <w:pStyle w:val="SingleTxtGC"/>
        <w:rPr>
          <w:lang w:val="zh-CN"/>
        </w:rPr>
      </w:pPr>
      <w:r>
        <w:rPr>
          <w:bCs/>
          <w:lang w:val="es-ES"/>
        </w:rPr>
        <w:t xml:space="preserve">391.  </w:t>
      </w:r>
      <w:r>
        <w:rPr>
          <w:rFonts w:hint="eastAsia"/>
          <w:bCs/>
          <w:lang w:val="es-ES"/>
        </w:rPr>
        <w:t>在劳动平等议程的开展过程中，在世界银行的支持下，</w:t>
      </w:r>
      <w:r>
        <w:rPr>
          <w:rFonts w:hint="eastAsia"/>
          <w:bCs/>
          <w:lang w:val="es-ES"/>
        </w:rPr>
        <w:t>2010</w:t>
      </w:r>
      <w:r>
        <w:rPr>
          <w:rFonts w:hint="eastAsia"/>
          <w:bCs/>
          <w:lang w:val="es-ES"/>
        </w:rPr>
        <w:t>年在哥伦比亚的企业界通过立法和实务做法借鉴了其他国家的银行界已经推广的两性平等模式。</w:t>
      </w:r>
      <w:r>
        <w:rPr>
          <w:vertAlign w:val="superscript"/>
          <w:lang w:val="es-ES"/>
        </w:rPr>
        <w:footnoteReference w:id="165"/>
      </w:r>
      <w:r>
        <w:rPr>
          <w:bCs/>
          <w:lang w:val="es-ES"/>
        </w:rPr>
        <w:t xml:space="preserve"> </w:t>
      </w:r>
      <w:r>
        <w:rPr>
          <w:rFonts w:hint="eastAsia"/>
          <w:bCs/>
          <w:lang w:val="es-ES"/>
        </w:rPr>
        <w:t>这一模式是针对私人企业推出的，目的是通过加强劳动领域的两性平等来强化企业的</w:t>
      </w:r>
      <w:r>
        <w:rPr>
          <w:rFonts w:hint="eastAsia"/>
          <w:lang w:val="zh-CN"/>
        </w:rPr>
        <w:t>社会责任感；同时希望借助这一模式对在两性平等方面做得较好的企业予以公开表彰。这一模式设定了以下干预领域：在获得工作机会方面的公平；在人才开发方面的公平；平衡工作与生活的关系；健康的劳动环境以及企业与外部的关系。</w:t>
      </w:r>
    </w:p>
    <w:p w:rsidR="00A83775" w:rsidRDefault="00A83775">
      <w:pPr>
        <w:pStyle w:val="SingleTxtGC"/>
        <w:rPr>
          <w:rFonts w:hint="eastAsia"/>
          <w:lang w:val="es-ES"/>
        </w:rPr>
      </w:pPr>
      <w:r>
        <w:rPr>
          <w:lang w:val="zh-CN"/>
        </w:rPr>
        <w:t xml:space="preserve">392.  </w:t>
      </w:r>
      <w:r>
        <w:rPr>
          <w:rFonts w:hint="eastAsia"/>
          <w:lang w:val="zh-CN"/>
        </w:rPr>
        <w:t>妇女平等事务总统高级顾问办公室就业和企业发展工作主线。在前文提到的“</w:t>
      </w:r>
      <w:r>
        <w:rPr>
          <w:lang w:val="zh-CN"/>
        </w:rPr>
        <w:t>妇女：和平与发展的建设者</w:t>
      </w:r>
      <w:r>
        <w:rPr>
          <w:rFonts w:hint="eastAsia"/>
          <w:lang w:val="zh-CN"/>
        </w:rPr>
        <w:t>”</w:t>
      </w:r>
      <w:r>
        <w:rPr>
          <w:lang w:val="zh-CN"/>
        </w:rPr>
        <w:t>扶持政策</w:t>
      </w:r>
      <w:r>
        <w:rPr>
          <w:rFonts w:hint="eastAsia"/>
          <w:lang w:val="zh-CN"/>
        </w:rPr>
        <w:t>框架内，就业和企业发展是该政策的一条工作主线，据此通过开展一系列的方案项目，谋求实现妇女在劳动领域的经济自立能力</w:t>
      </w:r>
      <w:r>
        <w:rPr>
          <w:rFonts w:hint="eastAsia"/>
          <w:lang w:val="es-ES"/>
        </w:rPr>
        <w:t>和平等，推进各项旨在提高对妇女权利的承认和改善妇女权利行使的战略，并将工作重心落在两类妇女群体上：</w:t>
      </w:r>
      <w:r>
        <w:rPr>
          <w:rFonts w:hint="eastAsia"/>
          <w:lang w:val="es-ES"/>
        </w:rPr>
        <w:t xml:space="preserve">(a) </w:t>
      </w:r>
      <w:r>
        <w:rPr>
          <w:rFonts w:hint="eastAsia"/>
          <w:lang w:val="es-ES"/>
        </w:rPr>
        <w:t>进入劳动力市场并在私营部门或公共政府机关中谋取到一个工作岗位的妇女；</w:t>
      </w:r>
      <w:r>
        <w:rPr>
          <w:rFonts w:hint="eastAsia"/>
          <w:lang w:val="es-ES"/>
        </w:rPr>
        <w:t xml:space="preserve">(b) </w:t>
      </w:r>
      <w:r>
        <w:rPr>
          <w:rFonts w:hint="eastAsia"/>
          <w:lang w:val="es-ES"/>
        </w:rPr>
        <w:t>决定自主就业和自行开办企业的妇女。</w:t>
      </w:r>
      <w:r>
        <w:rPr>
          <w:vertAlign w:val="superscript"/>
          <w:lang w:val="es-ES_tradnl"/>
        </w:rPr>
        <w:footnoteReference w:id="166"/>
      </w:r>
      <w:r>
        <w:rPr>
          <w:lang w:val="es-ES"/>
        </w:rPr>
        <w:t xml:space="preserve"> </w:t>
      </w:r>
      <w:r>
        <w:rPr>
          <w:rFonts w:hint="eastAsia"/>
          <w:lang w:val="es-ES"/>
        </w:rPr>
        <w:t>遵循这一工作主线，开展了以下行动：</w:t>
      </w:r>
    </w:p>
    <w:tbl>
      <w:tblPr>
        <w:tblW w:w="7446" w:type="dxa"/>
        <w:tblInd w:w="1134" w:type="dxa"/>
        <w:tblCellMar>
          <w:left w:w="0" w:type="dxa"/>
          <w:right w:w="0" w:type="dxa"/>
        </w:tblCellMar>
        <w:tblLook w:val="00A0"/>
      </w:tblPr>
      <w:tblGrid>
        <w:gridCol w:w="3420"/>
        <w:gridCol w:w="4026"/>
      </w:tblGrid>
      <w:tr w:rsidR="00A83775">
        <w:trPr>
          <w:trHeight w:val="240"/>
          <w:tblHeader/>
        </w:trPr>
        <w:tc>
          <w:tcPr>
            <w:tcW w:w="3420" w:type="dxa"/>
            <w:tcBorders>
              <w:top w:val="single" w:sz="4" w:space="0" w:color="auto"/>
              <w:bottom w:val="single" w:sz="12" w:space="0" w:color="auto"/>
            </w:tcBorders>
            <w:shd w:val="clear" w:color="auto" w:fill="auto"/>
            <w:vAlign w:val="bottom"/>
          </w:tcPr>
          <w:p w:rsidR="00A83775" w:rsidRDefault="00A83775">
            <w:pPr>
              <w:pStyle w:val="a1"/>
              <w:rPr>
                <w:rFonts w:hint="eastAsia"/>
                <w:lang w:val="es-ES_tradnl"/>
              </w:rPr>
            </w:pPr>
            <w:r>
              <w:rPr>
                <w:rFonts w:hint="eastAsia"/>
                <w:lang w:val="es-ES_tradnl"/>
              </w:rPr>
              <w:t>方案</w:t>
            </w:r>
          </w:p>
        </w:tc>
        <w:tc>
          <w:tcPr>
            <w:tcW w:w="4026" w:type="dxa"/>
            <w:tcBorders>
              <w:top w:val="single" w:sz="4" w:space="0" w:color="auto"/>
              <w:bottom w:val="single" w:sz="12" w:space="0" w:color="auto"/>
            </w:tcBorders>
            <w:shd w:val="clear" w:color="auto" w:fill="auto"/>
            <w:vAlign w:val="bottom"/>
          </w:tcPr>
          <w:p w:rsidR="00A83775" w:rsidRDefault="00A83775">
            <w:pPr>
              <w:pStyle w:val="a1"/>
              <w:rPr>
                <w:rFonts w:hint="eastAsia"/>
                <w:lang w:val="es-ES_tradnl"/>
              </w:rPr>
            </w:pPr>
            <w:r>
              <w:rPr>
                <w:rFonts w:hint="eastAsia"/>
                <w:lang w:val="es-ES_tradnl"/>
              </w:rPr>
              <w:t>结果</w:t>
            </w:r>
          </w:p>
        </w:tc>
      </w:tr>
      <w:tr w:rsidR="00A83775">
        <w:trPr>
          <w:trHeight w:val="240"/>
        </w:trPr>
        <w:tc>
          <w:tcPr>
            <w:tcW w:w="7446" w:type="dxa"/>
            <w:gridSpan w:val="2"/>
            <w:tcBorders>
              <w:top w:val="single" w:sz="12" w:space="0" w:color="auto"/>
            </w:tcBorders>
            <w:shd w:val="clear" w:color="auto" w:fill="auto"/>
          </w:tcPr>
          <w:p w:rsidR="00A83775" w:rsidRDefault="00A83775">
            <w:pPr>
              <w:pStyle w:val="a5"/>
            </w:pPr>
            <w:r>
              <w:rPr>
                <w:rFonts w:hint="eastAsia"/>
                <w:lang w:val="es-CO"/>
              </w:rPr>
              <w:t>从性别观点角度发放小额贷款和提供金融服务</w:t>
            </w:r>
          </w:p>
        </w:tc>
      </w:tr>
      <w:tr w:rsidR="00A83775">
        <w:trPr>
          <w:trHeight w:val="240"/>
        </w:trPr>
        <w:tc>
          <w:tcPr>
            <w:tcW w:w="7446" w:type="dxa"/>
            <w:gridSpan w:val="2"/>
            <w:shd w:val="clear" w:color="auto" w:fill="auto"/>
          </w:tcPr>
          <w:p w:rsidR="00A83775" w:rsidRDefault="00A83775">
            <w:pPr>
              <w:pStyle w:val="a5"/>
              <w:rPr>
                <w:rFonts w:hint="eastAsia"/>
                <w:lang w:val="es-CO"/>
              </w:rPr>
            </w:pPr>
            <w:r>
              <w:rPr>
                <w:lang w:val="es-CO"/>
              </w:rPr>
              <w:t>-</w:t>
            </w:r>
            <w:r>
              <w:rPr>
                <w:lang w:val="es-CO"/>
              </w:rPr>
              <w:tab/>
            </w:r>
            <w:r>
              <w:t>国家妇女企业培训计划</w:t>
            </w:r>
            <w:r>
              <w:rPr>
                <w:rFonts w:hint="eastAsia"/>
                <w:bCs/>
                <w:lang w:val="es-CO"/>
              </w:rPr>
              <w:t>（</w:t>
            </w:r>
            <w:r>
              <w:rPr>
                <w:bCs/>
                <w:lang w:val="es-CO"/>
              </w:rPr>
              <w:t>PMCFM</w:t>
            </w:r>
            <w:r>
              <w:rPr>
                <w:rFonts w:hint="eastAsia"/>
                <w:bCs/>
                <w:lang w:val="es-CO"/>
              </w:rPr>
              <w:t>）</w:t>
            </w:r>
          </w:p>
        </w:tc>
      </w:tr>
      <w:tr w:rsidR="00A83775">
        <w:trPr>
          <w:trHeight w:val="240"/>
        </w:trPr>
        <w:tc>
          <w:tcPr>
            <w:tcW w:w="3420" w:type="dxa"/>
            <w:shd w:val="clear" w:color="auto" w:fill="auto"/>
          </w:tcPr>
          <w:p w:rsidR="00A83775" w:rsidRDefault="00A83775">
            <w:pPr>
              <w:pStyle w:val="a5"/>
              <w:rPr>
                <w:lang w:val="es-ES_tradnl"/>
              </w:rPr>
            </w:pPr>
            <w:r>
              <w:rPr>
                <w:rFonts w:hint="eastAsia"/>
                <w:bCs/>
                <w:lang w:val="es-MX"/>
              </w:rPr>
              <w:t>妇女平等事务总统高级顾问办公室致力于促进妇女的经济发展，加强其从事生产经营活动或生产劳动的能力，并通过发放小额贷款、提供企业经营培训和银行业务培训、提供一揽子资助计划以及投资顾问等方式营造一种储蓄和支付的文化。</w:t>
            </w:r>
          </w:p>
        </w:tc>
        <w:tc>
          <w:tcPr>
            <w:tcW w:w="4026" w:type="dxa"/>
            <w:shd w:val="clear" w:color="auto" w:fill="auto"/>
          </w:tcPr>
          <w:p w:rsidR="00A83775" w:rsidRDefault="00A83775">
            <w:pPr>
              <w:pStyle w:val="a5"/>
              <w:rPr>
                <w:lang w:val="es-CO"/>
              </w:rPr>
            </w:pPr>
            <w:r>
              <w:rPr>
                <w:rFonts w:hint="eastAsia"/>
                <w:lang w:val="es-CO"/>
              </w:rPr>
              <w:t>在</w:t>
            </w:r>
            <w:r>
              <w:t>国家妇女企业培训计划</w:t>
            </w:r>
            <w:r>
              <w:rPr>
                <w:rFonts w:hint="eastAsia"/>
                <w:lang w:val="es-CO"/>
              </w:rPr>
              <w:t>的三个阶段中，共计发放了价值</w:t>
            </w:r>
            <w:r>
              <w:rPr>
                <w:rFonts w:hint="eastAsia"/>
                <w:lang w:val="es-CO"/>
              </w:rPr>
              <w:t>406</w:t>
            </w:r>
            <w:r>
              <w:rPr>
                <w:rFonts w:hint="eastAsia"/>
                <w:lang w:val="es-CO"/>
              </w:rPr>
              <w:t>亿比索（</w:t>
            </w:r>
            <w:r>
              <w:rPr>
                <w:rFonts w:hint="eastAsia"/>
                <w:lang w:val="es-CO"/>
              </w:rPr>
              <w:t>2121</w:t>
            </w:r>
            <w:r>
              <w:rPr>
                <w:rFonts w:hint="eastAsia"/>
                <w:lang w:val="es-CO"/>
              </w:rPr>
              <w:t>万美元）的贷款，用于农牧业项目和非农牧业项目。</w:t>
            </w:r>
          </w:p>
          <w:p w:rsidR="00A83775" w:rsidRDefault="00A83775">
            <w:pPr>
              <w:pStyle w:val="a5"/>
              <w:rPr>
                <w:lang w:val="es-CO"/>
              </w:rPr>
            </w:pPr>
          </w:p>
          <w:p w:rsidR="00A83775" w:rsidRDefault="00A83775">
            <w:pPr>
              <w:pStyle w:val="a5"/>
              <w:rPr>
                <w:lang w:val="es-CO"/>
              </w:rPr>
            </w:pPr>
          </w:p>
        </w:tc>
      </w:tr>
      <w:tr w:rsidR="00A83775">
        <w:trPr>
          <w:trHeight w:val="240"/>
        </w:trPr>
        <w:tc>
          <w:tcPr>
            <w:tcW w:w="7446" w:type="dxa"/>
            <w:gridSpan w:val="2"/>
            <w:shd w:val="clear" w:color="auto" w:fill="auto"/>
          </w:tcPr>
          <w:p w:rsidR="00A83775" w:rsidRDefault="00A83775">
            <w:pPr>
              <w:pStyle w:val="a5"/>
              <w:rPr>
                <w:lang w:val="es-CO"/>
              </w:rPr>
            </w:pPr>
            <w:r>
              <w:rPr>
                <w:lang w:val="es-CO"/>
              </w:rPr>
              <w:t>-</w:t>
            </w:r>
            <w:r>
              <w:rPr>
                <w:lang w:val="es-CO"/>
              </w:rPr>
              <w:tab/>
            </w:r>
            <w:r>
              <w:rPr>
                <w:rFonts w:hint="eastAsia"/>
                <w:lang w:val="es-CO"/>
              </w:rPr>
              <w:t>为妇女提供各类金融资助机会的活动</w:t>
            </w:r>
          </w:p>
        </w:tc>
      </w:tr>
      <w:tr w:rsidR="00A83775">
        <w:trPr>
          <w:trHeight w:val="240"/>
        </w:trPr>
        <w:tc>
          <w:tcPr>
            <w:tcW w:w="3420" w:type="dxa"/>
            <w:shd w:val="clear" w:color="auto" w:fill="auto"/>
          </w:tcPr>
          <w:p w:rsidR="00A83775" w:rsidRDefault="00A83775">
            <w:pPr>
              <w:pStyle w:val="a5"/>
              <w:rPr>
                <w:bCs/>
                <w:lang w:val="es-CO"/>
              </w:rPr>
            </w:pPr>
            <w:r>
              <w:rPr>
                <w:rFonts w:hint="eastAsia"/>
                <w:lang w:val="es-CO"/>
              </w:rPr>
              <w:t>2006</w:t>
            </w:r>
            <w:r>
              <w:rPr>
                <w:rFonts w:hint="eastAsia"/>
                <w:lang w:val="es-CO"/>
              </w:rPr>
              <w:t>年</w:t>
            </w:r>
            <w:r>
              <w:rPr>
                <w:rFonts w:hint="eastAsia"/>
                <w:lang w:val="es-CO"/>
              </w:rPr>
              <w:t>8</w:t>
            </w:r>
            <w:r>
              <w:rPr>
                <w:rFonts w:hint="eastAsia"/>
                <w:lang w:val="es-CO"/>
              </w:rPr>
              <w:t>月以来，妇女平等事务总统高级顾问办公室结合国家政府的金融资助机会政策，设计了一项旨在为妇女提供金融资助的战略。</w:t>
            </w:r>
          </w:p>
        </w:tc>
        <w:tc>
          <w:tcPr>
            <w:tcW w:w="4026" w:type="dxa"/>
            <w:shd w:val="clear" w:color="auto" w:fill="auto"/>
          </w:tcPr>
          <w:p w:rsidR="00A83775" w:rsidRDefault="00A83775">
            <w:pPr>
              <w:pStyle w:val="a5"/>
              <w:rPr>
                <w:lang w:val="es-CO"/>
              </w:rPr>
            </w:pPr>
            <w:r>
              <w:rPr>
                <w:rFonts w:hint="eastAsia"/>
                <w:lang w:val="es-CO"/>
              </w:rPr>
              <w:t>在</w:t>
            </w:r>
            <w:r>
              <w:rPr>
                <w:rFonts w:hint="eastAsia"/>
                <w:lang w:val="es-CO"/>
              </w:rPr>
              <w:t>2007</w:t>
            </w:r>
            <w:r>
              <w:rPr>
                <w:rFonts w:hint="eastAsia"/>
                <w:lang w:val="es-CO"/>
              </w:rPr>
              <w:t>年</w:t>
            </w:r>
            <w:r>
              <w:rPr>
                <w:rFonts w:hint="eastAsia"/>
                <w:lang w:val="es-CO"/>
              </w:rPr>
              <w:t>10</w:t>
            </w:r>
            <w:r>
              <w:rPr>
                <w:rFonts w:hint="eastAsia"/>
                <w:lang w:val="es-CO"/>
              </w:rPr>
              <w:t>月至</w:t>
            </w:r>
            <w:r>
              <w:rPr>
                <w:rFonts w:hint="eastAsia"/>
                <w:lang w:val="es-CO"/>
              </w:rPr>
              <w:t>2010</w:t>
            </w:r>
            <w:r>
              <w:rPr>
                <w:rFonts w:hint="eastAsia"/>
                <w:lang w:val="es-CO"/>
              </w:rPr>
              <w:t>年</w:t>
            </w:r>
            <w:r>
              <w:rPr>
                <w:rFonts w:hint="eastAsia"/>
                <w:lang w:val="es-CO"/>
              </w:rPr>
              <w:t>6</w:t>
            </w:r>
            <w:r>
              <w:rPr>
                <w:rFonts w:hint="eastAsia"/>
                <w:lang w:val="es-CO"/>
              </w:rPr>
              <w:t>月期间，开展了专门针对女性的</w:t>
            </w:r>
            <w:r>
              <w:rPr>
                <w:rFonts w:hint="eastAsia"/>
                <w:lang w:val="es-CO"/>
              </w:rPr>
              <w:t>114</w:t>
            </w:r>
            <w:r>
              <w:rPr>
                <w:rFonts w:hint="eastAsia"/>
                <w:lang w:val="es-CO"/>
              </w:rPr>
              <w:t>次此类活动，超过</w:t>
            </w:r>
            <w:r>
              <w:rPr>
                <w:rFonts w:hint="eastAsia"/>
                <w:lang w:val="es-CO"/>
              </w:rPr>
              <w:t>50</w:t>
            </w:r>
            <w:r>
              <w:rPr>
                <w:lang w:val="es-CO"/>
              </w:rPr>
              <w:t>,</w:t>
            </w:r>
            <w:r>
              <w:rPr>
                <w:rFonts w:hint="eastAsia"/>
                <w:lang w:val="es-CO"/>
              </w:rPr>
              <w:t>000</w:t>
            </w:r>
            <w:r>
              <w:rPr>
                <w:rFonts w:hint="eastAsia"/>
                <w:lang w:val="es-CO"/>
              </w:rPr>
              <w:t>名妇女参与其中，并向约</w:t>
            </w:r>
            <w:r>
              <w:rPr>
                <w:rFonts w:hint="eastAsia"/>
                <w:lang w:val="es-CO"/>
              </w:rPr>
              <w:t>4%</w:t>
            </w:r>
            <w:r>
              <w:rPr>
                <w:rFonts w:hint="eastAsia"/>
                <w:lang w:val="es-CO"/>
              </w:rPr>
              <w:t>的参加者发放了贷款。通过这些活动，妇女接受了培训，了解了如何才能获得小额贷款以及其他一些金融服务，并有可能在活动中通过信贷交流会得到任何一家政府机关和非政府组织的全部有关资讯。</w:t>
            </w:r>
          </w:p>
        </w:tc>
      </w:tr>
      <w:tr w:rsidR="00A83775">
        <w:trPr>
          <w:trHeight w:val="240"/>
        </w:trPr>
        <w:tc>
          <w:tcPr>
            <w:tcW w:w="7446" w:type="dxa"/>
            <w:gridSpan w:val="2"/>
            <w:shd w:val="clear" w:color="auto" w:fill="auto"/>
          </w:tcPr>
          <w:p w:rsidR="00A83775" w:rsidRDefault="00A83775">
            <w:pPr>
              <w:pStyle w:val="a5"/>
              <w:rPr>
                <w:lang w:val="es-CO"/>
              </w:rPr>
            </w:pPr>
            <w:r>
              <w:rPr>
                <w:lang w:val="es-CO"/>
              </w:rPr>
              <w:t>-</w:t>
            </w:r>
            <w:r>
              <w:rPr>
                <w:lang w:val="es-CO"/>
              </w:rPr>
              <w:tab/>
            </w:r>
            <w:r>
              <w:t>旨在根除极端贫困现象的社会保障网</w:t>
            </w:r>
            <w:r>
              <w:rPr>
                <w:rFonts w:hint="eastAsia"/>
                <w:spacing w:val="-40"/>
                <w:lang w:val="es-ES"/>
              </w:rPr>
              <w:t>――</w:t>
            </w:r>
            <w:r>
              <w:rPr>
                <w:rFonts w:hint="eastAsia"/>
                <w:spacing w:val="-40"/>
                <w:lang w:val="es-ES"/>
              </w:rPr>
              <w:t xml:space="preserve"> </w:t>
            </w:r>
            <w:r>
              <w:t>JUNTOS</w:t>
            </w:r>
            <w:r>
              <w:rPr>
                <w:rStyle w:val="FootnoteReference"/>
                <w:bCs/>
                <w:color w:val="auto"/>
                <w:sz w:val="18"/>
                <w:szCs w:val="18"/>
                <w:lang w:val="es-CO"/>
              </w:rPr>
              <w:footnoteReference w:id="167"/>
            </w:r>
          </w:p>
        </w:tc>
      </w:tr>
      <w:tr w:rsidR="00A83775">
        <w:trPr>
          <w:trHeight w:val="240"/>
        </w:trPr>
        <w:tc>
          <w:tcPr>
            <w:tcW w:w="3420" w:type="dxa"/>
            <w:shd w:val="clear" w:color="auto" w:fill="auto"/>
          </w:tcPr>
          <w:p w:rsidR="00A83775" w:rsidRDefault="00A83775">
            <w:pPr>
              <w:pStyle w:val="a5"/>
              <w:rPr>
                <w:lang w:val="es-CO"/>
              </w:rPr>
            </w:pPr>
            <w:r>
              <w:rPr>
                <w:rFonts w:hint="eastAsia"/>
                <w:lang w:val="es-CO"/>
              </w:rPr>
              <w:t>妇女平等事务总统高级顾问办公室将这一战略与</w:t>
            </w:r>
            <w:r>
              <w:t>国家妇女企业培训计划</w:t>
            </w:r>
            <w:r>
              <w:rPr>
                <w:rFonts w:hint="eastAsia"/>
              </w:rPr>
              <w:t>和</w:t>
            </w:r>
            <w:r>
              <w:rPr>
                <w:rFonts w:hint="eastAsia"/>
                <w:lang w:val="es-CO"/>
              </w:rPr>
              <w:t>为妇女提供各类金融资助机会的活动连接起来，为受益家庭提供各类服务。</w:t>
            </w:r>
          </w:p>
        </w:tc>
        <w:tc>
          <w:tcPr>
            <w:tcW w:w="4026" w:type="dxa"/>
            <w:shd w:val="clear" w:color="auto" w:fill="auto"/>
          </w:tcPr>
          <w:p w:rsidR="00A83775" w:rsidRDefault="00A83775">
            <w:pPr>
              <w:pStyle w:val="a5"/>
              <w:rPr>
                <w:rFonts w:hint="eastAsia"/>
                <w:lang w:val="es-CO"/>
              </w:rPr>
            </w:pPr>
            <w:r>
              <w:rPr>
                <w:rFonts w:hint="eastAsia"/>
                <w:lang w:val="es-CO"/>
              </w:rPr>
              <w:t>在</w:t>
            </w:r>
            <w:r>
              <w:rPr>
                <w:rFonts w:hint="eastAsia"/>
                <w:lang w:val="es-CO"/>
              </w:rPr>
              <w:t>2007</w:t>
            </w:r>
            <w:r>
              <w:rPr>
                <w:rFonts w:hint="eastAsia"/>
                <w:lang w:val="es-CO"/>
              </w:rPr>
              <w:t>年</w:t>
            </w:r>
            <w:r>
              <w:rPr>
                <w:rFonts w:hint="eastAsia"/>
                <w:lang w:val="es-CO"/>
              </w:rPr>
              <w:t>1</w:t>
            </w:r>
            <w:r>
              <w:rPr>
                <w:rFonts w:hint="eastAsia"/>
                <w:lang w:val="es-CO"/>
              </w:rPr>
              <w:t>月至</w:t>
            </w:r>
            <w:r>
              <w:rPr>
                <w:rFonts w:hint="eastAsia"/>
                <w:lang w:val="es-CO"/>
              </w:rPr>
              <w:t>2010</w:t>
            </w:r>
            <w:r>
              <w:rPr>
                <w:rFonts w:hint="eastAsia"/>
                <w:lang w:val="es-CO"/>
              </w:rPr>
              <w:t>年</w:t>
            </w:r>
            <w:r>
              <w:rPr>
                <w:rFonts w:hint="eastAsia"/>
                <w:lang w:val="es-CO"/>
              </w:rPr>
              <w:t>2</w:t>
            </w:r>
            <w:r>
              <w:rPr>
                <w:rFonts w:hint="eastAsia"/>
                <w:lang w:val="es-CO"/>
              </w:rPr>
              <w:t>月期间，共向参加了</w:t>
            </w:r>
            <w:r>
              <w:rPr>
                <w:rFonts w:hint="eastAsia"/>
                <w:lang w:val="es-CO"/>
              </w:rPr>
              <w:t>JUNTOS</w:t>
            </w:r>
            <w:r>
              <w:rPr>
                <w:rFonts w:hint="eastAsia"/>
                <w:lang w:val="es-CO"/>
              </w:rPr>
              <w:t>社会保障网的</w:t>
            </w:r>
            <w:r>
              <w:rPr>
                <w:rFonts w:hint="eastAsia"/>
                <w:lang w:val="es-CO"/>
              </w:rPr>
              <w:t>11</w:t>
            </w:r>
            <w:r>
              <w:rPr>
                <w:lang w:val="es-CO"/>
              </w:rPr>
              <w:t>,</w:t>
            </w:r>
            <w:r>
              <w:rPr>
                <w:rFonts w:hint="eastAsia"/>
                <w:lang w:val="es-CO"/>
              </w:rPr>
              <w:t>089</w:t>
            </w:r>
            <w:r>
              <w:rPr>
                <w:rFonts w:hint="eastAsia"/>
                <w:lang w:val="es-CO"/>
              </w:rPr>
              <w:t>名妇女发放了贷款，其中</w:t>
            </w:r>
            <w:r>
              <w:rPr>
                <w:rFonts w:hint="eastAsia"/>
                <w:lang w:val="es-CO"/>
              </w:rPr>
              <w:t>1</w:t>
            </w:r>
            <w:r>
              <w:rPr>
                <w:lang w:val="es-CO"/>
              </w:rPr>
              <w:t>,</w:t>
            </w:r>
            <w:r>
              <w:rPr>
                <w:rFonts w:hint="eastAsia"/>
                <w:lang w:val="es-CO"/>
              </w:rPr>
              <w:t>981</w:t>
            </w:r>
            <w:r>
              <w:rPr>
                <w:rFonts w:hint="eastAsia"/>
                <w:lang w:val="es-CO"/>
              </w:rPr>
              <w:t>人属于流离失所者，</w:t>
            </w:r>
            <w:r>
              <w:rPr>
                <w:rFonts w:hint="eastAsia"/>
                <w:lang w:val="es-CO"/>
              </w:rPr>
              <w:t>9</w:t>
            </w:r>
            <w:r>
              <w:rPr>
                <w:lang w:val="es-CO"/>
              </w:rPr>
              <w:t>,</w:t>
            </w:r>
            <w:r>
              <w:rPr>
                <w:rFonts w:hint="eastAsia"/>
                <w:lang w:val="es-CO"/>
              </w:rPr>
              <w:t>108</w:t>
            </w:r>
            <w:r>
              <w:rPr>
                <w:rFonts w:hint="eastAsia"/>
                <w:lang w:val="es-CO"/>
              </w:rPr>
              <w:t>名妇女属于一级贫困。</w:t>
            </w:r>
            <w:r>
              <w:rPr>
                <w:rStyle w:val="FootnoteReference"/>
                <w:color w:val="auto"/>
                <w:sz w:val="18"/>
                <w:szCs w:val="18"/>
                <w:lang w:val="es-CO"/>
              </w:rPr>
              <w:footnoteReference w:id="168"/>
            </w:r>
          </w:p>
        </w:tc>
      </w:tr>
      <w:tr w:rsidR="00A83775">
        <w:trPr>
          <w:trHeight w:val="240"/>
        </w:trPr>
        <w:tc>
          <w:tcPr>
            <w:tcW w:w="7446" w:type="dxa"/>
            <w:gridSpan w:val="2"/>
            <w:shd w:val="clear" w:color="auto" w:fill="auto"/>
          </w:tcPr>
          <w:p w:rsidR="00A83775" w:rsidRDefault="00A83775">
            <w:pPr>
              <w:pStyle w:val="a5"/>
              <w:rPr>
                <w:rFonts w:hint="eastAsia"/>
                <w:lang w:val="es-CO"/>
              </w:rPr>
            </w:pPr>
            <w:r>
              <w:rPr>
                <w:rFonts w:hint="eastAsia"/>
                <w:lang w:val="es-CO"/>
              </w:rPr>
              <w:t>关于企业管理运作、提高生产力、创新、技术研发、联合、合作以及从事传统意义上的男性化工作的培训和技术支持工作。</w:t>
            </w:r>
          </w:p>
        </w:tc>
      </w:tr>
      <w:tr w:rsidR="00A83775">
        <w:trPr>
          <w:trHeight w:val="240"/>
        </w:trPr>
        <w:tc>
          <w:tcPr>
            <w:tcW w:w="7446" w:type="dxa"/>
            <w:gridSpan w:val="2"/>
            <w:shd w:val="clear" w:color="auto" w:fill="auto"/>
          </w:tcPr>
          <w:p w:rsidR="00A83775" w:rsidRDefault="00A83775">
            <w:pPr>
              <w:pStyle w:val="a5"/>
              <w:rPr>
                <w:lang w:val="es-CO"/>
              </w:rPr>
            </w:pPr>
            <w:r>
              <w:rPr>
                <w:rFonts w:hint="eastAsia"/>
                <w:lang w:val="es-CO"/>
              </w:rPr>
              <w:t>这些方案是由妇女平等事务总统高级顾问办公室在各领域推动实施的，如为妇女提供各类金融资助机会的活动、女企业家综合发展国家方案</w:t>
            </w:r>
            <w:r>
              <w:rPr>
                <w:lang w:val="es-CO"/>
              </w:rPr>
              <w:t>-EXPOEMPRESARIA</w:t>
            </w:r>
            <w:r>
              <w:rPr>
                <w:rFonts w:hint="eastAsia"/>
                <w:lang w:val="es-CO"/>
              </w:rPr>
              <w:t>，为此与多家公共和私人机构签署了合作协议（全国学徒服务局、信息技术和通信部）。</w:t>
            </w:r>
          </w:p>
        </w:tc>
      </w:tr>
      <w:tr w:rsidR="00A83775">
        <w:trPr>
          <w:trHeight w:val="240"/>
        </w:trPr>
        <w:tc>
          <w:tcPr>
            <w:tcW w:w="7446" w:type="dxa"/>
            <w:gridSpan w:val="2"/>
            <w:shd w:val="clear" w:color="auto" w:fill="auto"/>
          </w:tcPr>
          <w:p w:rsidR="00A83775" w:rsidRDefault="00A83775">
            <w:pPr>
              <w:pStyle w:val="a5"/>
              <w:rPr>
                <w:rFonts w:hint="eastAsia"/>
                <w:lang w:val="es-CO"/>
              </w:rPr>
            </w:pPr>
            <w:r>
              <w:rPr>
                <w:rFonts w:hint="eastAsia"/>
                <w:lang w:val="es-CO"/>
              </w:rPr>
              <w:t>女企业家综合发展国家方案</w:t>
            </w:r>
            <w:r>
              <w:rPr>
                <w:rFonts w:hint="eastAsia"/>
                <w:spacing w:val="-40"/>
                <w:lang w:val="es-ES"/>
              </w:rPr>
              <w:t>――</w:t>
            </w:r>
            <w:r>
              <w:rPr>
                <w:rFonts w:hint="eastAsia"/>
                <w:spacing w:val="-40"/>
                <w:lang w:val="es-ES"/>
              </w:rPr>
              <w:t xml:space="preserve"> </w:t>
            </w:r>
            <w:r>
              <w:rPr>
                <w:rFonts w:hint="eastAsia"/>
                <w:lang w:val="es-ES_tradnl"/>
              </w:rPr>
              <w:t>第七届全国女企业家博览会（</w:t>
            </w:r>
            <w:r>
              <w:rPr>
                <w:bCs/>
                <w:lang w:val="es-CO"/>
              </w:rPr>
              <w:t>EXPOEMPRESARIA</w:t>
            </w:r>
            <w:r>
              <w:rPr>
                <w:rFonts w:hint="eastAsia"/>
                <w:bCs/>
                <w:lang w:val="es-CO"/>
              </w:rPr>
              <w:t>）</w:t>
            </w:r>
            <w:r>
              <w:rPr>
                <w:rFonts w:hint="eastAsia"/>
                <w:lang w:val="es-CO"/>
              </w:rPr>
              <w:t>（在前文与第四条对应的章节中已经提到过）。</w:t>
            </w:r>
          </w:p>
        </w:tc>
      </w:tr>
      <w:tr w:rsidR="00A83775">
        <w:trPr>
          <w:trHeight w:val="240"/>
        </w:trPr>
        <w:tc>
          <w:tcPr>
            <w:tcW w:w="3420" w:type="dxa"/>
            <w:shd w:val="clear" w:color="auto" w:fill="auto"/>
          </w:tcPr>
          <w:p w:rsidR="00A83775" w:rsidRDefault="00A83775">
            <w:pPr>
              <w:pStyle w:val="a5"/>
              <w:rPr>
                <w:rFonts w:hint="eastAsia"/>
                <w:lang w:val="es-CO"/>
              </w:rPr>
            </w:pPr>
            <w:r>
              <w:rPr>
                <w:rFonts w:hint="eastAsia"/>
                <w:lang w:val="es-CO"/>
              </w:rPr>
              <w:t>自</w:t>
            </w:r>
            <w:r>
              <w:rPr>
                <w:rFonts w:hint="eastAsia"/>
                <w:lang w:val="es-CO"/>
              </w:rPr>
              <w:t>2004</w:t>
            </w:r>
            <w:r>
              <w:rPr>
                <w:rFonts w:hint="eastAsia"/>
                <w:lang w:val="es-CO"/>
              </w:rPr>
              <w:t>年启动以来已经连续开展了</w:t>
            </w:r>
            <w:r>
              <w:rPr>
                <w:rFonts w:hint="eastAsia"/>
                <w:lang w:val="es-CO"/>
              </w:rPr>
              <w:t>7</w:t>
            </w:r>
            <w:r>
              <w:rPr>
                <w:rFonts w:hint="eastAsia"/>
                <w:lang w:val="es-CO"/>
              </w:rPr>
              <w:t>年。</w:t>
            </w:r>
          </w:p>
        </w:tc>
        <w:tc>
          <w:tcPr>
            <w:tcW w:w="4026" w:type="dxa"/>
            <w:shd w:val="clear" w:color="auto" w:fill="auto"/>
          </w:tcPr>
          <w:p w:rsidR="00A83775" w:rsidRDefault="00A83775">
            <w:pPr>
              <w:pStyle w:val="a5"/>
              <w:rPr>
                <w:lang w:val="es-CO"/>
              </w:rPr>
            </w:pPr>
            <w:r>
              <w:rPr>
                <w:rFonts w:hint="eastAsia"/>
                <w:lang w:val="es-ES"/>
              </w:rPr>
              <w:t>通过开办</w:t>
            </w:r>
            <w:r>
              <w:rPr>
                <w:rFonts w:hint="eastAsia"/>
                <w:lang w:val="es-ES"/>
              </w:rPr>
              <w:t>143</w:t>
            </w:r>
            <w:r>
              <w:rPr>
                <w:rFonts w:hint="eastAsia"/>
                <w:lang w:val="es-ES"/>
              </w:rPr>
              <w:t>场企业精神宣讲会，</w:t>
            </w:r>
            <w:r>
              <w:rPr>
                <w:rFonts w:hint="eastAsia"/>
                <w:lang w:val="es-ES"/>
              </w:rPr>
              <w:t>143</w:t>
            </w:r>
            <w:r>
              <w:rPr>
                <w:rFonts w:hint="eastAsia"/>
                <w:lang w:val="es-ES"/>
              </w:rPr>
              <w:t>场精英遴选会，</w:t>
            </w:r>
            <w:r>
              <w:rPr>
                <w:rFonts w:hint="eastAsia"/>
                <w:lang w:val="es-ES"/>
              </w:rPr>
              <w:t>7</w:t>
            </w:r>
            <w:r>
              <w:rPr>
                <w:rFonts w:hint="eastAsia"/>
                <w:lang w:val="es-ES"/>
              </w:rPr>
              <w:t>场全国展销会，</w:t>
            </w:r>
            <w:r>
              <w:rPr>
                <w:rFonts w:hint="eastAsia"/>
                <w:lang w:val="es-ES"/>
              </w:rPr>
              <w:t>3</w:t>
            </w:r>
            <w:r>
              <w:rPr>
                <w:rFonts w:hint="eastAsia"/>
                <w:lang w:val="es-ES"/>
              </w:rPr>
              <w:t>场地区展销会，</w:t>
            </w:r>
            <w:r>
              <w:rPr>
                <w:rFonts w:hint="eastAsia"/>
                <w:lang w:val="es-ES"/>
              </w:rPr>
              <w:t>10</w:t>
            </w:r>
            <w:r>
              <w:rPr>
                <w:rFonts w:hint="eastAsia"/>
                <w:lang w:val="es-ES"/>
              </w:rPr>
              <w:t>次企业主题论坛，</w:t>
            </w:r>
            <w:r>
              <w:rPr>
                <w:rFonts w:hint="eastAsia"/>
                <w:lang w:val="es-ES"/>
              </w:rPr>
              <w:t>7</w:t>
            </w:r>
            <w:r>
              <w:rPr>
                <w:rFonts w:hint="eastAsia"/>
                <w:lang w:val="es-ES"/>
              </w:rPr>
              <w:t>轮业务推广会，使</w:t>
            </w:r>
            <w:r>
              <w:rPr>
                <w:rFonts w:hint="eastAsia"/>
                <w:lang w:val="es-ES"/>
              </w:rPr>
              <w:t>14</w:t>
            </w:r>
            <w:r>
              <w:rPr>
                <w:lang w:val="es-ES"/>
              </w:rPr>
              <w:t>,</w:t>
            </w:r>
            <w:r>
              <w:rPr>
                <w:rFonts w:hint="eastAsia"/>
                <w:lang w:val="es-ES"/>
              </w:rPr>
              <w:t>000</w:t>
            </w:r>
            <w:r>
              <w:rPr>
                <w:rFonts w:hint="eastAsia"/>
                <w:lang w:val="es-ES"/>
              </w:rPr>
              <w:t>名微型企业女业主的业务有所强化；通过</w:t>
            </w:r>
            <w:r>
              <w:rPr>
                <w:rFonts w:hint="eastAsia"/>
                <w:lang w:val="es-ES"/>
              </w:rPr>
              <w:t>50</w:t>
            </w:r>
            <w:r>
              <w:rPr>
                <w:rFonts w:hint="eastAsia"/>
                <w:lang w:val="es-ES"/>
              </w:rPr>
              <w:t>场讲习班使女企业家网络得到了发展和强化；使</w:t>
            </w:r>
            <w:r>
              <w:rPr>
                <w:rFonts w:hint="eastAsia"/>
                <w:lang w:val="es-ES"/>
              </w:rPr>
              <w:t>1</w:t>
            </w:r>
            <w:r>
              <w:rPr>
                <w:lang w:val="es-ES"/>
              </w:rPr>
              <w:t>,</w:t>
            </w:r>
            <w:r>
              <w:rPr>
                <w:rFonts w:hint="eastAsia"/>
                <w:lang w:val="es-ES"/>
              </w:rPr>
              <w:t>500</w:t>
            </w:r>
            <w:r>
              <w:rPr>
                <w:rFonts w:hint="eastAsia"/>
                <w:lang w:val="es-ES"/>
              </w:rPr>
              <w:t>名女企业家通过</w:t>
            </w:r>
            <w:r>
              <w:rPr>
                <w:rFonts w:hint="eastAsia"/>
                <w:lang w:val="es-ES"/>
              </w:rPr>
              <w:t>Colempresarias</w:t>
            </w:r>
            <w:r>
              <w:rPr>
                <w:rStyle w:val="FootnoteReference"/>
                <w:color w:val="auto"/>
                <w:sz w:val="18"/>
                <w:szCs w:val="18"/>
                <w:lang w:val="es-ES"/>
              </w:rPr>
              <w:footnoteReference w:id="169"/>
            </w:r>
            <w:r>
              <w:rPr>
                <w:lang w:val="es-ES"/>
              </w:rPr>
              <w:t xml:space="preserve"> </w:t>
            </w:r>
            <w:r>
              <w:rPr>
                <w:rFonts w:hint="eastAsia"/>
                <w:lang w:val="es-ES"/>
              </w:rPr>
              <w:t>成为了食品、手工艺、手工制作、纺织和缝纫、皮革、皮革制品和服务行业联合会网络的会员；上述活动共吸引了</w:t>
            </w:r>
            <w:r>
              <w:rPr>
                <w:rFonts w:hint="eastAsia"/>
                <w:lang w:val="es-ES"/>
              </w:rPr>
              <w:t>90</w:t>
            </w:r>
            <w:r>
              <w:rPr>
                <w:lang w:val="es-ES"/>
              </w:rPr>
              <w:t>,</w:t>
            </w:r>
            <w:r>
              <w:rPr>
                <w:rFonts w:hint="eastAsia"/>
                <w:lang w:val="es-ES"/>
              </w:rPr>
              <w:t>000</w:t>
            </w:r>
            <w:r>
              <w:rPr>
                <w:rFonts w:hint="eastAsia"/>
                <w:lang w:val="es-ES"/>
              </w:rPr>
              <w:t>人次的访客。对</w:t>
            </w:r>
            <w:r>
              <w:rPr>
                <w:rFonts w:hint="eastAsia"/>
                <w:lang w:val="es-ES"/>
              </w:rPr>
              <w:t>1</w:t>
            </w:r>
            <w:r>
              <w:rPr>
                <w:lang w:val="es-ES"/>
              </w:rPr>
              <w:t>,</w:t>
            </w:r>
            <w:r>
              <w:rPr>
                <w:rFonts w:hint="eastAsia"/>
                <w:lang w:val="es-ES"/>
              </w:rPr>
              <w:t>200</w:t>
            </w:r>
            <w:r>
              <w:rPr>
                <w:rFonts w:hint="eastAsia"/>
                <w:lang w:val="es-ES"/>
              </w:rPr>
              <w:t>名微型企业女业主、女户主、六个省的咖啡主产区城乡地区的社区女领袖进行了关于技术和沟通方面的培训，目的是强化其经营管理和交流沟通能力。</w:t>
            </w:r>
          </w:p>
        </w:tc>
      </w:tr>
    </w:tbl>
    <w:p w:rsidR="00A83775" w:rsidRDefault="00A83775">
      <w:pPr>
        <w:pStyle w:val="SingleTxtGC"/>
        <w:spacing w:before="120"/>
        <w:rPr>
          <w:rFonts w:hint="eastAsia"/>
          <w:lang w:val="es-CO"/>
        </w:rPr>
      </w:pPr>
      <w:r>
        <w:rPr>
          <w:lang w:val="es-CO"/>
        </w:rPr>
        <w:t xml:space="preserve">393.  </w:t>
      </w:r>
      <w:r>
        <w:rPr>
          <w:rFonts w:hint="eastAsia"/>
          <w:lang w:val="es-CO"/>
        </w:rPr>
        <w:t>这些行动有助于帮助妇女实现经济发展，在最近</w:t>
      </w:r>
      <w:r>
        <w:rPr>
          <w:rFonts w:hint="eastAsia"/>
          <w:lang w:val="es-CO"/>
        </w:rPr>
        <w:t>7</w:t>
      </w:r>
      <w:r>
        <w:rPr>
          <w:rFonts w:hint="eastAsia"/>
          <w:lang w:val="es-CO"/>
        </w:rPr>
        <w:t>年中，这些措施的成效逐步反映在女</w:t>
      </w:r>
      <w:r>
        <w:rPr>
          <w:rFonts w:hint="eastAsia"/>
          <w:lang w:val="zh-CN"/>
        </w:rPr>
        <w:t>企业家</w:t>
      </w:r>
      <w:r>
        <w:rPr>
          <w:rFonts w:hint="eastAsia"/>
          <w:lang w:val="es-CO"/>
        </w:rPr>
        <w:t>峰会上（</w:t>
      </w:r>
      <w:r>
        <w:rPr>
          <w:rFonts w:hint="eastAsia"/>
          <w:lang w:val="es-CO"/>
        </w:rPr>
        <w:t>2010</w:t>
      </w:r>
      <w:r>
        <w:rPr>
          <w:rFonts w:hint="eastAsia"/>
          <w:lang w:val="es-CO"/>
        </w:rPr>
        <w:t>年</w:t>
      </w:r>
      <w:r>
        <w:rPr>
          <w:rFonts w:hint="eastAsia"/>
          <w:lang w:val="es-CO"/>
        </w:rPr>
        <w:t>6</w:t>
      </w:r>
      <w:r>
        <w:rPr>
          <w:rFonts w:hint="eastAsia"/>
          <w:lang w:val="es-CO"/>
        </w:rPr>
        <w:t>月），此次峰会共分为</w:t>
      </w:r>
      <w:r>
        <w:rPr>
          <w:rFonts w:hint="eastAsia"/>
          <w:lang w:val="es-CO"/>
        </w:rPr>
        <w:t>12</w:t>
      </w:r>
      <w:r>
        <w:rPr>
          <w:rFonts w:hint="eastAsia"/>
          <w:lang w:val="es-CO"/>
        </w:rPr>
        <w:t>项内容，主要围绕妇女的经济发展和企业经营管理以及预防暴力侵害妇女问题这些主题开</w:t>
      </w:r>
      <w:r>
        <w:rPr>
          <w:rFonts w:hint="eastAsia"/>
          <w:lang w:val="es-CO"/>
        </w:rPr>
        <w:t xml:space="preserve"> </w:t>
      </w:r>
      <w:r>
        <w:rPr>
          <w:rFonts w:hint="eastAsia"/>
          <w:lang w:val="es-CO"/>
        </w:rPr>
        <w:t>展。</w:t>
      </w:r>
      <w:r>
        <w:rPr>
          <w:vertAlign w:val="superscript"/>
          <w:lang w:val="es-CO"/>
        </w:rPr>
        <w:footnoteReference w:id="170"/>
      </w:r>
    </w:p>
    <w:p w:rsidR="00A83775" w:rsidRDefault="00A83775">
      <w:pPr>
        <w:pStyle w:val="H23GC"/>
        <w:rPr>
          <w:lang w:val="es-ES_tradnl"/>
        </w:rPr>
      </w:pPr>
      <w:r>
        <w:rPr>
          <w:lang w:val="es-ES_tradnl"/>
        </w:rPr>
        <w:tab/>
        <w:t>2.</w:t>
      </w:r>
      <w:r>
        <w:rPr>
          <w:lang w:val="es-ES_tradnl"/>
        </w:rPr>
        <w:tab/>
      </w:r>
      <w:r>
        <w:rPr>
          <w:rFonts w:hint="eastAsia"/>
          <w:lang w:val="es-ES_tradnl"/>
        </w:rPr>
        <w:t>立法措施</w:t>
      </w:r>
    </w:p>
    <w:p w:rsidR="00A83775" w:rsidRDefault="00A83775">
      <w:pPr>
        <w:pStyle w:val="SingleTxtGC"/>
        <w:rPr>
          <w:lang w:val="zh-CN"/>
        </w:rPr>
      </w:pPr>
      <w:r>
        <w:rPr>
          <w:bCs/>
          <w:lang w:val="es-ES"/>
        </w:rPr>
        <w:t xml:space="preserve">393.  </w:t>
      </w:r>
      <w:r>
        <w:rPr>
          <w:rFonts w:hint="eastAsia"/>
          <w:bCs/>
          <w:lang w:val="es-ES"/>
        </w:rPr>
        <w:t>哥伦比亚《政治宪法》在前面提到的第</w:t>
      </w:r>
      <w:r>
        <w:rPr>
          <w:rFonts w:hint="eastAsia"/>
          <w:bCs/>
          <w:lang w:val="es-ES"/>
        </w:rPr>
        <w:t>13</w:t>
      </w:r>
      <w:r>
        <w:rPr>
          <w:rFonts w:hint="eastAsia"/>
          <w:bCs/>
          <w:lang w:val="es-ES"/>
        </w:rPr>
        <w:t>、</w:t>
      </w:r>
      <w:r>
        <w:rPr>
          <w:rFonts w:hint="eastAsia"/>
          <w:bCs/>
          <w:lang w:val="es-ES"/>
        </w:rPr>
        <w:t>43</w:t>
      </w:r>
      <w:r>
        <w:rPr>
          <w:rFonts w:hint="eastAsia"/>
          <w:bCs/>
          <w:lang w:val="es-ES"/>
        </w:rPr>
        <w:t>和</w:t>
      </w:r>
      <w:r>
        <w:rPr>
          <w:rFonts w:hint="eastAsia"/>
          <w:bCs/>
          <w:lang w:val="es-ES"/>
        </w:rPr>
        <w:t>53</w:t>
      </w:r>
      <w:r>
        <w:rPr>
          <w:rFonts w:hint="eastAsia"/>
          <w:bCs/>
          <w:lang w:val="es-ES"/>
        </w:rPr>
        <w:t>条中规定了对妇女的特殊保护并加强保护力度。同样在哥伦比亚《劳动法典》中也载有与根除对妇女的劳动歧视</w:t>
      </w:r>
      <w:r>
        <w:rPr>
          <w:rFonts w:hint="eastAsia"/>
          <w:lang w:val="zh-CN"/>
        </w:rPr>
        <w:t>和实现机会平等有关的规定。在这两条对应的附件</w:t>
      </w:r>
      <w:r>
        <w:rPr>
          <w:rFonts w:hint="eastAsia"/>
          <w:lang w:val="zh-CN"/>
        </w:rPr>
        <w:t>2</w:t>
      </w:r>
      <w:r>
        <w:rPr>
          <w:rFonts w:hint="eastAsia"/>
          <w:lang w:val="zh-CN"/>
        </w:rPr>
        <w:t>中，详细介绍了此类措施以及在报告期内出台的其他一些相关法律的情况。</w:t>
      </w:r>
    </w:p>
    <w:p w:rsidR="00A83775" w:rsidRDefault="00A83775">
      <w:pPr>
        <w:pStyle w:val="SingleTxtGC"/>
        <w:rPr>
          <w:lang w:val="zh-CN"/>
        </w:rPr>
      </w:pPr>
      <w:r>
        <w:rPr>
          <w:lang w:val="zh-CN"/>
        </w:rPr>
        <w:t xml:space="preserve">394.  </w:t>
      </w:r>
      <w:r>
        <w:rPr>
          <w:rFonts w:hint="eastAsia"/>
          <w:lang w:val="zh-CN"/>
        </w:rPr>
        <w:t>需要着重指出的是，</w:t>
      </w:r>
      <w:r>
        <w:rPr>
          <w:rFonts w:hint="eastAsia"/>
          <w:lang w:val="zh-CN"/>
        </w:rPr>
        <w:t>2002</w:t>
      </w:r>
      <w:r>
        <w:rPr>
          <w:rFonts w:hint="eastAsia"/>
          <w:lang w:val="zh-CN"/>
        </w:rPr>
        <w:t>年的第</w:t>
      </w:r>
      <w:r>
        <w:rPr>
          <w:rFonts w:hint="eastAsia"/>
          <w:lang w:val="zh-CN"/>
        </w:rPr>
        <w:t>789</w:t>
      </w:r>
      <w:r>
        <w:rPr>
          <w:rFonts w:hint="eastAsia"/>
          <w:lang w:val="zh-CN"/>
        </w:rPr>
        <w:t>号法的颁布就是为了改善雇用条件，减轻当前劳动法律法规对女性的苛刻要求，普及正常作息时间，最大程度地减少节假日的劳动成本，推广灵活劳动时间并修改补偿曲线。同时还在保护结社权和保护基本权利方面取得了一定进展，限制对工人合作社这种模式的不当使用。</w:t>
      </w:r>
      <w:r>
        <w:rPr>
          <w:lang w:val="zh-CN"/>
        </w:rPr>
        <w:t xml:space="preserve"> </w:t>
      </w:r>
    </w:p>
    <w:p w:rsidR="00A83775" w:rsidRDefault="00A83775">
      <w:pPr>
        <w:pStyle w:val="SingleTxtGC"/>
        <w:rPr>
          <w:lang w:val="es-ES"/>
        </w:rPr>
      </w:pPr>
      <w:r>
        <w:rPr>
          <w:lang w:val="zh-CN"/>
        </w:rPr>
        <w:t xml:space="preserve">395.  </w:t>
      </w:r>
      <w:r>
        <w:rPr>
          <w:rFonts w:hint="eastAsia"/>
          <w:lang w:val="zh-CN"/>
        </w:rPr>
        <w:t>通过这种方式，颁布了旨在增进国内基本劳动权利的法律规范，特别是出台了</w:t>
      </w:r>
      <w:r>
        <w:rPr>
          <w:rFonts w:hint="eastAsia"/>
          <w:lang w:val="zh-CN"/>
        </w:rPr>
        <w:t>2008</w:t>
      </w:r>
      <w:r>
        <w:rPr>
          <w:rFonts w:hint="eastAsia"/>
          <w:lang w:val="zh-CN"/>
        </w:rPr>
        <w:t>年的第</w:t>
      </w:r>
      <w:r>
        <w:rPr>
          <w:rFonts w:hint="eastAsia"/>
          <w:lang w:val="zh-CN"/>
        </w:rPr>
        <w:t>1</w:t>
      </w:r>
      <w:r>
        <w:rPr>
          <w:rFonts w:hint="eastAsia"/>
          <w:lang w:val="es-ES"/>
        </w:rPr>
        <w:t>210</w:t>
      </w:r>
      <w:r>
        <w:rPr>
          <w:rFonts w:hint="eastAsia"/>
          <w:lang w:val="es-ES"/>
        </w:rPr>
        <w:t>号法，宣布罢工的合法性并呼吁出现劳务纠纷的各方诉诸仲裁法庭解决。同样，</w:t>
      </w:r>
      <w:r>
        <w:rPr>
          <w:rFonts w:hint="eastAsia"/>
          <w:lang w:val="es-ES"/>
        </w:rPr>
        <w:t>2008</w:t>
      </w:r>
      <w:r>
        <w:rPr>
          <w:rFonts w:hint="eastAsia"/>
          <w:lang w:val="es-ES"/>
        </w:rPr>
        <w:t>年的第</w:t>
      </w:r>
      <w:r>
        <w:rPr>
          <w:rFonts w:hint="eastAsia"/>
          <w:lang w:val="es-ES"/>
        </w:rPr>
        <w:t>1233</w:t>
      </w:r>
      <w:r>
        <w:rPr>
          <w:rFonts w:hint="eastAsia"/>
          <w:lang w:val="es-ES"/>
        </w:rPr>
        <w:t>号法规定对工人合作社的运作进行规范，</w:t>
      </w:r>
      <w:r>
        <w:rPr>
          <w:rFonts w:hint="eastAsia"/>
          <w:lang w:val="es-ES"/>
        </w:rPr>
        <w:t>2009</w:t>
      </w:r>
      <w:r>
        <w:rPr>
          <w:rFonts w:hint="eastAsia"/>
          <w:lang w:val="es-ES"/>
        </w:rPr>
        <w:t>年的第</w:t>
      </w:r>
      <w:r>
        <w:rPr>
          <w:rFonts w:hint="eastAsia"/>
          <w:lang w:val="es-ES"/>
        </w:rPr>
        <w:t>535</w:t>
      </w:r>
      <w:r>
        <w:rPr>
          <w:rFonts w:hint="eastAsia"/>
          <w:lang w:val="es-ES"/>
        </w:rPr>
        <w:t>号法令对公共雇员工会组织与公共部门各机关的关系进行了规范。</w:t>
      </w:r>
    </w:p>
    <w:p w:rsidR="00A83775" w:rsidRDefault="00A83775">
      <w:pPr>
        <w:pStyle w:val="SingleTxtGC"/>
        <w:rPr>
          <w:lang w:val="zh-CN"/>
        </w:rPr>
      </w:pPr>
      <w:r>
        <w:rPr>
          <w:lang w:val="es-ES"/>
        </w:rPr>
        <w:t xml:space="preserve">396.  </w:t>
      </w:r>
      <w:r>
        <w:rPr>
          <w:rFonts w:hint="eastAsia"/>
          <w:lang w:val="es-ES"/>
        </w:rPr>
        <w:t>之前提到的</w:t>
      </w:r>
      <w:r>
        <w:rPr>
          <w:rFonts w:hint="eastAsia"/>
          <w:lang w:val="es-ES"/>
        </w:rPr>
        <w:t>2008</w:t>
      </w:r>
      <w:r>
        <w:rPr>
          <w:rFonts w:hint="eastAsia"/>
          <w:lang w:val="es-ES"/>
        </w:rPr>
        <w:t>年的第</w:t>
      </w:r>
      <w:r>
        <w:rPr>
          <w:rFonts w:hint="eastAsia"/>
          <w:lang w:val="es-ES"/>
        </w:rPr>
        <w:t>1257</w:t>
      </w:r>
      <w:r>
        <w:rPr>
          <w:rFonts w:hint="eastAsia"/>
          <w:lang w:val="es-ES"/>
        </w:rPr>
        <w:t>号法也规定政府各机关应针对劳动领域采取相应的提高认识和预防措施，以打击这一领域基于性别原因的暴力行为。在针对劳动领域的相关措施中（第十二条），规定社会保障部，除具备其他法律赋予的职</w:t>
      </w:r>
      <w:r>
        <w:rPr>
          <w:rFonts w:hint="eastAsia"/>
          <w:lang w:val="zh-CN"/>
        </w:rPr>
        <w:t>能外，具备以下职能：</w:t>
      </w:r>
      <w:r>
        <w:rPr>
          <w:rFonts w:hint="eastAsia"/>
          <w:lang w:val="zh-CN"/>
        </w:rPr>
        <w:t xml:space="preserve">(a) </w:t>
      </w:r>
      <w:r>
        <w:rPr>
          <w:rFonts w:hint="eastAsia"/>
          <w:lang w:val="zh-CN"/>
        </w:rPr>
        <w:t>促进对妇女劳动的社会价值和经济价值的认可，采取相应机制有效落实薪酬平等权利；</w:t>
      </w:r>
      <w:r>
        <w:rPr>
          <w:rFonts w:hint="eastAsia"/>
          <w:lang w:val="zh-CN"/>
        </w:rPr>
        <w:t xml:space="preserve">(b) </w:t>
      </w:r>
      <w:r>
        <w:rPr>
          <w:rFonts w:hint="eastAsia"/>
          <w:lang w:val="zh-CN"/>
        </w:rPr>
        <w:t>开展各类旨在根除劳动领域内一切针对妇女的歧视行为和暴力行为的运动；</w:t>
      </w:r>
      <w:r>
        <w:rPr>
          <w:rFonts w:hint="eastAsia"/>
          <w:lang w:val="zh-CN"/>
        </w:rPr>
        <w:t xml:space="preserve">(c) </w:t>
      </w:r>
      <w:r>
        <w:rPr>
          <w:rFonts w:hint="eastAsia"/>
          <w:lang w:val="zh-CN"/>
        </w:rPr>
        <w:t>促进妇女进入传统意义上的非女性化行业。</w:t>
      </w:r>
    </w:p>
    <w:p w:rsidR="00A83775" w:rsidRDefault="00A83775">
      <w:pPr>
        <w:pStyle w:val="SingleTxtGC"/>
        <w:rPr>
          <w:lang w:val="zh-CN"/>
        </w:rPr>
      </w:pPr>
      <w:r>
        <w:rPr>
          <w:lang w:val="zh-CN"/>
        </w:rPr>
        <w:t xml:space="preserve">397.  </w:t>
      </w:r>
      <w:r>
        <w:rPr>
          <w:rFonts w:hint="eastAsia"/>
          <w:lang w:val="zh-CN"/>
        </w:rPr>
        <w:t>同样还规定职业风险管理人、用人单位和</w:t>
      </w:r>
      <w:r>
        <w:rPr>
          <w:rFonts w:hint="eastAsia"/>
          <w:lang w:val="zh-CN"/>
        </w:rPr>
        <w:t>/</w:t>
      </w:r>
      <w:r>
        <w:rPr>
          <w:rFonts w:hint="eastAsia"/>
          <w:lang w:val="zh-CN"/>
        </w:rPr>
        <w:t>或雇主应根据各自的情况采用合适的有效措施来落实妇女的同工同酬权利。</w:t>
      </w:r>
    </w:p>
    <w:p w:rsidR="00A83775" w:rsidRDefault="00A83775">
      <w:pPr>
        <w:pStyle w:val="SingleTxtGC"/>
        <w:rPr>
          <w:lang w:val="es-MX"/>
        </w:rPr>
      </w:pPr>
      <w:r>
        <w:rPr>
          <w:lang w:val="zh-CN"/>
        </w:rPr>
        <w:t xml:space="preserve">398.  </w:t>
      </w:r>
      <w:r>
        <w:rPr>
          <w:rFonts w:hint="eastAsia"/>
          <w:lang w:val="zh-CN"/>
        </w:rPr>
        <w:t>在该法律第</w:t>
      </w:r>
      <w:r>
        <w:rPr>
          <w:rFonts w:hint="eastAsia"/>
          <w:lang w:val="zh-CN"/>
        </w:rPr>
        <w:t>29</w:t>
      </w:r>
      <w:r>
        <w:rPr>
          <w:rFonts w:hint="eastAsia"/>
          <w:lang w:val="zh-CN"/>
        </w:rPr>
        <w:t>条将性骚扰认定为一项刑事罪，规定这一犯罪的一种典型特征就是出于自</w:t>
      </w:r>
      <w:r>
        <w:rPr>
          <w:rFonts w:hint="eastAsia"/>
          <w:lang w:val="es-MX"/>
        </w:rPr>
        <w:t>身利益滥用职权，为自己或第三人实施身体或口头的骚扰、迫害、烦扰或纠缠，以达到在对方不同意的情况下对其进行性侵犯的目的。</w:t>
      </w:r>
      <w:r>
        <w:rPr>
          <w:vertAlign w:val="superscript"/>
          <w:lang w:val="es-MX"/>
        </w:rPr>
        <w:footnoteReference w:id="171"/>
      </w:r>
      <w:r>
        <w:rPr>
          <w:vertAlign w:val="superscript"/>
          <w:lang w:val="es-MX"/>
        </w:rPr>
        <w:t>.</w:t>
      </w:r>
    </w:p>
    <w:p w:rsidR="00A83775" w:rsidRDefault="00A83775">
      <w:pPr>
        <w:pStyle w:val="H23GC"/>
        <w:rPr>
          <w:lang w:val="es-ES_tradnl"/>
        </w:rPr>
      </w:pPr>
      <w:r>
        <w:rPr>
          <w:lang w:val="es-ES_tradnl"/>
        </w:rPr>
        <w:tab/>
        <w:t>3.</w:t>
      </w:r>
      <w:r>
        <w:rPr>
          <w:lang w:val="es-ES_tradnl"/>
        </w:rPr>
        <w:tab/>
      </w:r>
      <w:r>
        <w:rPr>
          <w:rFonts w:hint="eastAsia"/>
          <w:lang w:val="es-ES_tradnl"/>
        </w:rPr>
        <w:t>司法措施</w:t>
      </w:r>
    </w:p>
    <w:p w:rsidR="00A83775" w:rsidRDefault="00A83775">
      <w:pPr>
        <w:pStyle w:val="SingleTxtGC"/>
        <w:rPr>
          <w:lang w:val="es-ES"/>
        </w:rPr>
      </w:pPr>
      <w:r>
        <w:rPr>
          <w:lang w:val="es-ES"/>
        </w:rPr>
        <w:t xml:space="preserve">399.  </w:t>
      </w:r>
      <w:r>
        <w:rPr>
          <w:rFonts w:hint="eastAsia"/>
          <w:lang w:val="es-ES"/>
        </w:rPr>
        <w:t>在第十一条和第十三条对应的附件</w:t>
      </w:r>
      <w:r>
        <w:rPr>
          <w:rFonts w:hint="eastAsia"/>
          <w:lang w:val="es-ES"/>
        </w:rPr>
        <w:t>3</w:t>
      </w:r>
      <w:r>
        <w:rPr>
          <w:rFonts w:hint="eastAsia"/>
          <w:lang w:val="es-ES"/>
        </w:rPr>
        <w:t>中，列出了宪法法院在这方面的对女性</w:t>
      </w:r>
      <w:r>
        <w:rPr>
          <w:rFonts w:hint="eastAsia"/>
          <w:lang w:val="zh-CN"/>
        </w:rPr>
        <w:t>有利</w:t>
      </w:r>
      <w:r>
        <w:rPr>
          <w:rFonts w:hint="eastAsia"/>
          <w:lang w:val="es-ES"/>
        </w:rPr>
        <w:t>的主要判例，案情与就业权以及其他经济和社会领域的权利的条文有关。</w:t>
      </w:r>
    </w:p>
    <w:p w:rsidR="00A83775" w:rsidRDefault="00A83775">
      <w:pPr>
        <w:pStyle w:val="H23GC"/>
        <w:rPr>
          <w:lang w:val="es-ES_tradnl"/>
        </w:rPr>
      </w:pPr>
      <w:r>
        <w:rPr>
          <w:lang w:val="es-ES_tradnl"/>
        </w:rPr>
        <w:tab/>
        <w:t>4.</w:t>
      </w:r>
      <w:r>
        <w:rPr>
          <w:lang w:val="es-ES_tradnl"/>
        </w:rPr>
        <w:tab/>
      </w:r>
      <w:r>
        <w:rPr>
          <w:rFonts w:hint="eastAsia"/>
          <w:lang w:val="es-ES_tradnl"/>
        </w:rPr>
        <w:t>现状</w:t>
      </w:r>
      <w:r>
        <w:rPr>
          <w:rFonts w:hint="eastAsia"/>
          <w:lang w:val="es-ES_tradnl"/>
        </w:rPr>
        <w:t>/</w:t>
      </w:r>
      <w:r>
        <w:rPr>
          <w:rFonts w:hint="eastAsia"/>
          <w:lang w:val="es-ES_tradnl"/>
        </w:rPr>
        <w:t>统计信息</w:t>
      </w:r>
    </w:p>
    <w:p w:rsidR="00A83775" w:rsidRDefault="00A83775">
      <w:pPr>
        <w:pStyle w:val="SingleTxtGC"/>
        <w:rPr>
          <w:lang w:val="es-ES"/>
        </w:rPr>
      </w:pPr>
      <w:r>
        <w:rPr>
          <w:lang w:val="es-ES"/>
        </w:rPr>
        <w:t xml:space="preserve">400.  </w:t>
      </w:r>
      <w:r>
        <w:rPr>
          <w:rFonts w:hint="eastAsia"/>
          <w:lang w:val="es-ES"/>
        </w:rPr>
        <w:t>本章对应的附件</w:t>
      </w:r>
      <w:r>
        <w:rPr>
          <w:rFonts w:hint="eastAsia"/>
          <w:lang w:val="es-ES"/>
        </w:rPr>
        <w:t>4</w:t>
      </w:r>
      <w:r>
        <w:rPr>
          <w:rFonts w:hint="eastAsia"/>
          <w:lang w:val="es-ES"/>
        </w:rPr>
        <w:t>中包含了更为详细的统计信息，有助于了解当前形势，反映了对《公约》第十一条和第十三条所含权利的保障。接下来将以概括方式介绍这方面的主要情况：</w:t>
      </w:r>
    </w:p>
    <w:p w:rsidR="00A83775" w:rsidRDefault="00A83775">
      <w:pPr>
        <w:pStyle w:val="SingleTxtGC"/>
        <w:rPr>
          <w:lang w:val="zh-CN"/>
        </w:rPr>
      </w:pPr>
      <w:r>
        <w:rPr>
          <w:lang w:val="es-ES"/>
        </w:rPr>
        <w:t xml:space="preserve">401.  </w:t>
      </w:r>
      <w:r>
        <w:rPr>
          <w:rFonts w:eastAsia="SimHei" w:hint="eastAsia"/>
          <w:lang w:val="es-ES"/>
        </w:rPr>
        <w:t>劳动力市场</w:t>
      </w:r>
      <w:r>
        <w:rPr>
          <w:rFonts w:hint="eastAsia"/>
          <w:lang w:val="es-ES"/>
        </w:rPr>
        <w:t>。在劳动参与方面，也就是说，男性和女性的劳动总体参与</w:t>
      </w:r>
      <w:r>
        <w:rPr>
          <w:rFonts w:hint="eastAsia"/>
          <w:lang w:val="es-ES"/>
        </w:rPr>
        <w:t xml:space="preserve">  </w:t>
      </w:r>
      <w:r>
        <w:rPr>
          <w:rFonts w:hint="eastAsia"/>
          <w:lang w:val="es-ES"/>
        </w:rPr>
        <w:t>率</w:t>
      </w:r>
      <w:r>
        <w:rPr>
          <w:vertAlign w:val="superscript"/>
          <w:lang w:val="es-ES"/>
        </w:rPr>
        <w:footnoteReference w:id="172"/>
      </w:r>
      <w:r>
        <w:rPr>
          <w:lang w:val="es-ES"/>
        </w:rPr>
        <w:t xml:space="preserve"> </w:t>
      </w:r>
      <w:r>
        <w:rPr>
          <w:rFonts w:hint="eastAsia"/>
          <w:lang w:val="es-ES"/>
        </w:rPr>
        <w:t>均呈现出上升趋势，</w:t>
      </w:r>
      <w:r>
        <w:rPr>
          <w:rFonts w:hint="eastAsia"/>
          <w:lang w:val="es-ES"/>
        </w:rPr>
        <w:t>2006-2010</w:t>
      </w:r>
      <w:r>
        <w:rPr>
          <w:rFonts w:hint="eastAsia"/>
          <w:lang w:val="es-ES"/>
        </w:rPr>
        <w:t>年期间从</w:t>
      </w:r>
      <w:r>
        <w:rPr>
          <w:rFonts w:hint="eastAsia"/>
          <w:lang w:val="es-ES"/>
        </w:rPr>
        <w:t>59.1%</w:t>
      </w:r>
      <w:r>
        <w:rPr>
          <w:rFonts w:hint="eastAsia"/>
          <w:lang w:val="es-ES"/>
        </w:rPr>
        <w:t>提高到</w:t>
      </w:r>
      <w:r>
        <w:rPr>
          <w:rFonts w:hint="eastAsia"/>
          <w:lang w:val="es-ES"/>
        </w:rPr>
        <w:t>62.7%</w:t>
      </w:r>
      <w:r>
        <w:rPr>
          <w:rFonts w:hint="eastAsia"/>
          <w:lang w:val="es-ES"/>
        </w:rPr>
        <w:t>。按性别来看，</w:t>
      </w:r>
      <w:r>
        <w:rPr>
          <w:rFonts w:hint="eastAsia"/>
          <w:lang w:val="zh-CN"/>
        </w:rPr>
        <w:t>男性的劳动总体参与率从</w:t>
      </w:r>
      <w:r>
        <w:rPr>
          <w:rFonts w:hint="eastAsia"/>
          <w:lang w:val="zh-CN"/>
        </w:rPr>
        <w:t>2006</w:t>
      </w:r>
      <w:r>
        <w:rPr>
          <w:rFonts w:hint="eastAsia"/>
          <w:lang w:val="zh-CN"/>
        </w:rPr>
        <w:t>年的</w:t>
      </w:r>
      <w:r>
        <w:rPr>
          <w:rFonts w:hint="eastAsia"/>
          <w:lang w:val="zh-CN"/>
        </w:rPr>
        <w:t>72%</w:t>
      </w:r>
      <w:r>
        <w:rPr>
          <w:rFonts w:hint="eastAsia"/>
          <w:lang w:val="zh-CN"/>
        </w:rPr>
        <w:t>变为</w:t>
      </w:r>
      <w:r>
        <w:rPr>
          <w:rFonts w:hint="eastAsia"/>
          <w:lang w:val="zh-CN"/>
        </w:rPr>
        <w:t>2010</w:t>
      </w:r>
      <w:r>
        <w:rPr>
          <w:rFonts w:hint="eastAsia"/>
          <w:lang w:val="zh-CN"/>
        </w:rPr>
        <w:t>年的</w:t>
      </w:r>
      <w:r>
        <w:rPr>
          <w:rFonts w:hint="eastAsia"/>
          <w:lang w:val="zh-CN"/>
        </w:rPr>
        <w:t>74.2%</w:t>
      </w:r>
      <w:r>
        <w:rPr>
          <w:rFonts w:hint="eastAsia"/>
          <w:lang w:val="zh-CN"/>
        </w:rPr>
        <w:t>，提高了</w:t>
      </w:r>
      <w:r>
        <w:rPr>
          <w:rFonts w:hint="eastAsia"/>
          <w:lang w:val="zh-CN"/>
        </w:rPr>
        <w:t>2.2</w:t>
      </w:r>
      <w:r>
        <w:rPr>
          <w:rFonts w:hint="eastAsia"/>
          <w:lang w:val="zh-CN"/>
        </w:rPr>
        <w:t>个百分点，女性的劳动总体参与率从</w:t>
      </w:r>
      <w:r>
        <w:rPr>
          <w:rFonts w:hint="eastAsia"/>
          <w:lang w:val="zh-CN"/>
        </w:rPr>
        <w:t>2006</w:t>
      </w:r>
      <w:r>
        <w:rPr>
          <w:rFonts w:hint="eastAsia"/>
          <w:lang w:val="zh-CN"/>
        </w:rPr>
        <w:t>年的</w:t>
      </w:r>
      <w:r>
        <w:rPr>
          <w:rFonts w:hint="eastAsia"/>
          <w:lang w:val="zh-CN"/>
        </w:rPr>
        <w:t>50.5%</w:t>
      </w:r>
      <w:r>
        <w:rPr>
          <w:rFonts w:hint="eastAsia"/>
          <w:lang w:val="zh-CN"/>
        </w:rPr>
        <w:t>变为</w:t>
      </w:r>
      <w:r>
        <w:rPr>
          <w:rFonts w:hint="eastAsia"/>
          <w:lang w:val="zh-CN"/>
        </w:rPr>
        <w:t>2010</w:t>
      </w:r>
      <w:r>
        <w:rPr>
          <w:rFonts w:hint="eastAsia"/>
          <w:lang w:val="zh-CN"/>
        </w:rPr>
        <w:t>年的</w:t>
      </w:r>
      <w:r>
        <w:rPr>
          <w:rFonts w:hint="eastAsia"/>
          <w:lang w:val="zh-CN"/>
        </w:rPr>
        <w:t>56.1%</w:t>
      </w:r>
      <w:r>
        <w:rPr>
          <w:rFonts w:hint="eastAsia"/>
          <w:lang w:val="zh-CN"/>
        </w:rPr>
        <w:t>，提高了</w:t>
      </w:r>
      <w:r>
        <w:rPr>
          <w:rFonts w:hint="eastAsia"/>
          <w:lang w:val="zh-CN"/>
        </w:rPr>
        <w:t>4.9</w:t>
      </w:r>
      <w:r>
        <w:rPr>
          <w:rFonts w:hint="eastAsia"/>
          <w:lang w:val="zh-CN"/>
        </w:rPr>
        <w:t>个百分点。</w:t>
      </w:r>
      <w:r>
        <w:rPr>
          <w:lang w:val="zh-CN"/>
        </w:rPr>
        <w:t xml:space="preserve"> </w:t>
      </w:r>
    </w:p>
    <w:p w:rsidR="00A83775" w:rsidRDefault="00A83775">
      <w:pPr>
        <w:pStyle w:val="SingleTxtGC"/>
        <w:rPr>
          <w:lang w:val="zh-CN"/>
        </w:rPr>
      </w:pPr>
      <w:r>
        <w:rPr>
          <w:lang w:val="zh-CN"/>
        </w:rPr>
        <w:t xml:space="preserve">402.  </w:t>
      </w:r>
      <w:r>
        <w:rPr>
          <w:rFonts w:hint="eastAsia"/>
          <w:lang w:val="zh-CN"/>
        </w:rPr>
        <w:t>在城乡地区的情况方面，城市地区</w:t>
      </w:r>
      <w:r>
        <w:rPr>
          <w:rFonts w:hint="eastAsia"/>
          <w:lang w:val="zh-CN"/>
        </w:rPr>
        <w:t>2006-2010</w:t>
      </w:r>
      <w:r>
        <w:rPr>
          <w:rFonts w:hint="eastAsia"/>
          <w:lang w:val="zh-CN"/>
        </w:rPr>
        <w:t>年期间劳动总体参与率提高了</w:t>
      </w:r>
      <w:r>
        <w:rPr>
          <w:rFonts w:hint="eastAsia"/>
          <w:lang w:val="zh-CN"/>
        </w:rPr>
        <w:t>4.5</w:t>
      </w:r>
      <w:r>
        <w:rPr>
          <w:rFonts w:hint="eastAsia"/>
          <w:lang w:val="zh-CN"/>
        </w:rPr>
        <w:t>个百分点，从</w:t>
      </w:r>
      <w:r>
        <w:rPr>
          <w:rFonts w:hint="eastAsia"/>
          <w:lang w:val="zh-CN"/>
        </w:rPr>
        <w:t>60.1%</w:t>
      </w:r>
      <w:r>
        <w:rPr>
          <w:rFonts w:hint="eastAsia"/>
          <w:lang w:val="zh-CN"/>
        </w:rPr>
        <w:t>提高到</w:t>
      </w:r>
      <w:r>
        <w:rPr>
          <w:rFonts w:hint="eastAsia"/>
          <w:lang w:val="zh-CN"/>
        </w:rPr>
        <w:t>64.5%</w:t>
      </w:r>
      <w:r>
        <w:rPr>
          <w:rFonts w:hint="eastAsia"/>
          <w:lang w:val="zh-CN"/>
        </w:rPr>
        <w:t>。从按性别分列的信息来看，女性的劳动总体参与率从</w:t>
      </w:r>
      <w:r>
        <w:rPr>
          <w:rFonts w:hint="eastAsia"/>
          <w:lang w:val="zh-CN"/>
        </w:rPr>
        <w:t>50.5%</w:t>
      </w:r>
      <w:r>
        <w:rPr>
          <w:rFonts w:hint="eastAsia"/>
          <w:lang w:val="zh-CN"/>
        </w:rPr>
        <w:t>变为</w:t>
      </w:r>
      <w:r>
        <w:rPr>
          <w:rFonts w:hint="eastAsia"/>
          <w:lang w:val="zh-CN"/>
        </w:rPr>
        <w:t>56.1%</w:t>
      </w:r>
      <w:r>
        <w:rPr>
          <w:rFonts w:hint="eastAsia"/>
          <w:lang w:val="zh-CN"/>
        </w:rPr>
        <w:t>，提高了</w:t>
      </w:r>
      <w:r>
        <w:rPr>
          <w:rFonts w:hint="eastAsia"/>
          <w:lang w:val="zh-CN"/>
        </w:rPr>
        <w:t>5.6</w:t>
      </w:r>
      <w:r>
        <w:rPr>
          <w:rFonts w:hint="eastAsia"/>
          <w:lang w:val="zh-CN"/>
        </w:rPr>
        <w:t>个百分点，男性的劳动总体参与率从</w:t>
      </w:r>
      <w:r>
        <w:rPr>
          <w:rFonts w:hint="eastAsia"/>
          <w:lang w:val="zh-CN"/>
        </w:rPr>
        <w:t>70.6%</w:t>
      </w:r>
      <w:r>
        <w:rPr>
          <w:rFonts w:hint="eastAsia"/>
          <w:lang w:val="zh-CN"/>
        </w:rPr>
        <w:t>变为</w:t>
      </w:r>
      <w:r>
        <w:rPr>
          <w:rFonts w:hint="eastAsia"/>
          <w:lang w:val="zh-CN"/>
        </w:rPr>
        <w:t>73.8%</w:t>
      </w:r>
      <w:r>
        <w:rPr>
          <w:rFonts w:hint="eastAsia"/>
          <w:lang w:val="zh-CN"/>
        </w:rPr>
        <w:t>，提高了</w:t>
      </w:r>
      <w:r>
        <w:rPr>
          <w:rFonts w:hint="eastAsia"/>
          <w:lang w:val="zh-CN"/>
        </w:rPr>
        <w:t>3.2</w:t>
      </w:r>
      <w:r>
        <w:rPr>
          <w:rFonts w:hint="eastAsia"/>
          <w:lang w:val="zh-CN"/>
        </w:rPr>
        <w:t>个百分点。</w:t>
      </w:r>
    </w:p>
    <w:p w:rsidR="00A83775" w:rsidRDefault="00A83775">
      <w:pPr>
        <w:pStyle w:val="SingleTxtGC"/>
        <w:rPr>
          <w:lang w:val="es-ES"/>
        </w:rPr>
      </w:pPr>
      <w:r>
        <w:rPr>
          <w:lang w:val="zh-CN"/>
        </w:rPr>
        <w:t xml:space="preserve">403.  </w:t>
      </w:r>
      <w:r>
        <w:rPr>
          <w:rFonts w:hint="eastAsia"/>
          <w:lang w:val="zh-CN"/>
        </w:rPr>
        <w:t>在农村</w:t>
      </w:r>
      <w:r>
        <w:rPr>
          <w:rFonts w:hint="eastAsia"/>
          <w:lang w:val="es-ES"/>
        </w:rPr>
        <w:t>地区，</w:t>
      </w:r>
      <w:r>
        <w:rPr>
          <w:rFonts w:hint="eastAsia"/>
          <w:lang w:val="es-ES"/>
        </w:rPr>
        <w:t>2006-2010</w:t>
      </w:r>
      <w:r>
        <w:rPr>
          <w:rFonts w:hint="eastAsia"/>
          <w:lang w:val="es-ES"/>
        </w:rPr>
        <w:t>年期间劳动总体参与率提高了</w:t>
      </w:r>
      <w:r>
        <w:rPr>
          <w:rFonts w:hint="eastAsia"/>
          <w:lang w:val="es-ES"/>
        </w:rPr>
        <w:t>3.4</w:t>
      </w:r>
      <w:r>
        <w:rPr>
          <w:rFonts w:hint="eastAsia"/>
          <w:lang w:val="es-ES"/>
        </w:rPr>
        <w:t>个百分点，从</w:t>
      </w:r>
      <w:r>
        <w:rPr>
          <w:rFonts w:hint="eastAsia"/>
          <w:lang w:val="es-ES"/>
        </w:rPr>
        <w:t>2006</w:t>
      </w:r>
      <w:r>
        <w:rPr>
          <w:rFonts w:hint="eastAsia"/>
          <w:lang w:val="es-ES"/>
        </w:rPr>
        <w:t>年的</w:t>
      </w:r>
      <w:r>
        <w:rPr>
          <w:rFonts w:hint="eastAsia"/>
          <w:lang w:val="es-ES"/>
        </w:rPr>
        <w:t>56.4%</w:t>
      </w:r>
      <w:r>
        <w:rPr>
          <w:rFonts w:hint="eastAsia"/>
          <w:lang w:val="es-ES"/>
        </w:rPr>
        <w:t>提高到</w:t>
      </w:r>
      <w:r>
        <w:rPr>
          <w:rFonts w:hint="eastAsia"/>
          <w:lang w:val="es-ES"/>
        </w:rPr>
        <w:t>2010</w:t>
      </w:r>
      <w:r>
        <w:rPr>
          <w:rFonts w:hint="eastAsia"/>
          <w:lang w:val="es-ES"/>
        </w:rPr>
        <w:t>年的</w:t>
      </w:r>
      <w:r>
        <w:rPr>
          <w:rFonts w:hint="eastAsia"/>
          <w:lang w:val="es-ES"/>
        </w:rPr>
        <w:t>58%</w:t>
      </w:r>
      <w:r>
        <w:rPr>
          <w:rFonts w:hint="eastAsia"/>
          <w:lang w:val="es-ES"/>
        </w:rPr>
        <w:t>。从按性别分列的信息来看，女性的劳动总体参与率从</w:t>
      </w:r>
      <w:r>
        <w:rPr>
          <w:rFonts w:hint="eastAsia"/>
          <w:lang w:val="es-ES"/>
        </w:rPr>
        <w:t>32.4%</w:t>
      </w:r>
      <w:r>
        <w:rPr>
          <w:rFonts w:hint="eastAsia"/>
          <w:lang w:val="es-ES"/>
        </w:rPr>
        <w:t>变为</w:t>
      </w:r>
      <w:r>
        <w:rPr>
          <w:rFonts w:hint="eastAsia"/>
          <w:lang w:val="es-ES"/>
        </w:rPr>
        <w:t>37.5%</w:t>
      </w:r>
      <w:r>
        <w:rPr>
          <w:rFonts w:hint="eastAsia"/>
          <w:lang w:val="es-ES"/>
        </w:rPr>
        <w:t>，提高了</w:t>
      </w:r>
      <w:r>
        <w:rPr>
          <w:rFonts w:hint="eastAsia"/>
          <w:lang w:val="es-ES"/>
        </w:rPr>
        <w:t>5.1</w:t>
      </w:r>
      <w:r>
        <w:rPr>
          <w:rFonts w:hint="eastAsia"/>
          <w:lang w:val="es-ES"/>
        </w:rPr>
        <w:t>个百分点，男性的劳动总体参与率从</w:t>
      </w:r>
      <w:r>
        <w:rPr>
          <w:rFonts w:hint="eastAsia"/>
          <w:lang w:val="es-ES"/>
        </w:rPr>
        <w:t>74%</w:t>
      </w:r>
      <w:r>
        <w:rPr>
          <w:rFonts w:hint="eastAsia"/>
          <w:lang w:val="es-ES"/>
        </w:rPr>
        <w:t>变为</w:t>
      </w:r>
      <w:r>
        <w:rPr>
          <w:rFonts w:hint="eastAsia"/>
          <w:lang w:val="es-ES"/>
        </w:rPr>
        <w:t>76%</w:t>
      </w:r>
      <w:r>
        <w:rPr>
          <w:rFonts w:hint="eastAsia"/>
          <w:lang w:val="es-ES"/>
        </w:rPr>
        <w:t>，提高了</w:t>
      </w:r>
      <w:r>
        <w:rPr>
          <w:rFonts w:hint="eastAsia"/>
          <w:lang w:val="es-ES"/>
        </w:rPr>
        <w:t>2</w:t>
      </w:r>
      <w:r>
        <w:rPr>
          <w:rFonts w:hint="eastAsia"/>
          <w:lang w:val="es-ES"/>
        </w:rPr>
        <w:t>个百分点。</w:t>
      </w:r>
    </w:p>
    <w:p w:rsidR="00A83775" w:rsidRDefault="00A83775">
      <w:pPr>
        <w:pStyle w:val="SingleTxtGC"/>
        <w:rPr>
          <w:lang w:val="zh-CN"/>
        </w:rPr>
      </w:pPr>
      <w:r>
        <w:rPr>
          <w:lang w:val="es-ES"/>
        </w:rPr>
        <w:t xml:space="preserve">404.  </w:t>
      </w:r>
      <w:r>
        <w:rPr>
          <w:rFonts w:hint="eastAsia"/>
          <w:lang w:val="es-ES"/>
        </w:rPr>
        <w:t>尽管</w:t>
      </w:r>
      <w:r>
        <w:rPr>
          <w:rFonts w:hint="eastAsia"/>
          <w:lang w:val="es-ES"/>
        </w:rPr>
        <w:t>2006-2010</w:t>
      </w:r>
      <w:r>
        <w:rPr>
          <w:rFonts w:hint="eastAsia"/>
          <w:lang w:val="es-ES"/>
        </w:rPr>
        <w:t>年期间女性的劳动参与率提高了</w:t>
      </w:r>
      <w:r>
        <w:rPr>
          <w:rFonts w:hint="eastAsia"/>
          <w:lang w:val="es-ES"/>
        </w:rPr>
        <w:t>5</w:t>
      </w:r>
      <w:r>
        <w:rPr>
          <w:rFonts w:hint="eastAsia"/>
          <w:lang w:val="es-ES"/>
        </w:rPr>
        <w:t>个百分点，但是男性的劳动参与率仍远高于女性。</w:t>
      </w:r>
      <w:r>
        <w:rPr>
          <w:rFonts w:hint="eastAsia"/>
          <w:lang w:val="es-ES"/>
        </w:rPr>
        <w:t>2006-2010</w:t>
      </w:r>
      <w:r>
        <w:rPr>
          <w:rFonts w:hint="eastAsia"/>
          <w:lang w:val="es-ES"/>
        </w:rPr>
        <w:t>年期间，男女的劳动参与率之间存在较大差距</w:t>
      </w:r>
      <w:r>
        <w:rPr>
          <w:rFonts w:hint="eastAsia"/>
          <w:spacing w:val="-40"/>
          <w:lang w:val="es-ES"/>
        </w:rPr>
        <w:t>――</w:t>
      </w:r>
      <w:r>
        <w:rPr>
          <w:rFonts w:hint="eastAsia"/>
          <w:spacing w:val="-40"/>
          <w:lang w:val="es-ES"/>
        </w:rPr>
        <w:t xml:space="preserve"> </w:t>
      </w:r>
      <w:r>
        <w:rPr>
          <w:rFonts w:hint="eastAsia"/>
          <w:lang w:val="es-ES"/>
        </w:rPr>
        <w:t>平均相差</w:t>
      </w:r>
      <w:r>
        <w:rPr>
          <w:rFonts w:hint="eastAsia"/>
          <w:lang w:val="es-ES"/>
        </w:rPr>
        <w:t>24</w:t>
      </w:r>
      <w:r>
        <w:rPr>
          <w:rFonts w:hint="eastAsia"/>
          <w:lang w:val="es-ES"/>
        </w:rPr>
        <w:t>个百分点，这表明在对女性参与有偿劳务市场方面仍存在准</w:t>
      </w:r>
      <w:r>
        <w:rPr>
          <w:rFonts w:hint="eastAsia"/>
          <w:lang w:val="zh-CN"/>
        </w:rPr>
        <w:t>入门槛。妇女所承担的料理家事和照顾家庭成员的“社会繁衍”重担被视为造成这种不平等现象的一个决定性因素。</w:t>
      </w:r>
    </w:p>
    <w:p w:rsidR="00A83775" w:rsidRDefault="00A83775">
      <w:pPr>
        <w:pStyle w:val="SingleTxtGC"/>
        <w:rPr>
          <w:lang w:val="zh-CN"/>
        </w:rPr>
      </w:pPr>
      <w:r>
        <w:rPr>
          <w:lang w:val="zh-CN"/>
        </w:rPr>
        <w:t xml:space="preserve">405.  </w:t>
      </w:r>
      <w:r>
        <w:rPr>
          <w:rFonts w:hint="eastAsia"/>
          <w:lang w:val="zh-CN"/>
        </w:rPr>
        <w:t>在这一方面，需要强调的是，由于经济社会水平的原因，即使女性人口本身的情况也存在差异。也就是说，底层妇女的劳动参与率十分有限，这是因为文化模式的强烈影响使女性被束缚在家庭中；由于其大部分时间都被家务所占用，因而没有足够的时间和精力在外工作；而由于文化程度有限，她们很难找到工作机会。</w:t>
      </w:r>
    </w:p>
    <w:p w:rsidR="00A83775" w:rsidRDefault="00A83775">
      <w:pPr>
        <w:pStyle w:val="SingleTxtGC"/>
        <w:rPr>
          <w:rFonts w:hint="eastAsia"/>
          <w:lang w:val="zh-CN"/>
        </w:rPr>
      </w:pPr>
      <w:r>
        <w:rPr>
          <w:lang w:val="zh-CN"/>
        </w:rPr>
        <w:t xml:space="preserve">406.  </w:t>
      </w:r>
      <w:r>
        <w:rPr>
          <w:rFonts w:hint="eastAsia"/>
          <w:lang w:val="zh-CN"/>
        </w:rPr>
        <w:t>在哥伦比亚，</w:t>
      </w:r>
      <w:r>
        <w:rPr>
          <w:rFonts w:hint="eastAsia"/>
          <w:lang w:val="zh-CN"/>
        </w:rPr>
        <w:t>2002-2010</w:t>
      </w:r>
      <w:r>
        <w:rPr>
          <w:rFonts w:hint="eastAsia"/>
          <w:lang w:val="zh-CN"/>
        </w:rPr>
        <w:t>年期间，就业率</w:t>
      </w:r>
      <w:r>
        <w:rPr>
          <w:vertAlign w:val="superscript"/>
          <w:lang w:val="zh-CN"/>
        </w:rPr>
        <w:footnoteReference w:id="173"/>
      </w:r>
      <w:r>
        <w:t xml:space="preserve"> </w:t>
      </w:r>
      <w:r>
        <w:rPr>
          <w:rFonts w:hint="eastAsia"/>
          <w:lang w:val="zh-CN"/>
        </w:rPr>
        <w:t>从</w:t>
      </w:r>
      <w:r>
        <w:rPr>
          <w:rFonts w:hint="eastAsia"/>
          <w:lang w:val="zh-CN"/>
        </w:rPr>
        <w:t>52.7%</w:t>
      </w:r>
      <w:r>
        <w:rPr>
          <w:rFonts w:hint="eastAsia"/>
          <w:lang w:val="zh-CN"/>
        </w:rPr>
        <w:t>提高到</w:t>
      </w:r>
      <w:r>
        <w:rPr>
          <w:rFonts w:hint="eastAsia"/>
          <w:lang w:val="zh-CN"/>
        </w:rPr>
        <w:t>54.8%</w:t>
      </w:r>
      <w:r>
        <w:rPr>
          <w:rFonts w:hint="eastAsia"/>
          <w:lang w:val="zh-CN"/>
        </w:rPr>
        <w:t>。而女性的就业率提高了</w:t>
      </w:r>
      <w:r>
        <w:rPr>
          <w:rFonts w:hint="eastAsia"/>
          <w:lang w:val="zh-CN"/>
        </w:rPr>
        <w:t>4.4</w:t>
      </w:r>
      <w:r>
        <w:rPr>
          <w:rFonts w:hint="eastAsia"/>
          <w:lang w:val="zh-CN"/>
        </w:rPr>
        <w:t>个百分点，从</w:t>
      </w:r>
      <w:r>
        <w:rPr>
          <w:rFonts w:hint="eastAsia"/>
          <w:lang w:val="zh-CN"/>
        </w:rPr>
        <w:t>2006</w:t>
      </w:r>
      <w:r>
        <w:rPr>
          <w:rFonts w:hint="eastAsia"/>
          <w:lang w:val="zh-CN"/>
        </w:rPr>
        <w:t>年的</w:t>
      </w:r>
      <w:r>
        <w:rPr>
          <w:rFonts w:hint="eastAsia"/>
          <w:lang w:val="zh-CN"/>
        </w:rPr>
        <w:t>39.3%</w:t>
      </w:r>
      <w:r>
        <w:rPr>
          <w:rFonts w:hint="eastAsia"/>
          <w:lang w:val="zh-CN"/>
        </w:rPr>
        <w:t>提高到</w:t>
      </w:r>
      <w:r>
        <w:rPr>
          <w:rFonts w:hint="eastAsia"/>
          <w:lang w:val="zh-CN"/>
        </w:rPr>
        <w:t>2010</w:t>
      </w:r>
      <w:r>
        <w:rPr>
          <w:rFonts w:hint="eastAsia"/>
          <w:lang w:val="zh-CN"/>
        </w:rPr>
        <w:t>年的</w:t>
      </w:r>
      <w:r>
        <w:rPr>
          <w:rFonts w:hint="eastAsia"/>
          <w:lang w:val="zh-CN"/>
        </w:rPr>
        <w:t>43.7%</w:t>
      </w:r>
      <w:r>
        <w:rPr>
          <w:rFonts w:hint="eastAsia"/>
          <w:lang w:val="zh-CN"/>
        </w:rPr>
        <w:t>，而男性的就业率从</w:t>
      </w:r>
      <w:r>
        <w:rPr>
          <w:rFonts w:hint="eastAsia"/>
          <w:lang w:val="zh-CN"/>
        </w:rPr>
        <w:t>2006</w:t>
      </w:r>
      <w:r>
        <w:rPr>
          <w:rFonts w:hint="eastAsia"/>
          <w:lang w:val="zh-CN"/>
        </w:rPr>
        <w:t>年的</w:t>
      </w:r>
      <w:r>
        <w:rPr>
          <w:rFonts w:hint="eastAsia"/>
          <w:lang w:val="zh-CN"/>
        </w:rPr>
        <w:t>65.3%</w:t>
      </w:r>
      <w:r>
        <w:rPr>
          <w:rFonts w:hint="eastAsia"/>
          <w:lang w:val="zh-CN"/>
        </w:rPr>
        <w:t>提高到</w:t>
      </w:r>
      <w:r>
        <w:rPr>
          <w:rFonts w:hint="eastAsia"/>
          <w:lang w:val="zh-CN"/>
        </w:rPr>
        <w:t>2010</w:t>
      </w:r>
      <w:r>
        <w:rPr>
          <w:rFonts w:hint="eastAsia"/>
          <w:lang w:val="zh-CN"/>
        </w:rPr>
        <w:t>年的</w:t>
      </w:r>
      <w:r>
        <w:rPr>
          <w:rFonts w:hint="eastAsia"/>
          <w:lang w:val="zh-CN"/>
        </w:rPr>
        <w:t>67.5%</w:t>
      </w:r>
      <w:r>
        <w:rPr>
          <w:rFonts w:hint="eastAsia"/>
          <w:lang w:val="zh-CN"/>
        </w:rPr>
        <w:t>，提高了</w:t>
      </w:r>
      <w:r>
        <w:rPr>
          <w:rFonts w:hint="eastAsia"/>
          <w:lang w:val="zh-CN"/>
        </w:rPr>
        <w:t>2.2</w:t>
      </w:r>
      <w:r>
        <w:rPr>
          <w:rFonts w:hint="eastAsia"/>
          <w:lang w:val="zh-CN"/>
        </w:rPr>
        <w:t>个百分点。</w:t>
      </w:r>
    </w:p>
    <w:p w:rsidR="00A83775" w:rsidRDefault="00A83775">
      <w:pPr>
        <w:pStyle w:val="SingleTxtGC"/>
        <w:rPr>
          <w:lang w:val="zh-CN"/>
        </w:rPr>
      </w:pPr>
      <w:r>
        <w:rPr>
          <w:lang w:val="zh-CN"/>
        </w:rPr>
        <w:t xml:space="preserve">407.  </w:t>
      </w:r>
      <w:r>
        <w:rPr>
          <w:rFonts w:hint="eastAsia"/>
          <w:lang w:val="zh-CN"/>
        </w:rPr>
        <w:t>城市地区的就业率提高了</w:t>
      </w:r>
      <w:r>
        <w:rPr>
          <w:rFonts w:hint="eastAsia"/>
          <w:lang w:val="zh-CN"/>
        </w:rPr>
        <w:t>4.5</w:t>
      </w:r>
      <w:r>
        <w:rPr>
          <w:rFonts w:hint="eastAsia"/>
          <w:lang w:val="zh-CN"/>
        </w:rPr>
        <w:t>个百分点，从</w:t>
      </w:r>
      <w:r>
        <w:rPr>
          <w:rFonts w:hint="eastAsia"/>
          <w:lang w:val="zh-CN"/>
        </w:rPr>
        <w:t>52.1%</w:t>
      </w:r>
      <w:r>
        <w:rPr>
          <w:rFonts w:hint="eastAsia"/>
          <w:lang w:val="zh-CN"/>
        </w:rPr>
        <w:t>提高到</w:t>
      </w:r>
      <w:r>
        <w:rPr>
          <w:rFonts w:hint="eastAsia"/>
          <w:lang w:val="zh-CN"/>
        </w:rPr>
        <w:t>56.6%</w:t>
      </w:r>
      <w:r>
        <w:rPr>
          <w:rFonts w:hint="eastAsia"/>
          <w:lang w:val="zh-CN"/>
        </w:rPr>
        <w:t>。其中女性的就业率从</w:t>
      </w:r>
      <w:r>
        <w:rPr>
          <w:rFonts w:hint="eastAsia"/>
          <w:lang w:val="zh-CN"/>
        </w:rPr>
        <w:t>42.4%</w:t>
      </w:r>
      <w:r>
        <w:rPr>
          <w:rFonts w:hint="eastAsia"/>
          <w:lang w:val="zh-CN"/>
        </w:rPr>
        <w:t>变为</w:t>
      </w:r>
      <w:r>
        <w:rPr>
          <w:rFonts w:hint="eastAsia"/>
          <w:lang w:val="zh-CN"/>
        </w:rPr>
        <w:t>47.9%</w:t>
      </w:r>
      <w:r>
        <w:rPr>
          <w:rFonts w:hint="eastAsia"/>
          <w:lang w:val="zh-CN"/>
        </w:rPr>
        <w:t>，提高了</w:t>
      </w:r>
      <w:r>
        <w:rPr>
          <w:rFonts w:hint="eastAsia"/>
          <w:lang w:val="zh-CN"/>
        </w:rPr>
        <w:t>5.5</w:t>
      </w:r>
      <w:r>
        <w:rPr>
          <w:rFonts w:hint="eastAsia"/>
          <w:lang w:val="zh-CN"/>
        </w:rPr>
        <w:t>个百分点，男性的就业率从</w:t>
      </w:r>
      <w:r>
        <w:rPr>
          <w:rFonts w:hint="eastAsia"/>
          <w:lang w:val="zh-CN"/>
        </w:rPr>
        <w:t>63%</w:t>
      </w:r>
      <w:r>
        <w:rPr>
          <w:rFonts w:hint="eastAsia"/>
          <w:lang w:val="zh-CN"/>
        </w:rPr>
        <w:t>变为</w:t>
      </w:r>
      <w:r>
        <w:rPr>
          <w:rFonts w:hint="eastAsia"/>
          <w:lang w:val="zh-CN"/>
        </w:rPr>
        <w:t>66.3%</w:t>
      </w:r>
      <w:r>
        <w:rPr>
          <w:rFonts w:hint="eastAsia"/>
          <w:lang w:val="zh-CN"/>
        </w:rPr>
        <w:t>，提高了</w:t>
      </w:r>
      <w:r>
        <w:rPr>
          <w:rFonts w:hint="eastAsia"/>
          <w:lang w:val="zh-CN"/>
        </w:rPr>
        <w:t>3.3</w:t>
      </w:r>
      <w:r>
        <w:rPr>
          <w:rFonts w:hint="eastAsia"/>
          <w:lang w:val="zh-CN"/>
        </w:rPr>
        <w:t>个百分点。</w:t>
      </w:r>
    </w:p>
    <w:p w:rsidR="00A83775" w:rsidRDefault="00A83775">
      <w:pPr>
        <w:pStyle w:val="SingleTxtGC"/>
        <w:rPr>
          <w:lang w:val="es-ES"/>
        </w:rPr>
      </w:pPr>
      <w:r>
        <w:rPr>
          <w:lang w:val="zh-CN"/>
        </w:rPr>
        <w:t xml:space="preserve">408.  </w:t>
      </w:r>
      <w:r>
        <w:rPr>
          <w:rFonts w:hint="eastAsia"/>
          <w:lang w:val="zh-CN"/>
        </w:rPr>
        <w:t>农村地区的就业率提高了</w:t>
      </w:r>
      <w:r>
        <w:rPr>
          <w:rFonts w:hint="eastAsia"/>
          <w:lang w:val="zh-CN"/>
        </w:rPr>
        <w:t>3.1</w:t>
      </w:r>
      <w:r>
        <w:rPr>
          <w:rFonts w:hint="eastAsia"/>
          <w:lang w:val="zh-CN"/>
        </w:rPr>
        <w:t>个百分点，从</w:t>
      </w:r>
      <w:r>
        <w:rPr>
          <w:rFonts w:hint="eastAsia"/>
          <w:lang w:val="zh-CN"/>
        </w:rPr>
        <w:t>50.1%</w:t>
      </w:r>
      <w:r>
        <w:rPr>
          <w:rFonts w:hint="eastAsia"/>
          <w:lang w:val="zh-CN"/>
        </w:rPr>
        <w:t>提高到</w:t>
      </w:r>
      <w:r>
        <w:rPr>
          <w:rFonts w:hint="eastAsia"/>
          <w:lang w:val="zh-CN"/>
        </w:rPr>
        <w:t>53.1%</w:t>
      </w:r>
      <w:r>
        <w:rPr>
          <w:rFonts w:hint="eastAsia"/>
          <w:lang w:val="zh-CN"/>
        </w:rPr>
        <w:t>。从按性别分列的信息来看，女性的就业率从</w:t>
      </w:r>
      <w:r>
        <w:rPr>
          <w:rFonts w:hint="eastAsia"/>
          <w:lang w:val="zh-CN"/>
        </w:rPr>
        <w:t>27.3%</w:t>
      </w:r>
      <w:r>
        <w:rPr>
          <w:rFonts w:hint="eastAsia"/>
          <w:lang w:val="zh-CN"/>
        </w:rPr>
        <w:t>变为</w:t>
      </w:r>
      <w:r>
        <w:rPr>
          <w:rFonts w:hint="eastAsia"/>
          <w:lang w:val="zh-CN"/>
        </w:rPr>
        <w:t>30.8%</w:t>
      </w:r>
      <w:r>
        <w:rPr>
          <w:rFonts w:hint="eastAsia"/>
          <w:lang w:val="zh-CN"/>
        </w:rPr>
        <w:t>，提高了</w:t>
      </w:r>
      <w:r>
        <w:rPr>
          <w:rFonts w:hint="eastAsia"/>
          <w:lang w:val="zh-CN"/>
        </w:rPr>
        <w:t>3.5</w:t>
      </w:r>
      <w:r>
        <w:rPr>
          <w:rFonts w:hint="eastAsia"/>
          <w:lang w:val="zh-CN"/>
        </w:rPr>
        <w:t>个百分点，男性的劳动总</w:t>
      </w:r>
      <w:r>
        <w:rPr>
          <w:rFonts w:hint="eastAsia"/>
          <w:lang w:val="es-ES"/>
        </w:rPr>
        <w:t>体参与率从</w:t>
      </w:r>
      <w:r>
        <w:rPr>
          <w:rFonts w:hint="eastAsia"/>
          <w:lang w:val="es-ES"/>
        </w:rPr>
        <w:t>70.2%</w:t>
      </w:r>
      <w:r>
        <w:rPr>
          <w:rFonts w:hint="eastAsia"/>
          <w:lang w:val="es-ES"/>
        </w:rPr>
        <w:t>变为</w:t>
      </w:r>
      <w:r>
        <w:rPr>
          <w:rFonts w:hint="eastAsia"/>
          <w:lang w:val="es-ES"/>
        </w:rPr>
        <w:t>72.6%</w:t>
      </w:r>
      <w:r>
        <w:rPr>
          <w:rFonts w:hint="eastAsia"/>
          <w:lang w:val="es-ES"/>
        </w:rPr>
        <w:t>，提高了</w:t>
      </w:r>
      <w:r>
        <w:rPr>
          <w:rFonts w:hint="eastAsia"/>
          <w:lang w:val="es-ES"/>
        </w:rPr>
        <w:t>2.</w:t>
      </w:r>
      <w:r>
        <w:rPr>
          <w:lang w:val="es-ES"/>
        </w:rPr>
        <w:t>4</w:t>
      </w:r>
      <w:r>
        <w:rPr>
          <w:rFonts w:hint="eastAsia"/>
          <w:lang w:val="es-ES"/>
        </w:rPr>
        <w:t>个百分点。</w:t>
      </w:r>
    </w:p>
    <w:p w:rsidR="00A83775" w:rsidRDefault="00A83775">
      <w:pPr>
        <w:pStyle w:val="SingleTxtGC"/>
        <w:rPr>
          <w:lang w:val="zh-CN"/>
        </w:rPr>
      </w:pPr>
      <w:r>
        <w:rPr>
          <w:lang w:val="es-ES"/>
        </w:rPr>
        <w:t xml:space="preserve">409.  </w:t>
      </w:r>
      <w:r>
        <w:rPr>
          <w:rFonts w:hint="eastAsia"/>
          <w:lang w:val="es-ES"/>
        </w:rPr>
        <w:t>经济活跃人口的总数从</w:t>
      </w:r>
      <w:r>
        <w:rPr>
          <w:rFonts w:hint="eastAsia"/>
          <w:lang w:val="es-ES"/>
        </w:rPr>
        <w:t>2001</w:t>
      </w:r>
      <w:r>
        <w:rPr>
          <w:rFonts w:hint="eastAsia"/>
          <w:lang w:val="es-ES"/>
        </w:rPr>
        <w:t>年的</w:t>
      </w:r>
      <w:r>
        <w:rPr>
          <w:rFonts w:hint="eastAsia"/>
          <w:lang w:val="es-ES"/>
        </w:rPr>
        <w:t>11</w:t>
      </w:r>
      <w:r>
        <w:rPr>
          <w:lang w:val="es-ES"/>
        </w:rPr>
        <w:t>,</w:t>
      </w:r>
      <w:r>
        <w:rPr>
          <w:rFonts w:hint="eastAsia"/>
          <w:lang w:val="es-ES"/>
        </w:rPr>
        <w:t>143</w:t>
      </w:r>
      <w:r>
        <w:rPr>
          <w:lang w:val="es-ES"/>
        </w:rPr>
        <w:t>,</w:t>
      </w:r>
      <w:r>
        <w:rPr>
          <w:rFonts w:hint="eastAsia"/>
          <w:lang w:val="es-ES"/>
        </w:rPr>
        <w:t>000</w:t>
      </w:r>
      <w:r>
        <w:rPr>
          <w:rFonts w:hint="eastAsia"/>
          <w:lang w:val="es-ES"/>
        </w:rPr>
        <w:t>人</w:t>
      </w:r>
      <w:r>
        <w:rPr>
          <w:rFonts w:hint="eastAsia"/>
          <w:spacing w:val="-40"/>
          <w:lang w:val="es-ES"/>
        </w:rPr>
        <w:t>――</w:t>
      </w:r>
      <w:r>
        <w:rPr>
          <w:rFonts w:hint="eastAsia"/>
          <w:spacing w:val="-40"/>
          <w:lang w:val="es-ES"/>
        </w:rPr>
        <w:t xml:space="preserve"> </w:t>
      </w:r>
      <w:r>
        <w:rPr>
          <w:rFonts w:hint="eastAsia"/>
          <w:lang w:val="es-ES"/>
        </w:rPr>
        <w:t>其中女性</w:t>
      </w:r>
      <w:r>
        <w:rPr>
          <w:rFonts w:hint="eastAsia"/>
          <w:lang w:val="es-ES"/>
        </w:rPr>
        <w:t>7</w:t>
      </w:r>
      <w:r>
        <w:rPr>
          <w:lang w:val="es-ES"/>
        </w:rPr>
        <w:t>,</w:t>
      </w:r>
      <w:r>
        <w:rPr>
          <w:rFonts w:hint="eastAsia"/>
          <w:lang w:val="es-ES"/>
        </w:rPr>
        <w:t>670</w:t>
      </w:r>
      <w:r>
        <w:rPr>
          <w:lang w:val="es-ES"/>
        </w:rPr>
        <w:t>,</w:t>
      </w:r>
      <w:r>
        <w:rPr>
          <w:rFonts w:hint="eastAsia"/>
          <w:lang w:val="es-ES"/>
        </w:rPr>
        <w:t>000</w:t>
      </w:r>
      <w:r>
        <w:rPr>
          <w:rFonts w:hint="eastAsia"/>
          <w:lang w:val="es-ES"/>
        </w:rPr>
        <w:t>人，男性</w:t>
      </w:r>
      <w:r>
        <w:rPr>
          <w:rFonts w:hint="eastAsia"/>
          <w:lang w:val="es-ES"/>
        </w:rPr>
        <w:t>3</w:t>
      </w:r>
      <w:r>
        <w:rPr>
          <w:lang w:val="es-ES"/>
        </w:rPr>
        <w:t>,</w:t>
      </w:r>
      <w:r>
        <w:rPr>
          <w:rFonts w:hint="eastAsia"/>
          <w:lang w:val="es-ES"/>
        </w:rPr>
        <w:t>473</w:t>
      </w:r>
      <w:r>
        <w:rPr>
          <w:lang w:val="es-ES"/>
        </w:rPr>
        <w:t>,</w:t>
      </w:r>
      <w:r>
        <w:rPr>
          <w:rFonts w:hint="eastAsia"/>
          <w:lang w:val="es-ES"/>
        </w:rPr>
        <w:t>000</w:t>
      </w:r>
      <w:r>
        <w:rPr>
          <w:rFonts w:hint="eastAsia"/>
          <w:lang w:val="es-ES"/>
        </w:rPr>
        <w:t>人，增加到</w:t>
      </w:r>
      <w:r>
        <w:rPr>
          <w:rFonts w:hint="eastAsia"/>
          <w:lang w:val="es-ES"/>
        </w:rPr>
        <w:t>2009</w:t>
      </w:r>
      <w:r>
        <w:rPr>
          <w:rFonts w:hint="eastAsia"/>
          <w:lang w:val="es-ES"/>
        </w:rPr>
        <w:t>年的</w:t>
      </w:r>
      <w:r>
        <w:rPr>
          <w:rFonts w:hint="eastAsia"/>
          <w:lang w:val="es-ES"/>
        </w:rPr>
        <w:t>13</w:t>
      </w:r>
      <w:r>
        <w:rPr>
          <w:lang w:val="es-ES"/>
        </w:rPr>
        <w:t>,</w:t>
      </w:r>
      <w:r>
        <w:rPr>
          <w:rFonts w:hint="eastAsia"/>
          <w:lang w:val="es-ES"/>
        </w:rPr>
        <w:t>229</w:t>
      </w:r>
      <w:r>
        <w:rPr>
          <w:lang w:val="es-ES"/>
        </w:rPr>
        <w:t>,</w:t>
      </w:r>
      <w:r>
        <w:rPr>
          <w:rFonts w:hint="eastAsia"/>
          <w:lang w:val="es-ES"/>
        </w:rPr>
        <w:t>000</w:t>
      </w:r>
      <w:r>
        <w:rPr>
          <w:rFonts w:hint="eastAsia"/>
          <w:lang w:val="es-ES"/>
        </w:rPr>
        <w:t>人，其中女性</w:t>
      </w:r>
      <w:r>
        <w:rPr>
          <w:rFonts w:hint="eastAsia"/>
          <w:lang w:val="es-ES"/>
        </w:rPr>
        <w:t>8</w:t>
      </w:r>
      <w:r>
        <w:rPr>
          <w:lang w:val="es-ES"/>
        </w:rPr>
        <w:t>,</w:t>
      </w:r>
      <w:r>
        <w:rPr>
          <w:rFonts w:hint="eastAsia"/>
          <w:lang w:val="es-ES"/>
        </w:rPr>
        <w:t>778</w:t>
      </w:r>
      <w:r>
        <w:rPr>
          <w:lang w:val="es-ES"/>
        </w:rPr>
        <w:t>,</w:t>
      </w:r>
      <w:r>
        <w:rPr>
          <w:rFonts w:hint="eastAsia"/>
          <w:lang w:val="es-ES"/>
        </w:rPr>
        <w:t>000</w:t>
      </w:r>
      <w:r>
        <w:rPr>
          <w:rFonts w:hint="eastAsia"/>
          <w:lang w:val="es-ES"/>
        </w:rPr>
        <w:t>人，男</w:t>
      </w:r>
      <w:r>
        <w:rPr>
          <w:rFonts w:hint="eastAsia"/>
          <w:lang w:val="zh-CN"/>
        </w:rPr>
        <w:t>性</w:t>
      </w:r>
      <w:r>
        <w:rPr>
          <w:rFonts w:hint="eastAsia"/>
          <w:lang w:val="zh-CN"/>
        </w:rPr>
        <w:t>4</w:t>
      </w:r>
      <w:r>
        <w:t>,</w:t>
      </w:r>
      <w:r>
        <w:rPr>
          <w:rFonts w:hint="eastAsia"/>
          <w:lang w:val="zh-CN"/>
        </w:rPr>
        <w:t>452</w:t>
      </w:r>
      <w:r>
        <w:t>,</w:t>
      </w:r>
      <w:r>
        <w:rPr>
          <w:rFonts w:hint="eastAsia"/>
          <w:lang w:val="zh-CN"/>
        </w:rPr>
        <w:t>000</w:t>
      </w:r>
      <w:r>
        <w:rPr>
          <w:rFonts w:hint="eastAsia"/>
          <w:lang w:val="zh-CN"/>
        </w:rPr>
        <w:t>人。</w:t>
      </w:r>
      <w:r>
        <w:rPr>
          <w:rFonts w:hint="eastAsia"/>
          <w:lang w:val="zh-CN"/>
        </w:rPr>
        <w:t>2010</w:t>
      </w:r>
      <w:r>
        <w:rPr>
          <w:rFonts w:hint="eastAsia"/>
          <w:lang w:val="zh-CN"/>
        </w:rPr>
        <w:t>年的女性活跃总人口中，</w:t>
      </w:r>
      <w:r>
        <w:rPr>
          <w:rFonts w:hint="eastAsia"/>
          <w:lang w:val="zh-CN"/>
        </w:rPr>
        <w:t>2</w:t>
      </w:r>
      <w:r>
        <w:t>,</w:t>
      </w:r>
      <w:r>
        <w:rPr>
          <w:rFonts w:hint="eastAsia"/>
          <w:lang w:val="zh-CN"/>
        </w:rPr>
        <w:t>664</w:t>
      </w:r>
      <w:r>
        <w:t>,</w:t>
      </w:r>
      <w:r>
        <w:rPr>
          <w:rFonts w:hint="eastAsia"/>
          <w:lang w:val="zh-CN"/>
        </w:rPr>
        <w:t>000</w:t>
      </w:r>
      <w:r>
        <w:rPr>
          <w:rFonts w:hint="eastAsia"/>
          <w:lang w:val="zh-CN"/>
        </w:rPr>
        <w:t>人处于上学阶段，</w:t>
      </w:r>
      <w:r>
        <w:rPr>
          <w:rFonts w:hint="eastAsia"/>
          <w:lang w:val="zh-CN"/>
        </w:rPr>
        <w:t>5</w:t>
      </w:r>
      <w:r>
        <w:t>,</w:t>
      </w:r>
      <w:r>
        <w:rPr>
          <w:rFonts w:hint="eastAsia"/>
          <w:lang w:val="zh-CN"/>
        </w:rPr>
        <w:t>295</w:t>
      </w:r>
      <w:r>
        <w:t>,</w:t>
      </w:r>
      <w:r>
        <w:rPr>
          <w:rFonts w:hint="eastAsia"/>
          <w:lang w:val="zh-CN"/>
        </w:rPr>
        <w:t>000</w:t>
      </w:r>
      <w:r>
        <w:rPr>
          <w:rFonts w:hint="eastAsia"/>
          <w:lang w:val="zh-CN"/>
        </w:rPr>
        <w:t>人从事家政行业，只有</w:t>
      </w:r>
      <w:r>
        <w:rPr>
          <w:rFonts w:hint="eastAsia"/>
          <w:lang w:val="zh-CN"/>
        </w:rPr>
        <w:t>819</w:t>
      </w:r>
      <w:r>
        <w:t>,</w:t>
      </w:r>
      <w:r>
        <w:rPr>
          <w:rFonts w:hint="eastAsia"/>
          <w:lang w:val="zh-CN"/>
        </w:rPr>
        <w:t>000</w:t>
      </w:r>
      <w:r>
        <w:rPr>
          <w:rFonts w:hint="eastAsia"/>
          <w:lang w:val="zh-CN"/>
        </w:rPr>
        <w:t>人属于其他类型。</w:t>
      </w:r>
      <w:r>
        <w:rPr>
          <w:vertAlign w:val="superscript"/>
          <w:lang w:val="zh-CN"/>
        </w:rPr>
        <w:footnoteReference w:id="174"/>
      </w:r>
    </w:p>
    <w:p w:rsidR="00A83775" w:rsidRDefault="00A83775">
      <w:pPr>
        <w:pStyle w:val="SingleTxtGC"/>
        <w:rPr>
          <w:lang w:val="zh-CN"/>
        </w:rPr>
      </w:pPr>
      <w:r>
        <w:rPr>
          <w:lang w:val="zh-CN"/>
        </w:rPr>
        <w:t xml:space="preserve">410.  </w:t>
      </w:r>
      <w:r>
        <w:rPr>
          <w:rFonts w:hint="eastAsia"/>
          <w:lang w:val="zh-CN"/>
        </w:rPr>
        <w:t>2006</w:t>
      </w:r>
      <w:r>
        <w:rPr>
          <w:rFonts w:hint="eastAsia"/>
          <w:lang w:val="zh-CN"/>
        </w:rPr>
        <w:t>年失业率为</w:t>
      </w:r>
      <w:r>
        <w:rPr>
          <w:rFonts w:hint="eastAsia"/>
          <w:lang w:val="zh-CN"/>
        </w:rPr>
        <w:t>12%</w:t>
      </w:r>
      <w:r>
        <w:rPr>
          <w:rFonts w:hint="eastAsia"/>
          <w:lang w:val="zh-CN"/>
        </w:rPr>
        <w:t>，这刺激了政府努力将这一数字降低到一位数，为此在《</w:t>
      </w:r>
      <w:r>
        <w:rPr>
          <w:rFonts w:hint="eastAsia"/>
          <w:lang w:val="zh-CN"/>
        </w:rPr>
        <w:t>2006-2010</w:t>
      </w:r>
      <w:r>
        <w:rPr>
          <w:rFonts w:hint="eastAsia"/>
          <w:lang w:val="zh-CN"/>
        </w:rPr>
        <w:t>年国家发展计划》中确定了到</w:t>
      </w:r>
      <w:r>
        <w:rPr>
          <w:rFonts w:hint="eastAsia"/>
          <w:lang w:val="zh-CN"/>
        </w:rPr>
        <w:t>2010</w:t>
      </w:r>
      <w:r>
        <w:rPr>
          <w:rFonts w:hint="eastAsia"/>
          <w:lang w:val="zh-CN"/>
        </w:rPr>
        <w:t>年将失业率降至</w:t>
      </w:r>
      <w:r>
        <w:rPr>
          <w:rFonts w:hint="eastAsia"/>
          <w:lang w:val="zh-CN"/>
        </w:rPr>
        <w:t>8.8%</w:t>
      </w:r>
      <w:r>
        <w:rPr>
          <w:rFonts w:hint="eastAsia"/>
          <w:lang w:val="zh-CN"/>
        </w:rPr>
        <w:t>的目标。但是，由于世界危机对哥伦比亚经济的多项基本经济变量产生了影响，国家政府的预期目标并未达成。</w:t>
      </w:r>
      <w:r>
        <w:rPr>
          <w:rFonts w:hint="eastAsia"/>
          <w:lang w:val="zh-CN"/>
        </w:rPr>
        <w:t>2010</w:t>
      </w:r>
      <w:r>
        <w:rPr>
          <w:rFonts w:hint="eastAsia"/>
          <w:lang w:val="zh-CN"/>
        </w:rPr>
        <w:t>年失业率为</w:t>
      </w:r>
      <w:r>
        <w:rPr>
          <w:rFonts w:hint="eastAsia"/>
          <w:lang w:val="zh-CN"/>
        </w:rPr>
        <w:t>11.8%</w:t>
      </w:r>
      <w:r>
        <w:rPr>
          <w:rFonts w:hint="eastAsia"/>
          <w:lang w:val="zh-CN"/>
        </w:rPr>
        <w:t>。</w:t>
      </w:r>
    </w:p>
    <w:p w:rsidR="00A83775" w:rsidRDefault="00A83775">
      <w:pPr>
        <w:pStyle w:val="SingleTxtGC"/>
        <w:rPr>
          <w:lang w:val="zh-CN"/>
        </w:rPr>
      </w:pPr>
      <w:r>
        <w:rPr>
          <w:lang w:val="zh-CN"/>
        </w:rPr>
        <w:t xml:space="preserve">411.  </w:t>
      </w:r>
      <w:r>
        <w:rPr>
          <w:rFonts w:hint="eastAsia"/>
          <w:lang w:val="zh-CN"/>
        </w:rPr>
        <w:t>从按性别分列的信息看，</w:t>
      </w:r>
      <w:r>
        <w:rPr>
          <w:rFonts w:hint="eastAsia"/>
          <w:lang w:val="zh-CN"/>
        </w:rPr>
        <w:t>2002</w:t>
      </w:r>
      <w:r>
        <w:rPr>
          <w:rFonts w:hint="eastAsia"/>
          <w:lang w:val="zh-CN"/>
        </w:rPr>
        <w:t>年女性失业率为</w:t>
      </w:r>
      <w:r>
        <w:rPr>
          <w:rFonts w:hint="eastAsia"/>
          <w:lang w:val="zh-CN"/>
        </w:rPr>
        <w:t>20.4%</w:t>
      </w:r>
      <w:r>
        <w:rPr>
          <w:rFonts w:hint="eastAsia"/>
          <w:lang w:val="zh-CN"/>
        </w:rPr>
        <w:t>，男性为</w:t>
      </w:r>
      <w:r>
        <w:rPr>
          <w:rFonts w:hint="eastAsia"/>
          <w:lang w:val="zh-CN"/>
        </w:rPr>
        <w:t>12.5%</w:t>
      </w:r>
      <w:r>
        <w:rPr>
          <w:rFonts w:hint="eastAsia"/>
          <w:lang w:val="zh-CN"/>
        </w:rPr>
        <w:t>；也就是说男女之间相差接近</w:t>
      </w:r>
      <w:r>
        <w:rPr>
          <w:rFonts w:hint="eastAsia"/>
          <w:lang w:val="zh-CN"/>
        </w:rPr>
        <w:t>8</w:t>
      </w:r>
      <w:r>
        <w:rPr>
          <w:rFonts w:hint="eastAsia"/>
          <w:lang w:val="zh-CN"/>
        </w:rPr>
        <w:t>个百分点。到</w:t>
      </w:r>
      <w:r>
        <w:rPr>
          <w:rFonts w:hint="eastAsia"/>
          <w:lang w:val="zh-CN"/>
        </w:rPr>
        <w:t>2010</w:t>
      </w:r>
      <w:r>
        <w:rPr>
          <w:rFonts w:hint="eastAsia"/>
          <w:lang w:val="zh-CN"/>
        </w:rPr>
        <w:t>年，女性失业率为</w:t>
      </w:r>
      <w:r>
        <w:rPr>
          <w:rFonts w:hint="eastAsia"/>
          <w:lang w:val="zh-CN"/>
        </w:rPr>
        <w:t>16%</w:t>
      </w:r>
      <w:r>
        <w:rPr>
          <w:rFonts w:hint="eastAsia"/>
          <w:lang w:val="zh-CN"/>
        </w:rPr>
        <w:t>，男性为</w:t>
      </w:r>
      <w:r>
        <w:rPr>
          <w:rFonts w:hint="eastAsia"/>
          <w:lang w:val="zh-CN"/>
        </w:rPr>
        <w:t>9.4%</w:t>
      </w:r>
      <w:r>
        <w:rPr>
          <w:rFonts w:hint="eastAsia"/>
          <w:lang w:val="zh-CN"/>
        </w:rPr>
        <w:t>，差距为</w:t>
      </w:r>
      <w:r>
        <w:rPr>
          <w:rFonts w:hint="eastAsia"/>
          <w:lang w:val="zh-CN"/>
        </w:rPr>
        <w:t>6.6</w:t>
      </w:r>
      <w:r>
        <w:rPr>
          <w:rFonts w:hint="eastAsia"/>
          <w:lang w:val="zh-CN"/>
        </w:rPr>
        <w:t>个百分点，也就是说，男女的失业率都有所下降，男女之间的差距虽然继续存在，但略有减少。</w:t>
      </w:r>
      <w:r>
        <w:rPr>
          <w:lang w:val="zh-CN"/>
        </w:rPr>
        <w:t xml:space="preserve"> </w:t>
      </w:r>
    </w:p>
    <w:p w:rsidR="00A83775" w:rsidRDefault="00A83775">
      <w:pPr>
        <w:pStyle w:val="SingleTxtGC"/>
        <w:rPr>
          <w:lang w:val="es-ES"/>
        </w:rPr>
      </w:pPr>
      <w:r>
        <w:rPr>
          <w:lang w:val="zh-CN"/>
        </w:rPr>
        <w:t xml:space="preserve">412.  </w:t>
      </w:r>
      <w:r>
        <w:rPr>
          <w:rFonts w:hint="eastAsia"/>
          <w:lang w:val="zh-CN"/>
        </w:rPr>
        <w:t>在进行分析时，针对城市和农村地区，我们发现</w:t>
      </w:r>
      <w:r>
        <w:rPr>
          <w:rFonts w:hint="eastAsia"/>
          <w:lang w:val="zh-CN"/>
        </w:rPr>
        <w:t>2006-2010</w:t>
      </w:r>
      <w:r>
        <w:rPr>
          <w:rFonts w:hint="eastAsia"/>
          <w:lang w:val="zh-CN"/>
        </w:rPr>
        <w:t>年期间城市地区的失业率下降了</w:t>
      </w:r>
      <w:r>
        <w:rPr>
          <w:rFonts w:hint="eastAsia"/>
          <w:lang w:val="es-ES"/>
        </w:rPr>
        <w:t>1.1</w:t>
      </w:r>
      <w:r>
        <w:rPr>
          <w:rFonts w:hint="eastAsia"/>
          <w:lang w:val="es-ES"/>
        </w:rPr>
        <w:t>个百分点，从</w:t>
      </w:r>
      <w:r>
        <w:rPr>
          <w:rFonts w:hint="eastAsia"/>
          <w:lang w:val="es-ES"/>
        </w:rPr>
        <w:t>13.2%</w:t>
      </w:r>
      <w:r>
        <w:rPr>
          <w:rFonts w:hint="eastAsia"/>
          <w:lang w:val="es-ES"/>
        </w:rPr>
        <w:t>降至</w:t>
      </w:r>
      <w:r>
        <w:rPr>
          <w:rFonts w:hint="eastAsia"/>
          <w:lang w:val="es-ES"/>
        </w:rPr>
        <w:t>12.2%</w:t>
      </w:r>
      <w:r>
        <w:rPr>
          <w:rFonts w:hint="eastAsia"/>
          <w:lang w:val="es-ES"/>
        </w:rPr>
        <w:t>。从按性别分列的信息看，女性失业率下降了</w:t>
      </w:r>
      <w:r>
        <w:rPr>
          <w:rFonts w:hint="eastAsia"/>
          <w:lang w:val="es-ES"/>
        </w:rPr>
        <w:t>1.6</w:t>
      </w:r>
      <w:r>
        <w:rPr>
          <w:rFonts w:hint="eastAsia"/>
          <w:lang w:val="es-ES"/>
        </w:rPr>
        <w:t>个百分点，从</w:t>
      </w:r>
      <w:r>
        <w:rPr>
          <w:rFonts w:hint="eastAsia"/>
          <w:lang w:val="es-ES"/>
        </w:rPr>
        <w:t>16.2%</w:t>
      </w:r>
      <w:r>
        <w:rPr>
          <w:rFonts w:hint="eastAsia"/>
          <w:lang w:val="es-ES"/>
        </w:rPr>
        <w:t>降至</w:t>
      </w:r>
      <w:r>
        <w:rPr>
          <w:rFonts w:hint="eastAsia"/>
          <w:lang w:val="es-ES"/>
        </w:rPr>
        <w:t>14.6%</w:t>
      </w:r>
      <w:r>
        <w:rPr>
          <w:rFonts w:hint="eastAsia"/>
          <w:lang w:val="es-ES"/>
        </w:rPr>
        <w:t>，而男性失业率则从</w:t>
      </w:r>
      <w:r>
        <w:rPr>
          <w:rFonts w:hint="eastAsia"/>
          <w:lang w:val="es-ES"/>
        </w:rPr>
        <w:t>10.9%</w:t>
      </w:r>
      <w:r>
        <w:rPr>
          <w:rFonts w:hint="eastAsia"/>
          <w:lang w:val="es-ES"/>
        </w:rPr>
        <w:t>降至</w:t>
      </w:r>
      <w:r>
        <w:rPr>
          <w:rFonts w:hint="eastAsia"/>
          <w:lang w:val="es-ES"/>
        </w:rPr>
        <w:t>10.2%</w:t>
      </w:r>
      <w:r>
        <w:rPr>
          <w:rFonts w:hint="eastAsia"/>
          <w:lang w:val="es-ES"/>
        </w:rPr>
        <w:t>。</w:t>
      </w:r>
    </w:p>
    <w:p w:rsidR="00A83775" w:rsidRDefault="00A83775">
      <w:pPr>
        <w:pStyle w:val="SingleTxtGC"/>
        <w:rPr>
          <w:lang w:val="zh-CN"/>
        </w:rPr>
      </w:pPr>
      <w:r>
        <w:rPr>
          <w:lang w:val="es-ES"/>
        </w:rPr>
        <w:t xml:space="preserve">413.  </w:t>
      </w:r>
      <w:r>
        <w:rPr>
          <w:rFonts w:hint="eastAsia"/>
          <w:lang w:val="es-ES"/>
        </w:rPr>
        <w:t>在农村地区，</w:t>
      </w:r>
      <w:r>
        <w:rPr>
          <w:rFonts w:hint="eastAsia"/>
          <w:lang w:val="es-ES"/>
        </w:rPr>
        <w:t>2006-2010</w:t>
      </w:r>
      <w:r>
        <w:rPr>
          <w:rFonts w:hint="eastAsia"/>
          <w:lang w:val="es-ES"/>
        </w:rPr>
        <w:t>年期间失业率一直保持平稳态势，从</w:t>
      </w:r>
      <w:r>
        <w:rPr>
          <w:rFonts w:hint="eastAsia"/>
          <w:lang w:val="es-ES"/>
        </w:rPr>
        <w:t>8.2%</w:t>
      </w:r>
      <w:r>
        <w:rPr>
          <w:rFonts w:hint="eastAsia"/>
          <w:lang w:val="es-ES"/>
        </w:rPr>
        <w:t>变为</w:t>
      </w:r>
      <w:r>
        <w:rPr>
          <w:rFonts w:hint="eastAsia"/>
          <w:lang w:val="es-ES"/>
        </w:rPr>
        <w:t>8.5%</w:t>
      </w:r>
      <w:r>
        <w:rPr>
          <w:rFonts w:hint="eastAsia"/>
          <w:lang w:val="es-ES"/>
        </w:rPr>
        <w:t>。女</w:t>
      </w:r>
      <w:r>
        <w:rPr>
          <w:rFonts w:hint="eastAsia"/>
          <w:lang w:val="zh-CN"/>
        </w:rPr>
        <w:t>性失业率略有上升，提高了</w:t>
      </w:r>
      <w:r>
        <w:rPr>
          <w:rFonts w:hint="eastAsia"/>
          <w:lang w:val="zh-CN"/>
        </w:rPr>
        <w:t>1.9</w:t>
      </w:r>
      <w:r>
        <w:rPr>
          <w:rFonts w:hint="eastAsia"/>
          <w:lang w:val="zh-CN"/>
        </w:rPr>
        <w:t>个百分点，从</w:t>
      </w:r>
      <w:r>
        <w:rPr>
          <w:rFonts w:hint="eastAsia"/>
          <w:lang w:val="zh-CN"/>
        </w:rPr>
        <w:t>16.0%</w:t>
      </w:r>
      <w:r>
        <w:rPr>
          <w:rFonts w:hint="eastAsia"/>
          <w:lang w:val="zh-CN"/>
        </w:rPr>
        <w:t>变为</w:t>
      </w:r>
      <w:r>
        <w:rPr>
          <w:rFonts w:hint="eastAsia"/>
          <w:lang w:val="zh-CN"/>
        </w:rPr>
        <w:t>17.9%</w:t>
      </w:r>
      <w:r>
        <w:rPr>
          <w:rFonts w:hint="eastAsia"/>
          <w:lang w:val="zh-CN"/>
        </w:rPr>
        <w:t>，男性失业率下降了</w:t>
      </w:r>
      <w:r>
        <w:rPr>
          <w:rFonts w:hint="eastAsia"/>
          <w:lang w:val="zh-CN"/>
        </w:rPr>
        <w:t>0.8</w:t>
      </w:r>
      <w:r>
        <w:rPr>
          <w:rFonts w:hint="eastAsia"/>
          <w:lang w:val="zh-CN"/>
        </w:rPr>
        <w:t>个百分点，从</w:t>
      </w:r>
      <w:r>
        <w:rPr>
          <w:rFonts w:hint="eastAsia"/>
          <w:lang w:val="zh-CN"/>
        </w:rPr>
        <w:t>5.2%</w:t>
      </w:r>
      <w:r>
        <w:rPr>
          <w:rFonts w:hint="eastAsia"/>
          <w:lang w:val="zh-CN"/>
        </w:rPr>
        <w:t>变为</w:t>
      </w:r>
      <w:r>
        <w:rPr>
          <w:rFonts w:hint="eastAsia"/>
          <w:lang w:val="zh-CN"/>
        </w:rPr>
        <w:t>4.4%</w:t>
      </w:r>
      <w:r>
        <w:rPr>
          <w:rFonts w:hint="eastAsia"/>
          <w:lang w:val="zh-CN"/>
        </w:rPr>
        <w:t>。</w:t>
      </w:r>
    </w:p>
    <w:p w:rsidR="00A83775" w:rsidRDefault="00A83775">
      <w:pPr>
        <w:pStyle w:val="SingleTxtGC"/>
        <w:rPr>
          <w:lang w:val="zh-CN"/>
        </w:rPr>
      </w:pPr>
      <w:r>
        <w:rPr>
          <w:lang w:val="zh-CN"/>
        </w:rPr>
        <w:t xml:space="preserve">414.  </w:t>
      </w:r>
      <w:r>
        <w:rPr>
          <w:rFonts w:hint="eastAsia"/>
          <w:lang w:val="zh-CN"/>
        </w:rPr>
        <w:t>由于男女之间社会角色分工的不同，使女性人口主要承担起了家务责任和家庭责任，女性生儿育女的能力被视为一种责任，使其承担起人类繁衍的必不可少的社会功能，这致使妇女在累积社会资本方面的可能性较小，因而使得其更易处于失业的弱势地位，并在参与劳动力市场时面临更大的阻碍。</w:t>
      </w:r>
    </w:p>
    <w:p w:rsidR="00A83775" w:rsidRDefault="00A83775">
      <w:pPr>
        <w:pStyle w:val="SingleTxtGC"/>
        <w:rPr>
          <w:lang w:val="es-ES"/>
        </w:rPr>
      </w:pPr>
      <w:r>
        <w:rPr>
          <w:lang w:val="zh-CN"/>
        </w:rPr>
        <w:t xml:space="preserve">415.  </w:t>
      </w:r>
      <w:r>
        <w:rPr>
          <w:rFonts w:hint="eastAsia"/>
          <w:lang w:val="zh-CN"/>
        </w:rPr>
        <w:t>在非正规劳动部门的男性和女性参与率方面，</w:t>
      </w:r>
      <w:r>
        <w:rPr>
          <w:rFonts w:hint="eastAsia"/>
          <w:lang w:val="zh-CN"/>
        </w:rPr>
        <w:t>2006-2010</w:t>
      </w:r>
      <w:r>
        <w:rPr>
          <w:rFonts w:hint="eastAsia"/>
          <w:lang w:val="zh-CN"/>
        </w:rPr>
        <w:t>年期间正规劳动部门的参与率下降</w:t>
      </w:r>
      <w:r>
        <w:rPr>
          <w:rFonts w:hint="eastAsia"/>
          <w:lang w:val="es-ES"/>
        </w:rPr>
        <w:t>了</w:t>
      </w:r>
      <w:r>
        <w:rPr>
          <w:rFonts w:hint="eastAsia"/>
          <w:lang w:val="es-ES"/>
        </w:rPr>
        <w:t>1.93</w:t>
      </w:r>
      <w:r>
        <w:rPr>
          <w:rFonts w:hint="eastAsia"/>
          <w:lang w:val="es-ES"/>
        </w:rPr>
        <w:t>个百分点，从</w:t>
      </w:r>
      <w:r>
        <w:rPr>
          <w:rFonts w:hint="eastAsia"/>
          <w:lang w:val="es-ES"/>
        </w:rPr>
        <w:t>2006</w:t>
      </w:r>
      <w:r>
        <w:rPr>
          <w:rFonts w:hint="eastAsia"/>
          <w:lang w:val="es-ES"/>
        </w:rPr>
        <w:t>年的</w:t>
      </w:r>
      <w:r>
        <w:rPr>
          <w:rFonts w:hint="eastAsia"/>
          <w:lang w:val="es-ES"/>
        </w:rPr>
        <w:t>44.45%</w:t>
      </w:r>
      <w:r>
        <w:rPr>
          <w:rFonts w:hint="eastAsia"/>
          <w:lang w:val="es-ES"/>
        </w:rPr>
        <w:t>变为</w:t>
      </w:r>
      <w:r>
        <w:rPr>
          <w:rFonts w:hint="eastAsia"/>
          <w:lang w:val="es-ES"/>
        </w:rPr>
        <w:t>2010</w:t>
      </w:r>
      <w:r>
        <w:rPr>
          <w:rFonts w:hint="eastAsia"/>
          <w:lang w:val="es-ES"/>
        </w:rPr>
        <w:t>年的</w:t>
      </w:r>
      <w:r>
        <w:rPr>
          <w:rFonts w:hint="eastAsia"/>
          <w:lang w:val="es-ES"/>
        </w:rPr>
        <w:t>42.52%</w:t>
      </w:r>
      <w:r>
        <w:rPr>
          <w:rFonts w:hint="eastAsia"/>
          <w:lang w:val="es-ES"/>
        </w:rPr>
        <w:t>。也就是说，这部分人口转移到了非正规劳动部门。女性在非正规劳动部门中的参与率提高了</w:t>
      </w:r>
      <w:r>
        <w:rPr>
          <w:rFonts w:hint="eastAsia"/>
          <w:lang w:val="es-ES"/>
        </w:rPr>
        <w:t>1.93</w:t>
      </w:r>
      <w:r>
        <w:rPr>
          <w:rFonts w:hint="eastAsia"/>
          <w:lang w:val="es-ES"/>
        </w:rPr>
        <w:t>个百分点，从</w:t>
      </w:r>
      <w:r>
        <w:rPr>
          <w:rFonts w:hint="eastAsia"/>
          <w:lang w:val="es-ES"/>
        </w:rPr>
        <w:t>2006</w:t>
      </w:r>
      <w:r>
        <w:rPr>
          <w:rFonts w:hint="eastAsia"/>
          <w:lang w:val="es-ES"/>
        </w:rPr>
        <w:t>年的</w:t>
      </w:r>
      <w:r>
        <w:rPr>
          <w:rFonts w:hint="eastAsia"/>
          <w:lang w:val="es-ES"/>
        </w:rPr>
        <w:t>58.07%</w:t>
      </w:r>
      <w:r>
        <w:rPr>
          <w:rFonts w:hint="eastAsia"/>
          <w:lang w:val="es-ES"/>
        </w:rPr>
        <w:t>增至</w:t>
      </w:r>
      <w:r>
        <w:rPr>
          <w:rFonts w:hint="eastAsia"/>
          <w:lang w:val="es-ES"/>
        </w:rPr>
        <w:t>2010</w:t>
      </w:r>
      <w:r>
        <w:rPr>
          <w:rFonts w:hint="eastAsia"/>
          <w:lang w:val="es-ES"/>
        </w:rPr>
        <w:t>年的</w:t>
      </w:r>
      <w:r>
        <w:rPr>
          <w:rFonts w:hint="eastAsia"/>
          <w:lang w:val="es-ES"/>
        </w:rPr>
        <w:t>60.0%</w:t>
      </w:r>
      <w:r>
        <w:rPr>
          <w:rFonts w:hint="eastAsia"/>
          <w:lang w:val="es-ES"/>
        </w:rPr>
        <w:t>，而男性则提高了</w:t>
      </w:r>
      <w:r>
        <w:rPr>
          <w:rFonts w:hint="eastAsia"/>
          <w:lang w:val="es-ES"/>
        </w:rPr>
        <w:t>3.96</w:t>
      </w:r>
      <w:r>
        <w:rPr>
          <w:rFonts w:hint="eastAsia"/>
          <w:lang w:val="es-ES"/>
        </w:rPr>
        <w:t>个百分点，从</w:t>
      </w:r>
      <w:r>
        <w:rPr>
          <w:rFonts w:hint="eastAsia"/>
          <w:lang w:val="es-ES"/>
        </w:rPr>
        <w:t>2006</w:t>
      </w:r>
      <w:r>
        <w:rPr>
          <w:rFonts w:hint="eastAsia"/>
          <w:lang w:val="es-ES"/>
        </w:rPr>
        <w:t>年的</w:t>
      </w:r>
      <w:r>
        <w:rPr>
          <w:rFonts w:hint="eastAsia"/>
          <w:lang w:val="es-ES"/>
        </w:rPr>
        <w:t>53.56%</w:t>
      </w:r>
      <w:r>
        <w:rPr>
          <w:rFonts w:hint="eastAsia"/>
          <w:lang w:val="es-ES"/>
        </w:rPr>
        <w:t>增至</w:t>
      </w:r>
      <w:r>
        <w:rPr>
          <w:rFonts w:hint="eastAsia"/>
          <w:lang w:val="es-ES"/>
        </w:rPr>
        <w:t>2010</w:t>
      </w:r>
      <w:r>
        <w:rPr>
          <w:rFonts w:hint="eastAsia"/>
          <w:lang w:val="es-ES"/>
        </w:rPr>
        <w:t>年的</w:t>
      </w:r>
      <w:r>
        <w:rPr>
          <w:rFonts w:hint="eastAsia"/>
          <w:lang w:val="es-ES"/>
        </w:rPr>
        <w:t>55.36%</w:t>
      </w:r>
      <w:r>
        <w:rPr>
          <w:rFonts w:hint="eastAsia"/>
          <w:lang w:val="es-ES"/>
        </w:rPr>
        <w:t>。</w:t>
      </w:r>
      <w:r>
        <w:rPr>
          <w:lang w:val="es-ES"/>
        </w:rPr>
        <w:t xml:space="preserve"> </w:t>
      </w:r>
    </w:p>
    <w:p w:rsidR="00A83775" w:rsidRDefault="00A83775">
      <w:pPr>
        <w:pStyle w:val="SingleTxtGC"/>
        <w:rPr>
          <w:lang w:val="es-ES"/>
        </w:rPr>
      </w:pPr>
      <w:r>
        <w:rPr>
          <w:lang w:val="es-CO"/>
        </w:rPr>
        <w:t xml:space="preserve">416.  </w:t>
      </w:r>
      <w:r>
        <w:rPr>
          <w:rFonts w:hint="eastAsia"/>
          <w:lang w:val="es-CO"/>
        </w:rPr>
        <w:t>在职业妇女的劳动参与方面，社会保障总体系的数据显示，</w:t>
      </w:r>
      <w:r>
        <w:rPr>
          <w:rFonts w:hint="eastAsia"/>
          <w:lang w:val="es-CO"/>
        </w:rPr>
        <w:t>65%</w:t>
      </w:r>
      <w:r>
        <w:rPr>
          <w:rFonts w:hint="eastAsia"/>
          <w:lang w:val="es-CO"/>
        </w:rPr>
        <w:t>的专业技术人员，</w:t>
      </w:r>
      <w:r>
        <w:rPr>
          <w:rFonts w:hint="eastAsia"/>
          <w:lang w:val="es-CO"/>
        </w:rPr>
        <w:t>72%</w:t>
      </w:r>
      <w:r>
        <w:rPr>
          <w:rFonts w:hint="eastAsia"/>
          <w:lang w:val="es-CO"/>
        </w:rPr>
        <w:t>的技术人员，</w:t>
      </w:r>
      <w:r>
        <w:rPr>
          <w:rFonts w:hint="eastAsia"/>
          <w:lang w:val="es-CO"/>
        </w:rPr>
        <w:t>76%</w:t>
      </w:r>
      <w:r>
        <w:rPr>
          <w:rFonts w:hint="eastAsia"/>
          <w:lang w:val="es-CO"/>
        </w:rPr>
        <w:t>拥有大学学历者，</w:t>
      </w:r>
      <w:r>
        <w:rPr>
          <w:rFonts w:hint="eastAsia"/>
          <w:lang w:val="es-CO"/>
        </w:rPr>
        <w:t>87%</w:t>
      </w:r>
      <w:r>
        <w:rPr>
          <w:rFonts w:hint="eastAsia"/>
          <w:lang w:val="es-CO"/>
        </w:rPr>
        <w:t>具有专家资历的人员，</w:t>
      </w:r>
      <w:r>
        <w:rPr>
          <w:rFonts w:hint="eastAsia"/>
          <w:lang w:val="es-CO"/>
        </w:rPr>
        <w:t>86%</w:t>
      </w:r>
      <w:r>
        <w:rPr>
          <w:rFonts w:hint="eastAsia"/>
          <w:lang w:val="es-CO"/>
        </w:rPr>
        <w:t>拥有硕士</w:t>
      </w:r>
      <w:r>
        <w:rPr>
          <w:rFonts w:hint="eastAsia"/>
          <w:lang w:val="zh-CN"/>
        </w:rPr>
        <w:t>学历</w:t>
      </w:r>
      <w:r>
        <w:rPr>
          <w:rFonts w:hint="eastAsia"/>
          <w:lang w:val="es-CO"/>
        </w:rPr>
        <w:t>和</w:t>
      </w:r>
      <w:r>
        <w:rPr>
          <w:rFonts w:hint="eastAsia"/>
          <w:lang w:val="es-CO"/>
        </w:rPr>
        <w:t>94%</w:t>
      </w:r>
      <w:r>
        <w:rPr>
          <w:rFonts w:hint="eastAsia"/>
          <w:lang w:val="es-CO"/>
        </w:rPr>
        <w:t>拥有博士学历的人员都正式进入了劳动力市场。但是，尽管高学历的女性人数多于男性，但是女性仍然赚得比男性少。不过这一差距正在逐年减少。</w:t>
      </w:r>
    </w:p>
    <w:p w:rsidR="00A83775" w:rsidRDefault="00A83775">
      <w:pPr>
        <w:pStyle w:val="SingleTxtGC"/>
        <w:rPr>
          <w:lang w:val="es-CO"/>
        </w:rPr>
      </w:pPr>
      <w:r>
        <w:rPr>
          <w:lang w:val="es-CO"/>
        </w:rPr>
        <w:t xml:space="preserve">417.  </w:t>
      </w:r>
      <w:r>
        <w:rPr>
          <w:rFonts w:hint="eastAsia"/>
          <w:lang w:val="es-CO"/>
        </w:rPr>
        <w:t>显而易见，很多情况下参与劳动的妇女越来越多，她们作为正规劳动部门的成员，</w:t>
      </w:r>
      <w:r>
        <w:rPr>
          <w:rFonts w:hint="eastAsia"/>
          <w:lang w:val="zh-CN"/>
        </w:rPr>
        <w:t>参加</w:t>
      </w:r>
      <w:r>
        <w:rPr>
          <w:rFonts w:hint="eastAsia"/>
          <w:lang w:val="es-CO"/>
        </w:rPr>
        <w:t>社会保障总体系并成为家庭的重要经济支柱和发展的推动力。</w:t>
      </w:r>
    </w:p>
    <w:p w:rsidR="00A83775" w:rsidRDefault="00A83775">
      <w:pPr>
        <w:pStyle w:val="H23GC"/>
        <w:rPr>
          <w:lang w:val="es-ES_tradnl"/>
        </w:rPr>
      </w:pPr>
      <w:r>
        <w:rPr>
          <w:lang w:val="es-ES_tradnl"/>
        </w:rPr>
        <w:tab/>
        <w:t>5.</w:t>
      </w:r>
      <w:r>
        <w:rPr>
          <w:lang w:val="es-ES_tradnl"/>
        </w:rPr>
        <w:tab/>
      </w:r>
      <w:r>
        <w:rPr>
          <w:rFonts w:hint="eastAsia"/>
          <w:lang w:val="es-ES_tradnl"/>
        </w:rPr>
        <w:t>新出台或持续推行的措施</w:t>
      </w:r>
    </w:p>
    <w:p w:rsidR="00A83775" w:rsidRDefault="00A83775">
      <w:pPr>
        <w:pStyle w:val="SingleTxtGC"/>
        <w:rPr>
          <w:lang w:val="zh-CN"/>
        </w:rPr>
      </w:pPr>
      <w:r>
        <w:rPr>
          <w:lang w:val="es-CO"/>
        </w:rPr>
        <w:t xml:space="preserve">418.  </w:t>
      </w:r>
      <w:r>
        <w:rPr>
          <w:rFonts w:hint="eastAsia"/>
          <w:lang w:val="es-CO"/>
        </w:rPr>
        <w:t>由于看到在劳动准入、薪酬和就业质量方面女性落后的差距较大，国家认识到有必要出台差别化政策，承认男女之间存在的差异。政府在当前的四年任期中为改善劳动力市场培训体系的过渡而实施的主要举措包括开发一项人才管理战略，统一工作</w:t>
      </w:r>
      <w:r>
        <w:rPr>
          <w:rFonts w:hint="eastAsia"/>
          <w:lang w:val="zh-CN"/>
        </w:rPr>
        <w:t>口径，在劳动技能的基础上使个人能够在正规部门或非正规部门凭其实力获得工作，使这一方针成为培训部门和生产部门都秉承的用人原则。</w:t>
      </w:r>
    </w:p>
    <w:p w:rsidR="00A83775" w:rsidRDefault="00A83775">
      <w:pPr>
        <w:pStyle w:val="SingleTxtGC"/>
        <w:rPr>
          <w:lang w:val="es-CO"/>
        </w:rPr>
      </w:pPr>
      <w:r>
        <w:rPr>
          <w:lang w:val="zh-CN"/>
        </w:rPr>
        <w:t xml:space="preserve">419.  </w:t>
      </w:r>
      <w:r>
        <w:rPr>
          <w:rFonts w:hint="eastAsia"/>
          <w:lang w:val="zh-CN"/>
        </w:rPr>
        <w:t>为开展这一举措，首先就是应当努力制定并实施一个国家资格评定框架，开发一种人力资</w:t>
      </w:r>
      <w:r>
        <w:rPr>
          <w:rFonts w:hint="eastAsia"/>
          <w:lang w:val="es-CO"/>
        </w:rPr>
        <w:t>源测评模式，并启用职业技能认证体系。这一举措的出台，配合其他措施，有助于使人才遴选原则更为客观，避免出现无关于个人能力水平的任意歧视。</w:t>
      </w:r>
    </w:p>
    <w:p w:rsidR="00A83775" w:rsidRDefault="00A83775">
      <w:pPr>
        <w:pStyle w:val="SingleTxtGC"/>
        <w:rPr>
          <w:lang w:val="zh-CN"/>
        </w:rPr>
      </w:pPr>
      <w:r>
        <w:rPr>
          <w:lang w:val="es-CO"/>
        </w:rPr>
        <w:t xml:space="preserve">420.  </w:t>
      </w:r>
      <w:r>
        <w:rPr>
          <w:rFonts w:hint="eastAsia"/>
          <w:lang w:val="es-CO"/>
        </w:rPr>
        <w:t>同样值得注意的是要协调各类劳务关系模式，理顺其使用，使一切工作都在</w:t>
      </w:r>
      <w:r>
        <w:rPr>
          <w:rFonts w:hint="eastAsia"/>
          <w:lang w:val="zh-CN"/>
        </w:rPr>
        <w:t>劳动规章的监管下实施，并促进建立长期劳务关系。这对于妇女来说尤为重要，因为她们是最易受非正规劳务关系影响的群体，而非正规劳动部门的劳务关系并不受《劳动法典》的约束。</w:t>
      </w:r>
    </w:p>
    <w:p w:rsidR="00A83775" w:rsidRDefault="00A83775">
      <w:pPr>
        <w:pStyle w:val="SingleTxtGC"/>
        <w:rPr>
          <w:lang w:val="zh-CN"/>
        </w:rPr>
      </w:pPr>
      <w:r>
        <w:rPr>
          <w:lang w:val="zh-CN"/>
        </w:rPr>
        <w:t xml:space="preserve">421.  </w:t>
      </w:r>
      <w:r>
        <w:rPr>
          <w:rFonts w:hint="eastAsia"/>
          <w:lang w:val="zh-CN"/>
        </w:rPr>
        <w:t>另一方面，有偿劳动很容易衡量其价值，其重点在于创造收入来满足个人自身的需要以及其核心家庭的需要，但是无偿劳动的重点在于照顾和料理家务，尽管无法以金钱来衡量，但家务劳动的价值在于为生产劳动提供后勤支持，实现家庭的发展，创造适当的卫生健康条件，维持家庭秩序并落实社会发展义务；这些资料表明家庭不仅仅是服务的要求者，也是要素的提供者。</w:t>
      </w:r>
    </w:p>
    <w:p w:rsidR="00A83775" w:rsidRDefault="00A83775">
      <w:pPr>
        <w:pStyle w:val="SingleTxtGC"/>
        <w:rPr>
          <w:lang w:val="es-CO"/>
        </w:rPr>
      </w:pPr>
      <w:r>
        <w:rPr>
          <w:lang w:val="zh-CN"/>
        </w:rPr>
        <w:t xml:space="preserve">422.  </w:t>
      </w:r>
      <w:r>
        <w:rPr>
          <w:rFonts w:hint="eastAsia"/>
          <w:lang w:val="zh-CN"/>
        </w:rPr>
        <w:t>但是，如果说在数量上的差距有所减少，但是在学校中在性别陈规定型观点上的延续（隐</w:t>
      </w:r>
      <w:r>
        <w:rPr>
          <w:rFonts w:hint="eastAsia"/>
          <w:lang w:val="es-CO"/>
        </w:rPr>
        <w:t>性课程）对女童、少女和妇女的能力、兴趣和潜力的全面开发仍会产生严重的负面影响，使男女差距更加拉大。</w:t>
      </w:r>
    </w:p>
    <w:p w:rsidR="00A83775" w:rsidRDefault="00A83775">
      <w:pPr>
        <w:pStyle w:val="SingleTxtGC"/>
        <w:rPr>
          <w:lang w:val="zh-CN"/>
        </w:rPr>
      </w:pPr>
      <w:r>
        <w:rPr>
          <w:lang w:val="es-CO"/>
        </w:rPr>
        <w:t xml:space="preserve">423.  </w:t>
      </w:r>
      <w:r>
        <w:rPr>
          <w:rFonts w:hint="eastAsia"/>
          <w:lang w:val="es-CO"/>
        </w:rPr>
        <w:t>哥伦比亚高等教育促进局的研究结果显示，从全国范围看，男子学院的就业</w:t>
      </w:r>
      <w:r>
        <w:rPr>
          <w:rFonts w:hint="eastAsia"/>
          <w:lang w:val="zh-CN"/>
        </w:rPr>
        <w:t>率要好于女子学院。在高等教育中，尽管女生的入学录取率和毕业率都要高于男生，但是在专业选择和教学方案上明显存在性别陈规定型观念。女生所选专业大多集中在艺术美学、教育师范学和人文科学等学科领域。而农艺、工程和数学类则是男生更为偏好的学科。</w:t>
      </w:r>
    </w:p>
    <w:p w:rsidR="00A83775" w:rsidRDefault="00A83775">
      <w:pPr>
        <w:pStyle w:val="SingleTxtGC"/>
        <w:rPr>
          <w:lang w:val="es-CO"/>
        </w:rPr>
      </w:pPr>
      <w:r>
        <w:rPr>
          <w:lang w:val="zh-CN"/>
        </w:rPr>
        <w:t xml:space="preserve">424.  </w:t>
      </w:r>
      <w:r>
        <w:rPr>
          <w:rFonts w:hint="eastAsia"/>
          <w:lang w:val="zh-CN"/>
        </w:rPr>
        <w:t>为分析这一现象，首要的一点就是要看到，学校并不是孤立于社会的一个机构，事</w:t>
      </w:r>
      <w:r>
        <w:rPr>
          <w:rFonts w:hint="eastAsia"/>
          <w:lang w:val="es-CO"/>
        </w:rPr>
        <w:t>实上有众多的周边产业机构与之相关联，为其提供服务。因此，学校倾向于向男生和女生灌输社会上的价值观和法则，在其中必然融入了其所在时代的文化观念。在这种情况下，尽管政府有意识地在各领域都推进落实两性平等，但是在社会的基本单元，在家庭、学校以及整个社会中都保留着性别陈规定型观念，在一些做法上仍带有对妇女的歧视。</w:t>
      </w:r>
    </w:p>
    <w:p w:rsidR="00A83775" w:rsidRDefault="00A83775">
      <w:pPr>
        <w:pStyle w:val="H1GC"/>
        <w:rPr>
          <w:lang w:val="es-ES_tradnl"/>
        </w:rPr>
      </w:pPr>
      <w:r>
        <w:rPr>
          <w:lang w:val="es-ES_tradnl"/>
        </w:rPr>
        <w:tab/>
        <w:t>C.</w:t>
      </w:r>
      <w:r>
        <w:rPr>
          <w:lang w:val="es-ES_tradnl"/>
        </w:rPr>
        <w:tab/>
      </w:r>
      <w:r>
        <w:rPr>
          <w:rFonts w:hint="eastAsia"/>
          <w:lang w:val="es-ES_tradnl"/>
        </w:rPr>
        <w:t>第十二条</w:t>
      </w:r>
      <w:r>
        <w:rPr>
          <w:lang w:val="es-ES_tradnl"/>
        </w:rPr>
        <w:t xml:space="preserve"> </w:t>
      </w:r>
    </w:p>
    <w:p w:rsidR="00A83775" w:rsidRDefault="00A83775">
      <w:pPr>
        <w:pStyle w:val="SingleTxtGC"/>
        <w:rPr>
          <w:lang w:val="es-ES_tradnl"/>
        </w:rPr>
      </w:pPr>
      <w:r>
        <w:rPr>
          <w:lang w:val="es-ES_tradnl"/>
        </w:rPr>
        <w:t xml:space="preserve">425.  </w:t>
      </w:r>
      <w:r>
        <w:rPr>
          <w:rFonts w:hint="eastAsia"/>
          <w:lang w:val="es-ES_tradnl"/>
        </w:rPr>
        <w:t>本节内容</w:t>
      </w:r>
      <w:r>
        <w:rPr>
          <w:rFonts w:hint="eastAsia"/>
          <w:lang w:val="es-ES"/>
        </w:rPr>
        <w:t>与委员会向哥伦比亚提出的具体建议（</w:t>
      </w:r>
      <w:r>
        <w:rPr>
          <w:lang w:val="es-ES"/>
        </w:rPr>
        <w:t>CEDAW/C/COL/CO/6</w:t>
      </w:r>
      <w:r>
        <w:rPr>
          <w:rFonts w:hint="eastAsia"/>
          <w:lang w:val="es-ES"/>
        </w:rPr>
        <w:t>，第</w:t>
      </w:r>
      <w:r>
        <w:rPr>
          <w:rFonts w:hint="eastAsia"/>
          <w:lang w:val="es-ES"/>
        </w:rPr>
        <w:t>23</w:t>
      </w:r>
      <w:r>
        <w:rPr>
          <w:rFonts w:hint="eastAsia"/>
          <w:lang w:val="es-ES"/>
        </w:rPr>
        <w:t>段）及委员会第</w:t>
      </w:r>
      <w:r>
        <w:rPr>
          <w:rFonts w:hint="eastAsia"/>
          <w:lang w:val="es-ES"/>
        </w:rPr>
        <w:t>12</w:t>
      </w:r>
      <w:r>
        <w:rPr>
          <w:rFonts w:hint="eastAsia"/>
          <w:lang w:val="es-ES"/>
        </w:rPr>
        <w:t>、</w:t>
      </w:r>
      <w:r>
        <w:rPr>
          <w:rFonts w:hint="eastAsia"/>
          <w:lang w:val="es-ES"/>
        </w:rPr>
        <w:t>14</w:t>
      </w:r>
      <w:r>
        <w:rPr>
          <w:rFonts w:hint="eastAsia"/>
          <w:lang w:val="es-ES"/>
        </w:rPr>
        <w:t>、</w:t>
      </w:r>
      <w:r>
        <w:rPr>
          <w:rFonts w:hint="eastAsia"/>
          <w:lang w:val="es-ES"/>
        </w:rPr>
        <w:t>15</w:t>
      </w:r>
      <w:r>
        <w:rPr>
          <w:rFonts w:hint="eastAsia"/>
          <w:lang w:val="es-ES"/>
        </w:rPr>
        <w:t>和</w:t>
      </w:r>
      <w:r>
        <w:rPr>
          <w:rFonts w:hint="eastAsia"/>
          <w:lang w:val="es-ES"/>
        </w:rPr>
        <w:t>19</w:t>
      </w:r>
      <w:r>
        <w:rPr>
          <w:rFonts w:hint="eastAsia"/>
          <w:lang w:val="es-ES"/>
        </w:rPr>
        <w:t>号一般性建议有关。</w:t>
      </w:r>
      <w:r>
        <w:rPr>
          <w:lang w:val="es-ES_tradnl"/>
        </w:rPr>
        <w:t xml:space="preserve"> </w:t>
      </w:r>
    </w:p>
    <w:p w:rsidR="00A83775" w:rsidRDefault="00A83775">
      <w:pPr>
        <w:pStyle w:val="H23GC"/>
        <w:rPr>
          <w:lang w:val="es-ES_tradnl"/>
        </w:rPr>
      </w:pPr>
      <w:r>
        <w:rPr>
          <w:lang w:val="es-ES_tradnl"/>
        </w:rPr>
        <w:tab/>
        <w:t>1.</w:t>
      </w:r>
      <w:r>
        <w:rPr>
          <w:lang w:val="es-ES_tradnl"/>
        </w:rPr>
        <w:tab/>
      </w:r>
      <w:r>
        <w:rPr>
          <w:rFonts w:hint="eastAsia"/>
          <w:lang w:val="es-ES_tradnl"/>
        </w:rPr>
        <w:t>行政措施</w:t>
      </w:r>
    </w:p>
    <w:p w:rsidR="00A83775" w:rsidRDefault="00A83775">
      <w:pPr>
        <w:pStyle w:val="SingleTxtGC"/>
        <w:rPr>
          <w:rFonts w:hint="eastAsia"/>
          <w:lang w:val="es-ES"/>
        </w:rPr>
      </w:pPr>
      <w:r>
        <w:rPr>
          <w:lang w:val="es-ES"/>
        </w:rPr>
        <w:t xml:space="preserve">426.  </w:t>
      </w:r>
      <w:r>
        <w:rPr>
          <w:rFonts w:eastAsia="SimHei" w:hint="eastAsia"/>
          <w:lang w:val="es-ES"/>
        </w:rPr>
        <w:t>医疗社会保障总体系</w:t>
      </w:r>
      <w:r>
        <w:rPr>
          <w:rFonts w:hint="eastAsia"/>
          <w:lang w:val="es-ES"/>
        </w:rPr>
        <w:t>。秉承减轻哥伦比亚的贫困现象这一主旨，政府已经作出了重大努力，以便所有的哥伦比亚人，特别是弱势人口在获得高质量的社会基本服务方面享有同等机会。通过保障政策力求确保所有人能够获得医疗保健服务，无论是是否具有支付能力，此外为医疗保健服务提供财政支持。到</w:t>
      </w:r>
      <w:r>
        <w:rPr>
          <w:rFonts w:hint="eastAsia"/>
          <w:lang w:val="es-ES"/>
        </w:rPr>
        <w:t>2009</w:t>
      </w:r>
      <w:r>
        <w:rPr>
          <w:rFonts w:hint="eastAsia"/>
          <w:lang w:val="es-ES"/>
        </w:rPr>
        <w:t>年，社会医疗保障总体系的参保人数达到了</w:t>
      </w:r>
      <w:r>
        <w:rPr>
          <w:rFonts w:hint="eastAsia"/>
          <w:lang w:val="es-ES"/>
        </w:rPr>
        <w:t>43</w:t>
      </w:r>
      <w:r>
        <w:rPr>
          <w:lang w:val="es-ES"/>
        </w:rPr>
        <w:t>,</w:t>
      </w:r>
      <w:r>
        <w:rPr>
          <w:rFonts w:hint="eastAsia"/>
          <w:lang w:val="es-ES"/>
        </w:rPr>
        <w:t>159</w:t>
      </w:r>
      <w:r>
        <w:rPr>
          <w:lang w:val="es-ES"/>
        </w:rPr>
        <w:t>,</w:t>
      </w:r>
      <w:r>
        <w:rPr>
          <w:rFonts w:hint="eastAsia"/>
          <w:lang w:val="es-ES"/>
        </w:rPr>
        <w:t>524</w:t>
      </w:r>
      <w:r>
        <w:rPr>
          <w:rFonts w:hint="eastAsia"/>
          <w:lang w:val="es-ES"/>
        </w:rPr>
        <w:t>人，使医疗保障覆盖了国内总人口的</w:t>
      </w:r>
      <w:r>
        <w:rPr>
          <w:rFonts w:hint="eastAsia"/>
          <w:lang w:val="es-ES"/>
        </w:rPr>
        <w:t>96%</w:t>
      </w:r>
      <w:r>
        <w:rPr>
          <w:rFonts w:hint="eastAsia"/>
          <w:lang w:val="es-ES"/>
        </w:rPr>
        <w:t>。接下来的表格显示了缴费参保、低保津贴、免费参保和特殊参保制度中参保人的分布情况。</w:t>
      </w:r>
    </w:p>
    <w:p w:rsidR="00A83775" w:rsidRDefault="00A83775">
      <w:pPr>
        <w:pStyle w:val="SingleTxtGC"/>
        <w:rPr>
          <w:rFonts w:eastAsia="SimHei" w:hint="eastAsia"/>
          <w:lang w:val="es-ES"/>
        </w:rPr>
      </w:pPr>
      <w:r>
        <w:rPr>
          <w:rFonts w:eastAsia="SimHei" w:hint="eastAsia"/>
          <w:lang w:val="es-ES"/>
        </w:rPr>
        <w:t>医疗社会保障总体系的参保人口</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1842"/>
        <w:gridCol w:w="1842"/>
        <w:gridCol w:w="1843"/>
        <w:gridCol w:w="1843"/>
      </w:tblGrid>
      <w:tr w:rsidR="00A83775">
        <w:trPr>
          <w:tblHeader/>
        </w:trPr>
        <w:tc>
          <w:tcPr>
            <w:tcW w:w="1842" w:type="dxa"/>
            <w:tcBorders>
              <w:top w:val="single" w:sz="4" w:space="0" w:color="auto"/>
              <w:bottom w:val="single" w:sz="12" w:space="0" w:color="auto"/>
            </w:tcBorders>
            <w:shd w:val="clear" w:color="auto" w:fill="auto"/>
            <w:vAlign w:val="bottom"/>
          </w:tcPr>
          <w:p w:rsidR="00A83775" w:rsidRDefault="00A83775">
            <w:pPr>
              <w:pStyle w:val="a1"/>
              <w:ind w:right="0"/>
              <w:rPr>
                <w:rFonts w:hint="eastAsia"/>
                <w:lang w:val="es-CO"/>
              </w:rPr>
            </w:pPr>
            <w:r>
              <w:rPr>
                <w:rFonts w:hint="eastAsia"/>
                <w:lang w:val="es-CO"/>
              </w:rPr>
              <w:t>保险制度</w:t>
            </w:r>
          </w:p>
        </w:tc>
        <w:tc>
          <w:tcPr>
            <w:tcW w:w="1842" w:type="dxa"/>
            <w:tcBorders>
              <w:top w:val="single" w:sz="4" w:space="0" w:color="auto"/>
              <w:bottom w:val="single" w:sz="12" w:space="0" w:color="auto"/>
            </w:tcBorders>
            <w:shd w:val="clear" w:color="auto" w:fill="auto"/>
            <w:vAlign w:val="bottom"/>
          </w:tcPr>
          <w:p w:rsidR="00A83775" w:rsidRDefault="00A83775">
            <w:pPr>
              <w:pStyle w:val="a1"/>
              <w:ind w:right="0"/>
              <w:jc w:val="right"/>
              <w:rPr>
                <w:lang w:val="es-CO" w:eastAsia="es-CO"/>
              </w:rPr>
            </w:pPr>
            <w:r>
              <w:rPr>
                <w:rFonts w:hint="eastAsia"/>
                <w:lang w:val="es-CO"/>
              </w:rPr>
              <w:t>参保人数</w:t>
            </w:r>
            <w:r>
              <w:rPr>
                <w:lang w:val="es-CO" w:eastAsia="es-CO"/>
              </w:rPr>
              <w:t xml:space="preserve"> </w:t>
            </w:r>
          </w:p>
        </w:tc>
        <w:tc>
          <w:tcPr>
            <w:tcW w:w="1843" w:type="dxa"/>
            <w:tcBorders>
              <w:top w:val="single" w:sz="4" w:space="0" w:color="auto"/>
              <w:bottom w:val="single" w:sz="12" w:space="0" w:color="auto"/>
            </w:tcBorders>
            <w:shd w:val="clear" w:color="auto" w:fill="auto"/>
            <w:vAlign w:val="bottom"/>
          </w:tcPr>
          <w:p w:rsidR="00A83775" w:rsidRDefault="00A83775">
            <w:pPr>
              <w:pStyle w:val="a1"/>
              <w:ind w:right="0"/>
              <w:jc w:val="right"/>
              <w:rPr>
                <w:lang w:val="es-CO"/>
              </w:rPr>
            </w:pPr>
            <w:r>
              <w:rPr>
                <w:rFonts w:hint="eastAsia"/>
                <w:lang w:val="es-CO"/>
              </w:rPr>
              <w:t>占医疗社会保障总体系参保人口的百分比</w:t>
            </w:r>
          </w:p>
        </w:tc>
        <w:tc>
          <w:tcPr>
            <w:tcW w:w="1843" w:type="dxa"/>
            <w:tcBorders>
              <w:top w:val="single" w:sz="4" w:space="0" w:color="auto"/>
              <w:bottom w:val="single" w:sz="12" w:space="0" w:color="auto"/>
            </w:tcBorders>
            <w:shd w:val="clear" w:color="auto" w:fill="auto"/>
            <w:vAlign w:val="bottom"/>
          </w:tcPr>
          <w:p w:rsidR="00A83775" w:rsidRDefault="00A83775">
            <w:pPr>
              <w:pStyle w:val="a1"/>
              <w:ind w:right="0"/>
              <w:jc w:val="right"/>
              <w:rPr>
                <w:lang w:val="es-CO" w:eastAsia="es-CO"/>
              </w:rPr>
            </w:pPr>
            <w:r>
              <w:rPr>
                <w:rFonts w:hint="eastAsia"/>
                <w:lang w:val="es-CO"/>
              </w:rPr>
              <w:t>占总人口的百分比</w:t>
            </w:r>
          </w:p>
        </w:tc>
      </w:tr>
      <w:tr w:rsidR="00A83775">
        <w:tc>
          <w:tcPr>
            <w:tcW w:w="1842" w:type="dxa"/>
            <w:tcBorders>
              <w:top w:val="single" w:sz="12" w:space="0" w:color="auto"/>
            </w:tcBorders>
            <w:shd w:val="clear" w:color="auto" w:fill="auto"/>
          </w:tcPr>
          <w:p w:rsidR="00A83775" w:rsidRDefault="00A83775">
            <w:pPr>
              <w:pStyle w:val="a6"/>
              <w:rPr>
                <w:rFonts w:hint="eastAsia"/>
                <w:lang w:val="es-CO"/>
              </w:rPr>
            </w:pPr>
            <w:r>
              <w:rPr>
                <w:rFonts w:hint="eastAsia"/>
                <w:lang w:val="es-CO"/>
              </w:rPr>
              <w:t>缴费参保</w:t>
            </w:r>
          </w:p>
        </w:tc>
        <w:tc>
          <w:tcPr>
            <w:tcW w:w="1842" w:type="dxa"/>
            <w:tcBorders>
              <w:top w:val="single" w:sz="12" w:space="0" w:color="auto"/>
            </w:tcBorders>
            <w:shd w:val="clear" w:color="auto" w:fill="auto"/>
          </w:tcPr>
          <w:p w:rsidR="00A83775" w:rsidRDefault="00A83775">
            <w:pPr>
              <w:pStyle w:val="a6"/>
              <w:ind w:right="0"/>
              <w:jc w:val="right"/>
              <w:rPr>
                <w:lang w:val="es-CO" w:eastAsia="es-CO"/>
              </w:rPr>
            </w:pPr>
            <w:r>
              <w:rPr>
                <w:lang w:val="es-CO" w:eastAsia="es-CO"/>
              </w:rPr>
              <w:t>17,563,485</w:t>
            </w:r>
          </w:p>
        </w:tc>
        <w:tc>
          <w:tcPr>
            <w:tcW w:w="1843" w:type="dxa"/>
            <w:tcBorders>
              <w:top w:val="single" w:sz="12" w:space="0" w:color="auto"/>
            </w:tcBorders>
            <w:shd w:val="clear" w:color="auto" w:fill="auto"/>
          </w:tcPr>
          <w:p w:rsidR="00A83775" w:rsidRDefault="00A83775">
            <w:pPr>
              <w:pStyle w:val="a6"/>
              <w:ind w:right="0"/>
              <w:jc w:val="right"/>
              <w:rPr>
                <w:lang w:val="es-CO" w:eastAsia="es-CO"/>
              </w:rPr>
            </w:pPr>
            <w:r>
              <w:rPr>
                <w:lang w:val="es-CO" w:eastAsia="es-CO"/>
              </w:rPr>
              <w:t>40.7%</w:t>
            </w:r>
          </w:p>
        </w:tc>
        <w:tc>
          <w:tcPr>
            <w:tcW w:w="1843" w:type="dxa"/>
            <w:tcBorders>
              <w:top w:val="single" w:sz="12" w:space="0" w:color="auto"/>
            </w:tcBorders>
            <w:shd w:val="clear" w:color="auto" w:fill="auto"/>
          </w:tcPr>
          <w:p w:rsidR="00A83775" w:rsidRDefault="00A83775">
            <w:pPr>
              <w:pStyle w:val="a6"/>
              <w:ind w:right="0"/>
              <w:jc w:val="right"/>
              <w:rPr>
                <w:lang w:val="es-CO" w:eastAsia="es-CO"/>
              </w:rPr>
            </w:pPr>
            <w:r>
              <w:rPr>
                <w:lang w:val="es-CO" w:eastAsia="es-CO"/>
              </w:rPr>
              <w:t>39%</w:t>
            </w:r>
          </w:p>
        </w:tc>
      </w:tr>
      <w:tr w:rsidR="00A83775">
        <w:tc>
          <w:tcPr>
            <w:tcW w:w="1842" w:type="dxa"/>
            <w:shd w:val="clear" w:color="auto" w:fill="auto"/>
          </w:tcPr>
          <w:p w:rsidR="00A83775" w:rsidRDefault="00A83775">
            <w:pPr>
              <w:pStyle w:val="a6"/>
              <w:rPr>
                <w:lang w:val="es-CO" w:eastAsia="es-CO"/>
              </w:rPr>
            </w:pPr>
            <w:r>
              <w:rPr>
                <w:rFonts w:hint="eastAsia"/>
                <w:lang w:val="es-CO"/>
              </w:rPr>
              <w:t>低保津贴</w:t>
            </w:r>
          </w:p>
        </w:tc>
        <w:tc>
          <w:tcPr>
            <w:tcW w:w="1842" w:type="dxa"/>
            <w:shd w:val="clear" w:color="auto" w:fill="auto"/>
          </w:tcPr>
          <w:p w:rsidR="00A83775" w:rsidRDefault="00A83775">
            <w:pPr>
              <w:pStyle w:val="a6"/>
              <w:ind w:right="0"/>
              <w:jc w:val="right"/>
              <w:rPr>
                <w:lang w:val="es-CO" w:eastAsia="es-CO"/>
              </w:rPr>
            </w:pPr>
            <w:r>
              <w:rPr>
                <w:lang w:val="es-CO" w:eastAsia="es-CO"/>
              </w:rPr>
              <w:t>23,373,913</w:t>
            </w:r>
          </w:p>
        </w:tc>
        <w:tc>
          <w:tcPr>
            <w:tcW w:w="1843" w:type="dxa"/>
            <w:shd w:val="clear" w:color="auto" w:fill="auto"/>
          </w:tcPr>
          <w:p w:rsidR="00A83775" w:rsidRDefault="00A83775">
            <w:pPr>
              <w:pStyle w:val="a6"/>
              <w:ind w:right="0"/>
              <w:jc w:val="right"/>
              <w:rPr>
                <w:lang w:val="es-CO" w:eastAsia="es-CO"/>
              </w:rPr>
            </w:pPr>
            <w:r>
              <w:rPr>
                <w:lang w:val="es-CO" w:eastAsia="es-CO"/>
              </w:rPr>
              <w:t>54.2%</w:t>
            </w:r>
          </w:p>
        </w:tc>
        <w:tc>
          <w:tcPr>
            <w:tcW w:w="1843" w:type="dxa"/>
            <w:shd w:val="clear" w:color="auto" w:fill="auto"/>
          </w:tcPr>
          <w:p w:rsidR="00A83775" w:rsidRDefault="00A83775">
            <w:pPr>
              <w:pStyle w:val="a6"/>
              <w:ind w:right="0"/>
              <w:jc w:val="right"/>
              <w:rPr>
                <w:lang w:val="es-CO" w:eastAsia="es-CO"/>
              </w:rPr>
            </w:pPr>
            <w:r>
              <w:rPr>
                <w:lang w:val="es-CO" w:eastAsia="es-CO"/>
              </w:rPr>
              <w:t>52%</w:t>
            </w:r>
          </w:p>
        </w:tc>
      </w:tr>
      <w:tr w:rsidR="00A83775">
        <w:tc>
          <w:tcPr>
            <w:tcW w:w="1842" w:type="dxa"/>
            <w:shd w:val="clear" w:color="auto" w:fill="auto"/>
          </w:tcPr>
          <w:p w:rsidR="00A83775" w:rsidRDefault="00A83775">
            <w:pPr>
              <w:pStyle w:val="a6"/>
              <w:rPr>
                <w:lang w:val="es-CO" w:eastAsia="es-CO"/>
              </w:rPr>
            </w:pPr>
            <w:r>
              <w:rPr>
                <w:rFonts w:hint="eastAsia"/>
                <w:lang w:val="es-CO"/>
              </w:rPr>
              <w:t>特殊参保</w:t>
            </w:r>
          </w:p>
        </w:tc>
        <w:tc>
          <w:tcPr>
            <w:tcW w:w="1842" w:type="dxa"/>
            <w:shd w:val="clear" w:color="auto" w:fill="auto"/>
          </w:tcPr>
          <w:p w:rsidR="00A83775" w:rsidRDefault="00A83775">
            <w:pPr>
              <w:pStyle w:val="a6"/>
              <w:ind w:right="0"/>
              <w:jc w:val="right"/>
              <w:rPr>
                <w:lang w:val="es-CO" w:eastAsia="es-CO"/>
              </w:rPr>
            </w:pPr>
            <w:r>
              <w:rPr>
                <w:lang w:val="es-CO" w:eastAsia="es-CO"/>
              </w:rPr>
              <w:t>2,222,126</w:t>
            </w:r>
          </w:p>
        </w:tc>
        <w:tc>
          <w:tcPr>
            <w:tcW w:w="1843" w:type="dxa"/>
            <w:shd w:val="clear" w:color="auto" w:fill="auto"/>
          </w:tcPr>
          <w:p w:rsidR="00A83775" w:rsidRDefault="00A83775">
            <w:pPr>
              <w:pStyle w:val="a6"/>
              <w:ind w:right="0"/>
              <w:jc w:val="right"/>
              <w:rPr>
                <w:lang w:val="es-CO" w:eastAsia="es-CO"/>
              </w:rPr>
            </w:pPr>
            <w:r>
              <w:rPr>
                <w:lang w:val="es-CO" w:eastAsia="es-CO"/>
              </w:rPr>
              <w:t>5.1%</w:t>
            </w:r>
          </w:p>
        </w:tc>
        <w:tc>
          <w:tcPr>
            <w:tcW w:w="1843" w:type="dxa"/>
            <w:shd w:val="clear" w:color="auto" w:fill="auto"/>
          </w:tcPr>
          <w:p w:rsidR="00A83775" w:rsidRDefault="00A83775">
            <w:pPr>
              <w:pStyle w:val="a6"/>
              <w:ind w:right="0"/>
              <w:jc w:val="right"/>
              <w:rPr>
                <w:lang w:val="es-CO" w:eastAsia="es-CO"/>
              </w:rPr>
            </w:pPr>
            <w:r>
              <w:rPr>
                <w:lang w:val="es-CO" w:eastAsia="es-CO"/>
              </w:rPr>
              <w:t>4.9%</w:t>
            </w:r>
          </w:p>
        </w:tc>
      </w:tr>
      <w:tr w:rsidR="00A83775">
        <w:tc>
          <w:tcPr>
            <w:tcW w:w="1842" w:type="dxa"/>
            <w:shd w:val="clear" w:color="auto" w:fill="auto"/>
          </w:tcPr>
          <w:p w:rsidR="00A83775" w:rsidRDefault="00A83775">
            <w:pPr>
              <w:pStyle w:val="a6"/>
              <w:rPr>
                <w:rFonts w:hint="eastAsia"/>
                <w:lang w:val="es-CO"/>
              </w:rPr>
            </w:pPr>
            <w:r>
              <w:rPr>
                <w:rFonts w:hint="eastAsia"/>
                <w:lang w:val="es-CO"/>
              </w:rPr>
              <w:t>覆盖人口</w:t>
            </w:r>
          </w:p>
        </w:tc>
        <w:tc>
          <w:tcPr>
            <w:tcW w:w="1842" w:type="dxa"/>
            <w:shd w:val="clear" w:color="auto" w:fill="auto"/>
          </w:tcPr>
          <w:p w:rsidR="00A83775" w:rsidRDefault="00A83775">
            <w:pPr>
              <w:pStyle w:val="a6"/>
              <w:ind w:right="0"/>
              <w:jc w:val="right"/>
              <w:rPr>
                <w:lang w:val="es-CO" w:eastAsia="es-CO"/>
              </w:rPr>
            </w:pPr>
            <w:r>
              <w:rPr>
                <w:lang w:val="es-CO" w:eastAsia="es-CO"/>
              </w:rPr>
              <w:t>43,159,524</w:t>
            </w:r>
          </w:p>
        </w:tc>
        <w:tc>
          <w:tcPr>
            <w:tcW w:w="1843" w:type="dxa"/>
            <w:shd w:val="clear" w:color="auto" w:fill="auto"/>
          </w:tcPr>
          <w:p w:rsidR="00A83775" w:rsidRDefault="00A83775">
            <w:pPr>
              <w:pStyle w:val="a6"/>
              <w:ind w:right="0"/>
              <w:jc w:val="right"/>
              <w:rPr>
                <w:lang w:val="es-CO" w:eastAsia="es-CO"/>
              </w:rPr>
            </w:pPr>
            <w:r>
              <w:rPr>
                <w:lang w:val="es-CO" w:eastAsia="es-CO"/>
              </w:rPr>
              <w:t> </w:t>
            </w:r>
          </w:p>
        </w:tc>
        <w:tc>
          <w:tcPr>
            <w:tcW w:w="1843" w:type="dxa"/>
            <w:shd w:val="clear" w:color="auto" w:fill="auto"/>
          </w:tcPr>
          <w:p w:rsidR="00A83775" w:rsidRDefault="00A83775">
            <w:pPr>
              <w:pStyle w:val="a6"/>
              <w:ind w:right="0"/>
              <w:jc w:val="right"/>
              <w:rPr>
                <w:lang w:val="es-CO" w:eastAsia="es-CO"/>
              </w:rPr>
            </w:pPr>
            <w:r>
              <w:rPr>
                <w:lang w:val="es-CO" w:eastAsia="es-CO"/>
              </w:rPr>
              <w:t>96%</w:t>
            </w:r>
          </w:p>
        </w:tc>
      </w:tr>
      <w:tr w:rsidR="00A83775">
        <w:tc>
          <w:tcPr>
            <w:tcW w:w="1842" w:type="dxa"/>
            <w:tcBorders>
              <w:bottom w:val="single" w:sz="12" w:space="0" w:color="auto"/>
            </w:tcBorders>
            <w:shd w:val="clear" w:color="auto" w:fill="auto"/>
          </w:tcPr>
          <w:p w:rsidR="00A83775" w:rsidRDefault="00A83775">
            <w:pPr>
              <w:pStyle w:val="a6"/>
              <w:rPr>
                <w:rFonts w:hint="eastAsia"/>
                <w:lang w:val="es-CO"/>
              </w:rPr>
            </w:pPr>
            <w:r>
              <w:rPr>
                <w:rFonts w:hint="eastAsia"/>
                <w:lang w:val="es-CO"/>
              </w:rPr>
              <w:t>未参保人口</w:t>
            </w:r>
          </w:p>
        </w:tc>
        <w:tc>
          <w:tcPr>
            <w:tcW w:w="1842" w:type="dxa"/>
            <w:tcBorders>
              <w:bottom w:val="single" w:sz="12" w:space="0" w:color="auto"/>
            </w:tcBorders>
            <w:shd w:val="clear" w:color="auto" w:fill="auto"/>
          </w:tcPr>
          <w:p w:rsidR="00A83775" w:rsidRDefault="00A83775">
            <w:pPr>
              <w:pStyle w:val="a6"/>
              <w:ind w:right="0"/>
              <w:jc w:val="right"/>
              <w:rPr>
                <w:lang w:val="es-CO" w:eastAsia="es-CO"/>
              </w:rPr>
            </w:pPr>
            <w:r>
              <w:rPr>
                <w:lang w:val="es-CO" w:eastAsia="es-CO"/>
              </w:rPr>
              <w:t>1,818,234</w:t>
            </w:r>
          </w:p>
        </w:tc>
        <w:tc>
          <w:tcPr>
            <w:tcW w:w="1843" w:type="dxa"/>
            <w:tcBorders>
              <w:bottom w:val="single" w:sz="12" w:space="0" w:color="auto"/>
            </w:tcBorders>
            <w:shd w:val="clear" w:color="auto" w:fill="auto"/>
          </w:tcPr>
          <w:p w:rsidR="00A83775" w:rsidRDefault="00A83775">
            <w:pPr>
              <w:pStyle w:val="a6"/>
              <w:ind w:right="0"/>
              <w:jc w:val="right"/>
              <w:rPr>
                <w:lang w:val="es-CO" w:eastAsia="es-CO"/>
              </w:rPr>
            </w:pPr>
            <w:r>
              <w:rPr>
                <w:lang w:val="es-CO" w:eastAsia="es-CO"/>
              </w:rPr>
              <w:t> </w:t>
            </w:r>
          </w:p>
        </w:tc>
        <w:tc>
          <w:tcPr>
            <w:tcW w:w="1843" w:type="dxa"/>
            <w:tcBorders>
              <w:bottom w:val="single" w:sz="12" w:space="0" w:color="auto"/>
            </w:tcBorders>
            <w:shd w:val="clear" w:color="auto" w:fill="auto"/>
          </w:tcPr>
          <w:p w:rsidR="00A83775" w:rsidRDefault="00A83775">
            <w:pPr>
              <w:pStyle w:val="a6"/>
              <w:ind w:right="0"/>
              <w:jc w:val="right"/>
              <w:rPr>
                <w:lang w:val="es-CO" w:eastAsia="es-CO"/>
              </w:rPr>
            </w:pPr>
            <w:r>
              <w:rPr>
                <w:lang w:val="es-CO" w:eastAsia="es-CO"/>
              </w:rPr>
              <w:t>4% </w:t>
            </w:r>
          </w:p>
        </w:tc>
      </w:tr>
    </w:tbl>
    <w:p w:rsidR="00A83775" w:rsidRDefault="00A83775">
      <w:pPr>
        <w:pStyle w:val="SingleTxtGC"/>
        <w:spacing w:after="0" w:line="200" w:lineRule="exact"/>
        <w:rPr>
          <w:rFonts w:eastAsia="SimHei"/>
          <w:lang w:val="en-GB"/>
        </w:rPr>
      </w:pPr>
    </w:p>
    <w:p w:rsidR="00A83775" w:rsidRDefault="00A83775">
      <w:pPr>
        <w:pStyle w:val="SingleTxtGC"/>
        <w:rPr>
          <w:rFonts w:hint="eastAsia"/>
        </w:rPr>
      </w:pPr>
      <w:r>
        <w:rPr>
          <w:rFonts w:eastAsia="KaiTi_GB2312" w:hint="eastAsia"/>
          <w:sz w:val="19"/>
          <w:szCs w:val="19"/>
        </w:rPr>
        <w:t>资料来源：</w:t>
      </w:r>
      <w:r>
        <w:rPr>
          <w:rFonts w:hint="eastAsia"/>
          <w:sz w:val="19"/>
          <w:szCs w:val="19"/>
          <w:lang w:val="es-CO"/>
        </w:rPr>
        <w:t>政策规划和分析总局</w:t>
      </w:r>
      <w:r>
        <w:rPr>
          <w:rFonts w:eastAsia="SimHei" w:hint="eastAsia"/>
          <w:spacing w:val="-50"/>
          <w:lang w:val="en-GB"/>
        </w:rPr>
        <w:t>―</w:t>
      </w:r>
      <w:r>
        <w:rPr>
          <w:rFonts w:eastAsia="SimHei" w:hint="eastAsia"/>
          <w:lang w:val="en-GB"/>
        </w:rPr>
        <w:t>―</w:t>
      </w:r>
      <w:r>
        <w:rPr>
          <w:rFonts w:hint="eastAsia"/>
          <w:sz w:val="19"/>
          <w:szCs w:val="19"/>
          <w:lang w:val="es-CO"/>
        </w:rPr>
        <w:t>信息系统工作组和医疗保健需求管理总局。截至</w:t>
      </w:r>
      <w:r>
        <w:rPr>
          <w:rFonts w:hint="eastAsia"/>
          <w:sz w:val="19"/>
          <w:szCs w:val="19"/>
          <w:lang w:val="es-CO"/>
        </w:rPr>
        <w:t>2009</w:t>
      </w:r>
      <w:r>
        <w:rPr>
          <w:rFonts w:hint="eastAsia"/>
          <w:sz w:val="19"/>
          <w:szCs w:val="19"/>
          <w:lang w:val="es-CO"/>
        </w:rPr>
        <w:t>年</w:t>
      </w:r>
      <w:r>
        <w:rPr>
          <w:rFonts w:hint="eastAsia"/>
          <w:sz w:val="19"/>
          <w:szCs w:val="19"/>
          <w:lang w:val="es-CO"/>
        </w:rPr>
        <w:t>12</w:t>
      </w:r>
      <w:r>
        <w:rPr>
          <w:rFonts w:hint="eastAsia"/>
          <w:sz w:val="19"/>
          <w:szCs w:val="19"/>
          <w:lang w:val="es-CO"/>
        </w:rPr>
        <w:t>月的资料信息。</w:t>
      </w:r>
    </w:p>
    <w:p w:rsidR="00A83775" w:rsidRDefault="00A83775">
      <w:pPr>
        <w:pStyle w:val="H23GC"/>
        <w:rPr>
          <w:lang w:val="es-ES"/>
        </w:rPr>
      </w:pPr>
      <w:r>
        <w:rPr>
          <w:lang w:val="es-CO"/>
        </w:rPr>
        <w:tab/>
      </w:r>
      <w:r>
        <w:rPr>
          <w:lang w:val="es-CO"/>
        </w:rPr>
        <w:tab/>
        <w:t>Supersalud</w:t>
      </w:r>
      <w:r>
        <w:rPr>
          <w:rFonts w:hint="eastAsia"/>
          <w:lang w:val="es-CO"/>
        </w:rPr>
        <w:t>（特殊参保和免费参保制度），截至</w:t>
      </w:r>
      <w:r>
        <w:rPr>
          <w:rFonts w:hint="eastAsia"/>
          <w:lang w:val="es-CO"/>
        </w:rPr>
        <w:t>2009</w:t>
      </w:r>
      <w:r>
        <w:rPr>
          <w:rFonts w:hint="eastAsia"/>
          <w:lang w:val="es-CO"/>
        </w:rPr>
        <w:t>年</w:t>
      </w:r>
      <w:r>
        <w:rPr>
          <w:rFonts w:hint="eastAsia"/>
          <w:lang w:val="es-CO"/>
        </w:rPr>
        <w:t>6</w:t>
      </w:r>
      <w:r>
        <w:rPr>
          <w:rFonts w:hint="eastAsia"/>
          <w:lang w:val="es-CO"/>
        </w:rPr>
        <w:t>月的资料</w:t>
      </w:r>
    </w:p>
    <w:p w:rsidR="00A83775" w:rsidRDefault="00A83775">
      <w:pPr>
        <w:pStyle w:val="SingleTxtGC"/>
        <w:rPr>
          <w:lang w:val="zh-CN"/>
        </w:rPr>
      </w:pPr>
      <w:r>
        <w:rPr>
          <w:lang w:val="es-ES"/>
        </w:rPr>
        <w:t xml:space="preserve">427.  </w:t>
      </w:r>
      <w:r>
        <w:rPr>
          <w:rFonts w:hint="eastAsia"/>
          <w:lang w:val="zh-CN"/>
        </w:rPr>
        <w:t>在附件</w:t>
      </w:r>
      <w:r>
        <w:rPr>
          <w:rFonts w:hint="eastAsia"/>
          <w:lang w:val="zh-CN"/>
        </w:rPr>
        <w:t>1</w:t>
      </w:r>
      <w:r>
        <w:rPr>
          <w:rFonts w:hint="eastAsia"/>
          <w:lang w:val="zh-CN"/>
        </w:rPr>
        <w:t>中介绍了关于如何实现扩大社会保障体系覆盖面这一目标的信息。</w:t>
      </w:r>
    </w:p>
    <w:p w:rsidR="00A83775" w:rsidRDefault="00A83775">
      <w:pPr>
        <w:pStyle w:val="SingleTxtGC"/>
        <w:rPr>
          <w:rFonts w:hint="eastAsia"/>
          <w:bCs/>
          <w:iCs/>
          <w:lang w:val="es-ES"/>
        </w:rPr>
      </w:pPr>
      <w:r>
        <w:rPr>
          <w:lang w:val="zh-CN"/>
        </w:rPr>
        <w:t xml:space="preserve">428.  </w:t>
      </w:r>
      <w:r>
        <w:rPr>
          <w:rFonts w:eastAsia="KaiTi_GB2312" w:hint="eastAsia"/>
          <w:lang w:val="zh-CN"/>
        </w:rPr>
        <w:t>全面社会保障和养老金</w:t>
      </w:r>
      <w:r>
        <w:rPr>
          <w:rFonts w:hint="eastAsia"/>
          <w:lang w:val="zh-CN"/>
        </w:rPr>
        <w:t>。在</w:t>
      </w:r>
      <w:r>
        <w:rPr>
          <w:rFonts w:hint="eastAsia"/>
          <w:lang w:val="zh-CN"/>
        </w:rPr>
        <w:t>2000-2010</w:t>
      </w:r>
      <w:r>
        <w:rPr>
          <w:rFonts w:hint="eastAsia"/>
          <w:lang w:val="zh-CN"/>
        </w:rPr>
        <w:t>年代初，国家清醒认识到了养老金债务增长态势失控，有必要进行变革。因此，取消了特别养老金制度，并对不相称的养老金</w:t>
      </w:r>
      <w:r>
        <w:rPr>
          <w:rFonts w:hint="eastAsia"/>
          <w:bCs/>
          <w:iCs/>
          <w:lang w:val="es-ES"/>
        </w:rPr>
        <w:t>设置了限制，规定了取空个人账户的上限。此外，五名老年人中有四名没有任何养老金待遇，因此要制定对此类人口的帮扶机制。针对这一制度的一切变革都要求尊重养老金受益者的既得权利。</w:t>
      </w:r>
    </w:p>
    <w:p w:rsidR="00A83775" w:rsidRDefault="00A83775">
      <w:pPr>
        <w:pStyle w:val="SingleTxtGC"/>
      </w:pPr>
      <w:r>
        <w:rPr>
          <w:lang w:val="es-ES"/>
        </w:rPr>
        <w:t xml:space="preserve">429.  </w:t>
      </w:r>
      <w:r>
        <w:rPr>
          <w:rFonts w:hint="eastAsia"/>
          <w:lang w:val="es-ES"/>
        </w:rPr>
        <w:t>在这一制度的覆盖面上，</w:t>
      </w:r>
      <w:r>
        <w:rPr>
          <w:rFonts w:hint="eastAsia"/>
          <w:lang w:val="es-ES"/>
        </w:rPr>
        <w:t>2002-2010</w:t>
      </w:r>
      <w:r>
        <w:rPr>
          <w:rFonts w:hint="eastAsia"/>
          <w:lang w:val="es-ES"/>
        </w:rPr>
        <w:t>年期间，该体系的活跃参保人数从</w:t>
      </w:r>
      <w:r>
        <w:rPr>
          <w:rFonts w:hint="eastAsia"/>
          <w:lang w:val="es-ES"/>
        </w:rPr>
        <w:t>2002</w:t>
      </w:r>
      <w:r>
        <w:rPr>
          <w:rFonts w:hint="eastAsia"/>
          <w:lang w:val="es-ES"/>
        </w:rPr>
        <w:t>年的</w:t>
      </w:r>
      <w:r>
        <w:rPr>
          <w:rFonts w:hint="eastAsia"/>
          <w:lang w:val="es-ES"/>
        </w:rPr>
        <w:t>4,5</w:t>
      </w:r>
      <w:r>
        <w:rPr>
          <w:rFonts w:hint="eastAsia"/>
          <w:lang w:val="zh-CN"/>
        </w:rPr>
        <w:t>36,450</w:t>
      </w:r>
      <w:r>
        <w:rPr>
          <w:rFonts w:hint="eastAsia"/>
          <w:lang w:val="zh-CN"/>
        </w:rPr>
        <w:t>人发展为</w:t>
      </w:r>
      <w:r>
        <w:rPr>
          <w:rFonts w:hint="eastAsia"/>
          <w:lang w:val="zh-CN"/>
        </w:rPr>
        <w:t>2010</w:t>
      </w:r>
      <w:r>
        <w:rPr>
          <w:rFonts w:hint="eastAsia"/>
          <w:lang w:val="zh-CN"/>
        </w:rPr>
        <w:t>年的</w:t>
      </w:r>
      <w:r>
        <w:rPr>
          <w:rFonts w:hint="eastAsia"/>
          <w:lang w:val="zh-CN"/>
        </w:rPr>
        <w:t>7,029,859</w:t>
      </w:r>
      <w:r>
        <w:rPr>
          <w:rFonts w:hint="eastAsia"/>
          <w:lang w:val="zh-CN"/>
        </w:rPr>
        <w:t>人，增幅达到</w:t>
      </w:r>
      <w:r>
        <w:rPr>
          <w:rFonts w:hint="eastAsia"/>
          <w:lang w:val="zh-CN"/>
        </w:rPr>
        <w:t>55%</w:t>
      </w:r>
      <w:r>
        <w:rPr>
          <w:rFonts w:hint="eastAsia"/>
          <w:lang w:val="zh-CN"/>
        </w:rPr>
        <w:t>，即新增参保人员</w:t>
      </w:r>
      <w:r>
        <w:rPr>
          <w:rFonts w:hint="eastAsia"/>
          <w:lang w:val="zh-CN"/>
        </w:rPr>
        <w:t>2,493,409</w:t>
      </w:r>
      <w:r>
        <w:rPr>
          <w:rFonts w:hint="eastAsia"/>
          <w:lang w:val="zh-CN"/>
        </w:rPr>
        <w:t>人。</w:t>
      </w:r>
    </w:p>
    <w:p w:rsidR="00A83775" w:rsidRDefault="00A83775">
      <w:pPr>
        <w:pStyle w:val="SingleTxtGC"/>
        <w:rPr>
          <w:rFonts w:hint="eastAsia"/>
          <w:lang w:val="zh-CN"/>
        </w:rPr>
      </w:pPr>
      <w:r>
        <w:rPr>
          <w:lang w:val="zh-CN"/>
        </w:rPr>
        <w:t xml:space="preserve">430.  </w:t>
      </w:r>
      <w:r>
        <w:rPr>
          <w:rFonts w:eastAsia="KaiTi_GB2312" w:hint="eastAsia"/>
          <w:lang w:val="zh-CN"/>
        </w:rPr>
        <w:t>职业风险</w:t>
      </w:r>
      <w:r>
        <w:rPr>
          <w:rFonts w:hint="eastAsia"/>
          <w:lang w:val="zh-CN"/>
        </w:rPr>
        <w:t>。职业风险总体系始创于</w:t>
      </w:r>
      <w:r>
        <w:rPr>
          <w:rFonts w:hint="eastAsia"/>
          <w:lang w:val="zh-CN"/>
        </w:rPr>
        <w:t>1994</w:t>
      </w:r>
      <w:r>
        <w:rPr>
          <w:rFonts w:hint="eastAsia"/>
          <w:lang w:val="zh-CN"/>
        </w:rPr>
        <w:t>年，最初有</w:t>
      </w:r>
      <w:r>
        <w:rPr>
          <w:rFonts w:hint="eastAsia"/>
          <w:lang w:val="zh-CN"/>
        </w:rPr>
        <w:t>3</w:t>
      </w:r>
      <w:r>
        <w:t>,</w:t>
      </w:r>
      <w:r>
        <w:rPr>
          <w:rFonts w:hint="eastAsia"/>
          <w:lang w:val="zh-CN"/>
        </w:rPr>
        <w:t>622</w:t>
      </w:r>
      <w:r>
        <w:t>,</w:t>
      </w:r>
      <w:r>
        <w:rPr>
          <w:rFonts w:hint="eastAsia"/>
          <w:lang w:val="zh-CN"/>
        </w:rPr>
        <w:t>402</w:t>
      </w:r>
      <w:r>
        <w:rPr>
          <w:rFonts w:hint="eastAsia"/>
          <w:lang w:val="zh-CN"/>
        </w:rPr>
        <w:t>名参保人；</w:t>
      </w:r>
      <w:r>
        <w:rPr>
          <w:rFonts w:hint="eastAsia"/>
          <w:lang w:val="zh-CN"/>
        </w:rPr>
        <w:t>1994</w:t>
      </w:r>
      <w:r>
        <w:rPr>
          <w:rFonts w:hint="eastAsia"/>
          <w:lang w:val="zh-CN"/>
        </w:rPr>
        <w:t>至</w:t>
      </w:r>
      <w:r>
        <w:rPr>
          <w:rFonts w:hint="eastAsia"/>
          <w:lang w:val="zh-CN"/>
        </w:rPr>
        <w:t>2002</w:t>
      </w:r>
      <w:r>
        <w:rPr>
          <w:rFonts w:hint="eastAsia"/>
          <w:lang w:val="zh-CN"/>
        </w:rPr>
        <w:t>年期间新增</w:t>
      </w:r>
      <w:r>
        <w:rPr>
          <w:rFonts w:hint="eastAsia"/>
          <w:lang w:val="zh-CN"/>
        </w:rPr>
        <w:t>542</w:t>
      </w:r>
      <w:r>
        <w:t>,</w:t>
      </w:r>
      <w:r>
        <w:rPr>
          <w:rFonts w:hint="eastAsia"/>
          <w:lang w:val="zh-CN"/>
        </w:rPr>
        <w:t>573</w:t>
      </w:r>
      <w:r>
        <w:rPr>
          <w:rFonts w:hint="eastAsia"/>
          <w:lang w:val="zh-CN"/>
        </w:rPr>
        <w:t>名参保人，覆盖面有所扩大，但是个体劳动者无法参保。为此，使个体劳动者参保该体系已被定为一项重点工作。当前，个体劳动者在与自然人或法人签署了民事、商事或行政类合同的情况下，即可通过某一行会的中介，以集体参保的方式加入这一体系。</w:t>
      </w:r>
    </w:p>
    <w:p w:rsidR="00A83775" w:rsidRDefault="00A83775">
      <w:pPr>
        <w:pStyle w:val="SingleTxtGC"/>
        <w:rPr>
          <w:rFonts w:hint="eastAsia"/>
          <w:lang w:val="es-MX"/>
        </w:rPr>
      </w:pPr>
      <w:r>
        <w:rPr>
          <w:lang w:val="zh-CN"/>
        </w:rPr>
        <w:t xml:space="preserve">431.  </w:t>
      </w:r>
      <w:r>
        <w:rPr>
          <w:rFonts w:hint="eastAsia"/>
          <w:lang w:val="zh-CN"/>
        </w:rPr>
        <w:t>在</w:t>
      </w:r>
      <w:r>
        <w:rPr>
          <w:rFonts w:hint="eastAsia"/>
          <w:lang w:val="zh-CN"/>
        </w:rPr>
        <w:t>2006-2010</w:t>
      </w:r>
      <w:r>
        <w:rPr>
          <w:rFonts w:hint="eastAsia"/>
          <w:lang w:val="zh-CN"/>
        </w:rPr>
        <w:t>年期间，社会保障部一直在努力发展一项旨在减少漏缴或逃缴保费的综合政策，而职业风险总体系，在这一政策的指导下，也已经开展了三类战略，即：社会保</w:t>
      </w:r>
      <w:r>
        <w:rPr>
          <w:rFonts w:hint="eastAsia"/>
          <w:lang w:val="es-MX"/>
        </w:rPr>
        <w:t>障综合信息体系、信息宣传运动和对企业的查访工作。</w:t>
      </w:r>
    </w:p>
    <w:p w:rsidR="00A83775" w:rsidRDefault="00A83775">
      <w:pPr>
        <w:pStyle w:val="SingleTxtGC"/>
        <w:rPr>
          <w:lang w:val="es-ES"/>
        </w:rPr>
      </w:pPr>
      <w:r>
        <w:rPr>
          <w:bCs/>
          <w:iCs/>
          <w:lang w:val="es-ES"/>
        </w:rPr>
        <w:t xml:space="preserve">432.  </w:t>
      </w:r>
      <w:r>
        <w:rPr>
          <w:rFonts w:eastAsia="KaiTi_GB2312" w:hint="eastAsia"/>
          <w:bCs/>
          <w:iCs/>
          <w:lang w:val="es-ES"/>
        </w:rPr>
        <w:t>提供医疗保健服务</w:t>
      </w:r>
      <w:r>
        <w:rPr>
          <w:rFonts w:hint="eastAsia"/>
          <w:bCs/>
          <w:iCs/>
          <w:lang w:val="es-ES"/>
        </w:rPr>
        <w:t>。社会保障部在近六年中集中精力开展工作，以使国家不仅能够发展足够的服务提供单位规模，还能具备相应的高素质医务人员和能够为</w:t>
      </w:r>
      <w:r>
        <w:rPr>
          <w:rFonts w:hint="eastAsia"/>
          <w:lang w:val="zh-CN"/>
        </w:rPr>
        <w:t>公众</w:t>
      </w:r>
      <w:r>
        <w:rPr>
          <w:rFonts w:hint="eastAsia"/>
          <w:bCs/>
          <w:iCs/>
          <w:lang w:val="es-ES"/>
        </w:rPr>
        <w:t>提供优质医疗服务的医院，并从多样化干预的角度达成这一构想。</w:t>
      </w:r>
      <w:r>
        <w:rPr>
          <w:lang w:val="es-ES"/>
        </w:rPr>
        <w:t xml:space="preserve"> </w:t>
      </w:r>
    </w:p>
    <w:p w:rsidR="00A83775" w:rsidRDefault="00A83775">
      <w:pPr>
        <w:pStyle w:val="SingleTxtGC"/>
        <w:rPr>
          <w:lang w:val="es-ES"/>
        </w:rPr>
      </w:pPr>
      <w:r>
        <w:rPr>
          <w:lang w:val="es-ES"/>
        </w:rPr>
        <w:t xml:space="preserve">433.  </w:t>
      </w:r>
      <w:r>
        <w:rPr>
          <w:rFonts w:hint="eastAsia"/>
          <w:lang w:val="es-ES"/>
        </w:rPr>
        <w:t>其主要目的在于：</w:t>
      </w:r>
    </w:p>
    <w:p w:rsidR="00A83775" w:rsidRDefault="00A83775">
      <w:pPr>
        <w:pStyle w:val="SingleTxtGC"/>
        <w:numPr>
          <w:ilvl w:val="0"/>
          <w:numId w:val="54"/>
        </w:numPr>
        <w:rPr>
          <w:lang w:val="es-ES"/>
        </w:rPr>
      </w:pPr>
      <w:r>
        <w:rPr>
          <w:rFonts w:hint="eastAsia"/>
          <w:lang w:val="es-ES"/>
        </w:rPr>
        <w:t>启动实施能够确保哥伦比亚医疗卫生质量的强制性保障体系；</w:t>
      </w:r>
    </w:p>
    <w:p w:rsidR="00A83775" w:rsidRDefault="00A83775">
      <w:pPr>
        <w:pStyle w:val="SingleTxtGC"/>
        <w:numPr>
          <w:ilvl w:val="0"/>
          <w:numId w:val="54"/>
        </w:numPr>
        <w:rPr>
          <w:lang w:val="es-ES"/>
        </w:rPr>
      </w:pPr>
      <w:r>
        <w:rPr>
          <w:rFonts w:hint="eastAsia"/>
          <w:lang w:val="es-ES"/>
        </w:rPr>
        <w:t>鼓励医疗服务提供商提高其服务能力，以便应对国内多样化的复杂医疗服务需求；</w:t>
      </w:r>
    </w:p>
    <w:p w:rsidR="00A83775" w:rsidRDefault="00A83775">
      <w:pPr>
        <w:pStyle w:val="SingleTxtGC"/>
        <w:numPr>
          <w:ilvl w:val="0"/>
          <w:numId w:val="54"/>
        </w:numPr>
        <w:rPr>
          <w:lang w:val="es-ES"/>
        </w:rPr>
      </w:pPr>
      <w:r>
        <w:rPr>
          <w:rFonts w:hint="eastAsia"/>
          <w:lang w:val="es-ES"/>
        </w:rPr>
        <w:t>对地方公共医疗服务工作进行重新整顿，以领导各级公共医疗保障机构开展整改和现代化进程；</w:t>
      </w:r>
    </w:p>
    <w:p w:rsidR="00A83775" w:rsidRDefault="00A83775">
      <w:pPr>
        <w:pStyle w:val="SingleTxtGC"/>
        <w:numPr>
          <w:ilvl w:val="0"/>
          <w:numId w:val="54"/>
        </w:numPr>
        <w:rPr>
          <w:lang w:val="es-ES"/>
        </w:rPr>
      </w:pPr>
      <w:r>
        <w:rPr>
          <w:rFonts w:hint="eastAsia"/>
          <w:lang w:val="es-ES"/>
        </w:rPr>
        <w:t>增强国内的医疗服务基础设施实力；</w:t>
      </w:r>
    </w:p>
    <w:p w:rsidR="00A83775" w:rsidRDefault="00A83775">
      <w:pPr>
        <w:pStyle w:val="SingleTxtGC"/>
        <w:numPr>
          <w:ilvl w:val="0"/>
          <w:numId w:val="54"/>
        </w:numPr>
        <w:rPr>
          <w:lang w:val="es-ES"/>
        </w:rPr>
      </w:pPr>
      <w:r>
        <w:rPr>
          <w:rFonts w:hint="eastAsia"/>
          <w:lang w:val="es-ES"/>
        </w:rPr>
        <w:t>对需要特殊监管的医疗服务以及在医疗服务工作中所使用的技术进行规范；</w:t>
      </w:r>
      <w:r>
        <w:rPr>
          <w:lang w:val="es-ES"/>
        </w:rPr>
        <w:t xml:space="preserve"> </w:t>
      </w:r>
    </w:p>
    <w:p w:rsidR="00A83775" w:rsidRDefault="00A83775">
      <w:pPr>
        <w:pStyle w:val="SingleTxtGC"/>
        <w:numPr>
          <w:ilvl w:val="0"/>
          <w:numId w:val="54"/>
        </w:numPr>
        <w:rPr>
          <w:lang w:val="es-ES"/>
        </w:rPr>
      </w:pPr>
      <w:r>
        <w:rPr>
          <w:rFonts w:hint="eastAsia"/>
          <w:lang w:val="es-ES"/>
        </w:rPr>
        <w:t>开发医疗卫生部门的人力资源。</w:t>
      </w:r>
    </w:p>
    <w:p w:rsidR="00A83775" w:rsidRDefault="00A83775">
      <w:pPr>
        <w:pStyle w:val="SingleTxtGC"/>
        <w:rPr>
          <w:lang w:val="zh-CN"/>
        </w:rPr>
      </w:pPr>
      <w:r>
        <w:rPr>
          <w:lang w:val="es-ES"/>
        </w:rPr>
        <w:t xml:space="preserve">434.  </w:t>
      </w:r>
      <w:r>
        <w:rPr>
          <w:rFonts w:hint="eastAsia"/>
          <w:lang w:val="es-ES"/>
        </w:rPr>
        <w:t>在</w:t>
      </w:r>
      <w:r>
        <w:rPr>
          <w:rFonts w:hint="eastAsia"/>
          <w:lang w:val="zh-CN"/>
        </w:rPr>
        <w:t>下文中现状</w:t>
      </w:r>
      <w:r>
        <w:rPr>
          <w:rFonts w:hint="eastAsia"/>
          <w:lang w:val="zh-CN"/>
        </w:rPr>
        <w:t>/</w:t>
      </w:r>
      <w:r>
        <w:rPr>
          <w:rFonts w:hint="eastAsia"/>
          <w:lang w:val="zh-CN"/>
        </w:rPr>
        <w:t>统计信息所对应的小节中，将对能够表明社会保障总体系所取得的成果的各项指标进行介绍。</w:t>
      </w:r>
    </w:p>
    <w:p w:rsidR="00A83775" w:rsidRDefault="00A83775">
      <w:pPr>
        <w:pStyle w:val="SingleTxtGC"/>
        <w:rPr>
          <w:rFonts w:hint="eastAsia"/>
          <w:lang w:val="es-ES"/>
        </w:rPr>
      </w:pPr>
      <w:r>
        <w:rPr>
          <w:lang w:val="zh-CN"/>
        </w:rPr>
        <w:t xml:space="preserve">435.  </w:t>
      </w:r>
      <w:r>
        <w:rPr>
          <w:rFonts w:eastAsia="SimHei" w:hint="eastAsia"/>
          <w:lang w:val="zh-CN"/>
        </w:rPr>
        <w:t>公共卫生</w:t>
      </w:r>
      <w:r>
        <w:rPr>
          <w:rFonts w:hint="eastAsia"/>
          <w:lang w:val="zh-CN"/>
        </w:rPr>
        <w:t>。政府针对</w:t>
      </w:r>
      <w:r>
        <w:rPr>
          <w:rFonts w:hint="eastAsia"/>
          <w:lang w:val="zh-CN"/>
        </w:rPr>
        <w:t>2002-2006</w:t>
      </w:r>
      <w:r>
        <w:rPr>
          <w:rFonts w:hint="eastAsia"/>
          <w:lang w:val="zh-CN"/>
        </w:rPr>
        <w:t>年制定了一项四年期基本医疗卫生计划，其重点落在保障公共医疗工作上，这一点在通过</w:t>
      </w:r>
      <w:r>
        <w:rPr>
          <w:rFonts w:hint="eastAsia"/>
          <w:lang w:val="zh-CN"/>
        </w:rPr>
        <w:t>2007</w:t>
      </w:r>
      <w:r>
        <w:rPr>
          <w:rFonts w:hint="eastAsia"/>
          <w:lang w:val="zh-CN"/>
        </w:rPr>
        <w:t>年的第</w:t>
      </w:r>
      <w:r>
        <w:rPr>
          <w:rFonts w:hint="eastAsia"/>
          <w:lang w:val="zh-CN"/>
        </w:rPr>
        <w:t>3039</w:t>
      </w:r>
      <w:r>
        <w:rPr>
          <w:rFonts w:hint="eastAsia"/>
          <w:lang w:val="zh-CN"/>
        </w:rPr>
        <w:t>号法令制定的《</w:t>
      </w:r>
      <w:r>
        <w:rPr>
          <w:rFonts w:hint="eastAsia"/>
          <w:lang w:val="zh-CN"/>
        </w:rPr>
        <w:t>2007-2010</w:t>
      </w:r>
      <w:r>
        <w:rPr>
          <w:rFonts w:hint="eastAsia"/>
          <w:lang w:val="zh-CN"/>
        </w:rPr>
        <w:t>年国家公共卫生计划》中得以延续。</w:t>
      </w:r>
      <w:r>
        <w:rPr>
          <w:rFonts w:hint="eastAsia"/>
          <w:lang w:val="zh-CN"/>
        </w:rPr>
        <w:t>2011</w:t>
      </w:r>
      <w:r>
        <w:rPr>
          <w:rFonts w:hint="eastAsia"/>
          <w:lang w:val="zh-CN"/>
        </w:rPr>
        <w:t>年计划制定一项《公共卫生十年期计</w:t>
      </w:r>
      <w:r>
        <w:rPr>
          <w:rFonts w:hint="eastAsia"/>
          <w:lang w:val="es-ES"/>
        </w:rPr>
        <w:t>划》。这一计划的主旨如下：</w:t>
      </w:r>
      <w:r>
        <w:rPr>
          <w:rFonts w:hint="eastAsia"/>
          <w:lang w:val="es-ES"/>
        </w:rPr>
        <w:t xml:space="preserve">(a) </w:t>
      </w:r>
      <w:r>
        <w:rPr>
          <w:rFonts w:hint="eastAsia"/>
          <w:lang w:val="es-ES"/>
        </w:rPr>
        <w:t>改善哥伦比亚人口的健康状况；</w:t>
      </w:r>
      <w:r>
        <w:rPr>
          <w:rFonts w:hint="eastAsia"/>
          <w:lang w:val="es-ES"/>
        </w:rPr>
        <w:t xml:space="preserve">(b) </w:t>
      </w:r>
      <w:r>
        <w:rPr>
          <w:rFonts w:hint="eastAsia"/>
          <w:lang w:val="es-ES"/>
        </w:rPr>
        <w:t>预防疾病的蔓延及其带来的不良后果；</w:t>
      </w:r>
      <w:r>
        <w:rPr>
          <w:rFonts w:hint="eastAsia"/>
          <w:lang w:val="es-ES"/>
        </w:rPr>
        <w:t xml:space="preserve">(c) </w:t>
      </w:r>
      <w:r>
        <w:rPr>
          <w:rFonts w:hint="eastAsia"/>
          <w:lang w:val="es-ES"/>
        </w:rPr>
        <w:t>应对人口老龄化和人口结构转型的挑战；和</w:t>
      </w:r>
      <w:r>
        <w:rPr>
          <w:rFonts w:hint="eastAsia"/>
          <w:lang w:val="es-ES"/>
        </w:rPr>
        <w:t xml:space="preserve">(d) </w:t>
      </w:r>
      <w:r>
        <w:rPr>
          <w:rFonts w:hint="eastAsia"/>
          <w:lang w:val="es-ES"/>
        </w:rPr>
        <w:t>减轻哥伦比亚人口在医疗卫生方面的不平等现象。国家公共卫生计划强调普及医疗卫生服务，工作重点集中在健康的决定性因素以及社会风险管理方面。在公共卫生框架内，还开展了以下行动：</w:t>
      </w:r>
    </w:p>
    <w:p w:rsidR="00A83775" w:rsidRDefault="00A83775">
      <w:pPr>
        <w:pStyle w:val="SingleTxtGC"/>
        <w:rPr>
          <w:lang w:val="zh-CN"/>
        </w:rPr>
      </w:pPr>
      <w:r>
        <w:rPr>
          <w:lang w:val="es-ES_tradnl"/>
        </w:rPr>
        <w:t xml:space="preserve">436.  </w:t>
      </w:r>
      <w:r>
        <w:rPr>
          <w:rFonts w:hint="eastAsia"/>
          <w:lang w:val="es-ES_tradnl"/>
        </w:rPr>
        <w:t>2008</w:t>
      </w:r>
      <w:r>
        <w:rPr>
          <w:rFonts w:hint="eastAsia"/>
          <w:lang w:val="es-ES_tradnl"/>
        </w:rPr>
        <w:t>年制定出台并通过</w:t>
      </w:r>
      <w:r>
        <w:rPr>
          <w:lang w:val="en-GB"/>
        </w:rPr>
        <w:t>国家经济和社会政策委员会第</w:t>
      </w:r>
      <w:r>
        <w:rPr>
          <w:lang w:val="en-GB"/>
        </w:rPr>
        <w:t>113</w:t>
      </w:r>
      <w:r>
        <w:rPr>
          <w:lang w:val="en-GB"/>
        </w:rPr>
        <w:t>号决议</w:t>
      </w:r>
      <w:r>
        <w:rPr>
          <w:rFonts w:hint="eastAsia"/>
          <w:lang w:val="es-ES_tradnl"/>
        </w:rPr>
        <w:t>得以实施的国家粮食安全和营养保障政策。这一政策还与在“世界粮食首脑会议：五年之后（</w:t>
      </w:r>
      <w:r>
        <w:rPr>
          <w:rFonts w:hint="eastAsia"/>
          <w:lang w:val="zh-CN"/>
        </w:rPr>
        <w:t>2002</w:t>
      </w:r>
      <w:r>
        <w:rPr>
          <w:rFonts w:hint="eastAsia"/>
          <w:lang w:val="zh-CN"/>
        </w:rPr>
        <w:t>年</w:t>
      </w:r>
      <w:r>
        <w:rPr>
          <w:rFonts w:hint="eastAsia"/>
          <w:lang w:val="zh-CN"/>
        </w:rPr>
        <w:t>6</w:t>
      </w:r>
      <w:r>
        <w:rPr>
          <w:rFonts w:hint="eastAsia"/>
          <w:lang w:val="zh-CN"/>
        </w:rPr>
        <w:t>月）”上所做承诺相呼应，这些承诺是在</w:t>
      </w:r>
      <w:r>
        <w:rPr>
          <w:rFonts w:hint="eastAsia"/>
          <w:lang w:val="zh-CN"/>
        </w:rPr>
        <w:t>1996</w:t>
      </w:r>
      <w:r>
        <w:rPr>
          <w:rFonts w:hint="eastAsia"/>
          <w:lang w:val="zh-CN"/>
        </w:rPr>
        <w:t>年的世界粮食首脑会议上为达成千年发展目标而签署的。</w:t>
      </w:r>
      <w:r>
        <w:rPr>
          <w:lang w:val="zh-CN"/>
        </w:rPr>
        <w:t xml:space="preserve"> </w:t>
      </w:r>
    </w:p>
    <w:p w:rsidR="00A83775" w:rsidRDefault="00A83775">
      <w:pPr>
        <w:pStyle w:val="SingleTxtGC"/>
        <w:rPr>
          <w:lang w:val="zh-CN"/>
        </w:rPr>
      </w:pPr>
      <w:r>
        <w:rPr>
          <w:lang w:val="zh-CN"/>
        </w:rPr>
        <w:t xml:space="preserve">437.  </w:t>
      </w:r>
      <w:r>
        <w:rPr>
          <w:rFonts w:hint="eastAsia"/>
          <w:lang w:val="zh-CN"/>
        </w:rPr>
        <w:t>在这一政策框架内，社会保障部增加了预算经费，用于开展部门活动并促进与其他有关部门协调联动；</w:t>
      </w:r>
      <w:r>
        <w:rPr>
          <w:rFonts w:hint="eastAsia"/>
          <w:lang w:val="zh-CN"/>
        </w:rPr>
        <w:t>2003-2009</w:t>
      </w:r>
      <w:r>
        <w:rPr>
          <w:rFonts w:hint="eastAsia"/>
          <w:lang w:val="zh-CN"/>
        </w:rPr>
        <w:t>年期间中央预算水平从最初的</w:t>
      </w:r>
      <w:r>
        <w:rPr>
          <w:rFonts w:hint="eastAsia"/>
          <w:lang w:val="zh-CN"/>
        </w:rPr>
        <w:t>8</w:t>
      </w:r>
      <w:r>
        <w:t>,</w:t>
      </w:r>
      <w:r>
        <w:rPr>
          <w:rFonts w:hint="eastAsia"/>
          <w:lang w:val="zh-CN"/>
        </w:rPr>
        <w:t>600</w:t>
      </w:r>
      <w:r>
        <w:rPr>
          <w:rFonts w:hint="eastAsia"/>
          <w:lang w:val="zh-CN"/>
        </w:rPr>
        <w:t>万比索（</w:t>
      </w:r>
      <w:r>
        <w:rPr>
          <w:rFonts w:hint="eastAsia"/>
          <w:lang w:val="zh-CN"/>
        </w:rPr>
        <w:t>44</w:t>
      </w:r>
      <w:r>
        <w:t>,</w:t>
      </w:r>
      <w:r>
        <w:rPr>
          <w:rFonts w:hint="eastAsia"/>
          <w:lang w:val="zh-CN"/>
        </w:rPr>
        <w:t>933</w:t>
      </w:r>
      <w:r>
        <w:rPr>
          <w:rFonts w:hint="eastAsia"/>
          <w:lang w:val="zh-CN"/>
        </w:rPr>
        <w:t>美元）</w:t>
      </w:r>
      <w:r>
        <w:rPr>
          <w:rFonts w:hint="eastAsia"/>
          <w:spacing w:val="-40"/>
        </w:rPr>
        <w:t>――</w:t>
      </w:r>
      <w:r>
        <w:rPr>
          <w:rFonts w:hint="eastAsia"/>
          <w:spacing w:val="-40"/>
        </w:rPr>
        <w:t xml:space="preserve"> </w:t>
      </w:r>
      <w:r>
        <w:rPr>
          <w:rFonts w:hint="eastAsia"/>
          <w:lang w:val="zh-CN"/>
        </w:rPr>
        <w:t>按</w:t>
      </w:r>
      <w:r>
        <w:rPr>
          <w:rFonts w:hint="eastAsia"/>
          <w:lang w:val="zh-CN"/>
        </w:rPr>
        <w:t>2010</w:t>
      </w:r>
      <w:r>
        <w:rPr>
          <w:rFonts w:hint="eastAsia"/>
          <w:lang w:val="zh-CN"/>
        </w:rPr>
        <w:t>年不变价格计算</w:t>
      </w:r>
      <w:r>
        <w:rPr>
          <w:rFonts w:hint="eastAsia"/>
          <w:spacing w:val="-40"/>
        </w:rPr>
        <w:t>――</w:t>
      </w:r>
      <w:r>
        <w:rPr>
          <w:rFonts w:hint="eastAsia"/>
          <w:spacing w:val="-40"/>
        </w:rPr>
        <w:t xml:space="preserve"> </w:t>
      </w:r>
      <w:r>
        <w:rPr>
          <w:rFonts w:hint="eastAsia"/>
          <w:lang w:val="zh-CN"/>
        </w:rPr>
        <w:t>提高到</w:t>
      </w:r>
      <w:r>
        <w:rPr>
          <w:rFonts w:hint="eastAsia"/>
          <w:lang w:val="zh-CN"/>
        </w:rPr>
        <w:t>2009</w:t>
      </w:r>
      <w:r>
        <w:rPr>
          <w:rFonts w:hint="eastAsia"/>
          <w:lang w:val="zh-CN"/>
        </w:rPr>
        <w:t>年的</w:t>
      </w:r>
      <w:r>
        <w:rPr>
          <w:rFonts w:hint="eastAsia"/>
          <w:lang w:val="zh-CN"/>
        </w:rPr>
        <w:t>57.26</w:t>
      </w:r>
      <w:r>
        <w:rPr>
          <w:rFonts w:hint="eastAsia"/>
          <w:lang w:val="zh-CN"/>
        </w:rPr>
        <w:t>亿比索（</w:t>
      </w:r>
      <w:r>
        <w:rPr>
          <w:rFonts w:hint="eastAsia"/>
          <w:lang w:val="zh-CN"/>
        </w:rPr>
        <w:t>299</w:t>
      </w:r>
      <w:r>
        <w:rPr>
          <w:rFonts w:hint="eastAsia"/>
          <w:lang w:val="zh-CN"/>
        </w:rPr>
        <w:t>万美元）；由于预算的增加，可以利用可支配资源开展其他一些机构，如世界粮食计划署、社会行动署和联合国儿童基金会业已开展的战略；近年来开展的行动集中在四方面，即：粮食安全和营养保障政策；</w:t>
      </w:r>
      <w:r>
        <w:rPr>
          <w:rFonts w:hint="eastAsia"/>
          <w:lang w:val="zh-CN"/>
        </w:rPr>
        <w:t>Resa-CUNA</w:t>
      </w:r>
      <w:r>
        <w:rPr>
          <w:rFonts w:hint="eastAsia"/>
          <w:lang w:val="zh-CN"/>
        </w:rPr>
        <w:t>（粮食安全－本地烹饪网络）战略；母乳喂养和技术支持。</w:t>
      </w:r>
    </w:p>
    <w:p w:rsidR="00A83775" w:rsidRDefault="00A83775">
      <w:pPr>
        <w:pStyle w:val="SingleTxtGC"/>
        <w:rPr>
          <w:rFonts w:hint="eastAsia"/>
          <w:lang w:val="es-ES"/>
        </w:rPr>
      </w:pPr>
      <w:r>
        <w:rPr>
          <w:lang w:val="zh-CN"/>
        </w:rPr>
        <w:t xml:space="preserve">438.  </w:t>
      </w:r>
      <w:r>
        <w:rPr>
          <w:rFonts w:hint="eastAsia"/>
          <w:lang w:val="zh-CN"/>
        </w:rPr>
        <w:t>在政策实施方面，拟订了国家粮食安全和营养保障计划的草案，责成粮食安全和营养保障部</w:t>
      </w:r>
      <w:r>
        <w:rPr>
          <w:rFonts w:hint="eastAsia"/>
          <w:lang w:val="es-ES_tradnl"/>
        </w:rPr>
        <w:t>门间委员会</w:t>
      </w:r>
      <w:r>
        <w:rPr>
          <w:rFonts w:hint="eastAsia"/>
          <w:lang w:val="es-ES"/>
        </w:rPr>
        <w:t>（通过第</w:t>
      </w:r>
      <w:r>
        <w:rPr>
          <w:rFonts w:hint="eastAsia"/>
          <w:lang w:val="es-ES"/>
        </w:rPr>
        <w:t>2055/2009</w:t>
      </w:r>
      <w:r>
        <w:rPr>
          <w:rFonts w:hint="eastAsia"/>
          <w:lang w:val="es-ES"/>
        </w:rPr>
        <w:t>号法令创立）</w:t>
      </w:r>
      <w:r>
        <w:rPr>
          <w:vertAlign w:val="superscript"/>
          <w:lang w:val="es-ES"/>
        </w:rPr>
        <w:footnoteReference w:id="175"/>
      </w:r>
      <w:r>
        <w:rPr>
          <w:lang w:val="es-ES"/>
        </w:rPr>
        <w:t xml:space="preserve"> </w:t>
      </w:r>
      <w:r>
        <w:rPr>
          <w:rFonts w:hint="eastAsia"/>
          <w:lang w:val="es-ES"/>
        </w:rPr>
        <w:t>负责实施，目的是推行国家粮食安全和营养保障计划，确定计划实施的预算经费、项目和实施战略；同样，还拟订了一份各地方实体制定本地粮食安全和营养保障计划的指南；向</w:t>
      </w:r>
      <w:r>
        <w:rPr>
          <w:rFonts w:hint="eastAsia"/>
          <w:lang w:val="es-ES"/>
        </w:rPr>
        <w:t>19</w:t>
      </w:r>
      <w:r>
        <w:rPr>
          <w:rFonts w:hint="eastAsia"/>
          <w:lang w:val="es-ES"/>
        </w:rPr>
        <w:t>个省份、</w:t>
      </w:r>
      <w:r>
        <w:rPr>
          <w:rFonts w:hint="eastAsia"/>
          <w:lang w:val="es-ES"/>
        </w:rPr>
        <w:t>3</w:t>
      </w:r>
      <w:r>
        <w:rPr>
          <w:rFonts w:hint="eastAsia"/>
          <w:lang w:val="es-ES"/>
        </w:rPr>
        <w:t>个地区和</w:t>
      </w:r>
      <w:r>
        <w:rPr>
          <w:rFonts w:hint="eastAsia"/>
          <w:lang w:val="es-ES"/>
        </w:rPr>
        <w:t>9</w:t>
      </w:r>
      <w:r>
        <w:rPr>
          <w:rFonts w:hint="eastAsia"/>
          <w:lang w:val="es-ES"/>
        </w:rPr>
        <w:t>个城市</w:t>
      </w:r>
      <w:r>
        <w:rPr>
          <w:vertAlign w:val="superscript"/>
          <w:lang w:val="es-ES"/>
        </w:rPr>
        <w:footnoteReference w:id="176"/>
      </w:r>
      <w:r>
        <w:rPr>
          <w:lang w:val="es-ES"/>
        </w:rPr>
        <w:t xml:space="preserve"> </w:t>
      </w:r>
      <w:r>
        <w:rPr>
          <w:rFonts w:hint="eastAsia"/>
          <w:lang w:val="es-ES"/>
        </w:rPr>
        <w:t>提供了技术支持，并使其完成了粮食安全和营养保障计划的制定工作；最后需要指出的是，这一政策的启动实施得到了粮农组织与粮食安全和营养保障观察站的支持。</w:t>
      </w:r>
    </w:p>
    <w:p w:rsidR="00A83775" w:rsidRDefault="00A83775">
      <w:pPr>
        <w:pStyle w:val="SingleTxtGC"/>
        <w:rPr>
          <w:lang w:val="zh-CN"/>
        </w:rPr>
      </w:pPr>
      <w:r>
        <w:rPr>
          <w:lang w:val="es-ES"/>
        </w:rPr>
        <w:t xml:space="preserve">439.  </w:t>
      </w:r>
      <w:r>
        <w:rPr>
          <w:rFonts w:hint="eastAsia"/>
          <w:lang w:val="es-ES"/>
        </w:rPr>
        <w:t>在第二条工作路线，即</w:t>
      </w:r>
      <w:r>
        <w:rPr>
          <w:rFonts w:hint="eastAsia"/>
          <w:lang w:val="es-ES"/>
        </w:rPr>
        <w:t>ReSA-CUNA</w:t>
      </w:r>
      <w:r>
        <w:rPr>
          <w:rFonts w:hint="eastAsia"/>
          <w:lang w:val="es-MX"/>
        </w:rPr>
        <w:t>战略（粮食安全－本地烹饪网络）方面，该战略的宗旨就是使人们认识到各地本土出产产品的重要营养价值，并改善在健</w:t>
      </w:r>
      <w:r>
        <w:rPr>
          <w:rFonts w:hint="eastAsia"/>
          <w:lang w:val="zh-CN"/>
        </w:rPr>
        <w:t>康食谱中对地方特色食材的使用，为此在食材的处理以及学习使用当地特色食材烹制菜肴的配方等方面开展了培训（包括提供食谱、食材处理工具和厨房套件）。社会保障部优先在</w:t>
      </w:r>
      <w:r>
        <w:rPr>
          <w:lang w:val="zh-CN"/>
        </w:rPr>
        <w:t>图马科</w:t>
      </w:r>
      <w:r>
        <w:rPr>
          <w:rFonts w:hint="eastAsia"/>
          <w:lang w:val="zh-CN"/>
        </w:rPr>
        <w:t>、</w:t>
      </w:r>
      <w:r>
        <w:rPr>
          <w:lang w:val="zh-CN"/>
        </w:rPr>
        <w:t>布埃纳文图拉</w:t>
      </w:r>
      <w:r>
        <w:rPr>
          <w:rFonts w:hint="eastAsia"/>
          <w:lang w:val="zh-CN"/>
        </w:rPr>
        <w:t>、基布多和瓜比市开展了这一战略，</w:t>
      </w:r>
      <w:r>
        <w:rPr>
          <w:rFonts w:hint="eastAsia"/>
          <w:lang w:val="zh-CN"/>
        </w:rPr>
        <w:t>2009</w:t>
      </w:r>
      <w:r>
        <w:rPr>
          <w:rFonts w:hint="eastAsia"/>
          <w:lang w:val="zh-CN"/>
        </w:rPr>
        <w:t>年受益家庭总数达到</w:t>
      </w:r>
      <w:r>
        <w:rPr>
          <w:rFonts w:hint="eastAsia"/>
          <w:lang w:val="zh-CN"/>
        </w:rPr>
        <w:t>7</w:t>
      </w:r>
      <w:r>
        <w:t>,</w:t>
      </w:r>
      <w:r>
        <w:rPr>
          <w:rFonts w:hint="eastAsia"/>
          <w:lang w:val="zh-CN"/>
        </w:rPr>
        <w:t>990</w:t>
      </w:r>
      <w:r>
        <w:rPr>
          <w:rFonts w:hint="eastAsia"/>
          <w:lang w:val="zh-CN"/>
        </w:rPr>
        <w:t>户。</w:t>
      </w:r>
    </w:p>
    <w:p w:rsidR="00A83775" w:rsidRDefault="00A83775">
      <w:pPr>
        <w:pStyle w:val="SingleTxtGC"/>
        <w:rPr>
          <w:lang w:val="zh-CN"/>
        </w:rPr>
      </w:pPr>
      <w:r>
        <w:rPr>
          <w:lang w:val="zh-CN"/>
        </w:rPr>
        <w:t xml:space="preserve">440.  </w:t>
      </w:r>
      <w:r>
        <w:rPr>
          <w:rFonts w:hint="eastAsia"/>
          <w:lang w:val="zh-CN"/>
        </w:rPr>
        <w:t>同样还对地方实体进行了培训，制定了关于整合妇幼保健机构－儿童流行病综合护理战略的技术文件；制定了微量营养素委员会的章程条例；对营养不良的应对方针，并在《强制性保健计划》中纳入营养恢复内容；营养监测模块；为消费者和业界制定的营养指导手册。</w:t>
      </w:r>
    </w:p>
    <w:p w:rsidR="00A83775" w:rsidRDefault="00A83775">
      <w:pPr>
        <w:pStyle w:val="SingleTxtGC"/>
        <w:rPr>
          <w:bCs/>
          <w:lang w:val="es-MX"/>
        </w:rPr>
      </w:pPr>
      <w:r>
        <w:rPr>
          <w:lang w:val="zh-CN"/>
        </w:rPr>
        <w:t xml:space="preserve">441.  </w:t>
      </w:r>
      <w:r>
        <w:rPr>
          <w:rFonts w:hint="eastAsia"/>
          <w:lang w:val="zh-CN"/>
        </w:rPr>
        <w:t>针对第三</w:t>
      </w:r>
      <w:r>
        <w:rPr>
          <w:rFonts w:hint="eastAsia"/>
          <w:bCs/>
          <w:lang w:val="es-MX"/>
        </w:rPr>
        <w:t>条工作路线，即母乳喂养，</w:t>
      </w:r>
      <w:r>
        <w:rPr>
          <w:rFonts w:hint="eastAsia"/>
          <w:bCs/>
          <w:lang w:val="es-MX"/>
        </w:rPr>
        <w:t>2009</w:t>
      </w:r>
      <w:r>
        <w:rPr>
          <w:rFonts w:hint="eastAsia"/>
          <w:bCs/>
          <w:lang w:val="es-MX"/>
        </w:rPr>
        <w:t>年对</w:t>
      </w:r>
      <w:r>
        <w:rPr>
          <w:rFonts w:hint="eastAsia"/>
          <w:bCs/>
          <w:lang w:val="es-MX"/>
        </w:rPr>
        <w:t>1998-2008</w:t>
      </w:r>
      <w:r>
        <w:rPr>
          <w:rFonts w:hint="eastAsia"/>
          <w:bCs/>
          <w:lang w:val="es-MX"/>
        </w:rPr>
        <w:t>年母乳喂养十年期计划进行了评估，并以这一计划为基础素材拟定了新的《</w:t>
      </w:r>
      <w:r>
        <w:rPr>
          <w:rFonts w:hint="eastAsia"/>
          <w:bCs/>
          <w:lang w:val="es-MX"/>
        </w:rPr>
        <w:t>2010-2020</w:t>
      </w:r>
      <w:r>
        <w:rPr>
          <w:rFonts w:hint="eastAsia"/>
          <w:bCs/>
          <w:lang w:val="es-MX"/>
        </w:rPr>
        <w:t>年母乳喂养十年期计划》，计划内容载于本条对应的附件</w:t>
      </w:r>
      <w:r>
        <w:rPr>
          <w:rFonts w:hint="eastAsia"/>
          <w:bCs/>
          <w:lang w:val="es-MX"/>
        </w:rPr>
        <w:t>2</w:t>
      </w:r>
      <w:r>
        <w:rPr>
          <w:rFonts w:hint="eastAsia"/>
          <w:bCs/>
          <w:lang w:val="es-MX"/>
        </w:rPr>
        <w:t>中。</w:t>
      </w:r>
    </w:p>
    <w:p w:rsidR="00A83775" w:rsidRDefault="00A83775">
      <w:pPr>
        <w:pStyle w:val="SingleTxtGC"/>
      </w:pPr>
      <w:r>
        <w:rPr>
          <w:bCs/>
          <w:lang w:val="es-CO"/>
        </w:rPr>
        <w:t xml:space="preserve">442.  </w:t>
      </w:r>
      <w:r>
        <w:rPr>
          <w:rFonts w:hint="eastAsia"/>
          <w:bCs/>
          <w:lang w:val="es-CO"/>
        </w:rPr>
        <w:t>针对第四条工作路线，即技术支持，在最近两年（</w:t>
      </w:r>
      <w:r>
        <w:rPr>
          <w:rFonts w:hint="eastAsia"/>
          <w:bCs/>
          <w:lang w:val="es-CO"/>
        </w:rPr>
        <w:t>2009-2010</w:t>
      </w:r>
      <w:r>
        <w:rPr>
          <w:rFonts w:hint="eastAsia"/>
          <w:bCs/>
          <w:lang w:val="es-CO"/>
        </w:rPr>
        <w:t>年）已经实施了若干媒体宣传战略，目的是促进健康饮食，并在机构频道及七个地区频道轮番播出宣传片；此外还实施了对母乳喂养、辅食喂养、体能锻炼有关的媒体计划，包括</w:t>
      </w:r>
      <w:r>
        <w:rPr>
          <w:rFonts w:hint="eastAsia"/>
          <w:lang w:val="zh-CN"/>
        </w:rPr>
        <w:t>制作教育视频、广播节目和商业节目，以便在全国和地区范围内进行宣传。</w:t>
      </w:r>
    </w:p>
    <w:p w:rsidR="00A83775" w:rsidRDefault="00A83775">
      <w:pPr>
        <w:pStyle w:val="SingleTxtGC"/>
        <w:rPr>
          <w:rFonts w:hint="eastAsia"/>
          <w:lang w:val="zh-CN"/>
        </w:rPr>
      </w:pPr>
      <w:r>
        <w:rPr>
          <w:lang w:val="zh-CN"/>
        </w:rPr>
        <w:t xml:space="preserve">443.  </w:t>
      </w:r>
      <w:r>
        <w:rPr>
          <w:rFonts w:eastAsia="SimHei" w:hint="eastAsia"/>
          <w:lang w:val="zh-CN"/>
        </w:rPr>
        <w:t>心理健康和减少精神活性物质的需求和消费</w:t>
      </w:r>
      <w:r>
        <w:rPr>
          <w:rFonts w:hint="eastAsia"/>
          <w:lang w:val="zh-CN"/>
        </w:rPr>
        <w:t>。</w:t>
      </w:r>
      <w:r>
        <w:rPr>
          <w:rFonts w:hint="eastAsia"/>
          <w:lang w:val="zh-CN"/>
        </w:rPr>
        <w:t>2009</w:t>
      </w:r>
      <w:r>
        <w:rPr>
          <w:rFonts w:hint="eastAsia"/>
          <w:lang w:val="zh-CN"/>
        </w:rPr>
        <w:t>年，投资</w:t>
      </w:r>
      <w:r>
        <w:rPr>
          <w:rFonts w:hint="eastAsia"/>
          <w:lang w:val="zh-CN"/>
        </w:rPr>
        <w:t>66.89</w:t>
      </w:r>
      <w:r>
        <w:rPr>
          <w:rFonts w:hint="eastAsia"/>
          <w:lang w:val="zh-CN"/>
        </w:rPr>
        <w:t>亿比索（</w:t>
      </w:r>
      <w:r>
        <w:rPr>
          <w:rFonts w:hint="eastAsia"/>
          <w:lang w:val="zh-CN"/>
        </w:rPr>
        <w:t>350</w:t>
      </w:r>
      <w:r>
        <w:rPr>
          <w:rFonts w:hint="eastAsia"/>
          <w:lang w:val="zh-CN"/>
        </w:rPr>
        <w:t>万美元）创立了</w:t>
      </w:r>
      <w:r>
        <w:rPr>
          <w:rFonts w:hint="eastAsia"/>
          <w:lang w:val="zh-CN"/>
        </w:rPr>
        <w:t>29</w:t>
      </w:r>
      <w:r>
        <w:rPr>
          <w:rFonts w:hint="eastAsia"/>
          <w:lang w:val="zh-CN"/>
        </w:rPr>
        <w:t>家省市级预防和控制毒品委员会；开发了战略管理系统，用于制定减少精神活性物质消费地区级部门间计划，精神活性物质消费者社会包容模式，立足于社区的注重参与型工作模式，制定了提高社区和机构在应对精神活性物质消费、艾滋病毒和其他相关问题方面的能力的国家培训计划。</w:t>
      </w:r>
    </w:p>
    <w:p w:rsidR="00A83775" w:rsidRDefault="00A83775">
      <w:pPr>
        <w:pStyle w:val="SingleTxtGC"/>
        <w:rPr>
          <w:lang w:val="es-ES"/>
        </w:rPr>
      </w:pPr>
      <w:r>
        <w:rPr>
          <w:lang w:val="zh-CN"/>
        </w:rPr>
        <w:t xml:space="preserve">444.  </w:t>
      </w:r>
      <w:r>
        <w:rPr>
          <w:rFonts w:hint="eastAsia"/>
          <w:lang w:val="zh-CN"/>
        </w:rPr>
        <w:t>同样，</w:t>
      </w:r>
      <w:r>
        <w:rPr>
          <w:rFonts w:hint="eastAsia"/>
          <w:lang w:val="es-ES"/>
        </w:rPr>
        <w:t>社会保障部也制定了用于甄别和评估精神活性物质消费问题的工作模式；精神活性物质心理健康模式和在心理健康和精神活性物质消费方面的精神活性物质网络工作模式，这些模式通过国家心理健康计划在全国和地区范围内得以实施；此外还被纳入到青少年友好健康服务中，目的就是建立起早期发现、预防和统计体系。</w:t>
      </w:r>
    </w:p>
    <w:p w:rsidR="00A83775" w:rsidRDefault="00A83775">
      <w:pPr>
        <w:pStyle w:val="SingleTxtGC"/>
        <w:rPr>
          <w:lang w:val="zh-CN"/>
        </w:rPr>
      </w:pPr>
      <w:r>
        <w:rPr>
          <w:lang w:val="es-ES"/>
        </w:rPr>
        <w:t xml:space="preserve">445.  </w:t>
      </w:r>
      <w:r>
        <w:rPr>
          <w:rFonts w:hint="eastAsia"/>
          <w:lang w:val="es-ES"/>
        </w:rPr>
        <w:t>另一方面，社会保障部根据哥伦比亚的国情制作了筛查工具，并对三项专门用于</w:t>
      </w:r>
      <w:r>
        <w:rPr>
          <w:rFonts w:hint="eastAsia"/>
          <w:lang w:val="zh-CN"/>
        </w:rPr>
        <w:t>早期发现心理健康异常情况的工具进行了标准化调整（家庭</w:t>
      </w:r>
      <w:r>
        <w:rPr>
          <w:rFonts w:hint="eastAsia"/>
          <w:lang w:val="zh-CN"/>
        </w:rPr>
        <w:t>Apgar</w:t>
      </w:r>
      <w:r>
        <w:rPr>
          <w:rFonts w:hint="eastAsia"/>
          <w:lang w:val="zh-CN"/>
        </w:rPr>
        <w:t>、</w:t>
      </w:r>
      <w:r>
        <w:rPr>
          <w:rFonts w:hint="eastAsia"/>
          <w:lang w:val="zh-CN"/>
        </w:rPr>
        <w:t>SQR</w:t>
      </w:r>
      <w:r>
        <w:rPr>
          <w:rFonts w:hint="eastAsia"/>
          <w:lang w:val="zh-CN"/>
        </w:rPr>
        <w:t>、</w:t>
      </w:r>
      <w:r>
        <w:rPr>
          <w:rFonts w:hint="eastAsia"/>
          <w:lang w:val="zh-CN"/>
        </w:rPr>
        <w:t>RQC</w:t>
      </w:r>
      <w:r>
        <w:rPr>
          <w:rFonts w:hint="eastAsia"/>
          <w:lang w:val="zh-CN"/>
        </w:rPr>
        <w:t>），还制定了针对紧急情况和灾害现象的心理健康急救指南。</w:t>
      </w:r>
    </w:p>
    <w:p w:rsidR="00A83775" w:rsidRDefault="00A83775">
      <w:pPr>
        <w:pStyle w:val="SingleTxtGC"/>
        <w:rPr>
          <w:lang w:val="zh-CN"/>
        </w:rPr>
      </w:pPr>
      <w:r>
        <w:rPr>
          <w:lang w:val="zh-CN"/>
        </w:rPr>
        <w:t xml:space="preserve">446.  </w:t>
      </w:r>
      <w:r>
        <w:rPr>
          <w:rFonts w:hint="eastAsia"/>
          <w:lang w:val="zh-CN"/>
        </w:rPr>
        <w:t>最后，在基层卫生保健中的心理健康要素框架内开发了一项国家心理健康工作指导方针，以便对由心理疾病的患者进行筛查、诊治和心理疏导，并在</w:t>
      </w:r>
      <w:r>
        <w:rPr>
          <w:rFonts w:hint="eastAsia"/>
          <w:lang w:val="zh-CN"/>
        </w:rPr>
        <w:t>4</w:t>
      </w:r>
      <w:r>
        <w:rPr>
          <w:rFonts w:hint="eastAsia"/>
          <w:lang w:val="zh-CN"/>
        </w:rPr>
        <w:t>个省份和</w:t>
      </w:r>
      <w:r>
        <w:rPr>
          <w:rFonts w:hint="eastAsia"/>
          <w:lang w:val="zh-CN"/>
        </w:rPr>
        <w:t>15</w:t>
      </w:r>
      <w:r>
        <w:rPr>
          <w:rFonts w:hint="eastAsia"/>
          <w:lang w:val="zh-CN"/>
        </w:rPr>
        <w:t>个城市中遵照世卫组织与社会保障部签署的协议对指导方针进行了调整。</w:t>
      </w:r>
    </w:p>
    <w:p w:rsidR="00A83775" w:rsidRDefault="00A83775">
      <w:pPr>
        <w:pStyle w:val="SingleTxtGC"/>
        <w:rPr>
          <w:rFonts w:hint="eastAsia"/>
          <w:bCs/>
          <w:lang w:val="es-ES"/>
        </w:rPr>
      </w:pPr>
      <w:r>
        <w:rPr>
          <w:lang w:val="zh-CN"/>
        </w:rPr>
        <w:t xml:space="preserve">447.  </w:t>
      </w:r>
      <w:r>
        <w:rPr>
          <w:rFonts w:eastAsia="SimHei" w:hint="eastAsia"/>
          <w:lang w:val="zh-CN"/>
        </w:rPr>
        <w:t>儿童保健</w:t>
      </w:r>
      <w:r>
        <w:rPr>
          <w:rFonts w:hint="eastAsia"/>
          <w:lang w:val="zh-CN"/>
        </w:rPr>
        <w:t>。为降低儿童死亡率，社会保障部通过各家妇幼保健机构推进落实了扩大免疫方</w:t>
      </w:r>
      <w:r>
        <w:rPr>
          <w:rFonts w:hint="eastAsia"/>
          <w:bCs/>
          <w:lang w:val="es-ES"/>
        </w:rPr>
        <w:t>案和儿童流行病综合护理战略，促进和保护母乳喂养；在战略实施过程中密切关注其影响、效果和成本效益，切实降低儿童发病率和死亡率；除为健康提供更大保障外，此类战略的另一项重大成果就是强化了强制性质量保障体系，扩大了母婴保健服务的覆盖面，有效降低了儿童死亡率，预计到</w:t>
      </w:r>
      <w:r>
        <w:rPr>
          <w:rFonts w:hint="eastAsia"/>
          <w:bCs/>
          <w:lang w:val="es-ES"/>
        </w:rPr>
        <w:t>2015</w:t>
      </w:r>
      <w:r>
        <w:rPr>
          <w:rFonts w:hint="eastAsia"/>
          <w:bCs/>
          <w:lang w:val="es-ES"/>
        </w:rPr>
        <w:t>年可以达成降低儿童死亡率这项千年发展目标。</w:t>
      </w:r>
    </w:p>
    <w:p w:rsidR="00A83775" w:rsidRDefault="00A83775">
      <w:pPr>
        <w:pStyle w:val="SingleTxtGC"/>
        <w:rPr>
          <w:rFonts w:hint="eastAsia"/>
          <w:lang w:val="zh-CN"/>
        </w:rPr>
      </w:pPr>
      <w:r>
        <w:rPr>
          <w:lang w:val="es-CO"/>
        </w:rPr>
        <w:t xml:space="preserve">448.  </w:t>
      </w:r>
      <w:r>
        <w:rPr>
          <w:rFonts w:hint="eastAsia"/>
          <w:lang w:val="es-CO"/>
        </w:rPr>
        <w:t>社会保障部以及各省和各地区的卫生局已经集中力量开展工作，以实现和保持疫苗接种的覆盖率，确保接种疫苗所用生物制剂和耗材的供应，并消除免疫接种</w:t>
      </w:r>
      <w:r>
        <w:rPr>
          <w:rFonts w:hint="eastAsia"/>
          <w:lang w:val="zh-CN"/>
        </w:rPr>
        <w:t>面临的一切障碍；为此已经在国家总预算（</w:t>
      </w:r>
      <w:r>
        <w:rPr>
          <w:rFonts w:hint="eastAsia"/>
          <w:lang w:val="zh-CN"/>
        </w:rPr>
        <w:t>PGN</w:t>
      </w:r>
      <w:r>
        <w:rPr>
          <w:rFonts w:hint="eastAsia"/>
          <w:lang w:val="zh-CN"/>
        </w:rPr>
        <w:t>）中及时划拨了专项经费来保证生物制剂的可用性，提供技术支持和长期培训，提高在免疫接种条件上的平等性，有效利用资源来加强扩大免疫方案的工作体制和运作机制。</w:t>
      </w:r>
      <w:r>
        <w:rPr>
          <w:rFonts w:hint="eastAsia"/>
          <w:lang w:val="zh-CN"/>
        </w:rPr>
        <w:t>2010</w:t>
      </w:r>
      <w:r>
        <w:rPr>
          <w:rFonts w:hint="eastAsia"/>
          <w:lang w:val="zh-CN"/>
        </w:rPr>
        <w:t>年的扩大免疫方案的预算经费与</w:t>
      </w:r>
      <w:r>
        <w:rPr>
          <w:rFonts w:hint="eastAsia"/>
          <w:lang w:val="zh-CN"/>
        </w:rPr>
        <w:t>2001</w:t>
      </w:r>
      <w:r>
        <w:rPr>
          <w:rFonts w:hint="eastAsia"/>
          <w:lang w:val="zh-CN"/>
        </w:rPr>
        <w:t>年相比增加了</w:t>
      </w:r>
      <w:r>
        <w:rPr>
          <w:rFonts w:hint="eastAsia"/>
          <w:lang w:val="zh-CN"/>
        </w:rPr>
        <w:t>34%</w:t>
      </w:r>
      <w:r>
        <w:rPr>
          <w:rFonts w:hint="eastAsia"/>
          <w:lang w:val="zh-CN"/>
        </w:rPr>
        <w:t>。</w:t>
      </w:r>
    </w:p>
    <w:p w:rsidR="00A83775" w:rsidRDefault="00A83775">
      <w:pPr>
        <w:pStyle w:val="SingleTxtGC"/>
        <w:rPr>
          <w:rFonts w:hint="eastAsia"/>
          <w:lang w:val="es-ES"/>
        </w:rPr>
      </w:pPr>
      <w:r>
        <w:rPr>
          <w:lang w:val="zh-CN"/>
        </w:rPr>
        <w:t xml:space="preserve">449.  </w:t>
      </w:r>
      <w:r>
        <w:rPr>
          <w:rFonts w:hint="eastAsia"/>
          <w:lang w:val="zh-CN"/>
        </w:rPr>
        <w:t>为落实《</w:t>
      </w:r>
      <w:r>
        <w:rPr>
          <w:rFonts w:hint="eastAsia"/>
          <w:lang w:val="zh-CN"/>
        </w:rPr>
        <w:t>2002-2006</w:t>
      </w:r>
      <w:r>
        <w:rPr>
          <w:rFonts w:hint="eastAsia"/>
          <w:lang w:val="zh-CN"/>
        </w:rPr>
        <w:t>年发展计划》和《</w:t>
      </w:r>
      <w:r>
        <w:rPr>
          <w:rFonts w:hint="eastAsia"/>
          <w:lang w:val="zh-CN"/>
        </w:rPr>
        <w:t>2006-2010</w:t>
      </w:r>
      <w:r>
        <w:rPr>
          <w:rFonts w:hint="eastAsia"/>
          <w:lang w:val="zh-CN"/>
        </w:rPr>
        <w:t>年发展计划》，根据《</w:t>
      </w:r>
      <w:r>
        <w:rPr>
          <w:rFonts w:hint="eastAsia"/>
          <w:lang w:val="zh-CN"/>
        </w:rPr>
        <w:t>2007-2010</w:t>
      </w:r>
      <w:r>
        <w:rPr>
          <w:rFonts w:hint="eastAsia"/>
          <w:lang w:val="zh-CN"/>
        </w:rPr>
        <w:t>年国家公共卫生计划》，对疫苗接种项目进行了现代化升级，将以下新疫苗纳入了免疫接种范围：五价轮状病毒疫苗和肺炎球菌疫苗，该疫苗在</w:t>
      </w:r>
      <w:r>
        <w:rPr>
          <w:rFonts w:hint="eastAsia"/>
          <w:lang w:val="zh-CN"/>
        </w:rPr>
        <w:t>2006</w:t>
      </w:r>
      <w:r>
        <w:rPr>
          <w:rFonts w:hint="eastAsia"/>
          <w:lang w:val="zh-CN"/>
        </w:rPr>
        <w:t>年引进并通</w:t>
      </w:r>
      <w:r>
        <w:rPr>
          <w:rFonts w:hint="eastAsia"/>
          <w:lang w:val="es-ES"/>
        </w:rPr>
        <w:t>过</w:t>
      </w:r>
      <w:r>
        <w:rPr>
          <w:rFonts w:hint="eastAsia"/>
          <w:lang w:val="zh-CN"/>
        </w:rPr>
        <w:t>FOSYGA</w:t>
      </w:r>
      <w:r>
        <w:rPr>
          <w:rFonts w:hint="eastAsia"/>
          <w:lang w:val="es-ES"/>
        </w:rPr>
        <w:t>的资金支持首次将其纳入免疫扩大方案，应用于高危儿童的免疫接种；</w:t>
      </w:r>
      <w:r>
        <w:rPr>
          <w:rFonts w:hint="eastAsia"/>
          <w:lang w:val="es-ES"/>
        </w:rPr>
        <w:t>2009</w:t>
      </w:r>
      <w:r>
        <w:rPr>
          <w:rFonts w:hint="eastAsia"/>
          <w:lang w:val="es-ES"/>
        </w:rPr>
        <w:t>年，将肺炎疫苗纳入到国内因呼吸道感染而致死率较高的</w:t>
      </w:r>
      <w:r>
        <w:rPr>
          <w:rFonts w:hint="eastAsia"/>
          <w:lang w:val="es-ES"/>
        </w:rPr>
        <w:t>10</w:t>
      </w:r>
      <w:r>
        <w:rPr>
          <w:rFonts w:hint="eastAsia"/>
          <w:lang w:val="es-ES"/>
        </w:rPr>
        <w:t>个省份（</w:t>
      </w:r>
      <w:r>
        <w:rPr>
          <w:lang w:val="en-GB"/>
        </w:rPr>
        <w:t>卡克塔省、亚马孙省、考卡省、比查达省、</w:t>
      </w:r>
      <w:r>
        <w:rPr>
          <w:rFonts w:hint="eastAsia"/>
          <w:lang w:val="en-GB"/>
        </w:rPr>
        <w:t>瓜伊尼亚</w:t>
      </w:r>
      <w:r>
        <w:rPr>
          <w:lang w:val="en-GB"/>
        </w:rPr>
        <w:t>省、圣安德烈斯和普罗维登省、乔科省省、普图马约省、瓜维亚雷</w:t>
      </w:r>
      <w:r>
        <w:rPr>
          <w:rFonts w:hint="eastAsia"/>
          <w:lang w:val="en-GB"/>
        </w:rPr>
        <w:t>省</w:t>
      </w:r>
      <w:r>
        <w:rPr>
          <w:lang w:val="en-GB"/>
        </w:rPr>
        <w:t>和沃佩斯</w:t>
      </w:r>
      <w:r>
        <w:rPr>
          <w:rFonts w:hint="eastAsia"/>
          <w:lang w:val="en-GB"/>
        </w:rPr>
        <w:t>省</w:t>
      </w:r>
      <w:r>
        <w:rPr>
          <w:rFonts w:hint="eastAsia"/>
          <w:lang w:val="es-ES"/>
        </w:rPr>
        <w:t>）的所有</w:t>
      </w:r>
      <w:r>
        <w:rPr>
          <w:rFonts w:hint="eastAsia"/>
          <w:lang w:val="es-ES"/>
        </w:rPr>
        <w:t>1</w:t>
      </w:r>
      <w:r>
        <w:rPr>
          <w:rFonts w:hint="eastAsia"/>
          <w:lang w:val="es-ES"/>
        </w:rPr>
        <w:t>岁以下幼儿的免疫接种项目中，惠及近</w:t>
      </w:r>
      <w:r>
        <w:rPr>
          <w:rFonts w:hint="eastAsia"/>
          <w:lang w:val="es-ES"/>
        </w:rPr>
        <w:t>70</w:t>
      </w:r>
      <w:r>
        <w:rPr>
          <w:lang w:val="es-ES"/>
        </w:rPr>
        <w:t>,</w:t>
      </w:r>
      <w:r>
        <w:rPr>
          <w:rFonts w:hint="eastAsia"/>
          <w:lang w:val="es-ES"/>
        </w:rPr>
        <w:t>000</w:t>
      </w:r>
      <w:r>
        <w:rPr>
          <w:rFonts w:hint="eastAsia"/>
          <w:lang w:val="es-ES"/>
        </w:rPr>
        <w:t>名儿童。针对高危人群接种肺炎球菌疫苗是一项成本效益极高的战略，通过这一方式每年将至少避免</w:t>
      </w:r>
      <w:r>
        <w:rPr>
          <w:rFonts w:hint="eastAsia"/>
          <w:lang w:val="es-ES"/>
        </w:rPr>
        <w:t>532</w:t>
      </w:r>
      <w:r>
        <w:rPr>
          <w:rFonts w:hint="eastAsia"/>
          <w:lang w:val="es-ES"/>
        </w:rPr>
        <w:t>起由于侵入性肺炎球菌感染而造成的死亡病例。</w:t>
      </w:r>
    </w:p>
    <w:p w:rsidR="00A83775" w:rsidRDefault="00A83775">
      <w:pPr>
        <w:pStyle w:val="SingleTxtGC"/>
        <w:rPr>
          <w:rFonts w:hint="eastAsia"/>
          <w:lang w:val="zh-CN"/>
        </w:rPr>
      </w:pPr>
      <w:r>
        <w:rPr>
          <w:lang w:val="es-ES"/>
        </w:rPr>
        <w:t xml:space="preserve">450.  </w:t>
      </w:r>
      <w:r>
        <w:rPr>
          <w:rFonts w:hint="eastAsia"/>
          <w:lang w:val="es-ES"/>
        </w:rPr>
        <w:t>为提高</w:t>
      </w:r>
      <w:r>
        <w:rPr>
          <w:rFonts w:hint="eastAsia"/>
          <w:bCs/>
          <w:lang w:val="es-ES"/>
        </w:rPr>
        <w:t>儿童流行病综合护理战略（</w:t>
      </w:r>
      <w:r>
        <w:rPr>
          <w:rFonts w:hint="eastAsia"/>
          <w:bCs/>
          <w:lang w:val="es-ES"/>
        </w:rPr>
        <w:t>AIEPI</w:t>
      </w:r>
      <w:r>
        <w:rPr>
          <w:rFonts w:hint="eastAsia"/>
          <w:bCs/>
          <w:lang w:val="es-ES"/>
        </w:rPr>
        <w:t>）的覆盖面，减少</w:t>
      </w:r>
      <w:r>
        <w:rPr>
          <w:rFonts w:hint="eastAsia"/>
          <w:bCs/>
          <w:lang w:val="es-ES"/>
        </w:rPr>
        <w:t>5</w:t>
      </w:r>
      <w:r>
        <w:rPr>
          <w:rFonts w:hint="eastAsia"/>
          <w:bCs/>
          <w:lang w:val="es-ES"/>
        </w:rPr>
        <w:t>岁以下儿童的发病率和死亡率，并提高卫生机构和家庭医疗护理的质量，社会保障部将投资额提高了</w:t>
      </w:r>
      <w:r>
        <w:rPr>
          <w:rFonts w:hint="eastAsia"/>
          <w:bCs/>
          <w:lang w:val="es-ES"/>
        </w:rPr>
        <w:t>245%</w:t>
      </w:r>
      <w:r>
        <w:rPr>
          <w:rFonts w:hint="eastAsia"/>
          <w:bCs/>
          <w:lang w:val="es-ES"/>
        </w:rPr>
        <w:t>，以</w:t>
      </w:r>
      <w:r>
        <w:rPr>
          <w:rFonts w:hint="eastAsia"/>
          <w:bCs/>
          <w:lang w:val="es-ES"/>
        </w:rPr>
        <w:t>2007</w:t>
      </w:r>
      <w:r>
        <w:rPr>
          <w:rFonts w:hint="eastAsia"/>
          <w:bCs/>
          <w:lang w:val="es-ES"/>
        </w:rPr>
        <w:t>年的不变价格计算，在这方面的经费拨款从最初的</w:t>
      </w:r>
      <w:r>
        <w:rPr>
          <w:rFonts w:hint="eastAsia"/>
          <w:bCs/>
          <w:lang w:val="es-ES"/>
        </w:rPr>
        <w:t>3.48</w:t>
      </w:r>
      <w:r>
        <w:rPr>
          <w:rFonts w:hint="eastAsia"/>
          <w:bCs/>
          <w:lang w:val="es-ES"/>
        </w:rPr>
        <w:t>亿</w:t>
      </w:r>
      <w:r>
        <w:rPr>
          <w:rFonts w:hint="eastAsia"/>
          <w:lang w:val="zh-CN"/>
        </w:rPr>
        <w:t>比索（</w:t>
      </w:r>
      <w:r>
        <w:rPr>
          <w:rFonts w:hint="eastAsia"/>
          <w:lang w:val="zh-CN"/>
        </w:rPr>
        <w:t>181</w:t>
      </w:r>
      <w:r>
        <w:t>,</w:t>
      </w:r>
      <w:r>
        <w:rPr>
          <w:rFonts w:hint="eastAsia"/>
          <w:lang w:val="zh-CN"/>
        </w:rPr>
        <w:t>820</w:t>
      </w:r>
      <w:r>
        <w:rPr>
          <w:rFonts w:hint="eastAsia"/>
          <w:lang w:val="zh-CN"/>
        </w:rPr>
        <w:t>美元）增加到</w:t>
      </w:r>
      <w:r>
        <w:rPr>
          <w:rFonts w:hint="eastAsia"/>
          <w:lang w:val="zh-CN"/>
        </w:rPr>
        <w:t>2009</w:t>
      </w:r>
      <w:r>
        <w:rPr>
          <w:rFonts w:hint="eastAsia"/>
          <w:lang w:val="zh-CN"/>
        </w:rPr>
        <w:t>年的</w:t>
      </w:r>
      <w:r>
        <w:rPr>
          <w:rFonts w:hint="eastAsia"/>
          <w:lang w:val="zh-CN"/>
        </w:rPr>
        <w:t>15</w:t>
      </w:r>
      <w:r>
        <w:rPr>
          <w:rFonts w:hint="eastAsia"/>
          <w:lang w:val="zh-CN"/>
        </w:rPr>
        <w:t>亿比索（</w:t>
      </w:r>
      <w:r>
        <w:rPr>
          <w:rFonts w:hint="eastAsia"/>
          <w:lang w:val="zh-CN"/>
        </w:rPr>
        <w:t>783</w:t>
      </w:r>
      <w:r>
        <w:t>,</w:t>
      </w:r>
      <w:r>
        <w:rPr>
          <w:rFonts w:hint="eastAsia"/>
          <w:lang w:val="zh-CN"/>
        </w:rPr>
        <w:t>707</w:t>
      </w:r>
      <w:r>
        <w:rPr>
          <w:rFonts w:hint="eastAsia"/>
          <w:lang w:val="zh-CN"/>
        </w:rPr>
        <w:t>美元）再到</w:t>
      </w:r>
      <w:r>
        <w:rPr>
          <w:rFonts w:hint="eastAsia"/>
          <w:lang w:val="zh-CN"/>
        </w:rPr>
        <w:t>2010</w:t>
      </w:r>
      <w:r>
        <w:rPr>
          <w:rFonts w:hint="eastAsia"/>
          <w:lang w:val="zh-CN"/>
        </w:rPr>
        <w:t>年的</w:t>
      </w:r>
      <w:r>
        <w:rPr>
          <w:rFonts w:hint="eastAsia"/>
          <w:lang w:val="zh-CN"/>
        </w:rPr>
        <w:t>12</w:t>
      </w:r>
      <w:r>
        <w:rPr>
          <w:rFonts w:hint="eastAsia"/>
          <w:lang w:val="zh-CN"/>
        </w:rPr>
        <w:t>亿比索（</w:t>
      </w:r>
      <w:r>
        <w:rPr>
          <w:rFonts w:hint="eastAsia"/>
          <w:lang w:val="zh-CN"/>
        </w:rPr>
        <w:t>626</w:t>
      </w:r>
      <w:r>
        <w:t>,</w:t>
      </w:r>
      <w:r>
        <w:rPr>
          <w:rFonts w:hint="eastAsia"/>
          <w:lang w:val="zh-CN"/>
        </w:rPr>
        <w:t>966</w:t>
      </w:r>
      <w:r>
        <w:rPr>
          <w:rFonts w:hint="eastAsia"/>
          <w:lang w:val="zh-CN"/>
        </w:rPr>
        <w:t>美元）。</w:t>
      </w:r>
    </w:p>
    <w:p w:rsidR="00A83775" w:rsidRDefault="00A83775">
      <w:pPr>
        <w:pStyle w:val="SingleTxtGC"/>
        <w:rPr>
          <w:lang w:val="es-ES"/>
        </w:rPr>
      </w:pPr>
      <w:r>
        <w:rPr>
          <w:lang w:val="zh-CN"/>
        </w:rPr>
        <w:t xml:space="preserve">451.  </w:t>
      </w:r>
      <w:r>
        <w:rPr>
          <w:rFonts w:hint="eastAsia"/>
          <w:lang w:val="zh-CN"/>
        </w:rPr>
        <w:t>取得的</w:t>
      </w:r>
      <w:r>
        <w:rPr>
          <w:rFonts w:hint="eastAsia"/>
          <w:lang w:val="es-ES"/>
        </w:rPr>
        <w:t>成果如下：</w:t>
      </w:r>
    </w:p>
    <w:p w:rsidR="00A83775" w:rsidRDefault="00A83775">
      <w:pPr>
        <w:pStyle w:val="SingleTxtGC"/>
        <w:numPr>
          <w:ilvl w:val="0"/>
          <w:numId w:val="55"/>
        </w:numPr>
        <w:rPr>
          <w:lang w:val="es-ES_tradnl"/>
        </w:rPr>
      </w:pPr>
      <w:r>
        <w:rPr>
          <w:rFonts w:hint="eastAsia"/>
          <w:lang w:val="es-ES_tradnl"/>
        </w:rPr>
        <w:t>2008</w:t>
      </w:r>
      <w:r>
        <w:rPr>
          <w:rFonts w:hint="eastAsia"/>
          <w:lang w:val="es-ES_tradnl"/>
        </w:rPr>
        <w:t>年，更新了针对肺结核、艾滋病毒、营养和照看受虐儿童问题的工作内容；</w:t>
      </w:r>
      <w:r>
        <w:rPr>
          <w:rFonts w:hint="eastAsia"/>
          <w:lang w:val="es-ES_tradnl"/>
        </w:rPr>
        <w:t>2009</w:t>
      </w:r>
      <w:r>
        <w:rPr>
          <w:rFonts w:hint="eastAsia"/>
          <w:lang w:val="es-ES_tradnl"/>
        </w:rPr>
        <w:t>年将口腔卫生、癫痫、哮喘、肥胖和糖尿病纳入了哥伦比亚儿童流行病综合护理战略门诊治疗的范围。</w:t>
      </w:r>
    </w:p>
    <w:p w:rsidR="00A83775" w:rsidRDefault="00A83775">
      <w:pPr>
        <w:pStyle w:val="SingleTxtGC"/>
        <w:numPr>
          <w:ilvl w:val="0"/>
          <w:numId w:val="55"/>
        </w:numPr>
        <w:rPr>
          <w:lang w:val="es-ES_tradnl"/>
        </w:rPr>
      </w:pPr>
      <w:r>
        <w:rPr>
          <w:rFonts w:hint="eastAsia"/>
          <w:lang w:val="es-ES_tradnl"/>
        </w:rPr>
        <w:t>2009</w:t>
      </w:r>
      <w:r>
        <w:rPr>
          <w:rFonts w:hint="eastAsia"/>
          <w:lang w:val="es-ES_tradnl"/>
        </w:rPr>
        <w:t>年组织专家对门诊工作指南进行了更新和评估，并在</w:t>
      </w:r>
      <w:r>
        <w:rPr>
          <w:rFonts w:hint="eastAsia"/>
          <w:lang w:val="es-ES_tradnl"/>
        </w:rPr>
        <w:t>2010</w:t>
      </w:r>
      <w:r>
        <w:rPr>
          <w:rFonts w:hint="eastAsia"/>
          <w:lang w:val="es-ES_tradnl"/>
        </w:rPr>
        <w:t>年推出了更新版的门诊工作指南手册。</w:t>
      </w:r>
    </w:p>
    <w:p w:rsidR="00A83775" w:rsidRDefault="00A83775">
      <w:pPr>
        <w:pStyle w:val="SingleTxtGC"/>
        <w:numPr>
          <w:ilvl w:val="0"/>
          <w:numId w:val="55"/>
        </w:numPr>
        <w:rPr>
          <w:lang w:val="es-ES_tradnl"/>
        </w:rPr>
      </w:pPr>
      <w:r>
        <w:rPr>
          <w:rFonts w:hint="eastAsia"/>
          <w:lang w:val="es-ES_tradnl"/>
        </w:rPr>
        <w:t>调整和更新了为专业医务工作者编制的儿童流行病综合护理战略教材，开发并实施了社会动员战略，对三个城市的儿童流行病综合护理战略的宣传战略计划进行了验证。</w:t>
      </w:r>
    </w:p>
    <w:p w:rsidR="00A83775" w:rsidRDefault="00A83775">
      <w:pPr>
        <w:pStyle w:val="SingleTxtGC"/>
        <w:numPr>
          <w:ilvl w:val="0"/>
          <w:numId w:val="55"/>
        </w:numPr>
        <w:rPr>
          <w:lang w:val="es-ES_tradnl"/>
        </w:rPr>
      </w:pPr>
      <w:r>
        <w:rPr>
          <w:rFonts w:hint="eastAsia"/>
          <w:lang w:val="es-ES_tradnl"/>
        </w:rPr>
        <w:t>调整了为地方实体制定的地方行动计划，支持其制定儿童流行病综合护理战略的行动计划。坚持为促进此类行动的可持续发展提供技术支持。</w:t>
      </w:r>
    </w:p>
    <w:p w:rsidR="00A83775" w:rsidRDefault="00A83775">
      <w:pPr>
        <w:pStyle w:val="SingleTxtGC"/>
        <w:rPr>
          <w:rFonts w:hint="eastAsia"/>
          <w:lang w:val="zh-CN"/>
        </w:rPr>
      </w:pPr>
      <w:r>
        <w:rPr>
          <w:lang w:val="es-ES_tradnl"/>
        </w:rPr>
        <w:t xml:space="preserve">452.  </w:t>
      </w:r>
      <w:r>
        <w:rPr>
          <w:rFonts w:eastAsia="SimHei" w:hint="eastAsia"/>
          <w:lang w:val="es-ES_tradnl"/>
        </w:rPr>
        <w:t>性别观点和健康观念主流化战略</w:t>
      </w:r>
      <w:r>
        <w:rPr>
          <w:rFonts w:hint="eastAsia"/>
          <w:lang w:val="es-ES_tradnl"/>
        </w:rPr>
        <w:t>。社会保障部已经开展各项行动以落实千年发展</w:t>
      </w:r>
      <w:r>
        <w:rPr>
          <w:rFonts w:hint="eastAsia"/>
          <w:lang w:val="zh-CN"/>
        </w:rPr>
        <w:t>目标以及国家政治经济政策委员会第</w:t>
      </w:r>
      <w:r>
        <w:rPr>
          <w:rFonts w:hint="eastAsia"/>
          <w:lang w:val="zh-CN"/>
        </w:rPr>
        <w:t>91</w:t>
      </w:r>
      <w:r>
        <w:rPr>
          <w:rFonts w:hint="eastAsia"/>
          <w:lang w:val="zh-CN"/>
        </w:rPr>
        <w:t>号决议中所作的承诺，在其职权范围内，清楚认识到了相关工作的重要性并为此将性别观点内化为其本部门以及地方卫生主管部门的内部工作平台。截至目前已经取得了以下进展：</w:t>
      </w:r>
    </w:p>
    <w:p w:rsidR="00A83775" w:rsidRDefault="00A83775">
      <w:pPr>
        <w:pStyle w:val="SingleTxtGC"/>
        <w:rPr>
          <w:lang w:val="es-ES_tradnl"/>
        </w:rPr>
      </w:pPr>
      <w:r>
        <w:rPr>
          <w:lang w:val="zh-CN"/>
        </w:rPr>
        <w:t xml:space="preserve">453.  </w:t>
      </w:r>
      <w:r>
        <w:rPr>
          <w:rFonts w:hint="eastAsia"/>
          <w:lang w:val="zh-CN"/>
        </w:rPr>
        <w:t>2008</w:t>
      </w:r>
      <w:r>
        <w:rPr>
          <w:rFonts w:hint="eastAsia"/>
          <w:lang w:val="zh-CN"/>
        </w:rPr>
        <w:t>年在对社会保障部进行关于性别问题的内部培训以及性别问题主流化工作上取得了一定进展，培训对象为本部门内部宣传领域、技术领域和行政领域的公务员；</w:t>
      </w:r>
      <w:r>
        <w:rPr>
          <w:rFonts w:hint="eastAsia"/>
          <w:lang w:val="zh-CN"/>
        </w:rPr>
        <w:t>2010</w:t>
      </w:r>
      <w:r>
        <w:rPr>
          <w:rFonts w:hint="eastAsia"/>
          <w:lang w:val="zh-CN"/>
        </w:rPr>
        <w:t>年，编制了一份卫生部门性别观点主流化指导方针手册以及针对省级和市</w:t>
      </w:r>
      <w:r>
        <w:rPr>
          <w:rFonts w:hint="eastAsia"/>
          <w:lang w:val="es-ES_tradnl"/>
        </w:rPr>
        <w:t>级卫生主管部门，以及公共卫生服务机构开展的培训工作的教材。这一培训教材是在参考泛美卫生组织</w:t>
      </w:r>
      <w:r>
        <w:rPr>
          <w:rFonts w:hint="eastAsia"/>
          <w:lang w:val="es-ES_tradnl"/>
        </w:rPr>
        <w:t>/</w:t>
      </w:r>
      <w:r>
        <w:rPr>
          <w:rFonts w:hint="eastAsia"/>
          <w:lang w:val="es-ES_tradnl"/>
        </w:rPr>
        <w:t>世卫组织编制和发布的其他国际文书的基础上编写的；</w:t>
      </w:r>
      <w:r>
        <w:rPr>
          <w:rFonts w:hint="eastAsia"/>
          <w:lang w:val="es-ES_tradnl"/>
        </w:rPr>
        <w:t>2010</w:t>
      </w:r>
      <w:r>
        <w:rPr>
          <w:rFonts w:hint="eastAsia"/>
          <w:lang w:val="es-ES_tradnl"/>
        </w:rPr>
        <w:t>年下半年，举办了国内首届大西洋沿岸五省份卫生主管部门公务员提高认识和培训工作会，并将这些省份既有性别机制的公务员也纳入到了活动对象中；此次会议得到了泛美卫生组织</w:t>
      </w:r>
      <w:r>
        <w:rPr>
          <w:rFonts w:hint="eastAsia"/>
          <w:lang w:val="es-ES_tradnl"/>
        </w:rPr>
        <w:t>/</w:t>
      </w:r>
      <w:r>
        <w:rPr>
          <w:rFonts w:hint="eastAsia"/>
          <w:lang w:val="es-ES_tradnl"/>
        </w:rPr>
        <w:t>世卫组织驻哥伦比亚办事处的技术和财政支持。</w:t>
      </w:r>
    </w:p>
    <w:p w:rsidR="00A83775" w:rsidRDefault="00A83775">
      <w:pPr>
        <w:pStyle w:val="SingleTxtGC"/>
        <w:rPr>
          <w:lang w:val="zh-CN"/>
        </w:rPr>
      </w:pPr>
      <w:r>
        <w:rPr>
          <w:lang w:val="es-ES_tradnl"/>
        </w:rPr>
        <w:t xml:space="preserve">454.  </w:t>
      </w:r>
      <w:r>
        <w:rPr>
          <w:rFonts w:hint="eastAsia"/>
          <w:lang w:val="es-ES_tradnl"/>
        </w:rPr>
        <w:t>到</w:t>
      </w:r>
      <w:r>
        <w:rPr>
          <w:rFonts w:hint="eastAsia"/>
          <w:lang w:val="es-ES_tradnl"/>
        </w:rPr>
        <w:t>2011</w:t>
      </w:r>
      <w:r>
        <w:rPr>
          <w:rFonts w:hint="eastAsia"/>
          <w:lang w:val="es-ES_tradnl"/>
        </w:rPr>
        <w:t>年，已经计划在社会保障部内部实施开展关于性别事务问题和性别观点主流化的提高认识和培训活动，并对已制定的文件和材料进行评估检验，</w:t>
      </w:r>
      <w:r>
        <w:rPr>
          <w:rFonts w:hint="eastAsia"/>
          <w:lang w:val="zh-CN"/>
        </w:rPr>
        <w:t>以便推进主流化工作；同样，计划面向省一级的卫生主管部门的公务员开展地区讲习班，以达到同样的目的。上述举措得到了泛美卫生组织</w:t>
      </w:r>
      <w:r>
        <w:rPr>
          <w:rFonts w:hint="eastAsia"/>
          <w:lang w:val="zh-CN"/>
        </w:rPr>
        <w:t>/</w:t>
      </w:r>
      <w:r>
        <w:rPr>
          <w:rFonts w:hint="eastAsia"/>
          <w:lang w:val="zh-CN"/>
        </w:rPr>
        <w:t>世卫组织驻哥伦比亚办事处的技术和财政支持。</w:t>
      </w:r>
    </w:p>
    <w:p w:rsidR="00A83775" w:rsidRDefault="00A83775">
      <w:pPr>
        <w:pStyle w:val="SingleTxtGC"/>
        <w:rPr>
          <w:rFonts w:hint="eastAsia"/>
          <w:lang w:val="zh-CN"/>
        </w:rPr>
      </w:pPr>
      <w:r>
        <w:rPr>
          <w:lang w:val="zh-CN"/>
        </w:rPr>
        <w:t xml:space="preserve">455.  </w:t>
      </w:r>
      <w:r>
        <w:rPr>
          <w:rFonts w:eastAsia="SimHei" w:hint="eastAsia"/>
          <w:lang w:val="zh-CN"/>
        </w:rPr>
        <w:t>性健康和生殖健康</w:t>
      </w:r>
      <w:r>
        <w:rPr>
          <w:rFonts w:hint="eastAsia"/>
          <w:lang w:val="zh-CN"/>
        </w:rPr>
        <w:t>。在哥伦比亚，增进人权、性权利和生殖权利的工作是通过一项坚实的部门间战略实施落实的，这一战略涉及到性教育、提供全面优质的性健康和生殖健康服务，宣传促进社会支持网络，重点针对弱势人群开展工作以及促进对这方面知识的研究和分析等方面。</w:t>
      </w:r>
    </w:p>
    <w:p w:rsidR="00A83775" w:rsidRDefault="00A83775">
      <w:pPr>
        <w:pStyle w:val="SingleTxtGC"/>
        <w:rPr>
          <w:lang w:val="es-ES"/>
        </w:rPr>
      </w:pPr>
      <w:r>
        <w:rPr>
          <w:lang w:val="zh-CN"/>
        </w:rPr>
        <w:t xml:space="preserve">456.  </w:t>
      </w:r>
      <w:r>
        <w:rPr>
          <w:rFonts w:hint="eastAsia"/>
          <w:lang w:val="zh-CN"/>
        </w:rPr>
        <w:t>性健康和生殖健康相关活动是围绕六项工作方针开展的：安全孕产；计划生育；青少年的性健康和生殖健康；宫颈癌和乳腺癌；性传播疾病，包括艾滋病毒</w:t>
      </w:r>
      <w:r>
        <w:rPr>
          <w:rFonts w:hint="eastAsia"/>
          <w:lang w:val="zh-CN"/>
        </w:rPr>
        <w:t>/</w:t>
      </w:r>
      <w:r>
        <w:rPr>
          <w:rFonts w:hint="eastAsia"/>
          <w:lang w:val="zh-CN"/>
        </w:rPr>
        <w:t>艾滋病；以</w:t>
      </w:r>
      <w:r>
        <w:rPr>
          <w:rFonts w:hint="eastAsia"/>
          <w:lang w:val="es-ES"/>
        </w:rPr>
        <w:t>及预防家庭暴力和性暴力。</w:t>
      </w:r>
      <w:r>
        <w:rPr>
          <w:lang w:val="es-ES"/>
        </w:rPr>
        <w:t xml:space="preserve"> </w:t>
      </w:r>
    </w:p>
    <w:p w:rsidR="00A83775" w:rsidRDefault="00A83775">
      <w:pPr>
        <w:pStyle w:val="SingleTxtGC"/>
        <w:rPr>
          <w:lang w:val="zh-CN"/>
        </w:rPr>
      </w:pPr>
      <w:r>
        <w:rPr>
          <w:bCs/>
          <w:lang w:val="es-ES"/>
        </w:rPr>
        <w:t xml:space="preserve">457.  </w:t>
      </w:r>
      <w:r>
        <w:rPr>
          <w:rFonts w:eastAsia="SimHei" w:hint="eastAsia"/>
          <w:bCs/>
          <w:lang w:val="es-ES"/>
        </w:rPr>
        <w:t>安</w:t>
      </w:r>
      <w:r>
        <w:rPr>
          <w:rFonts w:eastAsia="SimHei" w:hint="eastAsia"/>
          <w:lang w:val="zh-CN"/>
        </w:rPr>
        <w:t>全孕产：孕产服务的公平性和普及性</w:t>
      </w:r>
      <w:r>
        <w:rPr>
          <w:rFonts w:hint="eastAsia"/>
          <w:lang w:val="zh-CN"/>
        </w:rPr>
        <w:t>。为实现千年发展目标，计划将每十万名活产儿的产妇死亡人数降至</w:t>
      </w:r>
      <w:r>
        <w:rPr>
          <w:rFonts w:hint="eastAsia"/>
          <w:lang w:val="zh-CN"/>
        </w:rPr>
        <w:t>45</w:t>
      </w:r>
      <w:r>
        <w:rPr>
          <w:rFonts w:hint="eastAsia"/>
          <w:lang w:val="zh-CN"/>
        </w:rPr>
        <w:t>名，这与</w:t>
      </w:r>
      <w:r>
        <w:rPr>
          <w:rFonts w:hint="eastAsia"/>
          <w:lang w:val="zh-CN"/>
        </w:rPr>
        <w:t>2007</w:t>
      </w:r>
      <w:r>
        <w:rPr>
          <w:rFonts w:hint="eastAsia"/>
          <w:lang w:val="zh-CN"/>
        </w:rPr>
        <w:t>年的实际情况相差</w:t>
      </w:r>
      <w:r>
        <w:rPr>
          <w:rFonts w:hint="eastAsia"/>
          <w:lang w:val="zh-CN"/>
        </w:rPr>
        <w:t>30.6</w:t>
      </w:r>
      <w:r>
        <w:rPr>
          <w:rFonts w:hint="eastAsia"/>
          <w:lang w:val="zh-CN"/>
        </w:rPr>
        <w:t>个百分点。</w:t>
      </w:r>
    </w:p>
    <w:p w:rsidR="00A83775" w:rsidRDefault="00A83775">
      <w:pPr>
        <w:pStyle w:val="SingleTxtGC"/>
        <w:rPr>
          <w:lang w:val="zh-CN"/>
        </w:rPr>
      </w:pPr>
      <w:r>
        <w:rPr>
          <w:lang w:val="zh-CN"/>
        </w:rPr>
        <w:t xml:space="preserve">458.  </w:t>
      </w:r>
      <w:r>
        <w:rPr>
          <w:rFonts w:hint="eastAsia"/>
          <w:lang w:val="zh-CN"/>
        </w:rPr>
        <w:t>2004</w:t>
      </w:r>
      <w:r>
        <w:rPr>
          <w:rFonts w:hint="eastAsia"/>
          <w:lang w:val="zh-CN"/>
        </w:rPr>
        <w:t>年社会保障部推行了一项计划，目的是降低产妇死亡率，这一计划旨在界定公共议程方面的问题，检查和监测各社会行为方和机构行为方在减轻产妇死亡率方面的责任落实情况，</w:t>
      </w:r>
      <w:r>
        <w:rPr>
          <w:rFonts w:hint="eastAsia"/>
          <w:lang w:val="zh-CN"/>
        </w:rPr>
        <w:t>2007</w:t>
      </w:r>
      <w:r>
        <w:rPr>
          <w:rFonts w:hint="eastAsia"/>
          <w:lang w:val="zh-CN"/>
        </w:rPr>
        <w:t>年各计划实施重点针对地区的产妇死亡率已经比</w:t>
      </w:r>
      <w:r>
        <w:rPr>
          <w:rFonts w:hint="eastAsia"/>
          <w:lang w:val="zh-CN"/>
        </w:rPr>
        <w:t>2001</w:t>
      </w:r>
      <w:r>
        <w:rPr>
          <w:rFonts w:hint="eastAsia"/>
          <w:lang w:val="zh-CN"/>
        </w:rPr>
        <w:t>年的水平降低了</w:t>
      </w:r>
      <w:r>
        <w:rPr>
          <w:rFonts w:hint="eastAsia"/>
          <w:lang w:val="zh-CN"/>
        </w:rPr>
        <w:t>34%</w:t>
      </w:r>
      <w:r>
        <w:rPr>
          <w:rFonts w:hint="eastAsia"/>
          <w:lang w:val="zh-CN"/>
        </w:rPr>
        <w:t>，而全国范围内的产妇死亡率已经下降了</w:t>
      </w:r>
      <w:r>
        <w:rPr>
          <w:rFonts w:hint="eastAsia"/>
          <w:lang w:val="zh-CN"/>
        </w:rPr>
        <w:t>25%</w:t>
      </w:r>
      <w:r>
        <w:rPr>
          <w:rFonts w:hint="eastAsia"/>
          <w:lang w:val="zh-CN"/>
        </w:rPr>
        <w:t>。哥伦比亚产妇死亡率的特征表明了一些社会和文化壁垒已经被克服。</w:t>
      </w:r>
      <w:r>
        <w:rPr>
          <w:lang w:val="zh-CN"/>
        </w:rPr>
        <w:t xml:space="preserve"> </w:t>
      </w:r>
    </w:p>
    <w:p w:rsidR="00A83775" w:rsidRDefault="00A83775">
      <w:pPr>
        <w:pStyle w:val="SingleTxtGC"/>
        <w:rPr>
          <w:rFonts w:hint="eastAsia"/>
          <w:lang w:val="zh-CN"/>
        </w:rPr>
      </w:pPr>
      <w:r>
        <w:rPr>
          <w:lang w:val="zh-CN"/>
        </w:rPr>
        <w:t xml:space="preserve">459.  </w:t>
      </w:r>
      <w:r>
        <w:rPr>
          <w:rFonts w:hint="eastAsia"/>
          <w:lang w:val="zh-CN"/>
        </w:rPr>
        <w:t>此外，</w:t>
      </w:r>
      <w:r>
        <w:rPr>
          <w:rFonts w:hint="eastAsia"/>
          <w:lang w:val="zh-CN"/>
        </w:rPr>
        <w:t>2007</w:t>
      </w:r>
      <w:r>
        <w:rPr>
          <w:rFonts w:hint="eastAsia"/>
          <w:lang w:val="zh-CN"/>
        </w:rPr>
        <w:t>年更新和发布了对妊娠期间的各类异常表征早期发现的技术规范和指南手册以及怀孕出血和妊娠高血压控制的指南手册。</w:t>
      </w:r>
      <w:r>
        <w:rPr>
          <w:rFonts w:hint="eastAsia"/>
          <w:lang w:val="zh-CN"/>
        </w:rPr>
        <w:t>2008</w:t>
      </w:r>
      <w:r>
        <w:rPr>
          <w:rFonts w:hint="eastAsia"/>
          <w:lang w:val="zh-CN"/>
        </w:rPr>
        <w:t>年，制定了产科急症处置指南手册，目的是针对产科急症的生物社会心理风险进行全面护理，遵循卫生标准流程，摒除一切障碍，提供优质产科急救服务；预计到</w:t>
      </w:r>
      <w:r>
        <w:rPr>
          <w:rFonts w:hint="eastAsia"/>
          <w:lang w:val="zh-CN"/>
        </w:rPr>
        <w:t>2010</w:t>
      </w:r>
      <w:r>
        <w:rPr>
          <w:rFonts w:hint="eastAsia"/>
          <w:lang w:val="zh-CN"/>
        </w:rPr>
        <w:t>年可对此类指南手册所述的行动进行</w:t>
      </w:r>
      <w:r>
        <w:rPr>
          <w:rFonts w:hint="eastAsia"/>
          <w:lang w:val="zh-CN"/>
        </w:rPr>
        <w:t>UPC</w:t>
      </w:r>
      <w:r>
        <w:rPr>
          <w:vertAlign w:val="superscript"/>
          <w:lang w:val="zh-CN"/>
        </w:rPr>
        <w:footnoteReference w:id="177"/>
      </w:r>
      <w:r>
        <w:t xml:space="preserve"> </w:t>
      </w:r>
      <w:r>
        <w:rPr>
          <w:rFonts w:hint="eastAsia"/>
          <w:lang w:val="zh-CN"/>
        </w:rPr>
        <w:t>影响评估。</w:t>
      </w:r>
    </w:p>
    <w:p w:rsidR="00A83775" w:rsidRDefault="00A83775">
      <w:pPr>
        <w:pStyle w:val="SingleTxtGC"/>
        <w:rPr>
          <w:lang w:val="es-ES"/>
        </w:rPr>
      </w:pPr>
      <w:r>
        <w:rPr>
          <w:lang w:val="zh-CN"/>
        </w:rPr>
        <w:t xml:space="preserve">460.  </w:t>
      </w:r>
      <w:r>
        <w:rPr>
          <w:rFonts w:hint="eastAsia"/>
          <w:lang w:val="zh-CN"/>
        </w:rPr>
        <w:t>另一方面，自</w:t>
      </w:r>
      <w:r>
        <w:rPr>
          <w:rFonts w:hint="eastAsia"/>
          <w:lang w:val="zh-CN"/>
        </w:rPr>
        <w:t>2008</w:t>
      </w:r>
      <w:r>
        <w:rPr>
          <w:rFonts w:hint="eastAsia"/>
          <w:lang w:val="zh-CN"/>
        </w:rPr>
        <w:t>年起，社会保障部依照由拉丁美洲妇产科联合会（</w:t>
      </w:r>
      <w:r>
        <w:rPr>
          <w:lang w:val="zh-CN"/>
        </w:rPr>
        <w:t>FLASOG</w:t>
      </w:r>
      <w:r>
        <w:rPr>
          <w:rFonts w:hint="eastAsia"/>
          <w:lang w:val="zh-CN"/>
        </w:rPr>
        <w:t>）所制定的标准领导实施了产妇发病率监控战略，目的是在地方一级对产科急症进行及时的对症处置。</w:t>
      </w:r>
      <w:r>
        <w:rPr>
          <w:rFonts w:hint="eastAsia"/>
          <w:lang w:val="zh-CN"/>
        </w:rPr>
        <w:t>2008</w:t>
      </w:r>
      <w:r>
        <w:rPr>
          <w:rFonts w:hint="eastAsia"/>
          <w:lang w:val="zh-CN"/>
        </w:rPr>
        <w:t>年战略实施初期，首先开展的是一项在五个省份实施的试点</w:t>
      </w:r>
      <w:r>
        <w:rPr>
          <w:rFonts w:hint="eastAsia"/>
          <w:lang w:val="es-ES"/>
        </w:rPr>
        <w:t>方案，到</w:t>
      </w:r>
      <w:r>
        <w:rPr>
          <w:rFonts w:hint="eastAsia"/>
          <w:lang w:val="es-ES"/>
        </w:rPr>
        <w:t>2009</w:t>
      </w:r>
      <w:r>
        <w:rPr>
          <w:rFonts w:hint="eastAsia"/>
          <w:lang w:val="es-ES"/>
        </w:rPr>
        <w:t>年将其实施范围扩展到</w:t>
      </w:r>
      <w:r>
        <w:rPr>
          <w:rFonts w:hint="eastAsia"/>
          <w:lang w:val="es-ES"/>
        </w:rPr>
        <w:t>15</w:t>
      </w:r>
      <w:r>
        <w:rPr>
          <w:rFonts w:hint="eastAsia"/>
          <w:lang w:val="es-ES"/>
        </w:rPr>
        <w:t>个省份，</w:t>
      </w:r>
      <w:r>
        <w:rPr>
          <w:vertAlign w:val="superscript"/>
          <w:lang w:val="es-ES"/>
        </w:rPr>
        <w:footnoteReference w:id="178"/>
      </w:r>
      <w:r>
        <w:rPr>
          <w:lang w:val="es-ES"/>
        </w:rPr>
        <w:t xml:space="preserve"> </w:t>
      </w:r>
      <w:r>
        <w:rPr>
          <w:rFonts w:hint="eastAsia"/>
          <w:lang w:val="es-ES"/>
        </w:rPr>
        <w:t>在</w:t>
      </w:r>
      <w:r>
        <w:rPr>
          <w:rFonts w:hint="eastAsia"/>
          <w:lang w:val="es-ES"/>
        </w:rPr>
        <w:t>2010</w:t>
      </w:r>
      <w:r>
        <w:rPr>
          <w:rFonts w:hint="eastAsia"/>
          <w:lang w:val="es-ES"/>
        </w:rPr>
        <w:t>年，继续有计划地将方案扩展至国内其余省份。</w:t>
      </w:r>
      <w:r>
        <w:rPr>
          <w:lang w:val="es-ES"/>
        </w:rPr>
        <w:t xml:space="preserve"> </w:t>
      </w:r>
    </w:p>
    <w:p w:rsidR="00A83775" w:rsidRDefault="00A83775">
      <w:pPr>
        <w:pStyle w:val="SingleTxtGC"/>
        <w:rPr>
          <w:lang w:val="zh-CN"/>
        </w:rPr>
      </w:pPr>
      <w:r>
        <w:rPr>
          <w:lang w:val="es-ES"/>
        </w:rPr>
        <w:t xml:space="preserve">461.  </w:t>
      </w:r>
      <w:r>
        <w:rPr>
          <w:rFonts w:hint="eastAsia"/>
          <w:lang w:val="es-ES"/>
        </w:rPr>
        <w:t>2009</w:t>
      </w:r>
      <w:r>
        <w:rPr>
          <w:rFonts w:hint="eastAsia"/>
          <w:lang w:val="es-ES"/>
        </w:rPr>
        <w:t>年，已经实施了产妇发病率监控战略来对产科急症进行及时的对症处置的</w:t>
      </w:r>
      <w:r>
        <w:rPr>
          <w:rFonts w:hint="eastAsia"/>
          <w:lang w:val="es-ES"/>
        </w:rPr>
        <w:t>15</w:t>
      </w:r>
      <w:r>
        <w:rPr>
          <w:rFonts w:hint="eastAsia"/>
          <w:lang w:val="es-ES"/>
        </w:rPr>
        <w:t>个省份，</w:t>
      </w:r>
      <w:r>
        <w:rPr>
          <w:vertAlign w:val="superscript"/>
          <w:lang w:val="es-ES"/>
        </w:rPr>
        <w:footnoteReference w:id="179"/>
      </w:r>
      <w:r>
        <w:rPr>
          <w:lang w:val="es-ES"/>
        </w:rPr>
        <w:t xml:space="preserve"> </w:t>
      </w:r>
      <w:r>
        <w:rPr>
          <w:rFonts w:hint="eastAsia"/>
          <w:lang w:val="es-ES"/>
        </w:rPr>
        <w:t>制定了各自的降低产妇死亡率综合计划；社会保障部也制定了旨在降低哥伦比亚产妇死亡率的战略方针，包括旨在提高服务覆盖面的各项战略；确保</w:t>
      </w:r>
      <w:r>
        <w:rPr>
          <w:rFonts w:hint="eastAsia"/>
          <w:lang w:val="zh-CN"/>
        </w:rPr>
        <w:t>配备高资质的产妇护理人员；确保配备充足的物资和适当的服务来开展产科急症护理工作；更新了产妇发病率和死亡率监控实施条例；加强了主要信息统计工作；设计并推行了一个工作强化体系，目的是对各项护理标准的落实情况进行监测和评估，同时还加强了社会参与。尽管卫生保健的覆盖面得到了扩大，但是这并不能完全反映出医疗卫生服务的实际效用和准入性。在这方面，国家面临的挑战是如何确保各医疗卫生机构和人员为孕产妇提供优质服务。</w:t>
      </w:r>
    </w:p>
    <w:p w:rsidR="00A83775" w:rsidRDefault="00A83775">
      <w:pPr>
        <w:pStyle w:val="SingleTxtGC"/>
        <w:rPr>
          <w:rFonts w:hint="eastAsia"/>
          <w:lang w:val="zh-CN"/>
        </w:rPr>
      </w:pPr>
      <w:r>
        <w:rPr>
          <w:lang w:val="zh-CN"/>
        </w:rPr>
        <w:t xml:space="preserve">462.  </w:t>
      </w:r>
      <w:r>
        <w:rPr>
          <w:rFonts w:eastAsia="SimHei" w:hint="eastAsia"/>
          <w:lang w:val="zh-CN"/>
        </w:rPr>
        <w:t>计划生育</w:t>
      </w:r>
      <w:r>
        <w:rPr>
          <w:rFonts w:hint="eastAsia"/>
          <w:lang w:val="zh-CN"/>
        </w:rPr>
        <w:t>。自</w:t>
      </w:r>
      <w:r>
        <w:rPr>
          <w:rFonts w:hint="eastAsia"/>
          <w:lang w:val="zh-CN"/>
        </w:rPr>
        <w:t>2007</w:t>
      </w:r>
      <w:r>
        <w:rPr>
          <w:rFonts w:hint="eastAsia"/>
          <w:lang w:val="zh-CN"/>
        </w:rPr>
        <w:t>年以来对各地方实体开展了长期性的技术支持，目的是推行一项由社会保障部在</w:t>
      </w:r>
      <w:r>
        <w:rPr>
          <w:rFonts w:hint="eastAsia"/>
          <w:lang w:val="zh-CN"/>
        </w:rPr>
        <w:t>2007</w:t>
      </w:r>
      <w:r>
        <w:rPr>
          <w:rFonts w:hint="eastAsia"/>
          <w:lang w:val="zh-CN"/>
        </w:rPr>
        <w:t>年提出的青少年友好卫生服务所的护理模式，这一举措得到了人口基金的支持，目的是提高针对这一人群的医疗保健服务质量和普及性，通过这一举措，截至目前已经在国内</w:t>
      </w:r>
      <w:r>
        <w:rPr>
          <w:rFonts w:hint="eastAsia"/>
          <w:lang w:val="zh-CN"/>
        </w:rPr>
        <w:t>21</w:t>
      </w:r>
      <w:r>
        <w:rPr>
          <w:rFonts w:hint="eastAsia"/>
          <w:lang w:val="zh-CN"/>
        </w:rPr>
        <w:t>个省份</w:t>
      </w:r>
      <w:r>
        <w:rPr>
          <w:vertAlign w:val="superscript"/>
          <w:lang w:val="zh-CN"/>
        </w:rPr>
        <w:footnoteReference w:id="180"/>
      </w:r>
      <w:r>
        <w:t xml:space="preserve"> </w:t>
      </w:r>
      <w:r>
        <w:rPr>
          <w:rFonts w:hint="eastAsia"/>
          <w:lang w:val="zh-CN"/>
        </w:rPr>
        <w:t>开办了</w:t>
      </w:r>
      <w:r>
        <w:rPr>
          <w:rFonts w:hint="eastAsia"/>
          <w:lang w:val="zh-CN"/>
        </w:rPr>
        <w:t>367</w:t>
      </w:r>
      <w:r>
        <w:rPr>
          <w:rFonts w:hint="eastAsia"/>
          <w:lang w:val="zh-CN"/>
        </w:rPr>
        <w:t>家青少年友好卫生服务所，并培养了</w:t>
      </w:r>
      <w:r>
        <w:rPr>
          <w:rFonts w:hint="eastAsia"/>
          <w:lang w:val="zh-CN"/>
        </w:rPr>
        <w:t>1 200</w:t>
      </w:r>
      <w:r>
        <w:rPr>
          <w:rFonts w:hint="eastAsia"/>
          <w:lang w:val="zh-CN"/>
        </w:rPr>
        <w:t>余名高素质的专业医疗卫生人员。</w:t>
      </w:r>
    </w:p>
    <w:p w:rsidR="00A83775" w:rsidRDefault="00A83775">
      <w:pPr>
        <w:pStyle w:val="SingleTxtGC"/>
      </w:pPr>
      <w:r>
        <w:rPr>
          <w:lang w:val="zh-CN"/>
        </w:rPr>
        <w:t xml:space="preserve">463.  </w:t>
      </w:r>
      <w:r>
        <w:rPr>
          <w:rFonts w:hint="eastAsia"/>
          <w:lang w:val="zh-CN"/>
        </w:rPr>
        <w:t>社会保障部不仅大力宣传避孕方法的使用，还在确保在强制性保健计划框架内推行现代方法方面做出了重大努力，同时还集中力量开展倡导使用临时避孕和永久避孕方法的各类项目（投资</w:t>
      </w:r>
      <w:r>
        <w:rPr>
          <w:rFonts w:hint="eastAsia"/>
          <w:lang w:val="zh-CN"/>
        </w:rPr>
        <w:t>200</w:t>
      </w:r>
      <w:r>
        <w:rPr>
          <w:rFonts w:hint="eastAsia"/>
          <w:lang w:val="zh-CN"/>
        </w:rPr>
        <w:t>万美元）。作为一项旨在促进使用现代避孕方式的战略，</w:t>
      </w:r>
      <w:r>
        <w:rPr>
          <w:rFonts w:hint="eastAsia"/>
          <w:lang w:val="zh-CN"/>
        </w:rPr>
        <w:t>2007</w:t>
      </w:r>
      <w:r>
        <w:rPr>
          <w:rFonts w:hint="eastAsia"/>
          <w:lang w:val="zh-CN"/>
        </w:rPr>
        <w:t>年还敦促国家医疗社会保障委员会（即现在的卫生监管委员会）将输精管切除术纳入到了政府补贴的强制性保健计划中；将激素类口服和注射避孕药物、男用避孕套，以及计划生育门诊治疗和绝育手术都纳入到了医保和政府补贴的强制性保健计划范围。在监管方面，社会保障部</w:t>
      </w:r>
      <w:r>
        <w:rPr>
          <w:rFonts w:hint="eastAsia"/>
          <w:lang w:val="zh-CN"/>
        </w:rPr>
        <w:t>2008</w:t>
      </w:r>
      <w:r>
        <w:rPr>
          <w:rFonts w:hint="eastAsia"/>
          <w:lang w:val="zh-CN"/>
        </w:rPr>
        <w:t>年颁布了计划生育规范条例（</w:t>
      </w:r>
      <w:r>
        <w:rPr>
          <w:rFonts w:hint="eastAsia"/>
          <w:lang w:val="zh-CN"/>
        </w:rPr>
        <w:t>2008</w:t>
      </w:r>
      <w:r>
        <w:rPr>
          <w:rFonts w:hint="eastAsia"/>
          <w:lang w:val="zh-CN"/>
        </w:rPr>
        <w:t>年的第</w:t>
      </w:r>
      <w:r>
        <w:rPr>
          <w:rFonts w:hint="eastAsia"/>
          <w:lang w:val="zh-CN"/>
        </w:rPr>
        <w:t>769</w:t>
      </w:r>
      <w:r>
        <w:rPr>
          <w:rFonts w:hint="eastAsia"/>
          <w:lang w:val="zh-CN"/>
        </w:rPr>
        <w:t>号和</w:t>
      </w:r>
      <w:r>
        <w:rPr>
          <w:rFonts w:hint="eastAsia"/>
          <w:lang w:val="zh-CN"/>
        </w:rPr>
        <w:t>1973</w:t>
      </w:r>
      <w:r>
        <w:rPr>
          <w:rFonts w:hint="eastAsia"/>
          <w:lang w:val="zh-CN"/>
        </w:rPr>
        <w:t>号决议），并由卫生监管委员会通过</w:t>
      </w:r>
      <w:r>
        <w:rPr>
          <w:rFonts w:hint="eastAsia"/>
          <w:lang w:val="zh-CN"/>
        </w:rPr>
        <w:t>2009</w:t>
      </w:r>
      <w:r>
        <w:rPr>
          <w:rFonts w:hint="eastAsia"/>
          <w:lang w:val="zh-CN"/>
        </w:rPr>
        <w:t>年的第</w:t>
      </w:r>
      <w:r>
        <w:rPr>
          <w:rFonts w:hint="eastAsia"/>
          <w:lang w:val="zh-CN"/>
        </w:rPr>
        <w:t>008</w:t>
      </w:r>
      <w:r>
        <w:rPr>
          <w:rFonts w:hint="eastAsia"/>
          <w:lang w:val="zh-CN"/>
        </w:rPr>
        <w:t>号决议予以批准，其中就包括紧急避孕问题。</w:t>
      </w:r>
    </w:p>
    <w:p w:rsidR="00A83775" w:rsidRDefault="00A83775">
      <w:pPr>
        <w:pStyle w:val="SingleTxtGC"/>
        <w:rPr>
          <w:rFonts w:hint="eastAsia"/>
          <w:lang w:val="es-ES"/>
        </w:rPr>
      </w:pPr>
      <w:r>
        <w:rPr>
          <w:lang w:val="zh-CN"/>
        </w:rPr>
        <w:t xml:space="preserve">464.  </w:t>
      </w:r>
      <w:r>
        <w:rPr>
          <w:rFonts w:hint="eastAsia"/>
          <w:lang w:val="zh-CN"/>
        </w:rPr>
        <w:t>在</w:t>
      </w:r>
      <w:r>
        <w:rPr>
          <w:rFonts w:hint="eastAsia"/>
          <w:lang w:val="zh-CN"/>
        </w:rPr>
        <w:t>2006-2010</w:t>
      </w:r>
      <w:r>
        <w:rPr>
          <w:rFonts w:hint="eastAsia"/>
          <w:lang w:val="zh-CN"/>
        </w:rPr>
        <w:t>年期间，坚持实施开展了各类信息宣传和教育战略，目的是增进性权利和生殖权利，推广负责任的性行为并减少对性健康和生殖健康服务的早期需求，为此通过大众传媒和其他媒体，对目标人群进行了重点和定向宣传、信息通报和提高认识教</w:t>
      </w:r>
      <w:r>
        <w:rPr>
          <w:rFonts w:hint="eastAsia"/>
          <w:lang w:val="es-ES"/>
        </w:rPr>
        <w:t>育，以此达到宣传、指导和教育的目的。在这方面每年约投资</w:t>
      </w:r>
      <w:r>
        <w:rPr>
          <w:rFonts w:hint="eastAsia"/>
          <w:lang w:val="es-ES"/>
        </w:rPr>
        <w:t>40</w:t>
      </w:r>
      <w:r>
        <w:rPr>
          <w:rFonts w:hint="eastAsia"/>
          <w:lang w:val="es-ES"/>
        </w:rPr>
        <w:t>亿比索（</w:t>
      </w:r>
      <w:r>
        <w:rPr>
          <w:rFonts w:hint="eastAsia"/>
          <w:lang w:val="es-ES"/>
        </w:rPr>
        <w:t>208</w:t>
      </w:r>
      <w:r>
        <w:rPr>
          <w:rFonts w:hint="eastAsia"/>
          <w:lang w:val="es-ES"/>
        </w:rPr>
        <w:t>万美元）。</w:t>
      </w:r>
    </w:p>
    <w:p w:rsidR="00A83775" w:rsidRDefault="00A83775">
      <w:pPr>
        <w:pStyle w:val="SingleTxtGC"/>
        <w:rPr>
          <w:rFonts w:hint="eastAsia"/>
          <w:bCs/>
          <w:lang w:val="es-ES"/>
        </w:rPr>
      </w:pPr>
      <w:r>
        <w:rPr>
          <w:bCs/>
          <w:lang w:val="es-ES"/>
        </w:rPr>
        <w:t xml:space="preserve">465.  </w:t>
      </w:r>
      <w:r>
        <w:rPr>
          <w:rFonts w:eastAsia="SimHei" w:hint="eastAsia"/>
          <w:bCs/>
          <w:lang w:val="es-ES"/>
        </w:rPr>
        <w:t>性传播疾病，包括艾滋病毒</w:t>
      </w:r>
      <w:r>
        <w:rPr>
          <w:rFonts w:eastAsia="SimHei" w:hint="eastAsia"/>
          <w:bCs/>
          <w:lang w:val="es-ES"/>
        </w:rPr>
        <w:t>/</w:t>
      </w:r>
      <w:r>
        <w:rPr>
          <w:rFonts w:eastAsia="SimHei" w:hint="eastAsia"/>
          <w:bCs/>
          <w:lang w:val="es-ES"/>
        </w:rPr>
        <w:t>艾滋病（千年发展目标</w:t>
      </w:r>
      <w:r>
        <w:rPr>
          <w:rFonts w:eastAsia="SimHei" w:hint="eastAsia"/>
          <w:bCs/>
          <w:lang w:val="es-ES"/>
        </w:rPr>
        <w:t>6</w:t>
      </w:r>
      <w:r>
        <w:rPr>
          <w:rFonts w:eastAsia="SimHei" w:hint="eastAsia"/>
          <w:bCs/>
          <w:lang w:val="es-ES"/>
        </w:rPr>
        <w:t>）</w:t>
      </w:r>
      <w:r>
        <w:rPr>
          <w:rFonts w:hint="eastAsia"/>
          <w:bCs/>
          <w:lang w:val="es-ES"/>
        </w:rPr>
        <w:t>。根据国际标准，哥伦比亚的艾滋病毒</w:t>
      </w:r>
      <w:r>
        <w:rPr>
          <w:rFonts w:hint="eastAsia"/>
          <w:bCs/>
          <w:lang w:val="es-ES"/>
        </w:rPr>
        <w:t>/</w:t>
      </w:r>
      <w:r>
        <w:rPr>
          <w:rFonts w:hint="eastAsia"/>
          <w:bCs/>
          <w:lang w:val="es-ES"/>
        </w:rPr>
        <w:t>艾滋病的传染等级被划定为集中型，与拉美其他国家的情况类似，也就是说，这一传染病在弱势群体和高危人群中最为高发，尤其是在与男性发生性关系的男性、从事性工作的女性以及年轻人等群体中最为高发。自</w:t>
      </w:r>
      <w:r>
        <w:rPr>
          <w:rFonts w:hint="eastAsia"/>
          <w:bCs/>
          <w:lang w:val="es-ES"/>
        </w:rPr>
        <w:t>1983</w:t>
      </w:r>
      <w:r>
        <w:rPr>
          <w:rFonts w:hint="eastAsia"/>
          <w:bCs/>
          <w:lang w:val="es-ES"/>
        </w:rPr>
        <w:t>年至</w:t>
      </w:r>
      <w:r>
        <w:rPr>
          <w:rFonts w:hint="eastAsia"/>
          <w:bCs/>
          <w:lang w:val="es-ES"/>
        </w:rPr>
        <w:t>2009</w:t>
      </w:r>
      <w:r>
        <w:rPr>
          <w:rFonts w:hint="eastAsia"/>
          <w:bCs/>
          <w:lang w:val="es-ES"/>
        </w:rPr>
        <w:t>年，登记病例共有</w:t>
      </w:r>
      <w:r>
        <w:rPr>
          <w:rFonts w:hint="eastAsia"/>
          <w:bCs/>
          <w:lang w:val="es-ES"/>
        </w:rPr>
        <w:t>71</w:t>
      </w:r>
      <w:r>
        <w:rPr>
          <w:bCs/>
          <w:lang w:val="es-ES"/>
        </w:rPr>
        <w:t>,</w:t>
      </w:r>
      <w:r>
        <w:rPr>
          <w:rFonts w:hint="eastAsia"/>
          <w:bCs/>
          <w:lang w:val="es-ES"/>
        </w:rPr>
        <w:t>509</w:t>
      </w:r>
      <w:r>
        <w:rPr>
          <w:rFonts w:hint="eastAsia"/>
          <w:bCs/>
          <w:lang w:val="es-ES"/>
        </w:rPr>
        <w:t>例（</w:t>
      </w:r>
      <w:r>
        <w:rPr>
          <w:rFonts w:hint="eastAsia"/>
          <w:bCs/>
          <w:lang w:val="es-ES"/>
        </w:rPr>
        <w:t>75%</w:t>
      </w:r>
      <w:r>
        <w:rPr>
          <w:rFonts w:hint="eastAsia"/>
          <w:bCs/>
          <w:lang w:val="es-ES"/>
        </w:rPr>
        <w:t>为男性），其中</w:t>
      </w:r>
      <w:r>
        <w:rPr>
          <w:rFonts w:hint="eastAsia"/>
          <w:bCs/>
          <w:lang w:val="es-ES"/>
        </w:rPr>
        <w:t>9</w:t>
      </w:r>
      <w:r>
        <w:rPr>
          <w:bCs/>
          <w:lang w:val="es-ES"/>
        </w:rPr>
        <w:t>,</w:t>
      </w:r>
      <w:r>
        <w:rPr>
          <w:rFonts w:hint="eastAsia"/>
          <w:bCs/>
          <w:lang w:val="es-ES"/>
        </w:rPr>
        <w:t>283</w:t>
      </w:r>
      <w:r>
        <w:rPr>
          <w:rFonts w:hint="eastAsia"/>
          <w:bCs/>
          <w:lang w:val="es-ES"/>
        </w:rPr>
        <w:t>人已死亡。第六次定点研究结果显示，哥伦比亚的患病率预计约为</w:t>
      </w:r>
      <w:r>
        <w:rPr>
          <w:rFonts w:hint="eastAsia"/>
          <w:bCs/>
          <w:lang w:val="es-ES"/>
        </w:rPr>
        <w:t>0.65%</w:t>
      </w:r>
      <w:r>
        <w:rPr>
          <w:rFonts w:hint="eastAsia"/>
          <w:bCs/>
          <w:lang w:val="es-ES"/>
        </w:rPr>
        <w:t>。以下为艾滋病毒</w:t>
      </w:r>
      <w:r>
        <w:rPr>
          <w:rFonts w:hint="eastAsia"/>
          <w:bCs/>
          <w:lang w:val="es-ES"/>
        </w:rPr>
        <w:t>/</w:t>
      </w:r>
      <w:r>
        <w:rPr>
          <w:rFonts w:hint="eastAsia"/>
          <w:bCs/>
          <w:lang w:val="es-ES"/>
        </w:rPr>
        <w:t>艾滋病发病率较高的省份：大西洋省，</w:t>
      </w:r>
      <w:r>
        <w:rPr>
          <w:rFonts w:hint="eastAsia"/>
          <w:bCs/>
          <w:lang w:val="es-ES"/>
        </w:rPr>
        <w:t>27</w:t>
      </w:r>
      <w:r>
        <w:rPr>
          <w:rFonts w:hint="eastAsia"/>
          <w:bCs/>
          <w:lang w:val="es-ES"/>
        </w:rPr>
        <w:t>例，金迪奥省，</w:t>
      </w:r>
      <w:r>
        <w:rPr>
          <w:rFonts w:hint="eastAsia"/>
          <w:bCs/>
          <w:lang w:val="es-ES"/>
        </w:rPr>
        <w:t>26</w:t>
      </w:r>
      <w:r>
        <w:rPr>
          <w:rFonts w:hint="eastAsia"/>
          <w:bCs/>
          <w:lang w:val="es-ES"/>
        </w:rPr>
        <w:t>例，塞萨尔省，</w:t>
      </w:r>
      <w:r>
        <w:rPr>
          <w:rFonts w:hint="eastAsia"/>
          <w:bCs/>
          <w:lang w:val="es-ES"/>
        </w:rPr>
        <w:t>22</w:t>
      </w:r>
      <w:r>
        <w:rPr>
          <w:rFonts w:hint="eastAsia"/>
          <w:bCs/>
          <w:lang w:val="es-ES"/>
        </w:rPr>
        <w:t>例，考卡山谷省，</w:t>
      </w:r>
      <w:r>
        <w:rPr>
          <w:rFonts w:hint="eastAsia"/>
          <w:bCs/>
          <w:lang w:val="es-ES"/>
        </w:rPr>
        <w:t>22</w:t>
      </w:r>
      <w:r>
        <w:rPr>
          <w:rFonts w:hint="eastAsia"/>
          <w:bCs/>
          <w:lang w:val="es-ES"/>
        </w:rPr>
        <w:t>例，卡萨纳雷省，</w:t>
      </w:r>
      <w:r>
        <w:rPr>
          <w:rFonts w:hint="eastAsia"/>
          <w:bCs/>
          <w:lang w:val="es-ES"/>
        </w:rPr>
        <w:t>20</w:t>
      </w:r>
      <w:r>
        <w:rPr>
          <w:rFonts w:hint="eastAsia"/>
          <w:bCs/>
          <w:lang w:val="es-ES"/>
        </w:rPr>
        <w:t>例，桑坦德省，</w:t>
      </w:r>
      <w:r>
        <w:rPr>
          <w:rFonts w:hint="eastAsia"/>
          <w:bCs/>
          <w:lang w:val="es-ES"/>
        </w:rPr>
        <w:t>18</w:t>
      </w:r>
      <w:r>
        <w:rPr>
          <w:rFonts w:hint="eastAsia"/>
          <w:bCs/>
          <w:lang w:val="es-ES"/>
        </w:rPr>
        <w:t>例，瓜维亚雷省，</w:t>
      </w:r>
      <w:r>
        <w:rPr>
          <w:rFonts w:hint="eastAsia"/>
          <w:bCs/>
          <w:lang w:val="es-ES"/>
        </w:rPr>
        <w:t>18</w:t>
      </w:r>
      <w:r>
        <w:rPr>
          <w:rFonts w:hint="eastAsia"/>
          <w:bCs/>
          <w:lang w:val="es-ES"/>
        </w:rPr>
        <w:t>例，波哥大，</w:t>
      </w:r>
      <w:r>
        <w:rPr>
          <w:rFonts w:hint="eastAsia"/>
          <w:bCs/>
          <w:lang w:val="es-ES"/>
        </w:rPr>
        <w:t>17</w:t>
      </w:r>
      <w:r>
        <w:rPr>
          <w:rFonts w:hint="eastAsia"/>
          <w:bCs/>
          <w:lang w:val="es-ES"/>
        </w:rPr>
        <w:t>例，马格达莱纳省，</w:t>
      </w:r>
      <w:r>
        <w:rPr>
          <w:rFonts w:hint="eastAsia"/>
          <w:bCs/>
          <w:lang w:val="es-ES"/>
        </w:rPr>
        <w:t>17</w:t>
      </w:r>
      <w:r>
        <w:rPr>
          <w:rFonts w:hint="eastAsia"/>
          <w:bCs/>
          <w:lang w:val="es-ES"/>
        </w:rPr>
        <w:t>例，里萨拉尔达省，</w:t>
      </w:r>
      <w:r>
        <w:rPr>
          <w:rFonts w:hint="eastAsia"/>
          <w:bCs/>
          <w:lang w:val="es-ES"/>
        </w:rPr>
        <w:t>17</w:t>
      </w:r>
      <w:r>
        <w:rPr>
          <w:rFonts w:hint="eastAsia"/>
          <w:bCs/>
          <w:lang w:val="es-ES"/>
        </w:rPr>
        <w:t>例，安蒂奥基亚省，</w:t>
      </w:r>
      <w:r>
        <w:rPr>
          <w:rFonts w:hint="eastAsia"/>
          <w:bCs/>
          <w:lang w:val="es-ES"/>
        </w:rPr>
        <w:t>17</w:t>
      </w:r>
      <w:r>
        <w:rPr>
          <w:rFonts w:hint="eastAsia"/>
          <w:bCs/>
          <w:lang w:val="es-ES"/>
        </w:rPr>
        <w:t>例，科尔多瓦省，</w:t>
      </w:r>
      <w:r>
        <w:rPr>
          <w:rFonts w:hint="eastAsia"/>
          <w:bCs/>
          <w:lang w:val="es-ES"/>
        </w:rPr>
        <w:t>17</w:t>
      </w:r>
      <w:r>
        <w:rPr>
          <w:rFonts w:hint="eastAsia"/>
          <w:bCs/>
          <w:lang w:val="es-ES"/>
        </w:rPr>
        <w:t>例。</w:t>
      </w:r>
    </w:p>
    <w:p w:rsidR="00A83775" w:rsidRDefault="00A83775">
      <w:pPr>
        <w:pStyle w:val="SingleTxtGC"/>
        <w:rPr>
          <w:lang w:val="es-ES"/>
        </w:rPr>
      </w:pPr>
      <w:r>
        <w:rPr>
          <w:lang w:val="es-ES"/>
        </w:rPr>
        <w:t xml:space="preserve">466.  </w:t>
      </w:r>
      <w:r>
        <w:rPr>
          <w:rFonts w:hint="eastAsia"/>
          <w:lang w:val="es-ES"/>
        </w:rPr>
        <w:t>性传播疾病、艾滋病毒</w:t>
      </w:r>
      <w:r>
        <w:rPr>
          <w:rFonts w:hint="eastAsia"/>
          <w:lang w:val="es-ES"/>
        </w:rPr>
        <w:t>/</w:t>
      </w:r>
      <w:r>
        <w:rPr>
          <w:rFonts w:hint="eastAsia"/>
          <w:lang w:val="es-ES"/>
        </w:rPr>
        <w:t>艾滋病的预防和治疗工作在《</w:t>
      </w:r>
      <w:r>
        <w:rPr>
          <w:rFonts w:hint="eastAsia"/>
          <w:lang w:val="es-ES"/>
        </w:rPr>
        <w:t>2008-2011</w:t>
      </w:r>
      <w:r>
        <w:rPr>
          <w:rFonts w:hint="eastAsia"/>
          <w:lang w:val="es-ES"/>
        </w:rPr>
        <w:t>年国家应对计划》中作出了指导，计划涉及到了不同的部门和行为方，采取有计划的管理模式并在这四年中制定了艾滋病毒</w:t>
      </w:r>
      <w:r>
        <w:rPr>
          <w:rFonts w:hint="eastAsia"/>
          <w:lang w:val="es-ES"/>
        </w:rPr>
        <w:t>/</w:t>
      </w:r>
      <w:r>
        <w:rPr>
          <w:rFonts w:hint="eastAsia"/>
          <w:lang w:val="es-ES"/>
        </w:rPr>
        <w:t>艾滋病综合护理指南；为此开展了各类战略来促进落实计划提出的各项目标：</w:t>
      </w:r>
    </w:p>
    <w:p w:rsidR="00A83775" w:rsidRDefault="00A83775">
      <w:pPr>
        <w:pStyle w:val="SingleTxtGC"/>
        <w:numPr>
          <w:ilvl w:val="0"/>
          <w:numId w:val="56"/>
        </w:numPr>
        <w:rPr>
          <w:lang w:val="es-ES_tradnl"/>
        </w:rPr>
      </w:pPr>
      <w:r>
        <w:rPr>
          <w:rFonts w:hint="eastAsia"/>
          <w:lang w:val="es-ES_tradnl"/>
        </w:rPr>
        <w:t>旨在加强艾滋病毒</w:t>
      </w:r>
      <w:r>
        <w:rPr>
          <w:rFonts w:hint="eastAsia"/>
          <w:lang w:val="es-ES_tradnl"/>
        </w:rPr>
        <w:t>/</w:t>
      </w:r>
      <w:r>
        <w:rPr>
          <w:rFonts w:hint="eastAsia"/>
          <w:lang w:val="es-ES_tradnl"/>
        </w:rPr>
        <w:t>艾滋病咨询和诊断服务的提供和普及工作的战略，这一战略得到了联合国五家机构的支持并成功缩小了以下省份在医疗服务机会和诊治方面的落后差距：</w:t>
      </w:r>
      <w:r>
        <w:t>安蒂奥基亚省、大西洋省、塞萨尔省、波哥大省、索查</w:t>
      </w:r>
      <w:r>
        <w:rPr>
          <w:rFonts w:hint="eastAsia"/>
        </w:rPr>
        <w:t>省、</w:t>
      </w:r>
      <w:r>
        <w:t>瓜希拉省、梅塔省、金迪奥省、桑坦德省、苏克雷省、考卡山谷省、玻利瓦尔省、北桑坦德省</w:t>
      </w:r>
      <w:r>
        <w:rPr>
          <w:rFonts w:hint="eastAsia"/>
        </w:rPr>
        <w:t>；</w:t>
      </w:r>
    </w:p>
    <w:p w:rsidR="00A83775" w:rsidRDefault="00A83775">
      <w:pPr>
        <w:pStyle w:val="SingleTxtGC"/>
        <w:numPr>
          <w:ilvl w:val="0"/>
          <w:numId w:val="56"/>
        </w:numPr>
        <w:rPr>
          <w:lang w:val="es-ES_tradnl"/>
        </w:rPr>
      </w:pPr>
      <w:r>
        <w:rPr>
          <w:rFonts w:hint="eastAsia"/>
          <w:lang w:val="es-ES_tradnl"/>
        </w:rPr>
        <w:t>促进抗逆转录病毒疗法的普及，在这方面，</w:t>
      </w:r>
      <w:r>
        <w:rPr>
          <w:rFonts w:hint="eastAsia"/>
          <w:lang w:val="es-ES_tradnl"/>
        </w:rPr>
        <w:t>2003-2007</w:t>
      </w:r>
      <w:r>
        <w:rPr>
          <w:rFonts w:hint="eastAsia"/>
          <w:lang w:val="es-ES_tradnl"/>
        </w:rPr>
        <w:t>年期间将这一疗法的覆盖率提高了</w:t>
      </w:r>
      <w:r>
        <w:rPr>
          <w:rFonts w:hint="eastAsia"/>
          <w:lang w:val="es-ES_tradnl"/>
        </w:rPr>
        <w:t>45%</w:t>
      </w:r>
      <w:r>
        <w:rPr>
          <w:rFonts w:hint="eastAsia"/>
          <w:lang w:val="es-ES_tradnl"/>
        </w:rPr>
        <w:t>，从</w:t>
      </w:r>
      <w:r>
        <w:rPr>
          <w:rFonts w:hint="eastAsia"/>
          <w:lang w:val="es-ES_tradnl"/>
        </w:rPr>
        <w:t>2003</w:t>
      </w:r>
      <w:r>
        <w:rPr>
          <w:rFonts w:hint="eastAsia"/>
          <w:lang w:val="es-ES_tradnl"/>
        </w:rPr>
        <w:t>年的</w:t>
      </w:r>
      <w:r>
        <w:rPr>
          <w:rFonts w:hint="eastAsia"/>
          <w:lang w:val="es-ES_tradnl"/>
        </w:rPr>
        <w:t>52.3%</w:t>
      </w:r>
      <w:r>
        <w:rPr>
          <w:rFonts w:hint="eastAsia"/>
          <w:lang w:val="es-ES_tradnl"/>
        </w:rPr>
        <w:t>提高至</w:t>
      </w:r>
      <w:r>
        <w:rPr>
          <w:rFonts w:hint="eastAsia"/>
          <w:lang w:val="es-ES_tradnl"/>
        </w:rPr>
        <w:t>2007</w:t>
      </w:r>
      <w:r>
        <w:rPr>
          <w:rFonts w:hint="eastAsia"/>
          <w:lang w:val="es-ES_tradnl"/>
        </w:rPr>
        <w:t>年的</w:t>
      </w:r>
      <w:r>
        <w:rPr>
          <w:rFonts w:hint="eastAsia"/>
          <w:lang w:val="es-ES_tradnl"/>
        </w:rPr>
        <w:t>76%</w:t>
      </w:r>
      <w:r>
        <w:rPr>
          <w:rFonts w:hint="eastAsia"/>
          <w:lang w:val="es-ES_tradnl"/>
        </w:rPr>
        <w:t>，远高于国家政策经济委员会第</w:t>
      </w:r>
      <w:r>
        <w:rPr>
          <w:rFonts w:hint="eastAsia"/>
          <w:lang w:val="es-ES_tradnl"/>
        </w:rPr>
        <w:t>91</w:t>
      </w:r>
      <w:r>
        <w:rPr>
          <w:rFonts w:hint="eastAsia"/>
          <w:lang w:val="es-ES_tradnl"/>
        </w:rPr>
        <w:t>号决议设定的在</w:t>
      </w:r>
      <w:r>
        <w:rPr>
          <w:rFonts w:hint="eastAsia"/>
          <w:lang w:val="es-ES_tradnl"/>
        </w:rPr>
        <w:t>2010</w:t>
      </w:r>
      <w:r>
        <w:rPr>
          <w:rFonts w:hint="eastAsia"/>
          <w:lang w:val="es-ES_tradnl"/>
        </w:rPr>
        <w:t>年达到</w:t>
      </w:r>
      <w:r>
        <w:rPr>
          <w:rFonts w:hint="eastAsia"/>
          <w:lang w:val="es-ES_tradnl"/>
        </w:rPr>
        <w:t>60%</w:t>
      </w:r>
      <w:r>
        <w:rPr>
          <w:rFonts w:hint="eastAsia"/>
          <w:lang w:val="es-ES_tradnl"/>
        </w:rPr>
        <w:t>这一目标；</w:t>
      </w:r>
    </w:p>
    <w:p w:rsidR="00A83775" w:rsidRDefault="00A83775">
      <w:pPr>
        <w:pStyle w:val="SingleTxtGC"/>
        <w:numPr>
          <w:ilvl w:val="0"/>
          <w:numId w:val="56"/>
        </w:numPr>
        <w:rPr>
          <w:lang w:val="es-ES_tradnl"/>
        </w:rPr>
      </w:pPr>
      <w:r>
        <w:rPr>
          <w:rFonts w:hint="eastAsia"/>
          <w:lang w:val="es-ES_tradnl"/>
        </w:rPr>
        <w:t>对国家的应对措施进行监测和评估，支持通过国家艾滋病毒</w:t>
      </w:r>
      <w:r>
        <w:rPr>
          <w:rFonts w:hint="eastAsia"/>
          <w:lang w:val="es-ES_tradnl"/>
        </w:rPr>
        <w:t>/</w:t>
      </w:r>
      <w:r>
        <w:rPr>
          <w:rFonts w:hint="eastAsia"/>
          <w:lang w:val="es-ES_tradnl"/>
        </w:rPr>
        <w:t>艾滋病观察站在弱势人群中开展流行病学研究并对此类疾病进行发展趋势分析；</w:t>
      </w:r>
    </w:p>
    <w:p w:rsidR="00A83775" w:rsidRDefault="00A83775">
      <w:pPr>
        <w:pStyle w:val="SingleTxtGC"/>
        <w:numPr>
          <w:ilvl w:val="0"/>
          <w:numId w:val="56"/>
        </w:numPr>
        <w:rPr>
          <w:rFonts w:hint="eastAsia"/>
          <w:lang w:val="es-ES_tradnl"/>
        </w:rPr>
      </w:pPr>
      <w:r>
        <w:rPr>
          <w:rFonts w:hint="eastAsia"/>
          <w:lang w:val="es-ES_tradnl"/>
        </w:rPr>
        <w:t>降低艾滋病毒母婴传播国家计划，目的是将传染风险维持在</w:t>
      </w:r>
      <w:r>
        <w:rPr>
          <w:rFonts w:hint="eastAsia"/>
          <w:lang w:val="es-ES_tradnl"/>
        </w:rPr>
        <w:t>2%</w:t>
      </w:r>
      <w:r>
        <w:rPr>
          <w:rFonts w:hint="eastAsia"/>
          <w:lang w:val="es-ES_tradnl"/>
        </w:rPr>
        <w:t>以下；该计划是在欧洲经济共同体的支持下启动实施的，并得到了联合国艾滋病规划署的国别指导，自</w:t>
      </w:r>
      <w:r>
        <w:rPr>
          <w:rFonts w:hint="eastAsia"/>
          <w:lang w:val="es-ES_tradnl"/>
        </w:rPr>
        <w:t>2006</w:t>
      </w:r>
      <w:r>
        <w:rPr>
          <w:rFonts w:hint="eastAsia"/>
          <w:lang w:val="es-ES_tradnl"/>
        </w:rPr>
        <w:t>年开始由社会保障部负责领导实施这一计划直至当前。</w:t>
      </w:r>
      <w:r>
        <w:rPr>
          <w:rFonts w:hint="eastAsia"/>
          <w:lang w:val="es-ES_tradnl"/>
        </w:rPr>
        <w:t>2009</w:t>
      </w:r>
      <w:r>
        <w:rPr>
          <w:rFonts w:hint="eastAsia"/>
          <w:lang w:val="es-ES_tradnl"/>
        </w:rPr>
        <w:t>年，作为计划的组成部分，投入</w:t>
      </w:r>
      <w:r>
        <w:rPr>
          <w:rFonts w:hint="eastAsia"/>
          <w:lang w:val="es-ES_tradnl"/>
        </w:rPr>
        <w:t>30</w:t>
      </w:r>
      <w:r>
        <w:rPr>
          <w:rFonts w:hint="eastAsia"/>
          <w:lang w:val="es-ES_tradnl"/>
        </w:rPr>
        <w:t>亿比索（</w:t>
      </w:r>
      <w:r>
        <w:rPr>
          <w:rFonts w:hint="eastAsia"/>
          <w:lang w:val="es-ES_tradnl"/>
        </w:rPr>
        <w:t>157</w:t>
      </w:r>
      <w:r>
        <w:rPr>
          <w:rFonts w:hint="eastAsia"/>
          <w:lang w:val="es-ES_tradnl"/>
        </w:rPr>
        <w:t>万美元）实施了降低围产期艾滋病毒传播战略。上述措施的结果是，</w:t>
      </w:r>
      <w:r>
        <w:rPr>
          <w:rFonts w:hint="eastAsia"/>
          <w:lang w:val="es-ES_tradnl"/>
        </w:rPr>
        <w:t>2003-2009</w:t>
      </w:r>
      <w:r>
        <w:rPr>
          <w:rFonts w:hint="eastAsia"/>
          <w:lang w:val="es-ES_tradnl"/>
        </w:rPr>
        <w:t>年期间对</w:t>
      </w:r>
      <w:r>
        <w:rPr>
          <w:rFonts w:hint="eastAsia"/>
          <w:lang w:val="es-ES_tradnl"/>
        </w:rPr>
        <w:t>1</w:t>
      </w:r>
      <w:r>
        <w:rPr>
          <w:lang w:val="es-ES_tradnl"/>
        </w:rPr>
        <w:t>,</w:t>
      </w:r>
      <w:r>
        <w:rPr>
          <w:rFonts w:hint="eastAsia"/>
          <w:lang w:val="es-ES_tradnl"/>
        </w:rPr>
        <w:t>249</w:t>
      </w:r>
      <w:r>
        <w:rPr>
          <w:lang w:val="es-ES_tradnl"/>
        </w:rPr>
        <w:t>,</w:t>
      </w:r>
      <w:r>
        <w:rPr>
          <w:rFonts w:hint="eastAsia"/>
          <w:lang w:val="es-ES_tradnl"/>
        </w:rPr>
        <w:t>187</w:t>
      </w:r>
      <w:r>
        <w:rPr>
          <w:rFonts w:hint="eastAsia"/>
          <w:lang w:val="es-ES_tradnl"/>
        </w:rPr>
        <w:t>名孕妇进行了筛查，其中</w:t>
      </w:r>
      <w:r>
        <w:rPr>
          <w:rFonts w:hint="eastAsia"/>
          <w:lang w:val="es-ES_tradnl"/>
        </w:rPr>
        <w:t>2</w:t>
      </w:r>
      <w:r>
        <w:rPr>
          <w:lang w:val="es-ES_tradnl"/>
        </w:rPr>
        <w:t>,</w:t>
      </w:r>
      <w:r>
        <w:rPr>
          <w:rFonts w:hint="eastAsia"/>
          <w:lang w:val="es-ES_tradnl"/>
        </w:rPr>
        <w:t>261</w:t>
      </w:r>
      <w:r>
        <w:rPr>
          <w:rFonts w:hint="eastAsia"/>
          <w:lang w:val="es-ES_tradnl"/>
        </w:rPr>
        <w:t>名孕妇被确诊感染艾滋病毒（</w:t>
      </w:r>
      <w:r>
        <w:rPr>
          <w:rFonts w:hint="eastAsia"/>
          <w:lang w:val="es-ES_tradnl"/>
        </w:rPr>
        <w:t>1.18%</w:t>
      </w:r>
      <w:r>
        <w:rPr>
          <w:rFonts w:hint="eastAsia"/>
          <w:lang w:val="es-ES_tradnl"/>
        </w:rPr>
        <w:t>）；从这七年的总体情况看，</w:t>
      </w:r>
      <w:r>
        <w:rPr>
          <w:rFonts w:hint="eastAsia"/>
          <w:lang w:val="es-ES_tradnl"/>
        </w:rPr>
        <w:t>1</w:t>
      </w:r>
      <w:r>
        <w:rPr>
          <w:lang w:val="es-ES_tradnl"/>
        </w:rPr>
        <w:t>,</w:t>
      </w:r>
      <w:r>
        <w:rPr>
          <w:rFonts w:hint="eastAsia"/>
          <w:lang w:val="es-ES_tradnl"/>
        </w:rPr>
        <w:t>652</w:t>
      </w:r>
      <w:r>
        <w:rPr>
          <w:rFonts w:hint="eastAsia"/>
          <w:lang w:val="es-ES_tradnl"/>
        </w:rPr>
        <w:t>名活产儿中，有</w:t>
      </w:r>
      <w:r>
        <w:rPr>
          <w:rFonts w:hint="eastAsia"/>
          <w:lang w:val="es-ES_tradnl"/>
        </w:rPr>
        <w:t>462</w:t>
      </w:r>
      <w:r>
        <w:rPr>
          <w:rFonts w:hint="eastAsia"/>
          <w:lang w:val="es-ES_tradnl"/>
        </w:rPr>
        <w:t>例被评定为无需干预的围产期艾滋病毒</w:t>
      </w:r>
      <w:r>
        <w:rPr>
          <w:rFonts w:hint="eastAsia"/>
          <w:lang w:val="es-ES_tradnl"/>
        </w:rPr>
        <w:t>/</w:t>
      </w:r>
      <w:r>
        <w:rPr>
          <w:rFonts w:hint="eastAsia"/>
          <w:lang w:val="es-ES_tradnl"/>
        </w:rPr>
        <w:t>艾滋病病例。然而，由于这一战略的实施，经诊断仅有</w:t>
      </w:r>
      <w:r>
        <w:rPr>
          <w:rFonts w:hint="eastAsia"/>
          <w:lang w:val="es-ES_tradnl"/>
        </w:rPr>
        <w:t>49</w:t>
      </w:r>
      <w:r>
        <w:rPr>
          <w:rFonts w:hint="eastAsia"/>
          <w:lang w:val="es-ES_tradnl"/>
        </w:rPr>
        <w:t>名幼儿被确诊感染，</w:t>
      </w:r>
      <w:r>
        <w:rPr>
          <w:rFonts w:hint="eastAsia"/>
          <w:lang w:val="es-ES_tradnl"/>
        </w:rPr>
        <w:t>413</w:t>
      </w:r>
      <w:r>
        <w:rPr>
          <w:rFonts w:hint="eastAsia"/>
          <w:lang w:val="es-ES_tradnl"/>
        </w:rPr>
        <w:t>名新生儿摆脱了在围产期受感染的厄运；</w:t>
      </w:r>
    </w:p>
    <w:p w:rsidR="00A83775" w:rsidRDefault="00A83775">
      <w:pPr>
        <w:pStyle w:val="SingleTxtGC"/>
        <w:numPr>
          <w:ilvl w:val="0"/>
          <w:numId w:val="56"/>
        </w:numPr>
        <w:rPr>
          <w:lang w:val="es-ES_tradnl"/>
        </w:rPr>
      </w:pPr>
      <w:r>
        <w:rPr>
          <w:rFonts w:hint="eastAsia"/>
          <w:lang w:val="es-ES_tradnl"/>
        </w:rPr>
        <w:t>促进推广性健康和生殖健康服务。成功地在全国所有省市、医疗保险和医疗救助单位和医疗救助机关中开展了“将权利落到实处”运动，对</w:t>
      </w:r>
      <w:r>
        <w:rPr>
          <w:rFonts w:hint="eastAsia"/>
          <w:lang w:val="es-ES_tradnl"/>
        </w:rPr>
        <w:t>20</w:t>
      </w:r>
      <w:r>
        <w:rPr>
          <w:rFonts w:hint="eastAsia"/>
          <w:lang w:val="es-ES_tradnl"/>
        </w:rPr>
        <w:t>个试点城市的卫生主管官员和卫生工作人员进行了培训，以应用性健康和生殖健康技术标准和工作指南手册，并面向男性和女性提供性健康和生殖健康服务，包括开展宫颈癌、乳腺癌、前列腺癌和睾丸癌的检测筛查，向男性和女性高危人口进行关于避孕措施相关知识的宣传、教育、咨询服务并发放避孕药具。这一项目中所包含的皮下植入荷尔蒙避孕以及乳腺癌和前列腺癌筛查目标已</w:t>
      </w:r>
      <w:r>
        <w:rPr>
          <w:rFonts w:hint="eastAsia"/>
          <w:lang w:val="es-ES_tradnl"/>
        </w:rPr>
        <w:t>100%</w:t>
      </w:r>
      <w:r>
        <w:rPr>
          <w:rFonts w:hint="eastAsia"/>
          <w:lang w:val="es-ES_tradnl"/>
        </w:rPr>
        <w:t>达成；输精管切除术服务目标已完成</w:t>
      </w:r>
      <w:r>
        <w:rPr>
          <w:rFonts w:hint="eastAsia"/>
          <w:lang w:val="es-ES_tradnl"/>
        </w:rPr>
        <w:t>96%</w:t>
      </w:r>
      <w:r>
        <w:rPr>
          <w:rFonts w:hint="eastAsia"/>
          <w:lang w:val="es-ES_tradnl"/>
        </w:rPr>
        <w:t>；而输卵管结扎避孕目标已达成</w:t>
      </w:r>
      <w:r>
        <w:rPr>
          <w:rFonts w:hint="eastAsia"/>
          <w:lang w:val="es-ES_tradnl"/>
        </w:rPr>
        <w:t>61%</w:t>
      </w:r>
      <w:r>
        <w:rPr>
          <w:rFonts w:hint="eastAsia"/>
          <w:lang w:val="es-ES_tradnl"/>
        </w:rPr>
        <w:t>；</w:t>
      </w:r>
    </w:p>
    <w:p w:rsidR="00A83775" w:rsidRDefault="00A83775">
      <w:pPr>
        <w:pStyle w:val="SingleTxtGC"/>
        <w:numPr>
          <w:ilvl w:val="0"/>
          <w:numId w:val="56"/>
        </w:numPr>
        <w:rPr>
          <w:lang w:val="es-ES_tradnl"/>
        </w:rPr>
      </w:pPr>
      <w:r>
        <w:rPr>
          <w:rFonts w:hint="eastAsia"/>
          <w:lang w:val="es-ES_tradnl"/>
        </w:rPr>
        <w:t>降低宫颈癌的致死率。癌症，特别是宫颈癌控制模式的应用在索查市取得了进展，并且达成了政治共识，以协调开展早期发现、诊断和治疗一条龙服务。需要实现降低宫颈癌致死率的宫颈癌高发省份有金迪奥省、托利马省、卡克塔省和阿劳卡省。</w:t>
      </w:r>
    </w:p>
    <w:p w:rsidR="00A83775" w:rsidRDefault="00A83775">
      <w:pPr>
        <w:pStyle w:val="SingleTxtGC"/>
        <w:rPr>
          <w:rFonts w:hint="eastAsia"/>
          <w:lang w:val="zh-CN"/>
        </w:rPr>
      </w:pPr>
      <w:r>
        <w:rPr>
          <w:lang w:val="es-ES"/>
        </w:rPr>
        <w:t xml:space="preserve">467.  </w:t>
      </w:r>
      <w:r>
        <w:rPr>
          <w:rFonts w:eastAsia="SimHei" w:hint="eastAsia"/>
          <w:lang w:val="es-ES"/>
        </w:rPr>
        <w:t>关爱流离失所人口</w:t>
      </w:r>
      <w:r>
        <w:rPr>
          <w:rFonts w:hint="eastAsia"/>
          <w:lang w:val="es-ES"/>
        </w:rPr>
        <w:t>。在</w:t>
      </w:r>
      <w:r>
        <w:rPr>
          <w:rFonts w:hint="eastAsia"/>
          <w:lang w:val="es-ES"/>
        </w:rPr>
        <w:t>2003-2010</w:t>
      </w:r>
      <w:r>
        <w:rPr>
          <w:rFonts w:hint="eastAsia"/>
          <w:lang w:val="es-ES"/>
        </w:rPr>
        <w:t>年期间，社会保障部针对全面关爱流离失所人口（</w:t>
      </w:r>
      <w:r>
        <w:rPr>
          <w:rFonts w:hint="eastAsia"/>
          <w:lang w:val="es-ES"/>
        </w:rPr>
        <w:t>PSD</w:t>
      </w:r>
      <w:r>
        <w:rPr>
          <w:rFonts w:hint="eastAsia"/>
          <w:lang w:val="es-ES"/>
        </w:rPr>
        <w:t>）问题而开展的政策制定、实施和落实方面取得了重大进展，优先对</w:t>
      </w:r>
      <w:r>
        <w:rPr>
          <w:rFonts w:hint="eastAsia"/>
          <w:lang w:val="zh-CN"/>
        </w:rPr>
        <w:t>此类群体进行差别化的政策倾斜。社会保障部</w:t>
      </w:r>
      <w:r>
        <w:rPr>
          <w:rFonts w:hint="eastAsia"/>
          <w:lang w:val="zh-CN"/>
        </w:rPr>
        <w:t>2010</w:t>
      </w:r>
      <w:r>
        <w:rPr>
          <w:rFonts w:hint="eastAsia"/>
          <w:lang w:val="zh-CN"/>
        </w:rPr>
        <w:t>年根据其权限和责任所取得的工作进展在本条对应的附件</w:t>
      </w:r>
      <w:r>
        <w:rPr>
          <w:rFonts w:hint="eastAsia"/>
          <w:lang w:val="zh-CN"/>
        </w:rPr>
        <w:t>3</w:t>
      </w:r>
      <w:r>
        <w:rPr>
          <w:rFonts w:hint="eastAsia"/>
          <w:lang w:val="zh-CN"/>
        </w:rPr>
        <w:t>中进行了介绍。</w:t>
      </w:r>
    </w:p>
    <w:p w:rsidR="00A83775" w:rsidRDefault="00A83775">
      <w:pPr>
        <w:pStyle w:val="SingleTxtGC"/>
        <w:rPr>
          <w:lang w:val="zh-CN"/>
        </w:rPr>
      </w:pPr>
      <w:r>
        <w:rPr>
          <w:lang w:val="zh-CN"/>
        </w:rPr>
        <w:t xml:space="preserve">468.  </w:t>
      </w:r>
      <w:r>
        <w:rPr>
          <w:rFonts w:hint="eastAsia"/>
          <w:lang w:val="zh-CN"/>
        </w:rPr>
        <w:t>作为国家流离失所者全面照料系统的成员单位，为落实宪法法院在相关判例中提出的要求，社会保障部从差别化角度入手，在</w:t>
      </w:r>
      <w:r>
        <w:rPr>
          <w:rFonts w:hint="eastAsia"/>
          <w:lang w:val="zh-CN"/>
        </w:rPr>
        <w:t>2008</w:t>
      </w:r>
      <w:r>
        <w:rPr>
          <w:rFonts w:hint="eastAsia"/>
          <w:lang w:val="zh-CN"/>
        </w:rPr>
        <w:t>年的第</w:t>
      </w:r>
      <w:r>
        <w:rPr>
          <w:rFonts w:hint="eastAsia"/>
          <w:lang w:val="zh-CN"/>
        </w:rPr>
        <w:t>092</w:t>
      </w:r>
      <w:r>
        <w:rPr>
          <w:rFonts w:hint="eastAsia"/>
          <w:lang w:val="zh-CN"/>
        </w:rPr>
        <w:t>号和</w:t>
      </w:r>
      <w:r>
        <w:rPr>
          <w:rFonts w:hint="eastAsia"/>
          <w:lang w:val="zh-CN"/>
        </w:rPr>
        <w:t>237</w:t>
      </w:r>
      <w:r>
        <w:rPr>
          <w:rFonts w:hint="eastAsia"/>
          <w:lang w:val="zh-CN"/>
        </w:rPr>
        <w:t>号裁决的框架下采取了以下旨在保护流离失所受害妇女权利的行动：</w:t>
      </w:r>
    </w:p>
    <w:p w:rsidR="00A83775" w:rsidRDefault="00A83775">
      <w:pPr>
        <w:pStyle w:val="SingleTxtGC"/>
        <w:rPr>
          <w:lang w:val="es-ES"/>
        </w:rPr>
      </w:pPr>
      <w:r>
        <w:rPr>
          <w:lang w:val="zh-CN"/>
        </w:rPr>
        <w:t xml:space="preserve">469.  </w:t>
      </w:r>
      <w:r>
        <w:rPr>
          <w:rFonts w:hint="eastAsia"/>
          <w:lang w:val="zh-CN"/>
        </w:rPr>
        <w:t>领导实施了宪法法院颁布的</w:t>
      </w:r>
      <w:r>
        <w:rPr>
          <w:rFonts w:hint="eastAsia"/>
          <w:lang w:val="zh-CN"/>
        </w:rPr>
        <w:t>13</w:t>
      </w:r>
      <w:r>
        <w:rPr>
          <w:rFonts w:hint="eastAsia"/>
          <w:lang w:val="zh-CN"/>
        </w:rPr>
        <w:t>项方案中的</w:t>
      </w:r>
      <w:r>
        <w:rPr>
          <w:rFonts w:hint="eastAsia"/>
          <w:lang w:val="zh-CN"/>
        </w:rPr>
        <w:t>3</w:t>
      </w:r>
      <w:r>
        <w:rPr>
          <w:rFonts w:hint="eastAsia"/>
          <w:lang w:val="zh-CN"/>
        </w:rPr>
        <w:t>项：促进流离失所妇女的健康；预防性暴力和对性暴力受害者全面关爱，对流离失所妇女及其家庭进行社会心理干预，并</w:t>
      </w:r>
      <w:r>
        <w:rPr>
          <w:rFonts w:hint="eastAsia"/>
          <w:lang w:val="es-ES"/>
        </w:rPr>
        <w:t>与其他方案，如对具有女户主身份的流离失所妇女的支持方案等协调开展；帮助妇女获得生产劳动机会并预防对妇女的家务剥削和劳务剥削，预防性别方面的负面影响，等等。</w:t>
      </w:r>
    </w:p>
    <w:p w:rsidR="00A83775" w:rsidRDefault="00A83775">
      <w:pPr>
        <w:pStyle w:val="SingleTxtGC"/>
        <w:rPr>
          <w:lang w:val="zh-CN"/>
        </w:rPr>
      </w:pPr>
      <w:r>
        <w:rPr>
          <w:lang w:val="es-ES"/>
        </w:rPr>
        <w:t xml:space="preserve">470.  </w:t>
      </w:r>
      <w:r>
        <w:rPr>
          <w:rFonts w:hint="eastAsia"/>
          <w:lang w:val="es-ES"/>
        </w:rPr>
        <w:t>作为对法院对调整“各项方案加速实施时间表”这一要求的起码回应，社会保障部，在与劳工组织签署的协议框架内，在</w:t>
      </w:r>
      <w:r>
        <w:rPr>
          <w:rFonts w:hint="eastAsia"/>
          <w:lang w:val="es-ES"/>
        </w:rPr>
        <w:t>2009</w:t>
      </w:r>
      <w:r>
        <w:rPr>
          <w:rFonts w:hint="eastAsia"/>
          <w:lang w:val="es-ES"/>
        </w:rPr>
        <w:t>年和</w:t>
      </w:r>
      <w:r>
        <w:rPr>
          <w:rFonts w:hint="eastAsia"/>
          <w:lang w:val="es-ES"/>
        </w:rPr>
        <w:t>2010</w:t>
      </w:r>
      <w:r>
        <w:rPr>
          <w:rFonts w:hint="eastAsia"/>
          <w:lang w:val="es-ES"/>
        </w:rPr>
        <w:t>年，在社会保障体系框架内开展了多项旨在促进和保障流离失所妇女及其家庭获得社会保障部构筑的</w:t>
      </w:r>
      <w:r>
        <w:rPr>
          <w:rFonts w:hint="eastAsia"/>
          <w:lang w:val="zh-CN"/>
        </w:rPr>
        <w:t>方案帮扶的项目；在</w:t>
      </w:r>
      <w:r>
        <w:rPr>
          <w:rFonts w:hint="eastAsia"/>
          <w:lang w:val="zh-CN"/>
        </w:rPr>
        <w:t>2009</w:t>
      </w:r>
      <w:r>
        <w:rPr>
          <w:rFonts w:hint="eastAsia"/>
          <w:lang w:val="zh-CN"/>
        </w:rPr>
        <w:t>年这方面的工作覆盖了国内</w:t>
      </w:r>
      <w:r>
        <w:rPr>
          <w:rFonts w:hint="eastAsia"/>
          <w:lang w:val="zh-CN"/>
        </w:rPr>
        <w:t>29</w:t>
      </w:r>
      <w:r>
        <w:rPr>
          <w:rFonts w:hint="eastAsia"/>
          <w:lang w:val="zh-CN"/>
        </w:rPr>
        <w:t>个省份以及首都特区的</w:t>
      </w:r>
      <w:r>
        <w:rPr>
          <w:rFonts w:hint="eastAsia"/>
          <w:lang w:val="zh-CN"/>
        </w:rPr>
        <w:t>249</w:t>
      </w:r>
      <w:r>
        <w:rPr>
          <w:rFonts w:hint="eastAsia"/>
          <w:lang w:val="zh-CN"/>
        </w:rPr>
        <w:t>个城市、惠及</w:t>
      </w:r>
      <w:r>
        <w:rPr>
          <w:rFonts w:hint="eastAsia"/>
          <w:lang w:val="zh-CN"/>
        </w:rPr>
        <w:t>600</w:t>
      </w:r>
      <w:r>
        <w:t>,</w:t>
      </w:r>
      <w:r>
        <w:rPr>
          <w:rFonts w:hint="eastAsia"/>
          <w:lang w:val="zh-CN"/>
        </w:rPr>
        <w:t>000</w:t>
      </w:r>
      <w:r>
        <w:rPr>
          <w:rFonts w:hint="eastAsia"/>
          <w:lang w:val="zh-CN"/>
        </w:rPr>
        <w:t>名妇女。为落实这一协议，共投入</w:t>
      </w:r>
      <w:r>
        <w:rPr>
          <w:rFonts w:hint="eastAsia"/>
          <w:lang w:val="zh-CN"/>
        </w:rPr>
        <w:t>102.38</w:t>
      </w:r>
      <w:r>
        <w:rPr>
          <w:rFonts w:hint="eastAsia"/>
          <w:lang w:val="zh-CN"/>
        </w:rPr>
        <w:t>亿比索（</w:t>
      </w:r>
      <w:r>
        <w:rPr>
          <w:rFonts w:hint="eastAsia"/>
          <w:lang w:val="zh-CN"/>
        </w:rPr>
        <w:t>535</w:t>
      </w:r>
      <w:r>
        <w:rPr>
          <w:rFonts w:hint="eastAsia"/>
          <w:lang w:val="zh-CN"/>
        </w:rPr>
        <w:t>万美元），其中社会保障部出资</w:t>
      </w:r>
      <w:r>
        <w:rPr>
          <w:rFonts w:hint="eastAsia"/>
          <w:lang w:val="zh-CN"/>
        </w:rPr>
        <w:t>97.46</w:t>
      </w:r>
      <w:r>
        <w:rPr>
          <w:rFonts w:hint="eastAsia"/>
          <w:lang w:val="zh-CN"/>
        </w:rPr>
        <w:t>亿比索（</w:t>
      </w:r>
      <w:r>
        <w:rPr>
          <w:rFonts w:hint="eastAsia"/>
          <w:lang w:val="zh-CN"/>
        </w:rPr>
        <w:t>509.2</w:t>
      </w:r>
      <w:r>
        <w:rPr>
          <w:rFonts w:hint="eastAsia"/>
          <w:lang w:val="zh-CN"/>
        </w:rPr>
        <w:t>万美元），劳工组织出资</w:t>
      </w:r>
      <w:r>
        <w:rPr>
          <w:rFonts w:hint="eastAsia"/>
          <w:lang w:val="zh-CN"/>
        </w:rPr>
        <w:t>4.91</w:t>
      </w:r>
      <w:r>
        <w:rPr>
          <w:rFonts w:hint="eastAsia"/>
          <w:lang w:val="zh-CN"/>
        </w:rPr>
        <w:t>亿比索（</w:t>
      </w:r>
      <w:r>
        <w:rPr>
          <w:rFonts w:hint="eastAsia"/>
          <w:lang w:val="zh-CN"/>
        </w:rPr>
        <w:t>256</w:t>
      </w:r>
      <w:r>
        <w:t>,</w:t>
      </w:r>
      <w:r>
        <w:rPr>
          <w:rFonts w:hint="eastAsia"/>
          <w:lang w:val="zh-CN"/>
        </w:rPr>
        <w:t>533</w:t>
      </w:r>
      <w:r>
        <w:rPr>
          <w:rFonts w:hint="eastAsia"/>
          <w:lang w:val="zh-CN"/>
        </w:rPr>
        <w:t>美元）。</w:t>
      </w:r>
    </w:p>
    <w:p w:rsidR="00A83775" w:rsidRDefault="00A83775">
      <w:pPr>
        <w:pStyle w:val="SingleTxtGC"/>
        <w:rPr>
          <w:lang w:val="es-ES"/>
        </w:rPr>
      </w:pPr>
      <w:r>
        <w:rPr>
          <w:lang w:val="zh-CN"/>
        </w:rPr>
        <w:t xml:space="preserve">471.  </w:t>
      </w:r>
      <w:r>
        <w:rPr>
          <w:rFonts w:hint="eastAsia"/>
          <w:lang w:val="zh-CN"/>
        </w:rPr>
        <w:t>在社会心理干预方面，遵照与国家社会庇护秘书处达成的协议，在</w:t>
      </w:r>
      <w:r>
        <w:rPr>
          <w:rFonts w:hint="eastAsia"/>
          <w:lang w:val="zh-CN"/>
        </w:rPr>
        <w:t>2009</w:t>
      </w:r>
      <w:r>
        <w:rPr>
          <w:rFonts w:hint="eastAsia"/>
          <w:lang w:val="zh-CN"/>
        </w:rPr>
        <w:t>年面向流离失所人口和弱势人群开展进行了</w:t>
      </w:r>
      <w:r>
        <w:rPr>
          <w:rFonts w:hint="eastAsia"/>
          <w:lang w:val="zh-CN"/>
        </w:rPr>
        <w:t>456</w:t>
      </w:r>
      <w:r>
        <w:rPr>
          <w:rFonts w:hint="eastAsia"/>
          <w:lang w:val="zh-CN"/>
        </w:rPr>
        <w:t>次心理辅导。该协议还规定应针对基布多和布</w:t>
      </w:r>
      <w:r>
        <w:rPr>
          <w:rFonts w:hint="eastAsia"/>
          <w:lang w:val="es-ES"/>
        </w:rPr>
        <w:t>埃纳文图拉的非洲裔社区进行重点干预；针对土著社区的情况，将工作重点落在纳里尼奥省（阿瓦族）、瓜伊尼亚省（西夸尼族）、瓜维亚雷省（图卡诺族）、普图马约省（印加族和帕斯托族）、沃佩斯省（库贝奥族）和考卡省（帕埃斯族）。</w:t>
      </w:r>
    </w:p>
    <w:p w:rsidR="00A83775" w:rsidRDefault="00A83775">
      <w:pPr>
        <w:pStyle w:val="SingleTxtGC"/>
        <w:rPr>
          <w:lang w:val="zh-CN"/>
        </w:rPr>
      </w:pPr>
      <w:r>
        <w:rPr>
          <w:lang w:val="es-ES"/>
        </w:rPr>
        <w:t xml:space="preserve">472.  </w:t>
      </w:r>
      <w:r>
        <w:rPr>
          <w:rFonts w:hint="eastAsia"/>
          <w:lang w:val="es-ES"/>
        </w:rPr>
        <w:t>2009</w:t>
      </w:r>
      <w:r>
        <w:rPr>
          <w:rFonts w:hint="eastAsia"/>
          <w:lang w:val="es-ES"/>
        </w:rPr>
        <w:t>年社会保障部拨款</w:t>
      </w:r>
      <w:r>
        <w:rPr>
          <w:rFonts w:hint="eastAsia"/>
          <w:lang w:val="es-ES"/>
        </w:rPr>
        <w:t>31.41</w:t>
      </w:r>
      <w:r>
        <w:rPr>
          <w:rFonts w:hint="eastAsia"/>
          <w:lang w:val="es-ES"/>
        </w:rPr>
        <w:t>亿比索（</w:t>
      </w:r>
      <w:r>
        <w:rPr>
          <w:rFonts w:hint="eastAsia"/>
          <w:lang w:val="es-ES"/>
        </w:rPr>
        <w:t>164</w:t>
      </w:r>
      <w:r>
        <w:rPr>
          <w:rFonts w:hint="eastAsia"/>
          <w:lang w:val="es-ES"/>
        </w:rPr>
        <w:t>万美元），重点对流离失所问题严重的地区</w:t>
      </w:r>
      <w:r>
        <w:rPr>
          <w:rFonts w:hint="eastAsia"/>
          <w:lang w:val="zh-CN"/>
        </w:rPr>
        <w:t>开展社会心理干预，</w:t>
      </w:r>
      <w:r>
        <w:rPr>
          <w:rFonts w:hint="eastAsia"/>
          <w:lang w:val="zh-CN"/>
        </w:rPr>
        <w:t>22</w:t>
      </w:r>
      <w:r>
        <w:t>,</w:t>
      </w:r>
      <w:r>
        <w:rPr>
          <w:rFonts w:hint="eastAsia"/>
          <w:lang w:val="zh-CN"/>
        </w:rPr>
        <w:t>721</w:t>
      </w:r>
      <w:r>
        <w:rPr>
          <w:rFonts w:hint="eastAsia"/>
          <w:lang w:val="zh-CN"/>
        </w:rPr>
        <w:t>人从中直接受益，其中</w:t>
      </w:r>
      <w:r>
        <w:rPr>
          <w:rFonts w:hint="eastAsia"/>
          <w:lang w:val="zh-CN"/>
        </w:rPr>
        <w:t>41%</w:t>
      </w:r>
      <w:r>
        <w:rPr>
          <w:rFonts w:hint="eastAsia"/>
          <w:lang w:val="zh-CN"/>
        </w:rPr>
        <w:t>为流离失所人口，其余为弱势群体。</w:t>
      </w:r>
      <w:r>
        <w:rPr>
          <w:rFonts w:hint="eastAsia"/>
          <w:lang w:val="zh-CN"/>
        </w:rPr>
        <w:t>72%</w:t>
      </w:r>
      <w:r>
        <w:rPr>
          <w:rFonts w:hint="eastAsia"/>
          <w:lang w:val="zh-CN"/>
        </w:rPr>
        <w:t>的受益人口为女性。</w:t>
      </w:r>
      <w:r>
        <w:rPr>
          <w:lang w:val="zh-CN"/>
        </w:rPr>
        <w:t xml:space="preserve"> </w:t>
      </w:r>
    </w:p>
    <w:p w:rsidR="00A83775" w:rsidRDefault="00A83775">
      <w:pPr>
        <w:pStyle w:val="SingleTxtGC"/>
        <w:rPr>
          <w:lang w:val="es-ES_tradnl"/>
        </w:rPr>
      </w:pPr>
      <w:r>
        <w:rPr>
          <w:lang w:val="zh-CN"/>
        </w:rPr>
        <w:t xml:space="preserve">473.  </w:t>
      </w:r>
      <w:r>
        <w:rPr>
          <w:rFonts w:eastAsia="KaiTi_GB2312" w:hint="eastAsia"/>
          <w:lang w:val="zh-CN"/>
        </w:rPr>
        <w:t>2010</w:t>
      </w:r>
      <w:r>
        <w:rPr>
          <w:rFonts w:eastAsia="KaiTi_GB2312" w:hint="eastAsia"/>
          <w:lang w:val="zh-CN"/>
        </w:rPr>
        <w:t>年的第</w:t>
      </w:r>
      <w:r>
        <w:rPr>
          <w:rFonts w:eastAsia="KaiTi_GB2312" w:hint="eastAsia"/>
          <w:lang w:val="zh-CN"/>
        </w:rPr>
        <w:t>T-045</w:t>
      </w:r>
      <w:r>
        <w:rPr>
          <w:rFonts w:eastAsia="KaiTi_GB2312" w:hint="eastAsia"/>
          <w:lang w:val="zh-CN"/>
        </w:rPr>
        <w:t>号判决</w:t>
      </w:r>
      <w:r>
        <w:rPr>
          <w:rFonts w:hint="eastAsia"/>
          <w:lang w:val="zh-CN"/>
        </w:rPr>
        <w:t>。</w:t>
      </w:r>
      <w:r>
        <w:rPr>
          <w:rFonts w:hint="eastAsia"/>
          <w:lang w:val="zh-CN"/>
        </w:rPr>
        <w:t>2010</w:t>
      </w:r>
      <w:r>
        <w:rPr>
          <w:rFonts w:hint="eastAsia"/>
          <w:lang w:val="zh-CN"/>
        </w:rPr>
        <w:t>年</w:t>
      </w:r>
      <w:r>
        <w:rPr>
          <w:rFonts w:hint="eastAsia"/>
          <w:lang w:val="zh-CN"/>
        </w:rPr>
        <w:t>2</w:t>
      </w:r>
      <w:r>
        <w:rPr>
          <w:rFonts w:hint="eastAsia"/>
          <w:lang w:val="zh-CN"/>
        </w:rPr>
        <w:t>月</w:t>
      </w:r>
      <w:r>
        <w:rPr>
          <w:rFonts w:hint="eastAsia"/>
          <w:lang w:val="zh-CN"/>
        </w:rPr>
        <w:t>2</w:t>
      </w:r>
      <w:r>
        <w:rPr>
          <w:rFonts w:hint="eastAsia"/>
          <w:lang w:val="zh-CN"/>
        </w:rPr>
        <w:t>日宪法法院下发了第</w:t>
      </w:r>
      <w:r>
        <w:rPr>
          <w:rFonts w:hint="eastAsia"/>
          <w:lang w:val="zh-CN"/>
        </w:rPr>
        <w:t>T-045/2010</w:t>
      </w:r>
      <w:r>
        <w:rPr>
          <w:rFonts w:hint="eastAsia"/>
          <w:lang w:val="zh-CN"/>
        </w:rPr>
        <w:t>号判决，裁令保护受</w:t>
      </w:r>
      <w:r>
        <w:rPr>
          <w:rFonts w:hint="eastAsia"/>
          <w:lang w:val="zh-CN"/>
        </w:rPr>
        <w:t>1997</w:t>
      </w:r>
      <w:r>
        <w:rPr>
          <w:rFonts w:hint="eastAsia"/>
          <w:lang w:val="zh-CN"/>
        </w:rPr>
        <w:t>年至</w:t>
      </w:r>
      <w:r>
        <w:rPr>
          <w:rFonts w:hint="eastAsia"/>
          <w:lang w:val="zh-CN"/>
        </w:rPr>
        <w:t>2000</w:t>
      </w:r>
      <w:r>
        <w:rPr>
          <w:rFonts w:hint="eastAsia"/>
          <w:lang w:val="zh-CN"/>
        </w:rPr>
        <w:t>年在萨拉多镇发生的大屠杀影响而被迫流离失所的四名妇</w:t>
      </w:r>
      <w:r>
        <w:rPr>
          <w:rFonts w:hint="eastAsia"/>
          <w:lang w:val="es-ES_tradnl"/>
        </w:rPr>
        <w:t>女的健康权。</w:t>
      </w:r>
      <w:r>
        <w:rPr>
          <w:rFonts w:hint="eastAsia"/>
          <w:lang w:val="es-ES_tradnl"/>
        </w:rPr>
        <w:t>2010</w:t>
      </w:r>
      <w:r>
        <w:rPr>
          <w:rFonts w:hint="eastAsia"/>
          <w:lang w:val="es-ES_tradnl"/>
        </w:rPr>
        <w:t>年至</w:t>
      </w:r>
      <w:r>
        <w:rPr>
          <w:rFonts w:hint="eastAsia"/>
          <w:lang w:val="es-ES_tradnl"/>
        </w:rPr>
        <w:t>2011</w:t>
      </w:r>
      <w:r>
        <w:rPr>
          <w:rFonts w:hint="eastAsia"/>
          <w:lang w:val="es-ES_tradnl"/>
        </w:rPr>
        <w:t>年上半年，为在三级层面上落实社会保障部的职责，开展了以下行动：</w:t>
      </w:r>
      <w:r>
        <w:rPr>
          <w:lang w:val="es-ES_tradnl"/>
        </w:rPr>
        <w:t xml:space="preserve"> </w:t>
      </w:r>
    </w:p>
    <w:p w:rsidR="00A83775" w:rsidRDefault="00A83775">
      <w:pPr>
        <w:pStyle w:val="SingleTxtGC"/>
        <w:rPr>
          <w:lang w:val="zh-CN"/>
        </w:rPr>
      </w:pPr>
      <w:r>
        <w:rPr>
          <w:lang w:val="es-ES_tradnl"/>
        </w:rPr>
        <w:t xml:space="preserve">474.  </w:t>
      </w:r>
      <w:r>
        <w:rPr>
          <w:rFonts w:hint="eastAsia"/>
          <w:lang w:val="es-ES_tradnl"/>
        </w:rPr>
        <w:t>编制了两部文件：《关于采取措施对武装冲突受害者进行全面关爱、心理辅导和干预的心理工作议定书》和《对武装冲突受害者所遭受的危害人类罪进行差别化专</w:t>
      </w:r>
      <w:r>
        <w:rPr>
          <w:rFonts w:hint="eastAsia"/>
          <w:lang w:val="zh-CN"/>
        </w:rPr>
        <w:t>门社区干预的精神卫生指南》。</w:t>
      </w:r>
    </w:p>
    <w:p w:rsidR="00A83775" w:rsidRDefault="00A83775">
      <w:pPr>
        <w:pStyle w:val="SingleTxtGC"/>
      </w:pPr>
      <w:r>
        <w:rPr>
          <w:lang w:val="zh-CN"/>
        </w:rPr>
        <w:t xml:space="preserve">475.  </w:t>
      </w:r>
      <w:r>
        <w:rPr>
          <w:rFonts w:hint="eastAsia"/>
          <w:lang w:val="zh-CN"/>
        </w:rPr>
        <w:t>到</w:t>
      </w:r>
      <w:r>
        <w:rPr>
          <w:rFonts w:hint="eastAsia"/>
          <w:lang w:val="zh-CN"/>
        </w:rPr>
        <w:t>2011</w:t>
      </w:r>
      <w:r>
        <w:rPr>
          <w:rFonts w:hint="eastAsia"/>
          <w:lang w:val="zh-CN"/>
        </w:rPr>
        <w:t>年</w:t>
      </w:r>
      <w:r>
        <w:rPr>
          <w:rFonts w:hint="eastAsia"/>
          <w:lang w:val="zh-CN"/>
        </w:rPr>
        <w:t>2</w:t>
      </w:r>
      <w:r>
        <w:rPr>
          <w:rFonts w:hint="eastAsia"/>
          <w:lang w:val="zh-CN"/>
        </w:rPr>
        <w:t>月，已经制定了上一段提到的两部文件的初稿，这两份初稿在当年第二季度提交各武装受害者全面关爱事务主管部门进行审议和机构间调整，并自同年下半年开始在</w:t>
      </w:r>
      <w:r>
        <w:rPr>
          <w:rFonts w:hint="eastAsia"/>
          <w:lang w:val="zh-CN"/>
        </w:rPr>
        <w:t>17</w:t>
      </w:r>
      <w:r>
        <w:rPr>
          <w:rFonts w:hint="eastAsia"/>
          <w:lang w:val="zh-CN"/>
        </w:rPr>
        <w:t>个受武装冲突影响最为严重的城市和</w:t>
      </w:r>
      <w:r>
        <w:rPr>
          <w:rFonts w:hint="eastAsia"/>
          <w:lang w:val="zh-CN"/>
        </w:rPr>
        <w:t>/</w:t>
      </w:r>
      <w:r>
        <w:rPr>
          <w:rFonts w:hint="eastAsia"/>
          <w:lang w:val="zh-CN"/>
        </w:rPr>
        <w:t>或县镇，包括萨拉多镇试点推行，通过这种方式来确保将心理干预工作落到实处，界定工作中的实质性因素，并在这一基础上将工作范围扩展到全国。</w:t>
      </w:r>
    </w:p>
    <w:p w:rsidR="00A83775" w:rsidRDefault="00A83775">
      <w:pPr>
        <w:pStyle w:val="SingleTxtGC"/>
        <w:rPr>
          <w:lang w:val="es-ES_tradnl"/>
        </w:rPr>
      </w:pPr>
      <w:r>
        <w:rPr>
          <w:lang w:val="zh-CN"/>
        </w:rPr>
        <w:t xml:space="preserve">476.  </w:t>
      </w:r>
      <w:r>
        <w:rPr>
          <w:rFonts w:hint="eastAsia"/>
          <w:lang w:val="zh-CN"/>
        </w:rPr>
        <w:t>最后，作为在综合保健工作中针对差异化群体从心理角度提供保障的工作组成部分，开展实施了以下行动：面向卫生部门工作人员开展的关于心理干预手段的两次提高认识培</w:t>
      </w:r>
      <w:r>
        <w:rPr>
          <w:rFonts w:hint="eastAsia"/>
          <w:lang w:val="es-ES_tradnl"/>
        </w:rPr>
        <w:t>训班，社会行动署的地方下属单位以及家庭福利研究所也参与其中：</w:t>
      </w:r>
      <w:r>
        <w:rPr>
          <w:rFonts w:hint="eastAsia"/>
          <w:lang w:val="es-ES_tradnl"/>
        </w:rPr>
        <w:t>2010</w:t>
      </w:r>
      <w:r>
        <w:rPr>
          <w:rFonts w:hint="eastAsia"/>
          <w:lang w:val="es-ES_tradnl"/>
        </w:rPr>
        <w:t>年</w:t>
      </w:r>
      <w:r>
        <w:rPr>
          <w:rFonts w:hint="eastAsia"/>
          <w:lang w:val="es-ES_tradnl"/>
        </w:rPr>
        <w:t>9</w:t>
      </w:r>
      <w:r>
        <w:rPr>
          <w:rFonts w:hint="eastAsia"/>
          <w:lang w:val="es-ES_tradnl"/>
        </w:rPr>
        <w:t>月和</w:t>
      </w:r>
      <w:r>
        <w:rPr>
          <w:rFonts w:hint="eastAsia"/>
          <w:lang w:val="es-ES_tradnl"/>
        </w:rPr>
        <w:t>2011</w:t>
      </w:r>
      <w:r>
        <w:rPr>
          <w:rFonts w:hint="eastAsia"/>
          <w:lang w:val="es-ES_tradnl"/>
        </w:rPr>
        <w:t>年</w:t>
      </w:r>
      <w:r>
        <w:rPr>
          <w:rFonts w:hint="eastAsia"/>
          <w:lang w:val="es-ES_tradnl"/>
        </w:rPr>
        <w:t>1</w:t>
      </w:r>
      <w:r>
        <w:rPr>
          <w:rFonts w:hint="eastAsia"/>
          <w:lang w:val="es-ES_tradnl"/>
        </w:rPr>
        <w:t>月；两次地区碰头会，会上开展了与省、市和区一级当局的地方协调活动，目的是确保在综合保健工作中针对差异化群体从心理角度开展工作，活动涉及到的省份有玻利瓦尔省、大西洋省和苏克雷省：</w:t>
      </w:r>
      <w:r>
        <w:rPr>
          <w:rFonts w:hint="eastAsia"/>
          <w:lang w:val="es-ES_tradnl"/>
        </w:rPr>
        <w:t>2010</w:t>
      </w:r>
      <w:r>
        <w:rPr>
          <w:rFonts w:hint="eastAsia"/>
          <w:lang w:val="es-ES_tradnl"/>
        </w:rPr>
        <w:t>年</w:t>
      </w:r>
      <w:r>
        <w:rPr>
          <w:rFonts w:hint="eastAsia"/>
          <w:lang w:val="es-ES_tradnl"/>
        </w:rPr>
        <w:t>8</w:t>
      </w:r>
      <w:r>
        <w:rPr>
          <w:rFonts w:hint="eastAsia"/>
          <w:lang w:val="es-ES_tradnl"/>
        </w:rPr>
        <w:t>月和</w:t>
      </w:r>
      <w:r>
        <w:rPr>
          <w:rFonts w:hint="eastAsia"/>
          <w:lang w:val="es-ES_tradnl"/>
        </w:rPr>
        <w:t>2011</w:t>
      </w:r>
      <w:r>
        <w:rPr>
          <w:rFonts w:hint="eastAsia"/>
          <w:lang w:val="es-ES_tradnl"/>
        </w:rPr>
        <w:t>年</w:t>
      </w:r>
      <w:r>
        <w:rPr>
          <w:rFonts w:hint="eastAsia"/>
          <w:lang w:val="es-ES_tradnl"/>
        </w:rPr>
        <w:t>1</w:t>
      </w:r>
      <w:r>
        <w:rPr>
          <w:rFonts w:hint="eastAsia"/>
          <w:lang w:val="es-ES_tradnl"/>
        </w:rPr>
        <w:t>月。对（萨尔瓦多省卡门市的）萨尔多镇进行了两次查访工作，以针对萨拉多镇的现状进行检查并对不良风气责令整改，以便提供卫生医疗、心理干预和社会支持方面的服务，彻底落实各项权利：</w:t>
      </w:r>
      <w:r>
        <w:rPr>
          <w:rFonts w:hint="eastAsia"/>
          <w:lang w:val="es-ES_tradnl"/>
        </w:rPr>
        <w:t>2011</w:t>
      </w:r>
      <w:r>
        <w:rPr>
          <w:rFonts w:hint="eastAsia"/>
          <w:lang w:val="es-ES_tradnl"/>
        </w:rPr>
        <w:t>年</w:t>
      </w:r>
      <w:r>
        <w:rPr>
          <w:rFonts w:hint="eastAsia"/>
          <w:lang w:val="es-ES_tradnl"/>
        </w:rPr>
        <w:t>4</w:t>
      </w:r>
      <w:r>
        <w:rPr>
          <w:rFonts w:hint="eastAsia"/>
          <w:lang w:val="es-ES_tradnl"/>
        </w:rPr>
        <w:t>月</w:t>
      </w:r>
      <w:r>
        <w:rPr>
          <w:rFonts w:hint="eastAsia"/>
          <w:lang w:val="es-ES_tradnl"/>
        </w:rPr>
        <w:t>28-30</w:t>
      </w:r>
      <w:r>
        <w:rPr>
          <w:rFonts w:hint="eastAsia"/>
          <w:lang w:val="es-ES_tradnl"/>
        </w:rPr>
        <w:t>日和</w:t>
      </w:r>
      <w:r>
        <w:rPr>
          <w:rFonts w:hint="eastAsia"/>
          <w:lang w:val="es-ES_tradnl"/>
        </w:rPr>
        <w:t>2011</w:t>
      </w:r>
      <w:r>
        <w:rPr>
          <w:rFonts w:hint="eastAsia"/>
          <w:lang w:val="es-ES_tradnl"/>
        </w:rPr>
        <w:t>年</w:t>
      </w:r>
      <w:r>
        <w:rPr>
          <w:rFonts w:hint="eastAsia"/>
          <w:lang w:val="es-ES_tradnl"/>
        </w:rPr>
        <w:t>5</w:t>
      </w:r>
      <w:r>
        <w:rPr>
          <w:rFonts w:hint="eastAsia"/>
          <w:lang w:val="es-ES_tradnl"/>
        </w:rPr>
        <w:t>月</w:t>
      </w:r>
      <w:r>
        <w:rPr>
          <w:rFonts w:hint="eastAsia"/>
          <w:lang w:val="es-ES_tradnl"/>
        </w:rPr>
        <w:t>13</w:t>
      </w:r>
      <w:r>
        <w:rPr>
          <w:rFonts w:hint="eastAsia"/>
          <w:lang w:val="es-ES_tradnl"/>
        </w:rPr>
        <w:t>日；以及在萨拉多镇召开社区见面会，目的是开辟一个政府与群众的对话空间，推行一项行动计划，为玻利瓦尔省卡门市萨拉多镇居民提供全面的健康护理和心理辅导服务。</w:t>
      </w:r>
    </w:p>
    <w:p w:rsidR="00A83775" w:rsidRDefault="00A83775">
      <w:pPr>
        <w:pStyle w:val="SingleTxtGC"/>
        <w:rPr>
          <w:rFonts w:hint="eastAsia"/>
          <w:lang w:val="zh-CN"/>
        </w:rPr>
      </w:pPr>
      <w:r>
        <w:rPr>
          <w:lang w:val="es-ES_tradnl"/>
        </w:rPr>
        <w:t xml:space="preserve">477.  </w:t>
      </w:r>
      <w:r>
        <w:rPr>
          <w:rFonts w:eastAsia="SimHei" w:hint="eastAsia"/>
          <w:spacing w:val="-2"/>
          <w:lang w:val="es-ES_tradnl"/>
        </w:rPr>
        <w:t>终止妊娠</w:t>
      </w:r>
      <w:r>
        <w:rPr>
          <w:rFonts w:hint="eastAsia"/>
          <w:spacing w:val="-2"/>
          <w:lang w:val="es-ES_tradnl"/>
        </w:rPr>
        <w:t>。在哥伦比亚的法律制度中，自愿终止妊娠需要符合宪法法院在</w:t>
      </w:r>
      <w:r>
        <w:rPr>
          <w:rFonts w:hint="eastAsia"/>
          <w:spacing w:val="-2"/>
          <w:lang w:val="es-ES_tradnl"/>
        </w:rPr>
        <w:t>2006</w:t>
      </w:r>
      <w:r>
        <w:rPr>
          <w:rFonts w:hint="eastAsia"/>
          <w:spacing w:val="-2"/>
          <w:lang w:val="es-ES_tradnl"/>
        </w:rPr>
        <w:t>年的第</w:t>
      </w:r>
      <w:r>
        <w:rPr>
          <w:rFonts w:hint="eastAsia"/>
          <w:spacing w:val="-2"/>
          <w:lang w:val="es-ES_tradnl"/>
        </w:rPr>
        <w:t>C-355</w:t>
      </w:r>
      <w:r>
        <w:rPr>
          <w:rFonts w:hint="eastAsia"/>
          <w:spacing w:val="-2"/>
          <w:lang w:val="es-ES_tradnl"/>
        </w:rPr>
        <w:t>号判决中确定的各项参数，通过这一判决宣布第</w:t>
      </w:r>
      <w:r>
        <w:rPr>
          <w:rFonts w:hint="eastAsia"/>
          <w:spacing w:val="-2"/>
          <w:lang w:val="es-ES_tradnl"/>
        </w:rPr>
        <w:t>599/200</w:t>
      </w:r>
      <w:r>
        <w:rPr>
          <w:rFonts w:hint="eastAsia"/>
          <w:spacing w:val="-2"/>
          <w:lang w:val="es-ES_tradnl"/>
        </w:rPr>
        <w:t>号法－《哥伦比亚刑法典》的第</w:t>
      </w:r>
      <w:r>
        <w:rPr>
          <w:rFonts w:hint="eastAsia"/>
          <w:spacing w:val="-2"/>
          <w:lang w:val="es-ES_tradnl"/>
        </w:rPr>
        <w:t>122</w:t>
      </w:r>
      <w:r>
        <w:rPr>
          <w:rFonts w:hint="eastAsia"/>
          <w:spacing w:val="-2"/>
          <w:lang w:val="es-ES_tradnl"/>
        </w:rPr>
        <w:t>条应有条件地执行。在这方面规定如果出于妇女自愿且</w:t>
      </w:r>
      <w:r>
        <w:rPr>
          <w:rFonts w:hint="eastAsia"/>
          <w:spacing w:val="-2"/>
          <w:lang w:val="zh-CN"/>
        </w:rPr>
        <w:t>符合以下任一情况，则不构成堕胎罪：</w:t>
      </w:r>
      <w:r>
        <w:rPr>
          <w:rFonts w:hint="eastAsia"/>
          <w:spacing w:val="-2"/>
          <w:lang w:val="zh-CN"/>
        </w:rPr>
        <w:t xml:space="preserve">(a) </w:t>
      </w:r>
      <w:r>
        <w:rPr>
          <w:rFonts w:hint="eastAsia"/>
          <w:spacing w:val="-2"/>
          <w:lang w:val="zh-CN"/>
        </w:rPr>
        <w:t>当经医生证实，继续妊娠会危及孕妇的生命或健康时；</w:t>
      </w:r>
      <w:r>
        <w:rPr>
          <w:rFonts w:hint="eastAsia"/>
          <w:spacing w:val="-2"/>
          <w:lang w:val="zh-CN"/>
        </w:rPr>
        <w:t xml:space="preserve">(b) </w:t>
      </w:r>
      <w:r>
        <w:rPr>
          <w:rFonts w:hint="eastAsia"/>
          <w:spacing w:val="-2"/>
          <w:lang w:val="zh-CN"/>
        </w:rPr>
        <w:t>当经医生证实，胎儿存在严重畸形，不可能继续存活时；</w:t>
      </w:r>
      <w:r>
        <w:rPr>
          <w:rFonts w:hint="eastAsia"/>
          <w:spacing w:val="-2"/>
          <w:lang w:val="zh-CN"/>
        </w:rPr>
        <w:t xml:space="preserve">(c) </w:t>
      </w:r>
      <w:r>
        <w:rPr>
          <w:rFonts w:hint="eastAsia"/>
          <w:spacing w:val="-2"/>
          <w:lang w:val="zh-CN"/>
        </w:rPr>
        <w:t>当经医生证实，怀孕是由强奸、非自愿性行为、性侮辱、非自愿人工受精或乱伦行为的产物，</w:t>
      </w:r>
      <w:r>
        <w:rPr>
          <w:rFonts w:hint="eastAsia"/>
          <w:lang w:val="zh-CN"/>
        </w:rPr>
        <w:t>且已经正式立案时。</w:t>
      </w:r>
    </w:p>
    <w:p w:rsidR="00A83775" w:rsidRDefault="00A83775">
      <w:pPr>
        <w:pStyle w:val="SingleTxtGC"/>
        <w:rPr>
          <w:lang w:val="es-ES_tradnl"/>
        </w:rPr>
      </w:pPr>
      <w:r>
        <w:rPr>
          <w:lang w:val="zh-CN"/>
        </w:rPr>
        <w:t xml:space="preserve">478.  </w:t>
      </w:r>
      <w:r>
        <w:rPr>
          <w:rFonts w:hint="eastAsia"/>
          <w:lang w:val="zh-CN"/>
        </w:rPr>
        <w:t>这一判决的执行，敦促卫生系统保障履行提供自愿终止妊娠服务的义务，禁止法人实</w:t>
      </w:r>
      <w:r>
        <w:rPr>
          <w:rFonts w:hint="eastAsia"/>
          <w:lang w:val="es-ES_tradnl"/>
        </w:rPr>
        <w:t>体（医疗服务机构</w:t>
      </w:r>
      <w:r>
        <w:rPr>
          <w:rFonts w:hint="eastAsia"/>
          <w:spacing w:val="-40"/>
        </w:rPr>
        <w:t>――</w:t>
      </w:r>
      <w:r>
        <w:rPr>
          <w:rFonts w:hint="eastAsia"/>
          <w:spacing w:val="-40"/>
        </w:rPr>
        <w:t xml:space="preserve"> </w:t>
      </w:r>
      <w:r>
        <w:rPr>
          <w:rFonts w:hint="eastAsia"/>
          <w:lang w:val="es-ES_tradnl"/>
        </w:rPr>
        <w:t>IPS</w:t>
      </w:r>
      <w:r>
        <w:rPr>
          <w:rFonts w:hint="eastAsia"/>
          <w:lang w:val="es-ES_tradnl"/>
        </w:rPr>
        <w:t>，医疗保险机构－</w:t>
      </w:r>
      <w:r>
        <w:rPr>
          <w:rFonts w:hint="eastAsia"/>
          <w:lang w:val="es-ES_tradnl"/>
        </w:rPr>
        <w:t>EPS</w:t>
      </w:r>
      <w:r>
        <w:rPr>
          <w:rFonts w:hint="eastAsia"/>
          <w:lang w:val="es-ES_tradnl"/>
        </w:rPr>
        <w:t>）以及医疗卫生人员否认自愿堕胎的合法性，并消除一切妨碍行使这一权利的歧视性原则。</w:t>
      </w:r>
      <w:r>
        <w:rPr>
          <w:lang w:val="es-ES_tradnl"/>
        </w:rPr>
        <w:t xml:space="preserve"> </w:t>
      </w:r>
    </w:p>
    <w:p w:rsidR="00A83775" w:rsidRDefault="00A83775">
      <w:pPr>
        <w:pStyle w:val="SingleTxtGC"/>
        <w:rPr>
          <w:lang w:val="zh-CN"/>
        </w:rPr>
      </w:pPr>
      <w:r>
        <w:rPr>
          <w:lang w:val="es-ES_tradnl"/>
        </w:rPr>
        <w:t xml:space="preserve">479.  </w:t>
      </w:r>
      <w:r>
        <w:rPr>
          <w:rFonts w:hint="eastAsia"/>
          <w:lang w:val="es-ES_tradnl"/>
        </w:rPr>
        <w:t>但是，这一判决在执行过程中却遭遇了重重障碍，侵害了妇女的权利，导致歧视性原则继续存在，不利于妇女落实这方面的健康权。宪法法院针对这一情况，通过</w:t>
      </w:r>
      <w:r>
        <w:rPr>
          <w:rFonts w:hint="eastAsia"/>
          <w:lang w:val="es-ES_tradnl"/>
        </w:rPr>
        <w:t>200</w:t>
      </w:r>
      <w:r>
        <w:rPr>
          <w:rFonts w:hint="eastAsia"/>
          <w:lang w:val="zh-CN"/>
        </w:rPr>
        <w:t>9</w:t>
      </w:r>
      <w:r>
        <w:rPr>
          <w:rFonts w:hint="eastAsia"/>
          <w:lang w:val="zh-CN"/>
        </w:rPr>
        <w:t>年的第</w:t>
      </w:r>
      <w:r>
        <w:rPr>
          <w:rFonts w:hint="eastAsia"/>
          <w:lang w:val="zh-CN"/>
        </w:rPr>
        <w:t>T-388</w:t>
      </w:r>
      <w:r>
        <w:rPr>
          <w:rFonts w:hint="eastAsia"/>
          <w:lang w:val="zh-CN"/>
        </w:rPr>
        <w:t>号判决，对拒不提供自愿终止妊娠服务的违规事件进行了审理，针对妇女和女童所遭受的歧视性待遇作出了宣判。</w:t>
      </w:r>
    </w:p>
    <w:p w:rsidR="00A83775" w:rsidRDefault="00A83775">
      <w:pPr>
        <w:pStyle w:val="SingleTxtGC"/>
        <w:rPr>
          <w:lang w:val="es-ES_tradnl"/>
        </w:rPr>
      </w:pPr>
      <w:r>
        <w:rPr>
          <w:lang w:val="zh-CN"/>
        </w:rPr>
        <w:t xml:space="preserve">480.  </w:t>
      </w:r>
      <w:r>
        <w:rPr>
          <w:rFonts w:hint="eastAsia"/>
          <w:lang w:val="zh-CN"/>
        </w:rPr>
        <w:t>该判决宣称应对被拒绝提供自愿终止妊娠服务的当事人妇女的权利予以保护，责令社会保障部</w:t>
      </w:r>
      <w:r>
        <w:rPr>
          <w:rFonts w:hint="eastAsia"/>
          <w:lang w:val="es-ES_tradnl"/>
        </w:rPr>
        <w:t>、教育部、共和国总检察长办公室以及公民权利监察员办公室设计和实施各类有利于增进性权利和生殖权利的活动，以保障全国境内的女性都能有效行使这些权利并了解</w:t>
      </w:r>
      <w:r>
        <w:rPr>
          <w:rFonts w:hint="eastAsia"/>
          <w:lang w:val="es-ES_tradnl"/>
        </w:rPr>
        <w:t>2006</w:t>
      </w:r>
      <w:r>
        <w:rPr>
          <w:rFonts w:hint="eastAsia"/>
          <w:lang w:val="es-ES_tradnl"/>
        </w:rPr>
        <w:t>年的第</w:t>
      </w:r>
      <w:r>
        <w:rPr>
          <w:rFonts w:hint="eastAsia"/>
          <w:lang w:val="es-ES_tradnl"/>
        </w:rPr>
        <w:t>C-355</w:t>
      </w:r>
      <w:r>
        <w:rPr>
          <w:rFonts w:hint="eastAsia"/>
          <w:lang w:val="es-ES_tradnl"/>
        </w:rPr>
        <w:t>号判决之规定，敦促上述机关单位对活动的落实情况进行必要的跟踪监督，以便掌握其影响和效力情况。</w:t>
      </w:r>
    </w:p>
    <w:p w:rsidR="00A83775" w:rsidRDefault="00A83775">
      <w:pPr>
        <w:pStyle w:val="SingleTxtGC"/>
        <w:rPr>
          <w:lang w:val="es-ES_tradnl"/>
        </w:rPr>
      </w:pPr>
      <w:bookmarkStart w:id="1" w:name="_Toc289247983"/>
      <w:r>
        <w:rPr>
          <w:bCs/>
          <w:iCs/>
          <w:lang w:val="es-ES_tradnl"/>
        </w:rPr>
        <w:t xml:space="preserve">481.  </w:t>
      </w:r>
      <w:r>
        <w:rPr>
          <w:rFonts w:hint="eastAsia"/>
          <w:bCs/>
          <w:iCs/>
          <w:lang w:val="es-ES_tradnl"/>
        </w:rPr>
        <w:t>在监督落实教育部和社会保障部根据</w:t>
      </w:r>
      <w:r>
        <w:rPr>
          <w:rFonts w:hint="eastAsia"/>
          <w:bCs/>
          <w:iCs/>
          <w:lang w:val="es-ES_tradnl"/>
        </w:rPr>
        <w:t>2009</w:t>
      </w:r>
      <w:r>
        <w:rPr>
          <w:rFonts w:hint="eastAsia"/>
          <w:bCs/>
          <w:iCs/>
          <w:lang w:val="es-ES_tradnl"/>
        </w:rPr>
        <w:t>年的第</w:t>
      </w:r>
      <w:r>
        <w:rPr>
          <w:rFonts w:hint="eastAsia"/>
          <w:bCs/>
          <w:iCs/>
          <w:lang w:val="es-ES_tradnl"/>
        </w:rPr>
        <w:t>T-388</w:t>
      </w:r>
      <w:r>
        <w:rPr>
          <w:rFonts w:hint="eastAsia"/>
          <w:bCs/>
          <w:iCs/>
          <w:lang w:val="es-ES_tradnl"/>
        </w:rPr>
        <w:t>号判决之规定，设计并实施旨在增进性权利和生殖权利的群众运动的义务方面，在国家总检察长办公室的要求下，公民权利监察员办公室、教育部和社会保障部提供了以下信息：</w:t>
      </w:r>
      <w:bookmarkEnd w:id="1"/>
    </w:p>
    <w:p w:rsidR="00A83775" w:rsidRDefault="00A83775">
      <w:pPr>
        <w:pStyle w:val="H23GC"/>
        <w:rPr>
          <w:lang w:val="es-ES_tradnl"/>
        </w:rPr>
      </w:pPr>
      <w:r>
        <w:rPr>
          <w:lang w:val="es-ES_tradnl"/>
        </w:rPr>
        <w:tab/>
      </w:r>
      <w:r>
        <w:rPr>
          <w:lang w:val="es-ES_tradnl"/>
        </w:rPr>
        <w:tab/>
      </w:r>
      <w:r>
        <w:rPr>
          <w:rFonts w:hint="eastAsia"/>
          <w:lang w:val="es-ES_tradnl"/>
        </w:rPr>
        <w:t>社会保障部</w:t>
      </w:r>
    </w:p>
    <w:p w:rsidR="00A83775" w:rsidRDefault="00A83775">
      <w:pPr>
        <w:pStyle w:val="SingleTxtGC"/>
        <w:rPr>
          <w:lang w:val="es-ES"/>
        </w:rPr>
      </w:pPr>
      <w:r>
        <w:rPr>
          <w:bCs/>
          <w:iCs/>
          <w:lang w:val="es-ES_tradnl"/>
        </w:rPr>
        <w:t xml:space="preserve">482.  </w:t>
      </w:r>
      <w:r>
        <w:rPr>
          <w:rFonts w:hint="eastAsia"/>
          <w:lang w:val="zh-CN"/>
        </w:rPr>
        <w:t>值得一提</w:t>
      </w:r>
      <w:r>
        <w:rPr>
          <w:rFonts w:hint="eastAsia"/>
          <w:bCs/>
          <w:iCs/>
          <w:lang w:val="es-ES_tradnl"/>
        </w:rPr>
        <w:t>的有：</w:t>
      </w:r>
    </w:p>
    <w:p w:rsidR="00A83775" w:rsidRDefault="00A83775">
      <w:pPr>
        <w:pStyle w:val="SingleTxtGC"/>
        <w:numPr>
          <w:ilvl w:val="0"/>
          <w:numId w:val="57"/>
        </w:numPr>
        <w:rPr>
          <w:lang w:val="es-ES_tradnl"/>
        </w:rPr>
      </w:pPr>
      <w:r>
        <w:rPr>
          <w:rFonts w:hint="eastAsia"/>
          <w:lang w:val="es-ES_tradnl"/>
        </w:rPr>
        <w:t>设计并实施了一项旨在增进青少年、年轻人和妇女的性权利和生殖权利的战略，以落实宪法法院在</w:t>
      </w:r>
      <w:r>
        <w:rPr>
          <w:rFonts w:hint="eastAsia"/>
          <w:lang w:val="es-ES_tradnl"/>
        </w:rPr>
        <w:t>2006</w:t>
      </w:r>
      <w:r>
        <w:rPr>
          <w:rFonts w:hint="eastAsia"/>
          <w:lang w:val="es-ES_tradnl"/>
        </w:rPr>
        <w:t>年的第</w:t>
      </w:r>
      <w:r>
        <w:rPr>
          <w:rFonts w:hint="eastAsia"/>
          <w:lang w:val="es-ES_tradnl"/>
        </w:rPr>
        <w:t>C-355</w:t>
      </w:r>
      <w:r>
        <w:rPr>
          <w:rFonts w:hint="eastAsia"/>
          <w:lang w:val="es-ES_tradnl"/>
        </w:rPr>
        <w:t>号和</w:t>
      </w:r>
      <w:r>
        <w:rPr>
          <w:rFonts w:hint="eastAsia"/>
          <w:lang w:val="es-ES_tradnl"/>
        </w:rPr>
        <w:t>2009</w:t>
      </w:r>
      <w:r>
        <w:rPr>
          <w:rFonts w:hint="eastAsia"/>
          <w:lang w:val="es-ES_tradnl"/>
        </w:rPr>
        <w:t>年的第</w:t>
      </w:r>
      <w:r>
        <w:rPr>
          <w:rFonts w:hint="eastAsia"/>
          <w:lang w:val="es-ES_tradnl"/>
        </w:rPr>
        <w:t>T-388</w:t>
      </w:r>
      <w:r>
        <w:rPr>
          <w:rFonts w:hint="eastAsia"/>
          <w:lang w:val="es-ES_tradnl"/>
        </w:rPr>
        <w:t>号判决中的要求；</w:t>
      </w:r>
    </w:p>
    <w:p w:rsidR="00A83775" w:rsidRDefault="00A83775">
      <w:pPr>
        <w:pStyle w:val="SingleTxtGC"/>
        <w:numPr>
          <w:ilvl w:val="0"/>
          <w:numId w:val="57"/>
        </w:numPr>
        <w:rPr>
          <w:lang w:val="es-ES_tradnl"/>
        </w:rPr>
      </w:pPr>
      <w:r>
        <w:rPr>
          <w:rFonts w:hint="eastAsia"/>
          <w:lang w:val="es-ES_tradnl"/>
        </w:rPr>
        <w:t>实施了旨在增进性权利和生殖权利的战略计划，创造体制条件和社会条件来确保落实这方面的人权。</w:t>
      </w:r>
    </w:p>
    <w:p w:rsidR="00A83775" w:rsidRDefault="00A83775">
      <w:pPr>
        <w:pStyle w:val="SingleTxtGC"/>
        <w:numPr>
          <w:ilvl w:val="0"/>
          <w:numId w:val="57"/>
        </w:numPr>
        <w:rPr>
          <w:lang w:val="es-ES_tradnl"/>
        </w:rPr>
      </w:pPr>
      <w:r>
        <w:rPr>
          <w:rFonts w:hint="eastAsia"/>
          <w:lang w:val="es-ES_tradnl"/>
        </w:rPr>
        <w:t>开展了以下强化行动：</w:t>
      </w:r>
    </w:p>
    <w:p w:rsidR="00A83775" w:rsidRDefault="00A83775">
      <w:pPr>
        <w:pStyle w:val="SingleTxtGC"/>
        <w:tabs>
          <w:tab w:val="clear" w:pos="1134"/>
          <w:tab w:val="clear" w:pos="2427"/>
          <w:tab w:val="left" w:pos="2600"/>
        </w:tabs>
        <w:ind w:left="2600" w:hanging="581"/>
      </w:pPr>
      <w:r>
        <w:rPr>
          <w:rFonts w:hint="eastAsia"/>
          <w:lang w:val="es-ES_tradnl"/>
        </w:rPr>
        <w:t>(</w:t>
      </w:r>
      <w:r>
        <w:rPr>
          <w:rFonts w:hint="eastAsia"/>
          <w:lang w:val="es-ES_tradnl"/>
        </w:rPr>
        <w:t>一</w:t>
      </w:r>
      <w:r>
        <w:rPr>
          <w:rFonts w:hint="eastAsia"/>
          <w:lang w:val="es-ES_tradnl"/>
        </w:rPr>
        <w:t>)</w:t>
      </w:r>
      <w:r>
        <w:rPr>
          <w:lang w:val="es-ES_tradnl"/>
        </w:rPr>
        <w:tab/>
      </w:r>
      <w:r>
        <w:rPr>
          <w:rFonts w:hint="eastAsia"/>
          <w:lang w:val="zh-CN"/>
        </w:rPr>
        <w:t>大众传媒直接宣传活动，目标对象为妇女、青少年和年轻人；</w:t>
      </w:r>
    </w:p>
    <w:p w:rsidR="00A83775" w:rsidRDefault="00A83775">
      <w:pPr>
        <w:pStyle w:val="SingleTxtGC"/>
        <w:tabs>
          <w:tab w:val="clear" w:pos="1134"/>
          <w:tab w:val="clear" w:pos="2427"/>
          <w:tab w:val="left" w:pos="2600"/>
        </w:tabs>
        <w:ind w:left="2600" w:hanging="581"/>
      </w:pPr>
      <w:r>
        <w:rPr>
          <w:rFonts w:hint="eastAsia"/>
          <w:lang w:val="zh-CN"/>
        </w:rPr>
        <w:t>(</w:t>
      </w:r>
      <w:r>
        <w:rPr>
          <w:rFonts w:hint="eastAsia"/>
          <w:lang w:val="zh-CN"/>
        </w:rPr>
        <w:t>二</w:t>
      </w:r>
      <w:r>
        <w:rPr>
          <w:rFonts w:hint="eastAsia"/>
          <w:lang w:val="zh-CN"/>
        </w:rPr>
        <w:t>)</w:t>
      </w:r>
      <w:r>
        <w:rPr>
          <w:lang w:val="zh-CN"/>
        </w:rPr>
        <w:tab/>
      </w:r>
      <w:r>
        <w:rPr>
          <w:rFonts w:hint="eastAsia"/>
          <w:lang w:val="zh-CN"/>
        </w:rPr>
        <w:t>加强了针对社会团体、社会组织和社会网络的工作力度，以增进性权利和生殖权利，将工作重心向妇女、青少年和年轻人倾斜；</w:t>
      </w:r>
    </w:p>
    <w:p w:rsidR="00A83775" w:rsidRDefault="00A83775">
      <w:pPr>
        <w:pStyle w:val="SingleTxtGC"/>
        <w:tabs>
          <w:tab w:val="clear" w:pos="1134"/>
          <w:tab w:val="clear" w:pos="2427"/>
          <w:tab w:val="left" w:pos="2600"/>
        </w:tabs>
        <w:ind w:left="2600" w:hanging="581"/>
      </w:pPr>
      <w:r>
        <w:rPr>
          <w:rFonts w:hint="eastAsia"/>
          <w:lang w:val="zh-CN"/>
        </w:rPr>
        <w:t>(</w:t>
      </w:r>
      <w:r>
        <w:rPr>
          <w:rFonts w:hint="eastAsia"/>
          <w:lang w:val="zh-CN"/>
        </w:rPr>
        <w:t>三</w:t>
      </w:r>
      <w:r>
        <w:rPr>
          <w:rFonts w:hint="eastAsia"/>
          <w:lang w:val="zh-CN"/>
        </w:rPr>
        <w:t>)</w:t>
      </w:r>
      <w:r>
        <w:rPr>
          <w:lang w:val="zh-CN"/>
        </w:rPr>
        <w:tab/>
      </w:r>
      <w:r>
        <w:rPr>
          <w:rFonts w:hint="eastAsia"/>
          <w:lang w:val="zh-CN"/>
        </w:rPr>
        <w:t>强化了增进和保障青少年、年轻人和妇女的性权利和生殖权利的部门间联动机制；</w:t>
      </w:r>
    </w:p>
    <w:p w:rsidR="00A83775" w:rsidRDefault="00A83775">
      <w:pPr>
        <w:pStyle w:val="SingleTxtGC"/>
        <w:tabs>
          <w:tab w:val="clear" w:pos="1134"/>
          <w:tab w:val="clear" w:pos="2427"/>
          <w:tab w:val="left" w:pos="2600"/>
        </w:tabs>
        <w:ind w:left="2600" w:hanging="581"/>
        <w:rPr>
          <w:lang w:val="zh-CN"/>
        </w:rPr>
      </w:pPr>
      <w:r>
        <w:rPr>
          <w:lang w:val="zh-CN"/>
        </w:rPr>
        <w:t>(</w:t>
      </w:r>
      <w:r>
        <w:rPr>
          <w:rFonts w:hint="eastAsia"/>
          <w:lang w:val="zh-CN"/>
        </w:rPr>
        <w:t>四</w:t>
      </w:r>
      <w:r>
        <w:rPr>
          <w:lang w:val="zh-CN"/>
        </w:rPr>
        <w:t>)</w:t>
      </w:r>
      <w:r>
        <w:rPr>
          <w:lang w:val="zh-CN"/>
        </w:rPr>
        <w:tab/>
      </w:r>
      <w:r>
        <w:rPr>
          <w:rFonts w:hint="eastAsia"/>
          <w:lang w:val="zh-CN"/>
        </w:rPr>
        <w:t>加强了针对青少年、年轻人和妇女的性健康和生殖健康服务；</w:t>
      </w:r>
    </w:p>
    <w:p w:rsidR="00A83775" w:rsidRDefault="00A83775">
      <w:pPr>
        <w:pStyle w:val="SingleTxtGC"/>
        <w:tabs>
          <w:tab w:val="clear" w:pos="1134"/>
          <w:tab w:val="clear" w:pos="2427"/>
          <w:tab w:val="left" w:pos="2600"/>
        </w:tabs>
        <w:ind w:left="2600" w:hanging="581"/>
        <w:rPr>
          <w:lang w:val="es-ES_tradnl"/>
        </w:rPr>
      </w:pPr>
      <w:r>
        <w:rPr>
          <w:lang w:val="zh-CN"/>
        </w:rPr>
        <w:t>(</w:t>
      </w:r>
      <w:r>
        <w:rPr>
          <w:rFonts w:hint="eastAsia"/>
          <w:lang w:val="zh-CN"/>
        </w:rPr>
        <w:t>五</w:t>
      </w:r>
      <w:r>
        <w:rPr>
          <w:lang w:val="zh-CN"/>
        </w:rPr>
        <w:t>)</w:t>
      </w:r>
      <w:r>
        <w:rPr>
          <w:lang w:val="zh-CN"/>
        </w:rPr>
        <w:tab/>
      </w:r>
      <w:r>
        <w:rPr>
          <w:rFonts w:hint="eastAsia"/>
          <w:lang w:val="zh-CN"/>
        </w:rPr>
        <w:t>加强了性健康和生殖健康方面的公共政策，作为对性权利和生殖权利</w:t>
      </w:r>
      <w:r>
        <w:rPr>
          <w:rFonts w:hint="eastAsia"/>
          <w:lang w:val="es-ES_tradnl"/>
        </w:rPr>
        <w:t>的指导和保障机制。</w:t>
      </w:r>
    </w:p>
    <w:p w:rsidR="00A83775" w:rsidRDefault="00A83775">
      <w:pPr>
        <w:pStyle w:val="SingleTxtGC"/>
        <w:numPr>
          <w:ilvl w:val="0"/>
          <w:numId w:val="57"/>
        </w:numPr>
        <w:rPr>
          <w:lang w:val="es-ES_tradnl"/>
        </w:rPr>
      </w:pPr>
      <w:r>
        <w:rPr>
          <w:rFonts w:hint="eastAsia"/>
          <w:lang w:val="es-ES_tradnl"/>
        </w:rPr>
        <w:t>设计并实施了名为“将性教育权利落到实处”的运动，通过这一运动不仅希望提高妇女、青少年和年轻人对性权利和生殖权利的认识，还希望以具备建设性、高度透明的方式在社会上就这一问题展开讨论。</w:t>
      </w:r>
    </w:p>
    <w:p w:rsidR="00A83775" w:rsidRDefault="00A83775">
      <w:pPr>
        <w:pStyle w:val="SingleTxtGC"/>
        <w:numPr>
          <w:ilvl w:val="0"/>
          <w:numId w:val="57"/>
        </w:numPr>
        <w:rPr>
          <w:lang w:val="es-ES_tradnl"/>
        </w:rPr>
      </w:pPr>
      <w:r>
        <w:rPr>
          <w:rFonts w:hint="eastAsia"/>
          <w:lang w:val="es-ES_tradnl"/>
        </w:rPr>
        <w:t>在国内多个城市开展了群众动员活动；与年轻人、卫生服务和教育服务机构、各省和各地区的公务员以及青年组织和青年网络进行了沟通对话；发放了</w:t>
      </w:r>
      <w:r>
        <w:rPr>
          <w:rFonts w:hint="eastAsia"/>
          <w:lang w:val="es-ES_tradnl"/>
        </w:rPr>
        <w:t>7</w:t>
      </w:r>
      <w:r>
        <w:rPr>
          <w:lang w:val="es-ES_tradnl"/>
        </w:rPr>
        <w:t>,</w:t>
      </w:r>
      <w:r>
        <w:rPr>
          <w:rFonts w:hint="eastAsia"/>
          <w:lang w:val="es-ES_tradnl"/>
        </w:rPr>
        <w:t>380</w:t>
      </w:r>
      <w:r>
        <w:rPr>
          <w:rFonts w:hint="eastAsia"/>
          <w:lang w:val="es-ES_tradnl"/>
        </w:rPr>
        <w:t>套性权利和生殖权利宣传材料，在其中载有</w:t>
      </w:r>
      <w:r>
        <w:rPr>
          <w:rFonts w:hint="eastAsia"/>
          <w:lang w:val="es-ES_tradnl"/>
        </w:rPr>
        <w:t>2010</w:t>
      </w:r>
      <w:r>
        <w:rPr>
          <w:rFonts w:hint="eastAsia"/>
          <w:lang w:val="es-ES_tradnl"/>
        </w:rPr>
        <w:t>年第</w:t>
      </w:r>
      <w:r>
        <w:rPr>
          <w:rFonts w:hint="eastAsia"/>
          <w:lang w:val="es-ES_tradnl"/>
        </w:rPr>
        <w:t>9868</w:t>
      </w:r>
      <w:r>
        <w:rPr>
          <w:rFonts w:hint="eastAsia"/>
          <w:lang w:val="es-ES_tradnl"/>
        </w:rPr>
        <w:t>号法令内容的音像材料和复印件；对</w:t>
      </w:r>
      <w:r>
        <w:rPr>
          <w:rFonts w:hint="eastAsia"/>
          <w:lang w:val="es-ES_tradnl"/>
        </w:rPr>
        <w:t>70</w:t>
      </w:r>
      <w:r>
        <w:rPr>
          <w:rFonts w:hint="eastAsia"/>
          <w:lang w:val="es-ES_tradnl"/>
        </w:rPr>
        <w:t>名记者进行了访谈；</w:t>
      </w:r>
    </w:p>
    <w:p w:rsidR="00A83775" w:rsidRDefault="00A83775">
      <w:pPr>
        <w:pStyle w:val="SingleTxtGC"/>
        <w:numPr>
          <w:ilvl w:val="0"/>
          <w:numId w:val="57"/>
        </w:numPr>
        <w:rPr>
          <w:lang w:val="es-ES_tradnl"/>
        </w:rPr>
      </w:pPr>
      <w:r>
        <w:rPr>
          <w:rFonts w:hint="eastAsia"/>
          <w:lang w:val="es-ES_tradnl"/>
        </w:rPr>
        <w:t>对覆盖国家和地方的电视、广播、平面媒体和网站媒体进行了监督。使性权利和生殖权利相关主题的新闻报道播出率增长了</w:t>
      </w:r>
      <w:r>
        <w:rPr>
          <w:rFonts w:hint="eastAsia"/>
          <w:lang w:val="es-ES_tradnl"/>
        </w:rPr>
        <w:t>76%</w:t>
      </w:r>
      <w:r>
        <w:rPr>
          <w:rFonts w:hint="eastAsia"/>
          <w:lang w:val="es-ES_tradnl"/>
        </w:rPr>
        <w:t>，记录显示，通过</w:t>
      </w:r>
      <w:r>
        <w:rPr>
          <w:rFonts w:hint="eastAsia"/>
          <w:lang w:val="es-ES_tradnl"/>
        </w:rPr>
        <w:t>47</w:t>
      </w:r>
      <w:r>
        <w:rPr>
          <w:rFonts w:hint="eastAsia"/>
          <w:lang w:val="es-ES_tradnl"/>
        </w:rPr>
        <w:t>家媒体共发表了</w:t>
      </w:r>
      <w:r>
        <w:rPr>
          <w:rFonts w:hint="eastAsia"/>
          <w:lang w:val="es-ES_tradnl"/>
        </w:rPr>
        <w:t>122</w:t>
      </w:r>
      <w:r>
        <w:rPr>
          <w:rFonts w:hint="eastAsia"/>
          <w:lang w:val="es-ES_tradnl"/>
        </w:rPr>
        <w:t>部新闻出版物，</w:t>
      </w:r>
      <w:r>
        <w:rPr>
          <w:rFonts w:hint="eastAsia"/>
          <w:lang w:val="es-ES_tradnl"/>
        </w:rPr>
        <w:t>211</w:t>
      </w:r>
      <w:r>
        <w:rPr>
          <w:rFonts w:hint="eastAsia"/>
          <w:lang w:val="es-ES_tradnl"/>
        </w:rPr>
        <w:t>条新闻稿和</w:t>
      </w:r>
      <w:r>
        <w:rPr>
          <w:rFonts w:hint="eastAsia"/>
          <w:lang w:val="es-ES_tradnl"/>
        </w:rPr>
        <w:t>375</w:t>
      </w:r>
      <w:r>
        <w:rPr>
          <w:rFonts w:hint="eastAsia"/>
          <w:lang w:val="es-ES_tradnl"/>
        </w:rPr>
        <w:t>条消息（其中</w:t>
      </w:r>
      <w:r>
        <w:rPr>
          <w:rFonts w:hint="eastAsia"/>
          <w:lang w:val="es-ES_tradnl"/>
        </w:rPr>
        <w:t>60%</w:t>
      </w:r>
      <w:r>
        <w:rPr>
          <w:rFonts w:hint="eastAsia"/>
          <w:lang w:val="es-ES_tradnl"/>
        </w:rPr>
        <w:t>发表在报刊杂志上，</w:t>
      </w:r>
      <w:r>
        <w:rPr>
          <w:rFonts w:hint="eastAsia"/>
          <w:lang w:val="es-ES_tradnl"/>
        </w:rPr>
        <w:t>15%</w:t>
      </w:r>
      <w:r>
        <w:rPr>
          <w:rFonts w:hint="eastAsia"/>
          <w:lang w:val="es-ES_tradnl"/>
        </w:rPr>
        <w:t>通过广播播送，</w:t>
      </w:r>
      <w:r>
        <w:rPr>
          <w:rFonts w:hint="eastAsia"/>
          <w:lang w:val="es-ES_tradnl"/>
        </w:rPr>
        <w:t>13%</w:t>
      </w:r>
      <w:r>
        <w:rPr>
          <w:rFonts w:hint="eastAsia"/>
          <w:lang w:val="es-ES_tradnl"/>
        </w:rPr>
        <w:t>通过电视播放，还有</w:t>
      </w:r>
      <w:r>
        <w:rPr>
          <w:rFonts w:hint="eastAsia"/>
          <w:lang w:val="es-ES_tradnl"/>
        </w:rPr>
        <w:t>12%</w:t>
      </w:r>
      <w:r>
        <w:rPr>
          <w:rFonts w:hint="eastAsia"/>
          <w:lang w:val="es-ES_tradnl"/>
        </w:rPr>
        <w:t>通过互联网的新闻门户网站刊载）。</w:t>
      </w:r>
    </w:p>
    <w:p w:rsidR="00A83775" w:rsidRDefault="00A83775">
      <w:pPr>
        <w:pStyle w:val="H23GC"/>
        <w:rPr>
          <w:lang w:val="es-ES_tradnl"/>
        </w:rPr>
      </w:pPr>
      <w:r>
        <w:rPr>
          <w:lang w:val="es-ES_tradnl"/>
        </w:rPr>
        <w:tab/>
      </w:r>
      <w:r>
        <w:rPr>
          <w:lang w:val="es-ES_tradnl"/>
        </w:rPr>
        <w:tab/>
      </w:r>
      <w:r>
        <w:rPr>
          <w:rFonts w:hint="eastAsia"/>
          <w:lang w:val="es-ES_tradnl"/>
        </w:rPr>
        <w:t>国家教育部</w:t>
      </w:r>
    </w:p>
    <w:p w:rsidR="00A83775" w:rsidRDefault="00A83775">
      <w:pPr>
        <w:pStyle w:val="SingleTxtGC"/>
        <w:rPr>
          <w:lang w:val="es-ES"/>
        </w:rPr>
      </w:pPr>
      <w:r>
        <w:rPr>
          <w:bCs/>
          <w:iCs/>
          <w:lang w:val="es-ES_tradnl"/>
        </w:rPr>
        <w:t xml:space="preserve">483.  </w:t>
      </w:r>
      <w:r>
        <w:rPr>
          <w:rFonts w:hint="eastAsia"/>
          <w:lang w:val="zh-CN"/>
        </w:rPr>
        <w:t>值得一提</w:t>
      </w:r>
      <w:r>
        <w:rPr>
          <w:rFonts w:hint="eastAsia"/>
          <w:bCs/>
          <w:iCs/>
          <w:lang w:val="es-ES_tradnl"/>
        </w:rPr>
        <w:t>的有：</w:t>
      </w:r>
    </w:p>
    <w:p w:rsidR="00A83775" w:rsidRDefault="00A83775">
      <w:pPr>
        <w:pStyle w:val="SingleTxtGC"/>
        <w:numPr>
          <w:ilvl w:val="0"/>
          <w:numId w:val="58"/>
        </w:numPr>
        <w:rPr>
          <w:lang w:val="es-ES_tradnl"/>
        </w:rPr>
      </w:pPr>
      <w:r>
        <w:rPr>
          <w:rFonts w:hint="eastAsia"/>
          <w:lang w:val="es-ES_tradnl"/>
        </w:rPr>
        <w:t>加入了国家增进性权利和生殖权利部门间委员会，该委员会是根据</w:t>
      </w:r>
      <w:r>
        <w:rPr>
          <w:rFonts w:hint="eastAsia"/>
          <w:lang w:val="es-ES_tradnl"/>
        </w:rPr>
        <w:t>2010</w:t>
      </w:r>
      <w:r>
        <w:rPr>
          <w:rFonts w:hint="eastAsia"/>
          <w:lang w:val="es-ES_tradnl"/>
        </w:rPr>
        <w:t>年</w:t>
      </w:r>
      <w:r>
        <w:rPr>
          <w:rFonts w:hint="eastAsia"/>
          <w:lang w:val="es-ES_tradnl"/>
        </w:rPr>
        <w:t>8</w:t>
      </w:r>
      <w:r>
        <w:rPr>
          <w:rFonts w:hint="eastAsia"/>
          <w:lang w:val="es-ES_tradnl"/>
        </w:rPr>
        <w:t>月的第</w:t>
      </w:r>
      <w:r>
        <w:rPr>
          <w:rFonts w:hint="eastAsia"/>
          <w:lang w:val="es-ES_tradnl"/>
        </w:rPr>
        <w:t>2968</w:t>
      </w:r>
      <w:r>
        <w:rPr>
          <w:rFonts w:hint="eastAsia"/>
          <w:lang w:val="es-ES_tradnl"/>
        </w:rPr>
        <w:t>号法令组建的。出台了一项旨在落实</w:t>
      </w:r>
      <w:r>
        <w:rPr>
          <w:rFonts w:hint="eastAsia"/>
          <w:lang w:val="es-ES_tradnl"/>
        </w:rPr>
        <w:t>2006</w:t>
      </w:r>
      <w:r>
        <w:rPr>
          <w:rFonts w:hint="eastAsia"/>
          <w:lang w:val="es-ES_tradnl"/>
        </w:rPr>
        <w:t>年的第</w:t>
      </w:r>
      <w:r>
        <w:rPr>
          <w:rFonts w:hint="eastAsia"/>
          <w:lang w:val="es-ES_tradnl"/>
        </w:rPr>
        <w:t>C-355</w:t>
      </w:r>
      <w:r>
        <w:rPr>
          <w:rFonts w:hint="eastAsia"/>
          <w:lang w:val="es-ES_tradnl"/>
        </w:rPr>
        <w:t>号和</w:t>
      </w:r>
      <w:r>
        <w:rPr>
          <w:rFonts w:hint="eastAsia"/>
          <w:lang w:val="es-ES_tradnl"/>
        </w:rPr>
        <w:t>2009</w:t>
      </w:r>
      <w:r>
        <w:rPr>
          <w:rFonts w:hint="eastAsia"/>
          <w:lang w:val="es-ES_tradnl"/>
        </w:rPr>
        <w:t>年的第</w:t>
      </w:r>
      <w:r>
        <w:rPr>
          <w:rFonts w:hint="eastAsia"/>
          <w:lang w:val="es-ES_tradnl"/>
        </w:rPr>
        <w:t>T-388</w:t>
      </w:r>
      <w:r>
        <w:rPr>
          <w:rFonts w:hint="eastAsia"/>
          <w:lang w:val="es-ES_tradnl"/>
        </w:rPr>
        <w:t>号判决的战略，包含四条行动方针；</w:t>
      </w:r>
    </w:p>
    <w:p w:rsidR="00A83775" w:rsidRDefault="00A83775">
      <w:pPr>
        <w:pStyle w:val="SingleTxtGC"/>
        <w:numPr>
          <w:ilvl w:val="0"/>
          <w:numId w:val="58"/>
        </w:numPr>
        <w:rPr>
          <w:lang w:val="es-ES_tradnl"/>
        </w:rPr>
      </w:pPr>
      <w:r>
        <w:rPr>
          <w:rFonts w:hint="eastAsia"/>
          <w:lang w:val="es-ES_tradnl"/>
        </w:rPr>
        <w:t>制定了两项战略：直接宣传战略和大众媒体宣传战略。开展了一项旨在增进性权利和生殖权利的群众运动，运动口号为：“将性教育权利落到实处”。打着这一运动口号，在国内八个地区开展了相关活动，并得到了众多媒体的支持，这些媒体主要有：《时代杂志》、</w:t>
      </w:r>
      <w:r>
        <w:rPr>
          <w:rFonts w:hint="eastAsia"/>
          <w:lang w:val="es-ES_tradnl"/>
        </w:rPr>
        <w:t>ADN</w:t>
      </w:r>
      <w:r>
        <w:rPr>
          <w:rFonts w:hint="eastAsia"/>
          <w:lang w:val="es-ES_tradnl"/>
        </w:rPr>
        <w:t>、</w:t>
      </w:r>
      <w:r>
        <w:rPr>
          <w:lang w:val="es-ES_tradnl"/>
        </w:rPr>
        <w:t>Shock</w:t>
      </w:r>
      <w:r>
        <w:rPr>
          <w:rFonts w:hint="eastAsia"/>
          <w:lang w:val="es-ES_tradnl"/>
        </w:rPr>
        <w:t>、</w:t>
      </w:r>
      <w:r>
        <w:rPr>
          <w:lang w:val="es-ES_tradnl"/>
        </w:rPr>
        <w:t>Colprensa</w:t>
      </w:r>
      <w:r>
        <w:rPr>
          <w:rFonts w:hint="eastAsia"/>
          <w:lang w:val="es-ES_tradnl"/>
        </w:rPr>
        <w:t>、</w:t>
      </w:r>
      <w:r>
        <w:rPr>
          <w:lang w:val="es-ES_tradnl"/>
        </w:rPr>
        <w:t>Caracol</w:t>
      </w:r>
      <w:r>
        <w:rPr>
          <w:rFonts w:hint="eastAsia"/>
          <w:lang w:val="es-ES_tradnl"/>
        </w:rPr>
        <w:t>、哥伦比亚国家电台、太平洋电视台、哥伦比亚咖啡三角电视台、</w:t>
      </w:r>
      <w:r>
        <w:rPr>
          <w:lang w:val="es-ES_tradnl"/>
        </w:rPr>
        <w:t>Teleislas</w:t>
      </w:r>
      <w:r>
        <w:rPr>
          <w:rFonts w:hint="eastAsia"/>
          <w:lang w:val="es-ES_tradnl"/>
        </w:rPr>
        <w:t>电视台、东部地区电视台、</w:t>
      </w:r>
      <w:r>
        <w:rPr>
          <w:rFonts w:hint="eastAsia"/>
          <w:lang w:val="es-ES_tradnl"/>
        </w:rPr>
        <w:t>13</w:t>
      </w:r>
      <w:r>
        <w:rPr>
          <w:rFonts w:hint="eastAsia"/>
          <w:lang w:val="es-ES_tradnl"/>
        </w:rPr>
        <w:t>频道、哥伦比亚信号台、社区频道和地方频道、</w:t>
      </w:r>
      <w:r>
        <w:rPr>
          <w:rFonts w:hint="eastAsia"/>
          <w:lang w:val="es-ES_tradnl"/>
        </w:rPr>
        <w:t>Shock</w:t>
      </w:r>
      <w:r>
        <w:rPr>
          <w:rFonts w:hint="eastAsia"/>
          <w:lang w:val="es-ES_tradnl"/>
        </w:rPr>
        <w:t>杂志、时代杂志、</w:t>
      </w:r>
      <w:r>
        <w:rPr>
          <w:lang w:val="es-ES_tradnl"/>
        </w:rPr>
        <w:t>Televisa</w:t>
      </w:r>
      <w:r>
        <w:rPr>
          <w:rFonts w:hint="eastAsia"/>
          <w:lang w:val="es-ES_tradnl"/>
        </w:rPr>
        <w:t>出版社、城市</w:t>
      </w:r>
      <w:r>
        <w:rPr>
          <w:lang w:val="es-ES_tradnl"/>
        </w:rPr>
        <w:t>TV</w:t>
      </w:r>
      <w:r>
        <w:rPr>
          <w:rFonts w:hint="eastAsia"/>
          <w:lang w:val="es-ES_tradnl"/>
        </w:rPr>
        <w:t>、</w:t>
      </w:r>
      <w:r>
        <w:rPr>
          <w:lang w:val="es-ES_tradnl"/>
        </w:rPr>
        <w:t>Radiónica</w:t>
      </w:r>
      <w:r>
        <w:rPr>
          <w:rFonts w:hint="eastAsia"/>
          <w:lang w:val="es-ES_tradnl"/>
        </w:rPr>
        <w:t>广播台和</w:t>
      </w:r>
      <w:r>
        <w:rPr>
          <w:lang w:val="es-ES_tradnl"/>
        </w:rPr>
        <w:t>Diversa</w:t>
      </w:r>
      <w:r>
        <w:rPr>
          <w:rFonts w:hint="eastAsia"/>
          <w:lang w:val="es-ES_tradnl"/>
        </w:rPr>
        <w:t>无线电台；</w:t>
      </w:r>
    </w:p>
    <w:p w:rsidR="00A83775" w:rsidRDefault="00A83775">
      <w:pPr>
        <w:pStyle w:val="SingleTxtGC"/>
        <w:numPr>
          <w:ilvl w:val="0"/>
          <w:numId w:val="58"/>
        </w:numPr>
        <w:rPr>
          <w:lang w:val="es-ES_tradnl"/>
        </w:rPr>
      </w:pPr>
      <w:r>
        <w:rPr>
          <w:rFonts w:hint="eastAsia"/>
          <w:lang w:val="es-ES_tradnl"/>
        </w:rPr>
        <w:t>设计制定了新的各地区促进性权利和生殖权利的媒体宣传和动员战略，并希望将这些活动与各地区负责领导性别教育方案的工作组所开展的活动协调开展起来；</w:t>
      </w:r>
    </w:p>
    <w:p w:rsidR="00A83775" w:rsidRDefault="00A83775">
      <w:pPr>
        <w:pStyle w:val="SingleTxtGC"/>
        <w:numPr>
          <w:ilvl w:val="0"/>
          <w:numId w:val="58"/>
        </w:numPr>
        <w:rPr>
          <w:lang w:val="es-ES_tradnl"/>
        </w:rPr>
      </w:pPr>
      <w:r>
        <w:rPr>
          <w:rFonts w:hint="eastAsia"/>
          <w:lang w:val="es-ES_tradnl"/>
        </w:rPr>
        <w:t>与新闻从业人员和电视制片人协调配合，以便在电视节目中纳入性权利和生殖权利观点，以及与增进这些权利有关的信息，将这些内容纳入到媒体的节目规划和内容中；</w:t>
      </w:r>
    </w:p>
    <w:p w:rsidR="00A83775" w:rsidRDefault="00A83775">
      <w:pPr>
        <w:pStyle w:val="SingleTxtGC"/>
        <w:numPr>
          <w:ilvl w:val="0"/>
          <w:numId w:val="58"/>
        </w:numPr>
        <w:rPr>
          <w:lang w:val="es-ES_tradnl"/>
        </w:rPr>
      </w:pPr>
      <w:r>
        <w:rPr>
          <w:rFonts w:hint="eastAsia"/>
          <w:lang w:val="es-ES_tradnl"/>
        </w:rPr>
        <w:t>敦促地方一级的技术组制定性别教育大纲，以拟定宣传和动员战略；</w:t>
      </w:r>
    </w:p>
    <w:p w:rsidR="00A83775" w:rsidRDefault="00A83775">
      <w:pPr>
        <w:pStyle w:val="SingleTxtGC"/>
        <w:numPr>
          <w:ilvl w:val="0"/>
          <w:numId w:val="58"/>
        </w:numPr>
        <w:rPr>
          <w:lang w:val="es-ES_tradnl"/>
        </w:rPr>
      </w:pPr>
      <w:r>
        <w:rPr>
          <w:rFonts w:hint="eastAsia"/>
          <w:lang w:val="es-ES_tradnl"/>
        </w:rPr>
        <w:t>发起了一项对在</w:t>
      </w:r>
      <w:r>
        <w:rPr>
          <w:rFonts w:hint="eastAsia"/>
          <w:lang w:val="es-ES_tradnl"/>
        </w:rPr>
        <w:t>2010</w:t>
      </w:r>
      <w:r>
        <w:rPr>
          <w:rFonts w:hint="eastAsia"/>
          <w:lang w:val="es-ES_tradnl"/>
        </w:rPr>
        <w:t>年期间开展的与在宣传和动员工作上增进性权利和生殖权利有关的战略和行动的数字化进程。</w:t>
      </w:r>
    </w:p>
    <w:p w:rsidR="00A83775" w:rsidRDefault="00A83775">
      <w:pPr>
        <w:pStyle w:val="SingleTxtGC"/>
        <w:rPr>
          <w:lang w:val="es-ES"/>
        </w:rPr>
      </w:pPr>
      <w:r>
        <w:rPr>
          <w:lang w:val="es-ES"/>
        </w:rPr>
        <w:t xml:space="preserve">484.  </w:t>
      </w:r>
      <w:r>
        <w:rPr>
          <w:rFonts w:hint="eastAsia"/>
          <w:lang w:val="es-ES"/>
        </w:rPr>
        <w:t>在</w:t>
      </w:r>
      <w:r>
        <w:rPr>
          <w:rFonts w:hint="eastAsia"/>
          <w:lang w:val="zh-CN"/>
        </w:rPr>
        <w:t>国家教育部</w:t>
      </w:r>
      <w:r>
        <w:rPr>
          <w:rFonts w:hint="eastAsia"/>
          <w:lang w:val="es-ES"/>
        </w:rPr>
        <w:t>提供的信息中并没有清楚说明此类群众运动的影响和成效。</w:t>
      </w:r>
    </w:p>
    <w:p w:rsidR="00A83775" w:rsidRDefault="00A83775">
      <w:pPr>
        <w:pStyle w:val="H23GC"/>
        <w:rPr>
          <w:lang w:val="es-ES_tradnl"/>
        </w:rPr>
      </w:pPr>
      <w:r>
        <w:rPr>
          <w:lang w:val="es-ES_tradnl"/>
        </w:rPr>
        <w:tab/>
      </w:r>
      <w:r>
        <w:rPr>
          <w:lang w:val="es-ES_tradnl"/>
        </w:rPr>
        <w:tab/>
      </w:r>
      <w:r>
        <w:rPr>
          <w:rFonts w:hint="eastAsia"/>
          <w:lang w:val="es-ES_tradnl"/>
        </w:rPr>
        <w:t>公民权利监察员办公室</w:t>
      </w:r>
      <w:r>
        <w:rPr>
          <w:lang w:val="es-ES_tradnl"/>
        </w:rPr>
        <w:t xml:space="preserve"> </w:t>
      </w:r>
    </w:p>
    <w:p w:rsidR="00A83775" w:rsidRDefault="00A83775">
      <w:pPr>
        <w:pStyle w:val="SingleTxtGC"/>
        <w:rPr>
          <w:rFonts w:hint="eastAsia"/>
          <w:lang w:val="es-ES"/>
        </w:rPr>
      </w:pPr>
      <w:r>
        <w:rPr>
          <w:bCs/>
          <w:iCs/>
          <w:lang w:val="es-ES_tradnl"/>
        </w:rPr>
        <w:t xml:space="preserve">485.  </w:t>
      </w:r>
      <w:r>
        <w:rPr>
          <w:rFonts w:hint="eastAsia"/>
          <w:lang w:val="zh-CN"/>
        </w:rPr>
        <w:t>值得一提</w:t>
      </w:r>
      <w:r>
        <w:rPr>
          <w:rFonts w:hint="eastAsia"/>
          <w:bCs/>
          <w:iCs/>
          <w:lang w:val="es-ES_tradnl"/>
        </w:rPr>
        <w:t>的有：</w:t>
      </w:r>
    </w:p>
    <w:p w:rsidR="00A83775" w:rsidRDefault="00A83775">
      <w:pPr>
        <w:pStyle w:val="SingleTxtGC"/>
        <w:numPr>
          <w:ilvl w:val="0"/>
          <w:numId w:val="59"/>
        </w:numPr>
        <w:rPr>
          <w:lang w:val="es-ES_tradnl"/>
        </w:rPr>
      </w:pPr>
      <w:r>
        <w:rPr>
          <w:rFonts w:hint="eastAsia"/>
          <w:lang w:val="es-ES_tradnl"/>
        </w:rPr>
        <w:t>将性权利和生殖权利宣传运动纳入到了</w:t>
      </w:r>
      <w:r>
        <w:rPr>
          <w:rFonts w:hint="eastAsia"/>
          <w:lang w:val="es-ES_tradnl"/>
        </w:rPr>
        <w:t>2010</w:t>
      </w:r>
      <w:r>
        <w:rPr>
          <w:rFonts w:hint="eastAsia"/>
          <w:lang w:val="es-ES_tradnl"/>
        </w:rPr>
        <w:t>年的战略行动计划中；</w:t>
      </w:r>
    </w:p>
    <w:p w:rsidR="00A83775" w:rsidRDefault="00A83775">
      <w:pPr>
        <w:pStyle w:val="SingleTxtGC"/>
        <w:numPr>
          <w:ilvl w:val="0"/>
          <w:numId w:val="59"/>
        </w:numPr>
        <w:rPr>
          <w:lang w:val="es-ES_tradnl"/>
        </w:rPr>
      </w:pPr>
      <w:r>
        <w:rPr>
          <w:rFonts w:hint="eastAsia"/>
          <w:lang w:val="es-ES_tradnl"/>
        </w:rPr>
        <w:t>对该运动的战略内容进行了分析。</w:t>
      </w:r>
    </w:p>
    <w:p w:rsidR="00A83775" w:rsidRDefault="00A83775">
      <w:pPr>
        <w:pStyle w:val="SingleTxtGC"/>
        <w:rPr>
          <w:lang w:val="zh-CN"/>
        </w:rPr>
      </w:pPr>
      <w:r>
        <w:rPr>
          <w:lang w:val="es-CO"/>
        </w:rPr>
        <w:t xml:space="preserve">486.  </w:t>
      </w:r>
      <w:r>
        <w:rPr>
          <w:rFonts w:hint="eastAsia"/>
          <w:lang w:val="es-CO"/>
        </w:rPr>
        <w:t>在宣传战略方面，国家总检察长办公室开展了大量努力，设计并实施了一项</w:t>
      </w:r>
      <w:r>
        <w:rPr>
          <w:rFonts w:eastAsia="KaiTi_GB2312" w:hint="eastAsia"/>
          <w:lang w:val="es-CO"/>
        </w:rPr>
        <w:t>性健康和生殖健康及家庭宣传战略</w:t>
      </w:r>
      <w:r>
        <w:rPr>
          <w:rFonts w:hint="eastAsia"/>
          <w:lang w:val="es-CO"/>
        </w:rPr>
        <w:t>，旨在通过哥伦比亚媒体预防</w:t>
      </w:r>
      <w:r>
        <w:rPr>
          <w:rFonts w:hint="eastAsia"/>
          <w:lang w:val="es-CO"/>
        </w:rPr>
        <w:t>8-18</w:t>
      </w:r>
      <w:r>
        <w:rPr>
          <w:rFonts w:hint="eastAsia"/>
          <w:lang w:val="es-CO"/>
        </w:rPr>
        <w:t>岁男童、女童和</w:t>
      </w:r>
      <w:r>
        <w:rPr>
          <w:rFonts w:hint="eastAsia"/>
          <w:lang w:val="zh-CN"/>
        </w:rPr>
        <w:t>青少年的性权利和生殖权利受到侵害，此外，出台相应手段来使这些权利得到自由和有效的行使。</w:t>
      </w:r>
    </w:p>
    <w:p w:rsidR="00A83775" w:rsidRDefault="00A83775">
      <w:pPr>
        <w:pStyle w:val="SingleTxtGC"/>
        <w:rPr>
          <w:lang w:val="es-ES_tradnl"/>
        </w:rPr>
      </w:pPr>
      <w:r>
        <w:rPr>
          <w:lang w:val="zh-CN"/>
        </w:rPr>
        <w:t xml:space="preserve">487.  </w:t>
      </w:r>
      <w:r>
        <w:rPr>
          <w:rFonts w:hint="eastAsia"/>
          <w:lang w:val="zh-CN"/>
        </w:rPr>
        <w:t>这一判决表明，对妇女的性权利和生殖权利的保护，在</w:t>
      </w:r>
      <w:r>
        <w:rPr>
          <w:rFonts w:hint="eastAsia"/>
          <w:lang w:val="zh-CN"/>
        </w:rPr>
        <w:t>2006</w:t>
      </w:r>
      <w:r>
        <w:rPr>
          <w:rFonts w:hint="eastAsia"/>
          <w:lang w:val="zh-CN"/>
        </w:rPr>
        <w:t>年第</w:t>
      </w:r>
      <w:r>
        <w:rPr>
          <w:rFonts w:hint="eastAsia"/>
          <w:lang w:val="zh-CN"/>
        </w:rPr>
        <w:t>C-355</w:t>
      </w:r>
      <w:r>
        <w:rPr>
          <w:rFonts w:hint="eastAsia"/>
          <w:lang w:val="zh-CN"/>
        </w:rPr>
        <w:t>号判决发布</w:t>
      </w:r>
      <w:r>
        <w:rPr>
          <w:rFonts w:hint="eastAsia"/>
          <w:lang w:val="es-ES_tradnl"/>
        </w:rPr>
        <w:t>四年后的今天，仍处于不稳定的状态。为此，法院规定“应用尽一切司法手段，包括采用偏护性原则，使本判决中的各项决定即时生效，本判决所保护权利的享有并不需要以法律和法规的发展为前提。但是这并不妨碍有关当局在其认为必要时颁布相应的规章条例，出台无悖于本决定的公共政策。”</w:t>
      </w:r>
    </w:p>
    <w:p w:rsidR="00A83775" w:rsidRDefault="00A83775">
      <w:pPr>
        <w:pStyle w:val="SingleTxtGC"/>
        <w:rPr>
          <w:lang w:val="zh-CN"/>
        </w:rPr>
      </w:pPr>
      <w:r>
        <w:rPr>
          <w:lang w:val="es-ES_tradnl"/>
        </w:rPr>
        <w:t xml:space="preserve">488.  </w:t>
      </w:r>
      <w:r>
        <w:rPr>
          <w:rFonts w:hint="eastAsia"/>
          <w:lang w:val="es-ES_tradnl"/>
        </w:rPr>
        <w:t>针对这一情况，公民权利监察员办公室表示，在实践中，法规监管的缺失常常被用作</w:t>
      </w:r>
      <w:r>
        <w:rPr>
          <w:rFonts w:hint="eastAsia"/>
          <w:lang w:val="zh-CN"/>
        </w:rPr>
        <w:t>拒绝和阻碍妇女行使其自愿终止妊娠的决定权以及获得终止妊娠服务权利的一则理由。</w:t>
      </w:r>
      <w:r>
        <w:rPr>
          <w:lang w:val="zh-CN"/>
        </w:rPr>
        <w:t xml:space="preserve"> </w:t>
      </w:r>
    </w:p>
    <w:p w:rsidR="00A83775" w:rsidRDefault="00A83775">
      <w:pPr>
        <w:pStyle w:val="SingleTxtGC"/>
        <w:rPr>
          <w:lang w:val="es-ES_tradnl"/>
        </w:rPr>
      </w:pPr>
      <w:r>
        <w:rPr>
          <w:lang w:val="zh-CN"/>
        </w:rPr>
        <w:t xml:space="preserve">489.  </w:t>
      </w:r>
      <w:r>
        <w:rPr>
          <w:rFonts w:hint="eastAsia"/>
          <w:lang w:val="zh-CN"/>
        </w:rPr>
        <w:t>在落实</w:t>
      </w:r>
      <w:r>
        <w:rPr>
          <w:rFonts w:hint="eastAsia"/>
          <w:lang w:val="es-ES_tradnl"/>
        </w:rPr>
        <w:t>法院的这一决定方面，国家总检察长办公室开展了以下行动：</w:t>
      </w:r>
    </w:p>
    <w:p w:rsidR="00A83775" w:rsidRDefault="00A83775">
      <w:pPr>
        <w:pStyle w:val="SingleTxtGC"/>
        <w:numPr>
          <w:ilvl w:val="0"/>
          <w:numId w:val="60"/>
        </w:numPr>
        <w:rPr>
          <w:lang w:val="es-ES_tradnl"/>
        </w:rPr>
      </w:pPr>
      <w:r>
        <w:rPr>
          <w:rFonts w:hint="eastAsia"/>
          <w:lang w:val="es-ES_tradnl"/>
        </w:rPr>
        <w:t>对卡尔达斯司法部门－纪律厅委员会所开展的行动进行了检查，以调查当地对被羁押的违法违纪年轻人所做的处置是否合规；</w:t>
      </w:r>
    </w:p>
    <w:p w:rsidR="00A83775" w:rsidRDefault="00A83775">
      <w:pPr>
        <w:pStyle w:val="SingleTxtGC"/>
        <w:numPr>
          <w:ilvl w:val="0"/>
          <w:numId w:val="60"/>
        </w:numPr>
        <w:rPr>
          <w:lang w:val="es-ES_tradnl"/>
        </w:rPr>
      </w:pPr>
      <w:r>
        <w:rPr>
          <w:rFonts w:hint="eastAsia"/>
          <w:lang w:val="es-ES_tradnl"/>
        </w:rPr>
        <w:t>检查国家总检察署开展的与调查负责一审和二审公务员履行公务情况有关的活动；</w:t>
      </w:r>
      <w:r>
        <w:rPr>
          <w:lang w:val="es-ES_tradnl"/>
        </w:rPr>
        <w:t xml:space="preserve"> </w:t>
      </w:r>
    </w:p>
    <w:p w:rsidR="00A83775" w:rsidRDefault="00A83775">
      <w:pPr>
        <w:pStyle w:val="SingleTxtGC"/>
        <w:numPr>
          <w:ilvl w:val="0"/>
          <w:numId w:val="60"/>
        </w:numPr>
        <w:rPr>
          <w:lang w:val="es-ES_tradnl"/>
        </w:rPr>
      </w:pPr>
      <w:r>
        <w:rPr>
          <w:rFonts w:hint="eastAsia"/>
          <w:lang w:val="es-ES_tradnl"/>
        </w:rPr>
        <w:t>要求医疗保险机构提供与其采取的旨在防范此类事件一再发生的措施有关的信息。</w:t>
      </w:r>
    </w:p>
    <w:p w:rsidR="00A83775" w:rsidRDefault="00A83775">
      <w:pPr>
        <w:pStyle w:val="SingleTxtGC"/>
        <w:rPr>
          <w:lang w:val="es-ES_tradnl"/>
        </w:rPr>
      </w:pPr>
      <w:r>
        <w:rPr>
          <w:lang w:val="es-ES_tradnl"/>
        </w:rPr>
        <w:t xml:space="preserve">490.  </w:t>
      </w:r>
      <w:r>
        <w:rPr>
          <w:rFonts w:hint="eastAsia"/>
          <w:lang w:val="es-ES_tradnl"/>
        </w:rPr>
        <w:t>同样，在对</w:t>
      </w:r>
      <w:r>
        <w:rPr>
          <w:rFonts w:hint="eastAsia"/>
          <w:lang w:val="es-ES_tradnl"/>
        </w:rPr>
        <w:t>2008</w:t>
      </w:r>
      <w:r>
        <w:rPr>
          <w:rFonts w:hint="eastAsia"/>
          <w:lang w:val="es-ES_tradnl"/>
        </w:rPr>
        <w:t>年的第</w:t>
      </w:r>
      <w:r>
        <w:rPr>
          <w:rFonts w:hint="eastAsia"/>
          <w:lang w:val="es-ES_tradnl"/>
        </w:rPr>
        <w:t>209</w:t>
      </w:r>
      <w:r>
        <w:rPr>
          <w:rFonts w:hint="eastAsia"/>
          <w:lang w:val="es-ES_tradnl"/>
        </w:rPr>
        <w:t>号判决和</w:t>
      </w:r>
      <w:r>
        <w:rPr>
          <w:rFonts w:hint="eastAsia"/>
          <w:lang w:val="es-ES_tradnl"/>
        </w:rPr>
        <w:t>2009</w:t>
      </w:r>
      <w:r>
        <w:rPr>
          <w:rFonts w:hint="eastAsia"/>
          <w:lang w:val="es-ES_tradnl"/>
        </w:rPr>
        <w:t>年的第</w:t>
      </w:r>
      <w:r>
        <w:rPr>
          <w:rFonts w:hint="eastAsia"/>
          <w:lang w:val="es-ES_tradnl"/>
        </w:rPr>
        <w:t>279</w:t>
      </w:r>
      <w:r>
        <w:rPr>
          <w:rFonts w:hint="eastAsia"/>
          <w:lang w:val="es-ES_tradnl"/>
        </w:rPr>
        <w:t>号裁决的执行情况进行监察的过程中，总检察长办公室开展了以下行动：</w:t>
      </w:r>
    </w:p>
    <w:p w:rsidR="00A83775" w:rsidRDefault="00A83775">
      <w:pPr>
        <w:pStyle w:val="SingleTxtGC"/>
        <w:numPr>
          <w:ilvl w:val="0"/>
          <w:numId w:val="61"/>
        </w:numPr>
        <w:rPr>
          <w:lang w:val="es-ES_tradnl"/>
        </w:rPr>
      </w:pPr>
      <w:r>
        <w:rPr>
          <w:rFonts w:hint="eastAsia"/>
          <w:lang w:val="es-ES_tradnl"/>
        </w:rPr>
        <w:t>对宪法法院责令办理的伤害赔偿清算手续的办理情况进行跟踪监察，目的是使保护行动中受益女童获得赔偿的权利得到有效承认；</w:t>
      </w:r>
    </w:p>
    <w:p w:rsidR="00A83775" w:rsidRDefault="00A83775">
      <w:pPr>
        <w:pStyle w:val="SingleTxtGC"/>
        <w:numPr>
          <w:ilvl w:val="0"/>
          <w:numId w:val="61"/>
        </w:numPr>
        <w:rPr>
          <w:lang w:val="es-ES_tradnl"/>
        </w:rPr>
      </w:pPr>
      <w:r>
        <w:rPr>
          <w:rFonts w:hint="eastAsia"/>
          <w:lang w:val="es-ES_tradnl"/>
        </w:rPr>
        <w:t>对一审和二审法官的违纪事项的处罚执行程序进行监察；</w:t>
      </w:r>
    </w:p>
    <w:p w:rsidR="00A83775" w:rsidRDefault="00A83775">
      <w:pPr>
        <w:pStyle w:val="SingleTxtGC"/>
        <w:numPr>
          <w:ilvl w:val="0"/>
          <w:numId w:val="61"/>
        </w:numPr>
        <w:rPr>
          <w:lang w:val="es-ES_tradnl"/>
        </w:rPr>
      </w:pPr>
      <w:r>
        <w:rPr>
          <w:rFonts w:hint="eastAsia"/>
          <w:lang w:val="es-ES_tradnl"/>
        </w:rPr>
        <w:t>敦促国家道德法庭执行相应的协议和程序，以便对有悖道德的违纪行为进行道德－纪律审判；</w:t>
      </w:r>
    </w:p>
    <w:p w:rsidR="00A83775" w:rsidRDefault="00A83775">
      <w:pPr>
        <w:pStyle w:val="SingleTxtGC"/>
        <w:numPr>
          <w:ilvl w:val="0"/>
          <w:numId w:val="61"/>
        </w:numPr>
        <w:rPr>
          <w:lang w:val="es-ES_tradnl"/>
        </w:rPr>
      </w:pPr>
      <w:r>
        <w:rPr>
          <w:rFonts w:hint="eastAsia"/>
          <w:lang w:val="es-ES_tradnl"/>
        </w:rPr>
        <w:t>针对社会保障部和国家卫生监察局的行政作为进行监督，目的是落实</w:t>
      </w:r>
      <w:r>
        <w:rPr>
          <w:rFonts w:hint="eastAsia"/>
          <w:lang w:val="es-ES_tradnl"/>
        </w:rPr>
        <w:t>2006</w:t>
      </w:r>
      <w:r>
        <w:rPr>
          <w:rFonts w:hint="eastAsia"/>
          <w:lang w:val="es-ES_tradnl"/>
        </w:rPr>
        <w:t>年的第</w:t>
      </w:r>
      <w:r>
        <w:rPr>
          <w:rFonts w:hint="eastAsia"/>
          <w:lang w:val="es-ES_tradnl"/>
        </w:rPr>
        <w:t>355</w:t>
      </w:r>
      <w:r>
        <w:rPr>
          <w:rFonts w:hint="eastAsia"/>
          <w:lang w:val="es-ES_tradnl"/>
        </w:rPr>
        <w:t>号判决中所载的指令。</w:t>
      </w:r>
    </w:p>
    <w:p w:rsidR="00A83775" w:rsidRDefault="00A83775">
      <w:pPr>
        <w:pStyle w:val="SingleTxtGC"/>
        <w:rPr>
          <w:lang w:val="es-ES_tradnl"/>
        </w:rPr>
      </w:pPr>
      <w:r>
        <w:rPr>
          <w:lang w:val="es-ES_tradnl"/>
        </w:rPr>
        <w:t xml:space="preserve">491.  </w:t>
      </w:r>
      <w:r>
        <w:rPr>
          <w:rFonts w:hint="eastAsia"/>
          <w:lang w:val="es-ES_tradnl"/>
        </w:rPr>
        <w:t>2007</w:t>
      </w:r>
      <w:r>
        <w:rPr>
          <w:rFonts w:hint="eastAsia"/>
          <w:lang w:val="es-ES_tradnl"/>
        </w:rPr>
        <w:t>年，总检察长办公室对</w:t>
      </w:r>
      <w:r>
        <w:rPr>
          <w:rFonts w:hint="eastAsia"/>
          <w:lang w:val="es-ES_tradnl"/>
        </w:rPr>
        <w:t>2006</w:t>
      </w:r>
      <w:r>
        <w:rPr>
          <w:rFonts w:hint="eastAsia"/>
          <w:lang w:val="es-ES_tradnl"/>
        </w:rPr>
        <w:t>年的第</w:t>
      </w:r>
      <w:r>
        <w:rPr>
          <w:rFonts w:hint="eastAsia"/>
          <w:lang w:val="es-ES_tradnl"/>
        </w:rPr>
        <w:t>355</w:t>
      </w:r>
      <w:r>
        <w:rPr>
          <w:rFonts w:hint="eastAsia"/>
          <w:lang w:val="es-ES_tradnl"/>
        </w:rPr>
        <w:t>号判决的执行情况进行了预防性监督，并认定了在获得终止妊娠服务方面所面临的以下障碍：</w:t>
      </w:r>
    </w:p>
    <w:p w:rsidR="00A83775" w:rsidRDefault="00A83775">
      <w:pPr>
        <w:pStyle w:val="SingleTxtGC"/>
        <w:numPr>
          <w:ilvl w:val="0"/>
          <w:numId w:val="62"/>
        </w:numPr>
        <w:rPr>
          <w:lang w:val="es-ES_tradnl"/>
        </w:rPr>
      </w:pPr>
      <w:r>
        <w:rPr>
          <w:rFonts w:hint="eastAsia"/>
          <w:lang w:val="es-ES_tradnl"/>
        </w:rPr>
        <w:t>除宪法法院在</w:t>
      </w:r>
      <w:r>
        <w:rPr>
          <w:rFonts w:hint="eastAsia"/>
          <w:lang w:val="es-ES_tradnl"/>
        </w:rPr>
        <w:t>2006</w:t>
      </w:r>
      <w:r>
        <w:rPr>
          <w:rFonts w:hint="eastAsia"/>
          <w:lang w:val="es-ES_tradnl"/>
        </w:rPr>
        <w:t>年的第</w:t>
      </w:r>
      <w:r>
        <w:rPr>
          <w:rFonts w:hint="eastAsia"/>
          <w:lang w:val="es-ES_tradnl"/>
        </w:rPr>
        <w:t>C-355</w:t>
      </w:r>
      <w:r>
        <w:rPr>
          <w:rFonts w:hint="eastAsia"/>
          <w:lang w:val="es-ES_tradnl"/>
        </w:rPr>
        <w:t>号判决的规定外，还对批准和提供堕胎服务强加了额外的要求；</w:t>
      </w:r>
    </w:p>
    <w:p w:rsidR="00A83775" w:rsidRDefault="00A83775">
      <w:pPr>
        <w:pStyle w:val="SingleTxtGC"/>
        <w:numPr>
          <w:ilvl w:val="0"/>
          <w:numId w:val="62"/>
        </w:numPr>
        <w:rPr>
          <w:lang w:val="es-ES_tradnl"/>
        </w:rPr>
      </w:pPr>
      <w:r>
        <w:rPr>
          <w:rFonts w:hint="eastAsia"/>
          <w:lang w:val="es-ES_tradnl"/>
        </w:rPr>
        <w:t>集体和体制从道德风气上对堕胎无根据的反对；</w:t>
      </w:r>
    </w:p>
    <w:p w:rsidR="00A83775" w:rsidRDefault="00A83775">
      <w:pPr>
        <w:pStyle w:val="SingleTxtGC"/>
        <w:numPr>
          <w:ilvl w:val="0"/>
          <w:numId w:val="62"/>
        </w:numPr>
        <w:rPr>
          <w:lang w:val="es-ES_tradnl"/>
        </w:rPr>
      </w:pPr>
      <w:r>
        <w:rPr>
          <w:rFonts w:hint="eastAsia"/>
          <w:lang w:val="es-ES_tradnl"/>
        </w:rPr>
        <w:t>由于医务人员的疏忽或有意为之，使同意堕胎的孕妇遭遇慢待；</w:t>
      </w:r>
    </w:p>
    <w:p w:rsidR="00A83775" w:rsidRDefault="00A83775">
      <w:pPr>
        <w:pStyle w:val="SingleTxtGC"/>
        <w:numPr>
          <w:ilvl w:val="0"/>
          <w:numId w:val="62"/>
        </w:numPr>
        <w:rPr>
          <w:lang w:val="es-ES_tradnl"/>
        </w:rPr>
      </w:pPr>
      <w:r>
        <w:rPr>
          <w:rFonts w:hint="eastAsia"/>
          <w:lang w:val="es-ES_tradnl"/>
        </w:rPr>
        <w:t>完全不承认未满十四岁的少女对堕胎表达其同意或不同意的民事行为能力。</w:t>
      </w:r>
    </w:p>
    <w:p w:rsidR="00A83775" w:rsidRDefault="00A83775">
      <w:pPr>
        <w:pStyle w:val="SingleTxtGC"/>
        <w:rPr>
          <w:rFonts w:hint="eastAsia"/>
          <w:lang w:val="es-ES_tradnl"/>
        </w:rPr>
      </w:pPr>
      <w:r>
        <w:rPr>
          <w:lang w:val="es-ES_tradnl"/>
        </w:rPr>
        <w:t xml:space="preserve">492.  </w:t>
      </w:r>
      <w:r>
        <w:rPr>
          <w:rFonts w:hint="eastAsia"/>
          <w:lang w:val="es-ES_tradnl"/>
        </w:rPr>
        <w:t>总检察长办公室</w:t>
      </w:r>
      <w:r>
        <w:rPr>
          <w:rFonts w:hint="eastAsia"/>
          <w:lang w:val="es-ES_tradnl"/>
        </w:rPr>
        <w:t>2009</w:t>
      </w:r>
      <w:r>
        <w:rPr>
          <w:rFonts w:hint="eastAsia"/>
          <w:lang w:val="es-ES_tradnl"/>
        </w:rPr>
        <w:t>年下发了第</w:t>
      </w:r>
      <w:r>
        <w:rPr>
          <w:rFonts w:hint="eastAsia"/>
          <w:lang w:val="es-ES_tradnl"/>
        </w:rPr>
        <w:t>030</w:t>
      </w:r>
      <w:r>
        <w:rPr>
          <w:rFonts w:hint="eastAsia"/>
          <w:lang w:val="es-ES_tradnl"/>
        </w:rPr>
        <w:t>号通知，在通知中规定了一系列的用以指导对</w:t>
      </w:r>
      <w:r>
        <w:rPr>
          <w:rFonts w:hint="eastAsia"/>
          <w:lang w:val="zh-CN"/>
        </w:rPr>
        <w:t>2006</w:t>
      </w:r>
      <w:r>
        <w:rPr>
          <w:rFonts w:hint="eastAsia"/>
          <w:lang w:val="es-ES_tradnl"/>
        </w:rPr>
        <w:t>年的第</w:t>
      </w:r>
      <w:r>
        <w:rPr>
          <w:rFonts w:hint="eastAsia"/>
          <w:lang w:val="es-ES_tradnl"/>
        </w:rPr>
        <w:t>C-355</w:t>
      </w:r>
      <w:r>
        <w:rPr>
          <w:rFonts w:hint="eastAsia"/>
          <w:lang w:val="es-ES_tradnl"/>
        </w:rPr>
        <w:t>号判决的监督落实工作的方针。根据这一通知，规定如下：</w:t>
      </w:r>
    </w:p>
    <w:p w:rsidR="00A83775" w:rsidRDefault="00A83775">
      <w:pPr>
        <w:pStyle w:val="SingleTxtGC"/>
        <w:rPr>
          <w:lang w:val="es-ES_tradnl"/>
        </w:rPr>
      </w:pPr>
      <w:r>
        <w:rPr>
          <w:lang w:val="es-ES_tradnl"/>
        </w:rPr>
        <w:t xml:space="preserve">493.  </w:t>
      </w:r>
      <w:r>
        <w:rPr>
          <w:rFonts w:hint="eastAsia"/>
          <w:lang w:val="es-ES_tradnl"/>
        </w:rPr>
        <w:t>国家</w:t>
      </w:r>
      <w:r>
        <w:rPr>
          <w:rFonts w:hint="eastAsia"/>
          <w:lang w:val="zh-CN"/>
        </w:rPr>
        <w:t>总检察长</w:t>
      </w:r>
      <w:r>
        <w:rPr>
          <w:rFonts w:hint="eastAsia"/>
          <w:lang w:val="es-ES_tradnl"/>
        </w:rPr>
        <w:t>在履行其对各职能当局进行预防性监察的职责时，应当：</w:t>
      </w:r>
    </w:p>
    <w:p w:rsidR="00A83775" w:rsidRDefault="00A83775">
      <w:pPr>
        <w:pStyle w:val="SingleTxtGC"/>
        <w:numPr>
          <w:ilvl w:val="0"/>
          <w:numId w:val="63"/>
        </w:numPr>
        <w:rPr>
          <w:lang w:val="es-ES_tradnl"/>
        </w:rPr>
      </w:pPr>
      <w:r>
        <w:rPr>
          <w:rFonts w:hint="eastAsia"/>
          <w:lang w:val="es-ES_tradnl"/>
        </w:rPr>
        <w:t>向孕妇提供全面的咨询服务；</w:t>
      </w:r>
    </w:p>
    <w:p w:rsidR="00A83775" w:rsidRDefault="00A83775">
      <w:pPr>
        <w:pStyle w:val="SingleTxtGC"/>
        <w:numPr>
          <w:ilvl w:val="0"/>
          <w:numId w:val="63"/>
        </w:numPr>
        <w:rPr>
          <w:lang w:val="es-ES_tradnl"/>
        </w:rPr>
      </w:pPr>
      <w:r>
        <w:rPr>
          <w:rFonts w:hint="eastAsia"/>
          <w:lang w:val="es-ES_tradnl"/>
        </w:rPr>
        <w:t>确保孕妇在知情同意的前提下自由行使其权利；</w:t>
      </w:r>
    </w:p>
    <w:p w:rsidR="00A83775" w:rsidRDefault="00A83775">
      <w:pPr>
        <w:pStyle w:val="SingleTxtGC"/>
        <w:numPr>
          <w:ilvl w:val="0"/>
          <w:numId w:val="63"/>
        </w:numPr>
        <w:rPr>
          <w:lang w:val="es-ES_tradnl"/>
        </w:rPr>
      </w:pPr>
      <w:r>
        <w:rPr>
          <w:rFonts w:hint="eastAsia"/>
          <w:lang w:val="es-ES_tradnl"/>
        </w:rPr>
        <w:t>在同等条件下保障孕妇同意和不同意的权利；</w:t>
      </w:r>
    </w:p>
    <w:p w:rsidR="00A83775" w:rsidRDefault="00A83775">
      <w:pPr>
        <w:pStyle w:val="SingleTxtGC"/>
        <w:numPr>
          <w:ilvl w:val="0"/>
          <w:numId w:val="63"/>
        </w:numPr>
        <w:rPr>
          <w:lang w:val="es-ES_tradnl"/>
        </w:rPr>
      </w:pPr>
      <w:r>
        <w:rPr>
          <w:rFonts w:hint="eastAsia"/>
          <w:lang w:val="es-ES_tradnl"/>
        </w:rPr>
        <w:t>预防对参与实施非常规情形的堕胎的人员可能遭受的歧视；</w:t>
      </w:r>
    </w:p>
    <w:p w:rsidR="00A83775" w:rsidRDefault="00A83775">
      <w:pPr>
        <w:pStyle w:val="SingleTxtGC"/>
        <w:numPr>
          <w:ilvl w:val="0"/>
          <w:numId w:val="63"/>
        </w:numPr>
        <w:rPr>
          <w:lang w:val="es-ES_tradnl"/>
        </w:rPr>
      </w:pPr>
      <w:r>
        <w:rPr>
          <w:rFonts w:hint="eastAsia"/>
          <w:lang w:val="es-ES_tradnl"/>
        </w:rPr>
        <w:t>对旨在保护男女的权利和机会平等的计划、方案、项目和战略的落实情况进行监督，出台机制来确保国家对孕产期妇女的特别关照和保护；</w:t>
      </w:r>
    </w:p>
    <w:p w:rsidR="00A83775" w:rsidRDefault="00A83775">
      <w:pPr>
        <w:pStyle w:val="SingleTxtGC"/>
        <w:numPr>
          <w:ilvl w:val="0"/>
          <w:numId w:val="63"/>
        </w:numPr>
        <w:rPr>
          <w:lang w:val="es-ES_tradnl"/>
        </w:rPr>
      </w:pPr>
      <w:r>
        <w:rPr>
          <w:rFonts w:hint="eastAsia"/>
          <w:lang w:val="es-ES_tradnl"/>
        </w:rPr>
        <w:t>就</w:t>
      </w:r>
      <w:r>
        <w:rPr>
          <w:rFonts w:hint="eastAsia"/>
          <w:lang w:val="es-ES_tradnl"/>
        </w:rPr>
        <w:t>2006</w:t>
      </w:r>
      <w:r>
        <w:rPr>
          <w:rFonts w:hint="eastAsia"/>
          <w:lang w:val="es-ES_tradnl"/>
        </w:rPr>
        <w:t>年的第</w:t>
      </w:r>
      <w:r>
        <w:rPr>
          <w:rFonts w:hint="eastAsia"/>
          <w:lang w:val="es-ES_tradnl"/>
        </w:rPr>
        <w:t>C-355</w:t>
      </w:r>
      <w:r>
        <w:rPr>
          <w:rFonts w:hint="eastAsia"/>
          <w:lang w:val="es-ES_tradnl"/>
        </w:rPr>
        <w:t>号判决的内容和效力范围对医生、专业人员和辅助人员进行指导；</w:t>
      </w:r>
    </w:p>
    <w:p w:rsidR="00A83775" w:rsidRDefault="00A83775">
      <w:pPr>
        <w:pStyle w:val="SingleTxtGC"/>
        <w:numPr>
          <w:ilvl w:val="0"/>
          <w:numId w:val="63"/>
        </w:numPr>
        <w:rPr>
          <w:lang w:val="es-ES_tradnl"/>
        </w:rPr>
      </w:pPr>
      <w:r>
        <w:rPr>
          <w:rFonts w:hint="eastAsia"/>
          <w:lang w:val="es-ES_tradnl"/>
        </w:rPr>
        <w:t>落实监督工作，对于违法违规行为予以惩办。</w:t>
      </w:r>
    </w:p>
    <w:p w:rsidR="00A83775" w:rsidRDefault="00A83775">
      <w:pPr>
        <w:pStyle w:val="SingleTxtGC"/>
        <w:rPr>
          <w:lang w:val="zh-CN"/>
        </w:rPr>
      </w:pPr>
      <w:r>
        <w:rPr>
          <w:lang w:val="es-ES_tradnl"/>
        </w:rPr>
        <w:t xml:space="preserve">494.  </w:t>
      </w:r>
      <w:r>
        <w:rPr>
          <w:rFonts w:hint="eastAsia"/>
          <w:lang w:val="es-ES_tradnl"/>
        </w:rPr>
        <w:t>在履行监督管理职责方面，总检察长办公室将检查各医疗服务机构在保障自愿申请终止</w:t>
      </w:r>
      <w:r>
        <w:rPr>
          <w:rFonts w:hint="eastAsia"/>
          <w:lang w:val="zh-CN"/>
        </w:rPr>
        <w:t>妊娠的妇女的生命权、健康权、隐私权以及其自由和保障，并确保孕妇在接受堕胎服务时得到尊重，不受任何歧视。</w:t>
      </w:r>
      <w:r>
        <w:rPr>
          <w:lang w:val="zh-CN"/>
        </w:rPr>
        <w:t xml:space="preserve"> </w:t>
      </w:r>
    </w:p>
    <w:p w:rsidR="00A83775" w:rsidRDefault="00A83775">
      <w:pPr>
        <w:pStyle w:val="SingleTxtGC"/>
        <w:rPr>
          <w:lang w:val="es-ES_tradnl"/>
        </w:rPr>
      </w:pPr>
      <w:r>
        <w:rPr>
          <w:lang w:val="zh-CN"/>
        </w:rPr>
        <w:t xml:space="preserve">495.  </w:t>
      </w:r>
      <w:r>
        <w:rPr>
          <w:rFonts w:hint="eastAsia"/>
          <w:lang w:val="zh-CN"/>
        </w:rPr>
        <w:t>在纪律监督方面，总检察长办公室应当依职责自发或者应任何当事人的要求，依照《纪律守则》对违纪现象进行调查，并依法对被证实因未履行在根据当事人申请对符合条</w:t>
      </w:r>
      <w:r>
        <w:rPr>
          <w:rFonts w:hint="eastAsia"/>
          <w:lang w:val="es-ES_tradnl"/>
        </w:rPr>
        <w:t>件的孕妇实施堕胎和对不符合条件的孕妇拒绝实施堕胎方面的义务而构成违纪的行为作出相应的决议，施以纪律处罚。同样，应将案宗的副本根据具体情况提供给司法、行政当局或医疗卫生当局，以便其各自开展调查。</w:t>
      </w:r>
    </w:p>
    <w:p w:rsidR="00A83775" w:rsidRDefault="00A83775">
      <w:pPr>
        <w:pStyle w:val="SingleTxtGC"/>
        <w:rPr>
          <w:lang w:val="zh-CN"/>
        </w:rPr>
      </w:pPr>
      <w:r>
        <w:rPr>
          <w:lang w:val="es-ES_tradnl"/>
        </w:rPr>
        <w:t xml:space="preserve">496.  </w:t>
      </w:r>
      <w:r>
        <w:rPr>
          <w:rFonts w:hint="eastAsia"/>
          <w:lang w:val="es-ES_tradnl"/>
        </w:rPr>
        <w:t>遵照</w:t>
      </w:r>
      <w:r>
        <w:rPr>
          <w:rFonts w:hint="eastAsia"/>
          <w:lang w:val="es-ES_tradnl"/>
        </w:rPr>
        <w:t>2008</w:t>
      </w:r>
      <w:r>
        <w:rPr>
          <w:rFonts w:hint="eastAsia"/>
          <w:lang w:val="es-ES_tradnl"/>
        </w:rPr>
        <w:t>年的第</w:t>
      </w:r>
      <w:r>
        <w:rPr>
          <w:rFonts w:hint="eastAsia"/>
          <w:lang w:val="es-ES_tradnl"/>
        </w:rPr>
        <w:t>T-209</w:t>
      </w:r>
      <w:r>
        <w:rPr>
          <w:rFonts w:hint="eastAsia"/>
          <w:lang w:val="es-ES_tradnl"/>
        </w:rPr>
        <w:t>号判决和</w:t>
      </w:r>
      <w:r>
        <w:rPr>
          <w:rFonts w:hint="eastAsia"/>
          <w:lang w:val="es-ES_tradnl"/>
        </w:rPr>
        <w:t>2009</w:t>
      </w:r>
      <w:r>
        <w:rPr>
          <w:rFonts w:hint="eastAsia"/>
          <w:lang w:val="es-ES_tradnl"/>
        </w:rPr>
        <w:t>年的第</w:t>
      </w:r>
      <w:r>
        <w:rPr>
          <w:rFonts w:hint="eastAsia"/>
          <w:lang w:val="es-ES_tradnl"/>
        </w:rPr>
        <w:t>279</w:t>
      </w:r>
      <w:r>
        <w:rPr>
          <w:rFonts w:hint="eastAsia"/>
          <w:lang w:val="es-ES_tradnl"/>
        </w:rPr>
        <w:t>号裁决，国家总检察长办公室敦促</w:t>
      </w:r>
      <w:r>
        <w:rPr>
          <w:rFonts w:hint="eastAsia"/>
          <w:lang w:val="zh-CN"/>
        </w:rPr>
        <w:t>国家医疗道德法庭针对拒绝堕胎申请的道德－纪律手续出台相应的规程和程序。同时，对保护行动进行干预，以保护通过行动受益的少女的权利。</w:t>
      </w:r>
    </w:p>
    <w:p w:rsidR="00A83775" w:rsidRDefault="00A83775">
      <w:pPr>
        <w:pStyle w:val="SingleTxtGC"/>
        <w:rPr>
          <w:lang w:val="zh-CN"/>
        </w:rPr>
      </w:pPr>
      <w:r>
        <w:rPr>
          <w:lang w:val="zh-CN"/>
        </w:rPr>
        <w:t xml:space="preserve">497.  </w:t>
      </w:r>
      <w:r>
        <w:rPr>
          <w:rFonts w:hint="eastAsia"/>
          <w:lang w:val="zh-CN"/>
        </w:rPr>
        <w:t>总检察长办公室发现在有效落实判决规定的过程中面临一些障碍，例如：医疗保险机构对全面关爱青少年工作的不重视；在执行宪法法院裁定的对违规医务人员进行纪律调查的相关裁决时行动力滞后。</w:t>
      </w:r>
    </w:p>
    <w:p w:rsidR="00A83775" w:rsidRDefault="00A83775">
      <w:pPr>
        <w:pStyle w:val="SingleTxtGC"/>
        <w:rPr>
          <w:lang w:val="es-ES_tradnl"/>
        </w:rPr>
      </w:pPr>
      <w:r>
        <w:rPr>
          <w:lang w:val="zh-CN"/>
        </w:rPr>
        <w:t xml:space="preserve">498.  </w:t>
      </w:r>
      <w:r>
        <w:rPr>
          <w:rFonts w:hint="eastAsia"/>
          <w:lang w:val="zh-CN"/>
        </w:rPr>
        <w:t>2009</w:t>
      </w:r>
      <w:r>
        <w:rPr>
          <w:rFonts w:hint="eastAsia"/>
          <w:lang w:val="zh-CN"/>
        </w:rPr>
        <w:t>年，遵照第</w:t>
      </w:r>
      <w:r>
        <w:rPr>
          <w:rFonts w:hint="eastAsia"/>
          <w:lang w:val="zh-CN"/>
        </w:rPr>
        <w:t>030</w:t>
      </w:r>
      <w:r>
        <w:rPr>
          <w:rFonts w:hint="eastAsia"/>
          <w:lang w:val="zh-CN"/>
        </w:rPr>
        <w:t>号通知重新开始对上面提到的判决的落实情况进行监督。为此向各</w:t>
      </w:r>
      <w:r>
        <w:rPr>
          <w:rFonts w:hint="eastAsia"/>
          <w:lang w:val="es-ES_tradnl"/>
        </w:rPr>
        <w:t>省府的市政机关、各省卫生厅、各省的医疗道德法庭、各省的警察机关以及各省和各地区的检察长办公室要求提供地方上在这方面的具体信息，并向社会保障部、国家卫生监督局、国家医疗道德法庭和哥伦比亚家庭福利研究所要求提供国家一级的具体信息。当前这一工作正处于信息分析阶段。</w:t>
      </w:r>
    </w:p>
    <w:p w:rsidR="00A83775" w:rsidRDefault="00A83775">
      <w:pPr>
        <w:pStyle w:val="SingleTxtGC"/>
        <w:rPr>
          <w:lang w:val="es-ES_tradnl"/>
        </w:rPr>
      </w:pPr>
      <w:r>
        <w:rPr>
          <w:lang w:val="es-ES_tradnl"/>
        </w:rPr>
        <w:t xml:space="preserve">499.  </w:t>
      </w:r>
      <w:r>
        <w:rPr>
          <w:rFonts w:hint="eastAsia"/>
          <w:lang w:val="es-ES_tradnl"/>
        </w:rPr>
        <w:t>根据国家总检察长办公室</w:t>
      </w:r>
      <w:r>
        <w:rPr>
          <w:rFonts w:hint="eastAsia"/>
          <w:lang w:val="es-ES_tradnl"/>
        </w:rPr>
        <w:t>2009</w:t>
      </w:r>
      <w:r>
        <w:rPr>
          <w:rFonts w:hint="eastAsia"/>
          <w:lang w:val="es-ES_tradnl"/>
        </w:rPr>
        <w:t>年颁发的第</w:t>
      </w:r>
      <w:r>
        <w:rPr>
          <w:rFonts w:hint="eastAsia"/>
          <w:lang w:val="es-ES_tradnl"/>
        </w:rPr>
        <w:t>030</w:t>
      </w:r>
      <w:r>
        <w:rPr>
          <w:rFonts w:hint="eastAsia"/>
          <w:lang w:val="es-ES_tradnl"/>
        </w:rPr>
        <w:t>号通知中所载的指导方针，制定了一份自</w:t>
      </w:r>
      <w:r>
        <w:rPr>
          <w:rFonts w:hint="eastAsia"/>
          <w:lang w:val="es-ES_tradnl"/>
        </w:rPr>
        <w:t>2009</w:t>
      </w:r>
      <w:r>
        <w:rPr>
          <w:rFonts w:hint="eastAsia"/>
          <w:lang w:val="es-ES_tradnl"/>
        </w:rPr>
        <w:t>年判决发布至今的落实情况监测报告，为此向各省府的市政机关、各省卫生厅、各省的医疗道德法庭、各省的警察机关以及各省和各地区的检察长办公室要求提供地方上在这方面的具体信息，并向社会保障部、国家卫生监督局、国家医疗道德法庭和哥伦比亚家庭福利研究所要求提供国家一级的具体信息，报告已于</w:t>
      </w:r>
      <w:r>
        <w:rPr>
          <w:rFonts w:hint="eastAsia"/>
          <w:lang w:val="es-ES_tradnl"/>
        </w:rPr>
        <w:t>2010</w:t>
      </w:r>
      <w:r>
        <w:rPr>
          <w:rFonts w:hint="eastAsia"/>
          <w:lang w:val="es-ES_tradnl"/>
        </w:rPr>
        <w:t>年发布。需要指出的是，当前正在对</w:t>
      </w:r>
      <w:r>
        <w:rPr>
          <w:rFonts w:hint="eastAsia"/>
          <w:lang w:val="es-ES_tradnl"/>
        </w:rPr>
        <w:t>2010</w:t>
      </w:r>
      <w:r>
        <w:rPr>
          <w:rFonts w:hint="eastAsia"/>
          <w:lang w:val="es-ES_tradnl"/>
        </w:rPr>
        <w:t>年开展的旨在落实</w:t>
      </w:r>
      <w:r>
        <w:rPr>
          <w:rFonts w:hint="eastAsia"/>
          <w:lang w:val="es-ES_tradnl"/>
        </w:rPr>
        <w:t>2006</w:t>
      </w:r>
      <w:r>
        <w:rPr>
          <w:rFonts w:hint="eastAsia"/>
          <w:lang w:val="es-ES_tradnl"/>
        </w:rPr>
        <w:t>年的第</w:t>
      </w:r>
      <w:r>
        <w:rPr>
          <w:rFonts w:hint="eastAsia"/>
          <w:lang w:val="es-ES_tradnl"/>
        </w:rPr>
        <w:t>C-355</w:t>
      </w:r>
      <w:r>
        <w:rPr>
          <w:rFonts w:hint="eastAsia"/>
          <w:lang w:val="es-ES_tradnl"/>
        </w:rPr>
        <w:t>号判决的各项活动进行监测，并遵照国家总检察长先生在</w:t>
      </w:r>
      <w:r>
        <w:rPr>
          <w:rFonts w:hint="eastAsia"/>
          <w:lang w:val="es-ES_tradnl"/>
        </w:rPr>
        <w:t>2010</w:t>
      </w:r>
      <w:r>
        <w:rPr>
          <w:rFonts w:hint="eastAsia"/>
          <w:lang w:val="es-ES_tradnl"/>
        </w:rPr>
        <w:t>年</w:t>
      </w:r>
      <w:r>
        <w:rPr>
          <w:rFonts w:hint="eastAsia"/>
          <w:lang w:val="es-ES_tradnl"/>
        </w:rPr>
        <w:t>5</w:t>
      </w:r>
      <w:r>
        <w:rPr>
          <w:rFonts w:hint="eastAsia"/>
          <w:lang w:val="es-ES_tradnl"/>
        </w:rPr>
        <w:t>月</w:t>
      </w:r>
      <w:r>
        <w:rPr>
          <w:rFonts w:hint="eastAsia"/>
          <w:lang w:val="es-ES_tradnl"/>
        </w:rPr>
        <w:t>13</w:t>
      </w:r>
      <w:r>
        <w:rPr>
          <w:rFonts w:hint="eastAsia"/>
          <w:lang w:val="es-ES_tradnl"/>
        </w:rPr>
        <w:t>日颁布的第</w:t>
      </w:r>
      <w:r>
        <w:rPr>
          <w:rFonts w:hint="eastAsia"/>
          <w:lang w:val="es-ES_tradnl"/>
        </w:rPr>
        <w:t>29</w:t>
      </w:r>
      <w:r>
        <w:rPr>
          <w:rFonts w:hint="eastAsia"/>
          <w:lang w:val="es-ES_tradnl"/>
        </w:rPr>
        <w:t>号通知中的指导方针开展工作。</w:t>
      </w:r>
    </w:p>
    <w:p w:rsidR="00A83775" w:rsidRDefault="00A83775">
      <w:pPr>
        <w:pStyle w:val="SingleTxtGC"/>
        <w:rPr>
          <w:rFonts w:hint="eastAsia"/>
          <w:lang w:val="es-ES_tradnl"/>
        </w:rPr>
      </w:pPr>
      <w:r>
        <w:rPr>
          <w:lang w:val="es-ES_tradnl"/>
        </w:rPr>
        <w:t xml:space="preserve">500.  </w:t>
      </w:r>
      <w:r>
        <w:rPr>
          <w:rFonts w:hint="eastAsia"/>
          <w:lang w:val="es-ES_tradnl"/>
        </w:rPr>
        <w:t>此外，总检察长办公室还开展了一项预防性行动，以跟踪监测这一监控机关提出的与落实</w:t>
      </w:r>
      <w:r>
        <w:rPr>
          <w:rFonts w:hint="eastAsia"/>
          <w:lang w:val="es-ES_tradnl"/>
        </w:rPr>
        <w:t>2006</w:t>
      </w:r>
      <w:r>
        <w:rPr>
          <w:rFonts w:hint="eastAsia"/>
          <w:lang w:val="es-ES_tradnl"/>
        </w:rPr>
        <w:t>年的第</w:t>
      </w:r>
      <w:r>
        <w:rPr>
          <w:rFonts w:hint="eastAsia"/>
          <w:lang w:val="es-ES_tradnl"/>
        </w:rPr>
        <w:t>C-355</w:t>
      </w:r>
      <w:r>
        <w:rPr>
          <w:rFonts w:hint="eastAsia"/>
          <w:lang w:val="es-ES_tradnl"/>
        </w:rPr>
        <w:t>号判决有关建议的落实情况，以应对妇女在行使性</w:t>
      </w:r>
      <w:r>
        <w:rPr>
          <w:rFonts w:hint="eastAsia"/>
          <w:lang w:val="zh-CN"/>
        </w:rPr>
        <w:t>权利</w:t>
      </w:r>
      <w:r>
        <w:rPr>
          <w:rFonts w:hint="eastAsia"/>
          <w:lang w:val="es-ES_tradnl"/>
        </w:rPr>
        <w:t>和生殖权利方面所面临的若干重大挑战。</w:t>
      </w:r>
    </w:p>
    <w:p w:rsidR="00A83775" w:rsidRDefault="00A83775">
      <w:pPr>
        <w:pStyle w:val="H23GC"/>
        <w:rPr>
          <w:rFonts w:hint="eastAsia"/>
          <w:lang w:val="es-ES_tradnl"/>
        </w:rPr>
      </w:pPr>
      <w:r>
        <w:rPr>
          <w:lang w:val="es-ES_tradnl"/>
        </w:rPr>
        <w:tab/>
        <w:t>2.</w:t>
      </w:r>
      <w:r>
        <w:rPr>
          <w:lang w:val="es-ES_tradnl"/>
        </w:rPr>
        <w:tab/>
      </w:r>
      <w:r>
        <w:rPr>
          <w:rFonts w:hint="eastAsia"/>
          <w:lang w:val="es-ES_tradnl"/>
        </w:rPr>
        <w:t>立法措施</w:t>
      </w:r>
    </w:p>
    <w:p w:rsidR="00A83775" w:rsidRDefault="00A83775">
      <w:pPr>
        <w:pStyle w:val="SingleTxtGC"/>
        <w:rPr>
          <w:lang w:val="zh-CN"/>
        </w:rPr>
      </w:pPr>
      <w:r>
        <w:rPr>
          <w:lang w:val="es-ES"/>
        </w:rPr>
        <w:t xml:space="preserve">501.  </w:t>
      </w:r>
      <w:r>
        <w:rPr>
          <w:rFonts w:hint="eastAsia"/>
          <w:lang w:val="es-ES"/>
        </w:rPr>
        <w:t>自</w:t>
      </w:r>
      <w:r>
        <w:rPr>
          <w:rFonts w:hint="eastAsia"/>
          <w:lang w:val="es-ES"/>
        </w:rPr>
        <w:t>2002</w:t>
      </w:r>
      <w:r>
        <w:rPr>
          <w:rFonts w:hint="eastAsia"/>
          <w:lang w:val="es-ES"/>
        </w:rPr>
        <w:t>年开始着手对</w:t>
      </w:r>
      <w:r>
        <w:rPr>
          <w:rFonts w:hint="eastAsia"/>
          <w:lang w:val="es-ES"/>
        </w:rPr>
        <w:t>1993</w:t>
      </w:r>
      <w:r>
        <w:rPr>
          <w:rFonts w:hint="eastAsia"/>
          <w:lang w:val="es-ES"/>
        </w:rPr>
        <w:t>年的第</w:t>
      </w:r>
      <w:r>
        <w:rPr>
          <w:rFonts w:hint="eastAsia"/>
          <w:lang w:val="es-ES"/>
        </w:rPr>
        <w:t>100</w:t>
      </w:r>
      <w:r>
        <w:rPr>
          <w:rFonts w:hint="eastAsia"/>
          <w:lang w:val="es-ES"/>
        </w:rPr>
        <w:t>号法中的若干段落条文进行修改和调整，目的是最大程度地实现财政均衡，避免养老金体系所导致的财政赤字的加重和新财政赤字的产生，并试图统一养老金制度中关于平均保费的各项参数，使之与个</w:t>
      </w:r>
      <w:r>
        <w:rPr>
          <w:rFonts w:hint="eastAsia"/>
          <w:lang w:val="zh-CN"/>
        </w:rPr>
        <w:t>人储蓄体系中的各项参数保持一致。随着</w:t>
      </w:r>
      <w:r>
        <w:rPr>
          <w:rFonts w:hint="eastAsia"/>
          <w:lang w:val="zh-CN"/>
        </w:rPr>
        <w:t>2003</w:t>
      </w:r>
      <w:r>
        <w:rPr>
          <w:rFonts w:hint="eastAsia"/>
          <w:lang w:val="zh-CN"/>
        </w:rPr>
        <w:t>年第</w:t>
      </w:r>
      <w:r>
        <w:rPr>
          <w:rFonts w:hint="eastAsia"/>
          <w:lang w:val="zh-CN"/>
        </w:rPr>
        <w:t>797</w:t>
      </w:r>
      <w:r>
        <w:rPr>
          <w:rFonts w:hint="eastAsia"/>
          <w:lang w:val="zh-CN"/>
        </w:rPr>
        <w:t>号法的颁布，这一工作宣告结束。</w:t>
      </w:r>
    </w:p>
    <w:p w:rsidR="00A83775" w:rsidRDefault="00A83775">
      <w:pPr>
        <w:pStyle w:val="SingleTxtGC"/>
        <w:rPr>
          <w:lang w:val="zh-CN"/>
        </w:rPr>
      </w:pPr>
      <w:r>
        <w:rPr>
          <w:lang w:val="zh-CN"/>
        </w:rPr>
        <w:t xml:space="preserve">502.  </w:t>
      </w:r>
      <w:r>
        <w:rPr>
          <w:rFonts w:hint="eastAsia"/>
          <w:lang w:val="zh-CN"/>
        </w:rPr>
        <w:t>在通过立法实施的主要改革中，主要包括以阶梯式水平提高缴费基点。多收的金额将用于平均保费的养老金支付共同基金，其中两个点归入养老金的个人账户，一个点用于创立个人储蓄子体系的养老金担保基金。</w:t>
      </w:r>
    </w:p>
    <w:p w:rsidR="00A83775" w:rsidRDefault="00A83775">
      <w:pPr>
        <w:pStyle w:val="SingleTxtGC"/>
        <w:rPr>
          <w:lang w:val="es-ES"/>
        </w:rPr>
      </w:pPr>
      <w:r>
        <w:rPr>
          <w:lang w:val="zh-CN"/>
        </w:rPr>
        <w:t xml:space="preserve">503.  </w:t>
      </w:r>
      <w:r>
        <w:rPr>
          <w:rFonts w:hint="eastAsia"/>
          <w:lang w:val="zh-CN"/>
        </w:rPr>
        <w:t>提高了</w:t>
      </w:r>
      <w:r>
        <w:rPr>
          <w:rFonts w:hint="eastAsia"/>
          <w:lang w:val="es-ES"/>
        </w:rPr>
        <w:t>养老保险金参保缴费要求时间的最低年限：</w:t>
      </w:r>
    </w:p>
    <w:p w:rsidR="00A83775" w:rsidRDefault="00A83775">
      <w:pPr>
        <w:pStyle w:val="SingleTxtGC"/>
        <w:numPr>
          <w:ilvl w:val="0"/>
          <w:numId w:val="64"/>
        </w:numPr>
        <w:rPr>
          <w:lang w:val="es-ES_tradnl"/>
        </w:rPr>
      </w:pPr>
      <w:r>
        <w:rPr>
          <w:rFonts w:hint="eastAsia"/>
          <w:lang w:val="es-ES_tradnl"/>
        </w:rPr>
        <w:t>从</w:t>
      </w:r>
      <w:r>
        <w:rPr>
          <w:rFonts w:hint="eastAsia"/>
          <w:lang w:val="es-ES_tradnl"/>
        </w:rPr>
        <w:t>1</w:t>
      </w:r>
      <w:r>
        <w:rPr>
          <w:lang w:val="es-ES_tradnl"/>
        </w:rPr>
        <w:t>,</w:t>
      </w:r>
      <w:r>
        <w:rPr>
          <w:rFonts w:hint="eastAsia"/>
          <w:lang w:val="es-ES_tradnl"/>
        </w:rPr>
        <w:t>000</w:t>
      </w:r>
      <w:r>
        <w:rPr>
          <w:rFonts w:hint="eastAsia"/>
          <w:lang w:val="es-ES_tradnl"/>
        </w:rPr>
        <w:t>周提高到</w:t>
      </w:r>
      <w:r>
        <w:rPr>
          <w:rFonts w:hint="eastAsia"/>
          <w:lang w:val="es-ES_tradnl"/>
        </w:rPr>
        <w:t>1</w:t>
      </w:r>
      <w:r>
        <w:rPr>
          <w:lang w:val="es-ES_tradnl"/>
        </w:rPr>
        <w:t>,</w:t>
      </w:r>
      <w:r>
        <w:rPr>
          <w:rFonts w:hint="eastAsia"/>
          <w:lang w:val="es-ES_tradnl"/>
        </w:rPr>
        <w:t>300</w:t>
      </w:r>
      <w:r>
        <w:rPr>
          <w:rFonts w:hint="eastAsia"/>
          <w:lang w:val="es-ES_tradnl"/>
        </w:rPr>
        <w:t>周（在</w:t>
      </w:r>
      <w:r>
        <w:rPr>
          <w:rFonts w:hint="eastAsia"/>
          <w:lang w:val="es-ES_tradnl"/>
        </w:rPr>
        <w:t>2004</w:t>
      </w:r>
      <w:r>
        <w:rPr>
          <w:rFonts w:hint="eastAsia"/>
          <w:lang w:val="es-ES_tradnl"/>
        </w:rPr>
        <w:t>年至</w:t>
      </w:r>
      <w:r>
        <w:rPr>
          <w:rFonts w:hint="eastAsia"/>
          <w:lang w:val="es-ES_tradnl"/>
        </w:rPr>
        <w:t>2015</w:t>
      </w:r>
      <w:r>
        <w:rPr>
          <w:rFonts w:hint="eastAsia"/>
          <w:lang w:val="es-ES_tradnl"/>
        </w:rPr>
        <w:t>年期间逐步提高）；</w:t>
      </w:r>
    </w:p>
    <w:p w:rsidR="00A83775" w:rsidRDefault="00A83775">
      <w:pPr>
        <w:pStyle w:val="SingleTxtGC"/>
        <w:numPr>
          <w:ilvl w:val="0"/>
          <w:numId w:val="64"/>
        </w:numPr>
        <w:rPr>
          <w:lang w:val="es-ES_tradnl"/>
        </w:rPr>
      </w:pPr>
      <w:r>
        <w:rPr>
          <w:rFonts w:hint="eastAsia"/>
          <w:lang w:val="es-ES_tradnl"/>
        </w:rPr>
        <w:t>修改了平均保费子体系养老金结算中使用的替代率；</w:t>
      </w:r>
    </w:p>
    <w:p w:rsidR="00A83775" w:rsidRDefault="00A83775">
      <w:pPr>
        <w:pStyle w:val="SingleTxtGC"/>
        <w:numPr>
          <w:ilvl w:val="0"/>
          <w:numId w:val="64"/>
        </w:numPr>
        <w:rPr>
          <w:lang w:val="es-ES"/>
        </w:rPr>
      </w:pPr>
      <w:r>
        <w:rPr>
          <w:rFonts w:hint="eastAsia"/>
          <w:lang w:val="es-ES_tradnl"/>
        </w:rPr>
        <w:t>通过改革将替代率与结算的基础收入相关联，公式为</w:t>
      </w:r>
      <w:r>
        <w:rPr>
          <w:rFonts w:hint="eastAsia"/>
          <w:lang w:val="es-ES_tradnl"/>
        </w:rPr>
        <w:t>t=65.5%-0.5%</w:t>
      </w:r>
      <w:r>
        <w:rPr>
          <w:rFonts w:hint="eastAsia"/>
          <w:lang w:val="es-ES_tradnl"/>
        </w:rPr>
        <w:t>，其中相对于高收入水平，优先考虑低工资（将</w:t>
      </w:r>
      <w:r>
        <w:rPr>
          <w:rFonts w:hint="eastAsia"/>
          <w:lang w:val="es-ES_tradnl"/>
        </w:rPr>
        <w:t>55%</w:t>
      </w:r>
      <w:r>
        <w:rPr>
          <w:rFonts w:hint="eastAsia"/>
          <w:lang w:val="es-ES_tradnl"/>
        </w:rPr>
        <w:t>确定为替代率的下限，</w:t>
      </w:r>
      <w:r>
        <w:rPr>
          <w:rFonts w:hint="eastAsia"/>
          <w:lang w:val="es-ES_tradnl"/>
        </w:rPr>
        <w:t>85%</w:t>
      </w:r>
      <w:r>
        <w:rPr>
          <w:rFonts w:hint="eastAsia"/>
          <w:lang w:val="es-ES_tradnl"/>
        </w:rPr>
        <w:t>为上限）</w:t>
      </w:r>
    </w:p>
    <w:p w:rsidR="00A83775" w:rsidRDefault="00A83775">
      <w:pPr>
        <w:pStyle w:val="SingleTxtGC"/>
        <w:rPr>
          <w:lang w:val="es-ES"/>
        </w:rPr>
      </w:pPr>
      <w:r>
        <w:rPr>
          <w:lang w:val="es-ES"/>
        </w:rPr>
        <w:t xml:space="preserve">504.  </w:t>
      </w:r>
      <w:r>
        <w:rPr>
          <w:rFonts w:hint="eastAsia"/>
          <w:lang w:val="es-ES"/>
        </w:rPr>
        <w:t>最后，改革加强并提高了共同基金的缴费额度，借此创建了子体系的子账户，</w:t>
      </w:r>
      <w:r>
        <w:rPr>
          <w:rFonts w:hint="eastAsia"/>
          <w:lang w:val="zh-CN"/>
        </w:rPr>
        <w:t>当前</w:t>
      </w:r>
      <w:r>
        <w:rPr>
          <w:rFonts w:hint="eastAsia"/>
          <w:lang w:val="es-ES"/>
        </w:rPr>
        <w:t>通过直接发放补助金的方式或者胡安·路易斯·隆多尼奥高热量午餐方案惠及约</w:t>
      </w:r>
      <w:r>
        <w:rPr>
          <w:rFonts w:hint="eastAsia"/>
          <w:lang w:val="es-ES"/>
        </w:rPr>
        <w:t>900</w:t>
      </w:r>
      <w:r>
        <w:rPr>
          <w:lang w:val="es-ES"/>
        </w:rPr>
        <w:t>,</w:t>
      </w:r>
      <w:r>
        <w:rPr>
          <w:rFonts w:hint="eastAsia"/>
          <w:lang w:val="es-ES"/>
        </w:rPr>
        <w:t>000</w:t>
      </w:r>
      <w:r>
        <w:rPr>
          <w:rFonts w:hint="eastAsia"/>
          <w:lang w:val="es-ES"/>
        </w:rPr>
        <w:t>人。针对前面提到的措施，我们可以通过以下数字来展示</w:t>
      </w:r>
      <w:r>
        <w:rPr>
          <w:rFonts w:hint="eastAsia"/>
          <w:lang w:val="es-ES"/>
        </w:rPr>
        <w:t>2003</w:t>
      </w:r>
      <w:r>
        <w:rPr>
          <w:rFonts w:hint="eastAsia"/>
          <w:lang w:val="es-ES"/>
        </w:rPr>
        <w:t>年第</w:t>
      </w:r>
      <w:r>
        <w:rPr>
          <w:rFonts w:hint="eastAsia"/>
          <w:lang w:val="es-ES"/>
        </w:rPr>
        <w:t>797</w:t>
      </w:r>
      <w:r>
        <w:rPr>
          <w:rFonts w:hint="eastAsia"/>
          <w:lang w:val="es-ES"/>
        </w:rPr>
        <w:t>号法的效果。</w:t>
      </w:r>
    </w:p>
    <w:p w:rsidR="00A83775" w:rsidRDefault="00A83775">
      <w:pPr>
        <w:pStyle w:val="H23GC"/>
        <w:rPr>
          <w:lang w:val="es-ES"/>
        </w:rPr>
      </w:pPr>
      <w:r>
        <w:rPr>
          <w:lang w:val="es-ES"/>
        </w:rPr>
        <w:tab/>
      </w:r>
      <w:r>
        <w:rPr>
          <w:lang w:val="es-ES"/>
        </w:rPr>
        <w:tab/>
      </w:r>
      <w:r>
        <w:rPr>
          <w:rFonts w:hint="eastAsia"/>
          <w:lang w:val="es-ES"/>
        </w:rPr>
        <w:t>2005</w:t>
      </w:r>
      <w:r>
        <w:rPr>
          <w:rFonts w:hint="eastAsia"/>
          <w:lang w:val="es-ES"/>
        </w:rPr>
        <w:t>年的第</w:t>
      </w:r>
      <w:r>
        <w:rPr>
          <w:rFonts w:hint="eastAsia"/>
          <w:lang w:val="es-ES"/>
        </w:rPr>
        <w:t>01</w:t>
      </w:r>
      <w:r>
        <w:rPr>
          <w:rFonts w:hint="eastAsia"/>
          <w:lang w:val="es-ES"/>
        </w:rPr>
        <w:t>号立法令</w:t>
      </w:r>
    </w:p>
    <w:p w:rsidR="00A83775" w:rsidRDefault="00A83775">
      <w:pPr>
        <w:pStyle w:val="SingleTxtGC"/>
        <w:rPr>
          <w:rFonts w:hint="eastAsia"/>
          <w:lang w:val="es-ES"/>
        </w:rPr>
      </w:pPr>
      <w:r>
        <w:rPr>
          <w:lang w:val="es-ES"/>
        </w:rPr>
        <w:t xml:space="preserve">505.  </w:t>
      </w:r>
      <w:r>
        <w:rPr>
          <w:rFonts w:hint="eastAsia"/>
          <w:lang w:val="es-ES"/>
        </w:rPr>
        <w:t>取得的主要成果有：</w:t>
      </w:r>
    </w:p>
    <w:p w:rsidR="00A83775" w:rsidRDefault="00A83775">
      <w:pPr>
        <w:pStyle w:val="SingleTxtGC"/>
        <w:numPr>
          <w:ilvl w:val="0"/>
          <w:numId w:val="65"/>
        </w:numPr>
        <w:rPr>
          <w:lang w:val="es-ES"/>
        </w:rPr>
      </w:pPr>
      <w:r>
        <w:rPr>
          <w:rFonts w:hint="eastAsia"/>
          <w:lang w:val="es-ES"/>
        </w:rPr>
        <w:t>自</w:t>
      </w:r>
      <w:r>
        <w:rPr>
          <w:rFonts w:hint="eastAsia"/>
          <w:lang w:val="es-ES"/>
        </w:rPr>
        <w:t>2010</w:t>
      </w:r>
      <w:r>
        <w:rPr>
          <w:rFonts w:hint="eastAsia"/>
          <w:lang w:val="es-ES"/>
        </w:rPr>
        <w:t>年</w:t>
      </w:r>
      <w:r>
        <w:rPr>
          <w:rFonts w:hint="eastAsia"/>
          <w:lang w:val="es-ES"/>
        </w:rPr>
        <w:t>7</w:t>
      </w:r>
      <w:r>
        <w:rPr>
          <w:rFonts w:hint="eastAsia"/>
          <w:lang w:val="es-ES"/>
        </w:rPr>
        <w:t>月</w:t>
      </w:r>
      <w:r>
        <w:rPr>
          <w:rFonts w:hint="eastAsia"/>
          <w:lang w:val="es-ES"/>
        </w:rPr>
        <w:t>31</w:t>
      </w:r>
      <w:r>
        <w:rPr>
          <w:rFonts w:hint="eastAsia"/>
          <w:lang w:val="es-ES"/>
        </w:rPr>
        <w:t>日起取消过渡性制度、特殊制度、例外制度以及集体协议规定的制度；</w:t>
      </w:r>
    </w:p>
    <w:p w:rsidR="00A83775" w:rsidRDefault="00A83775">
      <w:pPr>
        <w:pStyle w:val="SingleTxtGC"/>
        <w:numPr>
          <w:ilvl w:val="0"/>
          <w:numId w:val="65"/>
        </w:numPr>
        <w:rPr>
          <w:lang w:val="es-ES"/>
        </w:rPr>
      </w:pPr>
      <w:r>
        <w:rPr>
          <w:rFonts w:hint="eastAsia"/>
          <w:lang w:val="es-ES"/>
        </w:rPr>
        <w:t>领取养老金的条件应遵照养老金制度的规定执行，但是共和国总统颁布的公共武装力量复员和养老制度除外；</w:t>
      </w:r>
    </w:p>
    <w:p w:rsidR="00A83775" w:rsidRDefault="00A83775">
      <w:pPr>
        <w:pStyle w:val="SingleTxtGC"/>
        <w:numPr>
          <w:ilvl w:val="0"/>
          <w:numId w:val="65"/>
        </w:numPr>
        <w:rPr>
          <w:lang w:val="es-ES"/>
        </w:rPr>
      </w:pPr>
      <w:r>
        <w:rPr>
          <w:rFonts w:hint="eastAsia"/>
          <w:lang w:val="es-ES"/>
        </w:rPr>
        <w:t>教员养老制度继续按照</w:t>
      </w:r>
      <w:r>
        <w:rPr>
          <w:rFonts w:hint="eastAsia"/>
          <w:lang w:val="es-ES"/>
        </w:rPr>
        <w:t>2003</w:t>
      </w:r>
      <w:r>
        <w:rPr>
          <w:rFonts w:hint="eastAsia"/>
          <w:lang w:val="es-ES"/>
        </w:rPr>
        <w:t>年的第</w:t>
      </w:r>
      <w:r>
        <w:rPr>
          <w:rFonts w:hint="eastAsia"/>
          <w:lang w:val="es-ES"/>
        </w:rPr>
        <w:t>812</w:t>
      </w:r>
      <w:r>
        <w:rPr>
          <w:rFonts w:hint="eastAsia"/>
          <w:lang w:val="es-ES"/>
        </w:rPr>
        <w:t>号法第</w:t>
      </w:r>
      <w:r>
        <w:rPr>
          <w:rFonts w:hint="eastAsia"/>
          <w:lang w:val="es-ES"/>
        </w:rPr>
        <w:t>81</w:t>
      </w:r>
      <w:r>
        <w:rPr>
          <w:rFonts w:hint="eastAsia"/>
          <w:lang w:val="es-ES"/>
        </w:rPr>
        <w:t>条之规定执行，参保条件与针对</w:t>
      </w:r>
      <w:r>
        <w:rPr>
          <w:rFonts w:hint="eastAsia"/>
          <w:lang w:val="es-ES"/>
        </w:rPr>
        <w:t>2003</w:t>
      </w:r>
      <w:r>
        <w:rPr>
          <w:rFonts w:hint="eastAsia"/>
          <w:lang w:val="es-ES"/>
        </w:rPr>
        <w:t>年以来参保的所有人员的基本制度所规定的条件类似；</w:t>
      </w:r>
    </w:p>
    <w:p w:rsidR="00A83775" w:rsidRDefault="00A83775">
      <w:pPr>
        <w:pStyle w:val="SingleTxtGC"/>
        <w:numPr>
          <w:ilvl w:val="0"/>
          <w:numId w:val="65"/>
        </w:numPr>
        <w:rPr>
          <w:lang w:val="es-ES"/>
        </w:rPr>
      </w:pPr>
      <w:r>
        <w:rPr>
          <w:rFonts w:hint="eastAsia"/>
          <w:lang w:val="es-ES"/>
        </w:rPr>
        <w:t>对于工资水平超过三倍最低工资的人员，自本立法令颁布之日起取消其第</w:t>
      </w:r>
      <w:r>
        <w:rPr>
          <w:rFonts w:hint="eastAsia"/>
          <w:lang w:val="es-ES"/>
        </w:rPr>
        <w:t>14</w:t>
      </w:r>
      <w:r>
        <w:rPr>
          <w:rFonts w:hint="eastAsia"/>
          <w:lang w:val="es-ES"/>
        </w:rPr>
        <w:t>个月的月薪，对于工资水平不足三倍最低工资的人员，在</w:t>
      </w:r>
      <w:r>
        <w:rPr>
          <w:rFonts w:hint="eastAsia"/>
          <w:lang w:val="es-ES"/>
        </w:rPr>
        <w:t>2011</w:t>
      </w:r>
      <w:r>
        <w:rPr>
          <w:rFonts w:hint="eastAsia"/>
          <w:lang w:val="es-ES"/>
        </w:rPr>
        <w:t>年</w:t>
      </w:r>
      <w:r>
        <w:rPr>
          <w:rFonts w:hint="eastAsia"/>
          <w:lang w:val="es-ES"/>
        </w:rPr>
        <w:t>7</w:t>
      </w:r>
      <w:r>
        <w:rPr>
          <w:rFonts w:hint="eastAsia"/>
          <w:lang w:val="es-ES"/>
        </w:rPr>
        <w:t>月</w:t>
      </w:r>
      <w:r>
        <w:rPr>
          <w:rFonts w:hint="eastAsia"/>
          <w:lang w:val="es-ES"/>
        </w:rPr>
        <w:t>31</w:t>
      </w:r>
      <w:r>
        <w:rPr>
          <w:rFonts w:hint="eastAsia"/>
          <w:lang w:val="es-ES"/>
        </w:rPr>
        <w:t>日后取消这一福利待遇。从宪法层面上引入了对不符合法律条例的养老金发放情况进行审查的可能性；</w:t>
      </w:r>
    </w:p>
    <w:p w:rsidR="00A83775" w:rsidRDefault="00A83775">
      <w:pPr>
        <w:pStyle w:val="SingleTxtGC"/>
        <w:numPr>
          <w:ilvl w:val="0"/>
          <w:numId w:val="65"/>
        </w:numPr>
        <w:rPr>
          <w:lang w:val="es-ES_tradnl"/>
        </w:rPr>
      </w:pPr>
      <w:r>
        <w:rPr>
          <w:rFonts w:hint="eastAsia"/>
          <w:lang w:val="es-ES_tradnl"/>
        </w:rPr>
        <w:t>规定全体哥伦比亚人有权要求得到基本养老金制度赋予的各项福利；</w:t>
      </w:r>
    </w:p>
    <w:p w:rsidR="00A83775" w:rsidRDefault="00A83775">
      <w:pPr>
        <w:pStyle w:val="SingleTxtGC"/>
        <w:numPr>
          <w:ilvl w:val="0"/>
          <w:numId w:val="65"/>
        </w:numPr>
        <w:rPr>
          <w:lang w:val="es-ES_tradnl"/>
        </w:rPr>
      </w:pPr>
      <w:r>
        <w:rPr>
          <w:rFonts w:hint="eastAsia"/>
          <w:lang w:val="es-ES_tradnl"/>
        </w:rPr>
        <w:t>明确提出了对未来财政可持续性的标准。</w:t>
      </w:r>
    </w:p>
    <w:p w:rsidR="00A83775" w:rsidRDefault="00A83775">
      <w:pPr>
        <w:pStyle w:val="SingleTxtGC"/>
        <w:rPr>
          <w:lang w:val="es-ES"/>
        </w:rPr>
      </w:pPr>
      <w:r>
        <w:rPr>
          <w:lang w:val="es-ES"/>
        </w:rPr>
        <w:t xml:space="preserve">506.  </w:t>
      </w:r>
      <w:r>
        <w:rPr>
          <w:rFonts w:hint="eastAsia"/>
          <w:lang w:val="es-ES"/>
        </w:rPr>
        <w:t>在本条</w:t>
      </w:r>
      <w:r>
        <w:rPr>
          <w:rFonts w:hint="eastAsia"/>
          <w:lang w:val="zh-CN"/>
        </w:rPr>
        <w:t>对应</w:t>
      </w:r>
      <w:r>
        <w:rPr>
          <w:rFonts w:hint="eastAsia"/>
          <w:lang w:val="es-ES"/>
        </w:rPr>
        <w:t>的附件</w:t>
      </w:r>
      <w:r>
        <w:rPr>
          <w:rFonts w:hint="eastAsia"/>
          <w:lang w:val="es-ES"/>
        </w:rPr>
        <w:t>4</w:t>
      </w:r>
      <w:r>
        <w:rPr>
          <w:rFonts w:hint="eastAsia"/>
          <w:lang w:val="es-ES"/>
        </w:rPr>
        <w:t>中介绍了在报告期内就这方面问题所出台的主要法律。</w:t>
      </w:r>
    </w:p>
    <w:p w:rsidR="00A83775" w:rsidRDefault="00A83775">
      <w:pPr>
        <w:pStyle w:val="H23GC"/>
        <w:rPr>
          <w:lang w:val="es-ES_tradnl"/>
        </w:rPr>
      </w:pPr>
      <w:r>
        <w:rPr>
          <w:lang w:val="es-ES_tradnl"/>
        </w:rPr>
        <w:tab/>
        <w:t>3.</w:t>
      </w:r>
      <w:r>
        <w:rPr>
          <w:lang w:val="es-ES_tradnl"/>
        </w:rPr>
        <w:tab/>
      </w:r>
      <w:r>
        <w:rPr>
          <w:rFonts w:hint="eastAsia"/>
          <w:lang w:val="es-ES_tradnl"/>
        </w:rPr>
        <w:t>司法措施</w:t>
      </w:r>
    </w:p>
    <w:p w:rsidR="00A83775" w:rsidRDefault="00A83775">
      <w:pPr>
        <w:pStyle w:val="SingleTxtGC"/>
        <w:rPr>
          <w:lang w:val="es-ES_tradnl"/>
        </w:rPr>
      </w:pPr>
      <w:r>
        <w:rPr>
          <w:lang w:val="es-ES"/>
        </w:rPr>
        <w:t xml:space="preserve">507.  </w:t>
      </w:r>
      <w:r>
        <w:rPr>
          <w:rFonts w:hint="eastAsia"/>
          <w:lang w:val="es-ES"/>
        </w:rPr>
        <w:t>参见下图。</w:t>
      </w:r>
    </w:p>
    <w:tbl>
      <w:tblPr>
        <w:tblW w:w="7370" w:type="dxa"/>
        <w:tblInd w:w="1134" w:type="dxa"/>
        <w:tblCellMar>
          <w:left w:w="0" w:type="dxa"/>
          <w:right w:w="0" w:type="dxa"/>
        </w:tblCellMar>
        <w:tblLook w:val="00A0"/>
      </w:tblPr>
      <w:tblGrid>
        <w:gridCol w:w="2676"/>
        <w:gridCol w:w="4694"/>
      </w:tblGrid>
      <w:tr w:rsidR="00A83775">
        <w:trPr>
          <w:trHeight w:val="240"/>
          <w:tblHeader/>
        </w:trPr>
        <w:tc>
          <w:tcPr>
            <w:tcW w:w="3093" w:type="dxa"/>
            <w:tcBorders>
              <w:top w:val="single" w:sz="12" w:space="0" w:color="auto"/>
            </w:tcBorders>
            <w:shd w:val="clear" w:color="auto" w:fill="auto"/>
            <w:vAlign w:val="bottom"/>
          </w:tcPr>
          <w:p w:rsidR="00A83775" w:rsidRDefault="00A83775">
            <w:pPr>
              <w:pStyle w:val="a1"/>
              <w:rPr>
                <w:rFonts w:eastAsia="SimSun" w:hint="eastAsia"/>
                <w:sz w:val="21"/>
                <w:szCs w:val="21"/>
                <w:lang w:val="es-ES"/>
              </w:rPr>
            </w:pPr>
            <w:r>
              <w:rPr>
                <w:rFonts w:eastAsia="SimSun" w:hint="eastAsia"/>
                <w:sz w:val="21"/>
                <w:szCs w:val="21"/>
                <w:lang w:val="es-ES"/>
              </w:rPr>
              <w:t>2006</w:t>
            </w:r>
            <w:r>
              <w:rPr>
                <w:rFonts w:eastAsia="SimSun" w:hint="eastAsia"/>
                <w:sz w:val="21"/>
                <w:szCs w:val="21"/>
                <w:lang w:val="es-ES"/>
              </w:rPr>
              <w:t>年的第</w:t>
            </w:r>
            <w:r>
              <w:rPr>
                <w:rFonts w:eastAsia="SimSun" w:hint="eastAsia"/>
                <w:sz w:val="21"/>
                <w:szCs w:val="21"/>
                <w:lang w:val="es-ES"/>
              </w:rPr>
              <w:t>C-355</w:t>
            </w:r>
            <w:r>
              <w:rPr>
                <w:rFonts w:eastAsia="SimSun" w:hint="eastAsia"/>
                <w:sz w:val="21"/>
                <w:szCs w:val="21"/>
                <w:lang w:val="es-ES"/>
              </w:rPr>
              <w:t>号判决</w:t>
            </w:r>
          </w:p>
        </w:tc>
        <w:tc>
          <w:tcPr>
            <w:tcW w:w="5411" w:type="dxa"/>
            <w:tcBorders>
              <w:top w:val="single" w:sz="12" w:space="0" w:color="auto"/>
            </w:tcBorders>
            <w:shd w:val="clear" w:color="auto" w:fill="auto"/>
            <w:vAlign w:val="bottom"/>
          </w:tcPr>
          <w:p w:rsidR="00A83775" w:rsidRDefault="00A83775">
            <w:pPr>
              <w:pStyle w:val="a1"/>
              <w:rPr>
                <w:rFonts w:eastAsia="SimSun"/>
                <w:sz w:val="21"/>
                <w:szCs w:val="21"/>
                <w:lang w:val="es-ES"/>
              </w:rPr>
            </w:pPr>
            <w:r>
              <w:rPr>
                <w:rFonts w:eastAsia="SimSun" w:hint="eastAsia"/>
                <w:sz w:val="21"/>
                <w:szCs w:val="21"/>
                <w:lang w:val="es-ES"/>
              </w:rPr>
              <w:t>通过这一判决，宪法法院裁令允许开展治疗性堕胎、优生学堕胎、因强奸致孕的堕胎和对非自愿性交致孕的堕胎。</w:t>
            </w:r>
          </w:p>
        </w:tc>
      </w:tr>
      <w:tr w:rsidR="00A83775">
        <w:trPr>
          <w:trHeight w:val="240"/>
        </w:trPr>
        <w:tc>
          <w:tcPr>
            <w:tcW w:w="3093" w:type="dxa"/>
            <w:shd w:val="clear" w:color="auto" w:fill="auto"/>
          </w:tcPr>
          <w:p w:rsidR="00A83775" w:rsidRDefault="00A83775">
            <w:pPr>
              <w:pStyle w:val="a5"/>
              <w:rPr>
                <w:sz w:val="21"/>
                <w:szCs w:val="21"/>
                <w:lang w:val="es-ES"/>
              </w:rPr>
            </w:pPr>
            <w:r>
              <w:rPr>
                <w:rFonts w:hint="eastAsia"/>
                <w:sz w:val="21"/>
                <w:szCs w:val="21"/>
                <w:lang w:val="es-ES"/>
              </w:rPr>
              <w:t>2007</w:t>
            </w:r>
            <w:r>
              <w:rPr>
                <w:rFonts w:hint="eastAsia"/>
                <w:sz w:val="21"/>
                <w:szCs w:val="21"/>
                <w:lang w:val="es-ES"/>
              </w:rPr>
              <w:t>年的第</w:t>
            </w:r>
            <w:r>
              <w:rPr>
                <w:rFonts w:hint="eastAsia"/>
                <w:sz w:val="21"/>
                <w:szCs w:val="21"/>
                <w:lang w:val="es-ES"/>
              </w:rPr>
              <w:t>T-608</w:t>
            </w:r>
            <w:r>
              <w:rPr>
                <w:rFonts w:hint="eastAsia"/>
                <w:sz w:val="21"/>
                <w:szCs w:val="21"/>
                <w:lang w:val="es-ES"/>
              </w:rPr>
              <w:t>号判决</w:t>
            </w:r>
          </w:p>
        </w:tc>
        <w:tc>
          <w:tcPr>
            <w:tcW w:w="5411" w:type="dxa"/>
            <w:shd w:val="clear" w:color="auto" w:fill="auto"/>
          </w:tcPr>
          <w:p w:rsidR="00A83775" w:rsidRDefault="00A83775">
            <w:pPr>
              <w:pStyle w:val="a5"/>
              <w:rPr>
                <w:sz w:val="21"/>
                <w:szCs w:val="21"/>
                <w:lang w:val="es-ES"/>
              </w:rPr>
            </w:pPr>
            <w:r>
              <w:rPr>
                <w:rFonts w:hint="eastAsia"/>
                <w:sz w:val="21"/>
                <w:szCs w:val="21"/>
                <w:lang w:val="es-ES"/>
              </w:rPr>
              <w:t>在哥伦比亚法律法规中对患有残疾的未成年人给予特别照顾。</w:t>
            </w:r>
          </w:p>
        </w:tc>
      </w:tr>
      <w:tr w:rsidR="00A83775">
        <w:trPr>
          <w:trHeight w:val="240"/>
        </w:trPr>
        <w:tc>
          <w:tcPr>
            <w:tcW w:w="3093" w:type="dxa"/>
            <w:shd w:val="clear" w:color="auto" w:fill="auto"/>
          </w:tcPr>
          <w:p w:rsidR="00A83775" w:rsidRDefault="00A83775">
            <w:pPr>
              <w:pStyle w:val="a5"/>
              <w:rPr>
                <w:sz w:val="21"/>
                <w:szCs w:val="21"/>
                <w:lang w:val="es-ES"/>
              </w:rPr>
            </w:pPr>
            <w:r>
              <w:rPr>
                <w:rFonts w:hint="eastAsia"/>
                <w:sz w:val="21"/>
                <w:szCs w:val="21"/>
                <w:lang w:val="es-ES"/>
              </w:rPr>
              <w:t>2008</w:t>
            </w:r>
            <w:r>
              <w:rPr>
                <w:rFonts w:hint="eastAsia"/>
                <w:sz w:val="21"/>
                <w:szCs w:val="21"/>
                <w:lang w:val="es-ES"/>
              </w:rPr>
              <w:t>年的第</w:t>
            </w:r>
            <w:r>
              <w:rPr>
                <w:rFonts w:hint="eastAsia"/>
                <w:sz w:val="21"/>
                <w:szCs w:val="21"/>
                <w:lang w:val="es-ES"/>
              </w:rPr>
              <w:t>T-760</w:t>
            </w:r>
            <w:r>
              <w:rPr>
                <w:rFonts w:hint="eastAsia"/>
                <w:sz w:val="21"/>
                <w:szCs w:val="21"/>
                <w:lang w:val="es-ES"/>
              </w:rPr>
              <w:t>号判决</w:t>
            </w:r>
          </w:p>
        </w:tc>
        <w:tc>
          <w:tcPr>
            <w:tcW w:w="5411" w:type="dxa"/>
            <w:shd w:val="clear" w:color="auto" w:fill="auto"/>
          </w:tcPr>
          <w:p w:rsidR="00A83775" w:rsidRDefault="00A83775">
            <w:pPr>
              <w:pStyle w:val="a5"/>
              <w:rPr>
                <w:sz w:val="21"/>
                <w:szCs w:val="21"/>
                <w:lang w:val="es-ES"/>
              </w:rPr>
            </w:pPr>
            <w:r>
              <w:rPr>
                <w:rFonts w:hint="eastAsia"/>
                <w:sz w:val="21"/>
                <w:szCs w:val="21"/>
                <w:lang w:val="es-ES"/>
              </w:rPr>
              <w:t>对二十二例申请保护健康权的监护行动做出了决议。其中二十例案件的当事人要求获得医疗保健服务。而其余两例案件是由医疗保健机构提交的，一例是针对社会保障部，另一例是针对最高司法委员会，要求者两家单位对关于</w:t>
            </w:r>
            <w:r>
              <w:rPr>
                <w:rFonts w:hint="eastAsia"/>
                <w:sz w:val="21"/>
                <w:szCs w:val="21"/>
                <w:lang w:val="es-ES"/>
              </w:rPr>
              <w:t>FOSYGA</w:t>
            </w:r>
            <w:r>
              <w:rPr>
                <w:rFonts w:hint="eastAsia"/>
                <w:sz w:val="21"/>
                <w:szCs w:val="21"/>
                <w:lang w:val="es-ES"/>
              </w:rPr>
              <w:t>收费的有关规范予以调整。</w:t>
            </w:r>
          </w:p>
        </w:tc>
      </w:tr>
      <w:tr w:rsidR="00A83775">
        <w:trPr>
          <w:trHeight w:val="240"/>
        </w:trPr>
        <w:tc>
          <w:tcPr>
            <w:tcW w:w="3093" w:type="dxa"/>
            <w:shd w:val="clear" w:color="auto" w:fill="auto"/>
          </w:tcPr>
          <w:p w:rsidR="00A83775" w:rsidRDefault="00A83775">
            <w:pPr>
              <w:pStyle w:val="a5"/>
              <w:rPr>
                <w:sz w:val="21"/>
                <w:szCs w:val="21"/>
                <w:lang w:val="es-ES"/>
              </w:rPr>
            </w:pPr>
            <w:r>
              <w:rPr>
                <w:rFonts w:hint="eastAsia"/>
                <w:sz w:val="21"/>
                <w:szCs w:val="21"/>
                <w:lang w:val="es-ES"/>
              </w:rPr>
              <w:t>2009</w:t>
            </w:r>
            <w:r>
              <w:rPr>
                <w:rFonts w:hint="eastAsia"/>
                <w:sz w:val="21"/>
                <w:szCs w:val="21"/>
                <w:lang w:val="es-ES"/>
              </w:rPr>
              <w:t>年的第</w:t>
            </w:r>
            <w:r>
              <w:rPr>
                <w:rFonts w:hint="eastAsia"/>
                <w:sz w:val="21"/>
                <w:szCs w:val="21"/>
                <w:lang w:val="es-ES"/>
              </w:rPr>
              <w:t>T-388</w:t>
            </w:r>
            <w:r>
              <w:rPr>
                <w:rFonts w:hint="eastAsia"/>
                <w:sz w:val="21"/>
                <w:szCs w:val="21"/>
                <w:lang w:val="es-ES"/>
              </w:rPr>
              <w:t>号判决</w:t>
            </w:r>
          </w:p>
        </w:tc>
        <w:tc>
          <w:tcPr>
            <w:tcW w:w="5411" w:type="dxa"/>
            <w:shd w:val="clear" w:color="auto" w:fill="auto"/>
          </w:tcPr>
          <w:p w:rsidR="00A83775" w:rsidRDefault="00A83775">
            <w:pPr>
              <w:pStyle w:val="a5"/>
              <w:rPr>
                <w:sz w:val="21"/>
                <w:szCs w:val="21"/>
                <w:lang w:val="es-ES"/>
              </w:rPr>
            </w:pPr>
            <w:r>
              <w:rPr>
                <w:rFonts w:hint="eastAsia"/>
                <w:sz w:val="21"/>
                <w:szCs w:val="21"/>
                <w:lang w:val="es-ES"/>
              </w:rPr>
              <w:t>关于因胚胎发育畸形而导致的堕胎流产问题</w:t>
            </w:r>
          </w:p>
        </w:tc>
      </w:tr>
      <w:tr w:rsidR="00A83775">
        <w:trPr>
          <w:trHeight w:val="240"/>
        </w:trPr>
        <w:tc>
          <w:tcPr>
            <w:tcW w:w="3093" w:type="dxa"/>
            <w:tcBorders>
              <w:bottom w:val="single" w:sz="12" w:space="0" w:color="auto"/>
            </w:tcBorders>
            <w:shd w:val="clear" w:color="auto" w:fill="auto"/>
          </w:tcPr>
          <w:p w:rsidR="00A83775" w:rsidRDefault="00A83775">
            <w:pPr>
              <w:pStyle w:val="a5"/>
              <w:rPr>
                <w:sz w:val="21"/>
                <w:szCs w:val="21"/>
                <w:lang w:val="es-ES"/>
              </w:rPr>
            </w:pPr>
            <w:r>
              <w:rPr>
                <w:rFonts w:hint="eastAsia"/>
                <w:sz w:val="21"/>
                <w:szCs w:val="21"/>
                <w:lang w:val="es-ES"/>
              </w:rPr>
              <w:t>2010</w:t>
            </w:r>
            <w:r>
              <w:rPr>
                <w:rFonts w:hint="eastAsia"/>
                <w:sz w:val="21"/>
                <w:szCs w:val="21"/>
                <w:lang w:val="es-ES"/>
              </w:rPr>
              <w:t>年的第</w:t>
            </w:r>
            <w:r>
              <w:rPr>
                <w:rFonts w:hint="eastAsia"/>
                <w:sz w:val="21"/>
                <w:szCs w:val="21"/>
                <w:lang w:val="es-ES"/>
              </w:rPr>
              <w:t>C-252</w:t>
            </w:r>
            <w:r>
              <w:rPr>
                <w:rFonts w:hint="eastAsia"/>
                <w:sz w:val="21"/>
                <w:szCs w:val="21"/>
                <w:lang w:val="es-ES"/>
              </w:rPr>
              <w:t>号判决</w:t>
            </w:r>
          </w:p>
        </w:tc>
        <w:tc>
          <w:tcPr>
            <w:tcW w:w="5411" w:type="dxa"/>
            <w:tcBorders>
              <w:bottom w:val="single" w:sz="12" w:space="0" w:color="auto"/>
            </w:tcBorders>
            <w:shd w:val="clear" w:color="auto" w:fill="auto"/>
          </w:tcPr>
          <w:p w:rsidR="00A83775" w:rsidRDefault="00A83775">
            <w:pPr>
              <w:pStyle w:val="a5"/>
              <w:rPr>
                <w:sz w:val="21"/>
                <w:szCs w:val="21"/>
                <w:lang w:val="es-ES"/>
              </w:rPr>
            </w:pPr>
            <w:r>
              <w:rPr>
                <w:rFonts w:hint="eastAsia"/>
                <w:sz w:val="21"/>
                <w:szCs w:val="21"/>
                <w:lang w:val="es-ES"/>
              </w:rPr>
              <w:t>宣布</w:t>
            </w:r>
            <w:r>
              <w:rPr>
                <w:rFonts w:hint="eastAsia"/>
                <w:sz w:val="21"/>
                <w:szCs w:val="21"/>
                <w:lang w:val="es-ES"/>
              </w:rPr>
              <w:t>2010</w:t>
            </w:r>
            <w:r>
              <w:rPr>
                <w:rFonts w:hint="eastAsia"/>
                <w:sz w:val="21"/>
                <w:szCs w:val="21"/>
                <w:lang w:val="es-ES"/>
              </w:rPr>
              <w:t>年</w:t>
            </w:r>
            <w:r>
              <w:rPr>
                <w:rFonts w:hint="eastAsia"/>
                <w:sz w:val="21"/>
                <w:szCs w:val="21"/>
                <w:lang w:val="es-ES"/>
              </w:rPr>
              <w:t>1</w:t>
            </w:r>
            <w:r>
              <w:rPr>
                <w:rFonts w:hint="eastAsia"/>
                <w:sz w:val="21"/>
                <w:szCs w:val="21"/>
                <w:lang w:val="es-ES"/>
              </w:rPr>
              <w:t>月</w:t>
            </w:r>
            <w:r>
              <w:rPr>
                <w:rFonts w:hint="eastAsia"/>
                <w:sz w:val="21"/>
                <w:szCs w:val="21"/>
                <w:lang w:val="es-ES"/>
              </w:rPr>
              <w:t>21</w:t>
            </w:r>
            <w:r>
              <w:rPr>
                <w:rFonts w:hint="eastAsia"/>
                <w:sz w:val="21"/>
                <w:szCs w:val="21"/>
                <w:lang w:val="es-ES"/>
              </w:rPr>
              <w:t>日的第</w:t>
            </w:r>
            <w:r>
              <w:rPr>
                <w:rFonts w:hint="eastAsia"/>
                <w:sz w:val="21"/>
                <w:szCs w:val="21"/>
                <w:lang w:val="es-ES"/>
              </w:rPr>
              <w:t>133</w:t>
            </w:r>
            <w:r>
              <w:rPr>
                <w:rFonts w:hint="eastAsia"/>
                <w:sz w:val="21"/>
                <w:szCs w:val="21"/>
                <w:lang w:val="es-ES"/>
              </w:rPr>
              <w:t>号立法令违宪。</w:t>
            </w:r>
          </w:p>
        </w:tc>
      </w:tr>
    </w:tbl>
    <w:p w:rsidR="00A83775" w:rsidRDefault="00A83775">
      <w:pPr>
        <w:pStyle w:val="H23GC"/>
        <w:rPr>
          <w:lang w:val="es-ES_tradnl"/>
        </w:rPr>
      </w:pPr>
      <w:r>
        <w:rPr>
          <w:lang w:val="es-ES_tradnl"/>
        </w:rPr>
        <w:tab/>
        <w:t>4.</w:t>
      </w:r>
      <w:r>
        <w:rPr>
          <w:lang w:val="es-ES_tradnl"/>
        </w:rPr>
        <w:tab/>
      </w:r>
      <w:r>
        <w:rPr>
          <w:rFonts w:hint="eastAsia"/>
          <w:lang w:val="es-ES_tradnl"/>
        </w:rPr>
        <w:t>现状</w:t>
      </w:r>
      <w:r>
        <w:rPr>
          <w:rFonts w:hint="eastAsia"/>
          <w:lang w:val="es-ES_tradnl"/>
        </w:rPr>
        <w:t>/</w:t>
      </w:r>
      <w:r>
        <w:rPr>
          <w:rFonts w:hint="eastAsia"/>
          <w:lang w:val="es-ES_tradnl"/>
        </w:rPr>
        <w:t>统计信息</w:t>
      </w:r>
    </w:p>
    <w:p w:rsidR="00A83775" w:rsidRDefault="00A83775">
      <w:pPr>
        <w:pStyle w:val="SingleTxtGC"/>
        <w:rPr>
          <w:lang w:val="es-ES_tradnl"/>
        </w:rPr>
      </w:pPr>
      <w:r>
        <w:rPr>
          <w:lang w:val="es-ES_tradnl"/>
        </w:rPr>
        <w:t xml:space="preserve">508.  </w:t>
      </w:r>
      <w:r>
        <w:rPr>
          <w:rFonts w:eastAsia="SimHei" w:hint="eastAsia"/>
          <w:lang w:val="es-ES_tradnl"/>
        </w:rPr>
        <w:t>医疗社会保障总体系（</w:t>
      </w:r>
      <w:r>
        <w:rPr>
          <w:rFonts w:eastAsia="SimHei" w:hint="eastAsia"/>
          <w:lang w:val="es-ES_tradnl"/>
        </w:rPr>
        <w:t>SGSSS</w:t>
      </w:r>
      <w:r>
        <w:rPr>
          <w:rFonts w:eastAsia="SimHei" w:hint="eastAsia"/>
          <w:lang w:val="es-ES_tradnl"/>
        </w:rPr>
        <w:t>）的覆盖面</w:t>
      </w:r>
      <w:r>
        <w:rPr>
          <w:rFonts w:hint="eastAsia"/>
          <w:lang w:val="es-ES_tradnl"/>
        </w:rPr>
        <w:t>。在最近四年中，医疗报销制度的参保率提高了</w:t>
      </w:r>
      <w:r>
        <w:rPr>
          <w:rFonts w:hint="eastAsia"/>
          <w:lang w:val="es-ES_tradnl"/>
        </w:rPr>
        <w:t>26.7%</w:t>
      </w:r>
      <w:r>
        <w:rPr>
          <w:rFonts w:hint="eastAsia"/>
          <w:lang w:val="es-ES_tradnl"/>
        </w:rPr>
        <w:t>，签约参保人数从</w:t>
      </w:r>
      <w:r>
        <w:rPr>
          <w:rFonts w:hint="eastAsia"/>
          <w:lang w:val="es-ES_tradnl"/>
        </w:rPr>
        <w:t>2005</w:t>
      </w:r>
      <w:r>
        <w:rPr>
          <w:rFonts w:hint="eastAsia"/>
          <w:lang w:val="es-ES_tradnl"/>
        </w:rPr>
        <w:t>年末的</w:t>
      </w:r>
      <w:r>
        <w:rPr>
          <w:rFonts w:hint="eastAsia"/>
          <w:lang w:val="es-ES_tradnl"/>
        </w:rPr>
        <w:t>18</w:t>
      </w:r>
      <w:r>
        <w:rPr>
          <w:lang w:val="es-ES_tradnl"/>
        </w:rPr>
        <w:t>,</w:t>
      </w:r>
      <w:r>
        <w:rPr>
          <w:rFonts w:hint="eastAsia"/>
          <w:lang w:val="es-ES_tradnl"/>
        </w:rPr>
        <w:t>438</w:t>
      </w:r>
      <w:r>
        <w:rPr>
          <w:lang w:val="es-ES_tradnl"/>
        </w:rPr>
        <w:t>,</w:t>
      </w:r>
      <w:r>
        <w:rPr>
          <w:rFonts w:hint="eastAsia"/>
          <w:lang w:val="es-ES_tradnl"/>
        </w:rPr>
        <w:t>013</w:t>
      </w:r>
      <w:r>
        <w:rPr>
          <w:rFonts w:hint="eastAsia"/>
          <w:lang w:val="es-ES_tradnl"/>
        </w:rPr>
        <w:t>人增加到</w:t>
      </w:r>
      <w:r>
        <w:rPr>
          <w:rFonts w:hint="eastAsia"/>
          <w:lang w:val="es-ES_tradnl"/>
        </w:rPr>
        <w:t>2010</w:t>
      </w:r>
      <w:r>
        <w:rPr>
          <w:rFonts w:hint="eastAsia"/>
          <w:lang w:val="es-ES_tradnl"/>
        </w:rPr>
        <w:t>年</w:t>
      </w:r>
      <w:r>
        <w:rPr>
          <w:rFonts w:hint="eastAsia"/>
          <w:lang w:val="es-ES_tradnl"/>
        </w:rPr>
        <w:t>3</w:t>
      </w:r>
      <w:r>
        <w:rPr>
          <w:rFonts w:hint="eastAsia"/>
          <w:lang w:val="es-ES_tradnl"/>
        </w:rPr>
        <w:t>月</w:t>
      </w:r>
      <w:r>
        <w:rPr>
          <w:rFonts w:hint="eastAsia"/>
          <w:lang w:val="es-ES_tradnl"/>
        </w:rPr>
        <w:t>31</w:t>
      </w:r>
      <w:r>
        <w:rPr>
          <w:rFonts w:hint="eastAsia"/>
          <w:lang w:val="es-ES_tradnl"/>
        </w:rPr>
        <w:t>日的</w:t>
      </w:r>
      <w:r>
        <w:rPr>
          <w:rFonts w:hint="eastAsia"/>
          <w:lang w:val="es-ES_tradnl"/>
        </w:rPr>
        <w:t>23</w:t>
      </w:r>
      <w:r>
        <w:rPr>
          <w:lang w:val="es-ES_tradnl"/>
        </w:rPr>
        <w:t>,</w:t>
      </w:r>
      <w:r>
        <w:rPr>
          <w:rFonts w:hint="eastAsia"/>
          <w:lang w:val="es-ES_tradnl"/>
        </w:rPr>
        <w:t>373</w:t>
      </w:r>
      <w:r>
        <w:rPr>
          <w:lang w:val="es-ES_tradnl"/>
        </w:rPr>
        <w:t>,</w:t>
      </w:r>
      <w:r>
        <w:rPr>
          <w:rFonts w:hint="eastAsia"/>
          <w:lang w:val="es-ES_tradnl"/>
        </w:rPr>
        <w:t>913</w:t>
      </w:r>
      <w:r>
        <w:rPr>
          <w:rFonts w:hint="eastAsia"/>
          <w:lang w:val="es-ES_tradnl"/>
        </w:rPr>
        <w:t>人。从下文的图中可以看出，报告期内登记参保人数增长最快的情形发生在</w:t>
      </w:r>
      <w:r>
        <w:rPr>
          <w:rFonts w:hint="eastAsia"/>
          <w:lang w:val="es-ES_tradnl"/>
        </w:rPr>
        <w:t>2008</w:t>
      </w:r>
      <w:r>
        <w:rPr>
          <w:rFonts w:hint="eastAsia"/>
          <w:lang w:val="es-ES_tradnl"/>
        </w:rPr>
        <w:t>年，在这一年医疗报销制度的参保人数增加了近</w:t>
      </w:r>
      <w:r>
        <w:rPr>
          <w:rFonts w:hint="eastAsia"/>
          <w:lang w:val="es-ES_tradnl"/>
        </w:rPr>
        <w:t>200</w:t>
      </w:r>
      <w:r>
        <w:rPr>
          <w:rFonts w:hint="eastAsia"/>
          <w:lang w:val="es-ES_tradnl"/>
        </w:rPr>
        <w:t>万，这是由于截至</w:t>
      </w:r>
      <w:r>
        <w:rPr>
          <w:rFonts w:hint="eastAsia"/>
          <w:lang w:val="es-ES_tradnl"/>
        </w:rPr>
        <w:t>2007</w:t>
      </w:r>
      <w:r>
        <w:rPr>
          <w:rFonts w:hint="eastAsia"/>
          <w:lang w:val="es-ES_tradnl"/>
        </w:rPr>
        <w:t>年</w:t>
      </w:r>
      <w:r>
        <w:rPr>
          <w:rFonts w:hint="eastAsia"/>
          <w:lang w:val="es-ES_tradnl"/>
        </w:rPr>
        <w:t>12</w:t>
      </w:r>
      <w:r>
        <w:rPr>
          <w:rFonts w:hint="eastAsia"/>
          <w:lang w:val="es-ES_tradnl"/>
        </w:rPr>
        <w:t>月</w:t>
      </w:r>
      <w:r>
        <w:rPr>
          <w:rFonts w:hint="eastAsia"/>
          <w:lang w:val="es-ES_tradnl"/>
        </w:rPr>
        <w:t>31</w:t>
      </w:r>
      <w:r>
        <w:rPr>
          <w:rFonts w:hint="eastAsia"/>
          <w:lang w:val="es-ES_tradnl"/>
        </w:rPr>
        <w:t>日，</w:t>
      </w:r>
      <w:r>
        <w:rPr>
          <w:rFonts w:hint="eastAsia"/>
          <w:lang w:val="es-ES_tradnl"/>
        </w:rPr>
        <w:t>FOSYGA</w:t>
      </w:r>
      <w:r>
        <w:rPr>
          <w:rFonts w:hint="eastAsia"/>
          <w:lang w:val="es-ES_tradnl"/>
        </w:rPr>
        <w:t>共同子账户投入了大量资金来扩大这一制度的覆盖面。随着这一参保规模的不断提高，医疗报销制度在社会方案潜在受益者识别和分类系统的第</w:t>
      </w:r>
      <w:r>
        <w:rPr>
          <w:rFonts w:hint="eastAsia"/>
          <w:lang w:val="es-ES_tradnl"/>
        </w:rPr>
        <w:t>1</w:t>
      </w:r>
      <w:r>
        <w:rPr>
          <w:rFonts w:hint="eastAsia"/>
          <w:lang w:val="es-ES_tradnl"/>
        </w:rPr>
        <w:t>和第</w:t>
      </w:r>
      <w:r>
        <w:rPr>
          <w:rFonts w:hint="eastAsia"/>
          <w:lang w:val="es-ES_tradnl"/>
        </w:rPr>
        <w:t>2</w:t>
      </w:r>
      <w:r>
        <w:rPr>
          <w:rFonts w:hint="eastAsia"/>
          <w:lang w:val="es-ES_tradnl"/>
        </w:rPr>
        <w:t>类人群中的覆盖率从</w:t>
      </w:r>
      <w:r>
        <w:rPr>
          <w:rFonts w:hint="eastAsia"/>
          <w:lang w:val="es-ES_tradnl"/>
        </w:rPr>
        <w:t>2006</w:t>
      </w:r>
      <w:r>
        <w:rPr>
          <w:rFonts w:hint="eastAsia"/>
          <w:lang w:val="es-ES_tradnl"/>
        </w:rPr>
        <w:t>年初的</w:t>
      </w:r>
      <w:r>
        <w:rPr>
          <w:rFonts w:hint="eastAsia"/>
          <w:lang w:val="es-ES_tradnl"/>
        </w:rPr>
        <w:t>72.9%</w:t>
      </w:r>
      <w:r>
        <w:rPr>
          <w:rFonts w:hint="eastAsia"/>
          <w:lang w:val="es-ES_tradnl"/>
        </w:rPr>
        <w:t>提高到</w:t>
      </w:r>
      <w:r>
        <w:rPr>
          <w:rFonts w:hint="eastAsia"/>
          <w:lang w:val="es-ES_tradnl"/>
        </w:rPr>
        <w:t>2008</w:t>
      </w:r>
      <w:r>
        <w:rPr>
          <w:rFonts w:hint="eastAsia"/>
          <w:lang w:val="es-ES_tradnl"/>
        </w:rPr>
        <w:t>年</w:t>
      </w:r>
      <w:r>
        <w:rPr>
          <w:rFonts w:hint="eastAsia"/>
          <w:lang w:val="es-ES_tradnl"/>
        </w:rPr>
        <w:t>12</w:t>
      </w:r>
      <w:r>
        <w:rPr>
          <w:rFonts w:hint="eastAsia"/>
          <w:lang w:val="es-ES_tradnl"/>
        </w:rPr>
        <w:t>月以来的</w:t>
      </w:r>
      <w:r>
        <w:rPr>
          <w:rFonts w:hint="eastAsia"/>
          <w:lang w:val="es-ES_tradnl"/>
        </w:rPr>
        <w:t>90%</w:t>
      </w:r>
      <w:r>
        <w:rPr>
          <w:rFonts w:hint="eastAsia"/>
          <w:lang w:val="es-ES_tradnl"/>
        </w:rPr>
        <w:t>以上。</w:t>
      </w:r>
    </w:p>
    <w:p w:rsidR="00A83775" w:rsidRDefault="00A83775">
      <w:pPr>
        <w:pStyle w:val="SingleTxtG"/>
        <w:spacing w:after="0" w:line="320" w:lineRule="exact"/>
        <w:rPr>
          <w:rFonts w:eastAsia="SimHei"/>
          <w:sz w:val="21"/>
          <w:lang w:val="es-ES" w:eastAsia="zh-CN"/>
        </w:rPr>
      </w:pPr>
      <w:r>
        <w:rPr>
          <w:rFonts w:eastAsia="SimHei" w:hint="eastAsia"/>
          <w:sz w:val="21"/>
          <w:lang w:val="es-ES" w:eastAsia="zh-CN"/>
        </w:rPr>
        <w:t>医疗报销制度的参保情况</w:t>
      </w:r>
    </w:p>
    <w:p w:rsidR="00A83775" w:rsidRDefault="00A83775">
      <w:pPr>
        <w:pStyle w:val="SingleTxtGC"/>
        <w:rPr>
          <w:lang w:val="es-ES_tradnl"/>
        </w:rPr>
      </w:pPr>
      <w:r>
        <w:rPr>
          <w:rFonts w:eastAsia="SimHei" w:hint="eastAsia"/>
          <w:lang w:val="es-ES"/>
        </w:rPr>
        <w:t>（参保份额和普及率）</w:t>
      </w:r>
    </w:p>
    <w:p w:rsidR="00A83775" w:rsidRDefault="00A83775">
      <w:pPr>
        <w:pStyle w:val="SingleTxtG"/>
        <w:spacing w:line="240" w:lineRule="auto"/>
        <w:rPr>
          <w:rFonts w:hint="eastAsia"/>
          <w:sz w:val="21"/>
          <w:lang w:val="es-ES"/>
        </w:rPr>
      </w:pPr>
      <w:r>
        <w:rPr>
          <w:sz w:val="21"/>
          <w:lang w:val="es-ES"/>
        </w:rPr>
        <w:pict>
          <v:shape id="_x0000_i1030" type="#_x0000_t75" style="width:439.5pt;height:194.25pt">
            <v:imagedata r:id="rId13" o:title=""/>
          </v:shape>
        </w:pict>
      </w:r>
      <w:r>
        <w:rPr>
          <w:noProof/>
          <w:sz w:val="21"/>
          <w:lang w:val="en-US" w:eastAsia="zh-CN"/>
        </w:rPr>
        <w:pict>
          <v:shapetype id="_x0000_t202" coordsize="21600,21600" o:spt="202" path="m,l,21600r21600,l21600,xe">
            <v:stroke joinstyle="miter"/>
            <v:path gradientshapeok="t" o:connecttype="rect"/>
          </v:shapetype>
          <v:shape id="_x0000_s1123" type="#_x0000_t202" style="position:absolute;left:0;text-align:left;margin-left:95pt;margin-top:160.5pt;width:225pt;height:8.95pt;z-index:10;mso-position-horizontal-relative:text;mso-position-vertical-relative:text" stroked="f">
            <v:textbox style="mso-next-textbox:#_x0000_s1123" inset="0,0,0,0">
              <w:txbxContent>
                <w:p w:rsidR="00A83775" w:rsidRDefault="00A83775">
                  <w:pPr>
                    <w:spacing w:line="200" w:lineRule="exact"/>
                    <w:rPr>
                      <w:sz w:val="13"/>
                      <w:szCs w:val="13"/>
                    </w:rPr>
                  </w:pPr>
                  <w:r>
                    <w:rPr>
                      <w:rFonts w:hint="eastAsia"/>
                      <w:sz w:val="13"/>
                      <w:szCs w:val="13"/>
                      <w:lang w:val="es-ES_tradnl"/>
                    </w:rPr>
                    <w:t>在社会方案潜在受益者识别和分类系统的第</w:t>
                  </w:r>
                  <w:r>
                    <w:rPr>
                      <w:rFonts w:hint="eastAsia"/>
                      <w:sz w:val="13"/>
                      <w:szCs w:val="13"/>
                      <w:lang w:val="es-ES_tradnl"/>
                    </w:rPr>
                    <w:t>1</w:t>
                  </w:r>
                  <w:r>
                    <w:rPr>
                      <w:rFonts w:hint="eastAsia"/>
                      <w:sz w:val="13"/>
                      <w:szCs w:val="13"/>
                      <w:lang w:val="es-ES_tradnl"/>
                    </w:rPr>
                    <w:t>和第</w:t>
                  </w:r>
                  <w:r>
                    <w:rPr>
                      <w:rFonts w:hint="eastAsia"/>
                      <w:sz w:val="13"/>
                      <w:szCs w:val="13"/>
                      <w:lang w:val="es-ES_tradnl"/>
                    </w:rPr>
                    <w:t>2</w:t>
                  </w:r>
                  <w:r>
                    <w:rPr>
                      <w:rFonts w:hint="eastAsia"/>
                      <w:sz w:val="13"/>
                      <w:szCs w:val="13"/>
                      <w:lang w:val="es-ES_tradnl"/>
                    </w:rPr>
                    <w:t>类人群中的普及率（</w:t>
                  </w:r>
                  <w:r>
                    <w:rPr>
                      <w:rFonts w:hint="eastAsia"/>
                      <w:sz w:val="13"/>
                      <w:szCs w:val="13"/>
                      <w:lang w:val="es-ES_tradnl"/>
                    </w:rPr>
                    <w:t>%</w:t>
                  </w:r>
                  <w:r>
                    <w:rPr>
                      <w:rFonts w:hint="eastAsia"/>
                      <w:sz w:val="13"/>
                      <w:szCs w:val="13"/>
                      <w:lang w:val="es-ES_tradnl"/>
                    </w:rPr>
                    <w:t>）</w:t>
                  </w:r>
                </w:p>
              </w:txbxContent>
            </v:textbox>
          </v:shape>
        </w:pict>
      </w:r>
      <w:r>
        <w:rPr>
          <w:noProof/>
          <w:sz w:val="21"/>
          <w:lang w:val="en-US" w:eastAsia="zh-CN"/>
        </w:rPr>
        <w:pict>
          <v:shape id="_x0000_s1122" type="#_x0000_t202" style="position:absolute;left:0;text-align:left;margin-left:345pt;margin-top:177.5pt;width:40pt;height:13.95pt;z-index:9;mso-position-horizontal-relative:text;mso-position-vertical-relative:text" stroked="f">
            <v:textbox style="mso-next-textbox:#_x0000_s1122" inset="0,0,0,0">
              <w:txbxContent>
                <w:p w:rsidR="00A83775" w:rsidRDefault="00A83775">
                  <w:pPr>
                    <w:rPr>
                      <w:rFonts w:hint="eastAsia"/>
                      <w:sz w:val="15"/>
                      <w:szCs w:val="15"/>
                    </w:rPr>
                  </w:pPr>
                  <w:r>
                    <w:rPr>
                      <w:rFonts w:hint="eastAsia"/>
                      <w:sz w:val="15"/>
                      <w:szCs w:val="15"/>
                    </w:rPr>
                    <w:t>2010</w:t>
                  </w:r>
                  <w:r>
                    <w:rPr>
                      <w:rFonts w:hint="eastAsia"/>
                      <w:sz w:val="15"/>
                      <w:szCs w:val="15"/>
                    </w:rPr>
                    <w:t>年</w:t>
                  </w:r>
                  <w:r>
                    <w:rPr>
                      <w:rFonts w:hint="eastAsia"/>
                      <w:sz w:val="15"/>
                      <w:szCs w:val="15"/>
                    </w:rPr>
                    <w:t>3</w:t>
                  </w:r>
                  <w:r>
                    <w:rPr>
                      <w:rFonts w:hint="eastAsia"/>
                      <w:sz w:val="15"/>
                      <w:szCs w:val="15"/>
                    </w:rPr>
                    <w:t>月</w:t>
                  </w:r>
                </w:p>
              </w:txbxContent>
            </v:textbox>
          </v:shape>
        </w:pict>
      </w:r>
      <w:r>
        <w:rPr>
          <w:noProof/>
          <w:sz w:val="21"/>
          <w:lang w:val="en-US" w:eastAsia="zh-CN"/>
        </w:rPr>
        <w:pict>
          <v:shape id="_x0000_s1121" type="#_x0000_t202" style="position:absolute;left:0;text-align:left;margin-left:440pt;margin-top:155pt;width:40pt;height:18pt;z-index:8;mso-position-horizontal-relative:text;mso-position-vertical-relative:text" stroked="f">
            <v:textbox style="mso-next-textbox:#_x0000_s1121" inset="0,0,0,0">
              <w:txbxContent>
                <w:p w:rsidR="00A83775" w:rsidRDefault="00A83775">
                  <w:pPr>
                    <w:rPr>
                      <w:rFonts w:hint="eastAsia"/>
                      <w:sz w:val="18"/>
                      <w:szCs w:val="18"/>
                    </w:rPr>
                  </w:pPr>
                  <w:r>
                    <w:rPr>
                      <w:rFonts w:hint="eastAsia"/>
                      <w:sz w:val="18"/>
                      <w:szCs w:val="18"/>
                    </w:rPr>
                    <w:t>份额</w:t>
                  </w:r>
                </w:p>
              </w:txbxContent>
            </v:textbox>
          </v:shape>
        </w:pict>
      </w:r>
    </w:p>
    <w:p w:rsidR="00A83775" w:rsidRDefault="00A83775">
      <w:pPr>
        <w:pStyle w:val="SingleTxtGC"/>
        <w:tabs>
          <w:tab w:val="clear" w:pos="1996"/>
        </w:tabs>
        <w:ind w:left="703"/>
        <w:rPr>
          <w:rFonts w:hint="eastAsia"/>
          <w:lang w:val="es-ES"/>
        </w:rPr>
      </w:pPr>
      <w:r>
        <w:rPr>
          <w:lang w:val="es-ES"/>
        </w:rPr>
        <w:pict>
          <v:shape id="_x0000_i1031" type="#_x0000_t75" style="width:440.25pt;height:195pt">
            <v:imagedata r:id="rId13" o:title=""/>
          </v:shape>
        </w:pict>
      </w:r>
    </w:p>
    <w:p w:rsidR="00A83775" w:rsidRDefault="00A83775">
      <w:pPr>
        <w:pStyle w:val="SingleTxtGC"/>
        <w:spacing w:after="0" w:line="200" w:lineRule="exact"/>
        <w:rPr>
          <w:rFonts w:hint="eastAsia"/>
        </w:rPr>
      </w:pPr>
    </w:p>
    <w:p w:rsidR="00A83775" w:rsidRDefault="00A83775">
      <w:pPr>
        <w:pStyle w:val="SingleTxtGC"/>
        <w:rPr>
          <w:rFonts w:hint="eastAsia"/>
        </w:rPr>
      </w:pPr>
      <w:r>
        <w:rPr>
          <w:rFonts w:eastAsia="KaiTi_GB2312" w:hint="eastAsia"/>
          <w:sz w:val="19"/>
          <w:szCs w:val="19"/>
        </w:rPr>
        <w:t>资料来源：</w:t>
      </w:r>
      <w:r>
        <w:rPr>
          <w:rFonts w:hint="eastAsia"/>
          <w:sz w:val="19"/>
          <w:szCs w:val="19"/>
          <w:lang w:val="es-ES"/>
        </w:rPr>
        <w:t>需求管理总局，社会保障部。</w:t>
      </w:r>
    </w:p>
    <w:p w:rsidR="00A83775" w:rsidRDefault="00A83775">
      <w:pPr>
        <w:pStyle w:val="SingleTxtGC"/>
        <w:rPr>
          <w:lang w:val="zh-CN"/>
        </w:rPr>
      </w:pPr>
      <w:bookmarkStart w:id="2" w:name="OLE_LINK730"/>
      <w:bookmarkStart w:id="3" w:name="OLE_LINK729"/>
      <w:r>
        <w:rPr>
          <w:lang w:val="es-MX"/>
        </w:rPr>
        <w:t>509.  200</w:t>
      </w:r>
      <w:r>
        <w:rPr>
          <w:lang w:val="zh-CN"/>
        </w:rPr>
        <w:t>2</w:t>
      </w:r>
      <w:r>
        <w:rPr>
          <w:rFonts w:hint="eastAsia"/>
          <w:lang w:val="zh-CN"/>
        </w:rPr>
        <w:t>年末，参保人数达到</w:t>
      </w:r>
      <w:r>
        <w:rPr>
          <w:rFonts w:hint="eastAsia"/>
          <w:lang w:val="zh-CN"/>
        </w:rPr>
        <w:t>4</w:t>
      </w:r>
      <w:r>
        <w:t>,</w:t>
      </w:r>
      <w:r>
        <w:rPr>
          <w:rFonts w:hint="eastAsia"/>
          <w:lang w:val="zh-CN"/>
        </w:rPr>
        <w:t>164</w:t>
      </w:r>
      <w:r>
        <w:t>,</w:t>
      </w:r>
      <w:r>
        <w:rPr>
          <w:rFonts w:hint="eastAsia"/>
          <w:lang w:val="zh-CN"/>
        </w:rPr>
        <w:t>975</w:t>
      </w:r>
      <w:r>
        <w:rPr>
          <w:rFonts w:hint="eastAsia"/>
          <w:lang w:val="zh-CN"/>
        </w:rPr>
        <w:t>人，到</w:t>
      </w:r>
      <w:r>
        <w:rPr>
          <w:rFonts w:hint="eastAsia"/>
          <w:lang w:val="zh-CN"/>
        </w:rPr>
        <w:t>2</w:t>
      </w:r>
      <w:r>
        <w:rPr>
          <w:lang w:val="zh-CN"/>
        </w:rPr>
        <w:t>010</w:t>
      </w:r>
      <w:r>
        <w:rPr>
          <w:rFonts w:hint="eastAsia"/>
          <w:lang w:val="zh-CN"/>
        </w:rPr>
        <w:t>年</w:t>
      </w:r>
      <w:r>
        <w:rPr>
          <w:rFonts w:hint="eastAsia"/>
          <w:lang w:val="zh-CN"/>
        </w:rPr>
        <w:t>3</w:t>
      </w:r>
      <w:r>
        <w:rPr>
          <w:rFonts w:hint="eastAsia"/>
          <w:lang w:val="zh-CN"/>
        </w:rPr>
        <w:t>月，这一数字增加到</w:t>
      </w:r>
      <w:r>
        <w:rPr>
          <w:rFonts w:hint="eastAsia"/>
          <w:lang w:val="zh-CN"/>
        </w:rPr>
        <w:t>6</w:t>
      </w:r>
      <w:r>
        <w:t>,</w:t>
      </w:r>
      <w:r>
        <w:rPr>
          <w:rFonts w:hint="eastAsia"/>
          <w:lang w:val="zh-CN"/>
        </w:rPr>
        <w:t>806</w:t>
      </w:r>
      <w:r>
        <w:t>,</w:t>
      </w:r>
      <w:r>
        <w:rPr>
          <w:rFonts w:hint="eastAsia"/>
          <w:lang w:val="zh-CN"/>
        </w:rPr>
        <w:t>887</w:t>
      </w:r>
      <w:r>
        <w:rPr>
          <w:rFonts w:hint="eastAsia"/>
          <w:lang w:val="zh-CN"/>
        </w:rPr>
        <w:t>人，在</w:t>
      </w:r>
      <w:r>
        <w:rPr>
          <w:rFonts w:hint="eastAsia"/>
          <w:lang w:val="zh-CN"/>
        </w:rPr>
        <w:t>2002-2010</w:t>
      </w:r>
      <w:r>
        <w:rPr>
          <w:rFonts w:hint="eastAsia"/>
          <w:lang w:val="zh-CN"/>
        </w:rPr>
        <w:t>年期间新增</w:t>
      </w:r>
      <w:r>
        <w:rPr>
          <w:rFonts w:hint="eastAsia"/>
          <w:lang w:val="zh-CN"/>
        </w:rPr>
        <w:t>2</w:t>
      </w:r>
      <w:r>
        <w:t>,</w:t>
      </w:r>
      <w:r>
        <w:rPr>
          <w:rFonts w:hint="eastAsia"/>
          <w:lang w:val="zh-CN"/>
        </w:rPr>
        <w:t>641</w:t>
      </w:r>
      <w:r>
        <w:t>,</w:t>
      </w:r>
      <w:r>
        <w:rPr>
          <w:rFonts w:hint="eastAsia"/>
          <w:lang w:val="zh-CN"/>
        </w:rPr>
        <w:t>912</w:t>
      </w:r>
      <w:r>
        <w:rPr>
          <w:rFonts w:hint="eastAsia"/>
          <w:lang w:val="zh-CN"/>
        </w:rPr>
        <w:t>名参保人员。</w:t>
      </w:r>
    </w:p>
    <w:bookmarkEnd w:id="2"/>
    <w:bookmarkEnd w:id="3"/>
    <w:p w:rsidR="00A83775" w:rsidRDefault="00A83775">
      <w:pPr>
        <w:pStyle w:val="SingleTxtGC"/>
        <w:rPr>
          <w:lang w:val="es-ES"/>
        </w:rPr>
      </w:pPr>
      <w:r>
        <w:rPr>
          <w:lang w:val="zh-CN"/>
        </w:rPr>
        <w:t xml:space="preserve">510.  </w:t>
      </w:r>
      <w:r>
        <w:rPr>
          <w:rFonts w:hint="eastAsia"/>
          <w:lang w:val="zh-CN"/>
        </w:rPr>
        <w:t>这些数字显示，参保人数的增幅达</w:t>
      </w:r>
      <w:r>
        <w:rPr>
          <w:rFonts w:hint="eastAsia"/>
          <w:lang w:val="zh-CN"/>
        </w:rPr>
        <w:t>63%</w:t>
      </w:r>
      <w:r>
        <w:rPr>
          <w:rFonts w:hint="eastAsia"/>
          <w:lang w:val="zh-CN"/>
        </w:rPr>
        <w:t>，这一成果主要是由于劳务改革、开展控制逃缴和漏缴保费战略以及经济发展带来的。此外，</w:t>
      </w:r>
      <w:r>
        <w:rPr>
          <w:rFonts w:hint="eastAsia"/>
          <w:lang w:val="zh-CN"/>
        </w:rPr>
        <w:t>2003</w:t>
      </w:r>
      <w:r>
        <w:rPr>
          <w:rFonts w:hint="eastAsia"/>
          <w:lang w:val="zh-CN"/>
        </w:rPr>
        <w:t>年</w:t>
      </w:r>
      <w:r>
        <w:rPr>
          <w:rFonts w:hint="eastAsia"/>
          <w:lang w:val="zh-CN"/>
        </w:rPr>
        <w:t>10</w:t>
      </w:r>
      <w:r>
        <w:rPr>
          <w:rFonts w:hint="eastAsia"/>
          <w:lang w:val="zh-CN"/>
        </w:rPr>
        <w:t>月的第</w:t>
      </w:r>
      <w:r>
        <w:rPr>
          <w:rFonts w:hint="eastAsia"/>
          <w:lang w:val="zh-CN"/>
        </w:rPr>
        <w:t>2800</w:t>
      </w:r>
      <w:r>
        <w:rPr>
          <w:rFonts w:hint="eastAsia"/>
          <w:lang w:val="zh-CN"/>
        </w:rPr>
        <w:t>号法令、</w:t>
      </w:r>
      <w:r>
        <w:rPr>
          <w:rFonts w:hint="eastAsia"/>
          <w:lang w:val="es-ES"/>
        </w:rPr>
        <w:t>2005</w:t>
      </w:r>
      <w:r>
        <w:rPr>
          <w:rFonts w:hint="eastAsia"/>
          <w:lang w:val="es-ES"/>
        </w:rPr>
        <w:t>年的第</w:t>
      </w:r>
      <w:r>
        <w:rPr>
          <w:rFonts w:hint="eastAsia"/>
          <w:lang w:val="es-ES"/>
        </w:rPr>
        <w:t>3615</w:t>
      </w:r>
      <w:r>
        <w:rPr>
          <w:rFonts w:hint="eastAsia"/>
          <w:lang w:val="es-ES"/>
        </w:rPr>
        <w:t>号法令和</w:t>
      </w:r>
      <w:r>
        <w:rPr>
          <w:rFonts w:hint="eastAsia"/>
          <w:lang w:val="es-ES"/>
        </w:rPr>
        <w:t>2006</w:t>
      </w:r>
      <w:r>
        <w:rPr>
          <w:rFonts w:hint="eastAsia"/>
          <w:lang w:val="es-ES"/>
        </w:rPr>
        <w:t>年的第</w:t>
      </w:r>
      <w:r>
        <w:rPr>
          <w:rFonts w:hint="eastAsia"/>
          <w:lang w:val="es-ES"/>
        </w:rPr>
        <w:t>2313</w:t>
      </w:r>
      <w:r>
        <w:rPr>
          <w:rFonts w:hint="eastAsia"/>
          <w:lang w:val="es-ES"/>
        </w:rPr>
        <w:t>号法令的颁布规范了个体劳动者自愿参保的程序，这对该体系普及率的增长具有决定性影响。</w:t>
      </w:r>
    </w:p>
    <w:p w:rsidR="00A83775" w:rsidRDefault="00A83775">
      <w:pPr>
        <w:pStyle w:val="H23GC"/>
        <w:rPr>
          <w:lang w:val="es-ES_tradnl"/>
        </w:rPr>
      </w:pPr>
      <w:r>
        <w:rPr>
          <w:lang w:val="es-ES_tradnl"/>
        </w:rPr>
        <w:tab/>
      </w:r>
      <w:r>
        <w:rPr>
          <w:lang w:val="es-ES_tradnl"/>
        </w:rPr>
        <w:tab/>
      </w:r>
      <w:r>
        <w:rPr>
          <w:rFonts w:hint="eastAsia"/>
          <w:lang w:val="es-ES_tradnl"/>
        </w:rPr>
        <w:t>2010</w:t>
      </w:r>
      <w:r>
        <w:rPr>
          <w:rFonts w:hint="eastAsia"/>
          <w:lang w:val="es-ES_tradnl"/>
        </w:rPr>
        <w:t>年全国人口和卫生普查中的医疗卫生指标</w:t>
      </w:r>
    </w:p>
    <w:p w:rsidR="00A83775" w:rsidRDefault="00A83775">
      <w:pPr>
        <w:pStyle w:val="SingleTxtGC"/>
        <w:rPr>
          <w:lang w:val="es-ES"/>
        </w:rPr>
      </w:pPr>
      <w:r>
        <w:rPr>
          <w:lang w:val="es-ES"/>
        </w:rPr>
        <w:t xml:space="preserve">511.  </w:t>
      </w:r>
      <w:r>
        <w:rPr>
          <w:rFonts w:hint="eastAsia"/>
          <w:lang w:val="es-ES"/>
        </w:rPr>
        <w:t>在本条对应的附件</w:t>
      </w:r>
      <w:r>
        <w:rPr>
          <w:rFonts w:hint="eastAsia"/>
          <w:lang w:val="es-ES"/>
        </w:rPr>
        <w:t>5</w:t>
      </w:r>
      <w:r>
        <w:rPr>
          <w:rFonts w:hint="eastAsia"/>
          <w:lang w:val="es-ES"/>
        </w:rPr>
        <w:t>中对</w:t>
      </w:r>
      <w:r>
        <w:rPr>
          <w:rFonts w:hint="eastAsia"/>
          <w:lang w:val="es-ES"/>
        </w:rPr>
        <w:t>2010</w:t>
      </w:r>
      <w:r>
        <w:rPr>
          <w:rFonts w:hint="eastAsia"/>
          <w:lang w:val="es-ES"/>
        </w:rPr>
        <w:t>年全国人口和卫生普查中的医疗卫生指标信息进行了展开论述，其基本情况概述如下：</w:t>
      </w:r>
    </w:p>
    <w:p w:rsidR="00A83775" w:rsidRDefault="00A83775">
      <w:pPr>
        <w:pStyle w:val="H23GC"/>
        <w:rPr>
          <w:rFonts w:hint="eastAsia"/>
          <w:lang w:val="es-ES"/>
        </w:rPr>
      </w:pPr>
      <w:r>
        <w:rPr>
          <w:lang w:val="es-ES_tradnl"/>
        </w:rPr>
        <w:br w:type="page"/>
      </w:r>
      <w:r>
        <w:rPr>
          <w:rFonts w:hint="eastAsia"/>
          <w:lang w:val="es-ES_tradnl"/>
        </w:rPr>
        <w:tab/>
      </w:r>
      <w:r>
        <w:rPr>
          <w:rFonts w:hint="eastAsia"/>
          <w:lang w:val="es-ES_tradnl"/>
        </w:rPr>
        <w:tab/>
      </w:r>
      <w:r>
        <w:rPr>
          <w:rFonts w:hint="eastAsia"/>
          <w:lang w:val="es-ES_tradnl"/>
        </w:rPr>
        <w:t>在社会保障工作方面的进步</w:t>
      </w:r>
      <w:r>
        <w:rPr>
          <w:lang w:val="es-ES_tradnl"/>
        </w:rPr>
        <w:br/>
      </w:r>
      <w:r>
        <w:rPr>
          <w:rFonts w:eastAsia="SimSun" w:hint="eastAsia"/>
          <w:lang w:val="es-ES"/>
        </w:rPr>
        <w:t>（百万参保人员）</w:t>
      </w:r>
    </w:p>
    <w:p w:rsidR="00A83775" w:rsidRDefault="00A83775">
      <w:pPr>
        <w:pStyle w:val="SingleTxtGC"/>
        <w:ind w:left="703"/>
        <w:rPr>
          <w:lang w:val="es-ES"/>
        </w:rPr>
      </w:pPr>
      <w:r>
        <w:rPr>
          <w:noProof/>
          <w:snapToGrid/>
        </w:rPr>
        <w:pict>
          <v:shape id="_x0000_s1128" type="#_x0000_t202" style="position:absolute;left:0;text-align:left;margin-left:58.5pt;margin-top:2.75pt;width:84.5pt;height:194.4pt;z-index:12" stroked="f">
            <v:textbox style="mso-next-textbox:#_x0000_s1128" inset="0,0,0,0">
              <w:txbxContent>
                <w:p w:rsidR="00A83775" w:rsidRDefault="00A83775">
                  <w:pPr>
                    <w:spacing w:line="280" w:lineRule="exact"/>
                    <w:rPr>
                      <w:sz w:val="18"/>
                      <w:szCs w:val="18"/>
                    </w:rPr>
                  </w:pPr>
                  <w:r>
                    <w:rPr>
                      <w:rFonts w:hint="eastAsia"/>
                      <w:sz w:val="18"/>
                      <w:szCs w:val="18"/>
                      <w:lang w:val="es-ES"/>
                    </w:rPr>
                    <w:t>2002-2009</w:t>
                  </w:r>
                  <w:r>
                    <w:rPr>
                      <w:rFonts w:hint="eastAsia"/>
                      <w:sz w:val="18"/>
                      <w:szCs w:val="18"/>
                      <w:lang w:val="es-ES"/>
                    </w:rPr>
                    <w:t>年期间，医疗保险制度的参保缴费人数增加了</w:t>
                  </w:r>
                  <w:r>
                    <w:rPr>
                      <w:rFonts w:hint="eastAsia"/>
                      <w:sz w:val="18"/>
                      <w:szCs w:val="18"/>
                      <w:lang w:val="es-ES"/>
                    </w:rPr>
                    <w:t>37.2%</w:t>
                  </w:r>
                  <w:r>
                    <w:rPr>
                      <w:rFonts w:hint="eastAsia"/>
                      <w:sz w:val="18"/>
                      <w:szCs w:val="18"/>
                      <w:lang w:val="es-ES"/>
                    </w:rPr>
                    <w:t>；养老金制度的参保缴费人数增加了</w:t>
                  </w:r>
                  <w:r>
                    <w:rPr>
                      <w:rFonts w:hint="eastAsia"/>
                      <w:sz w:val="18"/>
                      <w:szCs w:val="18"/>
                      <w:lang w:val="es-ES"/>
                    </w:rPr>
                    <w:t>53.0%</w:t>
                  </w:r>
                  <w:r>
                    <w:rPr>
                      <w:rFonts w:hint="eastAsia"/>
                      <w:sz w:val="18"/>
                      <w:szCs w:val="18"/>
                      <w:lang w:val="es-ES"/>
                    </w:rPr>
                    <w:t>；职业风险制度的参保缴费人数增加了</w:t>
                  </w:r>
                  <w:r>
                    <w:rPr>
                      <w:rFonts w:hint="eastAsia"/>
                      <w:sz w:val="18"/>
                      <w:szCs w:val="18"/>
                      <w:lang w:val="es-ES"/>
                    </w:rPr>
                    <w:t>61.0%</w:t>
                  </w:r>
                  <w:r>
                    <w:rPr>
                      <w:rFonts w:hint="eastAsia"/>
                      <w:sz w:val="18"/>
                      <w:szCs w:val="18"/>
                      <w:lang w:val="es-ES"/>
                    </w:rPr>
                    <w:t>，互助保险机构的参保人数增加了</w:t>
                  </w:r>
                  <w:r>
                    <w:rPr>
                      <w:rFonts w:hint="eastAsia"/>
                      <w:sz w:val="18"/>
                      <w:szCs w:val="18"/>
                      <w:lang w:val="es-ES"/>
                    </w:rPr>
                    <w:t>71.0%</w:t>
                  </w:r>
                  <w:r>
                    <w:rPr>
                      <w:rFonts w:hint="eastAsia"/>
                      <w:sz w:val="18"/>
                      <w:szCs w:val="18"/>
                      <w:lang w:val="es-ES"/>
                    </w:rPr>
                    <w:t>。正规部门就业工作的进步反映在这些指标上。</w:t>
                  </w:r>
                </w:p>
              </w:txbxContent>
            </v:textbox>
          </v:shape>
        </w:pict>
      </w:r>
      <w:r>
        <w:rPr>
          <w:noProof/>
        </w:rPr>
        <w:pict>
          <v:shape id="_x0000_s1127" type="#_x0000_t75" style="position:absolute;left:0;text-align:left;margin-left:58.5pt;margin-top:-.2pt;width:390pt;height:227.65pt;z-index:11">
            <v:imagedata r:id="rId14" o:title="" cropbottom="3960f"/>
          </v:shape>
        </w:pict>
      </w:r>
      <w:r>
        <w:rPr>
          <w:noProof/>
          <w:snapToGrid/>
        </w:rPr>
        <w:pict>
          <v:shape id="_x0000_s1130" type="#_x0000_t202" style="position:absolute;left:0;text-align:left;margin-left:403pt;margin-top:19.05pt;width:45.5pt;height:114.1pt;z-index:14" stroked="f">
            <v:textbox style="layout-flow:vertical;mso-layout-flow-alt:bottom-to-top;mso-next-textbox:#_x0000_s1130" inset="0,0,0,0">
              <w:txbxContent>
                <w:p w:rsidR="00A83775" w:rsidRDefault="00A83775">
                  <w:pPr>
                    <w:jc w:val="center"/>
                    <w:rPr>
                      <w:sz w:val="15"/>
                      <w:szCs w:val="15"/>
                    </w:rPr>
                  </w:pPr>
                  <w:r>
                    <w:rPr>
                      <w:rFonts w:hint="eastAsia"/>
                      <w:sz w:val="15"/>
                      <w:szCs w:val="15"/>
                      <w:lang w:val="es-ES"/>
                    </w:rPr>
                    <w:t>养老金、职业风险和互助保险有效参保人数</w:t>
                  </w:r>
                </w:p>
              </w:txbxContent>
            </v:textbox>
          </v:shape>
        </w:pict>
      </w:r>
    </w:p>
    <w:p w:rsidR="00A83775" w:rsidRDefault="00A83775">
      <w:pPr>
        <w:pStyle w:val="SingleTxtGC"/>
        <w:rPr>
          <w:lang w:val="es-ES"/>
        </w:rPr>
      </w:pPr>
      <w:r>
        <w:rPr>
          <w:noProof/>
          <w:snapToGrid/>
        </w:rPr>
        <w:pict>
          <v:shape id="_x0000_s1129" type="#_x0000_t202" style="position:absolute;left:0;text-align:left;margin-left:147.5pt;margin-top:5.2pt;width:15pt;height:117pt;z-index:13" stroked="f">
            <v:textbox style="layout-flow:vertical;mso-layout-flow-alt:bottom-to-top;mso-next-textbox:#_x0000_s1129" inset="0,0,0,0">
              <w:txbxContent>
                <w:p w:rsidR="00A83775" w:rsidRDefault="00A83775">
                  <w:pPr>
                    <w:jc w:val="center"/>
                    <w:rPr>
                      <w:sz w:val="15"/>
                      <w:szCs w:val="15"/>
                    </w:rPr>
                  </w:pPr>
                  <w:r>
                    <w:rPr>
                      <w:rFonts w:hint="eastAsia"/>
                      <w:sz w:val="15"/>
                      <w:szCs w:val="15"/>
                      <w:lang w:val="es-ES"/>
                    </w:rPr>
                    <w:t>两类医疗保险制度参保缴费总人数</w:t>
                  </w:r>
                </w:p>
              </w:txbxContent>
            </v:textbox>
          </v:shape>
        </w:pict>
      </w:r>
    </w:p>
    <w:p w:rsidR="00A83775" w:rsidRDefault="00A83775">
      <w:pPr>
        <w:pStyle w:val="SingleTxtGC"/>
        <w:rPr>
          <w:lang w:val="es-ES"/>
        </w:rPr>
      </w:pPr>
    </w:p>
    <w:p w:rsidR="00A83775" w:rsidRDefault="00A83775">
      <w:pPr>
        <w:pStyle w:val="SingleTxtGC"/>
        <w:rPr>
          <w:lang w:val="es-ES"/>
        </w:rPr>
      </w:pPr>
    </w:p>
    <w:p w:rsidR="00A83775" w:rsidRDefault="00A83775">
      <w:pPr>
        <w:pStyle w:val="SingleTxtGC"/>
        <w:rPr>
          <w:lang w:val="es-ES"/>
        </w:rPr>
      </w:pPr>
    </w:p>
    <w:p w:rsidR="00A83775" w:rsidRDefault="00A83775">
      <w:pPr>
        <w:pStyle w:val="SingleTxtGC"/>
        <w:rPr>
          <w:lang w:val="es-ES"/>
        </w:rPr>
      </w:pPr>
    </w:p>
    <w:p w:rsidR="00A83775" w:rsidRDefault="00A83775">
      <w:pPr>
        <w:pStyle w:val="SingleTxtGC"/>
        <w:rPr>
          <w:lang w:val="es-ES"/>
        </w:rPr>
      </w:pPr>
      <w:r>
        <w:rPr>
          <w:noProof/>
          <w:snapToGrid/>
        </w:rPr>
        <w:pict>
          <v:shape id="_x0000_s1131" type="#_x0000_t202" style="position:absolute;left:0;text-align:left;margin-left:195pt;margin-top:17.45pt;width:84.5pt;height:40.75pt;z-index:15" stroked="f">
            <v:textbox style="mso-next-textbox:#_x0000_s1131" inset="0,0,0,0">
              <w:txbxContent>
                <w:p w:rsidR="00A83775" w:rsidRDefault="00A83775">
                  <w:pPr>
                    <w:rPr>
                      <w:rFonts w:eastAsia="SimHei" w:hint="eastAsia"/>
                      <w:sz w:val="15"/>
                      <w:szCs w:val="15"/>
                      <w:lang w:val="es-ES"/>
                    </w:rPr>
                  </w:pPr>
                  <w:r>
                    <w:rPr>
                      <w:rFonts w:eastAsia="SimHei" w:hint="eastAsia"/>
                      <w:sz w:val="15"/>
                      <w:szCs w:val="15"/>
                      <w:lang w:val="es-ES"/>
                    </w:rPr>
                    <w:t>医疗保险制度</w:t>
                  </w:r>
                </w:p>
                <w:p w:rsidR="00A83775" w:rsidRDefault="00A83775">
                  <w:pPr>
                    <w:spacing w:line="240" w:lineRule="exact"/>
                    <w:rPr>
                      <w:rFonts w:eastAsia="SimHei"/>
                      <w:sz w:val="15"/>
                      <w:szCs w:val="15"/>
                    </w:rPr>
                  </w:pPr>
                  <w:r>
                    <w:rPr>
                      <w:rFonts w:eastAsia="SimHei" w:hint="eastAsia"/>
                      <w:sz w:val="15"/>
                      <w:szCs w:val="15"/>
                      <w:lang w:val="es-ES"/>
                    </w:rPr>
                    <w:t>参保互助保险机构</w:t>
                  </w:r>
                </w:p>
              </w:txbxContent>
            </v:textbox>
          </v:shape>
        </w:pict>
      </w:r>
      <w:r>
        <w:rPr>
          <w:noProof/>
          <w:snapToGrid/>
        </w:rPr>
        <w:pict>
          <v:shape id="_x0000_s1132" type="#_x0000_t202" style="position:absolute;left:0;text-align:left;margin-left:299.5pt;margin-top:17.45pt;width:92pt;height:40.75pt;z-index:16" stroked="f">
            <v:textbox style="mso-next-textbox:#_x0000_s1132" inset="0,0,0,0">
              <w:txbxContent>
                <w:p w:rsidR="00A83775" w:rsidRDefault="00A83775">
                  <w:pPr>
                    <w:rPr>
                      <w:rFonts w:eastAsia="SimHei" w:hint="eastAsia"/>
                      <w:sz w:val="15"/>
                      <w:szCs w:val="15"/>
                      <w:lang w:val="es-ES"/>
                    </w:rPr>
                  </w:pPr>
                  <w:r>
                    <w:rPr>
                      <w:rFonts w:eastAsia="SimHei" w:hint="eastAsia"/>
                      <w:sz w:val="15"/>
                      <w:szCs w:val="15"/>
                      <w:lang w:val="es-ES"/>
                    </w:rPr>
                    <w:t>职业风险</w:t>
                  </w:r>
                </w:p>
                <w:p w:rsidR="00A83775" w:rsidRDefault="00A83775">
                  <w:pPr>
                    <w:spacing w:line="240" w:lineRule="exact"/>
                    <w:rPr>
                      <w:rFonts w:eastAsia="SimHei"/>
                      <w:sz w:val="15"/>
                      <w:szCs w:val="15"/>
                    </w:rPr>
                  </w:pPr>
                  <w:r>
                    <w:rPr>
                      <w:rFonts w:eastAsia="SimHei" w:hint="eastAsia"/>
                      <w:sz w:val="15"/>
                      <w:szCs w:val="15"/>
                      <w:lang w:val="es-ES"/>
                    </w:rPr>
                    <w:t>养老金保险</w:t>
                  </w:r>
                  <w:r>
                    <w:rPr>
                      <w:rFonts w:eastAsia="SimHei" w:hint="eastAsia"/>
                      <w:b/>
                      <w:sz w:val="15"/>
                      <w:szCs w:val="15"/>
                      <w:lang w:val="es-ES"/>
                    </w:rPr>
                    <w:t>（</w:t>
                  </w:r>
                  <w:r>
                    <w:rPr>
                      <w:rFonts w:eastAsia="SimHei" w:hint="eastAsia"/>
                      <w:b/>
                      <w:sz w:val="15"/>
                      <w:szCs w:val="15"/>
                      <w:lang w:val="es-ES"/>
                    </w:rPr>
                    <w:t>ISS+AFPs</w:t>
                  </w:r>
                  <w:r>
                    <w:rPr>
                      <w:rFonts w:eastAsia="SimHei" w:hint="eastAsia"/>
                      <w:sz w:val="15"/>
                      <w:szCs w:val="15"/>
                      <w:lang w:val="es-ES"/>
                    </w:rPr>
                    <w:t>）</w:t>
                  </w:r>
                </w:p>
              </w:txbxContent>
            </v:textbox>
          </v:shape>
        </w:pict>
      </w:r>
    </w:p>
    <w:p w:rsidR="00A83775" w:rsidRDefault="00A83775">
      <w:pPr>
        <w:pStyle w:val="SingleTxtGC"/>
        <w:rPr>
          <w:lang w:val="es-ES"/>
        </w:rPr>
      </w:pPr>
    </w:p>
    <w:p w:rsidR="00A83775" w:rsidRDefault="00A83775">
      <w:pPr>
        <w:pStyle w:val="SingleTxtGC"/>
        <w:rPr>
          <w:lang w:val="es-ES"/>
        </w:rPr>
      </w:pPr>
      <w:r>
        <w:rPr>
          <w:noProof/>
          <w:snapToGrid/>
        </w:rPr>
        <w:pict>
          <v:shape id="_x0000_s1133" type="#_x0000_t202" style="position:absolute;left:0;text-align:left;margin-left:136.5pt;margin-top:9.9pt;width:290pt;height:53.2pt;z-index:17" stroked="f">
            <v:textbox style="mso-next-textbox:#_x0000_s1133" inset="0,0,0,0">
              <w:txbxContent>
                <w:p w:rsidR="00A83775" w:rsidRDefault="00A83775">
                  <w:pPr>
                    <w:pStyle w:val="SingleTxtG"/>
                    <w:spacing w:after="0" w:line="240" w:lineRule="auto"/>
                    <w:ind w:left="0" w:right="0"/>
                    <w:rPr>
                      <w:rFonts w:eastAsia="SimHei" w:hint="eastAsia"/>
                      <w:sz w:val="15"/>
                      <w:szCs w:val="15"/>
                      <w:lang w:val="es-ES" w:eastAsia="zh-CN"/>
                    </w:rPr>
                  </w:pPr>
                  <w:r>
                    <w:rPr>
                      <w:rFonts w:eastAsia="SimHei" w:hint="eastAsia"/>
                      <w:sz w:val="15"/>
                      <w:szCs w:val="15"/>
                      <w:lang w:val="es-ES" w:eastAsia="zh-CN"/>
                    </w:rPr>
                    <w:t>*</w:t>
                  </w:r>
                  <w:r>
                    <w:rPr>
                      <w:rFonts w:eastAsia="SimHei" w:hint="eastAsia"/>
                      <w:sz w:val="15"/>
                      <w:szCs w:val="15"/>
                      <w:lang w:val="es-ES" w:eastAsia="zh-CN"/>
                    </w:rPr>
                    <w:t>医疗保险制度</w:t>
                  </w:r>
                  <w:r>
                    <w:rPr>
                      <w:rFonts w:eastAsia="SimHei" w:hint="eastAsia"/>
                      <w:sz w:val="15"/>
                      <w:szCs w:val="15"/>
                      <w:lang w:val="es-ES" w:eastAsia="zh-CN"/>
                    </w:rPr>
                    <w:t>1</w:t>
                  </w:r>
                  <w:r>
                    <w:rPr>
                      <w:rFonts w:eastAsia="SimHei" w:hint="eastAsia"/>
                      <w:sz w:val="15"/>
                      <w:szCs w:val="15"/>
                      <w:lang w:val="es-ES" w:eastAsia="zh-CN"/>
                    </w:rPr>
                    <w:t>月份数据；养老金制度截至</w:t>
                  </w:r>
                  <w:r>
                    <w:rPr>
                      <w:rFonts w:eastAsia="SimHei" w:hint="eastAsia"/>
                      <w:sz w:val="15"/>
                      <w:szCs w:val="15"/>
                      <w:lang w:val="es-ES" w:eastAsia="zh-CN"/>
                    </w:rPr>
                    <w:t>2010</w:t>
                  </w:r>
                  <w:r>
                    <w:rPr>
                      <w:rFonts w:eastAsia="SimHei" w:hint="eastAsia"/>
                      <w:sz w:val="15"/>
                      <w:szCs w:val="15"/>
                      <w:lang w:val="es-ES" w:eastAsia="zh-CN"/>
                    </w:rPr>
                    <w:t>年</w:t>
                  </w:r>
                  <w:r>
                    <w:rPr>
                      <w:rFonts w:eastAsia="SimHei" w:hint="eastAsia"/>
                      <w:sz w:val="15"/>
                      <w:szCs w:val="15"/>
                      <w:lang w:val="es-ES" w:eastAsia="zh-CN"/>
                    </w:rPr>
                    <w:t>3</w:t>
                  </w:r>
                  <w:r>
                    <w:rPr>
                      <w:rFonts w:eastAsia="SimHei" w:hint="eastAsia"/>
                      <w:sz w:val="15"/>
                      <w:szCs w:val="15"/>
                      <w:lang w:val="es-ES" w:eastAsia="zh-CN"/>
                    </w:rPr>
                    <w:t>月的人数；职业风险制度截至</w:t>
                  </w:r>
                  <w:r>
                    <w:rPr>
                      <w:rFonts w:eastAsia="SimHei" w:hint="eastAsia"/>
                      <w:sz w:val="15"/>
                      <w:szCs w:val="15"/>
                      <w:lang w:val="es-ES" w:eastAsia="zh-CN"/>
                    </w:rPr>
                    <w:t>4</w:t>
                  </w:r>
                  <w:r>
                    <w:rPr>
                      <w:rFonts w:eastAsia="SimHei" w:hint="eastAsia"/>
                      <w:sz w:val="15"/>
                      <w:szCs w:val="15"/>
                      <w:lang w:val="es-ES" w:eastAsia="zh-CN"/>
                    </w:rPr>
                    <w:t>月份的参保人数；家庭互助保险截至</w:t>
                  </w:r>
                  <w:r>
                    <w:rPr>
                      <w:rFonts w:eastAsia="SimHei" w:hint="eastAsia"/>
                      <w:sz w:val="15"/>
                      <w:szCs w:val="15"/>
                      <w:lang w:val="es-ES" w:eastAsia="zh-CN"/>
                    </w:rPr>
                    <w:t>5</w:t>
                  </w:r>
                  <w:r>
                    <w:rPr>
                      <w:rFonts w:eastAsia="SimHei" w:hint="eastAsia"/>
                      <w:sz w:val="15"/>
                      <w:szCs w:val="15"/>
                      <w:lang w:val="es-ES" w:eastAsia="zh-CN"/>
                    </w:rPr>
                    <w:t>月份的参保人数。</w:t>
                  </w:r>
                </w:p>
                <w:p w:rsidR="00A83775" w:rsidRDefault="00A83775">
                  <w:pPr>
                    <w:spacing w:line="240" w:lineRule="auto"/>
                  </w:pPr>
                  <w:r>
                    <w:rPr>
                      <w:rFonts w:eastAsia="SimHei" w:hint="eastAsia"/>
                      <w:sz w:val="15"/>
                      <w:szCs w:val="15"/>
                      <w:lang w:val="es-ES"/>
                    </w:rPr>
                    <w:t>资料来源：社会保障部，家庭津贴监察局</w:t>
                  </w:r>
                  <w:r>
                    <w:rPr>
                      <w:rFonts w:eastAsia="SimHei" w:hint="eastAsia"/>
                      <w:sz w:val="15"/>
                      <w:szCs w:val="15"/>
                      <w:lang w:val="es-ES"/>
                    </w:rPr>
                    <w:t>-</w:t>
                  </w:r>
                  <w:r>
                    <w:rPr>
                      <w:rFonts w:eastAsia="SimHei" w:hint="eastAsia"/>
                      <w:sz w:val="15"/>
                      <w:szCs w:val="15"/>
                      <w:lang w:val="es-ES"/>
                    </w:rPr>
                    <w:t>政府目标监督落实体系。</w:t>
                  </w:r>
                </w:p>
              </w:txbxContent>
            </v:textbox>
          </v:shape>
        </w:pict>
      </w:r>
    </w:p>
    <w:p w:rsidR="00A83775" w:rsidRDefault="00A83775">
      <w:pPr>
        <w:pStyle w:val="SingleTxtGC"/>
        <w:rPr>
          <w:lang w:val="es-ES"/>
        </w:rPr>
      </w:pPr>
    </w:p>
    <w:p w:rsidR="00A83775" w:rsidRDefault="00A83775">
      <w:pPr>
        <w:pStyle w:val="SingleTxtGC"/>
        <w:rPr>
          <w:lang w:val="es-ES"/>
        </w:rPr>
      </w:pPr>
    </w:p>
    <w:p w:rsidR="00A83775" w:rsidRDefault="00A83775">
      <w:pPr>
        <w:pStyle w:val="SingleTxtGC"/>
        <w:rPr>
          <w:lang w:val="es-ES"/>
        </w:rPr>
      </w:pPr>
      <w:r>
        <w:rPr>
          <w:rFonts w:hint="eastAsia"/>
          <w:noProof/>
          <w:snapToGrid/>
        </w:rPr>
        <w:pict>
          <v:group id="_x0000_s1126" style="position:absolute;left:0;text-align:left;margin-left:71.5pt;margin-top:4.1pt;width:375pt;height:188.2pt;z-index:7" coordorigin="2234,4002" coordsize="7500,3764">
            <v:shape id="Imagen 41" o:spid="_x0000_s1117" type="#_x0000_t75" style="position:absolute;left:2234;top:4002;width:7500;height:3730;visibility:visible">
              <v:imagedata r:id="rId15" o:title=""/>
            </v:shape>
            <v:shape id="_x0000_s1118" type="#_x0000_t202" style="position:absolute;left:3434;top:4112;width:5500;height:540" stroked="f">
              <v:textbox style="mso-next-textbox:#_x0000_s1118" inset="0,0,0,0">
                <w:txbxContent>
                  <w:p w:rsidR="00A83775" w:rsidRDefault="00A83775">
                    <w:pPr>
                      <w:jc w:val="center"/>
                    </w:pPr>
                    <w:r>
                      <w:rPr>
                        <w:rFonts w:eastAsia="SimHei" w:hint="eastAsia"/>
                        <w:lang w:val="es-ES"/>
                      </w:rPr>
                      <w:t>职业风险总体系参保劳动者人数</w:t>
                    </w:r>
                  </w:p>
                </w:txbxContent>
              </v:textbox>
            </v:shape>
            <v:shape id="_x0000_s1119" type="#_x0000_t202" style="position:absolute;left:2434;top:7406;width:4100;height:360" stroked="f">
              <v:textbox style="mso-next-textbox:#_x0000_s1119" inset="0,0,0,0">
                <w:txbxContent>
                  <w:p w:rsidR="00A83775" w:rsidRDefault="00A83775">
                    <w:pPr>
                      <w:rPr>
                        <w:rFonts w:eastAsia="SimHei"/>
                        <w:sz w:val="15"/>
                        <w:szCs w:val="15"/>
                      </w:rPr>
                    </w:pPr>
                    <w:r>
                      <w:rPr>
                        <w:rFonts w:eastAsia="SimHei" w:hint="eastAsia"/>
                        <w:sz w:val="15"/>
                        <w:szCs w:val="15"/>
                        <w:lang w:val="es-ES"/>
                      </w:rPr>
                      <w:t>资料来源：</w:t>
                    </w:r>
                    <w:r>
                      <w:rPr>
                        <w:rFonts w:ascii="SimSun" w:eastAsia="SimHei" w:hAnsi="SimSun" w:hint="eastAsia"/>
                        <w:sz w:val="15"/>
                        <w:szCs w:val="15"/>
                        <w:lang w:val="es-ES"/>
                      </w:rPr>
                      <w:t>职业风险管理总局</w:t>
                    </w:r>
                    <w:r>
                      <w:rPr>
                        <w:rFonts w:ascii="SimSun" w:eastAsia="SimHei" w:hAnsi="SimSun" w:hint="eastAsia"/>
                        <w:sz w:val="15"/>
                        <w:szCs w:val="15"/>
                        <w:lang w:val="es-ES"/>
                      </w:rPr>
                      <w:t>-</w:t>
                    </w:r>
                    <w:r>
                      <w:rPr>
                        <w:rFonts w:ascii="SimSun" w:eastAsia="SimHei" w:hAnsi="SimSun" w:hint="eastAsia"/>
                        <w:sz w:val="15"/>
                        <w:szCs w:val="15"/>
                        <w:lang w:val="es-ES"/>
                      </w:rPr>
                      <w:t>职业风险管理主管机关。</w:t>
                    </w:r>
                  </w:p>
                </w:txbxContent>
              </v:textbox>
            </v:shape>
          </v:group>
        </w:pict>
      </w:r>
    </w:p>
    <w:p w:rsidR="00A83775" w:rsidRDefault="00A83775">
      <w:pPr>
        <w:pStyle w:val="SingleTxtGC"/>
        <w:rPr>
          <w:lang w:val="es-ES"/>
        </w:rPr>
      </w:pPr>
    </w:p>
    <w:p w:rsidR="00A83775" w:rsidRDefault="00A83775">
      <w:pPr>
        <w:pStyle w:val="SingleTxtGC"/>
        <w:rPr>
          <w:lang w:val="es-ES"/>
        </w:rPr>
      </w:pPr>
    </w:p>
    <w:p w:rsidR="00A83775" w:rsidRDefault="00A83775">
      <w:pPr>
        <w:pStyle w:val="SingleTxtGC"/>
        <w:rPr>
          <w:lang w:val="es-ES"/>
        </w:rPr>
      </w:pPr>
    </w:p>
    <w:p w:rsidR="00A83775" w:rsidRDefault="00A83775">
      <w:pPr>
        <w:pStyle w:val="SingleTxtGC"/>
        <w:rPr>
          <w:lang w:val="es-ES"/>
        </w:rPr>
      </w:pPr>
    </w:p>
    <w:p w:rsidR="00A83775" w:rsidRDefault="00A83775">
      <w:pPr>
        <w:pStyle w:val="SingleTxtGC"/>
        <w:rPr>
          <w:lang w:val="es-ES"/>
        </w:rPr>
      </w:pPr>
    </w:p>
    <w:p w:rsidR="00A83775" w:rsidRDefault="00A83775">
      <w:pPr>
        <w:pStyle w:val="SingleTxtGC"/>
        <w:rPr>
          <w:lang w:val="es-ES"/>
        </w:rPr>
      </w:pPr>
    </w:p>
    <w:p w:rsidR="00A83775" w:rsidRDefault="00A83775">
      <w:pPr>
        <w:pStyle w:val="SingleTxtGC"/>
        <w:rPr>
          <w:lang w:val="es-ES"/>
        </w:rPr>
      </w:pPr>
    </w:p>
    <w:p w:rsidR="00A83775" w:rsidRDefault="00A83775">
      <w:pPr>
        <w:pStyle w:val="SingleTxtGC"/>
        <w:rPr>
          <w:lang w:val="es-ES"/>
        </w:rPr>
      </w:pPr>
    </w:p>
    <w:p w:rsidR="00A83775" w:rsidRDefault="00A83775">
      <w:pPr>
        <w:pStyle w:val="H23GC"/>
        <w:rPr>
          <w:lang w:val="es-ES"/>
        </w:rPr>
      </w:pPr>
      <w:r>
        <w:rPr>
          <w:rFonts w:hint="eastAsia"/>
          <w:lang w:val="es-ES"/>
        </w:rPr>
        <w:tab/>
      </w:r>
      <w:r>
        <w:rPr>
          <w:rFonts w:hint="eastAsia"/>
          <w:lang w:val="es-ES"/>
        </w:rPr>
        <w:tab/>
      </w:r>
      <w:r>
        <w:rPr>
          <w:rFonts w:hint="eastAsia"/>
          <w:lang w:val="es-ES"/>
        </w:rPr>
        <w:t>生育率</w:t>
      </w:r>
    </w:p>
    <w:p w:rsidR="00A83775" w:rsidRDefault="00A83775">
      <w:pPr>
        <w:pStyle w:val="SingleTxtGC"/>
        <w:rPr>
          <w:lang w:val="zh-CN"/>
        </w:rPr>
      </w:pPr>
      <w:r>
        <w:rPr>
          <w:lang w:val="es-ES"/>
        </w:rPr>
        <w:t xml:space="preserve">512.  </w:t>
      </w:r>
      <w:r>
        <w:rPr>
          <w:rFonts w:hint="eastAsia"/>
          <w:lang w:val="es-ES"/>
        </w:rPr>
        <w:t>生育率从</w:t>
      </w:r>
      <w:r>
        <w:rPr>
          <w:rFonts w:hint="eastAsia"/>
          <w:lang w:val="es-ES"/>
        </w:rPr>
        <w:t>2005</w:t>
      </w:r>
      <w:r>
        <w:rPr>
          <w:rFonts w:hint="eastAsia"/>
          <w:lang w:val="es-ES"/>
        </w:rPr>
        <w:t>年的人均生育</w:t>
      </w:r>
      <w:r>
        <w:rPr>
          <w:rFonts w:hint="eastAsia"/>
          <w:lang w:val="es-ES"/>
        </w:rPr>
        <w:t>2.4</w:t>
      </w:r>
      <w:r>
        <w:rPr>
          <w:rFonts w:hint="eastAsia"/>
          <w:lang w:val="es-ES"/>
        </w:rPr>
        <w:t>名子女变为</w:t>
      </w:r>
      <w:r>
        <w:rPr>
          <w:rFonts w:hint="eastAsia"/>
          <w:lang w:val="es-ES"/>
        </w:rPr>
        <w:t>2010</w:t>
      </w:r>
      <w:r>
        <w:rPr>
          <w:rFonts w:hint="eastAsia"/>
          <w:lang w:val="es-ES"/>
        </w:rPr>
        <w:t>年的</w:t>
      </w:r>
      <w:r>
        <w:rPr>
          <w:rFonts w:hint="eastAsia"/>
          <w:lang w:val="es-ES"/>
        </w:rPr>
        <w:t>2.1</w:t>
      </w:r>
      <w:r>
        <w:rPr>
          <w:rFonts w:hint="eastAsia"/>
          <w:lang w:val="es-ES"/>
        </w:rPr>
        <w:t>名。总生育率从</w:t>
      </w:r>
      <w:r>
        <w:rPr>
          <w:rFonts w:hint="eastAsia"/>
          <w:lang w:val="es-ES"/>
        </w:rPr>
        <w:t>2005</w:t>
      </w:r>
      <w:r>
        <w:rPr>
          <w:rFonts w:hint="eastAsia"/>
          <w:lang w:val="es-ES"/>
        </w:rPr>
        <w:t>年的每千名妇女</w:t>
      </w:r>
      <w:r>
        <w:rPr>
          <w:rFonts w:hint="eastAsia"/>
          <w:lang w:val="es-ES"/>
        </w:rPr>
        <w:t>83</w:t>
      </w:r>
      <w:r>
        <w:rPr>
          <w:rFonts w:hint="eastAsia"/>
          <w:lang w:val="es-ES"/>
        </w:rPr>
        <w:t>名新生儿发展到</w:t>
      </w:r>
      <w:r>
        <w:rPr>
          <w:rFonts w:hint="eastAsia"/>
          <w:lang w:val="es-ES"/>
        </w:rPr>
        <w:t>2010</w:t>
      </w:r>
      <w:r>
        <w:rPr>
          <w:rFonts w:hint="eastAsia"/>
          <w:lang w:val="es-ES"/>
        </w:rPr>
        <w:t>年的每千名妇女</w:t>
      </w:r>
      <w:r>
        <w:rPr>
          <w:rFonts w:hint="eastAsia"/>
          <w:lang w:val="es-ES"/>
        </w:rPr>
        <w:t>7.5</w:t>
      </w:r>
      <w:r>
        <w:rPr>
          <w:rFonts w:hint="eastAsia"/>
          <w:lang w:val="es-ES"/>
        </w:rPr>
        <w:t>名。总出生率从</w:t>
      </w:r>
      <w:r>
        <w:rPr>
          <w:rFonts w:hint="eastAsia"/>
          <w:lang w:val="es-ES"/>
        </w:rPr>
        <w:t>2005</w:t>
      </w:r>
      <w:r>
        <w:rPr>
          <w:rFonts w:hint="eastAsia"/>
          <w:lang w:val="es-ES"/>
        </w:rPr>
        <w:t>年的每千名居民</w:t>
      </w:r>
      <w:r>
        <w:rPr>
          <w:rFonts w:hint="eastAsia"/>
          <w:lang w:val="es-ES"/>
        </w:rPr>
        <w:t>20</w:t>
      </w:r>
      <w:r>
        <w:rPr>
          <w:rFonts w:hint="eastAsia"/>
          <w:lang w:val="es-ES"/>
        </w:rPr>
        <w:t>名新生儿降至</w:t>
      </w:r>
      <w:r>
        <w:rPr>
          <w:rFonts w:hint="eastAsia"/>
          <w:lang w:val="es-ES"/>
        </w:rPr>
        <w:t>2010</w:t>
      </w:r>
      <w:r>
        <w:rPr>
          <w:rFonts w:hint="eastAsia"/>
          <w:lang w:val="es-ES"/>
        </w:rPr>
        <w:t>年的每千名居民</w:t>
      </w:r>
      <w:r>
        <w:rPr>
          <w:rFonts w:hint="eastAsia"/>
          <w:lang w:val="es-ES"/>
        </w:rPr>
        <w:t>18</w:t>
      </w:r>
      <w:r>
        <w:rPr>
          <w:rFonts w:hint="eastAsia"/>
          <w:lang w:val="es-ES"/>
        </w:rPr>
        <w:t>名。青少年生育率为每千名少女</w:t>
      </w:r>
      <w:r>
        <w:rPr>
          <w:rFonts w:hint="eastAsia"/>
          <w:lang w:val="es-ES"/>
        </w:rPr>
        <w:t>84</w:t>
      </w:r>
      <w:r>
        <w:rPr>
          <w:rFonts w:hint="eastAsia"/>
          <w:lang w:val="es-ES"/>
        </w:rPr>
        <w:t>名新生儿。与</w:t>
      </w:r>
      <w:r>
        <w:rPr>
          <w:rFonts w:hint="eastAsia"/>
          <w:lang w:val="es-ES"/>
        </w:rPr>
        <w:t>2005</w:t>
      </w:r>
      <w:r>
        <w:rPr>
          <w:rFonts w:hint="eastAsia"/>
          <w:lang w:val="es-ES"/>
        </w:rPr>
        <w:t>年的数据相比，城市地区的少女生育率从</w:t>
      </w:r>
      <w:r>
        <w:rPr>
          <w:rFonts w:hint="eastAsia"/>
          <w:lang w:val="zh-CN"/>
        </w:rPr>
        <w:t>每千人</w:t>
      </w:r>
      <w:r>
        <w:rPr>
          <w:rFonts w:hint="eastAsia"/>
          <w:lang w:val="zh-CN"/>
        </w:rPr>
        <w:t>79</w:t>
      </w:r>
      <w:r>
        <w:rPr>
          <w:rFonts w:hint="eastAsia"/>
          <w:lang w:val="zh-CN"/>
        </w:rPr>
        <w:t>名降至</w:t>
      </w:r>
      <w:r>
        <w:rPr>
          <w:rFonts w:hint="eastAsia"/>
          <w:lang w:val="zh-CN"/>
        </w:rPr>
        <w:t>73</w:t>
      </w:r>
      <w:r>
        <w:rPr>
          <w:rFonts w:hint="eastAsia"/>
          <w:lang w:val="zh-CN"/>
        </w:rPr>
        <w:t>名，而农村地区的这一比率也略有下降，从每千名少女生育</w:t>
      </w:r>
      <w:r>
        <w:rPr>
          <w:rFonts w:hint="eastAsia"/>
          <w:lang w:val="zh-CN"/>
        </w:rPr>
        <w:t>128</w:t>
      </w:r>
      <w:r>
        <w:rPr>
          <w:rFonts w:hint="eastAsia"/>
          <w:lang w:val="zh-CN"/>
        </w:rPr>
        <w:t>名新生儿降至</w:t>
      </w:r>
      <w:r>
        <w:rPr>
          <w:rFonts w:hint="eastAsia"/>
          <w:lang w:val="zh-CN"/>
        </w:rPr>
        <w:t>122</w:t>
      </w:r>
      <w:r>
        <w:rPr>
          <w:rFonts w:hint="eastAsia"/>
          <w:lang w:val="zh-CN"/>
        </w:rPr>
        <w:t>名。</w:t>
      </w:r>
    </w:p>
    <w:p w:rsidR="00A83775" w:rsidRDefault="00A83775">
      <w:pPr>
        <w:pStyle w:val="SingleTxtGC"/>
        <w:rPr>
          <w:lang w:val="zh-CN"/>
        </w:rPr>
      </w:pPr>
      <w:r>
        <w:rPr>
          <w:lang w:val="zh-CN"/>
        </w:rPr>
        <w:t xml:space="preserve">513.  </w:t>
      </w:r>
      <w:r>
        <w:rPr>
          <w:rFonts w:hint="eastAsia"/>
          <w:lang w:val="zh-CN"/>
        </w:rPr>
        <w:t>未满</w:t>
      </w:r>
      <w:r>
        <w:rPr>
          <w:rFonts w:hint="eastAsia"/>
          <w:lang w:val="zh-CN"/>
        </w:rPr>
        <w:t>20</w:t>
      </w:r>
      <w:r>
        <w:rPr>
          <w:rFonts w:hint="eastAsia"/>
          <w:lang w:val="zh-CN"/>
        </w:rPr>
        <w:t>岁女性的生育率在</w:t>
      </w:r>
      <w:r>
        <w:rPr>
          <w:rFonts w:hint="eastAsia"/>
          <w:lang w:val="zh-CN"/>
        </w:rPr>
        <w:t>2005</w:t>
      </w:r>
      <w:r>
        <w:rPr>
          <w:rFonts w:hint="eastAsia"/>
          <w:lang w:val="zh-CN"/>
        </w:rPr>
        <w:t>年之前一直呈现上升趋势，但是目前重新呈现下降趋势：</w:t>
      </w:r>
      <w:r>
        <w:rPr>
          <w:rFonts w:hint="eastAsia"/>
          <w:lang w:val="zh-CN"/>
        </w:rPr>
        <w:t>1990</w:t>
      </w:r>
      <w:r>
        <w:rPr>
          <w:rFonts w:hint="eastAsia"/>
          <w:lang w:val="zh-CN"/>
        </w:rPr>
        <w:t>年这一比率估计约为每千人生育</w:t>
      </w:r>
      <w:r>
        <w:rPr>
          <w:rFonts w:hint="eastAsia"/>
          <w:lang w:val="zh-CN"/>
        </w:rPr>
        <w:t>70</w:t>
      </w:r>
      <w:r>
        <w:rPr>
          <w:rFonts w:hint="eastAsia"/>
          <w:lang w:val="zh-CN"/>
        </w:rPr>
        <w:t>名新生儿，到</w:t>
      </w:r>
      <w:r>
        <w:rPr>
          <w:rFonts w:hint="eastAsia"/>
          <w:lang w:val="zh-CN"/>
        </w:rPr>
        <w:t>1995</w:t>
      </w:r>
      <w:r>
        <w:rPr>
          <w:rFonts w:hint="eastAsia"/>
          <w:lang w:val="zh-CN"/>
        </w:rPr>
        <w:t>年增加到</w:t>
      </w:r>
      <w:r>
        <w:rPr>
          <w:rFonts w:hint="eastAsia"/>
          <w:lang w:val="zh-CN"/>
        </w:rPr>
        <w:t>89</w:t>
      </w:r>
      <w:r>
        <w:rPr>
          <w:rFonts w:hint="eastAsia"/>
          <w:lang w:val="zh-CN"/>
        </w:rPr>
        <w:t>人，</w:t>
      </w:r>
      <w:r>
        <w:rPr>
          <w:rFonts w:hint="eastAsia"/>
          <w:lang w:val="zh-CN"/>
        </w:rPr>
        <w:t>2005</w:t>
      </w:r>
      <w:r>
        <w:rPr>
          <w:rFonts w:hint="eastAsia"/>
          <w:lang w:val="zh-CN"/>
        </w:rPr>
        <w:t>年估计为</w:t>
      </w:r>
      <w:r>
        <w:rPr>
          <w:rFonts w:hint="eastAsia"/>
          <w:lang w:val="zh-CN"/>
        </w:rPr>
        <w:t>90</w:t>
      </w:r>
      <w:r>
        <w:rPr>
          <w:rFonts w:hint="eastAsia"/>
          <w:lang w:val="zh-CN"/>
        </w:rPr>
        <w:t>人，当前为每千人</w:t>
      </w:r>
      <w:r>
        <w:rPr>
          <w:rFonts w:hint="eastAsia"/>
          <w:lang w:val="zh-CN"/>
        </w:rPr>
        <w:t>84</w:t>
      </w:r>
      <w:r>
        <w:rPr>
          <w:rFonts w:hint="eastAsia"/>
          <w:lang w:val="zh-CN"/>
        </w:rPr>
        <w:t>名。</w:t>
      </w:r>
      <w:r>
        <w:rPr>
          <w:rFonts w:hint="eastAsia"/>
          <w:lang w:val="zh-CN"/>
        </w:rPr>
        <w:t>2010</w:t>
      </w:r>
      <w:r>
        <w:rPr>
          <w:rFonts w:hint="eastAsia"/>
          <w:lang w:val="zh-CN"/>
        </w:rPr>
        <w:t>年全国人口和卫生普查数据显示在哥伦比亚，避孕知识得到了普及，所有人，无论其身份和社会经济地位如何，都了解这方面的相关知识。</w:t>
      </w:r>
    </w:p>
    <w:p w:rsidR="00A83775" w:rsidRDefault="00A83775">
      <w:pPr>
        <w:pStyle w:val="SingleTxtGC"/>
        <w:rPr>
          <w:rFonts w:hint="eastAsia"/>
          <w:lang w:val="es-ES"/>
        </w:rPr>
      </w:pPr>
      <w:r>
        <w:rPr>
          <w:lang w:val="zh-CN"/>
        </w:rPr>
        <w:t xml:space="preserve">514.  </w:t>
      </w:r>
      <w:r>
        <w:rPr>
          <w:rFonts w:eastAsia="SimHei" w:hint="eastAsia"/>
          <w:lang w:val="zh-CN"/>
        </w:rPr>
        <w:t>生育间隔</w:t>
      </w:r>
      <w:r>
        <w:rPr>
          <w:rFonts w:hint="eastAsia"/>
          <w:lang w:val="zh-CN"/>
        </w:rPr>
        <w:t>。在哥伦比亚，怀孕生育的间隔时间有所增加，当前为</w:t>
      </w:r>
      <w:r>
        <w:rPr>
          <w:rFonts w:hint="eastAsia"/>
          <w:lang w:val="zh-CN"/>
        </w:rPr>
        <w:t>48</w:t>
      </w:r>
      <w:r>
        <w:rPr>
          <w:rFonts w:hint="eastAsia"/>
          <w:lang w:val="zh-CN"/>
        </w:rPr>
        <w:t>个月，与</w:t>
      </w:r>
      <w:r>
        <w:rPr>
          <w:rFonts w:hint="eastAsia"/>
          <w:lang w:val="zh-CN"/>
        </w:rPr>
        <w:t>2005</w:t>
      </w:r>
      <w:r>
        <w:rPr>
          <w:rFonts w:hint="eastAsia"/>
          <w:lang w:val="zh-CN"/>
        </w:rPr>
        <w:t>年（</w:t>
      </w:r>
      <w:r>
        <w:rPr>
          <w:rFonts w:hint="eastAsia"/>
          <w:lang w:val="zh-CN"/>
        </w:rPr>
        <w:t>42</w:t>
      </w:r>
      <w:r>
        <w:rPr>
          <w:rFonts w:hint="eastAsia"/>
          <w:lang w:val="es-ES"/>
        </w:rPr>
        <w:t>个月）同期相比延长了</w:t>
      </w:r>
      <w:r>
        <w:rPr>
          <w:rFonts w:hint="eastAsia"/>
          <w:lang w:val="es-ES"/>
        </w:rPr>
        <w:t>6</w:t>
      </w:r>
      <w:r>
        <w:rPr>
          <w:rFonts w:hint="eastAsia"/>
          <w:lang w:val="es-ES"/>
        </w:rPr>
        <w:t>个月。母亲的年龄越大，子女之间的出生间隔时间越长，</w:t>
      </w:r>
      <w:r>
        <w:rPr>
          <w:rFonts w:hint="eastAsia"/>
          <w:lang w:val="es-ES"/>
        </w:rPr>
        <w:t>20-29</w:t>
      </w:r>
      <w:r>
        <w:rPr>
          <w:rFonts w:hint="eastAsia"/>
          <w:lang w:val="es-ES"/>
        </w:rPr>
        <w:t>岁年龄段妇女的平均生育间隔时间为</w:t>
      </w:r>
      <w:r>
        <w:rPr>
          <w:rFonts w:hint="eastAsia"/>
          <w:lang w:val="es-ES"/>
        </w:rPr>
        <w:t>37</w:t>
      </w:r>
      <w:r>
        <w:rPr>
          <w:rFonts w:hint="eastAsia"/>
          <w:lang w:val="es-ES"/>
        </w:rPr>
        <w:t>个月，而</w:t>
      </w:r>
      <w:r>
        <w:rPr>
          <w:rFonts w:hint="eastAsia"/>
          <w:lang w:val="es-ES"/>
        </w:rPr>
        <w:t>30-39</w:t>
      </w:r>
      <w:r>
        <w:rPr>
          <w:rFonts w:hint="eastAsia"/>
          <w:lang w:val="es-ES"/>
        </w:rPr>
        <w:t>岁年龄段妇女的间隔时间为</w:t>
      </w:r>
      <w:r>
        <w:rPr>
          <w:rFonts w:hint="eastAsia"/>
          <w:lang w:val="es-ES"/>
        </w:rPr>
        <w:t>66</w:t>
      </w:r>
      <w:r>
        <w:rPr>
          <w:rFonts w:hint="eastAsia"/>
          <w:lang w:val="es-ES"/>
        </w:rPr>
        <w:t>个月。如果有子女夭折，则再生育子女的时间会提前：如果前一次生育的子女夭折了，那么生育间隔时间会缩短至</w:t>
      </w:r>
      <w:r>
        <w:rPr>
          <w:rFonts w:hint="eastAsia"/>
          <w:lang w:val="es-ES"/>
        </w:rPr>
        <w:t>31</w:t>
      </w:r>
      <w:r>
        <w:rPr>
          <w:rFonts w:hint="eastAsia"/>
          <w:lang w:val="es-ES"/>
        </w:rPr>
        <w:t>个月，而如果前一次生育的子女仍存活，那么再生孩子的时间会拉长至</w:t>
      </w:r>
      <w:r>
        <w:rPr>
          <w:rFonts w:hint="eastAsia"/>
          <w:lang w:val="es-ES"/>
        </w:rPr>
        <w:t>48</w:t>
      </w:r>
      <w:r>
        <w:rPr>
          <w:rFonts w:hint="eastAsia"/>
          <w:lang w:val="es-ES"/>
        </w:rPr>
        <w:t>个月。</w:t>
      </w:r>
    </w:p>
    <w:p w:rsidR="00A83775" w:rsidRDefault="00A83775">
      <w:pPr>
        <w:pStyle w:val="SingleTxtGC"/>
        <w:rPr>
          <w:rFonts w:hint="eastAsia"/>
          <w:lang w:val="zh-CN"/>
        </w:rPr>
      </w:pPr>
      <w:r>
        <w:rPr>
          <w:bCs/>
          <w:lang w:val="es-ES"/>
        </w:rPr>
        <w:t xml:space="preserve">515.  </w:t>
      </w:r>
      <w:r>
        <w:rPr>
          <w:rFonts w:eastAsia="SimHei" w:hint="eastAsia"/>
          <w:bCs/>
          <w:lang w:val="es-ES"/>
        </w:rPr>
        <w:t>生育第一个子女时的母亲年龄</w:t>
      </w:r>
      <w:r>
        <w:rPr>
          <w:rFonts w:hint="eastAsia"/>
          <w:bCs/>
          <w:lang w:val="es-ES"/>
        </w:rPr>
        <w:t>。生育第一胎的年龄在</w:t>
      </w:r>
      <w:r>
        <w:rPr>
          <w:rFonts w:hint="eastAsia"/>
          <w:bCs/>
          <w:lang w:val="es-ES"/>
        </w:rPr>
        <w:t>2005-2010</w:t>
      </w:r>
      <w:r>
        <w:rPr>
          <w:rFonts w:hint="eastAsia"/>
          <w:bCs/>
          <w:lang w:val="es-ES"/>
        </w:rPr>
        <w:t>年期间略有下降：</w:t>
      </w:r>
      <w:r>
        <w:rPr>
          <w:rFonts w:hint="eastAsia"/>
          <w:bCs/>
          <w:lang w:val="es-ES"/>
        </w:rPr>
        <w:t>2005</w:t>
      </w:r>
      <w:r>
        <w:rPr>
          <w:rFonts w:hint="eastAsia"/>
          <w:bCs/>
          <w:lang w:val="es-ES"/>
        </w:rPr>
        <w:t>年</w:t>
      </w:r>
      <w:r>
        <w:rPr>
          <w:rFonts w:hint="eastAsia"/>
          <w:bCs/>
          <w:lang w:val="es-ES"/>
        </w:rPr>
        <w:t>25-49</w:t>
      </w:r>
      <w:r>
        <w:rPr>
          <w:rFonts w:hint="eastAsia"/>
          <w:bCs/>
          <w:lang w:val="es-ES"/>
        </w:rPr>
        <w:t>岁年龄段妇女生育第一胎的平均年龄为</w:t>
      </w:r>
      <w:r>
        <w:rPr>
          <w:rFonts w:hint="eastAsia"/>
          <w:bCs/>
          <w:lang w:val="es-ES"/>
        </w:rPr>
        <w:t>21.6</w:t>
      </w:r>
      <w:r>
        <w:rPr>
          <w:rFonts w:hint="eastAsia"/>
          <w:bCs/>
          <w:lang w:val="es-ES"/>
        </w:rPr>
        <w:t>岁，而五年之后这一年龄为</w:t>
      </w:r>
      <w:r>
        <w:rPr>
          <w:rFonts w:hint="eastAsia"/>
          <w:bCs/>
          <w:lang w:val="es-ES"/>
        </w:rPr>
        <w:t>21.8</w:t>
      </w:r>
      <w:r>
        <w:rPr>
          <w:rFonts w:hint="eastAsia"/>
          <w:bCs/>
          <w:lang w:val="es-ES"/>
        </w:rPr>
        <w:t>岁。城市和农村地区在这方面的差距不大：城乡地区在五年之后的第</w:t>
      </w:r>
      <w:r>
        <w:rPr>
          <w:rFonts w:hint="eastAsia"/>
          <w:lang w:val="zh-CN"/>
        </w:rPr>
        <w:t>一胎平均生育年龄相当。在城市地区，第一胎生育的平均年龄为</w:t>
      </w:r>
      <w:r>
        <w:rPr>
          <w:rFonts w:hint="eastAsia"/>
          <w:lang w:val="zh-CN"/>
        </w:rPr>
        <w:t>22</w:t>
      </w:r>
      <w:r>
        <w:rPr>
          <w:rFonts w:hint="eastAsia"/>
          <w:lang w:val="zh-CN"/>
        </w:rPr>
        <w:t>岁，农村地区则为</w:t>
      </w:r>
      <w:r>
        <w:rPr>
          <w:rFonts w:hint="eastAsia"/>
          <w:lang w:val="zh-CN"/>
        </w:rPr>
        <w:t>20</w:t>
      </w:r>
      <w:r>
        <w:rPr>
          <w:rFonts w:hint="eastAsia"/>
          <w:lang w:val="zh-CN"/>
        </w:rPr>
        <w:t>岁。第一胎生育年龄最晚的地区是波哥大，平均为</w:t>
      </w:r>
      <w:r>
        <w:rPr>
          <w:rFonts w:hint="eastAsia"/>
          <w:lang w:val="zh-CN"/>
        </w:rPr>
        <w:t>22.7</w:t>
      </w:r>
      <w:r>
        <w:rPr>
          <w:rFonts w:hint="eastAsia"/>
          <w:lang w:val="zh-CN"/>
        </w:rPr>
        <w:t>岁，最早的地区是奥里诺科－亚马孙地区，平均为</w:t>
      </w:r>
      <w:r>
        <w:rPr>
          <w:rFonts w:hint="eastAsia"/>
          <w:lang w:val="zh-CN"/>
        </w:rPr>
        <w:t>20</w:t>
      </w:r>
      <w:r>
        <w:rPr>
          <w:rFonts w:hint="eastAsia"/>
          <w:lang w:val="zh-CN"/>
        </w:rPr>
        <w:t>岁，而其他地区的年龄波动范围为，东部地区</w:t>
      </w:r>
      <w:r>
        <w:rPr>
          <w:rFonts w:hint="eastAsia"/>
          <w:lang w:val="zh-CN"/>
        </w:rPr>
        <w:t>21.3</w:t>
      </w:r>
      <w:r>
        <w:rPr>
          <w:rFonts w:hint="eastAsia"/>
          <w:lang w:val="zh-CN"/>
        </w:rPr>
        <w:t>岁，太平洋沿岸地区</w:t>
      </w:r>
      <w:r>
        <w:rPr>
          <w:rFonts w:hint="eastAsia"/>
          <w:lang w:val="zh-CN"/>
        </w:rPr>
        <w:t>21.4</w:t>
      </w:r>
      <w:r>
        <w:rPr>
          <w:rFonts w:hint="eastAsia"/>
          <w:lang w:val="zh-CN"/>
        </w:rPr>
        <w:t>岁，加勒比海岸地区</w:t>
      </w:r>
      <w:r>
        <w:rPr>
          <w:rFonts w:hint="eastAsia"/>
          <w:lang w:val="zh-CN"/>
        </w:rPr>
        <w:t>21.6</w:t>
      </w:r>
      <w:r>
        <w:rPr>
          <w:rFonts w:hint="eastAsia"/>
          <w:lang w:val="zh-CN"/>
        </w:rPr>
        <w:t>岁。</w:t>
      </w:r>
    </w:p>
    <w:p w:rsidR="00A83775" w:rsidRDefault="00A83775">
      <w:pPr>
        <w:pStyle w:val="SingleTxtGC"/>
        <w:rPr>
          <w:rFonts w:hint="eastAsia"/>
          <w:bCs/>
          <w:lang w:val="es-ES"/>
        </w:rPr>
      </w:pPr>
      <w:r>
        <w:rPr>
          <w:lang w:val="zh-CN"/>
        </w:rPr>
        <w:t xml:space="preserve">516.  </w:t>
      </w:r>
      <w:r>
        <w:rPr>
          <w:rFonts w:eastAsia="SimHei" w:hint="eastAsia"/>
          <w:lang w:val="zh-CN"/>
        </w:rPr>
        <w:t>了解和使用避</w:t>
      </w:r>
      <w:r>
        <w:rPr>
          <w:rFonts w:eastAsia="SimHei" w:hint="eastAsia"/>
          <w:bCs/>
          <w:lang w:val="es-ES"/>
        </w:rPr>
        <w:t>孕手段</w:t>
      </w:r>
      <w:r>
        <w:rPr>
          <w:rFonts w:hint="eastAsia"/>
          <w:bCs/>
          <w:lang w:val="es-ES"/>
        </w:rPr>
        <w:t>。通过</w:t>
      </w:r>
      <w:r>
        <w:rPr>
          <w:rFonts w:hint="eastAsia"/>
          <w:bCs/>
          <w:lang w:val="es-ES"/>
        </w:rPr>
        <w:t>2010</w:t>
      </w:r>
      <w:r>
        <w:rPr>
          <w:rFonts w:hint="eastAsia"/>
          <w:bCs/>
          <w:lang w:val="es-ES"/>
        </w:rPr>
        <w:t>年全国人口和卫生普查对目标妇女的调查结果显示，避孕知识在哥伦比亚得到了普及。无论是在地域（城市或农村）、受教育水平还是经济社会地位上，也无论贫穷还是富裕，在对各类计划生育方法的了解方面都不存在显著差异；计划生育知识已经在哥伦比亚人口各阶层中得到了同样水平的普及。</w:t>
      </w:r>
    </w:p>
    <w:p w:rsidR="00A83775" w:rsidRDefault="00A83775">
      <w:pPr>
        <w:pStyle w:val="SingleTxtGC"/>
        <w:rPr>
          <w:lang w:val="zh-CN"/>
        </w:rPr>
      </w:pPr>
      <w:r>
        <w:rPr>
          <w:lang w:val="es-ES"/>
        </w:rPr>
        <w:t xml:space="preserve">517.  </w:t>
      </w:r>
      <w:r>
        <w:rPr>
          <w:rFonts w:hint="eastAsia"/>
          <w:lang w:val="es-ES"/>
        </w:rPr>
        <w:t>常用的避孕方法依次是：安全套、避孕药、注射针和女性绝育手术。另一方面，</w:t>
      </w:r>
      <w:r>
        <w:rPr>
          <w:rFonts w:hint="eastAsia"/>
          <w:lang w:val="zh-CN"/>
        </w:rPr>
        <w:t>较少采用的避孕方法有哺乳期闭经，这一方法在哥伦比亚通常不被视为避孕方法，而阴道避孕也很少被采用。</w:t>
      </w:r>
    </w:p>
    <w:p w:rsidR="00A83775" w:rsidRDefault="00A83775">
      <w:pPr>
        <w:pStyle w:val="SingleTxtGC"/>
        <w:rPr>
          <w:lang w:val="zh-CN"/>
        </w:rPr>
      </w:pPr>
      <w:r>
        <w:rPr>
          <w:lang w:val="zh-CN"/>
        </w:rPr>
        <w:t xml:space="preserve">518.  </w:t>
      </w:r>
      <w:r>
        <w:rPr>
          <w:rFonts w:hint="eastAsia"/>
          <w:lang w:val="zh-CN"/>
        </w:rPr>
        <w:t>2010</w:t>
      </w:r>
      <w:r>
        <w:rPr>
          <w:rFonts w:hint="eastAsia"/>
          <w:lang w:val="zh-CN"/>
        </w:rPr>
        <w:t>年全国人口和卫生普查获得的数字清楚展示了哥伦比亚社会保障部为更好地提供计划生育服务，减少这一服务在各类人群中存在的不平等而服务的努力。</w:t>
      </w:r>
    </w:p>
    <w:p w:rsidR="00A83775" w:rsidRDefault="00A83775">
      <w:pPr>
        <w:pStyle w:val="SingleTxtGC"/>
        <w:rPr>
          <w:lang w:val="zh-CN"/>
        </w:rPr>
      </w:pPr>
      <w:r>
        <w:rPr>
          <w:lang w:val="zh-CN"/>
        </w:rPr>
        <w:t xml:space="preserve">519.  </w:t>
      </w:r>
      <w:r>
        <w:rPr>
          <w:rFonts w:hint="eastAsia"/>
          <w:lang w:val="zh-CN"/>
        </w:rPr>
        <w:t>在避孕措施的使用方面，特别是在育龄妇女（</w:t>
      </w:r>
      <w:r>
        <w:rPr>
          <w:rFonts w:hint="eastAsia"/>
          <w:lang w:val="zh-CN"/>
        </w:rPr>
        <w:t>15-49</w:t>
      </w:r>
      <w:r>
        <w:rPr>
          <w:rFonts w:hint="eastAsia"/>
          <w:lang w:val="zh-CN"/>
        </w:rPr>
        <w:t>岁）以及当前有同居关系和已婚妇女中，妇女绝育手术仍然是计划生育措施的首选，在</w:t>
      </w:r>
      <w:r>
        <w:rPr>
          <w:rFonts w:hint="eastAsia"/>
          <w:lang w:val="zh-CN"/>
        </w:rPr>
        <w:t>79%</w:t>
      </w:r>
      <w:r>
        <w:rPr>
          <w:rFonts w:hint="eastAsia"/>
          <w:lang w:val="zh-CN"/>
        </w:rPr>
        <w:t>的计划生育措施普及率中，这一措施就占了</w:t>
      </w:r>
      <w:r>
        <w:rPr>
          <w:rFonts w:hint="eastAsia"/>
          <w:lang w:val="zh-CN"/>
        </w:rPr>
        <w:t>35</w:t>
      </w:r>
      <w:r>
        <w:rPr>
          <w:rFonts w:hint="eastAsia"/>
          <w:lang w:val="zh-CN"/>
        </w:rPr>
        <w:t>个百分点。需要强调的是，注射针剂避孕首次跻身这一人群的第二避孕选择，其使用率达到了</w:t>
      </w:r>
      <w:r>
        <w:rPr>
          <w:rFonts w:hint="eastAsia"/>
          <w:lang w:val="zh-CN"/>
        </w:rPr>
        <w:t>9%</w:t>
      </w:r>
      <w:r>
        <w:rPr>
          <w:rFonts w:hint="eastAsia"/>
          <w:lang w:val="zh-CN"/>
        </w:rPr>
        <w:t>，而口服避孕药和宫内节育器则分别名列第三位和第四位，二者的使用率几乎相当。安全套的使用率仍维持在</w:t>
      </w:r>
      <w:r>
        <w:rPr>
          <w:rFonts w:hint="eastAsia"/>
          <w:lang w:val="zh-CN"/>
        </w:rPr>
        <w:t>7%</w:t>
      </w:r>
      <w:r>
        <w:rPr>
          <w:rFonts w:hint="eastAsia"/>
          <w:lang w:val="zh-CN"/>
        </w:rPr>
        <w:t>的水平。</w:t>
      </w:r>
    </w:p>
    <w:p w:rsidR="00A83775" w:rsidRDefault="00A83775">
      <w:pPr>
        <w:pStyle w:val="SingleTxtGC"/>
        <w:rPr>
          <w:lang w:val="zh-CN"/>
        </w:rPr>
      </w:pPr>
      <w:r>
        <w:rPr>
          <w:lang w:val="zh-CN"/>
        </w:rPr>
        <w:t xml:space="preserve">520.  </w:t>
      </w:r>
      <w:r>
        <w:rPr>
          <w:rFonts w:hint="eastAsia"/>
          <w:lang w:val="zh-CN"/>
        </w:rPr>
        <w:t>在哥伦比亚，避孕措施的使用率在</w:t>
      </w:r>
      <w:r>
        <w:rPr>
          <w:rFonts w:hint="eastAsia"/>
          <w:lang w:val="zh-CN"/>
        </w:rPr>
        <w:t>1990-2010</w:t>
      </w:r>
      <w:r>
        <w:rPr>
          <w:rFonts w:hint="eastAsia"/>
          <w:lang w:val="zh-CN"/>
        </w:rPr>
        <w:t>年期间提高了</w:t>
      </w:r>
      <w:r>
        <w:rPr>
          <w:rFonts w:hint="eastAsia"/>
          <w:lang w:val="zh-CN"/>
        </w:rPr>
        <w:t>13</w:t>
      </w:r>
      <w:r>
        <w:rPr>
          <w:rFonts w:hint="eastAsia"/>
          <w:lang w:val="zh-CN"/>
        </w:rPr>
        <w:t>个百分点。</w:t>
      </w:r>
    </w:p>
    <w:p w:rsidR="00A83775" w:rsidRDefault="00A83775">
      <w:pPr>
        <w:pStyle w:val="SingleTxtGC"/>
        <w:rPr>
          <w:bCs/>
          <w:lang w:val="es-ES"/>
        </w:rPr>
      </w:pPr>
      <w:r>
        <w:rPr>
          <w:lang w:val="zh-CN"/>
        </w:rPr>
        <w:t xml:space="preserve">521.  </w:t>
      </w:r>
      <w:r>
        <w:rPr>
          <w:rFonts w:eastAsia="SimHei" w:hint="eastAsia"/>
          <w:lang w:val="zh-CN"/>
        </w:rPr>
        <w:t>产前、产中和产后护</w:t>
      </w:r>
      <w:r>
        <w:rPr>
          <w:rFonts w:eastAsia="SimHei" w:hint="eastAsia"/>
          <w:bCs/>
          <w:lang w:val="es-ES"/>
        </w:rPr>
        <w:t>理</w:t>
      </w:r>
      <w:r>
        <w:rPr>
          <w:rFonts w:hint="eastAsia"/>
          <w:bCs/>
          <w:lang w:val="es-ES"/>
        </w:rPr>
        <w:t>。近五年来</w:t>
      </w:r>
      <w:r>
        <w:rPr>
          <w:rFonts w:hint="eastAsia"/>
          <w:bCs/>
          <w:lang w:val="es-ES"/>
        </w:rPr>
        <w:t>92%</w:t>
      </w:r>
      <w:r>
        <w:rPr>
          <w:rFonts w:hint="eastAsia"/>
          <w:bCs/>
          <w:lang w:val="es-ES"/>
        </w:rPr>
        <w:t>的怀孕得到了医生的护理，</w:t>
      </w:r>
      <w:r>
        <w:rPr>
          <w:rFonts w:hint="eastAsia"/>
          <w:bCs/>
          <w:lang w:val="es-ES"/>
        </w:rPr>
        <w:t>5%</w:t>
      </w:r>
      <w:r>
        <w:rPr>
          <w:rFonts w:hint="eastAsia"/>
          <w:bCs/>
          <w:lang w:val="es-ES"/>
        </w:rPr>
        <w:t>由护士护理。</w:t>
      </w:r>
      <w:r>
        <w:rPr>
          <w:rFonts w:hint="eastAsia"/>
          <w:bCs/>
          <w:lang w:val="es-ES"/>
        </w:rPr>
        <w:t>2010</w:t>
      </w:r>
      <w:r>
        <w:rPr>
          <w:rFonts w:hint="eastAsia"/>
          <w:bCs/>
          <w:lang w:val="es-ES"/>
        </w:rPr>
        <w:t>年医生实施的产检和护理比例比</w:t>
      </w:r>
      <w:r>
        <w:rPr>
          <w:rFonts w:hint="eastAsia"/>
          <w:bCs/>
          <w:lang w:val="es-ES"/>
        </w:rPr>
        <w:t>2005</w:t>
      </w:r>
      <w:r>
        <w:rPr>
          <w:rFonts w:hint="eastAsia"/>
          <w:bCs/>
          <w:lang w:val="es-ES"/>
        </w:rPr>
        <w:t>年同期水平提高了</w:t>
      </w:r>
      <w:r>
        <w:rPr>
          <w:rFonts w:hint="eastAsia"/>
          <w:bCs/>
          <w:lang w:val="es-ES"/>
        </w:rPr>
        <w:t>5</w:t>
      </w:r>
      <w:r>
        <w:rPr>
          <w:rFonts w:hint="eastAsia"/>
          <w:bCs/>
          <w:lang w:val="es-ES"/>
        </w:rPr>
        <w:t>个百分点，而有护士实施的产检和护理比例降低了近</w:t>
      </w:r>
      <w:r>
        <w:rPr>
          <w:rFonts w:hint="eastAsia"/>
          <w:bCs/>
          <w:lang w:val="es-ES"/>
        </w:rPr>
        <w:t>2</w:t>
      </w:r>
      <w:r>
        <w:rPr>
          <w:rFonts w:hint="eastAsia"/>
          <w:bCs/>
          <w:lang w:val="es-ES"/>
        </w:rPr>
        <w:t>个百分点。没有一例分娩是由助产士接生的。</w:t>
      </w:r>
    </w:p>
    <w:p w:rsidR="00A83775" w:rsidRDefault="00A83775">
      <w:pPr>
        <w:pStyle w:val="SingleTxtGC"/>
      </w:pPr>
      <w:r>
        <w:rPr>
          <w:iCs/>
          <w:lang w:val="es-ES"/>
        </w:rPr>
        <w:t xml:space="preserve">522.  </w:t>
      </w:r>
      <w:r>
        <w:rPr>
          <w:rFonts w:eastAsia="SimHei" w:hint="eastAsia"/>
          <w:iCs/>
          <w:lang w:val="es-ES"/>
        </w:rPr>
        <w:t>产检次数</w:t>
      </w:r>
      <w:r>
        <w:rPr>
          <w:rFonts w:hint="eastAsia"/>
          <w:iCs/>
          <w:lang w:val="es-ES"/>
        </w:rPr>
        <w:t>。</w:t>
      </w:r>
      <w:r>
        <w:rPr>
          <w:rFonts w:hint="eastAsia"/>
          <w:iCs/>
          <w:lang w:val="es-ES"/>
        </w:rPr>
        <w:t>89%</w:t>
      </w:r>
      <w:r>
        <w:rPr>
          <w:rFonts w:hint="eastAsia"/>
          <w:iCs/>
          <w:lang w:val="es-ES"/>
        </w:rPr>
        <w:t>的孕妇（城市为</w:t>
      </w:r>
      <w:r>
        <w:rPr>
          <w:rFonts w:hint="eastAsia"/>
          <w:iCs/>
          <w:lang w:val="es-ES"/>
        </w:rPr>
        <w:t>91%</w:t>
      </w:r>
      <w:r>
        <w:rPr>
          <w:rFonts w:hint="eastAsia"/>
          <w:iCs/>
          <w:lang w:val="es-ES"/>
        </w:rPr>
        <w:t>，农村为</w:t>
      </w:r>
      <w:r>
        <w:rPr>
          <w:rFonts w:hint="eastAsia"/>
          <w:iCs/>
          <w:lang w:val="es-ES"/>
        </w:rPr>
        <w:t>81%</w:t>
      </w:r>
      <w:r>
        <w:rPr>
          <w:rFonts w:hint="eastAsia"/>
          <w:iCs/>
          <w:lang w:val="es-ES"/>
        </w:rPr>
        <w:t>）进行了四次及以上的产前检查，</w:t>
      </w:r>
      <w:r>
        <w:rPr>
          <w:rFonts w:hint="eastAsia"/>
          <w:iCs/>
          <w:lang w:val="es-ES"/>
        </w:rPr>
        <w:t>6%</w:t>
      </w:r>
      <w:r>
        <w:rPr>
          <w:rFonts w:hint="eastAsia"/>
          <w:iCs/>
          <w:lang w:val="es-ES"/>
        </w:rPr>
        <w:t>的孕妇接受了二三次的产检，</w:t>
      </w:r>
      <w:r>
        <w:rPr>
          <w:rFonts w:hint="eastAsia"/>
          <w:iCs/>
          <w:lang w:val="es-ES"/>
        </w:rPr>
        <w:t>1%</w:t>
      </w:r>
      <w:r>
        <w:rPr>
          <w:rFonts w:hint="eastAsia"/>
          <w:iCs/>
          <w:lang w:val="es-ES"/>
        </w:rPr>
        <w:t>的孕妇只进行了一次产检。</w:t>
      </w:r>
      <w:r>
        <w:rPr>
          <w:rFonts w:hint="eastAsia"/>
          <w:iCs/>
          <w:lang w:val="es-ES"/>
        </w:rPr>
        <w:t>3%</w:t>
      </w:r>
      <w:r>
        <w:rPr>
          <w:rFonts w:hint="eastAsia"/>
          <w:iCs/>
          <w:lang w:val="es-ES"/>
        </w:rPr>
        <w:t>的妇女没有接</w:t>
      </w:r>
      <w:r>
        <w:rPr>
          <w:rFonts w:hint="eastAsia"/>
          <w:lang w:val="zh-CN"/>
        </w:rPr>
        <w:t>受过任何产前检查，从地域看，农村地区没有接受过任何产检的妇女比例为</w:t>
      </w:r>
      <w:r>
        <w:rPr>
          <w:rFonts w:hint="eastAsia"/>
          <w:lang w:val="zh-CN"/>
        </w:rPr>
        <w:t>6%</w:t>
      </w:r>
      <w:r>
        <w:rPr>
          <w:rFonts w:hint="eastAsia"/>
          <w:lang w:val="zh-CN"/>
        </w:rPr>
        <w:t>，城市地区则为</w:t>
      </w:r>
      <w:r>
        <w:rPr>
          <w:rFonts w:hint="eastAsia"/>
          <w:lang w:val="zh-CN"/>
        </w:rPr>
        <w:t>2%</w:t>
      </w:r>
      <w:r>
        <w:rPr>
          <w:rFonts w:hint="eastAsia"/>
          <w:lang w:val="zh-CN"/>
        </w:rPr>
        <w:t>。</w:t>
      </w:r>
    </w:p>
    <w:p w:rsidR="00A83775" w:rsidRDefault="00A83775">
      <w:pPr>
        <w:pStyle w:val="SingleTxtGC"/>
      </w:pPr>
      <w:r>
        <w:rPr>
          <w:lang w:val="zh-CN"/>
        </w:rPr>
        <w:t xml:space="preserve">523.  </w:t>
      </w:r>
      <w:r>
        <w:rPr>
          <w:rFonts w:hint="eastAsia"/>
          <w:lang w:val="zh-CN"/>
        </w:rPr>
        <w:t>接受第一次产检时的平均孕周数为第</w:t>
      </w:r>
      <w:r>
        <w:rPr>
          <w:rFonts w:hint="eastAsia"/>
          <w:lang w:val="zh-CN"/>
        </w:rPr>
        <w:t>2.7</w:t>
      </w:r>
      <w:r>
        <w:rPr>
          <w:rFonts w:hint="eastAsia"/>
          <w:lang w:val="zh-CN"/>
        </w:rPr>
        <w:t>个月。</w:t>
      </w:r>
      <w:r>
        <w:rPr>
          <w:rFonts w:hint="eastAsia"/>
          <w:lang w:val="zh-CN"/>
        </w:rPr>
        <w:t>77%</w:t>
      </w:r>
      <w:r>
        <w:rPr>
          <w:rFonts w:hint="eastAsia"/>
          <w:lang w:val="zh-CN"/>
        </w:rPr>
        <w:t>的孕妇在怀孕后的头四个月进行了第一次产检，</w:t>
      </w:r>
      <w:r>
        <w:rPr>
          <w:rFonts w:hint="eastAsia"/>
          <w:lang w:val="zh-CN"/>
        </w:rPr>
        <w:t>15%</w:t>
      </w:r>
      <w:r>
        <w:rPr>
          <w:rFonts w:hint="eastAsia"/>
          <w:lang w:val="zh-CN"/>
        </w:rPr>
        <w:t>则是在怀孕后第四个月和第五个月进行了第一次产检。</w:t>
      </w:r>
    </w:p>
    <w:p w:rsidR="00A83775" w:rsidRDefault="00A83775">
      <w:pPr>
        <w:pStyle w:val="SingleTxtGC"/>
        <w:rPr>
          <w:lang w:val="zh-CN"/>
        </w:rPr>
      </w:pPr>
      <w:r>
        <w:rPr>
          <w:lang w:val="zh-CN"/>
        </w:rPr>
        <w:t xml:space="preserve">524.  </w:t>
      </w:r>
      <w:r>
        <w:rPr>
          <w:rFonts w:eastAsia="SimHei" w:hint="eastAsia"/>
          <w:lang w:val="zh-CN"/>
        </w:rPr>
        <w:t>产前护理的内容</w:t>
      </w:r>
      <w:r>
        <w:rPr>
          <w:rFonts w:hint="eastAsia"/>
          <w:lang w:val="zh-CN"/>
        </w:rPr>
        <w:t>。对接受产前检查的孕妇，会向其询问是否已经了解妊娠期可能会有的并发症。每五名孕妇中有四名（</w:t>
      </w:r>
      <w:r>
        <w:rPr>
          <w:rFonts w:hint="eastAsia"/>
          <w:lang w:val="zh-CN"/>
        </w:rPr>
        <w:t>81%</w:t>
      </w:r>
      <w:r>
        <w:rPr>
          <w:rFonts w:hint="eastAsia"/>
          <w:lang w:val="zh-CN"/>
        </w:rPr>
        <w:t>）接受了这方面的相关信息，而</w:t>
      </w:r>
      <w:r>
        <w:rPr>
          <w:rFonts w:hint="eastAsia"/>
          <w:lang w:val="zh-CN"/>
        </w:rPr>
        <w:t>2005</w:t>
      </w:r>
      <w:r>
        <w:rPr>
          <w:rFonts w:hint="eastAsia"/>
          <w:lang w:val="zh-CN"/>
        </w:rPr>
        <w:t>年同期的这一比例为</w:t>
      </w:r>
      <w:r>
        <w:rPr>
          <w:rFonts w:hint="eastAsia"/>
          <w:lang w:val="zh-CN"/>
        </w:rPr>
        <w:t>64%</w:t>
      </w:r>
      <w:r>
        <w:rPr>
          <w:rFonts w:hint="eastAsia"/>
          <w:lang w:val="zh-CN"/>
        </w:rPr>
        <w:t>，而年龄越大的孕妇、生育子女数量越少的孕妇、城市地区的妇女，以及中产、富裕和非常富裕阶层的孕妇接受此类指导的比例越高。根据这方面的教育可以看出五年前以上各类妇女的并发症比例都要高于现在的水平。</w:t>
      </w:r>
    </w:p>
    <w:p w:rsidR="00A83775" w:rsidRDefault="00A83775">
      <w:pPr>
        <w:pStyle w:val="SingleTxtGC"/>
        <w:rPr>
          <w:rFonts w:hint="eastAsia"/>
          <w:bCs/>
          <w:lang w:val="es-ES"/>
        </w:rPr>
      </w:pPr>
      <w:r>
        <w:rPr>
          <w:lang w:val="zh-CN"/>
        </w:rPr>
        <w:t xml:space="preserve">525.  </w:t>
      </w:r>
      <w:r>
        <w:rPr>
          <w:rFonts w:eastAsia="SimHei" w:hint="eastAsia"/>
          <w:lang w:val="zh-CN"/>
        </w:rPr>
        <w:t>新生儿破伤风疫苗的接种</w:t>
      </w:r>
      <w:r>
        <w:rPr>
          <w:rFonts w:hint="eastAsia"/>
          <w:lang w:val="zh-CN"/>
        </w:rPr>
        <w:t>。每九名妇女就有一名没有在妊娠期内注射这一疫苗，</w:t>
      </w:r>
      <w:r>
        <w:rPr>
          <w:rFonts w:hint="eastAsia"/>
          <w:lang w:val="zh-CN"/>
        </w:rPr>
        <w:t>24%</w:t>
      </w:r>
      <w:r>
        <w:rPr>
          <w:rFonts w:hint="eastAsia"/>
          <w:lang w:val="zh-CN"/>
        </w:rPr>
        <w:t>的孕妇接</w:t>
      </w:r>
      <w:r>
        <w:rPr>
          <w:rFonts w:hint="eastAsia"/>
          <w:bCs/>
          <w:iCs/>
          <w:lang w:val="es-ES"/>
        </w:rPr>
        <w:t>受了一针剂量，</w:t>
      </w:r>
      <w:r>
        <w:rPr>
          <w:rFonts w:hint="eastAsia"/>
          <w:bCs/>
          <w:iCs/>
          <w:lang w:val="es-ES"/>
        </w:rPr>
        <w:t>60%</w:t>
      </w:r>
      <w:r>
        <w:rPr>
          <w:rFonts w:hint="eastAsia"/>
          <w:bCs/>
          <w:iCs/>
          <w:lang w:val="es-ES"/>
        </w:rPr>
        <w:t>接受了两针或更多剂量。免疫接种率与</w:t>
      </w:r>
      <w:r>
        <w:rPr>
          <w:rFonts w:hint="eastAsia"/>
          <w:bCs/>
          <w:iCs/>
          <w:lang w:val="es-ES"/>
        </w:rPr>
        <w:t>2005</w:t>
      </w:r>
      <w:r>
        <w:rPr>
          <w:rFonts w:hint="eastAsia"/>
          <w:bCs/>
          <w:iCs/>
          <w:lang w:val="es-ES"/>
        </w:rPr>
        <w:t>年相比略有下降。</w:t>
      </w:r>
    </w:p>
    <w:p w:rsidR="00A83775" w:rsidRDefault="00A83775">
      <w:pPr>
        <w:pStyle w:val="SingleTxtGC"/>
        <w:rPr>
          <w:lang w:val="zh-CN"/>
        </w:rPr>
      </w:pPr>
      <w:r>
        <w:rPr>
          <w:iCs/>
          <w:lang w:val="es-ES"/>
        </w:rPr>
        <w:t xml:space="preserve">526.  </w:t>
      </w:r>
      <w:r>
        <w:rPr>
          <w:rFonts w:eastAsia="SimHei" w:hint="eastAsia"/>
          <w:iCs/>
          <w:lang w:val="es-ES"/>
        </w:rPr>
        <w:t>分娩场所</w:t>
      </w:r>
      <w:r>
        <w:rPr>
          <w:rFonts w:hint="eastAsia"/>
          <w:iCs/>
          <w:lang w:val="es-ES"/>
        </w:rPr>
        <w:t>。自</w:t>
      </w:r>
      <w:r>
        <w:rPr>
          <w:rFonts w:hint="eastAsia"/>
          <w:iCs/>
          <w:lang w:val="es-ES"/>
        </w:rPr>
        <w:t>1990</w:t>
      </w:r>
      <w:r>
        <w:rPr>
          <w:rFonts w:hint="eastAsia"/>
          <w:iCs/>
          <w:lang w:val="es-ES"/>
        </w:rPr>
        <w:t>年开始在分娩场所上有了显著变化：在医疗卫生机构分娩的比例从</w:t>
      </w:r>
      <w:r>
        <w:rPr>
          <w:rFonts w:hint="eastAsia"/>
          <w:iCs/>
          <w:lang w:val="es-ES"/>
        </w:rPr>
        <w:t>1990</w:t>
      </w:r>
      <w:r>
        <w:rPr>
          <w:rFonts w:hint="eastAsia"/>
          <w:iCs/>
          <w:lang w:val="es-ES"/>
        </w:rPr>
        <w:t>年的</w:t>
      </w:r>
      <w:r>
        <w:rPr>
          <w:rFonts w:hint="eastAsia"/>
          <w:iCs/>
          <w:lang w:val="es-ES"/>
        </w:rPr>
        <w:t>76%</w:t>
      </w:r>
      <w:r>
        <w:rPr>
          <w:rFonts w:hint="eastAsia"/>
          <w:iCs/>
          <w:lang w:val="es-ES"/>
        </w:rPr>
        <w:t>变为</w:t>
      </w:r>
      <w:r>
        <w:rPr>
          <w:rFonts w:hint="eastAsia"/>
          <w:iCs/>
          <w:lang w:val="es-ES"/>
        </w:rPr>
        <w:t>2000</w:t>
      </w:r>
      <w:r>
        <w:rPr>
          <w:rFonts w:hint="eastAsia"/>
          <w:iCs/>
          <w:lang w:val="es-ES"/>
        </w:rPr>
        <w:t>年的</w:t>
      </w:r>
      <w:r>
        <w:rPr>
          <w:rFonts w:hint="eastAsia"/>
          <w:iCs/>
          <w:lang w:val="es-ES"/>
        </w:rPr>
        <w:t>88%</w:t>
      </w:r>
      <w:r>
        <w:rPr>
          <w:rFonts w:hint="eastAsia"/>
          <w:iCs/>
          <w:lang w:val="es-ES"/>
        </w:rPr>
        <w:t>再变为</w:t>
      </w:r>
      <w:r>
        <w:rPr>
          <w:rFonts w:hint="eastAsia"/>
          <w:iCs/>
          <w:lang w:val="es-ES"/>
        </w:rPr>
        <w:t>2005</w:t>
      </w:r>
      <w:r>
        <w:rPr>
          <w:rFonts w:hint="eastAsia"/>
          <w:iCs/>
          <w:lang w:val="es-ES"/>
        </w:rPr>
        <w:t>年的</w:t>
      </w:r>
      <w:r>
        <w:rPr>
          <w:rFonts w:hint="eastAsia"/>
          <w:iCs/>
          <w:lang w:val="es-ES"/>
        </w:rPr>
        <w:t>92%</w:t>
      </w:r>
      <w:r>
        <w:rPr>
          <w:rFonts w:hint="eastAsia"/>
          <w:iCs/>
          <w:lang w:val="es-ES"/>
        </w:rPr>
        <w:t>直至提高到如今，即</w:t>
      </w:r>
      <w:r>
        <w:rPr>
          <w:rFonts w:hint="eastAsia"/>
          <w:iCs/>
          <w:lang w:val="es-ES"/>
        </w:rPr>
        <w:t>2010</w:t>
      </w:r>
      <w:r>
        <w:rPr>
          <w:rFonts w:hint="eastAsia"/>
          <w:iCs/>
          <w:lang w:val="es-ES"/>
        </w:rPr>
        <w:t>年的</w:t>
      </w:r>
      <w:r>
        <w:rPr>
          <w:rFonts w:hint="eastAsia"/>
          <w:iCs/>
          <w:lang w:val="es-ES"/>
        </w:rPr>
        <w:t>95%</w:t>
      </w:r>
      <w:r>
        <w:rPr>
          <w:rFonts w:hint="eastAsia"/>
          <w:iCs/>
          <w:lang w:val="es-ES"/>
        </w:rPr>
        <w:t>，而在家中分娩的比例则从</w:t>
      </w:r>
      <w:r>
        <w:rPr>
          <w:rFonts w:hint="eastAsia"/>
          <w:iCs/>
          <w:lang w:val="es-ES"/>
        </w:rPr>
        <w:t>1995</w:t>
      </w:r>
      <w:r>
        <w:rPr>
          <w:rFonts w:hint="eastAsia"/>
          <w:iCs/>
          <w:lang w:val="es-ES"/>
        </w:rPr>
        <w:t>年的</w:t>
      </w:r>
      <w:r>
        <w:rPr>
          <w:rFonts w:hint="eastAsia"/>
          <w:iCs/>
          <w:lang w:val="es-ES"/>
        </w:rPr>
        <w:t>22%</w:t>
      </w:r>
      <w:r>
        <w:rPr>
          <w:rFonts w:hint="eastAsia"/>
          <w:iCs/>
          <w:lang w:val="es-ES"/>
        </w:rPr>
        <w:t>降至</w:t>
      </w:r>
      <w:r>
        <w:rPr>
          <w:rFonts w:hint="eastAsia"/>
          <w:iCs/>
          <w:lang w:val="es-ES"/>
        </w:rPr>
        <w:t>2000</w:t>
      </w:r>
      <w:r>
        <w:rPr>
          <w:rFonts w:hint="eastAsia"/>
          <w:iCs/>
          <w:lang w:val="es-ES"/>
        </w:rPr>
        <w:t>年</w:t>
      </w:r>
      <w:r>
        <w:rPr>
          <w:rFonts w:hint="eastAsia"/>
          <w:lang w:val="zh-CN"/>
        </w:rPr>
        <w:t>的</w:t>
      </w:r>
      <w:r>
        <w:rPr>
          <w:rFonts w:hint="eastAsia"/>
          <w:lang w:val="zh-CN"/>
        </w:rPr>
        <w:t>12%</w:t>
      </w:r>
      <w:r>
        <w:rPr>
          <w:rFonts w:hint="eastAsia"/>
          <w:lang w:val="zh-CN"/>
        </w:rPr>
        <w:t>再到</w:t>
      </w:r>
      <w:r>
        <w:rPr>
          <w:rFonts w:hint="eastAsia"/>
          <w:lang w:val="zh-CN"/>
        </w:rPr>
        <w:t>2005</w:t>
      </w:r>
      <w:r>
        <w:rPr>
          <w:rFonts w:hint="eastAsia"/>
          <w:lang w:val="zh-CN"/>
        </w:rPr>
        <w:t>年的</w:t>
      </w:r>
      <w:r>
        <w:rPr>
          <w:rFonts w:hint="eastAsia"/>
          <w:lang w:val="zh-CN"/>
        </w:rPr>
        <w:t>8%</w:t>
      </w:r>
      <w:r>
        <w:rPr>
          <w:rFonts w:hint="eastAsia"/>
          <w:lang w:val="zh-CN"/>
        </w:rPr>
        <w:t>直至</w:t>
      </w:r>
      <w:r>
        <w:rPr>
          <w:rFonts w:hint="eastAsia"/>
          <w:lang w:val="zh-CN"/>
        </w:rPr>
        <w:t>2010</w:t>
      </w:r>
      <w:r>
        <w:rPr>
          <w:rFonts w:hint="eastAsia"/>
          <w:lang w:val="zh-CN"/>
        </w:rPr>
        <w:t>年的</w:t>
      </w:r>
      <w:r>
        <w:rPr>
          <w:rFonts w:hint="eastAsia"/>
          <w:lang w:val="zh-CN"/>
        </w:rPr>
        <w:t>4%</w:t>
      </w:r>
      <w:r>
        <w:rPr>
          <w:rFonts w:hint="eastAsia"/>
          <w:lang w:val="zh-CN"/>
        </w:rPr>
        <w:t>。</w:t>
      </w:r>
      <w:r>
        <w:rPr>
          <w:rFonts w:hint="eastAsia"/>
          <w:lang w:val="zh-CN"/>
        </w:rPr>
        <w:t>95%</w:t>
      </w:r>
      <w:r>
        <w:rPr>
          <w:rFonts w:hint="eastAsia"/>
          <w:lang w:val="zh-CN"/>
        </w:rPr>
        <w:t>的分娩是在卫生机构进行的。每百名新生儿中有四名在家中降生，还有极少数是在其他场所降生的。</w:t>
      </w:r>
    </w:p>
    <w:p w:rsidR="00A83775" w:rsidRDefault="00A83775">
      <w:pPr>
        <w:pStyle w:val="SingleTxtGC"/>
      </w:pPr>
      <w:r>
        <w:rPr>
          <w:lang w:val="zh-CN"/>
        </w:rPr>
        <w:t xml:space="preserve">527.  </w:t>
      </w:r>
      <w:r>
        <w:rPr>
          <w:rFonts w:hint="eastAsia"/>
          <w:lang w:val="zh-CN"/>
        </w:rPr>
        <w:t>经医生和护士在场接生的分娩有了显著变化。由医生接生的比例从</w:t>
      </w:r>
      <w:r>
        <w:rPr>
          <w:rFonts w:hint="eastAsia"/>
          <w:lang w:val="zh-CN"/>
        </w:rPr>
        <w:t>1990</w:t>
      </w:r>
      <w:r>
        <w:rPr>
          <w:rFonts w:hint="eastAsia"/>
          <w:lang w:val="zh-CN"/>
        </w:rPr>
        <w:t>年的</w:t>
      </w:r>
      <w:r>
        <w:rPr>
          <w:rFonts w:hint="eastAsia"/>
          <w:lang w:val="zh-CN"/>
        </w:rPr>
        <w:t>71%</w:t>
      </w:r>
      <w:r>
        <w:rPr>
          <w:rFonts w:hint="eastAsia"/>
          <w:lang w:val="zh-CN"/>
        </w:rPr>
        <w:t>变为</w:t>
      </w:r>
      <w:r>
        <w:rPr>
          <w:rFonts w:hint="eastAsia"/>
          <w:lang w:val="zh-CN"/>
        </w:rPr>
        <w:t>1995</w:t>
      </w:r>
      <w:r>
        <w:rPr>
          <w:rFonts w:hint="eastAsia"/>
          <w:lang w:val="zh-CN"/>
        </w:rPr>
        <w:t>年的</w:t>
      </w:r>
      <w:r>
        <w:rPr>
          <w:rFonts w:hint="eastAsia"/>
          <w:lang w:val="zh-CN"/>
        </w:rPr>
        <w:t>73%</w:t>
      </w:r>
      <w:r>
        <w:rPr>
          <w:rFonts w:hint="eastAsia"/>
          <w:lang w:val="zh-CN"/>
        </w:rPr>
        <w:t>，然后到</w:t>
      </w:r>
      <w:r>
        <w:rPr>
          <w:rFonts w:hint="eastAsia"/>
          <w:lang w:val="zh-CN"/>
        </w:rPr>
        <w:t>2000</w:t>
      </w:r>
      <w:r>
        <w:rPr>
          <w:rFonts w:hint="eastAsia"/>
          <w:lang w:val="zh-CN"/>
        </w:rPr>
        <w:t>年变为</w:t>
      </w:r>
      <w:r>
        <w:rPr>
          <w:rFonts w:hint="eastAsia"/>
          <w:lang w:val="zh-CN"/>
        </w:rPr>
        <w:t>83%</w:t>
      </w:r>
      <w:r>
        <w:rPr>
          <w:rFonts w:hint="eastAsia"/>
          <w:lang w:val="zh-CN"/>
        </w:rPr>
        <w:t>，</w:t>
      </w:r>
      <w:r>
        <w:rPr>
          <w:rFonts w:hint="eastAsia"/>
          <w:lang w:val="zh-CN"/>
        </w:rPr>
        <w:t>2005</w:t>
      </w:r>
      <w:r>
        <w:rPr>
          <w:rFonts w:hint="eastAsia"/>
          <w:lang w:val="zh-CN"/>
        </w:rPr>
        <w:t>年则为</w:t>
      </w:r>
      <w:r>
        <w:rPr>
          <w:rFonts w:hint="eastAsia"/>
          <w:lang w:val="zh-CN"/>
        </w:rPr>
        <w:t>88%</w:t>
      </w:r>
      <w:r>
        <w:rPr>
          <w:rFonts w:hint="eastAsia"/>
          <w:lang w:val="zh-CN"/>
        </w:rPr>
        <w:t>；最后，</w:t>
      </w:r>
      <w:r>
        <w:rPr>
          <w:rFonts w:hint="eastAsia"/>
          <w:lang w:val="zh-CN"/>
        </w:rPr>
        <w:t>2010</w:t>
      </w:r>
      <w:r>
        <w:rPr>
          <w:rFonts w:hint="eastAsia"/>
          <w:lang w:val="zh-CN"/>
        </w:rPr>
        <w:t>年这一比例提高到</w:t>
      </w:r>
      <w:r>
        <w:rPr>
          <w:rFonts w:hint="eastAsia"/>
          <w:lang w:val="zh-CN"/>
        </w:rPr>
        <w:t>93%</w:t>
      </w:r>
      <w:r>
        <w:rPr>
          <w:rFonts w:hint="eastAsia"/>
          <w:lang w:val="zh-CN"/>
        </w:rPr>
        <w:t>。由护士接生的比例在同期从</w:t>
      </w:r>
      <w:r>
        <w:rPr>
          <w:rFonts w:hint="eastAsia"/>
          <w:lang w:val="zh-CN"/>
        </w:rPr>
        <w:t>10%</w:t>
      </w:r>
      <w:r>
        <w:rPr>
          <w:rFonts w:hint="eastAsia"/>
          <w:lang w:val="zh-CN"/>
        </w:rPr>
        <w:t>降至</w:t>
      </w:r>
      <w:r>
        <w:rPr>
          <w:rFonts w:hint="eastAsia"/>
          <w:lang w:val="zh-CN"/>
        </w:rPr>
        <w:t>2%</w:t>
      </w:r>
      <w:r>
        <w:rPr>
          <w:rFonts w:hint="eastAsia"/>
          <w:lang w:val="zh-CN"/>
        </w:rPr>
        <w:t>。由助产士接生的比例从</w:t>
      </w:r>
      <w:r>
        <w:rPr>
          <w:rFonts w:hint="eastAsia"/>
          <w:lang w:val="zh-CN"/>
        </w:rPr>
        <w:t>1990</w:t>
      </w:r>
      <w:r>
        <w:rPr>
          <w:rFonts w:hint="eastAsia"/>
          <w:lang w:val="zh-CN"/>
        </w:rPr>
        <w:t>年的</w:t>
      </w:r>
      <w:r>
        <w:rPr>
          <w:rFonts w:hint="eastAsia"/>
          <w:lang w:val="zh-CN"/>
        </w:rPr>
        <w:t>13%</w:t>
      </w:r>
      <w:r>
        <w:rPr>
          <w:rFonts w:hint="eastAsia"/>
          <w:lang w:val="zh-CN"/>
        </w:rPr>
        <w:t>降至</w:t>
      </w:r>
      <w:r>
        <w:rPr>
          <w:rFonts w:hint="eastAsia"/>
          <w:lang w:val="zh-CN"/>
        </w:rPr>
        <w:t>2010</w:t>
      </w:r>
      <w:r>
        <w:rPr>
          <w:rFonts w:hint="eastAsia"/>
          <w:lang w:val="zh-CN"/>
        </w:rPr>
        <w:t>年的</w:t>
      </w:r>
      <w:r>
        <w:rPr>
          <w:rFonts w:hint="eastAsia"/>
          <w:lang w:val="zh-CN"/>
        </w:rPr>
        <w:t>3%</w:t>
      </w:r>
      <w:r>
        <w:rPr>
          <w:rFonts w:hint="eastAsia"/>
          <w:lang w:val="zh-CN"/>
        </w:rPr>
        <w:t>，由家属或其他人接生的比例在</w:t>
      </w:r>
      <w:r>
        <w:rPr>
          <w:rFonts w:hint="eastAsia"/>
          <w:lang w:val="zh-CN"/>
        </w:rPr>
        <w:t>2010</w:t>
      </w:r>
      <w:r>
        <w:rPr>
          <w:rFonts w:hint="eastAsia"/>
          <w:lang w:val="zh-CN"/>
        </w:rPr>
        <w:t>年降至</w:t>
      </w:r>
      <w:r>
        <w:rPr>
          <w:rFonts w:hint="eastAsia"/>
          <w:lang w:val="zh-CN"/>
        </w:rPr>
        <w:t>2%</w:t>
      </w:r>
      <w:r>
        <w:rPr>
          <w:rFonts w:hint="eastAsia"/>
          <w:lang w:val="zh-CN"/>
        </w:rPr>
        <w:t>。</w:t>
      </w:r>
    </w:p>
    <w:p w:rsidR="00A83775" w:rsidRDefault="00A83775">
      <w:pPr>
        <w:pStyle w:val="SingleTxtGC"/>
        <w:rPr>
          <w:lang w:val="zh-CN"/>
        </w:rPr>
      </w:pPr>
      <w:r>
        <w:rPr>
          <w:lang w:val="zh-CN"/>
        </w:rPr>
        <w:t xml:space="preserve">528.  </w:t>
      </w:r>
      <w:r>
        <w:rPr>
          <w:rFonts w:eastAsia="SimHei" w:hint="eastAsia"/>
          <w:lang w:val="zh-CN"/>
        </w:rPr>
        <w:t>产后保健问题</w:t>
      </w:r>
      <w:r>
        <w:rPr>
          <w:rFonts w:hint="eastAsia"/>
          <w:lang w:val="zh-CN"/>
        </w:rPr>
        <w:t>。在最近五年有生育的妇女中，每五人中有不到一人在产后出现了健康问题。</w:t>
      </w:r>
      <w:r>
        <w:rPr>
          <w:rFonts w:hint="eastAsia"/>
          <w:lang w:val="zh-CN"/>
        </w:rPr>
        <w:t>56%</w:t>
      </w:r>
      <w:r>
        <w:rPr>
          <w:rFonts w:hint="eastAsia"/>
          <w:lang w:val="zh-CN"/>
        </w:rPr>
        <w:t>至</w:t>
      </w:r>
      <w:r>
        <w:rPr>
          <w:rFonts w:hint="eastAsia"/>
          <w:lang w:val="zh-CN"/>
        </w:rPr>
        <w:t>66%</w:t>
      </w:r>
      <w:r>
        <w:rPr>
          <w:rFonts w:hint="eastAsia"/>
          <w:lang w:val="zh-CN"/>
        </w:rPr>
        <w:t>的产后问题得到了诊治。相反，只有</w:t>
      </w:r>
      <w:r>
        <w:rPr>
          <w:rFonts w:hint="eastAsia"/>
          <w:lang w:val="zh-CN"/>
        </w:rPr>
        <w:t>38%</w:t>
      </w:r>
      <w:r>
        <w:rPr>
          <w:rFonts w:hint="eastAsia"/>
          <w:lang w:val="zh-CN"/>
        </w:rPr>
        <w:t>患有产后抑郁症的妇女得到了诊治。针对没有在医疗机构分娩的产妇，会询问她们是否在产后到医院进行过检查。</w:t>
      </w:r>
      <w:r>
        <w:rPr>
          <w:rFonts w:hint="eastAsia"/>
          <w:lang w:val="zh-CN"/>
        </w:rPr>
        <w:t>69%</w:t>
      </w:r>
      <w:r>
        <w:rPr>
          <w:rFonts w:hint="eastAsia"/>
          <w:lang w:val="zh-CN"/>
        </w:rPr>
        <w:t>的被访问者并没有进行产后复查；</w:t>
      </w:r>
      <w:r>
        <w:rPr>
          <w:rFonts w:hint="eastAsia"/>
          <w:lang w:val="zh-CN"/>
        </w:rPr>
        <w:t>3%</w:t>
      </w:r>
      <w:r>
        <w:rPr>
          <w:rFonts w:hint="eastAsia"/>
          <w:lang w:val="zh-CN"/>
        </w:rPr>
        <w:t>在产后三天内进行了复查，</w:t>
      </w:r>
      <w:r>
        <w:rPr>
          <w:rFonts w:hint="eastAsia"/>
          <w:lang w:val="zh-CN"/>
        </w:rPr>
        <w:t>4%</w:t>
      </w:r>
      <w:r>
        <w:rPr>
          <w:rFonts w:hint="eastAsia"/>
          <w:lang w:val="zh-CN"/>
        </w:rPr>
        <w:t>在产后第三至第六天进行了复查，</w:t>
      </w:r>
      <w:r>
        <w:rPr>
          <w:rFonts w:hint="eastAsia"/>
          <w:lang w:val="zh-CN"/>
        </w:rPr>
        <w:t>24%</w:t>
      </w:r>
      <w:r>
        <w:rPr>
          <w:rFonts w:hint="eastAsia"/>
          <w:lang w:val="zh-CN"/>
        </w:rPr>
        <w:t>在产后第</w:t>
      </w:r>
      <w:r>
        <w:rPr>
          <w:rFonts w:hint="eastAsia"/>
          <w:lang w:val="zh-CN"/>
        </w:rPr>
        <w:t>7</w:t>
      </w:r>
      <w:r>
        <w:rPr>
          <w:rFonts w:hint="eastAsia"/>
          <w:lang w:val="zh-CN"/>
        </w:rPr>
        <w:t>至</w:t>
      </w:r>
      <w:r>
        <w:rPr>
          <w:rFonts w:hint="eastAsia"/>
          <w:lang w:val="zh-CN"/>
        </w:rPr>
        <w:t>41</w:t>
      </w:r>
      <w:r>
        <w:rPr>
          <w:rFonts w:hint="eastAsia"/>
          <w:lang w:val="zh-CN"/>
        </w:rPr>
        <w:t>天内进行了复查；只有</w:t>
      </w:r>
      <w:r>
        <w:rPr>
          <w:rFonts w:hint="eastAsia"/>
          <w:lang w:val="zh-CN"/>
        </w:rPr>
        <w:t>1%</w:t>
      </w:r>
      <w:r>
        <w:rPr>
          <w:rFonts w:hint="eastAsia"/>
          <w:lang w:val="zh-CN"/>
        </w:rPr>
        <w:t>不知道如何回答在何时接受了复查。</w:t>
      </w:r>
    </w:p>
    <w:p w:rsidR="00A83775" w:rsidRDefault="00A83775">
      <w:pPr>
        <w:pStyle w:val="SingleTxtGC"/>
        <w:rPr>
          <w:rFonts w:hint="eastAsia"/>
          <w:lang w:val="zh-CN"/>
        </w:rPr>
      </w:pPr>
      <w:r>
        <w:rPr>
          <w:lang w:val="zh-CN"/>
        </w:rPr>
        <w:t xml:space="preserve">529.  </w:t>
      </w:r>
      <w:r>
        <w:rPr>
          <w:rFonts w:eastAsia="SimHei" w:hint="eastAsia"/>
          <w:lang w:val="zh-CN"/>
        </w:rPr>
        <w:t>最近一次妊娠的终止</w:t>
      </w:r>
      <w:r>
        <w:rPr>
          <w:rFonts w:hint="eastAsia"/>
          <w:lang w:val="zh-CN"/>
        </w:rPr>
        <w:t>。在询问妇女最近一次，也就是</w:t>
      </w:r>
      <w:r>
        <w:rPr>
          <w:rFonts w:hint="eastAsia"/>
          <w:lang w:val="zh-CN"/>
        </w:rPr>
        <w:t>2006</w:t>
      </w:r>
      <w:r>
        <w:rPr>
          <w:rFonts w:hint="eastAsia"/>
          <w:lang w:val="zh-CN"/>
        </w:rPr>
        <w:t>年</w:t>
      </w:r>
      <w:r>
        <w:rPr>
          <w:rFonts w:hint="eastAsia"/>
          <w:lang w:val="zh-CN"/>
        </w:rPr>
        <w:t>5</w:t>
      </w:r>
      <w:r>
        <w:rPr>
          <w:rFonts w:hint="eastAsia"/>
          <w:lang w:val="zh-CN"/>
        </w:rPr>
        <w:t>月前后发生的妊娠终止的情况时，发现</w:t>
      </w:r>
      <w:r>
        <w:rPr>
          <w:rFonts w:hint="eastAsia"/>
          <w:lang w:val="zh-CN"/>
        </w:rPr>
        <w:t>72%</w:t>
      </w:r>
      <w:r>
        <w:rPr>
          <w:rFonts w:hint="eastAsia"/>
          <w:lang w:val="zh-CN"/>
        </w:rPr>
        <w:t>的妇女分娩了活产儿，其余（</w:t>
      </w:r>
      <w:r>
        <w:rPr>
          <w:rFonts w:hint="eastAsia"/>
          <w:lang w:val="zh-CN"/>
        </w:rPr>
        <w:t>28%</w:t>
      </w:r>
      <w:r>
        <w:rPr>
          <w:rFonts w:hint="eastAsia"/>
          <w:lang w:val="zh-CN"/>
        </w:rPr>
        <w:t>）的妊娠终止情况如下：</w:t>
      </w:r>
      <w:r>
        <w:rPr>
          <w:rFonts w:hint="eastAsia"/>
          <w:lang w:val="zh-CN"/>
        </w:rPr>
        <w:t>16%</w:t>
      </w:r>
      <w:r>
        <w:rPr>
          <w:rFonts w:hint="eastAsia"/>
          <w:lang w:val="zh-CN"/>
        </w:rPr>
        <w:t>自然流产，</w:t>
      </w:r>
      <w:r>
        <w:rPr>
          <w:rFonts w:hint="eastAsia"/>
          <w:lang w:val="zh-CN"/>
        </w:rPr>
        <w:t>8%</w:t>
      </w:r>
      <w:r>
        <w:rPr>
          <w:rFonts w:hint="eastAsia"/>
          <w:lang w:val="zh-CN"/>
        </w:rPr>
        <w:t>人工流产或堕胎，</w:t>
      </w:r>
      <w:r>
        <w:rPr>
          <w:rFonts w:hint="eastAsia"/>
          <w:lang w:val="zh-CN"/>
        </w:rPr>
        <w:t>2%</w:t>
      </w:r>
      <w:r>
        <w:rPr>
          <w:rFonts w:hint="eastAsia"/>
          <w:lang w:val="zh-CN"/>
        </w:rPr>
        <w:t>遭遇异位妊娠，其余</w:t>
      </w:r>
      <w:r>
        <w:rPr>
          <w:rFonts w:hint="eastAsia"/>
          <w:lang w:val="zh-CN"/>
        </w:rPr>
        <w:t>2%</w:t>
      </w:r>
      <w:r>
        <w:rPr>
          <w:rFonts w:hint="eastAsia"/>
          <w:lang w:val="zh-CN"/>
        </w:rPr>
        <w:t>胎死腹中。因人工流产</w:t>
      </w:r>
      <w:r>
        <w:rPr>
          <w:rFonts w:hint="eastAsia"/>
          <w:lang w:val="zh-CN"/>
        </w:rPr>
        <w:t>/</w:t>
      </w:r>
      <w:r>
        <w:rPr>
          <w:rFonts w:hint="eastAsia"/>
          <w:lang w:val="zh-CN"/>
        </w:rPr>
        <w:t>堕胎而就诊的比例要低于其他情况下终止妊娠就诊的比例。在人工流产</w:t>
      </w:r>
      <w:r>
        <w:rPr>
          <w:rFonts w:hint="eastAsia"/>
          <w:lang w:val="zh-CN"/>
        </w:rPr>
        <w:t>/</w:t>
      </w:r>
      <w:r>
        <w:rPr>
          <w:rFonts w:hint="eastAsia"/>
          <w:lang w:val="zh-CN"/>
        </w:rPr>
        <w:t>堕胎的护理场所方面，除医院、诊所和卫生所外，还有私人医生诊所和其他类型的诊所。</w:t>
      </w:r>
      <w:r>
        <w:rPr>
          <w:rFonts w:hint="eastAsia"/>
          <w:lang w:val="zh-CN"/>
        </w:rPr>
        <w:t>87%</w:t>
      </w:r>
      <w:r>
        <w:rPr>
          <w:rFonts w:hint="eastAsia"/>
          <w:lang w:val="zh-CN"/>
        </w:rPr>
        <w:t>实施了人工流产</w:t>
      </w:r>
      <w:r>
        <w:rPr>
          <w:rFonts w:hint="eastAsia"/>
          <w:lang w:val="zh-CN"/>
        </w:rPr>
        <w:t>/</w:t>
      </w:r>
      <w:r>
        <w:rPr>
          <w:rFonts w:hint="eastAsia"/>
          <w:lang w:val="zh-CN"/>
        </w:rPr>
        <w:t>堕胎的妇女的就诊费用由医疗保险机构全额或部分报销，</w:t>
      </w:r>
      <w:r>
        <w:rPr>
          <w:rFonts w:hint="eastAsia"/>
          <w:lang w:val="zh-CN"/>
        </w:rPr>
        <w:t>11%</w:t>
      </w:r>
      <w:r>
        <w:rPr>
          <w:rFonts w:hint="eastAsia"/>
          <w:lang w:val="zh-CN"/>
        </w:rPr>
        <w:t>自行承担人流</w:t>
      </w:r>
      <w:r>
        <w:rPr>
          <w:rFonts w:hint="eastAsia"/>
          <w:lang w:val="zh-CN"/>
        </w:rPr>
        <w:t>/</w:t>
      </w:r>
      <w:r>
        <w:rPr>
          <w:rFonts w:hint="eastAsia"/>
          <w:lang w:val="zh-CN"/>
        </w:rPr>
        <w:t>堕胎费用，还有</w:t>
      </w:r>
      <w:r>
        <w:rPr>
          <w:rFonts w:hint="eastAsia"/>
          <w:lang w:val="zh-CN"/>
        </w:rPr>
        <w:t>2%</w:t>
      </w:r>
      <w:r>
        <w:rPr>
          <w:rFonts w:hint="eastAsia"/>
          <w:lang w:val="zh-CN"/>
        </w:rPr>
        <w:t>表示他们没有社会保险待遇。</w:t>
      </w:r>
    </w:p>
    <w:p w:rsidR="00A83775" w:rsidRDefault="00A83775">
      <w:pPr>
        <w:pStyle w:val="SingleTxtGC"/>
      </w:pPr>
      <w:r>
        <w:rPr>
          <w:lang w:val="zh-CN"/>
        </w:rPr>
        <w:t xml:space="preserve">530.  </w:t>
      </w:r>
      <w:r>
        <w:rPr>
          <w:rFonts w:hint="eastAsia"/>
          <w:lang w:val="zh-CN"/>
        </w:rPr>
        <w:t>实施人流</w:t>
      </w:r>
      <w:r>
        <w:rPr>
          <w:rFonts w:hint="eastAsia"/>
          <w:lang w:val="zh-CN"/>
        </w:rPr>
        <w:t>/</w:t>
      </w:r>
      <w:r>
        <w:rPr>
          <w:rFonts w:hint="eastAsia"/>
          <w:lang w:val="zh-CN"/>
        </w:rPr>
        <w:t>堕胎的平均孕周为</w:t>
      </w:r>
      <w:r>
        <w:rPr>
          <w:rFonts w:hint="eastAsia"/>
          <w:lang w:val="zh-CN"/>
        </w:rPr>
        <w:t>2.1</w:t>
      </w:r>
      <w:r>
        <w:rPr>
          <w:rFonts w:hint="eastAsia"/>
          <w:lang w:val="zh-CN"/>
        </w:rPr>
        <w:t>个月，与自然流产和异位妊娠终止妊娠的孕周数相似。相反，胎死腹中的情况平均发生在孕后第</w:t>
      </w:r>
      <w:r>
        <w:rPr>
          <w:rFonts w:hint="eastAsia"/>
          <w:lang w:val="zh-CN"/>
        </w:rPr>
        <w:t>5.4</w:t>
      </w:r>
      <w:r>
        <w:rPr>
          <w:rFonts w:hint="eastAsia"/>
          <w:lang w:val="zh-CN"/>
        </w:rPr>
        <w:t>个月。</w:t>
      </w:r>
    </w:p>
    <w:p w:rsidR="00A83775" w:rsidRDefault="00A83775">
      <w:pPr>
        <w:pStyle w:val="SingleTxtGC"/>
        <w:rPr>
          <w:bCs/>
          <w:lang w:val="es-ES"/>
        </w:rPr>
      </w:pPr>
      <w:r>
        <w:rPr>
          <w:lang w:val="zh-CN"/>
        </w:rPr>
        <w:t xml:space="preserve">531.  </w:t>
      </w:r>
      <w:r>
        <w:rPr>
          <w:rFonts w:eastAsia="SimHei" w:hint="eastAsia"/>
          <w:lang w:val="zh-CN"/>
        </w:rPr>
        <w:t>对于哥伦比亚允许堕胎情形的了解</w:t>
      </w:r>
      <w:r>
        <w:rPr>
          <w:rFonts w:hint="eastAsia"/>
          <w:lang w:val="zh-CN"/>
        </w:rPr>
        <w:t>。略高于四分之三的妇女能够说出允许堕胎的每一种情</w:t>
      </w:r>
      <w:r>
        <w:rPr>
          <w:rFonts w:hint="eastAsia"/>
          <w:bCs/>
          <w:iCs/>
          <w:lang w:val="es-ES"/>
        </w:rPr>
        <w:t>形：</w:t>
      </w:r>
      <w:r>
        <w:rPr>
          <w:rFonts w:hint="eastAsia"/>
          <w:bCs/>
          <w:iCs/>
          <w:lang w:val="es-ES"/>
        </w:rPr>
        <w:t>76%</w:t>
      </w:r>
      <w:r>
        <w:rPr>
          <w:rFonts w:hint="eastAsia"/>
          <w:bCs/>
          <w:iCs/>
          <w:lang w:val="es-ES"/>
        </w:rPr>
        <w:t>的妇女表示在怀孕危及孕妇生命或健康时允许堕胎，</w:t>
      </w:r>
      <w:r>
        <w:rPr>
          <w:rFonts w:hint="eastAsia"/>
          <w:bCs/>
          <w:iCs/>
          <w:lang w:val="es-ES"/>
        </w:rPr>
        <w:t>79%</w:t>
      </w:r>
      <w:r>
        <w:rPr>
          <w:rFonts w:hint="eastAsia"/>
          <w:bCs/>
          <w:iCs/>
          <w:lang w:val="es-ES"/>
        </w:rPr>
        <w:t>表示当胚胎有严重畸形时允许堕胎，</w:t>
      </w:r>
      <w:r>
        <w:rPr>
          <w:rFonts w:hint="eastAsia"/>
          <w:bCs/>
          <w:iCs/>
          <w:lang w:val="es-ES"/>
        </w:rPr>
        <w:t>78%</w:t>
      </w:r>
      <w:r>
        <w:rPr>
          <w:rFonts w:hint="eastAsia"/>
          <w:bCs/>
          <w:iCs/>
          <w:lang w:val="es-ES"/>
        </w:rPr>
        <w:t>表示当妇女因强奸致孕时允许堕胎。</w:t>
      </w:r>
      <w:r>
        <w:rPr>
          <w:rFonts w:hint="eastAsia"/>
          <w:bCs/>
          <w:iCs/>
          <w:lang w:val="es-ES"/>
        </w:rPr>
        <w:t>20-34</w:t>
      </w:r>
      <w:r>
        <w:rPr>
          <w:rFonts w:hint="eastAsia"/>
          <w:bCs/>
          <w:iCs/>
          <w:lang w:val="es-ES"/>
        </w:rPr>
        <w:t>岁年龄段的妇女、单身女性和以生育一或两名活产儿的妇女对这三类原因的了解度最深。</w:t>
      </w:r>
    </w:p>
    <w:p w:rsidR="00A83775" w:rsidRDefault="00A83775">
      <w:pPr>
        <w:pStyle w:val="SingleTxtGC"/>
        <w:rPr>
          <w:rFonts w:hint="eastAsia"/>
          <w:bCs/>
          <w:iCs/>
          <w:lang w:val="es-ES"/>
        </w:rPr>
      </w:pPr>
      <w:r>
        <w:rPr>
          <w:bCs/>
          <w:iCs/>
          <w:lang w:val="es-ES"/>
        </w:rPr>
        <w:t xml:space="preserve">532.  </w:t>
      </w:r>
      <w:r>
        <w:rPr>
          <w:rFonts w:hint="eastAsia"/>
          <w:bCs/>
          <w:iCs/>
          <w:lang w:val="es-ES"/>
        </w:rPr>
        <w:t>按资料来源分列的免疫接种情况。</w:t>
      </w:r>
      <w:r>
        <w:rPr>
          <w:rFonts w:hint="eastAsia"/>
          <w:bCs/>
          <w:iCs/>
          <w:lang w:val="es-ES"/>
        </w:rPr>
        <w:t>12-23</w:t>
      </w:r>
      <w:r>
        <w:rPr>
          <w:rFonts w:hint="eastAsia"/>
          <w:bCs/>
          <w:iCs/>
          <w:lang w:val="es-ES"/>
        </w:rPr>
        <w:t>个月年龄段的婴儿实施了全套免疫接种的比例为</w:t>
      </w:r>
      <w:r>
        <w:rPr>
          <w:rFonts w:hint="eastAsia"/>
          <w:bCs/>
          <w:iCs/>
          <w:lang w:val="es-ES"/>
        </w:rPr>
        <w:t>80%</w:t>
      </w:r>
      <w:r>
        <w:rPr>
          <w:rFonts w:hint="eastAsia"/>
          <w:bCs/>
          <w:iCs/>
          <w:lang w:val="es-ES"/>
        </w:rPr>
        <w:t>。最常使用的接种疫苗为卡介苗（</w:t>
      </w:r>
      <w:r>
        <w:rPr>
          <w:rFonts w:hint="eastAsia"/>
          <w:bCs/>
          <w:iCs/>
          <w:lang w:val="es-ES"/>
        </w:rPr>
        <w:t>97%</w:t>
      </w:r>
      <w:r>
        <w:rPr>
          <w:rFonts w:hint="eastAsia"/>
          <w:bCs/>
          <w:iCs/>
          <w:lang w:val="es-ES"/>
        </w:rPr>
        <w:t>）和百白破三联（</w:t>
      </w:r>
      <w:r>
        <w:rPr>
          <w:rFonts w:hint="eastAsia"/>
          <w:bCs/>
          <w:iCs/>
          <w:lang w:val="es-ES"/>
        </w:rPr>
        <w:t>DPT-1</w:t>
      </w:r>
      <w:r>
        <w:rPr>
          <w:rFonts w:hint="eastAsia"/>
          <w:bCs/>
          <w:iCs/>
          <w:lang w:val="es-ES"/>
        </w:rPr>
        <w:t>）疫苗（</w:t>
      </w:r>
      <w:r>
        <w:rPr>
          <w:rFonts w:hint="eastAsia"/>
          <w:bCs/>
          <w:iCs/>
          <w:lang w:val="es-ES"/>
        </w:rPr>
        <w:t>97%</w:t>
      </w:r>
      <w:r>
        <w:rPr>
          <w:rFonts w:hint="eastAsia"/>
          <w:bCs/>
          <w:iCs/>
          <w:lang w:val="es-ES"/>
        </w:rPr>
        <w:t>）第一剂；百白破三联（</w:t>
      </w:r>
      <w:r>
        <w:rPr>
          <w:rFonts w:hint="eastAsia"/>
          <w:bCs/>
          <w:iCs/>
          <w:lang w:val="es-ES"/>
        </w:rPr>
        <w:t>DPT-2</w:t>
      </w:r>
      <w:r>
        <w:rPr>
          <w:rFonts w:hint="eastAsia"/>
          <w:bCs/>
          <w:iCs/>
          <w:lang w:val="es-ES"/>
        </w:rPr>
        <w:t>）第二剂的比例略低（</w:t>
      </w:r>
      <w:r>
        <w:rPr>
          <w:rFonts w:hint="eastAsia"/>
          <w:bCs/>
          <w:iCs/>
          <w:lang w:val="es-ES"/>
        </w:rPr>
        <w:t>94%</w:t>
      </w:r>
      <w:r>
        <w:rPr>
          <w:rFonts w:hint="eastAsia"/>
          <w:bCs/>
          <w:iCs/>
          <w:lang w:val="es-ES"/>
        </w:rPr>
        <w:t>），百白破三联（</w:t>
      </w:r>
      <w:r>
        <w:rPr>
          <w:rFonts w:hint="eastAsia"/>
          <w:bCs/>
          <w:iCs/>
          <w:lang w:val="es-ES"/>
        </w:rPr>
        <w:t>DPT-3</w:t>
      </w:r>
      <w:r>
        <w:rPr>
          <w:rFonts w:hint="eastAsia"/>
          <w:bCs/>
          <w:iCs/>
          <w:lang w:val="es-ES"/>
        </w:rPr>
        <w:t>）第三剂比前一剂又略低（</w:t>
      </w:r>
      <w:r>
        <w:rPr>
          <w:rFonts w:hint="eastAsia"/>
          <w:bCs/>
          <w:iCs/>
          <w:lang w:val="es-ES"/>
        </w:rPr>
        <w:t>90%</w:t>
      </w:r>
      <w:r>
        <w:rPr>
          <w:rFonts w:hint="eastAsia"/>
          <w:bCs/>
          <w:iCs/>
          <w:lang w:val="es-ES"/>
        </w:rPr>
        <w:t>）。</w:t>
      </w:r>
      <w:r>
        <w:rPr>
          <w:rFonts w:hint="eastAsia"/>
          <w:bCs/>
          <w:iCs/>
          <w:lang w:val="es-ES"/>
        </w:rPr>
        <w:t>83%</w:t>
      </w:r>
      <w:r>
        <w:rPr>
          <w:rFonts w:hint="eastAsia"/>
          <w:bCs/>
          <w:iCs/>
          <w:lang w:val="es-ES"/>
        </w:rPr>
        <w:t>的儿童在出生时接种了脊髓灰质炎疫苗。而脊髓灰质炎疫苗第</w:t>
      </w:r>
      <w:r>
        <w:rPr>
          <w:rFonts w:hint="eastAsia"/>
          <w:bCs/>
          <w:iCs/>
          <w:lang w:val="es-ES"/>
        </w:rPr>
        <w:t>1</w:t>
      </w:r>
      <w:r>
        <w:rPr>
          <w:rFonts w:hint="eastAsia"/>
          <w:bCs/>
          <w:iCs/>
          <w:lang w:val="es-ES"/>
        </w:rPr>
        <w:t>、</w:t>
      </w:r>
      <w:r>
        <w:rPr>
          <w:rFonts w:hint="eastAsia"/>
          <w:bCs/>
          <w:iCs/>
          <w:lang w:val="es-ES"/>
        </w:rPr>
        <w:t>2</w:t>
      </w:r>
      <w:r>
        <w:rPr>
          <w:rFonts w:hint="eastAsia"/>
          <w:bCs/>
          <w:iCs/>
          <w:lang w:val="es-ES"/>
        </w:rPr>
        <w:t>、</w:t>
      </w:r>
      <w:r>
        <w:rPr>
          <w:rFonts w:hint="eastAsia"/>
          <w:bCs/>
          <w:iCs/>
          <w:lang w:val="es-ES"/>
        </w:rPr>
        <w:t>3</w:t>
      </w:r>
      <w:r>
        <w:rPr>
          <w:rFonts w:hint="eastAsia"/>
          <w:bCs/>
          <w:iCs/>
          <w:lang w:val="es-ES"/>
        </w:rPr>
        <w:t>剂的接种比例从</w:t>
      </w:r>
      <w:r>
        <w:rPr>
          <w:rFonts w:hint="eastAsia"/>
          <w:bCs/>
          <w:iCs/>
          <w:lang w:val="es-ES"/>
        </w:rPr>
        <w:t>94%</w:t>
      </w:r>
      <w:r>
        <w:rPr>
          <w:rFonts w:hint="eastAsia"/>
          <w:bCs/>
          <w:iCs/>
          <w:lang w:val="es-ES"/>
        </w:rPr>
        <w:t>降至</w:t>
      </w:r>
      <w:r>
        <w:rPr>
          <w:rFonts w:hint="eastAsia"/>
          <w:bCs/>
          <w:iCs/>
          <w:lang w:val="es-ES"/>
        </w:rPr>
        <w:t>82%</w:t>
      </w:r>
      <w:r>
        <w:rPr>
          <w:rFonts w:hint="eastAsia"/>
          <w:bCs/>
          <w:iCs/>
          <w:lang w:val="es-ES"/>
        </w:rPr>
        <w:t>。脊髓灰质炎的</w:t>
      </w:r>
      <w:r>
        <w:rPr>
          <w:rFonts w:hint="eastAsia"/>
          <w:bCs/>
          <w:iCs/>
          <w:lang w:val="es-ES"/>
        </w:rPr>
        <w:t>1</w:t>
      </w:r>
      <w:r>
        <w:rPr>
          <w:rFonts w:hint="eastAsia"/>
          <w:bCs/>
          <w:iCs/>
          <w:lang w:val="es-ES"/>
        </w:rPr>
        <w:t>、</w:t>
      </w:r>
      <w:r>
        <w:rPr>
          <w:rFonts w:hint="eastAsia"/>
          <w:bCs/>
          <w:iCs/>
          <w:lang w:val="es-ES"/>
        </w:rPr>
        <w:t>2</w:t>
      </w:r>
      <w:r>
        <w:rPr>
          <w:rFonts w:hint="eastAsia"/>
          <w:bCs/>
          <w:iCs/>
          <w:lang w:val="es-ES"/>
        </w:rPr>
        <w:t>、</w:t>
      </w:r>
      <w:r>
        <w:rPr>
          <w:rFonts w:hint="eastAsia"/>
          <w:bCs/>
          <w:iCs/>
          <w:lang w:val="es-ES"/>
        </w:rPr>
        <w:t>3</w:t>
      </w:r>
      <w:r>
        <w:rPr>
          <w:rFonts w:hint="eastAsia"/>
          <w:bCs/>
          <w:iCs/>
          <w:lang w:val="es-ES"/>
        </w:rPr>
        <w:t>剂的接种率在</w:t>
      </w:r>
      <w:r>
        <w:rPr>
          <w:rFonts w:hint="eastAsia"/>
          <w:bCs/>
          <w:iCs/>
          <w:lang w:val="es-ES"/>
        </w:rPr>
        <w:t>2005</w:t>
      </w:r>
      <w:r>
        <w:rPr>
          <w:rFonts w:hint="eastAsia"/>
          <w:bCs/>
          <w:iCs/>
          <w:lang w:val="es-ES"/>
        </w:rPr>
        <w:t>年至</w:t>
      </w:r>
      <w:r>
        <w:rPr>
          <w:rFonts w:hint="eastAsia"/>
          <w:bCs/>
          <w:iCs/>
          <w:lang w:val="es-ES"/>
        </w:rPr>
        <w:t>2010</w:t>
      </w:r>
      <w:r>
        <w:rPr>
          <w:rFonts w:hint="eastAsia"/>
          <w:bCs/>
          <w:iCs/>
          <w:lang w:val="es-ES"/>
        </w:rPr>
        <w:t>年期间有所提高，卡介苗，百白破三联</w:t>
      </w:r>
      <w:r>
        <w:rPr>
          <w:rFonts w:hint="eastAsia"/>
          <w:bCs/>
          <w:iCs/>
          <w:lang w:val="es-ES"/>
        </w:rPr>
        <w:t>1</w:t>
      </w:r>
      <w:r>
        <w:rPr>
          <w:rFonts w:hint="eastAsia"/>
          <w:bCs/>
          <w:iCs/>
          <w:lang w:val="es-ES"/>
        </w:rPr>
        <w:t>、</w:t>
      </w:r>
      <w:r>
        <w:rPr>
          <w:rFonts w:hint="eastAsia"/>
          <w:bCs/>
          <w:iCs/>
          <w:lang w:val="es-ES"/>
        </w:rPr>
        <w:t>2</w:t>
      </w:r>
      <w:r>
        <w:rPr>
          <w:rFonts w:hint="eastAsia"/>
          <w:bCs/>
          <w:iCs/>
          <w:lang w:val="es-ES"/>
        </w:rPr>
        <w:t>、</w:t>
      </w:r>
      <w:r>
        <w:rPr>
          <w:rFonts w:hint="eastAsia"/>
          <w:bCs/>
          <w:iCs/>
          <w:lang w:val="es-ES"/>
        </w:rPr>
        <w:t>3</w:t>
      </w:r>
      <w:r>
        <w:rPr>
          <w:rFonts w:hint="eastAsia"/>
          <w:bCs/>
          <w:iCs/>
          <w:lang w:val="es-ES"/>
        </w:rPr>
        <w:t>剂的情况亦然。</w:t>
      </w:r>
      <w:r>
        <w:rPr>
          <w:rFonts w:hint="eastAsia"/>
          <w:bCs/>
          <w:iCs/>
          <w:lang w:val="es-ES"/>
        </w:rPr>
        <w:t>81%</w:t>
      </w:r>
      <w:r>
        <w:rPr>
          <w:rFonts w:hint="eastAsia"/>
          <w:bCs/>
          <w:iCs/>
          <w:lang w:val="es-ES"/>
        </w:rPr>
        <w:t>的</w:t>
      </w:r>
      <w:r>
        <w:rPr>
          <w:rFonts w:hint="eastAsia"/>
          <w:bCs/>
          <w:iCs/>
          <w:lang w:val="es-ES"/>
        </w:rPr>
        <w:t>1</w:t>
      </w:r>
      <w:r>
        <w:rPr>
          <w:rFonts w:hint="eastAsia"/>
          <w:bCs/>
          <w:iCs/>
          <w:lang w:val="es-ES"/>
        </w:rPr>
        <w:t>岁婴儿接种了麻风腮三联疫苗。如果不算麻风腮三联疫苗的话，</w:t>
      </w:r>
      <w:r>
        <w:rPr>
          <w:rFonts w:hint="eastAsia"/>
          <w:bCs/>
          <w:iCs/>
          <w:lang w:val="es-ES"/>
        </w:rPr>
        <w:t>76%</w:t>
      </w:r>
      <w:r>
        <w:rPr>
          <w:rFonts w:hint="eastAsia"/>
          <w:bCs/>
          <w:iCs/>
          <w:lang w:val="es-ES"/>
        </w:rPr>
        <w:t>的婴儿在出生后</w:t>
      </w:r>
      <w:r>
        <w:rPr>
          <w:rFonts w:hint="eastAsia"/>
          <w:bCs/>
          <w:iCs/>
          <w:lang w:val="es-ES"/>
        </w:rPr>
        <w:t>12</w:t>
      </w:r>
      <w:r>
        <w:rPr>
          <w:rFonts w:hint="eastAsia"/>
          <w:bCs/>
          <w:iCs/>
          <w:lang w:val="es-ES"/>
        </w:rPr>
        <w:t>个月内接种了所有规定的疫苗。很少比例（</w:t>
      </w:r>
      <w:r>
        <w:rPr>
          <w:rFonts w:hint="eastAsia"/>
          <w:bCs/>
          <w:iCs/>
          <w:lang w:val="es-ES"/>
        </w:rPr>
        <w:t>2%</w:t>
      </w:r>
      <w:r>
        <w:rPr>
          <w:rFonts w:hint="eastAsia"/>
          <w:bCs/>
          <w:iCs/>
          <w:lang w:val="es-ES"/>
        </w:rPr>
        <w:t>）的婴儿没有接种任何疫苗。</w:t>
      </w:r>
      <w:r>
        <w:rPr>
          <w:rFonts w:hint="eastAsia"/>
          <w:bCs/>
          <w:iCs/>
          <w:lang w:val="es-ES"/>
        </w:rPr>
        <w:t>83%</w:t>
      </w:r>
      <w:r>
        <w:rPr>
          <w:rFonts w:hint="eastAsia"/>
          <w:bCs/>
          <w:iCs/>
          <w:lang w:val="es-ES"/>
        </w:rPr>
        <w:t>的婴儿在</w:t>
      </w:r>
      <w:r>
        <w:rPr>
          <w:rFonts w:hint="eastAsia"/>
          <w:bCs/>
          <w:iCs/>
          <w:lang w:val="es-ES"/>
        </w:rPr>
        <w:t>12-23</w:t>
      </w:r>
      <w:r>
        <w:rPr>
          <w:rFonts w:hint="eastAsia"/>
          <w:bCs/>
          <w:iCs/>
          <w:lang w:val="es-ES"/>
        </w:rPr>
        <w:t>个月时拥有了接种卡。</w:t>
      </w:r>
    </w:p>
    <w:p w:rsidR="00A83775" w:rsidRDefault="00A83775">
      <w:pPr>
        <w:pStyle w:val="H23GC"/>
        <w:rPr>
          <w:rFonts w:hint="eastAsia"/>
          <w:lang w:val="es-ES"/>
        </w:rPr>
      </w:pPr>
      <w:r>
        <w:rPr>
          <w:lang w:val="es-ES"/>
        </w:rPr>
        <w:tab/>
      </w:r>
      <w:r>
        <w:rPr>
          <w:lang w:val="es-ES"/>
        </w:rPr>
        <w:tab/>
      </w:r>
      <w:r>
        <w:rPr>
          <w:rFonts w:hint="eastAsia"/>
          <w:lang w:val="es-ES"/>
        </w:rPr>
        <w:t>艾滋病毒</w:t>
      </w:r>
      <w:r>
        <w:rPr>
          <w:rFonts w:hint="eastAsia"/>
          <w:lang w:val="es-ES"/>
        </w:rPr>
        <w:t>/</w:t>
      </w:r>
      <w:r>
        <w:rPr>
          <w:rFonts w:hint="eastAsia"/>
          <w:lang w:val="es-ES"/>
        </w:rPr>
        <w:t>艾滋病</w:t>
      </w:r>
    </w:p>
    <w:p w:rsidR="00A83775" w:rsidRDefault="00A83775">
      <w:pPr>
        <w:pStyle w:val="SingleTxtGC"/>
        <w:rPr>
          <w:lang w:val="zh-CN"/>
        </w:rPr>
      </w:pPr>
      <w:r>
        <w:rPr>
          <w:bCs/>
          <w:lang w:val="es-ES"/>
        </w:rPr>
        <w:t xml:space="preserve">533.  </w:t>
      </w:r>
      <w:r>
        <w:rPr>
          <w:rFonts w:hint="eastAsia"/>
          <w:bCs/>
          <w:lang w:val="es-ES"/>
        </w:rPr>
        <w:t>与</w:t>
      </w:r>
      <w:r>
        <w:rPr>
          <w:rFonts w:hint="eastAsia"/>
          <w:bCs/>
          <w:lang w:val="es-ES"/>
        </w:rPr>
        <w:t>2005</w:t>
      </w:r>
      <w:r>
        <w:rPr>
          <w:rFonts w:hint="eastAsia"/>
          <w:bCs/>
          <w:lang w:val="es-ES"/>
        </w:rPr>
        <w:t>年时的情况相同，艾滋病毒</w:t>
      </w:r>
      <w:r>
        <w:rPr>
          <w:rFonts w:hint="eastAsia"/>
          <w:bCs/>
          <w:lang w:val="es-ES"/>
        </w:rPr>
        <w:t>/</w:t>
      </w:r>
      <w:r>
        <w:rPr>
          <w:rFonts w:hint="eastAsia"/>
          <w:bCs/>
          <w:lang w:val="es-ES"/>
        </w:rPr>
        <w:t>艾滋病知识在哥伦比亚基本上得到了全民普及：</w:t>
      </w:r>
      <w:r>
        <w:rPr>
          <w:rFonts w:hint="eastAsia"/>
          <w:bCs/>
          <w:lang w:val="es-ES"/>
        </w:rPr>
        <w:t>99%</w:t>
      </w:r>
      <w:r>
        <w:rPr>
          <w:rFonts w:hint="eastAsia"/>
          <w:bCs/>
          <w:lang w:val="es-ES"/>
        </w:rPr>
        <w:t>的被调查者表示曾经听说过这一疾病。</w:t>
      </w:r>
      <w:r>
        <w:rPr>
          <w:rFonts w:hint="eastAsia"/>
          <w:bCs/>
          <w:lang w:val="es-ES"/>
        </w:rPr>
        <w:t>15-24</w:t>
      </w:r>
      <w:r>
        <w:rPr>
          <w:rFonts w:hint="eastAsia"/>
          <w:bCs/>
          <w:lang w:val="es-ES"/>
        </w:rPr>
        <w:t>岁年龄段的年轻群体对这一疾</w:t>
      </w:r>
      <w:r>
        <w:rPr>
          <w:rFonts w:hint="eastAsia"/>
          <w:lang w:val="zh-CN"/>
        </w:rPr>
        <w:t>病的了解较少。而从未有过性行为的人群对这一疾病的了解也较少（</w:t>
      </w:r>
      <w:r>
        <w:rPr>
          <w:rFonts w:hint="eastAsia"/>
          <w:lang w:val="zh-CN"/>
        </w:rPr>
        <w:t>97%</w:t>
      </w:r>
      <w:r>
        <w:rPr>
          <w:rFonts w:hint="eastAsia"/>
          <w:lang w:val="zh-CN"/>
        </w:rPr>
        <w:t>）。使用避孕套被视为一种预防感染艾滋病毒</w:t>
      </w:r>
      <w:r>
        <w:rPr>
          <w:rFonts w:hint="eastAsia"/>
          <w:lang w:val="zh-CN"/>
        </w:rPr>
        <w:t>/</w:t>
      </w:r>
      <w:r>
        <w:rPr>
          <w:rFonts w:hint="eastAsia"/>
          <w:lang w:val="zh-CN"/>
        </w:rPr>
        <w:t>艾滋病最为安全的做法，</w:t>
      </w:r>
      <w:r>
        <w:rPr>
          <w:rFonts w:hint="eastAsia"/>
          <w:lang w:val="zh-CN"/>
        </w:rPr>
        <w:t>82%</w:t>
      </w:r>
      <w:r>
        <w:rPr>
          <w:rFonts w:hint="eastAsia"/>
          <w:lang w:val="zh-CN"/>
        </w:rPr>
        <w:t>的受访者提到了这一安全措施。</w:t>
      </w:r>
      <w:r>
        <w:rPr>
          <w:rFonts w:hint="eastAsia"/>
          <w:lang w:val="zh-CN"/>
        </w:rPr>
        <w:t>15-19</w:t>
      </w:r>
      <w:r>
        <w:rPr>
          <w:rFonts w:hint="eastAsia"/>
          <w:lang w:val="zh-CN"/>
        </w:rPr>
        <w:t>岁女性中只有</w:t>
      </w:r>
      <w:r>
        <w:rPr>
          <w:rFonts w:hint="eastAsia"/>
          <w:lang w:val="zh-CN"/>
        </w:rPr>
        <w:t>79%</w:t>
      </w:r>
      <w:r>
        <w:rPr>
          <w:rFonts w:hint="eastAsia"/>
          <w:lang w:val="zh-CN"/>
        </w:rPr>
        <w:t>表示知道这一做法。</w:t>
      </w:r>
    </w:p>
    <w:p w:rsidR="00A83775" w:rsidRDefault="00A83775">
      <w:pPr>
        <w:pStyle w:val="SingleTxtGC"/>
        <w:rPr>
          <w:lang w:val="zh-CN"/>
        </w:rPr>
      </w:pPr>
      <w:r>
        <w:rPr>
          <w:lang w:val="zh-CN"/>
        </w:rPr>
        <w:t xml:space="preserve">534.  </w:t>
      </w:r>
      <w:r>
        <w:rPr>
          <w:rFonts w:hint="eastAsia"/>
          <w:lang w:val="zh-CN"/>
        </w:rPr>
        <w:t>只有半数（</w:t>
      </w:r>
      <w:r>
        <w:rPr>
          <w:rFonts w:hint="eastAsia"/>
          <w:lang w:val="zh-CN"/>
        </w:rPr>
        <w:t>51%</w:t>
      </w:r>
      <w:r>
        <w:rPr>
          <w:rFonts w:hint="eastAsia"/>
          <w:lang w:val="zh-CN"/>
        </w:rPr>
        <w:t>）的受访者正确回答了关于艾滋病毒可通过母乳传播这一问题，将近</w:t>
      </w:r>
      <w:r>
        <w:rPr>
          <w:rFonts w:hint="eastAsia"/>
          <w:lang w:val="zh-CN"/>
        </w:rPr>
        <w:t>32%</w:t>
      </w:r>
      <w:r>
        <w:rPr>
          <w:rFonts w:hint="eastAsia"/>
          <w:lang w:val="zh-CN"/>
        </w:rPr>
        <w:t>的受访者表示艾滋病母婴传播的风险可以通过母亲在怀孕期间服用特殊药物的方式降低。</w:t>
      </w:r>
    </w:p>
    <w:p w:rsidR="00A83775" w:rsidRDefault="00A83775">
      <w:pPr>
        <w:pStyle w:val="SingleTxtGC"/>
        <w:rPr>
          <w:bCs/>
          <w:lang w:val="es-ES"/>
        </w:rPr>
      </w:pPr>
      <w:r>
        <w:rPr>
          <w:lang w:val="zh-CN"/>
        </w:rPr>
        <w:t xml:space="preserve">535.  </w:t>
      </w:r>
      <w:r>
        <w:rPr>
          <w:rFonts w:hint="eastAsia"/>
          <w:lang w:val="zh-CN"/>
        </w:rPr>
        <w:t>结合上一段的两个问题，多数人只回答对了其中一个问题，可以看到只有</w:t>
      </w:r>
      <w:r>
        <w:rPr>
          <w:rFonts w:hint="eastAsia"/>
          <w:lang w:val="zh-CN"/>
        </w:rPr>
        <w:t>20%</w:t>
      </w:r>
      <w:r>
        <w:rPr>
          <w:rFonts w:hint="eastAsia"/>
          <w:lang w:val="zh-CN"/>
        </w:rPr>
        <w:t>的受访者对这</w:t>
      </w:r>
      <w:r>
        <w:rPr>
          <w:rFonts w:hint="eastAsia"/>
          <w:bCs/>
          <w:lang w:val="es-ES"/>
        </w:rPr>
        <w:t>两个问题全部回答正确。</w:t>
      </w:r>
    </w:p>
    <w:p w:rsidR="00A83775" w:rsidRDefault="00A83775">
      <w:pPr>
        <w:pStyle w:val="SingleTxtGC"/>
        <w:rPr>
          <w:lang w:val="zh-CN"/>
        </w:rPr>
      </w:pPr>
      <w:r>
        <w:rPr>
          <w:bCs/>
          <w:lang w:val="es-ES"/>
        </w:rPr>
        <w:t xml:space="preserve">536.  </w:t>
      </w:r>
      <w:r>
        <w:rPr>
          <w:rFonts w:hint="eastAsia"/>
          <w:bCs/>
          <w:lang w:val="es-ES"/>
        </w:rPr>
        <w:t>58%</w:t>
      </w:r>
      <w:r>
        <w:rPr>
          <w:rFonts w:hint="eastAsia"/>
          <w:bCs/>
          <w:lang w:val="es-ES"/>
        </w:rPr>
        <w:t>的受访女性从未进行过艾滋病毒检测；</w:t>
      </w:r>
      <w:r>
        <w:rPr>
          <w:rFonts w:hint="eastAsia"/>
          <w:bCs/>
          <w:lang w:val="es-ES"/>
        </w:rPr>
        <w:t>40%</w:t>
      </w:r>
      <w:r>
        <w:rPr>
          <w:rFonts w:hint="eastAsia"/>
          <w:bCs/>
          <w:lang w:val="es-ES"/>
        </w:rPr>
        <w:t>的受访女性接受了检测并要求得到了检测结果；</w:t>
      </w:r>
      <w:r>
        <w:rPr>
          <w:rFonts w:hint="eastAsia"/>
          <w:bCs/>
          <w:lang w:val="es-ES"/>
        </w:rPr>
        <w:t>2%</w:t>
      </w:r>
      <w:r>
        <w:rPr>
          <w:rFonts w:hint="eastAsia"/>
          <w:bCs/>
          <w:lang w:val="es-ES"/>
        </w:rPr>
        <w:t>的受访女性并未要求向其告知检测结果。在</w:t>
      </w:r>
      <w:r>
        <w:rPr>
          <w:rFonts w:hint="eastAsia"/>
          <w:bCs/>
          <w:lang w:val="es-ES"/>
        </w:rPr>
        <w:t>19</w:t>
      </w:r>
      <w:r>
        <w:rPr>
          <w:rFonts w:hint="eastAsia"/>
          <w:bCs/>
          <w:lang w:val="es-ES"/>
        </w:rPr>
        <w:t>岁及以下女性中，</w:t>
      </w:r>
      <w:r>
        <w:rPr>
          <w:rFonts w:hint="eastAsia"/>
          <w:lang w:val="zh-CN"/>
        </w:rPr>
        <w:t>只有</w:t>
      </w:r>
      <w:r>
        <w:rPr>
          <w:rFonts w:hint="eastAsia"/>
          <w:lang w:val="zh-CN"/>
        </w:rPr>
        <w:t>19%</w:t>
      </w:r>
      <w:r>
        <w:rPr>
          <w:rFonts w:hint="eastAsia"/>
          <w:lang w:val="zh-CN"/>
        </w:rPr>
        <w:t>接受过检测，而年龄较大的女性（</w:t>
      </w:r>
      <w:r>
        <w:rPr>
          <w:rFonts w:hint="eastAsia"/>
          <w:lang w:val="zh-CN"/>
        </w:rPr>
        <w:t>40-49</w:t>
      </w:r>
      <w:r>
        <w:rPr>
          <w:rFonts w:hint="eastAsia"/>
          <w:lang w:val="zh-CN"/>
        </w:rPr>
        <w:t>岁）接受检测的比例为</w:t>
      </w:r>
      <w:r>
        <w:rPr>
          <w:rFonts w:hint="eastAsia"/>
          <w:lang w:val="zh-CN"/>
        </w:rPr>
        <w:t>28%</w:t>
      </w:r>
      <w:r>
        <w:rPr>
          <w:rFonts w:hint="eastAsia"/>
          <w:lang w:val="zh-CN"/>
        </w:rPr>
        <w:t>。令人担忧的是，在农村地区只有三分之一的女性接受过检测，在没有受过教育的农村妇女中，</w:t>
      </w:r>
      <w:r>
        <w:rPr>
          <w:rFonts w:hint="eastAsia"/>
          <w:lang w:val="zh-CN"/>
        </w:rPr>
        <w:t>78%</w:t>
      </w:r>
      <w:r>
        <w:rPr>
          <w:rFonts w:hint="eastAsia"/>
          <w:lang w:val="zh-CN"/>
        </w:rPr>
        <w:t>从未接受过此类检测。</w:t>
      </w:r>
    </w:p>
    <w:p w:rsidR="00A83775" w:rsidRDefault="00A83775">
      <w:pPr>
        <w:pStyle w:val="SingleTxtGC"/>
        <w:rPr>
          <w:lang w:val="zh-CN"/>
        </w:rPr>
      </w:pPr>
      <w:r>
        <w:rPr>
          <w:lang w:val="zh-CN"/>
        </w:rPr>
        <w:t xml:space="preserve">537.  </w:t>
      </w:r>
      <w:r>
        <w:rPr>
          <w:rFonts w:hint="eastAsia"/>
          <w:lang w:val="zh-CN"/>
        </w:rPr>
        <w:t>在调查前两年内生育过子女并在医疗卫生机构接受过产检的妇女中，</w:t>
      </w:r>
      <w:r>
        <w:rPr>
          <w:rFonts w:hint="eastAsia"/>
          <w:lang w:val="zh-CN"/>
        </w:rPr>
        <w:t>48%</w:t>
      </w:r>
      <w:r>
        <w:rPr>
          <w:rFonts w:hint="eastAsia"/>
          <w:lang w:val="zh-CN"/>
        </w:rPr>
        <w:t>接受过有关艾滋病毒的咨询。她们中有</w:t>
      </w:r>
      <w:r>
        <w:rPr>
          <w:rFonts w:hint="eastAsia"/>
          <w:lang w:val="zh-CN"/>
        </w:rPr>
        <w:t>84%</w:t>
      </w:r>
      <w:r>
        <w:rPr>
          <w:rFonts w:hint="eastAsia"/>
          <w:lang w:val="zh-CN"/>
        </w:rPr>
        <w:t>接受过病毒检测，同意并被告知了检测结果。</w:t>
      </w:r>
      <w:r>
        <w:rPr>
          <w:rFonts w:hint="eastAsia"/>
          <w:lang w:val="zh-CN"/>
        </w:rPr>
        <w:t>45%</w:t>
      </w:r>
      <w:r>
        <w:rPr>
          <w:rFonts w:hint="eastAsia"/>
          <w:lang w:val="zh-CN"/>
        </w:rPr>
        <w:t>的妇女接受了此类咨询，接受过病毒检测，同意并被告知了检测结果。</w:t>
      </w:r>
    </w:p>
    <w:p w:rsidR="00A83775" w:rsidRDefault="00A83775">
      <w:pPr>
        <w:pStyle w:val="SingleTxtGC"/>
        <w:rPr>
          <w:rFonts w:hint="eastAsia"/>
          <w:bCs/>
          <w:lang w:val="es-ES"/>
        </w:rPr>
      </w:pPr>
      <w:r>
        <w:rPr>
          <w:lang w:val="zh-CN"/>
        </w:rPr>
        <w:t xml:space="preserve">538.  </w:t>
      </w:r>
      <w:r>
        <w:rPr>
          <w:rFonts w:eastAsia="SimHei" w:hint="eastAsia"/>
          <w:lang w:val="zh-CN"/>
        </w:rPr>
        <w:t>宫颈癌和乳腺癌</w:t>
      </w:r>
      <w:r>
        <w:rPr>
          <w:rFonts w:hint="eastAsia"/>
          <w:lang w:val="zh-CN"/>
        </w:rPr>
        <w:t>。在最近对国内癌症患病率的统计中，乳腺癌的发病率高居首位，每年约</w:t>
      </w:r>
      <w:r>
        <w:rPr>
          <w:rFonts w:hint="eastAsia"/>
          <w:bCs/>
          <w:lang w:val="es-ES"/>
        </w:rPr>
        <w:t>有</w:t>
      </w:r>
      <w:r>
        <w:rPr>
          <w:rFonts w:hint="eastAsia"/>
          <w:bCs/>
          <w:lang w:val="es-ES"/>
        </w:rPr>
        <w:t>7</w:t>
      </w:r>
      <w:r>
        <w:rPr>
          <w:bCs/>
          <w:lang w:val="es-ES"/>
        </w:rPr>
        <w:t>,</w:t>
      </w:r>
      <w:r>
        <w:rPr>
          <w:rFonts w:hint="eastAsia"/>
          <w:bCs/>
          <w:lang w:val="es-ES"/>
        </w:rPr>
        <w:t>000</w:t>
      </w:r>
      <w:r>
        <w:rPr>
          <w:rFonts w:hint="eastAsia"/>
          <w:bCs/>
          <w:lang w:val="es-ES"/>
        </w:rPr>
        <w:t>例的新增病例，紧随其后的是宫颈癌，每年新增</w:t>
      </w:r>
      <w:r>
        <w:rPr>
          <w:rFonts w:hint="eastAsia"/>
          <w:bCs/>
          <w:lang w:val="es-ES"/>
        </w:rPr>
        <w:t>5</w:t>
      </w:r>
      <w:r>
        <w:rPr>
          <w:bCs/>
          <w:lang w:val="es-ES"/>
        </w:rPr>
        <w:t>,</w:t>
      </w:r>
      <w:r>
        <w:rPr>
          <w:rFonts w:hint="eastAsia"/>
          <w:bCs/>
          <w:lang w:val="es-ES"/>
        </w:rPr>
        <w:t>600</w:t>
      </w:r>
      <w:r>
        <w:rPr>
          <w:rFonts w:hint="eastAsia"/>
          <w:bCs/>
          <w:lang w:val="es-ES"/>
        </w:rPr>
        <w:t>例。在癌病致死率方面，宫颈癌在多个省份继续高居癌症致死率首位。乳腺癌和宫颈癌在哥伦比亚的发病率分别为每十万名女性</w:t>
      </w:r>
      <w:r>
        <w:rPr>
          <w:rFonts w:hint="eastAsia"/>
          <w:bCs/>
          <w:lang w:val="es-ES"/>
        </w:rPr>
        <w:t>31.2</w:t>
      </w:r>
      <w:r>
        <w:rPr>
          <w:rFonts w:hint="eastAsia"/>
          <w:bCs/>
          <w:lang w:val="es-ES"/>
        </w:rPr>
        <w:t>例和</w:t>
      </w:r>
      <w:r>
        <w:rPr>
          <w:rFonts w:hint="eastAsia"/>
          <w:bCs/>
          <w:lang w:val="es-ES"/>
        </w:rPr>
        <w:t>21.5</w:t>
      </w:r>
      <w:r>
        <w:rPr>
          <w:rFonts w:hint="eastAsia"/>
          <w:bCs/>
          <w:lang w:val="es-ES"/>
        </w:rPr>
        <w:t>例新增病例。再结合年龄因素，这两种癌症的致死率为每十万名女性</w:t>
      </w:r>
      <w:r>
        <w:rPr>
          <w:rFonts w:hint="eastAsia"/>
          <w:bCs/>
          <w:lang w:val="es-ES"/>
        </w:rPr>
        <w:t>10</w:t>
      </w:r>
      <w:r>
        <w:rPr>
          <w:rFonts w:hint="eastAsia"/>
          <w:bCs/>
          <w:lang w:val="es-ES"/>
        </w:rPr>
        <w:t>人死亡。</w:t>
      </w:r>
    </w:p>
    <w:p w:rsidR="00A83775" w:rsidRDefault="00A83775">
      <w:pPr>
        <w:pStyle w:val="SingleTxtGC"/>
        <w:rPr>
          <w:lang w:val="zh-CN"/>
        </w:rPr>
      </w:pPr>
      <w:r>
        <w:rPr>
          <w:lang w:val="es-ES"/>
        </w:rPr>
        <w:t xml:space="preserve">539.  </w:t>
      </w:r>
      <w:r>
        <w:rPr>
          <w:rFonts w:hint="eastAsia"/>
          <w:lang w:val="es-ES"/>
        </w:rPr>
        <w:t>全国人口和卫生普查数据显示，儿童死亡率在</w:t>
      </w:r>
      <w:r>
        <w:rPr>
          <w:rFonts w:hint="eastAsia"/>
          <w:lang w:val="es-ES"/>
        </w:rPr>
        <w:t>1995-2005</w:t>
      </w:r>
      <w:r>
        <w:rPr>
          <w:rFonts w:hint="eastAsia"/>
          <w:lang w:val="es-ES"/>
        </w:rPr>
        <w:t>年期间下降了</w:t>
      </w:r>
      <w:r>
        <w:rPr>
          <w:rFonts w:hint="eastAsia"/>
          <w:lang w:val="es-ES"/>
        </w:rPr>
        <w:t>30%</w:t>
      </w:r>
      <w:r>
        <w:rPr>
          <w:rFonts w:hint="eastAsia"/>
          <w:lang w:val="es-ES"/>
        </w:rPr>
        <w:t>。同样，自</w:t>
      </w:r>
      <w:r>
        <w:rPr>
          <w:rFonts w:hint="eastAsia"/>
          <w:lang w:val="es-ES"/>
        </w:rPr>
        <w:t>2002</w:t>
      </w:r>
      <w:r>
        <w:rPr>
          <w:rFonts w:hint="eastAsia"/>
          <w:lang w:val="es-ES"/>
        </w:rPr>
        <w:t>年起，国内各类抗原的接种率始终维持在</w:t>
      </w:r>
      <w:r>
        <w:rPr>
          <w:rFonts w:hint="eastAsia"/>
          <w:lang w:val="es-ES"/>
        </w:rPr>
        <w:t>91%</w:t>
      </w:r>
      <w:r>
        <w:rPr>
          <w:rFonts w:hint="eastAsia"/>
          <w:lang w:val="es-ES"/>
        </w:rPr>
        <w:t>以上的水平。在哥</w:t>
      </w:r>
      <w:r>
        <w:rPr>
          <w:rFonts w:hint="eastAsia"/>
          <w:lang w:val="zh-CN"/>
        </w:rPr>
        <w:t>伦比亚的社会医疗保障总体系中，所有</w:t>
      </w:r>
      <w:r>
        <w:rPr>
          <w:rFonts w:hint="eastAsia"/>
          <w:lang w:val="zh-CN"/>
        </w:rPr>
        <w:t>25-69</w:t>
      </w:r>
      <w:r>
        <w:rPr>
          <w:rFonts w:hint="eastAsia"/>
          <w:lang w:val="zh-CN"/>
        </w:rPr>
        <w:t>岁年龄段的参保妇女和</w:t>
      </w:r>
      <w:r>
        <w:rPr>
          <w:rFonts w:hint="eastAsia"/>
          <w:lang w:val="zh-CN"/>
        </w:rPr>
        <w:t>25</w:t>
      </w:r>
      <w:r>
        <w:rPr>
          <w:rFonts w:hint="eastAsia"/>
          <w:lang w:val="zh-CN"/>
        </w:rPr>
        <w:t>岁以下有活跃性生活的女性都有权接受免费的细胞学检查。</w:t>
      </w:r>
    </w:p>
    <w:p w:rsidR="00A83775" w:rsidRDefault="00A83775">
      <w:pPr>
        <w:pStyle w:val="SingleTxtGC"/>
        <w:rPr>
          <w:bCs/>
          <w:lang w:val="es-ES"/>
        </w:rPr>
      </w:pPr>
      <w:r>
        <w:rPr>
          <w:lang w:val="zh-CN"/>
        </w:rPr>
        <w:t xml:space="preserve">540.  </w:t>
      </w:r>
      <w:r>
        <w:rPr>
          <w:rFonts w:hint="eastAsia"/>
          <w:lang w:val="zh-CN"/>
        </w:rPr>
        <w:t>全国人口和卫生普查数据显示，儿童死亡率在</w:t>
      </w:r>
      <w:r>
        <w:rPr>
          <w:rFonts w:hint="eastAsia"/>
          <w:lang w:val="zh-CN"/>
        </w:rPr>
        <w:t>1995-2005</w:t>
      </w:r>
      <w:r>
        <w:rPr>
          <w:rFonts w:hint="eastAsia"/>
          <w:lang w:val="zh-CN"/>
        </w:rPr>
        <w:t>年期间下降了</w:t>
      </w:r>
      <w:r>
        <w:rPr>
          <w:rFonts w:hint="eastAsia"/>
          <w:lang w:val="zh-CN"/>
        </w:rPr>
        <w:t>30%</w:t>
      </w:r>
      <w:r>
        <w:rPr>
          <w:rFonts w:hint="eastAsia"/>
          <w:lang w:val="zh-CN"/>
        </w:rPr>
        <w:t>。同样，</w:t>
      </w:r>
      <w:r>
        <w:rPr>
          <w:rFonts w:hint="eastAsia"/>
          <w:lang w:val="es-ES"/>
        </w:rPr>
        <w:t>自</w:t>
      </w:r>
      <w:r>
        <w:rPr>
          <w:rFonts w:hint="eastAsia"/>
          <w:lang w:val="es-ES"/>
        </w:rPr>
        <w:t>2002</w:t>
      </w:r>
      <w:r>
        <w:rPr>
          <w:rFonts w:hint="eastAsia"/>
          <w:lang w:val="es-ES"/>
        </w:rPr>
        <w:t>年起，国内各类抗原的接种率始终维持在</w:t>
      </w:r>
      <w:r>
        <w:rPr>
          <w:rFonts w:hint="eastAsia"/>
          <w:lang w:val="es-ES"/>
        </w:rPr>
        <w:t>91%</w:t>
      </w:r>
      <w:r>
        <w:rPr>
          <w:rFonts w:hint="eastAsia"/>
          <w:lang w:val="es-ES"/>
        </w:rPr>
        <w:t>以上的水平。在哥伦比亚的社会医疗保障总体系中，所有</w:t>
      </w:r>
      <w:r>
        <w:rPr>
          <w:rFonts w:hint="eastAsia"/>
          <w:lang w:val="es-ES"/>
        </w:rPr>
        <w:t>25-69</w:t>
      </w:r>
      <w:r>
        <w:rPr>
          <w:rFonts w:hint="eastAsia"/>
          <w:lang w:val="es-ES"/>
        </w:rPr>
        <w:t>岁年龄段的参保妇女和</w:t>
      </w:r>
      <w:r>
        <w:rPr>
          <w:rFonts w:hint="eastAsia"/>
          <w:lang w:val="es-ES"/>
        </w:rPr>
        <w:t>25</w:t>
      </w:r>
      <w:r>
        <w:rPr>
          <w:rFonts w:hint="eastAsia"/>
          <w:lang w:val="es-ES"/>
        </w:rPr>
        <w:t>岁以下有活跃性生活的女性都有权接受免费的细胞学检查。</w:t>
      </w:r>
    </w:p>
    <w:p w:rsidR="00A83775" w:rsidRDefault="00A83775">
      <w:pPr>
        <w:pStyle w:val="H23GC"/>
        <w:rPr>
          <w:lang w:val="es-ES_tradnl"/>
        </w:rPr>
      </w:pPr>
      <w:r>
        <w:rPr>
          <w:lang w:val="es-ES_tradnl"/>
        </w:rPr>
        <w:tab/>
        <w:t>5.</w:t>
      </w:r>
      <w:r>
        <w:rPr>
          <w:lang w:val="es-ES_tradnl"/>
        </w:rPr>
        <w:tab/>
      </w:r>
      <w:r>
        <w:rPr>
          <w:rFonts w:hint="eastAsia"/>
          <w:lang w:val="es-ES_tradnl"/>
        </w:rPr>
        <w:t>新出台或持续推行的措施</w:t>
      </w:r>
    </w:p>
    <w:p w:rsidR="00A83775" w:rsidRDefault="00A83775">
      <w:pPr>
        <w:pStyle w:val="SingleTxtGC"/>
        <w:rPr>
          <w:rFonts w:hint="eastAsia"/>
          <w:lang w:val="es-ES"/>
        </w:rPr>
      </w:pPr>
      <w:r>
        <w:rPr>
          <w:lang w:val="en-GB"/>
        </w:rPr>
        <w:t xml:space="preserve">541.  </w:t>
      </w:r>
      <w:r>
        <w:rPr>
          <w:rFonts w:hint="eastAsia"/>
          <w:lang w:val="en-GB"/>
        </w:rPr>
        <w:t>通过</w:t>
      </w:r>
      <w:r>
        <w:rPr>
          <w:rFonts w:hint="eastAsia"/>
          <w:lang w:val="en-GB"/>
        </w:rPr>
        <w:t>2011</w:t>
      </w:r>
      <w:r>
        <w:rPr>
          <w:rFonts w:hint="eastAsia"/>
          <w:lang w:val="en-GB"/>
        </w:rPr>
        <w:t>年的国家社会经济政策委员会第</w:t>
      </w:r>
      <w:r>
        <w:rPr>
          <w:rFonts w:hint="eastAsia"/>
          <w:lang w:val="en-GB"/>
        </w:rPr>
        <w:t>140</w:t>
      </w:r>
      <w:r>
        <w:rPr>
          <w:rFonts w:hint="eastAsia"/>
          <w:lang w:val="en-GB"/>
        </w:rPr>
        <w:t>号决议，对</w:t>
      </w:r>
      <w:r>
        <w:rPr>
          <w:rFonts w:hint="eastAsia"/>
          <w:lang w:val="en-GB"/>
        </w:rPr>
        <w:t>2005</w:t>
      </w:r>
      <w:r>
        <w:rPr>
          <w:rFonts w:hint="eastAsia"/>
          <w:lang w:val="en-GB"/>
        </w:rPr>
        <w:t>年国家社会经济政策委员会第</w:t>
      </w:r>
      <w:r>
        <w:rPr>
          <w:rFonts w:hint="eastAsia"/>
          <w:lang w:val="en-GB"/>
        </w:rPr>
        <w:t>91</w:t>
      </w:r>
      <w:r>
        <w:rPr>
          <w:rFonts w:hint="eastAsia"/>
          <w:lang w:val="en-GB"/>
        </w:rPr>
        <w:t>号决议规定的千年发展目标落实情况的既定目标进行了修改。在本条对应的附件</w:t>
      </w:r>
      <w:r>
        <w:rPr>
          <w:rFonts w:hint="eastAsia"/>
          <w:lang w:val="en-GB"/>
        </w:rPr>
        <w:t>6</w:t>
      </w:r>
      <w:r>
        <w:rPr>
          <w:rFonts w:hint="eastAsia"/>
          <w:lang w:val="en-GB"/>
        </w:rPr>
        <w:t>中，对落实千年发展目标</w:t>
      </w:r>
      <w:r>
        <w:rPr>
          <w:rFonts w:hint="eastAsia"/>
          <w:lang w:val="en-GB"/>
        </w:rPr>
        <w:t>4</w:t>
      </w:r>
      <w:r>
        <w:rPr>
          <w:rFonts w:hint="eastAsia"/>
          <w:lang w:val="en-GB"/>
        </w:rPr>
        <w:t>、</w:t>
      </w:r>
      <w:r>
        <w:rPr>
          <w:rFonts w:hint="eastAsia"/>
          <w:lang w:val="en-GB"/>
        </w:rPr>
        <w:t>5</w:t>
      </w:r>
      <w:r>
        <w:rPr>
          <w:rFonts w:hint="eastAsia"/>
          <w:lang w:val="en-GB"/>
        </w:rPr>
        <w:t>和</w:t>
      </w:r>
      <w:r>
        <w:rPr>
          <w:rFonts w:hint="eastAsia"/>
          <w:lang w:val="en-GB"/>
        </w:rPr>
        <w:t>6</w:t>
      </w:r>
      <w:r>
        <w:rPr>
          <w:rFonts w:hint="eastAsia"/>
          <w:lang w:val="en-GB"/>
        </w:rPr>
        <w:t>的新目标以及规划战略的情况进行了展开论述。</w:t>
      </w:r>
    </w:p>
    <w:p w:rsidR="00A83775" w:rsidRDefault="00A83775">
      <w:pPr>
        <w:pStyle w:val="H1GC"/>
        <w:rPr>
          <w:rFonts w:hint="eastAsia"/>
          <w:lang w:val="es-ES_tradnl"/>
        </w:rPr>
      </w:pPr>
      <w:r>
        <w:rPr>
          <w:lang w:val="es-ES_tradnl"/>
        </w:rPr>
        <w:tab/>
        <w:t>D.</w:t>
      </w:r>
      <w:r>
        <w:rPr>
          <w:lang w:val="es-ES_tradnl"/>
        </w:rPr>
        <w:tab/>
      </w:r>
      <w:r>
        <w:rPr>
          <w:rFonts w:hint="eastAsia"/>
          <w:lang w:val="es-ES_tradnl"/>
        </w:rPr>
        <w:t>第十四条</w:t>
      </w:r>
    </w:p>
    <w:p w:rsidR="00A83775" w:rsidRDefault="00A83775">
      <w:pPr>
        <w:pStyle w:val="SingleTxtGC"/>
        <w:rPr>
          <w:lang w:val="es-ES_tradnl"/>
        </w:rPr>
      </w:pPr>
      <w:r>
        <w:rPr>
          <w:lang w:val="es-ES_tradnl"/>
        </w:rPr>
        <w:t xml:space="preserve">542.  </w:t>
      </w:r>
      <w:r>
        <w:rPr>
          <w:rFonts w:hint="eastAsia"/>
          <w:lang w:val="es-ES"/>
        </w:rPr>
        <w:t>与委员会向哥伦比亚提出的具体建议（</w:t>
      </w:r>
      <w:r>
        <w:rPr>
          <w:lang w:val="es-ES"/>
        </w:rPr>
        <w:t>CEDAW/C/COL/CO/6</w:t>
      </w:r>
      <w:r>
        <w:rPr>
          <w:rFonts w:hint="eastAsia"/>
          <w:lang w:val="es-ES"/>
        </w:rPr>
        <w:t>，第</w:t>
      </w:r>
      <w:r>
        <w:rPr>
          <w:rFonts w:hint="eastAsia"/>
          <w:lang w:val="es-ES"/>
        </w:rPr>
        <w:t>31</w:t>
      </w:r>
      <w:r>
        <w:rPr>
          <w:rFonts w:hint="eastAsia"/>
          <w:lang w:val="es-ES"/>
        </w:rPr>
        <w:t>段）及</w:t>
      </w:r>
      <w:r>
        <w:rPr>
          <w:rFonts w:hint="eastAsia"/>
          <w:lang w:val="zh-CN"/>
        </w:rPr>
        <w:t>委员会</w:t>
      </w:r>
      <w:r>
        <w:rPr>
          <w:rFonts w:hint="eastAsia"/>
          <w:lang w:val="es-ES"/>
        </w:rPr>
        <w:t>第</w:t>
      </w:r>
      <w:r>
        <w:rPr>
          <w:rFonts w:hint="eastAsia"/>
          <w:lang w:val="es-ES"/>
        </w:rPr>
        <w:t>16</w:t>
      </w:r>
      <w:r>
        <w:rPr>
          <w:rFonts w:hint="eastAsia"/>
          <w:lang w:val="es-ES"/>
        </w:rPr>
        <w:t>和</w:t>
      </w:r>
      <w:r>
        <w:rPr>
          <w:rFonts w:hint="eastAsia"/>
          <w:lang w:val="es-ES"/>
        </w:rPr>
        <w:t>19</w:t>
      </w:r>
      <w:r>
        <w:rPr>
          <w:rFonts w:hint="eastAsia"/>
          <w:lang w:val="es-ES"/>
        </w:rPr>
        <w:t>号一般性建议有关。</w:t>
      </w:r>
    </w:p>
    <w:p w:rsidR="00A83775" w:rsidRDefault="00A83775">
      <w:pPr>
        <w:pStyle w:val="H23GC"/>
        <w:rPr>
          <w:lang w:val="es-ES_tradnl"/>
        </w:rPr>
      </w:pPr>
      <w:r>
        <w:rPr>
          <w:lang w:val="es-ES_tradnl"/>
        </w:rPr>
        <w:tab/>
        <w:t>1.</w:t>
      </w:r>
      <w:r>
        <w:rPr>
          <w:lang w:val="es-ES_tradnl"/>
        </w:rPr>
        <w:tab/>
      </w:r>
      <w:r>
        <w:rPr>
          <w:rFonts w:hint="eastAsia"/>
          <w:lang w:val="es-ES_tradnl"/>
        </w:rPr>
        <w:t>行政措施</w:t>
      </w:r>
    </w:p>
    <w:p w:rsidR="00A83775" w:rsidRDefault="00A83775">
      <w:pPr>
        <w:pStyle w:val="SingleTxtGC"/>
        <w:rPr>
          <w:lang w:val="es-ES"/>
        </w:rPr>
      </w:pPr>
      <w:r>
        <w:rPr>
          <w:lang w:val="es-ES"/>
        </w:rPr>
        <w:t xml:space="preserve">543.  </w:t>
      </w:r>
      <w:r>
        <w:rPr>
          <w:rFonts w:hint="eastAsia"/>
          <w:lang w:val="es-ES"/>
        </w:rPr>
        <w:t>上文提到的</w:t>
      </w:r>
      <w:r>
        <w:rPr>
          <w:rFonts w:eastAsia="SimHei" w:hint="eastAsia"/>
          <w:lang w:val="es-ES"/>
        </w:rPr>
        <w:t>《</w:t>
      </w:r>
      <w:r>
        <w:rPr>
          <w:rFonts w:eastAsia="SimHei" w:hint="eastAsia"/>
          <w:lang w:val="es-ES"/>
        </w:rPr>
        <w:t>2006-2010</w:t>
      </w:r>
      <w:r>
        <w:rPr>
          <w:rFonts w:eastAsia="SimHei" w:hint="eastAsia"/>
          <w:lang w:val="es-ES"/>
        </w:rPr>
        <w:t>年国家发展计划》</w:t>
      </w:r>
      <w:r>
        <w:rPr>
          <w:rFonts w:hint="eastAsia"/>
          <w:lang w:val="es-ES"/>
        </w:rPr>
        <w:t>特别重视国家的农村问题。计划在降低贫困和促进就业和平等的各项政策中纳入“在农村实现公平”战略，目的是提高农民创造收入的能力并改善其生活质量，为此采取了以下措施：</w:t>
      </w:r>
    </w:p>
    <w:p w:rsidR="00A83775" w:rsidRDefault="00A83775">
      <w:pPr>
        <w:pStyle w:val="SingleTxtGC"/>
        <w:numPr>
          <w:ilvl w:val="0"/>
          <w:numId w:val="66"/>
        </w:numPr>
        <w:rPr>
          <w:lang w:val="es-ES"/>
        </w:rPr>
      </w:pPr>
      <w:r>
        <w:rPr>
          <w:rFonts w:hint="eastAsia"/>
          <w:lang w:val="es-ES"/>
        </w:rPr>
        <w:t>建立有助于促进获得土地的社会所有制秩序；</w:t>
      </w:r>
    </w:p>
    <w:p w:rsidR="00A83775" w:rsidRDefault="00A83775">
      <w:pPr>
        <w:pStyle w:val="SingleTxtGC"/>
        <w:numPr>
          <w:ilvl w:val="0"/>
          <w:numId w:val="66"/>
        </w:numPr>
        <w:rPr>
          <w:lang w:val="es-ES"/>
        </w:rPr>
      </w:pPr>
      <w:r>
        <w:rPr>
          <w:rFonts w:hint="eastAsia"/>
          <w:lang w:val="es-ES"/>
        </w:rPr>
        <w:t>对农业部门进行机构调整；</w:t>
      </w:r>
    </w:p>
    <w:p w:rsidR="00A83775" w:rsidRDefault="00A83775">
      <w:pPr>
        <w:pStyle w:val="SingleTxtGC"/>
        <w:numPr>
          <w:ilvl w:val="0"/>
          <w:numId w:val="66"/>
        </w:numPr>
        <w:rPr>
          <w:lang w:val="es-ES"/>
        </w:rPr>
      </w:pPr>
      <w:r>
        <w:rPr>
          <w:rFonts w:hint="eastAsia"/>
          <w:lang w:val="es-ES"/>
        </w:rPr>
        <w:t>提高小农创收能力</w:t>
      </w:r>
    </w:p>
    <w:p w:rsidR="00A83775" w:rsidRDefault="00A83775">
      <w:pPr>
        <w:pStyle w:val="SingleTxtGC"/>
        <w:numPr>
          <w:ilvl w:val="0"/>
          <w:numId w:val="66"/>
        </w:numPr>
        <w:rPr>
          <w:lang w:val="es-ES"/>
        </w:rPr>
      </w:pPr>
      <w:r>
        <w:rPr>
          <w:rFonts w:hint="eastAsia"/>
          <w:lang w:val="es-ES"/>
        </w:rPr>
        <w:t>通过让农村人口享受公共福利，开展相应的社会促进方案；</w:t>
      </w:r>
    </w:p>
    <w:p w:rsidR="00A83775" w:rsidRDefault="00A83775">
      <w:pPr>
        <w:pStyle w:val="SingleTxtGC"/>
        <w:numPr>
          <w:ilvl w:val="0"/>
          <w:numId w:val="66"/>
        </w:numPr>
        <w:rPr>
          <w:lang w:val="es-ES"/>
        </w:rPr>
      </w:pPr>
      <w:r>
        <w:rPr>
          <w:rFonts w:hint="eastAsia"/>
          <w:lang w:val="es-ES"/>
        </w:rPr>
        <w:t>提供有助于抵制非法耕种扩张的替代模式。</w:t>
      </w:r>
    </w:p>
    <w:p w:rsidR="00A83775" w:rsidRDefault="00A83775">
      <w:pPr>
        <w:pStyle w:val="SingleTxtGC"/>
        <w:rPr>
          <w:lang w:val="zh-CN"/>
        </w:rPr>
      </w:pPr>
      <w:r>
        <w:rPr>
          <w:lang w:val="es-ES"/>
        </w:rPr>
        <w:t xml:space="preserve">544.  </w:t>
      </w:r>
      <w:r>
        <w:rPr>
          <w:rFonts w:hint="eastAsia"/>
          <w:lang w:val="es-ES"/>
        </w:rPr>
        <w:t>2002-2009</w:t>
      </w:r>
      <w:r>
        <w:rPr>
          <w:rFonts w:hint="eastAsia"/>
          <w:lang w:val="es-ES"/>
        </w:rPr>
        <w:t>年期间，农村地区的贫困水平有所下降。在对这方面的数字进行分析时，考虑到家庭户主的性别因素，可以看出男户主家庭的贫困率从</w:t>
      </w:r>
      <w:r>
        <w:rPr>
          <w:rFonts w:hint="eastAsia"/>
          <w:lang w:val="es-ES"/>
        </w:rPr>
        <w:t>2002</w:t>
      </w:r>
      <w:r>
        <w:rPr>
          <w:rFonts w:hint="eastAsia"/>
          <w:lang w:val="es-ES"/>
        </w:rPr>
        <w:t>年的</w:t>
      </w:r>
      <w:r>
        <w:rPr>
          <w:rFonts w:hint="eastAsia"/>
          <w:lang w:val="zh-CN"/>
        </w:rPr>
        <w:t>64.7%</w:t>
      </w:r>
      <w:r>
        <w:rPr>
          <w:rFonts w:hint="eastAsia"/>
          <w:lang w:val="zh-CN"/>
        </w:rPr>
        <w:t>降至</w:t>
      </w:r>
      <w:r>
        <w:rPr>
          <w:rFonts w:hint="eastAsia"/>
          <w:lang w:val="zh-CN"/>
        </w:rPr>
        <w:t>2009</w:t>
      </w:r>
      <w:r>
        <w:rPr>
          <w:rFonts w:hint="eastAsia"/>
          <w:lang w:val="zh-CN"/>
        </w:rPr>
        <w:t>年的</w:t>
      </w:r>
      <w:r>
        <w:rPr>
          <w:rFonts w:hint="eastAsia"/>
          <w:lang w:val="zh-CN"/>
        </w:rPr>
        <w:t>57.3%</w:t>
      </w:r>
      <w:r>
        <w:rPr>
          <w:rFonts w:hint="eastAsia"/>
          <w:lang w:val="zh-CN"/>
        </w:rPr>
        <w:t>。而女户主家庭的贫困率从</w:t>
      </w:r>
      <w:r>
        <w:rPr>
          <w:rFonts w:hint="eastAsia"/>
          <w:lang w:val="zh-CN"/>
        </w:rPr>
        <w:t>2002</w:t>
      </w:r>
      <w:r>
        <w:rPr>
          <w:rFonts w:hint="eastAsia"/>
          <w:lang w:val="zh-CN"/>
        </w:rPr>
        <w:t>年的</w:t>
      </w:r>
      <w:r>
        <w:rPr>
          <w:rFonts w:hint="eastAsia"/>
          <w:lang w:val="zh-CN"/>
        </w:rPr>
        <w:t>67.3%</w:t>
      </w:r>
      <w:r>
        <w:rPr>
          <w:rFonts w:hint="eastAsia"/>
          <w:lang w:val="zh-CN"/>
        </w:rPr>
        <w:t>降至</w:t>
      </w:r>
      <w:r>
        <w:rPr>
          <w:rFonts w:hint="eastAsia"/>
          <w:lang w:val="zh-CN"/>
        </w:rPr>
        <w:t>2009</w:t>
      </w:r>
      <w:r>
        <w:rPr>
          <w:rFonts w:hint="eastAsia"/>
          <w:lang w:val="zh-CN"/>
        </w:rPr>
        <w:t>年的</w:t>
      </w:r>
      <w:r>
        <w:rPr>
          <w:rFonts w:hint="eastAsia"/>
          <w:lang w:val="zh-CN"/>
        </w:rPr>
        <w:t>61.8%</w:t>
      </w:r>
      <w:r>
        <w:rPr>
          <w:rFonts w:hint="eastAsia"/>
          <w:lang w:val="zh-CN"/>
        </w:rPr>
        <w:t>。</w:t>
      </w:r>
      <w:r>
        <w:rPr>
          <w:vertAlign w:val="superscript"/>
          <w:lang w:val="zh-CN"/>
        </w:rPr>
        <w:footnoteReference w:id="181"/>
      </w:r>
      <w:r>
        <w:rPr>
          <w:rFonts w:hint="eastAsia"/>
          <w:lang w:val="zh-CN"/>
        </w:rPr>
        <w:t xml:space="preserve"> 2009</w:t>
      </w:r>
      <w:r>
        <w:rPr>
          <w:rFonts w:hint="eastAsia"/>
          <w:lang w:val="zh-CN"/>
        </w:rPr>
        <w:t>年男性与女性之间的贫困率相差</w:t>
      </w:r>
      <w:r>
        <w:rPr>
          <w:rFonts w:hint="eastAsia"/>
          <w:lang w:val="zh-CN"/>
        </w:rPr>
        <w:t>4.5</w:t>
      </w:r>
      <w:r>
        <w:rPr>
          <w:rFonts w:hint="eastAsia"/>
          <w:lang w:val="zh-CN"/>
        </w:rPr>
        <w:t>个百分点，表明农村妇女的处境较为不利。在本条对应的附件</w:t>
      </w:r>
      <w:r>
        <w:rPr>
          <w:rFonts w:hint="eastAsia"/>
          <w:lang w:val="zh-CN"/>
        </w:rPr>
        <w:t>1</w:t>
      </w:r>
      <w:r>
        <w:rPr>
          <w:rFonts w:hint="eastAsia"/>
          <w:lang w:val="zh-CN"/>
        </w:rPr>
        <w:t>中，对这方面的信息进行了扩展。</w:t>
      </w:r>
    </w:p>
    <w:p w:rsidR="00A83775" w:rsidRDefault="00A83775">
      <w:pPr>
        <w:pStyle w:val="SingleTxtGC"/>
        <w:rPr>
          <w:rFonts w:hint="eastAsia"/>
          <w:lang w:val="zh-CN"/>
        </w:rPr>
      </w:pPr>
      <w:r>
        <w:rPr>
          <w:lang w:val="zh-CN"/>
        </w:rPr>
        <w:t xml:space="preserve">545.  </w:t>
      </w:r>
      <w:r>
        <w:rPr>
          <w:rFonts w:hint="eastAsia"/>
          <w:lang w:val="zh-CN"/>
        </w:rPr>
        <w:t>考虑到女性人口在农村所面临的挑战，已经实施了各项战略和方案来争取确保提高农村妇女的经济、社会和政治地位。其中一些战略已经在哥伦比亚对教育、政治参与、就业、卫生保健、根除对妇女的暴力的相应条文的答复中有所提及。但是，接下来将重点介绍以下内容：</w:t>
      </w:r>
    </w:p>
    <w:p w:rsidR="00A83775" w:rsidRDefault="00A83775">
      <w:pPr>
        <w:pStyle w:val="SingleTxtGC"/>
        <w:rPr>
          <w:lang w:val="es-ES_tradnl"/>
        </w:rPr>
      </w:pPr>
      <w:r>
        <w:rPr>
          <w:lang w:val="zh-CN"/>
        </w:rPr>
        <w:t xml:space="preserve">546.  </w:t>
      </w:r>
      <w:r>
        <w:rPr>
          <w:rFonts w:hint="eastAsia"/>
          <w:lang w:val="zh-CN"/>
        </w:rPr>
        <w:t>在教育领域，正如在前文提到的，已经开发了若干战略，通过各类灵活的教育模式，保障</w:t>
      </w:r>
      <w:r>
        <w:rPr>
          <w:rFonts w:hint="eastAsia"/>
          <w:lang w:val="es-ES"/>
        </w:rPr>
        <w:t>儿童和青少年，特别是散布在农村地区的儿童和青少年从学龄前阶段到中学阶段的教育权利，确保其能够融入教育生活，坚持学习（学龄前校园教育和校外教育；加速学习；新学校；学习圈；青年创作团体；远程中学教育和小学后教育；农村中学教育；教程学习服务；农村教育服务）。（欲了解更多信息，请参阅关于教育落实情况的章节。）</w:t>
      </w:r>
    </w:p>
    <w:p w:rsidR="00A83775" w:rsidRDefault="00A83775">
      <w:pPr>
        <w:pStyle w:val="SingleTxtGC"/>
        <w:rPr>
          <w:rFonts w:hint="eastAsia"/>
          <w:lang w:val="zh-CN"/>
        </w:rPr>
      </w:pPr>
      <w:r>
        <w:rPr>
          <w:lang w:val="es-ES"/>
        </w:rPr>
        <w:t xml:space="preserve">547.  </w:t>
      </w:r>
      <w:r>
        <w:rPr>
          <w:rFonts w:eastAsia="SimHei" w:hint="eastAsia"/>
          <w:lang w:val="es-ES"/>
        </w:rPr>
        <w:t>就业培训</w:t>
      </w:r>
      <w:r>
        <w:rPr>
          <w:rFonts w:hint="eastAsia"/>
          <w:lang w:val="es-ES"/>
        </w:rPr>
        <w:t>。国家教育部开发了各类惠及农村人口的方案；特别是通过农村青年方案，努力改善年轻人在农业领域以及实施就业培训方案的当地其他经济部门（商业</w:t>
      </w:r>
      <w:r>
        <w:rPr>
          <w:rFonts w:hint="eastAsia"/>
          <w:lang w:val="zh-CN"/>
        </w:rPr>
        <w:t>、服务业、矿业和工业）中的就业机会、收入和生产力。正如在前文中提到的，妇女从此类方案的开展过程中受益最大。</w:t>
      </w:r>
    </w:p>
    <w:p w:rsidR="00A83775" w:rsidRDefault="00A83775">
      <w:pPr>
        <w:pStyle w:val="SingleTxtGC"/>
        <w:rPr>
          <w:lang w:val="zh-CN"/>
        </w:rPr>
      </w:pPr>
      <w:r>
        <w:rPr>
          <w:lang w:val="zh-CN"/>
        </w:rPr>
        <w:t xml:space="preserve">548.  </w:t>
      </w:r>
      <w:r>
        <w:rPr>
          <w:rFonts w:hint="eastAsia"/>
          <w:lang w:val="zh-CN"/>
        </w:rPr>
        <w:t>同样，政府已经设立了各地区的高等教育机构，通过这些机构让农村社会也能够参与各类高等教育院校开展的职业技术教育、技能教育和大学教育方案。</w:t>
      </w:r>
    </w:p>
    <w:p w:rsidR="00A83775" w:rsidRDefault="00A83775">
      <w:pPr>
        <w:pStyle w:val="SingleTxtGC"/>
        <w:rPr>
          <w:rFonts w:hint="eastAsia"/>
          <w:lang w:val="es-ES"/>
        </w:rPr>
      </w:pPr>
      <w:r>
        <w:rPr>
          <w:lang w:val="zh-CN"/>
        </w:rPr>
        <w:t xml:space="preserve">549.  </w:t>
      </w:r>
      <w:r>
        <w:rPr>
          <w:rFonts w:eastAsia="SimHei" w:hint="eastAsia"/>
          <w:lang w:val="zh-CN"/>
        </w:rPr>
        <w:t>农村发展政策——农业和农村发展部</w:t>
      </w:r>
      <w:r>
        <w:rPr>
          <w:rFonts w:hint="eastAsia"/>
          <w:lang w:val="zh-CN"/>
        </w:rPr>
        <w:t>。针对经济发展问题，在农村发展政策框架内针对农</w:t>
      </w:r>
      <w:r>
        <w:rPr>
          <w:rFonts w:hint="eastAsia"/>
          <w:lang w:val="es-ES"/>
        </w:rPr>
        <w:t>村妇女设计和实施了五项方案，目的是改善其生活质量，特别是优先照顾以农业生产活动维生的农村贫困妇女，这些方案是：农村社会福利住房方案；生产联合方案；农村机会方案；土地补贴方案；农业信贷方案。</w:t>
      </w:r>
    </w:p>
    <w:p w:rsidR="00A83775" w:rsidRDefault="00A83775">
      <w:pPr>
        <w:pStyle w:val="SingleTxtGC"/>
        <w:rPr>
          <w:lang w:val="zh-CN"/>
        </w:rPr>
      </w:pPr>
      <w:r>
        <w:rPr>
          <w:lang w:val="es-ES"/>
        </w:rPr>
        <w:t xml:space="preserve">550.  </w:t>
      </w:r>
      <w:r>
        <w:rPr>
          <w:rFonts w:hint="eastAsia"/>
          <w:lang w:val="es-ES"/>
        </w:rPr>
        <w:t>农村社会福利住房方案为选定家庭</w:t>
      </w:r>
      <w:r>
        <w:rPr>
          <w:vertAlign w:val="superscript"/>
          <w:lang w:val="es-ES"/>
        </w:rPr>
        <w:footnoteReference w:id="182"/>
      </w:r>
      <w:r>
        <w:rPr>
          <w:rFonts w:hint="eastAsia"/>
          <w:lang w:val="es-ES"/>
        </w:rPr>
        <w:t xml:space="preserve"> </w:t>
      </w:r>
      <w:r>
        <w:rPr>
          <w:rFonts w:hint="eastAsia"/>
          <w:lang w:val="es-ES"/>
        </w:rPr>
        <w:t>发放农村社会福利住房补贴。其目的是使目标</w:t>
      </w:r>
      <w:r>
        <w:rPr>
          <w:rFonts w:hint="eastAsia"/>
          <w:lang w:val="zh-CN"/>
        </w:rPr>
        <w:t>家庭能够拥有福利住房，这笔资助无需归还，只要受益人符合法律规定的条件即可。</w:t>
      </w:r>
    </w:p>
    <w:p w:rsidR="00A83775" w:rsidRDefault="00A83775">
      <w:pPr>
        <w:pStyle w:val="SingleTxtGC"/>
        <w:rPr>
          <w:lang w:val="zh-CN"/>
        </w:rPr>
      </w:pPr>
      <w:r>
        <w:rPr>
          <w:lang w:val="zh-CN"/>
        </w:rPr>
        <w:t xml:space="preserve">551.  </w:t>
      </w:r>
      <w:r>
        <w:rPr>
          <w:rFonts w:hint="eastAsia"/>
          <w:lang w:val="zh-CN"/>
        </w:rPr>
        <w:t>生产联合方案被用作一种产生收入、创造就业和促进农村贫困地区社会凝聚力的工具，采用的方法就是联合小生产者和小商贩或小产品加工商组织，</w:t>
      </w:r>
      <w:r>
        <w:rPr>
          <w:vertAlign w:val="superscript"/>
          <w:lang w:val="zh-CN"/>
        </w:rPr>
        <w:footnoteReference w:id="183"/>
      </w:r>
      <w:r>
        <w:rPr>
          <w:rFonts w:hint="eastAsia"/>
          <w:lang w:val="zh-CN"/>
        </w:rPr>
        <w:t xml:space="preserve"> </w:t>
      </w:r>
      <w:r>
        <w:rPr>
          <w:rFonts w:hint="eastAsia"/>
          <w:lang w:val="zh-CN"/>
        </w:rPr>
        <w:t>在联盟中规定家庭女户主的成员人数最低不少于</w:t>
      </w:r>
      <w:r>
        <w:rPr>
          <w:rFonts w:hint="eastAsia"/>
          <w:lang w:val="zh-CN"/>
        </w:rPr>
        <w:t>10%</w:t>
      </w:r>
      <w:r>
        <w:rPr>
          <w:rFonts w:hint="eastAsia"/>
          <w:lang w:val="zh-CN"/>
        </w:rPr>
        <w:t>。现阶段女性的参与率已经远远超出了这一规定比例。</w:t>
      </w:r>
    </w:p>
    <w:p w:rsidR="00A83775" w:rsidRDefault="00A83775">
      <w:pPr>
        <w:pStyle w:val="SingleTxtGC"/>
        <w:rPr>
          <w:lang w:val="es-ES"/>
        </w:rPr>
      </w:pPr>
      <w:r>
        <w:rPr>
          <w:lang w:val="zh-CN"/>
        </w:rPr>
        <w:t xml:space="preserve">552.  </w:t>
      </w:r>
      <w:r>
        <w:rPr>
          <w:rFonts w:hint="eastAsia"/>
          <w:lang w:val="zh-CN"/>
        </w:rPr>
        <w:t>农村机会方案开发了用于抗击贫困的手段，包括加强农村居民的企业经营能力，提高农村</w:t>
      </w:r>
      <w:r>
        <w:rPr>
          <w:rFonts w:hint="eastAsia"/>
          <w:lang w:val="es-ES"/>
        </w:rPr>
        <w:t>微型企业打入市场参与竞争的能力并增加就业岗位和收入以及最贫困家庭的资产。</w:t>
      </w:r>
    </w:p>
    <w:p w:rsidR="00A83775" w:rsidRDefault="00A83775">
      <w:pPr>
        <w:pStyle w:val="SingleTxtGC"/>
        <w:rPr>
          <w:lang w:val="es-ES"/>
        </w:rPr>
      </w:pPr>
      <w:r>
        <w:rPr>
          <w:lang w:val="es-ES"/>
        </w:rPr>
        <w:t xml:space="preserve">553.  </w:t>
      </w:r>
      <w:r>
        <w:rPr>
          <w:rFonts w:hint="eastAsia"/>
          <w:lang w:val="es-ES"/>
        </w:rPr>
        <w:t>在综合性土地补贴方面，通过社区企业模式</w:t>
      </w:r>
      <w:r>
        <w:rPr>
          <w:vertAlign w:val="superscript"/>
          <w:lang w:val="es-ES"/>
        </w:rPr>
        <w:footnoteReference w:id="184"/>
      </w:r>
      <w:r>
        <w:rPr>
          <w:rFonts w:hint="eastAsia"/>
          <w:lang w:val="es-ES"/>
        </w:rPr>
        <w:t xml:space="preserve"> </w:t>
      </w:r>
      <w:r>
        <w:rPr>
          <w:rFonts w:hint="eastAsia"/>
          <w:lang w:val="es-ES"/>
        </w:rPr>
        <w:t>对受益者提供支持，目的是开展以下全部或部分活动：针对一种或多种农业产品进行经济开发，对农牧产品进行加工、营销和市场化运作，提供各类服务，同时不妨碍开展其他相关的必要活动，以实现其经营目的。自</w:t>
      </w:r>
      <w:r>
        <w:rPr>
          <w:rFonts w:hint="eastAsia"/>
          <w:lang w:val="es-ES"/>
        </w:rPr>
        <w:t>2002</w:t>
      </w:r>
      <w:r>
        <w:rPr>
          <w:rFonts w:hint="eastAsia"/>
          <w:lang w:val="es-ES"/>
        </w:rPr>
        <w:t>年的第</w:t>
      </w:r>
      <w:r>
        <w:rPr>
          <w:rFonts w:hint="eastAsia"/>
          <w:lang w:val="es-ES"/>
        </w:rPr>
        <w:t>731</w:t>
      </w:r>
      <w:r>
        <w:rPr>
          <w:rFonts w:hint="eastAsia"/>
          <w:lang w:val="es-ES"/>
        </w:rPr>
        <w:t>号法颁布后，将补贴对象向夫妻双方倾斜，目的是尊重家庭核心成员，特别是妇女的所有权。</w:t>
      </w:r>
    </w:p>
    <w:p w:rsidR="00A83775" w:rsidRDefault="00A83775">
      <w:pPr>
        <w:pStyle w:val="SingleTxtGC"/>
        <w:rPr>
          <w:lang w:val="zh-CN"/>
        </w:rPr>
      </w:pPr>
      <w:r>
        <w:rPr>
          <w:lang w:val="es-ES"/>
        </w:rPr>
        <w:t xml:space="preserve">554.  </w:t>
      </w:r>
      <w:r>
        <w:rPr>
          <w:rFonts w:hint="eastAsia"/>
          <w:lang w:val="zh-CN"/>
        </w:rPr>
        <w:t>在发放农业信贷方面，农业和农村发展部通过农牧业贷款为农村妇女创造了专门的准入条件，并特别照顾低收入农村妇女群体。</w:t>
      </w:r>
      <w:r>
        <w:rPr>
          <w:vertAlign w:val="superscript"/>
          <w:lang w:val="zh-CN"/>
        </w:rPr>
        <w:footnoteReference w:id="185"/>
      </w:r>
      <w:r>
        <w:rPr>
          <w:lang w:val="zh-CN"/>
        </w:rPr>
        <w:t xml:space="preserve"> </w:t>
      </w:r>
    </w:p>
    <w:p w:rsidR="00A83775" w:rsidRDefault="00A83775">
      <w:pPr>
        <w:pStyle w:val="SingleTxtGC"/>
        <w:rPr>
          <w:lang w:val="es-ES"/>
        </w:rPr>
      </w:pPr>
      <w:r>
        <w:rPr>
          <w:lang w:val="zh-CN"/>
        </w:rPr>
        <w:t xml:space="preserve">555.  </w:t>
      </w:r>
      <w:r>
        <w:rPr>
          <w:rFonts w:eastAsia="SimHei" w:hint="eastAsia"/>
          <w:lang w:val="zh-CN"/>
        </w:rPr>
        <w:t>就业和企业发展方针</w:t>
      </w:r>
      <w:r>
        <w:rPr>
          <w:rFonts w:eastAsia="SimHei" w:hint="eastAsia"/>
          <w:spacing w:val="-50"/>
          <w:lang w:val="es-ES"/>
        </w:rPr>
        <w:t>―</w:t>
      </w:r>
      <w:r>
        <w:rPr>
          <w:rFonts w:eastAsia="SimHei" w:hint="eastAsia"/>
          <w:lang w:val="es-ES"/>
        </w:rPr>
        <w:t>―</w:t>
      </w:r>
      <w:r>
        <w:rPr>
          <w:rFonts w:eastAsia="SimHei" w:hint="eastAsia"/>
          <w:lang w:val="zh-CN"/>
        </w:rPr>
        <w:t>妇女平等事务总统高级顾问办公室</w:t>
      </w:r>
      <w:r>
        <w:rPr>
          <w:rFonts w:hint="eastAsia"/>
          <w:lang w:val="zh-CN"/>
        </w:rPr>
        <w:t>：妇女平等事务总统高级顾问办公室，为落实这方面的工作目标，促进农村妇女参与到与获得贷款、就国家妇女企业培训计划、女企业主发展综合方案和为妇女提供各类金融资助机会的活动等前文已经提到的方案计划中。在这里需要着重指出的是，前文提到的在</w:t>
      </w:r>
      <w:r>
        <w:rPr>
          <w:rFonts w:hint="eastAsia"/>
          <w:lang w:val="es-ES"/>
        </w:rPr>
        <w:t>劳动平等议程框架内发展的各项战略都得到了农业部门大型行会组织的相应，他们承诺努力根除劳动歧视，努力提高妇女地位，将性别观点纳入其颁布的政策中。</w:t>
      </w:r>
      <w:r>
        <w:rPr>
          <w:vertAlign w:val="superscript"/>
          <w:lang w:val="es-ES"/>
        </w:rPr>
        <w:footnoteReference w:id="186"/>
      </w:r>
      <w:r>
        <w:rPr>
          <w:lang w:val="es-ES"/>
        </w:rPr>
        <w:t xml:space="preserve"> </w:t>
      </w:r>
      <w:r>
        <w:rPr>
          <w:rFonts w:hint="eastAsia"/>
          <w:lang w:val="es-ES"/>
        </w:rPr>
        <w:t>与妇女平等事务总统高级顾问办公室在就业和企业发展方面的工作所取得的成果方面，请参见哥伦比亚针对《公约》第十一条和十三条的执行情况所作的答复。</w:t>
      </w:r>
    </w:p>
    <w:p w:rsidR="00A83775" w:rsidRDefault="00A83775">
      <w:pPr>
        <w:pStyle w:val="SingleTxtGC"/>
        <w:rPr>
          <w:rFonts w:hint="eastAsia"/>
          <w:lang w:val="zh-CN"/>
        </w:rPr>
      </w:pPr>
      <w:r>
        <w:rPr>
          <w:lang w:val="es-ES"/>
        </w:rPr>
        <w:t xml:space="preserve">556.  </w:t>
      </w:r>
      <w:r>
        <w:rPr>
          <w:rFonts w:hint="eastAsia"/>
          <w:lang w:val="es-ES"/>
        </w:rPr>
        <w:t>另一方面，在</w:t>
      </w:r>
      <w:r>
        <w:rPr>
          <w:rFonts w:eastAsia="SimHei" w:hint="eastAsia"/>
          <w:lang w:val="es-ES"/>
        </w:rPr>
        <w:t>国家政府打击非法作物耕种战略框架</w:t>
      </w:r>
      <w:r>
        <w:rPr>
          <w:rFonts w:hint="eastAsia"/>
          <w:lang w:val="es-ES"/>
        </w:rPr>
        <w:t>内，加大对此类作物威胁或影响地区的弱势群体的工作力度，目的是鼓励合法种植，促进社会、经济和环境发展。为此开展的活动主要有“护林人家庭”方案和生产性计划。在“护林人</w:t>
      </w:r>
      <w:r>
        <w:rPr>
          <w:rFonts w:hint="eastAsia"/>
          <w:lang w:val="zh-CN"/>
        </w:rPr>
        <w:t>家庭”方案的开展过程中，促进妇女参与家庭决策以及妇女对受益家庭所获得的有条件的经济奖励使用的话语权，因为这些经济奖励的发放对象就是受益家庭的妇女。为开展这一方案，主要与各户家庭派出的妇女代表签署个人合同，以便让有条件的经济奖励切实发放到妇女的手中。这一计划的工作方针有助于提高妇女的地位，并使妇女在家庭以及社会中的作用受到重视，并使这些资金能够在大多数情况下由夫妻共同支配。</w:t>
      </w:r>
      <w:r>
        <w:rPr>
          <w:vertAlign w:val="superscript"/>
          <w:lang w:val="zh-CN"/>
        </w:rPr>
        <w:footnoteReference w:id="187"/>
      </w:r>
    </w:p>
    <w:p w:rsidR="00A83775" w:rsidRDefault="00A83775">
      <w:pPr>
        <w:pStyle w:val="SingleTxtGC"/>
        <w:rPr>
          <w:lang w:val="zh-CN"/>
        </w:rPr>
      </w:pPr>
      <w:r>
        <w:rPr>
          <w:lang w:val="zh-CN"/>
        </w:rPr>
        <w:t xml:space="preserve">557.  </w:t>
      </w:r>
      <w:r>
        <w:rPr>
          <w:rFonts w:hint="eastAsia"/>
          <w:lang w:val="zh-CN"/>
        </w:rPr>
        <w:t>另一方面，在社会行动署的生产性方案框架内，通过实施针对咖啡作物种植妇女的社会化咖啡生产和销售项目，</w:t>
      </w:r>
      <w:r>
        <w:rPr>
          <w:vertAlign w:val="superscript"/>
          <w:lang w:val="zh-CN"/>
        </w:rPr>
        <w:footnoteReference w:id="188"/>
      </w:r>
      <w:r>
        <w:rPr>
          <w:rFonts w:hint="eastAsia"/>
          <w:lang w:val="zh-CN"/>
        </w:rPr>
        <w:t xml:space="preserve"> </w:t>
      </w:r>
      <w:r>
        <w:rPr>
          <w:rFonts w:hint="eastAsia"/>
          <w:lang w:val="zh-CN"/>
        </w:rPr>
        <w:t>帮助这一行业的妇女创收。这一方案还有助于手工业的生产和营销。在城市手工劳作的人中</w:t>
      </w:r>
      <w:r>
        <w:rPr>
          <w:rFonts w:hint="eastAsia"/>
          <w:lang w:val="zh-CN"/>
        </w:rPr>
        <w:t>81%</w:t>
      </w:r>
      <w:r>
        <w:rPr>
          <w:rFonts w:hint="eastAsia"/>
          <w:lang w:val="zh-CN"/>
        </w:rPr>
        <w:t>为女性。这一项目可造福于社区，因为基于手工制作部门的特性，可以开办家庭作坊，这样护林人家庭可以通过协会组织的形式团结起来谋取更多收入。</w:t>
      </w:r>
    </w:p>
    <w:p w:rsidR="00A83775" w:rsidRDefault="00A83775">
      <w:pPr>
        <w:pStyle w:val="SingleTxtGC"/>
        <w:rPr>
          <w:lang w:val="es-ES"/>
        </w:rPr>
      </w:pPr>
      <w:r>
        <w:rPr>
          <w:lang w:val="zh-CN"/>
        </w:rPr>
        <w:t xml:space="preserve">558.  </w:t>
      </w:r>
      <w:r>
        <w:rPr>
          <w:rFonts w:hint="eastAsia"/>
          <w:lang w:val="zh-CN"/>
        </w:rPr>
        <w:t>另一方面，在开展少数民族生产用地（</w:t>
      </w:r>
      <w:r>
        <w:rPr>
          <w:rFonts w:hint="eastAsia"/>
          <w:lang w:val="zh-CN"/>
        </w:rPr>
        <w:t>TEP</w:t>
      </w:r>
      <w:r>
        <w:rPr>
          <w:rFonts w:hint="eastAsia"/>
          <w:lang w:val="zh-CN"/>
        </w:rPr>
        <w:t>）程序时，针对有助于强化非洲裔哥伦比亚</w:t>
      </w:r>
      <w:r>
        <w:rPr>
          <w:rFonts w:hint="eastAsia"/>
          <w:lang w:val="es-ES"/>
        </w:rPr>
        <w:t>居民和土著居民的道德文化风气的土地的使用以及传统生产习俗，组成了生产中心，使家庭成为活动的主体，让妇女和年轻人有可能参与到各类培训和技术支持活动中；自动对土地的开发利用活动进行检查，确保土地得到有效利用，避免这些土地被用于种植古柯，并扩大生产中心规模，逐步杜绝非法作物的种植。为圆满完成这一工作，必须要进行坚持不懈的指导、跟踪监督并出台激励措施，使妇女能够通过这些活动有所积蓄（布埃纳文图拉和瓜比）。</w:t>
      </w:r>
      <w:r>
        <w:rPr>
          <w:vertAlign w:val="superscript"/>
          <w:lang w:val="es-ES"/>
        </w:rPr>
        <w:footnoteReference w:id="189"/>
      </w:r>
      <w:r>
        <w:rPr>
          <w:rFonts w:hint="eastAsia"/>
          <w:lang w:val="es-ES"/>
        </w:rPr>
        <w:t xml:space="preserve"> </w:t>
      </w:r>
      <w:r>
        <w:rPr>
          <w:rFonts w:hint="eastAsia"/>
          <w:lang w:val="es-ES"/>
        </w:rPr>
        <w:t>在本条对应的附件</w:t>
      </w:r>
      <w:r>
        <w:rPr>
          <w:rFonts w:hint="eastAsia"/>
          <w:lang w:val="es-ES"/>
        </w:rPr>
        <w:t>2</w:t>
      </w:r>
      <w:r>
        <w:rPr>
          <w:rFonts w:hint="eastAsia"/>
          <w:lang w:val="es-ES"/>
        </w:rPr>
        <w:t>中载有与“护林人家庭”方案有关的更多信息。</w:t>
      </w:r>
    </w:p>
    <w:p w:rsidR="00A83775" w:rsidRDefault="00A83775">
      <w:pPr>
        <w:pStyle w:val="SingleTxtGC"/>
        <w:rPr>
          <w:lang w:val="zh-CN"/>
        </w:rPr>
      </w:pPr>
      <w:r>
        <w:rPr>
          <w:bCs/>
          <w:lang w:val="es-ES"/>
        </w:rPr>
        <w:t xml:space="preserve">559.  </w:t>
      </w:r>
      <w:r>
        <w:rPr>
          <w:rFonts w:eastAsia="SimHei" w:hint="eastAsia"/>
          <w:bCs/>
          <w:lang w:val="es-ES"/>
        </w:rPr>
        <w:t>粮食安全战略</w:t>
      </w:r>
      <w:r>
        <w:rPr>
          <w:rFonts w:hint="eastAsia"/>
          <w:bCs/>
          <w:lang w:val="es-ES"/>
        </w:rPr>
        <w:t>。政府已经通过推行粮食生产自给自足来开展一项旨在提高弱势家庭，</w:t>
      </w:r>
      <w:r>
        <w:rPr>
          <w:rFonts w:hint="eastAsia"/>
          <w:lang w:val="zh-CN"/>
        </w:rPr>
        <w:t>特别是贫困家庭解决吃饭问题的能力的战略，通过这一举措来减少饥饿并改善国内的粮食安全状况。</w:t>
      </w:r>
    </w:p>
    <w:p w:rsidR="00A83775" w:rsidRDefault="00A83775">
      <w:pPr>
        <w:pStyle w:val="SingleTxtGC"/>
        <w:rPr>
          <w:lang w:val="zh-CN"/>
        </w:rPr>
      </w:pPr>
      <w:r>
        <w:rPr>
          <w:lang w:val="zh-CN"/>
        </w:rPr>
        <w:t xml:space="preserve">560.  </w:t>
      </w:r>
      <w:r>
        <w:rPr>
          <w:rFonts w:eastAsia="SimHei" w:hint="eastAsia"/>
          <w:lang w:val="zh-CN"/>
        </w:rPr>
        <w:t>促进政治参与</w:t>
      </w:r>
      <w:r>
        <w:rPr>
          <w:rFonts w:hint="eastAsia"/>
          <w:lang w:val="zh-CN"/>
        </w:rPr>
        <w:t>，妇女平等事务总统高级顾问办公室通过设立前面提到的妇女社区委员会和咖啡业从业妇女参与委员会积极促进农村妇女参与关系到其切实利益的决策。妇女社会委员会的成员组织中至少包括来自各类群体的一名女性代表，其中包括农村妇女代表、流离失所群体的妇女代表和咖啡业从业人员的妇女代表，等等。针对咖啡业从业妇女参与委员会，这一战略是在与全国咖啡业者联合会结盟的框架内开展的，有助于开辟空间，帮助国内咖啡业从业妇女开展有组织的活动并强化其对各类决策的参与程度。</w:t>
      </w:r>
    </w:p>
    <w:p w:rsidR="00A83775" w:rsidRDefault="00A83775">
      <w:pPr>
        <w:pStyle w:val="SingleTxtGC"/>
        <w:rPr>
          <w:lang w:val="zh-CN"/>
        </w:rPr>
      </w:pPr>
      <w:r>
        <w:rPr>
          <w:lang w:val="zh-CN"/>
        </w:rPr>
        <w:t xml:space="preserve">561.  </w:t>
      </w:r>
      <w:r>
        <w:rPr>
          <w:rFonts w:hint="eastAsia"/>
          <w:lang w:val="zh-CN"/>
        </w:rPr>
        <w:t>咖啡业从业妇女参与委员会的主要工作主题就是预防家庭内暴力和创造收入。在</w:t>
      </w:r>
      <w:r>
        <w:rPr>
          <w:rFonts w:hint="eastAsia"/>
          <w:lang w:val="zh-CN"/>
        </w:rPr>
        <w:t>2008-2010</w:t>
      </w:r>
      <w:r>
        <w:rPr>
          <w:rFonts w:hint="eastAsia"/>
          <w:lang w:val="zh-CN"/>
        </w:rPr>
        <w:t>年期间，组建了</w:t>
      </w:r>
      <w:r>
        <w:rPr>
          <w:rFonts w:hint="eastAsia"/>
          <w:lang w:val="zh-CN"/>
        </w:rPr>
        <w:t>172</w:t>
      </w:r>
      <w:r>
        <w:rPr>
          <w:rFonts w:hint="eastAsia"/>
          <w:lang w:val="zh-CN"/>
        </w:rPr>
        <w:t>家咖啡作物种植妇女参与委员会，委员会在网注册女会员人数达到</w:t>
      </w:r>
      <w:r>
        <w:rPr>
          <w:rFonts w:hint="eastAsia"/>
          <w:lang w:val="zh-CN"/>
        </w:rPr>
        <w:t>7</w:t>
      </w:r>
      <w:r>
        <w:t>,</w:t>
      </w:r>
      <w:r>
        <w:rPr>
          <w:rFonts w:hint="eastAsia"/>
          <w:lang w:val="zh-CN"/>
        </w:rPr>
        <w:t>000</w:t>
      </w:r>
      <w:r>
        <w:rPr>
          <w:rFonts w:hint="eastAsia"/>
          <w:lang w:val="zh-CN"/>
        </w:rPr>
        <w:t>人。在</w:t>
      </w:r>
      <w:r>
        <w:rPr>
          <w:rFonts w:hint="eastAsia"/>
          <w:lang w:val="zh-CN"/>
        </w:rPr>
        <w:t>2010</w:t>
      </w:r>
      <w:r>
        <w:rPr>
          <w:rFonts w:hint="eastAsia"/>
          <w:lang w:val="zh-CN"/>
        </w:rPr>
        <w:t>年，创立了</w:t>
      </w:r>
      <w:r>
        <w:rPr>
          <w:rFonts w:hint="eastAsia"/>
          <w:lang w:val="zh-CN"/>
        </w:rPr>
        <w:t>34</w:t>
      </w:r>
      <w:r>
        <w:rPr>
          <w:rFonts w:hint="eastAsia"/>
          <w:lang w:val="zh-CN"/>
        </w:rPr>
        <w:t>家咖啡业妇女委员会，在网女会员人数与上一年相比增加了</w:t>
      </w:r>
      <w:r>
        <w:rPr>
          <w:rFonts w:hint="eastAsia"/>
          <w:lang w:val="zh-CN"/>
        </w:rPr>
        <w:t>2</w:t>
      </w:r>
      <w:r>
        <w:t>,</w:t>
      </w:r>
      <w:r>
        <w:rPr>
          <w:rFonts w:hint="eastAsia"/>
          <w:lang w:val="zh-CN"/>
        </w:rPr>
        <w:t>000</w:t>
      </w:r>
      <w:r>
        <w:rPr>
          <w:rFonts w:hint="eastAsia"/>
          <w:lang w:val="zh-CN"/>
        </w:rPr>
        <w:t>人。这一工作进程有助于将性别问题内化为联合会行会政策以及其战略计划的组成部分。</w:t>
      </w:r>
    </w:p>
    <w:p w:rsidR="00A83775" w:rsidRDefault="00A83775">
      <w:pPr>
        <w:pStyle w:val="SingleTxtGC"/>
        <w:rPr>
          <w:rFonts w:hint="eastAsia"/>
          <w:lang w:val="es-ES"/>
        </w:rPr>
      </w:pPr>
      <w:r>
        <w:rPr>
          <w:lang w:val="zh-CN"/>
        </w:rPr>
        <w:t xml:space="preserve">562.  </w:t>
      </w:r>
      <w:r>
        <w:rPr>
          <w:rFonts w:eastAsia="SimHei" w:hint="eastAsia"/>
          <w:lang w:val="zh-CN"/>
        </w:rPr>
        <w:t>2002</w:t>
      </w:r>
      <w:r>
        <w:rPr>
          <w:rFonts w:eastAsia="SimHei" w:hint="eastAsia"/>
          <w:lang w:val="zh-CN"/>
        </w:rPr>
        <w:t>年的第</w:t>
      </w:r>
      <w:r>
        <w:rPr>
          <w:rFonts w:eastAsia="SimHei" w:hint="eastAsia"/>
          <w:lang w:val="zh-CN"/>
        </w:rPr>
        <w:t>731</w:t>
      </w:r>
      <w:r>
        <w:rPr>
          <w:rFonts w:eastAsia="SimHei" w:hint="eastAsia"/>
          <w:lang w:val="zh-CN"/>
        </w:rPr>
        <w:t>号法的监管程序</w:t>
      </w:r>
      <w:r>
        <w:rPr>
          <w:rFonts w:hint="eastAsia"/>
          <w:lang w:val="zh-CN"/>
        </w:rPr>
        <w:t>，哥伦比亚在这一监管程序中做出了有利于农村妇女的法律规定。农业和农村发展部在妇女平等事务总统高级顾问办公室、各农村妇女组织和美洲农业合作研究所（</w:t>
      </w:r>
      <w:r>
        <w:rPr>
          <w:lang w:val="zh-CN"/>
        </w:rPr>
        <w:t>IICA</w:t>
      </w:r>
      <w:r>
        <w:rPr>
          <w:rFonts w:hint="eastAsia"/>
          <w:lang w:val="zh-CN"/>
        </w:rPr>
        <w:t>）的配合下共同推进了这方面的工作。鉴于有必要</w:t>
      </w:r>
      <w:r>
        <w:rPr>
          <w:rFonts w:hint="eastAsia"/>
          <w:lang w:val="es-ES"/>
        </w:rPr>
        <w:t>将各职能部门的工作结合起来共同落实这一法律，创立了法律监管机构间委员会，作为推动这一程序进展的机构，颁布了相应的指导方针并开展了各项有助于提高农村妇女生活质量，克服各种障碍，在国家和国际法规框架的基础上保障其权利。</w:t>
      </w:r>
      <w:r>
        <w:rPr>
          <w:vertAlign w:val="superscript"/>
          <w:lang w:val="es-ES"/>
        </w:rPr>
        <w:footnoteReference w:id="190"/>
      </w:r>
    </w:p>
    <w:p w:rsidR="00A83775" w:rsidRDefault="00A83775">
      <w:pPr>
        <w:pStyle w:val="SingleTxtGC"/>
        <w:rPr>
          <w:rFonts w:hint="eastAsia"/>
          <w:lang w:val="zh-CN"/>
        </w:rPr>
      </w:pPr>
      <w:r>
        <w:rPr>
          <w:bCs/>
          <w:lang w:val="es-ES"/>
        </w:rPr>
        <w:t xml:space="preserve">563.  </w:t>
      </w:r>
      <w:r>
        <w:rPr>
          <w:rFonts w:eastAsia="SimHei" w:hint="eastAsia"/>
          <w:bCs/>
          <w:lang w:val="es-ES"/>
        </w:rPr>
        <w:t>妇女平等事务总统高级顾问办公室</w:t>
      </w:r>
      <w:r>
        <w:rPr>
          <w:rFonts w:eastAsia="SimHei" w:hint="eastAsia"/>
          <w:lang w:val="es-ES"/>
        </w:rPr>
        <w:t>与全国咖啡业者联合会结盟</w:t>
      </w:r>
      <w:r>
        <w:rPr>
          <w:rFonts w:hint="eastAsia"/>
          <w:lang w:val="es-ES"/>
        </w:rPr>
        <w:t>：为达成千年发展目标，全国咖啡业者联合会努力推进性别观点主流化工作，努力在咖啡业内营造更为公平的文化氛围（</w:t>
      </w:r>
      <w:r>
        <w:rPr>
          <w:rFonts w:hint="eastAsia"/>
          <w:lang w:val="es-ES"/>
        </w:rPr>
        <w:t>2007</w:t>
      </w:r>
      <w:r>
        <w:rPr>
          <w:rFonts w:hint="eastAsia"/>
          <w:lang w:val="es-ES"/>
        </w:rPr>
        <w:t>年）。这一内化工作有助于将联合会的各项机构目标与</w:t>
      </w:r>
      <w:r>
        <w:rPr>
          <w:rFonts w:hint="eastAsia"/>
          <w:lang w:val="en-GB"/>
        </w:rPr>
        <w:t>“妇女：和平与发展的建设者”扶持政策</w:t>
      </w:r>
      <w:r>
        <w:rPr>
          <w:rFonts w:hint="eastAsia"/>
          <w:bCs/>
          <w:lang w:val="es-ES"/>
        </w:rPr>
        <w:t>联系起来。开展了咖啡业妇女实验室和参与性讲座，国内咖啡主要出产省份的女领袖代表纷纷参与其中。这些活动鲜活</w:t>
      </w:r>
      <w:r>
        <w:rPr>
          <w:rFonts w:hint="eastAsia"/>
          <w:lang w:val="zh-CN"/>
        </w:rPr>
        <w:t>反映出了妇女在咖啡业经营中的活跃表现，她们在其生活的土地上扎根并世代繁衍，通过这些活动能够确定妇女的最迫切需要。联合会在实施这些政策的同时还开展了其他方案（联合会技术管理组开展的咖啡业小微企业和中型企业方案、特种咖啡计划，咖啡种植青年创新模式），其受益对象大多为咖啡业的从业妇女，帮助改善咖啡种植、生产现代化和加工技术，或者支持和鼓励将所有从事咖啡生产的妇女组织起来，提高生产质量和产品的竞争力，将咖啡产品打入国际市场。</w:t>
      </w:r>
    </w:p>
    <w:p w:rsidR="00A83775" w:rsidRDefault="00A83775">
      <w:pPr>
        <w:pStyle w:val="SingleTxtGC"/>
        <w:rPr>
          <w:rFonts w:hint="eastAsia"/>
          <w:lang w:val="zh-CN"/>
        </w:rPr>
      </w:pPr>
      <w:r>
        <w:rPr>
          <w:lang w:val="zh-CN"/>
        </w:rPr>
        <w:t xml:space="preserve">564.  </w:t>
      </w:r>
      <w:r>
        <w:rPr>
          <w:rFonts w:eastAsia="SimHei" w:hint="eastAsia"/>
          <w:lang w:val="zh-CN"/>
        </w:rPr>
        <w:t>社会保障部和国际移民组织的第</w:t>
      </w:r>
      <w:r>
        <w:rPr>
          <w:rFonts w:eastAsia="SimHei" w:hint="eastAsia"/>
          <w:lang w:val="zh-CN"/>
        </w:rPr>
        <w:t>0565</w:t>
      </w:r>
      <w:r>
        <w:rPr>
          <w:rFonts w:eastAsia="SimHei" w:hint="eastAsia"/>
          <w:lang w:val="zh-CN"/>
        </w:rPr>
        <w:t>号协议（</w:t>
      </w:r>
      <w:r>
        <w:rPr>
          <w:rFonts w:eastAsia="SimHei" w:hint="eastAsia"/>
          <w:lang w:val="zh-CN"/>
        </w:rPr>
        <w:t>2009</w:t>
      </w:r>
      <w:r>
        <w:rPr>
          <w:rFonts w:eastAsia="SimHei" w:hint="eastAsia"/>
          <w:lang w:val="zh-CN"/>
        </w:rPr>
        <w:t>年）</w:t>
      </w:r>
      <w:r>
        <w:rPr>
          <w:rFonts w:hint="eastAsia"/>
          <w:lang w:val="zh-CN"/>
        </w:rPr>
        <w:t>，目的是开展行动以落实宪法法院在第</w:t>
      </w:r>
      <w:r>
        <w:rPr>
          <w:rFonts w:hint="eastAsia"/>
          <w:lang w:val="zh-CN"/>
        </w:rPr>
        <w:t>092</w:t>
      </w:r>
      <w:r>
        <w:rPr>
          <w:rFonts w:hint="eastAsia"/>
          <w:lang w:val="zh-CN"/>
        </w:rPr>
        <w:t>号裁决和第</w:t>
      </w:r>
      <w:r>
        <w:rPr>
          <w:rFonts w:hint="eastAsia"/>
          <w:lang w:val="zh-CN"/>
        </w:rPr>
        <w:t>T-025</w:t>
      </w:r>
      <w:r>
        <w:rPr>
          <w:rFonts w:hint="eastAsia"/>
          <w:lang w:val="zh-CN"/>
        </w:rPr>
        <w:t>号判决中所提出的要求，包括整合布埃纳文图拉和纳里尼奥的少数民族生产用地项目。为此开展了一项对流离失所妇女、妇女领袖和地方机构的指导和信息宣传战略，内容涉及到如何获取卫生保健和心理服务、健康权、性权利和生殖权利、预防暴力、心理健康、劳动剥削和家务剥削、认定和防范职业风险领域的服务的路线方针。</w:t>
      </w:r>
      <w:r>
        <w:rPr>
          <w:vertAlign w:val="superscript"/>
          <w:lang w:val="zh-CN"/>
        </w:rPr>
        <w:footnoteReference w:id="191"/>
      </w:r>
    </w:p>
    <w:p w:rsidR="00A83775" w:rsidRDefault="00A83775">
      <w:pPr>
        <w:pStyle w:val="SingleTxtGC"/>
        <w:rPr>
          <w:rFonts w:hint="eastAsia"/>
          <w:lang w:val="zh-CN"/>
        </w:rPr>
      </w:pPr>
      <w:r>
        <w:rPr>
          <w:lang w:val="zh-CN"/>
        </w:rPr>
        <w:t xml:space="preserve">565.  </w:t>
      </w:r>
      <w:r>
        <w:rPr>
          <w:rFonts w:eastAsia="SimHei" w:hint="eastAsia"/>
          <w:lang w:val="zh-CN"/>
        </w:rPr>
        <w:t>农村妇女小额贷款信托基金</w:t>
      </w:r>
      <w:r>
        <w:rPr>
          <w:rFonts w:hint="eastAsia"/>
          <w:lang w:val="zh-CN"/>
        </w:rPr>
        <w:t>：通过该信托基金所开展的各项活动，农村妇女可以更多地参与到地方、地区和国家的决策空间；同样，妇女有权以更为有效的方式参与提出和运作农村项目和业务，例如：生产、加工、产品推广和市场营销；同时还对农村妇女开展了人类发展、公民参与和两性平等方面的培训，增强了其企业经营能力，了解了其产品的优势所在，并掌握了更多与国家政府、农业和农村发展部针对其开发的方案计划以及如何享有这些方案计划的福利待遇有关的知识。</w:t>
      </w:r>
    </w:p>
    <w:p w:rsidR="00A83775" w:rsidRDefault="00A83775">
      <w:pPr>
        <w:pStyle w:val="SingleTxtGC"/>
        <w:rPr>
          <w:bCs/>
          <w:lang w:val="es-ES"/>
        </w:rPr>
      </w:pPr>
      <w:r>
        <w:rPr>
          <w:lang w:val="zh-CN"/>
        </w:rPr>
        <w:t xml:space="preserve">566.  </w:t>
      </w:r>
      <w:r>
        <w:rPr>
          <w:rFonts w:hint="eastAsia"/>
          <w:lang w:val="zh-CN"/>
        </w:rPr>
        <w:t>国际农村妇女日纪念活动（</w:t>
      </w:r>
      <w:r>
        <w:rPr>
          <w:rFonts w:hint="eastAsia"/>
          <w:lang w:val="zh-CN"/>
        </w:rPr>
        <w:t>2008-2010</w:t>
      </w:r>
      <w:r>
        <w:rPr>
          <w:rFonts w:hint="eastAsia"/>
          <w:lang w:val="zh-CN"/>
        </w:rPr>
        <w:t>年）：国家政府通过开展庆祝活动，让农村妇女了解了国家为提高其经济地位而开展的工作以及实施的旨在预防暴力的战略。此类活动</w:t>
      </w:r>
      <w:r>
        <w:rPr>
          <w:rFonts w:hint="eastAsia"/>
          <w:bCs/>
          <w:lang w:val="es-ES"/>
        </w:rPr>
        <w:t>是在农业和农村发展部以及美洲农业合作研究所的支持下组织开展的，约有</w:t>
      </w:r>
      <w:r>
        <w:rPr>
          <w:rFonts w:hint="eastAsia"/>
          <w:bCs/>
          <w:lang w:val="es-ES"/>
        </w:rPr>
        <w:t>1</w:t>
      </w:r>
      <w:r>
        <w:rPr>
          <w:bCs/>
          <w:lang w:val="es-ES"/>
        </w:rPr>
        <w:t>,</w:t>
      </w:r>
      <w:r>
        <w:rPr>
          <w:rFonts w:hint="eastAsia"/>
          <w:bCs/>
          <w:lang w:val="es-ES"/>
        </w:rPr>
        <w:t>700</w:t>
      </w:r>
      <w:r>
        <w:rPr>
          <w:rFonts w:hint="eastAsia"/>
          <w:bCs/>
          <w:lang w:val="es-ES"/>
        </w:rPr>
        <w:t>名妇女积极参与其中。</w:t>
      </w:r>
    </w:p>
    <w:p w:rsidR="00A83775" w:rsidRDefault="00A83775">
      <w:pPr>
        <w:pStyle w:val="H23GC"/>
        <w:rPr>
          <w:lang w:val="es-ES_tradnl"/>
        </w:rPr>
      </w:pPr>
      <w:r>
        <w:rPr>
          <w:lang w:val="es-ES_tradnl"/>
        </w:rPr>
        <w:tab/>
        <w:t>2.</w:t>
      </w:r>
      <w:r>
        <w:rPr>
          <w:lang w:val="es-ES_tradnl"/>
        </w:rPr>
        <w:tab/>
      </w:r>
      <w:r>
        <w:rPr>
          <w:rFonts w:hint="eastAsia"/>
          <w:lang w:val="es-ES_tradnl"/>
        </w:rPr>
        <w:t>立法措施</w:t>
      </w:r>
    </w:p>
    <w:p w:rsidR="00A83775" w:rsidRDefault="00A83775">
      <w:pPr>
        <w:pStyle w:val="SingleTxtGC"/>
        <w:rPr>
          <w:rFonts w:hint="eastAsia"/>
          <w:lang w:val="es-ES"/>
        </w:rPr>
      </w:pPr>
      <w:r>
        <w:rPr>
          <w:lang w:val="es-ES"/>
        </w:rPr>
        <w:t xml:space="preserve">567.  </w:t>
      </w:r>
      <w:r>
        <w:rPr>
          <w:rFonts w:eastAsia="SimHei" w:hint="eastAsia"/>
          <w:lang w:val="es-ES"/>
        </w:rPr>
        <w:t>2002</w:t>
      </w:r>
      <w:r>
        <w:rPr>
          <w:rFonts w:eastAsia="SimHei" w:hint="eastAsia"/>
          <w:lang w:val="es-ES"/>
        </w:rPr>
        <w:t>年的第</w:t>
      </w:r>
      <w:r>
        <w:rPr>
          <w:rFonts w:eastAsia="SimHei" w:hint="eastAsia"/>
          <w:lang w:val="es-ES"/>
        </w:rPr>
        <w:t>731</w:t>
      </w:r>
      <w:r>
        <w:rPr>
          <w:rFonts w:eastAsia="SimHei" w:hint="eastAsia"/>
          <w:lang w:val="es-ES"/>
        </w:rPr>
        <w:t>号法</w:t>
      </w:r>
      <w:r>
        <w:rPr>
          <w:rFonts w:hint="eastAsia"/>
          <w:lang w:val="es-ES"/>
        </w:rPr>
        <w:t>（本条对应的附件</w:t>
      </w:r>
      <w:r>
        <w:rPr>
          <w:rFonts w:hint="eastAsia"/>
          <w:lang w:val="es-ES"/>
        </w:rPr>
        <w:t>43</w:t>
      </w:r>
      <w:r>
        <w:rPr>
          <w:rFonts w:hint="eastAsia"/>
          <w:lang w:val="es-ES"/>
        </w:rPr>
        <w:t>）。根据这一法律颁布了有利于农村</w:t>
      </w:r>
      <w:r>
        <w:rPr>
          <w:rFonts w:hint="eastAsia"/>
          <w:lang w:val="zh-CN"/>
        </w:rPr>
        <w:t>妇女</w:t>
      </w:r>
      <w:r>
        <w:rPr>
          <w:rFonts w:hint="eastAsia"/>
          <w:lang w:val="es-ES"/>
        </w:rPr>
        <w:t>的法规。包括改善农村妇女的生活质量，优先照顾低收入人群并采取特殊措施来加速实现哥伦比亚提交的第四次和第五次合并报告中提到的农村男女性之间的平等。在该法律的条例框架内，颁布了以下法规：</w:t>
      </w:r>
    </w:p>
    <w:p w:rsidR="00A83775" w:rsidRDefault="00A83775">
      <w:pPr>
        <w:pStyle w:val="SingleTxtGC"/>
        <w:rPr>
          <w:rFonts w:hint="eastAsia"/>
          <w:lang w:val="zh-CN"/>
        </w:rPr>
      </w:pPr>
      <w:r>
        <w:rPr>
          <w:lang w:val="es-ES_tradnl"/>
        </w:rPr>
        <w:t xml:space="preserve">568.  </w:t>
      </w:r>
      <w:r>
        <w:rPr>
          <w:rFonts w:eastAsia="SimHei" w:hint="eastAsia"/>
          <w:lang w:val="es-ES_tradnl"/>
        </w:rPr>
        <w:t>2002</w:t>
      </w:r>
      <w:r>
        <w:rPr>
          <w:rFonts w:eastAsia="SimHei" w:hint="eastAsia"/>
          <w:lang w:val="es-ES_tradnl"/>
        </w:rPr>
        <w:t>年的第</w:t>
      </w:r>
      <w:r>
        <w:rPr>
          <w:rFonts w:eastAsia="SimHei" w:hint="eastAsia"/>
          <w:lang w:val="es-ES_tradnl"/>
        </w:rPr>
        <w:t>01</w:t>
      </w:r>
      <w:r>
        <w:rPr>
          <w:rFonts w:eastAsia="SimHei" w:hint="eastAsia"/>
          <w:lang w:val="es-ES_tradnl"/>
        </w:rPr>
        <w:t>号决议</w:t>
      </w:r>
      <w:r>
        <w:rPr>
          <w:rFonts w:hint="eastAsia"/>
          <w:lang w:val="es-ES_tradnl"/>
        </w:rPr>
        <w:t>，由国家农业信贷委员会颁布，在决议中将资产总额未达</w:t>
      </w:r>
      <w:r>
        <w:rPr>
          <w:rFonts w:hint="eastAsia"/>
          <w:lang w:val="zh-CN"/>
        </w:rPr>
        <w:t>到小生产者规定资产额</w:t>
      </w:r>
      <w:r>
        <w:rPr>
          <w:rFonts w:hint="eastAsia"/>
          <w:lang w:val="zh-CN"/>
        </w:rPr>
        <w:t>70%</w:t>
      </w:r>
      <w:r>
        <w:rPr>
          <w:rFonts w:hint="eastAsia"/>
          <w:lang w:val="zh-CN"/>
        </w:rPr>
        <w:t>的家庭女户主定义为“低收入农村妇女”。</w:t>
      </w:r>
    </w:p>
    <w:p w:rsidR="00A83775" w:rsidRDefault="00A83775">
      <w:pPr>
        <w:pStyle w:val="SingleTxtGC"/>
        <w:rPr>
          <w:lang w:val="es-ES_tradnl"/>
        </w:rPr>
      </w:pPr>
      <w:r>
        <w:rPr>
          <w:lang w:val="zh-CN"/>
        </w:rPr>
        <w:t xml:space="preserve">569.  </w:t>
      </w:r>
      <w:r>
        <w:rPr>
          <w:rFonts w:hint="eastAsia"/>
          <w:lang w:val="zh-CN"/>
        </w:rPr>
        <w:t>国家农业信贷委员会</w:t>
      </w:r>
      <w:r>
        <w:rPr>
          <w:rFonts w:eastAsia="SimHei" w:hint="eastAsia"/>
          <w:lang w:val="zh-CN"/>
        </w:rPr>
        <w:t>2002</w:t>
      </w:r>
      <w:r>
        <w:rPr>
          <w:rFonts w:eastAsia="SimHei" w:hint="eastAsia"/>
          <w:lang w:val="zh-CN"/>
        </w:rPr>
        <w:t>年的第</w:t>
      </w:r>
      <w:r>
        <w:rPr>
          <w:rFonts w:eastAsia="SimHei" w:hint="eastAsia"/>
          <w:lang w:val="zh-CN"/>
        </w:rPr>
        <w:t>01</w:t>
      </w:r>
      <w:r>
        <w:rPr>
          <w:rFonts w:eastAsia="SimHei" w:hint="eastAsia"/>
          <w:lang w:val="zh-CN"/>
        </w:rPr>
        <w:t>、</w:t>
      </w:r>
      <w:r>
        <w:rPr>
          <w:rFonts w:eastAsia="SimHei" w:hint="eastAsia"/>
          <w:lang w:val="zh-CN"/>
        </w:rPr>
        <w:t>02</w:t>
      </w:r>
      <w:r>
        <w:rPr>
          <w:rFonts w:eastAsia="SimHei" w:hint="eastAsia"/>
          <w:lang w:val="zh-CN"/>
        </w:rPr>
        <w:t>和</w:t>
      </w:r>
      <w:r>
        <w:rPr>
          <w:rFonts w:eastAsia="SimHei" w:hint="eastAsia"/>
          <w:lang w:val="zh-CN"/>
        </w:rPr>
        <w:t>06</w:t>
      </w:r>
      <w:r>
        <w:rPr>
          <w:rFonts w:eastAsia="SimHei" w:hint="eastAsia"/>
          <w:lang w:val="zh-CN"/>
        </w:rPr>
        <w:t>号决议</w:t>
      </w:r>
      <w:r>
        <w:rPr>
          <w:rFonts w:hint="eastAsia"/>
          <w:lang w:val="zh-CN"/>
        </w:rPr>
        <w:t>，其内容依次涉及以下方面</w:t>
      </w:r>
      <w:r>
        <w:rPr>
          <w:rFonts w:hint="eastAsia"/>
          <w:lang w:val="es-ES"/>
        </w:rPr>
        <w:t>：</w:t>
      </w:r>
    </w:p>
    <w:p w:rsidR="00A83775" w:rsidRDefault="00A83775">
      <w:pPr>
        <w:pStyle w:val="SingleTxtGC"/>
        <w:numPr>
          <w:ilvl w:val="0"/>
          <w:numId w:val="67"/>
        </w:numPr>
        <w:tabs>
          <w:tab w:val="clear" w:pos="431"/>
          <w:tab w:val="clear" w:pos="1134"/>
          <w:tab w:val="clear" w:pos="1565"/>
          <w:tab w:val="clear" w:pos="1996"/>
          <w:tab w:val="clear" w:pos="2426"/>
        </w:tabs>
        <w:rPr>
          <w:lang w:val="es-ES"/>
        </w:rPr>
      </w:pPr>
      <w:r>
        <w:rPr>
          <w:rFonts w:hint="eastAsia"/>
          <w:lang w:val="es-ES"/>
        </w:rPr>
        <w:t>第</w:t>
      </w:r>
      <w:r>
        <w:rPr>
          <w:rFonts w:hint="eastAsia"/>
          <w:lang w:val="es-ES"/>
        </w:rPr>
        <w:t>01</w:t>
      </w:r>
      <w:r>
        <w:rPr>
          <w:rFonts w:hint="eastAsia"/>
          <w:lang w:val="es-ES"/>
        </w:rPr>
        <w:t>号决议规定农村妇女可获得由</w:t>
      </w:r>
      <w:r>
        <w:rPr>
          <w:rFonts w:hint="eastAsia"/>
          <w:lang w:val="es-ES_tradnl"/>
        </w:rPr>
        <w:t>农牧业部门融资基金</w:t>
      </w:r>
      <w:r>
        <w:rPr>
          <w:rFonts w:hint="eastAsia"/>
          <w:lang w:val="es-ES"/>
        </w:rPr>
        <w:t>提供的贷款，贷款用途限定在农村妇女所开展的农业活动；</w:t>
      </w:r>
    </w:p>
    <w:p w:rsidR="00A83775" w:rsidRDefault="00A83775">
      <w:pPr>
        <w:pStyle w:val="SingleTxtGC"/>
        <w:numPr>
          <w:ilvl w:val="0"/>
          <w:numId w:val="67"/>
        </w:numPr>
        <w:tabs>
          <w:tab w:val="clear" w:pos="431"/>
          <w:tab w:val="clear" w:pos="1134"/>
          <w:tab w:val="clear" w:pos="1565"/>
          <w:tab w:val="clear" w:pos="1996"/>
          <w:tab w:val="clear" w:pos="2426"/>
        </w:tabs>
        <w:rPr>
          <w:lang w:val="es-ES"/>
        </w:rPr>
      </w:pPr>
      <w:r>
        <w:rPr>
          <w:rFonts w:hint="eastAsia"/>
          <w:lang w:val="es-ES"/>
        </w:rPr>
        <w:t>第</w:t>
      </w:r>
      <w:r>
        <w:rPr>
          <w:rFonts w:hint="eastAsia"/>
          <w:lang w:val="es-ES"/>
        </w:rPr>
        <w:t>02</w:t>
      </w:r>
      <w:r>
        <w:rPr>
          <w:rFonts w:hint="eastAsia"/>
          <w:lang w:val="es-ES"/>
        </w:rPr>
        <w:t>号决议对</w:t>
      </w:r>
      <w:r>
        <w:rPr>
          <w:rFonts w:hint="eastAsia"/>
          <w:lang w:val="es-ES"/>
        </w:rPr>
        <w:t>2001</w:t>
      </w:r>
      <w:r>
        <w:rPr>
          <w:rFonts w:hint="eastAsia"/>
          <w:lang w:val="es-ES"/>
        </w:rPr>
        <w:t>年颁布的第</w:t>
      </w:r>
      <w:r>
        <w:rPr>
          <w:rFonts w:hint="eastAsia"/>
          <w:lang w:val="es-ES"/>
        </w:rPr>
        <w:t>04</w:t>
      </w:r>
      <w:r>
        <w:rPr>
          <w:rFonts w:hint="eastAsia"/>
          <w:lang w:val="es-ES"/>
        </w:rPr>
        <w:t>号决议进行了修改，规定可通过用于社会注资的贷款资金来开展企业的上市、收购和创办活动，并责成</w:t>
      </w:r>
      <w:r>
        <w:rPr>
          <w:rFonts w:hint="eastAsia"/>
          <w:lang w:val="es-ES_tradnl"/>
        </w:rPr>
        <w:t>农牧业部门融资基金</w:t>
      </w:r>
      <w:r>
        <w:rPr>
          <w:rFonts w:hint="eastAsia"/>
          <w:lang w:val="es-ES"/>
        </w:rPr>
        <w:t>制定该决议的实施条例，同时采取措施予以落实；</w:t>
      </w:r>
    </w:p>
    <w:p w:rsidR="00A83775" w:rsidRDefault="00A83775">
      <w:pPr>
        <w:pStyle w:val="SingleTxtGC"/>
        <w:numPr>
          <w:ilvl w:val="0"/>
          <w:numId w:val="67"/>
        </w:numPr>
        <w:tabs>
          <w:tab w:val="clear" w:pos="431"/>
          <w:tab w:val="clear" w:pos="1134"/>
          <w:tab w:val="clear" w:pos="1565"/>
          <w:tab w:val="clear" w:pos="1996"/>
          <w:tab w:val="clear" w:pos="2426"/>
        </w:tabs>
        <w:rPr>
          <w:lang w:val="es-ES"/>
        </w:rPr>
      </w:pPr>
      <w:r>
        <w:rPr>
          <w:rFonts w:hint="eastAsia"/>
          <w:lang w:val="es-ES"/>
        </w:rPr>
        <w:t>第</w:t>
      </w:r>
      <w:r>
        <w:rPr>
          <w:rFonts w:hint="eastAsia"/>
          <w:lang w:val="es-ES"/>
        </w:rPr>
        <w:t>06</w:t>
      </w:r>
      <w:r>
        <w:rPr>
          <w:rFonts w:hint="eastAsia"/>
          <w:lang w:val="es-ES"/>
        </w:rPr>
        <w:t>号决议授权开设信贷贴现窗口，以资助开展农村经营活动。</w:t>
      </w:r>
    </w:p>
    <w:p w:rsidR="00A83775" w:rsidRDefault="00A83775">
      <w:pPr>
        <w:pStyle w:val="SingleTxtGC"/>
        <w:rPr>
          <w:rFonts w:hint="eastAsia"/>
          <w:lang w:val="es-ES"/>
        </w:rPr>
      </w:pPr>
      <w:r>
        <w:rPr>
          <w:lang w:val="es-ES"/>
        </w:rPr>
        <w:t xml:space="preserve">570.  </w:t>
      </w:r>
      <w:r>
        <w:rPr>
          <w:rFonts w:eastAsia="SimHei" w:hint="eastAsia"/>
          <w:lang w:val="es-ES"/>
        </w:rPr>
        <w:t>2006</w:t>
      </w:r>
      <w:r>
        <w:rPr>
          <w:rFonts w:eastAsia="SimHei" w:hint="eastAsia"/>
          <w:lang w:val="es-ES"/>
        </w:rPr>
        <w:t>年的第</w:t>
      </w:r>
      <w:r>
        <w:rPr>
          <w:rFonts w:eastAsia="SimHei" w:hint="eastAsia"/>
          <w:lang w:val="es-ES"/>
        </w:rPr>
        <w:t>11</w:t>
      </w:r>
      <w:r>
        <w:rPr>
          <w:rFonts w:eastAsia="SimHei" w:hint="eastAsia"/>
          <w:lang w:val="es-ES"/>
        </w:rPr>
        <w:t>号决议和</w:t>
      </w:r>
      <w:r>
        <w:rPr>
          <w:rFonts w:eastAsia="SimHei" w:hint="eastAsia"/>
          <w:lang w:val="es-ES"/>
        </w:rPr>
        <w:t>2007</w:t>
      </w:r>
      <w:r>
        <w:rPr>
          <w:rFonts w:eastAsia="SimHei" w:hint="eastAsia"/>
          <w:lang w:val="es-ES"/>
        </w:rPr>
        <w:t>年的第</w:t>
      </w:r>
      <w:r>
        <w:rPr>
          <w:rFonts w:eastAsia="SimHei" w:hint="eastAsia"/>
          <w:lang w:val="es-ES"/>
        </w:rPr>
        <w:t>4</w:t>
      </w:r>
      <w:r>
        <w:rPr>
          <w:rFonts w:eastAsia="SimHei" w:hint="eastAsia"/>
          <w:lang w:val="es-ES"/>
        </w:rPr>
        <w:t>号决议</w:t>
      </w:r>
      <w:r>
        <w:rPr>
          <w:rFonts w:hint="eastAsia"/>
          <w:lang w:val="es-ES"/>
        </w:rPr>
        <w:t>，对农牧业担保基金分别进行了规范，即</w:t>
      </w:r>
      <w:r>
        <w:rPr>
          <w:rFonts w:hint="eastAsia"/>
          <w:lang w:val="es-ES"/>
        </w:rPr>
        <w:t>:</w:t>
      </w:r>
    </w:p>
    <w:p w:rsidR="00A83775" w:rsidRDefault="00A83775">
      <w:pPr>
        <w:pStyle w:val="SingleTxtGC"/>
        <w:numPr>
          <w:ilvl w:val="0"/>
          <w:numId w:val="68"/>
        </w:numPr>
        <w:rPr>
          <w:lang w:val="es-ES"/>
        </w:rPr>
      </w:pPr>
      <w:r>
        <w:rPr>
          <w:rFonts w:hint="eastAsia"/>
          <w:lang w:val="es-MX"/>
        </w:rPr>
        <w:t>第</w:t>
      </w:r>
      <w:r>
        <w:rPr>
          <w:rFonts w:hint="eastAsia"/>
          <w:lang w:val="es-MX"/>
        </w:rPr>
        <w:t>11/06</w:t>
      </w:r>
      <w:r>
        <w:rPr>
          <w:rFonts w:hint="eastAsia"/>
          <w:lang w:val="es-MX"/>
        </w:rPr>
        <w:t>号决议：制定了农牧业担保基金的实施条例并提出了若干修订；</w:t>
      </w:r>
    </w:p>
    <w:p w:rsidR="00A83775" w:rsidRDefault="00A83775">
      <w:pPr>
        <w:pStyle w:val="SingleTxtGC"/>
        <w:numPr>
          <w:ilvl w:val="0"/>
          <w:numId w:val="68"/>
        </w:numPr>
        <w:rPr>
          <w:lang w:val="es-ES"/>
        </w:rPr>
      </w:pPr>
      <w:r>
        <w:rPr>
          <w:rFonts w:hint="eastAsia"/>
          <w:lang w:val="es-ES"/>
        </w:rPr>
        <w:t>第</w:t>
      </w:r>
      <w:r>
        <w:rPr>
          <w:rFonts w:hint="eastAsia"/>
          <w:lang w:val="es-ES"/>
        </w:rPr>
        <w:t>4/07</w:t>
      </w:r>
      <w:r>
        <w:rPr>
          <w:rFonts w:hint="eastAsia"/>
          <w:lang w:val="es-ES"/>
        </w:rPr>
        <w:t>号决议：修改了第</w:t>
      </w:r>
      <w:r>
        <w:rPr>
          <w:rFonts w:hint="eastAsia"/>
          <w:lang w:val="es-ES"/>
        </w:rPr>
        <w:t>11/06</w:t>
      </w:r>
      <w:r>
        <w:rPr>
          <w:rFonts w:hint="eastAsia"/>
          <w:lang w:val="es-ES"/>
        </w:rPr>
        <w:t>号决议中与农牧业担保基金的资本担保范围和信贷机构的担保手续费有关的规定，责成</w:t>
      </w:r>
      <w:r>
        <w:rPr>
          <w:rFonts w:hint="eastAsia"/>
          <w:lang w:val="es-ES_tradnl"/>
        </w:rPr>
        <w:t>农牧业部门融资基金</w:t>
      </w:r>
      <w:r>
        <w:rPr>
          <w:rFonts w:hint="eastAsia"/>
          <w:lang w:val="es-ES"/>
        </w:rPr>
        <w:t>对决议的执行情况进行监管并采取必要程序和措施来开展和实施这些决议。</w:t>
      </w:r>
    </w:p>
    <w:p w:rsidR="00A83775" w:rsidRDefault="00A83775">
      <w:pPr>
        <w:pStyle w:val="SingleTxtGC"/>
        <w:rPr>
          <w:lang w:val="zh-CN"/>
        </w:rPr>
      </w:pPr>
      <w:r>
        <w:rPr>
          <w:lang w:val="es-ES"/>
        </w:rPr>
        <w:t xml:space="preserve">571.  </w:t>
      </w:r>
      <w:r>
        <w:rPr>
          <w:rFonts w:eastAsia="SimHei" w:hint="eastAsia"/>
          <w:lang w:val="es-ES"/>
        </w:rPr>
        <w:t>20</w:t>
      </w:r>
      <w:r>
        <w:rPr>
          <w:rFonts w:eastAsia="SimHei" w:hint="eastAsia"/>
          <w:lang w:val="zh-CN"/>
        </w:rPr>
        <w:t>08</w:t>
      </w:r>
      <w:r>
        <w:rPr>
          <w:rFonts w:eastAsia="SimHei" w:hint="eastAsia"/>
          <w:lang w:val="zh-CN"/>
        </w:rPr>
        <w:t>年的第</w:t>
      </w:r>
      <w:r>
        <w:rPr>
          <w:rFonts w:eastAsia="SimHei" w:hint="eastAsia"/>
          <w:lang w:val="zh-CN"/>
        </w:rPr>
        <w:t>030</w:t>
      </w:r>
      <w:r>
        <w:rPr>
          <w:rFonts w:eastAsia="SimHei" w:hint="eastAsia"/>
          <w:lang w:val="zh-CN"/>
        </w:rPr>
        <w:t>号决议</w:t>
      </w:r>
      <w:r>
        <w:rPr>
          <w:rFonts w:hint="eastAsia"/>
          <w:lang w:val="zh-CN"/>
        </w:rPr>
        <w:t>，通过这项决议废除了关于规范农村妇女小额贷款信托基金运作的</w:t>
      </w:r>
      <w:r>
        <w:rPr>
          <w:rFonts w:hint="eastAsia"/>
          <w:lang w:val="zh-CN"/>
        </w:rPr>
        <w:t>2003</w:t>
      </w:r>
      <w:r>
        <w:rPr>
          <w:rFonts w:hint="eastAsia"/>
          <w:lang w:val="zh-CN"/>
        </w:rPr>
        <w:t>年第</w:t>
      </w:r>
      <w:r>
        <w:rPr>
          <w:rFonts w:hint="eastAsia"/>
          <w:lang w:val="zh-CN"/>
        </w:rPr>
        <w:t>0127</w:t>
      </w:r>
      <w:r>
        <w:rPr>
          <w:rFonts w:hint="eastAsia"/>
          <w:lang w:val="zh-CN"/>
        </w:rPr>
        <w:t>号决议。新决议规定了农村妇女小额贷款信托基金以及划定注入这一基金的相应资金的运作、实施和管理架构，以便资助开展第</w:t>
      </w:r>
      <w:r>
        <w:rPr>
          <w:rFonts w:hint="eastAsia"/>
          <w:lang w:val="zh-CN"/>
        </w:rPr>
        <w:t>731</w:t>
      </w:r>
      <w:r>
        <w:rPr>
          <w:rFonts w:hint="eastAsia"/>
          <w:lang w:val="zh-CN"/>
        </w:rPr>
        <w:t>号法第</w:t>
      </w:r>
      <w:r>
        <w:rPr>
          <w:rFonts w:hint="eastAsia"/>
          <w:lang w:val="zh-CN"/>
        </w:rPr>
        <w:t>10</w:t>
      </w:r>
      <w:r>
        <w:rPr>
          <w:rFonts w:hint="eastAsia"/>
          <w:lang w:val="zh-CN"/>
        </w:rPr>
        <w:t>条和第</w:t>
      </w:r>
      <w:r>
        <w:rPr>
          <w:rFonts w:hint="eastAsia"/>
          <w:lang w:val="zh-CN"/>
        </w:rPr>
        <w:t>11</w:t>
      </w:r>
      <w:r>
        <w:rPr>
          <w:rFonts w:hint="eastAsia"/>
          <w:lang w:val="zh-CN"/>
        </w:rPr>
        <w:t>条规定的具体方案。</w:t>
      </w:r>
    </w:p>
    <w:p w:rsidR="00A83775" w:rsidRDefault="00A83775">
      <w:pPr>
        <w:pStyle w:val="SingleTxtGC"/>
        <w:rPr>
          <w:lang w:val="zh-CN"/>
        </w:rPr>
      </w:pPr>
      <w:r>
        <w:rPr>
          <w:lang w:val="zh-CN"/>
        </w:rPr>
        <w:t xml:space="preserve">572.  </w:t>
      </w:r>
      <w:r>
        <w:rPr>
          <w:rFonts w:eastAsia="SimHei" w:hint="eastAsia"/>
          <w:lang w:val="zh-CN"/>
        </w:rPr>
        <w:t>2006</w:t>
      </w:r>
      <w:r>
        <w:rPr>
          <w:rFonts w:eastAsia="SimHei" w:hint="eastAsia"/>
          <w:lang w:val="zh-CN"/>
        </w:rPr>
        <w:t>年的第</w:t>
      </w:r>
      <w:r>
        <w:rPr>
          <w:rFonts w:eastAsia="SimHei" w:hint="eastAsia"/>
          <w:lang w:val="zh-CN"/>
        </w:rPr>
        <w:t>5</w:t>
      </w:r>
      <w:r>
        <w:rPr>
          <w:rFonts w:eastAsia="SimHei" w:hint="eastAsia"/>
          <w:lang w:val="zh-CN"/>
        </w:rPr>
        <w:t>号和第</w:t>
      </w:r>
      <w:r>
        <w:rPr>
          <w:rFonts w:eastAsia="SimHei" w:hint="eastAsia"/>
          <w:lang w:val="zh-CN"/>
        </w:rPr>
        <w:t>2313</w:t>
      </w:r>
      <w:r>
        <w:rPr>
          <w:rFonts w:eastAsia="SimHei" w:hint="eastAsia"/>
          <w:lang w:val="zh-CN"/>
        </w:rPr>
        <w:t>号决议</w:t>
      </w:r>
      <w:r>
        <w:rPr>
          <w:rFonts w:hint="eastAsia"/>
          <w:lang w:val="zh-CN"/>
        </w:rPr>
        <w:t>，规定了一种通过各行会组织和协会来让个体劳动者以集体名义加入综合社会保障体系的通用模式。</w:t>
      </w:r>
    </w:p>
    <w:p w:rsidR="00A83775" w:rsidRDefault="00A83775">
      <w:pPr>
        <w:pStyle w:val="SingleTxtGC"/>
        <w:rPr>
          <w:bCs/>
          <w:lang w:val="es-ES"/>
        </w:rPr>
      </w:pPr>
      <w:r>
        <w:rPr>
          <w:lang w:val="zh-CN"/>
        </w:rPr>
        <w:t xml:space="preserve">573.  </w:t>
      </w:r>
      <w:r>
        <w:rPr>
          <w:rFonts w:eastAsia="SimHei" w:hint="eastAsia"/>
          <w:lang w:val="zh-CN"/>
        </w:rPr>
        <w:t>2003</w:t>
      </w:r>
      <w:r>
        <w:rPr>
          <w:rFonts w:eastAsia="SimHei" w:hint="eastAsia"/>
          <w:lang w:val="zh-CN"/>
        </w:rPr>
        <w:t>年的第</w:t>
      </w:r>
      <w:r>
        <w:rPr>
          <w:rFonts w:eastAsia="SimHei" w:hint="eastAsia"/>
          <w:lang w:val="zh-CN"/>
        </w:rPr>
        <w:t>2998</w:t>
      </w:r>
      <w:r>
        <w:rPr>
          <w:rFonts w:eastAsia="SimHei" w:hint="eastAsia"/>
          <w:lang w:val="zh-CN"/>
        </w:rPr>
        <w:t>号法令</w:t>
      </w:r>
      <w:r>
        <w:rPr>
          <w:rFonts w:hint="eastAsia"/>
          <w:lang w:val="zh-CN"/>
        </w:rPr>
        <w:t>，规定针对被荒弃的土地，如果某对合法夫妻或事实夫妻提出申请并宣誓声明将对土地复垦且不会荒弃的，如果经审核符合规定条件，可以通</w:t>
      </w:r>
      <w:r>
        <w:rPr>
          <w:rFonts w:hint="eastAsia"/>
          <w:bCs/>
          <w:lang w:val="es-ES"/>
        </w:rPr>
        <w:t>过家庭农业单位或家庭农业生产单位制度获准使用土地并领取土地证（第</w:t>
      </w:r>
      <w:r>
        <w:rPr>
          <w:rFonts w:hint="eastAsia"/>
          <w:bCs/>
          <w:lang w:val="es-ES"/>
        </w:rPr>
        <w:t>1</w:t>
      </w:r>
      <w:r>
        <w:rPr>
          <w:rFonts w:hint="eastAsia"/>
          <w:bCs/>
          <w:lang w:val="es-ES"/>
        </w:rPr>
        <w:t>条）。该法令第</w:t>
      </w:r>
      <w:r>
        <w:rPr>
          <w:rFonts w:hint="eastAsia"/>
          <w:bCs/>
          <w:lang w:val="es-ES"/>
        </w:rPr>
        <w:t>3</w:t>
      </w:r>
      <w:r>
        <w:rPr>
          <w:rFonts w:hint="eastAsia"/>
          <w:bCs/>
          <w:lang w:val="es-ES"/>
        </w:rPr>
        <w:t>条规定，妇女可参与为开垦对应地块而组建的法人实体，规定法人应当维持其经营活动并在同等条件下让男女都参与相关的决策程序。</w:t>
      </w:r>
    </w:p>
    <w:p w:rsidR="00A83775" w:rsidRDefault="00A83775">
      <w:pPr>
        <w:pStyle w:val="SingleTxtGC"/>
        <w:rPr>
          <w:bCs/>
          <w:lang w:val="es-ES"/>
        </w:rPr>
      </w:pPr>
      <w:r>
        <w:rPr>
          <w:lang w:val="es-ES"/>
        </w:rPr>
        <w:t xml:space="preserve">574.  </w:t>
      </w:r>
      <w:r>
        <w:rPr>
          <w:rFonts w:eastAsia="SimHei" w:hint="eastAsia"/>
          <w:lang w:val="es-ES"/>
        </w:rPr>
        <w:t>2009</w:t>
      </w:r>
      <w:r>
        <w:rPr>
          <w:rFonts w:eastAsia="SimHei" w:hint="eastAsia"/>
          <w:lang w:val="es-ES"/>
        </w:rPr>
        <w:t>年的第</w:t>
      </w:r>
      <w:r>
        <w:rPr>
          <w:rFonts w:eastAsia="SimHei" w:hint="eastAsia"/>
          <w:lang w:val="es-ES"/>
        </w:rPr>
        <w:t>2000</w:t>
      </w:r>
      <w:r>
        <w:rPr>
          <w:rFonts w:eastAsia="SimHei" w:hint="eastAsia"/>
          <w:lang w:val="es-ES"/>
        </w:rPr>
        <w:t>号法令</w:t>
      </w:r>
      <w:r>
        <w:rPr>
          <w:rFonts w:hint="eastAsia"/>
          <w:lang w:val="es-ES"/>
        </w:rPr>
        <w:t>，根据这一法律规范了对购置土地的综合性补贴措施，制定了具体的运作模式并颁布了其他一些规定。</w:t>
      </w:r>
    </w:p>
    <w:p w:rsidR="00A83775" w:rsidRDefault="00A83775">
      <w:pPr>
        <w:pStyle w:val="SingleTxtGC"/>
        <w:rPr>
          <w:bCs/>
          <w:lang w:val="es-ES"/>
        </w:rPr>
      </w:pPr>
      <w:r>
        <w:rPr>
          <w:bCs/>
          <w:lang w:val="es-ES"/>
        </w:rPr>
        <w:t xml:space="preserve">575.  </w:t>
      </w:r>
      <w:r>
        <w:rPr>
          <w:rFonts w:eastAsia="SimHei" w:hint="eastAsia"/>
          <w:lang w:val="zh-CN"/>
        </w:rPr>
        <w:t>2011</w:t>
      </w:r>
      <w:r>
        <w:rPr>
          <w:rFonts w:eastAsia="SimHei" w:hint="eastAsia"/>
          <w:bCs/>
          <w:lang w:val="es-ES"/>
        </w:rPr>
        <w:t>年的第</w:t>
      </w:r>
      <w:r>
        <w:rPr>
          <w:rFonts w:eastAsia="SimHei" w:hint="eastAsia"/>
          <w:bCs/>
          <w:lang w:val="es-ES"/>
        </w:rPr>
        <w:t>0698</w:t>
      </w:r>
      <w:r>
        <w:rPr>
          <w:rFonts w:eastAsia="SimHei" w:hint="eastAsia"/>
          <w:bCs/>
          <w:lang w:val="es-ES"/>
        </w:rPr>
        <w:t>号决议</w:t>
      </w:r>
      <w:r>
        <w:rPr>
          <w:rFonts w:hint="eastAsia"/>
          <w:bCs/>
          <w:lang w:val="es-ES"/>
        </w:rPr>
        <w:t>，通过这一决议规定了对向农村人口、流离失所受害人口、流离失所受害妇女、黑人、土著人、农村妇女、农业科学专业人员和专家发放全额补贴用于购置土地的公示办法。</w:t>
      </w:r>
    </w:p>
    <w:p w:rsidR="00A83775" w:rsidRDefault="00A83775">
      <w:pPr>
        <w:pStyle w:val="H23GC"/>
        <w:rPr>
          <w:rFonts w:hint="eastAsia"/>
          <w:lang w:val="es-ES_tradnl"/>
        </w:rPr>
      </w:pPr>
      <w:r>
        <w:rPr>
          <w:lang w:val="es-ES_tradnl"/>
        </w:rPr>
        <w:tab/>
        <w:t>3.</w:t>
      </w:r>
      <w:r>
        <w:rPr>
          <w:lang w:val="es-ES_tradnl"/>
        </w:rPr>
        <w:tab/>
      </w:r>
      <w:r>
        <w:rPr>
          <w:rFonts w:hint="eastAsia"/>
          <w:lang w:val="es-ES_tradnl"/>
        </w:rPr>
        <w:t>司法措施</w:t>
      </w:r>
    </w:p>
    <w:p w:rsidR="00A83775" w:rsidRDefault="00A83775">
      <w:pPr>
        <w:pStyle w:val="SingleTxtGC"/>
        <w:rPr>
          <w:rFonts w:hint="eastAsia"/>
          <w:bCs/>
          <w:lang w:val="es-ES"/>
        </w:rPr>
      </w:pPr>
      <w:r>
        <w:rPr>
          <w:bCs/>
          <w:lang w:val="es-ES"/>
        </w:rPr>
        <w:t xml:space="preserve">576.  </w:t>
      </w:r>
      <w:r>
        <w:rPr>
          <w:rFonts w:hint="eastAsia"/>
          <w:lang w:val="zh-CN"/>
        </w:rPr>
        <w:t>值得一提</w:t>
      </w:r>
      <w:r>
        <w:rPr>
          <w:rFonts w:hint="eastAsia"/>
          <w:bCs/>
          <w:lang w:val="es-ES"/>
        </w:rPr>
        <w:t>的有：</w:t>
      </w:r>
    </w:p>
    <w:p w:rsidR="00A83775" w:rsidRDefault="00A83775">
      <w:pPr>
        <w:pStyle w:val="SingleTxtGC"/>
        <w:numPr>
          <w:ilvl w:val="0"/>
          <w:numId w:val="69"/>
        </w:numPr>
        <w:rPr>
          <w:lang w:val="es-ES"/>
        </w:rPr>
      </w:pPr>
      <w:r>
        <w:rPr>
          <w:rFonts w:hint="eastAsia"/>
          <w:lang w:val="es-ES"/>
        </w:rPr>
        <w:t>前文已经提过的</w:t>
      </w:r>
      <w:r>
        <w:rPr>
          <w:rFonts w:hint="eastAsia"/>
          <w:lang w:val="es-ES"/>
        </w:rPr>
        <w:t>2004</w:t>
      </w:r>
      <w:r>
        <w:rPr>
          <w:rFonts w:hint="eastAsia"/>
          <w:lang w:val="es-ES"/>
        </w:rPr>
        <w:t>年的第</w:t>
      </w:r>
      <w:r>
        <w:rPr>
          <w:rFonts w:hint="eastAsia"/>
          <w:lang w:val="es-ES"/>
        </w:rPr>
        <w:t>T-025</w:t>
      </w:r>
      <w:r>
        <w:rPr>
          <w:rFonts w:hint="eastAsia"/>
          <w:lang w:val="es-ES"/>
        </w:rPr>
        <w:t>号判决；</w:t>
      </w:r>
    </w:p>
    <w:p w:rsidR="00A83775" w:rsidRDefault="00A83775">
      <w:pPr>
        <w:pStyle w:val="SingleTxtGC"/>
        <w:numPr>
          <w:ilvl w:val="0"/>
          <w:numId w:val="69"/>
        </w:numPr>
        <w:rPr>
          <w:lang w:val="es-ES"/>
        </w:rPr>
      </w:pPr>
      <w:r>
        <w:rPr>
          <w:rFonts w:hint="eastAsia"/>
          <w:lang w:val="es-ES"/>
        </w:rPr>
        <w:t>2008</w:t>
      </w:r>
      <w:r>
        <w:rPr>
          <w:rFonts w:hint="eastAsia"/>
          <w:lang w:val="es-ES"/>
        </w:rPr>
        <w:t>年的第</w:t>
      </w:r>
      <w:r>
        <w:rPr>
          <w:rFonts w:hint="eastAsia"/>
          <w:lang w:val="es-ES"/>
        </w:rPr>
        <w:t>092</w:t>
      </w:r>
      <w:r>
        <w:rPr>
          <w:rFonts w:hint="eastAsia"/>
          <w:lang w:val="es-ES"/>
        </w:rPr>
        <w:t>号和第</w:t>
      </w:r>
      <w:r>
        <w:rPr>
          <w:rFonts w:hint="eastAsia"/>
          <w:lang w:val="es-ES"/>
        </w:rPr>
        <w:t>237</w:t>
      </w:r>
      <w:r>
        <w:rPr>
          <w:rFonts w:hint="eastAsia"/>
          <w:lang w:val="es-ES"/>
        </w:rPr>
        <w:t>号裁决，参见下文；</w:t>
      </w:r>
    </w:p>
    <w:p w:rsidR="00A83775" w:rsidRDefault="00A83775">
      <w:pPr>
        <w:pStyle w:val="SingleTxtGC"/>
        <w:numPr>
          <w:ilvl w:val="0"/>
          <w:numId w:val="69"/>
        </w:numPr>
        <w:rPr>
          <w:rFonts w:hint="eastAsia"/>
          <w:lang w:val="es-ES"/>
        </w:rPr>
      </w:pPr>
      <w:r>
        <w:rPr>
          <w:rFonts w:hint="eastAsia"/>
          <w:lang w:val="es-ES"/>
        </w:rPr>
        <w:t>2007</w:t>
      </w:r>
      <w:r>
        <w:rPr>
          <w:rFonts w:hint="eastAsia"/>
          <w:lang w:val="es-ES"/>
        </w:rPr>
        <w:t>年的第</w:t>
      </w:r>
      <w:r>
        <w:rPr>
          <w:rFonts w:hint="eastAsia"/>
          <w:lang w:val="es-ES"/>
        </w:rPr>
        <w:t>C-393</w:t>
      </w:r>
      <w:r>
        <w:rPr>
          <w:rFonts w:hint="eastAsia"/>
          <w:lang w:val="es-ES"/>
        </w:rPr>
        <w:t>号判决，内容是“被控法律的主旨在于保护失业劳动者，使其不会因失去收入而无法维持家庭生计。这在一个社会法治国家中被视作一个合乎宪法规定且令人信服的目的。另一方面，法律所采用的办法</w:t>
      </w:r>
      <w:r>
        <w:rPr>
          <w:rFonts w:hint="eastAsia"/>
          <w:spacing w:val="-50"/>
          <w:lang w:val="es-ES"/>
        </w:rPr>
        <w:t>―</w:t>
      </w:r>
      <w:r>
        <w:rPr>
          <w:rFonts w:hint="eastAsia"/>
          <w:lang w:val="es-ES"/>
        </w:rPr>
        <w:t>―从促进就业和失业人员保护基金（</w:t>
      </w:r>
      <w:r>
        <w:rPr>
          <w:rFonts w:hint="eastAsia"/>
          <w:lang w:val="es-ES"/>
        </w:rPr>
        <w:t>FONEDE</w:t>
      </w:r>
      <w:r>
        <w:rPr>
          <w:rFonts w:hint="eastAsia"/>
          <w:lang w:val="es-ES"/>
        </w:rPr>
        <w:t>）的资金中拨出</w:t>
      </w:r>
      <w:r>
        <w:rPr>
          <w:rFonts w:hint="eastAsia"/>
          <w:lang w:val="es-ES"/>
        </w:rPr>
        <w:t>5%</w:t>
      </w:r>
      <w:r>
        <w:rPr>
          <w:rFonts w:hint="eastAsia"/>
          <w:lang w:val="es-ES"/>
        </w:rPr>
        <w:t>用于设立一个失业补贴，向在提交补贴申请之前三年内都没有享受家庭结算银行补助的失业者提供帮助</w:t>
      </w:r>
      <w:r>
        <w:rPr>
          <w:rFonts w:hint="eastAsia"/>
          <w:spacing w:val="-50"/>
          <w:lang w:val="es-ES"/>
        </w:rPr>
        <w:t>―</w:t>
      </w:r>
      <w:r>
        <w:rPr>
          <w:rFonts w:hint="eastAsia"/>
          <w:lang w:val="es-ES"/>
        </w:rPr>
        <w:t>―这与法律所追求的目标相契合，可以确保受益人凭补贴维持最低的生活要求。立法者也可以采用其他的办法</w:t>
      </w:r>
      <w:r>
        <w:rPr>
          <w:rFonts w:hint="eastAsia"/>
          <w:spacing w:val="-50"/>
          <w:lang w:val="es-ES"/>
        </w:rPr>
        <w:t>―</w:t>
      </w:r>
      <w:r>
        <w:rPr>
          <w:rFonts w:hint="eastAsia"/>
          <w:lang w:val="es-ES"/>
        </w:rPr>
        <w:t>―例如提供失业保险</w:t>
      </w:r>
      <w:r>
        <w:rPr>
          <w:rFonts w:hint="eastAsia"/>
          <w:spacing w:val="-50"/>
          <w:lang w:val="es-ES"/>
        </w:rPr>
        <w:t>―</w:t>
      </w:r>
      <w:r>
        <w:rPr>
          <w:rFonts w:hint="eastAsia"/>
          <w:lang w:val="es-ES"/>
        </w:rPr>
        <w:t>―但是这并不意味着该项补贴措施就不能有助于减轻失业状况”（……）；</w:t>
      </w:r>
    </w:p>
    <w:p w:rsidR="00A83775" w:rsidRDefault="00A83775">
      <w:pPr>
        <w:pStyle w:val="SingleTxtGC"/>
        <w:numPr>
          <w:ilvl w:val="0"/>
          <w:numId w:val="69"/>
        </w:numPr>
        <w:rPr>
          <w:iCs/>
          <w:lang w:val="es-CO"/>
        </w:rPr>
      </w:pPr>
      <w:r>
        <w:rPr>
          <w:rFonts w:hint="eastAsia"/>
          <w:lang w:val="es-CO"/>
        </w:rPr>
        <w:t>2004</w:t>
      </w:r>
      <w:r>
        <w:rPr>
          <w:rFonts w:hint="eastAsia"/>
          <w:lang w:val="es-CO"/>
        </w:rPr>
        <w:t>年的第</w:t>
      </w:r>
      <w:r>
        <w:rPr>
          <w:rFonts w:hint="eastAsia"/>
          <w:lang w:val="es-CO"/>
        </w:rPr>
        <w:t>C 722</w:t>
      </w:r>
      <w:r>
        <w:rPr>
          <w:rFonts w:hint="eastAsia"/>
          <w:lang w:val="es-CO"/>
        </w:rPr>
        <w:t>号判决</w:t>
      </w:r>
      <w:r>
        <w:rPr>
          <w:rFonts w:hint="eastAsia"/>
          <w:spacing w:val="-50"/>
          <w:lang w:val="es-ES"/>
        </w:rPr>
        <w:t>―</w:t>
      </w:r>
      <w:r>
        <w:rPr>
          <w:rFonts w:hint="eastAsia"/>
          <w:lang w:val="es-ES"/>
        </w:rPr>
        <w:t>―</w:t>
      </w:r>
      <w:r>
        <w:rPr>
          <w:rFonts w:hint="eastAsia"/>
          <w:lang w:val="es-CO"/>
        </w:rPr>
        <w:t>“作为家庭女户主名下唯一产业的城市或农村住房均属于不可被扣押的家庭财产</w:t>
      </w:r>
      <w:r>
        <w:rPr>
          <w:rFonts w:hint="eastAsia"/>
          <w:spacing w:val="-50"/>
          <w:lang w:val="es-ES"/>
        </w:rPr>
        <w:t>―</w:t>
      </w:r>
      <w:r>
        <w:rPr>
          <w:rFonts w:hint="eastAsia"/>
          <w:lang w:val="es-ES"/>
        </w:rPr>
        <w:t>―</w:t>
      </w:r>
      <w:r>
        <w:rPr>
          <w:rFonts w:hint="eastAsia"/>
          <w:lang w:val="es-CO"/>
        </w:rPr>
        <w:t>这是对未成年人的最基本的保护措施，对依赖父亲或母亲生活的未成年人同等对待。</w:t>
      </w:r>
      <w:r>
        <w:rPr>
          <w:rFonts w:hint="eastAsia"/>
          <w:lang w:val="es-CO"/>
        </w:rPr>
        <w:t>2003</w:t>
      </w:r>
      <w:r>
        <w:rPr>
          <w:rFonts w:hint="eastAsia"/>
          <w:lang w:val="es-CO"/>
        </w:rPr>
        <w:t>年的第</w:t>
      </w:r>
      <w:r>
        <w:rPr>
          <w:rFonts w:hint="eastAsia"/>
          <w:lang w:val="es-CO"/>
        </w:rPr>
        <w:t>861</w:t>
      </w:r>
      <w:r>
        <w:rPr>
          <w:rFonts w:hint="eastAsia"/>
          <w:lang w:val="es-CO"/>
        </w:rPr>
        <w:t>号法规定的措施旨在保护家庭的基本财产，主要是用于居住的不动产，作为保护措施，不仅针对家庭女户主，更是要保护依赖其生存的未成年人。为落实这一法规的具体目标，不管出于任何原因，都不得限制这一专门针对依赖其母亲生存的未成年人的保护措施，但是在相同情况下，依赖父亲生存的未成年人并不享有这一保护措施”。</w:t>
      </w:r>
    </w:p>
    <w:p w:rsidR="00A83775" w:rsidRDefault="00A83775">
      <w:pPr>
        <w:pStyle w:val="SingleTxtGC"/>
        <w:rPr>
          <w:lang w:val="es-ES"/>
        </w:rPr>
      </w:pPr>
      <w:r>
        <w:rPr>
          <w:lang w:val="es-ES"/>
        </w:rPr>
        <w:t xml:space="preserve">577.  </w:t>
      </w:r>
      <w:r>
        <w:rPr>
          <w:rFonts w:hint="eastAsia"/>
          <w:lang w:val="es-ES"/>
        </w:rPr>
        <w:t>在本条对应的附件</w:t>
      </w:r>
      <w:r>
        <w:rPr>
          <w:rFonts w:hint="eastAsia"/>
          <w:lang w:val="es-ES"/>
        </w:rPr>
        <w:t>4</w:t>
      </w:r>
      <w:r>
        <w:rPr>
          <w:rFonts w:hint="eastAsia"/>
          <w:lang w:val="es-ES"/>
        </w:rPr>
        <w:t>中载有这些判决的全文。</w:t>
      </w:r>
    </w:p>
    <w:p w:rsidR="00A83775" w:rsidRDefault="00A83775">
      <w:pPr>
        <w:pStyle w:val="H23GC"/>
        <w:rPr>
          <w:lang w:val="es-ES_tradnl"/>
        </w:rPr>
      </w:pPr>
      <w:r>
        <w:rPr>
          <w:lang w:val="es-ES_tradnl"/>
        </w:rPr>
        <w:tab/>
        <w:t>4.</w:t>
      </w:r>
      <w:r>
        <w:rPr>
          <w:lang w:val="es-ES_tradnl"/>
        </w:rPr>
        <w:tab/>
      </w:r>
      <w:r>
        <w:rPr>
          <w:rFonts w:hint="eastAsia"/>
          <w:lang w:val="es-ES_tradnl"/>
        </w:rPr>
        <w:t>现状</w:t>
      </w:r>
      <w:r>
        <w:rPr>
          <w:rFonts w:hint="eastAsia"/>
          <w:lang w:val="es-ES_tradnl"/>
        </w:rPr>
        <w:t>/</w:t>
      </w:r>
      <w:r>
        <w:rPr>
          <w:rFonts w:hint="eastAsia"/>
          <w:lang w:val="es-ES_tradnl"/>
        </w:rPr>
        <w:t>统计信息</w:t>
      </w:r>
    </w:p>
    <w:p w:rsidR="00A83775" w:rsidRDefault="00A83775">
      <w:pPr>
        <w:pStyle w:val="SingleTxtGC"/>
        <w:rPr>
          <w:lang w:val="zh-CN"/>
        </w:rPr>
      </w:pPr>
      <w:r>
        <w:rPr>
          <w:lang w:val="es-ES"/>
        </w:rPr>
        <w:t xml:space="preserve">578.  </w:t>
      </w:r>
      <w:r>
        <w:rPr>
          <w:rFonts w:hint="eastAsia"/>
          <w:lang w:val="es-ES"/>
        </w:rPr>
        <w:t>国家统计局在</w:t>
      </w:r>
      <w:r>
        <w:rPr>
          <w:rFonts w:hint="eastAsia"/>
          <w:lang w:val="es-ES"/>
        </w:rPr>
        <w:t>2005</w:t>
      </w:r>
      <w:r>
        <w:rPr>
          <w:rFonts w:hint="eastAsia"/>
          <w:lang w:val="es-ES"/>
        </w:rPr>
        <w:t>年开展的最近一次普查的数据表明，哥伦比亚的总人口数增</w:t>
      </w:r>
      <w:r>
        <w:rPr>
          <w:rFonts w:hint="eastAsia"/>
          <w:lang w:val="zh-CN"/>
        </w:rPr>
        <w:t>加到了</w:t>
      </w:r>
      <w:r>
        <w:rPr>
          <w:rFonts w:hint="eastAsia"/>
          <w:lang w:val="zh-CN"/>
        </w:rPr>
        <w:t>41</w:t>
      </w:r>
      <w:r>
        <w:t>,</w:t>
      </w:r>
      <w:r>
        <w:rPr>
          <w:rFonts w:hint="eastAsia"/>
          <w:lang w:val="zh-CN"/>
        </w:rPr>
        <w:t>468</w:t>
      </w:r>
      <w:r>
        <w:t>,</w:t>
      </w:r>
      <w:r>
        <w:rPr>
          <w:rFonts w:hint="eastAsia"/>
          <w:lang w:val="zh-CN"/>
        </w:rPr>
        <w:t>384</w:t>
      </w:r>
      <w:r>
        <w:rPr>
          <w:rFonts w:hint="eastAsia"/>
          <w:lang w:val="zh-CN"/>
        </w:rPr>
        <w:t>名居民，其中</w:t>
      </w:r>
      <w:r>
        <w:rPr>
          <w:rFonts w:hint="eastAsia"/>
          <w:lang w:val="zh-CN"/>
        </w:rPr>
        <w:t>9</w:t>
      </w:r>
      <w:r>
        <w:t>,</w:t>
      </w:r>
      <w:r>
        <w:rPr>
          <w:rFonts w:hint="eastAsia"/>
          <w:lang w:val="zh-CN"/>
        </w:rPr>
        <w:t>958</w:t>
      </w:r>
      <w:r>
        <w:t>,</w:t>
      </w:r>
      <w:r>
        <w:rPr>
          <w:rFonts w:hint="eastAsia"/>
          <w:lang w:val="zh-CN"/>
        </w:rPr>
        <w:t>005</w:t>
      </w:r>
      <w:r>
        <w:rPr>
          <w:rFonts w:hint="eastAsia"/>
          <w:lang w:val="zh-CN"/>
        </w:rPr>
        <w:t>人生活在农村地区，占国内总人数的</w:t>
      </w:r>
      <w:r>
        <w:rPr>
          <w:rFonts w:hint="eastAsia"/>
          <w:lang w:val="zh-CN"/>
        </w:rPr>
        <w:t>24%</w:t>
      </w:r>
      <w:r>
        <w:rPr>
          <w:rFonts w:hint="eastAsia"/>
          <w:lang w:val="zh-CN"/>
        </w:rPr>
        <w:t>。</w:t>
      </w:r>
    </w:p>
    <w:p w:rsidR="00A83775" w:rsidRDefault="00A83775">
      <w:pPr>
        <w:pStyle w:val="SingleTxtGC"/>
        <w:rPr>
          <w:lang w:val="zh-CN"/>
        </w:rPr>
      </w:pPr>
      <w:r>
        <w:rPr>
          <w:lang w:val="zh-CN"/>
        </w:rPr>
        <w:t xml:space="preserve">579.  </w:t>
      </w:r>
      <w:r>
        <w:rPr>
          <w:rFonts w:hint="eastAsia"/>
          <w:lang w:val="zh-CN"/>
        </w:rPr>
        <w:t>农村人口中女性</w:t>
      </w:r>
      <w:r>
        <w:rPr>
          <w:rFonts w:hint="eastAsia"/>
          <w:lang w:val="zh-CN"/>
        </w:rPr>
        <w:t>4</w:t>
      </w:r>
      <w:r>
        <w:t>,</w:t>
      </w:r>
      <w:r>
        <w:rPr>
          <w:rFonts w:hint="eastAsia"/>
          <w:lang w:val="zh-CN"/>
        </w:rPr>
        <w:t>708</w:t>
      </w:r>
      <w:r>
        <w:t>,</w:t>
      </w:r>
      <w:r>
        <w:rPr>
          <w:rFonts w:hint="eastAsia"/>
          <w:lang w:val="zh-CN"/>
        </w:rPr>
        <w:t>424</w:t>
      </w:r>
      <w:r>
        <w:rPr>
          <w:rFonts w:hint="eastAsia"/>
          <w:lang w:val="zh-CN"/>
        </w:rPr>
        <w:t>人（</w:t>
      </w:r>
      <w:r>
        <w:rPr>
          <w:rFonts w:hint="eastAsia"/>
          <w:lang w:val="zh-CN"/>
        </w:rPr>
        <w:t>43%</w:t>
      </w:r>
      <w:r>
        <w:rPr>
          <w:rFonts w:hint="eastAsia"/>
          <w:lang w:val="zh-CN"/>
        </w:rPr>
        <w:t>），男性</w:t>
      </w:r>
      <w:r>
        <w:rPr>
          <w:rFonts w:hint="eastAsia"/>
          <w:lang w:val="zh-CN"/>
        </w:rPr>
        <w:t>5</w:t>
      </w:r>
      <w:r>
        <w:t>,</w:t>
      </w:r>
      <w:r>
        <w:rPr>
          <w:rFonts w:hint="eastAsia"/>
          <w:lang w:val="zh-CN"/>
        </w:rPr>
        <w:t>249</w:t>
      </w:r>
      <w:r>
        <w:t>,</w:t>
      </w:r>
      <w:r>
        <w:rPr>
          <w:rFonts w:hint="eastAsia"/>
          <w:lang w:val="zh-CN"/>
        </w:rPr>
        <w:t>581</w:t>
      </w:r>
      <w:r>
        <w:rPr>
          <w:rFonts w:hint="eastAsia"/>
          <w:lang w:val="zh-CN"/>
        </w:rPr>
        <w:t>人（</w:t>
      </w:r>
      <w:r>
        <w:rPr>
          <w:rFonts w:hint="eastAsia"/>
          <w:lang w:val="zh-CN"/>
        </w:rPr>
        <w:t>52.7%</w:t>
      </w:r>
      <w:r>
        <w:rPr>
          <w:rFonts w:hint="eastAsia"/>
          <w:lang w:val="zh-CN"/>
        </w:rPr>
        <w:t>）。在从性别角度对普查数据进行分析后发现“在城市的郊区，</w:t>
      </w:r>
      <w:r>
        <w:rPr>
          <w:rFonts w:hint="eastAsia"/>
          <w:lang w:val="zh-CN"/>
        </w:rPr>
        <w:t>19.8%</w:t>
      </w:r>
      <w:r>
        <w:rPr>
          <w:rFonts w:hint="eastAsia"/>
          <w:lang w:val="zh-CN"/>
        </w:rPr>
        <w:t>的户主为女性，</w:t>
      </w:r>
      <w:r>
        <w:rPr>
          <w:rFonts w:hint="eastAsia"/>
          <w:lang w:val="zh-CN"/>
        </w:rPr>
        <w:t>80.2%</w:t>
      </w:r>
      <w:r>
        <w:rPr>
          <w:rFonts w:hint="eastAsia"/>
          <w:lang w:val="zh-CN"/>
        </w:rPr>
        <w:t>为男性”；但是，妇女继续承担着做家务（</w:t>
      </w:r>
      <w:r>
        <w:rPr>
          <w:rFonts w:hint="eastAsia"/>
          <w:lang w:val="zh-CN"/>
        </w:rPr>
        <w:t>49.8%</w:t>
      </w:r>
      <w:r>
        <w:rPr>
          <w:rFonts w:hint="eastAsia"/>
          <w:lang w:val="zh-CN"/>
        </w:rPr>
        <w:t>，而男性的这一比率为</w:t>
      </w:r>
      <w:r>
        <w:rPr>
          <w:rFonts w:hint="eastAsia"/>
          <w:lang w:val="zh-CN"/>
        </w:rPr>
        <w:t>5.8%</w:t>
      </w:r>
      <w:r>
        <w:rPr>
          <w:rFonts w:hint="eastAsia"/>
          <w:lang w:val="zh-CN"/>
        </w:rPr>
        <w:t>）和照顾子女的责任，同时还要从事其他生产性劳动。报告显示</w:t>
      </w:r>
      <w:r>
        <w:rPr>
          <w:rFonts w:hint="eastAsia"/>
          <w:lang w:val="zh-CN"/>
        </w:rPr>
        <w:t>10</w:t>
      </w:r>
      <w:r>
        <w:rPr>
          <w:rFonts w:hint="eastAsia"/>
          <w:lang w:val="zh-CN"/>
        </w:rPr>
        <w:t>岁以上的男性单身比例为</w:t>
      </w:r>
      <w:r>
        <w:rPr>
          <w:rFonts w:hint="eastAsia"/>
          <w:lang w:val="zh-CN"/>
        </w:rPr>
        <w:t>47.1%</w:t>
      </w:r>
      <w:r>
        <w:rPr>
          <w:rFonts w:hint="eastAsia"/>
          <w:lang w:val="zh-CN"/>
        </w:rPr>
        <w:t>，而女性的这一比例为</w:t>
      </w:r>
      <w:r>
        <w:rPr>
          <w:rFonts w:hint="eastAsia"/>
          <w:lang w:val="zh-CN"/>
        </w:rPr>
        <w:t>37.3%</w:t>
      </w:r>
      <w:r>
        <w:rPr>
          <w:rFonts w:hint="eastAsia"/>
          <w:lang w:val="zh-CN"/>
        </w:rPr>
        <w:t>。</w:t>
      </w:r>
    </w:p>
    <w:p w:rsidR="00A83775" w:rsidRDefault="00A83775">
      <w:pPr>
        <w:pStyle w:val="SingleTxtGC"/>
        <w:rPr>
          <w:lang w:val="es-ES"/>
        </w:rPr>
      </w:pPr>
      <w:r>
        <w:rPr>
          <w:lang w:val="zh-CN"/>
        </w:rPr>
        <w:t xml:space="preserve">580.  </w:t>
      </w:r>
      <w:r>
        <w:rPr>
          <w:rFonts w:hint="eastAsia"/>
          <w:lang w:val="zh-CN"/>
        </w:rPr>
        <w:t>在至</w:t>
      </w:r>
      <w:r>
        <w:rPr>
          <w:rFonts w:hint="eastAsia"/>
          <w:bCs/>
          <w:lang w:val="es-ES"/>
        </w:rPr>
        <w:t>少患有一种永久性残疾的人口中，全国范围内</w:t>
      </w:r>
      <w:r>
        <w:rPr>
          <w:rFonts w:hint="eastAsia"/>
          <w:bCs/>
          <w:lang w:val="es-ES"/>
        </w:rPr>
        <w:t>6.5%</w:t>
      </w:r>
      <w:r>
        <w:rPr>
          <w:rFonts w:hint="eastAsia"/>
          <w:bCs/>
          <w:lang w:val="es-ES"/>
        </w:rPr>
        <w:t>的男性和</w:t>
      </w:r>
      <w:r>
        <w:rPr>
          <w:rFonts w:hint="eastAsia"/>
          <w:bCs/>
          <w:lang w:val="es-ES"/>
        </w:rPr>
        <w:t>6.1%</w:t>
      </w:r>
      <w:r>
        <w:rPr>
          <w:rFonts w:hint="eastAsia"/>
          <w:bCs/>
          <w:lang w:val="es-ES"/>
        </w:rPr>
        <w:t>的女性宣称至少患有一种永久性残疾。在农村地区，</w:t>
      </w:r>
      <w:r>
        <w:rPr>
          <w:rFonts w:hint="eastAsia"/>
          <w:bCs/>
          <w:lang w:val="es-ES"/>
        </w:rPr>
        <w:t>8.2%</w:t>
      </w:r>
      <w:r>
        <w:rPr>
          <w:rFonts w:hint="eastAsia"/>
          <w:bCs/>
          <w:lang w:val="es-ES"/>
        </w:rPr>
        <w:t>的男性和</w:t>
      </w:r>
      <w:r>
        <w:rPr>
          <w:rFonts w:hint="eastAsia"/>
          <w:bCs/>
          <w:lang w:val="es-ES"/>
        </w:rPr>
        <w:t>7.8%</w:t>
      </w:r>
      <w:r>
        <w:rPr>
          <w:rFonts w:hint="eastAsia"/>
          <w:bCs/>
          <w:lang w:val="es-ES"/>
        </w:rPr>
        <w:t>的女性至少患有一种永久性残疾。</w:t>
      </w:r>
    </w:p>
    <w:p w:rsidR="00A83775" w:rsidRDefault="00A83775">
      <w:pPr>
        <w:pStyle w:val="SingleTxtGC"/>
        <w:rPr>
          <w:lang w:val="zh-CN"/>
        </w:rPr>
      </w:pPr>
      <w:r>
        <w:rPr>
          <w:lang w:val="es-ES"/>
        </w:rPr>
        <w:t xml:space="preserve">581.  </w:t>
      </w:r>
      <w:r>
        <w:rPr>
          <w:rFonts w:hint="eastAsia"/>
          <w:lang w:val="zh-CN"/>
        </w:rPr>
        <w:t>在教育领域，文盲问题主要集中在农村老年人口中。</w:t>
      </w:r>
      <w:r>
        <w:rPr>
          <w:rFonts w:hint="eastAsia"/>
          <w:lang w:val="zh-CN"/>
        </w:rPr>
        <w:t>2008</w:t>
      </w:r>
      <w:r>
        <w:rPr>
          <w:rFonts w:hint="eastAsia"/>
          <w:lang w:val="zh-CN"/>
        </w:rPr>
        <w:t>年大城市的文盲率为</w:t>
      </w:r>
      <w:r>
        <w:rPr>
          <w:rFonts w:hint="eastAsia"/>
          <w:lang w:val="zh-CN"/>
        </w:rPr>
        <w:t>4.2%</w:t>
      </w:r>
      <w:r>
        <w:rPr>
          <w:rFonts w:hint="eastAsia"/>
          <w:lang w:val="zh-CN"/>
        </w:rPr>
        <w:t>，而农村地区则为</w:t>
      </w:r>
      <w:r>
        <w:rPr>
          <w:rFonts w:hint="eastAsia"/>
          <w:lang w:val="zh-CN"/>
        </w:rPr>
        <w:t>15.0%</w:t>
      </w:r>
      <w:r>
        <w:rPr>
          <w:rFonts w:hint="eastAsia"/>
          <w:lang w:val="zh-CN"/>
        </w:rPr>
        <w:t>。男性人口的文盲问题比女性人口更为严重。女性的文盲率下降了</w:t>
      </w:r>
      <w:r>
        <w:rPr>
          <w:rFonts w:hint="eastAsia"/>
          <w:lang w:val="zh-CN"/>
        </w:rPr>
        <w:t>0.68</w:t>
      </w:r>
      <w:r>
        <w:rPr>
          <w:rFonts w:hint="eastAsia"/>
          <w:lang w:val="zh-CN"/>
        </w:rPr>
        <w:t>个百分点，从</w:t>
      </w:r>
      <w:r>
        <w:rPr>
          <w:rFonts w:hint="eastAsia"/>
          <w:lang w:val="zh-CN"/>
        </w:rPr>
        <w:t>2002</w:t>
      </w:r>
      <w:r>
        <w:rPr>
          <w:rFonts w:hint="eastAsia"/>
          <w:lang w:val="zh-CN"/>
        </w:rPr>
        <w:t>年的</w:t>
      </w:r>
      <w:r>
        <w:rPr>
          <w:rFonts w:hint="eastAsia"/>
          <w:lang w:val="zh-CN"/>
        </w:rPr>
        <w:t>15.20%</w:t>
      </w:r>
      <w:r>
        <w:rPr>
          <w:rFonts w:hint="eastAsia"/>
          <w:lang w:val="zh-CN"/>
        </w:rPr>
        <w:t>降至</w:t>
      </w:r>
      <w:r>
        <w:rPr>
          <w:rFonts w:hint="eastAsia"/>
          <w:lang w:val="zh-CN"/>
        </w:rPr>
        <w:t>2008</w:t>
      </w:r>
      <w:r>
        <w:rPr>
          <w:rFonts w:hint="eastAsia"/>
          <w:lang w:val="zh-CN"/>
        </w:rPr>
        <w:t>年的</w:t>
      </w:r>
      <w:r>
        <w:rPr>
          <w:rFonts w:hint="eastAsia"/>
          <w:lang w:val="zh-CN"/>
        </w:rPr>
        <w:t>14.52%</w:t>
      </w:r>
      <w:r>
        <w:rPr>
          <w:rFonts w:hint="eastAsia"/>
          <w:lang w:val="zh-CN"/>
        </w:rPr>
        <w:t>。而男性的这一比率仅下降了</w:t>
      </w:r>
      <w:r>
        <w:rPr>
          <w:rFonts w:hint="eastAsia"/>
          <w:lang w:val="zh-CN"/>
        </w:rPr>
        <w:t>0.05</w:t>
      </w:r>
      <w:r>
        <w:rPr>
          <w:rFonts w:hint="eastAsia"/>
          <w:lang w:val="zh-CN"/>
        </w:rPr>
        <w:t>个百分点，从</w:t>
      </w:r>
      <w:r>
        <w:rPr>
          <w:rFonts w:hint="eastAsia"/>
          <w:lang w:val="zh-CN"/>
        </w:rPr>
        <w:t>2002</w:t>
      </w:r>
      <w:r>
        <w:rPr>
          <w:rFonts w:hint="eastAsia"/>
          <w:lang w:val="zh-CN"/>
        </w:rPr>
        <w:t>年的</w:t>
      </w:r>
      <w:r>
        <w:rPr>
          <w:rFonts w:hint="eastAsia"/>
          <w:lang w:val="zh-CN"/>
        </w:rPr>
        <w:t>15.74%</w:t>
      </w:r>
      <w:r>
        <w:rPr>
          <w:rFonts w:hint="eastAsia"/>
          <w:lang w:val="zh-CN"/>
        </w:rPr>
        <w:t>降至</w:t>
      </w:r>
      <w:r>
        <w:rPr>
          <w:rFonts w:hint="eastAsia"/>
          <w:lang w:val="zh-CN"/>
        </w:rPr>
        <w:t>2008</w:t>
      </w:r>
      <w:r>
        <w:rPr>
          <w:rFonts w:hint="eastAsia"/>
          <w:lang w:val="zh-CN"/>
        </w:rPr>
        <w:t>年的</w:t>
      </w:r>
      <w:r>
        <w:rPr>
          <w:rFonts w:hint="eastAsia"/>
          <w:lang w:val="zh-CN"/>
        </w:rPr>
        <w:t>15.29%</w:t>
      </w:r>
      <w:r>
        <w:rPr>
          <w:rFonts w:hint="eastAsia"/>
          <w:lang w:val="zh-CN"/>
        </w:rPr>
        <w:t>。</w:t>
      </w:r>
    </w:p>
    <w:p w:rsidR="00A83775" w:rsidRDefault="00A83775">
      <w:pPr>
        <w:pStyle w:val="SingleTxtGC"/>
        <w:rPr>
          <w:lang w:val="zh-CN"/>
        </w:rPr>
      </w:pPr>
      <w:r>
        <w:rPr>
          <w:lang w:val="zh-CN"/>
        </w:rPr>
        <w:t xml:space="preserve">582.  </w:t>
      </w:r>
      <w:r>
        <w:rPr>
          <w:rFonts w:hint="eastAsia"/>
          <w:lang w:val="zh-CN"/>
        </w:rPr>
        <w:t>2006-2009</w:t>
      </w:r>
      <w:r>
        <w:rPr>
          <w:rFonts w:hint="eastAsia"/>
          <w:lang w:val="zh-CN"/>
        </w:rPr>
        <w:t>年期间受到各类灵活教育模式照顾的学生人数增加了</w:t>
      </w:r>
      <w:r>
        <w:rPr>
          <w:rFonts w:hint="eastAsia"/>
          <w:lang w:val="zh-CN"/>
        </w:rPr>
        <w:t>107</w:t>
      </w:r>
      <w:r>
        <w:t>,</w:t>
      </w:r>
      <w:r>
        <w:rPr>
          <w:rFonts w:hint="eastAsia"/>
          <w:lang w:val="zh-CN"/>
        </w:rPr>
        <w:t>961</w:t>
      </w:r>
      <w:r>
        <w:rPr>
          <w:rFonts w:hint="eastAsia"/>
          <w:lang w:val="zh-CN"/>
        </w:rPr>
        <w:t>人，从</w:t>
      </w:r>
      <w:r>
        <w:rPr>
          <w:rFonts w:hint="eastAsia"/>
          <w:lang w:val="zh-CN"/>
        </w:rPr>
        <w:t>926</w:t>
      </w:r>
      <w:r>
        <w:t>,</w:t>
      </w:r>
      <w:r>
        <w:rPr>
          <w:rFonts w:hint="eastAsia"/>
          <w:lang w:val="zh-CN"/>
        </w:rPr>
        <w:t>620</w:t>
      </w:r>
      <w:r>
        <w:rPr>
          <w:rFonts w:hint="eastAsia"/>
          <w:lang w:val="zh-CN"/>
        </w:rPr>
        <w:t>人增至</w:t>
      </w:r>
      <w:r>
        <w:rPr>
          <w:rFonts w:hint="eastAsia"/>
          <w:lang w:val="zh-CN"/>
        </w:rPr>
        <w:t>1</w:t>
      </w:r>
      <w:r>
        <w:t>,</w:t>
      </w:r>
      <w:r>
        <w:rPr>
          <w:rFonts w:hint="eastAsia"/>
          <w:lang w:val="zh-CN"/>
        </w:rPr>
        <w:t>034</w:t>
      </w:r>
      <w:r>
        <w:t>,</w:t>
      </w:r>
      <w:r>
        <w:rPr>
          <w:rFonts w:hint="eastAsia"/>
          <w:lang w:val="zh-CN"/>
        </w:rPr>
        <w:t>581</w:t>
      </w:r>
      <w:r>
        <w:rPr>
          <w:rFonts w:hint="eastAsia"/>
          <w:lang w:val="zh-CN"/>
        </w:rPr>
        <w:t>人。</w:t>
      </w:r>
      <w:r>
        <w:rPr>
          <w:rFonts w:hint="eastAsia"/>
          <w:lang w:val="zh-CN"/>
        </w:rPr>
        <w:t>2010</w:t>
      </w:r>
      <w:r>
        <w:rPr>
          <w:rFonts w:hint="eastAsia"/>
          <w:lang w:val="zh-CN"/>
        </w:rPr>
        <w:t>年灵活教育模式的注册入学人数达到</w:t>
      </w:r>
      <w:r>
        <w:rPr>
          <w:rFonts w:hint="eastAsia"/>
          <w:lang w:val="zh-CN"/>
        </w:rPr>
        <w:t>1</w:t>
      </w:r>
      <w:r>
        <w:t>,</w:t>
      </w:r>
      <w:r>
        <w:rPr>
          <w:rFonts w:hint="eastAsia"/>
          <w:lang w:val="zh-CN"/>
        </w:rPr>
        <w:t>053</w:t>
      </w:r>
      <w:r>
        <w:t>,</w:t>
      </w:r>
      <w:r>
        <w:rPr>
          <w:rFonts w:hint="eastAsia"/>
          <w:lang w:val="zh-CN"/>
        </w:rPr>
        <w:t>761</w:t>
      </w:r>
      <w:r>
        <w:rPr>
          <w:rFonts w:hint="eastAsia"/>
          <w:lang w:val="zh-CN"/>
        </w:rPr>
        <w:t>人。而免费教育、校餐和校车战略的推出为预防辍学、保障农村地区教育的普及性和连续性做出了贡献。</w:t>
      </w:r>
    </w:p>
    <w:p w:rsidR="00A83775" w:rsidRDefault="00A83775">
      <w:pPr>
        <w:pStyle w:val="SingleTxtGC"/>
        <w:rPr>
          <w:lang w:val="zh-CN"/>
        </w:rPr>
      </w:pPr>
      <w:r>
        <w:rPr>
          <w:lang w:val="zh-CN"/>
        </w:rPr>
        <w:t xml:space="preserve">583.  </w:t>
      </w:r>
      <w:r>
        <w:rPr>
          <w:rFonts w:hint="eastAsia"/>
          <w:lang w:val="zh-CN"/>
        </w:rPr>
        <w:t>关于得益于城乡地区培训方案的流离失所人口问题，在</w:t>
      </w:r>
      <w:r>
        <w:rPr>
          <w:rFonts w:hint="eastAsia"/>
          <w:lang w:val="zh-CN"/>
        </w:rPr>
        <w:t>2006-2010</w:t>
      </w:r>
      <w:r>
        <w:rPr>
          <w:rFonts w:hint="eastAsia"/>
          <w:lang w:val="zh-CN"/>
        </w:rPr>
        <w:t>年期间数据显示</w:t>
      </w:r>
      <w:r>
        <w:rPr>
          <w:rFonts w:hint="eastAsia"/>
          <w:lang w:val="zh-CN"/>
        </w:rPr>
        <w:t>65%</w:t>
      </w:r>
      <w:r>
        <w:rPr>
          <w:rFonts w:hint="eastAsia"/>
          <w:lang w:val="zh-CN"/>
        </w:rPr>
        <w:t>的受益者为女性，也就是说受益女性总数为</w:t>
      </w:r>
      <w:r>
        <w:rPr>
          <w:rFonts w:hint="eastAsia"/>
          <w:lang w:val="zh-CN"/>
        </w:rPr>
        <w:t>1</w:t>
      </w:r>
      <w:r>
        <w:t>,</w:t>
      </w:r>
      <w:r>
        <w:rPr>
          <w:rFonts w:hint="eastAsia"/>
          <w:lang w:val="zh-CN"/>
        </w:rPr>
        <w:t>163</w:t>
      </w:r>
      <w:r>
        <w:t>,</w:t>
      </w:r>
      <w:r>
        <w:rPr>
          <w:rFonts w:hint="eastAsia"/>
          <w:lang w:val="zh-CN"/>
        </w:rPr>
        <w:t>698</w:t>
      </w:r>
      <w:r>
        <w:rPr>
          <w:rFonts w:hint="eastAsia"/>
          <w:lang w:val="zh-CN"/>
        </w:rPr>
        <w:t>人。</w:t>
      </w:r>
      <w:r>
        <w:rPr>
          <w:rFonts w:hint="eastAsia"/>
          <w:lang w:val="zh-CN"/>
        </w:rPr>
        <w:t>2010</w:t>
      </w:r>
      <w:r>
        <w:rPr>
          <w:rFonts w:hint="eastAsia"/>
          <w:lang w:val="zh-CN"/>
        </w:rPr>
        <w:t>年的数据显示，受益者总人数与上一年相比增长了</w:t>
      </w:r>
      <w:r>
        <w:rPr>
          <w:rFonts w:hint="eastAsia"/>
          <w:lang w:val="zh-CN"/>
        </w:rPr>
        <w:t>22%</w:t>
      </w:r>
      <w:r>
        <w:rPr>
          <w:rFonts w:hint="eastAsia"/>
          <w:lang w:val="zh-CN"/>
        </w:rPr>
        <w:t>。</w:t>
      </w:r>
    </w:p>
    <w:p w:rsidR="00A83775" w:rsidRDefault="00A83775">
      <w:pPr>
        <w:pStyle w:val="SingleTxtGC"/>
        <w:rPr>
          <w:lang w:val="es-ES"/>
        </w:rPr>
      </w:pPr>
      <w:r>
        <w:rPr>
          <w:lang w:val="zh-CN"/>
        </w:rPr>
        <w:t xml:space="preserve">584.  </w:t>
      </w:r>
      <w:r>
        <w:rPr>
          <w:rFonts w:hint="eastAsia"/>
          <w:lang w:val="zh-CN"/>
        </w:rPr>
        <w:t>在得益于生产联合方案的女性人口方面，需要强调的是在</w:t>
      </w:r>
      <w:r>
        <w:rPr>
          <w:rFonts w:hint="eastAsia"/>
          <w:lang w:val="zh-CN"/>
        </w:rPr>
        <w:t>13</w:t>
      </w:r>
      <w:r>
        <w:t>,</w:t>
      </w:r>
      <w:r>
        <w:rPr>
          <w:rFonts w:hint="eastAsia"/>
          <w:lang w:val="zh-CN"/>
        </w:rPr>
        <w:t>729</w:t>
      </w:r>
      <w:r>
        <w:rPr>
          <w:rFonts w:hint="eastAsia"/>
          <w:lang w:val="zh-CN"/>
        </w:rPr>
        <w:t>户受益家庭所结成的</w:t>
      </w:r>
      <w:r>
        <w:rPr>
          <w:rFonts w:hint="eastAsia"/>
          <w:lang w:val="zh-CN"/>
        </w:rPr>
        <w:t>17</w:t>
      </w:r>
      <w:r>
        <w:rPr>
          <w:rFonts w:hint="eastAsia"/>
          <w:lang w:val="es-ES"/>
        </w:rPr>
        <w:t>0</w:t>
      </w:r>
      <w:r>
        <w:rPr>
          <w:rFonts w:hint="eastAsia"/>
          <w:lang w:val="es-ES"/>
        </w:rPr>
        <w:t>个生产业务联盟（第</w:t>
      </w:r>
      <w:r>
        <w:rPr>
          <w:rFonts w:hint="eastAsia"/>
          <w:lang w:val="es-ES"/>
        </w:rPr>
        <w:t>1</w:t>
      </w:r>
      <w:r>
        <w:rPr>
          <w:rFonts w:hint="eastAsia"/>
          <w:lang w:val="es-ES"/>
        </w:rPr>
        <w:t>阶段和第</w:t>
      </w:r>
      <w:r>
        <w:rPr>
          <w:rFonts w:hint="eastAsia"/>
          <w:lang w:val="es-ES"/>
        </w:rPr>
        <w:t>2</w:t>
      </w:r>
      <w:r>
        <w:rPr>
          <w:rFonts w:hint="eastAsia"/>
          <w:lang w:val="es-ES"/>
        </w:rPr>
        <w:t>阶段）中，</w:t>
      </w:r>
      <w:r>
        <w:rPr>
          <w:rFonts w:hint="eastAsia"/>
          <w:lang w:val="es-ES"/>
        </w:rPr>
        <w:t>19%</w:t>
      </w:r>
      <w:r>
        <w:rPr>
          <w:rFonts w:hint="eastAsia"/>
          <w:lang w:val="es-ES"/>
        </w:rPr>
        <w:t>为女户主家庭（</w:t>
      </w:r>
      <w:r>
        <w:rPr>
          <w:rFonts w:hint="eastAsia"/>
          <w:lang w:val="es-ES"/>
        </w:rPr>
        <w:t>2653</w:t>
      </w:r>
      <w:r>
        <w:rPr>
          <w:rFonts w:hint="eastAsia"/>
          <w:lang w:val="es-ES"/>
        </w:rPr>
        <w:t>）。在最近项目第二阶段新结成的</w:t>
      </w:r>
      <w:r>
        <w:rPr>
          <w:rFonts w:hint="eastAsia"/>
          <w:lang w:val="es-ES"/>
        </w:rPr>
        <w:t>56</w:t>
      </w:r>
      <w:r>
        <w:rPr>
          <w:rFonts w:hint="eastAsia"/>
          <w:lang w:val="es-ES"/>
        </w:rPr>
        <w:t>个业务联盟中，受益女性所占比例有所增加，从原先</w:t>
      </w:r>
      <w:r>
        <w:rPr>
          <w:rFonts w:hint="eastAsia"/>
          <w:lang w:val="es-ES"/>
        </w:rPr>
        <w:t>19%</w:t>
      </w:r>
      <w:r>
        <w:rPr>
          <w:rFonts w:hint="eastAsia"/>
          <w:lang w:val="es-ES"/>
        </w:rPr>
        <w:t>的平均水平提高到</w:t>
      </w:r>
      <w:r>
        <w:rPr>
          <w:rFonts w:hint="eastAsia"/>
          <w:lang w:val="es-ES"/>
        </w:rPr>
        <w:t>23%</w:t>
      </w:r>
      <w:r>
        <w:rPr>
          <w:rFonts w:hint="eastAsia"/>
          <w:lang w:val="es-ES"/>
        </w:rPr>
        <w:t>。</w:t>
      </w:r>
    </w:p>
    <w:p w:rsidR="00A83775" w:rsidRDefault="00A83775">
      <w:pPr>
        <w:pStyle w:val="SingleTxtGC"/>
        <w:rPr>
          <w:lang w:val="zh-CN"/>
        </w:rPr>
      </w:pPr>
      <w:r>
        <w:rPr>
          <w:lang w:val="es-ES"/>
        </w:rPr>
        <w:t xml:space="preserve">585.  </w:t>
      </w:r>
      <w:r>
        <w:rPr>
          <w:rFonts w:hint="eastAsia"/>
          <w:lang w:val="es-ES"/>
        </w:rPr>
        <w:t>在农村福利住房方面，</w:t>
      </w:r>
      <w:r>
        <w:rPr>
          <w:rFonts w:hint="eastAsia"/>
          <w:lang w:val="es-ES"/>
        </w:rPr>
        <w:t>2005</w:t>
      </w:r>
      <w:r>
        <w:rPr>
          <w:rFonts w:hint="eastAsia"/>
          <w:lang w:val="es-ES"/>
        </w:rPr>
        <w:t>年至</w:t>
      </w:r>
      <w:r>
        <w:rPr>
          <w:rFonts w:hint="eastAsia"/>
          <w:lang w:val="es-ES"/>
        </w:rPr>
        <w:t>2009</w:t>
      </w:r>
      <w:r>
        <w:rPr>
          <w:rFonts w:hint="eastAsia"/>
          <w:lang w:val="es-ES"/>
        </w:rPr>
        <w:t>年</w:t>
      </w:r>
      <w:r>
        <w:rPr>
          <w:rFonts w:hint="eastAsia"/>
          <w:lang w:val="es-ES"/>
        </w:rPr>
        <w:t>5</w:t>
      </w:r>
      <w:r>
        <w:rPr>
          <w:rFonts w:hint="eastAsia"/>
          <w:lang w:val="es-ES"/>
        </w:rPr>
        <w:t>月期间，</w:t>
      </w:r>
      <w:r>
        <w:rPr>
          <w:rFonts w:hint="eastAsia"/>
          <w:lang w:val="es-ES"/>
        </w:rPr>
        <w:t>11</w:t>
      </w:r>
      <w:r>
        <w:rPr>
          <w:lang w:val="es-ES"/>
        </w:rPr>
        <w:t>,</w:t>
      </w:r>
      <w:r>
        <w:rPr>
          <w:rFonts w:hint="eastAsia"/>
          <w:lang w:val="es-ES"/>
        </w:rPr>
        <w:t>501</w:t>
      </w:r>
      <w:r>
        <w:rPr>
          <w:rFonts w:hint="eastAsia"/>
          <w:lang w:val="es-ES"/>
        </w:rPr>
        <w:t>名家庭女户主获得了此</w:t>
      </w:r>
      <w:r>
        <w:rPr>
          <w:rFonts w:hint="eastAsia"/>
          <w:lang w:val="zh-CN"/>
        </w:rPr>
        <w:t>类补贴资金。</w:t>
      </w:r>
    </w:p>
    <w:p w:rsidR="00A83775" w:rsidRDefault="00A83775">
      <w:pPr>
        <w:pStyle w:val="SingleTxtGC"/>
        <w:rPr>
          <w:lang w:val="zh-CN"/>
        </w:rPr>
      </w:pPr>
      <w:r>
        <w:rPr>
          <w:lang w:val="zh-CN"/>
        </w:rPr>
        <w:t xml:space="preserve">586.  </w:t>
      </w:r>
      <w:r>
        <w:rPr>
          <w:rFonts w:hint="eastAsia"/>
          <w:lang w:val="zh-CN"/>
        </w:rPr>
        <w:t>在得益于农村机会方案的受益妇女方面，</w:t>
      </w:r>
      <w:r>
        <w:rPr>
          <w:rFonts w:hint="eastAsia"/>
          <w:lang w:val="zh-CN"/>
        </w:rPr>
        <w:t>2007</w:t>
      </w:r>
      <w:r>
        <w:rPr>
          <w:rFonts w:hint="eastAsia"/>
          <w:lang w:val="zh-CN"/>
        </w:rPr>
        <w:t>年选定的总计</w:t>
      </w:r>
      <w:r>
        <w:rPr>
          <w:rFonts w:hint="eastAsia"/>
          <w:lang w:val="zh-CN"/>
        </w:rPr>
        <w:t>3</w:t>
      </w:r>
      <w:r>
        <w:t>,</w:t>
      </w:r>
      <w:r>
        <w:rPr>
          <w:rFonts w:hint="eastAsia"/>
          <w:lang w:val="zh-CN"/>
        </w:rPr>
        <w:t>494</w:t>
      </w:r>
      <w:r>
        <w:rPr>
          <w:rFonts w:hint="eastAsia"/>
          <w:lang w:val="zh-CN"/>
        </w:rPr>
        <w:t>户受益家庭中，女性为</w:t>
      </w:r>
      <w:r>
        <w:rPr>
          <w:rFonts w:hint="eastAsia"/>
          <w:lang w:val="zh-CN"/>
        </w:rPr>
        <w:t>1</w:t>
      </w:r>
      <w:r>
        <w:t>,</w:t>
      </w:r>
      <w:r>
        <w:rPr>
          <w:rFonts w:hint="eastAsia"/>
          <w:lang w:val="zh-CN"/>
        </w:rPr>
        <w:t>353</w:t>
      </w:r>
      <w:r>
        <w:rPr>
          <w:rFonts w:hint="eastAsia"/>
          <w:lang w:val="zh-CN"/>
        </w:rPr>
        <w:t>人，男性为</w:t>
      </w:r>
      <w:r>
        <w:rPr>
          <w:rFonts w:hint="eastAsia"/>
          <w:lang w:val="zh-CN"/>
        </w:rPr>
        <w:t>2</w:t>
      </w:r>
      <w:r>
        <w:t>,</w:t>
      </w:r>
      <w:r>
        <w:rPr>
          <w:rFonts w:hint="eastAsia"/>
          <w:lang w:val="zh-CN"/>
        </w:rPr>
        <w:t>141</w:t>
      </w:r>
      <w:r>
        <w:rPr>
          <w:rFonts w:hint="eastAsia"/>
          <w:lang w:val="zh-CN"/>
        </w:rPr>
        <w:t>人。</w:t>
      </w:r>
      <w:r>
        <w:rPr>
          <w:rFonts w:hint="eastAsia"/>
          <w:lang w:val="zh-CN"/>
        </w:rPr>
        <w:t>2008</w:t>
      </w:r>
      <w:r>
        <w:rPr>
          <w:rFonts w:hint="eastAsia"/>
          <w:lang w:val="zh-CN"/>
        </w:rPr>
        <w:t>年总计</w:t>
      </w:r>
      <w:r>
        <w:rPr>
          <w:rFonts w:hint="eastAsia"/>
          <w:lang w:val="zh-CN"/>
        </w:rPr>
        <w:t>9</w:t>
      </w:r>
      <w:r>
        <w:t>,</w:t>
      </w:r>
      <w:r>
        <w:rPr>
          <w:rFonts w:hint="eastAsia"/>
          <w:lang w:val="zh-CN"/>
        </w:rPr>
        <w:t>262</w:t>
      </w:r>
      <w:r>
        <w:rPr>
          <w:rFonts w:hint="eastAsia"/>
          <w:lang w:val="zh-CN"/>
        </w:rPr>
        <w:t>户受益家庭中，女性</w:t>
      </w:r>
      <w:r>
        <w:rPr>
          <w:rFonts w:hint="eastAsia"/>
          <w:lang w:val="zh-CN"/>
        </w:rPr>
        <w:t>3</w:t>
      </w:r>
      <w:r>
        <w:t>,</w:t>
      </w:r>
      <w:r>
        <w:rPr>
          <w:rFonts w:hint="eastAsia"/>
          <w:lang w:val="zh-CN"/>
        </w:rPr>
        <w:t>691</w:t>
      </w:r>
      <w:r>
        <w:rPr>
          <w:rFonts w:hint="eastAsia"/>
          <w:lang w:val="zh-CN"/>
        </w:rPr>
        <w:t>人，男性</w:t>
      </w:r>
      <w:r>
        <w:rPr>
          <w:rFonts w:hint="eastAsia"/>
          <w:lang w:val="zh-CN"/>
        </w:rPr>
        <w:t>5</w:t>
      </w:r>
      <w:r>
        <w:t>,</w:t>
      </w:r>
      <w:r>
        <w:rPr>
          <w:rFonts w:hint="eastAsia"/>
          <w:lang w:val="zh-CN"/>
        </w:rPr>
        <w:t>571</w:t>
      </w:r>
      <w:r>
        <w:rPr>
          <w:rFonts w:hint="eastAsia"/>
          <w:lang w:val="zh-CN"/>
        </w:rPr>
        <w:t>人。而</w:t>
      </w:r>
      <w:r>
        <w:rPr>
          <w:rFonts w:hint="eastAsia"/>
          <w:lang w:val="zh-CN"/>
        </w:rPr>
        <w:t>2010</w:t>
      </w:r>
      <w:r>
        <w:rPr>
          <w:rFonts w:hint="eastAsia"/>
          <w:lang w:val="zh-CN"/>
        </w:rPr>
        <w:t>年总计</w:t>
      </w:r>
      <w:r>
        <w:rPr>
          <w:rFonts w:hint="eastAsia"/>
          <w:lang w:val="zh-CN"/>
        </w:rPr>
        <w:t>3</w:t>
      </w:r>
      <w:r>
        <w:t>,</w:t>
      </w:r>
      <w:r>
        <w:rPr>
          <w:rFonts w:hint="eastAsia"/>
          <w:lang w:val="zh-CN"/>
        </w:rPr>
        <w:t>483</w:t>
      </w:r>
      <w:r>
        <w:rPr>
          <w:rFonts w:hint="eastAsia"/>
          <w:lang w:val="zh-CN"/>
        </w:rPr>
        <w:t>户受益家庭中，女性</w:t>
      </w:r>
      <w:r>
        <w:rPr>
          <w:rFonts w:hint="eastAsia"/>
          <w:lang w:val="zh-CN"/>
        </w:rPr>
        <w:t>1</w:t>
      </w:r>
      <w:r>
        <w:t>,</w:t>
      </w:r>
      <w:r>
        <w:rPr>
          <w:rFonts w:hint="eastAsia"/>
          <w:lang w:val="zh-CN"/>
        </w:rPr>
        <w:t>572</w:t>
      </w:r>
      <w:r>
        <w:rPr>
          <w:rFonts w:hint="eastAsia"/>
          <w:lang w:val="zh-CN"/>
        </w:rPr>
        <w:t>人，男性</w:t>
      </w:r>
      <w:r>
        <w:rPr>
          <w:rFonts w:hint="eastAsia"/>
          <w:lang w:val="zh-CN"/>
        </w:rPr>
        <w:t>1 911</w:t>
      </w:r>
      <w:r>
        <w:rPr>
          <w:rFonts w:hint="eastAsia"/>
          <w:lang w:val="zh-CN"/>
        </w:rPr>
        <w:t>人。</w:t>
      </w:r>
    </w:p>
    <w:p w:rsidR="00A83775" w:rsidRDefault="00A83775">
      <w:pPr>
        <w:pStyle w:val="SingleTxtGC"/>
        <w:rPr>
          <w:lang w:val="zh-CN"/>
        </w:rPr>
      </w:pPr>
      <w:r>
        <w:rPr>
          <w:lang w:val="zh-CN"/>
        </w:rPr>
        <w:t xml:space="preserve">587.  </w:t>
      </w:r>
      <w:r>
        <w:rPr>
          <w:rFonts w:hint="eastAsia"/>
          <w:lang w:val="zh-CN"/>
        </w:rPr>
        <w:t>在土地综合补贴方面，</w:t>
      </w:r>
      <w:r>
        <w:rPr>
          <w:rFonts w:hint="eastAsia"/>
          <w:lang w:val="zh-CN"/>
        </w:rPr>
        <w:t>2002-2008</w:t>
      </w:r>
      <w:r>
        <w:rPr>
          <w:rFonts w:hint="eastAsia"/>
          <w:lang w:val="zh-CN"/>
        </w:rPr>
        <w:t>年期间共惠及</w:t>
      </w:r>
      <w:r>
        <w:rPr>
          <w:rFonts w:hint="eastAsia"/>
          <w:lang w:val="zh-CN"/>
        </w:rPr>
        <w:t>9</w:t>
      </w:r>
      <w:r>
        <w:t>,</w:t>
      </w:r>
      <w:r>
        <w:rPr>
          <w:rFonts w:hint="eastAsia"/>
          <w:lang w:val="zh-CN"/>
        </w:rPr>
        <w:t>171</w:t>
      </w:r>
      <w:r>
        <w:rPr>
          <w:rFonts w:hint="eastAsia"/>
          <w:lang w:val="zh-CN"/>
        </w:rPr>
        <w:t>户家庭。</w:t>
      </w:r>
      <w:r>
        <w:rPr>
          <w:lang w:val="zh-CN"/>
        </w:rPr>
        <w:t>哥伦比亚农村发展研究所</w:t>
      </w:r>
      <w:r>
        <w:rPr>
          <w:rFonts w:hint="eastAsia"/>
          <w:lang w:val="zh-CN"/>
        </w:rPr>
        <w:t>在这方面的资料主要集中于核心家庭，大多数情况下这些家庭是由夫妻双方（男性和女性）组建的家庭或单纯的女户主家庭。</w:t>
      </w:r>
    </w:p>
    <w:p w:rsidR="00A83775" w:rsidRDefault="00A83775">
      <w:pPr>
        <w:pStyle w:val="SingleTxtGC"/>
        <w:rPr>
          <w:lang w:val="zh-CN"/>
        </w:rPr>
      </w:pPr>
      <w:r>
        <w:rPr>
          <w:lang w:val="zh-CN"/>
        </w:rPr>
        <w:t xml:space="preserve">588.  </w:t>
      </w:r>
      <w:r>
        <w:rPr>
          <w:rFonts w:hint="eastAsia"/>
          <w:lang w:val="zh-CN"/>
        </w:rPr>
        <w:t>关于在“护林人家庭”方案框架内签署的合同方面，自</w:t>
      </w:r>
      <w:r>
        <w:rPr>
          <w:rFonts w:hint="eastAsia"/>
          <w:lang w:val="zh-CN"/>
        </w:rPr>
        <w:t>2003</w:t>
      </w:r>
      <w:r>
        <w:rPr>
          <w:rFonts w:hint="eastAsia"/>
          <w:lang w:val="zh-CN"/>
        </w:rPr>
        <w:t>年这一计划启动以来已经惠及</w:t>
      </w:r>
      <w:r>
        <w:rPr>
          <w:rFonts w:hint="eastAsia"/>
          <w:lang w:val="zh-CN"/>
        </w:rPr>
        <w:t>122</w:t>
      </w:r>
      <w:r>
        <w:t>,</w:t>
      </w:r>
      <w:r>
        <w:rPr>
          <w:rFonts w:hint="eastAsia"/>
          <w:lang w:val="zh-CN"/>
        </w:rPr>
        <w:t>282</w:t>
      </w:r>
      <w:r>
        <w:rPr>
          <w:rFonts w:hint="eastAsia"/>
          <w:lang w:val="zh-CN"/>
        </w:rPr>
        <w:t>户家庭，其中</w:t>
      </w:r>
      <w:r>
        <w:rPr>
          <w:rFonts w:hint="eastAsia"/>
          <w:lang w:val="zh-CN"/>
        </w:rPr>
        <w:t>94</w:t>
      </w:r>
      <w:r>
        <w:t>,</w:t>
      </w:r>
      <w:r>
        <w:rPr>
          <w:rFonts w:hint="eastAsia"/>
          <w:lang w:val="zh-CN"/>
        </w:rPr>
        <w:t>320</w:t>
      </w:r>
      <w:r>
        <w:rPr>
          <w:rFonts w:hint="eastAsia"/>
          <w:lang w:val="zh-CN"/>
        </w:rPr>
        <w:t>户（相当于</w:t>
      </w:r>
      <w:r>
        <w:rPr>
          <w:rFonts w:hint="eastAsia"/>
          <w:lang w:val="zh-CN"/>
        </w:rPr>
        <w:t>77%</w:t>
      </w:r>
      <w:r>
        <w:rPr>
          <w:rFonts w:hint="eastAsia"/>
          <w:lang w:val="zh-CN"/>
        </w:rPr>
        <w:t>）为女户主家庭，希望藉此来提高妇女的地位并实现家庭内部对收入的均衡支配。</w:t>
      </w:r>
      <w:r>
        <w:rPr>
          <w:vertAlign w:val="superscript"/>
          <w:lang w:val="zh-CN"/>
        </w:rPr>
        <w:footnoteReference w:id="192"/>
      </w:r>
      <w:r>
        <w:rPr>
          <w:rFonts w:hint="eastAsia"/>
          <w:lang w:val="zh-CN"/>
        </w:rPr>
        <w:t xml:space="preserve"> </w:t>
      </w:r>
      <w:r>
        <w:rPr>
          <w:rFonts w:hint="eastAsia"/>
          <w:lang w:val="zh-CN"/>
        </w:rPr>
        <w:t>这一战略以及鼓励在家庭中营造民主关系氛围的做法有助于使夫妻双方在多数情况下对金钱的支配等这些家庭事务享有共同话语权。</w:t>
      </w:r>
    </w:p>
    <w:p w:rsidR="00A83775" w:rsidRDefault="00A83775">
      <w:pPr>
        <w:pStyle w:val="SingleTxtGC"/>
        <w:rPr>
          <w:rFonts w:hint="eastAsia"/>
          <w:lang w:val="es-ES"/>
        </w:rPr>
      </w:pPr>
      <w:r>
        <w:rPr>
          <w:lang w:val="zh-CN"/>
        </w:rPr>
        <w:t xml:space="preserve">589.  </w:t>
      </w:r>
      <w:r>
        <w:rPr>
          <w:rFonts w:hint="eastAsia"/>
          <w:lang w:val="zh-CN"/>
        </w:rPr>
        <w:t>而在护林人家庭方面，可以发现其类型大多为核心家庭（</w:t>
      </w:r>
      <w:r>
        <w:rPr>
          <w:rFonts w:hint="eastAsia"/>
          <w:lang w:val="zh-CN"/>
        </w:rPr>
        <w:t>49.8%</w:t>
      </w:r>
      <w:r>
        <w:rPr>
          <w:rFonts w:hint="eastAsia"/>
          <w:lang w:val="zh-CN"/>
        </w:rPr>
        <w:t>）</w:t>
      </w:r>
      <w:r>
        <w:rPr>
          <w:vertAlign w:val="superscript"/>
          <w:lang w:val="zh-CN"/>
        </w:rPr>
        <w:footnoteReference w:id="193"/>
      </w:r>
      <w:r>
        <w:rPr>
          <w:rFonts w:hint="eastAsia"/>
          <w:lang w:val="zh-CN"/>
        </w:rPr>
        <w:t>。而第二大类型则是大</w:t>
      </w:r>
      <w:r>
        <w:rPr>
          <w:rFonts w:hint="eastAsia"/>
          <w:lang w:val="es-ES"/>
        </w:rPr>
        <w:t>家族式家庭，由父母双亲、子女以及其他亲属组成，这类家庭占护林人家庭总数的</w:t>
      </w:r>
      <w:r>
        <w:rPr>
          <w:rFonts w:hint="eastAsia"/>
          <w:lang w:val="es-ES"/>
        </w:rPr>
        <w:t>17.6%</w:t>
      </w:r>
      <w:r>
        <w:rPr>
          <w:rFonts w:hint="eastAsia"/>
          <w:lang w:val="es-ES"/>
        </w:rPr>
        <w:t>。女户主家庭占</w:t>
      </w:r>
      <w:r>
        <w:rPr>
          <w:rFonts w:hint="eastAsia"/>
          <w:lang w:val="es-ES"/>
        </w:rPr>
        <w:t>8.9%</w:t>
      </w:r>
      <w:r>
        <w:rPr>
          <w:rFonts w:hint="eastAsia"/>
          <w:lang w:val="es-ES"/>
        </w:rPr>
        <w:t>。</w:t>
      </w:r>
      <w:r>
        <w:rPr>
          <w:vertAlign w:val="superscript"/>
          <w:lang w:val="es-ES"/>
        </w:rPr>
        <w:footnoteReference w:id="194"/>
      </w:r>
      <w:r>
        <w:rPr>
          <w:rFonts w:hint="eastAsia"/>
          <w:lang w:val="es-ES"/>
        </w:rPr>
        <w:t xml:space="preserve"> </w:t>
      </w:r>
      <w:r>
        <w:rPr>
          <w:rFonts w:hint="eastAsia"/>
          <w:lang w:val="es-ES"/>
        </w:rPr>
        <w:t>在生产性项目的开发过程中，惠及了</w:t>
      </w:r>
      <w:r>
        <w:rPr>
          <w:rFonts w:hint="eastAsia"/>
          <w:lang w:val="es-ES"/>
        </w:rPr>
        <w:t>24</w:t>
      </w:r>
      <w:r>
        <w:rPr>
          <w:rFonts w:hint="eastAsia"/>
          <w:lang w:val="es-ES"/>
        </w:rPr>
        <w:t>个社区的</w:t>
      </w:r>
      <w:r>
        <w:rPr>
          <w:rFonts w:hint="eastAsia"/>
          <w:lang w:val="es-ES"/>
        </w:rPr>
        <w:t>500</w:t>
      </w:r>
      <w:r>
        <w:rPr>
          <w:rFonts w:hint="eastAsia"/>
          <w:lang w:val="es-ES"/>
        </w:rPr>
        <w:t>多户家庭，在</w:t>
      </w:r>
      <w:r>
        <w:rPr>
          <w:rFonts w:hint="eastAsia"/>
          <w:lang w:val="es-ES"/>
        </w:rPr>
        <w:t>19</w:t>
      </w:r>
      <w:r>
        <w:rPr>
          <w:rFonts w:hint="eastAsia"/>
          <w:lang w:val="es-ES"/>
        </w:rPr>
        <w:t>个地点设立了劳动作坊，以超过</w:t>
      </w:r>
      <w:r>
        <w:rPr>
          <w:rFonts w:hint="eastAsia"/>
          <w:lang w:val="es-ES"/>
        </w:rPr>
        <w:t>18</w:t>
      </w:r>
      <w:r>
        <w:rPr>
          <w:rFonts w:hint="eastAsia"/>
          <w:lang w:val="es-ES"/>
        </w:rPr>
        <w:t>种不同的原材料生产时尚配件、桌子、厨房用具以及民族特色产品。兼顾护林工作的手工艺人来自国内</w:t>
      </w:r>
      <w:r>
        <w:rPr>
          <w:rFonts w:hint="eastAsia"/>
          <w:lang w:val="es-ES"/>
        </w:rPr>
        <w:t>13</w:t>
      </w:r>
      <w:r>
        <w:rPr>
          <w:rFonts w:hint="eastAsia"/>
          <w:lang w:val="es-ES"/>
        </w:rPr>
        <w:t>个省份的</w:t>
      </w:r>
      <w:r>
        <w:rPr>
          <w:rFonts w:hint="eastAsia"/>
          <w:lang w:val="es-ES"/>
        </w:rPr>
        <w:t>19</w:t>
      </w:r>
      <w:r>
        <w:rPr>
          <w:rFonts w:hint="eastAsia"/>
          <w:lang w:val="es-ES"/>
        </w:rPr>
        <w:t>个乡镇。</w:t>
      </w:r>
      <w:r>
        <w:rPr>
          <w:vertAlign w:val="superscript"/>
          <w:lang w:val="es-ES"/>
        </w:rPr>
        <w:footnoteReference w:id="195"/>
      </w:r>
    </w:p>
    <w:p w:rsidR="00A83775" w:rsidRDefault="00A83775">
      <w:pPr>
        <w:pStyle w:val="SingleTxtGC"/>
        <w:rPr>
          <w:lang w:val="es-ES"/>
        </w:rPr>
      </w:pPr>
      <w:r>
        <w:rPr>
          <w:lang w:val="es-ES"/>
        </w:rPr>
        <w:t xml:space="preserve">590.  </w:t>
      </w:r>
      <w:r>
        <w:rPr>
          <w:rFonts w:hint="eastAsia"/>
          <w:lang w:val="es-ES"/>
        </w:rPr>
        <w:t>在粮食安全网络方面，</w:t>
      </w:r>
      <w:r>
        <w:rPr>
          <w:rFonts w:hint="eastAsia"/>
          <w:lang w:val="es-ES"/>
        </w:rPr>
        <w:t>2003-2009</w:t>
      </w:r>
      <w:r>
        <w:rPr>
          <w:rFonts w:hint="eastAsia"/>
          <w:lang w:val="es-ES"/>
        </w:rPr>
        <w:t>年期间，社会行动署估计已经通过各类粮食安全项目共惠及</w:t>
      </w:r>
      <w:r>
        <w:rPr>
          <w:rFonts w:hint="eastAsia"/>
          <w:lang w:val="es-ES"/>
        </w:rPr>
        <w:t>3</w:t>
      </w:r>
      <w:r>
        <w:rPr>
          <w:lang w:val="es-ES"/>
        </w:rPr>
        <w:t>,</w:t>
      </w:r>
      <w:r>
        <w:rPr>
          <w:rFonts w:hint="eastAsia"/>
          <w:lang w:val="es-ES"/>
        </w:rPr>
        <w:t>478</w:t>
      </w:r>
      <w:r>
        <w:rPr>
          <w:lang w:val="es-ES"/>
        </w:rPr>
        <w:t>,</w:t>
      </w:r>
      <w:r>
        <w:rPr>
          <w:rFonts w:hint="eastAsia"/>
          <w:lang w:val="es-ES"/>
        </w:rPr>
        <w:t>578</w:t>
      </w:r>
      <w:r>
        <w:rPr>
          <w:rFonts w:hint="eastAsia"/>
          <w:lang w:val="es-ES"/>
        </w:rPr>
        <w:t>人；其中</w:t>
      </w:r>
      <w:r>
        <w:rPr>
          <w:rFonts w:hint="eastAsia"/>
          <w:lang w:val="es-ES"/>
        </w:rPr>
        <w:t>48%</w:t>
      </w:r>
      <w:r>
        <w:rPr>
          <w:rFonts w:hint="eastAsia"/>
          <w:lang w:val="es-ES"/>
        </w:rPr>
        <w:t>，即</w:t>
      </w:r>
      <w:r>
        <w:rPr>
          <w:rFonts w:hint="eastAsia"/>
          <w:lang w:val="es-ES"/>
        </w:rPr>
        <w:t>1</w:t>
      </w:r>
      <w:r>
        <w:rPr>
          <w:lang w:val="es-ES"/>
        </w:rPr>
        <w:t>,</w:t>
      </w:r>
      <w:r>
        <w:rPr>
          <w:rFonts w:hint="eastAsia"/>
          <w:lang w:val="es-ES"/>
        </w:rPr>
        <w:t>697</w:t>
      </w:r>
      <w:r>
        <w:rPr>
          <w:lang w:val="es-ES"/>
        </w:rPr>
        <w:t>,</w:t>
      </w:r>
      <w:r>
        <w:rPr>
          <w:rFonts w:hint="eastAsia"/>
          <w:lang w:val="es-ES"/>
        </w:rPr>
        <w:t>036</w:t>
      </w:r>
      <w:r>
        <w:rPr>
          <w:rFonts w:hint="eastAsia"/>
          <w:lang w:val="es-ES"/>
        </w:rPr>
        <w:t>人为女性。</w:t>
      </w:r>
    </w:p>
    <w:p w:rsidR="00A83775" w:rsidRDefault="00A83775">
      <w:pPr>
        <w:pStyle w:val="H23GC"/>
        <w:rPr>
          <w:lang w:val="es-ES_tradnl"/>
        </w:rPr>
      </w:pPr>
      <w:r>
        <w:rPr>
          <w:lang w:val="es-ES_tradnl"/>
        </w:rPr>
        <w:tab/>
        <w:t>5.</w:t>
      </w:r>
      <w:r>
        <w:rPr>
          <w:lang w:val="es-ES_tradnl"/>
        </w:rPr>
        <w:tab/>
      </w:r>
      <w:r>
        <w:rPr>
          <w:rFonts w:hint="eastAsia"/>
          <w:lang w:val="es-ES_tradnl"/>
        </w:rPr>
        <w:t>新出台或持续推行的措施</w:t>
      </w:r>
    </w:p>
    <w:p w:rsidR="00A83775" w:rsidRDefault="00A83775">
      <w:pPr>
        <w:pStyle w:val="SingleTxtGC"/>
        <w:rPr>
          <w:lang w:val="zh-CN"/>
        </w:rPr>
      </w:pPr>
      <w:r>
        <w:rPr>
          <w:lang w:val="es-ES"/>
        </w:rPr>
        <w:t xml:space="preserve">591.  </w:t>
      </w:r>
      <w:r>
        <w:rPr>
          <w:rFonts w:eastAsia="SimHei" w:hint="eastAsia"/>
          <w:lang w:val="es-ES"/>
        </w:rPr>
        <w:t>土地综合补贴</w:t>
      </w:r>
      <w:r>
        <w:rPr>
          <w:rFonts w:hint="eastAsia"/>
          <w:lang w:val="es-ES"/>
        </w:rPr>
        <w:t>：为响应当前土地综合补贴的号召，对流离失所受害人口和流离</w:t>
      </w:r>
      <w:r>
        <w:rPr>
          <w:rFonts w:hint="eastAsia"/>
          <w:lang w:val="zh-CN"/>
        </w:rPr>
        <w:t>失所受害家庭的女户主给予特殊待遇，以落实宪法法院的第</w:t>
      </w:r>
      <w:r>
        <w:rPr>
          <w:rFonts w:hint="eastAsia"/>
          <w:lang w:val="zh-CN"/>
        </w:rPr>
        <w:t>092</w:t>
      </w:r>
      <w:r>
        <w:rPr>
          <w:rFonts w:hint="eastAsia"/>
          <w:lang w:val="zh-CN"/>
        </w:rPr>
        <w:t>号和第</w:t>
      </w:r>
      <w:r>
        <w:rPr>
          <w:rFonts w:hint="eastAsia"/>
          <w:lang w:val="zh-CN"/>
        </w:rPr>
        <w:t>237</w:t>
      </w:r>
      <w:r>
        <w:rPr>
          <w:rFonts w:hint="eastAsia"/>
          <w:lang w:val="zh-CN"/>
        </w:rPr>
        <w:t>号裁决。</w:t>
      </w:r>
    </w:p>
    <w:p w:rsidR="00A83775" w:rsidRDefault="00A83775">
      <w:pPr>
        <w:pStyle w:val="SingleTxtGC"/>
      </w:pPr>
      <w:r>
        <w:rPr>
          <w:lang w:val="zh-CN"/>
        </w:rPr>
        <w:t xml:space="preserve">592.  </w:t>
      </w:r>
      <w:r>
        <w:rPr>
          <w:rFonts w:eastAsia="SimHei" w:hint="eastAsia"/>
          <w:lang w:val="zh-CN"/>
        </w:rPr>
        <w:t>发放信贷－农业和农村发展部</w:t>
      </w:r>
      <w:r>
        <w:rPr>
          <w:rFonts w:hint="eastAsia"/>
          <w:lang w:val="zh-CN"/>
        </w:rPr>
        <w:t>：农业和农村发展部推出了农村公平发展方案</w:t>
      </w:r>
      <w:r>
        <w:rPr>
          <w:rFonts w:hint="eastAsia"/>
          <w:lang w:val="zh-CN"/>
        </w:rPr>
        <w:t>-DRE</w:t>
      </w:r>
      <w:r>
        <w:rPr>
          <w:rFonts w:hint="eastAsia"/>
          <w:lang w:val="zh-CN"/>
        </w:rPr>
        <w:t>，配合旨在加强哥伦比亚人粮食安全的各项政策，有助于改善农牧业产品的竞争力，减少农村地区的社会不平等现象。该方案不加任何歧视地优先面向中小农发放补贴贷款，并将资源配置项联营生产者倾斜，鼓励大中型规模生产与个人的小规模生产相结合。</w:t>
      </w:r>
    </w:p>
    <w:p w:rsidR="00A83775" w:rsidRDefault="00A83775">
      <w:pPr>
        <w:pStyle w:val="SingleTxtGC"/>
        <w:rPr>
          <w:rFonts w:hint="eastAsia"/>
          <w:lang w:val="es-ES"/>
        </w:rPr>
      </w:pPr>
      <w:r>
        <w:rPr>
          <w:lang w:val="zh-CN"/>
        </w:rPr>
        <w:t xml:space="preserve">593.  </w:t>
      </w:r>
      <w:r>
        <w:rPr>
          <w:rFonts w:hint="eastAsia"/>
          <w:lang w:val="zh-CN"/>
        </w:rPr>
        <w:t>农业和农村发展部认识到了制定一项针对农村妇女的综合性政策的重要性和必要性，基</w:t>
      </w:r>
      <w:r>
        <w:rPr>
          <w:rFonts w:hint="eastAsia"/>
          <w:lang w:val="es-ES"/>
        </w:rPr>
        <w:t>于这个原因，努力强化农村妇女方案，以落实</w:t>
      </w:r>
      <w:r>
        <w:rPr>
          <w:rFonts w:hint="eastAsia"/>
          <w:lang w:val="es-ES"/>
        </w:rPr>
        <w:t>2002</w:t>
      </w:r>
      <w:r>
        <w:rPr>
          <w:rFonts w:hint="eastAsia"/>
          <w:lang w:val="es-ES"/>
        </w:rPr>
        <w:t>年的第</w:t>
      </w:r>
      <w:r>
        <w:rPr>
          <w:rFonts w:hint="eastAsia"/>
          <w:lang w:val="es-ES"/>
        </w:rPr>
        <w:t>731</w:t>
      </w:r>
      <w:r>
        <w:rPr>
          <w:rFonts w:hint="eastAsia"/>
          <w:lang w:val="es-ES"/>
        </w:rPr>
        <w:t>号法第</w:t>
      </w:r>
      <w:r>
        <w:rPr>
          <w:rFonts w:hint="eastAsia"/>
          <w:lang w:val="es-ES"/>
        </w:rPr>
        <w:t>5</w:t>
      </w:r>
      <w:r>
        <w:rPr>
          <w:rFonts w:hint="eastAsia"/>
          <w:lang w:val="es-ES"/>
        </w:rPr>
        <w:t>条之规定，目的是消除农村妇女在获得资助，参与各类基金、计划、方案、项目所面临的程序障碍和要求。这一方案的宗旨是帮助妇女获得农业和农村发展部的机构服务，强化机构间委员会的体制，以落实</w:t>
      </w:r>
      <w:r>
        <w:rPr>
          <w:rFonts w:hint="eastAsia"/>
          <w:lang w:val="es-ES"/>
        </w:rPr>
        <w:t>2002</w:t>
      </w:r>
      <w:r>
        <w:rPr>
          <w:rFonts w:hint="eastAsia"/>
          <w:lang w:val="es-ES"/>
        </w:rPr>
        <w:t>年第</w:t>
      </w:r>
      <w:r>
        <w:rPr>
          <w:rFonts w:hint="eastAsia"/>
          <w:lang w:val="es-ES"/>
        </w:rPr>
        <w:t>731</w:t>
      </w:r>
      <w:r>
        <w:rPr>
          <w:rFonts w:hint="eastAsia"/>
          <w:lang w:val="es-ES"/>
        </w:rPr>
        <w:t>号法，开发新的项目以造福于农村妇女，例如农村妇女生产能力和发展强化项目。</w:t>
      </w:r>
      <w:r>
        <w:rPr>
          <w:vertAlign w:val="superscript"/>
          <w:lang w:val="es-ES"/>
        </w:rPr>
        <w:footnoteReference w:id="196"/>
      </w:r>
    </w:p>
    <w:p w:rsidR="00A83775" w:rsidRDefault="00A83775">
      <w:pPr>
        <w:pStyle w:val="HChGC"/>
        <w:rPr>
          <w:lang w:val="es-ES_tradnl"/>
        </w:rPr>
      </w:pPr>
      <w:r>
        <w:rPr>
          <w:lang w:val="es-ES_tradnl"/>
        </w:rPr>
        <w:tab/>
      </w:r>
      <w:r>
        <w:rPr>
          <w:rFonts w:hint="eastAsia"/>
          <w:lang w:val="es-ES_tradnl"/>
        </w:rPr>
        <w:t>五</w:t>
      </w:r>
      <w:r>
        <w:rPr>
          <w:lang w:val="es-ES_tradnl"/>
        </w:rPr>
        <w:t>.</w:t>
      </w:r>
      <w:r>
        <w:rPr>
          <w:rFonts w:hint="eastAsia"/>
          <w:lang w:val="es-ES_tradnl"/>
        </w:rPr>
        <w:tab/>
      </w:r>
      <w:r>
        <w:rPr>
          <w:rFonts w:hint="eastAsia"/>
          <w:lang w:val="es-ES_tradnl"/>
        </w:rPr>
        <w:t>《公约》第四部分</w:t>
      </w:r>
    </w:p>
    <w:p w:rsidR="00A83775" w:rsidRDefault="00A83775">
      <w:pPr>
        <w:pStyle w:val="H1GC"/>
        <w:rPr>
          <w:rFonts w:hint="eastAsia"/>
          <w:lang w:val="es-ES_tradnl"/>
        </w:rPr>
      </w:pPr>
      <w:r>
        <w:rPr>
          <w:lang w:val="es-ES_tradnl"/>
        </w:rPr>
        <w:tab/>
        <w:t>A.</w:t>
      </w:r>
      <w:r>
        <w:rPr>
          <w:lang w:val="es-ES_tradnl"/>
        </w:rPr>
        <w:tab/>
      </w:r>
      <w:r>
        <w:rPr>
          <w:rFonts w:hint="eastAsia"/>
          <w:lang w:val="es-ES_tradnl"/>
        </w:rPr>
        <w:t>第十五条</w:t>
      </w:r>
    </w:p>
    <w:p w:rsidR="00A83775" w:rsidRDefault="00A83775">
      <w:pPr>
        <w:pStyle w:val="SingleTxtGC"/>
        <w:rPr>
          <w:lang w:val="es-ES_tradnl"/>
        </w:rPr>
      </w:pPr>
      <w:r>
        <w:rPr>
          <w:lang w:val="es-ES_tradnl"/>
        </w:rPr>
        <w:t xml:space="preserve">594.  </w:t>
      </w:r>
      <w:r>
        <w:rPr>
          <w:rFonts w:hint="eastAsia"/>
          <w:lang w:val="es-ES"/>
        </w:rPr>
        <w:t>本节与委员会第</w:t>
      </w:r>
      <w:r>
        <w:rPr>
          <w:rFonts w:hint="eastAsia"/>
          <w:lang w:val="es-ES"/>
        </w:rPr>
        <w:t>21</w:t>
      </w:r>
      <w:r>
        <w:rPr>
          <w:rFonts w:hint="eastAsia"/>
          <w:lang w:val="es-ES"/>
        </w:rPr>
        <w:t>和</w:t>
      </w:r>
      <w:r>
        <w:rPr>
          <w:rFonts w:hint="eastAsia"/>
          <w:lang w:val="es-ES"/>
        </w:rPr>
        <w:t>19</w:t>
      </w:r>
      <w:r>
        <w:rPr>
          <w:rFonts w:hint="eastAsia"/>
          <w:lang w:val="es-ES"/>
        </w:rPr>
        <w:t>号一般性建议有关。</w:t>
      </w:r>
    </w:p>
    <w:p w:rsidR="00A83775" w:rsidRDefault="00A83775">
      <w:pPr>
        <w:pStyle w:val="SingleTxtGC"/>
        <w:rPr>
          <w:lang w:val="es-ES"/>
        </w:rPr>
      </w:pPr>
      <w:r>
        <w:rPr>
          <w:lang w:val="es-ES"/>
        </w:rPr>
        <w:t xml:space="preserve">595.  </w:t>
      </w:r>
      <w:r>
        <w:rPr>
          <w:rFonts w:hint="eastAsia"/>
          <w:lang w:val="es-ES"/>
        </w:rPr>
        <w:t>从一般意义上说，国内的立法给予女性人口特殊待遇，这一做法的目的很明确，就是要平衡其多年来所遭受的被边缘化、被排挤的状况。无性别歧视、调整和有效落实妇女在公共行政管理的决策层中的参与比例、享有与男子同等的权利和机会、对孕产期妇女给予特殊照顾、生育自由、对家庭女户主的特别支持以及在劳动领域对妇女的特殊保护等原则都被写入了国内法律中，一些原则甚至写入了宪法。</w:t>
      </w:r>
    </w:p>
    <w:p w:rsidR="00A83775" w:rsidRDefault="00A83775">
      <w:pPr>
        <w:pStyle w:val="H23GC"/>
        <w:rPr>
          <w:rFonts w:hint="eastAsia"/>
          <w:lang w:val="es-ES_tradnl"/>
        </w:rPr>
      </w:pPr>
      <w:r>
        <w:rPr>
          <w:lang w:val="es-ES_tradnl"/>
        </w:rPr>
        <w:tab/>
        <w:t>1.</w:t>
      </w:r>
      <w:r>
        <w:rPr>
          <w:lang w:val="es-ES_tradnl"/>
        </w:rPr>
        <w:tab/>
      </w:r>
      <w:r>
        <w:rPr>
          <w:rFonts w:hint="eastAsia"/>
          <w:lang w:val="es-ES_tradnl"/>
        </w:rPr>
        <w:t>行政措施</w:t>
      </w:r>
    </w:p>
    <w:p w:rsidR="00A83775" w:rsidRDefault="00A83775">
      <w:pPr>
        <w:pStyle w:val="SingleTxtGC"/>
        <w:rPr>
          <w:rFonts w:hint="eastAsia"/>
          <w:lang w:val="es-ES"/>
        </w:rPr>
      </w:pPr>
      <w:r>
        <w:rPr>
          <w:lang w:val="es-ES"/>
        </w:rPr>
        <w:t xml:space="preserve">596.  </w:t>
      </w:r>
      <w:r>
        <w:rPr>
          <w:rFonts w:eastAsia="SimHei" w:hint="eastAsia"/>
          <w:lang w:val="es-ES"/>
        </w:rPr>
        <w:t>最高司法委员会行政庭</w:t>
      </w:r>
      <w:r>
        <w:rPr>
          <w:rFonts w:eastAsia="SimHei" w:hint="eastAsia"/>
          <w:lang w:val="es-ES"/>
        </w:rPr>
        <w:t>2008</w:t>
      </w:r>
      <w:r>
        <w:rPr>
          <w:rFonts w:eastAsia="SimHei" w:hint="eastAsia"/>
          <w:lang w:val="es-ES"/>
        </w:rPr>
        <w:t>年的第</w:t>
      </w:r>
      <w:r>
        <w:rPr>
          <w:rFonts w:eastAsia="SimHei" w:hint="eastAsia"/>
          <w:lang w:val="es-ES"/>
        </w:rPr>
        <w:t>4552</w:t>
      </w:r>
      <w:r>
        <w:rPr>
          <w:rFonts w:eastAsia="SimHei" w:hint="eastAsia"/>
          <w:lang w:val="es-ES"/>
        </w:rPr>
        <w:t>号决议</w:t>
      </w:r>
      <w:r>
        <w:rPr>
          <w:rFonts w:hint="eastAsia"/>
          <w:lang w:val="es-ES"/>
        </w:rPr>
        <w:t>，责令组建司法部门性别事务国家委员会，并确定在司法部门通过采用性别观点来实现以下目的：</w:t>
      </w:r>
      <w:r>
        <w:rPr>
          <w:rFonts w:hint="eastAsia"/>
          <w:lang w:val="es-ES"/>
        </w:rPr>
        <w:t xml:space="preserve">(a) </w:t>
      </w:r>
      <w:r>
        <w:rPr>
          <w:rFonts w:hint="eastAsia"/>
          <w:lang w:val="es-ES"/>
        </w:rPr>
        <w:t>促进司法决策领域、司法服务以及司法部门的内部运作中的男女机会平等和不因性别而进行歧视；</w:t>
      </w:r>
      <w:r>
        <w:rPr>
          <w:rFonts w:hint="eastAsia"/>
          <w:lang w:val="es-ES"/>
        </w:rPr>
        <w:t xml:space="preserve">(b) </w:t>
      </w:r>
      <w:r>
        <w:rPr>
          <w:rFonts w:hint="eastAsia"/>
          <w:lang w:val="es-ES"/>
        </w:rPr>
        <w:t>将两性平等和不歧视原则纳入到司法机关的任务、愿景和宗旨目标，以及战略规划程序和各项年度工作计划中；</w:t>
      </w:r>
      <w:r>
        <w:rPr>
          <w:rFonts w:hint="eastAsia"/>
          <w:lang w:val="es-ES"/>
        </w:rPr>
        <w:t xml:space="preserve">(c) </w:t>
      </w:r>
      <w:r>
        <w:rPr>
          <w:rFonts w:hint="eastAsia"/>
          <w:lang w:val="es-ES"/>
        </w:rPr>
        <w:t>开展各类行动来消除司法部门工作人员中现有的男女不平等现象（本条对应的附件</w:t>
      </w:r>
      <w:r>
        <w:rPr>
          <w:rFonts w:hint="eastAsia"/>
          <w:lang w:val="es-ES"/>
        </w:rPr>
        <w:t>1</w:t>
      </w:r>
      <w:r>
        <w:rPr>
          <w:rFonts w:hint="eastAsia"/>
          <w:lang w:val="es-ES"/>
        </w:rPr>
        <w:t>）。</w:t>
      </w:r>
    </w:p>
    <w:p w:rsidR="00A83775" w:rsidRDefault="00A83775">
      <w:pPr>
        <w:pStyle w:val="SingleTxtGC"/>
      </w:pPr>
      <w:r>
        <w:rPr>
          <w:lang w:val="es-ES"/>
        </w:rPr>
        <w:t xml:space="preserve">597.  </w:t>
      </w:r>
      <w:r>
        <w:rPr>
          <w:rFonts w:hint="eastAsia"/>
          <w:lang w:val="es-ES"/>
        </w:rPr>
        <w:t>司法部门性别事务国家委员会汇集了来自国内各大高等司法机关的大法官，并成为了该地区一种创新性的工作模式，而且很可能在国际范围内也属于先驱式的创新尝试，因为通过司法部门提供的经验，力争能够改变现有模式，制定有助</w:t>
      </w:r>
      <w:r>
        <w:rPr>
          <w:rFonts w:hint="eastAsia"/>
          <w:lang w:val="zh-CN"/>
        </w:rPr>
        <w:t>于开展司法工作的政策、计划和行动，确保平等和不基于性别原因进行歧视；同时，努力将委员会打造成为一个推动开展对所有司法工作人员进行提高认识和觉悟培训的机构；最后，力争将委员会打造为一个用于评估和监督相关政策和计划落实情况的机关。</w:t>
      </w:r>
    </w:p>
    <w:p w:rsidR="00A83775" w:rsidRDefault="00A83775">
      <w:pPr>
        <w:pStyle w:val="SingleTxtGC"/>
        <w:rPr>
          <w:lang w:val="zh-CN"/>
        </w:rPr>
      </w:pPr>
      <w:r>
        <w:rPr>
          <w:lang w:val="zh-CN"/>
        </w:rPr>
        <w:t xml:space="preserve">598.  </w:t>
      </w:r>
      <w:r>
        <w:rPr>
          <w:rFonts w:hint="eastAsia"/>
          <w:lang w:val="zh-CN"/>
        </w:rPr>
        <w:t>为在各司法领域落实性别事务国家委员会颁布的各项指导方针</w:t>
      </w:r>
      <w:r>
        <w:rPr>
          <w:rFonts w:hint="eastAsia"/>
          <w:lang w:val="zh-CN"/>
        </w:rPr>
        <w:t>2008</w:t>
      </w:r>
      <w:r>
        <w:rPr>
          <w:rFonts w:hint="eastAsia"/>
          <w:lang w:val="zh-CN"/>
        </w:rPr>
        <w:t>年针对国内每一个司法辖区共计成立了</w:t>
      </w:r>
      <w:r>
        <w:rPr>
          <w:rFonts w:hint="eastAsia"/>
          <w:lang w:val="zh-CN"/>
        </w:rPr>
        <w:t>23</w:t>
      </w:r>
      <w:r>
        <w:rPr>
          <w:rFonts w:hint="eastAsia"/>
          <w:lang w:val="zh-CN"/>
        </w:rPr>
        <w:t>家性别事务地区委员会。</w:t>
      </w:r>
      <w:r>
        <w:rPr>
          <w:vertAlign w:val="superscript"/>
          <w:lang w:val="zh-CN"/>
        </w:rPr>
        <w:footnoteReference w:id="197"/>
      </w:r>
    </w:p>
    <w:p w:rsidR="00A83775" w:rsidRDefault="00A83775">
      <w:pPr>
        <w:pStyle w:val="SingleTxtGC"/>
        <w:rPr>
          <w:lang w:val="es-ES"/>
        </w:rPr>
      </w:pPr>
      <w:r>
        <w:rPr>
          <w:lang w:val="zh-CN"/>
        </w:rPr>
        <w:t xml:space="preserve">599.  </w:t>
      </w:r>
      <w:r>
        <w:rPr>
          <w:rFonts w:hint="eastAsia"/>
          <w:lang w:val="zh-CN"/>
        </w:rPr>
        <w:t>在与人</w:t>
      </w:r>
      <w:r>
        <w:rPr>
          <w:rFonts w:hint="eastAsia"/>
          <w:lang w:val="es-ES"/>
        </w:rPr>
        <w:t>口基金签署的协议中设定了司法部门将性别观点和权利观点纳入到部门工作中，以及遵照平等原则贯彻落实的各项机制。</w:t>
      </w:r>
    </w:p>
    <w:p w:rsidR="00A83775" w:rsidRDefault="00A83775">
      <w:pPr>
        <w:pStyle w:val="SingleTxtGC"/>
        <w:rPr>
          <w:lang w:val="es-ES"/>
        </w:rPr>
      </w:pPr>
      <w:r>
        <w:rPr>
          <w:lang w:val="es-CO"/>
        </w:rPr>
        <w:t xml:space="preserve">600.  </w:t>
      </w:r>
      <w:r>
        <w:rPr>
          <w:rFonts w:hint="eastAsia"/>
          <w:lang w:val="es-CO"/>
        </w:rPr>
        <w:t>在国际合作的支持下，编订了以下出版物：</w:t>
      </w:r>
    </w:p>
    <w:p w:rsidR="00A83775" w:rsidRDefault="00A83775">
      <w:pPr>
        <w:pStyle w:val="SingleTxtGC"/>
        <w:numPr>
          <w:ilvl w:val="0"/>
          <w:numId w:val="70"/>
        </w:numPr>
        <w:rPr>
          <w:lang w:val="es-ES"/>
        </w:rPr>
      </w:pPr>
      <w:r>
        <w:rPr>
          <w:rFonts w:hint="eastAsia"/>
          <w:lang w:val="es-ES"/>
        </w:rPr>
        <w:t>将两性平等纳入到司法部门的工作进程备忘录；</w:t>
      </w:r>
    </w:p>
    <w:p w:rsidR="00A83775" w:rsidRDefault="00A83775">
      <w:pPr>
        <w:pStyle w:val="SingleTxtGC"/>
        <w:numPr>
          <w:ilvl w:val="0"/>
          <w:numId w:val="70"/>
        </w:numPr>
        <w:rPr>
          <w:lang w:val="es-ES"/>
        </w:rPr>
      </w:pPr>
      <w:r>
        <w:rPr>
          <w:rFonts w:hint="eastAsia"/>
          <w:lang w:val="es-ES"/>
        </w:rPr>
        <w:t>关于将性别问题模块自动纳入到各类学习模块中的专项培训综合计划；</w:t>
      </w:r>
    </w:p>
    <w:p w:rsidR="00A83775" w:rsidRDefault="00A83775">
      <w:pPr>
        <w:pStyle w:val="SingleTxtGC"/>
        <w:numPr>
          <w:ilvl w:val="0"/>
          <w:numId w:val="70"/>
        </w:numPr>
        <w:rPr>
          <w:lang w:val="es-ES"/>
        </w:rPr>
      </w:pPr>
      <w:r>
        <w:rPr>
          <w:rFonts w:hint="eastAsia"/>
          <w:lang w:val="es-ES"/>
        </w:rPr>
        <w:t>从司法角度对产妇死亡率的分析：对妇女的暴力侵害的另一面；</w:t>
      </w:r>
    </w:p>
    <w:p w:rsidR="00A83775" w:rsidRDefault="00A83775">
      <w:pPr>
        <w:pStyle w:val="SingleTxtGC"/>
        <w:numPr>
          <w:ilvl w:val="0"/>
          <w:numId w:val="70"/>
        </w:numPr>
        <w:rPr>
          <w:rFonts w:hint="eastAsia"/>
          <w:lang w:val="es-ES"/>
        </w:rPr>
      </w:pPr>
      <w:r>
        <w:rPr>
          <w:rFonts w:hint="eastAsia"/>
          <w:lang w:val="es-ES"/>
        </w:rPr>
        <w:t>性别与司法公正；</w:t>
      </w:r>
      <w:r>
        <w:rPr>
          <w:vertAlign w:val="superscript"/>
          <w:lang w:val="es-ES"/>
        </w:rPr>
        <w:footnoteReference w:id="198"/>
      </w:r>
    </w:p>
    <w:p w:rsidR="00A83775" w:rsidRDefault="00A83775">
      <w:pPr>
        <w:pStyle w:val="SingleTxtGC"/>
        <w:numPr>
          <w:ilvl w:val="0"/>
          <w:numId w:val="70"/>
        </w:numPr>
        <w:rPr>
          <w:lang w:val="es-ES"/>
        </w:rPr>
      </w:pPr>
      <w:r>
        <w:rPr>
          <w:rFonts w:hint="eastAsia"/>
          <w:lang w:val="es-ES"/>
        </w:rPr>
        <w:t>对妇女的暴力和歧视；</w:t>
      </w:r>
    </w:p>
    <w:p w:rsidR="00A83775" w:rsidRDefault="00A83775">
      <w:pPr>
        <w:pStyle w:val="SingleTxtGC"/>
        <w:numPr>
          <w:ilvl w:val="0"/>
          <w:numId w:val="70"/>
        </w:numPr>
        <w:rPr>
          <w:lang w:val="es-ES"/>
        </w:rPr>
      </w:pPr>
      <w:r>
        <w:rPr>
          <w:rFonts w:hint="eastAsia"/>
          <w:lang w:val="es-ES"/>
        </w:rPr>
        <w:t>弱势人群司法救助规则</w:t>
      </w:r>
      <w:r>
        <w:rPr>
          <w:rFonts w:hint="eastAsia"/>
          <w:lang w:val="es-ES"/>
        </w:rPr>
        <w:t>100</w:t>
      </w:r>
      <w:r>
        <w:rPr>
          <w:rFonts w:hint="eastAsia"/>
          <w:lang w:val="es-ES"/>
        </w:rPr>
        <w:t>条；</w:t>
      </w:r>
      <w:r>
        <w:rPr>
          <w:lang w:val="es-ES"/>
        </w:rPr>
        <w:t xml:space="preserve"> </w:t>
      </w:r>
    </w:p>
    <w:p w:rsidR="00A83775" w:rsidRDefault="00A83775">
      <w:pPr>
        <w:pStyle w:val="SingleTxtGC"/>
        <w:numPr>
          <w:ilvl w:val="0"/>
          <w:numId w:val="70"/>
        </w:numPr>
        <w:rPr>
          <w:lang w:val="es-ES"/>
        </w:rPr>
      </w:pPr>
      <w:r>
        <w:rPr>
          <w:rFonts w:hint="eastAsia"/>
          <w:lang w:val="es-ES"/>
        </w:rPr>
        <w:t>2006</w:t>
      </w:r>
      <w:r>
        <w:rPr>
          <w:rFonts w:hint="eastAsia"/>
          <w:lang w:val="es-ES"/>
        </w:rPr>
        <w:t>年第</w:t>
      </w:r>
      <w:r>
        <w:rPr>
          <w:rFonts w:hint="eastAsia"/>
          <w:lang w:val="es-ES"/>
        </w:rPr>
        <w:t>1010</w:t>
      </w:r>
      <w:r>
        <w:rPr>
          <w:rFonts w:hint="eastAsia"/>
          <w:lang w:val="es-ES"/>
        </w:rPr>
        <w:t>号法规定的工作场所的暴力和性骚扰；</w:t>
      </w:r>
    </w:p>
    <w:p w:rsidR="00A83775" w:rsidRDefault="00A83775">
      <w:pPr>
        <w:pStyle w:val="SingleTxtGC"/>
        <w:numPr>
          <w:ilvl w:val="0"/>
          <w:numId w:val="70"/>
        </w:numPr>
        <w:rPr>
          <w:rFonts w:hint="eastAsia"/>
          <w:lang w:val="es-ES"/>
        </w:rPr>
      </w:pPr>
      <w:r>
        <w:rPr>
          <w:rFonts w:hint="eastAsia"/>
          <w:lang w:val="es-ES_tradnl"/>
        </w:rPr>
        <w:t>语言－在构筑平等中的一项战略要素</w:t>
      </w:r>
      <w:r>
        <w:rPr>
          <w:rFonts w:hint="eastAsia"/>
          <w:lang w:val="es-ES"/>
        </w:rPr>
        <w:t>；</w:t>
      </w:r>
    </w:p>
    <w:p w:rsidR="00A83775" w:rsidRDefault="00A83775">
      <w:pPr>
        <w:pStyle w:val="SingleTxtGC"/>
        <w:numPr>
          <w:ilvl w:val="0"/>
          <w:numId w:val="70"/>
        </w:numPr>
        <w:rPr>
          <w:lang w:val="es-MX"/>
        </w:rPr>
      </w:pPr>
      <w:r>
        <w:rPr>
          <w:rFonts w:hint="eastAsia"/>
          <w:lang w:val="es-ES"/>
        </w:rPr>
        <w:t>关于对妇女的暴力和歧视的第</w:t>
      </w:r>
      <w:r>
        <w:rPr>
          <w:rFonts w:hint="eastAsia"/>
          <w:lang w:val="es-ES"/>
        </w:rPr>
        <w:t>10</w:t>
      </w:r>
      <w:r>
        <w:rPr>
          <w:rFonts w:hint="eastAsia"/>
          <w:lang w:val="es-ES"/>
        </w:rPr>
        <w:t>号系列文集，文集除包含</w:t>
      </w:r>
      <w:r>
        <w:rPr>
          <w:rFonts w:hint="eastAsia"/>
          <w:lang w:val="es-ES"/>
        </w:rPr>
        <w:t>2008</w:t>
      </w:r>
      <w:r>
        <w:rPr>
          <w:rFonts w:hint="eastAsia"/>
          <w:lang w:val="es-ES"/>
        </w:rPr>
        <w:t>年的第</w:t>
      </w:r>
      <w:r>
        <w:rPr>
          <w:rFonts w:hint="eastAsia"/>
          <w:lang w:val="es-ES"/>
        </w:rPr>
        <w:t>1257</w:t>
      </w:r>
      <w:r>
        <w:rPr>
          <w:rFonts w:hint="eastAsia"/>
          <w:lang w:val="es-ES"/>
        </w:rPr>
        <w:t>号法外，还收集了</w:t>
      </w:r>
      <w:r>
        <w:rPr>
          <w:rFonts w:hint="eastAsia"/>
          <w:lang w:val="es-MX"/>
        </w:rPr>
        <w:t>《</w:t>
      </w:r>
      <w:r>
        <w:rPr>
          <w:lang w:val="en-GB"/>
        </w:rPr>
        <w:t>消除对妇女一切形式的歧视公约</w:t>
      </w:r>
      <w:r>
        <w:rPr>
          <w:rFonts w:hint="eastAsia"/>
          <w:lang w:val="es-MX"/>
        </w:rPr>
        <w:t>》和《</w:t>
      </w:r>
      <w:r>
        <w:rPr>
          <w:lang w:val="en-GB"/>
        </w:rPr>
        <w:t>美洲防止、惩罚和根除对妇女暴力行为公约</w:t>
      </w:r>
      <w:r>
        <w:rPr>
          <w:rFonts w:hint="eastAsia"/>
          <w:lang w:val="es-MX"/>
        </w:rPr>
        <w:t>》</w:t>
      </w:r>
      <w:r>
        <w:rPr>
          <w:rFonts w:hint="eastAsia"/>
          <w:lang w:val="en-GB"/>
        </w:rPr>
        <w:t>（《</w:t>
      </w:r>
      <w:r>
        <w:rPr>
          <w:lang w:val="en-GB"/>
        </w:rPr>
        <w:t>贝伦杜帕拉公约</w:t>
      </w:r>
      <w:r>
        <w:rPr>
          <w:rFonts w:hint="eastAsia"/>
          <w:lang w:val="en-GB"/>
        </w:rPr>
        <w:t>》</w:t>
      </w:r>
      <w:r>
        <w:rPr>
          <w:rFonts w:hint="eastAsia"/>
          <w:lang w:val="es-MX"/>
        </w:rPr>
        <w:t>）的相关文章；</w:t>
      </w:r>
    </w:p>
    <w:p w:rsidR="00A83775" w:rsidRDefault="00A83775">
      <w:pPr>
        <w:pStyle w:val="SingleTxtGC"/>
        <w:numPr>
          <w:ilvl w:val="0"/>
          <w:numId w:val="70"/>
        </w:numPr>
        <w:rPr>
          <w:lang w:val="es-ES"/>
        </w:rPr>
      </w:pPr>
      <w:r>
        <w:rPr>
          <w:rFonts w:hint="eastAsia"/>
          <w:lang w:val="es-ES"/>
        </w:rPr>
        <w:t>性别与家庭权利；</w:t>
      </w:r>
    </w:p>
    <w:p w:rsidR="00A83775" w:rsidRDefault="00A83775">
      <w:pPr>
        <w:pStyle w:val="SingleTxtGC"/>
        <w:numPr>
          <w:ilvl w:val="0"/>
          <w:numId w:val="70"/>
        </w:numPr>
        <w:rPr>
          <w:rFonts w:hint="eastAsia"/>
          <w:lang w:val="es-ES"/>
        </w:rPr>
      </w:pPr>
      <w:r>
        <w:rPr>
          <w:rFonts w:hint="eastAsia"/>
          <w:lang w:val="es-ES"/>
        </w:rPr>
        <w:t>性别与流离失所。</w:t>
      </w:r>
    </w:p>
    <w:p w:rsidR="00A83775" w:rsidRDefault="00A83775">
      <w:pPr>
        <w:pStyle w:val="H23GC"/>
        <w:rPr>
          <w:rFonts w:hint="eastAsia"/>
          <w:lang w:val="es-ES_tradnl"/>
        </w:rPr>
      </w:pPr>
      <w:r>
        <w:rPr>
          <w:lang w:val="es-ES_tradnl"/>
        </w:rPr>
        <w:tab/>
        <w:t>2.</w:t>
      </w:r>
      <w:r>
        <w:rPr>
          <w:lang w:val="es-ES_tradnl"/>
        </w:rPr>
        <w:tab/>
      </w:r>
      <w:r>
        <w:rPr>
          <w:rFonts w:hint="eastAsia"/>
          <w:lang w:val="es-ES_tradnl"/>
        </w:rPr>
        <w:t>立法措施</w:t>
      </w:r>
    </w:p>
    <w:p w:rsidR="00A83775" w:rsidRDefault="00A83775">
      <w:pPr>
        <w:pStyle w:val="SingleTxtGC"/>
      </w:pPr>
      <w:r>
        <w:rPr>
          <w:lang w:val="es-ES"/>
        </w:rPr>
        <w:t xml:space="preserve">601.  </w:t>
      </w:r>
      <w:r>
        <w:rPr>
          <w:rFonts w:hint="eastAsia"/>
          <w:lang w:val="es-ES"/>
        </w:rPr>
        <w:t>在前面提到的</w:t>
      </w:r>
      <w:r>
        <w:rPr>
          <w:rFonts w:hint="eastAsia"/>
          <w:lang w:val="es-ES"/>
        </w:rPr>
        <w:t>2006</w:t>
      </w:r>
      <w:r>
        <w:rPr>
          <w:rFonts w:hint="eastAsia"/>
          <w:lang w:val="es-ES"/>
        </w:rPr>
        <w:t>年的第</w:t>
      </w:r>
      <w:r>
        <w:rPr>
          <w:rFonts w:hint="eastAsia"/>
          <w:lang w:val="es-ES"/>
        </w:rPr>
        <w:t>1098</w:t>
      </w:r>
      <w:r>
        <w:rPr>
          <w:rFonts w:hint="eastAsia"/>
          <w:lang w:val="es-ES"/>
        </w:rPr>
        <w:t>号法（《儿童和青少年法》）和</w:t>
      </w:r>
      <w:r>
        <w:rPr>
          <w:rFonts w:hint="eastAsia"/>
          <w:lang w:val="es-ES"/>
        </w:rPr>
        <w:t>2007</w:t>
      </w:r>
      <w:r>
        <w:rPr>
          <w:rFonts w:hint="eastAsia"/>
          <w:lang w:val="es-ES"/>
        </w:rPr>
        <w:t>年的第</w:t>
      </w:r>
      <w:r>
        <w:rPr>
          <w:rFonts w:hint="eastAsia"/>
          <w:lang w:val="es-ES"/>
        </w:rPr>
        <w:t>1146</w:t>
      </w:r>
      <w:r>
        <w:rPr>
          <w:rFonts w:hint="eastAsia"/>
          <w:lang w:val="es-ES"/>
        </w:rPr>
        <w:t>号法中，明确规定了用于预防、早期发现、自主保护、调查和指控针对女学生</w:t>
      </w:r>
      <w:r>
        <w:rPr>
          <w:rFonts w:hint="eastAsia"/>
          <w:lang w:val="zh-CN"/>
        </w:rPr>
        <w:t>的性虐待以及其他任何形式的歧视的司法机制，其应用范围不仅限定在教育机构，还扩展到了校外。</w:t>
      </w:r>
    </w:p>
    <w:p w:rsidR="00A83775" w:rsidRDefault="00A83775">
      <w:pPr>
        <w:pStyle w:val="SingleTxtGC"/>
        <w:rPr>
          <w:lang w:val="zh-CN"/>
        </w:rPr>
      </w:pPr>
      <w:r>
        <w:rPr>
          <w:lang w:val="zh-CN"/>
        </w:rPr>
        <w:t xml:space="preserve">602.  </w:t>
      </w:r>
      <w:r>
        <w:rPr>
          <w:rFonts w:hint="eastAsia"/>
          <w:lang w:val="zh-CN"/>
        </w:rPr>
        <w:t>《儿童和青少年法》规定教育机构的领导和老师有义务与教育界的有关部门共同开展努力，在教育机构的规章条例中纳入相应机制来“及时发现营养不良、虐待、遗弃、性虐待、家庭内暴力、经济剥削和劳动剥削、当代奴隶和奴役方式，包括最恶劣形式的童工劳动等问题”；“确保在学校生活中充分尊重男童、女童和青少年的尊严、生活、身心完整性”；等等。</w:t>
      </w:r>
      <w:r>
        <w:rPr>
          <w:vertAlign w:val="superscript"/>
          <w:lang w:val="zh-CN"/>
        </w:rPr>
        <w:footnoteReference w:id="199"/>
      </w:r>
      <w:r>
        <w:rPr>
          <w:lang w:val="zh-CN"/>
        </w:rPr>
        <w:t xml:space="preserve"> </w:t>
      </w:r>
    </w:p>
    <w:p w:rsidR="00A83775" w:rsidRDefault="00A83775">
      <w:pPr>
        <w:pStyle w:val="SingleTxtGC"/>
        <w:rPr>
          <w:lang w:val="es-ES"/>
        </w:rPr>
      </w:pPr>
      <w:r>
        <w:rPr>
          <w:lang w:val="zh-CN"/>
        </w:rPr>
        <w:t xml:space="preserve">603.  </w:t>
      </w:r>
      <w:r>
        <w:rPr>
          <w:rFonts w:hint="eastAsia"/>
          <w:lang w:val="zh-CN"/>
        </w:rPr>
        <w:t>2007</w:t>
      </w:r>
      <w:r>
        <w:rPr>
          <w:rFonts w:hint="eastAsia"/>
          <w:lang w:val="zh-CN"/>
        </w:rPr>
        <w:t>年的第</w:t>
      </w:r>
      <w:r>
        <w:rPr>
          <w:rFonts w:hint="eastAsia"/>
          <w:lang w:val="zh-CN"/>
        </w:rPr>
        <w:t>1146</w:t>
      </w:r>
      <w:r>
        <w:rPr>
          <w:rFonts w:hint="eastAsia"/>
          <w:lang w:val="zh-CN"/>
        </w:rPr>
        <w:t>号法在其第四章“教育部门与预防对男童、女童和青少年的性虐待”中规定教师有义务向行政或司法主管部门举报任何其发现的对男童、女童和青少年的</w:t>
      </w:r>
      <w:r>
        <w:rPr>
          <w:rFonts w:hint="eastAsia"/>
          <w:lang w:val="es-ES"/>
        </w:rPr>
        <w:t>性侵害或性虐待行为或迹象。</w:t>
      </w:r>
      <w:r>
        <w:rPr>
          <w:vertAlign w:val="superscript"/>
          <w:lang w:val="es-ES"/>
        </w:rPr>
        <w:footnoteReference w:id="200"/>
      </w:r>
    </w:p>
    <w:p w:rsidR="00A83775" w:rsidRDefault="00A83775">
      <w:pPr>
        <w:pStyle w:val="SingleTxtGC"/>
        <w:rPr>
          <w:lang w:val="es-ES"/>
        </w:rPr>
      </w:pPr>
      <w:r>
        <w:rPr>
          <w:lang w:val="es-ES"/>
        </w:rPr>
        <w:t xml:space="preserve">604.  </w:t>
      </w:r>
      <w:r>
        <w:rPr>
          <w:rFonts w:hint="eastAsia"/>
          <w:lang w:val="es-ES"/>
        </w:rPr>
        <w:t>通过出台针对教育领域的歧视现象，无论是性骚扰还是其他形式的歧视的受害</w:t>
      </w:r>
      <w:r>
        <w:rPr>
          <w:rFonts w:hint="eastAsia"/>
          <w:lang w:val="zh-CN"/>
        </w:rPr>
        <w:t>女性</w:t>
      </w:r>
      <w:r>
        <w:rPr>
          <w:rFonts w:hint="eastAsia"/>
          <w:lang w:val="es-ES"/>
        </w:rPr>
        <w:t>的司法机制，通过教育机构本身的规章制度来规范这一方面，制定出台所有用于发现和举报虐待或歧视现象，向职能当局进行检举，同时不妨碍教育机构自行采用相应机制对受害女生进行后续保护和适时的心理辅导。</w:t>
      </w:r>
    </w:p>
    <w:p w:rsidR="00A83775" w:rsidRDefault="00A83775">
      <w:pPr>
        <w:pStyle w:val="SingleTxtGC"/>
        <w:rPr>
          <w:lang w:val="zh-CN"/>
        </w:rPr>
      </w:pPr>
      <w:r>
        <w:rPr>
          <w:lang w:val="es-ES"/>
        </w:rPr>
        <w:t xml:space="preserve">605.  </w:t>
      </w:r>
      <w:r>
        <w:rPr>
          <w:rFonts w:hint="eastAsia"/>
          <w:lang w:val="es-ES"/>
        </w:rPr>
        <w:t>在前面提到的</w:t>
      </w:r>
      <w:r>
        <w:rPr>
          <w:rFonts w:hint="eastAsia"/>
          <w:lang w:val="es-ES"/>
        </w:rPr>
        <w:t>2008</w:t>
      </w:r>
      <w:r>
        <w:rPr>
          <w:rFonts w:hint="eastAsia"/>
          <w:lang w:val="es-ES"/>
        </w:rPr>
        <w:t>年的第</w:t>
      </w:r>
      <w:r>
        <w:rPr>
          <w:rFonts w:hint="eastAsia"/>
          <w:lang w:val="es-ES"/>
        </w:rPr>
        <w:t>1257</w:t>
      </w:r>
      <w:r>
        <w:rPr>
          <w:rFonts w:hint="eastAsia"/>
          <w:lang w:val="es-ES"/>
        </w:rPr>
        <w:t>号法</w:t>
      </w:r>
      <w:r>
        <w:rPr>
          <w:rFonts w:hint="eastAsia"/>
          <w:spacing w:val="-50"/>
          <w:lang w:val="es-ES"/>
        </w:rPr>
        <w:t>―</w:t>
      </w:r>
      <w:r>
        <w:rPr>
          <w:rFonts w:hint="eastAsia"/>
          <w:lang w:val="es-ES"/>
        </w:rPr>
        <w:t>―《</w:t>
      </w:r>
      <w:r>
        <w:rPr>
          <w:lang w:val="en-GB"/>
        </w:rPr>
        <w:t>让生活远离暴力侵害法</w:t>
      </w:r>
      <w:r>
        <w:rPr>
          <w:rFonts w:hint="eastAsia"/>
          <w:lang w:val="es-ES"/>
        </w:rPr>
        <w:t>》，首次参照国际标准将暴力侵害妇女行为这一概念引入到了国内法规制度中；将</w:t>
      </w:r>
      <w:r>
        <w:rPr>
          <w:rFonts w:hint="eastAsia"/>
          <w:lang w:val="zh-CN"/>
        </w:rPr>
        <w:t>暴力侵害妇女行为认定为一项对妇女人权的侵犯；承认妇女对与其自身有关的决策享有自主权和自由权利；对暴力行为的受害妇女进行了全面的疏导；将这方面的相关思想教育和预防措施列为国家的义务；规定了家庭和社会在这方面应当承担的义务；并对惩治措施进行了相应的修改。</w:t>
      </w:r>
      <w:r>
        <w:rPr>
          <w:vertAlign w:val="superscript"/>
          <w:lang w:val="zh-CN"/>
        </w:rPr>
        <w:footnoteReference w:id="201"/>
      </w:r>
    </w:p>
    <w:p w:rsidR="00A83775" w:rsidRDefault="00A83775">
      <w:pPr>
        <w:pStyle w:val="SingleTxtGC"/>
        <w:rPr>
          <w:rFonts w:hint="eastAsia"/>
          <w:lang w:val="es-ES"/>
        </w:rPr>
      </w:pPr>
      <w:r>
        <w:rPr>
          <w:lang w:val="zh-CN"/>
        </w:rPr>
        <w:t xml:space="preserve">606.  </w:t>
      </w:r>
      <w:r>
        <w:rPr>
          <w:rFonts w:hint="eastAsia"/>
          <w:lang w:val="zh-CN"/>
        </w:rPr>
        <w:t>这一法律具有即时性的效力。当妇女向主管机关主张其权利时，司法人员有义务贯彻相应规定。一些条款要求对实际工作进行规范。该法律的实施条例在前文提到的应对基于性别原因的暴力行为综合方案的框架内出台，目的是推进这一程序公</w:t>
      </w:r>
      <w:r>
        <w:rPr>
          <w:rFonts w:hint="eastAsia"/>
          <w:lang w:val="es-ES"/>
        </w:rPr>
        <w:t>众，规定成立一家技术工作组，成员包括有关部门的公务员，他们的职能和权限都在该法律中进行了规定，以方便其开展公众，法律规定了应敦促司法、教育、劳动和卫生主题工作组尽快投入工作，立足于该法律所包含的差别化权利观点，对所有问题进行研究和分析。</w:t>
      </w:r>
      <w:r>
        <w:rPr>
          <w:vertAlign w:val="superscript"/>
          <w:lang w:val="es-ES"/>
        </w:rPr>
        <w:footnoteReference w:id="202"/>
      </w:r>
    </w:p>
    <w:p w:rsidR="00A83775" w:rsidRDefault="00A83775" w:rsidP="00836BEA">
      <w:pPr>
        <w:pStyle w:val="SingleTxtGC"/>
        <w:keepNext/>
        <w:rPr>
          <w:lang w:val="es-CO"/>
        </w:rPr>
      </w:pPr>
      <w:r>
        <w:rPr>
          <w:lang w:val="es-CO"/>
        </w:rPr>
        <w:t xml:space="preserve">607.  </w:t>
      </w:r>
      <w:r>
        <w:rPr>
          <w:rFonts w:hint="eastAsia"/>
          <w:lang w:val="zh-CN"/>
        </w:rPr>
        <w:t>取得</w:t>
      </w:r>
      <w:r>
        <w:rPr>
          <w:rFonts w:hint="eastAsia"/>
          <w:lang w:val="es-CO"/>
        </w:rPr>
        <w:t>的成果主要有：</w:t>
      </w:r>
    </w:p>
    <w:p w:rsidR="00A83775" w:rsidRDefault="00A83775">
      <w:pPr>
        <w:pStyle w:val="SingleTxtGC"/>
        <w:numPr>
          <w:ilvl w:val="0"/>
          <w:numId w:val="71"/>
        </w:numPr>
        <w:rPr>
          <w:lang w:val="es-CO"/>
        </w:rPr>
      </w:pPr>
      <w:r>
        <w:rPr>
          <w:rFonts w:hint="eastAsia"/>
          <w:lang w:val="es-CO"/>
        </w:rPr>
        <w:t>关于颁布有关司法条文的实施细则的法令草案，目的是确保对受害妇女专门提供免费的辩护服务，让妇女有权不与犯罪人面对面解除，将受害妇女安置在安全的地方或创造条件保障其生命安全和人身完整性（研究中）；</w:t>
      </w:r>
    </w:p>
    <w:p w:rsidR="00A83775" w:rsidRDefault="00A83775">
      <w:pPr>
        <w:pStyle w:val="SingleTxtGC"/>
        <w:numPr>
          <w:ilvl w:val="0"/>
          <w:numId w:val="71"/>
        </w:numPr>
        <w:rPr>
          <w:lang w:val="es-CO"/>
        </w:rPr>
      </w:pPr>
      <w:r>
        <w:rPr>
          <w:rFonts w:hint="eastAsia"/>
          <w:lang w:val="es-CO"/>
        </w:rPr>
        <w:t>关于在《</w:t>
      </w:r>
      <w:r>
        <w:rPr>
          <w:rFonts w:hint="eastAsia"/>
          <w:lang w:val="es-CO"/>
        </w:rPr>
        <w:t>2011-2014</w:t>
      </w:r>
      <w:r>
        <w:rPr>
          <w:rFonts w:hint="eastAsia"/>
          <w:lang w:val="es-CO"/>
        </w:rPr>
        <w:t>年国家公共卫生计划》中加入与第</w:t>
      </w:r>
      <w:r>
        <w:rPr>
          <w:rFonts w:hint="eastAsia"/>
          <w:lang w:val="es-CO"/>
        </w:rPr>
        <w:t>1257</w:t>
      </w:r>
      <w:r>
        <w:rPr>
          <w:rFonts w:hint="eastAsia"/>
          <w:lang w:val="es-CO"/>
        </w:rPr>
        <w:t>号法的实施有关的若干具体规定的提案；</w:t>
      </w:r>
    </w:p>
    <w:p w:rsidR="00A83775" w:rsidRDefault="00A83775">
      <w:pPr>
        <w:pStyle w:val="SingleTxtGC"/>
        <w:numPr>
          <w:ilvl w:val="0"/>
          <w:numId w:val="71"/>
        </w:numPr>
        <w:rPr>
          <w:lang w:val="es-CO"/>
        </w:rPr>
      </w:pPr>
      <w:r>
        <w:rPr>
          <w:rFonts w:hint="eastAsia"/>
          <w:lang w:val="es-CO"/>
        </w:rPr>
        <w:t>从国内和国际背景入手对基于性别原因的暴力问题进行分析，并对关键要素进行分析，以便在劳动和教育领域对该法律进行贯彻落实；</w:t>
      </w:r>
    </w:p>
    <w:p w:rsidR="00A83775" w:rsidRDefault="00A83775">
      <w:pPr>
        <w:pStyle w:val="SingleTxtGC"/>
        <w:numPr>
          <w:ilvl w:val="0"/>
          <w:numId w:val="71"/>
        </w:numPr>
        <w:rPr>
          <w:lang w:val="es-CO"/>
        </w:rPr>
      </w:pPr>
      <w:r>
        <w:rPr>
          <w:rFonts w:hint="eastAsia"/>
          <w:lang w:val="es-CO"/>
        </w:rPr>
        <w:t>在媒体宣传方面，编制了一份新闻从业人员指导手册，开通了一个网站并参与了消除暴力侵害妇女行为社会网络，开展宣传，与主持人（有社会影响力的人物）拟定并签署了协议，在这方面推出了一项机构间宣传战略。继续开展对法律的规范进程，以便有效落实相应的提案，让所有相关行为方都参与其中，各司其职。</w:t>
      </w:r>
    </w:p>
    <w:p w:rsidR="00A83775" w:rsidRDefault="00A83775">
      <w:pPr>
        <w:pStyle w:val="SingleTxtGC"/>
        <w:rPr>
          <w:lang w:val="es-ES"/>
        </w:rPr>
      </w:pPr>
      <w:r>
        <w:rPr>
          <w:bCs/>
          <w:lang w:val="es-ES"/>
        </w:rPr>
        <w:t xml:space="preserve">608.  </w:t>
      </w:r>
      <w:r>
        <w:rPr>
          <w:rFonts w:hint="eastAsia"/>
          <w:lang w:val="zh-CN"/>
        </w:rPr>
        <w:t>另一方面</w:t>
      </w:r>
      <w:r>
        <w:rPr>
          <w:rFonts w:hint="eastAsia"/>
          <w:bCs/>
          <w:lang w:val="es-ES"/>
        </w:rPr>
        <w:t>，从地区层面看，推动开展了若干行动，以落实</w:t>
      </w:r>
      <w:r>
        <w:rPr>
          <w:rFonts w:hint="eastAsia"/>
          <w:bCs/>
          <w:lang w:val="es-ES"/>
        </w:rPr>
        <w:t>2008</w:t>
      </w:r>
      <w:r>
        <w:rPr>
          <w:rFonts w:hint="eastAsia"/>
          <w:bCs/>
          <w:lang w:val="es-ES"/>
        </w:rPr>
        <w:t>年的第</w:t>
      </w:r>
      <w:r>
        <w:rPr>
          <w:rFonts w:hint="eastAsia"/>
          <w:bCs/>
          <w:lang w:val="es-ES"/>
        </w:rPr>
        <w:t>1257</w:t>
      </w:r>
      <w:r>
        <w:rPr>
          <w:rFonts w:hint="eastAsia"/>
          <w:bCs/>
          <w:lang w:val="es-ES"/>
        </w:rPr>
        <w:t>号法，在附件中列出了与这方面有关的国内</w:t>
      </w:r>
      <w:r>
        <w:rPr>
          <w:rFonts w:hint="eastAsia"/>
          <w:bCs/>
          <w:lang w:val="es-ES"/>
        </w:rPr>
        <w:t>32</w:t>
      </w:r>
      <w:r>
        <w:rPr>
          <w:rFonts w:hint="eastAsia"/>
          <w:bCs/>
          <w:lang w:val="es-ES"/>
        </w:rPr>
        <w:t>个省份中</w:t>
      </w:r>
      <w:r>
        <w:rPr>
          <w:rFonts w:hint="eastAsia"/>
          <w:bCs/>
          <w:lang w:val="es-ES"/>
        </w:rPr>
        <w:t>21</w:t>
      </w:r>
      <w:r>
        <w:rPr>
          <w:rFonts w:hint="eastAsia"/>
          <w:bCs/>
          <w:lang w:val="es-ES"/>
        </w:rPr>
        <w:t>省提供的信息。</w:t>
      </w:r>
      <w:r>
        <w:rPr>
          <w:bCs/>
          <w:vertAlign w:val="superscript"/>
          <w:lang w:val="es-ES"/>
        </w:rPr>
        <w:footnoteReference w:id="203"/>
      </w:r>
      <w:r>
        <w:rPr>
          <w:rFonts w:hint="eastAsia"/>
          <w:bCs/>
          <w:vertAlign w:val="superscript"/>
          <w:lang w:val="es-ES"/>
        </w:rPr>
        <w:t>、</w:t>
      </w:r>
      <w:r>
        <w:rPr>
          <w:bCs/>
          <w:vertAlign w:val="superscript"/>
          <w:lang w:val="es-ES"/>
        </w:rPr>
        <w:footnoteReference w:id="204"/>
      </w:r>
    </w:p>
    <w:p w:rsidR="00A83775" w:rsidRDefault="00A83775">
      <w:pPr>
        <w:pStyle w:val="SingleTxtGC"/>
        <w:rPr>
          <w:lang w:val="es-ES"/>
        </w:rPr>
      </w:pPr>
      <w:r>
        <w:rPr>
          <w:lang w:val="es-ES"/>
        </w:rPr>
        <w:t xml:space="preserve">609.  </w:t>
      </w:r>
      <w:r>
        <w:rPr>
          <w:rFonts w:hint="eastAsia"/>
          <w:lang w:val="es-ES"/>
        </w:rPr>
        <w:t>在本条</w:t>
      </w:r>
      <w:r>
        <w:rPr>
          <w:rFonts w:hint="eastAsia"/>
          <w:lang w:val="zh-CN"/>
        </w:rPr>
        <w:t>对应</w:t>
      </w:r>
      <w:r>
        <w:rPr>
          <w:rFonts w:hint="eastAsia"/>
          <w:lang w:val="es-ES"/>
        </w:rPr>
        <w:t>的附件</w:t>
      </w:r>
      <w:r>
        <w:rPr>
          <w:rFonts w:hint="eastAsia"/>
          <w:lang w:val="es-ES"/>
        </w:rPr>
        <w:t>2</w:t>
      </w:r>
      <w:r>
        <w:rPr>
          <w:rFonts w:hint="eastAsia"/>
          <w:lang w:val="es-ES"/>
        </w:rPr>
        <w:t>中列出了这些法律的全文。</w:t>
      </w:r>
    </w:p>
    <w:p w:rsidR="00A83775" w:rsidRDefault="00A83775">
      <w:pPr>
        <w:pStyle w:val="H23GC"/>
        <w:rPr>
          <w:rFonts w:hint="eastAsia"/>
          <w:lang w:val="es-ES_tradnl"/>
        </w:rPr>
      </w:pPr>
      <w:r>
        <w:rPr>
          <w:lang w:val="es-ES_tradnl"/>
        </w:rPr>
        <w:tab/>
        <w:t>3.</w:t>
      </w:r>
      <w:r>
        <w:rPr>
          <w:lang w:val="es-ES_tradnl"/>
        </w:rPr>
        <w:tab/>
      </w:r>
      <w:r>
        <w:rPr>
          <w:rFonts w:hint="eastAsia"/>
          <w:lang w:val="es-ES_tradnl"/>
        </w:rPr>
        <w:t>司法措施</w:t>
      </w:r>
    </w:p>
    <w:p w:rsidR="00A83775" w:rsidRDefault="00A83775">
      <w:pPr>
        <w:pStyle w:val="SingleTxtGC"/>
        <w:rPr>
          <w:rFonts w:hint="eastAsia"/>
          <w:lang w:val="es-ES"/>
        </w:rPr>
      </w:pPr>
      <w:r>
        <w:rPr>
          <w:lang w:val="es-ES"/>
        </w:rPr>
        <w:t xml:space="preserve">610.  </w:t>
      </w:r>
      <w:r>
        <w:rPr>
          <w:rFonts w:hint="eastAsia"/>
          <w:lang w:val="zh-CN"/>
        </w:rPr>
        <w:t>值得一提</w:t>
      </w:r>
      <w:r>
        <w:rPr>
          <w:rFonts w:hint="eastAsia"/>
          <w:lang w:val="es-ES"/>
        </w:rPr>
        <w:t>的是宪法法院的以下判决：</w:t>
      </w:r>
    </w:p>
    <w:p w:rsidR="00A83775" w:rsidRDefault="00A83775">
      <w:pPr>
        <w:pStyle w:val="SingleTxtGC"/>
        <w:numPr>
          <w:ilvl w:val="0"/>
          <w:numId w:val="72"/>
        </w:numPr>
        <w:rPr>
          <w:lang w:val="es-ES"/>
        </w:rPr>
      </w:pPr>
      <w:r>
        <w:rPr>
          <w:rFonts w:hint="eastAsia"/>
          <w:lang w:val="es-ES"/>
        </w:rPr>
        <w:t>第</w:t>
      </w:r>
      <w:r>
        <w:rPr>
          <w:rFonts w:hint="eastAsia"/>
          <w:lang w:val="es-ES"/>
        </w:rPr>
        <w:t>C-534-05</w:t>
      </w:r>
      <w:r>
        <w:rPr>
          <w:rFonts w:hint="eastAsia"/>
          <w:lang w:val="es-ES"/>
        </w:rPr>
        <w:t>号判决：参见与《公约》第四条执行情况有关的章节；</w:t>
      </w:r>
      <w:r>
        <w:rPr>
          <w:vertAlign w:val="superscript"/>
          <w:lang w:val="es-ES"/>
        </w:rPr>
        <w:footnoteReference w:id="205"/>
      </w:r>
    </w:p>
    <w:p w:rsidR="00A83775" w:rsidRDefault="00A83775">
      <w:pPr>
        <w:pStyle w:val="SingleTxtGC"/>
        <w:numPr>
          <w:ilvl w:val="0"/>
          <w:numId w:val="72"/>
        </w:numPr>
        <w:rPr>
          <w:rFonts w:hint="eastAsia"/>
          <w:lang w:val="es-ES"/>
        </w:rPr>
      </w:pPr>
      <w:r>
        <w:rPr>
          <w:rFonts w:hint="eastAsia"/>
          <w:bCs/>
          <w:lang w:val="es-CO"/>
        </w:rPr>
        <w:t>第</w:t>
      </w:r>
      <w:r>
        <w:rPr>
          <w:bCs/>
          <w:lang w:val="es-CO"/>
        </w:rPr>
        <w:t>C-804-06</w:t>
      </w:r>
      <w:r>
        <w:rPr>
          <w:rFonts w:hint="eastAsia"/>
          <w:bCs/>
          <w:lang w:val="es-CO"/>
        </w:rPr>
        <w:t>号判决：参见第五条对应的章节；</w:t>
      </w:r>
    </w:p>
    <w:p w:rsidR="00A83775" w:rsidRDefault="00A83775">
      <w:pPr>
        <w:pStyle w:val="SingleTxtGC"/>
        <w:numPr>
          <w:ilvl w:val="0"/>
          <w:numId w:val="72"/>
        </w:numPr>
        <w:rPr>
          <w:rFonts w:hint="eastAsia"/>
          <w:bCs/>
          <w:lang w:val="es-CO"/>
        </w:rPr>
      </w:pPr>
      <w:r>
        <w:rPr>
          <w:rFonts w:hint="eastAsia"/>
          <w:lang w:val="es-ES"/>
        </w:rPr>
        <w:t>第</w:t>
      </w:r>
      <w:r>
        <w:rPr>
          <w:lang w:val="es-ES"/>
        </w:rPr>
        <w:t>C-540-08</w:t>
      </w:r>
      <w:r>
        <w:rPr>
          <w:rFonts w:hint="eastAsia"/>
          <w:lang w:val="es-ES"/>
        </w:rPr>
        <w:t>号判决：参见第四条对应的章节；在本条对应的附件</w:t>
      </w:r>
      <w:r>
        <w:rPr>
          <w:rFonts w:hint="eastAsia"/>
          <w:lang w:val="es-ES"/>
        </w:rPr>
        <w:t>4</w:t>
      </w:r>
      <w:r>
        <w:rPr>
          <w:rFonts w:hint="eastAsia"/>
          <w:lang w:val="es-ES"/>
        </w:rPr>
        <w:t>中列出了上述判决的全文。</w:t>
      </w:r>
    </w:p>
    <w:p w:rsidR="00A83775" w:rsidRDefault="00A83775">
      <w:pPr>
        <w:pStyle w:val="H1GC"/>
        <w:rPr>
          <w:rFonts w:hint="eastAsia"/>
          <w:lang w:val="es-ES_tradnl"/>
        </w:rPr>
      </w:pPr>
      <w:r>
        <w:rPr>
          <w:lang w:val="es-ES_tradnl"/>
        </w:rPr>
        <w:tab/>
        <w:t>B.</w:t>
      </w:r>
      <w:r>
        <w:rPr>
          <w:lang w:val="es-ES_tradnl"/>
        </w:rPr>
        <w:tab/>
      </w:r>
      <w:r>
        <w:rPr>
          <w:rFonts w:hint="eastAsia"/>
          <w:lang w:val="es-ES_tradnl"/>
        </w:rPr>
        <w:t>第十六条</w:t>
      </w:r>
    </w:p>
    <w:p w:rsidR="00A83775" w:rsidRDefault="00A83775">
      <w:pPr>
        <w:pStyle w:val="SingleTxtGC"/>
        <w:rPr>
          <w:lang w:val="es-ES_tradnl"/>
        </w:rPr>
      </w:pPr>
      <w:r>
        <w:rPr>
          <w:lang w:val="es-ES_tradnl"/>
        </w:rPr>
        <w:t xml:space="preserve">611.  </w:t>
      </w:r>
      <w:r>
        <w:rPr>
          <w:rFonts w:hint="eastAsia"/>
          <w:lang w:val="es-ES"/>
        </w:rPr>
        <w:t>本节与委员会第</w:t>
      </w:r>
      <w:r>
        <w:rPr>
          <w:rFonts w:hint="eastAsia"/>
          <w:lang w:val="es-ES"/>
        </w:rPr>
        <w:t>19</w:t>
      </w:r>
      <w:r>
        <w:rPr>
          <w:rFonts w:hint="eastAsia"/>
          <w:lang w:val="es-ES"/>
        </w:rPr>
        <w:t>和</w:t>
      </w:r>
      <w:r>
        <w:rPr>
          <w:rFonts w:hint="eastAsia"/>
          <w:lang w:val="es-ES"/>
        </w:rPr>
        <w:t>21</w:t>
      </w:r>
      <w:r>
        <w:rPr>
          <w:rFonts w:hint="eastAsia"/>
          <w:lang w:val="es-ES"/>
        </w:rPr>
        <w:t>号一般性建议有关。</w:t>
      </w:r>
    </w:p>
    <w:p w:rsidR="00A83775" w:rsidRDefault="00A83775">
      <w:pPr>
        <w:pStyle w:val="H23GC"/>
        <w:rPr>
          <w:lang w:val="es-ES_tradnl"/>
        </w:rPr>
      </w:pPr>
      <w:r>
        <w:rPr>
          <w:lang w:val="es-ES_tradnl"/>
        </w:rPr>
        <w:tab/>
        <w:t>1.</w:t>
      </w:r>
      <w:r>
        <w:rPr>
          <w:lang w:val="es-ES_tradnl"/>
        </w:rPr>
        <w:tab/>
      </w:r>
      <w:r>
        <w:rPr>
          <w:rFonts w:hint="eastAsia"/>
          <w:lang w:val="es-ES_tradnl"/>
        </w:rPr>
        <w:t>行政措施</w:t>
      </w:r>
    </w:p>
    <w:p w:rsidR="00A83775" w:rsidRDefault="00A83775">
      <w:pPr>
        <w:pStyle w:val="SingleTxtGC"/>
        <w:rPr>
          <w:lang w:val="zh-CN"/>
        </w:rPr>
      </w:pPr>
      <w:r>
        <w:rPr>
          <w:lang w:val="es-ES"/>
        </w:rPr>
        <w:t xml:space="preserve">612.  </w:t>
      </w:r>
      <w:r>
        <w:rPr>
          <w:rFonts w:hint="eastAsia"/>
          <w:lang w:val="es-ES"/>
        </w:rPr>
        <w:t>在</w:t>
      </w:r>
      <w:r>
        <w:rPr>
          <w:rFonts w:hint="eastAsia"/>
          <w:lang w:val="zh-CN"/>
        </w:rPr>
        <w:t>本报告中与第一条的执行情况对应的章节中提到的</w:t>
      </w:r>
      <w:r>
        <w:rPr>
          <w:rFonts w:eastAsia="SimHei"/>
          <w:lang w:val="zh-CN"/>
        </w:rPr>
        <w:t>缔造和平共处的家庭氛围国家政策</w:t>
      </w:r>
      <w:r>
        <w:rPr>
          <w:rFonts w:hint="eastAsia"/>
          <w:lang w:val="zh-CN"/>
        </w:rPr>
        <w:t>。</w:t>
      </w:r>
    </w:p>
    <w:p w:rsidR="00A83775" w:rsidRDefault="00A83775">
      <w:pPr>
        <w:pStyle w:val="SingleTxtGC"/>
        <w:rPr>
          <w:lang w:val="zh-CN"/>
        </w:rPr>
      </w:pPr>
      <w:r>
        <w:rPr>
          <w:lang w:val="zh-CN"/>
        </w:rPr>
        <w:t xml:space="preserve">613.  </w:t>
      </w:r>
      <w:r>
        <w:rPr>
          <w:rFonts w:hint="eastAsia"/>
          <w:lang w:val="zh-CN"/>
        </w:rPr>
        <w:t>哥伦比亚家庭福利研究所通过预防、发现和监督家庭内暴力和性暴力事件，进行及时干预和机构间调解的方式，大力巩固建设民主，多元化并存，尊重家庭成员尊严和权利、不因年龄、性别、文化因素而区别对待的包容性家庭；同时极力促进权利的恢复，让性权利和生殖权利、性健康和两性平等相辅相成，共同发展。</w:t>
      </w:r>
    </w:p>
    <w:p w:rsidR="00A83775" w:rsidRDefault="00A83775">
      <w:pPr>
        <w:pStyle w:val="SingleTxtGC"/>
        <w:rPr>
          <w:lang w:val="zh-CN"/>
        </w:rPr>
      </w:pPr>
      <w:r>
        <w:rPr>
          <w:lang w:val="zh-CN"/>
        </w:rPr>
        <w:t xml:space="preserve">614.  </w:t>
      </w:r>
      <w:r>
        <w:rPr>
          <w:rFonts w:hint="eastAsia"/>
          <w:lang w:val="zh-CN"/>
        </w:rPr>
        <w:t>家庭福利研究所开展了以下旨在预防家庭内暴力的方案：</w:t>
      </w:r>
    </w:p>
    <w:p w:rsidR="00A83775" w:rsidRDefault="00A83775">
      <w:pPr>
        <w:pStyle w:val="SingleTxtGC"/>
        <w:rPr>
          <w:lang w:val="es-ES"/>
        </w:rPr>
      </w:pPr>
      <w:r>
        <w:rPr>
          <w:lang w:val="zh-CN"/>
        </w:rPr>
        <w:t xml:space="preserve">615.  </w:t>
      </w:r>
      <w:r>
        <w:rPr>
          <w:rFonts w:eastAsia="SimHei" w:hint="eastAsia"/>
          <w:lang w:val="zh-CN"/>
        </w:rPr>
        <w:t>福利住房</w:t>
      </w:r>
      <w:r>
        <w:rPr>
          <w:rFonts w:hint="eastAsia"/>
          <w:lang w:val="zh-CN"/>
        </w:rPr>
        <w:t>：</w:t>
      </w:r>
      <w:r>
        <w:rPr>
          <w:rFonts w:hint="eastAsia"/>
          <w:bCs/>
          <w:lang w:val="es-ES"/>
        </w:rPr>
        <w:t>针对弱势家庭和有权享受住房补贴的家庭，通过各类培训和辅导程序将相关的准则、方针和行动结合起来，以便承认、促进其权利并预防这一权利有被侵犯的风险。</w:t>
      </w:r>
    </w:p>
    <w:p w:rsidR="00A83775" w:rsidRDefault="00A83775">
      <w:pPr>
        <w:pStyle w:val="SingleTxtGC"/>
        <w:rPr>
          <w:lang w:val="zh-CN"/>
        </w:rPr>
      </w:pPr>
      <w:r>
        <w:rPr>
          <w:lang w:val="es-MX"/>
        </w:rPr>
        <w:t xml:space="preserve">616.  </w:t>
      </w:r>
      <w:r>
        <w:rPr>
          <w:rFonts w:hint="eastAsia"/>
          <w:lang w:val="es-MX"/>
        </w:rPr>
        <w:t>通过落实这一方案，</w:t>
      </w:r>
      <w:r>
        <w:rPr>
          <w:rFonts w:hint="eastAsia"/>
          <w:lang w:val="es-MX"/>
        </w:rPr>
        <w:t>2007</w:t>
      </w:r>
      <w:r>
        <w:rPr>
          <w:rFonts w:hint="eastAsia"/>
          <w:lang w:val="es-MX"/>
        </w:rPr>
        <w:t>年有</w:t>
      </w:r>
      <w:r>
        <w:rPr>
          <w:rFonts w:hint="eastAsia"/>
          <w:lang w:val="es-MX"/>
        </w:rPr>
        <w:t>40</w:t>
      </w:r>
      <w:r>
        <w:rPr>
          <w:lang w:val="es-MX"/>
        </w:rPr>
        <w:t>,</w:t>
      </w:r>
      <w:r>
        <w:rPr>
          <w:rFonts w:hint="eastAsia"/>
          <w:lang w:val="es-MX"/>
        </w:rPr>
        <w:t>153</w:t>
      </w:r>
      <w:r>
        <w:rPr>
          <w:rFonts w:hint="eastAsia"/>
          <w:lang w:val="es-MX"/>
        </w:rPr>
        <w:t>户家庭通过了资格审查并从方案中受益。</w:t>
      </w:r>
      <w:r>
        <w:rPr>
          <w:rFonts w:hint="eastAsia"/>
          <w:lang w:val="es-MX"/>
        </w:rPr>
        <w:t>2008</w:t>
      </w:r>
      <w:r>
        <w:rPr>
          <w:rFonts w:hint="eastAsia"/>
          <w:lang w:val="es-MX"/>
        </w:rPr>
        <w:t>年</w:t>
      </w:r>
      <w:r>
        <w:rPr>
          <w:rFonts w:hint="eastAsia"/>
          <w:lang w:val="zh-CN"/>
        </w:rPr>
        <w:t>的受益家庭数量为</w:t>
      </w:r>
      <w:r>
        <w:rPr>
          <w:rFonts w:hint="eastAsia"/>
          <w:lang w:val="zh-CN"/>
        </w:rPr>
        <w:t>78</w:t>
      </w:r>
      <w:r>
        <w:t>,</w:t>
      </w:r>
      <w:r>
        <w:rPr>
          <w:rFonts w:hint="eastAsia"/>
          <w:lang w:val="zh-CN"/>
        </w:rPr>
        <w:t>360</w:t>
      </w:r>
      <w:r>
        <w:rPr>
          <w:rFonts w:hint="eastAsia"/>
          <w:lang w:val="zh-CN"/>
        </w:rPr>
        <w:t>户。</w:t>
      </w:r>
      <w:r>
        <w:rPr>
          <w:rFonts w:hint="eastAsia"/>
          <w:lang w:val="zh-CN"/>
        </w:rPr>
        <w:t>2009</w:t>
      </w:r>
      <w:r>
        <w:rPr>
          <w:rFonts w:hint="eastAsia"/>
          <w:lang w:val="zh-CN"/>
        </w:rPr>
        <w:t>年为</w:t>
      </w:r>
      <w:r>
        <w:rPr>
          <w:rFonts w:hint="eastAsia"/>
          <w:lang w:val="zh-CN"/>
        </w:rPr>
        <w:t>38</w:t>
      </w:r>
      <w:r>
        <w:t>,</w:t>
      </w:r>
      <w:r>
        <w:rPr>
          <w:rFonts w:hint="eastAsia"/>
          <w:lang w:val="zh-CN"/>
        </w:rPr>
        <w:t>440</w:t>
      </w:r>
      <w:r>
        <w:rPr>
          <w:rFonts w:hint="eastAsia"/>
          <w:lang w:val="zh-CN"/>
        </w:rPr>
        <w:t>户。</w:t>
      </w:r>
      <w:r>
        <w:rPr>
          <w:rFonts w:hint="eastAsia"/>
          <w:lang w:val="zh-CN"/>
        </w:rPr>
        <w:t>2010</w:t>
      </w:r>
      <w:r>
        <w:rPr>
          <w:rFonts w:hint="eastAsia"/>
          <w:lang w:val="zh-CN"/>
        </w:rPr>
        <w:t>年方案推广到</w:t>
      </w:r>
      <w:r>
        <w:rPr>
          <w:rFonts w:hint="eastAsia"/>
          <w:lang w:val="zh-CN"/>
        </w:rPr>
        <w:t>26</w:t>
      </w:r>
      <w:r>
        <w:rPr>
          <w:rFonts w:hint="eastAsia"/>
          <w:lang w:val="zh-CN"/>
        </w:rPr>
        <w:t>个省份，受益家庭为</w:t>
      </w:r>
      <w:r>
        <w:rPr>
          <w:rFonts w:hint="eastAsia"/>
          <w:lang w:val="zh-CN"/>
        </w:rPr>
        <w:t>41</w:t>
      </w:r>
      <w:r>
        <w:t>,</w:t>
      </w:r>
      <w:r>
        <w:rPr>
          <w:rFonts w:hint="eastAsia"/>
          <w:lang w:val="zh-CN"/>
        </w:rPr>
        <w:t>560</w:t>
      </w:r>
      <w:r>
        <w:rPr>
          <w:rFonts w:hint="eastAsia"/>
          <w:lang w:val="zh-CN"/>
        </w:rPr>
        <w:t>户。</w:t>
      </w:r>
    </w:p>
    <w:p w:rsidR="00A83775" w:rsidRDefault="00A83775">
      <w:pPr>
        <w:pStyle w:val="SingleTxtGC"/>
        <w:rPr>
          <w:lang w:val="zh-CN"/>
        </w:rPr>
      </w:pPr>
      <w:r>
        <w:rPr>
          <w:lang w:val="zh-CN"/>
        </w:rPr>
        <w:t xml:space="preserve">617.  </w:t>
      </w:r>
      <w:r>
        <w:rPr>
          <w:rFonts w:hint="eastAsia"/>
          <w:lang w:val="zh-CN"/>
        </w:rPr>
        <w:t>这一方案的目的是在国家政府的住房政策中纳入补充性措施，以实现健康生活，预防家庭内暴力，改善居住条件并落实性权利和生殖权利，帮助目标家庭融入国家和社区的服务网络。该方案考虑到了性别观点，力争为家庭的每一个成员谋福利并使其均衡地承担其在家庭中的责任，尽力使男女的机会差别最小化，使男性和女性的生活品质都有所提高，促进家庭的整体发展，为此，在重新构建人际关系、加强教育和价值观的培养、树立家长对子女的原则的基础上，增强家庭中每一名成员的能力和技能。</w:t>
      </w:r>
    </w:p>
    <w:p w:rsidR="00A83775" w:rsidRDefault="00A83775">
      <w:pPr>
        <w:pStyle w:val="SingleTxtGC"/>
        <w:rPr>
          <w:rFonts w:hint="eastAsia"/>
          <w:bCs/>
          <w:lang w:val="es-MX"/>
        </w:rPr>
      </w:pPr>
      <w:r>
        <w:rPr>
          <w:lang w:val="zh-CN"/>
        </w:rPr>
        <w:t xml:space="preserve">618.  </w:t>
      </w:r>
      <w:r>
        <w:rPr>
          <w:rFonts w:eastAsia="SimHei" w:hint="eastAsia"/>
          <w:lang w:val="zh-CN"/>
        </w:rPr>
        <w:t>在家庭中促进</w:t>
      </w:r>
      <w:r>
        <w:rPr>
          <w:rFonts w:eastAsia="SimHei" w:hint="eastAsia"/>
          <w:lang w:val="zh-CN"/>
        </w:rPr>
        <w:t>4-6</w:t>
      </w:r>
      <w:r>
        <w:rPr>
          <w:rFonts w:eastAsia="SimHei" w:hint="eastAsia"/>
          <w:lang w:val="zh-CN"/>
        </w:rPr>
        <w:t>岁男童和女童接触社会</w:t>
      </w:r>
      <w:r>
        <w:rPr>
          <w:rFonts w:hint="eastAsia"/>
          <w:lang w:val="zh-CN"/>
        </w:rPr>
        <w:t>：让幼童对有利于社会和不利于社会的行为具备辨识能力，以便开发其合作学习能力并让幼童及其家庭都能够对此有成型概念。家庭福</w:t>
      </w:r>
      <w:r>
        <w:rPr>
          <w:rFonts w:hint="eastAsia"/>
          <w:bCs/>
          <w:lang w:val="es-ES"/>
        </w:rPr>
        <w:t>利研究所</w:t>
      </w:r>
      <w:r>
        <w:rPr>
          <w:rFonts w:hint="eastAsia"/>
          <w:bCs/>
          <w:lang w:val="es-ES"/>
        </w:rPr>
        <w:t>2007</w:t>
      </w:r>
      <w:r>
        <w:rPr>
          <w:rFonts w:hint="eastAsia"/>
          <w:bCs/>
          <w:lang w:val="es-ES"/>
        </w:rPr>
        <w:t>年在九个地区开展了试点项目，启动了这一模式的实施进程。在</w:t>
      </w:r>
      <w:r>
        <w:rPr>
          <w:rFonts w:hint="eastAsia"/>
          <w:bCs/>
          <w:lang w:val="es-ES"/>
        </w:rPr>
        <w:t>2009</w:t>
      </w:r>
      <w:r>
        <w:rPr>
          <w:rFonts w:hint="eastAsia"/>
          <w:bCs/>
          <w:lang w:val="es-ES"/>
        </w:rPr>
        <w:t>年期间，该模式扩展到</w:t>
      </w:r>
      <w:r>
        <w:rPr>
          <w:rFonts w:hint="eastAsia"/>
          <w:bCs/>
          <w:lang w:val="es-ES"/>
        </w:rPr>
        <w:t>14</w:t>
      </w:r>
      <w:r>
        <w:rPr>
          <w:rFonts w:hint="eastAsia"/>
          <w:bCs/>
          <w:lang w:val="es-ES"/>
        </w:rPr>
        <w:t>个地区，</w:t>
      </w:r>
      <w:r>
        <w:rPr>
          <w:vertAlign w:val="superscript"/>
          <w:lang w:val="es-ES"/>
        </w:rPr>
        <w:footnoteReference w:id="206"/>
      </w:r>
      <w:r>
        <w:rPr>
          <w:bCs/>
          <w:lang w:val="es-ES"/>
        </w:rPr>
        <w:t xml:space="preserve"> </w:t>
      </w:r>
      <w:r>
        <w:rPr>
          <w:rFonts w:hint="eastAsia"/>
          <w:bCs/>
          <w:lang w:val="es-MX"/>
        </w:rPr>
        <w:t>主要是开展基础性的培训班和扩展性讲座，通过这些活动培养了</w:t>
      </w:r>
      <w:r>
        <w:rPr>
          <w:rFonts w:hint="eastAsia"/>
          <w:bCs/>
          <w:lang w:val="es-MX"/>
        </w:rPr>
        <w:t>5</w:t>
      </w:r>
      <w:r>
        <w:rPr>
          <w:bCs/>
          <w:lang w:val="es-MX"/>
        </w:rPr>
        <w:t>,</w:t>
      </w:r>
      <w:r>
        <w:rPr>
          <w:rFonts w:hint="eastAsia"/>
          <w:bCs/>
          <w:lang w:val="es-MX"/>
        </w:rPr>
        <w:t>250</w:t>
      </w:r>
      <w:r>
        <w:rPr>
          <w:rFonts w:hint="eastAsia"/>
          <w:bCs/>
          <w:lang w:val="es-MX"/>
        </w:rPr>
        <w:t>名社区教育代理和机构教育代理。</w:t>
      </w:r>
      <w:r>
        <w:rPr>
          <w:rFonts w:hint="eastAsia"/>
          <w:bCs/>
          <w:lang w:val="es-MX"/>
        </w:rPr>
        <w:t>2010</w:t>
      </w:r>
      <w:r>
        <w:rPr>
          <w:rFonts w:hint="eastAsia"/>
          <w:bCs/>
          <w:lang w:val="es-MX"/>
        </w:rPr>
        <w:t>年，对</w:t>
      </w:r>
      <w:r>
        <w:rPr>
          <w:rFonts w:hint="eastAsia"/>
          <w:bCs/>
          <w:lang w:val="es-MX"/>
        </w:rPr>
        <w:t>3</w:t>
      </w:r>
      <w:r>
        <w:rPr>
          <w:bCs/>
          <w:lang w:val="es-MX"/>
        </w:rPr>
        <w:t>,</w:t>
      </w:r>
      <w:r>
        <w:rPr>
          <w:rFonts w:hint="eastAsia"/>
          <w:bCs/>
          <w:lang w:val="es-MX"/>
        </w:rPr>
        <w:t>361</w:t>
      </w:r>
      <w:r>
        <w:rPr>
          <w:rFonts w:hint="eastAsia"/>
          <w:bCs/>
          <w:lang w:val="es-MX"/>
        </w:rPr>
        <w:t>名男童和女童进行了风险和社会融合度评估。</w:t>
      </w:r>
      <w:r>
        <w:rPr>
          <w:vertAlign w:val="superscript"/>
          <w:lang w:val="es-ES"/>
        </w:rPr>
        <w:footnoteReference w:id="207"/>
      </w:r>
      <w:r>
        <w:rPr>
          <w:bCs/>
          <w:lang w:val="es-ES"/>
        </w:rPr>
        <w:t xml:space="preserve"> </w:t>
      </w:r>
      <w:r>
        <w:rPr>
          <w:bCs/>
          <w:lang w:val="es-MX"/>
        </w:rPr>
        <w:t>6</w:t>
      </w:r>
      <w:r>
        <w:rPr>
          <w:rFonts w:hint="eastAsia"/>
          <w:bCs/>
          <w:lang w:val="es-MX"/>
        </w:rPr>
        <w:t>9</w:t>
      </w:r>
      <w:r>
        <w:rPr>
          <w:rFonts w:hint="eastAsia"/>
          <w:bCs/>
          <w:lang w:val="es-MX"/>
        </w:rPr>
        <w:t>名家庭和平共处宣导员向社区妈妈们以及女教师们提供了咨询和辅导服务，目的是通过对学龄前儿童的全面关爱帮助其更好地融入社会。通过活动的有序开展，共对</w:t>
      </w:r>
      <w:r>
        <w:rPr>
          <w:rFonts w:hint="eastAsia"/>
          <w:bCs/>
          <w:lang w:val="es-MX"/>
        </w:rPr>
        <w:t>751</w:t>
      </w:r>
      <w:r>
        <w:rPr>
          <w:rFonts w:hint="eastAsia"/>
          <w:bCs/>
          <w:lang w:val="es-MX"/>
        </w:rPr>
        <w:t>户有高危受虐风险的儿童的家庭提供了帮助。</w:t>
      </w:r>
    </w:p>
    <w:p w:rsidR="00A83775" w:rsidRDefault="00A83775">
      <w:pPr>
        <w:pStyle w:val="SingleTxtGC"/>
        <w:rPr>
          <w:rFonts w:hint="eastAsia"/>
          <w:lang w:val="zh-CN"/>
        </w:rPr>
      </w:pPr>
      <w:r>
        <w:rPr>
          <w:lang w:val="es-ES"/>
        </w:rPr>
        <w:t xml:space="preserve">619.  </w:t>
      </w:r>
      <w:r>
        <w:rPr>
          <w:rFonts w:hint="eastAsia"/>
          <w:lang w:val="es-ES"/>
        </w:rPr>
        <w:t>在这一框架内，</w:t>
      </w:r>
      <w:r>
        <w:rPr>
          <w:rFonts w:hint="eastAsia"/>
          <w:lang w:val="es-ES"/>
        </w:rPr>
        <w:t>2005-2007</w:t>
      </w:r>
      <w:r>
        <w:rPr>
          <w:rFonts w:hint="eastAsia"/>
          <w:lang w:val="es-ES"/>
        </w:rPr>
        <w:t>年期间开展了</w:t>
      </w:r>
      <w:r>
        <w:rPr>
          <w:rFonts w:eastAsia="SimHei" w:hint="eastAsia"/>
          <w:lang w:val="es-ES"/>
        </w:rPr>
        <w:t>“预防、调查和处理家庭暴力关爱模式”项目</w:t>
      </w:r>
      <w:r>
        <w:rPr>
          <w:rFonts w:hint="eastAsia"/>
          <w:lang w:val="es-ES"/>
        </w:rPr>
        <w:t>，以敦促教育部门对家庭内暴力的有关文书中提出的要求进行回应，项目在社区福利</w:t>
      </w:r>
      <w:r>
        <w:rPr>
          <w:rFonts w:hint="eastAsia"/>
          <w:lang w:val="zh-CN"/>
        </w:rPr>
        <w:t>家庭和家庭福利研究所开办的各家幼儿园中执行，被视为一项用于预防虐待幼龄儿童的变通方案。</w:t>
      </w:r>
    </w:p>
    <w:p w:rsidR="00A83775" w:rsidRDefault="00A83775">
      <w:pPr>
        <w:pStyle w:val="SingleTxtGC"/>
        <w:rPr>
          <w:rFonts w:hint="eastAsia"/>
          <w:lang w:val="zh-CN"/>
        </w:rPr>
      </w:pPr>
      <w:r>
        <w:rPr>
          <w:lang w:val="zh-CN"/>
        </w:rPr>
        <w:t xml:space="preserve">620.  </w:t>
      </w:r>
      <w:r>
        <w:rPr>
          <w:rFonts w:eastAsia="SimHei" w:hint="eastAsia"/>
          <w:lang w:val="zh-CN"/>
        </w:rPr>
        <w:t>家庭团结模式</w:t>
      </w:r>
      <w:r>
        <w:rPr>
          <w:rFonts w:hint="eastAsia"/>
          <w:lang w:val="zh-CN"/>
        </w:rPr>
        <w:t>：从差别化的包容角度对男童、女童、青少年及其家庭给予全面关爱和系统性干预，该模式从道德－政治立场入手，促进家庭成员间以及社会上人与人之间的包容、参与和团结。采用的具体方法就是通过家庭福利研究所和全国家庭福利体系所开展的各类方案，尤其是家庭权利监察员办公室、家庭委员会和警察机关的检察机关参与的方案来对目标家庭进行干预。在</w:t>
      </w:r>
      <w:r>
        <w:rPr>
          <w:rFonts w:hint="eastAsia"/>
          <w:lang w:val="zh-CN"/>
        </w:rPr>
        <w:t>2007-2010</w:t>
      </w:r>
      <w:r>
        <w:rPr>
          <w:rFonts w:hint="eastAsia"/>
          <w:lang w:val="zh-CN"/>
        </w:rPr>
        <w:t>年期间，对家庭福利研究所的</w:t>
      </w:r>
      <w:r>
        <w:rPr>
          <w:rFonts w:hint="eastAsia"/>
          <w:lang w:val="zh-CN"/>
        </w:rPr>
        <w:t>755</w:t>
      </w:r>
      <w:r>
        <w:rPr>
          <w:rFonts w:hint="eastAsia"/>
          <w:lang w:val="zh-CN"/>
        </w:rPr>
        <w:t>名公务员以及武装部队复员人员安置机关的</w:t>
      </w:r>
      <w:r>
        <w:rPr>
          <w:rFonts w:hint="eastAsia"/>
          <w:lang w:val="zh-CN"/>
        </w:rPr>
        <w:t>104</w:t>
      </w:r>
      <w:r>
        <w:rPr>
          <w:rFonts w:hint="eastAsia"/>
          <w:lang w:val="zh-CN"/>
        </w:rPr>
        <w:t>名专业工作人员进行了培训，让受训人员掌握这一模式，系统性地开展家庭事务工作。</w:t>
      </w:r>
    </w:p>
    <w:p w:rsidR="00A83775" w:rsidRDefault="00A83775">
      <w:pPr>
        <w:pStyle w:val="SingleTxtGC"/>
        <w:rPr>
          <w:rFonts w:hint="eastAsia"/>
          <w:lang w:val="zh-CN"/>
        </w:rPr>
      </w:pPr>
      <w:r>
        <w:rPr>
          <w:lang w:val="zh-CN"/>
        </w:rPr>
        <w:t xml:space="preserve">621.  </w:t>
      </w:r>
      <w:r>
        <w:rPr>
          <w:rFonts w:eastAsia="SimHei" w:hint="eastAsia"/>
          <w:lang w:val="zh-CN"/>
        </w:rPr>
        <w:t>与国家武装部队签署协议</w:t>
      </w:r>
      <w:r>
        <w:rPr>
          <w:rFonts w:hint="eastAsia"/>
          <w:lang w:val="zh-CN"/>
        </w:rPr>
        <w:t>，目的是通过开办培训宣讲班，从性别角度以及性权利和生殖权利角度促进家庭和平共处，支持开展旨在预防此类机关或其受益人的家庭暴力的各类行动。这些宣讲班的目标对象为部队官员以及部队中负责社会福利和家庭福利方案的人员。</w:t>
      </w:r>
    </w:p>
    <w:p w:rsidR="00A83775" w:rsidRDefault="00A83775">
      <w:pPr>
        <w:pStyle w:val="SingleTxtGC"/>
        <w:rPr>
          <w:rFonts w:hint="eastAsia"/>
          <w:lang w:val="zh-CN"/>
        </w:rPr>
      </w:pPr>
      <w:r>
        <w:rPr>
          <w:lang w:val="zh-CN"/>
        </w:rPr>
        <w:t xml:space="preserve">622.  </w:t>
      </w:r>
      <w:r>
        <w:rPr>
          <w:rFonts w:eastAsia="SimHei" w:hint="eastAsia"/>
          <w:lang w:val="zh-CN"/>
        </w:rPr>
        <w:t>旨在促进家长负起为人父母责任的行动</w:t>
      </w:r>
      <w:r>
        <w:rPr>
          <w:rFonts w:hint="eastAsia"/>
          <w:lang w:val="zh-CN"/>
        </w:rPr>
        <w:t>。通过面向家庭福利研究所的各类预防和关爱方案的受益青少年及家庭和参与到国内的为人父母责任调查过程中的青少年及家庭开展培训和提高认识讲习班和行动予以落实。</w:t>
      </w:r>
      <w:r>
        <w:rPr>
          <w:rFonts w:hint="eastAsia"/>
          <w:lang w:val="zh-CN"/>
        </w:rPr>
        <w:t>2010</w:t>
      </w:r>
      <w:r>
        <w:rPr>
          <w:rFonts w:hint="eastAsia"/>
          <w:lang w:val="zh-CN"/>
        </w:rPr>
        <w:t>年期间从差别化和性别角度入手，对家庭福利研究所开展的</w:t>
      </w:r>
      <w:r>
        <w:rPr>
          <w:lang w:val="zh-CN"/>
        </w:rPr>
        <w:t>旨在根除极端贫困现象的社会保障网</w:t>
      </w:r>
      <w:r>
        <w:rPr>
          <w:rFonts w:hint="eastAsia"/>
          <w:lang w:val="zh-CN"/>
        </w:rPr>
        <w:t>方案和福利住房方案的</w:t>
      </w:r>
      <w:r>
        <w:rPr>
          <w:rFonts w:hint="eastAsia"/>
          <w:lang w:val="zh-CN"/>
        </w:rPr>
        <w:t>20</w:t>
      </w:r>
      <w:r>
        <w:t>,</w:t>
      </w:r>
      <w:r>
        <w:rPr>
          <w:rFonts w:hint="eastAsia"/>
          <w:lang w:val="zh-CN"/>
        </w:rPr>
        <w:t>000</w:t>
      </w:r>
      <w:r>
        <w:rPr>
          <w:rFonts w:hint="eastAsia"/>
          <w:lang w:val="zh-CN"/>
        </w:rPr>
        <w:t>户受益家庭就教养模式问题开展了培训活动。</w:t>
      </w:r>
    </w:p>
    <w:p w:rsidR="00A83775" w:rsidRDefault="00A83775">
      <w:pPr>
        <w:pStyle w:val="SingleTxtGC"/>
        <w:rPr>
          <w:rFonts w:hint="eastAsia"/>
          <w:lang w:val="es-ES"/>
        </w:rPr>
      </w:pPr>
      <w:r>
        <w:rPr>
          <w:lang w:val="zh-CN"/>
        </w:rPr>
        <w:t xml:space="preserve">623.  </w:t>
      </w:r>
      <w:r>
        <w:rPr>
          <w:rFonts w:hint="eastAsia"/>
          <w:lang w:val="zh-CN"/>
        </w:rPr>
        <w:t>前文中提到的国</w:t>
      </w:r>
      <w:r>
        <w:rPr>
          <w:rFonts w:hint="eastAsia"/>
          <w:lang w:val="es-ES"/>
        </w:rPr>
        <w:t>家性健康和生殖健康政策。其行动方针主要有：</w:t>
      </w:r>
    </w:p>
    <w:p w:rsidR="00A83775" w:rsidRDefault="00A83775">
      <w:pPr>
        <w:pStyle w:val="SingleTxtGC"/>
        <w:numPr>
          <w:ilvl w:val="0"/>
          <w:numId w:val="73"/>
        </w:numPr>
        <w:rPr>
          <w:rFonts w:hint="eastAsia"/>
          <w:lang w:val="es-ES"/>
        </w:rPr>
      </w:pPr>
      <w:r>
        <w:rPr>
          <w:rFonts w:hint="eastAsia"/>
          <w:lang w:val="es-ES"/>
        </w:rPr>
        <w:t>促进安全孕产；</w:t>
      </w:r>
    </w:p>
    <w:p w:rsidR="00A83775" w:rsidRDefault="00A83775">
      <w:pPr>
        <w:pStyle w:val="SingleTxtGC"/>
        <w:numPr>
          <w:ilvl w:val="0"/>
          <w:numId w:val="73"/>
        </w:numPr>
        <w:rPr>
          <w:rFonts w:hint="eastAsia"/>
          <w:lang w:val="es-ES"/>
        </w:rPr>
      </w:pPr>
      <w:r>
        <w:rPr>
          <w:rFonts w:hint="eastAsia"/>
          <w:lang w:val="es-ES"/>
        </w:rPr>
        <w:t>计划生育；</w:t>
      </w:r>
    </w:p>
    <w:p w:rsidR="00A83775" w:rsidRDefault="00A83775">
      <w:pPr>
        <w:pStyle w:val="SingleTxtGC"/>
        <w:numPr>
          <w:ilvl w:val="0"/>
          <w:numId w:val="73"/>
        </w:numPr>
        <w:rPr>
          <w:rFonts w:hint="eastAsia"/>
          <w:lang w:val="es-ES"/>
        </w:rPr>
      </w:pPr>
      <w:r>
        <w:rPr>
          <w:rFonts w:hint="eastAsia"/>
          <w:lang w:val="es-ES"/>
        </w:rPr>
        <w:t>青少年的性健康与生殖健康；</w:t>
      </w:r>
    </w:p>
    <w:p w:rsidR="00A83775" w:rsidRDefault="00A83775">
      <w:pPr>
        <w:pStyle w:val="SingleTxtGC"/>
        <w:numPr>
          <w:ilvl w:val="0"/>
          <w:numId w:val="73"/>
        </w:numPr>
        <w:rPr>
          <w:rFonts w:hint="eastAsia"/>
          <w:lang w:val="es-ES"/>
        </w:rPr>
      </w:pPr>
      <w:r>
        <w:rPr>
          <w:rFonts w:hint="eastAsia"/>
          <w:lang w:val="es-ES"/>
        </w:rPr>
        <w:t>预防宫颈癌；</w:t>
      </w:r>
    </w:p>
    <w:p w:rsidR="00A83775" w:rsidRDefault="00A83775">
      <w:pPr>
        <w:pStyle w:val="SingleTxtGC"/>
        <w:numPr>
          <w:ilvl w:val="0"/>
          <w:numId w:val="73"/>
        </w:numPr>
        <w:rPr>
          <w:rFonts w:hint="eastAsia"/>
          <w:lang w:val="es-ES"/>
        </w:rPr>
      </w:pPr>
      <w:r>
        <w:rPr>
          <w:rFonts w:hint="eastAsia"/>
          <w:lang w:val="es-ES"/>
        </w:rPr>
        <w:t>预防性传播疾病和艾滋病毒</w:t>
      </w:r>
      <w:r>
        <w:rPr>
          <w:rFonts w:hint="eastAsia"/>
          <w:lang w:val="es-ES"/>
        </w:rPr>
        <w:t>/</w:t>
      </w:r>
      <w:r>
        <w:rPr>
          <w:rFonts w:hint="eastAsia"/>
          <w:lang w:val="es-ES"/>
        </w:rPr>
        <w:t>艾滋病；</w:t>
      </w:r>
    </w:p>
    <w:p w:rsidR="00A83775" w:rsidRDefault="00A83775">
      <w:pPr>
        <w:pStyle w:val="SingleTxtGC"/>
        <w:numPr>
          <w:ilvl w:val="0"/>
          <w:numId w:val="73"/>
        </w:numPr>
        <w:rPr>
          <w:rFonts w:hint="eastAsia"/>
          <w:lang w:val="es-ES"/>
        </w:rPr>
      </w:pPr>
      <w:r>
        <w:rPr>
          <w:rFonts w:hint="eastAsia"/>
          <w:lang w:val="es-ES"/>
        </w:rPr>
        <w:t>预防和处理家庭暴力和性暴力。</w:t>
      </w:r>
    </w:p>
    <w:p w:rsidR="00A83775" w:rsidRDefault="00A83775">
      <w:pPr>
        <w:pStyle w:val="SingleTxtGC"/>
        <w:rPr>
          <w:lang w:val="zh-CN"/>
        </w:rPr>
      </w:pPr>
      <w:r>
        <w:rPr>
          <w:lang w:val="es-ES"/>
        </w:rPr>
        <w:t xml:space="preserve">624.  </w:t>
      </w:r>
      <w:r>
        <w:rPr>
          <w:rFonts w:hint="eastAsia"/>
          <w:lang w:val="es-ES"/>
        </w:rPr>
        <w:t>哥伦比亚家庭福利研究所与哥伦比亚儿科医学会签署的协议。制定了儿童养育指南或教养模式，作为哥伦比亚家庭福利研究所的公务员和社区教导员的工作指南，据以在国内面向各方案的受益人开展工作。教养模式促进了为人父母者根据各自</w:t>
      </w:r>
      <w:r>
        <w:rPr>
          <w:rFonts w:hint="eastAsia"/>
          <w:lang w:val="zh-CN"/>
        </w:rPr>
        <w:t>家庭的不同情况承担起教养子女的责任。</w:t>
      </w:r>
      <w:r>
        <w:rPr>
          <w:rFonts w:hint="eastAsia"/>
          <w:lang w:val="zh-CN"/>
        </w:rPr>
        <w:t>2010</w:t>
      </w:r>
      <w:r>
        <w:rPr>
          <w:rFonts w:hint="eastAsia"/>
          <w:lang w:val="zh-CN"/>
        </w:rPr>
        <w:t>年期间从差别化和性别角度入手，对家庭福利研究所开展的</w:t>
      </w:r>
      <w:r>
        <w:rPr>
          <w:lang w:val="zh-CN"/>
        </w:rPr>
        <w:t>旨在根除极端贫困现象的社会保障网</w:t>
      </w:r>
      <w:r>
        <w:rPr>
          <w:rFonts w:hint="eastAsia"/>
          <w:lang w:val="zh-CN"/>
        </w:rPr>
        <w:t>方案和福利住房方案的</w:t>
      </w:r>
      <w:r>
        <w:rPr>
          <w:rFonts w:hint="eastAsia"/>
          <w:lang w:val="zh-CN"/>
        </w:rPr>
        <w:t>20</w:t>
      </w:r>
      <w:r>
        <w:t>,</w:t>
      </w:r>
      <w:r>
        <w:rPr>
          <w:rFonts w:hint="eastAsia"/>
          <w:lang w:val="zh-CN"/>
        </w:rPr>
        <w:t>000</w:t>
      </w:r>
      <w:r>
        <w:rPr>
          <w:rFonts w:hint="eastAsia"/>
          <w:lang w:val="zh-CN"/>
        </w:rPr>
        <w:t>户受益家庭就教养模式问题开展了培训活动。</w:t>
      </w:r>
    </w:p>
    <w:p w:rsidR="00A83775" w:rsidRDefault="00A83775">
      <w:pPr>
        <w:pStyle w:val="SingleTxtGC"/>
        <w:rPr>
          <w:lang w:val="zh-CN"/>
        </w:rPr>
      </w:pPr>
      <w:r>
        <w:rPr>
          <w:lang w:val="zh-CN"/>
        </w:rPr>
        <w:t xml:space="preserve">625.  </w:t>
      </w:r>
      <w:r>
        <w:rPr>
          <w:rFonts w:hint="eastAsia"/>
          <w:lang w:val="zh-CN"/>
        </w:rPr>
        <w:t>哥伦比亚家庭福利研究所与家庭福利促进协会签署的协议。在</w:t>
      </w:r>
      <w:r>
        <w:rPr>
          <w:rFonts w:hint="eastAsia"/>
          <w:lang w:val="zh-CN"/>
        </w:rPr>
        <w:t>2007-2008</w:t>
      </w:r>
      <w:r>
        <w:rPr>
          <w:rFonts w:hint="eastAsia"/>
          <w:lang w:val="zh-CN"/>
        </w:rPr>
        <w:t>年期间开展了旨在培养和促进性知识观念并行使性权利的行动，为此还对这一领域的教导员进行了培训。</w:t>
      </w:r>
      <w:r>
        <w:rPr>
          <w:vertAlign w:val="superscript"/>
          <w:lang w:val="zh-CN"/>
        </w:rPr>
        <w:footnoteReference w:id="208"/>
      </w:r>
      <w:r>
        <w:rPr>
          <w:lang w:val="zh-CN"/>
        </w:rPr>
        <w:t xml:space="preserve"> </w:t>
      </w:r>
    </w:p>
    <w:p w:rsidR="00A83775" w:rsidRDefault="00A83775">
      <w:pPr>
        <w:pStyle w:val="SingleTxtGC"/>
        <w:rPr>
          <w:lang w:val="zh-CN"/>
        </w:rPr>
      </w:pPr>
      <w:r>
        <w:rPr>
          <w:lang w:val="zh-CN"/>
        </w:rPr>
        <w:t xml:space="preserve">626.  </w:t>
      </w:r>
      <w:r>
        <w:rPr>
          <w:rFonts w:hint="eastAsia"/>
          <w:lang w:val="zh-CN"/>
        </w:rPr>
        <w:t>家庭福利研究所与国际移民组织签署的协议。目的是在国内</w:t>
      </w:r>
      <w:r>
        <w:rPr>
          <w:rFonts w:hint="eastAsia"/>
          <w:lang w:val="zh-CN"/>
        </w:rPr>
        <w:t>17</w:t>
      </w:r>
      <w:r>
        <w:rPr>
          <w:rFonts w:hint="eastAsia"/>
          <w:lang w:val="zh-CN"/>
        </w:rPr>
        <w:t>个省份加强预防和处理性健康和生殖健康事件的各项行动的力度。</w:t>
      </w:r>
    </w:p>
    <w:p w:rsidR="00A83775" w:rsidRDefault="00A83775">
      <w:pPr>
        <w:pStyle w:val="SingleTxtGC"/>
        <w:rPr>
          <w:u w:val="single"/>
          <w:lang w:val="es-ES"/>
        </w:rPr>
      </w:pPr>
      <w:r>
        <w:rPr>
          <w:lang w:val="zh-CN"/>
        </w:rPr>
        <w:t xml:space="preserve">627.  </w:t>
      </w:r>
      <w:r>
        <w:rPr>
          <w:rFonts w:hint="eastAsia"/>
          <w:lang w:val="zh-CN"/>
        </w:rPr>
        <w:t>与地方卫生当局签署协议，以提供保健服务。共与</w:t>
      </w:r>
      <w:r>
        <w:rPr>
          <w:rFonts w:hint="eastAsia"/>
          <w:lang w:val="zh-CN"/>
        </w:rPr>
        <w:t>47</w:t>
      </w:r>
      <w:r>
        <w:rPr>
          <w:rFonts w:hint="eastAsia"/>
          <w:lang w:val="zh-CN"/>
        </w:rPr>
        <w:t>个市镇的卫生主管部门签署了</w:t>
      </w:r>
      <w:r>
        <w:rPr>
          <w:rFonts w:hint="eastAsia"/>
          <w:lang w:val="zh-CN"/>
        </w:rPr>
        <w:t>47</w:t>
      </w:r>
      <w:r>
        <w:rPr>
          <w:rFonts w:hint="eastAsia"/>
          <w:lang w:val="es-ES"/>
        </w:rPr>
        <w:t>份协议。</w:t>
      </w:r>
    </w:p>
    <w:p w:rsidR="00A83775" w:rsidRDefault="00A83775">
      <w:pPr>
        <w:pStyle w:val="H23GC"/>
        <w:rPr>
          <w:rFonts w:hint="eastAsia"/>
          <w:lang w:val="es-ES_tradnl"/>
        </w:rPr>
      </w:pPr>
      <w:r>
        <w:rPr>
          <w:lang w:val="es-ES_tradnl"/>
        </w:rPr>
        <w:tab/>
        <w:t>2.</w:t>
      </w:r>
      <w:r>
        <w:rPr>
          <w:lang w:val="es-ES_tradnl"/>
        </w:rPr>
        <w:tab/>
      </w:r>
      <w:r>
        <w:rPr>
          <w:rFonts w:hint="eastAsia"/>
          <w:lang w:val="es-ES_tradnl"/>
        </w:rPr>
        <w:t>立法措施</w:t>
      </w:r>
    </w:p>
    <w:p w:rsidR="00A83775" w:rsidRDefault="00A83775">
      <w:pPr>
        <w:pStyle w:val="SingleTxtGC"/>
        <w:rPr>
          <w:rFonts w:hint="eastAsia"/>
          <w:lang w:val="zh-CN"/>
        </w:rPr>
      </w:pPr>
      <w:r>
        <w:rPr>
          <w:lang w:val="es-ES"/>
        </w:rPr>
        <w:t xml:space="preserve">628.  </w:t>
      </w:r>
      <w:r>
        <w:rPr>
          <w:rFonts w:hint="eastAsia"/>
          <w:lang w:val="es-ES"/>
        </w:rPr>
        <w:t>家庭内暴力是指家庭中的一名成员对另一名成员诉诸武力，对其身心或性完整造成</w:t>
      </w:r>
      <w:r>
        <w:rPr>
          <w:rFonts w:hint="eastAsia"/>
          <w:lang w:val="zh-CN"/>
        </w:rPr>
        <w:t>伤害，或者含有威胁、侵害、侮辱或攻击性或其他任何侵害手段的行为。</w:t>
      </w:r>
      <w:r>
        <w:rPr>
          <w:vertAlign w:val="superscript"/>
          <w:lang w:val="zh-CN"/>
        </w:rPr>
        <w:footnoteReference w:id="209"/>
      </w:r>
    </w:p>
    <w:p w:rsidR="00A83775" w:rsidRDefault="00A83775">
      <w:pPr>
        <w:pStyle w:val="SingleTxtGC"/>
        <w:rPr>
          <w:rFonts w:hint="eastAsia"/>
          <w:lang w:val="zh-CN"/>
        </w:rPr>
      </w:pPr>
      <w:r>
        <w:rPr>
          <w:lang w:val="zh-CN"/>
        </w:rPr>
        <w:t xml:space="preserve">629.  </w:t>
      </w:r>
      <w:r>
        <w:rPr>
          <w:rFonts w:hint="eastAsia"/>
          <w:lang w:val="zh-CN"/>
        </w:rPr>
        <w:t>为认定这一行为，将家庭定义为一名男子和一名女子出于自由意愿缔结婚姻或出于负责任的意愿而结合在一起的，建立起自然联系或法律联系的社会单位。</w:t>
      </w:r>
      <w:r>
        <w:rPr>
          <w:vertAlign w:val="superscript"/>
          <w:lang w:val="zh-CN"/>
        </w:rPr>
        <w:footnoteReference w:id="210"/>
      </w:r>
    </w:p>
    <w:p w:rsidR="00A83775" w:rsidRDefault="00A83775">
      <w:pPr>
        <w:pStyle w:val="SingleTxtGC"/>
        <w:rPr>
          <w:rFonts w:hint="eastAsia"/>
          <w:lang w:val="es-ES"/>
        </w:rPr>
      </w:pPr>
      <w:r>
        <w:rPr>
          <w:lang w:val="zh-CN"/>
        </w:rPr>
        <w:t xml:space="preserve">630.  </w:t>
      </w:r>
      <w:r>
        <w:rPr>
          <w:rFonts w:eastAsia="SimHei" w:hint="eastAsia"/>
          <w:lang w:val="zh-CN"/>
        </w:rPr>
        <w:t>前文提到的</w:t>
      </w:r>
      <w:r>
        <w:rPr>
          <w:rFonts w:eastAsia="SimHei" w:hint="eastAsia"/>
          <w:lang w:val="zh-CN"/>
        </w:rPr>
        <w:t>2008</w:t>
      </w:r>
      <w:r>
        <w:rPr>
          <w:rFonts w:eastAsia="SimHei" w:hint="eastAsia"/>
          <w:lang w:val="zh-CN"/>
        </w:rPr>
        <w:t>年的第</w:t>
      </w:r>
      <w:r>
        <w:rPr>
          <w:rFonts w:eastAsia="SimHei" w:hint="eastAsia"/>
          <w:lang w:val="zh-CN"/>
        </w:rPr>
        <w:t>1257</w:t>
      </w:r>
      <w:r>
        <w:rPr>
          <w:rFonts w:eastAsia="SimHei" w:hint="eastAsia"/>
          <w:lang w:val="zh-CN"/>
        </w:rPr>
        <w:t>号法</w:t>
      </w:r>
      <w:r>
        <w:rPr>
          <w:rFonts w:hint="eastAsia"/>
          <w:lang w:val="zh-CN"/>
        </w:rPr>
        <w:t>。针对家庭内暴力问题，取消了和平法官审理此类</w:t>
      </w:r>
      <w:r>
        <w:rPr>
          <w:rFonts w:hint="eastAsia"/>
          <w:lang w:val="es-ES"/>
        </w:rPr>
        <w:t>暴力案件的权利；同时，扩大了保护措施的适用面，重新定义了家庭的概念，以采取相应行动。在该法第</w:t>
      </w:r>
      <w:r>
        <w:rPr>
          <w:rFonts w:hint="eastAsia"/>
          <w:lang w:val="es-ES"/>
        </w:rPr>
        <w:t>34</w:t>
      </w:r>
      <w:r>
        <w:rPr>
          <w:rFonts w:hint="eastAsia"/>
          <w:lang w:val="es-ES"/>
        </w:rPr>
        <w:t>条中扩大了家庭成员的认定范围，目的是使同居人员也能够要求得到保护，也就是说，当事人可以要求认定同居关系无效。有越来越多的暴力受害者选择采用保护措施，并已经成为在第一条对应的内容中提到的保障措施的一项替代方式。</w:t>
      </w:r>
    </w:p>
    <w:p w:rsidR="00A83775" w:rsidRDefault="00A83775">
      <w:pPr>
        <w:pStyle w:val="SingleTxtGC"/>
        <w:rPr>
          <w:rFonts w:hint="eastAsia"/>
          <w:lang w:val="zh-CN"/>
        </w:rPr>
      </w:pPr>
      <w:r>
        <w:rPr>
          <w:lang w:val="es-ES"/>
        </w:rPr>
        <w:t xml:space="preserve">631.  </w:t>
      </w:r>
      <w:r>
        <w:rPr>
          <w:rFonts w:hint="eastAsia"/>
          <w:lang w:val="es-ES"/>
        </w:rPr>
        <w:t>第</w:t>
      </w:r>
      <w:r>
        <w:rPr>
          <w:rFonts w:hint="eastAsia"/>
          <w:lang w:val="es-ES"/>
        </w:rPr>
        <w:t>17</w:t>
      </w:r>
      <w:r>
        <w:rPr>
          <w:rFonts w:hint="eastAsia"/>
          <w:lang w:val="es-ES"/>
        </w:rPr>
        <w:t>条第</w:t>
      </w:r>
      <w:r>
        <w:rPr>
          <w:rFonts w:hint="eastAsia"/>
          <w:lang w:val="es-ES"/>
        </w:rPr>
        <w:t>3</w:t>
      </w:r>
      <w:r>
        <w:rPr>
          <w:rFonts w:hint="eastAsia"/>
          <w:lang w:val="es-ES"/>
        </w:rPr>
        <w:t>款对该罪行进行了定性，指明了家庭内暴力案件应采用的保护措施：</w:t>
      </w:r>
      <w:r>
        <w:rPr>
          <w:rFonts w:hint="eastAsia"/>
          <w:lang w:val="zh-CN"/>
        </w:rPr>
        <w:t>（……）主管当局应当将所有家庭内暴力案件上报国家总检察署，以便对家庭内暴力罪以及相关罪行开展调查。也就是说，不需要受害人采取行动。</w:t>
      </w:r>
    </w:p>
    <w:p w:rsidR="00A83775" w:rsidRDefault="00A83775">
      <w:pPr>
        <w:pStyle w:val="SingleTxtGC"/>
        <w:rPr>
          <w:rFonts w:hint="eastAsia"/>
          <w:lang w:val="zh-CN"/>
        </w:rPr>
      </w:pPr>
      <w:r>
        <w:rPr>
          <w:lang w:val="zh-CN"/>
        </w:rPr>
        <w:t xml:space="preserve">632.  </w:t>
      </w:r>
      <w:r>
        <w:rPr>
          <w:rFonts w:eastAsia="SimHei" w:hint="eastAsia"/>
          <w:lang w:val="zh-CN"/>
        </w:rPr>
        <w:t>2007</w:t>
      </w:r>
      <w:r>
        <w:rPr>
          <w:rFonts w:eastAsia="SimHei" w:hint="eastAsia"/>
          <w:lang w:val="zh-CN"/>
        </w:rPr>
        <w:t>年的第</w:t>
      </w:r>
      <w:r>
        <w:rPr>
          <w:rFonts w:eastAsia="SimHei" w:hint="eastAsia"/>
          <w:lang w:val="zh-CN"/>
        </w:rPr>
        <w:t>1142</w:t>
      </w:r>
      <w:r>
        <w:rPr>
          <w:rFonts w:eastAsia="SimHei" w:hint="eastAsia"/>
          <w:lang w:val="zh-CN"/>
        </w:rPr>
        <w:t>号法</w:t>
      </w:r>
      <w:r>
        <w:rPr>
          <w:rFonts w:hint="eastAsia"/>
          <w:lang w:val="zh-CN"/>
        </w:rPr>
        <w:t>，在前面第一条对应的内容中已经提到过，该法律规定家庭内暴力罪应由检察机关依职责自动受理，也就是说，无需被害人采取行动。</w:t>
      </w:r>
    </w:p>
    <w:p w:rsidR="00A83775" w:rsidRDefault="00A83775">
      <w:pPr>
        <w:pStyle w:val="SingleTxtGC"/>
        <w:rPr>
          <w:u w:val="single"/>
          <w:lang w:val="es-ES"/>
        </w:rPr>
      </w:pPr>
      <w:r>
        <w:rPr>
          <w:lang w:val="zh-CN"/>
        </w:rPr>
        <w:t xml:space="preserve">633.  </w:t>
      </w:r>
      <w:r>
        <w:rPr>
          <w:rFonts w:hint="eastAsia"/>
          <w:lang w:val="zh-CN"/>
        </w:rPr>
        <w:t>在本报</w:t>
      </w:r>
      <w:r>
        <w:rPr>
          <w:rFonts w:hint="eastAsia"/>
          <w:lang w:val="es-ES"/>
        </w:rPr>
        <w:t>告的附件</w:t>
      </w:r>
      <w:r>
        <w:rPr>
          <w:rFonts w:hint="eastAsia"/>
          <w:lang w:val="es-ES"/>
        </w:rPr>
        <w:t>2</w:t>
      </w:r>
      <w:r>
        <w:rPr>
          <w:rFonts w:hint="eastAsia"/>
          <w:lang w:val="es-ES"/>
        </w:rPr>
        <w:t>中载有这些法律的全文。</w:t>
      </w:r>
    </w:p>
    <w:p w:rsidR="00A83775" w:rsidRDefault="00A83775">
      <w:pPr>
        <w:pStyle w:val="H23GC"/>
        <w:rPr>
          <w:rFonts w:hint="eastAsia"/>
          <w:lang w:val="es-ES_tradnl"/>
        </w:rPr>
      </w:pPr>
      <w:r>
        <w:rPr>
          <w:lang w:val="es-ES_tradnl"/>
        </w:rPr>
        <w:tab/>
        <w:t>3.</w:t>
      </w:r>
      <w:r>
        <w:rPr>
          <w:lang w:val="es-ES_tradnl"/>
        </w:rPr>
        <w:tab/>
      </w:r>
      <w:r>
        <w:rPr>
          <w:rFonts w:hint="eastAsia"/>
          <w:lang w:val="es-ES_tradnl"/>
        </w:rPr>
        <w:t>司法措施</w:t>
      </w:r>
    </w:p>
    <w:p w:rsidR="00A83775" w:rsidRDefault="00A83775">
      <w:pPr>
        <w:pStyle w:val="SingleTxtGC"/>
        <w:rPr>
          <w:lang w:val="es-ES"/>
        </w:rPr>
      </w:pPr>
      <w:r>
        <w:rPr>
          <w:bCs/>
          <w:lang w:val="es-ES"/>
        </w:rPr>
        <w:t xml:space="preserve">634.  </w:t>
      </w:r>
      <w:r>
        <w:rPr>
          <w:rFonts w:hint="eastAsia"/>
          <w:bCs/>
          <w:lang w:val="es-ES"/>
        </w:rPr>
        <w:t>第</w:t>
      </w:r>
      <w:r>
        <w:rPr>
          <w:bCs/>
          <w:lang w:val="es-ES"/>
        </w:rPr>
        <w:t>C-1198-08</w:t>
      </w:r>
      <w:r>
        <w:rPr>
          <w:rFonts w:hint="eastAsia"/>
          <w:lang w:val="es-ES"/>
        </w:rPr>
        <w:t>号判决指出：</w:t>
      </w:r>
    </w:p>
    <w:p w:rsidR="00A83775" w:rsidRDefault="00A83775">
      <w:pPr>
        <w:pStyle w:val="SingleTxtGC"/>
        <w:tabs>
          <w:tab w:val="clear" w:pos="1134"/>
          <w:tab w:val="left" w:pos="1690"/>
        </w:tabs>
        <w:ind w:left="1701"/>
        <w:rPr>
          <w:rFonts w:hint="eastAsia"/>
          <w:lang w:val="es-ES"/>
        </w:rPr>
      </w:pPr>
      <w:r>
        <w:rPr>
          <w:rFonts w:hint="eastAsia"/>
          <w:lang w:val="es-ES"/>
        </w:rPr>
        <w:t>（……）“但值得警醒的是，当罪犯被捕时，本刑事诉讼案自动成立，这并不意味着本案必须要通过本庭审理作出判决方可结案，或者应当完整走一遍法律规定的诉讼流程，因为本案完全可以通过调解，由犯罪人向受害人支付损害赔偿（《刑事诉讼法》第</w:t>
      </w:r>
      <w:r>
        <w:rPr>
          <w:rFonts w:hint="eastAsia"/>
          <w:lang w:val="es-ES"/>
        </w:rPr>
        <w:t>76</w:t>
      </w:r>
      <w:r>
        <w:rPr>
          <w:rFonts w:hint="eastAsia"/>
          <w:lang w:val="es-ES"/>
        </w:rPr>
        <w:t>条），或者采用机会原则（</w:t>
      </w:r>
      <w:r>
        <w:rPr>
          <w:rFonts w:hint="eastAsia"/>
          <w:lang w:val="es-ES"/>
        </w:rPr>
        <w:t>2004</w:t>
      </w:r>
      <w:r>
        <w:rPr>
          <w:rFonts w:hint="eastAsia"/>
          <w:lang w:val="es-ES"/>
        </w:rPr>
        <w:t>年第</w:t>
      </w:r>
      <w:r>
        <w:rPr>
          <w:rFonts w:hint="eastAsia"/>
          <w:lang w:val="es-ES"/>
        </w:rPr>
        <w:t>906</w:t>
      </w:r>
      <w:r>
        <w:rPr>
          <w:rFonts w:hint="eastAsia"/>
          <w:lang w:val="es-ES"/>
        </w:rPr>
        <w:t>号法第</w:t>
      </w:r>
      <w:r>
        <w:rPr>
          <w:rFonts w:hint="eastAsia"/>
          <w:lang w:val="es-ES"/>
        </w:rPr>
        <w:t>321</w:t>
      </w:r>
      <w:r>
        <w:rPr>
          <w:rFonts w:hint="eastAsia"/>
          <w:lang w:val="es-ES"/>
        </w:rPr>
        <w:t>条及以后诸条）或撤销刑事指控（《刑事诉讼条例》第</w:t>
      </w:r>
      <w:r>
        <w:rPr>
          <w:rFonts w:hint="eastAsia"/>
          <w:lang w:val="es-ES"/>
        </w:rPr>
        <w:t>77</w:t>
      </w:r>
      <w:r>
        <w:rPr>
          <w:rFonts w:hint="eastAsia"/>
          <w:lang w:val="es-ES"/>
        </w:rPr>
        <w:t>条）提前结案。在这里，刑事诉讼程序对于检控方依职责立案或者应当事人起诉立案来说都是一致的，起诉是刑事案件的一项程序要求而非该犯罪行为的性质。”（……）</w:t>
      </w:r>
    </w:p>
    <w:p w:rsidR="00A83775" w:rsidRDefault="00A83775">
      <w:pPr>
        <w:pStyle w:val="SingleTxtGC"/>
        <w:tabs>
          <w:tab w:val="clear" w:pos="1134"/>
          <w:tab w:val="left" w:pos="1690"/>
          <w:tab w:val="left" w:pos="1820"/>
        </w:tabs>
        <w:ind w:left="1701"/>
        <w:rPr>
          <w:lang w:val="es-ES"/>
        </w:rPr>
      </w:pPr>
      <w:r>
        <w:rPr>
          <w:rFonts w:hint="eastAsia"/>
          <w:lang w:val="es-ES"/>
        </w:rPr>
        <w:t>（……）“我们不能忽视</w:t>
      </w:r>
      <w:r>
        <w:rPr>
          <w:rFonts w:hint="eastAsia"/>
          <w:lang w:val="es-ES"/>
        </w:rPr>
        <w:t>2008</w:t>
      </w:r>
      <w:r>
        <w:rPr>
          <w:rFonts w:hint="eastAsia"/>
          <w:lang w:val="es-ES"/>
        </w:rPr>
        <w:t>年第</w:t>
      </w:r>
      <w:r>
        <w:rPr>
          <w:rFonts w:hint="eastAsia"/>
          <w:lang w:val="es-ES"/>
        </w:rPr>
        <w:t>C-425</w:t>
      </w:r>
      <w:r>
        <w:rPr>
          <w:rFonts w:hint="eastAsia"/>
          <w:lang w:val="es-ES"/>
        </w:rPr>
        <w:t>号判决所构成的判例，有了这一先例，确实可以进行调解，始终秉承未成年人的利益和家庭这一社会基本核心对未成年人的保障高于一切的精神，认识到以儿童或青少年作为受害对象的犯罪行为应当由司法人员亲自审理，根据其特殊性以及在儿童和青少年法中所规定的原则（……），为此类案件制定专门的审理程序”（……）。</w:t>
      </w:r>
      <w:r>
        <w:rPr>
          <w:vertAlign w:val="superscript"/>
          <w:lang w:val="es-ES"/>
        </w:rPr>
        <w:footnoteReference w:id="211"/>
      </w:r>
      <w:r>
        <w:rPr>
          <w:lang w:val="es-ES"/>
        </w:rPr>
        <w:t xml:space="preserve"> </w:t>
      </w:r>
    </w:p>
    <w:p w:rsidR="00A83775" w:rsidRDefault="00A83775">
      <w:pPr>
        <w:pStyle w:val="SingleTxtGC"/>
        <w:rPr>
          <w:lang w:val="es-ES_tradnl"/>
        </w:rPr>
      </w:pPr>
      <w:r>
        <w:rPr>
          <w:lang w:val="es-ES_tradnl"/>
        </w:rPr>
        <w:t xml:space="preserve">635.  </w:t>
      </w:r>
      <w:r>
        <w:rPr>
          <w:rFonts w:hint="eastAsia"/>
          <w:lang w:val="es-ES_tradnl"/>
        </w:rPr>
        <w:t>在本条对应的附件</w:t>
      </w:r>
      <w:r>
        <w:rPr>
          <w:rFonts w:hint="eastAsia"/>
          <w:lang w:val="es-ES_tradnl"/>
        </w:rPr>
        <w:t>3</w:t>
      </w:r>
      <w:r>
        <w:rPr>
          <w:rFonts w:hint="eastAsia"/>
          <w:lang w:val="es-ES_tradnl"/>
        </w:rPr>
        <w:t>中载有这些判决书的全文。</w:t>
      </w:r>
    </w:p>
    <w:p w:rsidR="00A83775" w:rsidRDefault="00A83775">
      <w:pPr>
        <w:pStyle w:val="HChGC"/>
        <w:rPr>
          <w:lang w:val="es-ES_tradnl"/>
        </w:rPr>
      </w:pPr>
      <w:r>
        <w:rPr>
          <w:lang w:val="es-ES_tradnl"/>
        </w:rPr>
        <w:tab/>
      </w:r>
      <w:r>
        <w:rPr>
          <w:rFonts w:hint="eastAsia"/>
          <w:lang w:val="es-ES_tradnl"/>
        </w:rPr>
        <w:t>六</w:t>
      </w:r>
      <w:r>
        <w:rPr>
          <w:lang w:val="es-ES_tradnl"/>
        </w:rPr>
        <w:t>.</w:t>
      </w:r>
      <w:r>
        <w:rPr>
          <w:rFonts w:hint="eastAsia"/>
          <w:lang w:val="es-ES_tradnl"/>
        </w:rPr>
        <w:tab/>
      </w:r>
      <w:r>
        <w:rPr>
          <w:rFonts w:hint="eastAsia"/>
          <w:lang w:val="es-ES_tradnl"/>
        </w:rPr>
        <w:t>其他问题</w:t>
      </w:r>
    </w:p>
    <w:p w:rsidR="00A83775" w:rsidRDefault="00A83775">
      <w:pPr>
        <w:pStyle w:val="H1GC"/>
        <w:rPr>
          <w:lang w:val="es-ES_tradnl"/>
        </w:rPr>
      </w:pPr>
      <w:r>
        <w:rPr>
          <w:lang w:val="es-ES_tradnl"/>
        </w:rPr>
        <w:tab/>
        <w:t>A.</w:t>
      </w:r>
      <w:r>
        <w:rPr>
          <w:lang w:val="es-ES_tradnl"/>
        </w:rPr>
        <w:tab/>
      </w:r>
      <w:r>
        <w:rPr>
          <w:rFonts w:hint="eastAsia"/>
          <w:lang w:val="es-ES_tradnl"/>
        </w:rPr>
        <w:t>为消除暴力而采取的措施</w:t>
      </w:r>
      <w:r>
        <w:rPr>
          <w:lang w:val="es-ES_tradnl"/>
        </w:rPr>
        <w:t xml:space="preserve"> </w:t>
      </w:r>
    </w:p>
    <w:p w:rsidR="00A83775" w:rsidRDefault="00A83775">
      <w:pPr>
        <w:pStyle w:val="SingleTxtGC"/>
        <w:rPr>
          <w:rFonts w:hint="eastAsia"/>
          <w:lang w:val="es-ES_tradnl"/>
        </w:rPr>
      </w:pPr>
      <w:r>
        <w:rPr>
          <w:lang w:val="es-ES_tradnl"/>
        </w:rPr>
        <w:t xml:space="preserve">636.  </w:t>
      </w:r>
      <w:r>
        <w:rPr>
          <w:rFonts w:hint="eastAsia"/>
          <w:lang w:val="es-ES_tradnl"/>
        </w:rPr>
        <w:t>本条与委员会针对前几次报告提出的建议有关（</w:t>
      </w:r>
      <w:r>
        <w:rPr>
          <w:lang w:val="es-ES_tradnl"/>
        </w:rPr>
        <w:t>CEDAW/C/COL/CO/6</w:t>
      </w:r>
      <w:r>
        <w:rPr>
          <w:rFonts w:hint="eastAsia"/>
          <w:lang w:val="es-ES_tradnl"/>
        </w:rPr>
        <w:t>，第</w:t>
      </w:r>
      <w:r>
        <w:rPr>
          <w:rFonts w:hint="eastAsia"/>
          <w:lang w:val="es-ES_tradnl"/>
        </w:rPr>
        <w:t>11</w:t>
      </w:r>
      <w:r>
        <w:rPr>
          <w:rFonts w:hint="eastAsia"/>
          <w:lang w:val="es-ES_tradnl"/>
        </w:rPr>
        <w:t>段）。</w:t>
      </w:r>
    </w:p>
    <w:p w:rsidR="00A83775" w:rsidRDefault="00A83775">
      <w:pPr>
        <w:pStyle w:val="H23GC"/>
        <w:rPr>
          <w:lang w:val="es-ES_tradnl"/>
        </w:rPr>
      </w:pPr>
      <w:r>
        <w:rPr>
          <w:lang w:val="es-ES_tradnl"/>
        </w:rPr>
        <w:tab/>
        <w:t>1.</w:t>
      </w:r>
      <w:r>
        <w:rPr>
          <w:lang w:val="es-ES_tradnl"/>
        </w:rPr>
        <w:tab/>
      </w:r>
      <w:r>
        <w:rPr>
          <w:rFonts w:hint="eastAsia"/>
          <w:lang w:val="es-ES_tradnl"/>
        </w:rPr>
        <w:t>行政措施</w:t>
      </w:r>
      <w:r>
        <w:rPr>
          <w:lang w:val="es-ES_tradnl"/>
        </w:rPr>
        <w:t xml:space="preserve"> </w:t>
      </w:r>
    </w:p>
    <w:p w:rsidR="00A83775" w:rsidRDefault="00A83775">
      <w:pPr>
        <w:pStyle w:val="SingleTxtGC"/>
        <w:rPr>
          <w:bCs/>
          <w:lang w:val="es-CO"/>
        </w:rPr>
      </w:pPr>
      <w:r>
        <w:rPr>
          <w:bCs/>
          <w:lang w:val="es-ES"/>
        </w:rPr>
        <w:t xml:space="preserve">637.  </w:t>
      </w:r>
      <w:r>
        <w:rPr>
          <w:rFonts w:hint="eastAsia"/>
          <w:bCs/>
          <w:lang w:val="es-ES"/>
        </w:rPr>
        <w:t>国家高度重视民主安全政策，在</w:t>
      </w:r>
      <w:r>
        <w:rPr>
          <w:rFonts w:hint="eastAsia"/>
          <w:bCs/>
          <w:lang w:val="es-ES"/>
        </w:rPr>
        <w:t>2002-2006</w:t>
      </w:r>
      <w:r>
        <w:rPr>
          <w:rFonts w:hint="eastAsia"/>
          <w:bCs/>
          <w:lang w:val="es-ES"/>
        </w:rPr>
        <w:t>年期间制定并实施了这一政策并在</w:t>
      </w:r>
      <w:r>
        <w:rPr>
          <w:rFonts w:hint="eastAsia"/>
          <w:bCs/>
          <w:lang w:val="es-ES"/>
        </w:rPr>
        <w:t>2006-2010</w:t>
      </w:r>
      <w:r>
        <w:rPr>
          <w:rFonts w:hint="eastAsia"/>
          <w:bCs/>
          <w:lang w:val="es-ES"/>
        </w:rPr>
        <w:t>年期间加以巩固，并开发了若干战略（恢复领地、复员、变更征兵制并打击贩毒）来扭转</w:t>
      </w:r>
      <w:r>
        <w:rPr>
          <w:rFonts w:hint="eastAsia"/>
          <w:bCs/>
          <w:lang w:val="es-ES"/>
        </w:rPr>
        <w:t>1990</w:t>
      </w:r>
      <w:r>
        <w:rPr>
          <w:rFonts w:hint="eastAsia"/>
          <w:bCs/>
          <w:lang w:val="es-ES"/>
        </w:rPr>
        <w:t>年代末以来在人权和人道主义法主要指标方面的负面趋势，即意味着在人权问题上发生了积极的变化。</w:t>
      </w:r>
    </w:p>
    <w:p w:rsidR="00A83775" w:rsidRDefault="00A83775">
      <w:pPr>
        <w:pStyle w:val="SingleTxtGC"/>
        <w:rPr>
          <w:bCs/>
          <w:lang w:val="es-ES"/>
        </w:rPr>
      </w:pPr>
      <w:r>
        <w:rPr>
          <w:lang w:val="es-ES"/>
        </w:rPr>
        <w:t xml:space="preserve">638.  </w:t>
      </w:r>
      <w:r>
        <w:rPr>
          <w:rFonts w:hint="eastAsia"/>
          <w:lang w:val="es-ES"/>
        </w:rPr>
        <w:t>在</w:t>
      </w:r>
      <w:r>
        <w:rPr>
          <w:rFonts w:hint="eastAsia"/>
          <w:lang w:val="es-ES"/>
        </w:rPr>
        <w:t>2002-2009</w:t>
      </w:r>
      <w:r>
        <w:rPr>
          <w:rFonts w:hint="eastAsia"/>
          <w:lang w:val="es-ES"/>
        </w:rPr>
        <w:t>年期间，公共武装力量的基础得以大幅增长，警察和军队</w:t>
      </w:r>
      <w:r>
        <w:rPr>
          <w:vertAlign w:val="superscript"/>
          <w:lang w:val="es-ES"/>
        </w:rPr>
        <w:footnoteReference w:id="212"/>
      </w:r>
      <w:r>
        <w:rPr>
          <w:lang w:val="es-ES"/>
        </w:rPr>
        <w:t xml:space="preserve"> </w:t>
      </w:r>
      <w:r>
        <w:rPr>
          <w:rFonts w:hint="eastAsia"/>
          <w:lang w:val="es-ES"/>
        </w:rPr>
        <w:t>在编人员数量从</w:t>
      </w:r>
      <w:r>
        <w:rPr>
          <w:rFonts w:hint="eastAsia"/>
          <w:lang w:val="es-ES"/>
        </w:rPr>
        <w:t>313</w:t>
      </w:r>
      <w:r>
        <w:rPr>
          <w:lang w:val="es-ES"/>
        </w:rPr>
        <w:t>,</w:t>
      </w:r>
      <w:r>
        <w:rPr>
          <w:rFonts w:hint="eastAsia"/>
          <w:lang w:val="es-ES"/>
        </w:rPr>
        <w:t>406</w:t>
      </w:r>
      <w:r>
        <w:rPr>
          <w:rFonts w:hint="eastAsia"/>
          <w:lang w:val="es-ES"/>
        </w:rPr>
        <w:t>人增至</w:t>
      </w:r>
      <w:r>
        <w:rPr>
          <w:rFonts w:hint="eastAsia"/>
          <w:lang w:val="es-ES"/>
        </w:rPr>
        <w:t>437</w:t>
      </w:r>
      <w:r>
        <w:rPr>
          <w:lang w:val="es-ES"/>
        </w:rPr>
        <w:t>,</w:t>
      </w:r>
      <w:r>
        <w:rPr>
          <w:rFonts w:hint="eastAsia"/>
          <w:lang w:val="es-ES"/>
        </w:rPr>
        <w:t>584</w:t>
      </w:r>
      <w:r>
        <w:rPr>
          <w:rFonts w:hint="eastAsia"/>
          <w:lang w:val="es-ES"/>
        </w:rPr>
        <w:t>人，培养了一支尊重人权的坚定的武装力量。</w:t>
      </w:r>
      <w:r>
        <w:rPr>
          <w:vertAlign w:val="superscript"/>
          <w:lang w:val="es-ES"/>
        </w:rPr>
        <w:footnoteReference w:id="213"/>
      </w:r>
      <w:r>
        <w:rPr>
          <w:rFonts w:hint="eastAsia"/>
          <w:lang w:val="es-ES"/>
        </w:rPr>
        <w:t xml:space="preserve"> </w:t>
      </w:r>
      <w:r>
        <w:rPr>
          <w:rFonts w:hint="eastAsia"/>
          <w:lang w:val="es-ES"/>
        </w:rPr>
        <w:t>国土的逐步恢复以及政府武装力量切实体现在国内超过</w:t>
      </w:r>
      <w:r>
        <w:rPr>
          <w:rFonts w:hint="eastAsia"/>
          <w:lang w:val="es-ES"/>
        </w:rPr>
        <w:t>1</w:t>
      </w:r>
      <w:r>
        <w:rPr>
          <w:lang w:val="es-ES"/>
        </w:rPr>
        <w:t>,</w:t>
      </w:r>
      <w:r>
        <w:rPr>
          <w:rFonts w:hint="eastAsia"/>
          <w:lang w:val="es-ES"/>
        </w:rPr>
        <w:t>100</w:t>
      </w:r>
      <w:r>
        <w:rPr>
          <w:rFonts w:hint="eastAsia"/>
          <w:lang w:val="es-ES"/>
        </w:rPr>
        <w:t>个市镇纷纷设立了正规警察机关并使武装部队实现了职业化和高效率，</w:t>
      </w:r>
      <w:r>
        <w:rPr>
          <w:rFonts w:hint="eastAsia"/>
          <w:lang w:val="es-ES"/>
        </w:rPr>
        <w:t>17</w:t>
      </w:r>
      <w:r>
        <w:rPr>
          <w:rFonts w:hint="eastAsia"/>
          <w:lang w:val="es-ES"/>
        </w:rPr>
        <w:t>支公共武装力量正通过弱化非正规军的结构来逐步将其收编入正规军。在武装冲突的爆发频率上，从</w:t>
      </w:r>
      <w:r>
        <w:rPr>
          <w:rFonts w:hint="eastAsia"/>
          <w:lang w:val="es-ES"/>
        </w:rPr>
        <w:t>2002-2005</w:t>
      </w:r>
      <w:r>
        <w:rPr>
          <w:rFonts w:hint="eastAsia"/>
          <w:lang w:val="es-ES"/>
        </w:rPr>
        <w:t>年期间的</w:t>
      </w:r>
      <w:r>
        <w:rPr>
          <w:rFonts w:hint="eastAsia"/>
          <w:lang w:val="es-ES"/>
        </w:rPr>
        <w:t>4</w:t>
      </w:r>
      <w:r>
        <w:rPr>
          <w:lang w:val="es-ES"/>
        </w:rPr>
        <w:t>,</w:t>
      </w:r>
      <w:r>
        <w:rPr>
          <w:rFonts w:hint="eastAsia"/>
          <w:lang w:val="es-ES"/>
        </w:rPr>
        <w:t>680</w:t>
      </w:r>
      <w:r>
        <w:rPr>
          <w:rFonts w:hint="eastAsia"/>
          <w:lang w:val="es-ES"/>
        </w:rPr>
        <w:t>次武装行动和</w:t>
      </w:r>
      <w:r>
        <w:rPr>
          <w:rFonts w:hint="eastAsia"/>
          <w:lang w:val="es-ES"/>
        </w:rPr>
        <w:t>6</w:t>
      </w:r>
      <w:r>
        <w:rPr>
          <w:lang w:val="es-ES"/>
        </w:rPr>
        <w:t>,</w:t>
      </w:r>
      <w:r>
        <w:rPr>
          <w:rFonts w:hint="eastAsia"/>
          <w:lang w:val="es-ES"/>
        </w:rPr>
        <w:t>540</w:t>
      </w:r>
      <w:r>
        <w:rPr>
          <w:rFonts w:hint="eastAsia"/>
          <w:lang w:val="es-ES"/>
        </w:rPr>
        <w:t>起武力对抗降至</w:t>
      </w:r>
      <w:r>
        <w:rPr>
          <w:rFonts w:hint="eastAsia"/>
          <w:lang w:val="es-ES"/>
        </w:rPr>
        <w:t>2006-2009</w:t>
      </w:r>
      <w:r>
        <w:rPr>
          <w:rFonts w:hint="eastAsia"/>
          <w:lang w:val="es-ES"/>
        </w:rPr>
        <w:t>年期间的</w:t>
      </w:r>
      <w:r>
        <w:rPr>
          <w:rFonts w:hint="eastAsia"/>
          <w:lang w:val="es-ES"/>
        </w:rPr>
        <w:t>2</w:t>
      </w:r>
      <w:r>
        <w:rPr>
          <w:lang w:val="es-ES"/>
        </w:rPr>
        <w:t>,</w:t>
      </w:r>
      <w:r>
        <w:rPr>
          <w:rFonts w:hint="eastAsia"/>
          <w:lang w:val="es-ES"/>
        </w:rPr>
        <w:t>548</w:t>
      </w:r>
      <w:r>
        <w:rPr>
          <w:rFonts w:hint="eastAsia"/>
          <w:lang w:val="es-ES"/>
        </w:rPr>
        <w:t>次武装行动和</w:t>
      </w:r>
      <w:r>
        <w:rPr>
          <w:rFonts w:hint="eastAsia"/>
          <w:lang w:val="es-ES"/>
        </w:rPr>
        <w:t>4</w:t>
      </w:r>
      <w:r>
        <w:rPr>
          <w:lang w:val="es-ES"/>
        </w:rPr>
        <w:t>,</w:t>
      </w:r>
      <w:r>
        <w:rPr>
          <w:rFonts w:hint="eastAsia"/>
          <w:lang w:val="es-ES"/>
        </w:rPr>
        <w:t>827</w:t>
      </w:r>
      <w:r>
        <w:rPr>
          <w:rFonts w:hint="eastAsia"/>
          <w:lang w:val="es-ES"/>
        </w:rPr>
        <w:t>次武力对抗。在这两个四年期中武力对抗事件的减少是实施民主安全政策，在军队中开展爱国和保卫和平计划，逐步瓦解非法武装团体的破坏能力，尤其是游击队的破坏能力的结果；这一工作仍需继续开展。</w:t>
      </w:r>
      <w:r>
        <w:rPr>
          <w:bCs/>
          <w:vertAlign w:val="superscript"/>
          <w:lang w:val="es-ES"/>
        </w:rPr>
        <w:footnoteReference w:id="214"/>
      </w:r>
    </w:p>
    <w:p w:rsidR="00A83775" w:rsidRDefault="00A83775">
      <w:pPr>
        <w:pStyle w:val="SingleTxtGC"/>
        <w:rPr>
          <w:lang w:val="zh-CN"/>
        </w:rPr>
      </w:pPr>
      <w:r>
        <w:rPr>
          <w:bCs/>
          <w:lang w:val="es-ES"/>
        </w:rPr>
        <w:t xml:space="preserve">639.  </w:t>
      </w:r>
      <w:r>
        <w:rPr>
          <w:rFonts w:hint="eastAsia"/>
          <w:bCs/>
          <w:lang w:val="es-ES"/>
        </w:rPr>
        <w:t>在凶杀事件方面，</w:t>
      </w:r>
      <w:r>
        <w:rPr>
          <w:rFonts w:hint="eastAsia"/>
          <w:bCs/>
          <w:lang w:val="es-ES"/>
        </w:rPr>
        <w:t>2002-2009</w:t>
      </w:r>
      <w:r>
        <w:rPr>
          <w:rFonts w:hint="eastAsia"/>
          <w:bCs/>
          <w:lang w:val="es-ES"/>
        </w:rPr>
        <w:t>年期间凶杀案件数量呈现出下降趋势，达到</w:t>
      </w:r>
      <w:r>
        <w:rPr>
          <w:rFonts w:hint="eastAsia"/>
          <w:bCs/>
          <w:lang w:val="es-ES"/>
        </w:rPr>
        <w:t>1990</w:t>
      </w:r>
      <w:r>
        <w:rPr>
          <w:rFonts w:hint="eastAsia"/>
          <w:bCs/>
          <w:lang w:val="es-ES"/>
        </w:rPr>
        <w:t>年以</w:t>
      </w:r>
      <w:r>
        <w:rPr>
          <w:rFonts w:hint="eastAsia"/>
          <w:lang w:val="zh-CN"/>
        </w:rPr>
        <w:t>来的最低水平，这从一定程度上要归功于国家治安力量的提升和自卫团体的解散。</w:t>
      </w:r>
    </w:p>
    <w:p w:rsidR="00A83775" w:rsidRDefault="00A83775">
      <w:pPr>
        <w:pStyle w:val="SingleTxtGC"/>
        <w:rPr>
          <w:rFonts w:hint="eastAsia"/>
          <w:lang w:val="zh-CN"/>
        </w:rPr>
      </w:pPr>
      <w:r>
        <w:rPr>
          <w:lang w:val="zh-CN"/>
        </w:rPr>
        <w:t xml:space="preserve">640.  </w:t>
      </w:r>
      <w:r>
        <w:rPr>
          <w:rFonts w:hint="eastAsia"/>
          <w:lang w:val="zh-CN"/>
        </w:rPr>
        <w:t>2002</w:t>
      </w:r>
      <w:r>
        <w:rPr>
          <w:rFonts w:hint="eastAsia"/>
          <w:lang w:val="zh-CN"/>
        </w:rPr>
        <w:t>年是十多年来凶杀事件最高发的年份，这一年有</w:t>
      </w:r>
      <w:r>
        <w:rPr>
          <w:rFonts w:hint="eastAsia"/>
          <w:lang w:val="zh-CN"/>
        </w:rPr>
        <w:t>28</w:t>
      </w:r>
      <w:r>
        <w:t>,</w:t>
      </w:r>
      <w:r>
        <w:rPr>
          <w:rFonts w:hint="eastAsia"/>
          <w:lang w:val="zh-CN"/>
        </w:rPr>
        <w:t>775</w:t>
      </w:r>
      <w:r>
        <w:rPr>
          <w:rFonts w:hint="eastAsia"/>
          <w:lang w:val="zh-CN"/>
        </w:rPr>
        <w:t>人被害。到</w:t>
      </w:r>
      <w:r>
        <w:rPr>
          <w:rFonts w:hint="eastAsia"/>
          <w:lang w:val="zh-CN"/>
        </w:rPr>
        <w:t>2009</w:t>
      </w:r>
      <w:r>
        <w:rPr>
          <w:rFonts w:hint="eastAsia"/>
          <w:lang w:val="zh-CN"/>
        </w:rPr>
        <w:t>年，被害人数为</w:t>
      </w:r>
      <w:r>
        <w:rPr>
          <w:rFonts w:hint="eastAsia"/>
          <w:lang w:val="zh-CN"/>
        </w:rPr>
        <w:t>15</w:t>
      </w:r>
      <w:r>
        <w:t>,</w:t>
      </w:r>
      <w:r>
        <w:rPr>
          <w:rFonts w:hint="eastAsia"/>
          <w:lang w:val="zh-CN"/>
        </w:rPr>
        <w:t>817</w:t>
      </w:r>
      <w:r>
        <w:rPr>
          <w:rFonts w:hint="eastAsia"/>
          <w:lang w:val="zh-CN"/>
        </w:rPr>
        <w:t>人，这表明在打击这一犯罪活动方面有了积极的进步，凶杀事件发生率下降了</w:t>
      </w:r>
      <w:r>
        <w:rPr>
          <w:rFonts w:hint="eastAsia"/>
          <w:lang w:val="zh-CN"/>
        </w:rPr>
        <w:t>45%</w:t>
      </w:r>
      <w:r>
        <w:rPr>
          <w:rFonts w:hint="eastAsia"/>
          <w:lang w:val="zh-CN"/>
        </w:rPr>
        <w:t>。</w:t>
      </w:r>
      <w:r>
        <w:rPr>
          <w:vertAlign w:val="superscript"/>
          <w:lang w:val="zh-CN"/>
        </w:rPr>
        <w:footnoteReference w:id="215"/>
      </w:r>
    </w:p>
    <w:p w:rsidR="00A83775" w:rsidRDefault="00A83775">
      <w:pPr>
        <w:pStyle w:val="SingleTxtGC"/>
        <w:rPr>
          <w:lang w:val="es-ES"/>
        </w:rPr>
      </w:pPr>
      <w:r>
        <w:rPr>
          <w:lang w:val="zh-CN"/>
        </w:rPr>
        <w:t xml:space="preserve">641.  </w:t>
      </w:r>
      <w:r>
        <w:rPr>
          <w:rFonts w:hint="eastAsia"/>
          <w:lang w:val="zh-CN"/>
        </w:rPr>
        <w:t>在前文中提到的共和国副总统府人权和人道主义法总统方案组的人权观察站的报告</w:t>
      </w:r>
      <w:r>
        <w:rPr>
          <w:rFonts w:hint="eastAsia"/>
          <w:spacing w:val="-50"/>
          <w:lang w:val="es-ES"/>
        </w:rPr>
        <w:t>―</w:t>
      </w:r>
      <w:r>
        <w:rPr>
          <w:rFonts w:hint="eastAsia"/>
          <w:lang w:val="es-ES"/>
        </w:rPr>
        <w:t>―</w:t>
      </w:r>
      <w:r>
        <w:rPr>
          <w:rFonts w:hint="eastAsia"/>
          <w:lang w:val="zh-CN"/>
        </w:rPr>
        <w:t>《对</w:t>
      </w:r>
      <w:r>
        <w:rPr>
          <w:rFonts w:hint="eastAsia"/>
          <w:lang w:val="zh-CN"/>
        </w:rPr>
        <w:t>2003-2009</w:t>
      </w:r>
      <w:r>
        <w:rPr>
          <w:rFonts w:hint="eastAsia"/>
          <w:lang w:val="zh-CN"/>
        </w:rPr>
        <w:t>年期间对妇女的暴力侵害状况的初步探索》中指出，这一时期登记在案的凶杀事件共计</w:t>
      </w:r>
      <w:r>
        <w:rPr>
          <w:rFonts w:hint="eastAsia"/>
          <w:lang w:val="zh-CN"/>
        </w:rPr>
        <w:t>128</w:t>
      </w:r>
      <w:r>
        <w:t>,</w:t>
      </w:r>
      <w:r>
        <w:rPr>
          <w:rFonts w:hint="eastAsia"/>
          <w:lang w:val="zh-CN"/>
        </w:rPr>
        <w:t>478</w:t>
      </w:r>
      <w:r>
        <w:rPr>
          <w:rFonts w:hint="eastAsia"/>
          <w:lang w:val="zh-CN"/>
        </w:rPr>
        <w:t>起，其中</w:t>
      </w:r>
      <w:r>
        <w:rPr>
          <w:rFonts w:hint="eastAsia"/>
          <w:lang w:val="zh-CN"/>
        </w:rPr>
        <w:t>91.99%</w:t>
      </w:r>
      <w:r>
        <w:rPr>
          <w:rFonts w:hint="eastAsia"/>
          <w:lang w:val="zh-CN"/>
        </w:rPr>
        <w:t>的被害人为男性（</w:t>
      </w:r>
      <w:r>
        <w:rPr>
          <w:rFonts w:hint="eastAsia"/>
          <w:lang w:val="zh-CN"/>
        </w:rPr>
        <w:t>118</w:t>
      </w:r>
      <w:r>
        <w:t>,</w:t>
      </w:r>
      <w:r>
        <w:rPr>
          <w:rFonts w:hint="eastAsia"/>
          <w:lang w:val="zh-CN"/>
        </w:rPr>
        <w:t>059</w:t>
      </w:r>
      <w:r>
        <w:rPr>
          <w:rFonts w:hint="eastAsia"/>
          <w:lang w:val="zh-CN"/>
        </w:rPr>
        <w:t>人），</w:t>
      </w:r>
      <w:r>
        <w:rPr>
          <w:rFonts w:hint="eastAsia"/>
          <w:lang w:val="zh-CN"/>
        </w:rPr>
        <w:t>8%</w:t>
      </w:r>
      <w:r>
        <w:rPr>
          <w:rFonts w:hint="eastAsia"/>
          <w:bCs/>
          <w:lang w:val="es-ES"/>
        </w:rPr>
        <w:t>为女性（</w:t>
      </w:r>
      <w:r>
        <w:rPr>
          <w:rFonts w:hint="eastAsia"/>
          <w:bCs/>
          <w:lang w:val="es-ES"/>
        </w:rPr>
        <w:t>10</w:t>
      </w:r>
      <w:r>
        <w:rPr>
          <w:bCs/>
          <w:lang w:val="es-ES"/>
        </w:rPr>
        <w:t>,</w:t>
      </w:r>
      <w:r>
        <w:rPr>
          <w:rFonts w:hint="eastAsia"/>
          <w:bCs/>
          <w:lang w:val="es-ES"/>
        </w:rPr>
        <w:t>285</w:t>
      </w:r>
      <w:r>
        <w:rPr>
          <w:rFonts w:hint="eastAsia"/>
          <w:bCs/>
          <w:lang w:val="es-ES"/>
        </w:rPr>
        <w:t>人）。</w:t>
      </w:r>
      <w:r>
        <w:rPr>
          <w:vertAlign w:val="superscript"/>
          <w:lang w:val="es-ES"/>
        </w:rPr>
        <w:footnoteReference w:id="216"/>
      </w:r>
      <w:r>
        <w:rPr>
          <w:bCs/>
          <w:lang w:val="es-ES"/>
        </w:rPr>
        <w:t xml:space="preserve"> </w:t>
      </w:r>
      <w:r>
        <w:rPr>
          <w:rFonts w:hint="eastAsia"/>
          <w:bCs/>
          <w:lang w:val="es-ES"/>
        </w:rPr>
        <w:t>在被害人为女性的凶杀案件中，在这七年的研究期内可以看出下降趋势，被害妇女数量从</w:t>
      </w:r>
      <w:r>
        <w:rPr>
          <w:rFonts w:hint="eastAsia"/>
          <w:bCs/>
          <w:lang w:val="es-ES"/>
        </w:rPr>
        <w:t>2003</w:t>
      </w:r>
      <w:r>
        <w:rPr>
          <w:rFonts w:hint="eastAsia"/>
          <w:bCs/>
          <w:lang w:val="es-ES"/>
        </w:rPr>
        <w:t>年的</w:t>
      </w:r>
      <w:r>
        <w:rPr>
          <w:rFonts w:hint="eastAsia"/>
          <w:bCs/>
          <w:lang w:val="es-ES"/>
        </w:rPr>
        <w:t>1</w:t>
      </w:r>
      <w:r>
        <w:rPr>
          <w:bCs/>
          <w:lang w:val="es-ES"/>
        </w:rPr>
        <w:t>,</w:t>
      </w:r>
      <w:r>
        <w:rPr>
          <w:rFonts w:hint="eastAsia"/>
          <w:bCs/>
          <w:lang w:val="es-ES"/>
        </w:rPr>
        <w:t>931</w:t>
      </w:r>
      <w:r>
        <w:rPr>
          <w:rFonts w:hint="eastAsia"/>
          <w:bCs/>
          <w:lang w:val="es-ES"/>
        </w:rPr>
        <w:t>人降至</w:t>
      </w:r>
      <w:r>
        <w:rPr>
          <w:rFonts w:hint="eastAsia"/>
          <w:bCs/>
          <w:lang w:val="es-ES"/>
        </w:rPr>
        <w:t>2009</w:t>
      </w:r>
      <w:r>
        <w:rPr>
          <w:rFonts w:hint="eastAsia"/>
          <w:bCs/>
          <w:lang w:val="es-ES"/>
        </w:rPr>
        <w:t>年的</w:t>
      </w:r>
      <w:r>
        <w:rPr>
          <w:rFonts w:hint="eastAsia"/>
          <w:bCs/>
          <w:lang w:val="es-ES"/>
        </w:rPr>
        <w:t>1</w:t>
      </w:r>
      <w:r>
        <w:rPr>
          <w:bCs/>
          <w:lang w:val="es-ES"/>
        </w:rPr>
        <w:t>,</w:t>
      </w:r>
      <w:r>
        <w:rPr>
          <w:rFonts w:hint="eastAsia"/>
          <w:bCs/>
          <w:lang w:val="es-ES"/>
        </w:rPr>
        <w:t>261</w:t>
      </w:r>
      <w:r>
        <w:rPr>
          <w:rFonts w:hint="eastAsia"/>
          <w:bCs/>
          <w:lang w:val="es-ES"/>
        </w:rPr>
        <w:t>人，下降了</w:t>
      </w:r>
      <w:r>
        <w:rPr>
          <w:rFonts w:hint="eastAsia"/>
          <w:bCs/>
          <w:lang w:val="es-ES"/>
        </w:rPr>
        <w:t>34%</w:t>
      </w:r>
      <w:r>
        <w:rPr>
          <w:rFonts w:hint="eastAsia"/>
          <w:bCs/>
          <w:lang w:val="es-ES"/>
        </w:rPr>
        <w:t>。在研究期内女性被害者比例最高的年份为</w:t>
      </w:r>
      <w:r>
        <w:rPr>
          <w:rFonts w:hint="eastAsia"/>
          <w:bCs/>
          <w:lang w:val="es-ES"/>
        </w:rPr>
        <w:t>2003</w:t>
      </w:r>
      <w:r>
        <w:rPr>
          <w:rFonts w:hint="eastAsia"/>
          <w:bCs/>
          <w:lang w:val="es-ES"/>
        </w:rPr>
        <w:t>年，当年女性</w:t>
      </w:r>
      <w:r>
        <w:rPr>
          <w:rFonts w:hint="eastAsia"/>
          <w:lang w:val="es-ES"/>
        </w:rPr>
        <w:t>被害者占到</w:t>
      </w:r>
      <w:r>
        <w:rPr>
          <w:rFonts w:hint="eastAsia"/>
          <w:lang w:val="es-ES"/>
        </w:rPr>
        <w:t>8.2%</w:t>
      </w:r>
      <w:r>
        <w:rPr>
          <w:rFonts w:hint="eastAsia"/>
          <w:lang w:val="es-ES"/>
        </w:rPr>
        <w:t>。</w:t>
      </w:r>
    </w:p>
    <w:p w:rsidR="00A83775" w:rsidRDefault="00A83775">
      <w:pPr>
        <w:pStyle w:val="SingleTxtGC"/>
        <w:rPr>
          <w:lang w:val="es-ES"/>
        </w:rPr>
      </w:pPr>
      <w:r>
        <w:rPr>
          <w:lang w:val="es-ES"/>
        </w:rPr>
        <w:t xml:space="preserve">642.  </w:t>
      </w:r>
      <w:r>
        <w:rPr>
          <w:rFonts w:hint="eastAsia"/>
          <w:lang w:val="es-ES"/>
        </w:rPr>
        <w:t>在这一报告所选取的七年的分析期中，共计有</w:t>
      </w:r>
      <w:r>
        <w:rPr>
          <w:rFonts w:hint="eastAsia"/>
          <w:lang w:val="es-ES"/>
        </w:rPr>
        <w:t>1</w:t>
      </w:r>
      <w:r>
        <w:rPr>
          <w:lang w:val="es-ES"/>
        </w:rPr>
        <w:t>,</w:t>
      </w:r>
      <w:r>
        <w:rPr>
          <w:rFonts w:hint="eastAsia"/>
          <w:lang w:val="es-ES"/>
        </w:rPr>
        <w:t>656</w:t>
      </w:r>
      <w:r>
        <w:rPr>
          <w:rFonts w:hint="eastAsia"/>
          <w:lang w:val="es-ES"/>
        </w:rPr>
        <w:t>名被害人死于大屠杀，其中</w:t>
      </w:r>
      <w:r>
        <w:rPr>
          <w:rFonts w:hint="eastAsia"/>
          <w:lang w:val="es-ES"/>
        </w:rPr>
        <w:t>86%</w:t>
      </w:r>
      <w:r>
        <w:rPr>
          <w:rFonts w:hint="eastAsia"/>
          <w:lang w:val="es-ES"/>
        </w:rPr>
        <w:t>（</w:t>
      </w:r>
      <w:r>
        <w:rPr>
          <w:rFonts w:hint="eastAsia"/>
          <w:lang w:val="es-ES"/>
        </w:rPr>
        <w:t>1</w:t>
      </w:r>
      <w:r>
        <w:rPr>
          <w:lang w:val="es-ES"/>
        </w:rPr>
        <w:t>,</w:t>
      </w:r>
      <w:r>
        <w:rPr>
          <w:rFonts w:hint="eastAsia"/>
          <w:lang w:val="es-ES"/>
        </w:rPr>
        <w:t>429</w:t>
      </w:r>
      <w:r>
        <w:rPr>
          <w:rFonts w:hint="eastAsia"/>
          <w:lang w:val="es-ES"/>
        </w:rPr>
        <w:t>人）为男性，</w:t>
      </w:r>
      <w:r>
        <w:rPr>
          <w:rFonts w:hint="eastAsia"/>
          <w:lang w:val="es-ES"/>
        </w:rPr>
        <w:t>13.98%</w:t>
      </w:r>
      <w:r>
        <w:rPr>
          <w:rFonts w:hint="eastAsia"/>
          <w:lang w:val="es-ES"/>
        </w:rPr>
        <w:t>（</w:t>
      </w:r>
      <w:r>
        <w:rPr>
          <w:rFonts w:hint="eastAsia"/>
          <w:lang w:val="es-ES"/>
        </w:rPr>
        <w:t>217</w:t>
      </w:r>
      <w:r>
        <w:rPr>
          <w:rFonts w:hint="eastAsia"/>
          <w:lang w:val="es-ES"/>
        </w:rPr>
        <w:t>人）为女性；在这方面，必须要说明的是，还有</w:t>
      </w:r>
      <w:r>
        <w:rPr>
          <w:rFonts w:hint="eastAsia"/>
          <w:lang w:val="es-ES"/>
        </w:rPr>
        <w:t>41</w:t>
      </w:r>
      <w:r>
        <w:rPr>
          <w:rFonts w:hint="eastAsia"/>
          <w:lang w:val="es-ES"/>
        </w:rPr>
        <w:t>起案件（</w:t>
      </w:r>
      <w:r>
        <w:rPr>
          <w:rFonts w:hint="eastAsia"/>
          <w:lang w:val="es-ES"/>
        </w:rPr>
        <w:t>0.02%</w:t>
      </w:r>
      <w:r>
        <w:rPr>
          <w:rFonts w:hint="eastAsia"/>
          <w:lang w:val="es-ES"/>
        </w:rPr>
        <w:t>）并没有与被害人性别有关的信息。</w:t>
      </w:r>
    </w:p>
    <w:p w:rsidR="00A83775" w:rsidRDefault="00A83775">
      <w:pPr>
        <w:pStyle w:val="SingleTxtGC"/>
        <w:rPr>
          <w:lang w:val="zh-CN"/>
        </w:rPr>
      </w:pPr>
      <w:r>
        <w:rPr>
          <w:lang w:val="es-ES"/>
        </w:rPr>
        <w:t xml:space="preserve">643.  </w:t>
      </w:r>
      <w:r>
        <w:rPr>
          <w:rFonts w:hint="eastAsia"/>
          <w:lang w:val="es-ES"/>
        </w:rPr>
        <w:t>在绑架案方面，根据人权观察站的文件，</w:t>
      </w:r>
      <w:r>
        <w:rPr>
          <w:rFonts w:hint="eastAsia"/>
          <w:lang w:val="es-ES"/>
        </w:rPr>
        <w:t>2003-2009</w:t>
      </w:r>
      <w:r>
        <w:rPr>
          <w:rFonts w:hint="eastAsia"/>
          <w:lang w:val="es-ES"/>
        </w:rPr>
        <w:t>年期间哥伦比亚共发生了</w:t>
      </w:r>
      <w:r>
        <w:rPr>
          <w:rFonts w:hint="eastAsia"/>
          <w:lang w:val="es-ES"/>
        </w:rPr>
        <w:t>6</w:t>
      </w:r>
      <w:r>
        <w:rPr>
          <w:lang w:val="es-ES"/>
        </w:rPr>
        <w:t>,</w:t>
      </w:r>
      <w:r>
        <w:rPr>
          <w:rFonts w:hint="eastAsia"/>
          <w:lang w:val="es-ES"/>
        </w:rPr>
        <w:t>219</w:t>
      </w:r>
      <w:r>
        <w:rPr>
          <w:rFonts w:hint="eastAsia"/>
          <w:lang w:val="es-ES"/>
        </w:rPr>
        <w:t>起绑架案，其中</w:t>
      </w:r>
      <w:r>
        <w:rPr>
          <w:rFonts w:hint="eastAsia"/>
          <w:lang w:val="es-ES"/>
        </w:rPr>
        <w:t>76%</w:t>
      </w:r>
      <w:r>
        <w:rPr>
          <w:rFonts w:hint="eastAsia"/>
          <w:lang w:val="es-ES"/>
        </w:rPr>
        <w:t>（</w:t>
      </w:r>
      <w:r>
        <w:rPr>
          <w:rFonts w:hint="eastAsia"/>
          <w:lang w:val="es-ES"/>
        </w:rPr>
        <w:t>4</w:t>
      </w:r>
      <w:r>
        <w:rPr>
          <w:lang w:val="es-ES"/>
        </w:rPr>
        <w:t>,</w:t>
      </w:r>
      <w:r>
        <w:rPr>
          <w:rFonts w:hint="eastAsia"/>
          <w:lang w:val="es-ES"/>
        </w:rPr>
        <w:t>738</w:t>
      </w:r>
      <w:r>
        <w:rPr>
          <w:rFonts w:hint="eastAsia"/>
          <w:lang w:val="es-ES"/>
        </w:rPr>
        <w:t>起）的受害人为男性，其余</w:t>
      </w:r>
      <w:r>
        <w:rPr>
          <w:rFonts w:hint="eastAsia"/>
          <w:lang w:val="es-ES"/>
        </w:rPr>
        <w:t>24%</w:t>
      </w:r>
      <w:r>
        <w:rPr>
          <w:rFonts w:hint="eastAsia"/>
          <w:lang w:val="es-ES"/>
        </w:rPr>
        <w:t>（</w:t>
      </w:r>
      <w:r>
        <w:rPr>
          <w:rFonts w:hint="eastAsia"/>
          <w:lang w:val="es-ES"/>
        </w:rPr>
        <w:t>1</w:t>
      </w:r>
      <w:r>
        <w:rPr>
          <w:lang w:val="es-ES"/>
        </w:rPr>
        <w:t>,</w:t>
      </w:r>
      <w:r>
        <w:rPr>
          <w:rFonts w:hint="eastAsia"/>
          <w:lang w:val="es-ES"/>
        </w:rPr>
        <w:t>481</w:t>
      </w:r>
      <w:r>
        <w:rPr>
          <w:rFonts w:hint="eastAsia"/>
          <w:lang w:val="es-ES"/>
        </w:rPr>
        <w:t>起）</w:t>
      </w:r>
      <w:r>
        <w:rPr>
          <w:rFonts w:hint="eastAsia"/>
          <w:lang w:val="zh-CN"/>
        </w:rPr>
        <w:t>的受害人为女性。从总体上看，这一时期绑架案件发生率呈现下降趋势；在这方面，如果将</w:t>
      </w:r>
      <w:r>
        <w:rPr>
          <w:rFonts w:hint="eastAsia"/>
          <w:lang w:val="zh-CN"/>
        </w:rPr>
        <w:t>2009</w:t>
      </w:r>
      <w:r>
        <w:rPr>
          <w:rFonts w:hint="eastAsia"/>
          <w:lang w:val="zh-CN"/>
        </w:rPr>
        <w:t>年的被绑架妇女人数与</w:t>
      </w:r>
      <w:r>
        <w:rPr>
          <w:rFonts w:hint="eastAsia"/>
          <w:lang w:val="zh-CN"/>
        </w:rPr>
        <w:t>2003</w:t>
      </w:r>
      <w:r>
        <w:rPr>
          <w:rFonts w:hint="eastAsia"/>
          <w:lang w:val="zh-CN"/>
        </w:rPr>
        <w:t>年的人数进行对比就可以发现，受害人数减少了</w:t>
      </w:r>
      <w:r>
        <w:rPr>
          <w:rFonts w:hint="eastAsia"/>
          <w:lang w:val="zh-CN"/>
        </w:rPr>
        <w:t>90%</w:t>
      </w:r>
      <w:r>
        <w:rPr>
          <w:rFonts w:hint="eastAsia"/>
          <w:lang w:val="zh-CN"/>
        </w:rPr>
        <w:t>，从</w:t>
      </w:r>
      <w:r>
        <w:rPr>
          <w:rFonts w:hint="eastAsia"/>
          <w:lang w:val="zh-CN"/>
        </w:rPr>
        <w:t>464</w:t>
      </w:r>
      <w:r>
        <w:rPr>
          <w:rFonts w:hint="eastAsia"/>
          <w:lang w:val="zh-CN"/>
        </w:rPr>
        <w:t>人降至</w:t>
      </w:r>
      <w:r>
        <w:rPr>
          <w:rFonts w:hint="eastAsia"/>
          <w:lang w:val="zh-CN"/>
        </w:rPr>
        <w:t>46</w:t>
      </w:r>
      <w:r>
        <w:rPr>
          <w:rFonts w:hint="eastAsia"/>
          <w:lang w:val="zh-CN"/>
        </w:rPr>
        <w:t>人。</w:t>
      </w:r>
    </w:p>
    <w:p w:rsidR="00A83775" w:rsidRDefault="00A83775">
      <w:pPr>
        <w:pStyle w:val="SingleTxtGC"/>
        <w:rPr>
          <w:lang w:val="zh-CN"/>
        </w:rPr>
      </w:pPr>
      <w:r>
        <w:rPr>
          <w:lang w:val="zh-CN"/>
        </w:rPr>
        <w:t xml:space="preserve">644.  </w:t>
      </w:r>
      <w:r>
        <w:rPr>
          <w:rFonts w:hint="eastAsia"/>
          <w:lang w:val="zh-CN"/>
        </w:rPr>
        <w:t>关于地方官员、工会领袖、社会和社区女领袖遭杀害的情况，请参见缔约国在本报告中对《公约》第七条的执行情况的有关内容。</w:t>
      </w:r>
    </w:p>
    <w:p w:rsidR="00A83775" w:rsidRDefault="00A83775">
      <w:pPr>
        <w:pStyle w:val="SingleTxtGC"/>
      </w:pPr>
      <w:r>
        <w:rPr>
          <w:lang w:val="zh-CN"/>
        </w:rPr>
        <w:t xml:space="preserve">645.  </w:t>
      </w:r>
      <w:r>
        <w:rPr>
          <w:rFonts w:hint="eastAsia"/>
          <w:lang w:val="zh-CN"/>
        </w:rPr>
        <w:t>上文提到的数字向我们展示出，由于民主安全政策的推行和强化落实，近年来国内的暴力事件已有所减少，公民安全保障得以大幅度提高。</w:t>
      </w:r>
    </w:p>
    <w:p w:rsidR="00A83775" w:rsidRDefault="00A83775">
      <w:pPr>
        <w:pStyle w:val="SingleTxtGC"/>
        <w:rPr>
          <w:lang w:val="es-ES"/>
        </w:rPr>
      </w:pPr>
      <w:r>
        <w:rPr>
          <w:lang w:val="zh-CN"/>
        </w:rPr>
        <w:t xml:space="preserve">646.  </w:t>
      </w:r>
      <w:r>
        <w:rPr>
          <w:rFonts w:eastAsia="SimHei" w:hint="eastAsia"/>
          <w:lang w:val="zh-CN"/>
        </w:rPr>
        <w:t>人权和国际人道主义法综合政策（国防部）</w:t>
      </w:r>
      <w:r>
        <w:rPr>
          <w:rFonts w:hint="eastAsia"/>
          <w:lang w:val="zh-CN"/>
        </w:rPr>
        <w:t>。从宪法角度规定公共武装部队的一项使命就</w:t>
      </w:r>
      <w:r>
        <w:rPr>
          <w:rFonts w:hint="eastAsia"/>
          <w:lang w:val="es-ES"/>
        </w:rPr>
        <w:t>是保障人民的权利和自由，并有义务采取有利于需要差别化对待的特殊群体（土著人民、非洲裔人民、流离失所人口、妇女、儿童、强迫失踪受害人口、人权捍卫者、工会活动家、记者、医疗队成员以及美洲人权体系各项保护措施和预防措施的受益者，等等）采取相应的保护措施。</w:t>
      </w:r>
    </w:p>
    <w:p w:rsidR="00A83775" w:rsidRDefault="00A83775">
      <w:pPr>
        <w:pStyle w:val="SingleTxtGC"/>
        <w:rPr>
          <w:rFonts w:hint="eastAsia"/>
          <w:lang w:val="zh-CN"/>
        </w:rPr>
      </w:pPr>
      <w:r>
        <w:rPr>
          <w:lang w:val="es-ES_tradnl"/>
        </w:rPr>
        <w:t xml:space="preserve">647.  </w:t>
      </w:r>
      <w:r>
        <w:rPr>
          <w:rFonts w:hint="eastAsia"/>
          <w:lang w:val="es-ES_tradnl"/>
        </w:rPr>
        <w:t>在这一框架内，国防部出台了</w:t>
      </w:r>
      <w:r>
        <w:rPr>
          <w:rFonts w:hint="eastAsia"/>
          <w:lang w:val="es-ES_tradnl"/>
        </w:rPr>
        <w:t>2010</w:t>
      </w:r>
      <w:r>
        <w:rPr>
          <w:rFonts w:hint="eastAsia"/>
          <w:lang w:val="es-ES_tradnl"/>
        </w:rPr>
        <w:t>年的第</w:t>
      </w:r>
      <w:r>
        <w:rPr>
          <w:rFonts w:hint="eastAsia"/>
          <w:lang w:val="es-ES_tradnl"/>
        </w:rPr>
        <w:t>11</w:t>
      </w:r>
      <w:r>
        <w:rPr>
          <w:rFonts w:hint="eastAsia"/>
          <w:lang w:val="es-ES_tradnl"/>
        </w:rPr>
        <w:t>号部长令，其目的是预防对妇女和女童一切形式的暴力侵害，特别是性暴力侵害：性暴力零容忍，以强化其他措施，例如国家陆军司令部</w:t>
      </w:r>
      <w:r>
        <w:rPr>
          <w:rFonts w:hint="eastAsia"/>
          <w:lang w:val="es-ES_tradnl"/>
        </w:rPr>
        <w:t>2009</w:t>
      </w:r>
      <w:r>
        <w:rPr>
          <w:rFonts w:hint="eastAsia"/>
          <w:lang w:val="es-ES_tradnl"/>
        </w:rPr>
        <w:t>年的第</w:t>
      </w:r>
      <w:r>
        <w:rPr>
          <w:rFonts w:hint="eastAsia"/>
          <w:lang w:val="es-ES_tradnl"/>
        </w:rPr>
        <w:t>630134</w:t>
      </w:r>
      <w:r>
        <w:rPr>
          <w:rFonts w:hint="eastAsia"/>
          <w:lang w:val="es-ES_tradnl"/>
        </w:rPr>
        <w:t>号关于落实和尊重妇女人权的常设通告，</w:t>
      </w:r>
      <w:r>
        <w:rPr>
          <w:vertAlign w:val="superscript"/>
          <w:lang w:val="es-ES_tradnl"/>
        </w:rPr>
        <w:footnoteReference w:id="217"/>
      </w:r>
      <w:r>
        <w:rPr>
          <w:rFonts w:hint="eastAsia"/>
          <w:lang w:val="es-ES_tradnl"/>
        </w:rPr>
        <w:t xml:space="preserve"> </w:t>
      </w:r>
      <w:r>
        <w:rPr>
          <w:rFonts w:hint="eastAsia"/>
          <w:lang w:val="es-ES_tradnl"/>
        </w:rPr>
        <w:t>以及国家武装部</w:t>
      </w:r>
      <w:r>
        <w:rPr>
          <w:rFonts w:hint="eastAsia"/>
          <w:lang w:val="es-ES_tradnl"/>
        </w:rPr>
        <w:t>2006</w:t>
      </w:r>
      <w:r>
        <w:rPr>
          <w:rFonts w:hint="eastAsia"/>
          <w:lang w:val="es-ES_tradnl"/>
        </w:rPr>
        <w:t>年的第</w:t>
      </w:r>
      <w:r>
        <w:rPr>
          <w:rFonts w:hint="eastAsia"/>
          <w:lang w:val="es-ES_tradnl"/>
        </w:rPr>
        <w:t>1281</w:t>
      </w:r>
      <w:r>
        <w:rPr>
          <w:rFonts w:hint="eastAsia"/>
          <w:lang w:val="es-ES_tradnl"/>
        </w:rPr>
        <w:t>号通知，</w:t>
      </w:r>
      <w:r>
        <w:rPr>
          <w:vertAlign w:val="superscript"/>
          <w:lang w:val="es-ES_tradnl"/>
        </w:rPr>
        <w:footnoteReference w:id="218"/>
      </w:r>
      <w:r>
        <w:rPr>
          <w:rFonts w:hint="eastAsia"/>
          <w:lang w:val="es-ES_tradnl"/>
        </w:rPr>
        <w:t xml:space="preserve"> </w:t>
      </w:r>
      <w:r>
        <w:rPr>
          <w:rFonts w:hint="eastAsia"/>
          <w:lang w:val="es-ES_tradnl"/>
        </w:rPr>
        <w:t>目的是推进落实各项旨在</w:t>
      </w:r>
      <w:r>
        <w:rPr>
          <w:rFonts w:hint="eastAsia"/>
          <w:lang w:val="zh-CN"/>
        </w:rPr>
        <w:t>预防、促进和保护妇女权利的措施。</w:t>
      </w:r>
    </w:p>
    <w:p w:rsidR="00A83775" w:rsidRDefault="00A83775">
      <w:pPr>
        <w:pStyle w:val="SingleTxtGC"/>
        <w:rPr>
          <w:lang w:val="es-ES_tradnl"/>
        </w:rPr>
      </w:pPr>
      <w:r>
        <w:rPr>
          <w:lang w:val="zh-CN"/>
        </w:rPr>
        <w:t xml:space="preserve">648.  </w:t>
      </w:r>
      <w:r>
        <w:rPr>
          <w:rFonts w:hint="eastAsia"/>
          <w:lang w:val="zh-CN"/>
        </w:rPr>
        <w:t>同样，</w:t>
      </w:r>
      <w:r>
        <w:rPr>
          <w:rFonts w:hint="eastAsia"/>
          <w:lang w:val="zh-CN"/>
        </w:rPr>
        <w:t>2010</w:t>
      </w:r>
      <w:r>
        <w:rPr>
          <w:rFonts w:hint="eastAsia"/>
          <w:lang w:val="zh-CN"/>
        </w:rPr>
        <w:t>年</w:t>
      </w:r>
      <w:r>
        <w:rPr>
          <w:rFonts w:hint="eastAsia"/>
          <w:lang w:val="zh-CN"/>
        </w:rPr>
        <w:t>8</w:t>
      </w:r>
      <w:r>
        <w:rPr>
          <w:rFonts w:hint="eastAsia"/>
          <w:lang w:val="zh-CN"/>
        </w:rPr>
        <w:t>月国防部出台了在性权利和生殖权利、公平、基于性别原因的暴力行</w:t>
      </w:r>
      <w:r>
        <w:rPr>
          <w:rFonts w:hint="eastAsia"/>
          <w:lang w:val="es-ES_tradnl"/>
        </w:rPr>
        <w:t>为、性健康和生殖健康领域的政策，特别重视艾滋病毒问题，推进各项措施来强化遵守和落实于基于性别原因的暴力犯罪有关的法规，为此开展了各项战略来打击有罪不罚现象，并对此类暴力行为采取零容忍态度；在武装部队和国家警察内部推行两性平等；等等（本条对应的附件</w:t>
      </w:r>
      <w:r>
        <w:rPr>
          <w:rFonts w:hint="eastAsia"/>
          <w:lang w:val="es-ES_tradnl"/>
        </w:rPr>
        <w:t>1</w:t>
      </w:r>
      <w:r>
        <w:rPr>
          <w:rFonts w:hint="eastAsia"/>
          <w:lang w:val="es-ES_tradnl"/>
        </w:rPr>
        <w:t>）。</w:t>
      </w:r>
    </w:p>
    <w:p w:rsidR="00A83775" w:rsidRDefault="00A83775">
      <w:pPr>
        <w:pStyle w:val="SingleTxtGC"/>
        <w:rPr>
          <w:lang w:val="es-ES_tradnl"/>
        </w:rPr>
      </w:pPr>
      <w:r>
        <w:rPr>
          <w:lang w:val="es-ES_tradnl"/>
        </w:rPr>
        <w:t xml:space="preserve">649.  </w:t>
      </w:r>
      <w:r>
        <w:rPr>
          <w:rFonts w:hint="eastAsia"/>
          <w:lang w:val="es-ES_tradnl"/>
        </w:rPr>
        <w:t>这些战略已被纳入到国防部的工作计划中，目的是贯彻落实安全委员会关于妇女、和平和安全的决议，</w:t>
      </w:r>
      <w:r>
        <w:rPr>
          <w:vertAlign w:val="superscript"/>
          <w:lang w:val="es-ES_tradnl"/>
        </w:rPr>
        <w:footnoteReference w:id="219"/>
      </w:r>
      <w:r>
        <w:rPr>
          <w:lang w:val="es-ES_tradnl"/>
        </w:rPr>
        <w:t xml:space="preserve"> </w:t>
      </w:r>
      <w:r>
        <w:rPr>
          <w:rFonts w:hint="eastAsia"/>
          <w:lang w:val="es-ES_tradnl"/>
        </w:rPr>
        <w:t>预防基于性别原因的暴力行为，特别是性暴力，采用人道主义法来应对此类犯罪。在国防部重点开展的行动中，主要包括以下措施：</w:t>
      </w:r>
    </w:p>
    <w:p w:rsidR="00A83775" w:rsidRDefault="00A83775">
      <w:pPr>
        <w:pStyle w:val="SingleTxtGC"/>
        <w:numPr>
          <w:ilvl w:val="0"/>
          <w:numId w:val="74"/>
        </w:numPr>
        <w:rPr>
          <w:lang w:val="es-ES_tradnl"/>
        </w:rPr>
      </w:pPr>
      <w:r>
        <w:rPr>
          <w:rFonts w:hint="eastAsia"/>
          <w:lang w:val="es-ES_tradnl"/>
        </w:rPr>
        <w:t>宣传和预防；</w:t>
      </w:r>
    </w:p>
    <w:p w:rsidR="00A83775" w:rsidRDefault="00A83775">
      <w:pPr>
        <w:pStyle w:val="SingleTxtGC"/>
        <w:numPr>
          <w:ilvl w:val="0"/>
          <w:numId w:val="74"/>
        </w:numPr>
        <w:rPr>
          <w:lang w:val="es-ES_tradnl"/>
        </w:rPr>
      </w:pPr>
      <w:r>
        <w:rPr>
          <w:rFonts w:hint="eastAsia"/>
          <w:lang w:val="es-ES_tradnl"/>
        </w:rPr>
        <w:t>培训；</w:t>
      </w:r>
    </w:p>
    <w:p w:rsidR="00A83775" w:rsidRDefault="00A83775">
      <w:pPr>
        <w:pStyle w:val="SingleTxtGC"/>
        <w:numPr>
          <w:ilvl w:val="0"/>
          <w:numId w:val="74"/>
        </w:numPr>
        <w:rPr>
          <w:lang w:val="es-ES_tradnl"/>
        </w:rPr>
      </w:pPr>
      <w:r>
        <w:rPr>
          <w:rFonts w:hint="eastAsia"/>
          <w:lang w:val="es-ES_tradnl"/>
        </w:rPr>
        <w:t>全面关爱；</w:t>
      </w:r>
    </w:p>
    <w:p w:rsidR="00A83775" w:rsidRDefault="00A83775">
      <w:pPr>
        <w:pStyle w:val="SingleTxtGC"/>
        <w:numPr>
          <w:ilvl w:val="0"/>
          <w:numId w:val="74"/>
        </w:numPr>
        <w:rPr>
          <w:rFonts w:hint="eastAsia"/>
          <w:lang w:val="es-ES_tradnl"/>
        </w:rPr>
      </w:pPr>
      <w:r>
        <w:rPr>
          <w:rFonts w:hint="eastAsia"/>
          <w:lang w:val="es-ES_tradnl"/>
        </w:rPr>
        <w:t>调查研究；</w:t>
      </w:r>
    </w:p>
    <w:p w:rsidR="00A83775" w:rsidRDefault="00A83775">
      <w:pPr>
        <w:pStyle w:val="SingleTxtGC"/>
        <w:numPr>
          <w:ilvl w:val="0"/>
          <w:numId w:val="74"/>
        </w:numPr>
        <w:rPr>
          <w:rFonts w:hint="eastAsia"/>
          <w:lang w:val="es-ES_tradnl"/>
        </w:rPr>
      </w:pPr>
      <w:r>
        <w:rPr>
          <w:rFonts w:hint="eastAsia"/>
          <w:lang w:val="es-ES_tradnl"/>
        </w:rPr>
        <w:t>保障权利；</w:t>
      </w:r>
    </w:p>
    <w:p w:rsidR="00A83775" w:rsidRDefault="00A83775">
      <w:pPr>
        <w:pStyle w:val="SingleTxtGC"/>
        <w:numPr>
          <w:ilvl w:val="0"/>
          <w:numId w:val="74"/>
        </w:numPr>
        <w:rPr>
          <w:lang w:val="es-ES_tradnl"/>
        </w:rPr>
      </w:pPr>
      <w:r>
        <w:rPr>
          <w:rFonts w:hint="eastAsia"/>
          <w:lang w:val="es-ES_tradnl"/>
        </w:rPr>
        <w:t>跟踪和监测，目的是宣传和</w:t>
      </w:r>
      <w:r>
        <w:rPr>
          <w:rFonts w:hint="eastAsia"/>
          <w:lang w:val="es-ES_tradnl"/>
        </w:rPr>
        <w:t>/</w:t>
      </w:r>
      <w:r>
        <w:rPr>
          <w:rFonts w:hint="eastAsia"/>
          <w:lang w:val="es-ES_tradnl"/>
        </w:rPr>
        <w:t>或开展各项行动来整肃军纪；揭露性暴力事件的真相（课程培训和课外培训）；</w:t>
      </w:r>
    </w:p>
    <w:p w:rsidR="00A83775" w:rsidRDefault="00A83775">
      <w:pPr>
        <w:pStyle w:val="SingleTxtGC"/>
        <w:numPr>
          <w:ilvl w:val="0"/>
          <w:numId w:val="74"/>
        </w:numPr>
        <w:rPr>
          <w:lang w:val="es-ES_tradnl"/>
        </w:rPr>
      </w:pPr>
      <w:r>
        <w:rPr>
          <w:rFonts w:hint="eastAsia"/>
          <w:lang w:val="es-ES_tradnl"/>
        </w:rPr>
        <w:t>旨在确保基于性别原因的暴力行为</w:t>
      </w:r>
      <w:r>
        <w:rPr>
          <w:rFonts w:hint="eastAsia"/>
          <w:spacing w:val="-50"/>
          <w:lang w:val="es-ES"/>
        </w:rPr>
        <w:t>―</w:t>
      </w:r>
      <w:r>
        <w:rPr>
          <w:rFonts w:hint="eastAsia"/>
          <w:lang w:val="es-ES"/>
        </w:rPr>
        <w:t>―</w:t>
      </w:r>
      <w:r>
        <w:rPr>
          <w:rFonts w:hint="eastAsia"/>
          <w:lang w:val="es-ES_tradnl"/>
        </w:rPr>
        <w:t>性暴力和家庭内暴力受害妇女获得全面关爱服务的各项议定书；</w:t>
      </w:r>
    </w:p>
    <w:p w:rsidR="00A83775" w:rsidRDefault="00A83775">
      <w:pPr>
        <w:pStyle w:val="SingleTxtGC"/>
        <w:numPr>
          <w:ilvl w:val="0"/>
          <w:numId w:val="74"/>
        </w:numPr>
        <w:rPr>
          <w:rFonts w:hint="eastAsia"/>
          <w:lang w:val="es-ES_tradnl"/>
        </w:rPr>
      </w:pPr>
      <w:r>
        <w:rPr>
          <w:rFonts w:hint="eastAsia"/>
          <w:lang w:val="es-ES_tradnl"/>
        </w:rPr>
        <w:t>保护受害妇女的各项措施；</w:t>
      </w:r>
    </w:p>
    <w:p w:rsidR="00A83775" w:rsidRDefault="00A83775">
      <w:pPr>
        <w:pStyle w:val="SingleTxtGC"/>
        <w:numPr>
          <w:ilvl w:val="0"/>
          <w:numId w:val="74"/>
        </w:numPr>
        <w:rPr>
          <w:lang w:val="es-ES_tradnl"/>
        </w:rPr>
      </w:pPr>
      <w:r>
        <w:rPr>
          <w:rFonts w:hint="eastAsia"/>
          <w:lang w:val="es-ES_tradnl"/>
        </w:rPr>
        <w:t>整肃军纪和以有效方式与司法部门合作，及时向司法当局和纪律主管部门报告可能对受保护人群构成性侵犯行为的案件的相关措施；</w:t>
      </w:r>
    </w:p>
    <w:p w:rsidR="00A83775" w:rsidRDefault="00A83775">
      <w:pPr>
        <w:pStyle w:val="SingleTxtGC"/>
        <w:numPr>
          <w:ilvl w:val="0"/>
          <w:numId w:val="74"/>
        </w:numPr>
        <w:rPr>
          <w:lang w:val="es-ES_tradnl"/>
        </w:rPr>
      </w:pPr>
      <w:r>
        <w:rPr>
          <w:rFonts w:hint="eastAsia"/>
          <w:lang w:val="es-ES_tradnl"/>
        </w:rPr>
        <w:t>通过对与性暴力有关罪行调查进展的实时登记和跟踪，开展跟踪和监测行动。</w:t>
      </w:r>
    </w:p>
    <w:p w:rsidR="00A83775" w:rsidRDefault="00A83775">
      <w:pPr>
        <w:pStyle w:val="SingleTxtGC"/>
        <w:rPr>
          <w:lang w:val="zh-CN"/>
        </w:rPr>
      </w:pPr>
      <w:r>
        <w:rPr>
          <w:lang w:val="es-ES_tradnl"/>
        </w:rPr>
        <w:t xml:space="preserve">650.  </w:t>
      </w:r>
      <w:r>
        <w:rPr>
          <w:rFonts w:hint="eastAsia"/>
          <w:lang w:val="es-ES_tradnl"/>
        </w:rPr>
        <w:t>在</w:t>
      </w:r>
      <w:r>
        <w:rPr>
          <w:rFonts w:hint="eastAsia"/>
          <w:lang w:val="zh-CN"/>
        </w:rPr>
        <w:t>使暴力受害妇女通过司法途径伸张正义的方面，在武装对抗框架内实施了以下举措：</w:t>
      </w:r>
    </w:p>
    <w:p w:rsidR="00A83775" w:rsidRDefault="00A83775">
      <w:pPr>
        <w:pStyle w:val="SingleTxtGC"/>
        <w:rPr>
          <w:lang w:val="zh-CN"/>
        </w:rPr>
      </w:pPr>
      <w:r>
        <w:rPr>
          <w:lang w:val="zh-CN"/>
        </w:rPr>
        <w:t xml:space="preserve">651.  </w:t>
      </w:r>
      <w:r>
        <w:rPr>
          <w:rFonts w:hint="eastAsia"/>
          <w:lang w:val="zh-CN"/>
        </w:rPr>
        <w:t>国家总检察署推行了一项方案，通过差别化的专门措施从定性和定量角度来处理武装冲突和被迫流离失所对妇女造成的伤害，并将工作重心落在以下主要方面：</w:t>
      </w:r>
    </w:p>
    <w:p w:rsidR="00A83775" w:rsidRDefault="00A83775">
      <w:pPr>
        <w:pStyle w:val="SingleTxtGC"/>
        <w:numPr>
          <w:ilvl w:val="0"/>
          <w:numId w:val="75"/>
        </w:numPr>
        <w:rPr>
          <w:lang w:val="es-ES_tradnl"/>
        </w:rPr>
      </w:pPr>
      <w:r>
        <w:rPr>
          <w:rFonts w:hint="eastAsia"/>
          <w:lang w:val="es-ES_tradnl"/>
        </w:rPr>
        <w:t>针对由非法武装团体的暴力行为，建设一个专门用于性暴力案件的数据库并将数据按性别分列；</w:t>
      </w:r>
    </w:p>
    <w:p w:rsidR="00A83775" w:rsidRDefault="00A83775">
      <w:pPr>
        <w:pStyle w:val="SingleTxtGC"/>
        <w:numPr>
          <w:ilvl w:val="0"/>
          <w:numId w:val="75"/>
        </w:numPr>
        <w:rPr>
          <w:lang w:val="es-ES_tradnl"/>
        </w:rPr>
      </w:pPr>
      <w:r>
        <w:rPr>
          <w:rFonts w:hint="eastAsia"/>
          <w:lang w:val="es-ES_tradnl"/>
        </w:rPr>
        <w:t>敦促司法技术委员会加快办案进展，自行评估和分析结果，开展优化和专门陪同战略；</w:t>
      </w:r>
    </w:p>
    <w:p w:rsidR="00A83775" w:rsidRDefault="00A83775">
      <w:pPr>
        <w:pStyle w:val="SingleTxtGC"/>
        <w:numPr>
          <w:ilvl w:val="0"/>
          <w:numId w:val="75"/>
        </w:numPr>
        <w:rPr>
          <w:lang w:val="es-ES_tradnl"/>
        </w:rPr>
      </w:pPr>
      <w:r>
        <w:rPr>
          <w:rFonts w:hint="eastAsia"/>
          <w:lang w:val="es-ES_tradnl"/>
        </w:rPr>
        <w:t>差别化研究：旨在通过对案件进行区分调查，采用面谈技巧和心理战的方式提高办案效率的各类工具；</w:t>
      </w:r>
      <w:r>
        <w:rPr>
          <w:vertAlign w:val="superscript"/>
          <w:lang w:val="es-ES_tradnl"/>
        </w:rPr>
        <w:footnoteReference w:id="220"/>
      </w:r>
      <w:r>
        <w:rPr>
          <w:lang w:val="es-ES_tradnl"/>
        </w:rPr>
        <w:t xml:space="preserve"> </w:t>
      </w:r>
    </w:p>
    <w:p w:rsidR="00A83775" w:rsidRDefault="00A83775">
      <w:pPr>
        <w:pStyle w:val="SingleTxtGC"/>
        <w:numPr>
          <w:ilvl w:val="0"/>
          <w:numId w:val="75"/>
        </w:numPr>
        <w:rPr>
          <w:lang w:val="es-ES_tradnl"/>
        </w:rPr>
      </w:pPr>
      <w:r>
        <w:rPr>
          <w:rFonts w:hint="eastAsia"/>
          <w:lang w:val="es-ES_tradnl"/>
        </w:rPr>
        <w:t>对司法人员进行培训；</w:t>
      </w:r>
    </w:p>
    <w:p w:rsidR="00A83775" w:rsidRDefault="00A83775">
      <w:pPr>
        <w:pStyle w:val="SingleTxtGC"/>
        <w:numPr>
          <w:ilvl w:val="0"/>
          <w:numId w:val="75"/>
        </w:numPr>
        <w:rPr>
          <w:lang w:val="es-ES_tradnl"/>
        </w:rPr>
      </w:pPr>
      <w:r>
        <w:rPr>
          <w:rFonts w:hint="eastAsia"/>
          <w:lang w:val="es-ES_tradnl"/>
        </w:rPr>
        <w:t>根据跨机构、跨学科管理的模式设立受害人关爱中心，目的是为性暴力受害妇女提供保护和救助（</w:t>
      </w:r>
      <w:r>
        <w:rPr>
          <w:lang w:val="zh-CN"/>
        </w:rPr>
        <w:t>性暴力受害者全面关怀和研究中心</w:t>
      </w:r>
      <w:r>
        <w:rPr>
          <w:rFonts w:hint="eastAsia"/>
          <w:lang w:val="es-ES_tradnl"/>
        </w:rPr>
        <w:t>）；</w:t>
      </w:r>
    </w:p>
    <w:p w:rsidR="00A83775" w:rsidRDefault="00A83775">
      <w:pPr>
        <w:pStyle w:val="SingleTxtGC"/>
        <w:numPr>
          <w:ilvl w:val="0"/>
          <w:numId w:val="75"/>
        </w:numPr>
        <w:rPr>
          <w:rFonts w:hint="eastAsia"/>
          <w:lang w:val="es-ES_tradnl"/>
        </w:rPr>
      </w:pPr>
      <w:r>
        <w:rPr>
          <w:rFonts w:hint="eastAsia"/>
          <w:lang w:val="es-ES_tradnl"/>
        </w:rPr>
        <w:t>结合机构间和机构内部的力量共同捍卫性暴力受害妇女的基本权利，遏止非法武装团体在这方面的暴行并打击对性暴力案件有罪不罚的现象。</w:t>
      </w:r>
    </w:p>
    <w:p w:rsidR="00A83775" w:rsidRDefault="00A83775">
      <w:pPr>
        <w:pStyle w:val="SingleTxtGC"/>
        <w:rPr>
          <w:iCs/>
          <w:lang w:val="es-ES"/>
        </w:rPr>
      </w:pPr>
      <w:r>
        <w:rPr>
          <w:iCs/>
          <w:lang w:val="es-ES"/>
        </w:rPr>
        <w:t xml:space="preserve">652.  </w:t>
      </w:r>
      <w:r>
        <w:rPr>
          <w:rFonts w:eastAsia="SimHei" w:hint="eastAsia"/>
          <w:iCs/>
          <w:lang w:val="es-ES"/>
        </w:rPr>
        <w:t>在武装冲突框架内打击对性暴力案件有罪不罚现象项目</w:t>
      </w:r>
      <w:r>
        <w:rPr>
          <w:rFonts w:eastAsia="SimHei"/>
          <w:iCs/>
          <w:vertAlign w:val="superscript"/>
          <w:lang w:val="es-ES"/>
        </w:rPr>
        <w:footnoteReference w:id="221"/>
      </w:r>
      <w:r>
        <w:rPr>
          <w:rFonts w:eastAsia="SimHei" w:hint="eastAsia"/>
          <w:iCs/>
          <w:lang w:val="es-ES"/>
        </w:rPr>
        <w:t>（</w:t>
      </w:r>
      <w:r>
        <w:rPr>
          <w:rFonts w:eastAsia="SimHei" w:hint="eastAsia"/>
          <w:iCs/>
          <w:lang w:val="es-ES"/>
        </w:rPr>
        <w:t>2010-2013</w:t>
      </w:r>
      <w:r>
        <w:rPr>
          <w:rFonts w:eastAsia="SimHei" w:hint="eastAsia"/>
          <w:iCs/>
          <w:lang w:val="es-ES"/>
        </w:rPr>
        <w:t>年）</w:t>
      </w:r>
      <w:r>
        <w:rPr>
          <w:rFonts w:hint="eastAsia"/>
          <w:iCs/>
          <w:lang w:val="es-ES"/>
        </w:rPr>
        <w:t>。项目有两大核心主题：</w:t>
      </w:r>
    </w:p>
    <w:p w:rsidR="00A83775" w:rsidRDefault="00A83775">
      <w:pPr>
        <w:pStyle w:val="SingleTxtGC"/>
        <w:numPr>
          <w:ilvl w:val="0"/>
          <w:numId w:val="76"/>
        </w:numPr>
        <w:rPr>
          <w:rFonts w:hint="eastAsia"/>
          <w:lang w:val="es-ES"/>
        </w:rPr>
      </w:pPr>
      <w:r>
        <w:rPr>
          <w:rFonts w:hint="eastAsia"/>
          <w:lang w:val="es-ES"/>
        </w:rPr>
        <w:t>在武装暴力框架内有组织地开展对性暴力案件的调查、审理和惩治：努力确保组织机制的存在，以确定在此类案件的调查、审理、惩治和赔偿过程中的各项行动。为落实这一目标，应在机构发展、司法人员培训、具体的调查方法的开发方面采取相应策略；</w:t>
      </w:r>
    </w:p>
    <w:p w:rsidR="00A83775" w:rsidRDefault="00A83775">
      <w:pPr>
        <w:pStyle w:val="SingleTxtGC"/>
        <w:numPr>
          <w:ilvl w:val="0"/>
          <w:numId w:val="76"/>
        </w:numPr>
        <w:rPr>
          <w:rFonts w:hint="eastAsia"/>
          <w:lang w:val="es-ES"/>
        </w:rPr>
      </w:pPr>
      <w:r>
        <w:rPr>
          <w:rFonts w:hint="eastAsia"/>
          <w:lang w:val="es-ES"/>
        </w:rPr>
        <w:t>照顾和保护受害人及证人：开展对性暴力受害人的认定工作，通过开展提高思想觉悟、司法援助和机构间关爱方针等策略，促进其参与调查、惩治和赔偿过程。</w:t>
      </w:r>
    </w:p>
    <w:p w:rsidR="00A83775" w:rsidRDefault="00A83775">
      <w:pPr>
        <w:pStyle w:val="SingleTxtGC"/>
        <w:rPr>
          <w:iCs/>
          <w:lang w:val="es-ES"/>
        </w:rPr>
      </w:pPr>
      <w:r>
        <w:rPr>
          <w:iCs/>
          <w:lang w:val="es-ES"/>
        </w:rPr>
        <w:t xml:space="preserve">653.  </w:t>
      </w:r>
      <w:r>
        <w:rPr>
          <w:rFonts w:hint="eastAsia"/>
          <w:iCs/>
          <w:lang w:val="es-ES"/>
        </w:rPr>
        <w:t>哥伦比亚政府清醒认识到了在武装对抗框架内对性暴力进行认定这一工作所面临的挑战，以打击有罪不罚现象，对受害者进行必要的帮助并为其争取正当赔偿，为此，正立足于国家角度大力开展工作，以贯彻落实在这方面计划开展的行动。</w:t>
      </w:r>
      <w:r>
        <w:rPr>
          <w:iCs/>
          <w:lang w:val="es-ES"/>
        </w:rPr>
        <w:t xml:space="preserve"> </w:t>
      </w:r>
    </w:p>
    <w:p w:rsidR="00A83775" w:rsidRDefault="00A83775">
      <w:pPr>
        <w:pStyle w:val="H23GC"/>
        <w:rPr>
          <w:lang w:val="es-ES_tradnl"/>
        </w:rPr>
      </w:pPr>
      <w:r>
        <w:rPr>
          <w:lang w:val="es-ES_tradnl"/>
        </w:rPr>
        <w:tab/>
      </w:r>
      <w:r>
        <w:rPr>
          <w:lang w:val="es-ES_tradnl"/>
        </w:rPr>
        <w:tab/>
      </w:r>
      <w:r>
        <w:rPr>
          <w:rFonts w:hint="eastAsia"/>
          <w:lang w:val="es-ES_tradnl"/>
        </w:rPr>
        <w:t>关爱遭地雷攻击的受害者</w:t>
      </w:r>
    </w:p>
    <w:p w:rsidR="00A83775" w:rsidRDefault="00A83775">
      <w:pPr>
        <w:pStyle w:val="SingleTxtGC"/>
        <w:rPr>
          <w:lang w:val="es-ES_tradnl"/>
        </w:rPr>
      </w:pPr>
      <w:r>
        <w:rPr>
          <w:lang w:val="es-ES_tradnl"/>
        </w:rPr>
        <w:t xml:space="preserve">654.  </w:t>
      </w:r>
      <w:r>
        <w:rPr>
          <w:rFonts w:hint="eastAsia"/>
          <w:lang w:val="es-ES_tradnl"/>
        </w:rPr>
        <w:t>2009-2019</w:t>
      </w:r>
      <w:r>
        <w:rPr>
          <w:rFonts w:hint="eastAsia"/>
          <w:lang w:val="es-ES_tradnl"/>
        </w:rPr>
        <w:t>年</w:t>
      </w:r>
      <w:r>
        <w:rPr>
          <w:lang w:val="en-GB"/>
        </w:rPr>
        <w:t>杀伤性地雷全面处置行动</w:t>
      </w:r>
      <w:r>
        <w:rPr>
          <w:rFonts w:hint="eastAsia"/>
          <w:lang w:val="en-GB"/>
        </w:rPr>
        <w:t>政策</w:t>
      </w:r>
      <w:r>
        <w:rPr>
          <w:vertAlign w:val="superscript"/>
          <w:lang w:val="es-ES_tradnl"/>
        </w:rPr>
        <w:footnoteReference w:id="222"/>
      </w:r>
      <w:r>
        <w:rPr>
          <w:rFonts w:hint="eastAsia"/>
          <w:lang w:val="en-GB"/>
        </w:rPr>
        <w:t xml:space="preserve"> </w:t>
      </w:r>
      <w:r>
        <w:rPr>
          <w:rFonts w:hint="eastAsia"/>
          <w:lang w:val="en-GB"/>
        </w:rPr>
        <w:t>和</w:t>
      </w:r>
      <w:r>
        <w:rPr>
          <w:rFonts w:hint="eastAsia"/>
          <w:lang w:val="en-GB"/>
        </w:rPr>
        <w:t>2009-2012</w:t>
      </w:r>
      <w:r>
        <w:rPr>
          <w:rFonts w:hint="eastAsia"/>
          <w:lang w:val="en-GB"/>
        </w:rPr>
        <w:t>年</w:t>
      </w:r>
      <w:r>
        <w:rPr>
          <w:lang w:val="en-GB"/>
        </w:rPr>
        <w:t>杀伤性地雷全面处置行动</w:t>
      </w:r>
      <w:r>
        <w:rPr>
          <w:rFonts w:hint="eastAsia"/>
          <w:lang w:val="en-GB"/>
        </w:rPr>
        <w:t>政策（</w:t>
      </w:r>
      <w:r>
        <w:rPr>
          <w:lang w:val="en-GB"/>
        </w:rPr>
        <w:t>国家经济社会政策委员会</w:t>
      </w:r>
      <w:r>
        <w:rPr>
          <w:rFonts w:hint="eastAsia"/>
          <w:lang w:val="en-GB"/>
        </w:rPr>
        <w:t>2009</w:t>
      </w:r>
      <w:r>
        <w:rPr>
          <w:rFonts w:hint="eastAsia"/>
          <w:lang w:val="en-GB"/>
        </w:rPr>
        <w:t>年的第</w:t>
      </w:r>
      <w:r>
        <w:rPr>
          <w:rFonts w:hint="eastAsia"/>
          <w:lang w:val="en-GB"/>
        </w:rPr>
        <w:t>3567</w:t>
      </w:r>
      <w:r>
        <w:rPr>
          <w:rFonts w:hint="eastAsia"/>
          <w:lang w:val="en-GB"/>
        </w:rPr>
        <w:t>号决议）</w:t>
      </w:r>
      <w:r>
        <w:rPr>
          <w:rFonts w:hint="eastAsia"/>
          <w:lang w:val="es-ES_tradnl"/>
        </w:rPr>
        <w:t>：</w:t>
      </w:r>
      <w:r>
        <w:rPr>
          <w:rFonts w:hint="eastAsia"/>
          <w:lang w:val="en-GB"/>
        </w:rPr>
        <w:t>总统府杀伤性地雷全面处置行动事务署</w:t>
      </w:r>
      <w:r>
        <w:rPr>
          <w:rFonts w:hint="eastAsia"/>
          <w:lang w:val="es-ES_tradnl"/>
        </w:rPr>
        <w:t>努力将性别观点纳入到</w:t>
      </w:r>
      <w:r>
        <w:rPr>
          <w:lang w:val="zh-CN"/>
        </w:rPr>
        <w:t>杀伤性地雷</w:t>
      </w:r>
      <w:r>
        <w:rPr>
          <w:lang w:val="zh-CN"/>
        </w:rPr>
        <w:t>/</w:t>
      </w:r>
      <w:r>
        <w:rPr>
          <w:lang w:val="zh-CN"/>
        </w:rPr>
        <w:t>未爆弹药</w:t>
      </w:r>
      <w:r>
        <w:rPr>
          <w:rFonts w:hint="eastAsia"/>
          <w:lang w:val="zh-CN"/>
        </w:rPr>
        <w:t>受害者全面救助政策以及地雷危害性教育政策中，为此，在这两项政策中都从差别化角度引入了有效享有权利这一观点。</w:t>
      </w:r>
    </w:p>
    <w:p w:rsidR="00A83775" w:rsidRDefault="00A83775">
      <w:pPr>
        <w:pStyle w:val="H23GC"/>
        <w:rPr>
          <w:lang w:val="es-ES_tradnl"/>
        </w:rPr>
      </w:pPr>
      <w:r>
        <w:rPr>
          <w:lang w:val="es-ES_tradnl"/>
        </w:rPr>
        <w:tab/>
      </w:r>
      <w:r>
        <w:rPr>
          <w:lang w:val="es-ES_tradnl"/>
        </w:rPr>
        <w:tab/>
      </w:r>
      <w:r>
        <w:rPr>
          <w:rFonts w:hint="eastAsia"/>
          <w:lang w:val="es-ES_tradnl"/>
        </w:rPr>
        <w:t>关爱处于退伍并重返社会过程中的人口</w:t>
      </w:r>
    </w:p>
    <w:p w:rsidR="00A83775" w:rsidRDefault="00A83775">
      <w:pPr>
        <w:pStyle w:val="SingleTxtGC"/>
        <w:rPr>
          <w:lang w:val="es-ES_tradnl"/>
        </w:rPr>
      </w:pPr>
      <w:r>
        <w:rPr>
          <w:lang w:val="es-ES_tradnl"/>
        </w:rPr>
        <w:t xml:space="preserve">655.  </w:t>
      </w:r>
      <w:r>
        <w:rPr>
          <w:rFonts w:hint="eastAsia"/>
          <w:lang w:val="es-ES_tradnl"/>
        </w:rPr>
        <w:t>针对哥伦比亚重返社会事务局所辖的退伍人员实施两性平等战略。这一战略的目的是：</w:t>
      </w:r>
      <w:r>
        <w:rPr>
          <w:rFonts w:hint="eastAsia"/>
          <w:lang w:val="es-ES_tradnl"/>
        </w:rPr>
        <w:t xml:space="preserve">(a) </w:t>
      </w:r>
      <w:r>
        <w:rPr>
          <w:rFonts w:hint="eastAsia"/>
          <w:lang w:val="es-ES_tradnl"/>
        </w:rPr>
        <w:t>帮助消除对处于重返社会进程中的妇女和退伍家庭中的妇女的歧视；</w:t>
      </w:r>
      <w:r>
        <w:rPr>
          <w:rFonts w:hint="eastAsia"/>
          <w:lang w:val="es-ES_tradnl"/>
        </w:rPr>
        <w:t xml:space="preserve">(b) </w:t>
      </w:r>
      <w:r>
        <w:rPr>
          <w:rFonts w:hint="eastAsia"/>
          <w:lang w:val="es-ES_tradnl"/>
        </w:rPr>
        <w:t>对退伍男兵和女兵及依附其生活的人员的各类不同需求予以回应；</w:t>
      </w:r>
      <w:r>
        <w:rPr>
          <w:rFonts w:hint="eastAsia"/>
          <w:lang w:val="es-ES_tradnl"/>
        </w:rPr>
        <w:t xml:space="preserve">(c) </w:t>
      </w:r>
      <w:r>
        <w:rPr>
          <w:rFonts w:hint="eastAsia"/>
          <w:lang w:val="es-ES_tradnl"/>
        </w:rPr>
        <w:t>促进男性和女性身份地位的转变，以消除妨碍非法武装人员及其家庭在行使权利和履行义务的基础上制定无暴力的生活规划的各类因素。</w:t>
      </w:r>
      <w:r>
        <w:rPr>
          <w:vertAlign w:val="superscript"/>
          <w:lang w:val="es-ES_tradnl"/>
        </w:rPr>
        <w:footnoteReference w:id="223"/>
      </w:r>
      <w:r>
        <w:rPr>
          <w:lang w:val="es-ES_tradnl"/>
        </w:rPr>
        <w:t xml:space="preserve"> </w:t>
      </w:r>
      <w:r>
        <w:rPr>
          <w:rFonts w:hint="eastAsia"/>
          <w:lang w:val="es-ES_tradnl"/>
        </w:rPr>
        <w:t>哥伦比亚重返社会事务局承担的一项任务就是开展差别化的心理辅导工作，借以了解每一名非政府军及其家庭的需求、问题、利益及其所处社会形势，并根据这些特点来采取对应措施帮助目标人口重返社会。</w:t>
      </w:r>
      <w:r>
        <w:rPr>
          <w:vertAlign w:val="superscript"/>
          <w:lang w:val="es-ES_tradnl"/>
        </w:rPr>
        <w:footnoteReference w:id="224"/>
      </w:r>
      <w:r>
        <w:rPr>
          <w:lang w:val="es-ES_tradnl"/>
        </w:rPr>
        <w:t xml:space="preserve"> </w:t>
      </w:r>
    </w:p>
    <w:p w:rsidR="00A83775" w:rsidRDefault="00A83775">
      <w:pPr>
        <w:pStyle w:val="H23GC"/>
        <w:rPr>
          <w:lang w:val="es-ES_tradnl"/>
        </w:rPr>
      </w:pPr>
      <w:r>
        <w:rPr>
          <w:lang w:val="es-MX"/>
        </w:rPr>
        <w:tab/>
      </w:r>
      <w:r>
        <w:rPr>
          <w:lang w:val="es-MX"/>
        </w:rPr>
        <w:tab/>
      </w:r>
      <w:r>
        <w:rPr>
          <w:rFonts w:hint="eastAsia"/>
          <w:lang w:val="es-MX"/>
        </w:rPr>
        <w:t>用于评估妇女权利促进和保护战略的跟踪机制</w:t>
      </w:r>
    </w:p>
    <w:p w:rsidR="00A83775" w:rsidRDefault="00A83775">
      <w:pPr>
        <w:pStyle w:val="SingleTxtGC"/>
      </w:pPr>
      <w:r>
        <w:rPr>
          <w:lang w:val="es-ES_tradnl"/>
        </w:rPr>
        <w:t xml:space="preserve">656.  </w:t>
      </w:r>
      <w:r>
        <w:rPr>
          <w:rFonts w:hint="eastAsia"/>
          <w:lang w:val="es-ES_tradnl"/>
        </w:rPr>
        <w:t>妇女平等事务总统高级顾问办公室与外交部一起，为引入国际标准，敦促哥伦比亚政府出台相应的法律法规，设计制定政策、计划、方案来促进保护妇女人权</w:t>
      </w:r>
      <w:r>
        <w:rPr>
          <w:rFonts w:hint="eastAsia"/>
          <w:lang w:val="zh-CN"/>
        </w:rPr>
        <w:t>，对哥伦比亚批准的各项国际文书以及全球系统（联合国）和区域系统（美洲国家组织）就妇女人权保护机制所提建议的落实情况进行了跟踪监测。前文中提到的在两性问题观察站框架内开展的各项行动以及根除暴力侵害妇女行为机构间工作组的设立更是进一步强化了这一战略。</w:t>
      </w:r>
    </w:p>
    <w:p w:rsidR="00A83775" w:rsidRDefault="00A83775">
      <w:pPr>
        <w:pStyle w:val="SingleTxtGC"/>
        <w:rPr>
          <w:rFonts w:hint="eastAsia"/>
          <w:lang w:val="es-ES_tradnl"/>
        </w:rPr>
      </w:pPr>
      <w:r>
        <w:rPr>
          <w:lang w:val="zh-CN"/>
        </w:rPr>
        <w:t xml:space="preserve">657.  </w:t>
      </w:r>
      <w:r>
        <w:rPr>
          <w:rFonts w:hint="eastAsia"/>
          <w:lang w:val="zh-CN"/>
        </w:rPr>
        <w:t>国家赔偿与和解委员会</w:t>
      </w:r>
      <w:r>
        <w:rPr>
          <w:rFonts w:hint="eastAsia"/>
          <w:spacing w:val="-50"/>
        </w:rPr>
        <w:t>―</w:t>
      </w:r>
      <w:r>
        <w:rPr>
          <w:rFonts w:hint="eastAsia"/>
        </w:rPr>
        <w:t>―</w:t>
      </w:r>
      <w:r>
        <w:rPr>
          <w:rFonts w:hint="eastAsia"/>
          <w:lang w:val="zh-CN"/>
        </w:rPr>
        <w:t>受害者综合关爱模式：</w:t>
      </w:r>
      <w:r>
        <w:rPr>
          <w:vertAlign w:val="superscript"/>
          <w:lang w:val="zh-CN"/>
        </w:rPr>
        <w:footnoteReference w:id="225"/>
      </w:r>
      <w:r>
        <w:t xml:space="preserve"> </w:t>
      </w:r>
      <w:r>
        <w:rPr>
          <w:rFonts w:hint="eastAsia"/>
          <w:lang w:val="zh-CN"/>
        </w:rPr>
        <w:t>包含各类关爱措施，目的是为武装冲突受害人提供适当关爱，照顾到其各方面的需求，并为受害人提供必要</w:t>
      </w:r>
      <w:r>
        <w:rPr>
          <w:rFonts w:hint="eastAsia"/>
          <w:lang w:val="es-ES_tradnl"/>
        </w:rPr>
        <w:t>的心理辅导。这一模式提出了专门针对强迫失踪和性暴力案件应当为受害人提供的帮助的建议和具体工作方针，并根据相关国际文书对这一模式进行了更新（参见本条对应的附件</w:t>
      </w:r>
      <w:r>
        <w:rPr>
          <w:rFonts w:hint="eastAsia"/>
          <w:lang w:val="es-ES_tradnl"/>
        </w:rPr>
        <w:t>3</w:t>
      </w:r>
      <w:r>
        <w:rPr>
          <w:rFonts w:hint="eastAsia"/>
          <w:lang w:val="es-ES_tradnl"/>
        </w:rPr>
        <w:t>）。</w:t>
      </w:r>
    </w:p>
    <w:p w:rsidR="00A83775" w:rsidRDefault="00A83775">
      <w:pPr>
        <w:pStyle w:val="SingleTxtGC"/>
        <w:rPr>
          <w:lang w:val="zh-CN"/>
        </w:rPr>
      </w:pPr>
      <w:r>
        <w:rPr>
          <w:lang w:val="es-ES_tradnl"/>
        </w:rPr>
        <w:t xml:space="preserve">658.  </w:t>
      </w:r>
      <w:r>
        <w:rPr>
          <w:rFonts w:hint="eastAsia"/>
          <w:lang w:val="es-ES_tradnl"/>
        </w:rPr>
        <w:t>武装冲突中的性别暴力受害妇女案件汇编及工作指导手册，旨在对妇女提供关爱的技术和道德工作（</w:t>
      </w:r>
      <w:r>
        <w:rPr>
          <w:rFonts w:hint="eastAsia"/>
          <w:lang w:val="es-ES_tradnl"/>
        </w:rPr>
        <w:t>2011</w:t>
      </w:r>
      <w:r>
        <w:rPr>
          <w:rFonts w:hint="eastAsia"/>
          <w:lang w:val="es-ES_tradnl"/>
        </w:rPr>
        <w:t>年</w:t>
      </w:r>
      <w:r>
        <w:rPr>
          <w:rFonts w:hint="eastAsia"/>
          <w:lang w:val="es-ES_tradnl"/>
        </w:rPr>
        <w:t>5</w:t>
      </w:r>
      <w:r>
        <w:rPr>
          <w:rFonts w:hint="eastAsia"/>
          <w:lang w:val="es-ES_tradnl"/>
        </w:rPr>
        <w:t>月）。同样，在制定对武装冲突中的性别暴力受害妇女，特别是性暴力受害妇女进行及时帮助的指导方针方面做了大量工作。在</w:t>
      </w:r>
      <w:r>
        <w:rPr>
          <w:rFonts w:hint="eastAsia"/>
          <w:lang w:val="es-ES_tradnl"/>
        </w:rPr>
        <w:t>2007</w:t>
      </w:r>
      <w:r>
        <w:rPr>
          <w:rFonts w:hint="eastAsia"/>
          <w:lang w:val="es-ES_tradnl"/>
        </w:rPr>
        <w:t>、</w:t>
      </w:r>
      <w:r>
        <w:rPr>
          <w:rFonts w:hint="eastAsia"/>
          <w:lang w:val="es-ES_tradnl"/>
        </w:rPr>
        <w:t>2008</w:t>
      </w:r>
      <w:r>
        <w:rPr>
          <w:rFonts w:hint="eastAsia"/>
          <w:lang w:val="es-ES_tradnl"/>
        </w:rPr>
        <w:t>和</w:t>
      </w:r>
      <w:r>
        <w:rPr>
          <w:rFonts w:hint="eastAsia"/>
          <w:lang w:val="es-ES_tradnl"/>
        </w:rPr>
        <w:t>2009</w:t>
      </w:r>
      <w:r>
        <w:rPr>
          <w:rFonts w:hint="eastAsia"/>
          <w:lang w:val="es-ES_tradnl"/>
        </w:rPr>
        <w:t>年，对国家赔偿与和解委员会地区办事机构以及其</w:t>
      </w:r>
      <w:r>
        <w:rPr>
          <w:rFonts w:hint="eastAsia"/>
          <w:lang w:val="zh-CN"/>
        </w:rPr>
        <w:t>他机构的公务员进行了培训，培训主题为在性别、生命周期和种族问题上的区分对待。工作的一项成果就是编写了武装冲突中的性别暴力受害妇女案件汇编及工作指导手册（参见本条对应的附件</w:t>
      </w:r>
      <w:r>
        <w:rPr>
          <w:rFonts w:hint="eastAsia"/>
          <w:lang w:val="zh-CN"/>
        </w:rPr>
        <w:t>2</w:t>
      </w:r>
      <w:r>
        <w:rPr>
          <w:rFonts w:hint="eastAsia"/>
          <w:lang w:val="zh-CN"/>
        </w:rPr>
        <w:t>）。</w:t>
      </w:r>
    </w:p>
    <w:p w:rsidR="00A83775" w:rsidRDefault="00A83775">
      <w:pPr>
        <w:pStyle w:val="SingleTxtGC"/>
        <w:rPr>
          <w:lang w:val="es-ES_tradnl"/>
        </w:rPr>
      </w:pPr>
      <w:r>
        <w:rPr>
          <w:lang w:val="zh-CN"/>
        </w:rPr>
        <w:t xml:space="preserve">659.  </w:t>
      </w:r>
      <w:r>
        <w:rPr>
          <w:rFonts w:hint="eastAsia"/>
          <w:lang w:val="zh-CN"/>
        </w:rPr>
        <w:t>针对至少有一名重返社会人员的家庭的家庭内暴力二级预防模式。</w:t>
      </w:r>
      <w:r>
        <w:rPr>
          <w:vertAlign w:val="superscript"/>
          <w:lang w:val="zh-CN"/>
        </w:rPr>
        <w:footnoteReference w:id="226"/>
      </w:r>
      <w:r>
        <w:rPr>
          <w:rFonts w:hint="eastAsia"/>
          <w:lang w:val="zh-CN"/>
        </w:rPr>
        <w:t xml:space="preserve"> </w:t>
      </w:r>
      <w:r>
        <w:rPr>
          <w:rFonts w:hint="eastAsia"/>
          <w:lang w:val="zh-CN"/>
        </w:rPr>
        <w:t>这一模式</w:t>
      </w:r>
      <w:r>
        <w:rPr>
          <w:rFonts w:hint="eastAsia"/>
          <w:lang w:val="es-ES_tradnl"/>
        </w:rPr>
        <w:t>是在哥伦比亚重返社会事务局开展的旨在减少复员人员及其家庭成员的暴力行为的活动框架内开发的，开展了一些与改善关系有关的主题活动。</w:t>
      </w:r>
      <w:r>
        <w:rPr>
          <w:vertAlign w:val="superscript"/>
          <w:lang w:val="es-ES_tradnl"/>
        </w:rPr>
        <w:footnoteReference w:id="227"/>
      </w:r>
      <w:r>
        <w:rPr>
          <w:rFonts w:hint="eastAsia"/>
          <w:lang w:val="es-ES_tradnl"/>
        </w:rPr>
        <w:t xml:space="preserve"> </w:t>
      </w:r>
      <w:r>
        <w:rPr>
          <w:rFonts w:hint="eastAsia"/>
          <w:lang w:val="es-ES_tradnl"/>
        </w:rPr>
        <w:t>其工作重点落在家庭内暴力、基于性别原因的暴力和性虐待问题上，目的是使复员人员及其家人认识到互相倾听的重要性，互敬互爱而不是在遇到分歧使诉诸暴力。</w:t>
      </w:r>
    </w:p>
    <w:p w:rsidR="00A83775" w:rsidRDefault="00A83775">
      <w:pPr>
        <w:pStyle w:val="SingleTxtGC"/>
        <w:rPr>
          <w:rFonts w:eastAsia="SimHei"/>
          <w:lang w:val="es-ES"/>
        </w:rPr>
      </w:pPr>
      <w:r>
        <w:rPr>
          <w:rFonts w:eastAsia="SimHei" w:hint="eastAsia"/>
          <w:lang w:val="es-ES"/>
        </w:rPr>
        <w:t>武装部队采取的旨在预防暴力侵害妇女行为的措施</w:t>
      </w:r>
    </w:p>
    <w:p w:rsidR="00A83775" w:rsidRDefault="00A83775">
      <w:pPr>
        <w:pStyle w:val="SingleTxtGC"/>
        <w:rPr>
          <w:lang w:val="es-ES"/>
        </w:rPr>
      </w:pPr>
      <w:r>
        <w:rPr>
          <w:lang w:val="es-ES"/>
        </w:rPr>
        <w:t xml:space="preserve">660.  </w:t>
      </w:r>
      <w:r>
        <w:rPr>
          <w:rFonts w:hint="eastAsia"/>
          <w:lang w:val="es-ES"/>
        </w:rPr>
        <w:t>这些措施主要有：</w:t>
      </w:r>
    </w:p>
    <w:p w:rsidR="00A83775" w:rsidRDefault="00A83775">
      <w:pPr>
        <w:pStyle w:val="SingleTxtGC"/>
        <w:numPr>
          <w:ilvl w:val="0"/>
          <w:numId w:val="77"/>
        </w:numPr>
        <w:rPr>
          <w:lang w:val="es-ES"/>
        </w:rPr>
      </w:pPr>
      <w:r>
        <w:rPr>
          <w:rFonts w:hint="eastAsia"/>
          <w:lang w:val="es-ES"/>
        </w:rPr>
        <w:t>在武装部队培养院校的课程设置中加入与预防基于性别原因的暴力：性暴力有关的内容；</w:t>
      </w:r>
      <w:r>
        <w:rPr>
          <w:vertAlign w:val="superscript"/>
          <w:lang w:val="es-ES"/>
        </w:rPr>
        <w:footnoteReference w:id="228"/>
      </w:r>
      <w:r>
        <w:rPr>
          <w:lang w:val="es-ES"/>
        </w:rPr>
        <w:t xml:space="preserve"> </w:t>
      </w:r>
    </w:p>
    <w:p w:rsidR="00A83775" w:rsidRDefault="00A83775">
      <w:pPr>
        <w:pStyle w:val="SingleTxtGC"/>
        <w:numPr>
          <w:ilvl w:val="0"/>
          <w:numId w:val="77"/>
        </w:numPr>
        <w:rPr>
          <w:lang w:val="es-ES"/>
        </w:rPr>
      </w:pPr>
      <w:r>
        <w:rPr>
          <w:rFonts w:hint="eastAsia"/>
          <w:lang w:val="es-ES"/>
        </w:rPr>
        <w:t>面向公共武装部队训导人员开立性健康和生殖健康、性权利和生殖权利以及性别公平有关的学位课程；</w:t>
      </w:r>
      <w:r>
        <w:rPr>
          <w:vertAlign w:val="superscript"/>
          <w:lang w:val="es-ES"/>
        </w:rPr>
        <w:footnoteReference w:id="229"/>
      </w:r>
      <w:r>
        <w:rPr>
          <w:lang w:val="es-ES"/>
        </w:rPr>
        <w:t xml:space="preserve"> </w:t>
      </w:r>
    </w:p>
    <w:p w:rsidR="00A83775" w:rsidRDefault="00A83775">
      <w:pPr>
        <w:pStyle w:val="SingleTxtGC"/>
        <w:numPr>
          <w:ilvl w:val="0"/>
          <w:numId w:val="77"/>
        </w:numPr>
        <w:rPr>
          <w:lang w:val="es-ES"/>
        </w:rPr>
      </w:pPr>
      <w:r>
        <w:rPr>
          <w:rFonts w:hint="eastAsia"/>
          <w:lang w:val="es-ES"/>
        </w:rPr>
        <w:t>大面积发放与性健康和生殖健康、性权利和生殖权利、艾滋病毒和基于性别原因的暴力有关的宣传材料（海报、宣传手册以及商业电台宣传）的计划；</w:t>
      </w:r>
    </w:p>
    <w:p w:rsidR="00A83775" w:rsidRDefault="00A83775">
      <w:pPr>
        <w:pStyle w:val="SingleTxtGC"/>
        <w:numPr>
          <w:ilvl w:val="0"/>
          <w:numId w:val="77"/>
        </w:numPr>
        <w:rPr>
          <w:lang w:val="es-ES"/>
        </w:rPr>
      </w:pPr>
      <w:r>
        <w:rPr>
          <w:rFonts w:hint="eastAsia"/>
          <w:lang w:val="es-ES"/>
        </w:rPr>
        <w:t>筹办第六届拉丁美洲和加勒比武装部队和国家警察预防和控制艾滋病毒</w:t>
      </w:r>
      <w:r>
        <w:rPr>
          <w:rFonts w:hint="eastAsia"/>
          <w:lang w:val="es-ES"/>
        </w:rPr>
        <w:t>/</w:t>
      </w:r>
      <w:r>
        <w:rPr>
          <w:rFonts w:hint="eastAsia"/>
          <w:lang w:val="es-ES"/>
        </w:rPr>
        <w:t>艾滋病卫星会议</w:t>
      </w:r>
      <w:r>
        <w:rPr>
          <w:lang w:val="es-ES"/>
        </w:rPr>
        <w:t>-COPRECOS LAC</w:t>
      </w:r>
      <w:r>
        <w:rPr>
          <w:rFonts w:hint="eastAsia"/>
          <w:lang w:val="es-ES"/>
        </w:rPr>
        <w:t>（</w:t>
      </w:r>
      <w:r>
        <w:rPr>
          <w:rFonts w:hint="eastAsia"/>
          <w:lang w:val="es-ES"/>
        </w:rPr>
        <w:t>2010</w:t>
      </w:r>
      <w:r>
        <w:rPr>
          <w:rFonts w:hint="eastAsia"/>
          <w:lang w:val="es-ES"/>
        </w:rPr>
        <w:t>年</w:t>
      </w:r>
      <w:r>
        <w:rPr>
          <w:rFonts w:hint="eastAsia"/>
          <w:lang w:val="es-ES"/>
        </w:rPr>
        <w:t>3</w:t>
      </w:r>
      <w:r>
        <w:rPr>
          <w:rFonts w:hint="eastAsia"/>
          <w:lang w:val="es-ES"/>
        </w:rPr>
        <w:t>月</w:t>
      </w:r>
      <w:r>
        <w:rPr>
          <w:rFonts w:hint="eastAsia"/>
          <w:lang w:val="es-ES"/>
        </w:rPr>
        <w:t>17-20</w:t>
      </w:r>
      <w:r>
        <w:rPr>
          <w:rFonts w:hint="eastAsia"/>
          <w:lang w:val="es-ES"/>
        </w:rPr>
        <w:t>日）；</w:t>
      </w:r>
      <w:r>
        <w:rPr>
          <w:vertAlign w:val="superscript"/>
          <w:lang w:val="es-ES"/>
        </w:rPr>
        <w:footnoteReference w:id="230"/>
      </w:r>
      <w:r>
        <w:rPr>
          <w:lang w:val="es-ES"/>
        </w:rPr>
        <w:t xml:space="preserve"> </w:t>
      </w:r>
    </w:p>
    <w:p w:rsidR="00A83775" w:rsidRDefault="00A83775">
      <w:pPr>
        <w:pStyle w:val="SingleTxtGC"/>
        <w:numPr>
          <w:ilvl w:val="0"/>
          <w:numId w:val="77"/>
        </w:numPr>
        <w:rPr>
          <w:lang w:val="es-ES"/>
        </w:rPr>
      </w:pPr>
      <w:r>
        <w:rPr>
          <w:rFonts w:hint="eastAsia"/>
          <w:lang w:val="es-ES"/>
        </w:rPr>
        <w:t>面向全科医生举办的进修课程，主题涉及艾滋病毒</w:t>
      </w:r>
      <w:r>
        <w:rPr>
          <w:rFonts w:hint="eastAsia"/>
          <w:lang w:val="es-ES"/>
        </w:rPr>
        <w:t>/</w:t>
      </w:r>
      <w:r>
        <w:rPr>
          <w:rFonts w:hint="eastAsia"/>
          <w:lang w:val="es-ES"/>
        </w:rPr>
        <w:t>艾滋病地区方案管理、国家公共卫生计划、预防家庭内暴力和基于性别原因的暴力。对驻波哥大、麦德林、比利亚维森西奥、卡利、巴兰基亚和布卡拉曼加地区的四支武装部队的卫生人员进行了培训（</w:t>
      </w:r>
      <w:r>
        <w:rPr>
          <w:rFonts w:hint="eastAsia"/>
          <w:lang w:val="es-ES"/>
        </w:rPr>
        <w:t>2007-2008</w:t>
      </w:r>
      <w:r>
        <w:rPr>
          <w:rFonts w:hint="eastAsia"/>
          <w:lang w:val="es-ES"/>
        </w:rPr>
        <w:t>年）；</w:t>
      </w:r>
    </w:p>
    <w:p w:rsidR="00A83775" w:rsidRDefault="00A83775">
      <w:pPr>
        <w:pStyle w:val="SingleTxtGC"/>
        <w:numPr>
          <w:ilvl w:val="0"/>
          <w:numId w:val="77"/>
        </w:numPr>
        <w:rPr>
          <w:lang w:val="es-ES"/>
        </w:rPr>
      </w:pPr>
      <w:r>
        <w:rPr>
          <w:rFonts w:hint="eastAsia"/>
          <w:lang w:val="es-ES"/>
        </w:rPr>
        <w:t>2008</w:t>
      </w:r>
      <w:r>
        <w:rPr>
          <w:rFonts w:hint="eastAsia"/>
          <w:lang w:val="es-ES"/>
        </w:rPr>
        <w:t>年针对</w:t>
      </w:r>
      <w:r>
        <w:rPr>
          <w:rFonts w:hint="eastAsia"/>
          <w:lang w:val="es-ES"/>
        </w:rPr>
        <w:t>23</w:t>
      </w:r>
      <w:r>
        <w:rPr>
          <w:rFonts w:hint="eastAsia"/>
          <w:lang w:val="es-ES"/>
        </w:rPr>
        <w:t>家武装部队培养院校的培训战略，培训主题为性权利和生殖权利、性健康和两性平等（每家院校派出</w:t>
      </w:r>
      <w:r>
        <w:rPr>
          <w:rFonts w:hint="eastAsia"/>
          <w:lang w:val="es-ES"/>
        </w:rPr>
        <w:t>40</w:t>
      </w:r>
      <w:r>
        <w:rPr>
          <w:rFonts w:hint="eastAsia"/>
          <w:lang w:val="es-ES"/>
        </w:rPr>
        <w:t>名教师和卫生人员接受了培训）；</w:t>
      </w:r>
    </w:p>
    <w:p w:rsidR="00A83775" w:rsidRDefault="00A83775">
      <w:pPr>
        <w:pStyle w:val="SingleTxtGC"/>
        <w:numPr>
          <w:ilvl w:val="0"/>
          <w:numId w:val="77"/>
        </w:numPr>
        <w:rPr>
          <w:lang w:val="es-ES"/>
        </w:rPr>
      </w:pPr>
      <w:r>
        <w:rPr>
          <w:rFonts w:hint="eastAsia"/>
          <w:lang w:val="es-ES"/>
        </w:rPr>
        <w:t>针对武装冲突地区各营地的培训战略：蒙特斯德玛利亚，马格达莱纳，梅迪奥和太平洋地区，</w:t>
      </w:r>
      <w:r>
        <w:rPr>
          <w:rFonts w:hint="eastAsia"/>
          <w:lang w:val="es-ES"/>
        </w:rPr>
        <w:t>2008-2009</w:t>
      </w:r>
      <w:r>
        <w:rPr>
          <w:rFonts w:hint="eastAsia"/>
          <w:lang w:val="es-ES"/>
        </w:rPr>
        <w:t>年期间对</w:t>
      </w:r>
      <w:r>
        <w:rPr>
          <w:rFonts w:hint="eastAsia"/>
          <w:lang w:val="es-ES"/>
        </w:rPr>
        <w:t>12</w:t>
      </w:r>
      <w:r>
        <w:rPr>
          <w:rFonts w:hint="eastAsia"/>
          <w:lang w:val="es-ES"/>
        </w:rPr>
        <w:t>家军事单位进行了查访，重点考察</w:t>
      </w:r>
      <w:r>
        <w:rPr>
          <w:rFonts w:hint="eastAsia"/>
          <w:lang w:val="es-ES"/>
        </w:rPr>
        <w:t>3</w:t>
      </w:r>
      <w:r>
        <w:rPr>
          <w:rFonts w:hint="eastAsia"/>
          <w:lang w:val="es-ES"/>
        </w:rPr>
        <w:t>个方面：预防少女怀孕、预防性别原因的暴力行为，特别是性暴力，预防艾滋病毒</w:t>
      </w:r>
      <w:r>
        <w:rPr>
          <w:rFonts w:hint="eastAsia"/>
          <w:lang w:val="es-ES"/>
        </w:rPr>
        <w:t>/</w:t>
      </w:r>
      <w:r>
        <w:rPr>
          <w:rFonts w:hint="eastAsia"/>
          <w:lang w:val="es-ES"/>
        </w:rPr>
        <w:t>艾滋病；</w:t>
      </w:r>
    </w:p>
    <w:p w:rsidR="00A83775" w:rsidRDefault="00A83775">
      <w:pPr>
        <w:pStyle w:val="SingleTxtGC"/>
        <w:numPr>
          <w:ilvl w:val="0"/>
          <w:numId w:val="77"/>
        </w:numPr>
        <w:rPr>
          <w:lang w:val="es-ES"/>
        </w:rPr>
      </w:pPr>
      <w:r>
        <w:rPr>
          <w:rFonts w:hint="eastAsia"/>
          <w:lang w:val="es-ES"/>
        </w:rPr>
        <w:t>在国家警察队伍中从性别观点角度推广使用信息系统来应对性健康和生殖健康问题，并酝酿在军队中推广保健子系统；</w:t>
      </w:r>
    </w:p>
    <w:p w:rsidR="00A83775" w:rsidRDefault="00A83775">
      <w:pPr>
        <w:pStyle w:val="SingleTxtGC"/>
        <w:numPr>
          <w:ilvl w:val="0"/>
          <w:numId w:val="77"/>
        </w:numPr>
        <w:rPr>
          <w:lang w:val="es-ES"/>
        </w:rPr>
      </w:pPr>
      <w:r>
        <w:rPr>
          <w:rFonts w:hint="eastAsia"/>
          <w:lang w:val="es-ES"/>
        </w:rPr>
        <w:t>开展各类预防和处理基于性别原因的暴力行为的活动，并树立新的男子汉观念；</w:t>
      </w:r>
    </w:p>
    <w:p w:rsidR="00A83775" w:rsidRDefault="00A83775">
      <w:pPr>
        <w:pStyle w:val="SingleTxtGC"/>
        <w:numPr>
          <w:ilvl w:val="0"/>
          <w:numId w:val="77"/>
        </w:numPr>
        <w:rPr>
          <w:lang w:val="es-ES"/>
        </w:rPr>
      </w:pPr>
      <w:r>
        <w:rPr>
          <w:rFonts w:hint="eastAsia"/>
          <w:lang w:val="es-ES"/>
        </w:rPr>
        <w:t>由国防部制作了宣传片，用于宣传“对武装部队暴力侵害妇女行为有罪不罚零容忍”这一主题；等等。</w:t>
      </w:r>
    </w:p>
    <w:p w:rsidR="00A83775" w:rsidRDefault="00A83775">
      <w:pPr>
        <w:pStyle w:val="SingleTxtGC"/>
        <w:rPr>
          <w:lang w:val="es-ES"/>
        </w:rPr>
      </w:pPr>
      <w:r>
        <w:rPr>
          <w:lang w:val="es-ES"/>
        </w:rPr>
        <w:t xml:space="preserve">661.  </w:t>
      </w:r>
      <w:r>
        <w:rPr>
          <w:rFonts w:hint="eastAsia"/>
          <w:lang w:val="es-ES"/>
        </w:rPr>
        <w:t>与关爱暴力受害者有关的更多信息请参见附件</w:t>
      </w:r>
      <w:r>
        <w:rPr>
          <w:rFonts w:hint="eastAsia"/>
          <w:lang w:val="es-ES"/>
        </w:rPr>
        <w:t>3</w:t>
      </w:r>
      <w:r>
        <w:rPr>
          <w:rFonts w:hint="eastAsia"/>
          <w:lang w:val="es-ES"/>
        </w:rPr>
        <w:t>。</w:t>
      </w:r>
    </w:p>
    <w:p w:rsidR="00A83775" w:rsidRDefault="00A83775">
      <w:pPr>
        <w:pStyle w:val="H23GC"/>
        <w:rPr>
          <w:lang w:val="es-ES_tradnl"/>
        </w:rPr>
      </w:pPr>
      <w:r>
        <w:rPr>
          <w:lang w:val="es-ES_tradnl"/>
        </w:rPr>
        <w:tab/>
        <w:t>2.</w:t>
      </w:r>
      <w:r>
        <w:rPr>
          <w:lang w:val="es-ES_tradnl"/>
        </w:rPr>
        <w:tab/>
      </w:r>
      <w:r>
        <w:rPr>
          <w:rFonts w:hint="eastAsia"/>
          <w:lang w:val="es-ES_tradnl"/>
        </w:rPr>
        <w:t>立法措施</w:t>
      </w:r>
      <w:r>
        <w:rPr>
          <w:lang w:val="es-ES_tradnl"/>
        </w:rPr>
        <w:t xml:space="preserve"> </w:t>
      </w:r>
    </w:p>
    <w:p w:rsidR="00A83775" w:rsidRDefault="00A83775">
      <w:pPr>
        <w:pStyle w:val="SingleTxtGC"/>
        <w:rPr>
          <w:lang w:val="es-ES"/>
        </w:rPr>
      </w:pPr>
      <w:r>
        <w:rPr>
          <w:lang w:val="es-ES"/>
        </w:rPr>
        <w:t xml:space="preserve">662.  </w:t>
      </w:r>
      <w:r>
        <w:rPr>
          <w:rFonts w:hint="eastAsia"/>
          <w:lang w:val="es-ES"/>
        </w:rPr>
        <w:t>主要有：</w:t>
      </w:r>
    </w:p>
    <w:p w:rsidR="00A83775" w:rsidRDefault="00A83775">
      <w:pPr>
        <w:pStyle w:val="SingleTxtGC"/>
        <w:numPr>
          <w:ilvl w:val="0"/>
          <w:numId w:val="78"/>
        </w:numPr>
        <w:rPr>
          <w:lang w:val="es-ES"/>
        </w:rPr>
      </w:pPr>
      <w:r>
        <w:rPr>
          <w:rFonts w:hint="eastAsia"/>
          <w:lang w:val="es-ES"/>
        </w:rPr>
        <w:t>2005</w:t>
      </w:r>
      <w:r>
        <w:rPr>
          <w:rFonts w:hint="eastAsia"/>
          <w:lang w:val="es-ES"/>
        </w:rPr>
        <w:t>年的第</w:t>
      </w:r>
      <w:r>
        <w:rPr>
          <w:rFonts w:hint="eastAsia"/>
          <w:lang w:val="es-ES"/>
        </w:rPr>
        <w:t>975</w:t>
      </w:r>
      <w:r>
        <w:rPr>
          <w:rFonts w:hint="eastAsia"/>
          <w:lang w:val="es-ES"/>
        </w:rPr>
        <w:t>号《司法与和平法》，通过这一法律颁布了若干旨在使非法武装组织团体人员重新融入社会生活的规定，有效贯彻落实国内和平，同时还颁布了与人道主义协议有关的其他规定；</w:t>
      </w:r>
    </w:p>
    <w:p w:rsidR="00A83775" w:rsidRDefault="00A83775">
      <w:pPr>
        <w:pStyle w:val="SingleTxtGC"/>
        <w:numPr>
          <w:ilvl w:val="0"/>
          <w:numId w:val="78"/>
        </w:numPr>
        <w:rPr>
          <w:lang w:val="es-ES"/>
        </w:rPr>
      </w:pPr>
      <w:r>
        <w:rPr>
          <w:rFonts w:hint="eastAsia"/>
          <w:lang w:val="es-ES"/>
        </w:rPr>
        <w:t>2008</w:t>
      </w:r>
      <w:r>
        <w:rPr>
          <w:rFonts w:hint="eastAsia"/>
          <w:lang w:val="es-ES"/>
        </w:rPr>
        <w:t>年的第</w:t>
      </w:r>
      <w:r>
        <w:rPr>
          <w:rFonts w:hint="eastAsia"/>
          <w:lang w:val="es-ES"/>
        </w:rPr>
        <w:t>1290</w:t>
      </w:r>
      <w:r>
        <w:rPr>
          <w:rFonts w:hint="eastAsia"/>
          <w:lang w:val="es-ES"/>
        </w:rPr>
        <w:t>号法令</w:t>
      </w:r>
      <w:r>
        <w:rPr>
          <w:rFonts w:hint="eastAsia"/>
          <w:spacing w:val="-50"/>
          <w:lang w:val="es-ES"/>
        </w:rPr>
        <w:t>―</w:t>
      </w:r>
      <w:r>
        <w:rPr>
          <w:rFonts w:hint="eastAsia"/>
          <w:lang w:val="es-ES"/>
        </w:rPr>
        <w:t>―个人行政赔偿法，规定了在哥伦比亚武装冲突框架内对相关罪行的受害人进行赔偿的措施。法令中包含了对危害个人的人身自由和性权利的罪行的赔偿规定；</w:t>
      </w:r>
    </w:p>
    <w:p w:rsidR="00A83775" w:rsidRDefault="00A83775">
      <w:pPr>
        <w:pStyle w:val="SingleTxtGC"/>
        <w:numPr>
          <w:ilvl w:val="0"/>
          <w:numId w:val="78"/>
        </w:numPr>
        <w:rPr>
          <w:lang w:val="es-ES"/>
        </w:rPr>
      </w:pPr>
      <w:r>
        <w:rPr>
          <w:rFonts w:hint="eastAsia"/>
          <w:lang w:val="es-ES"/>
        </w:rPr>
        <w:t>2010</w:t>
      </w:r>
      <w:r>
        <w:rPr>
          <w:rFonts w:hint="eastAsia"/>
          <w:lang w:val="es-ES"/>
        </w:rPr>
        <w:t>年</w:t>
      </w:r>
      <w:r>
        <w:rPr>
          <w:rFonts w:hint="eastAsia"/>
          <w:lang w:val="es-ES"/>
        </w:rPr>
        <w:t>7</w:t>
      </w:r>
      <w:r>
        <w:rPr>
          <w:rFonts w:hint="eastAsia"/>
          <w:lang w:val="es-ES"/>
        </w:rPr>
        <w:t>月</w:t>
      </w:r>
      <w:r>
        <w:rPr>
          <w:rFonts w:hint="eastAsia"/>
          <w:lang w:val="es-ES"/>
        </w:rPr>
        <w:t>21</w:t>
      </w:r>
      <w:r>
        <w:rPr>
          <w:rFonts w:hint="eastAsia"/>
          <w:lang w:val="es-ES"/>
        </w:rPr>
        <w:t>日的第</w:t>
      </w:r>
      <w:r>
        <w:rPr>
          <w:rFonts w:hint="eastAsia"/>
          <w:lang w:val="es-ES"/>
        </w:rPr>
        <w:t>11</w:t>
      </w:r>
      <w:r>
        <w:rPr>
          <w:rFonts w:hint="eastAsia"/>
          <w:lang w:val="es-ES"/>
        </w:rPr>
        <w:t>号长期性部门工作方针</w:t>
      </w:r>
      <w:r>
        <w:rPr>
          <w:rFonts w:hint="eastAsia"/>
          <w:spacing w:val="-50"/>
          <w:lang w:val="es-ES"/>
        </w:rPr>
        <w:t>―</w:t>
      </w:r>
      <w:r>
        <w:rPr>
          <w:rFonts w:hint="eastAsia"/>
          <w:lang w:val="es-ES"/>
        </w:rPr>
        <w:t>―对性暴力零容忍，方针中重申了武装部队有义务履行其职责，预防对妇女和女童各类形式的暴力侵害，特别是预防和打击性暴力行为；</w:t>
      </w:r>
    </w:p>
    <w:p w:rsidR="00A83775" w:rsidRDefault="00A83775">
      <w:pPr>
        <w:pStyle w:val="SingleTxtGC"/>
        <w:numPr>
          <w:ilvl w:val="0"/>
          <w:numId w:val="78"/>
        </w:numPr>
        <w:rPr>
          <w:lang w:val="es-ES"/>
        </w:rPr>
      </w:pPr>
      <w:r>
        <w:rPr>
          <w:rFonts w:hint="eastAsia"/>
          <w:lang w:val="es-ES"/>
        </w:rPr>
        <w:t>2006</w:t>
      </w:r>
      <w:r>
        <w:rPr>
          <w:rFonts w:hint="eastAsia"/>
          <w:lang w:val="es-ES"/>
        </w:rPr>
        <w:t>年的第</w:t>
      </w:r>
      <w:r>
        <w:rPr>
          <w:rFonts w:hint="eastAsia"/>
          <w:lang w:val="es-ES"/>
        </w:rPr>
        <w:t>1015</w:t>
      </w:r>
      <w:r>
        <w:rPr>
          <w:rFonts w:hint="eastAsia"/>
          <w:lang w:val="es-ES"/>
        </w:rPr>
        <w:t>号《国家警察纪律法》和</w:t>
      </w:r>
      <w:r>
        <w:rPr>
          <w:rFonts w:hint="eastAsia"/>
          <w:lang w:val="es-ES"/>
        </w:rPr>
        <w:t>2003</w:t>
      </w:r>
      <w:r>
        <w:rPr>
          <w:rFonts w:hint="eastAsia"/>
          <w:lang w:val="es-ES"/>
        </w:rPr>
        <w:t>年的第</w:t>
      </w:r>
      <w:r>
        <w:rPr>
          <w:rFonts w:hint="eastAsia"/>
          <w:lang w:val="es-ES"/>
        </w:rPr>
        <w:t>836</w:t>
      </w:r>
      <w:r>
        <w:rPr>
          <w:rFonts w:hint="eastAsia"/>
          <w:lang w:val="es-ES"/>
        </w:rPr>
        <w:t>号《军风军纪法》；</w:t>
      </w:r>
      <w:r>
        <w:rPr>
          <w:vertAlign w:val="superscript"/>
          <w:lang w:val="es-ES"/>
        </w:rPr>
        <w:footnoteReference w:id="231"/>
      </w:r>
    </w:p>
    <w:p w:rsidR="00A83775" w:rsidRDefault="00A83775">
      <w:pPr>
        <w:pStyle w:val="SingleTxtGC"/>
        <w:numPr>
          <w:ilvl w:val="0"/>
          <w:numId w:val="78"/>
        </w:numPr>
        <w:rPr>
          <w:lang w:val="es-ES"/>
        </w:rPr>
      </w:pPr>
      <w:r>
        <w:rPr>
          <w:rFonts w:hint="eastAsia"/>
          <w:lang w:val="es-ES"/>
        </w:rPr>
        <w:t>2009</w:t>
      </w:r>
      <w:r>
        <w:rPr>
          <w:rFonts w:hint="eastAsia"/>
          <w:lang w:val="es-ES"/>
        </w:rPr>
        <w:t>年的第</w:t>
      </w:r>
      <w:r>
        <w:rPr>
          <w:rFonts w:hint="eastAsia"/>
          <w:lang w:val="es-ES"/>
        </w:rPr>
        <w:t>630134</w:t>
      </w:r>
      <w:r>
        <w:rPr>
          <w:rFonts w:hint="eastAsia"/>
          <w:lang w:val="es-ES"/>
        </w:rPr>
        <w:t>号通告：“尊重和落实妇女人权的控制政策”；</w:t>
      </w:r>
    </w:p>
    <w:p w:rsidR="00A83775" w:rsidRDefault="00A83775">
      <w:pPr>
        <w:pStyle w:val="SingleTxtGC"/>
        <w:numPr>
          <w:ilvl w:val="0"/>
          <w:numId w:val="78"/>
        </w:numPr>
        <w:rPr>
          <w:rFonts w:hint="eastAsia"/>
          <w:lang w:val="es-ES"/>
        </w:rPr>
      </w:pPr>
      <w:r>
        <w:rPr>
          <w:rFonts w:hint="eastAsia"/>
          <w:lang w:val="es-ES"/>
        </w:rPr>
        <w:t>前面已经提到过的</w:t>
      </w:r>
      <w:r>
        <w:rPr>
          <w:rFonts w:hint="eastAsia"/>
          <w:lang w:val="es-ES_tradnl"/>
        </w:rPr>
        <w:t>国家武装部</w:t>
      </w:r>
      <w:r>
        <w:rPr>
          <w:rFonts w:hint="eastAsia"/>
          <w:lang w:val="es-ES_tradnl"/>
        </w:rPr>
        <w:t>2006</w:t>
      </w:r>
      <w:r>
        <w:rPr>
          <w:rFonts w:hint="eastAsia"/>
          <w:lang w:val="es-ES_tradnl"/>
        </w:rPr>
        <w:t>年的第</w:t>
      </w:r>
      <w:r>
        <w:rPr>
          <w:rFonts w:hint="eastAsia"/>
          <w:lang w:val="es-ES_tradnl"/>
        </w:rPr>
        <w:t>1281</w:t>
      </w:r>
      <w:r>
        <w:rPr>
          <w:rFonts w:hint="eastAsia"/>
          <w:lang w:val="es-ES_tradnl"/>
        </w:rPr>
        <w:t>号通知</w:t>
      </w:r>
      <w:r>
        <w:rPr>
          <w:rFonts w:hint="eastAsia"/>
          <w:lang w:val="es-ES"/>
        </w:rPr>
        <w:t>；</w:t>
      </w:r>
    </w:p>
    <w:p w:rsidR="00A83775" w:rsidRDefault="00A83775">
      <w:pPr>
        <w:pStyle w:val="SingleTxtGC"/>
        <w:numPr>
          <w:ilvl w:val="0"/>
          <w:numId w:val="78"/>
        </w:numPr>
        <w:rPr>
          <w:lang w:val="es-ES"/>
        </w:rPr>
      </w:pPr>
      <w:r>
        <w:rPr>
          <w:rFonts w:hint="eastAsia"/>
          <w:lang w:val="es-ES"/>
        </w:rPr>
        <w:t>国家警察总署</w:t>
      </w:r>
      <w:r>
        <w:rPr>
          <w:rFonts w:hint="eastAsia"/>
          <w:lang w:val="es-ES"/>
        </w:rPr>
        <w:t>2007</w:t>
      </w:r>
      <w:r>
        <w:rPr>
          <w:rFonts w:hint="eastAsia"/>
          <w:lang w:val="es-ES"/>
        </w:rPr>
        <w:t>年的第</w:t>
      </w:r>
      <w:r>
        <w:rPr>
          <w:rFonts w:hint="eastAsia"/>
          <w:lang w:val="es-ES"/>
        </w:rPr>
        <w:t>015</w:t>
      </w:r>
      <w:r>
        <w:rPr>
          <w:rFonts w:hint="eastAsia"/>
          <w:lang w:val="es-ES"/>
        </w:rPr>
        <w:t>号指令，通过这一指令规定应在国家警察部门中促进两性平等和公正。</w:t>
      </w:r>
    </w:p>
    <w:p w:rsidR="00A83775" w:rsidRDefault="00A83775">
      <w:pPr>
        <w:pStyle w:val="SingleTxtGC"/>
        <w:rPr>
          <w:bCs/>
          <w:lang w:val="es-ES"/>
        </w:rPr>
      </w:pPr>
      <w:r>
        <w:rPr>
          <w:bCs/>
          <w:lang w:val="es-ES"/>
        </w:rPr>
        <w:t xml:space="preserve">663.  </w:t>
      </w:r>
      <w:r>
        <w:rPr>
          <w:rFonts w:hint="eastAsia"/>
          <w:bCs/>
          <w:lang w:val="es-ES"/>
        </w:rPr>
        <w:t>在本条对应的附件</w:t>
      </w:r>
      <w:r>
        <w:rPr>
          <w:rFonts w:hint="eastAsia"/>
          <w:bCs/>
          <w:lang w:val="es-ES"/>
        </w:rPr>
        <w:t>4</w:t>
      </w:r>
      <w:r>
        <w:rPr>
          <w:rFonts w:hint="eastAsia"/>
          <w:bCs/>
          <w:lang w:val="es-ES"/>
        </w:rPr>
        <w:t>中包含了这些法律的全文。</w:t>
      </w:r>
    </w:p>
    <w:p w:rsidR="00A83775" w:rsidRDefault="00A83775">
      <w:pPr>
        <w:pStyle w:val="H23GC"/>
        <w:rPr>
          <w:lang w:val="es-ES_tradnl"/>
        </w:rPr>
      </w:pPr>
      <w:r>
        <w:rPr>
          <w:lang w:val="es-ES_tradnl"/>
        </w:rPr>
        <w:tab/>
        <w:t>3.</w:t>
      </w:r>
      <w:r>
        <w:rPr>
          <w:lang w:val="es-ES_tradnl"/>
        </w:rPr>
        <w:tab/>
      </w:r>
      <w:r>
        <w:rPr>
          <w:rFonts w:hint="eastAsia"/>
          <w:lang w:val="es-ES_tradnl"/>
        </w:rPr>
        <w:t>新出台或持续推行的措施</w:t>
      </w:r>
    </w:p>
    <w:p w:rsidR="00A83775" w:rsidRDefault="00A83775">
      <w:pPr>
        <w:pStyle w:val="H23GC"/>
        <w:rPr>
          <w:lang w:val="es-ES"/>
        </w:rPr>
      </w:pPr>
      <w:r>
        <w:rPr>
          <w:lang w:val="es-ES"/>
        </w:rPr>
        <w:tab/>
      </w:r>
      <w:r>
        <w:rPr>
          <w:lang w:val="es-ES"/>
        </w:rPr>
        <w:tab/>
      </w:r>
      <w:r>
        <w:rPr>
          <w:rFonts w:hint="eastAsia"/>
          <w:lang w:val="es-ES"/>
        </w:rPr>
        <w:t>规定了对侵犯人权和违反人道主义法行为的受害妇女进行全面关爱、救助和赔偿措施以及其他若干规定的法律草案</w:t>
      </w:r>
      <w:r>
        <w:rPr>
          <w:vertAlign w:val="superscript"/>
          <w:lang w:val="es-ES"/>
        </w:rPr>
        <w:footnoteReference w:id="232"/>
      </w:r>
    </w:p>
    <w:p w:rsidR="00A83775" w:rsidRDefault="00A83775">
      <w:pPr>
        <w:pStyle w:val="SingleTxtGC"/>
        <w:rPr>
          <w:lang w:val="es-ES"/>
        </w:rPr>
      </w:pPr>
      <w:r>
        <w:rPr>
          <w:lang w:val="es-ES"/>
        </w:rPr>
        <w:t xml:space="preserve">664.  </w:t>
      </w:r>
      <w:r>
        <w:rPr>
          <w:rFonts w:hint="eastAsia"/>
          <w:lang w:val="es-ES"/>
        </w:rPr>
        <w:t>法案的目的是将现有的与对暴力受害妇女进行救助、保护和赔偿相关的规定结合起来，并纳入其他相关工具，实施必要机制来落实受害妇女的权利，查明真相、伸张正义并做出赔偿，同时确保人权遭受侵犯的悲剧不再重演。</w:t>
      </w:r>
      <w:r>
        <w:rPr>
          <w:vertAlign w:val="superscript"/>
          <w:lang w:val="es-ES"/>
        </w:rPr>
        <w:footnoteReference w:id="233"/>
      </w:r>
      <w:r>
        <w:rPr>
          <w:lang w:val="es-ES"/>
        </w:rPr>
        <w:t xml:space="preserve"> </w:t>
      </w:r>
    </w:p>
    <w:p w:rsidR="00A83775" w:rsidRDefault="00A83775">
      <w:pPr>
        <w:pStyle w:val="SingleTxtGC"/>
        <w:rPr>
          <w:lang w:val="zh-CN"/>
        </w:rPr>
      </w:pPr>
      <w:r>
        <w:rPr>
          <w:lang w:val="es-ES"/>
        </w:rPr>
        <w:t xml:space="preserve">665.  </w:t>
      </w:r>
      <w:r>
        <w:rPr>
          <w:rFonts w:hint="eastAsia"/>
          <w:lang w:val="es-ES"/>
        </w:rPr>
        <w:t>法案力求打造一个针对非法武装团体受害妇女的救助和赔偿国家体系，将所有遭受暴力侵害的妇女都纳入体系中，不因性别、种族、人种、民族或政见而区别对待。法案力争能够全面落实对暴力受害妇女的赔偿，落实和恢复受害妇女在以下领域的最基本的权利：卫生、教育、住房，并为受害妇女提供最起码的机会的条件，使其能够重新规划其生活，恢复到其遭受暴力侵害和欺辱前的状态和条件。法</w:t>
      </w:r>
      <w:r>
        <w:rPr>
          <w:rFonts w:hint="eastAsia"/>
          <w:lang w:val="zh-CN"/>
        </w:rPr>
        <w:t>案颁布了若干综合性赔偿措施，以便受害妇女的伤害得到恢复并重新融入社会生活，确保悲剧不再重演，满足其正当需求并融入到社会大家庭中。</w:t>
      </w:r>
    </w:p>
    <w:p w:rsidR="00A83775" w:rsidRDefault="00A83775">
      <w:pPr>
        <w:pStyle w:val="SingleTxtGC"/>
        <w:rPr>
          <w:lang w:val="es-ES"/>
        </w:rPr>
      </w:pPr>
      <w:r>
        <w:rPr>
          <w:lang w:val="zh-CN"/>
        </w:rPr>
        <w:t xml:space="preserve">666.  </w:t>
      </w:r>
      <w:r>
        <w:rPr>
          <w:rFonts w:hint="eastAsia"/>
          <w:lang w:val="zh-CN"/>
        </w:rPr>
        <w:t>法案所主张的一项基本原则就是平等原则，并主张在其实施过程中纳入差别化观点。</w:t>
      </w:r>
      <w:r>
        <w:rPr>
          <w:vertAlign w:val="superscript"/>
          <w:lang w:val="zh-CN"/>
        </w:rPr>
        <w:footnoteReference w:id="234"/>
      </w:r>
      <w:r>
        <w:t xml:space="preserve"> </w:t>
      </w:r>
      <w:r>
        <w:rPr>
          <w:rFonts w:hint="eastAsia"/>
          <w:lang w:val="zh-CN"/>
        </w:rPr>
        <w:t>如此便能够确保在对性暴力和性别暴力受害者的关爱工作中由具备专业素质的人员提供有针对性的医疗救治和心理辅导，为受害妇女提供咨询和帮助服务，制定专门的救助和保护模式及有针对性的性暴力问题诉讼和审理规则；法案中包含一项能够为妇女在收回土地的过程中提供额外保障的专门规定；还有一章内容特别谈到</w:t>
      </w:r>
      <w:r>
        <w:rPr>
          <w:rFonts w:hint="eastAsia"/>
          <w:lang w:val="es-ES"/>
        </w:rPr>
        <w:t>了为儿童和青少年提供保护和保障这一问题；在法案的内容中多次提到要努力确保对受害妇女进行保护、救助和赔偿并确保其参与这一进程。</w:t>
      </w:r>
    </w:p>
    <w:p w:rsidR="00A83775" w:rsidRDefault="00A83775">
      <w:pPr>
        <w:pStyle w:val="SingleTxtGC"/>
      </w:pPr>
      <w:r>
        <w:rPr>
          <w:lang w:val="es-ES"/>
        </w:rPr>
        <w:t xml:space="preserve">667.  </w:t>
      </w:r>
      <w:r>
        <w:rPr>
          <w:rFonts w:eastAsia="SimHei" w:hint="eastAsia"/>
          <w:lang w:val="es-ES"/>
        </w:rPr>
        <w:t>集体赔偿制度方案</w:t>
      </w:r>
      <w:r>
        <w:rPr>
          <w:rFonts w:hint="eastAsia"/>
          <w:lang w:val="es-ES"/>
        </w:rPr>
        <w:t>（国家赔偿与和解委员会）。</w:t>
      </w:r>
      <w:r>
        <w:rPr>
          <w:rFonts w:hint="eastAsia"/>
          <w:lang w:val="es-ES"/>
        </w:rPr>
        <w:t>2011</w:t>
      </w:r>
      <w:r>
        <w:rPr>
          <w:rFonts w:hint="eastAsia"/>
          <w:lang w:val="es-ES"/>
        </w:rPr>
        <w:t>年</w:t>
      </w:r>
      <w:r>
        <w:rPr>
          <w:rFonts w:hint="eastAsia"/>
          <w:lang w:val="es-ES"/>
        </w:rPr>
        <w:t>7</w:t>
      </w:r>
      <w:r>
        <w:rPr>
          <w:rFonts w:hint="eastAsia"/>
          <w:lang w:val="es-ES"/>
        </w:rPr>
        <w:t>月，国家赔偿与和解</w:t>
      </w:r>
      <w:r>
        <w:rPr>
          <w:rFonts w:hint="eastAsia"/>
          <w:lang w:val="zh-CN"/>
        </w:rPr>
        <w:t>委员会就如何对</w:t>
      </w:r>
      <w:r>
        <w:rPr>
          <w:rFonts w:hint="eastAsia"/>
          <w:lang w:val="zh-CN"/>
        </w:rPr>
        <w:t>2007</w:t>
      </w:r>
      <w:r>
        <w:rPr>
          <w:rFonts w:hint="eastAsia"/>
          <w:lang w:val="zh-CN"/>
        </w:rPr>
        <w:t>年以来如何为国内受武装冲突影响最严重的社区、组织和地区进行修复和赔偿这一问题提交了结论性意见。</w:t>
      </w:r>
    </w:p>
    <w:p w:rsidR="00A83775" w:rsidRDefault="00A83775">
      <w:pPr>
        <w:pStyle w:val="SingleTxtGC"/>
        <w:rPr>
          <w:lang w:val="es-ES"/>
        </w:rPr>
      </w:pPr>
      <w:r>
        <w:rPr>
          <w:lang w:val="zh-CN"/>
        </w:rPr>
        <w:t xml:space="preserve">668.  </w:t>
      </w:r>
      <w:r>
        <w:rPr>
          <w:rFonts w:hint="eastAsia"/>
          <w:lang w:val="zh-CN"/>
        </w:rPr>
        <w:t>对妇女在面对杀伤性地雷威胁时所遭受的各类风险以及在暴力事件发生后所遭受的各类影响的分析报告。《杀伤性地雷全面处置行动总统计划》正处于这一分析报</w:t>
      </w:r>
      <w:r>
        <w:rPr>
          <w:rFonts w:hint="eastAsia"/>
          <w:lang w:val="en-GB"/>
        </w:rPr>
        <w:t>告编制工作的第一阶段。这一文件为制定有针对性的干预战略、采取预防措施和对受害妇女进行全面关爱，在排雷工作中充分考虑性别问题奠定了基础，以此来确保农村地区</w:t>
      </w:r>
      <w:r>
        <w:rPr>
          <w:lang w:val="zh-CN"/>
        </w:rPr>
        <w:t>杀伤性地雷</w:t>
      </w:r>
      <w:r>
        <w:rPr>
          <w:lang w:val="zh-CN"/>
        </w:rPr>
        <w:t>/</w:t>
      </w:r>
      <w:r>
        <w:rPr>
          <w:lang w:val="zh-CN"/>
        </w:rPr>
        <w:t>未爆弹药</w:t>
      </w:r>
      <w:r>
        <w:rPr>
          <w:rFonts w:hint="eastAsia"/>
          <w:lang w:val="zh-CN"/>
        </w:rPr>
        <w:t>的受害妇女的权利得到有效落实。</w:t>
      </w:r>
    </w:p>
    <w:p w:rsidR="00A83775" w:rsidRDefault="00A83775">
      <w:pPr>
        <w:pStyle w:val="SingleTxtGC"/>
        <w:rPr>
          <w:lang w:val="es-ES"/>
        </w:rPr>
      </w:pPr>
      <w:r>
        <w:rPr>
          <w:lang w:val="es-ES"/>
        </w:rPr>
        <w:t xml:space="preserve">669.  </w:t>
      </w:r>
      <w:r>
        <w:rPr>
          <w:rFonts w:eastAsia="SimHei" w:hint="eastAsia"/>
          <w:lang w:val="es-ES"/>
        </w:rPr>
        <w:t>针对复员人口实施的两性平等战略－哥伦比亚重返社会事务局</w:t>
      </w:r>
      <w:r>
        <w:rPr>
          <w:rFonts w:hint="eastAsia"/>
          <w:lang w:val="es-ES"/>
        </w:rPr>
        <w:t>。致力于增加正处于重返社会阶段的妇女的创收途径，将性别观点纳入到所有的重新融入到</w:t>
      </w:r>
      <w:r>
        <w:rPr>
          <w:rFonts w:hint="eastAsia"/>
          <w:lang w:val="zh-CN"/>
        </w:rPr>
        <w:t>社会</w:t>
      </w:r>
      <w:r>
        <w:rPr>
          <w:rFonts w:hint="eastAsia"/>
          <w:lang w:val="es-ES"/>
        </w:rPr>
        <w:t>经济的服务中。这是考虑到在重返社会和性别问题上所面临的一项主要挑战就是要克服在重返社会过程中男性和女性在收入上存在的差距。</w:t>
      </w:r>
    </w:p>
    <w:p w:rsidR="00A83775" w:rsidRDefault="00A83775">
      <w:pPr>
        <w:pStyle w:val="H1GC"/>
        <w:rPr>
          <w:lang w:val="es-ES_tradnl"/>
        </w:rPr>
      </w:pPr>
      <w:r>
        <w:rPr>
          <w:lang w:val="es-ES_tradnl"/>
        </w:rPr>
        <w:tab/>
        <w:t>B.</w:t>
      </w:r>
      <w:r>
        <w:rPr>
          <w:lang w:val="es-ES_tradnl"/>
        </w:rPr>
        <w:tab/>
      </w:r>
      <w:r>
        <w:rPr>
          <w:rFonts w:hint="eastAsia"/>
          <w:lang w:val="es-ES_tradnl"/>
        </w:rPr>
        <w:t>关爱流离失所人口</w:t>
      </w:r>
    </w:p>
    <w:p w:rsidR="00A83775" w:rsidRDefault="00A83775">
      <w:pPr>
        <w:pStyle w:val="SingleTxtGC"/>
        <w:rPr>
          <w:lang w:val="es-ES_tradnl"/>
        </w:rPr>
      </w:pPr>
      <w:r>
        <w:rPr>
          <w:lang w:val="es-ES_tradnl"/>
        </w:rPr>
        <w:t xml:space="preserve">670.  </w:t>
      </w:r>
      <w:r>
        <w:rPr>
          <w:rFonts w:hint="eastAsia"/>
          <w:lang w:val="zh-CN"/>
        </w:rPr>
        <w:t>本节内容与委员会向哥伦比亚提出的具体建议</w:t>
      </w:r>
      <w:r>
        <w:rPr>
          <w:rFonts w:hint="eastAsia"/>
          <w:lang w:val="es-ES_tradnl"/>
        </w:rPr>
        <w:t>（</w:t>
      </w:r>
      <w:r>
        <w:rPr>
          <w:lang w:val="es-ES_tradnl"/>
        </w:rPr>
        <w:t>CEDAW/C/COL/CO/6</w:t>
      </w:r>
      <w:r>
        <w:rPr>
          <w:rFonts w:hint="eastAsia"/>
          <w:lang w:val="es-ES_tradnl"/>
        </w:rPr>
        <w:t>，</w:t>
      </w:r>
      <w:r>
        <w:rPr>
          <w:rFonts w:hint="eastAsia"/>
          <w:lang w:val="zh-CN"/>
        </w:rPr>
        <w:t>第</w:t>
      </w:r>
      <w:r>
        <w:rPr>
          <w:rFonts w:hint="eastAsia"/>
          <w:lang w:val="es-ES_tradnl"/>
        </w:rPr>
        <w:t>13</w:t>
      </w:r>
      <w:r>
        <w:rPr>
          <w:rFonts w:hint="eastAsia"/>
          <w:lang w:val="zh-CN"/>
        </w:rPr>
        <w:t>段</w:t>
      </w:r>
      <w:r>
        <w:rPr>
          <w:rFonts w:hint="eastAsia"/>
          <w:lang w:val="es-ES_tradnl"/>
        </w:rPr>
        <w:t>）</w:t>
      </w:r>
      <w:r>
        <w:rPr>
          <w:rFonts w:hint="eastAsia"/>
          <w:lang w:val="zh-CN"/>
        </w:rPr>
        <w:t>有关。</w:t>
      </w:r>
    </w:p>
    <w:p w:rsidR="00A83775" w:rsidRDefault="00A83775">
      <w:pPr>
        <w:pStyle w:val="SingleTxtGC"/>
        <w:rPr>
          <w:lang w:val="es-ES"/>
        </w:rPr>
      </w:pPr>
      <w:r>
        <w:rPr>
          <w:lang w:val="zh-CN"/>
        </w:rPr>
        <w:t xml:space="preserve">671.  </w:t>
      </w:r>
      <w:r>
        <w:rPr>
          <w:rFonts w:hint="eastAsia"/>
          <w:lang w:val="zh-CN"/>
        </w:rPr>
        <w:t>哥伦比亚将对其用于向被迫流离失所的受害妇女提供差别化的全面关爱的方案、</w:t>
      </w:r>
      <w:r>
        <w:rPr>
          <w:rFonts w:hint="eastAsia"/>
          <w:bCs/>
          <w:lang w:val="es-ES"/>
        </w:rPr>
        <w:t>战略、立法和司法措施以及计划在以后开展的项目进行介绍。</w:t>
      </w:r>
    </w:p>
    <w:p w:rsidR="00A83775" w:rsidRDefault="00A83775">
      <w:pPr>
        <w:pStyle w:val="H23GC"/>
        <w:rPr>
          <w:rFonts w:hint="eastAsia"/>
          <w:lang w:val="es-ES_tradnl"/>
        </w:rPr>
      </w:pPr>
      <w:r>
        <w:rPr>
          <w:lang w:val="es-ES_tradnl"/>
        </w:rPr>
        <w:tab/>
        <w:t>1.</w:t>
      </w:r>
      <w:r>
        <w:rPr>
          <w:lang w:val="es-ES_tradnl"/>
        </w:rPr>
        <w:tab/>
      </w:r>
      <w:r>
        <w:rPr>
          <w:rFonts w:hint="eastAsia"/>
          <w:lang w:val="es-ES_tradnl"/>
        </w:rPr>
        <w:t>行政措施</w:t>
      </w:r>
    </w:p>
    <w:p w:rsidR="00A83775" w:rsidRDefault="00A83775">
      <w:pPr>
        <w:pStyle w:val="SingleTxtGC"/>
        <w:rPr>
          <w:lang w:val="zh-CN"/>
        </w:rPr>
      </w:pPr>
      <w:r>
        <w:rPr>
          <w:lang w:val="es-ES"/>
        </w:rPr>
        <w:t xml:space="preserve">672.  </w:t>
      </w:r>
      <w:r>
        <w:rPr>
          <w:rFonts w:hint="eastAsia"/>
          <w:lang w:val="es-ES"/>
        </w:rPr>
        <w:t>哥伦比亚将关爱被迫流离失所的暴力受害妇女并确保有效落实其权利列为一项宪法责任和法定义务。国家政府已经从深层次上考虑到要将差别化的性别观点</w:t>
      </w:r>
      <w:r>
        <w:rPr>
          <w:rFonts w:hint="eastAsia"/>
          <w:lang w:val="zh-CN"/>
        </w:rPr>
        <w:t>纳入到关爱流离失所人口的公共政策中，为此开发了相应技术，出台了一系列的方案、项目和专项行动，在流离失所框架内认清妇女所面临的风险及其弱势状况并应对这些问题。</w:t>
      </w:r>
    </w:p>
    <w:p w:rsidR="00A83775" w:rsidRDefault="00A83775">
      <w:pPr>
        <w:pStyle w:val="SingleTxtGC"/>
        <w:rPr>
          <w:lang w:val="es-CO"/>
        </w:rPr>
      </w:pPr>
      <w:r>
        <w:rPr>
          <w:lang w:val="zh-CN"/>
        </w:rPr>
        <w:t xml:space="preserve">673.  </w:t>
      </w:r>
      <w:r>
        <w:rPr>
          <w:rFonts w:hint="eastAsia"/>
          <w:lang w:val="zh-CN"/>
        </w:rPr>
        <w:t>出于这个原因，自</w:t>
      </w:r>
      <w:r>
        <w:rPr>
          <w:rFonts w:hint="eastAsia"/>
          <w:lang w:val="zh-CN"/>
        </w:rPr>
        <w:t>2006</w:t>
      </w:r>
      <w:r>
        <w:rPr>
          <w:rFonts w:hint="eastAsia"/>
          <w:lang w:val="zh-CN"/>
        </w:rPr>
        <w:t>年开始，妇女平等事务总统高级顾问办公室和难民署就签署了一份合作协议，其主要成果就是设计制定了从性别差别化角度对流离失所人口提供全面关爱的指导方针；面向公务员、妇女群体和流离失所妇女就性别和流离失所问题开展培训；向全面关爱流离失所人口政策的责任单位提供技术支持；并</w:t>
      </w:r>
      <w:r>
        <w:rPr>
          <w:rFonts w:hint="eastAsia"/>
          <w:lang w:val="es-CO"/>
        </w:rPr>
        <w:t>以参与性诊断分析为基础在地方上开展试点项目，目的是结合国家一级和地方一级的行政主管单位的力量共同贯彻落实工作指导方针。在这一框架内，设计了相应的行动计划并下发给各市的流离失所人口关爱委员会具体执行。</w:t>
      </w:r>
    </w:p>
    <w:p w:rsidR="00A83775" w:rsidRDefault="00A83775">
      <w:pPr>
        <w:pStyle w:val="SingleTxtGC"/>
        <w:rPr>
          <w:lang w:val="es-CO"/>
        </w:rPr>
      </w:pPr>
      <w:r>
        <w:rPr>
          <w:lang w:val="es-CO"/>
        </w:rPr>
        <w:t xml:space="preserve">674.  </w:t>
      </w:r>
      <w:r>
        <w:rPr>
          <w:rFonts w:hint="eastAsia"/>
          <w:lang w:val="es-CO"/>
        </w:rPr>
        <w:t>2008</w:t>
      </w:r>
      <w:r>
        <w:rPr>
          <w:rFonts w:hint="eastAsia"/>
          <w:lang w:val="es-CO"/>
        </w:rPr>
        <w:t>年，为监督执行第</w:t>
      </w:r>
      <w:r>
        <w:rPr>
          <w:rFonts w:hint="eastAsia"/>
          <w:lang w:val="es-CO"/>
        </w:rPr>
        <w:t>025</w:t>
      </w:r>
      <w:r>
        <w:rPr>
          <w:rFonts w:hint="eastAsia"/>
          <w:lang w:val="es-CO"/>
        </w:rPr>
        <w:t>号救济判决，宪法法院下达了第</w:t>
      </w:r>
      <w:r>
        <w:rPr>
          <w:rFonts w:hint="eastAsia"/>
          <w:lang w:val="es-CO"/>
        </w:rPr>
        <w:t>092</w:t>
      </w:r>
      <w:r>
        <w:rPr>
          <w:rFonts w:hint="eastAsia"/>
          <w:lang w:val="es-CO"/>
        </w:rPr>
        <w:t>号和第</w:t>
      </w:r>
      <w:r>
        <w:rPr>
          <w:rFonts w:hint="eastAsia"/>
          <w:lang w:val="es-CO"/>
        </w:rPr>
        <w:t>387</w:t>
      </w:r>
      <w:r>
        <w:rPr>
          <w:rFonts w:hint="eastAsia"/>
          <w:lang w:val="es-CO"/>
        </w:rPr>
        <w:t>号裁决，敦促国家政府制定</w:t>
      </w:r>
      <w:r>
        <w:rPr>
          <w:rFonts w:hint="eastAsia"/>
          <w:lang w:val="es-CO"/>
        </w:rPr>
        <w:t>13</w:t>
      </w:r>
      <w:r>
        <w:rPr>
          <w:rFonts w:hint="eastAsia"/>
          <w:lang w:val="es-CO"/>
        </w:rPr>
        <w:t>项专门针对有流离失所风险或处于流离失所状况的妇女的方案：</w:t>
      </w:r>
    </w:p>
    <w:p w:rsidR="00A83775" w:rsidRDefault="00A83775">
      <w:pPr>
        <w:pStyle w:val="SingleTxtGC"/>
        <w:numPr>
          <w:ilvl w:val="0"/>
          <w:numId w:val="85"/>
        </w:numPr>
        <w:rPr>
          <w:lang w:val="es-CO"/>
        </w:rPr>
      </w:pPr>
      <w:r>
        <w:rPr>
          <w:rFonts w:hint="eastAsia"/>
          <w:lang w:val="es-CO"/>
        </w:rPr>
        <w:t>预防对流离失所妇女的性暴力侵害并对受害妇女提供全面关爱的方案；</w:t>
      </w:r>
    </w:p>
    <w:p w:rsidR="00A83775" w:rsidRDefault="00A83775">
      <w:pPr>
        <w:pStyle w:val="SingleTxtGC"/>
        <w:numPr>
          <w:ilvl w:val="0"/>
          <w:numId w:val="85"/>
        </w:numPr>
        <w:rPr>
          <w:lang w:val="es-CO"/>
        </w:rPr>
      </w:pPr>
      <w:r>
        <w:rPr>
          <w:rFonts w:hint="eastAsia"/>
          <w:lang w:val="es-CO"/>
        </w:rPr>
        <w:t>预防对流离失所妇女的家庭内暴力和社区暴力并对受害妇女提供全面关爱的方案；</w:t>
      </w:r>
    </w:p>
    <w:p w:rsidR="00A83775" w:rsidRDefault="00A83775">
      <w:pPr>
        <w:pStyle w:val="SingleTxtGC"/>
        <w:numPr>
          <w:ilvl w:val="0"/>
          <w:numId w:val="85"/>
        </w:numPr>
        <w:rPr>
          <w:lang w:val="es-CO"/>
        </w:rPr>
      </w:pPr>
      <w:r>
        <w:rPr>
          <w:rFonts w:hint="eastAsia"/>
          <w:lang w:val="es-CO"/>
        </w:rPr>
        <w:t>流离失所妇女保健方案；</w:t>
      </w:r>
    </w:p>
    <w:p w:rsidR="00A83775" w:rsidRDefault="00A83775">
      <w:pPr>
        <w:pStyle w:val="SingleTxtGC"/>
        <w:numPr>
          <w:ilvl w:val="0"/>
          <w:numId w:val="85"/>
        </w:numPr>
        <w:rPr>
          <w:lang w:val="es-CO"/>
        </w:rPr>
      </w:pPr>
      <w:r>
        <w:rPr>
          <w:rFonts w:hint="eastAsia"/>
          <w:lang w:val="es-CO"/>
        </w:rPr>
        <w:t>妇女生产劳动方案；</w:t>
      </w:r>
    </w:p>
    <w:p w:rsidR="00A83775" w:rsidRDefault="00A83775">
      <w:pPr>
        <w:pStyle w:val="SingleTxtGC"/>
        <w:numPr>
          <w:ilvl w:val="0"/>
          <w:numId w:val="85"/>
        </w:numPr>
        <w:rPr>
          <w:lang w:val="es-CO"/>
        </w:rPr>
      </w:pPr>
      <w:r>
        <w:rPr>
          <w:rFonts w:hint="eastAsia"/>
          <w:lang w:val="es-CO"/>
        </w:rPr>
        <w:t>对</w:t>
      </w:r>
      <w:r>
        <w:rPr>
          <w:rFonts w:hint="eastAsia"/>
          <w:lang w:val="es-CO"/>
        </w:rPr>
        <w:t>15</w:t>
      </w:r>
      <w:r>
        <w:rPr>
          <w:rFonts w:hint="eastAsia"/>
          <w:lang w:val="es-CO"/>
        </w:rPr>
        <w:t>岁以上流离失所妇女的教育支持方案；</w:t>
      </w:r>
    </w:p>
    <w:p w:rsidR="00A83775" w:rsidRDefault="00A83775">
      <w:pPr>
        <w:pStyle w:val="SingleTxtGC"/>
        <w:numPr>
          <w:ilvl w:val="0"/>
          <w:numId w:val="85"/>
        </w:numPr>
        <w:rPr>
          <w:lang w:val="es-CO"/>
        </w:rPr>
      </w:pPr>
      <w:r>
        <w:rPr>
          <w:rFonts w:hint="eastAsia"/>
          <w:lang w:val="es-CO"/>
        </w:rPr>
        <w:t>为流离失所妇女获得土地产权提供便利的方案；</w:t>
      </w:r>
    </w:p>
    <w:p w:rsidR="00A83775" w:rsidRDefault="00A83775">
      <w:pPr>
        <w:pStyle w:val="SingleTxtGC"/>
        <w:numPr>
          <w:ilvl w:val="0"/>
          <w:numId w:val="85"/>
        </w:numPr>
        <w:rPr>
          <w:lang w:val="es-CO"/>
        </w:rPr>
      </w:pPr>
      <w:r>
        <w:rPr>
          <w:rFonts w:hint="eastAsia"/>
          <w:lang w:val="es-CO"/>
        </w:rPr>
        <w:t>促进流离失所妇女参与社会生活，预防对流离失所妇女领袖或因在促进社会进步或促进人权方面的卓越努力而赢得社会关注的女性的暴力侵害的方案；</w:t>
      </w:r>
    </w:p>
    <w:p w:rsidR="00A83775" w:rsidRDefault="00A83775">
      <w:pPr>
        <w:pStyle w:val="SingleTxtGC"/>
        <w:numPr>
          <w:ilvl w:val="0"/>
          <w:numId w:val="85"/>
        </w:numPr>
        <w:rPr>
          <w:lang w:val="es-CO"/>
        </w:rPr>
      </w:pPr>
      <w:r>
        <w:rPr>
          <w:rFonts w:hint="eastAsia"/>
          <w:lang w:val="es-CO"/>
        </w:rPr>
        <w:t>对流离失所妇女的心理辅导方案；</w:t>
      </w:r>
    </w:p>
    <w:p w:rsidR="00A83775" w:rsidRDefault="00A83775">
      <w:pPr>
        <w:pStyle w:val="SingleTxtGC"/>
        <w:numPr>
          <w:ilvl w:val="0"/>
          <w:numId w:val="85"/>
        </w:numPr>
        <w:rPr>
          <w:lang w:val="es-CO"/>
        </w:rPr>
      </w:pPr>
      <w:r>
        <w:rPr>
          <w:rFonts w:hint="eastAsia"/>
          <w:lang w:val="es-CO"/>
        </w:rPr>
        <w:t>消除流离失所妇女在获得保护系统的庇护方面所面临的障碍的方案；</w:t>
      </w:r>
    </w:p>
    <w:p w:rsidR="00A83775" w:rsidRDefault="00A83775">
      <w:pPr>
        <w:pStyle w:val="SingleTxtGC"/>
        <w:numPr>
          <w:ilvl w:val="0"/>
          <w:numId w:val="85"/>
        </w:numPr>
        <w:rPr>
          <w:lang w:val="es-CO"/>
        </w:rPr>
      </w:pPr>
      <w:r>
        <w:rPr>
          <w:rFonts w:hint="eastAsia"/>
          <w:lang w:val="es-CO"/>
        </w:rPr>
        <w:t>预防流离失所问题对女性产生更严重影响的方案；</w:t>
      </w:r>
    </w:p>
    <w:p w:rsidR="00A83775" w:rsidRDefault="00A83775">
      <w:pPr>
        <w:pStyle w:val="SingleTxtGC"/>
        <w:numPr>
          <w:ilvl w:val="0"/>
          <w:numId w:val="85"/>
        </w:numPr>
        <w:rPr>
          <w:lang w:val="es-CO"/>
        </w:rPr>
      </w:pPr>
      <w:r>
        <w:rPr>
          <w:rFonts w:hint="eastAsia"/>
          <w:lang w:val="es-CO"/>
        </w:rPr>
        <w:t>保护流离失所的土著妇女权利的方案；</w:t>
      </w:r>
    </w:p>
    <w:p w:rsidR="00A83775" w:rsidRDefault="00A83775">
      <w:pPr>
        <w:pStyle w:val="SingleTxtGC"/>
        <w:numPr>
          <w:ilvl w:val="0"/>
          <w:numId w:val="85"/>
        </w:numPr>
        <w:rPr>
          <w:lang w:val="es-CO"/>
        </w:rPr>
      </w:pPr>
      <w:r>
        <w:rPr>
          <w:rFonts w:hint="eastAsia"/>
          <w:lang w:val="es-CO"/>
        </w:rPr>
        <w:t>保护流离失所的非洲裔妇女权利的方案；</w:t>
      </w:r>
    </w:p>
    <w:p w:rsidR="00A83775" w:rsidRDefault="00A83775">
      <w:pPr>
        <w:pStyle w:val="SingleTxtGC"/>
        <w:numPr>
          <w:ilvl w:val="0"/>
          <w:numId w:val="85"/>
        </w:numPr>
        <w:rPr>
          <w:rFonts w:hint="eastAsia"/>
          <w:lang w:val="es-CO"/>
        </w:rPr>
      </w:pPr>
      <w:r>
        <w:rPr>
          <w:rFonts w:hint="eastAsia"/>
          <w:lang w:val="es-CO"/>
        </w:rPr>
        <w:t>保障流离失所的受害妇女的权利，为其伸张正义、查明真相、争取赔偿并确保悲剧不再重演的方案。</w:t>
      </w:r>
    </w:p>
    <w:p w:rsidR="00A83775" w:rsidRDefault="00A83775">
      <w:pPr>
        <w:pStyle w:val="SingleTxtGC"/>
        <w:rPr>
          <w:lang w:val="zh-CN"/>
        </w:rPr>
      </w:pPr>
      <w:r>
        <w:rPr>
          <w:lang w:val="es-CO"/>
        </w:rPr>
        <w:t xml:space="preserve">675.  </w:t>
      </w:r>
      <w:r>
        <w:rPr>
          <w:rFonts w:hint="eastAsia"/>
          <w:lang w:val="es-CO"/>
        </w:rPr>
        <w:t>国家政府已经制定了上述十三项方案，但是，当前已投入实施的只有</w:t>
      </w:r>
      <w:r>
        <w:rPr>
          <w:rFonts w:hint="eastAsia"/>
          <w:lang w:val="es-CO"/>
        </w:rPr>
        <w:t>10</w:t>
      </w:r>
      <w:r>
        <w:rPr>
          <w:rFonts w:hint="eastAsia"/>
          <w:lang w:val="es-CO"/>
        </w:rPr>
        <w:t>项。</w:t>
      </w:r>
      <w:r>
        <w:rPr>
          <w:vertAlign w:val="superscript"/>
          <w:lang w:val="es-CO"/>
        </w:rPr>
        <w:footnoteReference w:id="235"/>
      </w:r>
      <w:r>
        <w:rPr>
          <w:rFonts w:hint="eastAsia"/>
          <w:lang w:val="es-CO"/>
        </w:rPr>
        <w:t xml:space="preserve"> </w:t>
      </w:r>
      <w:r>
        <w:rPr>
          <w:rFonts w:hint="eastAsia"/>
          <w:lang w:val="es-CO"/>
        </w:rPr>
        <w:t>接</w:t>
      </w:r>
      <w:r>
        <w:rPr>
          <w:rFonts w:hint="eastAsia"/>
          <w:lang w:val="zh-CN"/>
        </w:rPr>
        <w:t>下来我们将介绍一下在这些方案执行进程中所取得的一些进步以及遇到的一些困难。</w:t>
      </w:r>
    </w:p>
    <w:p w:rsidR="00A83775" w:rsidRDefault="00A83775">
      <w:pPr>
        <w:pStyle w:val="SingleTxtGC"/>
        <w:rPr>
          <w:lang w:val="es-ES"/>
        </w:rPr>
      </w:pPr>
      <w:r>
        <w:rPr>
          <w:lang w:val="zh-CN"/>
        </w:rPr>
        <w:t xml:space="preserve">676.  </w:t>
      </w:r>
      <w:r>
        <w:rPr>
          <w:rFonts w:hint="eastAsia"/>
          <w:lang w:val="zh-CN"/>
        </w:rPr>
        <w:t>已经</w:t>
      </w:r>
      <w:r>
        <w:rPr>
          <w:rFonts w:hint="eastAsia"/>
          <w:lang w:val="es-ES"/>
        </w:rPr>
        <w:t>取得的成果如下：</w:t>
      </w:r>
      <w:r>
        <w:rPr>
          <w:vertAlign w:val="superscript"/>
          <w:lang w:val="es-ES"/>
        </w:rPr>
        <w:footnoteReference w:id="236"/>
      </w:r>
      <w:r>
        <w:rPr>
          <w:lang w:val="es-ES"/>
        </w:rPr>
        <w:t xml:space="preserve"> </w:t>
      </w:r>
    </w:p>
    <w:p w:rsidR="00A83775" w:rsidRDefault="00A83775">
      <w:pPr>
        <w:pStyle w:val="SingleTxtGC"/>
        <w:numPr>
          <w:ilvl w:val="0"/>
          <w:numId w:val="80"/>
        </w:numPr>
        <w:rPr>
          <w:lang w:val="es-MX"/>
        </w:rPr>
      </w:pPr>
      <w:r>
        <w:rPr>
          <w:rFonts w:hint="eastAsia"/>
          <w:lang w:val="es-ES"/>
        </w:rPr>
        <w:t>促进和保护面临流离失所风险或处于流离失所状况妇女的基本权利的国家战略；</w:t>
      </w:r>
    </w:p>
    <w:p w:rsidR="00A83775" w:rsidRDefault="00A83775">
      <w:pPr>
        <w:pStyle w:val="SingleTxtGC"/>
        <w:numPr>
          <w:ilvl w:val="0"/>
          <w:numId w:val="80"/>
        </w:numPr>
        <w:rPr>
          <w:lang w:val="es-ES"/>
        </w:rPr>
      </w:pPr>
      <w:r>
        <w:rPr>
          <w:rFonts w:hint="eastAsia"/>
          <w:lang w:val="es-ES"/>
        </w:rPr>
        <w:t>在安蒂奥基亚、玻利瓦尔、苏克雷、瓜维亚雷和波哥大五个省份举办五场旨在推动实施相关方案的地方讲习班；</w:t>
      </w:r>
    </w:p>
    <w:p w:rsidR="00A83775" w:rsidRDefault="00A83775">
      <w:pPr>
        <w:pStyle w:val="SingleTxtGC"/>
        <w:pageBreakBefore/>
        <w:numPr>
          <w:ilvl w:val="0"/>
          <w:numId w:val="80"/>
        </w:numPr>
        <w:rPr>
          <w:rFonts w:hint="eastAsia"/>
          <w:lang w:val="es-ES"/>
        </w:rPr>
      </w:pPr>
      <w:r>
        <w:rPr>
          <w:rFonts w:hint="eastAsia"/>
          <w:lang w:val="es-ES"/>
        </w:rPr>
        <w:t>针对</w:t>
      </w:r>
      <w:r>
        <w:rPr>
          <w:rFonts w:hint="eastAsia"/>
          <w:lang w:val="es-ES"/>
        </w:rPr>
        <w:t>10</w:t>
      </w:r>
      <w:r>
        <w:rPr>
          <w:rFonts w:hint="eastAsia"/>
          <w:lang w:val="es-ES"/>
        </w:rPr>
        <w:t>项具体方案制定</w:t>
      </w:r>
      <w:r>
        <w:rPr>
          <w:rFonts w:hint="eastAsia"/>
          <w:lang w:val="es-ES"/>
        </w:rPr>
        <w:t>10</w:t>
      </w:r>
      <w:r>
        <w:rPr>
          <w:rFonts w:hint="eastAsia"/>
          <w:lang w:val="es-ES"/>
        </w:rPr>
        <w:t>部实施指导手册并对其中</w:t>
      </w:r>
      <w:r>
        <w:rPr>
          <w:rFonts w:hint="eastAsia"/>
          <w:lang w:val="es-ES"/>
        </w:rPr>
        <w:t>7</w:t>
      </w:r>
      <w:r>
        <w:rPr>
          <w:rFonts w:hint="eastAsia"/>
          <w:lang w:val="es-ES"/>
        </w:rPr>
        <w:t>部手册的实用性进行验证；</w:t>
      </w:r>
      <w:r>
        <w:rPr>
          <w:vertAlign w:val="superscript"/>
          <w:lang w:val="es-ES"/>
        </w:rPr>
        <w:footnoteReference w:id="237"/>
      </w:r>
    </w:p>
    <w:p w:rsidR="00A83775" w:rsidRDefault="00A83775">
      <w:pPr>
        <w:pStyle w:val="SingleTxtGC"/>
        <w:numPr>
          <w:ilvl w:val="0"/>
          <w:numId w:val="80"/>
        </w:numPr>
        <w:rPr>
          <w:lang w:val="es-ES"/>
        </w:rPr>
      </w:pPr>
      <w:r>
        <w:rPr>
          <w:rFonts w:hint="eastAsia"/>
          <w:lang w:val="es-ES"/>
        </w:rPr>
        <w:t>调整法律规定并制定用于减轻受害妇女在接受政府救助方面所遇到的障碍；</w:t>
      </w:r>
    </w:p>
    <w:p w:rsidR="00A83775" w:rsidRDefault="00A83775">
      <w:pPr>
        <w:pStyle w:val="SingleTxtGC"/>
        <w:numPr>
          <w:ilvl w:val="0"/>
          <w:numId w:val="80"/>
        </w:numPr>
        <w:rPr>
          <w:lang w:val="es-ES"/>
        </w:rPr>
      </w:pPr>
      <w:r>
        <w:rPr>
          <w:rFonts w:hint="eastAsia"/>
          <w:lang w:val="es-ES"/>
        </w:rPr>
        <w:t>有助于准确了解每一名受害妇女及其家庭的具体需要的机制；</w:t>
      </w:r>
    </w:p>
    <w:p w:rsidR="00A83775" w:rsidRDefault="00A83775">
      <w:pPr>
        <w:pStyle w:val="SingleTxtGC"/>
        <w:numPr>
          <w:ilvl w:val="0"/>
          <w:numId w:val="80"/>
        </w:numPr>
        <w:rPr>
          <w:lang w:val="es-ES"/>
        </w:rPr>
      </w:pPr>
      <w:r>
        <w:rPr>
          <w:rFonts w:hint="eastAsia"/>
          <w:lang w:val="es-ES"/>
        </w:rPr>
        <w:t>针对因暴力侵害被迫流离失所的妇女开展劳动就业和职业培训和指导，帮助其具备稳定的社会经济状况；</w:t>
      </w:r>
    </w:p>
    <w:p w:rsidR="00A83775" w:rsidRDefault="00A83775">
      <w:pPr>
        <w:pStyle w:val="SingleTxtGC"/>
        <w:numPr>
          <w:ilvl w:val="0"/>
          <w:numId w:val="80"/>
        </w:numPr>
        <w:rPr>
          <w:rFonts w:hint="eastAsia"/>
          <w:lang w:val="es-MX"/>
        </w:rPr>
      </w:pPr>
      <w:r>
        <w:rPr>
          <w:rFonts w:hint="eastAsia"/>
          <w:lang w:val="es-MX"/>
        </w:rPr>
        <w:t>在五个省份制定相关方案对应的行动计划；</w:t>
      </w:r>
      <w:r>
        <w:rPr>
          <w:vertAlign w:val="superscript"/>
          <w:lang w:val="es-MX"/>
        </w:rPr>
        <w:footnoteReference w:id="238"/>
      </w:r>
    </w:p>
    <w:p w:rsidR="00A83775" w:rsidRDefault="00A83775">
      <w:pPr>
        <w:pStyle w:val="SingleTxtGC"/>
        <w:numPr>
          <w:ilvl w:val="0"/>
          <w:numId w:val="80"/>
        </w:numPr>
        <w:rPr>
          <w:lang w:val="es-MX"/>
        </w:rPr>
      </w:pPr>
      <w:r>
        <w:rPr>
          <w:rFonts w:hint="eastAsia"/>
          <w:lang w:val="es-MX"/>
        </w:rPr>
        <w:t>制定关于哥伦比亚流离失所妇女在土地权利方面的脆弱性的图谱；</w:t>
      </w:r>
    </w:p>
    <w:p w:rsidR="00A83775" w:rsidRDefault="00A83775">
      <w:pPr>
        <w:pStyle w:val="SingleTxtGC"/>
        <w:numPr>
          <w:ilvl w:val="0"/>
          <w:numId w:val="80"/>
        </w:numPr>
        <w:rPr>
          <w:lang w:val="es-MX"/>
        </w:rPr>
      </w:pPr>
      <w:r>
        <w:rPr>
          <w:rFonts w:hint="eastAsia"/>
          <w:lang w:val="es-MX"/>
        </w:rPr>
        <w:t>开展了各项行动以促进保障流离失所妇女及其家庭保健，提高保健服务质量，打造卫生服务网络、实施社会参与和社会管理，实施针对家庭内暴力、性暴力和性别暴力、性健康和生殖健康、心理健康的方案并管理各类信息系统，包括</w:t>
      </w:r>
      <w:r>
        <w:rPr>
          <w:rFonts w:hint="eastAsia"/>
          <w:lang w:val="es-ES_tradnl"/>
        </w:rPr>
        <w:t>医疗服务机构和医疗保险机构</w:t>
      </w:r>
      <w:r>
        <w:rPr>
          <w:rFonts w:hint="eastAsia"/>
          <w:lang w:val="es-MX"/>
        </w:rPr>
        <w:t>系统；</w:t>
      </w:r>
    </w:p>
    <w:p w:rsidR="00A83775" w:rsidRDefault="00A83775">
      <w:pPr>
        <w:pStyle w:val="SingleTxtGC"/>
        <w:numPr>
          <w:ilvl w:val="0"/>
          <w:numId w:val="80"/>
        </w:numPr>
        <w:rPr>
          <w:lang w:val="es-MX"/>
        </w:rPr>
      </w:pPr>
      <w:r>
        <w:rPr>
          <w:rFonts w:hint="eastAsia"/>
          <w:lang w:val="es-MX"/>
        </w:rPr>
        <w:t>实施灵活的教育模式，为</w:t>
      </w:r>
      <w:r>
        <w:rPr>
          <w:rFonts w:hint="eastAsia"/>
          <w:lang w:val="es-MX"/>
        </w:rPr>
        <w:t>15</w:t>
      </w:r>
      <w:r>
        <w:rPr>
          <w:rFonts w:hint="eastAsia"/>
          <w:lang w:val="es-MX"/>
        </w:rPr>
        <w:t>岁以上流离失所妇女提供教育支持；</w:t>
      </w:r>
    </w:p>
    <w:p w:rsidR="00A83775" w:rsidRDefault="00A83775">
      <w:pPr>
        <w:pStyle w:val="SingleTxtGC"/>
        <w:numPr>
          <w:ilvl w:val="0"/>
          <w:numId w:val="80"/>
        </w:numPr>
        <w:rPr>
          <w:lang w:val="es-MX"/>
        </w:rPr>
      </w:pPr>
      <w:r>
        <w:rPr>
          <w:rFonts w:hint="eastAsia"/>
          <w:lang w:val="es-MX"/>
        </w:rPr>
        <w:t>由社会保障部敦促各省和各市的卫生主管部门贯彻落实针对受害妇女的心理关爱方针；</w:t>
      </w:r>
    </w:p>
    <w:p w:rsidR="00A83775" w:rsidRDefault="00A83775">
      <w:pPr>
        <w:pStyle w:val="SingleTxtGC"/>
        <w:numPr>
          <w:ilvl w:val="0"/>
          <w:numId w:val="80"/>
        </w:numPr>
        <w:rPr>
          <w:lang w:val="es-MX"/>
        </w:rPr>
      </w:pPr>
      <w:r>
        <w:rPr>
          <w:rFonts w:hint="eastAsia"/>
          <w:lang w:val="es-CO"/>
        </w:rPr>
        <w:t>在针对妇女和妇女组织开办的讲习班上就性权利和生殖权利、预防性暴力和家庭内暴力、关爱活动地方工作路线以及如何获得帮助服务的问题开展信息通报和培训活动；</w:t>
      </w:r>
    </w:p>
    <w:p w:rsidR="00A83775" w:rsidRDefault="00A83775">
      <w:pPr>
        <w:pStyle w:val="SingleTxtGC"/>
        <w:numPr>
          <w:ilvl w:val="0"/>
          <w:numId w:val="80"/>
        </w:numPr>
        <w:rPr>
          <w:rFonts w:hint="eastAsia"/>
          <w:lang w:val="es-MX"/>
        </w:rPr>
      </w:pPr>
      <w:r>
        <w:rPr>
          <w:rFonts w:hint="eastAsia"/>
          <w:lang w:val="es-MX"/>
        </w:rPr>
        <w:t>约有</w:t>
      </w:r>
      <w:r>
        <w:rPr>
          <w:rFonts w:hint="eastAsia"/>
          <w:lang w:val="es-MX"/>
        </w:rPr>
        <w:t>3</w:t>
      </w:r>
      <w:r>
        <w:rPr>
          <w:lang w:val="es-MX"/>
        </w:rPr>
        <w:t>,</w:t>
      </w:r>
      <w:r>
        <w:rPr>
          <w:rFonts w:hint="eastAsia"/>
          <w:lang w:val="es-MX"/>
        </w:rPr>
        <w:t>600</w:t>
      </w:r>
      <w:r>
        <w:rPr>
          <w:rFonts w:hint="eastAsia"/>
          <w:lang w:val="es-MX"/>
        </w:rPr>
        <w:t>名受害妇女从妇女生产劳动方案的实施过程中受益。</w:t>
      </w:r>
      <w:r>
        <w:rPr>
          <w:vertAlign w:val="superscript"/>
          <w:lang w:val="es-MX"/>
        </w:rPr>
        <w:footnoteReference w:id="239"/>
      </w:r>
    </w:p>
    <w:p w:rsidR="00A83775" w:rsidRDefault="00A83775">
      <w:pPr>
        <w:pStyle w:val="SingleTxtGC"/>
        <w:rPr>
          <w:lang w:val="es-ES"/>
        </w:rPr>
      </w:pPr>
      <w:r>
        <w:rPr>
          <w:lang w:val="es-MX"/>
        </w:rPr>
        <w:t xml:space="preserve">677.  </w:t>
      </w:r>
      <w:r>
        <w:rPr>
          <w:rFonts w:hint="eastAsia"/>
          <w:lang w:val="es-MX"/>
        </w:rPr>
        <w:t>遇到的困难主要有</w:t>
      </w:r>
      <w:r>
        <w:rPr>
          <w:rFonts w:hint="eastAsia"/>
          <w:lang w:val="es-ES"/>
        </w:rPr>
        <w:t>：</w:t>
      </w:r>
      <w:r>
        <w:rPr>
          <w:vertAlign w:val="superscript"/>
          <w:lang w:val="es-MX"/>
        </w:rPr>
        <w:footnoteReference w:id="240"/>
      </w:r>
      <w:r>
        <w:rPr>
          <w:lang w:val="es-ES"/>
        </w:rPr>
        <w:t xml:space="preserve"> </w:t>
      </w:r>
    </w:p>
    <w:p w:rsidR="00A83775" w:rsidRDefault="00A83775">
      <w:pPr>
        <w:pStyle w:val="SingleTxtGC"/>
        <w:numPr>
          <w:ilvl w:val="0"/>
          <w:numId w:val="81"/>
        </w:numPr>
        <w:rPr>
          <w:lang w:val="es-MX"/>
        </w:rPr>
      </w:pPr>
      <w:r>
        <w:rPr>
          <w:rFonts w:hint="eastAsia"/>
          <w:lang w:val="es-MX"/>
        </w:rPr>
        <w:t>13</w:t>
      </w:r>
      <w:r>
        <w:rPr>
          <w:rFonts w:hint="eastAsia"/>
          <w:lang w:val="es-MX"/>
        </w:rPr>
        <w:t>项具体方案的制定进程几乎同步开展，由于这一指令给出的落实时间较短，使得各单位之间缺少互动沟通；</w:t>
      </w:r>
      <w:r>
        <w:rPr>
          <w:lang w:val="es-MX"/>
        </w:rPr>
        <w:t xml:space="preserve"> </w:t>
      </w:r>
    </w:p>
    <w:p w:rsidR="00A83775" w:rsidRDefault="00A83775">
      <w:pPr>
        <w:pStyle w:val="SingleTxtGC"/>
        <w:numPr>
          <w:ilvl w:val="0"/>
          <w:numId w:val="81"/>
        </w:numPr>
        <w:rPr>
          <w:lang w:val="es-MX"/>
        </w:rPr>
      </w:pPr>
      <w:r>
        <w:rPr>
          <w:rFonts w:hint="eastAsia"/>
          <w:lang w:val="es-MX"/>
        </w:rPr>
        <w:t>在下发第</w:t>
      </w:r>
      <w:r>
        <w:rPr>
          <w:rFonts w:hint="eastAsia"/>
          <w:lang w:val="es-MX"/>
        </w:rPr>
        <w:t>092</w:t>
      </w:r>
      <w:r>
        <w:rPr>
          <w:rFonts w:hint="eastAsia"/>
          <w:lang w:val="es-MX"/>
        </w:rPr>
        <w:t>号和第</w:t>
      </w:r>
      <w:r>
        <w:rPr>
          <w:rFonts w:hint="eastAsia"/>
          <w:lang w:val="es-MX"/>
        </w:rPr>
        <w:t>237</w:t>
      </w:r>
      <w:r>
        <w:rPr>
          <w:rFonts w:hint="eastAsia"/>
          <w:lang w:val="es-MX"/>
        </w:rPr>
        <w:t>号裁决后，宪法法院又发布了若干指令以监督落实用于全面预防、保护、照顾因暴力被迫流离失所的受害人口并为其争取赔偿的方案和政策的制定、修正、调整或补充工作，这对一些方案的具体落实构成了限制；</w:t>
      </w:r>
    </w:p>
    <w:p w:rsidR="00A83775" w:rsidRDefault="00A83775">
      <w:pPr>
        <w:pStyle w:val="SingleTxtGC"/>
        <w:numPr>
          <w:ilvl w:val="0"/>
          <w:numId w:val="81"/>
        </w:numPr>
        <w:rPr>
          <w:lang w:val="es-MX"/>
        </w:rPr>
      </w:pPr>
      <w:r>
        <w:rPr>
          <w:rFonts w:hint="eastAsia"/>
          <w:lang w:val="es-MX"/>
        </w:rPr>
        <w:t>未能将方案实施的任务有效转移到地方层面；</w:t>
      </w:r>
      <w:r>
        <w:rPr>
          <w:lang w:val="es-MX"/>
        </w:rPr>
        <w:t xml:space="preserve"> </w:t>
      </w:r>
    </w:p>
    <w:p w:rsidR="00A83775" w:rsidRDefault="00A83775">
      <w:pPr>
        <w:pStyle w:val="SingleTxtGC"/>
        <w:numPr>
          <w:ilvl w:val="0"/>
          <w:numId w:val="81"/>
        </w:numPr>
        <w:rPr>
          <w:lang w:val="es-MX"/>
        </w:rPr>
      </w:pPr>
      <w:r>
        <w:rPr>
          <w:rFonts w:hint="eastAsia"/>
          <w:lang w:val="es-MX"/>
        </w:rPr>
        <w:t>由于各部门和单位在对公共政策的执行力方面存在差异，因此为执行方案所划拨的预算以及方案实施范围均有差异，这反映了在实施所有方案的过程中的进展不一致；</w:t>
      </w:r>
    </w:p>
    <w:p w:rsidR="00A83775" w:rsidRDefault="00A83775">
      <w:pPr>
        <w:pStyle w:val="SingleTxtGC"/>
        <w:numPr>
          <w:ilvl w:val="0"/>
          <w:numId w:val="81"/>
        </w:numPr>
        <w:rPr>
          <w:lang w:val="es-CO"/>
        </w:rPr>
      </w:pPr>
      <w:r>
        <w:rPr>
          <w:rFonts w:hint="eastAsia"/>
          <w:lang w:val="es-MX"/>
        </w:rPr>
        <w:t>根据对地方上的影响，为减少歧视现象，应当对地方上在方案执行力方面的低效率和机会不均现象进行优化；</w:t>
      </w:r>
    </w:p>
    <w:p w:rsidR="00A83775" w:rsidRDefault="00A83775">
      <w:pPr>
        <w:pStyle w:val="SingleTxtGC"/>
        <w:numPr>
          <w:ilvl w:val="0"/>
          <w:numId w:val="81"/>
        </w:numPr>
        <w:rPr>
          <w:lang w:val="es-CO"/>
        </w:rPr>
      </w:pPr>
      <w:r>
        <w:rPr>
          <w:rFonts w:hint="eastAsia"/>
          <w:lang w:val="es-CO"/>
        </w:rPr>
        <w:t>缺乏一个能够对方案规定活动继续跟踪、监测和评估，并且能够帮助各责任单位明确其在方案实施中的职责的统一的信息体系。</w:t>
      </w:r>
    </w:p>
    <w:p w:rsidR="00A83775" w:rsidRDefault="00A83775">
      <w:pPr>
        <w:pStyle w:val="SingleTxtGC"/>
        <w:rPr>
          <w:lang w:val="es-CO"/>
        </w:rPr>
      </w:pPr>
      <w:r>
        <w:rPr>
          <w:lang w:val="es-MX"/>
        </w:rPr>
        <w:t xml:space="preserve">678.  </w:t>
      </w:r>
      <w:r>
        <w:rPr>
          <w:rFonts w:hint="eastAsia"/>
          <w:lang w:val="es-MX"/>
        </w:rPr>
        <w:t>考虑到在顺利执行此类方案并对流离失所的受害妇女提供全面关爱工作方面存在的挑战，在关于今后计划开展的项目的段落中将对国家政府拟开展的措施进行介绍。</w:t>
      </w:r>
    </w:p>
    <w:p w:rsidR="00A83775" w:rsidRDefault="00A83775">
      <w:pPr>
        <w:pStyle w:val="SingleTxtGC"/>
        <w:rPr>
          <w:lang w:val="es-ES"/>
        </w:rPr>
      </w:pPr>
      <w:r>
        <w:rPr>
          <w:lang w:val="es-ES"/>
        </w:rPr>
        <w:t xml:space="preserve">679.  </w:t>
      </w:r>
      <w:r>
        <w:rPr>
          <w:rFonts w:hint="eastAsia"/>
          <w:lang w:val="es-ES"/>
        </w:rPr>
        <w:t>在对宪法法院下发的指令的执行情况进行监督和跟踪落实的战略框架内，公民权利</w:t>
      </w:r>
      <w:r>
        <w:rPr>
          <w:rFonts w:hint="eastAsia"/>
          <w:lang w:val="zh-CN"/>
        </w:rPr>
        <w:t>监察员</w:t>
      </w:r>
      <w:r>
        <w:rPr>
          <w:rFonts w:hint="eastAsia"/>
          <w:lang w:val="es-ES"/>
        </w:rPr>
        <w:t>办公室已经取得了以下进展：</w:t>
      </w:r>
      <w:r>
        <w:rPr>
          <w:lang w:val="es-ES"/>
        </w:rPr>
        <w:t xml:space="preserve"> </w:t>
      </w:r>
    </w:p>
    <w:p w:rsidR="00A83775" w:rsidRDefault="00A83775">
      <w:pPr>
        <w:pStyle w:val="SingleTxtGC"/>
        <w:numPr>
          <w:ilvl w:val="0"/>
          <w:numId w:val="82"/>
        </w:numPr>
        <w:rPr>
          <w:lang w:val="es-ES"/>
        </w:rPr>
      </w:pPr>
      <w:r>
        <w:rPr>
          <w:rFonts w:hint="eastAsia"/>
          <w:lang w:val="es-ES"/>
        </w:rPr>
        <w:t>通过与受害妇女及流离失所组织、妇女组织和人权捍卫组织的妇女领袖开展持续性对话和沟通对国内流离失所妇女的状况进行不间断监测；</w:t>
      </w:r>
    </w:p>
    <w:p w:rsidR="00A83775" w:rsidRDefault="00A83775">
      <w:pPr>
        <w:pStyle w:val="SingleTxtGC"/>
        <w:numPr>
          <w:ilvl w:val="0"/>
          <w:numId w:val="82"/>
        </w:numPr>
        <w:rPr>
          <w:lang w:val="es-ES"/>
        </w:rPr>
      </w:pPr>
      <w:r>
        <w:rPr>
          <w:rFonts w:hint="eastAsia"/>
          <w:lang w:val="es-ES"/>
        </w:rPr>
        <w:t>定期要求责任单位汇报情况并坚持对与</w:t>
      </w:r>
      <w:r>
        <w:rPr>
          <w:rFonts w:hint="eastAsia"/>
          <w:lang w:val="es-ES"/>
        </w:rPr>
        <w:t>13</w:t>
      </w:r>
      <w:r>
        <w:rPr>
          <w:rFonts w:hint="eastAsia"/>
          <w:lang w:val="es-ES"/>
        </w:rPr>
        <w:t>项方案的每一项的制定和实施有关的信息进行分析；</w:t>
      </w:r>
    </w:p>
    <w:p w:rsidR="00A83775" w:rsidRDefault="00A83775">
      <w:pPr>
        <w:pStyle w:val="SingleTxtGC"/>
        <w:numPr>
          <w:ilvl w:val="0"/>
          <w:numId w:val="82"/>
        </w:numPr>
        <w:rPr>
          <w:lang w:val="es-ES"/>
        </w:rPr>
      </w:pPr>
      <w:r>
        <w:rPr>
          <w:rFonts w:hint="eastAsia"/>
          <w:lang w:val="es-ES"/>
        </w:rPr>
        <w:t>出台措施以便使处于风险情况的妇女领袖向职能当局告知其处境并提出相应的安全和保护要求，并应妇女领袖的要求为其提供指导和咨询服务；</w:t>
      </w:r>
    </w:p>
    <w:p w:rsidR="00A83775" w:rsidRDefault="00A83775">
      <w:pPr>
        <w:pStyle w:val="SingleTxtGC"/>
        <w:numPr>
          <w:ilvl w:val="0"/>
          <w:numId w:val="82"/>
        </w:numPr>
        <w:rPr>
          <w:lang w:val="es-ES"/>
        </w:rPr>
      </w:pPr>
      <w:r>
        <w:rPr>
          <w:rFonts w:hint="eastAsia"/>
          <w:lang w:val="es-ES"/>
        </w:rPr>
        <w:t>审理过问威胁和伤害妇女领袖、流离失所妇女组织、妇女组织和人权捍卫者，使其处于风险状况的具体案件，及时将案件上报内政部和警察机关，并采取必要的跟踪监测，以便能够及时采取有效的保护措施。</w:t>
      </w:r>
    </w:p>
    <w:p w:rsidR="00A83775" w:rsidRDefault="00A83775">
      <w:pPr>
        <w:pStyle w:val="H23GC"/>
        <w:rPr>
          <w:rFonts w:hint="eastAsia"/>
          <w:lang w:val="es-ES_tradnl"/>
        </w:rPr>
      </w:pPr>
      <w:r>
        <w:rPr>
          <w:lang w:val="es-ES_tradnl"/>
        </w:rPr>
        <w:tab/>
        <w:t>2.</w:t>
      </w:r>
      <w:r>
        <w:rPr>
          <w:lang w:val="es-ES_tradnl"/>
        </w:rPr>
        <w:tab/>
      </w:r>
      <w:r>
        <w:rPr>
          <w:rFonts w:hint="eastAsia"/>
          <w:lang w:val="es-ES_tradnl"/>
        </w:rPr>
        <w:t>立法措施</w:t>
      </w:r>
    </w:p>
    <w:p w:rsidR="00A83775" w:rsidRDefault="00A83775">
      <w:pPr>
        <w:pStyle w:val="SingleTxtGC"/>
        <w:rPr>
          <w:rFonts w:hint="eastAsia"/>
          <w:lang w:val="es-ES"/>
        </w:rPr>
      </w:pPr>
      <w:r>
        <w:rPr>
          <w:lang w:val="es-ES"/>
        </w:rPr>
        <w:t xml:space="preserve">680.  </w:t>
      </w:r>
      <w:r>
        <w:rPr>
          <w:rFonts w:hint="eastAsia"/>
          <w:lang w:val="zh-CN"/>
        </w:rPr>
        <w:t>主要</w:t>
      </w:r>
      <w:r>
        <w:rPr>
          <w:rFonts w:hint="eastAsia"/>
          <w:lang w:val="es-ES"/>
        </w:rPr>
        <w:t>有：</w:t>
      </w:r>
    </w:p>
    <w:p w:rsidR="00A83775" w:rsidRDefault="00A83775">
      <w:pPr>
        <w:pStyle w:val="SingleTxtGC"/>
        <w:numPr>
          <w:ilvl w:val="0"/>
          <w:numId w:val="83"/>
        </w:numPr>
        <w:rPr>
          <w:iCs/>
          <w:lang w:val="es-ES"/>
        </w:rPr>
      </w:pPr>
      <w:r>
        <w:rPr>
          <w:rFonts w:hint="eastAsia"/>
          <w:lang w:val="es-ES"/>
        </w:rPr>
        <w:t>2005</w:t>
      </w:r>
      <w:r>
        <w:rPr>
          <w:rFonts w:hint="eastAsia"/>
          <w:lang w:val="es-ES"/>
        </w:rPr>
        <w:t>年的第</w:t>
      </w:r>
      <w:r>
        <w:rPr>
          <w:rFonts w:hint="eastAsia"/>
          <w:lang w:val="es-ES"/>
        </w:rPr>
        <w:t>250</w:t>
      </w:r>
      <w:r>
        <w:rPr>
          <w:rFonts w:hint="eastAsia"/>
          <w:lang w:val="es-ES"/>
        </w:rPr>
        <w:t>号法令：颁布了全面关爱因暴力被迫流离失所人口的国家计划以及其他一些规定，在法令中纳入了差别化观点，将之视作一项公共政策指导原则，目的是帮助确定</w:t>
      </w:r>
      <w:r>
        <w:rPr>
          <w:rFonts w:hint="eastAsia"/>
          <w:lang w:val="en-GB"/>
        </w:rPr>
        <w:t>国家流离失所者全面照料系统所开展的各类方案和行动的特点和条件以及应遵循的原则；</w:t>
      </w:r>
    </w:p>
    <w:p w:rsidR="00A83775" w:rsidRDefault="00A83775">
      <w:pPr>
        <w:pStyle w:val="SingleTxtGC"/>
        <w:numPr>
          <w:ilvl w:val="0"/>
          <w:numId w:val="83"/>
        </w:numPr>
        <w:rPr>
          <w:bCs/>
          <w:iCs/>
          <w:lang w:val="es-ES"/>
        </w:rPr>
      </w:pPr>
      <w:r>
        <w:rPr>
          <w:rFonts w:hint="eastAsia"/>
          <w:lang w:val="es-ES"/>
        </w:rPr>
        <w:t>全面关爱流离失所人口国家委员会</w:t>
      </w:r>
      <w:r>
        <w:rPr>
          <w:vertAlign w:val="superscript"/>
          <w:lang w:val="es-ES"/>
        </w:rPr>
        <w:footnoteReference w:id="241"/>
      </w:r>
      <w:r>
        <w:rPr>
          <w:lang w:val="es-ES"/>
        </w:rPr>
        <w:t xml:space="preserve"> </w:t>
      </w:r>
      <w:r>
        <w:rPr>
          <w:rFonts w:hint="eastAsia"/>
          <w:lang w:val="es-ES"/>
        </w:rPr>
        <w:t>2006</w:t>
      </w:r>
      <w:r>
        <w:rPr>
          <w:rFonts w:hint="eastAsia"/>
          <w:lang w:val="es-ES"/>
        </w:rPr>
        <w:t>年的第</w:t>
      </w:r>
      <w:r>
        <w:rPr>
          <w:rFonts w:hint="eastAsia"/>
          <w:lang w:val="es-ES"/>
        </w:rPr>
        <w:t>3</w:t>
      </w:r>
      <w:r>
        <w:rPr>
          <w:rFonts w:hint="eastAsia"/>
          <w:lang w:val="es-ES"/>
        </w:rPr>
        <w:t>号决议，规定了为保障流离失所人口免受歧视待遇而应开展的行动。这一决议力争能够克服对流离失所人口一切形式的歧视，“敦促调查人员严格执法，对一切违规行为处以纪律惩治”，目的是向目标人口提供及时优质的服务；</w:t>
      </w:r>
      <w:r>
        <w:rPr>
          <w:bCs/>
          <w:iCs/>
          <w:vertAlign w:val="superscript"/>
          <w:lang w:val="es-ES"/>
        </w:rPr>
        <w:footnoteReference w:id="242"/>
      </w:r>
    </w:p>
    <w:p w:rsidR="00A83775" w:rsidRDefault="00A83775">
      <w:pPr>
        <w:pStyle w:val="SingleTxtGC"/>
        <w:numPr>
          <w:ilvl w:val="0"/>
          <w:numId w:val="83"/>
        </w:numPr>
        <w:rPr>
          <w:iCs/>
          <w:lang w:val="es-ES"/>
        </w:rPr>
      </w:pPr>
      <w:r>
        <w:rPr>
          <w:rFonts w:hint="eastAsia"/>
          <w:lang w:val="es-ES"/>
        </w:rPr>
        <w:t>国家流离失所者全面照料系统</w:t>
      </w:r>
      <w:r>
        <w:rPr>
          <w:rFonts w:hint="eastAsia"/>
          <w:lang w:val="es-ES"/>
        </w:rPr>
        <w:t>2007</w:t>
      </w:r>
      <w:r>
        <w:rPr>
          <w:rFonts w:hint="eastAsia"/>
          <w:lang w:val="es-ES"/>
        </w:rPr>
        <w:t>年的第</w:t>
      </w:r>
      <w:r>
        <w:rPr>
          <w:rFonts w:hint="eastAsia"/>
          <w:lang w:val="es-ES"/>
        </w:rPr>
        <w:t>8</w:t>
      </w:r>
      <w:r>
        <w:rPr>
          <w:rFonts w:hint="eastAsia"/>
          <w:lang w:val="es-ES"/>
        </w:rPr>
        <w:t>号决议，通过这一决议采取了各项措施来推进和深化落实关爱流离失所人口公共政策下的各项行动；</w:t>
      </w:r>
      <w:r>
        <w:rPr>
          <w:vertAlign w:val="superscript"/>
          <w:lang w:val="es-ES"/>
        </w:rPr>
        <w:footnoteReference w:id="243"/>
      </w:r>
    </w:p>
    <w:p w:rsidR="00A83775" w:rsidRDefault="00A83775">
      <w:pPr>
        <w:pStyle w:val="SingleTxtGC"/>
        <w:numPr>
          <w:ilvl w:val="0"/>
          <w:numId w:val="83"/>
        </w:numPr>
        <w:rPr>
          <w:iCs/>
          <w:lang w:val="es-ES"/>
        </w:rPr>
      </w:pPr>
      <w:r>
        <w:rPr>
          <w:rFonts w:hint="eastAsia"/>
          <w:lang w:val="es-CO"/>
        </w:rPr>
        <w:t>前文提到的</w:t>
      </w:r>
      <w:r>
        <w:rPr>
          <w:rFonts w:hint="eastAsia"/>
          <w:lang w:val="es-CO"/>
        </w:rPr>
        <w:t>2008</w:t>
      </w:r>
      <w:r>
        <w:rPr>
          <w:rFonts w:hint="eastAsia"/>
          <w:lang w:val="es-CO"/>
        </w:rPr>
        <w:t>年的第</w:t>
      </w:r>
      <w:r>
        <w:rPr>
          <w:rFonts w:hint="eastAsia"/>
          <w:lang w:val="es-CO"/>
        </w:rPr>
        <w:t>1257</w:t>
      </w:r>
      <w:r>
        <w:rPr>
          <w:rFonts w:hint="eastAsia"/>
          <w:lang w:val="es-CO"/>
        </w:rPr>
        <w:t>号法在其第</w:t>
      </w:r>
      <w:r>
        <w:rPr>
          <w:rFonts w:hint="eastAsia"/>
          <w:lang w:val="es-CO"/>
        </w:rPr>
        <w:t>9</w:t>
      </w:r>
      <w:r>
        <w:rPr>
          <w:rFonts w:hint="eastAsia"/>
          <w:lang w:val="es-CO"/>
        </w:rPr>
        <w:t>条中规定了针对处于流离失所风险领域的弱势妇女的专项措施。</w:t>
      </w:r>
    </w:p>
    <w:p w:rsidR="00A83775" w:rsidRDefault="00A83775">
      <w:pPr>
        <w:pStyle w:val="H23GC"/>
        <w:rPr>
          <w:rFonts w:hint="eastAsia"/>
          <w:lang w:val="es-ES_tradnl"/>
        </w:rPr>
      </w:pPr>
      <w:r>
        <w:rPr>
          <w:lang w:val="es-ES_tradnl"/>
        </w:rPr>
        <w:tab/>
        <w:t>3.</w:t>
      </w:r>
      <w:r>
        <w:rPr>
          <w:lang w:val="es-ES_tradnl"/>
        </w:rPr>
        <w:tab/>
      </w:r>
      <w:r>
        <w:rPr>
          <w:rFonts w:hint="eastAsia"/>
          <w:lang w:val="es-ES_tradnl"/>
        </w:rPr>
        <w:t>司法措施</w:t>
      </w:r>
    </w:p>
    <w:p w:rsidR="00A83775" w:rsidRDefault="00A83775">
      <w:pPr>
        <w:pStyle w:val="SingleTxtGC"/>
        <w:rPr>
          <w:rFonts w:hint="eastAsia"/>
          <w:lang w:val="es-ES"/>
        </w:rPr>
      </w:pPr>
      <w:r>
        <w:rPr>
          <w:lang w:val="es-ES"/>
        </w:rPr>
        <w:t>68</w:t>
      </w:r>
      <w:r>
        <w:rPr>
          <w:rFonts w:hint="eastAsia"/>
          <w:lang w:val="es-ES"/>
        </w:rPr>
        <w:t>1</w:t>
      </w:r>
      <w:r>
        <w:rPr>
          <w:lang w:val="es-ES"/>
        </w:rPr>
        <w:t xml:space="preserve">.  </w:t>
      </w:r>
      <w:r>
        <w:rPr>
          <w:rFonts w:hint="eastAsia"/>
          <w:lang w:val="zh-CN"/>
        </w:rPr>
        <w:t>主要</w:t>
      </w:r>
      <w:r>
        <w:rPr>
          <w:rFonts w:hint="eastAsia"/>
          <w:lang w:val="es-ES"/>
        </w:rPr>
        <w:t>有：</w:t>
      </w:r>
    </w:p>
    <w:p w:rsidR="00A83775" w:rsidRDefault="00A83775">
      <w:pPr>
        <w:pStyle w:val="SingleTxtGC"/>
        <w:numPr>
          <w:ilvl w:val="0"/>
          <w:numId w:val="84"/>
        </w:numPr>
        <w:rPr>
          <w:lang w:val="es-CO"/>
        </w:rPr>
      </w:pPr>
      <w:r>
        <w:rPr>
          <w:rFonts w:hint="eastAsia"/>
          <w:lang w:val="es-CO"/>
        </w:rPr>
        <w:t>前面提到过的第</w:t>
      </w:r>
      <w:r>
        <w:rPr>
          <w:rFonts w:hint="eastAsia"/>
          <w:lang w:val="es-CO"/>
        </w:rPr>
        <w:t>T-025-04</w:t>
      </w:r>
      <w:r>
        <w:rPr>
          <w:rFonts w:hint="eastAsia"/>
          <w:lang w:val="es-CO"/>
        </w:rPr>
        <w:t>号判决；</w:t>
      </w:r>
    </w:p>
    <w:p w:rsidR="00A83775" w:rsidRDefault="00A83775">
      <w:pPr>
        <w:pStyle w:val="SingleTxtGC"/>
        <w:numPr>
          <w:ilvl w:val="0"/>
          <w:numId w:val="84"/>
        </w:numPr>
        <w:rPr>
          <w:rFonts w:hint="eastAsia"/>
          <w:lang w:val="es-CO"/>
        </w:rPr>
      </w:pPr>
      <w:r>
        <w:rPr>
          <w:rFonts w:hint="eastAsia"/>
          <w:lang w:val="es-CO"/>
        </w:rPr>
        <w:t>宪法法院</w:t>
      </w:r>
      <w:r>
        <w:rPr>
          <w:rFonts w:hint="eastAsia"/>
          <w:lang w:val="es-CO"/>
        </w:rPr>
        <w:t>2008</w:t>
      </w:r>
      <w:r>
        <w:rPr>
          <w:rFonts w:hint="eastAsia"/>
          <w:lang w:val="es-CO"/>
        </w:rPr>
        <w:t>年的第</w:t>
      </w:r>
      <w:r>
        <w:rPr>
          <w:rFonts w:hint="eastAsia"/>
          <w:lang w:val="es-CO"/>
        </w:rPr>
        <w:t>092</w:t>
      </w:r>
      <w:r>
        <w:rPr>
          <w:rFonts w:hint="eastAsia"/>
          <w:lang w:val="es-CO"/>
        </w:rPr>
        <w:t>号</w:t>
      </w:r>
      <w:r>
        <w:rPr>
          <w:vertAlign w:val="superscript"/>
          <w:lang w:val="es-CO"/>
        </w:rPr>
        <w:footnoteReference w:id="244"/>
      </w:r>
      <w:r>
        <w:rPr>
          <w:lang w:val="es-CO"/>
        </w:rPr>
        <w:t xml:space="preserve"> </w:t>
      </w:r>
      <w:r>
        <w:rPr>
          <w:rFonts w:hint="eastAsia"/>
          <w:lang w:val="es-CO"/>
        </w:rPr>
        <w:t>裁决和第</w:t>
      </w:r>
      <w:r>
        <w:rPr>
          <w:rFonts w:hint="eastAsia"/>
          <w:lang w:val="es-CO"/>
        </w:rPr>
        <w:t>237</w:t>
      </w:r>
      <w:r>
        <w:rPr>
          <w:rFonts w:hint="eastAsia"/>
          <w:lang w:val="es-CO"/>
        </w:rPr>
        <w:t>号裁决，旨在保护面临流离失所风险或处于流离失所状况的妇女的基本权利，裁令出台</w:t>
      </w:r>
      <w:r>
        <w:rPr>
          <w:rFonts w:hint="eastAsia"/>
          <w:lang w:val="es-CO"/>
        </w:rPr>
        <w:t>13</w:t>
      </w:r>
      <w:r>
        <w:rPr>
          <w:rFonts w:hint="eastAsia"/>
          <w:lang w:val="es-CO"/>
        </w:rPr>
        <w:t>项具体方案，有针对性地解决在武装冲突中女性所面临的风险以及在强迫失踪中的性别问题</w:t>
      </w:r>
      <w:r>
        <w:rPr>
          <w:rFonts w:hint="eastAsia"/>
          <w:lang w:val="es-ES"/>
        </w:rPr>
        <w:t>；</w:t>
      </w:r>
      <w:r>
        <w:rPr>
          <w:vertAlign w:val="superscript"/>
          <w:lang w:val="es-ES"/>
        </w:rPr>
        <w:footnoteReference w:id="245"/>
      </w:r>
    </w:p>
    <w:p w:rsidR="00A83775" w:rsidRDefault="00A83775">
      <w:pPr>
        <w:pStyle w:val="SingleTxtGC"/>
        <w:numPr>
          <w:ilvl w:val="0"/>
          <w:numId w:val="84"/>
        </w:numPr>
        <w:rPr>
          <w:lang w:val="es-CO"/>
        </w:rPr>
      </w:pPr>
      <w:r>
        <w:rPr>
          <w:rFonts w:hint="eastAsia"/>
          <w:lang w:val="es-CO"/>
        </w:rPr>
        <w:t>宪法法院</w:t>
      </w:r>
      <w:r>
        <w:rPr>
          <w:rFonts w:hint="eastAsia"/>
          <w:lang w:val="es-CO"/>
        </w:rPr>
        <w:t>2008</w:t>
      </w:r>
      <w:r>
        <w:rPr>
          <w:rFonts w:hint="eastAsia"/>
          <w:lang w:val="es-CO"/>
        </w:rPr>
        <w:t>年的第</w:t>
      </w:r>
      <w:r>
        <w:rPr>
          <w:rFonts w:hint="eastAsia"/>
          <w:lang w:val="es-CO"/>
        </w:rPr>
        <w:t>116</w:t>
      </w:r>
      <w:r>
        <w:rPr>
          <w:rFonts w:hint="eastAsia"/>
          <w:lang w:val="es-CO"/>
        </w:rPr>
        <w:t>号裁决，发布了与有效享有人权的各项指标并敦促国家政府对相应指标值进行估算；</w:t>
      </w:r>
    </w:p>
    <w:p w:rsidR="00A83775" w:rsidRDefault="00A83775">
      <w:pPr>
        <w:pStyle w:val="SingleTxtGC"/>
        <w:numPr>
          <w:ilvl w:val="0"/>
          <w:numId w:val="84"/>
        </w:numPr>
        <w:rPr>
          <w:lang w:val="es-CO"/>
        </w:rPr>
      </w:pPr>
      <w:r>
        <w:rPr>
          <w:rFonts w:hint="eastAsia"/>
          <w:lang w:val="es-ES"/>
        </w:rPr>
        <w:t>宪法法院第</w:t>
      </w:r>
      <w:r>
        <w:rPr>
          <w:rFonts w:hint="eastAsia"/>
          <w:lang w:val="es-ES"/>
        </w:rPr>
        <w:t>T-496-08</w:t>
      </w:r>
      <w:r>
        <w:rPr>
          <w:rFonts w:hint="eastAsia"/>
          <w:lang w:val="es-ES"/>
        </w:rPr>
        <w:t>号判决：法院指出：“（……）原告所具备的武装冲突受害者以及致力于从事促进受害者权利事业的组织的成员的身份，再加上当前对类似情况的妇女的暗杀形势，将其置于极端危险的处境；具体要根据案情来做出判断；现在，要根据国际组织新发布的报告来推动落实正义与和平进程，以切实解决武装冲突中的暴力问题（上面的第</w:t>
      </w:r>
      <w:r>
        <w:rPr>
          <w:rFonts w:hint="eastAsia"/>
          <w:lang w:val="es-ES"/>
        </w:rPr>
        <w:t>7</w:t>
      </w:r>
      <w:r>
        <w:rPr>
          <w:rFonts w:hint="eastAsia"/>
          <w:lang w:val="es-ES"/>
        </w:rPr>
        <w:t>点）；要严肃重视在真正落实司法争议方面所面临的威胁，更要保护当事人的生命安全和人身完整性；要弄清楚领导社会进程的妇女领袖以及生活在被列为国内高危地区或特别危险地区的妇女目前的处境。”（……）在针对内政和司法部及国家总检察署下达的指令中指出：（……）“开展必要行动以便对正义与和平法的受害人和证人保护方案进行全面性的审查，目的是符合各项理性原则和最起码的理性要素（上面的第</w:t>
      </w:r>
      <w:r>
        <w:rPr>
          <w:rFonts w:hint="eastAsia"/>
          <w:lang w:val="es-ES"/>
        </w:rPr>
        <w:t>8</w:t>
      </w:r>
      <w:r>
        <w:rPr>
          <w:rFonts w:hint="eastAsia"/>
          <w:lang w:val="es-ES"/>
        </w:rPr>
        <w:t>点），遵守国际惯例，引导制定一项综合性的保护方案，在犯罪调查过程中给予受害人和证人充分的保护，以落实争议与和平法实施条例中的关切事项”；</w:t>
      </w:r>
    </w:p>
    <w:p w:rsidR="00A83775" w:rsidRDefault="00A83775">
      <w:pPr>
        <w:pStyle w:val="SingleTxtGC"/>
        <w:numPr>
          <w:ilvl w:val="0"/>
          <w:numId w:val="84"/>
        </w:numPr>
        <w:rPr>
          <w:lang w:val="es-CO"/>
        </w:rPr>
      </w:pPr>
      <w:r>
        <w:rPr>
          <w:rFonts w:hint="eastAsia"/>
          <w:lang w:val="es-ES"/>
        </w:rPr>
        <w:t>宪法法院的第</w:t>
      </w:r>
      <w:r>
        <w:rPr>
          <w:rFonts w:hint="eastAsia"/>
          <w:lang w:val="es-ES"/>
        </w:rPr>
        <w:t>T-042-09</w:t>
      </w:r>
      <w:r>
        <w:rPr>
          <w:rFonts w:hint="eastAsia"/>
          <w:lang w:val="es-ES"/>
        </w:rPr>
        <w:t>号判决。对一名因为与一名非法武装团体的成员有亲密关系而被拒绝在流离失所人口登记处进行登记的流离失所妇女的案件作出处置（……）“本庭认为在审理过程中所出具的证据材料足以证明原告处于被迫流离失所状况，因此，本庭裁定如下：</w:t>
      </w:r>
      <w:r>
        <w:rPr>
          <w:rFonts w:hint="eastAsia"/>
          <w:lang w:val="es-ES"/>
        </w:rPr>
        <w:t>(</w:t>
      </w:r>
      <w:r>
        <w:rPr>
          <w:rFonts w:hint="eastAsia"/>
          <w:lang w:val="es-ES"/>
        </w:rPr>
        <w:t>一</w:t>
      </w:r>
      <w:r>
        <w:rPr>
          <w:rFonts w:hint="eastAsia"/>
          <w:lang w:val="es-ES"/>
        </w:rPr>
        <w:t xml:space="preserve">) </w:t>
      </w:r>
      <w:r>
        <w:rPr>
          <w:rFonts w:hint="eastAsia"/>
          <w:lang w:val="es-ES"/>
        </w:rPr>
        <w:t>采纳原告主张，在流离失所人口登记处为其办理登记；</w:t>
      </w:r>
      <w:r>
        <w:rPr>
          <w:rFonts w:hint="eastAsia"/>
          <w:lang w:val="es-ES"/>
        </w:rPr>
        <w:t>(</w:t>
      </w:r>
      <w:r>
        <w:rPr>
          <w:rFonts w:hint="eastAsia"/>
          <w:lang w:val="es-ES"/>
        </w:rPr>
        <w:t>二</w:t>
      </w:r>
      <w:r>
        <w:rPr>
          <w:rFonts w:hint="eastAsia"/>
          <w:lang w:val="es-ES"/>
        </w:rPr>
        <w:t xml:space="preserve">) </w:t>
      </w:r>
      <w:r>
        <w:rPr>
          <w:rFonts w:hint="eastAsia"/>
          <w:lang w:val="es-ES"/>
        </w:rPr>
        <w:t>为原告提供其有关得到的人道主义紧急救助；</w:t>
      </w:r>
      <w:r>
        <w:rPr>
          <w:rFonts w:hint="eastAsia"/>
          <w:lang w:val="es-ES"/>
        </w:rPr>
        <w:t>(</w:t>
      </w:r>
      <w:r>
        <w:rPr>
          <w:rFonts w:hint="eastAsia"/>
          <w:lang w:val="es-ES"/>
        </w:rPr>
        <w:t>三</w:t>
      </w:r>
      <w:r>
        <w:rPr>
          <w:rFonts w:hint="eastAsia"/>
          <w:lang w:val="es-ES"/>
        </w:rPr>
        <w:t xml:space="preserve">) </w:t>
      </w:r>
      <w:r>
        <w:rPr>
          <w:rFonts w:hint="eastAsia"/>
          <w:lang w:val="es-ES"/>
        </w:rPr>
        <w:t>为原告提供指导并陪同其办理流离失所人口关爱方案准入手续，敦促有关单位开展相关工作，以落实本院在</w:t>
      </w:r>
      <w:r>
        <w:rPr>
          <w:rFonts w:hint="eastAsia"/>
          <w:lang w:val="es-ES"/>
        </w:rPr>
        <w:t>2008</w:t>
      </w:r>
      <w:r>
        <w:rPr>
          <w:rFonts w:hint="eastAsia"/>
          <w:lang w:val="es-ES"/>
        </w:rPr>
        <w:t>年下达的第</w:t>
      </w:r>
      <w:r>
        <w:rPr>
          <w:rFonts w:hint="eastAsia"/>
          <w:lang w:val="es-ES"/>
        </w:rPr>
        <w:t>092</w:t>
      </w:r>
      <w:r>
        <w:rPr>
          <w:rFonts w:hint="eastAsia"/>
          <w:lang w:val="es-ES"/>
        </w:rPr>
        <w:t>号裁决”；</w:t>
      </w:r>
      <w:r>
        <w:rPr>
          <w:vertAlign w:val="superscript"/>
          <w:lang w:val="es-ES"/>
        </w:rPr>
        <w:footnoteReference w:id="246"/>
      </w:r>
    </w:p>
    <w:p w:rsidR="00A83775" w:rsidRDefault="00A83775">
      <w:pPr>
        <w:pStyle w:val="SingleTxtGC"/>
        <w:numPr>
          <w:ilvl w:val="0"/>
          <w:numId w:val="84"/>
        </w:numPr>
        <w:rPr>
          <w:iCs/>
          <w:lang w:val="es-ES"/>
        </w:rPr>
      </w:pPr>
      <w:r>
        <w:rPr>
          <w:rFonts w:hint="eastAsia"/>
          <w:lang w:val="es-ES"/>
        </w:rPr>
        <w:t>宪法法院的第</w:t>
      </w:r>
      <w:r>
        <w:rPr>
          <w:rFonts w:hint="eastAsia"/>
          <w:lang w:val="es-ES"/>
        </w:rPr>
        <w:t>T-045-10</w:t>
      </w:r>
      <w:r>
        <w:rPr>
          <w:rFonts w:hint="eastAsia"/>
          <w:lang w:val="es-ES"/>
        </w:rPr>
        <w:t>号判决。针对武装冲突受害者，应当在为此提供的医疗保健服务中加入有针对性的心理辅导和精神治疗。法院指出：（……）“通过当事人在其所处的社会和文化背景中所受到的精神压力以及其心理健康所受到的严重损害可以看出有必要为武装冲突的受害妇女提供心理辅导和精神治疗”。“心理健康主要包括：主观幸福感、自我肯定、有自信心和自我心理调节能力、心态正常、有情商。根据这一定义，需要为受害妇女提供心理治疗，以促进其康复，治疗内容包括帮助其走出与世隔绝的状态，了解造成其恐惧的原因，确认其病症，引导受害妇女说出其羞于出口的被侮辱经历，从根本上消除其害怕心理。而更为重要的就是为其谋划出将来的生活前景，使其融入社会生活，与生活中遇到的困难作斗争，树立积极的生活态度，让受害人重新树立起自信心”。</w:t>
      </w:r>
      <w:r>
        <w:rPr>
          <w:iCs/>
          <w:vertAlign w:val="superscript"/>
          <w:lang w:val="es-ES"/>
        </w:rPr>
        <w:footnoteReference w:id="247"/>
      </w:r>
    </w:p>
    <w:p w:rsidR="00A83775" w:rsidRDefault="00A83775">
      <w:pPr>
        <w:pStyle w:val="H23GC"/>
        <w:rPr>
          <w:rFonts w:hint="eastAsia"/>
          <w:lang w:val="es-ES_tradnl"/>
        </w:rPr>
      </w:pPr>
      <w:r>
        <w:rPr>
          <w:lang w:val="es-ES_tradnl"/>
        </w:rPr>
        <w:tab/>
        <w:t>4.</w:t>
      </w:r>
      <w:r>
        <w:rPr>
          <w:lang w:val="es-ES_tradnl"/>
        </w:rPr>
        <w:tab/>
      </w:r>
      <w:r>
        <w:rPr>
          <w:rFonts w:hint="eastAsia"/>
          <w:lang w:val="es-ES_tradnl"/>
        </w:rPr>
        <w:t>现状</w:t>
      </w:r>
      <w:r>
        <w:rPr>
          <w:rFonts w:hint="eastAsia"/>
          <w:lang w:val="es-ES_tradnl"/>
        </w:rPr>
        <w:t>/</w:t>
      </w:r>
      <w:r>
        <w:rPr>
          <w:rFonts w:hint="eastAsia"/>
          <w:lang w:val="es-ES_tradnl"/>
        </w:rPr>
        <w:t>统计信息</w:t>
      </w:r>
    </w:p>
    <w:p w:rsidR="00A83775" w:rsidRDefault="00A83775">
      <w:pPr>
        <w:pStyle w:val="SingleTxtGC"/>
        <w:rPr>
          <w:lang w:val="es-ES"/>
        </w:rPr>
      </w:pPr>
      <w:r>
        <w:rPr>
          <w:lang w:val="es-ES"/>
        </w:rPr>
        <w:t>68</w:t>
      </w:r>
      <w:r>
        <w:rPr>
          <w:rFonts w:hint="eastAsia"/>
          <w:lang w:val="es-ES"/>
        </w:rPr>
        <w:t>2</w:t>
      </w:r>
      <w:r>
        <w:rPr>
          <w:lang w:val="es-ES"/>
        </w:rPr>
        <w:t xml:space="preserve">.  </w:t>
      </w:r>
      <w:r>
        <w:rPr>
          <w:rFonts w:hint="eastAsia"/>
          <w:lang w:val="zh-CN"/>
        </w:rPr>
        <w:t>哥伦比亚</w:t>
      </w:r>
      <w:r>
        <w:rPr>
          <w:rFonts w:hint="eastAsia"/>
          <w:lang w:val="es-ES"/>
        </w:rPr>
        <w:t>已经运用各有关单位制作和创立的信息系统和工具来衡量流离失所选项以及其在保障和落实流离失所人口，特别是妇女的权利方面所产生的效果。流离失所人口登记处</w:t>
      </w:r>
      <w:r>
        <w:rPr>
          <w:vertAlign w:val="superscript"/>
          <w:lang w:val="es-ES"/>
        </w:rPr>
        <w:footnoteReference w:id="248"/>
      </w:r>
      <w:r>
        <w:rPr>
          <w:rFonts w:hint="eastAsia"/>
          <w:lang w:val="es-ES"/>
        </w:rPr>
        <w:t xml:space="preserve"> </w:t>
      </w:r>
      <w:r>
        <w:rPr>
          <w:rFonts w:hint="eastAsia"/>
          <w:lang w:val="es-ES"/>
        </w:rPr>
        <w:t>的数据显示国内共有</w:t>
      </w:r>
      <w:r>
        <w:rPr>
          <w:rFonts w:hint="eastAsia"/>
          <w:lang w:val="es-ES"/>
        </w:rPr>
        <w:t>828</w:t>
      </w:r>
      <w:r>
        <w:rPr>
          <w:lang w:val="es-ES"/>
        </w:rPr>
        <w:t>,</w:t>
      </w:r>
      <w:r>
        <w:rPr>
          <w:rFonts w:hint="eastAsia"/>
          <w:lang w:val="es-ES"/>
        </w:rPr>
        <w:t>625</w:t>
      </w:r>
      <w:r>
        <w:rPr>
          <w:rFonts w:hint="eastAsia"/>
          <w:lang w:val="es-ES"/>
        </w:rPr>
        <w:t>户家庭（</w:t>
      </w:r>
      <w:r>
        <w:rPr>
          <w:rFonts w:hint="eastAsia"/>
          <w:lang w:val="es-ES"/>
        </w:rPr>
        <w:t>3</w:t>
      </w:r>
      <w:r>
        <w:rPr>
          <w:lang w:val="es-ES"/>
        </w:rPr>
        <w:t>,</w:t>
      </w:r>
      <w:r>
        <w:rPr>
          <w:rFonts w:hint="eastAsia"/>
          <w:lang w:val="es-ES"/>
        </w:rPr>
        <w:t>625</w:t>
      </w:r>
      <w:r>
        <w:rPr>
          <w:lang w:val="es-ES"/>
        </w:rPr>
        <w:t>,</w:t>
      </w:r>
      <w:r>
        <w:rPr>
          <w:rFonts w:hint="eastAsia"/>
          <w:lang w:val="es-ES"/>
        </w:rPr>
        <w:t>672</w:t>
      </w:r>
      <w:r>
        <w:rPr>
          <w:rFonts w:hint="eastAsia"/>
          <w:lang w:val="es-ES"/>
        </w:rPr>
        <w:t>人）宣称处于流离失所状况，涉及到国内多个省份的</w:t>
      </w:r>
      <w:r>
        <w:rPr>
          <w:rFonts w:hint="eastAsia"/>
          <w:lang w:val="es-ES"/>
        </w:rPr>
        <w:t>1</w:t>
      </w:r>
      <w:r>
        <w:rPr>
          <w:lang w:val="es-ES"/>
        </w:rPr>
        <w:t>,</w:t>
      </w:r>
      <w:r>
        <w:rPr>
          <w:rFonts w:hint="eastAsia"/>
          <w:lang w:val="es-ES"/>
        </w:rPr>
        <w:t>123</w:t>
      </w:r>
      <w:r>
        <w:rPr>
          <w:rFonts w:hint="eastAsia"/>
          <w:lang w:val="es-ES"/>
        </w:rPr>
        <w:t>个城市，这是由</w:t>
      </w:r>
      <w:r>
        <w:rPr>
          <w:rFonts w:hint="eastAsia"/>
          <w:lang w:val="es-ES"/>
        </w:rPr>
        <w:t>1997</w:t>
      </w:r>
      <w:r>
        <w:rPr>
          <w:rFonts w:hint="eastAsia"/>
          <w:lang w:val="es-ES"/>
        </w:rPr>
        <w:t>年的第</w:t>
      </w:r>
      <w:r>
        <w:rPr>
          <w:rFonts w:hint="eastAsia"/>
          <w:lang w:val="es-ES"/>
        </w:rPr>
        <w:t>387</w:t>
      </w:r>
      <w:r>
        <w:rPr>
          <w:rFonts w:hint="eastAsia"/>
          <w:lang w:val="es-ES"/>
        </w:rPr>
        <w:t>号法第</w:t>
      </w:r>
      <w:r>
        <w:rPr>
          <w:rFonts w:hint="eastAsia"/>
          <w:lang w:val="es-ES"/>
        </w:rPr>
        <w:t>1</w:t>
      </w:r>
      <w:r>
        <w:rPr>
          <w:rFonts w:hint="eastAsia"/>
          <w:lang w:val="es-ES"/>
        </w:rPr>
        <w:t>条中提到的情况造成的；也就是说，哥伦比亚人口中有</w:t>
      </w:r>
      <w:r>
        <w:rPr>
          <w:rFonts w:hint="eastAsia"/>
          <w:lang w:val="es-ES"/>
        </w:rPr>
        <w:t>7.5%</w:t>
      </w:r>
      <w:r>
        <w:rPr>
          <w:rFonts w:hint="eastAsia"/>
          <w:lang w:val="es-ES"/>
        </w:rPr>
        <w:t>被认定处于被迫流离失所状况。</w:t>
      </w:r>
      <w:r>
        <w:rPr>
          <w:vertAlign w:val="superscript"/>
          <w:lang w:val="es-ES"/>
        </w:rPr>
        <w:footnoteReference w:id="249"/>
      </w:r>
      <w:r>
        <w:rPr>
          <w:lang w:val="es-ES"/>
        </w:rPr>
        <w:t xml:space="preserve"> </w:t>
      </w:r>
    </w:p>
    <w:p w:rsidR="00A83775" w:rsidRDefault="00A83775">
      <w:pPr>
        <w:pStyle w:val="SingleTxtGC"/>
        <w:rPr>
          <w:lang w:val="zh-CN"/>
        </w:rPr>
      </w:pPr>
      <w:r>
        <w:rPr>
          <w:lang w:val="es-ES"/>
        </w:rPr>
        <w:t>68</w:t>
      </w:r>
      <w:r>
        <w:rPr>
          <w:rFonts w:hint="eastAsia"/>
          <w:lang w:val="es-ES"/>
        </w:rPr>
        <w:t>3</w:t>
      </w:r>
      <w:r>
        <w:rPr>
          <w:lang w:val="es-ES"/>
        </w:rPr>
        <w:t xml:space="preserve">.  </w:t>
      </w:r>
      <w:r>
        <w:rPr>
          <w:rFonts w:hint="eastAsia"/>
          <w:lang w:val="es-ES"/>
        </w:rPr>
        <w:t>流离失所人口登记处的数据显示，流离失所人口中</w:t>
      </w:r>
      <w:r>
        <w:rPr>
          <w:rFonts w:hint="eastAsia"/>
          <w:lang w:val="es-ES"/>
        </w:rPr>
        <w:t>51%</w:t>
      </w:r>
      <w:r>
        <w:rPr>
          <w:rFonts w:hint="eastAsia"/>
          <w:lang w:val="es-ES"/>
        </w:rPr>
        <w:t>（</w:t>
      </w:r>
      <w:r>
        <w:rPr>
          <w:rFonts w:hint="eastAsia"/>
          <w:lang w:val="es-ES"/>
        </w:rPr>
        <w:t>1</w:t>
      </w:r>
      <w:r>
        <w:rPr>
          <w:lang w:val="es-ES"/>
        </w:rPr>
        <w:t>,</w:t>
      </w:r>
      <w:r>
        <w:rPr>
          <w:rFonts w:hint="eastAsia"/>
          <w:lang w:val="es-ES"/>
        </w:rPr>
        <w:t>833</w:t>
      </w:r>
      <w:r>
        <w:rPr>
          <w:lang w:val="es-ES"/>
        </w:rPr>
        <w:t>,</w:t>
      </w:r>
      <w:r>
        <w:rPr>
          <w:rFonts w:hint="eastAsia"/>
          <w:lang w:val="es-ES"/>
        </w:rPr>
        <w:t>179</w:t>
      </w:r>
      <w:r>
        <w:rPr>
          <w:rFonts w:hint="eastAsia"/>
          <w:lang w:val="es-ES"/>
        </w:rPr>
        <w:t>人）为男性，</w:t>
      </w:r>
      <w:r>
        <w:rPr>
          <w:rFonts w:hint="eastAsia"/>
          <w:lang w:val="es-ES"/>
        </w:rPr>
        <w:t>49%</w:t>
      </w:r>
      <w:r>
        <w:rPr>
          <w:rFonts w:hint="eastAsia"/>
          <w:lang w:val="es-ES"/>
        </w:rPr>
        <w:t>（</w:t>
      </w:r>
      <w:r>
        <w:rPr>
          <w:rFonts w:hint="eastAsia"/>
          <w:lang w:val="es-ES"/>
        </w:rPr>
        <w:t>1</w:t>
      </w:r>
      <w:r>
        <w:rPr>
          <w:lang w:val="es-ES"/>
        </w:rPr>
        <w:t>,</w:t>
      </w:r>
      <w:r>
        <w:rPr>
          <w:rFonts w:hint="eastAsia"/>
          <w:lang w:val="es-ES"/>
        </w:rPr>
        <w:t>792</w:t>
      </w:r>
      <w:r>
        <w:rPr>
          <w:lang w:val="es-ES"/>
        </w:rPr>
        <w:t>,</w:t>
      </w:r>
      <w:r>
        <w:rPr>
          <w:rFonts w:hint="eastAsia"/>
          <w:lang w:val="es-ES"/>
        </w:rPr>
        <w:t>493</w:t>
      </w:r>
      <w:r>
        <w:rPr>
          <w:rFonts w:hint="eastAsia"/>
          <w:lang w:val="es-ES"/>
        </w:rPr>
        <w:t>人）为女性。需要强调的是，在</w:t>
      </w:r>
      <w:r>
        <w:rPr>
          <w:rFonts w:hint="eastAsia"/>
          <w:lang w:val="es-ES"/>
        </w:rPr>
        <w:t>1998-2004</w:t>
      </w:r>
      <w:r>
        <w:rPr>
          <w:rFonts w:hint="eastAsia"/>
          <w:lang w:val="es-ES"/>
        </w:rPr>
        <w:t>年期间被驱逐的人</w:t>
      </w:r>
      <w:r>
        <w:rPr>
          <w:rFonts w:hint="eastAsia"/>
          <w:lang w:val="zh-CN"/>
        </w:rPr>
        <w:t>口中以男性居多，但是从</w:t>
      </w:r>
      <w:r>
        <w:rPr>
          <w:rFonts w:hint="eastAsia"/>
          <w:lang w:val="zh-CN"/>
        </w:rPr>
        <w:t>2005</w:t>
      </w:r>
      <w:r>
        <w:rPr>
          <w:rFonts w:hint="eastAsia"/>
          <w:lang w:val="zh-CN"/>
        </w:rPr>
        <w:t>年开始女性占据了多数。</w:t>
      </w:r>
      <w:r>
        <w:rPr>
          <w:vertAlign w:val="superscript"/>
          <w:lang w:val="zh-CN"/>
        </w:rPr>
        <w:footnoteReference w:id="250"/>
      </w:r>
      <w:r>
        <w:rPr>
          <w:rFonts w:hint="eastAsia"/>
          <w:lang w:val="zh-CN"/>
        </w:rPr>
        <w:t xml:space="preserve"> </w:t>
      </w:r>
      <w:r>
        <w:rPr>
          <w:rFonts w:hint="eastAsia"/>
          <w:lang w:val="zh-CN"/>
        </w:rPr>
        <w:t>同时，在被迫流离失所人口的年龄方面，</w:t>
      </w:r>
      <w:r>
        <w:rPr>
          <w:rFonts w:hint="eastAsia"/>
          <w:lang w:val="zh-CN"/>
        </w:rPr>
        <w:t>7.2%</w:t>
      </w:r>
      <w:r>
        <w:rPr>
          <w:rFonts w:hint="eastAsia"/>
          <w:lang w:val="zh-CN"/>
        </w:rPr>
        <w:t>（</w:t>
      </w:r>
      <w:r>
        <w:rPr>
          <w:rFonts w:hint="eastAsia"/>
          <w:lang w:val="zh-CN"/>
        </w:rPr>
        <w:t>260</w:t>
      </w:r>
      <w:r>
        <w:t>,</w:t>
      </w:r>
      <w:r>
        <w:rPr>
          <w:rFonts w:hint="eastAsia"/>
          <w:lang w:val="zh-CN"/>
        </w:rPr>
        <w:t>746</w:t>
      </w:r>
      <w:r>
        <w:rPr>
          <w:rFonts w:hint="eastAsia"/>
          <w:lang w:val="zh-CN"/>
        </w:rPr>
        <w:t>人）为</w:t>
      </w:r>
      <w:r>
        <w:rPr>
          <w:rFonts w:hint="eastAsia"/>
          <w:lang w:val="zh-CN"/>
        </w:rPr>
        <w:t>0-5</w:t>
      </w:r>
      <w:r>
        <w:rPr>
          <w:rFonts w:hint="eastAsia"/>
          <w:lang w:val="zh-CN"/>
        </w:rPr>
        <w:t>岁的婴幼儿，</w:t>
      </w:r>
      <w:r>
        <w:rPr>
          <w:rFonts w:hint="eastAsia"/>
          <w:lang w:val="zh-CN"/>
        </w:rPr>
        <w:t>21.5%</w:t>
      </w:r>
      <w:r>
        <w:rPr>
          <w:rFonts w:hint="eastAsia"/>
          <w:lang w:val="zh-CN"/>
        </w:rPr>
        <w:t>（</w:t>
      </w:r>
      <w:r>
        <w:rPr>
          <w:rFonts w:hint="eastAsia"/>
          <w:lang w:val="zh-CN"/>
        </w:rPr>
        <w:t>780,158</w:t>
      </w:r>
      <w:r>
        <w:rPr>
          <w:rFonts w:hint="eastAsia"/>
          <w:lang w:val="zh-CN"/>
        </w:rPr>
        <w:t>人）为</w:t>
      </w:r>
      <w:r>
        <w:rPr>
          <w:rFonts w:hint="eastAsia"/>
          <w:lang w:val="zh-CN"/>
        </w:rPr>
        <w:t>6-14</w:t>
      </w:r>
      <w:r>
        <w:rPr>
          <w:rFonts w:hint="eastAsia"/>
          <w:lang w:val="zh-CN"/>
        </w:rPr>
        <w:t>岁的儿童和青少年，</w:t>
      </w:r>
      <w:r>
        <w:rPr>
          <w:rFonts w:hint="eastAsia"/>
          <w:lang w:val="zh-CN"/>
        </w:rPr>
        <w:t>9.8%</w:t>
      </w:r>
      <w:r>
        <w:rPr>
          <w:rFonts w:hint="eastAsia"/>
          <w:lang w:val="zh-CN"/>
        </w:rPr>
        <w:t>（</w:t>
      </w:r>
      <w:r>
        <w:rPr>
          <w:rFonts w:hint="eastAsia"/>
          <w:lang w:val="zh-CN"/>
        </w:rPr>
        <w:t>354</w:t>
      </w:r>
      <w:r>
        <w:t>,</w:t>
      </w:r>
      <w:r>
        <w:rPr>
          <w:rFonts w:hint="eastAsia"/>
          <w:lang w:val="zh-CN"/>
        </w:rPr>
        <w:t>158</w:t>
      </w:r>
      <w:r>
        <w:rPr>
          <w:rFonts w:hint="eastAsia"/>
          <w:lang w:val="zh-CN"/>
        </w:rPr>
        <w:t>人）为年轻人（参见本报告的附件</w:t>
      </w:r>
      <w:r>
        <w:rPr>
          <w:rFonts w:hint="eastAsia"/>
          <w:lang w:val="zh-CN"/>
        </w:rPr>
        <w:t>1</w:t>
      </w:r>
      <w:r>
        <w:rPr>
          <w:rFonts w:hint="eastAsia"/>
          <w:lang w:val="zh-CN"/>
        </w:rPr>
        <w:t>）。</w:t>
      </w:r>
    </w:p>
    <w:p w:rsidR="00A83775" w:rsidRDefault="00A83775">
      <w:pPr>
        <w:pStyle w:val="SingleTxtGC"/>
        <w:rPr>
          <w:lang w:val="zh-CN"/>
        </w:rPr>
      </w:pPr>
      <w:r>
        <w:rPr>
          <w:lang w:val="zh-CN"/>
        </w:rPr>
        <w:t>68</w:t>
      </w:r>
      <w:r>
        <w:rPr>
          <w:rFonts w:hint="eastAsia"/>
          <w:lang w:val="zh-CN"/>
        </w:rPr>
        <w:t>4</w:t>
      </w:r>
      <w:r>
        <w:rPr>
          <w:lang w:val="zh-CN"/>
        </w:rPr>
        <w:t xml:space="preserve">.  </w:t>
      </w:r>
      <w:r>
        <w:rPr>
          <w:rFonts w:hint="eastAsia"/>
          <w:lang w:val="zh-CN"/>
        </w:rPr>
        <w:t>除设立流离失所人口登记处外，国家还采取措施来逐步将流离失所人口这一变量纳入到了各实体的登记处中。例如，</w:t>
      </w:r>
      <w:r>
        <w:rPr>
          <w:lang w:val="zh-CN"/>
        </w:rPr>
        <w:t>国家法律医学和法医学研究</w:t>
      </w:r>
      <w:r>
        <w:rPr>
          <w:rFonts w:hint="eastAsia"/>
          <w:lang w:val="zh-CN"/>
        </w:rPr>
        <w:t>所在其法医学年度报告中就介绍了与对流离失所妇女的调查有关的信息，力争对司法工作中的相关要素，包括各种暴力的表现形式进行归纳分析（参见本条对应的附件</w:t>
      </w:r>
      <w:r>
        <w:rPr>
          <w:rFonts w:hint="eastAsia"/>
          <w:lang w:val="zh-CN"/>
        </w:rPr>
        <w:t>2</w:t>
      </w:r>
      <w:r>
        <w:rPr>
          <w:rFonts w:hint="eastAsia"/>
          <w:lang w:val="zh-CN"/>
        </w:rPr>
        <w:t>）。</w:t>
      </w:r>
    </w:p>
    <w:p w:rsidR="00A83775" w:rsidRDefault="00A83775">
      <w:pPr>
        <w:pStyle w:val="SingleTxtGC"/>
        <w:rPr>
          <w:rFonts w:hint="eastAsia"/>
          <w:lang w:val="es-ES"/>
        </w:rPr>
      </w:pPr>
      <w:r>
        <w:rPr>
          <w:lang w:val="zh-CN"/>
        </w:rPr>
        <w:t>68</w:t>
      </w:r>
      <w:r>
        <w:rPr>
          <w:rFonts w:hint="eastAsia"/>
          <w:lang w:val="zh-CN"/>
        </w:rPr>
        <w:t>5</w:t>
      </w:r>
      <w:r>
        <w:rPr>
          <w:lang w:val="zh-CN"/>
        </w:rPr>
        <w:t xml:space="preserve">.  </w:t>
      </w:r>
      <w:r>
        <w:rPr>
          <w:rFonts w:hint="eastAsia"/>
          <w:lang w:val="zh-CN"/>
        </w:rPr>
        <w:t>公民权利监察员办公室是早期预警体系的责任单位，该体系中包含若干性别指标，用于</w:t>
      </w:r>
      <w:r>
        <w:rPr>
          <w:rFonts w:hint="eastAsia"/>
          <w:lang w:val="es-ES"/>
        </w:rPr>
        <w:t>发布风险报告，对民众可能会遭遇的各类流离失所和暴力侵害状况发出警示，以便进行紧急性直接干预，目的就是避免此类事件或其他犯罪的发生。</w:t>
      </w:r>
      <w:r>
        <w:rPr>
          <w:vertAlign w:val="superscript"/>
          <w:lang w:val="es-ES"/>
        </w:rPr>
        <w:footnoteReference w:id="251"/>
      </w:r>
    </w:p>
    <w:p w:rsidR="00A83775" w:rsidRDefault="00A83775">
      <w:pPr>
        <w:pStyle w:val="SingleTxtGC"/>
        <w:rPr>
          <w:lang w:val="zh-CN"/>
        </w:rPr>
      </w:pPr>
      <w:r>
        <w:rPr>
          <w:lang w:val="es-ES"/>
        </w:rPr>
        <w:t>68</w:t>
      </w:r>
      <w:r>
        <w:rPr>
          <w:rFonts w:hint="eastAsia"/>
          <w:lang w:val="es-ES"/>
        </w:rPr>
        <w:t>6</w:t>
      </w:r>
      <w:r>
        <w:rPr>
          <w:lang w:val="es-ES"/>
        </w:rPr>
        <w:t xml:space="preserve">.  </w:t>
      </w:r>
      <w:r>
        <w:rPr>
          <w:rFonts w:hint="eastAsia"/>
          <w:lang w:val="es-ES"/>
        </w:rPr>
        <w:t>遵照第</w:t>
      </w:r>
      <w:r>
        <w:rPr>
          <w:rFonts w:hint="eastAsia"/>
          <w:lang w:val="es-ES"/>
        </w:rPr>
        <w:t>092</w:t>
      </w:r>
      <w:r>
        <w:rPr>
          <w:rFonts w:hint="eastAsia"/>
          <w:lang w:val="es-ES"/>
        </w:rPr>
        <w:t>号和第</w:t>
      </w:r>
      <w:r>
        <w:rPr>
          <w:rFonts w:hint="eastAsia"/>
          <w:lang w:val="es-ES"/>
        </w:rPr>
        <w:t>237</w:t>
      </w:r>
      <w:r>
        <w:rPr>
          <w:rFonts w:hint="eastAsia"/>
          <w:lang w:val="es-ES"/>
        </w:rPr>
        <w:t>号裁决，社会行动署等机构已经制定了前面提到过的</w:t>
      </w:r>
      <w:r>
        <w:rPr>
          <w:rFonts w:hint="eastAsia"/>
          <w:lang w:val="zh-CN"/>
        </w:rPr>
        <w:t>关于哥伦比亚流离失所妇女在土地权利方面的脆弱性的图谱，社会保障部也在</w:t>
      </w:r>
      <w:r>
        <w:rPr>
          <w:rFonts w:hint="eastAsia"/>
          <w:lang w:val="zh-CN"/>
        </w:rPr>
        <w:t>2009</w:t>
      </w:r>
      <w:r>
        <w:rPr>
          <w:rFonts w:hint="eastAsia"/>
          <w:lang w:val="zh-CN"/>
        </w:rPr>
        <w:t>年期间对国内</w:t>
      </w:r>
      <w:r>
        <w:rPr>
          <w:rFonts w:hint="eastAsia"/>
          <w:lang w:val="zh-CN"/>
        </w:rPr>
        <w:t>30</w:t>
      </w:r>
      <w:r>
        <w:rPr>
          <w:rFonts w:hint="eastAsia"/>
          <w:lang w:val="zh-CN"/>
        </w:rPr>
        <w:t>个省份的流离失所妇女进行了筛查。</w:t>
      </w:r>
      <w:r>
        <w:rPr>
          <w:vertAlign w:val="superscript"/>
          <w:lang w:val="zh-CN"/>
        </w:rPr>
        <w:footnoteReference w:id="252"/>
      </w:r>
      <w:r>
        <w:rPr>
          <w:lang w:val="zh-CN"/>
        </w:rPr>
        <w:t xml:space="preserve"> </w:t>
      </w:r>
    </w:p>
    <w:p w:rsidR="00A83775" w:rsidRDefault="00A83775">
      <w:pPr>
        <w:pStyle w:val="SingleTxtGC"/>
        <w:rPr>
          <w:lang w:val="es-ES"/>
        </w:rPr>
      </w:pPr>
      <w:r>
        <w:rPr>
          <w:lang w:val="zh-CN"/>
        </w:rPr>
        <w:t>68</w:t>
      </w:r>
      <w:r>
        <w:rPr>
          <w:rFonts w:hint="eastAsia"/>
          <w:lang w:val="zh-CN"/>
        </w:rPr>
        <w:t>7</w:t>
      </w:r>
      <w:r>
        <w:rPr>
          <w:lang w:val="zh-CN"/>
        </w:rPr>
        <w:t xml:space="preserve">.  </w:t>
      </w:r>
      <w:r>
        <w:rPr>
          <w:rFonts w:hint="eastAsia"/>
          <w:lang w:val="zh-CN"/>
        </w:rPr>
        <w:t>以上是在获得与流离失所妇女有关的信息方面所取得的一些进步，同样还应看到</w:t>
      </w:r>
      <w:r>
        <w:rPr>
          <w:rFonts w:hint="eastAsia"/>
          <w:lang w:val="es-ES"/>
        </w:rPr>
        <w:t>国家在预防、保护和应对这一问题以及出台干预措施来应对流离失所人口所面临的风险和弱势状况上所遇到的挑战。</w:t>
      </w:r>
    </w:p>
    <w:p w:rsidR="00A83775" w:rsidRDefault="00A83775">
      <w:pPr>
        <w:pStyle w:val="H23GC"/>
        <w:rPr>
          <w:rFonts w:hint="eastAsia"/>
          <w:lang w:val="es-ES_tradnl"/>
        </w:rPr>
      </w:pPr>
      <w:r>
        <w:rPr>
          <w:lang w:val="es-ES_tradnl"/>
        </w:rPr>
        <w:tab/>
        <w:t>5.</w:t>
      </w:r>
      <w:r>
        <w:rPr>
          <w:lang w:val="es-ES_tradnl"/>
        </w:rPr>
        <w:tab/>
      </w:r>
      <w:r>
        <w:rPr>
          <w:rFonts w:hint="eastAsia"/>
          <w:lang w:val="es-ES_tradnl"/>
        </w:rPr>
        <w:t>新出台和酝酿出台的措施</w:t>
      </w:r>
    </w:p>
    <w:p w:rsidR="00A83775" w:rsidRDefault="00A83775">
      <w:pPr>
        <w:pStyle w:val="SingleTxtGC"/>
        <w:rPr>
          <w:lang w:val="es-ES"/>
        </w:rPr>
      </w:pPr>
      <w:r>
        <w:rPr>
          <w:lang w:val="es-ES"/>
        </w:rPr>
        <w:t>68</w:t>
      </w:r>
      <w:r>
        <w:rPr>
          <w:rFonts w:hint="eastAsia"/>
          <w:lang w:val="es-ES"/>
        </w:rPr>
        <w:t>8</w:t>
      </w:r>
      <w:r>
        <w:rPr>
          <w:lang w:val="es-ES"/>
        </w:rPr>
        <w:t xml:space="preserve">.  </w:t>
      </w:r>
      <w:r>
        <w:rPr>
          <w:rFonts w:hint="eastAsia"/>
          <w:lang w:val="es-ES"/>
        </w:rPr>
        <w:t>国家政府考虑到在开展机构间合作、机构内部合作和全国合作的进程中所遇到的巨大困难，向宪法法院提交了关于应对在第</w:t>
      </w:r>
      <w:r>
        <w:rPr>
          <w:rFonts w:hint="eastAsia"/>
          <w:lang w:val="es-ES"/>
        </w:rPr>
        <w:t>092</w:t>
      </w:r>
      <w:r>
        <w:rPr>
          <w:rFonts w:hint="eastAsia"/>
          <w:lang w:val="es-ES"/>
        </w:rPr>
        <w:t>号裁决中揭露出的妇女所面临的各类风险的提案，即包含了</w:t>
      </w:r>
      <w:r>
        <w:rPr>
          <w:rFonts w:hint="eastAsia"/>
          <w:lang w:val="es-ES"/>
        </w:rPr>
        <w:t>13</w:t>
      </w:r>
      <w:r>
        <w:rPr>
          <w:rFonts w:hint="eastAsia"/>
          <w:lang w:val="es-ES"/>
        </w:rPr>
        <w:t>项方案的综合性计划。这一计划是在受害妇女及其代表性组织的参与下制定出台的。伴随这一提案，妇女平等事务总统高级顾问</w:t>
      </w:r>
      <w:r>
        <w:rPr>
          <w:rFonts w:hint="eastAsia"/>
          <w:lang w:val="zh-CN"/>
        </w:rPr>
        <w:t>办公室</w:t>
      </w:r>
      <w:r>
        <w:rPr>
          <w:rFonts w:hint="eastAsia"/>
          <w:lang w:val="es-ES"/>
        </w:rPr>
        <w:t>还制定了一项战略，以便将性别观点融入到针对流离失所人口的政策、计划和方案中，目的就是为了通过各类预防和处理被迫流离失所问题的宏观政策来加强对面临流离失所风险或处于流离失所状况的妇女的关爱力度。</w:t>
      </w:r>
    </w:p>
    <w:p w:rsidR="00A83775" w:rsidRDefault="00A83775">
      <w:pPr>
        <w:pStyle w:val="SingleTxtGC"/>
        <w:rPr>
          <w:lang w:val="es-ES"/>
        </w:rPr>
      </w:pPr>
    </w:p>
    <w:p w:rsidR="00A83775" w:rsidRDefault="00A8377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83775">
      <w:headerReference w:type="even" r:id="rId16"/>
      <w:headerReference w:type="default" r:id="rId17"/>
      <w:footerReference w:type="even" r:id="rId18"/>
      <w:footerReference w:type="default" r:id="rId19"/>
      <w:footerReference w:type="first" r:id="rId20"/>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3775" w:rsidRDefault="00A8377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A83775" w:rsidRDefault="00A8377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L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vantGarde">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oudyOlSt BT">
    <w:altName w:val="Georgia"/>
    <w:charset w:val="00"/>
    <w:family w:val="roman"/>
    <w:pitch w:val="variable"/>
    <w:sig w:usb0="00000007" w:usb1="00000000" w:usb2="00000000" w:usb3="00000000" w:csb0="00000011" w:csb1="00000000"/>
  </w:font>
  <w:font w:name="Times">
    <w:panose1 w:val="02020603050405020304"/>
    <w:charset w:val="00"/>
    <w:family w:val="roman"/>
    <w:pitch w:val="variable"/>
    <w:sig w:usb0="E0002AFF" w:usb1="C0007841" w:usb2="00000009" w:usb3="00000000" w:csb0="000001FF" w:csb1="00000000"/>
  </w:font>
  <w:font w:name="Garamond">
    <w:charset w:val="00"/>
    <w:family w:val="roman"/>
    <w:pitch w:val="variable"/>
    <w:sig w:usb0="00000287" w:usb1="00000000" w:usb2="00000000" w:usb3="00000000" w:csb0="0000009F" w:csb1="00000000"/>
  </w:font>
  <w:font w:name="Arial0">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00"/>
    <w:family w:val="swiss"/>
    <w:pitch w:val="variable"/>
    <w:sig w:usb0="E10022FF" w:usb1="C000E47F" w:usb2="00000029" w:usb3="00000000" w:csb0="000001DF" w:csb1="00000000"/>
  </w:font>
  <w:font w:name="Arial Narrow">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775" w:rsidRDefault="00A83775">
    <w:pPr>
      <w:pStyle w:val="Footer"/>
      <w:tabs>
        <w:tab w:val="clear" w:pos="431"/>
        <w:tab w:val="right" w:pos="9639"/>
      </w:tabs>
      <w:rPr>
        <w:rStyle w:val="PageNumber"/>
        <w:rFonts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D93D07">
      <w:rPr>
        <w:rStyle w:val="PageNumber"/>
        <w:noProof/>
      </w:rPr>
      <w:t>148</w:t>
    </w:r>
    <w:r>
      <w:rPr>
        <w:rStyle w:val="PageNumber"/>
      </w:rPr>
      <w:fldChar w:fldCharType="end"/>
    </w:r>
    <w:r>
      <w:rPr>
        <w:rStyle w:val="PageNumber"/>
        <w:rFonts w:hint="eastAsia"/>
        <w:lang w:eastAsia="zh-CN"/>
      </w:rPr>
      <w:tab/>
    </w:r>
    <w:r>
      <w:rPr>
        <w:lang w:eastAsia="zh-CN"/>
      </w:rPr>
      <w:t xml:space="preserve">GE.12-41462 </w:t>
    </w:r>
    <w:r>
      <w:rPr>
        <w:lang w:val="en-US" w:eastAsia="zh-CN"/>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775" w:rsidRDefault="00A83775">
    <w:pPr>
      <w:pStyle w:val="Footer"/>
      <w:tabs>
        <w:tab w:val="right" w:pos="9639"/>
      </w:tabs>
    </w:pPr>
    <w:r>
      <w:rPr>
        <w:lang w:eastAsia="zh-CN"/>
      </w:rPr>
      <w:t xml:space="preserve">GE.12-41462 </w:t>
    </w:r>
    <w:r>
      <w:rPr>
        <w:lang w:val="en-US" w:eastAsia="zh-CN"/>
      </w:rPr>
      <w:t>(EXT)</w:t>
    </w:r>
    <w:r>
      <w:tab/>
    </w:r>
    <w:r>
      <w:rPr>
        <w:rStyle w:val="PageNumber"/>
      </w:rPr>
      <w:fldChar w:fldCharType="begin"/>
    </w:r>
    <w:r>
      <w:rPr>
        <w:rStyle w:val="PageNumber"/>
      </w:rPr>
      <w:instrText xml:space="preserve"> PAGE </w:instrText>
    </w:r>
    <w:r>
      <w:rPr>
        <w:rStyle w:val="PageNumber"/>
      </w:rPr>
      <w:fldChar w:fldCharType="separate"/>
    </w:r>
    <w:r w:rsidR="00D93D07">
      <w:rPr>
        <w:rStyle w:val="PageNumber"/>
        <w:noProof/>
      </w:rPr>
      <w:t>149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775" w:rsidRDefault="00A83775">
    <w:pPr>
      <w:pStyle w:val="Footer"/>
      <w:tabs>
        <w:tab w:val="left" w:pos="1701"/>
        <w:tab w:val="left" w:pos="2552"/>
        <w:tab w:val="left" w:pos="8618"/>
      </w:tabs>
      <w:rPr>
        <w:rFonts w:hint="eastAsia"/>
        <w:sz w:val="20"/>
        <w:lang w:eastAsia="zh-CN"/>
      </w:rPr>
    </w:pPr>
    <w:r>
      <w:rPr>
        <w:sz w:val="20"/>
        <w:lang w:eastAsia="zh-CN"/>
      </w:rPr>
      <w:t>GE.</w:t>
    </w:r>
    <w:r>
      <w:rPr>
        <w:rFonts w:hint="eastAsia"/>
        <w:sz w:val="20"/>
        <w:lang w:eastAsia="zh-CN"/>
      </w:rPr>
      <w:t>12</w:t>
    </w:r>
    <w:r>
      <w:rPr>
        <w:sz w:val="20"/>
        <w:lang w:eastAsia="zh-CN"/>
      </w:rPr>
      <w:t>-</w:t>
    </w:r>
    <w:r>
      <w:rPr>
        <w:sz w:val="20"/>
        <w:lang w:val="en-US" w:eastAsia="zh-CN"/>
      </w:rPr>
      <w:t>41462</w:t>
    </w:r>
    <w:r>
      <w:rPr>
        <w:sz w:val="20"/>
        <w:lang w:eastAsia="zh-CN"/>
      </w:rPr>
      <w:t xml:space="preserve"> (EXT)</w:t>
    </w:r>
    <w:r>
      <w:rPr>
        <w:sz w:val="20"/>
        <w:lang w:eastAsia="zh-CN"/>
      </w:rPr>
      <w:tab/>
    </w:r>
    <w:r>
      <w:rPr>
        <w:sz w:val="20"/>
        <w:lang w:eastAsia="zh-CN"/>
      </w:rPr>
      <w:tab/>
    </w:r>
    <w:r>
      <w:rPr>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3775" w:rsidRDefault="00A83775">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type="continuationSeparator" w:id="0">
    <w:p w:rsidR="00A83775" w:rsidRDefault="00A83775">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id="1">
    <w:p w:rsidR="00A83775" w:rsidRDefault="00A83775">
      <w:pPr>
        <w:pStyle w:val="FootnoteText"/>
        <w:rPr>
          <w:szCs w:val="18"/>
        </w:rPr>
      </w:pPr>
      <w:r>
        <w:rPr>
          <w:szCs w:val="18"/>
        </w:rPr>
        <w:tab/>
      </w:r>
      <w:r>
        <w:rPr>
          <w:rStyle w:val="FootnoteReference"/>
          <w:szCs w:val="18"/>
          <w:vertAlign w:val="baseline"/>
        </w:rPr>
        <w:t>*</w:t>
      </w:r>
      <w:r>
        <w:rPr>
          <w:szCs w:val="18"/>
          <w:vertAlign w:val="superscript"/>
        </w:rPr>
        <w:tab/>
      </w:r>
      <w:r>
        <w:rPr>
          <w:rFonts w:hint="eastAsia"/>
          <w:szCs w:val="18"/>
        </w:rPr>
        <w:t>按照已通知各缔约国的报告处理办法，本文件在送交联合国翻译部门前未经正式编辑。</w:t>
      </w:r>
    </w:p>
  </w:footnote>
  <w:footnote w:id="2">
    <w:p w:rsidR="00A83775" w:rsidRDefault="00A83775">
      <w:pPr>
        <w:pStyle w:val="FootnoteText"/>
        <w:rPr>
          <w:szCs w:val="18"/>
        </w:rPr>
      </w:pPr>
      <w:r>
        <w:rPr>
          <w:szCs w:val="18"/>
        </w:rPr>
        <w:tab/>
      </w:r>
      <w:r>
        <w:rPr>
          <w:rStyle w:val="FootnoteReference"/>
          <w:szCs w:val="18"/>
          <w:vertAlign w:val="baseline"/>
        </w:rPr>
        <w:t>**</w:t>
      </w:r>
      <w:r>
        <w:rPr>
          <w:szCs w:val="18"/>
          <w:lang w:val="es-ES_tradnl"/>
        </w:rPr>
        <w:tab/>
      </w:r>
      <w:r>
        <w:rPr>
          <w:rFonts w:hAnsi="SimSun" w:hint="eastAsia"/>
          <w:noProof/>
          <w:szCs w:val="18"/>
        </w:rPr>
        <w:t>附件可查阅秘书处档案。</w:t>
      </w:r>
    </w:p>
  </w:footnote>
  <w:footnote w:id="3">
    <w:p w:rsidR="00A83775" w:rsidRDefault="00A83775">
      <w:pPr>
        <w:pStyle w:val="FootnoteText"/>
        <w:widowControl w:val="0"/>
        <w:tabs>
          <w:tab w:val="clear" w:pos="1021"/>
          <w:tab w:val="right" w:pos="1020"/>
        </w:tabs>
        <w:rPr>
          <w:szCs w:val="18"/>
        </w:rPr>
      </w:pPr>
      <w:r>
        <w:rPr>
          <w:szCs w:val="18"/>
          <w:lang w:val="es-MX"/>
        </w:rPr>
        <w:tab/>
      </w:r>
      <w:r>
        <w:rPr>
          <w:rStyle w:val="FootnoteReference"/>
          <w:szCs w:val="18"/>
        </w:rPr>
        <w:footnoteRef/>
      </w:r>
      <w:r>
        <w:rPr>
          <w:szCs w:val="18"/>
          <w:lang w:val="es-ES_tradnl"/>
        </w:rPr>
        <w:tab/>
      </w:r>
      <w:r>
        <w:rPr>
          <w:rFonts w:hAnsi="SimSun" w:hint="eastAsia"/>
          <w:szCs w:val="18"/>
          <w:lang w:val="zh-CN"/>
        </w:rPr>
        <w:t>截至</w:t>
      </w:r>
      <w:smartTag w:uri="urn:schemas-microsoft-com:office:smarttags" w:element="chsdate">
        <w:smartTagPr>
          <w:attr w:name="Year" w:val="2005"/>
          <w:attr w:name="Month" w:val="6"/>
          <w:attr w:name="Day" w:val="30"/>
          <w:attr w:name="IsLunarDate" w:val="False"/>
          <w:attr w:name="IsROCDate" w:val="False"/>
        </w:smartTagPr>
        <w:r>
          <w:rPr>
            <w:szCs w:val="18"/>
            <w:lang w:val="zh-CN"/>
          </w:rPr>
          <w:t>2005</w:t>
        </w:r>
        <w:r>
          <w:rPr>
            <w:rFonts w:hAnsi="SimSun" w:hint="eastAsia"/>
            <w:szCs w:val="18"/>
            <w:lang w:val="zh-CN"/>
          </w:rPr>
          <w:t>年</w:t>
        </w:r>
        <w:r>
          <w:rPr>
            <w:szCs w:val="18"/>
            <w:lang w:val="zh-CN"/>
          </w:rPr>
          <w:t>6</w:t>
        </w:r>
        <w:r>
          <w:rPr>
            <w:rFonts w:hAnsi="SimSun" w:hint="eastAsia"/>
            <w:szCs w:val="18"/>
            <w:lang w:val="zh-CN"/>
          </w:rPr>
          <w:t>月</w:t>
        </w:r>
        <w:r>
          <w:rPr>
            <w:szCs w:val="18"/>
            <w:lang w:val="zh-CN"/>
          </w:rPr>
          <w:t>30</w:t>
        </w:r>
        <w:r>
          <w:rPr>
            <w:rFonts w:hAnsi="SimSun" w:hint="eastAsia"/>
            <w:szCs w:val="18"/>
            <w:lang w:val="zh-CN"/>
          </w:rPr>
          <w:t>日</w:t>
        </w:r>
      </w:smartTag>
      <w:r>
        <w:rPr>
          <w:rFonts w:hAnsi="SimSun" w:hint="eastAsia"/>
          <w:szCs w:val="18"/>
          <w:lang w:val="zh-CN"/>
        </w:rPr>
        <w:t>的人口数据。到</w:t>
      </w:r>
      <w:r>
        <w:rPr>
          <w:szCs w:val="18"/>
          <w:lang w:val="zh-CN"/>
        </w:rPr>
        <w:t>2011</w:t>
      </w:r>
      <w:r>
        <w:rPr>
          <w:rFonts w:hAnsi="SimSun" w:hint="eastAsia"/>
          <w:szCs w:val="18"/>
          <w:lang w:val="zh-CN"/>
        </w:rPr>
        <w:t>年</w:t>
      </w:r>
      <w:r>
        <w:rPr>
          <w:szCs w:val="18"/>
          <w:lang w:val="zh-CN"/>
        </w:rPr>
        <w:t>6</w:t>
      </w:r>
      <w:r>
        <w:rPr>
          <w:rFonts w:hAnsi="SimSun" w:hint="eastAsia"/>
          <w:szCs w:val="18"/>
          <w:lang w:val="zh-CN"/>
        </w:rPr>
        <w:t>月，估计总人口数为</w:t>
      </w:r>
      <w:r>
        <w:rPr>
          <w:szCs w:val="18"/>
          <w:lang w:val="zh-CN"/>
        </w:rPr>
        <w:t>46 020 850</w:t>
      </w:r>
      <w:r>
        <w:rPr>
          <w:rFonts w:hAnsi="SimSun" w:hint="eastAsia"/>
          <w:szCs w:val="18"/>
          <w:lang w:val="zh-CN"/>
        </w:rPr>
        <w:t>人。</w:t>
      </w:r>
    </w:p>
  </w:footnote>
  <w:footnote w:id="4">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lang w:val="es-ES_tradnl"/>
        </w:rPr>
        <w:tab/>
      </w:r>
      <w:r>
        <w:rPr>
          <w:szCs w:val="18"/>
          <w:lang w:val="zh-CN"/>
        </w:rPr>
        <w:t>2005</w:t>
      </w:r>
      <w:r>
        <w:rPr>
          <w:rFonts w:hAnsi="SimSun" w:hint="eastAsia"/>
          <w:szCs w:val="18"/>
          <w:lang w:val="zh-CN"/>
        </w:rPr>
        <w:t>年人口普查数据，以被调查人口对其所属人种族群的认同为出发点。</w:t>
      </w:r>
    </w:p>
  </w:footnote>
  <w:footnote w:id="5">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均属监管机构。</w:t>
      </w:r>
    </w:p>
  </w:footnote>
  <w:footnote w:id="6">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根据该法出台了针对各种形式的暴力侵害妇女和歧视妇女行为的思想教育、预防和惩治法规条例，并对《刑法典》、《刑事诉讼法》和</w:t>
      </w:r>
      <w:r>
        <w:rPr>
          <w:szCs w:val="18"/>
          <w:lang w:val="zh-CN"/>
        </w:rPr>
        <w:t>1996</w:t>
      </w:r>
      <w:r>
        <w:rPr>
          <w:rFonts w:hAnsi="SimSun" w:hint="eastAsia"/>
          <w:szCs w:val="18"/>
          <w:lang w:val="zh-CN"/>
        </w:rPr>
        <w:t>年的第</w:t>
      </w:r>
      <w:r>
        <w:rPr>
          <w:szCs w:val="18"/>
          <w:lang w:val="zh-CN"/>
        </w:rPr>
        <w:t>294</w:t>
      </w:r>
      <w:r>
        <w:rPr>
          <w:rFonts w:hAnsi="SimSun" w:hint="eastAsia"/>
          <w:szCs w:val="18"/>
          <w:lang w:val="zh-CN"/>
        </w:rPr>
        <w:t>号法的相关规定进行了修改并颁布了其他规定。</w:t>
      </w:r>
    </w:p>
  </w:footnote>
  <w:footnote w:id="7">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szCs w:val="18"/>
          <w:lang w:val="zh-CN"/>
        </w:rPr>
        <w:t>2011</w:t>
      </w:r>
      <w:r>
        <w:rPr>
          <w:rFonts w:hAnsi="SimSun" w:hint="eastAsia"/>
          <w:szCs w:val="18"/>
          <w:lang w:val="zh-CN"/>
        </w:rPr>
        <w:t>年第</w:t>
      </w:r>
      <w:r>
        <w:rPr>
          <w:szCs w:val="18"/>
          <w:lang w:val="zh-CN"/>
        </w:rPr>
        <w:t>C-490</w:t>
      </w:r>
      <w:r>
        <w:rPr>
          <w:rFonts w:hAnsi="SimSun" w:hint="eastAsia"/>
          <w:szCs w:val="18"/>
          <w:lang w:val="zh-CN"/>
        </w:rPr>
        <w:t>号判决，宪法法院通过这一判决对参议院</w:t>
      </w:r>
      <w:r>
        <w:rPr>
          <w:szCs w:val="18"/>
          <w:lang w:val="zh-CN"/>
        </w:rPr>
        <w:t>2010</w:t>
      </w:r>
      <w:r>
        <w:rPr>
          <w:rFonts w:hAnsi="SimSun" w:hint="eastAsia"/>
          <w:szCs w:val="18"/>
          <w:lang w:val="zh-CN"/>
        </w:rPr>
        <w:t>年第</w:t>
      </w:r>
      <w:r>
        <w:rPr>
          <w:szCs w:val="18"/>
          <w:lang w:val="zh-CN"/>
        </w:rPr>
        <w:t>190</w:t>
      </w:r>
      <w:r>
        <w:rPr>
          <w:rFonts w:hAnsi="SimSun" w:hint="eastAsia"/>
          <w:szCs w:val="18"/>
          <w:lang w:val="zh-CN"/>
        </w:rPr>
        <w:t>号</w:t>
      </w:r>
      <w:r>
        <w:rPr>
          <w:rFonts w:hint="eastAsia"/>
          <w:szCs w:val="18"/>
          <w:lang w:val="zh-CN"/>
        </w:rPr>
        <w:t>－</w:t>
      </w:r>
      <w:r>
        <w:rPr>
          <w:rFonts w:hAnsi="SimSun" w:hint="eastAsia"/>
          <w:szCs w:val="18"/>
          <w:lang w:val="zh-CN"/>
        </w:rPr>
        <w:t>众议院的</w:t>
      </w:r>
      <w:r>
        <w:rPr>
          <w:szCs w:val="18"/>
          <w:lang w:val="zh-CN"/>
        </w:rPr>
        <w:t>2010</w:t>
      </w:r>
      <w:r>
        <w:rPr>
          <w:rFonts w:hAnsi="SimSun" w:hint="eastAsia"/>
          <w:szCs w:val="18"/>
          <w:lang w:val="zh-CN"/>
        </w:rPr>
        <w:t>年第</w:t>
      </w:r>
      <w:r>
        <w:rPr>
          <w:szCs w:val="18"/>
          <w:lang w:val="zh-CN"/>
        </w:rPr>
        <w:t>092</w:t>
      </w:r>
      <w:r>
        <w:rPr>
          <w:rFonts w:hAnsi="SimSun" w:hint="eastAsia"/>
          <w:szCs w:val="18"/>
          <w:lang w:val="zh-CN"/>
        </w:rPr>
        <w:t>号成文法草案的合宪性进行了研究，</w:t>
      </w:r>
      <w:r>
        <w:rPr>
          <w:rFonts w:hint="eastAsia"/>
          <w:szCs w:val="18"/>
          <w:lang w:val="zh-CN"/>
        </w:rPr>
        <w:t>“</w:t>
      </w:r>
      <w:r>
        <w:rPr>
          <w:rFonts w:hAnsi="SimSun" w:hint="eastAsia"/>
          <w:szCs w:val="18"/>
          <w:lang w:val="zh-CN"/>
        </w:rPr>
        <w:t>据以采纳了政党和政治团体的组织和运作条例、选举程序并颁布了其他规定</w:t>
      </w:r>
      <w:r>
        <w:rPr>
          <w:rFonts w:hint="eastAsia"/>
          <w:szCs w:val="18"/>
          <w:lang w:val="zh-CN"/>
        </w:rPr>
        <w:t>”</w:t>
      </w:r>
      <w:r>
        <w:rPr>
          <w:rFonts w:hAnsi="SimSun" w:hint="eastAsia"/>
          <w:szCs w:val="18"/>
          <w:lang w:val="zh-CN"/>
        </w:rPr>
        <w:t>。</w:t>
      </w:r>
    </w:p>
  </w:footnote>
  <w:footnote w:id="8">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确认</w:t>
      </w:r>
      <w:r>
        <w:rPr>
          <w:szCs w:val="18"/>
          <w:lang w:val="zh-CN"/>
        </w:rPr>
        <w:t>2010</w:t>
      </w:r>
      <w:r>
        <w:rPr>
          <w:rFonts w:hAnsi="SimSun" w:hint="eastAsia"/>
          <w:szCs w:val="18"/>
          <w:lang w:val="zh-CN"/>
        </w:rPr>
        <w:t>年的数据时，应考虑在扣除审计确认信息之前采集的最终官方注册学生人数（未扣除审计确认信息）和在扣除缺席人数之前的截至</w:t>
      </w:r>
      <w:smartTag w:uri="urn:schemas-microsoft-com:office:smarttags" w:element="chsdate">
        <w:smartTagPr>
          <w:attr w:name="Year" w:val="2010"/>
          <w:attr w:name="Month" w:val="11"/>
          <w:attr w:name="Day" w:val="30"/>
          <w:attr w:name="IsLunarDate" w:val="False"/>
          <w:attr w:name="IsROCDate" w:val="False"/>
        </w:smartTagPr>
        <w:r>
          <w:rPr>
            <w:szCs w:val="18"/>
            <w:lang w:val="zh-CN"/>
          </w:rPr>
          <w:t>2010</w:t>
        </w:r>
        <w:r>
          <w:rPr>
            <w:rFonts w:hAnsi="SimSun" w:hint="eastAsia"/>
            <w:szCs w:val="18"/>
            <w:lang w:val="zh-CN"/>
          </w:rPr>
          <w:t>年</w:t>
        </w:r>
        <w:r>
          <w:rPr>
            <w:szCs w:val="18"/>
            <w:lang w:val="zh-CN"/>
          </w:rPr>
          <w:t>11</w:t>
        </w:r>
        <w:r>
          <w:rPr>
            <w:rFonts w:hAnsi="SimSun" w:hint="eastAsia"/>
            <w:szCs w:val="18"/>
            <w:lang w:val="zh-CN"/>
          </w:rPr>
          <w:t>月</w:t>
        </w:r>
        <w:r>
          <w:rPr>
            <w:szCs w:val="18"/>
            <w:lang w:val="zh-CN"/>
          </w:rPr>
          <w:t>30</w:t>
        </w:r>
        <w:r>
          <w:rPr>
            <w:rFonts w:hAnsi="SimSun" w:hint="eastAsia"/>
            <w:szCs w:val="18"/>
            <w:lang w:val="zh-CN"/>
          </w:rPr>
          <w:t>日</w:t>
        </w:r>
      </w:smartTag>
      <w:r>
        <w:rPr>
          <w:rFonts w:hAnsi="SimSun" w:hint="eastAsia"/>
          <w:szCs w:val="18"/>
          <w:lang w:val="zh-CN"/>
        </w:rPr>
        <w:t>的私立学校注册学生人数。</w:t>
      </w:r>
    </w:p>
  </w:footnote>
  <w:footnote w:id="9">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从</w:t>
      </w:r>
      <w:r>
        <w:rPr>
          <w:szCs w:val="18"/>
          <w:lang w:val="zh-CN"/>
        </w:rPr>
        <w:t>2006</w:t>
      </w:r>
      <w:r>
        <w:rPr>
          <w:rFonts w:hAnsi="SimSun" w:hint="eastAsia"/>
          <w:szCs w:val="18"/>
          <w:lang w:val="zh-CN"/>
        </w:rPr>
        <w:t>年的</w:t>
      </w:r>
      <w:r>
        <w:rPr>
          <w:szCs w:val="18"/>
          <w:lang w:val="zh-CN"/>
        </w:rPr>
        <w:t>32.4%</w:t>
      </w:r>
      <w:r>
        <w:rPr>
          <w:rFonts w:hAnsi="SimSun" w:hint="eastAsia"/>
          <w:szCs w:val="18"/>
          <w:lang w:val="zh-CN"/>
        </w:rPr>
        <w:t>变为</w:t>
      </w:r>
      <w:r>
        <w:rPr>
          <w:szCs w:val="18"/>
          <w:lang w:val="zh-CN"/>
        </w:rPr>
        <w:t>2010</w:t>
      </w:r>
      <w:r>
        <w:rPr>
          <w:rFonts w:hAnsi="SimSun" w:hint="eastAsia"/>
          <w:szCs w:val="18"/>
          <w:lang w:val="zh-CN"/>
        </w:rPr>
        <w:t>年的</w:t>
      </w:r>
      <w:r>
        <w:rPr>
          <w:szCs w:val="18"/>
          <w:lang w:val="zh-CN"/>
        </w:rPr>
        <w:t>37.5%</w:t>
      </w:r>
      <w:r>
        <w:rPr>
          <w:rFonts w:hAnsi="SimSun" w:hint="eastAsia"/>
          <w:szCs w:val="18"/>
          <w:lang w:val="zh-CN"/>
        </w:rPr>
        <w:t>。</w:t>
      </w:r>
    </w:p>
  </w:footnote>
  <w:footnote w:id="10">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男子的就业率从</w:t>
      </w:r>
      <w:r>
        <w:rPr>
          <w:szCs w:val="18"/>
          <w:lang w:val="es-ES_tradnl"/>
        </w:rPr>
        <w:t>2006</w:t>
      </w:r>
      <w:r>
        <w:rPr>
          <w:rFonts w:hAnsi="SimSun" w:hint="eastAsia"/>
          <w:szCs w:val="18"/>
          <w:lang w:val="zh-CN"/>
        </w:rPr>
        <w:t>年的</w:t>
      </w:r>
      <w:r>
        <w:rPr>
          <w:szCs w:val="18"/>
          <w:lang w:val="es-ES_tradnl"/>
        </w:rPr>
        <w:t>65.3%</w:t>
      </w:r>
      <w:r>
        <w:rPr>
          <w:rFonts w:hAnsi="SimSun" w:hint="eastAsia"/>
          <w:szCs w:val="18"/>
          <w:lang w:val="zh-CN"/>
        </w:rPr>
        <w:t>提高到</w:t>
      </w:r>
      <w:r>
        <w:rPr>
          <w:szCs w:val="18"/>
          <w:lang w:val="es-ES_tradnl"/>
        </w:rPr>
        <w:t>2010</w:t>
      </w:r>
      <w:r>
        <w:rPr>
          <w:rFonts w:hAnsi="SimSun" w:hint="eastAsia"/>
          <w:szCs w:val="18"/>
          <w:lang w:val="zh-CN"/>
        </w:rPr>
        <w:t>年的</w:t>
      </w:r>
      <w:r>
        <w:rPr>
          <w:szCs w:val="18"/>
          <w:lang w:val="es-ES_tradnl"/>
        </w:rPr>
        <w:t>67.5</w:t>
      </w:r>
      <w:r>
        <w:rPr>
          <w:rFonts w:hint="eastAsia"/>
          <w:szCs w:val="18"/>
          <w:lang w:val="es-ES_tradnl"/>
        </w:rPr>
        <w:t>%</w:t>
      </w:r>
      <w:r>
        <w:rPr>
          <w:rFonts w:hAnsi="SimSun" w:hint="eastAsia"/>
          <w:szCs w:val="18"/>
          <w:lang w:val="es-ES_tradnl"/>
        </w:rPr>
        <w:t>，</w:t>
      </w:r>
      <w:r>
        <w:rPr>
          <w:rFonts w:hAnsi="SimSun" w:hint="eastAsia"/>
          <w:szCs w:val="18"/>
          <w:lang w:val="zh-CN"/>
        </w:rPr>
        <w:t>提高了</w:t>
      </w:r>
      <w:r>
        <w:rPr>
          <w:szCs w:val="18"/>
          <w:lang w:val="es-ES_tradnl"/>
        </w:rPr>
        <w:t>2.2</w:t>
      </w:r>
      <w:r>
        <w:rPr>
          <w:rFonts w:hAnsi="SimSun" w:hint="eastAsia"/>
          <w:szCs w:val="18"/>
          <w:lang w:val="zh-CN"/>
        </w:rPr>
        <w:t>个百分点。妇女的就业率则提高了</w:t>
      </w:r>
      <w:r>
        <w:rPr>
          <w:szCs w:val="18"/>
          <w:lang w:val="es-ES_tradnl"/>
        </w:rPr>
        <w:t>4.4</w:t>
      </w:r>
      <w:r>
        <w:rPr>
          <w:rFonts w:hAnsi="SimSun" w:hint="eastAsia"/>
          <w:szCs w:val="18"/>
          <w:lang w:val="zh-CN"/>
        </w:rPr>
        <w:t>个百分点</w:t>
      </w:r>
      <w:r>
        <w:rPr>
          <w:rFonts w:hAnsi="SimSun" w:hint="eastAsia"/>
          <w:szCs w:val="18"/>
          <w:lang w:val="es-ES_tradnl"/>
        </w:rPr>
        <w:t>，</w:t>
      </w:r>
      <w:r>
        <w:rPr>
          <w:rFonts w:hAnsi="SimSun" w:hint="eastAsia"/>
          <w:szCs w:val="18"/>
          <w:lang w:val="zh-CN"/>
        </w:rPr>
        <w:t>从</w:t>
      </w:r>
      <w:r>
        <w:rPr>
          <w:szCs w:val="18"/>
          <w:lang w:val="es-ES_tradnl"/>
        </w:rPr>
        <w:t>2006</w:t>
      </w:r>
      <w:r>
        <w:rPr>
          <w:rFonts w:hAnsi="SimSun" w:hint="eastAsia"/>
          <w:szCs w:val="18"/>
          <w:lang w:val="zh-CN"/>
        </w:rPr>
        <w:t>年的</w:t>
      </w:r>
      <w:r>
        <w:rPr>
          <w:szCs w:val="18"/>
          <w:lang w:val="es-ES_tradnl"/>
        </w:rPr>
        <w:t>39.3%</w:t>
      </w:r>
      <w:r>
        <w:rPr>
          <w:rFonts w:hAnsi="SimSun" w:hint="eastAsia"/>
          <w:szCs w:val="18"/>
          <w:lang w:val="zh-CN"/>
        </w:rPr>
        <w:t>提高到</w:t>
      </w:r>
      <w:r>
        <w:rPr>
          <w:szCs w:val="18"/>
          <w:lang w:val="es-ES_tradnl"/>
        </w:rPr>
        <w:t>2010</w:t>
      </w:r>
      <w:r>
        <w:rPr>
          <w:rFonts w:hAnsi="SimSun" w:hint="eastAsia"/>
          <w:szCs w:val="18"/>
          <w:lang w:val="zh-CN"/>
        </w:rPr>
        <w:t>年的</w:t>
      </w:r>
      <w:r>
        <w:rPr>
          <w:szCs w:val="18"/>
          <w:lang w:val="es-ES_tradnl"/>
        </w:rPr>
        <w:t>43.7%</w:t>
      </w:r>
      <w:r>
        <w:rPr>
          <w:rFonts w:hAnsi="SimSun" w:hint="eastAsia"/>
          <w:szCs w:val="18"/>
          <w:lang w:val="zh-CN"/>
        </w:rPr>
        <w:t>。</w:t>
      </w:r>
    </w:p>
  </w:footnote>
  <w:footnote w:id="11">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szCs w:val="18"/>
          <w:lang w:val="zh-CN"/>
        </w:rPr>
        <w:t>2006</w:t>
      </w:r>
      <w:r>
        <w:rPr>
          <w:rFonts w:hAnsi="SimSun" w:hint="eastAsia"/>
          <w:szCs w:val="18"/>
          <w:lang w:val="zh-CN"/>
        </w:rPr>
        <w:t>年男性失业率为</w:t>
      </w:r>
      <w:r>
        <w:rPr>
          <w:szCs w:val="18"/>
          <w:lang w:val="zh-CN"/>
        </w:rPr>
        <w:t>9.2%</w:t>
      </w:r>
      <w:r>
        <w:rPr>
          <w:rFonts w:hAnsi="SimSun" w:hint="eastAsia"/>
          <w:szCs w:val="18"/>
          <w:lang w:val="zh-CN"/>
        </w:rPr>
        <w:t>，而女性失业率为</w:t>
      </w:r>
      <w:r>
        <w:rPr>
          <w:szCs w:val="18"/>
          <w:lang w:val="zh-CN"/>
        </w:rPr>
        <w:t>16.2%</w:t>
      </w:r>
      <w:r>
        <w:rPr>
          <w:rFonts w:hAnsi="SimSun" w:hint="eastAsia"/>
          <w:szCs w:val="18"/>
          <w:lang w:val="zh-CN"/>
        </w:rPr>
        <w:t>，二者相差</w:t>
      </w:r>
      <w:r>
        <w:rPr>
          <w:szCs w:val="18"/>
          <w:lang w:val="zh-CN"/>
        </w:rPr>
        <w:t>7</w:t>
      </w:r>
      <w:r>
        <w:rPr>
          <w:rFonts w:hAnsi="SimSun" w:hint="eastAsia"/>
          <w:szCs w:val="18"/>
          <w:lang w:val="zh-CN"/>
        </w:rPr>
        <w:t>个百分点。到</w:t>
      </w:r>
      <w:r>
        <w:rPr>
          <w:szCs w:val="18"/>
          <w:lang w:val="zh-CN"/>
        </w:rPr>
        <w:t>2010</w:t>
      </w:r>
      <w:r>
        <w:rPr>
          <w:rFonts w:hAnsi="SimSun" w:hint="eastAsia"/>
          <w:szCs w:val="18"/>
          <w:lang w:val="zh-CN"/>
        </w:rPr>
        <w:t>年，男性失业率为</w:t>
      </w:r>
      <w:r>
        <w:rPr>
          <w:szCs w:val="18"/>
          <w:lang w:val="zh-CN"/>
        </w:rPr>
        <w:t>9%</w:t>
      </w:r>
      <w:r>
        <w:rPr>
          <w:rFonts w:hAnsi="SimSun" w:hint="eastAsia"/>
          <w:szCs w:val="18"/>
          <w:lang w:val="zh-CN"/>
        </w:rPr>
        <w:t>，女性则为</w:t>
      </w:r>
      <w:r>
        <w:rPr>
          <w:szCs w:val="18"/>
          <w:lang w:val="zh-CN"/>
        </w:rPr>
        <w:t>15.6%</w:t>
      </w:r>
      <w:r>
        <w:rPr>
          <w:rFonts w:hAnsi="SimSun" w:hint="eastAsia"/>
          <w:szCs w:val="18"/>
          <w:lang w:val="zh-CN"/>
        </w:rPr>
        <w:t>，二者相差</w:t>
      </w:r>
      <w:r>
        <w:rPr>
          <w:szCs w:val="18"/>
          <w:lang w:val="zh-CN"/>
        </w:rPr>
        <w:t>6.6</w:t>
      </w:r>
      <w:r>
        <w:rPr>
          <w:rFonts w:hAnsi="SimSun" w:hint="eastAsia"/>
          <w:szCs w:val="18"/>
          <w:lang w:val="zh-CN"/>
        </w:rPr>
        <w:t>个百分点。</w:t>
      </w:r>
    </w:p>
  </w:footnote>
  <w:footnote w:id="12">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lang w:val="es-ES_tradnl"/>
        </w:rPr>
        <w:tab/>
      </w:r>
      <w:smartTag w:uri="urn:schemas-microsoft-com:office:smarttags" w:element="chsdate">
        <w:smartTagPr>
          <w:attr w:name="Year" w:val="2011"/>
          <w:attr w:name="Month" w:val="6"/>
          <w:attr w:name="Day" w:val="30"/>
          <w:attr w:name="IsLunarDate" w:val="False"/>
          <w:attr w:name="IsROCDate" w:val="False"/>
        </w:smartTagPr>
        <w:r>
          <w:rPr>
            <w:szCs w:val="18"/>
            <w:lang w:val="zh-CN"/>
          </w:rPr>
          <w:t>2011</w:t>
        </w:r>
        <w:r>
          <w:rPr>
            <w:rFonts w:hAnsi="SimSun" w:hint="eastAsia"/>
            <w:szCs w:val="18"/>
            <w:lang w:val="zh-CN"/>
          </w:rPr>
          <w:t>年</w:t>
        </w:r>
        <w:r>
          <w:rPr>
            <w:szCs w:val="18"/>
            <w:lang w:val="zh-CN"/>
          </w:rPr>
          <w:t>6</w:t>
        </w:r>
        <w:r>
          <w:rPr>
            <w:rFonts w:hAnsi="SimSun" w:hint="eastAsia"/>
            <w:szCs w:val="18"/>
            <w:lang w:val="zh-CN"/>
          </w:rPr>
          <w:t>月</w:t>
        </w:r>
        <w:r>
          <w:rPr>
            <w:szCs w:val="18"/>
            <w:lang w:val="zh-CN"/>
          </w:rPr>
          <w:t>30</w:t>
        </w:r>
        <w:r>
          <w:rPr>
            <w:rFonts w:hAnsi="SimSun" w:hint="eastAsia"/>
            <w:szCs w:val="18"/>
            <w:lang w:val="zh-CN"/>
          </w:rPr>
          <w:t>日</w:t>
        </w:r>
      </w:smartTag>
      <w:r>
        <w:rPr>
          <w:rFonts w:hAnsi="SimSun" w:hint="eastAsia"/>
          <w:szCs w:val="18"/>
          <w:lang w:val="zh-CN"/>
        </w:rPr>
        <w:t>的第</w:t>
      </w:r>
      <w:r>
        <w:rPr>
          <w:szCs w:val="18"/>
          <w:lang w:val="zh-CN"/>
        </w:rPr>
        <w:t>1468</w:t>
      </w:r>
      <w:r>
        <w:rPr>
          <w:rFonts w:hAnsi="SimSun" w:hint="eastAsia"/>
          <w:szCs w:val="18"/>
          <w:lang w:val="zh-CN"/>
        </w:rPr>
        <w:t>号法。通过这一法律，对《劳动法》第</w:t>
      </w:r>
      <w:r>
        <w:rPr>
          <w:szCs w:val="18"/>
          <w:lang w:val="zh-CN"/>
        </w:rPr>
        <w:t>236</w:t>
      </w:r>
      <w:r>
        <w:rPr>
          <w:rFonts w:hAnsi="SimSun" w:hint="eastAsia"/>
          <w:szCs w:val="18"/>
          <w:lang w:val="zh-CN"/>
        </w:rPr>
        <w:t>、</w:t>
      </w:r>
      <w:r>
        <w:rPr>
          <w:szCs w:val="18"/>
          <w:lang w:val="zh-CN"/>
        </w:rPr>
        <w:t>239</w:t>
      </w:r>
      <w:r>
        <w:rPr>
          <w:rFonts w:hAnsi="SimSun" w:hint="eastAsia"/>
          <w:szCs w:val="18"/>
          <w:lang w:val="zh-CN"/>
        </w:rPr>
        <w:t>、</w:t>
      </w:r>
      <w:r>
        <w:rPr>
          <w:szCs w:val="18"/>
          <w:lang w:val="zh-CN"/>
        </w:rPr>
        <w:t>57</w:t>
      </w:r>
      <w:r>
        <w:rPr>
          <w:rFonts w:hAnsi="SimSun" w:hint="eastAsia"/>
          <w:szCs w:val="18"/>
          <w:lang w:val="zh-CN"/>
        </w:rPr>
        <w:t>和</w:t>
      </w:r>
      <w:r>
        <w:rPr>
          <w:szCs w:val="18"/>
          <w:lang w:val="zh-CN"/>
        </w:rPr>
        <w:t>58</w:t>
      </w:r>
      <w:r>
        <w:rPr>
          <w:rFonts w:hAnsi="SimSun" w:hint="eastAsia"/>
          <w:szCs w:val="18"/>
          <w:lang w:val="zh-CN"/>
        </w:rPr>
        <w:t>条进行了修改，并颁布了其他规定。</w:t>
      </w:r>
    </w:p>
  </w:footnote>
  <w:footnote w:id="13">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szCs w:val="18"/>
          <w:lang w:val="zh-CN"/>
        </w:rPr>
        <w:t>1990</w:t>
      </w:r>
      <w:r>
        <w:rPr>
          <w:rFonts w:hAnsi="SimSun" w:hint="eastAsia"/>
          <w:szCs w:val="18"/>
          <w:lang w:val="zh-CN"/>
        </w:rPr>
        <w:t>年为</w:t>
      </w:r>
      <w:r>
        <w:rPr>
          <w:szCs w:val="18"/>
          <w:lang w:val="zh-CN"/>
        </w:rPr>
        <w:t>66%</w:t>
      </w:r>
      <w:r>
        <w:rPr>
          <w:rFonts w:hAnsi="SimSun" w:hint="eastAsia"/>
          <w:szCs w:val="18"/>
          <w:lang w:val="zh-CN"/>
        </w:rPr>
        <w:t>，</w:t>
      </w:r>
      <w:r>
        <w:rPr>
          <w:szCs w:val="18"/>
          <w:lang w:val="zh-CN"/>
        </w:rPr>
        <w:t>2010</w:t>
      </w:r>
      <w:r>
        <w:rPr>
          <w:rFonts w:hAnsi="SimSun" w:hint="eastAsia"/>
          <w:szCs w:val="18"/>
          <w:lang w:val="zh-CN"/>
        </w:rPr>
        <w:t>年为</w:t>
      </w:r>
      <w:r>
        <w:rPr>
          <w:szCs w:val="18"/>
          <w:lang w:val="zh-CN"/>
        </w:rPr>
        <w:t>79%</w:t>
      </w:r>
      <w:r>
        <w:rPr>
          <w:rFonts w:hAnsi="SimSun" w:hint="eastAsia"/>
          <w:szCs w:val="18"/>
          <w:lang w:val="zh-CN"/>
        </w:rPr>
        <w:t>。</w:t>
      </w:r>
    </w:p>
  </w:footnote>
  <w:footnote w:id="14">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宪法和法律制度框架：《政治宪法》第</w:t>
      </w:r>
      <w:r>
        <w:rPr>
          <w:szCs w:val="18"/>
          <w:lang w:val="zh-CN"/>
        </w:rPr>
        <w:t>13</w:t>
      </w:r>
      <w:r>
        <w:rPr>
          <w:rFonts w:hAnsi="SimSun" w:hint="eastAsia"/>
          <w:szCs w:val="18"/>
          <w:lang w:val="zh-CN"/>
        </w:rPr>
        <w:t>条</w:t>
      </w:r>
      <w:r>
        <w:rPr>
          <w:rFonts w:hint="eastAsia"/>
          <w:spacing w:val="-50"/>
        </w:rPr>
        <w:t>―</w:t>
      </w:r>
      <w:r>
        <w:rPr>
          <w:rFonts w:hint="eastAsia"/>
        </w:rPr>
        <w:t>―</w:t>
      </w:r>
      <w:r>
        <w:rPr>
          <w:rFonts w:hAnsi="SimSun" w:hint="eastAsia"/>
          <w:szCs w:val="18"/>
          <w:lang w:val="zh-CN"/>
        </w:rPr>
        <w:t>平等权；《政治宪法》第</w:t>
      </w:r>
      <w:r>
        <w:rPr>
          <w:szCs w:val="18"/>
          <w:lang w:val="zh-CN"/>
        </w:rPr>
        <w:t>40</w:t>
      </w:r>
      <w:r>
        <w:rPr>
          <w:rFonts w:hAnsi="SimSun" w:hint="eastAsia"/>
          <w:szCs w:val="18"/>
          <w:lang w:val="zh-CN"/>
        </w:rPr>
        <w:t>条</w:t>
      </w:r>
      <w:r>
        <w:rPr>
          <w:rFonts w:hint="eastAsia"/>
          <w:spacing w:val="-50"/>
        </w:rPr>
        <w:t>―</w:t>
      </w:r>
      <w:r>
        <w:rPr>
          <w:rFonts w:hint="eastAsia"/>
        </w:rPr>
        <w:t>―</w:t>
      </w:r>
      <w:r>
        <w:rPr>
          <w:rFonts w:hAnsi="SimSun" w:hint="eastAsia"/>
          <w:szCs w:val="18"/>
          <w:lang w:val="zh-CN"/>
        </w:rPr>
        <w:t>妇女有效参与公共行政管理；《政治宪法》第</w:t>
      </w:r>
      <w:r>
        <w:rPr>
          <w:szCs w:val="18"/>
          <w:lang w:val="zh-CN"/>
        </w:rPr>
        <w:t>43</w:t>
      </w:r>
      <w:r>
        <w:rPr>
          <w:rFonts w:hAnsi="SimSun" w:hint="eastAsia"/>
          <w:szCs w:val="18"/>
          <w:lang w:val="zh-CN"/>
        </w:rPr>
        <w:t>条</w:t>
      </w:r>
      <w:r>
        <w:rPr>
          <w:rFonts w:hint="eastAsia"/>
          <w:spacing w:val="-50"/>
        </w:rPr>
        <w:t>―</w:t>
      </w:r>
      <w:r>
        <w:rPr>
          <w:rFonts w:hint="eastAsia"/>
        </w:rPr>
        <w:t>―</w:t>
      </w:r>
      <w:r>
        <w:rPr>
          <w:rFonts w:hAnsi="SimSun" w:hint="eastAsia"/>
          <w:szCs w:val="18"/>
          <w:lang w:val="zh-CN"/>
        </w:rPr>
        <w:t>对孕妇和家庭女户主的特别保护；《政治宪法》第</w:t>
      </w:r>
      <w:r>
        <w:rPr>
          <w:szCs w:val="18"/>
          <w:lang w:val="zh-CN"/>
        </w:rPr>
        <w:t>42</w:t>
      </w:r>
      <w:r>
        <w:rPr>
          <w:rFonts w:hAnsi="SimSun" w:hint="eastAsia"/>
          <w:szCs w:val="18"/>
          <w:lang w:val="zh-CN"/>
        </w:rPr>
        <w:t>条</w:t>
      </w:r>
      <w:r>
        <w:rPr>
          <w:rFonts w:hint="eastAsia"/>
          <w:spacing w:val="-50"/>
        </w:rPr>
        <w:t>―</w:t>
      </w:r>
      <w:r>
        <w:rPr>
          <w:rFonts w:hint="eastAsia"/>
        </w:rPr>
        <w:t>―</w:t>
      </w:r>
      <w:r>
        <w:rPr>
          <w:rFonts w:hAnsi="SimSun" w:hint="eastAsia"/>
          <w:szCs w:val="18"/>
          <w:lang w:val="zh-CN"/>
        </w:rPr>
        <w:t>在家庭内部消除一切形式的暴力；《政治宪法》第</w:t>
      </w:r>
      <w:r>
        <w:rPr>
          <w:szCs w:val="18"/>
          <w:lang w:val="zh-CN"/>
        </w:rPr>
        <w:t>17</w:t>
      </w:r>
      <w:r>
        <w:rPr>
          <w:rFonts w:hAnsi="SimSun" w:hint="eastAsia"/>
          <w:szCs w:val="18"/>
          <w:lang w:val="zh-CN"/>
        </w:rPr>
        <w:t>条</w:t>
      </w:r>
      <w:r>
        <w:rPr>
          <w:rFonts w:hint="eastAsia"/>
          <w:spacing w:val="-50"/>
        </w:rPr>
        <w:t>―</w:t>
      </w:r>
      <w:r>
        <w:rPr>
          <w:rFonts w:hint="eastAsia"/>
        </w:rPr>
        <w:t>―</w:t>
      </w:r>
      <w:r>
        <w:rPr>
          <w:rFonts w:hAnsi="SimSun" w:hint="eastAsia"/>
          <w:szCs w:val="18"/>
          <w:lang w:val="zh-CN"/>
        </w:rPr>
        <w:t>禁止一切形式的奴隶、奴役和人口贩运活动；第</w:t>
      </w:r>
      <w:r>
        <w:rPr>
          <w:szCs w:val="18"/>
          <w:lang w:val="zh-CN"/>
        </w:rPr>
        <w:t>93</w:t>
      </w:r>
      <w:r>
        <w:rPr>
          <w:rFonts w:hAnsi="SimSun" w:hint="eastAsia"/>
          <w:szCs w:val="18"/>
          <w:lang w:val="zh-CN"/>
        </w:rPr>
        <w:t>条</w:t>
      </w:r>
      <w:r>
        <w:rPr>
          <w:rFonts w:hint="eastAsia"/>
          <w:spacing w:val="-50"/>
        </w:rPr>
        <w:t>―</w:t>
      </w:r>
      <w:r>
        <w:rPr>
          <w:rFonts w:hint="eastAsia"/>
        </w:rPr>
        <w:t>―</w:t>
      </w:r>
      <w:r>
        <w:rPr>
          <w:rFonts w:hAnsi="SimSun" w:hint="eastAsia"/>
          <w:szCs w:val="18"/>
          <w:lang w:val="zh-CN"/>
        </w:rPr>
        <w:t>由政府批准的人权国际条约的法律效力优于国内法；并颁布了以下常规法律法规：</w:t>
      </w:r>
      <w:r>
        <w:rPr>
          <w:szCs w:val="18"/>
          <w:lang w:val="zh-CN"/>
        </w:rPr>
        <w:t>2003</w:t>
      </w:r>
      <w:r>
        <w:rPr>
          <w:rFonts w:hAnsi="SimSun" w:hint="eastAsia"/>
          <w:szCs w:val="18"/>
          <w:lang w:val="zh-CN"/>
        </w:rPr>
        <w:t>年的第</w:t>
      </w:r>
      <w:r>
        <w:rPr>
          <w:szCs w:val="18"/>
          <w:lang w:val="zh-CN"/>
        </w:rPr>
        <w:t>823</w:t>
      </w:r>
      <w:r>
        <w:rPr>
          <w:rFonts w:hAnsi="SimSun" w:hint="eastAsia"/>
          <w:szCs w:val="18"/>
          <w:lang w:val="zh-CN"/>
        </w:rPr>
        <w:t>号法；</w:t>
      </w:r>
      <w:r>
        <w:rPr>
          <w:szCs w:val="18"/>
          <w:lang w:val="zh-CN"/>
        </w:rPr>
        <w:t>2001</w:t>
      </w:r>
      <w:r>
        <w:rPr>
          <w:rFonts w:hAnsi="SimSun" w:hint="eastAsia"/>
          <w:szCs w:val="18"/>
          <w:lang w:val="zh-CN"/>
        </w:rPr>
        <w:t>年的第</w:t>
      </w:r>
      <w:r>
        <w:rPr>
          <w:szCs w:val="18"/>
          <w:lang w:val="zh-CN"/>
        </w:rPr>
        <w:t>731</w:t>
      </w:r>
      <w:r>
        <w:rPr>
          <w:rFonts w:hAnsi="SimSun" w:hint="eastAsia"/>
          <w:szCs w:val="18"/>
          <w:lang w:val="zh-CN"/>
        </w:rPr>
        <w:t>号法；</w:t>
      </w:r>
      <w:r>
        <w:rPr>
          <w:szCs w:val="18"/>
          <w:lang w:val="zh-CN"/>
        </w:rPr>
        <w:t>2000</w:t>
      </w:r>
      <w:r>
        <w:rPr>
          <w:rFonts w:hAnsi="SimSun" w:hint="eastAsia"/>
          <w:szCs w:val="18"/>
          <w:lang w:val="zh-CN"/>
        </w:rPr>
        <w:t>年的第</w:t>
      </w:r>
      <w:r>
        <w:rPr>
          <w:szCs w:val="18"/>
          <w:lang w:val="zh-CN"/>
        </w:rPr>
        <w:t>581</w:t>
      </w:r>
      <w:r>
        <w:rPr>
          <w:rFonts w:hAnsi="SimSun" w:hint="eastAsia"/>
          <w:szCs w:val="18"/>
          <w:lang w:val="zh-CN"/>
        </w:rPr>
        <w:t>号法；</w:t>
      </w:r>
      <w:r>
        <w:rPr>
          <w:szCs w:val="18"/>
          <w:lang w:val="zh-CN"/>
        </w:rPr>
        <w:t>2008</w:t>
      </w:r>
      <w:r>
        <w:rPr>
          <w:rFonts w:hAnsi="SimSun" w:hint="eastAsia"/>
          <w:szCs w:val="18"/>
          <w:lang w:val="zh-CN"/>
        </w:rPr>
        <w:t>年的第</w:t>
      </w:r>
      <w:r>
        <w:rPr>
          <w:szCs w:val="18"/>
          <w:lang w:val="zh-CN"/>
        </w:rPr>
        <w:t>1257</w:t>
      </w:r>
      <w:r>
        <w:rPr>
          <w:rFonts w:hAnsi="SimSun" w:hint="eastAsia"/>
          <w:szCs w:val="18"/>
          <w:lang w:val="zh-CN"/>
        </w:rPr>
        <w:t>号法等，相关内容将在本报告中详述。</w:t>
      </w:r>
      <w:r>
        <w:rPr>
          <w:szCs w:val="18"/>
        </w:rPr>
        <w:t xml:space="preserve"> </w:t>
      </w:r>
    </w:p>
  </w:footnote>
  <w:footnote w:id="15">
    <w:p w:rsidR="00A83775" w:rsidRDefault="00A83775">
      <w:pPr>
        <w:pStyle w:val="FootnoteText"/>
        <w:widowControl w:val="0"/>
        <w:rPr>
          <w:rFonts w:hint="eastAsia"/>
          <w:szCs w:val="18"/>
        </w:rPr>
      </w:pPr>
      <w:r>
        <w:rPr>
          <w:rFonts w:hint="eastAsia"/>
          <w:szCs w:val="18"/>
        </w:rPr>
        <w:tab/>
      </w:r>
      <w:r>
        <w:rPr>
          <w:rStyle w:val="FootnoteReference"/>
          <w:szCs w:val="18"/>
        </w:rPr>
        <w:footnoteRef/>
      </w:r>
      <w:r>
        <w:rPr>
          <w:rFonts w:hint="eastAsia"/>
          <w:szCs w:val="18"/>
        </w:rPr>
        <w:tab/>
      </w:r>
      <w:r>
        <w:rPr>
          <w:rFonts w:hAnsi="SimSun" w:hint="eastAsia"/>
          <w:szCs w:val="18"/>
          <w:lang w:val="zh-CN"/>
        </w:rPr>
        <w:t>欲了解更多信息</w:t>
      </w:r>
      <w:r>
        <w:rPr>
          <w:rFonts w:hAnsi="SimSun" w:hint="eastAsia"/>
          <w:szCs w:val="18"/>
        </w:rPr>
        <w:t>，</w:t>
      </w:r>
      <w:r>
        <w:rPr>
          <w:rFonts w:hAnsi="SimSun" w:hint="eastAsia"/>
          <w:szCs w:val="18"/>
          <w:lang w:val="zh-CN"/>
        </w:rPr>
        <w:t>请访问以下链</w:t>
      </w:r>
      <w:r>
        <w:rPr>
          <w:rFonts w:hAnsi="SimSun" w:hint="eastAsia"/>
          <w:color w:val="000000"/>
          <w:szCs w:val="18"/>
          <w:lang w:val="zh-CN"/>
        </w:rPr>
        <w:t>接</w:t>
      </w:r>
      <w:r>
        <w:rPr>
          <w:rFonts w:hAnsi="SimSun" w:hint="eastAsia"/>
          <w:color w:val="000000"/>
          <w:szCs w:val="18"/>
        </w:rPr>
        <w:t>：</w:t>
      </w:r>
      <w:r>
        <w:t>www.dnp.gov.co/PortalWeb/Portals/0/archivos/documentos/</w:t>
      </w:r>
      <w:r>
        <w:rPr>
          <w:rFonts w:hint="eastAsia"/>
        </w:rPr>
        <w:t xml:space="preserve"> </w:t>
      </w:r>
      <w:r>
        <w:t>GCRP/Presentaciones_Renteria/DNPgenero.pdf.</w:t>
      </w:r>
      <w:r>
        <w:rPr>
          <w:rFonts w:hint="eastAsia"/>
          <w:szCs w:val="18"/>
        </w:rPr>
        <w:t>。</w:t>
      </w:r>
    </w:p>
  </w:footnote>
  <w:footnote w:id="16">
    <w:p w:rsidR="00A83775" w:rsidRDefault="00A83775">
      <w:pPr>
        <w:pStyle w:val="FootnoteText"/>
        <w:rPr>
          <w:rFonts w:hint="eastAsia"/>
          <w:szCs w:val="18"/>
        </w:rPr>
      </w:pPr>
      <w:r>
        <w:rPr>
          <w:rFonts w:hint="eastAsia"/>
          <w:szCs w:val="18"/>
        </w:rPr>
        <w:tab/>
      </w:r>
      <w:r>
        <w:rPr>
          <w:rStyle w:val="FootnoteReference"/>
          <w:szCs w:val="18"/>
        </w:rPr>
        <w:footnoteRef/>
      </w:r>
      <w:r>
        <w:rPr>
          <w:rFonts w:hint="eastAsia"/>
          <w:szCs w:val="18"/>
        </w:rPr>
        <w:tab/>
      </w:r>
      <w:r>
        <w:rPr>
          <w:szCs w:val="18"/>
        </w:rPr>
        <w:t>2003</w:t>
      </w:r>
      <w:r>
        <w:rPr>
          <w:rFonts w:hAnsi="SimSun" w:hint="eastAsia"/>
          <w:szCs w:val="18"/>
          <w:lang w:val="zh-CN"/>
        </w:rPr>
        <w:t>年由政府、共和国国会、各高等法院、工会和学术界共同签署了《男女平等国家协议》</w:t>
      </w:r>
      <w:r>
        <w:rPr>
          <w:rFonts w:hAnsi="SimSun" w:hint="eastAsia"/>
          <w:szCs w:val="18"/>
        </w:rPr>
        <w:t>，</w:t>
      </w:r>
      <w:r>
        <w:rPr>
          <w:rFonts w:hAnsi="SimSun" w:hint="eastAsia"/>
          <w:szCs w:val="18"/>
          <w:lang w:val="zh-CN"/>
        </w:rPr>
        <w:t>目的是将两性平等和公正固化为一项国家政策</w:t>
      </w:r>
      <w:r>
        <w:rPr>
          <w:rFonts w:hAnsi="SimSun" w:hint="eastAsia"/>
          <w:szCs w:val="18"/>
        </w:rPr>
        <w:t>，</w:t>
      </w:r>
      <w:r>
        <w:rPr>
          <w:rFonts w:hAnsi="SimSun" w:hint="eastAsia"/>
          <w:szCs w:val="18"/>
          <w:lang w:val="zh-CN"/>
        </w:rPr>
        <w:t>并责成妇女平等事务总统高级顾问办公室参与到国家经济和社会政策委员会的公正</w:t>
      </w:r>
      <w:r>
        <w:rPr>
          <w:rFonts w:hAnsi="SimSun" w:hint="eastAsia"/>
          <w:szCs w:val="18"/>
        </w:rPr>
        <w:t>；</w:t>
      </w:r>
      <w:r>
        <w:rPr>
          <w:rFonts w:hAnsi="SimSun" w:hint="eastAsia"/>
          <w:szCs w:val="18"/>
          <w:lang w:val="zh-CN"/>
        </w:rPr>
        <w:t>制定并发布了两项教学工具</w:t>
      </w:r>
      <w:r>
        <w:rPr>
          <w:rFonts w:hAnsi="SimSun" w:hint="eastAsia"/>
          <w:szCs w:val="18"/>
        </w:rPr>
        <w:t>：</w:t>
      </w:r>
      <w:r>
        <w:rPr>
          <w:rFonts w:hAnsi="SimSun" w:hint="eastAsia"/>
          <w:szCs w:val="18"/>
          <w:lang w:val="zh-CN"/>
        </w:rPr>
        <w:t>将性别问题纳入到发展事务中的培训手册</w:t>
      </w:r>
      <w:r>
        <w:rPr>
          <w:rFonts w:hAnsi="SimSun" w:hint="eastAsia"/>
          <w:szCs w:val="18"/>
        </w:rPr>
        <w:t>（</w:t>
      </w:r>
      <w:r>
        <w:rPr>
          <w:rFonts w:hAnsi="SimSun" w:hint="eastAsia"/>
          <w:szCs w:val="18"/>
          <w:lang w:val="zh-CN"/>
        </w:rPr>
        <w:t>得到了开发署的支持</w:t>
      </w:r>
      <w:r>
        <w:rPr>
          <w:rFonts w:hAnsi="SimSun" w:hint="eastAsia"/>
          <w:szCs w:val="18"/>
        </w:rPr>
        <w:t>）</w:t>
      </w:r>
      <w:r>
        <w:rPr>
          <w:rFonts w:hAnsi="SimSun" w:hint="eastAsia"/>
          <w:szCs w:val="18"/>
          <w:lang w:val="zh-CN"/>
        </w:rPr>
        <w:t>和将性别差异化观点融入对处于流离失所状况或面临流离失所风险的人口的全面关爱政策中的指导方针</w:t>
      </w:r>
      <w:r>
        <w:rPr>
          <w:rFonts w:hAnsi="SimSun" w:hint="eastAsia"/>
          <w:szCs w:val="18"/>
        </w:rPr>
        <w:t>；</w:t>
      </w:r>
      <w:r>
        <w:rPr>
          <w:rFonts w:hAnsi="SimSun" w:hint="eastAsia"/>
          <w:szCs w:val="18"/>
          <w:lang w:val="zh-CN"/>
        </w:rPr>
        <w:t>以及重点在国家政府的六大政策中纳入性别观点</w:t>
      </w:r>
      <w:r>
        <w:rPr>
          <w:rFonts w:hAnsi="SimSun" w:hint="eastAsia"/>
          <w:szCs w:val="18"/>
        </w:rPr>
        <w:t>：</w:t>
      </w:r>
      <w:r>
        <w:rPr>
          <w:rFonts w:hAnsi="SimSun" w:hint="eastAsia"/>
          <w:szCs w:val="18"/>
        </w:rPr>
        <w:t>(</w:t>
      </w:r>
      <w:r>
        <w:rPr>
          <w:szCs w:val="18"/>
        </w:rPr>
        <w:t>a)</w:t>
      </w:r>
      <w:r>
        <w:rPr>
          <w:rFonts w:hint="eastAsia"/>
          <w:szCs w:val="18"/>
        </w:rPr>
        <w:t xml:space="preserve"> </w:t>
      </w:r>
      <w:r>
        <w:rPr>
          <w:rFonts w:hAnsi="SimSun" w:hint="eastAsia"/>
          <w:szCs w:val="18"/>
          <w:lang w:val="zh-CN"/>
        </w:rPr>
        <w:t>提供各类机会</w:t>
      </w:r>
      <w:r>
        <w:rPr>
          <w:rFonts w:hAnsi="SimSun" w:hint="eastAsia"/>
          <w:szCs w:val="18"/>
        </w:rPr>
        <w:t>；</w:t>
      </w:r>
      <w:r>
        <w:rPr>
          <w:rFonts w:hAnsi="SimSun" w:hint="eastAsia"/>
          <w:szCs w:val="18"/>
        </w:rPr>
        <w:t>(</w:t>
      </w:r>
      <w:r>
        <w:rPr>
          <w:szCs w:val="18"/>
        </w:rPr>
        <w:t>b)</w:t>
      </w:r>
      <w:r>
        <w:rPr>
          <w:rFonts w:hint="eastAsia"/>
          <w:szCs w:val="18"/>
        </w:rPr>
        <w:t xml:space="preserve"> </w:t>
      </w:r>
      <w:r>
        <w:rPr>
          <w:rFonts w:hAnsi="SimSun" w:hint="eastAsia"/>
          <w:szCs w:val="18"/>
          <w:lang w:val="zh-CN"/>
        </w:rPr>
        <w:t>旨在根除极端贫困现象的社会保障网</w:t>
      </w:r>
      <w:r>
        <w:rPr>
          <w:rFonts w:hint="eastAsia"/>
          <w:spacing w:val="-50"/>
        </w:rPr>
        <w:t>―</w:t>
      </w:r>
      <w:r>
        <w:rPr>
          <w:rFonts w:hint="eastAsia"/>
        </w:rPr>
        <w:t>―</w:t>
      </w:r>
      <w:r>
        <w:rPr>
          <w:szCs w:val="18"/>
        </w:rPr>
        <w:t>JUNTOS</w:t>
      </w:r>
      <w:r>
        <w:rPr>
          <w:rFonts w:hAnsi="SimSun" w:hint="eastAsia"/>
          <w:szCs w:val="18"/>
        </w:rPr>
        <w:t>；</w:t>
      </w:r>
      <w:r>
        <w:rPr>
          <w:rFonts w:hAnsi="SimSun" w:hint="eastAsia"/>
          <w:szCs w:val="18"/>
        </w:rPr>
        <w:t>(</w:t>
      </w:r>
      <w:r>
        <w:rPr>
          <w:szCs w:val="18"/>
        </w:rPr>
        <w:t>c)</w:t>
      </w:r>
      <w:r>
        <w:rPr>
          <w:rFonts w:hint="eastAsia"/>
          <w:szCs w:val="18"/>
        </w:rPr>
        <w:t xml:space="preserve"> </w:t>
      </w:r>
      <w:r>
        <w:rPr>
          <w:rFonts w:hAnsi="SimSun" w:hint="eastAsia"/>
          <w:szCs w:val="18"/>
          <w:lang w:val="zh-CN"/>
        </w:rPr>
        <w:t>打击人口贩运国家战略</w:t>
      </w:r>
      <w:r>
        <w:rPr>
          <w:rFonts w:hAnsi="SimSun" w:hint="eastAsia"/>
          <w:szCs w:val="18"/>
        </w:rPr>
        <w:t>；</w:t>
      </w:r>
      <w:r>
        <w:rPr>
          <w:rFonts w:hAnsi="SimSun" w:hint="eastAsia"/>
          <w:szCs w:val="18"/>
        </w:rPr>
        <w:t>(</w:t>
      </w:r>
      <w:r>
        <w:rPr>
          <w:szCs w:val="18"/>
        </w:rPr>
        <w:t>d)</w:t>
      </w:r>
      <w:r>
        <w:rPr>
          <w:rFonts w:hint="eastAsia"/>
          <w:szCs w:val="18"/>
        </w:rPr>
        <w:t xml:space="preserve"> </w:t>
      </w:r>
      <w:r>
        <w:rPr>
          <w:rFonts w:hAnsi="SimSun" w:hint="eastAsia"/>
          <w:szCs w:val="18"/>
          <w:lang w:val="zh-CN"/>
        </w:rPr>
        <w:t>关爱流离失所人口政策</w:t>
      </w:r>
      <w:r>
        <w:rPr>
          <w:rFonts w:hAnsi="SimSun" w:hint="eastAsia"/>
          <w:szCs w:val="18"/>
        </w:rPr>
        <w:t>；</w:t>
      </w:r>
      <w:r>
        <w:rPr>
          <w:rFonts w:hAnsi="SimSun" w:hint="eastAsia"/>
          <w:szCs w:val="18"/>
        </w:rPr>
        <w:t>(</w:t>
      </w:r>
      <w:r>
        <w:rPr>
          <w:szCs w:val="18"/>
        </w:rPr>
        <w:t>e)</w:t>
      </w:r>
      <w:r>
        <w:rPr>
          <w:rFonts w:hint="eastAsia"/>
          <w:szCs w:val="18"/>
        </w:rPr>
        <w:t xml:space="preserve"> </w:t>
      </w:r>
      <w:r>
        <w:rPr>
          <w:rFonts w:hAnsi="SimSun" w:hint="eastAsia"/>
          <w:szCs w:val="18"/>
          <w:lang w:val="zh-CN"/>
        </w:rPr>
        <w:t>就业安置和重返经济社会政策</w:t>
      </w:r>
      <w:r>
        <w:rPr>
          <w:rFonts w:hAnsi="SimSun" w:hint="eastAsia"/>
          <w:szCs w:val="18"/>
        </w:rPr>
        <w:t>；</w:t>
      </w:r>
      <w:r>
        <w:rPr>
          <w:rFonts w:hAnsi="SimSun" w:hint="eastAsia"/>
          <w:szCs w:val="18"/>
        </w:rPr>
        <w:t>(</w:t>
      </w:r>
      <w:r>
        <w:rPr>
          <w:szCs w:val="18"/>
        </w:rPr>
        <w:t>f)</w:t>
      </w:r>
      <w:r>
        <w:rPr>
          <w:rFonts w:hint="eastAsia"/>
          <w:szCs w:val="18"/>
        </w:rPr>
        <w:t xml:space="preserve"> </w:t>
      </w:r>
      <w:r>
        <w:rPr>
          <w:rFonts w:hAnsi="SimSun" w:hint="eastAsia"/>
          <w:szCs w:val="18"/>
          <w:lang w:val="zh-CN"/>
        </w:rPr>
        <w:t>旨在实现哥伦比亚和平的国家政策</w:t>
      </w:r>
      <w:r>
        <w:rPr>
          <w:rFonts w:hint="eastAsia"/>
          <w:spacing w:val="-50"/>
        </w:rPr>
        <w:t>―</w:t>
      </w:r>
      <w:r>
        <w:rPr>
          <w:rFonts w:hint="eastAsia"/>
        </w:rPr>
        <w:t>―</w:t>
      </w:r>
      <w:r>
        <w:rPr>
          <w:rFonts w:hAnsi="SimSun" w:hint="eastAsia"/>
          <w:szCs w:val="18"/>
          <w:lang w:val="zh-CN"/>
        </w:rPr>
        <w:t>移民综合政策</w:t>
      </w:r>
      <w:r>
        <w:rPr>
          <w:rFonts w:hAnsi="SimSun" w:hint="eastAsia"/>
          <w:szCs w:val="18"/>
        </w:rPr>
        <w:t>，</w:t>
      </w:r>
      <w:r>
        <w:rPr>
          <w:rFonts w:hAnsi="SimSun" w:hint="eastAsia"/>
          <w:szCs w:val="18"/>
          <w:lang w:val="zh-CN"/>
        </w:rPr>
        <w:t>该政策有助于将国内各部门、各单位、公共和私营部门以及媒体协力合作</w:t>
      </w:r>
      <w:r>
        <w:rPr>
          <w:rFonts w:hAnsi="SimSun" w:hint="eastAsia"/>
          <w:szCs w:val="18"/>
        </w:rPr>
        <w:t>，</w:t>
      </w:r>
      <w:r>
        <w:rPr>
          <w:rFonts w:hAnsi="SimSun" w:hint="eastAsia"/>
          <w:szCs w:val="18"/>
          <w:lang w:val="zh-CN"/>
        </w:rPr>
        <w:t>围绕</w:t>
      </w:r>
      <w:r>
        <w:rPr>
          <w:rFonts w:hint="eastAsia"/>
          <w:szCs w:val="18"/>
          <w:lang w:val="zh-CN"/>
        </w:rPr>
        <w:t>“</w:t>
      </w:r>
      <w:r>
        <w:rPr>
          <w:rFonts w:hAnsi="SimSun" w:hint="eastAsia"/>
          <w:szCs w:val="18"/>
          <w:lang w:val="zh-CN"/>
        </w:rPr>
        <w:t>妇女：和平与发展的建设者</w:t>
      </w:r>
      <w:r>
        <w:rPr>
          <w:rFonts w:hint="eastAsia"/>
          <w:szCs w:val="18"/>
          <w:lang w:val="zh-CN"/>
        </w:rPr>
        <w:t>”</w:t>
      </w:r>
      <w:r>
        <w:rPr>
          <w:rFonts w:hAnsi="SimSun" w:hint="eastAsia"/>
          <w:szCs w:val="18"/>
          <w:lang w:val="zh-CN"/>
        </w:rPr>
        <w:t>扶持政策</w:t>
      </w:r>
      <w:r>
        <w:rPr>
          <w:rFonts w:hAnsi="SimSun" w:hint="eastAsia"/>
          <w:szCs w:val="18"/>
        </w:rPr>
        <w:t>（</w:t>
      </w:r>
      <w:r>
        <w:rPr>
          <w:rFonts w:hAnsi="SimSun" w:hint="eastAsia"/>
          <w:szCs w:val="18"/>
          <w:lang w:val="zh-CN"/>
        </w:rPr>
        <w:t>在妇女平等事务总统高级顾问办公室的技术支持下开展</w:t>
      </w:r>
      <w:r>
        <w:rPr>
          <w:rFonts w:hAnsi="SimSun" w:hint="eastAsia"/>
          <w:szCs w:val="18"/>
        </w:rPr>
        <w:t>）</w:t>
      </w:r>
      <w:r>
        <w:rPr>
          <w:rFonts w:hAnsi="SimSun" w:hint="eastAsia"/>
          <w:szCs w:val="18"/>
          <w:lang w:val="zh-CN"/>
        </w:rPr>
        <w:t>的各项核心主题开展实施各类方案、项目和战略</w:t>
      </w:r>
      <w:r>
        <w:rPr>
          <w:rFonts w:hAnsi="SimSun" w:hint="eastAsia"/>
          <w:szCs w:val="18"/>
        </w:rPr>
        <w:t>，</w:t>
      </w:r>
      <w:r>
        <w:rPr>
          <w:rFonts w:hAnsi="SimSun" w:hint="eastAsia"/>
          <w:szCs w:val="18"/>
          <w:lang w:val="zh-CN"/>
        </w:rPr>
        <w:t>从定性和定量角度促进性别问题主流化工作的发展。</w:t>
      </w:r>
    </w:p>
  </w:footnote>
  <w:footnote w:id="17">
    <w:p w:rsidR="00A83775" w:rsidRDefault="00A83775">
      <w:pPr>
        <w:pStyle w:val="FootnoteText"/>
        <w:widowControl w:val="0"/>
        <w:tabs>
          <w:tab w:val="clear" w:pos="1021"/>
          <w:tab w:val="right" w:pos="1020"/>
        </w:tabs>
        <w:rPr>
          <w:rFonts w:hint="eastAsia"/>
          <w:szCs w:val="18"/>
        </w:rPr>
      </w:pPr>
      <w:r>
        <w:rPr>
          <w:szCs w:val="18"/>
        </w:rPr>
        <w:tab/>
      </w:r>
      <w:r>
        <w:rPr>
          <w:rStyle w:val="FootnoteReference"/>
          <w:szCs w:val="18"/>
        </w:rPr>
        <w:footnoteRef/>
      </w:r>
      <w:r>
        <w:rPr>
          <w:szCs w:val="18"/>
          <w:lang w:val="es-ES_tradnl"/>
        </w:rPr>
        <w:tab/>
      </w:r>
      <w:r>
        <w:rPr>
          <w:rFonts w:hAnsi="SimSun" w:hint="eastAsia"/>
          <w:szCs w:val="18"/>
          <w:lang w:val="zh-CN"/>
        </w:rPr>
        <w:t>在落实</w:t>
      </w:r>
      <w:r>
        <w:rPr>
          <w:szCs w:val="18"/>
          <w:lang w:val="zh-CN"/>
        </w:rPr>
        <w:t>2008</w:t>
      </w:r>
      <w:r>
        <w:rPr>
          <w:rFonts w:hAnsi="SimSun" w:hint="eastAsia"/>
          <w:szCs w:val="18"/>
          <w:lang w:val="zh-CN"/>
        </w:rPr>
        <w:t>年的第</w:t>
      </w:r>
      <w:r>
        <w:rPr>
          <w:szCs w:val="18"/>
          <w:lang w:val="zh-CN"/>
        </w:rPr>
        <w:t>1257</w:t>
      </w:r>
      <w:r>
        <w:rPr>
          <w:rFonts w:hAnsi="SimSun" w:hint="eastAsia"/>
          <w:szCs w:val="18"/>
          <w:lang w:val="zh-CN"/>
        </w:rPr>
        <w:t>号法第</w:t>
      </w:r>
      <w:r>
        <w:rPr>
          <w:szCs w:val="18"/>
          <w:lang w:val="zh-CN"/>
        </w:rPr>
        <w:t>35</w:t>
      </w:r>
      <w:r>
        <w:rPr>
          <w:rFonts w:hAnsi="SimSun" w:hint="eastAsia"/>
          <w:szCs w:val="18"/>
          <w:lang w:val="zh-CN"/>
        </w:rPr>
        <w:t>条的框架内，设立了监察委员会，其成员组织包括妇女平等事务总统高级顾问办公室、公民权利监察员办公室、国家总检察官办公室以及民间社会的代表（从所有妇女组织中选出的三名代表）。来自民间社会组织的代表有：米格多尼亚</w:t>
      </w:r>
      <w:r>
        <w:rPr>
          <w:rFonts w:hint="eastAsia"/>
          <w:szCs w:val="18"/>
          <w:lang w:val="zh-CN"/>
        </w:rPr>
        <w:t>·</w:t>
      </w:r>
      <w:r>
        <w:rPr>
          <w:rFonts w:hAnsi="SimSun" w:hint="eastAsia"/>
          <w:szCs w:val="18"/>
          <w:lang w:val="zh-CN"/>
        </w:rPr>
        <w:t>卢埃达</w:t>
      </w:r>
      <w:r>
        <w:rPr>
          <w:rFonts w:hint="eastAsia"/>
          <w:szCs w:val="18"/>
          <w:lang w:val="zh-CN"/>
        </w:rPr>
        <w:t>·</w:t>
      </w:r>
      <w:r>
        <w:rPr>
          <w:rFonts w:hAnsi="SimSun" w:hint="eastAsia"/>
          <w:szCs w:val="18"/>
          <w:lang w:val="zh-CN"/>
        </w:rPr>
        <w:t>波拉尼奥斯</w:t>
      </w:r>
      <w:r>
        <w:rPr>
          <w:rFonts w:hint="eastAsia"/>
          <w:szCs w:val="18"/>
          <w:lang w:val="zh-CN"/>
        </w:rPr>
        <w:t>－</w:t>
      </w:r>
      <w:r>
        <w:rPr>
          <w:rFonts w:hAnsi="SimSun" w:hint="eastAsia"/>
          <w:szCs w:val="18"/>
          <w:lang w:val="zh-CN"/>
        </w:rPr>
        <w:t>哥伦比亚妇女和平倡议联盟；克劳迪娅</w:t>
      </w:r>
      <w:r>
        <w:rPr>
          <w:rFonts w:hint="eastAsia"/>
          <w:szCs w:val="18"/>
          <w:lang w:val="zh-CN"/>
        </w:rPr>
        <w:t>·</w:t>
      </w:r>
      <w:r>
        <w:rPr>
          <w:rFonts w:hAnsi="SimSun" w:hint="eastAsia"/>
          <w:szCs w:val="18"/>
          <w:lang w:val="zh-CN"/>
        </w:rPr>
        <w:t>拉米雷斯</w:t>
      </w:r>
      <w:r>
        <w:rPr>
          <w:szCs w:val="18"/>
          <w:lang w:val="zh-CN"/>
        </w:rPr>
        <w:t>-</w:t>
      </w:r>
      <w:r>
        <w:rPr>
          <w:rFonts w:hAnsi="SimSun" w:hint="eastAsia"/>
          <w:szCs w:val="18"/>
          <w:lang w:val="zh-CN"/>
        </w:rPr>
        <w:t>希斯玛妇女合作社；毛拉</w:t>
      </w:r>
      <w:r>
        <w:rPr>
          <w:rFonts w:hint="eastAsia"/>
          <w:szCs w:val="18"/>
          <w:lang w:val="zh-CN"/>
        </w:rPr>
        <w:t>·</w:t>
      </w:r>
      <w:r>
        <w:rPr>
          <w:rFonts w:hAnsi="SimSun" w:hint="eastAsia"/>
          <w:szCs w:val="18"/>
          <w:lang w:val="zh-CN"/>
        </w:rPr>
        <w:t>纳斯莉</w:t>
      </w:r>
      <w:r>
        <w:rPr>
          <w:rFonts w:hint="eastAsia"/>
          <w:szCs w:val="18"/>
          <w:lang w:val="zh-CN"/>
        </w:rPr>
        <w:t>·</w:t>
      </w:r>
      <w:r>
        <w:rPr>
          <w:rFonts w:hAnsi="SimSun" w:hint="eastAsia"/>
          <w:szCs w:val="18"/>
          <w:lang w:val="zh-CN"/>
        </w:rPr>
        <w:t>莫斯盖拉</w:t>
      </w:r>
      <w:r>
        <w:rPr>
          <w:szCs w:val="18"/>
          <w:lang w:val="zh-CN"/>
        </w:rPr>
        <w:t>-</w:t>
      </w:r>
      <w:r>
        <w:rPr>
          <w:rFonts w:hAnsi="SimSun" w:hint="eastAsia"/>
          <w:szCs w:val="18"/>
          <w:lang w:val="zh-CN"/>
        </w:rPr>
        <w:t>非洲裔哥伦比亚妇女领袖。</w:t>
      </w:r>
    </w:p>
  </w:footnote>
  <w:footnote w:id="18">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国家流离失所者全面照料系统是由国家政府创立的，旨在优质、及时、有效地满足被迫流离失所的哥伦比亚人口的需求。</w:t>
      </w:r>
    </w:p>
  </w:footnote>
  <w:footnote w:id="19">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与民间社会组织开展机构间合作和互动的咨询机制</w:t>
      </w:r>
      <w:r>
        <w:rPr>
          <w:rFonts w:hint="eastAsia"/>
          <w:spacing w:val="-50"/>
        </w:rPr>
        <w:t>―</w:t>
      </w:r>
      <w:r>
        <w:rPr>
          <w:rFonts w:hint="eastAsia"/>
        </w:rPr>
        <w:t>―</w:t>
      </w:r>
      <w:r>
        <w:rPr>
          <w:rFonts w:hAnsi="SimSun" w:hint="eastAsia"/>
          <w:szCs w:val="18"/>
          <w:lang w:val="zh-CN"/>
        </w:rPr>
        <w:t>隶属于社会保障部（</w:t>
      </w:r>
      <w:r>
        <w:rPr>
          <w:szCs w:val="18"/>
          <w:lang w:val="zh-CN"/>
        </w:rPr>
        <w:t>2007</w:t>
      </w:r>
      <w:r>
        <w:rPr>
          <w:rFonts w:hAnsi="SimSun" w:hint="eastAsia"/>
          <w:szCs w:val="18"/>
          <w:lang w:val="zh-CN"/>
        </w:rPr>
        <w:t>年第</w:t>
      </w:r>
      <w:r>
        <w:rPr>
          <w:szCs w:val="18"/>
          <w:lang w:val="zh-CN"/>
        </w:rPr>
        <w:t>1146</w:t>
      </w:r>
      <w:r>
        <w:rPr>
          <w:rFonts w:hAnsi="SimSun" w:hint="eastAsia"/>
          <w:szCs w:val="18"/>
          <w:lang w:val="zh-CN"/>
        </w:rPr>
        <w:t>号法）。</w:t>
      </w:r>
    </w:p>
  </w:footnote>
  <w:footnote w:id="20">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自</w:t>
      </w:r>
      <w:r>
        <w:rPr>
          <w:szCs w:val="18"/>
          <w:lang w:val="zh-CN"/>
        </w:rPr>
        <w:t>2006</w:t>
      </w:r>
      <w:r>
        <w:rPr>
          <w:rFonts w:hAnsi="SimSun" w:hint="eastAsia"/>
          <w:szCs w:val="18"/>
          <w:lang w:val="zh-CN"/>
        </w:rPr>
        <w:t>年</w:t>
      </w:r>
      <w:r>
        <w:rPr>
          <w:szCs w:val="18"/>
          <w:lang w:val="zh-CN"/>
        </w:rPr>
        <w:t>6</w:t>
      </w:r>
      <w:r>
        <w:rPr>
          <w:rFonts w:hAnsi="SimSun" w:hint="eastAsia"/>
          <w:szCs w:val="18"/>
          <w:lang w:val="zh-CN"/>
        </w:rPr>
        <w:t>月份开始，政府机关、民间社会组织和联合国代表机构合作创立了这一团队，是性别事务跨机构工作组的组成部分，其成果是使国家流离失所者全面照料系统的各成员机构认识到了性暴力和基于性别原因的暴力问题的重要性并将其纳入到其部门工作日程中。</w:t>
      </w:r>
    </w:p>
  </w:footnote>
  <w:footnote w:id="21">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在《缔造和平共处的家庭氛围国家计划》框架内实施。</w:t>
      </w:r>
    </w:p>
  </w:footnote>
  <w:footnote w:id="22">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第</w:t>
      </w:r>
      <w:r>
        <w:rPr>
          <w:szCs w:val="18"/>
          <w:lang w:val="zh-CN"/>
        </w:rPr>
        <w:t>164/2010</w:t>
      </w:r>
      <w:r>
        <w:rPr>
          <w:rFonts w:hAnsi="SimSun" w:hint="eastAsia"/>
          <w:szCs w:val="18"/>
          <w:lang w:val="zh-CN"/>
        </w:rPr>
        <w:t>号法令。</w:t>
      </w:r>
    </w:p>
  </w:footnote>
  <w:footnote w:id="23">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安蒂奥基亚省；北桑坦德省；考卡山谷省；大西洋省；托利马省和纳里尼奥省。</w:t>
      </w:r>
      <w:r>
        <w:rPr>
          <w:szCs w:val="18"/>
        </w:rPr>
        <w:t>2010</w:t>
      </w:r>
      <w:r>
        <w:rPr>
          <w:rFonts w:hAnsi="SimSun" w:hint="eastAsia"/>
          <w:szCs w:val="18"/>
          <w:lang w:val="zh-CN"/>
        </w:rPr>
        <w:t>年上述工作组主要开展了以下活动</w:t>
      </w:r>
      <w:r>
        <w:rPr>
          <w:rFonts w:hAnsi="SimSun" w:hint="eastAsia"/>
          <w:szCs w:val="18"/>
        </w:rPr>
        <w:t>：</w:t>
      </w:r>
      <w:r>
        <w:rPr>
          <w:szCs w:val="18"/>
          <w:lang w:val="zh-CN"/>
        </w:rPr>
        <w:t>(a)</w:t>
      </w:r>
      <w:r>
        <w:rPr>
          <w:rFonts w:hint="eastAsia"/>
          <w:szCs w:val="18"/>
          <w:lang w:val="zh-CN"/>
        </w:rPr>
        <w:t xml:space="preserve"> </w:t>
      </w:r>
      <w:r>
        <w:rPr>
          <w:rFonts w:hAnsi="SimSun" w:hint="eastAsia"/>
          <w:szCs w:val="18"/>
          <w:lang w:val="zh-CN"/>
        </w:rPr>
        <w:t>提交</w:t>
      </w:r>
      <w:r>
        <w:rPr>
          <w:szCs w:val="18"/>
          <w:lang w:val="zh-CN"/>
        </w:rPr>
        <w:t>2008</w:t>
      </w:r>
      <w:r>
        <w:rPr>
          <w:rFonts w:hAnsi="SimSun" w:hint="eastAsia"/>
          <w:szCs w:val="18"/>
          <w:lang w:val="zh-CN"/>
        </w:rPr>
        <w:t>年的第</w:t>
      </w:r>
      <w:r>
        <w:rPr>
          <w:rFonts w:hAnsi="SimSun" w:hint="eastAsia"/>
          <w:szCs w:val="18"/>
          <w:lang w:val="zh-CN"/>
        </w:rPr>
        <w:t>1</w:t>
      </w:r>
      <w:r>
        <w:rPr>
          <w:szCs w:val="18"/>
          <w:lang w:val="zh-CN"/>
        </w:rPr>
        <w:t>257</w:t>
      </w:r>
      <w:r>
        <w:rPr>
          <w:rFonts w:hAnsi="SimSun" w:hint="eastAsia"/>
          <w:szCs w:val="18"/>
          <w:lang w:val="zh-CN"/>
        </w:rPr>
        <w:t>号法实施条例在司法、医疗保健、劳动和教育事务方面的建议；</w:t>
      </w:r>
      <w:r>
        <w:rPr>
          <w:szCs w:val="18"/>
          <w:lang w:val="zh-CN"/>
        </w:rPr>
        <w:t>(b)</w:t>
      </w:r>
      <w:r>
        <w:rPr>
          <w:rFonts w:hint="eastAsia"/>
          <w:szCs w:val="18"/>
          <w:lang w:val="zh-CN"/>
        </w:rPr>
        <w:t xml:space="preserve"> </w:t>
      </w:r>
      <w:r>
        <w:rPr>
          <w:rFonts w:hAnsi="SimSun" w:hint="eastAsia"/>
          <w:szCs w:val="18"/>
          <w:lang w:val="zh-CN"/>
        </w:rPr>
        <w:t>制定并通过一项行动计划，写明目标、活动、执行负责机构和资源；</w:t>
      </w:r>
      <w:r>
        <w:rPr>
          <w:szCs w:val="18"/>
          <w:lang w:val="zh-CN"/>
        </w:rPr>
        <w:t>(c)</w:t>
      </w:r>
      <w:r>
        <w:rPr>
          <w:rFonts w:hint="eastAsia"/>
          <w:szCs w:val="18"/>
          <w:lang w:val="zh-CN"/>
        </w:rPr>
        <w:t xml:space="preserve"> </w:t>
      </w:r>
      <w:r>
        <w:rPr>
          <w:rFonts w:hAnsi="SimSun" w:hint="eastAsia"/>
          <w:szCs w:val="18"/>
          <w:lang w:val="zh-CN"/>
        </w:rPr>
        <w:t>面向公职人员和妇女组织宣传和推广</w:t>
      </w:r>
      <w:r>
        <w:rPr>
          <w:szCs w:val="18"/>
          <w:lang w:val="zh-CN"/>
        </w:rPr>
        <w:t>2008</w:t>
      </w:r>
      <w:r>
        <w:rPr>
          <w:rFonts w:hAnsi="SimSun" w:hint="eastAsia"/>
          <w:szCs w:val="18"/>
          <w:lang w:val="zh-CN"/>
        </w:rPr>
        <w:t>年的第</w:t>
      </w:r>
      <w:r>
        <w:rPr>
          <w:szCs w:val="18"/>
          <w:lang w:val="zh-CN"/>
        </w:rPr>
        <w:t>1257</w:t>
      </w:r>
      <w:r>
        <w:rPr>
          <w:rFonts w:hAnsi="SimSun" w:hint="eastAsia"/>
          <w:szCs w:val="18"/>
          <w:lang w:val="zh-CN"/>
        </w:rPr>
        <w:t>号法；</w:t>
      </w:r>
      <w:r>
        <w:rPr>
          <w:szCs w:val="18"/>
          <w:lang w:val="zh-CN"/>
        </w:rPr>
        <w:t>(d)</w:t>
      </w:r>
      <w:r>
        <w:rPr>
          <w:rFonts w:hint="eastAsia"/>
          <w:szCs w:val="18"/>
          <w:lang w:val="zh-CN"/>
        </w:rPr>
        <w:t xml:space="preserve"> </w:t>
      </w:r>
      <w:r>
        <w:rPr>
          <w:rFonts w:hAnsi="SimSun" w:hint="eastAsia"/>
          <w:szCs w:val="18"/>
          <w:lang w:val="zh-CN"/>
        </w:rPr>
        <w:t>开展关于暴力侵害妇女行为的提高认识和培训班；</w:t>
      </w:r>
      <w:r>
        <w:rPr>
          <w:szCs w:val="18"/>
          <w:lang w:val="zh-CN"/>
        </w:rPr>
        <w:t>(e)</w:t>
      </w:r>
      <w:r>
        <w:rPr>
          <w:rFonts w:hint="eastAsia"/>
          <w:szCs w:val="18"/>
          <w:lang w:val="zh-CN"/>
        </w:rPr>
        <w:t xml:space="preserve"> </w:t>
      </w:r>
      <w:r>
        <w:rPr>
          <w:rFonts w:hAnsi="SimSun" w:hint="eastAsia"/>
          <w:szCs w:val="18"/>
          <w:lang w:val="zh-CN"/>
        </w:rPr>
        <w:t>编制用于宣传</w:t>
      </w:r>
      <w:r>
        <w:rPr>
          <w:szCs w:val="18"/>
          <w:lang w:val="zh-CN"/>
        </w:rPr>
        <w:t>2008</w:t>
      </w:r>
      <w:r>
        <w:rPr>
          <w:rFonts w:hAnsi="SimSun" w:hint="eastAsia"/>
          <w:szCs w:val="18"/>
          <w:lang w:val="zh-CN"/>
        </w:rPr>
        <w:t>年的第</w:t>
      </w:r>
      <w:r>
        <w:rPr>
          <w:szCs w:val="18"/>
          <w:lang w:val="zh-CN"/>
        </w:rPr>
        <w:t>1257</w:t>
      </w:r>
      <w:r>
        <w:rPr>
          <w:rFonts w:hAnsi="SimSun" w:hint="eastAsia"/>
          <w:szCs w:val="18"/>
          <w:lang w:val="zh-CN"/>
        </w:rPr>
        <w:t>号法和妇女权利的教育材料；</w:t>
      </w:r>
      <w:r>
        <w:rPr>
          <w:szCs w:val="18"/>
          <w:lang w:val="zh-CN"/>
        </w:rPr>
        <w:t>(f)</w:t>
      </w:r>
      <w:r>
        <w:rPr>
          <w:rFonts w:hint="eastAsia"/>
          <w:szCs w:val="18"/>
          <w:lang w:val="zh-CN"/>
        </w:rPr>
        <w:t xml:space="preserve"> </w:t>
      </w:r>
      <w:r>
        <w:rPr>
          <w:rFonts w:hAnsi="SimSun" w:hint="eastAsia"/>
          <w:szCs w:val="18"/>
          <w:lang w:val="zh-CN"/>
        </w:rPr>
        <w:t>开办与全面关爱妇女有关的讲习班；</w:t>
      </w:r>
      <w:r>
        <w:rPr>
          <w:szCs w:val="18"/>
          <w:lang w:val="zh-CN"/>
        </w:rPr>
        <w:t>(g)</w:t>
      </w:r>
      <w:r>
        <w:rPr>
          <w:rFonts w:hint="eastAsia"/>
          <w:szCs w:val="18"/>
          <w:lang w:val="zh-CN"/>
        </w:rPr>
        <w:t xml:space="preserve"> </w:t>
      </w:r>
      <w:r>
        <w:rPr>
          <w:rFonts w:hAnsi="SimSun" w:hint="eastAsia"/>
          <w:szCs w:val="18"/>
          <w:lang w:val="zh-CN"/>
        </w:rPr>
        <w:t>举办研讨会，宣传、保护妇女的性权利，预防对妇女性权利的侵害；</w:t>
      </w:r>
      <w:r>
        <w:rPr>
          <w:szCs w:val="18"/>
          <w:lang w:val="zh-CN"/>
        </w:rPr>
        <w:t>(h)</w:t>
      </w:r>
      <w:r>
        <w:rPr>
          <w:rFonts w:hint="eastAsia"/>
          <w:szCs w:val="18"/>
          <w:lang w:val="zh-CN"/>
        </w:rPr>
        <w:t xml:space="preserve"> </w:t>
      </w:r>
      <w:r>
        <w:rPr>
          <w:rFonts w:hAnsi="SimSun" w:hint="eastAsia"/>
          <w:szCs w:val="18"/>
          <w:lang w:val="zh-CN"/>
        </w:rPr>
        <w:t>创办一个安全理事会，用于在地方一级处理杀戮妇女问题（</w:t>
      </w:r>
      <w:smartTag w:uri="urn:schemas-microsoft-com:office:smarttags" w:element="chsdate">
        <w:smartTagPr>
          <w:attr w:name="Year" w:val="2012"/>
          <w:attr w:name="Month" w:val="5"/>
          <w:attr w:name="Day" w:val="27"/>
          <w:attr w:name="IsLunarDate" w:val="False"/>
          <w:attr w:name="IsROCDate" w:val="False"/>
        </w:smartTagPr>
        <w:r>
          <w:rPr>
            <w:szCs w:val="18"/>
            <w:lang w:val="zh-CN"/>
          </w:rPr>
          <w:t>5</w:t>
        </w:r>
        <w:r>
          <w:rPr>
            <w:rFonts w:hAnsi="SimSun" w:hint="eastAsia"/>
            <w:szCs w:val="18"/>
            <w:lang w:val="zh-CN"/>
          </w:rPr>
          <w:t>月</w:t>
        </w:r>
        <w:r>
          <w:rPr>
            <w:szCs w:val="18"/>
            <w:lang w:val="zh-CN"/>
          </w:rPr>
          <w:t>27</w:t>
        </w:r>
        <w:r>
          <w:rPr>
            <w:rFonts w:hAnsi="SimSun" w:hint="eastAsia"/>
            <w:szCs w:val="18"/>
            <w:lang w:val="zh-CN"/>
          </w:rPr>
          <w:t>日</w:t>
        </w:r>
      </w:smartTag>
      <w:r>
        <w:rPr>
          <w:rFonts w:hAnsi="SimSun" w:hint="eastAsia"/>
          <w:szCs w:val="18"/>
          <w:lang w:val="zh-CN"/>
        </w:rPr>
        <w:t>由大西洋省政府开展的活动）。</w:t>
      </w:r>
    </w:p>
  </w:footnote>
  <w:footnote w:id="24">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szCs w:val="18"/>
          <w:lang w:val="zh-CN"/>
        </w:rPr>
        <w:t>2005</w:t>
      </w:r>
      <w:r>
        <w:rPr>
          <w:rFonts w:hAnsi="SimSun" w:hint="eastAsia"/>
          <w:szCs w:val="18"/>
          <w:lang w:val="zh-CN"/>
        </w:rPr>
        <w:t>年</w:t>
      </w:r>
      <w:r>
        <w:rPr>
          <w:rFonts w:hint="eastAsia"/>
          <w:szCs w:val="18"/>
          <w:lang w:val="zh-CN"/>
        </w:rPr>
        <w:t>6</w:t>
      </w:r>
      <w:r>
        <w:rPr>
          <w:rFonts w:hAnsi="SimSun" w:hint="eastAsia"/>
          <w:szCs w:val="18"/>
          <w:lang w:val="zh-CN"/>
        </w:rPr>
        <w:t>月哥伦比亚政府签署了与马德里社区的框架协议，在协议中将</w:t>
      </w:r>
      <w:r>
        <w:rPr>
          <w:rFonts w:hint="eastAsia"/>
          <w:szCs w:val="18"/>
          <w:lang w:val="zh-CN"/>
        </w:rPr>
        <w:t>“</w:t>
      </w:r>
      <w:r>
        <w:rPr>
          <w:rFonts w:hAnsi="SimSun" w:hint="eastAsia"/>
          <w:szCs w:val="18"/>
          <w:lang w:val="zh-CN"/>
        </w:rPr>
        <w:t>制定一份战略计划，出台旨在通过司法途径保护哥伦比亚妇女权利，尤其是家庭暴力受害妇女的权利的措施</w:t>
      </w:r>
      <w:r>
        <w:rPr>
          <w:rFonts w:hint="eastAsia"/>
          <w:szCs w:val="18"/>
          <w:lang w:val="zh-CN"/>
        </w:rPr>
        <w:t>”</w:t>
      </w:r>
      <w:r>
        <w:rPr>
          <w:rFonts w:hAnsi="SimSun" w:hint="eastAsia"/>
          <w:szCs w:val="18"/>
          <w:lang w:val="zh-CN"/>
        </w:rPr>
        <w:t>这一项内容定位不一项具体的合作行动。基于这一共识，马德里社区在</w:t>
      </w:r>
      <w:r>
        <w:rPr>
          <w:szCs w:val="18"/>
          <w:lang w:val="zh-CN"/>
        </w:rPr>
        <w:t>2005</w:t>
      </w:r>
      <w:r>
        <w:rPr>
          <w:rFonts w:hAnsi="SimSun" w:hint="eastAsia"/>
          <w:szCs w:val="18"/>
          <w:lang w:val="zh-CN"/>
        </w:rPr>
        <w:t>年</w:t>
      </w:r>
      <w:r>
        <w:rPr>
          <w:szCs w:val="18"/>
          <w:lang w:val="zh-CN"/>
        </w:rPr>
        <w:t>12</w:t>
      </w:r>
      <w:r>
        <w:rPr>
          <w:rFonts w:hAnsi="SimSun" w:hint="eastAsia"/>
          <w:szCs w:val="18"/>
          <w:lang w:val="zh-CN"/>
        </w:rPr>
        <w:t>月与马德里律师学会签署了一份合作协议，目的是与哥伦比亚妇女平等事务总统高级顾问办公室共同努力，开展一切必要活动以实现这一目标。</w:t>
      </w:r>
    </w:p>
  </w:footnote>
  <w:footnote w:id="25">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根据该战略计划出台了针对各种形式的暴力侵害妇女和歧视妇女行为的思想教育、预防和惩治法规条例，并对《刑法典》、《刑事诉讼法》和</w:t>
      </w:r>
      <w:r>
        <w:rPr>
          <w:szCs w:val="18"/>
          <w:lang w:val="zh-CN"/>
        </w:rPr>
        <w:t>1996</w:t>
      </w:r>
      <w:r>
        <w:rPr>
          <w:rFonts w:hAnsi="SimSun" w:hint="eastAsia"/>
          <w:szCs w:val="18"/>
          <w:lang w:val="zh-CN"/>
        </w:rPr>
        <w:t>年的第</w:t>
      </w:r>
      <w:r>
        <w:rPr>
          <w:szCs w:val="18"/>
          <w:lang w:val="zh-CN"/>
        </w:rPr>
        <w:t>294</w:t>
      </w:r>
      <w:r>
        <w:rPr>
          <w:rFonts w:hAnsi="SimSun" w:hint="eastAsia"/>
          <w:szCs w:val="18"/>
          <w:lang w:val="zh-CN"/>
        </w:rPr>
        <w:t>号法的相关规定进行了修改并颁布了其他规定。</w:t>
      </w:r>
    </w:p>
  </w:footnote>
  <w:footnote w:id="26">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立法研究、司法研究和政策研究，计划和方案。</w:t>
      </w:r>
    </w:p>
  </w:footnote>
  <w:footnote w:id="27">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由医疗保健和法律领域的人员对各类关爱措施进行分析（名为“使家庭暴力受害妇女获得司法救助”的文件，由哈维利亚纳天主教大学的法学系编制）。</w:t>
      </w:r>
    </w:p>
  </w:footnote>
  <w:footnote w:id="28">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该方案旨在将其所有精力和战略方针都集中在</w:t>
      </w:r>
      <w:r>
        <w:rPr>
          <w:szCs w:val="18"/>
          <w:lang w:val="zh-CN"/>
        </w:rPr>
        <w:t>4</w:t>
      </w:r>
      <w:r>
        <w:rPr>
          <w:rFonts w:hAnsi="SimSun" w:hint="eastAsia"/>
          <w:szCs w:val="18"/>
          <w:lang w:val="zh-CN"/>
        </w:rPr>
        <w:t>个试点项目上，以便验证其构想的综合战略的可能性，评估其效力，对采用的方法和</w:t>
      </w:r>
      <w:r>
        <w:rPr>
          <w:szCs w:val="18"/>
          <w:lang w:val="zh-CN"/>
        </w:rPr>
        <w:t>/</w:t>
      </w:r>
      <w:r>
        <w:rPr>
          <w:rFonts w:hAnsi="SimSun" w:hint="eastAsia"/>
          <w:szCs w:val="18"/>
          <w:lang w:val="zh-CN"/>
        </w:rPr>
        <w:t>或构想进行适时调整，并从中吸取经验，以便根据国内各地的实际情况对各项战略进行调整（卡塔赫纳省、布埃纳文图拉省、帕斯托省、普埃布罗里科省和米斯特拉托</w:t>
      </w:r>
      <w:r>
        <w:rPr>
          <w:szCs w:val="18"/>
          <w:lang w:val="zh-CN"/>
        </w:rPr>
        <w:t>-</w:t>
      </w:r>
      <w:r>
        <w:rPr>
          <w:rFonts w:hAnsi="SimSun" w:hint="eastAsia"/>
          <w:szCs w:val="18"/>
          <w:lang w:val="zh-CN"/>
        </w:rPr>
        <w:t>里萨拉尔达地区）。以上试点地区是根据下列原则选定的。第一项原则就是选定人口不足百万的城市。这是因为从示范性中型城市中获得的经验在全国范围内更具代表性，具有更大的推广潜力。遵循的中心原则就是选取的有代表性地区的体制特点和人口特点有助于试行不同的干预战略（体制薄弱；非洲裔人口高度集中；接收了大量的流离失所人口；以及聚居了大量固守传统的土著居民的地区）。</w:t>
      </w:r>
    </w:p>
  </w:footnote>
  <w:footnote w:id="29">
    <w:p w:rsidR="00A83775" w:rsidRDefault="00A83775">
      <w:pPr>
        <w:pStyle w:val="FootnoteText"/>
        <w:widowControl w:val="0"/>
        <w:tabs>
          <w:tab w:val="clear" w:pos="1021"/>
          <w:tab w:val="right" w:pos="1020"/>
        </w:tabs>
        <w:rPr>
          <w:rFonts w:hint="eastAsia"/>
          <w:szCs w:val="18"/>
        </w:rPr>
      </w:pPr>
      <w:r>
        <w:rPr>
          <w:szCs w:val="18"/>
          <w:lang w:val="es-ES_tradnl"/>
        </w:rPr>
        <w:tab/>
      </w:r>
      <w:r>
        <w:rPr>
          <w:rStyle w:val="FootnoteReference"/>
          <w:szCs w:val="18"/>
        </w:rPr>
        <w:footnoteRef/>
      </w:r>
      <w:r>
        <w:rPr>
          <w:szCs w:val="18"/>
          <w:lang w:val="es-ES_tradnl"/>
        </w:rPr>
        <w:tab/>
      </w:r>
      <w:r>
        <w:rPr>
          <w:rFonts w:hAnsi="SimSun" w:hint="eastAsia"/>
          <w:szCs w:val="18"/>
          <w:lang w:val="zh-CN"/>
        </w:rPr>
        <w:t>媒体宣传机构间委员会的成员单位如下：内政和司法部，国防部，信息技术和通信部，国家教育部，社会保障部，文化部，商业、工业和旅游部，妇女平等事务总统高级顾问办公室，总统府社会行动和国际合作署，国家赔偿与和解委员会，哥伦比亚农村发展局，哥伦比亚家庭福利局，国家总检察署，最高司法委员会，国家总检察长办公室，公民权利监察员办公室，国家学徒服务局和国民警察，同时得到了全面打击基于性别原因的暴力行为方案的支持，以期实现联合国的千年发展目标。</w:t>
      </w:r>
    </w:p>
  </w:footnote>
  <w:footnote w:id="30">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哥伦比亚家庭福利研究所隶属于社会保障部，根据</w:t>
      </w:r>
      <w:r>
        <w:rPr>
          <w:szCs w:val="18"/>
          <w:lang w:val="zh-CN"/>
        </w:rPr>
        <w:t>1979</w:t>
      </w:r>
      <w:r>
        <w:rPr>
          <w:rFonts w:hAnsi="SimSun" w:hint="eastAsia"/>
          <w:szCs w:val="18"/>
          <w:lang w:val="zh-CN"/>
        </w:rPr>
        <w:t>年的第</w:t>
      </w:r>
      <w:r>
        <w:rPr>
          <w:szCs w:val="18"/>
          <w:lang w:val="zh-CN"/>
        </w:rPr>
        <w:t>79</w:t>
      </w:r>
      <w:r>
        <w:rPr>
          <w:rFonts w:hAnsi="SimSun" w:hint="eastAsia"/>
          <w:szCs w:val="18"/>
          <w:lang w:val="zh-CN"/>
        </w:rPr>
        <w:t>号法创建，其宗旨是强化家庭凝聚力，保护未成年人，等等。</w:t>
      </w:r>
    </w:p>
  </w:footnote>
  <w:footnote w:id="31">
    <w:p w:rsidR="00A83775" w:rsidRDefault="00A83775">
      <w:pPr>
        <w:pStyle w:val="FootnoteText"/>
        <w:rPr>
          <w:rFonts w:hint="eastAsia"/>
          <w:szCs w:val="18"/>
        </w:rPr>
      </w:pPr>
      <w:r>
        <w:rPr>
          <w:rFonts w:hint="eastAsia"/>
          <w:szCs w:val="18"/>
        </w:rPr>
        <w:tab/>
      </w:r>
      <w:r>
        <w:rPr>
          <w:rStyle w:val="FootnoteReference"/>
          <w:szCs w:val="18"/>
        </w:rPr>
        <w:footnoteRef/>
      </w:r>
      <w:r>
        <w:rPr>
          <w:rFonts w:hint="eastAsia"/>
          <w:szCs w:val="18"/>
        </w:rPr>
        <w:tab/>
      </w:r>
      <w:r>
        <w:rPr>
          <w:rFonts w:hAnsi="SimSun" w:hint="eastAsia"/>
          <w:szCs w:val="18"/>
        </w:rPr>
        <w:t>国家社会和经济政策委员会</w:t>
      </w:r>
      <w:r>
        <w:rPr>
          <w:rFonts w:hint="eastAsia"/>
          <w:szCs w:val="18"/>
        </w:rPr>
        <w:t>2001</w:t>
      </w:r>
      <w:r>
        <w:rPr>
          <w:rFonts w:hAnsi="SimSun" w:hint="eastAsia"/>
          <w:szCs w:val="18"/>
        </w:rPr>
        <w:t>年</w:t>
      </w:r>
      <w:r>
        <w:rPr>
          <w:rFonts w:hint="eastAsia"/>
          <w:szCs w:val="18"/>
        </w:rPr>
        <w:t>12</w:t>
      </w:r>
      <w:r>
        <w:rPr>
          <w:rFonts w:hAnsi="SimSun" w:hint="eastAsia"/>
          <w:szCs w:val="18"/>
        </w:rPr>
        <w:t>月颁布的第</w:t>
      </w:r>
      <w:r>
        <w:rPr>
          <w:rFonts w:hint="eastAsia"/>
          <w:szCs w:val="18"/>
        </w:rPr>
        <w:t>3144</w:t>
      </w:r>
      <w:r>
        <w:rPr>
          <w:rFonts w:hAnsi="SimSun" w:hint="eastAsia"/>
          <w:szCs w:val="18"/>
        </w:rPr>
        <w:t>号决议。</w:t>
      </w:r>
    </w:p>
  </w:footnote>
  <w:footnote w:id="32">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lang w:val="es-ES_tradnl"/>
        </w:rPr>
        <w:tab/>
      </w:r>
      <w:r>
        <w:rPr>
          <w:rFonts w:hAnsi="SimSun" w:hint="eastAsia"/>
          <w:szCs w:val="18"/>
          <w:lang w:val="zh-CN"/>
        </w:rPr>
        <w:t>波哥大市、卡利（卡利和帕尔米拉）市、布卡拉曼加市、麦德林市、布加市（卡塔戈省）、马尼萨雷斯市、内瓦市、卡塔赫纳市、圣玛尔塔市、辛塞莱霍市、基布多市、帕斯托市、波帕扬市、亚美尼亚市、库库塔市、伊瓦格市、昆迪纳马卡市（福萨迦苏加）、比亚维森西奥市、通哈市、弗洛伦西亚市、巴兰基利亚市、佩雷拉市、里奥阿查市、蒙特利亚市和圣罗莎德维泰博市（约帕尔）。到</w:t>
      </w:r>
      <w:r>
        <w:rPr>
          <w:szCs w:val="18"/>
          <w:lang w:val="zh-CN"/>
        </w:rPr>
        <w:t>2011</w:t>
      </w:r>
      <w:r>
        <w:rPr>
          <w:rFonts w:hAnsi="SimSun" w:hint="eastAsia"/>
          <w:szCs w:val="18"/>
          <w:lang w:val="zh-CN"/>
        </w:rPr>
        <w:t>年，计划将上述办案模式推广到圣安德烈斯市和普罗维登西亚市（卡塔赫纳省）、索亚查市（昆迪纳马卡省）和巴耶杜帕尔市。</w:t>
      </w:r>
    </w:p>
  </w:footnote>
  <w:footnote w:id="33">
    <w:p w:rsidR="00A83775" w:rsidRDefault="00A83775">
      <w:pPr>
        <w:pStyle w:val="FootnoteText"/>
        <w:widowControl w:val="0"/>
        <w:tabs>
          <w:tab w:val="clear" w:pos="1021"/>
          <w:tab w:val="right" w:pos="1020"/>
        </w:tabs>
        <w:rPr>
          <w:rFonts w:hint="eastAsia"/>
          <w:szCs w:val="18"/>
        </w:rPr>
      </w:pPr>
      <w:r>
        <w:rPr>
          <w:szCs w:val="18"/>
          <w:lang w:val="es-ES_tradnl"/>
        </w:rPr>
        <w:tab/>
      </w:r>
      <w:r>
        <w:rPr>
          <w:rStyle w:val="FootnoteReference"/>
          <w:szCs w:val="18"/>
        </w:rPr>
        <w:footnoteRef/>
      </w:r>
      <w:r>
        <w:rPr>
          <w:szCs w:val="18"/>
        </w:rPr>
        <w:tab/>
      </w:r>
      <w:r>
        <w:rPr>
          <w:rFonts w:hAnsi="SimSun" w:hint="eastAsia"/>
          <w:szCs w:val="18"/>
          <w:lang w:val="zh-CN"/>
        </w:rPr>
        <w:t>一般来说，司法事务所的成员构成如下：</w:t>
      </w:r>
      <w:r>
        <w:rPr>
          <w:szCs w:val="18"/>
          <w:lang w:val="zh-CN"/>
        </w:rPr>
        <w:t>(a)</w:t>
      </w:r>
      <w:r>
        <w:rPr>
          <w:rFonts w:hint="eastAsia"/>
          <w:szCs w:val="18"/>
          <w:lang w:val="zh-CN"/>
        </w:rPr>
        <w:t xml:space="preserve"> </w:t>
      </w:r>
      <w:r>
        <w:rPr>
          <w:rFonts w:hAnsi="SimSun" w:hint="eastAsia"/>
          <w:szCs w:val="18"/>
          <w:lang w:val="zh-CN"/>
        </w:rPr>
        <w:t>一家信息接收和通报机构；</w:t>
      </w:r>
      <w:r>
        <w:rPr>
          <w:szCs w:val="18"/>
          <w:lang w:val="zh-CN"/>
        </w:rPr>
        <w:t>(b)</w:t>
      </w:r>
      <w:r>
        <w:rPr>
          <w:rFonts w:hint="eastAsia"/>
          <w:szCs w:val="18"/>
          <w:lang w:val="zh-CN"/>
        </w:rPr>
        <w:t xml:space="preserve"> </w:t>
      </w:r>
      <w:r>
        <w:rPr>
          <w:rFonts w:hAnsi="SimSun" w:hint="eastAsia"/>
          <w:szCs w:val="18"/>
          <w:lang w:val="zh-CN"/>
        </w:rPr>
        <w:t>一家常设警察监察机构；</w:t>
      </w:r>
      <w:r>
        <w:rPr>
          <w:szCs w:val="18"/>
          <w:lang w:val="zh-CN"/>
        </w:rPr>
        <w:t>(c)</w:t>
      </w:r>
      <w:r>
        <w:rPr>
          <w:rFonts w:hint="eastAsia"/>
          <w:szCs w:val="18"/>
          <w:lang w:val="zh-CN"/>
        </w:rPr>
        <w:t xml:space="preserve"> </w:t>
      </w:r>
      <w:r>
        <w:rPr>
          <w:rFonts w:hAnsi="SimSun" w:hint="eastAsia"/>
          <w:szCs w:val="18"/>
          <w:lang w:val="zh-CN"/>
        </w:rPr>
        <w:t>一家警察和社区发展监察机构；</w:t>
      </w:r>
      <w:r>
        <w:rPr>
          <w:szCs w:val="18"/>
          <w:lang w:val="zh-CN"/>
        </w:rPr>
        <w:t>(d)</w:t>
      </w:r>
      <w:r>
        <w:rPr>
          <w:rFonts w:hint="eastAsia"/>
          <w:szCs w:val="18"/>
          <w:lang w:val="zh-CN"/>
        </w:rPr>
        <w:t xml:space="preserve"> </w:t>
      </w:r>
      <w:r>
        <w:rPr>
          <w:rFonts w:hAnsi="SimSun" w:hint="eastAsia"/>
          <w:szCs w:val="18"/>
          <w:lang w:val="zh-CN"/>
        </w:rPr>
        <w:t>一家高等警察监察部门；</w:t>
      </w:r>
      <w:r>
        <w:rPr>
          <w:szCs w:val="18"/>
          <w:lang w:val="zh-CN"/>
        </w:rPr>
        <w:t>(e)</w:t>
      </w:r>
      <w:r>
        <w:rPr>
          <w:rFonts w:hint="eastAsia"/>
          <w:szCs w:val="18"/>
          <w:lang w:val="zh-CN"/>
        </w:rPr>
        <w:t xml:space="preserve"> </w:t>
      </w:r>
      <w:r>
        <w:rPr>
          <w:rFonts w:hAnsi="SimSun" w:hint="eastAsia"/>
          <w:szCs w:val="18"/>
          <w:lang w:val="zh-CN"/>
        </w:rPr>
        <w:t>一家家庭事务警局；</w:t>
      </w:r>
      <w:r>
        <w:rPr>
          <w:szCs w:val="18"/>
          <w:lang w:val="zh-CN"/>
        </w:rPr>
        <w:t>(f)</w:t>
      </w:r>
      <w:r>
        <w:rPr>
          <w:rFonts w:hint="eastAsia"/>
          <w:szCs w:val="18"/>
          <w:lang w:val="zh-CN"/>
        </w:rPr>
        <w:t xml:space="preserve"> </w:t>
      </w:r>
      <w:r>
        <w:rPr>
          <w:rFonts w:hAnsi="SimSun" w:hint="eastAsia"/>
          <w:szCs w:val="18"/>
          <w:lang w:val="zh-CN"/>
        </w:rPr>
        <w:t>各市镇的办公厅、协调和安全保障秘书处；</w:t>
      </w:r>
      <w:r>
        <w:rPr>
          <w:szCs w:val="18"/>
          <w:lang w:val="zh-CN"/>
        </w:rPr>
        <w:t>(g)</w:t>
      </w:r>
      <w:r>
        <w:rPr>
          <w:rFonts w:hint="eastAsia"/>
          <w:szCs w:val="18"/>
          <w:lang w:val="zh-CN"/>
        </w:rPr>
        <w:t xml:space="preserve"> </w:t>
      </w:r>
      <w:r>
        <w:rPr>
          <w:rFonts w:hAnsi="SimSun" w:hint="eastAsia"/>
          <w:szCs w:val="18"/>
          <w:lang w:val="zh-CN"/>
        </w:rPr>
        <w:t>一名市镇机关的人权代表；</w:t>
      </w:r>
      <w:r>
        <w:rPr>
          <w:szCs w:val="18"/>
          <w:lang w:val="zh-CN"/>
        </w:rPr>
        <w:t>(h)</w:t>
      </w:r>
      <w:r>
        <w:rPr>
          <w:rFonts w:hint="eastAsia"/>
          <w:szCs w:val="18"/>
          <w:lang w:val="zh-CN"/>
        </w:rPr>
        <w:t xml:space="preserve"> </w:t>
      </w:r>
      <w:r>
        <w:rPr>
          <w:rFonts w:hAnsi="SimSun" w:hint="eastAsia"/>
          <w:szCs w:val="18"/>
          <w:lang w:val="zh-CN"/>
        </w:rPr>
        <w:t>一名哥伦比亚家庭福利研究所的家庭保护官；</w:t>
      </w:r>
      <w:r>
        <w:rPr>
          <w:szCs w:val="18"/>
          <w:lang w:val="zh-CN"/>
        </w:rPr>
        <w:t>(i)</w:t>
      </w:r>
      <w:r>
        <w:rPr>
          <w:rFonts w:hint="eastAsia"/>
          <w:szCs w:val="18"/>
          <w:lang w:val="zh-CN"/>
        </w:rPr>
        <w:t xml:space="preserve"> </w:t>
      </w:r>
      <w:r>
        <w:rPr>
          <w:rFonts w:hAnsi="SimSun" w:hint="eastAsia"/>
          <w:szCs w:val="18"/>
          <w:lang w:val="zh-CN"/>
        </w:rPr>
        <w:t>一名法医学会的资深医生；</w:t>
      </w:r>
      <w:r>
        <w:rPr>
          <w:szCs w:val="18"/>
          <w:lang w:val="zh-CN"/>
        </w:rPr>
        <w:t>(j)</w:t>
      </w:r>
      <w:r>
        <w:rPr>
          <w:rFonts w:hint="eastAsia"/>
          <w:szCs w:val="18"/>
          <w:lang w:val="zh-CN"/>
        </w:rPr>
        <w:t xml:space="preserve"> </w:t>
      </w:r>
      <w:r>
        <w:rPr>
          <w:rFonts w:hAnsi="SimSun" w:hint="eastAsia"/>
          <w:szCs w:val="18"/>
          <w:lang w:val="zh-CN"/>
        </w:rPr>
        <w:t>来自国家总检察署的一名部门检察官和一名地方检察官；</w:t>
      </w:r>
      <w:r>
        <w:rPr>
          <w:szCs w:val="18"/>
          <w:lang w:val="zh-CN"/>
        </w:rPr>
        <w:t>(k)</w:t>
      </w:r>
      <w:r>
        <w:rPr>
          <w:rFonts w:hint="eastAsia"/>
          <w:szCs w:val="18"/>
          <w:lang w:val="zh-CN"/>
        </w:rPr>
        <w:t xml:space="preserve"> </w:t>
      </w:r>
      <w:r>
        <w:rPr>
          <w:rFonts w:hAnsi="SimSun" w:hint="eastAsia"/>
          <w:szCs w:val="18"/>
          <w:lang w:val="zh-CN"/>
        </w:rPr>
        <w:t>一家司法警察厅驻首都警区的司法警察机关；</w:t>
      </w:r>
      <w:r>
        <w:rPr>
          <w:szCs w:val="18"/>
          <w:lang w:val="zh-CN"/>
        </w:rPr>
        <w:t>(l)</w:t>
      </w:r>
      <w:r>
        <w:rPr>
          <w:rFonts w:hint="eastAsia"/>
          <w:szCs w:val="18"/>
          <w:lang w:val="zh-CN"/>
        </w:rPr>
        <w:t xml:space="preserve"> </w:t>
      </w:r>
      <w:r>
        <w:rPr>
          <w:rFonts w:hAnsi="SimSun" w:hint="eastAsia"/>
          <w:szCs w:val="18"/>
          <w:lang w:val="zh-CN"/>
        </w:rPr>
        <w:t>各所大学的法律咨询所和调解中心，等等。通过这种方式来为事务所的救助对象提供全面帮助。欲了解更多信息</w:t>
      </w:r>
      <w:r>
        <w:rPr>
          <w:rFonts w:hAnsi="SimSun" w:hint="eastAsia"/>
          <w:szCs w:val="18"/>
        </w:rPr>
        <w:t>，</w:t>
      </w:r>
      <w:r>
        <w:rPr>
          <w:rFonts w:hAnsi="SimSun" w:hint="eastAsia"/>
          <w:szCs w:val="18"/>
          <w:lang w:val="zh-CN"/>
        </w:rPr>
        <w:t>请访问内政和司法部网页</w:t>
      </w:r>
      <w:r>
        <w:rPr>
          <w:rFonts w:hAnsi="SimSun" w:hint="eastAsia"/>
          <w:szCs w:val="18"/>
        </w:rPr>
        <w:t>：</w:t>
      </w:r>
      <w:hyperlink r:id="rId1" w:history="1">
        <w:r>
          <w:rPr>
            <w:rStyle w:val="Hyperlink"/>
            <w:color w:val="auto"/>
            <w:szCs w:val="18"/>
            <w:u w:val="none"/>
          </w:rPr>
          <w:t>www.mij.gov.co/</w:t>
        </w:r>
        <w:r>
          <w:rPr>
            <w:rStyle w:val="Hyperlink"/>
            <w:rFonts w:hint="eastAsia"/>
            <w:color w:val="auto"/>
            <w:szCs w:val="18"/>
            <w:u w:val="none"/>
          </w:rPr>
          <w:t xml:space="preserve"> </w:t>
        </w:r>
        <w:r>
          <w:rPr>
            <w:rStyle w:val="Hyperlink"/>
            <w:color w:val="auto"/>
            <w:szCs w:val="18"/>
            <w:u w:val="none"/>
          </w:rPr>
          <w:t>eContent/</w:t>
        </w:r>
        <w:r>
          <w:rPr>
            <w:rStyle w:val="Hyperlink"/>
            <w:color w:val="auto"/>
            <w:szCs w:val="18"/>
            <w:u w:val="none"/>
          </w:rPr>
          <w:t xml:space="preserve"> n</w:t>
        </w:r>
        <w:r>
          <w:rPr>
            <w:rStyle w:val="Hyperlink"/>
            <w:color w:val="auto"/>
            <w:szCs w:val="18"/>
            <w:u w:val="none"/>
          </w:rPr>
          <w:t>ewsdetailmore.asp?id=2976&amp;idcompany=</w:t>
        </w:r>
        <w:r>
          <w:rPr>
            <w:rStyle w:val="Hyperlink"/>
            <w:rFonts w:hint="eastAsia"/>
            <w:color w:val="auto"/>
            <w:szCs w:val="18"/>
            <w:u w:val="none"/>
          </w:rPr>
          <w:t xml:space="preserve"> </w:t>
        </w:r>
        <w:r>
          <w:rPr>
            <w:rStyle w:val="Hyperlink"/>
            <w:color w:val="auto"/>
            <w:szCs w:val="18"/>
            <w:u w:val="none"/>
          </w:rPr>
          <w:t>2&amp;idmenucategory=226</w:t>
        </w:r>
      </w:hyperlink>
      <w:r>
        <w:rPr>
          <w:rFonts w:hAnsi="SimSun" w:hint="eastAsia"/>
          <w:szCs w:val="18"/>
          <w:lang w:val="zh-CN"/>
        </w:rPr>
        <w:t>。</w:t>
      </w:r>
    </w:p>
  </w:footnote>
  <w:footnote w:id="34">
    <w:p w:rsidR="00A83775" w:rsidRDefault="00A83775">
      <w:pPr>
        <w:pStyle w:val="FootnoteText"/>
        <w:widowControl w:val="0"/>
        <w:tabs>
          <w:tab w:val="clear" w:pos="1021"/>
          <w:tab w:val="right" w:pos="1020"/>
        </w:tabs>
        <w:rPr>
          <w:szCs w:val="18"/>
        </w:rPr>
      </w:pPr>
      <w:r>
        <w:rPr>
          <w:szCs w:val="18"/>
        </w:rPr>
        <w:tab/>
      </w:r>
      <w:r>
        <w:rPr>
          <w:rStyle w:val="FootnoteReference"/>
          <w:szCs w:val="18"/>
        </w:rPr>
        <w:footnoteRef/>
      </w:r>
      <w:r>
        <w:rPr>
          <w:szCs w:val="18"/>
        </w:rPr>
        <w:tab/>
      </w:r>
      <w:r>
        <w:rPr>
          <w:rFonts w:hAnsi="SimSun" w:hint="eastAsia"/>
          <w:szCs w:val="18"/>
          <w:lang w:val="zh-CN"/>
        </w:rPr>
        <w:t>这一行动使得家庭事务警局有可能在接到报案后四小时内采取预防保护措施</w:t>
      </w:r>
      <w:r>
        <w:rPr>
          <w:rFonts w:hAnsi="SimSun" w:hint="eastAsia"/>
          <w:szCs w:val="18"/>
          <w:lang w:val="es-ES_tradnl"/>
        </w:rPr>
        <w:t>，</w:t>
      </w:r>
      <w:r>
        <w:rPr>
          <w:rFonts w:hAnsi="SimSun" w:hint="eastAsia"/>
          <w:szCs w:val="18"/>
          <w:lang w:val="zh-CN"/>
        </w:rPr>
        <w:t>并在十日的期限内作出最终决定。如当事人不服警方的办案结果</w:t>
      </w:r>
      <w:r>
        <w:rPr>
          <w:rFonts w:hAnsi="SimSun" w:hint="eastAsia"/>
          <w:szCs w:val="18"/>
        </w:rPr>
        <w:t>，</w:t>
      </w:r>
      <w:r>
        <w:rPr>
          <w:rFonts w:hAnsi="SimSun" w:hint="eastAsia"/>
          <w:szCs w:val="18"/>
          <w:lang w:val="zh-CN"/>
        </w:rPr>
        <w:t>应向家庭事务法官提出上诉</w:t>
      </w:r>
      <w:r>
        <w:rPr>
          <w:rFonts w:hAnsi="SimSun" w:hint="eastAsia"/>
          <w:szCs w:val="18"/>
        </w:rPr>
        <w:t>，</w:t>
      </w:r>
      <w:r>
        <w:rPr>
          <w:rFonts w:hAnsi="SimSun" w:hint="eastAsia"/>
          <w:szCs w:val="18"/>
          <w:lang w:val="zh-CN"/>
        </w:rPr>
        <w:t>由法官对办案警员的决议进行审议。在没有设立家庭事务警局的地区</w:t>
      </w:r>
      <w:r>
        <w:rPr>
          <w:rFonts w:hAnsi="SimSun" w:hint="eastAsia"/>
          <w:szCs w:val="18"/>
        </w:rPr>
        <w:t>，</w:t>
      </w:r>
      <w:r>
        <w:rPr>
          <w:rFonts w:hAnsi="SimSun" w:hint="eastAsia"/>
          <w:szCs w:val="18"/>
          <w:lang w:val="zh-CN"/>
        </w:rPr>
        <w:t>由市政法官受理相应案件。家庭事务警局的职能包括</w:t>
      </w:r>
      <w:r>
        <w:rPr>
          <w:rFonts w:hAnsi="SimSun" w:hint="eastAsia"/>
          <w:szCs w:val="18"/>
        </w:rPr>
        <w:t>：</w:t>
      </w:r>
      <w:r>
        <w:rPr>
          <w:szCs w:val="18"/>
        </w:rPr>
        <w:t>(a)</w:t>
      </w:r>
      <w:r>
        <w:rPr>
          <w:rFonts w:hint="eastAsia"/>
          <w:szCs w:val="18"/>
        </w:rPr>
        <w:t xml:space="preserve"> </w:t>
      </w:r>
      <w:r>
        <w:rPr>
          <w:rFonts w:hAnsi="SimSun" w:hint="eastAsia"/>
          <w:szCs w:val="18"/>
          <w:lang w:val="zh-CN"/>
        </w:rPr>
        <w:t>预防家庭内暴力和对儿童的性虐待</w:t>
      </w:r>
      <w:r>
        <w:rPr>
          <w:rFonts w:hAnsi="SimSun" w:hint="eastAsia"/>
          <w:szCs w:val="18"/>
        </w:rPr>
        <w:t>；</w:t>
      </w:r>
      <w:r>
        <w:rPr>
          <w:szCs w:val="18"/>
        </w:rPr>
        <w:t>(b)</w:t>
      </w:r>
      <w:r>
        <w:rPr>
          <w:rFonts w:hint="eastAsia"/>
          <w:szCs w:val="18"/>
        </w:rPr>
        <w:t xml:space="preserve"> </w:t>
      </w:r>
      <w:r>
        <w:rPr>
          <w:rFonts w:hAnsi="SimSun" w:hint="eastAsia"/>
          <w:szCs w:val="18"/>
          <w:lang w:val="zh-CN"/>
        </w:rPr>
        <w:t>在家庭关系和婚姻关系破裂时调解夫妻间关于子女监护权、探视权、抚养和赡养问题及财产分割的矛盾</w:t>
      </w:r>
      <w:r>
        <w:rPr>
          <w:rFonts w:hAnsi="SimSun" w:hint="eastAsia"/>
          <w:szCs w:val="18"/>
        </w:rPr>
        <w:t>；</w:t>
      </w:r>
      <w:r>
        <w:rPr>
          <w:szCs w:val="18"/>
        </w:rPr>
        <w:t>(c)</w:t>
      </w:r>
      <w:r>
        <w:rPr>
          <w:rFonts w:hint="eastAsia"/>
          <w:szCs w:val="18"/>
        </w:rPr>
        <w:t xml:space="preserve"> </w:t>
      </w:r>
      <w:r>
        <w:rPr>
          <w:rFonts w:hAnsi="SimSun" w:hint="eastAsia"/>
          <w:szCs w:val="18"/>
          <w:lang w:val="zh-CN"/>
        </w:rPr>
        <w:t>审理家庭内暴力案件并采取保护行动</w:t>
      </w:r>
      <w:r>
        <w:rPr>
          <w:rFonts w:hAnsi="SimSun" w:hint="eastAsia"/>
          <w:szCs w:val="18"/>
        </w:rPr>
        <w:t>；</w:t>
      </w:r>
      <w:r>
        <w:rPr>
          <w:szCs w:val="18"/>
        </w:rPr>
        <w:t>(d)</w:t>
      </w:r>
      <w:r>
        <w:rPr>
          <w:rFonts w:hint="eastAsia"/>
          <w:szCs w:val="18"/>
        </w:rPr>
        <w:t xml:space="preserve"> </w:t>
      </w:r>
      <w:r>
        <w:rPr>
          <w:rFonts w:hAnsi="SimSun" w:hint="eastAsia"/>
          <w:szCs w:val="18"/>
          <w:lang w:val="zh-CN"/>
        </w:rPr>
        <w:t>过问行政审理程序</w:t>
      </w:r>
      <w:r>
        <w:rPr>
          <w:rFonts w:hAnsi="SimSun" w:hint="eastAsia"/>
          <w:szCs w:val="18"/>
        </w:rPr>
        <w:t>，</w:t>
      </w:r>
      <w:r>
        <w:rPr>
          <w:rFonts w:hAnsi="SimSun" w:hint="eastAsia"/>
          <w:szCs w:val="18"/>
          <w:lang w:val="zh-CN"/>
        </w:rPr>
        <w:t>恢复在家庭内暴力案件中遭受虐待的儿童或青少年受害者的权利</w:t>
      </w:r>
      <w:r>
        <w:rPr>
          <w:rFonts w:hAnsi="SimSun" w:hint="eastAsia"/>
          <w:szCs w:val="18"/>
        </w:rPr>
        <w:t>；</w:t>
      </w:r>
      <w:r>
        <w:rPr>
          <w:szCs w:val="18"/>
        </w:rPr>
        <w:t>(e)</w:t>
      </w:r>
      <w:r>
        <w:rPr>
          <w:rFonts w:hint="eastAsia"/>
          <w:szCs w:val="18"/>
        </w:rPr>
        <w:t xml:space="preserve"> </w:t>
      </w:r>
      <w:r>
        <w:rPr>
          <w:rFonts w:hAnsi="SimSun" w:hint="eastAsia"/>
          <w:szCs w:val="18"/>
          <w:lang w:val="zh-CN"/>
        </w:rPr>
        <w:t>对权利面临侵害威胁或生命安全或人身完整性面临危险的儿童和青少年实施拯救行动</w:t>
      </w:r>
      <w:r>
        <w:rPr>
          <w:rFonts w:hAnsi="SimSun" w:hint="eastAsia"/>
          <w:szCs w:val="18"/>
        </w:rPr>
        <w:t>，</w:t>
      </w:r>
      <w:r>
        <w:rPr>
          <w:rFonts w:hAnsi="SimSun" w:hint="eastAsia"/>
          <w:szCs w:val="18"/>
          <w:lang w:val="zh-CN"/>
        </w:rPr>
        <w:t>包括开展有效搜救行动</w:t>
      </w:r>
      <w:r>
        <w:rPr>
          <w:rFonts w:hAnsi="SimSun" w:hint="eastAsia"/>
          <w:szCs w:val="18"/>
        </w:rPr>
        <w:t>；</w:t>
      </w:r>
      <w:r>
        <w:rPr>
          <w:szCs w:val="18"/>
        </w:rPr>
        <w:t>(f)</w:t>
      </w:r>
      <w:r>
        <w:rPr>
          <w:rFonts w:hint="eastAsia"/>
          <w:szCs w:val="18"/>
        </w:rPr>
        <w:t xml:space="preserve"> </w:t>
      </w:r>
      <w:r>
        <w:rPr>
          <w:rFonts w:hAnsi="SimSun" w:hint="eastAsia"/>
          <w:szCs w:val="18"/>
          <w:lang w:val="zh-CN"/>
        </w:rPr>
        <w:t>提供为亲子关系确认服务</w:t>
      </w:r>
      <w:r>
        <w:rPr>
          <w:rFonts w:hAnsi="SimSun" w:hint="eastAsia"/>
          <w:szCs w:val="18"/>
        </w:rPr>
        <w:t>；</w:t>
      </w:r>
      <w:r>
        <w:rPr>
          <w:szCs w:val="18"/>
        </w:rPr>
        <w:t>(g)</w:t>
      </w:r>
      <w:r>
        <w:rPr>
          <w:rFonts w:hint="eastAsia"/>
          <w:szCs w:val="18"/>
        </w:rPr>
        <w:t xml:space="preserve"> </w:t>
      </w:r>
      <w:r>
        <w:rPr>
          <w:rFonts w:hAnsi="SimSun" w:hint="eastAsia"/>
          <w:szCs w:val="18"/>
          <w:lang w:val="zh-CN"/>
        </w:rPr>
        <w:t>在新《儿童和青少年法》现行有效的情况下</w:t>
      </w:r>
      <w:r>
        <w:rPr>
          <w:rFonts w:hAnsi="SimSun" w:hint="eastAsia"/>
          <w:szCs w:val="18"/>
        </w:rPr>
        <w:t>，</w:t>
      </w:r>
      <w:r>
        <w:rPr>
          <w:rFonts w:hAnsi="SimSun" w:hint="eastAsia"/>
          <w:szCs w:val="18"/>
          <w:lang w:val="zh-CN"/>
        </w:rPr>
        <w:t>继续履行原来的《未成年人法》第</w:t>
      </w:r>
      <w:r>
        <w:rPr>
          <w:szCs w:val="18"/>
        </w:rPr>
        <w:t>320</w:t>
      </w:r>
      <w:r>
        <w:rPr>
          <w:rFonts w:hAnsi="SimSun" w:hint="eastAsia"/>
          <w:szCs w:val="18"/>
          <w:lang w:val="zh-CN"/>
        </w:rPr>
        <w:t>条至</w:t>
      </w:r>
      <w:r>
        <w:rPr>
          <w:szCs w:val="18"/>
        </w:rPr>
        <w:t>325</w:t>
      </w:r>
      <w:r>
        <w:rPr>
          <w:rFonts w:hAnsi="SimSun" w:hint="eastAsia"/>
          <w:szCs w:val="18"/>
          <w:lang w:val="zh-CN"/>
        </w:rPr>
        <w:t>条中赋予警方的职权。家庭事务警局是由一个跨学科工作组构成的</w:t>
      </w:r>
      <w:r>
        <w:rPr>
          <w:rFonts w:hAnsi="SimSun" w:hint="eastAsia"/>
          <w:szCs w:val="18"/>
        </w:rPr>
        <w:t>，</w:t>
      </w:r>
      <w:r>
        <w:rPr>
          <w:rFonts w:hAnsi="SimSun" w:hint="eastAsia"/>
          <w:szCs w:val="18"/>
          <w:lang w:val="zh-CN"/>
        </w:rPr>
        <w:t>成员包括</w:t>
      </w:r>
      <w:r>
        <w:rPr>
          <w:rFonts w:hAnsi="SimSun" w:hint="eastAsia"/>
          <w:szCs w:val="18"/>
        </w:rPr>
        <w:t>：</w:t>
      </w:r>
      <w:r>
        <w:rPr>
          <w:rFonts w:hAnsi="SimSun" w:hint="eastAsia"/>
          <w:szCs w:val="18"/>
          <w:lang w:val="zh-CN"/>
        </w:rPr>
        <w:t>律师、社会工作者、心理学家、医生和书记员。</w:t>
      </w:r>
    </w:p>
  </w:footnote>
  <w:footnote w:id="35">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该法第</w:t>
      </w:r>
      <w:r>
        <w:rPr>
          <w:szCs w:val="18"/>
          <w:lang w:val="zh-CN"/>
        </w:rPr>
        <w:t>19</w:t>
      </w:r>
      <w:r>
        <w:rPr>
          <w:rFonts w:hAnsi="SimSun" w:hint="eastAsia"/>
          <w:szCs w:val="18"/>
          <w:lang w:val="zh-CN"/>
        </w:rPr>
        <w:t>条</w:t>
      </w:r>
      <w:r>
        <w:rPr>
          <w:szCs w:val="18"/>
          <w:lang w:val="zh-CN"/>
        </w:rPr>
        <w:t>a</w:t>
      </w:r>
      <w:r>
        <w:rPr>
          <w:rFonts w:hAnsi="SimSun" w:hint="eastAsia"/>
          <w:szCs w:val="18"/>
          <w:lang w:val="zh-CN"/>
        </w:rPr>
        <w:t>款规定确保通过社会医疗保障总体系为受害者提供食宿方面的救助。医疗保健从业机构和医疗保健体系的主管机关应当在医疗保健服务机构中提供食宿服务，或者通过签订旅馆服务商来提供食宿服务；在任何情况下都应包括为受害妇女及其子女提供交通服务。此外，应具备治疗和转诊制度，以便为受害者提供诊治服务，确保维护其生命安全、人格尊严和人身完整性。参见</w:t>
      </w:r>
      <w:r>
        <w:rPr>
          <w:szCs w:val="18"/>
          <w:lang w:val="zh-CN"/>
        </w:rPr>
        <w:t>2010</w:t>
      </w:r>
      <w:r>
        <w:rPr>
          <w:rFonts w:hAnsi="SimSun" w:hint="eastAsia"/>
          <w:szCs w:val="18"/>
          <w:lang w:val="zh-CN"/>
        </w:rPr>
        <w:t>年的第</w:t>
      </w:r>
      <w:r>
        <w:rPr>
          <w:szCs w:val="18"/>
          <w:lang w:val="zh-CN"/>
        </w:rPr>
        <w:t>C-776</w:t>
      </w:r>
      <w:r>
        <w:rPr>
          <w:rFonts w:hAnsi="SimSun" w:hint="eastAsia"/>
          <w:szCs w:val="18"/>
          <w:lang w:val="zh-CN"/>
        </w:rPr>
        <w:t>号判决。</w:t>
      </w:r>
    </w:p>
  </w:footnote>
  <w:footnote w:id="36">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得到这一方案救助的唯一要求就是向职能当局报案。保护</w:t>
      </w:r>
      <w:r>
        <w:rPr>
          <w:szCs w:val="18"/>
          <w:lang w:val="zh-CN"/>
        </w:rPr>
        <w:t>/</w:t>
      </w:r>
      <w:r>
        <w:rPr>
          <w:rFonts w:hAnsi="SimSun" w:hint="eastAsia"/>
          <w:szCs w:val="18"/>
          <w:lang w:val="zh-CN"/>
        </w:rPr>
        <w:t>救助服务的内容有：</w:t>
      </w:r>
      <w:r>
        <w:rPr>
          <w:szCs w:val="18"/>
          <w:lang w:val="zh-CN"/>
        </w:rPr>
        <w:t>(a)</w:t>
      </w:r>
      <w:r>
        <w:rPr>
          <w:rFonts w:hint="eastAsia"/>
          <w:szCs w:val="18"/>
          <w:lang w:val="zh-CN"/>
        </w:rPr>
        <w:t xml:space="preserve"> </w:t>
      </w:r>
      <w:r>
        <w:rPr>
          <w:rFonts w:hAnsi="SimSun" w:hint="eastAsia"/>
          <w:szCs w:val="18"/>
          <w:lang w:val="zh-CN"/>
        </w:rPr>
        <w:t>收容庇护；</w:t>
      </w:r>
      <w:r>
        <w:rPr>
          <w:szCs w:val="18"/>
          <w:lang w:val="zh-CN"/>
        </w:rPr>
        <w:t>(b)</w:t>
      </w:r>
      <w:r>
        <w:rPr>
          <w:rFonts w:hint="eastAsia"/>
          <w:szCs w:val="18"/>
          <w:lang w:val="zh-CN"/>
        </w:rPr>
        <w:t xml:space="preserve"> </w:t>
      </w:r>
      <w:r>
        <w:rPr>
          <w:rFonts w:hAnsi="SimSun" w:hint="eastAsia"/>
          <w:szCs w:val="18"/>
          <w:lang w:val="zh-CN"/>
        </w:rPr>
        <w:t>针对个人及其家人提供医学和心理学评估和诊治；</w:t>
      </w:r>
      <w:r>
        <w:rPr>
          <w:szCs w:val="18"/>
          <w:lang w:val="zh-CN"/>
        </w:rPr>
        <w:t>(c)</w:t>
      </w:r>
      <w:r>
        <w:rPr>
          <w:rFonts w:hint="eastAsia"/>
          <w:szCs w:val="18"/>
          <w:lang w:val="zh-CN"/>
        </w:rPr>
        <w:t xml:space="preserve"> </w:t>
      </w:r>
      <w:r>
        <w:rPr>
          <w:rFonts w:hAnsi="SimSun" w:hint="eastAsia"/>
          <w:szCs w:val="18"/>
          <w:lang w:val="zh-CN"/>
        </w:rPr>
        <w:t>法律咨询；</w:t>
      </w:r>
      <w:r>
        <w:rPr>
          <w:szCs w:val="18"/>
          <w:lang w:val="zh-CN"/>
        </w:rPr>
        <w:t>(d)</w:t>
      </w:r>
      <w:r>
        <w:rPr>
          <w:rFonts w:hint="eastAsia"/>
          <w:szCs w:val="18"/>
          <w:lang w:val="zh-CN"/>
        </w:rPr>
        <w:t xml:space="preserve"> </w:t>
      </w:r>
      <w:r>
        <w:rPr>
          <w:rFonts w:hAnsi="SimSun" w:hint="eastAsia"/>
          <w:szCs w:val="18"/>
          <w:lang w:val="zh-CN"/>
        </w:rPr>
        <w:t>与自主救助工作组协作开展联动工作；</w:t>
      </w:r>
      <w:r>
        <w:rPr>
          <w:szCs w:val="18"/>
          <w:lang w:val="zh-CN"/>
        </w:rPr>
        <w:t>(e)</w:t>
      </w:r>
      <w:r>
        <w:rPr>
          <w:rFonts w:hint="eastAsia"/>
          <w:szCs w:val="18"/>
          <w:lang w:val="zh-CN"/>
        </w:rPr>
        <w:t xml:space="preserve"> </w:t>
      </w:r>
      <w:r>
        <w:rPr>
          <w:rFonts w:hAnsi="SimSun" w:hint="eastAsia"/>
          <w:szCs w:val="18"/>
          <w:lang w:val="zh-CN"/>
        </w:rPr>
        <w:t>实施艺术培训或职业培训方案，并视情况需要帮助受害者创业或提高其经济地位。</w:t>
      </w:r>
    </w:p>
  </w:footnote>
  <w:footnote w:id="37">
    <w:p w:rsidR="00A83775" w:rsidRDefault="00A83775">
      <w:pPr>
        <w:pStyle w:val="FootnoteText"/>
        <w:widowControl w:val="0"/>
        <w:tabs>
          <w:tab w:val="clear" w:pos="1021"/>
          <w:tab w:val="right" w:pos="1020"/>
        </w:tabs>
        <w:rPr>
          <w:rFonts w:hint="eastAsia"/>
          <w:szCs w:val="18"/>
          <w:lang w:val="es-ES_tradnl"/>
        </w:rPr>
      </w:pPr>
      <w:r>
        <w:rPr>
          <w:szCs w:val="18"/>
          <w:lang w:val="es-ES_tradnl"/>
        </w:rPr>
        <w:tab/>
      </w:r>
      <w:r>
        <w:rPr>
          <w:rStyle w:val="FootnoteReference"/>
          <w:szCs w:val="18"/>
        </w:rPr>
        <w:footnoteRef/>
      </w:r>
      <w:r>
        <w:rPr>
          <w:szCs w:val="18"/>
          <w:lang w:val="es-ES_tradnl"/>
        </w:rPr>
        <w:tab/>
      </w:r>
      <w:r>
        <w:rPr>
          <w:rFonts w:hAnsi="SimSun" w:hint="eastAsia"/>
          <w:szCs w:val="18"/>
          <w:lang w:val="zh-CN"/>
        </w:rPr>
        <w:t>欲了解更多信息</w:t>
      </w:r>
      <w:r>
        <w:rPr>
          <w:rFonts w:hAnsi="SimSun" w:hint="eastAsia"/>
          <w:szCs w:val="18"/>
          <w:lang w:val="es-ES_tradnl"/>
        </w:rPr>
        <w:t>，</w:t>
      </w:r>
      <w:r>
        <w:rPr>
          <w:rFonts w:hAnsi="SimSun" w:hint="eastAsia"/>
          <w:szCs w:val="18"/>
          <w:lang w:val="zh-CN"/>
        </w:rPr>
        <w:t>请访问</w:t>
      </w:r>
      <w:r>
        <w:rPr>
          <w:rFonts w:hAnsi="SimSun" w:hint="eastAsia"/>
          <w:szCs w:val="18"/>
          <w:lang w:val="es-ES_tradnl"/>
        </w:rPr>
        <w:t>：</w:t>
      </w:r>
      <w:hyperlink r:id="rId2" w:history="1">
        <w:r>
          <w:rPr>
            <w:rStyle w:val="Hyperlink"/>
            <w:color w:val="auto"/>
            <w:szCs w:val="18"/>
            <w:u w:val="none"/>
            <w:lang w:val="es-ES_tradnl"/>
          </w:rPr>
          <w:t>www.hogaresclubmichin.com/webmichin/michin.html</w:t>
        </w:r>
      </w:hyperlink>
      <w:r>
        <w:rPr>
          <w:rFonts w:hAnsi="SimSun" w:hint="eastAsia"/>
          <w:szCs w:val="18"/>
          <w:lang w:val="es-ES_tradnl"/>
        </w:rPr>
        <w:t>。</w:t>
      </w:r>
    </w:p>
  </w:footnote>
  <w:footnote w:id="38">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lang w:val="es-ES_tradnl"/>
        </w:rPr>
        <w:tab/>
      </w:r>
      <w:r>
        <w:rPr>
          <w:rFonts w:hAnsi="SimSun" w:hint="eastAsia"/>
          <w:szCs w:val="18"/>
          <w:lang w:val="zh-CN"/>
        </w:rPr>
        <w:t>第一条方针是强化和提高公诉机关的服务质量，注重性别观点和差别化工作方式；第二条方针是制定对受害妇女和儿童进行司法救助所面临障碍的定性和定量分析，以利于后续推出和实施公共政策；第三条方针所对应的是对保护活动的后续跟踪和评估，工作重心在于确保受害妇女和儿童得到司法救助，以便提出意见建议，在各职能部门的工作中加入性别观点和妇女和儿童的人权观点。计划的设计制定得到了打击性别暴力综合方案组的支持，这一方案组在</w:t>
      </w:r>
      <w:r>
        <w:rPr>
          <w:szCs w:val="18"/>
          <w:lang w:val="zh-CN"/>
        </w:rPr>
        <w:t>2011</w:t>
      </w:r>
      <w:r>
        <w:rPr>
          <w:rFonts w:hAnsi="SimSun" w:hint="eastAsia"/>
          <w:szCs w:val="18"/>
          <w:lang w:val="zh-CN"/>
        </w:rPr>
        <w:t>年计划的实施过程中提供了支持，同时，计划的实施还得到了国家公诉机关以及儿童、青少年和妇女权利保护代表机构的联合支持。但是，为使计划持续开展，有必要确保充足的国家预算资源，以增加人员编制，强化和提高公设辩护服务的质量。</w:t>
      </w:r>
    </w:p>
  </w:footnote>
  <w:footnote w:id="39">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lang w:val="es-ES_tradnl"/>
        </w:rPr>
        <w:tab/>
      </w:r>
      <w:r>
        <w:rPr>
          <w:rFonts w:hAnsi="SimSun" w:hint="eastAsia"/>
          <w:szCs w:val="18"/>
          <w:lang w:val="zh-CN"/>
        </w:rPr>
        <w:t>依照法律设定的条件，服从国家公设辩护体系的领导。</w:t>
      </w:r>
    </w:p>
  </w:footnote>
  <w:footnote w:id="40">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lang w:val="es-ES_tradnl"/>
        </w:rPr>
        <w:tab/>
      </w:r>
      <w:r>
        <w:rPr>
          <w:rFonts w:hAnsi="SimSun" w:hint="eastAsia"/>
          <w:szCs w:val="18"/>
          <w:lang w:val="zh-CN"/>
        </w:rPr>
        <w:t>一旦通过按键选择这一选项，将向遭受游走于法律边缘的有组织团体的性侵害的人员提供心理辅导，考虑到受害人在讲述其受害遭遇时可能会感到害怕，将为其营造一个温馨和信任的氛围，以便受害人陈述其受害事实。因此，许多受害人打进热线电话向正义与和平工作组举报其自身或未成年家人和</w:t>
      </w:r>
      <w:r>
        <w:rPr>
          <w:szCs w:val="18"/>
          <w:lang w:val="zh-CN"/>
        </w:rPr>
        <w:t>/</w:t>
      </w:r>
      <w:r>
        <w:rPr>
          <w:rFonts w:hAnsi="SimSun" w:hint="eastAsia"/>
          <w:szCs w:val="18"/>
          <w:lang w:val="zh-CN"/>
        </w:rPr>
        <w:t>或残疾人遭受性暴力的案情。在非法招募未成年人问题上，同样也通过热线受理了许多母亲举报的其子女被非法招募的案件，以及流离失所人员被强迫加入非法武装组织的案件。热线的其他选项键可接入与人口强迫失踪、非法有组织团体成员的财产和人员、非法有组织团体造成的财产损失有关的犯罪，以及其他由非法有组织团体所犯罪行，针对这些情况可提供案情线索并要求了解程序信息；关于法律版本和司法机构的信息，以及提供关于正义与和平诉讼程序的信息；杂项信息。</w:t>
      </w:r>
    </w:p>
  </w:footnote>
  <w:footnote w:id="41">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在第</w:t>
      </w:r>
      <w:r>
        <w:rPr>
          <w:szCs w:val="18"/>
          <w:lang w:val="zh-CN"/>
        </w:rPr>
        <w:t>092</w:t>
      </w:r>
      <w:r>
        <w:rPr>
          <w:rFonts w:hAnsi="SimSun" w:hint="eastAsia"/>
          <w:szCs w:val="18"/>
          <w:lang w:val="zh-CN"/>
        </w:rPr>
        <w:t>号裁决所规定方案，特别是旨在预防对流离失所妇女的性暴力和家庭内暴力方案和对暴力受害者进行全面关爱的方案框架内，谋求改善与对受害妇女进行医疗诊治、心理社会帮助和引导的服务。</w:t>
      </w:r>
    </w:p>
  </w:footnote>
  <w:footnote w:id="42">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这一文件构成了上述讲习班培训的基础之一，此外，还是设计和实施该研究所的法医临床实践中对基于性别原因的暴力的救助模式的必要材料。</w:t>
      </w:r>
    </w:p>
  </w:footnote>
  <w:footnote w:id="43">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lang w:val="es-ES_tradnl"/>
        </w:rPr>
        <w:tab/>
      </w:r>
      <w:r>
        <w:rPr>
          <w:rFonts w:hAnsi="SimSun" w:hint="eastAsia"/>
          <w:szCs w:val="18"/>
          <w:lang w:val="zh-CN"/>
        </w:rPr>
        <w:t>欲了解更多信息</w:t>
      </w:r>
      <w:r>
        <w:rPr>
          <w:rFonts w:hAnsi="SimSun" w:hint="eastAsia"/>
          <w:szCs w:val="18"/>
          <w:lang w:val="es-ES_tradnl"/>
        </w:rPr>
        <w:t>，</w:t>
      </w:r>
      <w:r>
        <w:rPr>
          <w:rFonts w:hAnsi="SimSun" w:hint="eastAsia"/>
          <w:szCs w:val="18"/>
          <w:lang w:val="zh-CN"/>
        </w:rPr>
        <w:t>请访问</w:t>
      </w:r>
      <w:r>
        <w:rPr>
          <w:rFonts w:hAnsi="SimSun" w:hint="eastAsia"/>
          <w:szCs w:val="18"/>
          <w:lang w:val="es-ES_tradnl"/>
        </w:rPr>
        <w:t>：</w:t>
      </w:r>
      <w:hyperlink r:id="rId3" w:history="1">
        <w:r>
          <w:rPr>
            <w:rStyle w:val="Hyperlink"/>
            <w:color w:val="auto"/>
            <w:szCs w:val="18"/>
            <w:u w:val="none"/>
            <w:lang w:val="es-ES_tradnl"/>
          </w:rPr>
          <w:t>www.medicinalegal.gov.co/index.php?option=com_wrapper&amp;view</w:t>
        </w:r>
        <w:r>
          <w:rPr>
            <w:rStyle w:val="Hyperlink"/>
            <w:rFonts w:hint="eastAsia"/>
            <w:color w:val="auto"/>
            <w:szCs w:val="18"/>
            <w:u w:val="none"/>
            <w:lang w:val="es-ES_tradnl"/>
          </w:rPr>
          <w:t xml:space="preserve"> </w:t>
        </w:r>
        <w:r>
          <w:rPr>
            <w:rStyle w:val="Hyperlink"/>
            <w:color w:val="auto"/>
            <w:szCs w:val="18"/>
            <w:u w:val="none"/>
            <w:lang w:val="es-ES_tradnl"/>
          </w:rPr>
          <w:t>=wrapper&amp;Itemid=84</w:t>
        </w:r>
      </w:hyperlink>
      <w:r>
        <w:rPr>
          <w:rFonts w:hAnsi="SimSun" w:hint="eastAsia"/>
          <w:szCs w:val="18"/>
          <w:lang w:val="zh-CN"/>
        </w:rPr>
        <w:t>。法医性医学快速检查指南；人身伤害诊断实践指南；性犯罪调查法医伤势综合检查技术条例；伴侣间暴力法医伤势综合检查技术条例。</w:t>
      </w:r>
    </w:p>
  </w:footnote>
  <w:footnote w:id="44">
    <w:p w:rsidR="00A83775" w:rsidRDefault="00A83775">
      <w:pPr>
        <w:pStyle w:val="FootnoteText"/>
        <w:widowControl w:val="0"/>
        <w:tabs>
          <w:tab w:val="clear" w:pos="1021"/>
          <w:tab w:val="right" w:pos="1020"/>
        </w:tabs>
        <w:rPr>
          <w:rFonts w:hint="eastAsia"/>
          <w:szCs w:val="18"/>
          <w:lang w:val="es-ES_tradnl"/>
        </w:rPr>
      </w:pPr>
      <w:r>
        <w:rPr>
          <w:szCs w:val="18"/>
          <w:lang w:val="es-ES_tradnl"/>
        </w:rPr>
        <w:tab/>
      </w:r>
      <w:r>
        <w:rPr>
          <w:rStyle w:val="FootnoteReference"/>
          <w:szCs w:val="18"/>
        </w:rPr>
        <w:footnoteRef/>
      </w:r>
      <w:r>
        <w:rPr>
          <w:szCs w:val="18"/>
          <w:lang w:val="es-ES_tradnl"/>
        </w:rPr>
        <w:tab/>
      </w:r>
      <w:r>
        <w:rPr>
          <w:rFonts w:hAnsi="SimSun" w:hint="eastAsia"/>
          <w:szCs w:val="18"/>
          <w:lang w:val="zh-CN"/>
        </w:rPr>
        <w:t>研究和大众教育中心</w:t>
      </w:r>
      <w:r>
        <w:rPr>
          <w:rFonts w:hAnsi="SimSun" w:hint="eastAsia"/>
          <w:szCs w:val="18"/>
          <w:lang w:val="es-ES_tradnl"/>
        </w:rPr>
        <w:t>：</w:t>
      </w:r>
      <w:hyperlink r:id="rId4" w:history="1">
        <w:r>
          <w:rPr>
            <w:rStyle w:val="Hyperlink"/>
            <w:color w:val="auto"/>
            <w:szCs w:val="18"/>
            <w:u w:val="none"/>
            <w:lang w:val="es-ES_tradnl"/>
          </w:rPr>
          <w:t>www.cinep.org.co</w:t>
        </w:r>
      </w:hyperlink>
      <w:r>
        <w:rPr>
          <w:rFonts w:hint="eastAsia"/>
          <w:szCs w:val="18"/>
          <w:lang w:val="es-ES_tradnl"/>
        </w:rPr>
        <w:t>。</w:t>
      </w:r>
    </w:p>
  </w:footnote>
  <w:footnote w:id="45">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目前在国家法律医学和法医学研究所的科学研究中心进行登记的与这一课题有关的研究项目如下：</w:t>
      </w:r>
      <w:r>
        <w:rPr>
          <w:szCs w:val="18"/>
          <w:lang w:val="zh-CN"/>
        </w:rPr>
        <w:t>(a)</w:t>
      </w:r>
      <w:r>
        <w:rPr>
          <w:rFonts w:hint="eastAsia"/>
          <w:szCs w:val="18"/>
          <w:lang w:val="zh-CN"/>
        </w:rPr>
        <w:t xml:space="preserve"> </w:t>
      </w:r>
      <w:r>
        <w:rPr>
          <w:rFonts w:hAnsi="SimSun" w:hint="eastAsia"/>
          <w:szCs w:val="18"/>
          <w:lang w:val="zh-CN"/>
        </w:rPr>
        <w:t>试点项目，目的是实现无暴力，加强人员培训和机构培训，从社会文化信仰合法化的角度实现对伴侣间暴力行为的受害妇女提供全面关爱。波哥大，</w:t>
      </w:r>
      <w:r>
        <w:rPr>
          <w:szCs w:val="18"/>
          <w:lang w:val="zh-CN"/>
        </w:rPr>
        <w:t>2009</w:t>
      </w:r>
      <w:r>
        <w:rPr>
          <w:rFonts w:hAnsi="SimSun" w:hint="eastAsia"/>
          <w:szCs w:val="18"/>
          <w:lang w:val="zh-CN"/>
        </w:rPr>
        <w:t>年；</w:t>
      </w:r>
      <w:r>
        <w:rPr>
          <w:szCs w:val="18"/>
          <w:lang w:val="zh-CN"/>
        </w:rPr>
        <w:t>(b)</w:t>
      </w:r>
      <w:r>
        <w:rPr>
          <w:rFonts w:hint="eastAsia"/>
          <w:szCs w:val="18"/>
          <w:lang w:val="zh-CN"/>
        </w:rPr>
        <w:t xml:space="preserve"> </w:t>
      </w:r>
      <w:r>
        <w:rPr>
          <w:rFonts w:hAnsi="SimSun" w:hint="eastAsia"/>
          <w:szCs w:val="18"/>
          <w:lang w:val="zh-CN"/>
        </w:rPr>
        <w:t>近五十年来在哥伦比亚卡利市办理的性犯罪案件历史：医疗</w:t>
      </w:r>
      <w:r>
        <w:rPr>
          <w:szCs w:val="18"/>
          <w:lang w:val="zh-CN"/>
        </w:rPr>
        <w:t>-</w:t>
      </w:r>
      <w:r>
        <w:rPr>
          <w:rFonts w:hAnsi="SimSun" w:hint="eastAsia"/>
          <w:szCs w:val="18"/>
          <w:lang w:val="zh-CN"/>
        </w:rPr>
        <w:t>法律服务所涉及案件的一项特征：</w:t>
      </w:r>
      <w:r>
        <w:rPr>
          <w:szCs w:val="18"/>
          <w:lang w:val="zh-CN"/>
        </w:rPr>
        <w:t>1959-2009</w:t>
      </w:r>
      <w:r>
        <w:rPr>
          <w:rFonts w:hAnsi="SimSun" w:hint="eastAsia"/>
          <w:szCs w:val="18"/>
          <w:lang w:val="zh-CN"/>
        </w:rPr>
        <w:t>年，卡利市；</w:t>
      </w:r>
      <w:r>
        <w:rPr>
          <w:szCs w:val="18"/>
          <w:lang w:val="zh-CN"/>
        </w:rPr>
        <w:t>(c)</w:t>
      </w:r>
      <w:r>
        <w:rPr>
          <w:rFonts w:hint="eastAsia"/>
          <w:szCs w:val="18"/>
          <w:lang w:val="zh-CN"/>
        </w:rPr>
        <w:t xml:space="preserve"> </w:t>
      </w:r>
      <w:r>
        <w:rPr>
          <w:rFonts w:hAnsi="SimSun" w:hint="eastAsia"/>
          <w:szCs w:val="18"/>
          <w:lang w:val="zh-CN"/>
        </w:rPr>
        <w:t>构架法律医学和法医学研究所报告的涉嫌性犯罪案件的结构，麦德林市，</w:t>
      </w:r>
      <w:r>
        <w:rPr>
          <w:szCs w:val="18"/>
          <w:lang w:val="zh-CN"/>
        </w:rPr>
        <w:t>2004-2008</w:t>
      </w:r>
      <w:r>
        <w:rPr>
          <w:rFonts w:hAnsi="SimSun" w:hint="eastAsia"/>
          <w:szCs w:val="18"/>
          <w:lang w:val="zh-CN"/>
        </w:rPr>
        <w:t>年；</w:t>
      </w:r>
      <w:r>
        <w:rPr>
          <w:szCs w:val="18"/>
          <w:lang w:val="zh-CN"/>
        </w:rPr>
        <w:t>(d)</w:t>
      </w:r>
      <w:r>
        <w:rPr>
          <w:rFonts w:hint="eastAsia"/>
          <w:szCs w:val="18"/>
          <w:lang w:val="zh-CN"/>
        </w:rPr>
        <w:t xml:space="preserve"> </w:t>
      </w:r>
      <w:r>
        <w:rPr>
          <w:szCs w:val="18"/>
          <w:lang w:val="zh-CN"/>
        </w:rPr>
        <w:t>1997-2003</w:t>
      </w:r>
      <w:r>
        <w:rPr>
          <w:rFonts w:hAnsi="SimSun" w:hint="eastAsia"/>
          <w:szCs w:val="18"/>
          <w:lang w:val="zh-CN"/>
        </w:rPr>
        <w:t>年期间在大屠杀中对妇女实施的性侵害；</w:t>
      </w:r>
      <w:r>
        <w:rPr>
          <w:szCs w:val="18"/>
          <w:lang w:val="zh-CN"/>
        </w:rPr>
        <w:t>(e)</w:t>
      </w:r>
      <w:r>
        <w:rPr>
          <w:rFonts w:hint="eastAsia"/>
          <w:szCs w:val="18"/>
          <w:lang w:val="zh-CN"/>
        </w:rPr>
        <w:t xml:space="preserve"> </w:t>
      </w:r>
      <w:r>
        <w:rPr>
          <w:rFonts w:hAnsi="SimSun" w:hint="eastAsia"/>
          <w:szCs w:val="18"/>
          <w:lang w:val="zh-CN"/>
        </w:rPr>
        <w:t>国家法律医学和法医学研究所救助的性暴力事件所涉及的对受害者的胁迫战略，布卡拉曼加市，</w:t>
      </w:r>
      <w:r>
        <w:rPr>
          <w:szCs w:val="18"/>
          <w:lang w:val="zh-CN"/>
        </w:rPr>
        <w:t>2007-2008</w:t>
      </w:r>
      <w:r>
        <w:rPr>
          <w:rFonts w:hAnsi="SimSun" w:hint="eastAsia"/>
          <w:szCs w:val="18"/>
          <w:lang w:val="zh-CN"/>
        </w:rPr>
        <w:t>年；</w:t>
      </w:r>
      <w:r>
        <w:rPr>
          <w:szCs w:val="18"/>
          <w:lang w:val="zh-CN"/>
        </w:rPr>
        <w:t>(f)</w:t>
      </w:r>
      <w:r>
        <w:rPr>
          <w:rFonts w:hint="eastAsia"/>
          <w:szCs w:val="18"/>
          <w:lang w:val="zh-CN"/>
        </w:rPr>
        <w:t xml:space="preserve"> </w:t>
      </w:r>
      <w:r>
        <w:rPr>
          <w:rFonts w:hAnsi="SimSun" w:hint="eastAsia"/>
          <w:szCs w:val="18"/>
          <w:lang w:val="zh-CN"/>
        </w:rPr>
        <w:t>针对性犯罪案件进行流行病学和犯罪学监测的协议；</w:t>
      </w:r>
      <w:r>
        <w:rPr>
          <w:szCs w:val="18"/>
          <w:lang w:val="zh-CN"/>
        </w:rPr>
        <w:t>(g)</w:t>
      </w:r>
      <w:r>
        <w:rPr>
          <w:rFonts w:hint="eastAsia"/>
          <w:szCs w:val="18"/>
          <w:lang w:val="zh-CN"/>
        </w:rPr>
        <w:t xml:space="preserve"> </w:t>
      </w:r>
      <w:r>
        <w:rPr>
          <w:rFonts w:hAnsi="SimSun" w:hint="eastAsia"/>
          <w:szCs w:val="18"/>
          <w:lang w:val="zh-CN"/>
        </w:rPr>
        <w:t>在性犯罪案件中面颌系统</w:t>
      </w:r>
      <w:r>
        <w:rPr>
          <w:szCs w:val="18"/>
          <w:lang w:val="zh-CN"/>
        </w:rPr>
        <w:t>Y</w:t>
      </w:r>
      <w:r>
        <w:rPr>
          <w:rFonts w:hAnsi="SimSun" w:hint="eastAsia"/>
          <w:szCs w:val="18"/>
          <w:lang w:val="zh-CN"/>
        </w:rPr>
        <w:t>性特征轨迹，其中以在</w:t>
      </w:r>
      <w:r>
        <w:rPr>
          <w:szCs w:val="18"/>
          <w:lang w:val="zh-CN"/>
        </w:rPr>
        <w:t>10-19</w:t>
      </w:r>
      <w:r>
        <w:rPr>
          <w:rFonts w:hAnsi="SimSun" w:hint="eastAsia"/>
          <w:szCs w:val="18"/>
          <w:lang w:val="zh-CN"/>
        </w:rPr>
        <w:t>岁青年人的性犯罪案件中最为典型，</w:t>
      </w:r>
      <w:r>
        <w:rPr>
          <w:szCs w:val="18"/>
          <w:lang w:val="zh-CN"/>
        </w:rPr>
        <w:t>2001-2003</w:t>
      </w:r>
      <w:r>
        <w:rPr>
          <w:rFonts w:hAnsi="SimSun" w:hint="eastAsia"/>
          <w:szCs w:val="18"/>
          <w:lang w:val="zh-CN"/>
        </w:rPr>
        <w:t>年，卡利市；</w:t>
      </w:r>
      <w:r>
        <w:rPr>
          <w:szCs w:val="18"/>
          <w:lang w:val="zh-CN"/>
        </w:rPr>
        <w:t>(h)</w:t>
      </w:r>
      <w:r>
        <w:rPr>
          <w:rFonts w:hint="eastAsia"/>
          <w:szCs w:val="18"/>
          <w:lang w:val="zh-CN"/>
        </w:rPr>
        <w:t xml:space="preserve"> </w:t>
      </w:r>
      <w:r>
        <w:rPr>
          <w:rFonts w:hAnsi="SimSun" w:hint="eastAsia"/>
          <w:szCs w:val="18"/>
          <w:lang w:val="zh-CN"/>
        </w:rPr>
        <w:t>在西北地区综合打击性犯罪事件议定书。落实遗传基因学分析程序以便开展与性犯罪有关的取样调查工作。</w:t>
      </w:r>
      <w:hyperlink r:id="rId5" w:history="1">
        <w:r>
          <w:rPr>
            <w:rStyle w:val="Hyperlink"/>
            <w:color w:val="auto"/>
            <w:szCs w:val="18"/>
            <w:u w:val="none"/>
            <w:lang w:val="es-ES_tradnl"/>
          </w:rPr>
          <w:t>www.medicinalegal.gov.co</w:t>
        </w:r>
      </w:hyperlink>
    </w:p>
  </w:footnote>
  <w:footnote w:id="46">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在这一框架内，还开展了以下对卡塔赫纳市、帕斯托市和卡利市巡回法院的刑事法官和家庭事务法官在</w:t>
      </w:r>
      <w:r>
        <w:rPr>
          <w:szCs w:val="18"/>
          <w:lang w:val="zh-CN"/>
        </w:rPr>
        <w:t>2005-2009</w:t>
      </w:r>
      <w:r>
        <w:rPr>
          <w:rFonts w:hAnsi="SimSun" w:hint="eastAsia"/>
          <w:szCs w:val="18"/>
          <w:lang w:val="zh-CN"/>
        </w:rPr>
        <w:t>年这一时期所作的判决的研究和后续跟踪，目的是确定上述法官针对家庭内部的暴力侵害妇女问题所遵行的司法方针，并将其作为今后开展工作的参照样本。并分别从这三个城市和司法辖区中选取了一个典型案例进行了研究。</w:t>
      </w:r>
    </w:p>
  </w:footnote>
  <w:footnote w:id="47">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该文件是由罗萨里奥大学与两性问题观察站联合编制的，在编制过程中得到了打击性别暴力综合方案组（联合国妇女署；人口基金；国际移民组织）的支持，目前是最终工作得到的草案版本。</w:t>
      </w:r>
    </w:p>
  </w:footnote>
  <w:footnote w:id="48">
    <w:p w:rsidR="00A83775" w:rsidRDefault="00A83775">
      <w:pPr>
        <w:pStyle w:val="FootnoteText"/>
        <w:widowControl w:val="0"/>
        <w:tabs>
          <w:tab w:val="clear" w:pos="1021"/>
          <w:tab w:val="right" w:pos="1020"/>
        </w:tabs>
        <w:rPr>
          <w:rFonts w:hint="eastAsia"/>
          <w:szCs w:val="18"/>
          <w:lang w:val="es-ES_tradnl"/>
        </w:rPr>
      </w:pPr>
      <w:r>
        <w:rPr>
          <w:szCs w:val="18"/>
          <w:lang w:val="es-ES_tradnl"/>
        </w:rPr>
        <w:tab/>
      </w:r>
      <w:r>
        <w:rPr>
          <w:rStyle w:val="FootnoteReference"/>
          <w:szCs w:val="18"/>
        </w:rPr>
        <w:footnoteRef/>
      </w:r>
      <w:r>
        <w:rPr>
          <w:szCs w:val="18"/>
          <w:lang w:val="es-ES_tradnl"/>
        </w:rPr>
        <w:tab/>
      </w:r>
      <w:r>
        <w:rPr>
          <w:rFonts w:hAnsi="SimSun" w:hint="eastAsia"/>
          <w:szCs w:val="18"/>
          <w:lang w:val="zh-CN"/>
        </w:rPr>
        <w:t>参见两性问题观察站的公报信息</w:t>
      </w:r>
      <w:r>
        <w:rPr>
          <w:rFonts w:hAnsi="SimSun" w:hint="eastAsia"/>
          <w:szCs w:val="18"/>
          <w:lang w:val="es-ES_tradnl"/>
        </w:rPr>
        <w:t>：</w:t>
      </w:r>
      <w:r>
        <w:rPr>
          <w:szCs w:val="18"/>
          <w:lang w:val="es-ES_tradnl"/>
        </w:rPr>
        <w:t>(a)</w:t>
      </w:r>
      <w:r>
        <w:rPr>
          <w:rFonts w:hint="eastAsia"/>
          <w:szCs w:val="18"/>
          <w:lang w:val="es-ES_tradnl"/>
        </w:rPr>
        <w:t xml:space="preserve"> </w:t>
      </w:r>
      <w:r>
        <w:rPr>
          <w:rFonts w:hAnsi="SimSun" w:hint="eastAsia"/>
          <w:szCs w:val="18"/>
          <w:lang w:val="zh-CN"/>
        </w:rPr>
        <w:t>宪法法院针对妇女权利事务的行动</w:t>
      </w:r>
      <w:r>
        <w:rPr>
          <w:rFonts w:hAnsi="SimSun" w:hint="eastAsia"/>
          <w:szCs w:val="18"/>
          <w:lang w:val="es-ES_tradnl"/>
        </w:rPr>
        <w:t>；</w:t>
      </w:r>
      <w:r>
        <w:rPr>
          <w:rFonts w:hAnsi="SimSun" w:hint="eastAsia"/>
          <w:szCs w:val="18"/>
          <w:lang w:val="zh-CN"/>
        </w:rPr>
        <w:t>及</w:t>
      </w:r>
      <w:r>
        <w:rPr>
          <w:szCs w:val="18"/>
          <w:lang w:val="es-ES_tradnl"/>
        </w:rPr>
        <w:t>(b)</w:t>
      </w:r>
      <w:r>
        <w:rPr>
          <w:rFonts w:hint="eastAsia"/>
          <w:szCs w:val="18"/>
          <w:lang w:val="es-ES_tradnl"/>
        </w:rPr>
        <w:t xml:space="preserve"> </w:t>
      </w:r>
      <w:r>
        <w:rPr>
          <w:rFonts w:hAnsi="SimSun" w:hint="eastAsia"/>
          <w:szCs w:val="18"/>
          <w:lang w:val="zh-CN"/>
        </w:rPr>
        <w:t>哥伦比亚政府针对暴力侵害妇女行为所开展的行动。</w:t>
      </w:r>
      <w:r>
        <w:rPr>
          <w:szCs w:val="18"/>
          <w:lang w:val="es-MX"/>
        </w:rPr>
        <w:t>equidad.presidencia.gov.co/Es/AG/aginas/</w:t>
      </w:r>
      <w:r>
        <w:rPr>
          <w:rFonts w:hint="eastAsia"/>
          <w:szCs w:val="18"/>
          <w:lang w:val="es-MX"/>
        </w:rPr>
        <w:t xml:space="preserve"> </w:t>
      </w:r>
      <w:r>
        <w:rPr>
          <w:szCs w:val="18"/>
          <w:lang w:val="es-MX"/>
        </w:rPr>
        <w:t>Boletines.aspx</w:t>
      </w:r>
      <w:r>
        <w:rPr>
          <w:rFonts w:hint="eastAsia"/>
          <w:szCs w:val="18"/>
          <w:lang w:val="es-MX"/>
        </w:rPr>
        <w:t>。</w:t>
      </w:r>
    </w:p>
  </w:footnote>
  <w:footnote w:id="49">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负责主管捍卫和增进人权、保护公共利益、监督公职人员行为等事务的职能机关。</w:t>
      </w:r>
    </w:p>
  </w:footnote>
  <w:footnote w:id="50">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国家总检察长办公室向职能部门下达意见建议和指导方针，要求其落实法律规定，在必要时出台相应规定，以保障权利，并明确了各部门的相应职权以及对违纪部门和人员的惩治办法。</w:t>
      </w:r>
    </w:p>
  </w:footnote>
  <w:footnote w:id="51">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最高司法法院上诉庭，诉讼号为</w:t>
      </w:r>
      <w:r>
        <w:rPr>
          <w:szCs w:val="18"/>
          <w:lang w:val="zh-CN"/>
        </w:rPr>
        <w:t>9401</w:t>
      </w:r>
      <w:r>
        <w:rPr>
          <w:rFonts w:hAnsi="SimSun" w:hint="eastAsia"/>
          <w:szCs w:val="18"/>
          <w:lang w:val="zh-CN"/>
        </w:rPr>
        <w:t>，</w:t>
      </w:r>
      <w:smartTag w:uri="urn:schemas-microsoft-com:office:smarttags" w:element="chsdate">
        <w:smartTagPr>
          <w:attr w:name="Year" w:val="1996"/>
          <w:attr w:name="Month" w:val="5"/>
          <w:attr w:name="Day" w:val="8"/>
          <w:attr w:name="IsLunarDate" w:val="False"/>
          <w:attr w:name="IsROCDate" w:val="False"/>
        </w:smartTagPr>
        <w:r>
          <w:rPr>
            <w:szCs w:val="18"/>
            <w:lang w:val="zh-CN"/>
          </w:rPr>
          <w:t>1996</w:t>
        </w:r>
        <w:r>
          <w:rPr>
            <w:rFonts w:hAnsi="SimSun" w:hint="eastAsia"/>
            <w:szCs w:val="18"/>
            <w:lang w:val="zh-CN"/>
          </w:rPr>
          <w:t>年</w:t>
        </w:r>
        <w:r>
          <w:rPr>
            <w:szCs w:val="18"/>
            <w:lang w:val="zh-CN"/>
          </w:rPr>
          <w:t>5</w:t>
        </w:r>
        <w:r>
          <w:rPr>
            <w:rFonts w:hAnsi="SimSun" w:hint="eastAsia"/>
            <w:szCs w:val="18"/>
            <w:lang w:val="zh-CN"/>
          </w:rPr>
          <w:t>月</w:t>
        </w:r>
        <w:r>
          <w:rPr>
            <w:szCs w:val="18"/>
            <w:lang w:val="zh-CN"/>
          </w:rPr>
          <w:t>8</w:t>
        </w:r>
        <w:r>
          <w:rPr>
            <w:rFonts w:hAnsi="SimSun" w:hint="eastAsia"/>
            <w:szCs w:val="18"/>
            <w:lang w:val="zh-CN"/>
          </w:rPr>
          <w:t>日</w:t>
        </w:r>
      </w:smartTag>
      <w:r>
        <w:rPr>
          <w:rFonts w:hAnsi="SimSun" w:hint="eastAsia"/>
          <w:szCs w:val="18"/>
          <w:lang w:val="zh-CN"/>
        </w:rPr>
        <w:t>，主审大法官：费尔南多</w:t>
      </w:r>
      <w:r>
        <w:rPr>
          <w:rFonts w:hint="eastAsia"/>
          <w:szCs w:val="18"/>
          <w:lang w:val="zh-CN"/>
        </w:rPr>
        <w:t>·</w:t>
      </w:r>
      <w:r>
        <w:rPr>
          <w:rFonts w:hAnsi="SimSun" w:hint="eastAsia"/>
          <w:szCs w:val="18"/>
          <w:lang w:val="zh-CN"/>
        </w:rPr>
        <w:t>阿尔伯莱达</w:t>
      </w:r>
      <w:r>
        <w:rPr>
          <w:rFonts w:hint="eastAsia"/>
          <w:szCs w:val="18"/>
          <w:lang w:val="zh-CN"/>
        </w:rPr>
        <w:t>·</w:t>
      </w:r>
      <w:r>
        <w:rPr>
          <w:rFonts w:hAnsi="SimSun" w:hint="eastAsia"/>
          <w:szCs w:val="18"/>
          <w:lang w:val="zh-CN"/>
        </w:rPr>
        <w:t>利波尔。</w:t>
      </w:r>
    </w:p>
  </w:footnote>
  <w:footnote w:id="52">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这一程序包括：</w:t>
      </w:r>
      <w:r>
        <w:rPr>
          <w:szCs w:val="18"/>
          <w:lang w:val="es-ES_tradnl"/>
        </w:rPr>
        <w:t>(</w:t>
      </w:r>
      <w:r>
        <w:rPr>
          <w:szCs w:val="18"/>
          <w:lang w:val="zh-CN"/>
        </w:rPr>
        <w:t>a)</w:t>
      </w:r>
      <w:r>
        <w:rPr>
          <w:szCs w:val="18"/>
        </w:rPr>
        <w:t xml:space="preserve"> </w:t>
      </w:r>
      <w:r>
        <w:rPr>
          <w:rFonts w:hAnsi="SimSun" w:hint="eastAsia"/>
          <w:szCs w:val="18"/>
          <w:lang w:val="zh-CN"/>
        </w:rPr>
        <w:t>各项国际文书以及在政府官员参加的政府间妇女事务政策论坛等场合中提出的与暴力侵害妇女行为有关的指标进行确定（已开展）；</w:t>
      </w:r>
      <w:r>
        <w:rPr>
          <w:szCs w:val="18"/>
          <w:lang w:val="es-ES_tradnl"/>
        </w:rPr>
        <w:t>(</w:t>
      </w:r>
      <w:r>
        <w:rPr>
          <w:szCs w:val="18"/>
          <w:lang w:val="zh-CN"/>
        </w:rPr>
        <w:t>b)</w:t>
      </w:r>
      <w:r>
        <w:rPr>
          <w:szCs w:val="18"/>
        </w:rPr>
        <w:t xml:space="preserve"> </w:t>
      </w:r>
      <w:r>
        <w:rPr>
          <w:rFonts w:hAnsi="SimSun" w:hint="eastAsia"/>
          <w:szCs w:val="18"/>
          <w:lang w:val="zh-CN"/>
        </w:rPr>
        <w:t>各项国际指标和哥伦比亚国内指标进行比较分析（正在进行中）；</w:t>
      </w:r>
      <w:r>
        <w:rPr>
          <w:szCs w:val="18"/>
          <w:lang w:val="es-ES_tradnl"/>
        </w:rPr>
        <w:t>(</w:t>
      </w:r>
      <w:r>
        <w:rPr>
          <w:szCs w:val="18"/>
          <w:lang w:val="zh-CN"/>
        </w:rPr>
        <w:t>c)</w:t>
      </w:r>
      <w:r>
        <w:rPr>
          <w:szCs w:val="18"/>
        </w:rPr>
        <w:t xml:space="preserve"> </w:t>
      </w:r>
      <w:r>
        <w:rPr>
          <w:rFonts w:hAnsi="SimSun" w:hint="eastAsia"/>
          <w:szCs w:val="18"/>
          <w:lang w:val="zh-CN"/>
        </w:rPr>
        <w:t>对各职能机关提出意见建议和规定，例证将性别变量纳入到已经确定的指标中（正在进行中）；</w:t>
      </w:r>
      <w:r>
        <w:rPr>
          <w:szCs w:val="18"/>
          <w:lang w:val="es-ES_tradnl"/>
        </w:rPr>
        <w:t>(</w:t>
      </w:r>
      <w:r>
        <w:rPr>
          <w:szCs w:val="18"/>
          <w:lang w:val="zh-CN"/>
        </w:rPr>
        <w:t>d)</w:t>
      </w:r>
      <w:r>
        <w:rPr>
          <w:szCs w:val="18"/>
        </w:rPr>
        <w:t xml:space="preserve"> </w:t>
      </w:r>
      <w:r>
        <w:rPr>
          <w:rFonts w:hAnsi="SimSun" w:hint="eastAsia"/>
          <w:szCs w:val="18"/>
          <w:lang w:val="zh-CN"/>
        </w:rPr>
        <w:t>期对关联信息进行汇集整理（持续开展的工作）；及</w:t>
      </w:r>
      <w:r>
        <w:rPr>
          <w:szCs w:val="18"/>
          <w:lang w:val="es-ES_tradnl"/>
        </w:rPr>
        <w:t>(</w:t>
      </w:r>
      <w:r>
        <w:rPr>
          <w:szCs w:val="18"/>
          <w:lang w:val="zh-CN"/>
        </w:rPr>
        <w:t>e)</w:t>
      </w:r>
      <w:r>
        <w:rPr>
          <w:szCs w:val="18"/>
        </w:rPr>
        <w:t xml:space="preserve"> </w:t>
      </w:r>
      <w:r>
        <w:rPr>
          <w:rFonts w:hAnsi="SimSun" w:hint="eastAsia"/>
          <w:szCs w:val="18"/>
          <w:lang w:val="zh-CN"/>
        </w:rPr>
        <w:t>讲座、论坛、报告、公报及其他媒体上对信息进行宣传（持续开展的工作）。</w:t>
      </w:r>
    </w:p>
  </w:footnote>
  <w:footnote w:id="53">
    <w:p w:rsidR="00A83775" w:rsidRDefault="00A83775">
      <w:pPr>
        <w:pStyle w:val="FootnoteText"/>
        <w:widowControl w:val="0"/>
        <w:tabs>
          <w:tab w:val="clear" w:pos="1021"/>
          <w:tab w:val="right" w:pos="1020"/>
        </w:tabs>
        <w:rPr>
          <w:rFonts w:hint="eastAsia"/>
          <w:szCs w:val="18"/>
          <w:lang w:val="es-ES_tradnl"/>
        </w:rPr>
      </w:pPr>
      <w:r>
        <w:rPr>
          <w:szCs w:val="18"/>
          <w:lang w:val="es-ES_tradnl"/>
        </w:rPr>
        <w:tab/>
      </w:r>
      <w:r>
        <w:rPr>
          <w:rStyle w:val="FootnoteReference"/>
          <w:szCs w:val="18"/>
        </w:rPr>
        <w:footnoteRef/>
      </w:r>
      <w:r>
        <w:rPr>
          <w:szCs w:val="18"/>
          <w:lang w:val="es-ES_tradnl"/>
        </w:rPr>
        <w:tab/>
      </w:r>
      <w:r>
        <w:rPr>
          <w:rFonts w:hAnsi="SimSun" w:hint="eastAsia"/>
          <w:szCs w:val="18"/>
          <w:lang w:val="zh-CN"/>
        </w:rPr>
        <w:t>参与</w:t>
      </w:r>
      <w:hyperlink r:id="rId6" w:history="1">
        <w:r>
          <w:rPr>
            <w:rStyle w:val="Hyperlink"/>
            <w:color w:val="auto"/>
            <w:szCs w:val="18"/>
            <w:u w:val="none"/>
            <w:lang w:val="es-ES_tradnl"/>
          </w:rPr>
          <w:t>www.medicinalegal.gov.co</w:t>
        </w:r>
      </w:hyperlink>
      <w:r>
        <w:rPr>
          <w:rFonts w:hAnsi="SimSun" w:hint="eastAsia"/>
          <w:szCs w:val="18"/>
          <w:lang w:val="es-ES_tradnl"/>
        </w:rPr>
        <w:t>。</w:t>
      </w:r>
    </w:p>
  </w:footnote>
  <w:footnote w:id="54">
    <w:p w:rsidR="00A83775" w:rsidRDefault="00A83775">
      <w:pPr>
        <w:pStyle w:val="FootnoteText"/>
        <w:widowControl w:val="0"/>
        <w:tabs>
          <w:tab w:val="clear" w:pos="1021"/>
          <w:tab w:val="right" w:pos="1020"/>
        </w:tabs>
        <w:rPr>
          <w:rFonts w:hint="eastAsia"/>
          <w:szCs w:val="18"/>
          <w:lang w:val="es-ES_tradnl"/>
        </w:rPr>
      </w:pPr>
      <w:r>
        <w:rPr>
          <w:szCs w:val="18"/>
          <w:lang w:val="es-ES_tradnl"/>
        </w:rPr>
        <w:tab/>
      </w:r>
      <w:r>
        <w:rPr>
          <w:rStyle w:val="FootnoteReference"/>
          <w:szCs w:val="18"/>
        </w:rPr>
        <w:footnoteRef/>
      </w:r>
      <w:r>
        <w:rPr>
          <w:szCs w:val="18"/>
          <w:lang w:val="es-ES_tradnl"/>
        </w:rPr>
        <w:tab/>
      </w:r>
      <w:r>
        <w:rPr>
          <w:rFonts w:hAnsi="SimSun" w:hint="eastAsia"/>
          <w:szCs w:val="18"/>
          <w:lang w:val="zh-CN"/>
        </w:rPr>
        <w:t>请参见</w:t>
      </w:r>
      <w:hyperlink r:id="rId7" w:history="1">
        <w:r>
          <w:rPr>
            <w:rStyle w:val="Hyperlink"/>
            <w:color w:val="auto"/>
            <w:szCs w:val="18"/>
            <w:u w:val="none"/>
            <w:lang w:val="es-ES_tradnl"/>
          </w:rPr>
          <w:t>www.medicinalegal.gov.co/index.php?option=com_wrapper&amp;view=wrapper&amp;Itemid=60</w:t>
        </w:r>
      </w:hyperlink>
      <w:r>
        <w:rPr>
          <w:rFonts w:hAnsi="SimSun" w:hint="eastAsia"/>
          <w:szCs w:val="18"/>
          <w:lang w:val="fr-FR"/>
        </w:rPr>
        <w:t>。</w:t>
      </w:r>
    </w:p>
  </w:footnote>
  <w:footnote w:id="55">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国家法律医学和法医学研究所向全国的司法机关提供协助、技术支持和科学支持。研究所对其掌握的数据进行登记和管理，并将之作为一项有效工作，用于对性别暴力进行判定和跟踪监督。登记数据所涉及的参照人口为所有举报暴力案件的人员。</w:t>
      </w:r>
    </w:p>
  </w:footnote>
  <w:footnote w:id="56">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涉及以下犯罪：凶杀罪；一般性伤害罪；家庭内暴力；人口贩运；性犯罪；强迫失踪；性别暴力总比重；对成年女性实施的家庭暴力比重；对未成年人实施的暴力的总比重以及各类暴力诱发原因。</w:t>
      </w:r>
    </w:p>
  </w:footnote>
  <w:footnote w:id="57">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涉及以下犯罪：肉体交易；性行为；淫媒交易；强迫失踪；强迫驱逐；协助卖淫；凶杀；诱导卖淫；人身伤害；通过限制人身自由实施的虐待；与未成年人进行色情活动；非法征兵；绑架；酷刑；人口贩运；侵犯劳动自由；家庭内暴力，等等。</w:t>
      </w:r>
    </w:p>
  </w:footnote>
  <w:footnote w:id="58">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国家统计局负责这一进程的领导工作，在</w:t>
      </w:r>
      <w:r>
        <w:rPr>
          <w:szCs w:val="18"/>
          <w:lang w:val="zh-CN"/>
        </w:rPr>
        <w:t>2009</w:t>
      </w:r>
      <w:r>
        <w:rPr>
          <w:rFonts w:hAnsi="SimSun" w:hint="eastAsia"/>
          <w:szCs w:val="18"/>
          <w:lang w:val="zh-CN"/>
        </w:rPr>
        <w:t>年</w:t>
      </w:r>
      <w:r>
        <w:rPr>
          <w:szCs w:val="18"/>
          <w:lang w:val="zh-CN"/>
        </w:rPr>
        <w:t>8</w:t>
      </w:r>
      <w:r>
        <w:rPr>
          <w:rFonts w:hAnsi="SimSun" w:hint="eastAsia"/>
          <w:szCs w:val="18"/>
          <w:lang w:val="zh-CN"/>
        </w:rPr>
        <w:t>月至</w:t>
      </w:r>
      <w:r>
        <w:rPr>
          <w:szCs w:val="18"/>
          <w:lang w:val="zh-CN"/>
        </w:rPr>
        <w:t>11</w:t>
      </w:r>
      <w:r>
        <w:rPr>
          <w:rFonts w:hAnsi="SimSun" w:hint="eastAsia"/>
          <w:szCs w:val="18"/>
          <w:lang w:val="zh-CN"/>
        </w:rPr>
        <w:t>月期间开办了</w:t>
      </w:r>
      <w:r>
        <w:rPr>
          <w:szCs w:val="18"/>
          <w:lang w:val="zh-CN"/>
        </w:rPr>
        <w:t>8</w:t>
      </w:r>
      <w:r>
        <w:rPr>
          <w:rFonts w:hAnsi="SimSun" w:hint="eastAsia"/>
          <w:szCs w:val="18"/>
          <w:lang w:val="zh-CN"/>
        </w:rPr>
        <w:t>期研讨会。参与这些活动的机构有：国家总检察署；法医学会；国家总检察长办公室；公民权利监察员办公室；最高司法委员会；安全保障部门；社会保障部；国家卫生局；国家统计局；国家计划部；哥伦比亚家庭福利研究所；社会行动署；国家赔偿与和解委员会；妇女平等事务总统高级顾问办公室；武装部队和国家警察。</w:t>
      </w:r>
    </w:p>
  </w:footnote>
  <w:footnote w:id="59">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szCs w:val="18"/>
          <w:lang w:val="zh-CN"/>
        </w:rPr>
        <w:t>2010</w:t>
      </w:r>
      <w:r>
        <w:rPr>
          <w:rFonts w:hAnsi="SimSun" w:hint="eastAsia"/>
          <w:szCs w:val="18"/>
          <w:lang w:val="zh-CN"/>
        </w:rPr>
        <w:t>年的全国人口和卫生普查的调查对象为</w:t>
      </w:r>
      <w:r>
        <w:rPr>
          <w:szCs w:val="18"/>
          <w:lang w:val="zh-CN"/>
        </w:rPr>
        <w:t>53</w:t>
      </w:r>
      <w:r>
        <w:rPr>
          <w:szCs w:val="18"/>
        </w:rPr>
        <w:t>,</w:t>
      </w:r>
      <w:r>
        <w:rPr>
          <w:szCs w:val="18"/>
          <w:lang w:val="zh-CN"/>
        </w:rPr>
        <w:t>521</w:t>
      </w:r>
      <w:r>
        <w:rPr>
          <w:rFonts w:hAnsi="SimSun" w:hint="eastAsia"/>
          <w:szCs w:val="18"/>
          <w:lang w:val="zh-CN"/>
        </w:rPr>
        <w:t>名育龄妇女（</w:t>
      </w:r>
      <w:r>
        <w:rPr>
          <w:szCs w:val="18"/>
          <w:lang w:val="zh-CN"/>
        </w:rPr>
        <w:t>13-49</w:t>
      </w:r>
      <w:r>
        <w:rPr>
          <w:rFonts w:hAnsi="SimSun" w:hint="eastAsia"/>
          <w:szCs w:val="18"/>
          <w:lang w:val="zh-CN"/>
        </w:rPr>
        <w:t>岁），受访比例为</w:t>
      </w:r>
      <w:r>
        <w:rPr>
          <w:szCs w:val="18"/>
          <w:lang w:val="zh-CN"/>
        </w:rPr>
        <w:t>94%</w:t>
      </w:r>
      <w:r>
        <w:rPr>
          <w:rFonts w:hAnsi="SimSun" w:hint="eastAsia"/>
          <w:szCs w:val="18"/>
          <w:lang w:val="zh-CN"/>
        </w:rPr>
        <w:t>。普查提供了一份具有全国代表性的情况样本，这具有重要意义，因为这种做法有助于获得准确信息，了解对妇女的暴力侵害行为的规模。</w:t>
      </w:r>
    </w:p>
  </w:footnote>
  <w:footnote w:id="60">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跟踪监测的主要指标包括：凶杀，大屠杀，杀害现任和前任市镇政府首脑、议员、工会领袖和非工会领袖、其他部门的工会成员、新闻工作者；绑架；驱逐人员，等等。</w:t>
      </w:r>
    </w:p>
  </w:footnote>
  <w:footnote w:id="61">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国家法律医学和法医学研究所向全国的司法机关提供协助、技术支持和科学支持。研究所对其掌握的数据进行登记和管理，并将之作为一项有效工作，用于对性别暴力进行判定和跟踪监督。登记数据所涉及的参照人口为所有举报暴力案件的人员。</w:t>
      </w:r>
    </w:p>
  </w:footnote>
  <w:footnote w:id="62">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lang w:val="es-ES_tradnl"/>
        </w:rPr>
        <w:tab/>
      </w:r>
      <w:r>
        <w:rPr>
          <w:szCs w:val="18"/>
          <w:lang w:val="zh-CN"/>
        </w:rPr>
        <w:t>2010</w:t>
      </w:r>
      <w:r>
        <w:rPr>
          <w:rFonts w:hAnsi="SimSun" w:hint="eastAsia"/>
          <w:szCs w:val="18"/>
          <w:lang w:val="zh-CN"/>
        </w:rPr>
        <w:t>年全国人口和卫生普查结果显示，丈夫或配偶对妇女的控制方式主要表现为以下形式：吃醋；指责妇女不忠；阻止妇女与（男女性）朋友交往；对妇女怎样花钱进行控制；坚持要知道妇女的行踪；无视妇女；等等。</w:t>
      </w:r>
    </w:p>
  </w:footnote>
  <w:footnote w:id="63">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是指以参与性方式推动实施各项必要措施，帮助消除在社会和国家各领域存在的歧视性做法，鼓励尊重、承认和主张多样性的社会做法；并确保开展落实各项政策和机制，以实现克服对因人种、性别、性别认同和性取向、年龄、残疾、社会地位和经济地位等原因在历史上受到歧视的个人和群体所遭受的实质性不平等和形式上的不平等。</w:t>
      </w:r>
    </w:p>
  </w:footnote>
  <w:footnote w:id="64">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lang w:val="es-ES_tradnl"/>
        </w:rPr>
        <w:tab/>
      </w:r>
      <w:r>
        <w:rPr>
          <w:rFonts w:hAnsi="SimSun" w:hint="eastAsia"/>
          <w:szCs w:val="18"/>
          <w:lang w:val="zh-CN"/>
        </w:rPr>
        <w:t>通过这种方式，建议在对机构当前用户的关爱模式中，应由训练有素的工作人员接待报案人，以便遵照宪法法院的规定使受害者得到符合其情况的差别化待遇。</w:t>
      </w:r>
    </w:p>
  </w:footnote>
  <w:footnote w:id="65">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lang w:val="es-ES_tradnl"/>
        </w:rPr>
        <w:tab/>
      </w:r>
      <w:r>
        <w:rPr>
          <w:rFonts w:hAnsi="SimSun" w:hint="eastAsia"/>
          <w:szCs w:val="18"/>
          <w:lang w:val="zh-CN"/>
        </w:rPr>
        <w:t>这可以理解为，应在私密性强，不面向公众开放的场所中接待此类案件的报案人。另一方面，特别值得注意的是接待报案人的工作人员应为女性，这样可以使报案人从性别上产生信任感和认同感，并可加强报案人与办案人员的相互理解。</w:t>
      </w:r>
    </w:p>
  </w:footnote>
  <w:footnote w:id="66">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smartTag w:uri="urn:schemas-microsoft-com:office:smarttags" w:element="chsdate">
        <w:smartTagPr>
          <w:attr w:name="Year" w:val="2008"/>
          <w:attr w:name="Month" w:val="11"/>
          <w:attr w:name="Day" w:val="10"/>
          <w:attr w:name="IsLunarDate" w:val="False"/>
          <w:attr w:name="IsROCDate" w:val="False"/>
        </w:smartTagPr>
        <w:r>
          <w:rPr>
            <w:szCs w:val="18"/>
            <w:lang w:val="zh-CN"/>
          </w:rPr>
          <w:t>2008</w:t>
        </w:r>
        <w:r>
          <w:rPr>
            <w:rFonts w:hAnsi="SimSun" w:hint="eastAsia"/>
            <w:szCs w:val="18"/>
            <w:lang w:val="zh-CN"/>
          </w:rPr>
          <w:t>年</w:t>
        </w:r>
        <w:r>
          <w:rPr>
            <w:szCs w:val="18"/>
            <w:lang w:val="zh-CN"/>
          </w:rPr>
          <w:t>11</w:t>
        </w:r>
        <w:r>
          <w:rPr>
            <w:rFonts w:hAnsi="SimSun" w:hint="eastAsia"/>
            <w:szCs w:val="18"/>
            <w:lang w:val="zh-CN"/>
          </w:rPr>
          <w:t>月</w:t>
        </w:r>
        <w:r>
          <w:rPr>
            <w:szCs w:val="18"/>
            <w:lang w:val="zh-CN"/>
          </w:rPr>
          <w:t>10</w:t>
        </w:r>
        <w:r>
          <w:rPr>
            <w:rFonts w:hAnsi="SimSun" w:hint="eastAsia"/>
            <w:szCs w:val="18"/>
            <w:lang w:val="zh-CN"/>
          </w:rPr>
          <w:t>日</w:t>
        </w:r>
      </w:smartTag>
      <w:r>
        <w:rPr>
          <w:rFonts w:hAnsi="SimSun" w:hint="eastAsia"/>
          <w:szCs w:val="18"/>
          <w:lang w:val="zh-CN"/>
        </w:rPr>
        <w:t>的第</w:t>
      </w:r>
      <w:r>
        <w:rPr>
          <w:szCs w:val="18"/>
          <w:lang w:val="zh-CN"/>
        </w:rPr>
        <w:t>0117</w:t>
      </w:r>
      <w:r>
        <w:rPr>
          <w:rFonts w:hAnsi="SimSun" w:hint="eastAsia"/>
          <w:szCs w:val="18"/>
          <w:lang w:val="zh-CN"/>
        </w:rPr>
        <w:t>号备忘录的一项内容就是采纳了针对性暴力案件的调查策略，强调了性犯罪的重要性，因为此类犯罪违反了国际人道主义法。</w:t>
      </w:r>
    </w:p>
  </w:footnote>
  <w:footnote w:id="67">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int="eastAsia"/>
          <w:szCs w:val="18"/>
        </w:rPr>
        <w:t>《</w:t>
      </w:r>
      <w:r>
        <w:rPr>
          <w:szCs w:val="18"/>
          <w:lang w:val="zh-CN"/>
        </w:rPr>
        <w:t>2006-2010</w:t>
      </w:r>
      <w:r>
        <w:rPr>
          <w:rFonts w:hAnsi="SimSun" w:hint="eastAsia"/>
          <w:szCs w:val="18"/>
          <w:lang w:val="zh-CN"/>
        </w:rPr>
        <w:t>年国家发展计划》（</w:t>
      </w:r>
      <w:r>
        <w:rPr>
          <w:szCs w:val="18"/>
          <w:lang w:val="zh-CN"/>
        </w:rPr>
        <w:t>2007</w:t>
      </w:r>
      <w:r>
        <w:rPr>
          <w:rFonts w:hAnsi="SimSun" w:hint="eastAsia"/>
          <w:szCs w:val="18"/>
          <w:lang w:val="zh-CN"/>
        </w:rPr>
        <w:t>年的第</w:t>
      </w:r>
      <w:r>
        <w:rPr>
          <w:szCs w:val="18"/>
          <w:lang w:val="zh-CN"/>
        </w:rPr>
        <w:t>1151</w:t>
      </w:r>
      <w:r>
        <w:rPr>
          <w:rFonts w:hAnsi="SimSun" w:hint="eastAsia"/>
          <w:szCs w:val="18"/>
          <w:lang w:val="zh-CN"/>
        </w:rPr>
        <w:t>号法）。</w:t>
      </w:r>
    </w:p>
  </w:footnote>
  <w:footnote w:id="68">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男女平等协议；将妇女有效纳入政治生活协定，劳动平等议程。</w:t>
      </w:r>
    </w:p>
  </w:footnote>
  <w:footnote w:id="69">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帮助国内家庭实现一些基本目标，使受助家庭能够摆脱贫困并改善生活条件；这些目标分为九大类：身份认同、收入和工作、教育、卫生保健、营养、居住条件、添丁加口、银行和储蓄、确保获得司法救助。</w:t>
      </w:r>
    </w:p>
  </w:footnote>
  <w:footnote w:id="70">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lang w:val="es-ES_tradnl"/>
        </w:rPr>
        <w:tab/>
      </w:r>
      <w:r>
        <w:rPr>
          <w:rFonts w:hint="eastAsia"/>
          <w:szCs w:val="18"/>
          <w:lang w:val="zh-CN"/>
        </w:rPr>
        <w:t>“</w:t>
      </w:r>
      <w:r>
        <w:rPr>
          <w:rFonts w:hAnsi="SimSun" w:hint="eastAsia"/>
          <w:szCs w:val="18"/>
          <w:lang w:val="zh-CN"/>
        </w:rPr>
        <w:t>家庭在行动</w:t>
      </w:r>
      <w:r>
        <w:rPr>
          <w:rFonts w:hint="eastAsia"/>
          <w:szCs w:val="18"/>
          <w:lang w:val="zh-CN"/>
        </w:rPr>
        <w:t>”</w:t>
      </w:r>
      <w:r>
        <w:rPr>
          <w:rFonts w:hAnsi="SimSun" w:hint="eastAsia"/>
          <w:szCs w:val="18"/>
          <w:lang w:val="zh-CN"/>
        </w:rPr>
        <w:t>方案旨在向一级贫困家庭和在流离失所人口登记处登记的流离失所家庭中的七岁以下儿童提供营养补贴，并向</w:t>
      </w:r>
      <w:r>
        <w:rPr>
          <w:szCs w:val="18"/>
          <w:lang w:val="zh-CN"/>
        </w:rPr>
        <w:t>7-18</w:t>
      </w:r>
      <w:r>
        <w:rPr>
          <w:rFonts w:hAnsi="SimSun" w:hint="eastAsia"/>
          <w:szCs w:val="18"/>
          <w:lang w:val="zh-CN"/>
        </w:rPr>
        <w:t>岁学龄儿童和青少年提供学费补贴。上述补贴旨在向家庭提供经济支持。营养补贴旨在使儿童得到营养保障，学费补贴旨在使儿童和青少年能够受教育或深造。方案直接向受益母亲提供货币补贴，前提是要求其受益家庭应承诺将补贴用于设定目的。方案确保发放</w:t>
      </w:r>
      <w:r>
        <w:rPr>
          <w:szCs w:val="18"/>
          <w:lang w:val="zh-CN"/>
        </w:rPr>
        <w:t>12</w:t>
      </w:r>
      <w:r>
        <w:rPr>
          <w:rFonts w:hAnsi="SimSun" w:hint="eastAsia"/>
          <w:szCs w:val="18"/>
          <w:lang w:val="zh-CN"/>
        </w:rPr>
        <w:t>个月的营养补贴和</w:t>
      </w:r>
      <w:r>
        <w:rPr>
          <w:szCs w:val="18"/>
          <w:lang w:val="zh-CN"/>
        </w:rPr>
        <w:t>10</w:t>
      </w:r>
      <w:r>
        <w:rPr>
          <w:rFonts w:hAnsi="SimSun" w:hint="eastAsia"/>
          <w:szCs w:val="18"/>
          <w:lang w:val="zh-CN"/>
        </w:rPr>
        <w:t>个月的学费补贴。补贴资金两月发放一次（第一阶段：</w:t>
      </w:r>
      <w:r>
        <w:rPr>
          <w:szCs w:val="18"/>
          <w:lang w:val="zh-CN"/>
        </w:rPr>
        <w:t>2002-2006</w:t>
      </w:r>
      <w:r>
        <w:rPr>
          <w:rFonts w:hAnsi="SimSun" w:hint="eastAsia"/>
          <w:szCs w:val="18"/>
          <w:lang w:val="zh-CN"/>
        </w:rPr>
        <w:t>年；第二阶段：</w:t>
      </w:r>
      <w:r>
        <w:rPr>
          <w:szCs w:val="18"/>
          <w:lang w:val="es-ES_tradnl"/>
        </w:rPr>
        <w:t>2007-2010</w:t>
      </w:r>
      <w:r>
        <w:rPr>
          <w:rFonts w:hAnsi="SimSun" w:hint="eastAsia"/>
          <w:szCs w:val="18"/>
          <w:lang w:val="es-ES_tradnl"/>
        </w:rPr>
        <w:t>年</w:t>
      </w:r>
      <w:r>
        <w:rPr>
          <w:rFonts w:hint="eastAsia"/>
          <w:szCs w:val="18"/>
          <w:lang w:val="es-ES_tradnl"/>
        </w:rPr>
        <w:t>）</w:t>
      </w:r>
      <w:r>
        <w:rPr>
          <w:rFonts w:hAnsi="SimSun" w:hint="eastAsia"/>
          <w:szCs w:val="18"/>
          <w:lang w:val="es-ES_tradnl"/>
        </w:rPr>
        <w:t>。</w:t>
      </w:r>
      <w:r>
        <w:rPr>
          <w:rFonts w:hAnsi="SimSun" w:hint="eastAsia"/>
          <w:szCs w:val="18"/>
          <w:lang w:val="zh-CN"/>
        </w:rPr>
        <w:t>在</w:t>
      </w:r>
      <w:r>
        <w:rPr>
          <w:szCs w:val="18"/>
          <w:lang w:val="zh-CN"/>
        </w:rPr>
        <w:t>2011</w:t>
      </w:r>
      <w:r>
        <w:rPr>
          <w:rFonts w:hAnsi="SimSun" w:hint="eastAsia"/>
          <w:szCs w:val="18"/>
          <w:lang w:val="zh-CN"/>
        </w:rPr>
        <w:t>年，方案已经根据国家政府针对幼儿儿童的政策实施了一项教育母亲战略，主题为儿童的早期教育和营养，并遵循当期国家发展计划中提出的方针，在国家经济和社会政策委员会关于关爱儿童政策的第</w:t>
      </w:r>
      <w:r>
        <w:rPr>
          <w:szCs w:val="18"/>
          <w:lang w:val="zh-CN"/>
        </w:rPr>
        <w:t>109</w:t>
      </w:r>
      <w:r>
        <w:rPr>
          <w:rFonts w:hAnsi="SimSun" w:hint="eastAsia"/>
          <w:szCs w:val="18"/>
          <w:lang w:val="zh-CN"/>
        </w:rPr>
        <w:t>号决议和委员会关于食品安全和营养保障的国家政策的第</w:t>
      </w:r>
      <w:r>
        <w:rPr>
          <w:szCs w:val="18"/>
          <w:lang w:val="zh-CN"/>
        </w:rPr>
        <w:t>113</w:t>
      </w:r>
      <w:r>
        <w:rPr>
          <w:rFonts w:hAnsi="SimSun" w:hint="eastAsia"/>
          <w:szCs w:val="18"/>
          <w:lang w:val="zh-CN"/>
        </w:rPr>
        <w:t>号决议。</w:t>
      </w:r>
    </w:p>
  </w:footnote>
  <w:footnote w:id="71">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社会行动署与构筑和平基金会的合作协议，通过这一协议与旨在根除极端贫困现象的社会保障网建立合作关系。</w:t>
      </w:r>
    </w:p>
  </w:footnote>
  <w:footnote w:id="72">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int="eastAsia"/>
          <w:szCs w:val="18"/>
          <w:lang w:val="zh-CN"/>
        </w:rPr>
        <w:t>“</w:t>
      </w:r>
      <w:r>
        <w:rPr>
          <w:rFonts w:hAnsi="SimSun" w:hint="eastAsia"/>
          <w:szCs w:val="18"/>
          <w:lang w:val="zh-CN"/>
        </w:rPr>
        <w:t>家庭在行动</w:t>
      </w:r>
      <w:r>
        <w:rPr>
          <w:rFonts w:hint="eastAsia"/>
          <w:szCs w:val="18"/>
          <w:lang w:val="zh-CN"/>
        </w:rPr>
        <w:t>”</w:t>
      </w:r>
      <w:r>
        <w:rPr>
          <w:rFonts w:hAnsi="SimSun" w:hint="eastAsia"/>
          <w:szCs w:val="18"/>
          <w:lang w:val="zh-CN"/>
        </w:rPr>
        <w:t>方案并不排除男性受益人，只要符合其承诺要求，即可享受方案的津贴补助。当前存在方案认可的家庭男户主，他们同时也担负着方案所认可的一家之主的身份。</w:t>
      </w:r>
    </w:p>
  </w:footnote>
  <w:footnote w:id="73">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本报告中通篇使用的汇率为</w:t>
      </w:r>
      <w:smartTag w:uri="urn:schemas-microsoft-com:office:smarttags" w:element="chsdate">
        <w:smartTagPr>
          <w:attr w:name="Year" w:val="2010"/>
          <w:attr w:name="Month" w:val="12"/>
          <w:attr w:name="Day" w:val="31"/>
          <w:attr w:name="IsLunarDate" w:val="False"/>
          <w:attr w:name="IsROCDate" w:val="False"/>
        </w:smartTagPr>
        <w:r>
          <w:rPr>
            <w:szCs w:val="18"/>
            <w:lang w:val="es-ES_tradnl"/>
          </w:rPr>
          <w:t>2010</w:t>
        </w:r>
        <w:r>
          <w:rPr>
            <w:rFonts w:hAnsi="SimSun" w:hint="eastAsia"/>
            <w:szCs w:val="18"/>
            <w:lang w:val="zh-CN"/>
          </w:rPr>
          <w:t>年</w:t>
        </w:r>
        <w:r>
          <w:rPr>
            <w:szCs w:val="18"/>
            <w:lang w:val="es-ES_tradnl"/>
          </w:rPr>
          <w:t>12</w:t>
        </w:r>
        <w:r>
          <w:rPr>
            <w:rFonts w:hAnsi="SimSun" w:hint="eastAsia"/>
            <w:szCs w:val="18"/>
            <w:lang w:val="zh-CN"/>
          </w:rPr>
          <w:t>月</w:t>
        </w:r>
        <w:r>
          <w:rPr>
            <w:szCs w:val="18"/>
            <w:lang w:val="es-ES_tradnl"/>
          </w:rPr>
          <w:t>31</w:t>
        </w:r>
        <w:r>
          <w:rPr>
            <w:rFonts w:hAnsi="SimSun" w:hint="eastAsia"/>
            <w:szCs w:val="18"/>
            <w:lang w:val="zh-CN"/>
          </w:rPr>
          <w:t>日</w:t>
        </w:r>
      </w:smartTag>
      <w:r>
        <w:rPr>
          <w:rFonts w:hAnsi="SimSun" w:hint="eastAsia"/>
          <w:szCs w:val="18"/>
          <w:lang w:val="zh-CN"/>
        </w:rPr>
        <w:t>的市场代表汇率</w:t>
      </w:r>
      <w:r>
        <w:rPr>
          <w:rFonts w:hAnsi="SimSun" w:hint="eastAsia"/>
          <w:szCs w:val="18"/>
          <w:lang w:val="es-ES_tradnl"/>
        </w:rPr>
        <w:t>，</w:t>
      </w:r>
      <w:r>
        <w:rPr>
          <w:rFonts w:hAnsi="SimSun" w:hint="eastAsia"/>
          <w:szCs w:val="18"/>
          <w:lang w:val="zh-CN"/>
        </w:rPr>
        <w:t>哥伦比亚比索与美元的汇率比价为</w:t>
      </w:r>
      <w:r>
        <w:rPr>
          <w:szCs w:val="18"/>
          <w:lang w:val="es-ES_tradnl"/>
        </w:rPr>
        <w:t>1,913.98</w:t>
      </w:r>
      <w:r>
        <w:rPr>
          <w:rFonts w:hAnsi="SimSun" w:hint="eastAsia"/>
          <w:szCs w:val="18"/>
          <w:lang w:val="zh-CN"/>
        </w:rPr>
        <w:t>比</w:t>
      </w:r>
      <w:r>
        <w:rPr>
          <w:szCs w:val="18"/>
          <w:lang w:val="es-ES_tradnl"/>
        </w:rPr>
        <w:t>1</w:t>
      </w:r>
      <w:r>
        <w:rPr>
          <w:rFonts w:hAnsi="SimSun" w:hint="eastAsia"/>
          <w:szCs w:val="18"/>
          <w:lang w:val="zh-CN"/>
        </w:rPr>
        <w:t>。</w:t>
      </w:r>
    </w:p>
  </w:footnote>
  <w:footnote w:id="74">
    <w:p w:rsidR="00A83775" w:rsidRDefault="00A83775">
      <w:pPr>
        <w:pStyle w:val="FootnoteText"/>
        <w:widowControl w:val="0"/>
        <w:rPr>
          <w:szCs w:val="18"/>
        </w:rPr>
      </w:pPr>
      <w:r>
        <w:rPr>
          <w:szCs w:val="18"/>
          <w:lang w:val="es-ES_tradnl"/>
        </w:rPr>
        <w:tab/>
      </w:r>
      <w:r>
        <w:rPr>
          <w:rStyle w:val="FootnoteReference"/>
        </w:rPr>
        <w:footnoteRef/>
      </w:r>
      <w:r>
        <w:rPr>
          <w:noProof/>
          <w:szCs w:val="18"/>
        </w:rPr>
        <w:tab/>
      </w:r>
      <w:r>
        <w:rPr>
          <w:rFonts w:hAnsi="SimSun" w:hint="eastAsia"/>
          <w:szCs w:val="18"/>
          <w:lang w:val="zh-CN"/>
        </w:rPr>
        <w:t>顾问办公室职能为：</w:t>
      </w:r>
      <w:r>
        <w:rPr>
          <w:szCs w:val="18"/>
          <w:lang w:val="zh-CN"/>
        </w:rPr>
        <w:t>(a)</w:t>
      </w:r>
      <w:r>
        <w:rPr>
          <w:rFonts w:hint="eastAsia"/>
          <w:szCs w:val="18"/>
          <w:lang w:val="zh-CN"/>
        </w:rPr>
        <w:t xml:space="preserve"> </w:t>
      </w:r>
      <w:r>
        <w:rPr>
          <w:rFonts w:hAnsi="SimSun" w:hint="eastAsia"/>
          <w:szCs w:val="18"/>
          <w:lang w:val="zh-CN"/>
        </w:rPr>
        <w:t>在共和国总统颁布的主题指导方针的指引下，协助总统和国家政府设计拟订各项旨在推动男女平等的政府政策；</w:t>
      </w:r>
      <w:r>
        <w:rPr>
          <w:szCs w:val="18"/>
          <w:lang w:val="zh-CN"/>
        </w:rPr>
        <w:t>(b)</w:t>
      </w:r>
      <w:r>
        <w:rPr>
          <w:rFonts w:hint="eastAsia"/>
          <w:szCs w:val="18"/>
          <w:lang w:val="zh-CN"/>
        </w:rPr>
        <w:t xml:space="preserve"> </w:t>
      </w:r>
      <w:r>
        <w:rPr>
          <w:rFonts w:hAnsi="SimSun" w:hint="eastAsia"/>
          <w:szCs w:val="18"/>
          <w:lang w:val="zh-CN"/>
        </w:rPr>
        <w:t>推动将性别观点纳入国家和地方公共实体的各项政策、计划和方案的制定、实施和跟踪落实过程中；</w:t>
      </w:r>
      <w:r>
        <w:rPr>
          <w:szCs w:val="18"/>
          <w:lang w:val="zh-CN"/>
        </w:rPr>
        <w:t>(c)</w:t>
      </w:r>
      <w:r>
        <w:rPr>
          <w:rFonts w:hint="eastAsia"/>
          <w:szCs w:val="18"/>
          <w:lang w:val="zh-CN"/>
        </w:rPr>
        <w:t xml:space="preserve"> </w:t>
      </w:r>
      <w:r>
        <w:rPr>
          <w:rFonts w:hAnsi="SimSun" w:hint="eastAsia"/>
          <w:szCs w:val="18"/>
          <w:lang w:val="zh-CN"/>
        </w:rPr>
        <w:t>制定对与妇女平等和性别观点有关的国内法律法规和国际公约协定的落实情况的跟踪监测机制；</w:t>
      </w:r>
      <w:r>
        <w:rPr>
          <w:szCs w:val="18"/>
          <w:lang w:val="zh-CN"/>
        </w:rPr>
        <w:t>(d)</w:t>
      </w:r>
      <w:r>
        <w:rPr>
          <w:rFonts w:hint="eastAsia"/>
          <w:szCs w:val="18"/>
          <w:lang w:val="zh-CN"/>
        </w:rPr>
        <w:t xml:space="preserve"> </w:t>
      </w:r>
      <w:r>
        <w:rPr>
          <w:rFonts w:hAnsi="SimSun" w:hint="eastAsia"/>
          <w:szCs w:val="18"/>
          <w:lang w:val="zh-CN"/>
        </w:rPr>
        <w:t>与私营部门、国际组织、非政府组织、大专院校和科研机构结成战略联盟，以鼓励和加强对妇女处境和现状的认识、研究和分析；</w:t>
      </w:r>
      <w:r>
        <w:rPr>
          <w:szCs w:val="18"/>
          <w:lang w:val="zh-CN"/>
        </w:rPr>
        <w:t>(e)</w:t>
      </w:r>
      <w:r>
        <w:rPr>
          <w:rFonts w:hint="eastAsia"/>
          <w:szCs w:val="18"/>
          <w:lang w:val="zh-CN"/>
        </w:rPr>
        <w:t xml:space="preserve"> </w:t>
      </w:r>
      <w:r>
        <w:rPr>
          <w:rFonts w:hAnsi="SimSun" w:hint="eastAsia"/>
          <w:szCs w:val="18"/>
          <w:lang w:val="zh-CN"/>
        </w:rPr>
        <w:t>在全国范围内对各家妇女事务机构、妇女社区组织和妇女社会组织提供支持，确保其能够积极参与到当地开展的行动和方案中；</w:t>
      </w:r>
      <w:r>
        <w:rPr>
          <w:szCs w:val="18"/>
          <w:lang w:val="zh-CN"/>
        </w:rPr>
        <w:t>(f)</w:t>
      </w:r>
      <w:r>
        <w:rPr>
          <w:rFonts w:hint="eastAsia"/>
          <w:szCs w:val="18"/>
          <w:lang w:val="zh-CN"/>
        </w:rPr>
        <w:t xml:space="preserve"> </w:t>
      </w:r>
      <w:r>
        <w:rPr>
          <w:rFonts w:hAnsi="SimSun" w:hint="eastAsia"/>
          <w:szCs w:val="18"/>
          <w:lang w:val="zh-CN"/>
        </w:rPr>
        <w:t>推动出台既有法律的实施条例，切实实现妇女的平等；</w:t>
      </w:r>
      <w:r>
        <w:rPr>
          <w:szCs w:val="18"/>
          <w:lang w:val="zh-CN"/>
        </w:rPr>
        <w:t>(g)</w:t>
      </w:r>
      <w:r>
        <w:rPr>
          <w:rFonts w:hint="eastAsia"/>
          <w:szCs w:val="18"/>
          <w:lang w:val="zh-CN"/>
        </w:rPr>
        <w:t xml:space="preserve"> </w:t>
      </w:r>
      <w:r>
        <w:rPr>
          <w:rFonts w:hAnsi="SimSun" w:hint="eastAsia"/>
          <w:szCs w:val="18"/>
          <w:lang w:val="zh-CN"/>
        </w:rPr>
        <w:t>引导来自于国际合作的资金和行动，用于发展各项旨在确保两性平等和使妇女参与社会、政治和经济事务的项目；</w:t>
      </w:r>
      <w:r>
        <w:rPr>
          <w:szCs w:val="18"/>
          <w:lang w:val="zh-CN"/>
        </w:rPr>
        <w:t>(h)</w:t>
      </w:r>
      <w:r>
        <w:rPr>
          <w:rFonts w:hint="eastAsia"/>
          <w:szCs w:val="18"/>
          <w:lang w:val="zh-CN"/>
        </w:rPr>
        <w:t xml:space="preserve"> </w:t>
      </w:r>
      <w:r>
        <w:rPr>
          <w:rFonts w:hAnsi="SimSun" w:hint="eastAsia"/>
          <w:szCs w:val="18"/>
          <w:lang w:val="zh-CN"/>
        </w:rPr>
        <w:t>共和国总统赋予顾问办公室的其他职能。</w:t>
      </w:r>
    </w:p>
  </w:footnote>
  <w:footnote w:id="75">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rPr>
        <w:tab/>
      </w:r>
      <w:r>
        <w:rPr>
          <w:rFonts w:hAnsi="SimSun" w:hint="eastAsia"/>
          <w:szCs w:val="18"/>
          <w:lang w:val="zh-CN"/>
        </w:rPr>
        <w:t>总统府政府现代化、高效率、透明化和反腐败事务署；总统府人权和人道主义法事务署；总统府杀伤性地雷全面处置行动事务署；总统府国家青年体系事务署</w:t>
      </w:r>
      <w:r>
        <w:rPr>
          <w:szCs w:val="18"/>
          <w:lang w:val="zh-CN"/>
        </w:rPr>
        <w:t>-</w:t>
      </w:r>
      <w:r>
        <w:rPr>
          <w:rFonts w:hAnsi="SimSun" w:hint="eastAsia"/>
          <w:szCs w:val="18"/>
          <w:lang w:val="zh-CN"/>
        </w:rPr>
        <w:t>哥伦比亚青年署。</w:t>
      </w:r>
    </w:p>
  </w:footnote>
  <w:footnote w:id="76">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lang w:val="es-ES_tradnl"/>
        </w:rPr>
        <w:tab/>
      </w:r>
      <w:r>
        <w:rPr>
          <w:rFonts w:hAnsi="SimSun" w:hint="eastAsia"/>
          <w:szCs w:val="18"/>
          <w:lang w:val="es-ES_tradnl"/>
        </w:rPr>
        <w:t>其构成为哥伦比亚、秘鲁、厄瓜多尔、玻利维亚、委内瑞拉的国家妇女事务机构的代表，而墨西哥和智利作为受邀国参与其中。</w:t>
      </w:r>
    </w:p>
  </w:footnote>
  <w:footnote w:id="77">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lang w:val="es-ES_tradnl"/>
        </w:rPr>
        <w:tab/>
      </w:r>
      <w:r>
        <w:rPr>
          <w:rFonts w:hAnsi="SimSun" w:hint="eastAsia"/>
          <w:noProof/>
          <w:szCs w:val="18"/>
        </w:rPr>
        <w:t>共和国国会</w:t>
      </w:r>
      <w:smartTag w:uri="urn:schemas-microsoft-com:office:smarttags" w:element="chsdate">
        <w:smartTagPr>
          <w:attr w:name="Year" w:val="2006"/>
          <w:attr w:name="Month" w:val="9"/>
          <w:attr w:name="Day" w:val="1"/>
          <w:attr w:name="IsLunarDate" w:val="False"/>
          <w:attr w:name="IsROCDate" w:val="False"/>
        </w:smartTagPr>
        <w:r>
          <w:rPr>
            <w:rFonts w:hint="eastAsia"/>
            <w:noProof/>
            <w:szCs w:val="18"/>
          </w:rPr>
          <w:t>2006</w:t>
        </w:r>
        <w:r>
          <w:rPr>
            <w:rFonts w:hAnsi="SimSun" w:hint="eastAsia"/>
            <w:noProof/>
            <w:szCs w:val="18"/>
          </w:rPr>
          <w:t>年</w:t>
        </w:r>
        <w:r>
          <w:rPr>
            <w:rFonts w:hint="eastAsia"/>
            <w:noProof/>
            <w:szCs w:val="18"/>
          </w:rPr>
          <w:t>9</w:t>
        </w:r>
        <w:r>
          <w:rPr>
            <w:rFonts w:hAnsi="SimSun" w:hint="eastAsia"/>
            <w:noProof/>
            <w:szCs w:val="18"/>
          </w:rPr>
          <w:t>月</w:t>
        </w:r>
        <w:r>
          <w:rPr>
            <w:rFonts w:hint="eastAsia"/>
            <w:noProof/>
            <w:szCs w:val="18"/>
          </w:rPr>
          <w:t>1</w:t>
        </w:r>
        <w:r>
          <w:rPr>
            <w:rFonts w:hAnsi="SimSun" w:hint="eastAsia"/>
            <w:noProof/>
            <w:szCs w:val="18"/>
          </w:rPr>
          <w:t>日</w:t>
        </w:r>
      </w:smartTag>
      <w:r>
        <w:rPr>
          <w:rFonts w:hAnsi="SimSun" w:hint="eastAsia"/>
          <w:noProof/>
          <w:szCs w:val="18"/>
        </w:rPr>
        <w:t>的决议。是一家横向和纵向贯穿立法机关各层面，跨政党的组织，面向全体有意愿参与其中的议员，无论是正式议员还是候补议员开放。</w:t>
      </w:r>
    </w:p>
  </w:footnote>
  <w:footnote w:id="78">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lang w:val="es-ES_tradnl"/>
        </w:rPr>
        <w:tab/>
      </w:r>
      <w:r>
        <w:rPr>
          <w:rFonts w:hAnsi="SimSun" w:hint="eastAsia"/>
          <w:szCs w:val="18"/>
          <w:lang w:val="es-ES_tradnl"/>
        </w:rPr>
        <w:t>通过该法律颁布了国会的规章条例，囊括参议院和众议院。</w:t>
      </w:r>
    </w:p>
  </w:footnote>
  <w:footnote w:id="79">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lang w:val="es-ES_tradnl"/>
        </w:rPr>
        <w:tab/>
      </w:r>
      <w:r>
        <w:rPr>
          <w:rFonts w:hAnsi="SimSun" w:hint="eastAsia"/>
          <w:noProof/>
          <w:szCs w:val="18"/>
        </w:rPr>
        <w:t>检察院的职责为捍卫和增进人权、保护公共利益并对公务员的公职行为予以监督。</w:t>
      </w:r>
    </w:p>
  </w:footnote>
  <w:footnote w:id="80">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lang w:val="es-ES_tradnl"/>
        </w:rPr>
        <w:tab/>
      </w:r>
      <w:r>
        <w:rPr>
          <w:rFonts w:hAnsi="SimSun" w:hint="eastAsia"/>
          <w:szCs w:val="18"/>
          <w:lang w:val="es-ES_tradnl"/>
        </w:rPr>
        <w:t>国家总检察长办公室通过预防性监管行为，负责监察政府作为，推动公共政策决议，鉴于有必要坚持对国家各项活动开展持续监察，以避免妇女权利遭受侵害，为此将跟踪落实《消除对妇女一切形式歧视公约》列为其一项工作重点。同时，通过纪律监察，国家总检察长办公室应当对各行为主体的违规行为予以劝阻，以规避惩处风险，并对违纪违规或渎职行为人予以惩处。而出于捍卫司法秩序，公共财产，基本社会、经济、文化、集体权利和保障以及保护环境和少数民族的需要，检察院将开展司法和行政干预；在妇女权利事务方面，检察院将干预司法和行政当局的行为，以保障妇女的权利。</w:t>
      </w:r>
    </w:p>
  </w:footnote>
  <w:footnote w:id="81">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lang w:val="es-ES_tradnl"/>
        </w:rPr>
        <w:tab/>
      </w:r>
      <w:r>
        <w:rPr>
          <w:rFonts w:hAnsi="SimSun" w:hint="eastAsia"/>
          <w:noProof/>
          <w:szCs w:val="18"/>
        </w:rPr>
        <w:t>国家财政审计的最高主管部门，其任务是谋求实现公共资源和财产的优化利用，并帮助实现国家的现代化。</w:t>
      </w:r>
    </w:p>
  </w:footnote>
  <w:footnote w:id="82">
    <w:p w:rsidR="00A83775" w:rsidRDefault="00A83775">
      <w:pPr>
        <w:pStyle w:val="FootnoteText"/>
        <w:widowControl w:val="0"/>
        <w:tabs>
          <w:tab w:val="clear" w:pos="1021"/>
          <w:tab w:val="right" w:pos="1020"/>
        </w:tabs>
        <w:rPr>
          <w:szCs w:val="18"/>
          <w:lang w:val="es-ES"/>
        </w:rPr>
      </w:pPr>
      <w:r>
        <w:rPr>
          <w:szCs w:val="18"/>
          <w:lang w:val="es-ES_tradnl"/>
        </w:rPr>
        <w:tab/>
      </w:r>
      <w:r>
        <w:rPr>
          <w:rStyle w:val="FootnoteReference"/>
          <w:szCs w:val="18"/>
        </w:rPr>
        <w:footnoteRef/>
      </w:r>
      <w:r>
        <w:rPr>
          <w:szCs w:val="18"/>
          <w:lang w:val="es-ES_tradnl"/>
        </w:rPr>
        <w:tab/>
      </w:r>
      <w:r>
        <w:rPr>
          <w:szCs w:val="18"/>
          <w:lang w:val="es-ES"/>
        </w:rPr>
        <w:t>(</w:t>
      </w:r>
      <w:r>
        <w:rPr>
          <w:rFonts w:hint="eastAsia"/>
          <w:szCs w:val="18"/>
          <w:lang w:val="es-ES"/>
        </w:rPr>
        <w:t>……</w:t>
      </w:r>
      <w:r>
        <w:rPr>
          <w:szCs w:val="18"/>
          <w:lang w:val="es-ES"/>
        </w:rPr>
        <w:t xml:space="preserve">) 7. </w:t>
      </w:r>
      <w:r>
        <w:rPr>
          <w:rFonts w:hAnsi="SimSun" w:hint="eastAsia"/>
          <w:noProof/>
          <w:szCs w:val="18"/>
        </w:rPr>
        <w:t>与发展相关的特定方面。从发展的广义概念来讲，存在一些需要特别重视的至关重要的方面。其中主要有：两性平等，青年问题，民族群体和跨文化关系，区域规模，科学、技术和创新，文化，体育，休闲娱乐和发展。人口与发展，社会经济部门，对外政策和移民政策。</w:t>
      </w:r>
    </w:p>
    <w:p w:rsidR="00A83775" w:rsidRDefault="00A83775">
      <w:pPr>
        <w:pStyle w:val="FootnoteText"/>
        <w:widowControl w:val="0"/>
        <w:tabs>
          <w:tab w:val="clear" w:pos="1021"/>
          <w:tab w:val="right" w:pos="1020"/>
        </w:tabs>
        <w:rPr>
          <w:rFonts w:hint="eastAsia"/>
          <w:i/>
          <w:noProof/>
          <w:szCs w:val="18"/>
          <w:lang w:val="es-ES"/>
        </w:rPr>
      </w:pPr>
      <w:r>
        <w:rPr>
          <w:szCs w:val="18"/>
          <w:lang w:val="es-ES"/>
        </w:rPr>
        <w:tab/>
      </w:r>
      <w:r>
        <w:rPr>
          <w:szCs w:val="18"/>
          <w:lang w:val="es-ES"/>
        </w:rPr>
        <w:tab/>
      </w:r>
      <w:r>
        <w:rPr>
          <w:noProof/>
          <w:szCs w:val="18"/>
          <w:lang w:val="es-ES"/>
        </w:rPr>
        <w:t xml:space="preserve">7.1 </w:t>
      </w:r>
      <w:r>
        <w:rPr>
          <w:rFonts w:ascii="KaiTi_GB2312" w:eastAsia="KaiTi_GB2312" w:hAnsi="SimSun" w:hint="eastAsia"/>
          <w:noProof/>
          <w:szCs w:val="18"/>
          <w:lang w:val="es-ES"/>
        </w:rPr>
        <w:t>两性平等。</w:t>
      </w:r>
      <w:r>
        <w:rPr>
          <w:rFonts w:hAnsi="SimSun" w:hint="eastAsia"/>
          <w:noProof/>
          <w:szCs w:val="18"/>
          <w:lang w:val="es-ES"/>
        </w:rPr>
        <w:t>要实现男女平等，需要推进开展各项活动，消除或减少对特定群体的歧视。为此需要将性别观点内化入公共管理工作的各项计划、纲领、项目和机制中，作为社会分析的分类标准和认定并纠正不平等问题的方法。同时，必须制定一个促成所有公权力部门合作和协调联动的框架，以开发出一项关于两性平等的国家日程。</w:t>
      </w:r>
      <w:r>
        <w:rPr>
          <w:rFonts w:hAnsi="SimSun"/>
          <w:szCs w:val="18"/>
        </w:rPr>
        <w:t>通过执行各项有利于妇女的战略计划和具体方案，推进实施</w:t>
      </w:r>
      <w:r>
        <w:rPr>
          <w:rFonts w:hint="eastAsia"/>
          <w:szCs w:val="18"/>
        </w:rPr>
        <w:t>“</w:t>
      </w:r>
      <w:r>
        <w:rPr>
          <w:rFonts w:hAnsi="SimSun"/>
          <w:szCs w:val="18"/>
        </w:rPr>
        <w:t>妇女：和平与发展</w:t>
      </w:r>
      <w:r>
        <w:rPr>
          <w:rFonts w:ascii="SimSun" w:hAnsi="SimSun"/>
          <w:szCs w:val="18"/>
        </w:rPr>
        <w:t>的建设者”</w:t>
      </w:r>
      <w:r>
        <w:rPr>
          <w:rFonts w:hAnsi="SimSun"/>
          <w:szCs w:val="18"/>
        </w:rPr>
        <w:t>扶持政策</w:t>
      </w:r>
      <w:r>
        <w:rPr>
          <w:rFonts w:hAnsi="SimSun" w:hint="eastAsia"/>
          <w:szCs w:val="18"/>
        </w:rPr>
        <w:t>。</w:t>
      </w:r>
    </w:p>
    <w:p w:rsidR="00A83775" w:rsidRDefault="00A83775">
      <w:pPr>
        <w:pStyle w:val="FootnoteText"/>
        <w:widowControl w:val="0"/>
        <w:tabs>
          <w:tab w:val="clear" w:pos="1021"/>
          <w:tab w:val="right" w:pos="1020"/>
        </w:tabs>
        <w:rPr>
          <w:szCs w:val="18"/>
          <w:lang w:val="es-ES"/>
        </w:rPr>
      </w:pPr>
      <w:r>
        <w:rPr>
          <w:szCs w:val="18"/>
          <w:lang w:val="es-ES"/>
        </w:rPr>
        <w:tab/>
      </w:r>
      <w:r>
        <w:rPr>
          <w:szCs w:val="18"/>
          <w:lang w:val="es-ES"/>
        </w:rPr>
        <w:tab/>
      </w:r>
      <w:r>
        <w:rPr>
          <w:rFonts w:hAnsi="SimSun" w:hint="eastAsia"/>
          <w:noProof/>
          <w:szCs w:val="18"/>
          <w:lang w:val="es-ES"/>
        </w:rPr>
        <w:t>在这方面，</w:t>
      </w:r>
      <w:r>
        <w:rPr>
          <w:rFonts w:hAnsi="SimSun"/>
          <w:szCs w:val="18"/>
        </w:rPr>
        <w:t>在旨在根除极端贫困现象的社会保障网等各类方案、就业和企业发展方案、性健康和生殖健康方案以及家庭内暴力问题和政治参与事务中强调尊重性别差异的重要性。</w:t>
      </w:r>
      <w:r>
        <w:rPr>
          <w:rFonts w:hAnsi="SimSun" w:hint="eastAsia"/>
          <w:szCs w:val="18"/>
        </w:rPr>
        <w:t>妇女平等事务总统高级顾问办公室，作为负责在全国范围内促进两性平等的主管单位，应在其工作进程中协调与各部委、各公共机关和私人企业的工作步调，以便敦促上述部门落实其承诺。隶属于妇女平等事务总统高级顾问办公室的两性问题观察站</w:t>
      </w:r>
      <w:r>
        <w:rPr>
          <w:rFonts w:hAnsi="SimSun" w:hint="eastAsia"/>
          <w:szCs w:val="18"/>
          <w:lang w:val="es-ES"/>
        </w:rPr>
        <w:t>，是负责对这项政策开展过程中所涉各项活动中是否落实了性别观点进行跟踪监督，以及针对为采取整改措施提出建议的主管机关。</w:t>
      </w:r>
    </w:p>
  </w:footnote>
  <w:footnote w:id="83">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lang w:val="es-ES_tradnl"/>
        </w:rPr>
        <w:tab/>
      </w:r>
      <w:r>
        <w:rPr>
          <w:rFonts w:hAnsi="SimSun" w:hint="eastAsia"/>
          <w:szCs w:val="18"/>
          <w:lang w:val="es-MX"/>
        </w:rPr>
        <w:t>在既定的协议中，值得一提的是采用国家经济和社会政策委员会文件跟踪系统的方法拟订的政策，其制定和实施都是国家政府的责任。在该政策的制定过程中，各家妇女组织和国际社会都参与其中，直到形成相应的战略和优先事项。对相应战略的技术评估、财政评估和法律评估均是由国家政府负责实施的。同样，在这一进程中分别针对妇女群体和妇女组织开展了两类咨询，即：</w:t>
      </w:r>
      <w:r>
        <w:rPr>
          <w:rFonts w:hint="eastAsia"/>
          <w:szCs w:val="18"/>
          <w:lang w:val="es-MX"/>
        </w:rPr>
        <w:t xml:space="preserve">(a) </w:t>
      </w:r>
      <w:r>
        <w:rPr>
          <w:rFonts w:hAnsi="SimSun" w:hint="eastAsia"/>
          <w:szCs w:val="18"/>
          <w:lang w:val="es-MX"/>
        </w:rPr>
        <w:t>面向全国的电子化咨询；</w:t>
      </w:r>
      <w:r>
        <w:rPr>
          <w:rFonts w:hint="eastAsia"/>
          <w:szCs w:val="18"/>
          <w:lang w:val="es-MX"/>
        </w:rPr>
        <w:t xml:space="preserve">(b) </w:t>
      </w:r>
      <w:r>
        <w:rPr>
          <w:rFonts w:hAnsi="SimSun" w:hint="eastAsia"/>
          <w:szCs w:val="18"/>
          <w:lang w:val="es-MX"/>
        </w:rPr>
        <w:t>面向各地区的现场咨询。</w:t>
      </w:r>
    </w:p>
  </w:footnote>
  <w:footnote w:id="84">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lang w:val="es-ES_tradnl"/>
        </w:rPr>
        <w:tab/>
      </w:r>
      <w:r>
        <w:rPr>
          <w:rFonts w:hAnsi="SimSun" w:hint="eastAsia"/>
          <w:szCs w:val="18"/>
          <w:lang w:val="es-ES_tradnl"/>
        </w:rPr>
        <w:t>这三名民间社会组织的代表是：来自倡导和平妇女联盟的米格多尼娅</w:t>
      </w:r>
      <w:r>
        <w:rPr>
          <w:rFonts w:hint="eastAsia"/>
          <w:szCs w:val="18"/>
          <w:lang w:val="es-ES_tradnl"/>
        </w:rPr>
        <w:t>·</w:t>
      </w:r>
      <w:r>
        <w:rPr>
          <w:rFonts w:hAnsi="SimSun" w:hint="eastAsia"/>
          <w:szCs w:val="18"/>
          <w:lang w:val="es-ES_tradnl"/>
        </w:rPr>
        <w:t>卢埃达</w:t>
      </w:r>
      <w:r>
        <w:rPr>
          <w:rFonts w:hint="eastAsia"/>
          <w:szCs w:val="18"/>
          <w:lang w:val="es-ES_tradnl"/>
        </w:rPr>
        <w:t>·</w:t>
      </w:r>
      <w:r>
        <w:rPr>
          <w:rFonts w:hAnsi="SimSun" w:hint="eastAsia"/>
          <w:szCs w:val="18"/>
          <w:lang w:val="es-ES_tradnl"/>
        </w:rPr>
        <w:t>波拉尼奥斯；来自妇女组织希斯玛公司的克劳迪娅</w:t>
      </w:r>
      <w:r>
        <w:rPr>
          <w:rFonts w:hint="eastAsia"/>
          <w:szCs w:val="18"/>
          <w:lang w:val="es-ES_tradnl"/>
        </w:rPr>
        <w:t>·</w:t>
      </w:r>
      <w:r>
        <w:rPr>
          <w:rFonts w:hAnsi="SimSun" w:hint="eastAsia"/>
          <w:szCs w:val="18"/>
          <w:lang w:val="es-ES_tradnl"/>
        </w:rPr>
        <w:t>拉米雷斯以及非洲裔哥伦比亚妇女领袖毛拉</w:t>
      </w:r>
      <w:r>
        <w:rPr>
          <w:rFonts w:hint="eastAsia"/>
          <w:szCs w:val="18"/>
          <w:lang w:val="es-ES_tradnl"/>
        </w:rPr>
        <w:t>·</w:t>
      </w:r>
      <w:r>
        <w:rPr>
          <w:rFonts w:hAnsi="SimSun" w:hint="eastAsia"/>
          <w:szCs w:val="18"/>
          <w:lang w:val="es-ES_tradnl"/>
        </w:rPr>
        <w:t>纳斯莉。这一决策程序，包含在</w:t>
      </w:r>
      <w:smartTag w:uri="urn:schemas-microsoft-com:office:smarttags" w:element="chsdate">
        <w:smartTagPr>
          <w:attr w:name="Year" w:val="2010"/>
          <w:attr w:name="Month" w:val="11"/>
          <w:attr w:name="Day" w:val="17"/>
          <w:attr w:name="IsLunarDate" w:val="False"/>
          <w:attr w:name="IsROCDate" w:val="False"/>
        </w:smartTagPr>
        <w:r>
          <w:rPr>
            <w:rFonts w:hint="eastAsia"/>
            <w:szCs w:val="18"/>
            <w:lang w:val="es-ES_tradnl"/>
          </w:rPr>
          <w:t>2010</w:t>
        </w:r>
        <w:r>
          <w:rPr>
            <w:rFonts w:hAnsi="SimSun" w:hint="eastAsia"/>
            <w:szCs w:val="18"/>
            <w:lang w:val="es-ES_tradnl"/>
          </w:rPr>
          <w:t>年</w:t>
        </w:r>
        <w:r>
          <w:rPr>
            <w:rFonts w:hint="eastAsia"/>
            <w:szCs w:val="18"/>
            <w:lang w:val="es-ES_tradnl"/>
          </w:rPr>
          <w:t>11</w:t>
        </w:r>
        <w:r>
          <w:rPr>
            <w:rFonts w:hAnsi="SimSun" w:hint="eastAsia"/>
            <w:szCs w:val="18"/>
            <w:lang w:val="es-ES_tradnl"/>
          </w:rPr>
          <w:t>月</w:t>
        </w:r>
        <w:r>
          <w:rPr>
            <w:rFonts w:hint="eastAsia"/>
            <w:szCs w:val="18"/>
            <w:lang w:val="es-ES_tradnl"/>
          </w:rPr>
          <w:t>17</w:t>
        </w:r>
        <w:r>
          <w:rPr>
            <w:rFonts w:hAnsi="SimSun" w:hint="eastAsia"/>
            <w:szCs w:val="18"/>
            <w:lang w:val="es-ES_tradnl"/>
          </w:rPr>
          <w:t>日</w:t>
        </w:r>
      </w:smartTag>
      <w:r>
        <w:rPr>
          <w:rFonts w:hAnsi="SimSun" w:hint="eastAsia"/>
          <w:szCs w:val="18"/>
          <w:lang w:val="es-ES_tradnl"/>
        </w:rPr>
        <w:t>发布的</w:t>
      </w:r>
      <w:r>
        <w:rPr>
          <w:rFonts w:hint="eastAsia"/>
          <w:szCs w:val="18"/>
          <w:lang w:val="es-ES_tradnl"/>
        </w:rPr>
        <w:t>“</w:t>
      </w:r>
      <w:r>
        <w:rPr>
          <w:rFonts w:hAnsi="SimSun" w:hint="eastAsia"/>
          <w:szCs w:val="18"/>
          <w:lang w:val="es-ES_tradnl"/>
        </w:rPr>
        <w:t>关于监察委员会中妇女组织代表遴选程序结果的报告</w:t>
      </w:r>
      <w:r>
        <w:rPr>
          <w:rFonts w:hint="eastAsia"/>
          <w:szCs w:val="18"/>
          <w:lang w:val="es-ES_tradnl"/>
        </w:rPr>
        <w:t>”</w:t>
      </w:r>
      <w:r>
        <w:rPr>
          <w:rFonts w:hAnsi="SimSun" w:hint="eastAsia"/>
          <w:szCs w:val="18"/>
          <w:lang w:val="es-ES_tradnl"/>
        </w:rPr>
        <w:t>中。</w:t>
      </w:r>
    </w:p>
  </w:footnote>
  <w:footnote w:id="85">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lang w:val="es-ES_tradnl"/>
        </w:rPr>
        <w:tab/>
      </w:r>
      <w:r>
        <w:rPr>
          <w:rFonts w:hAnsi="SimSun" w:hint="eastAsia"/>
          <w:szCs w:val="18"/>
          <w:lang w:val="es-ES_tradnl"/>
        </w:rPr>
        <w:t>协调工作组代表着一个广泛的参与空间，由这一程序的战略决策和政治决策负责人员组成。其成员构成包括国家政府相关单位、国家总检察长办公室、公民权利监察员办公室、国家总检察署、民间社会各界（各类妇女组织、行会组织、学术组织、等等）和国际社会的代表。工作组每月召开一次工作会。</w:t>
      </w:r>
    </w:p>
  </w:footnote>
  <w:footnote w:id="86">
    <w:p w:rsidR="00A83775" w:rsidRDefault="00A83775">
      <w:pPr>
        <w:pStyle w:val="FootnoteText"/>
        <w:widowControl w:val="0"/>
        <w:tabs>
          <w:tab w:val="clear" w:pos="1021"/>
          <w:tab w:val="right" w:pos="1020"/>
        </w:tabs>
        <w:rPr>
          <w:szCs w:val="18"/>
        </w:rPr>
      </w:pPr>
      <w:r>
        <w:rPr>
          <w:szCs w:val="18"/>
          <w:lang w:val="es-ES_tradnl"/>
        </w:rPr>
        <w:tab/>
      </w:r>
      <w:r>
        <w:rPr>
          <w:rStyle w:val="FootnoteReference"/>
          <w:szCs w:val="18"/>
        </w:rPr>
        <w:footnoteRef/>
      </w:r>
      <w:r>
        <w:rPr>
          <w:szCs w:val="18"/>
          <w:lang w:val="es-ES_tradnl"/>
        </w:rPr>
        <w:tab/>
      </w:r>
      <w:r>
        <w:rPr>
          <w:rFonts w:hAnsi="SimSun" w:hint="eastAsia"/>
          <w:szCs w:val="18"/>
          <w:lang w:val="es-ES_tradnl"/>
        </w:rPr>
        <w:t>技术支持工作组是负责确定工作方法和工作程序，确定工作战略相关提议和文件的结构框架的主管部门。该部门的成员构成为：国家政府相关单位的代表、国际社会代表以及经各家妇女组织通过自行开展民主选举程序选出的五名妇女代表，他们分别是：来自倡导和平妇女联盟的安赫拉</w:t>
      </w:r>
      <w:r>
        <w:rPr>
          <w:rFonts w:hint="eastAsia"/>
          <w:szCs w:val="18"/>
          <w:lang w:val="es-ES_tradnl"/>
        </w:rPr>
        <w:t>·</w:t>
      </w:r>
      <w:r>
        <w:rPr>
          <w:rFonts w:hAnsi="SimSun" w:hint="eastAsia"/>
          <w:szCs w:val="18"/>
          <w:lang w:val="es-ES_tradnl"/>
        </w:rPr>
        <w:t>塞隆；来自妇女和平阵线组织的玛丽娜</w:t>
      </w:r>
      <w:r>
        <w:rPr>
          <w:rFonts w:hint="eastAsia"/>
          <w:szCs w:val="18"/>
          <w:lang w:val="es-ES_tradnl"/>
        </w:rPr>
        <w:t>·</w:t>
      </w:r>
      <w:r>
        <w:rPr>
          <w:rFonts w:hAnsi="SimSun" w:hint="eastAsia"/>
          <w:szCs w:val="18"/>
          <w:lang w:val="es-ES_tradnl"/>
        </w:rPr>
        <w:t>加耶戈；来自全国农村妇女委员会的奈丽</w:t>
      </w:r>
      <w:r>
        <w:rPr>
          <w:rFonts w:hint="eastAsia"/>
          <w:szCs w:val="18"/>
          <w:lang w:val="es-ES_tradnl"/>
        </w:rPr>
        <w:t>·</w:t>
      </w:r>
      <w:r>
        <w:rPr>
          <w:rFonts w:hAnsi="SimSun" w:hint="eastAsia"/>
          <w:szCs w:val="18"/>
          <w:lang w:val="es-ES_tradnl"/>
        </w:rPr>
        <w:t>韦兰迪亚；来自国家妇女网的克劳迪娅</w:t>
      </w:r>
      <w:r>
        <w:rPr>
          <w:rFonts w:hint="eastAsia"/>
          <w:szCs w:val="18"/>
          <w:lang w:val="es-ES_tradnl"/>
        </w:rPr>
        <w:t>·</w:t>
      </w:r>
      <w:r>
        <w:rPr>
          <w:rFonts w:hAnsi="SimSun" w:hint="eastAsia"/>
          <w:szCs w:val="18"/>
          <w:lang w:val="es-ES_tradnl"/>
        </w:rPr>
        <w:t>玛利亚</w:t>
      </w:r>
      <w:r>
        <w:rPr>
          <w:rFonts w:hint="eastAsia"/>
          <w:szCs w:val="18"/>
          <w:lang w:val="es-ES_tradnl"/>
        </w:rPr>
        <w:t>·</w:t>
      </w:r>
      <w:r>
        <w:rPr>
          <w:rFonts w:hAnsi="SimSun" w:hint="eastAsia"/>
          <w:szCs w:val="18"/>
          <w:lang w:val="es-ES_tradnl"/>
        </w:rPr>
        <w:t>梅西亚</w:t>
      </w:r>
      <w:r>
        <w:rPr>
          <w:rFonts w:hint="eastAsia"/>
          <w:szCs w:val="18"/>
          <w:lang w:val="es-ES_tradnl"/>
        </w:rPr>
        <w:t>·</w:t>
      </w:r>
      <w:r>
        <w:rPr>
          <w:rFonts w:hAnsi="SimSun" w:hint="eastAsia"/>
          <w:szCs w:val="18"/>
          <w:lang w:val="es-ES_tradnl"/>
        </w:rPr>
        <w:t>杜克；以及来自非洲裔哥伦比亚妇女组织全国联合会的毛拉</w:t>
      </w:r>
      <w:r>
        <w:rPr>
          <w:rFonts w:hint="eastAsia"/>
          <w:szCs w:val="18"/>
          <w:lang w:val="es-ES_tradnl"/>
        </w:rPr>
        <w:t>·</w:t>
      </w:r>
      <w:r>
        <w:rPr>
          <w:rFonts w:hAnsi="SimSun" w:hint="eastAsia"/>
          <w:szCs w:val="18"/>
          <w:lang w:val="es-ES_tradnl"/>
        </w:rPr>
        <w:t>纳斯莉</w:t>
      </w:r>
      <w:r>
        <w:rPr>
          <w:rFonts w:hint="eastAsia"/>
          <w:szCs w:val="18"/>
          <w:lang w:val="es-ES_tradnl"/>
        </w:rPr>
        <w:t>·</w:t>
      </w:r>
      <w:r>
        <w:rPr>
          <w:rFonts w:hAnsi="SimSun" w:hint="eastAsia"/>
          <w:szCs w:val="18"/>
          <w:lang w:val="es-ES_tradnl"/>
        </w:rPr>
        <w:t>莫斯盖拉。</w:t>
      </w:r>
    </w:p>
  </w:footnote>
  <w:footnote w:id="87">
    <w:p w:rsidR="00A83775" w:rsidRDefault="00A83775">
      <w:pPr>
        <w:pStyle w:val="FootnoteText"/>
        <w:rPr>
          <w:rFonts w:hint="eastAsia"/>
        </w:rPr>
      </w:pPr>
      <w:r>
        <w:rPr>
          <w:rFonts w:hint="eastAsia"/>
        </w:rPr>
        <w:tab/>
      </w:r>
      <w:r>
        <w:rPr>
          <w:rStyle w:val="FootnoteReference"/>
        </w:rPr>
        <w:footnoteRef/>
      </w:r>
      <w:r>
        <w:t xml:space="preserve"> </w:t>
      </w:r>
      <w:r>
        <w:rPr>
          <w:rFonts w:hint="eastAsia"/>
        </w:rPr>
        <w:tab/>
        <w:t>2005</w:t>
      </w:r>
      <w:r>
        <w:rPr>
          <w:rFonts w:hint="eastAsia"/>
        </w:rPr>
        <w:t>年由妇女平等事务总统高级顾问办公室负责将冬运会、哥伦比亚奥委会和妇女与体育联合会整合，创立了妇女与体育委员会。</w:t>
      </w:r>
    </w:p>
  </w:footnote>
  <w:footnote w:id="88">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宪法法院通过特别方式保障少数民族的权利。在这方面的相关判例中，值得一提的有：</w:t>
      </w:r>
      <w:r>
        <w:rPr>
          <w:rFonts w:hint="eastAsia"/>
          <w:lang w:val="es-ES_tradnl"/>
        </w:rPr>
        <w:t>2005</w:t>
      </w:r>
      <w:r>
        <w:rPr>
          <w:rFonts w:hint="eastAsia"/>
          <w:lang w:val="es-ES_tradnl"/>
        </w:rPr>
        <w:t>年的第</w:t>
      </w:r>
      <w:r>
        <w:rPr>
          <w:rFonts w:hint="eastAsia"/>
          <w:lang w:val="es-ES_tradnl"/>
        </w:rPr>
        <w:t>T-778</w:t>
      </w:r>
      <w:r>
        <w:rPr>
          <w:rFonts w:hint="eastAsia"/>
          <w:lang w:val="es-ES_tradnl"/>
        </w:rPr>
        <w:t>号判决（界定了承认民族多样性和文化多样性的基本权利的范畴，以及对应的集体权利和个人权利的范畴），</w:t>
      </w:r>
      <w:r>
        <w:rPr>
          <w:rFonts w:hint="eastAsia"/>
          <w:lang w:val="es-ES_tradnl"/>
        </w:rPr>
        <w:t>1997</w:t>
      </w:r>
      <w:r>
        <w:rPr>
          <w:rFonts w:hint="eastAsia"/>
          <w:lang w:val="es-ES_tradnl"/>
        </w:rPr>
        <w:t>年的第</w:t>
      </w:r>
      <w:r>
        <w:rPr>
          <w:rFonts w:hint="eastAsia"/>
          <w:lang w:val="es-ES_tradnl"/>
        </w:rPr>
        <w:t>SU-039</w:t>
      </w:r>
      <w:r>
        <w:rPr>
          <w:rFonts w:hint="eastAsia"/>
          <w:lang w:val="es-ES_tradnl"/>
        </w:rPr>
        <w:t>号判决（承认应就少数民族的基本权利问题向少数民族本身进行事前协商），</w:t>
      </w:r>
      <w:r>
        <w:rPr>
          <w:rFonts w:hint="eastAsia"/>
          <w:lang w:val="es-ES_tradnl"/>
        </w:rPr>
        <w:t>2006</w:t>
      </w:r>
      <w:r>
        <w:rPr>
          <w:rFonts w:hint="eastAsia"/>
          <w:lang w:val="es-ES_tradnl"/>
        </w:rPr>
        <w:t>年的第</w:t>
      </w:r>
      <w:r>
        <w:rPr>
          <w:rFonts w:hint="eastAsia"/>
          <w:lang w:val="es-ES_tradnl"/>
        </w:rPr>
        <w:t>T-349</w:t>
      </w:r>
      <w:r>
        <w:rPr>
          <w:rFonts w:hint="eastAsia"/>
          <w:lang w:val="es-ES_tradnl"/>
        </w:rPr>
        <w:t>号判决（确定了土著人民的特别司法管辖权的自治程度），</w:t>
      </w:r>
      <w:r>
        <w:rPr>
          <w:rFonts w:hint="eastAsia"/>
          <w:lang w:val="es-ES_tradnl"/>
        </w:rPr>
        <w:t>2006</w:t>
      </w:r>
      <w:r>
        <w:rPr>
          <w:rFonts w:hint="eastAsia"/>
          <w:lang w:val="es-ES_tradnl"/>
        </w:rPr>
        <w:t>年的第</w:t>
      </w:r>
      <w:r>
        <w:rPr>
          <w:rFonts w:hint="eastAsia"/>
          <w:lang w:val="es-ES_tradnl"/>
        </w:rPr>
        <w:t>T-375</w:t>
      </w:r>
      <w:r>
        <w:rPr>
          <w:rFonts w:hint="eastAsia"/>
          <w:lang w:val="es-ES_tradnl"/>
        </w:rPr>
        <w:t>号判决（承认黑人社区的成员也负有推广教育的权利），</w:t>
      </w:r>
      <w:r>
        <w:rPr>
          <w:rFonts w:hint="eastAsia"/>
          <w:lang w:val="es-ES_tradnl"/>
        </w:rPr>
        <w:t>2006</w:t>
      </w:r>
      <w:r>
        <w:rPr>
          <w:rFonts w:hint="eastAsia"/>
          <w:lang w:val="es-ES_tradnl"/>
        </w:rPr>
        <w:t>年的第</w:t>
      </w:r>
      <w:r>
        <w:rPr>
          <w:rFonts w:hint="eastAsia"/>
          <w:lang w:val="es-ES_tradnl"/>
        </w:rPr>
        <w:t>T-131</w:t>
      </w:r>
      <w:r>
        <w:rPr>
          <w:rFonts w:hint="eastAsia"/>
          <w:lang w:val="es-ES_tradnl"/>
        </w:rPr>
        <w:t>号判决</w:t>
      </w:r>
      <w:r>
        <w:rPr>
          <w:rFonts w:hint="eastAsia"/>
          <w:lang w:val="es-ES"/>
        </w:rPr>
        <w:t>（重申严禁种族歧视，对阻碍非洲裔哥伦比亚妇女进入公共场所的行为严惩不贷），</w:t>
      </w:r>
      <w:r>
        <w:rPr>
          <w:rFonts w:hint="eastAsia"/>
          <w:lang w:val="es-ES"/>
        </w:rPr>
        <w:t>1994</w:t>
      </w:r>
      <w:r>
        <w:rPr>
          <w:rFonts w:hint="eastAsia"/>
          <w:lang w:val="es-ES"/>
        </w:rPr>
        <w:t>年的第</w:t>
      </w:r>
      <w:r>
        <w:rPr>
          <w:rFonts w:hint="eastAsia"/>
          <w:lang w:val="es-ES"/>
        </w:rPr>
        <w:t>C-058</w:t>
      </w:r>
      <w:r>
        <w:rPr>
          <w:rFonts w:hint="eastAsia"/>
          <w:lang w:val="es-ES"/>
        </w:rPr>
        <w:t>号判决（规定土著青年可免于服兵役）和</w:t>
      </w:r>
      <w:r>
        <w:rPr>
          <w:rFonts w:hint="eastAsia"/>
          <w:lang w:val="es-ES"/>
        </w:rPr>
        <w:t>1994</w:t>
      </w:r>
      <w:r>
        <w:rPr>
          <w:rFonts w:hint="eastAsia"/>
          <w:lang w:val="es-ES"/>
        </w:rPr>
        <w:t>年的第</w:t>
      </w:r>
      <w:r>
        <w:rPr>
          <w:rFonts w:hint="eastAsia"/>
          <w:lang w:val="es-ES"/>
        </w:rPr>
        <w:t>T-384</w:t>
      </w:r>
      <w:r>
        <w:rPr>
          <w:rFonts w:hint="eastAsia"/>
          <w:lang w:val="es-ES"/>
        </w:rPr>
        <w:t>号判决（保护非洲裔哥伦比亚人在其社区内使用母语的权利）。</w:t>
      </w:r>
    </w:p>
  </w:footnote>
  <w:footnote w:id="89">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根据《政治宪法》第</w:t>
      </w:r>
      <w:r>
        <w:rPr>
          <w:rFonts w:hint="eastAsia"/>
          <w:lang w:val="es-ES_tradnl"/>
        </w:rPr>
        <w:t>7</w:t>
      </w:r>
      <w:r>
        <w:rPr>
          <w:rFonts w:hint="eastAsia"/>
          <w:lang w:val="es-ES_tradnl"/>
        </w:rPr>
        <w:t>条之规定，承认和保护种族多样性和文化多样性是国家的一项基本原则。国家宪法赋予土著人民在共和国参议院和众议院中享有特别代表席位的权利。也赋予非洲裔哥伦比亚人民在议会中享有一个特别议席的权利，并允许其在众议院享有两个代表议席。</w:t>
      </w:r>
    </w:p>
  </w:footnote>
  <w:footnote w:id="90">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1993</w:t>
      </w:r>
      <w:r>
        <w:rPr>
          <w:rFonts w:hint="eastAsia"/>
          <w:lang w:val="es-ES_tradnl"/>
        </w:rPr>
        <w:t>年的第</w:t>
      </w:r>
      <w:r>
        <w:rPr>
          <w:rFonts w:hint="eastAsia"/>
          <w:lang w:val="es-ES_tradnl"/>
        </w:rPr>
        <w:t>60</w:t>
      </w:r>
      <w:r>
        <w:rPr>
          <w:rFonts w:hint="eastAsia"/>
          <w:lang w:val="es-ES_tradnl"/>
        </w:rPr>
        <w:t>号法规定了与保护土著聚居地的权限范围以及资源划拨事项，</w:t>
      </w:r>
      <w:r>
        <w:rPr>
          <w:rFonts w:hint="eastAsia"/>
          <w:lang w:val="es-ES_tradnl"/>
        </w:rPr>
        <w:t>1993</w:t>
      </w:r>
      <w:r>
        <w:rPr>
          <w:rFonts w:hint="eastAsia"/>
          <w:lang w:val="es-ES_tradnl"/>
        </w:rPr>
        <w:t>年的第</w:t>
      </w:r>
      <w:r>
        <w:rPr>
          <w:rFonts w:hint="eastAsia"/>
          <w:lang w:val="es-ES_tradnl"/>
        </w:rPr>
        <w:t>70</w:t>
      </w:r>
      <w:r>
        <w:rPr>
          <w:rFonts w:hint="eastAsia"/>
          <w:lang w:val="es-ES_tradnl"/>
        </w:rPr>
        <w:t>号法规定了非洲裔哥伦比亚社区留守地的判给机制，此外规定要保护非洲裔社区的文化同一性以及经济和社会发展。</w:t>
      </w:r>
      <w:r>
        <w:rPr>
          <w:rFonts w:hint="eastAsia"/>
          <w:lang w:val="es-ES_tradnl"/>
        </w:rPr>
        <w:t>2007</w:t>
      </w:r>
      <w:r>
        <w:rPr>
          <w:rFonts w:hint="eastAsia"/>
          <w:lang w:val="es-ES_tradnl"/>
        </w:rPr>
        <w:t>年的第</w:t>
      </w:r>
      <w:r>
        <w:rPr>
          <w:rFonts w:hint="eastAsia"/>
          <w:lang w:val="es-ES_tradnl"/>
        </w:rPr>
        <w:t>1152</w:t>
      </w:r>
      <w:r>
        <w:rPr>
          <w:rFonts w:hint="eastAsia"/>
          <w:lang w:val="es-ES_tradnl"/>
        </w:rPr>
        <w:t>号法（农村发展章程）的一项主要内容就是制定了土著居留地的组织框架方案以及土著社区和非洲裔哥伦比亚社区的农村体制。</w:t>
      </w:r>
      <w:r>
        <w:rPr>
          <w:rFonts w:hint="eastAsia"/>
          <w:lang w:val="es-ES_tradnl"/>
        </w:rPr>
        <w:t>1995</w:t>
      </w:r>
      <w:r>
        <w:rPr>
          <w:rFonts w:hint="eastAsia"/>
          <w:lang w:val="es-ES_tradnl"/>
        </w:rPr>
        <w:t>年的第</w:t>
      </w:r>
      <w:r>
        <w:rPr>
          <w:rFonts w:hint="eastAsia"/>
          <w:lang w:val="es-ES_tradnl"/>
        </w:rPr>
        <w:t>2164</w:t>
      </w:r>
      <w:r>
        <w:rPr>
          <w:rFonts w:hint="eastAsia"/>
          <w:lang w:val="es-ES_tradnl"/>
        </w:rPr>
        <w:t>号法令规范了土著社区土地的分发和所有权判给事项，以便开展土著留守地的设立、重组、扩张和巩固。</w:t>
      </w:r>
    </w:p>
  </w:footnote>
  <w:footnote w:id="91">
    <w:p w:rsidR="00A83775" w:rsidRDefault="00A83775">
      <w:pPr>
        <w:pStyle w:val="FootnoteText"/>
        <w:widowControl w:val="0"/>
        <w:tabs>
          <w:tab w:val="clear" w:pos="1021"/>
          <w:tab w:val="right" w:pos="1020"/>
        </w:tabs>
        <w:rPr>
          <w:rFonts w:hint="eastAsia"/>
          <w:lang w:val="es-ES_tradnl"/>
        </w:rPr>
      </w:pPr>
      <w:r>
        <w:rPr>
          <w:lang w:val="es-ES_tradnl"/>
        </w:rPr>
        <w:tab/>
      </w:r>
      <w:r>
        <w:rPr>
          <w:rStyle w:val="FootnoteReference"/>
        </w:rPr>
        <w:footnoteRef/>
      </w:r>
      <w:r>
        <w:rPr>
          <w:lang w:val="es-ES_tradnl"/>
        </w:rPr>
        <w:tab/>
      </w:r>
      <w:r>
        <w:rPr>
          <w:rFonts w:hint="eastAsia"/>
          <w:iCs/>
          <w:lang w:val="es-ES_tradnl"/>
        </w:rPr>
        <w:t>承认各人口群体之间存在的差异性和尊重各群体的特性及其特殊需要、需求和利益，是实现平等发展的基本要素。在社会政策方面，做到这一点有助于制定和推行差别化的具体战略，用于增强特定人口群体（妇女、女童、青少年和老龄人口，民族团体，非洲裔哥伦比亚妇女和土著妇女，农村人口，社区组织，等等）的能力，改善其各方面的条件和地位。</w:t>
      </w:r>
    </w:p>
  </w:footnote>
  <w:footnote w:id="92">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合作协议（</w:t>
      </w:r>
      <w:r>
        <w:rPr>
          <w:rFonts w:hint="eastAsia"/>
          <w:lang w:val="es-ES_tradnl"/>
        </w:rPr>
        <w:t>400</w:t>
      </w:r>
      <w:r>
        <w:rPr>
          <w:rFonts w:hint="eastAsia"/>
          <w:lang w:val="es-ES_tradnl"/>
        </w:rPr>
        <w:t>名妇女），用于补充完善对流离失所人口的全面关爱程序，从承认民族特性和性别观点角度入手，从文化层面确定发展方针，增进妇女和流离失所人口的权利。</w:t>
      </w:r>
    </w:p>
  </w:footnote>
  <w:footnote w:id="93">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普及和加强对人权的认识，切实落实人权，构筑对政治和公民身份的认同，注重民族文化观点和性别观点，将政策重心向流离失所妇女倾斜。</w:t>
      </w:r>
    </w:p>
  </w:footnote>
  <w:footnote w:id="94">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为落实这一点，拟定了以下战略：</w:t>
      </w:r>
      <w:r>
        <w:rPr>
          <w:rFonts w:hint="eastAsia"/>
          <w:lang w:val="es-ES_tradnl"/>
        </w:rPr>
        <w:t>1</w:t>
      </w:r>
      <w:r>
        <w:t>.</w:t>
      </w:r>
      <w:r>
        <w:rPr>
          <w:rFonts w:hint="eastAsia"/>
          <w:lang w:val="es-ES_tradnl"/>
        </w:rPr>
        <w:t>创立国家暴力问题观察站，目的是将之作为一项工具以实现以下目标：</w:t>
      </w:r>
      <w:r>
        <w:rPr>
          <w:rFonts w:hint="eastAsia"/>
          <w:lang w:val="es-ES_tradnl"/>
        </w:rPr>
        <w:t xml:space="preserve">(a) </w:t>
      </w:r>
      <w:r>
        <w:rPr>
          <w:rFonts w:hint="eastAsia"/>
          <w:lang w:val="es-ES_tradnl"/>
        </w:rPr>
        <w:t>开展调查、文件编写、系统化整理、分析和发布工作，对暴力问题进行跟踪和监测，并将重点落在性别暴力、家庭内暴力和性暴力方面，着重分析妇女和儿童的状况；</w:t>
      </w:r>
      <w:r>
        <w:rPr>
          <w:rFonts w:hint="eastAsia"/>
          <w:lang w:val="es-ES_tradnl"/>
        </w:rPr>
        <w:t xml:space="preserve">(b) </w:t>
      </w:r>
      <w:r>
        <w:rPr>
          <w:rFonts w:hint="eastAsia"/>
          <w:lang w:val="es-ES_tradnl"/>
        </w:rPr>
        <w:t>确定这一现象的影响范畴，对各项关爱程序进行跟踪和监测，开展部门联动，针对这方面的政策、计划、方案和法规提出建议；</w:t>
      </w:r>
      <w:r>
        <w:rPr>
          <w:rFonts w:hint="eastAsia"/>
          <w:lang w:val="es-ES_tradnl"/>
        </w:rPr>
        <w:t xml:space="preserve">(c) </w:t>
      </w:r>
      <w:r>
        <w:rPr>
          <w:rFonts w:hint="eastAsia"/>
          <w:lang w:val="es-ES_tradnl"/>
        </w:rPr>
        <w:t>确定暴力受害者获得关爱服务的程度和服务质量，重点关注妇女和儿童所遭受的暴力侵害现象；</w:t>
      </w:r>
      <w:r>
        <w:rPr>
          <w:rFonts w:hint="eastAsia"/>
          <w:lang w:val="es-ES_tradnl"/>
        </w:rPr>
        <w:t xml:space="preserve">(d) </w:t>
      </w:r>
      <w:r>
        <w:rPr>
          <w:rFonts w:hint="eastAsia"/>
          <w:lang w:val="es-ES_tradnl"/>
        </w:rPr>
        <w:t>创立一家部际委员会，使委员会在专家的帮助下持续开展对基于性别原因的暴力问题的衡量方法的标准化进程，帮助巩固国家在这一领域的信息系统，开展定期计量工作；</w:t>
      </w:r>
      <w:r>
        <w:rPr>
          <w:rFonts w:hint="eastAsia"/>
          <w:lang w:val="es-ES_tradnl"/>
        </w:rPr>
        <w:t xml:space="preserve">(e) </w:t>
      </w:r>
      <w:r>
        <w:rPr>
          <w:rFonts w:hint="eastAsia"/>
          <w:lang w:val="es-ES_tradnl"/>
        </w:rPr>
        <w:t>对第</w:t>
      </w:r>
      <w:r>
        <w:rPr>
          <w:rFonts w:hint="eastAsia"/>
          <w:lang w:val="es-ES_tradnl"/>
        </w:rPr>
        <w:t>1257</w:t>
      </w:r>
      <w:r>
        <w:rPr>
          <w:rFonts w:hint="eastAsia"/>
          <w:lang w:val="es-ES_tradnl"/>
        </w:rPr>
        <w:t>号法中与国家暴力问题信息系统有关的内容加以规范和落实；</w:t>
      </w:r>
      <w:r>
        <w:rPr>
          <w:rFonts w:hint="eastAsia"/>
          <w:lang w:val="es-ES_tradnl"/>
        </w:rPr>
        <w:t xml:space="preserve">(f) </w:t>
      </w:r>
      <w:r>
        <w:rPr>
          <w:rFonts w:hint="eastAsia"/>
          <w:lang w:val="es-ES_tradnl"/>
        </w:rPr>
        <w:t>与妇女平等事务总统高级顾问办公室下属的两性问题观察站开展联合行动，结成机构联盟，规定信息来源以及国家暴力问题观察站的其他职能，以此借鉴两性问题观察站的经验和示范性做法，帮助国家暴力问题观察站有效开展工作并确定其基本行动方针。</w:t>
      </w:r>
    </w:p>
  </w:footnote>
  <w:footnote w:id="95">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为达到上述目标，制定了以下战略：</w:t>
      </w:r>
      <w:r>
        <w:rPr>
          <w:rFonts w:hint="eastAsia"/>
          <w:lang w:val="es-ES_tradnl"/>
        </w:rPr>
        <w:t xml:space="preserve">(a) </w:t>
      </w:r>
      <w:r>
        <w:rPr>
          <w:rFonts w:hint="eastAsia"/>
          <w:lang w:val="es-ES_tradnl"/>
        </w:rPr>
        <w:t>监督落实</w:t>
      </w:r>
      <w:r>
        <w:rPr>
          <w:rFonts w:hint="eastAsia"/>
          <w:lang w:val="es-ES_tradnl"/>
        </w:rPr>
        <w:t>2000</w:t>
      </w:r>
      <w:r>
        <w:rPr>
          <w:rFonts w:hint="eastAsia"/>
          <w:lang w:val="es-ES_tradnl"/>
        </w:rPr>
        <w:t>年的第</w:t>
      </w:r>
      <w:r>
        <w:rPr>
          <w:rFonts w:hint="eastAsia"/>
          <w:lang w:val="es-ES_tradnl"/>
        </w:rPr>
        <w:t>581</w:t>
      </w:r>
      <w:r>
        <w:rPr>
          <w:rFonts w:hint="eastAsia"/>
          <w:lang w:val="es-ES_tradnl"/>
        </w:rPr>
        <w:t>号法。进行适当调整，加大对违反这一法律的行为的惩处力度并将惩处落到实处；</w:t>
      </w:r>
      <w:r>
        <w:rPr>
          <w:rFonts w:hint="eastAsia"/>
          <w:lang w:val="es-ES_tradnl"/>
        </w:rPr>
        <w:t xml:space="preserve">(b) </w:t>
      </w:r>
      <w:r>
        <w:rPr>
          <w:rFonts w:hint="eastAsia"/>
          <w:lang w:val="es-ES_tradnl"/>
        </w:rPr>
        <w:t>在各政党中激励开展行动，确保将两性平等内化为政党和组织和运作原则（《国家宪法》第</w:t>
      </w:r>
      <w:r>
        <w:rPr>
          <w:rFonts w:hint="eastAsia"/>
          <w:lang w:val="es-ES_tradnl"/>
        </w:rPr>
        <w:t>107</w:t>
      </w:r>
      <w:r>
        <w:rPr>
          <w:rFonts w:hint="eastAsia"/>
          <w:lang w:val="es-ES_tradnl"/>
        </w:rPr>
        <w:t>条）；</w:t>
      </w:r>
      <w:r>
        <w:rPr>
          <w:rFonts w:hint="eastAsia"/>
          <w:lang w:val="es-ES_tradnl"/>
        </w:rPr>
        <w:t xml:space="preserve">(c) </w:t>
      </w:r>
      <w:r>
        <w:rPr>
          <w:rFonts w:hint="eastAsia"/>
          <w:lang w:val="es-ES_tradnl"/>
        </w:rPr>
        <w:t>开展旨在促进妇女的政治参与的全国运动。</w:t>
      </w:r>
    </w:p>
  </w:footnote>
  <w:footnote w:id="96">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为达到上述目标所制定的战略有：</w:t>
      </w:r>
      <w:r>
        <w:rPr>
          <w:rFonts w:hint="eastAsia"/>
          <w:lang w:val="es-ES_tradnl"/>
        </w:rPr>
        <w:t xml:space="preserve">(a) </w:t>
      </w:r>
      <w:r>
        <w:rPr>
          <w:rFonts w:hint="eastAsia"/>
          <w:lang w:val="es-ES_tradnl"/>
        </w:rPr>
        <w:t>旨在提高妇女在劳动市场中的参与率的各项行动，包括创造就业岗位计划以及各类不同的就业模式。这方面的工作由社会保障部和国家性别机制负责开展；</w:t>
      </w:r>
      <w:r>
        <w:rPr>
          <w:rFonts w:hint="eastAsia"/>
          <w:lang w:val="es-ES_tradnl"/>
        </w:rPr>
        <w:t xml:space="preserve">(b) </w:t>
      </w:r>
      <w:r>
        <w:rPr>
          <w:rFonts w:hint="eastAsia"/>
          <w:lang w:val="es-ES_tradnl"/>
        </w:rPr>
        <w:t>提高妇女在传统意义上主要由男性占主导的行业中的参与率；</w:t>
      </w:r>
      <w:r>
        <w:rPr>
          <w:rFonts w:hint="eastAsia"/>
          <w:lang w:val="es-ES_tradnl"/>
        </w:rPr>
        <w:t xml:space="preserve">(c) </w:t>
      </w:r>
      <w:r>
        <w:rPr>
          <w:rFonts w:hint="eastAsia"/>
          <w:lang w:val="es-ES_tradnl"/>
        </w:rPr>
        <w:t>开展行动以降低男女失业率的差距；</w:t>
      </w:r>
      <w:r>
        <w:rPr>
          <w:rFonts w:hint="eastAsia"/>
          <w:lang w:val="es-ES_tradnl"/>
        </w:rPr>
        <w:t xml:space="preserve">(d) </w:t>
      </w:r>
      <w:r>
        <w:rPr>
          <w:rFonts w:hint="eastAsia"/>
          <w:lang w:val="es-ES_tradnl"/>
        </w:rPr>
        <w:t>开展有助于减少男女劳动收入差距的行动；</w:t>
      </w:r>
      <w:r>
        <w:rPr>
          <w:rFonts w:hint="eastAsia"/>
          <w:lang w:val="es-ES_tradnl"/>
        </w:rPr>
        <w:t xml:space="preserve">(e) </w:t>
      </w:r>
      <w:r>
        <w:rPr>
          <w:rFonts w:hint="eastAsia"/>
          <w:lang w:val="es-ES_tradnl"/>
        </w:rPr>
        <w:t>实施旨在提高对劳动原则和劳动基本权利的认识的活动的思想教育方案，特别重视普及旨在保护妇女的法规和协定；</w:t>
      </w:r>
      <w:r>
        <w:rPr>
          <w:rFonts w:hint="eastAsia"/>
          <w:lang w:val="es-ES_tradnl"/>
        </w:rPr>
        <w:t xml:space="preserve">(f) </w:t>
      </w:r>
      <w:r>
        <w:rPr>
          <w:rFonts w:hint="eastAsia"/>
          <w:lang w:val="es-ES_tradnl"/>
        </w:rPr>
        <w:t>国家的各项战略应当以消除劳动人口之间，即</w:t>
      </w:r>
      <w:r>
        <w:rPr>
          <w:rFonts w:hint="eastAsia"/>
          <w:lang w:val="es-ES_tradnl"/>
        </w:rPr>
        <w:t>18</w:t>
      </w:r>
      <w:r>
        <w:rPr>
          <w:rFonts w:hint="eastAsia"/>
          <w:lang w:val="es-ES_tradnl"/>
        </w:rPr>
        <w:t>岁及以上男女劳动者的差异为导向，其目的是帮助消除童工劳动并让学龄阶段的青少年重返校园。</w:t>
      </w:r>
    </w:p>
  </w:footnote>
  <w:footnote w:id="97">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宪法法院</w:t>
      </w:r>
      <w:r>
        <w:rPr>
          <w:rFonts w:hint="eastAsia"/>
          <w:lang w:val="es-ES_tradnl"/>
        </w:rPr>
        <w:t>2008</w:t>
      </w:r>
      <w:r>
        <w:rPr>
          <w:rFonts w:hint="eastAsia"/>
          <w:lang w:val="es-ES_tradnl"/>
        </w:rPr>
        <w:t>年的第</w:t>
      </w:r>
      <w:r>
        <w:rPr>
          <w:rFonts w:hint="eastAsia"/>
          <w:lang w:val="es-ES_tradnl"/>
        </w:rPr>
        <w:t>C-540</w:t>
      </w:r>
      <w:r>
        <w:rPr>
          <w:rFonts w:hint="eastAsia"/>
          <w:lang w:val="es-ES_tradnl"/>
        </w:rPr>
        <w:t>号判决，主审大法官：温贝托·安东尼奥·塞拉波尔图博士，波哥大特区，</w:t>
      </w:r>
      <w:smartTag w:uri="urn:schemas-microsoft-com:office:smarttags" w:element="chsdate">
        <w:smartTagPr>
          <w:attr w:name="Year" w:val="2008"/>
          <w:attr w:name="Month" w:val="5"/>
          <w:attr w:name="Day" w:val="28"/>
          <w:attr w:name="IsLunarDate" w:val="False"/>
          <w:attr w:name="IsROCDate" w:val="False"/>
        </w:smartTagPr>
        <w:r>
          <w:rPr>
            <w:rFonts w:hint="eastAsia"/>
            <w:lang w:val="es-ES_tradnl"/>
          </w:rPr>
          <w:t>2008</w:t>
        </w:r>
        <w:r>
          <w:rPr>
            <w:rFonts w:hint="eastAsia"/>
            <w:lang w:val="es-ES_tradnl"/>
          </w:rPr>
          <w:t>年</w:t>
        </w:r>
        <w:r>
          <w:rPr>
            <w:rFonts w:hint="eastAsia"/>
            <w:lang w:val="es-ES_tradnl"/>
          </w:rPr>
          <w:t>5</w:t>
        </w:r>
        <w:r>
          <w:rPr>
            <w:rFonts w:hint="eastAsia"/>
            <w:lang w:val="es-ES_tradnl"/>
          </w:rPr>
          <w:t>月</w:t>
        </w:r>
        <w:r>
          <w:rPr>
            <w:rFonts w:hint="eastAsia"/>
            <w:lang w:val="es-ES_tradnl"/>
          </w:rPr>
          <w:t>28</w:t>
        </w:r>
        <w:r>
          <w:rPr>
            <w:rFonts w:hint="eastAsia"/>
            <w:lang w:val="es-ES_tradnl"/>
          </w:rPr>
          <w:t>日</w:t>
        </w:r>
      </w:smartTag>
      <w:r>
        <w:rPr>
          <w:rFonts w:hint="eastAsia"/>
          <w:lang w:val="es-ES_tradnl"/>
        </w:rPr>
        <w:t>。</w:t>
      </w:r>
    </w:p>
  </w:footnote>
  <w:footnote w:id="98">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宪法法院</w:t>
      </w:r>
      <w:r>
        <w:rPr>
          <w:rFonts w:hint="eastAsia"/>
          <w:lang w:val="es-ES_tradnl"/>
        </w:rPr>
        <w:t>2005</w:t>
      </w:r>
      <w:r>
        <w:rPr>
          <w:rFonts w:hint="eastAsia"/>
          <w:lang w:val="es-ES_tradnl"/>
        </w:rPr>
        <w:t>年的第</w:t>
      </w:r>
      <w:r>
        <w:rPr>
          <w:rFonts w:hint="eastAsia"/>
          <w:lang w:val="es-ES_tradnl"/>
        </w:rPr>
        <w:t>C-534</w:t>
      </w:r>
      <w:r>
        <w:rPr>
          <w:rFonts w:hint="eastAsia"/>
          <w:lang w:val="es-ES_tradnl"/>
        </w:rPr>
        <w:t>号判决，主审大法官：温贝托·安东尼奥·塞拉波尔图博士，波哥大特区，</w:t>
      </w:r>
      <w:smartTag w:uri="urn:schemas-microsoft-com:office:smarttags" w:element="chsdate">
        <w:smartTagPr>
          <w:attr w:name="Year" w:val="2005"/>
          <w:attr w:name="Month" w:val="1"/>
          <w:attr w:name="Day" w:val="11"/>
          <w:attr w:name="IsLunarDate" w:val="False"/>
          <w:attr w:name="IsROCDate" w:val="False"/>
        </w:smartTagPr>
        <w:r>
          <w:rPr>
            <w:rFonts w:hint="eastAsia"/>
            <w:lang w:val="es-ES_tradnl"/>
          </w:rPr>
          <w:t>2005</w:t>
        </w:r>
        <w:r>
          <w:rPr>
            <w:rFonts w:hint="eastAsia"/>
            <w:lang w:val="es-ES_tradnl"/>
          </w:rPr>
          <w:t>年</w:t>
        </w:r>
        <w:r>
          <w:rPr>
            <w:rFonts w:hint="eastAsia"/>
            <w:lang w:val="es-ES_tradnl"/>
          </w:rPr>
          <w:t>1</w:t>
        </w:r>
        <w:r>
          <w:rPr>
            <w:rFonts w:hint="eastAsia"/>
            <w:lang w:val="es-ES_tradnl"/>
          </w:rPr>
          <w:t>月</w:t>
        </w:r>
        <w:r>
          <w:rPr>
            <w:rFonts w:hint="eastAsia"/>
            <w:lang w:val="es-ES_tradnl"/>
          </w:rPr>
          <w:t>11</w:t>
        </w:r>
        <w:r>
          <w:rPr>
            <w:rFonts w:hint="eastAsia"/>
            <w:lang w:val="es-ES_tradnl"/>
          </w:rPr>
          <w:t>日</w:t>
        </w:r>
      </w:smartTag>
      <w:r>
        <w:rPr>
          <w:rFonts w:hint="eastAsia"/>
          <w:lang w:val="es-ES_tradnl"/>
        </w:rPr>
        <w:t>。在这一判决中，需要着重强调的是以下内容：（……）因此，一个有效落实男女平等和根除基于性别原因的暴力的办法就是给予妇女特殊保护，硬性规定对妇女权利的保护，使之成为一项哥伦比亚这样一个民主国家的宪法宗旨。</w:t>
      </w:r>
      <w:r>
        <w:rPr>
          <w:rFonts w:hint="eastAsia"/>
          <w:lang w:val="es-ES"/>
        </w:rPr>
        <w:t>法律法规中对女性给予了与男性同等条件的保护，但是在特定条件下为平衡男女所处的状况而进行了例外的规定，而这种保护也完全适用于男童和女童。（……）法院规定从法律意义上说不可能剥夺或禁止一项权利的行使，也不可能因一个人的性别或年龄等站不住脚的原因而拒绝其享受某种福利，上述情况只可能发生在没有正当法律依据的情况下，构成歧视行为，而歧视行为</w:t>
      </w:r>
      <w:r>
        <w:rPr>
          <w:rFonts w:hint="eastAsia"/>
          <w:lang w:val="es-ES_tradnl"/>
        </w:rPr>
        <w:t>是在法律上站不住脚的，损害了《宪法》第</w:t>
      </w:r>
      <w:r>
        <w:rPr>
          <w:rFonts w:hint="eastAsia"/>
          <w:lang w:val="es-ES_tradnl"/>
        </w:rPr>
        <w:t>13</w:t>
      </w:r>
      <w:r>
        <w:rPr>
          <w:rFonts w:hint="eastAsia"/>
          <w:lang w:val="es-ES_tradnl"/>
        </w:rPr>
        <w:t>条中包含的权利。</w:t>
      </w:r>
    </w:p>
  </w:footnote>
  <w:footnote w:id="99">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一些会议的主题涉及到创办国家性别事务委员会并使委员会投入运作，还有一些会议涉及到以下主题：</w:t>
      </w:r>
      <w:r>
        <w:rPr>
          <w:rFonts w:hint="eastAsia"/>
          <w:lang w:val="es-ES_tradnl"/>
        </w:rPr>
        <w:t xml:space="preserve">(a) </w:t>
      </w:r>
      <w:r>
        <w:rPr>
          <w:rFonts w:hint="eastAsia"/>
          <w:lang w:val="es-ES_tradnl"/>
        </w:rPr>
        <w:t>性别问题、妇女问题、将上述问题内化为司法体系内部程序；</w:t>
      </w:r>
      <w:r>
        <w:rPr>
          <w:rFonts w:hint="eastAsia"/>
          <w:lang w:val="es-ES_tradnl"/>
        </w:rPr>
        <w:t xml:space="preserve">(b) </w:t>
      </w:r>
      <w:r>
        <w:rPr>
          <w:rFonts w:hint="eastAsia"/>
          <w:lang w:val="es-ES_tradnl"/>
        </w:rPr>
        <w:t>国家在分娩死亡率问题上应担负的责任；</w:t>
      </w:r>
      <w:r>
        <w:rPr>
          <w:rFonts w:hint="eastAsia"/>
          <w:lang w:val="es-ES_tradnl"/>
        </w:rPr>
        <w:t xml:space="preserve">(c) </w:t>
      </w:r>
      <w:r>
        <w:rPr>
          <w:rFonts w:hint="eastAsia"/>
          <w:lang w:val="es-ES_tradnl"/>
        </w:rPr>
        <w:t>产妇死亡率：暴力侵害妇女行为的另一面；</w:t>
      </w:r>
      <w:r>
        <w:rPr>
          <w:rFonts w:hint="eastAsia"/>
          <w:lang w:val="es-ES_tradnl"/>
        </w:rPr>
        <w:t xml:space="preserve">(d) </w:t>
      </w:r>
      <w:r>
        <w:rPr>
          <w:rFonts w:hint="eastAsia"/>
          <w:lang w:val="es-ES_tradnl"/>
        </w:rPr>
        <w:t>在司法决议中的性别倾向性用语；</w:t>
      </w:r>
      <w:r>
        <w:rPr>
          <w:rFonts w:hint="eastAsia"/>
          <w:lang w:val="es-ES_tradnl"/>
        </w:rPr>
        <w:t xml:space="preserve">(e) </w:t>
      </w:r>
      <w:r>
        <w:rPr>
          <w:rFonts w:hint="eastAsia"/>
          <w:lang w:val="es-ES_tradnl"/>
        </w:rPr>
        <w:t>对杀戮妇女罪和其他形式的暴力侵害妇女问题的专项刑事整治；</w:t>
      </w:r>
      <w:r>
        <w:rPr>
          <w:rFonts w:hint="eastAsia"/>
          <w:lang w:val="es-ES_tradnl"/>
        </w:rPr>
        <w:t xml:space="preserve">(f) </w:t>
      </w:r>
      <w:r>
        <w:rPr>
          <w:rFonts w:hint="eastAsia"/>
          <w:lang w:val="es-ES_tradnl"/>
        </w:rPr>
        <w:t>性别问题和强迫失踪：从群体角度看问题；</w:t>
      </w:r>
      <w:r>
        <w:rPr>
          <w:rFonts w:hint="eastAsia"/>
          <w:lang w:val="es-ES_tradnl"/>
        </w:rPr>
        <w:t xml:space="preserve">(g) </w:t>
      </w:r>
      <w:r>
        <w:rPr>
          <w:rFonts w:hint="eastAsia"/>
          <w:lang w:val="es-ES_tradnl"/>
        </w:rPr>
        <w:t>性别问题调查问卷应用指导方针；</w:t>
      </w:r>
      <w:r>
        <w:rPr>
          <w:rFonts w:hint="eastAsia"/>
          <w:lang w:val="es-ES_tradnl"/>
        </w:rPr>
        <w:t xml:space="preserve">(h) </w:t>
      </w:r>
      <w:r>
        <w:rPr>
          <w:rFonts w:hint="eastAsia"/>
          <w:lang w:val="es-ES_tradnl"/>
        </w:rPr>
        <w:t>家庭权利和性别权利；</w:t>
      </w:r>
      <w:r>
        <w:rPr>
          <w:rFonts w:hint="eastAsia"/>
          <w:lang w:val="es-ES_tradnl"/>
        </w:rPr>
        <w:t xml:space="preserve">(i) </w:t>
      </w:r>
      <w:r>
        <w:rPr>
          <w:rFonts w:hint="eastAsia"/>
          <w:lang w:val="es-ES_tradnl"/>
        </w:rPr>
        <w:t>语言：在构筑平等事业中的一项战略要素。</w:t>
      </w:r>
    </w:p>
  </w:footnote>
  <w:footnote w:id="100">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在对公共武装部队成员进行指导的环节上，</w:t>
      </w:r>
      <w:r>
        <w:rPr>
          <w:rFonts w:hint="eastAsia"/>
          <w:lang w:val="es-ES_tradnl"/>
        </w:rPr>
        <w:t>2009</w:t>
      </w:r>
      <w:r>
        <w:rPr>
          <w:rFonts w:hint="eastAsia"/>
          <w:lang w:val="es-ES_tradnl"/>
        </w:rPr>
        <w:t>年期间已经在哥伦比亚的各所军事院校和军事训练机构中对</w:t>
      </w:r>
      <w:r>
        <w:rPr>
          <w:rFonts w:hint="eastAsia"/>
          <w:lang w:val="es-ES_tradnl"/>
        </w:rPr>
        <w:t>215</w:t>
      </w:r>
      <w:r>
        <w:rPr>
          <w:lang w:val="es-ES_tradnl"/>
        </w:rPr>
        <w:t>,</w:t>
      </w:r>
      <w:r>
        <w:rPr>
          <w:rFonts w:hint="eastAsia"/>
          <w:lang w:val="es-ES_tradnl"/>
        </w:rPr>
        <w:t>406</w:t>
      </w:r>
      <w:r>
        <w:rPr>
          <w:rFonts w:hint="eastAsia"/>
          <w:lang w:val="es-ES_tradnl"/>
        </w:rPr>
        <w:t>名军官、士官、一般士兵和民兵进行了培训。此外，部队在全国各地设立了</w:t>
      </w:r>
      <w:r>
        <w:rPr>
          <w:rFonts w:hint="eastAsia"/>
          <w:lang w:val="es-ES_tradnl"/>
        </w:rPr>
        <w:t>25</w:t>
      </w:r>
      <w:r>
        <w:rPr>
          <w:rFonts w:hint="eastAsia"/>
          <w:lang w:val="es-ES_tradnl"/>
        </w:rPr>
        <w:t>个军事训练营地，目的就是强化地区层面的训练，并为部队配备更好的装备，以应对可能侵犯人权或违反国际人道主义法的情形。训练内容包括在战术、技术和实战环节中正确应用交战规则的程序方面的专项训练。</w:t>
      </w:r>
    </w:p>
  </w:footnote>
  <w:footnote w:id="101">
    <w:p w:rsidR="00A83775" w:rsidRDefault="00A83775">
      <w:pPr>
        <w:pStyle w:val="FootnoteText"/>
        <w:widowControl w:val="0"/>
        <w:tabs>
          <w:tab w:val="clear" w:pos="1021"/>
          <w:tab w:val="right" w:pos="1020"/>
        </w:tabs>
        <w:rPr>
          <w:rFonts w:hint="eastAsia"/>
          <w:lang w:val="es-ES_tradnl"/>
        </w:rPr>
      </w:pPr>
      <w:r>
        <w:rPr>
          <w:lang w:val="es-ES_tradnl"/>
        </w:rPr>
        <w:tab/>
      </w:r>
      <w:r>
        <w:rPr>
          <w:rStyle w:val="FootnoteReference"/>
        </w:rPr>
        <w:footnoteRef/>
      </w:r>
      <w:r>
        <w:rPr>
          <w:lang w:val="es-ES_tradnl"/>
        </w:rPr>
        <w:tab/>
      </w:r>
      <w:r>
        <w:rPr>
          <w:rFonts w:hint="eastAsia"/>
          <w:lang w:val="fr-FR"/>
        </w:rPr>
        <w:t>参见</w:t>
      </w:r>
      <w:hyperlink r:id="rId8" w:history="1">
        <w:r>
          <w:rPr>
            <w:rStyle w:val="Hyperlink"/>
            <w:color w:val="auto"/>
            <w:u w:val="none"/>
            <w:lang w:val="es-ES_tradnl"/>
          </w:rPr>
          <w:t>www.icbf.gov.co</w:t>
        </w:r>
      </w:hyperlink>
      <w:r>
        <w:rPr>
          <w:rFonts w:hint="eastAsia"/>
          <w:lang w:val="fr-FR"/>
        </w:rPr>
        <w:t>。</w:t>
      </w:r>
    </w:p>
  </w:footnote>
  <w:footnote w:id="102">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2005</w:t>
      </w:r>
      <w:r>
        <w:rPr>
          <w:rFonts w:hint="eastAsia"/>
          <w:lang w:val="es-ES_tradnl"/>
        </w:rPr>
        <w:t>年颁布的第</w:t>
      </w:r>
      <w:r>
        <w:rPr>
          <w:rFonts w:hint="eastAsia"/>
          <w:lang w:val="es-ES_tradnl"/>
        </w:rPr>
        <w:t>975</w:t>
      </w:r>
      <w:r>
        <w:rPr>
          <w:rFonts w:hint="eastAsia"/>
          <w:lang w:val="es-ES_tradnl"/>
        </w:rPr>
        <w:t>号《正义与和平法》，其宗旨是帮助推进和平进程，使游走于法律边缘的武装部队成员逐一或集体重返社会生活，并创立了国家赔偿与和解委员会，旨在保障受害者的权利，揭示真相，伸张正义并赔偿受害者的损失；建议政府实施一项集体修复机构方案，帮助恢复法治国家的体制，恢复和增进暴力受害者的权利，承认并尊重受害者；鼓励开展各类行动，促进国内各界的和解，从受害者的视角重建历史回忆，等等。</w:t>
      </w:r>
    </w:p>
  </w:footnote>
  <w:footnote w:id="103">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iCs/>
          <w:lang w:val="es-ES_tradnl"/>
        </w:rPr>
        <w:t>为揭示历史的真实面貌，在哥伦比亚所遭受的暴力年代中，国家赔偿与和解委员会设立了一个历史记忆工作组。工作组的一条特定的工作路线就是关于性别、回忆和战争的研究路线，目的是寻求能够揭示历史真相的各种回忆，揭示妇女所遭受的暴力侵害。此外，历史记忆工作组还开发了各类工作方法，以便使全社会能够自发开展重建历史回忆的程序。</w:t>
      </w:r>
    </w:p>
  </w:footnote>
  <w:footnote w:id="104">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t>帕斯托、波帕扬、波哥大、麦德林、卡塔赫纳、巴兰基亚、布埃纳文图拉、图马科、比亚维森西奥、亚马逊、佛罗伦萨</w:t>
      </w:r>
      <w:r>
        <w:rPr>
          <w:rFonts w:hint="eastAsia"/>
        </w:rPr>
        <w:t>，以及</w:t>
      </w:r>
      <w:r>
        <w:t>安第斯、加勒比、太平洋、奥里诺</w:t>
      </w:r>
      <w:r>
        <w:rPr>
          <w:rFonts w:hint="eastAsia"/>
        </w:rPr>
        <w:t>基亚</w:t>
      </w:r>
      <w:r>
        <w:t>和亚马逊</w:t>
      </w:r>
      <w:r>
        <w:rPr>
          <w:rFonts w:hint="eastAsia"/>
        </w:rPr>
        <w:t>地区</w:t>
      </w:r>
      <w:r>
        <w:t>的</w:t>
      </w:r>
      <w:r>
        <w:rPr>
          <w:rFonts w:hint="eastAsia"/>
        </w:rPr>
        <w:t>代表性</w:t>
      </w:r>
      <w:r>
        <w:t>城市。</w:t>
      </w:r>
    </w:p>
  </w:footnote>
  <w:footnote w:id="105">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设计并实施了妇女和性别问题学位课程，授课对象为卫生、教育、司法、警察、法医、红十字会等领域的公共和私人部门的工作人员。这一学位课程包含以下模块：</w:t>
      </w:r>
      <w:r>
        <w:rPr>
          <w:rFonts w:hint="eastAsia"/>
          <w:lang w:val="es-ES_tradnl"/>
        </w:rPr>
        <w:t xml:space="preserve">(a) </w:t>
      </w:r>
      <w:r>
        <w:rPr>
          <w:rFonts w:hint="eastAsia"/>
          <w:lang w:val="es-ES_tradnl"/>
        </w:rPr>
        <w:t>与性别和通讯有关的权力；</w:t>
      </w:r>
      <w:r>
        <w:rPr>
          <w:rFonts w:hint="eastAsia"/>
          <w:lang w:val="es-ES_tradnl"/>
        </w:rPr>
        <w:t xml:space="preserve">(b) </w:t>
      </w:r>
      <w:r>
        <w:rPr>
          <w:rFonts w:hint="eastAsia"/>
          <w:lang w:val="es-ES_tradnl"/>
        </w:rPr>
        <w:t>性别暴力；</w:t>
      </w:r>
      <w:r>
        <w:rPr>
          <w:rFonts w:hint="eastAsia"/>
          <w:lang w:val="es-ES_tradnl"/>
        </w:rPr>
        <w:t xml:space="preserve">(c) </w:t>
      </w:r>
      <w:r>
        <w:rPr>
          <w:rFonts w:hint="eastAsia"/>
          <w:lang w:val="es-ES_tradnl"/>
        </w:rPr>
        <w:t>对妇女的劳动歧视和妇女的劳动权利；</w:t>
      </w:r>
      <w:r>
        <w:rPr>
          <w:rFonts w:hint="eastAsia"/>
          <w:lang w:val="es-ES_tradnl"/>
        </w:rPr>
        <w:t xml:space="preserve">(d) </w:t>
      </w:r>
      <w:r>
        <w:rPr>
          <w:rFonts w:hint="eastAsia"/>
          <w:lang w:val="es-ES_tradnl"/>
        </w:rPr>
        <w:t>婚姻关系的破裂；</w:t>
      </w:r>
      <w:r>
        <w:rPr>
          <w:rFonts w:hint="eastAsia"/>
          <w:lang w:val="es-ES_tradnl"/>
        </w:rPr>
        <w:t xml:space="preserve">(e) </w:t>
      </w:r>
      <w:r>
        <w:rPr>
          <w:rFonts w:hint="eastAsia"/>
          <w:lang w:val="es-ES_tradnl"/>
        </w:rPr>
        <w:t>妇女与流离失所。并专门针对警察成员（女警以及其他男性和女性公务员）设立了人权问题专属模块。</w:t>
      </w:r>
    </w:p>
  </w:footnote>
  <w:footnote w:id="106">
    <w:p w:rsidR="00A83775" w:rsidRDefault="00A83775">
      <w:pPr>
        <w:pStyle w:val="FootnoteText"/>
        <w:widowControl w:val="0"/>
        <w:tabs>
          <w:tab w:val="clear" w:pos="1021"/>
          <w:tab w:val="right" w:pos="1020"/>
        </w:tabs>
        <w:rPr>
          <w:rFonts w:hint="eastAsia"/>
          <w:lang w:val="es-ES_tradnl"/>
        </w:rPr>
      </w:pPr>
      <w:r>
        <w:rPr>
          <w:lang w:val="es-ES_tradnl"/>
        </w:rPr>
        <w:tab/>
      </w:r>
      <w:r>
        <w:rPr>
          <w:rStyle w:val="FootnoteReference"/>
        </w:rPr>
        <w:footnoteRef/>
      </w:r>
      <w:r>
        <w:rPr>
          <w:lang w:val="es-ES_tradnl"/>
        </w:rPr>
        <w:tab/>
      </w:r>
      <w:r>
        <w:rPr>
          <w:rFonts w:hint="eastAsia"/>
          <w:lang w:val="es-CO"/>
        </w:rPr>
        <w:t>选择的代言人为胡安·帕布罗·拉巴（演员）、</w:t>
      </w:r>
      <w:r>
        <w:rPr>
          <w:rFonts w:hint="eastAsia"/>
          <w:lang w:val="es-CO"/>
        </w:rPr>
        <w:t xml:space="preserve">J. </w:t>
      </w:r>
      <w:r>
        <w:rPr>
          <w:rFonts w:hint="eastAsia"/>
          <w:lang w:val="es-CO"/>
        </w:rPr>
        <w:t>巴尔文（歌手）、安东尼奥·卡萨莱（体育评论家）和胡安·戴维德（歌手）。这些名人所代言的信息录制成电视节目后在露天电视的各频道循环播放，为此信息技术和通信部</w:t>
      </w:r>
      <w:r>
        <w:rPr>
          <w:rFonts w:hint="eastAsia"/>
          <w:lang w:val="es-ES_tradnl"/>
        </w:rPr>
        <w:t>与国家电视委员会在</w:t>
      </w:r>
      <w:r>
        <w:rPr>
          <w:rFonts w:hint="eastAsia"/>
          <w:lang w:val="es-ES_tradnl"/>
        </w:rPr>
        <w:t>2010</w:t>
      </w:r>
      <w:r>
        <w:rPr>
          <w:rFonts w:hint="eastAsia"/>
          <w:lang w:val="es-ES_tradnl"/>
        </w:rPr>
        <w:t>年签署了第</w:t>
      </w:r>
      <w:r>
        <w:rPr>
          <w:rFonts w:hint="eastAsia"/>
          <w:lang w:val="es-ES_tradnl"/>
        </w:rPr>
        <w:t>000037 / 080</w:t>
      </w:r>
      <w:r>
        <w:rPr>
          <w:rFonts w:hint="eastAsia"/>
          <w:lang w:val="es-ES_tradnl"/>
        </w:rPr>
        <w:t>号合作协议。</w:t>
      </w:r>
    </w:p>
  </w:footnote>
  <w:footnote w:id="107">
    <w:p w:rsidR="00A83775" w:rsidRDefault="00A83775">
      <w:pPr>
        <w:pStyle w:val="FootnoteText"/>
        <w:widowControl w:val="0"/>
        <w:tabs>
          <w:tab w:val="clear" w:pos="1021"/>
          <w:tab w:val="right" w:pos="1020"/>
          <w:tab w:val="left" w:pos="2112"/>
        </w:tabs>
        <w:rPr>
          <w:lang w:val="es-ES_tradnl"/>
        </w:rPr>
      </w:pPr>
      <w:r>
        <w:rPr>
          <w:lang w:val="es-ES_tradnl"/>
        </w:rPr>
        <w:tab/>
      </w:r>
      <w:r>
        <w:rPr>
          <w:rStyle w:val="FootnoteReference"/>
        </w:rPr>
        <w:footnoteRef/>
      </w:r>
      <w:r>
        <w:rPr>
          <w:lang w:val="es-ES_tradnl"/>
        </w:rPr>
        <w:tab/>
      </w:r>
      <w:r>
        <w:rPr>
          <w:rFonts w:hint="eastAsia"/>
          <w:iCs/>
          <w:lang w:val="es-ES_tradnl"/>
        </w:rPr>
        <w:t>第</w:t>
      </w:r>
      <w:r>
        <w:rPr>
          <w:rFonts w:hint="eastAsia"/>
          <w:iCs/>
          <w:lang w:val="es-ES_tradnl"/>
        </w:rPr>
        <w:t>33</w:t>
      </w:r>
      <w:r>
        <w:rPr>
          <w:rFonts w:hint="eastAsia"/>
          <w:iCs/>
          <w:lang w:val="es-ES_tradnl"/>
        </w:rPr>
        <w:t>条：人、个人、儿童、成人和其他类似的词语，从一般意义上来说都是指人类物种的单个个体，不以性别而有所区分，当这些词语出现在法律规定中时，除非由于规定本身的性质或者规定的背景而有限制性地专门针对一种性别，否则都是指男女双性。相反，女人，女童、寡妇及其他类似词语均表明了其女性性别，因而不适用于男性，除非明确说明法律规定将其范围扩展到了男性。</w:t>
      </w:r>
    </w:p>
  </w:footnote>
  <w:footnote w:id="108">
    <w:p w:rsidR="00A83775" w:rsidRDefault="00A83775">
      <w:pPr>
        <w:pStyle w:val="FootnoteText"/>
        <w:widowControl w:val="0"/>
        <w:tabs>
          <w:tab w:val="clear" w:pos="1021"/>
          <w:tab w:val="right" w:pos="1020"/>
        </w:tabs>
        <w:rPr>
          <w:rFonts w:hint="eastAsia"/>
          <w:lang w:val="es-ES_tradnl"/>
        </w:rPr>
      </w:pPr>
      <w:r>
        <w:rPr>
          <w:lang w:val="es-ES_tradnl"/>
        </w:rPr>
        <w:tab/>
      </w:r>
      <w:r>
        <w:rPr>
          <w:rStyle w:val="FootnoteReference"/>
        </w:rPr>
        <w:footnoteRef/>
      </w:r>
      <w:r>
        <w:rPr>
          <w:lang w:val="es-ES_tradnl"/>
        </w:rPr>
        <w:tab/>
      </w:r>
      <w:r>
        <w:rPr>
          <w:rFonts w:hint="eastAsia"/>
        </w:rPr>
        <w:t>全面打击基于性别原因的暴力行为方案</w:t>
      </w:r>
      <w:r>
        <w:rPr>
          <w:rFonts w:hint="eastAsia"/>
          <w:lang w:val="es-ES_tradnl"/>
        </w:rPr>
        <w:t>组</w:t>
      </w:r>
      <w:smartTag w:uri="urn:schemas-microsoft-com:office:smarttags" w:element="chsdate">
        <w:smartTagPr>
          <w:attr w:name="Year" w:val="2010"/>
          <w:attr w:name="Month" w:val="10"/>
          <w:attr w:name="Day" w:val="5"/>
          <w:attr w:name="IsLunarDate" w:val="False"/>
          <w:attr w:name="IsROCDate" w:val="False"/>
        </w:smartTagPr>
        <w:r>
          <w:rPr>
            <w:rFonts w:hint="eastAsia"/>
            <w:lang w:val="es-ES_tradnl"/>
          </w:rPr>
          <w:t>2010</w:t>
        </w:r>
        <w:r>
          <w:rPr>
            <w:rFonts w:hint="eastAsia"/>
            <w:lang w:val="es-ES_tradnl"/>
          </w:rPr>
          <w:t>年</w:t>
        </w:r>
        <w:r>
          <w:rPr>
            <w:rFonts w:hint="eastAsia"/>
            <w:lang w:val="es-ES_tradnl"/>
          </w:rPr>
          <w:t>10</w:t>
        </w:r>
        <w:r>
          <w:rPr>
            <w:rFonts w:hint="eastAsia"/>
            <w:lang w:val="es-ES_tradnl"/>
          </w:rPr>
          <w:t>月</w:t>
        </w:r>
        <w:r>
          <w:rPr>
            <w:rFonts w:hint="eastAsia"/>
            <w:lang w:val="es-ES_tradnl"/>
          </w:rPr>
          <w:t>5</w:t>
        </w:r>
        <w:r>
          <w:rPr>
            <w:rFonts w:hint="eastAsia"/>
            <w:lang w:val="es-ES_tradnl"/>
          </w:rPr>
          <w:t>日</w:t>
        </w:r>
      </w:smartTag>
      <w:r>
        <w:rPr>
          <w:rFonts w:hint="eastAsia"/>
          <w:lang w:val="es-ES_tradnl"/>
        </w:rPr>
        <w:t>发布的关于机构容忍度和社会容忍度的新闻公报。</w:t>
      </w:r>
    </w:p>
  </w:footnote>
  <w:footnote w:id="109">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为预防对未成年人的性剥削，制定和实施上述行动计划的目的就是采用综合性办法来预防最恶劣形式的童工劳动，为此选择通过各省和各市的预防和根除童工劳动委员会联合开展工作，并对这些委员会进行关于消除最恶劣形式童工劳动的思想教育。与此同时，在基本原则和权利框架内，通过向弱势女性人口开展提高认识活动，力求从省一级和市一级层面将妇女遭受劳动剥削、家庭剥削和经济剥削的风险降至最低。</w:t>
      </w:r>
    </w:p>
  </w:footnote>
  <w:footnote w:id="110">
    <w:p w:rsidR="00A83775" w:rsidRDefault="00A83775">
      <w:pPr>
        <w:pStyle w:val="FootnoteText"/>
        <w:widowControl w:val="0"/>
        <w:tabs>
          <w:tab w:val="clear" w:pos="1021"/>
          <w:tab w:val="right" w:pos="1020"/>
        </w:tabs>
        <w:rPr>
          <w:rFonts w:hint="eastAsia"/>
          <w:lang w:val="es-ES_tradnl"/>
        </w:rPr>
      </w:pPr>
      <w:r>
        <w:rPr>
          <w:lang w:val="es-ES_tradnl"/>
        </w:rPr>
        <w:tab/>
      </w:r>
      <w:r>
        <w:rPr>
          <w:rStyle w:val="FootnoteReference"/>
        </w:rPr>
        <w:footnoteRef/>
      </w:r>
      <w:r>
        <w:rPr>
          <w:lang w:val="es-ES_tradnl"/>
        </w:rPr>
        <w:tab/>
      </w:r>
      <w:r>
        <w:rPr>
          <w:rFonts w:hint="eastAsia"/>
          <w:lang w:val="es-ES_tradnl"/>
        </w:rPr>
        <w:t>内容可查阅网址：</w:t>
      </w:r>
      <w:r>
        <w:rPr>
          <w:lang w:val="es-ES_tradnl"/>
        </w:rPr>
        <w:t>equidad.presidencia.gov.co/Es/OAG/Paginas/Boletines.aspx</w:t>
      </w:r>
      <w:r>
        <w:rPr>
          <w:rFonts w:hint="eastAsia"/>
          <w:lang w:val="es-ES_tradnl"/>
        </w:rPr>
        <w:t>。</w:t>
      </w:r>
    </w:p>
  </w:footnote>
  <w:footnote w:id="111">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在国际合作组织的支持下，推动创立了各省或市的地方委员会，这些委员会由其对应行政区的省长或市长担任主席，作为当地机构间协调和合作的空间，目的就是密切地方的联系，从地域角度通过当地的行动来帮助加强对此类罪行的打击力度。</w:t>
      </w:r>
      <w:r>
        <w:rPr>
          <w:lang w:val="es-CO"/>
        </w:rPr>
        <w:t xml:space="preserve"> </w:t>
      </w:r>
    </w:p>
  </w:footnote>
  <w:footnote w:id="112">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城市设备集团（</w:t>
      </w:r>
      <w:r>
        <w:rPr>
          <w:rFonts w:hint="eastAsia"/>
          <w:lang w:val="es-ES_tradnl"/>
        </w:rPr>
        <w:t>EUCOL</w:t>
      </w:r>
      <w:r>
        <w:rPr>
          <w:rFonts w:hint="eastAsia"/>
          <w:lang w:val="es-ES_tradnl"/>
        </w:rPr>
        <w:t>）：从事在城市街边广告牌的设计、安装和营销的企业集团。</w:t>
      </w:r>
    </w:p>
  </w:footnote>
  <w:footnote w:id="113">
    <w:p w:rsidR="00A83775" w:rsidRDefault="00A83775">
      <w:pPr>
        <w:pStyle w:val="FootnoteText"/>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2010</w:t>
      </w:r>
      <w:r>
        <w:rPr>
          <w:rFonts w:hint="eastAsia"/>
          <w:lang w:val="es-ES_tradnl"/>
        </w:rPr>
        <w:t>年哥伦比亚精英模特大赛是一个面向</w:t>
      </w:r>
      <w:r>
        <w:rPr>
          <w:rFonts w:hint="eastAsia"/>
          <w:lang w:val="es-ES_tradnl"/>
        </w:rPr>
        <w:t>14-21</w:t>
      </w:r>
      <w:r>
        <w:rPr>
          <w:rFonts w:hint="eastAsia"/>
          <w:lang w:val="es-ES_tradnl"/>
        </w:rPr>
        <w:t>岁少女和年轻女性举办的全国性赛事，通过比赛遴选出优胜者代表哥伦比亚参加国际精英模特大赛。大赛采取地区巡回的方式，在</w:t>
      </w:r>
      <w:r>
        <w:rPr>
          <w:rFonts w:hint="eastAsia"/>
          <w:lang w:val="es-ES_tradnl"/>
        </w:rPr>
        <w:t>5</w:t>
      </w:r>
      <w:r>
        <w:rPr>
          <w:rFonts w:hint="eastAsia"/>
          <w:lang w:val="es-ES_tradnl"/>
        </w:rPr>
        <w:t>月至</w:t>
      </w:r>
      <w:r>
        <w:rPr>
          <w:rFonts w:hint="eastAsia"/>
          <w:lang w:val="es-ES_tradnl"/>
        </w:rPr>
        <w:t>8</w:t>
      </w:r>
      <w:r>
        <w:rPr>
          <w:rFonts w:hint="eastAsia"/>
          <w:lang w:val="es-ES_tradnl"/>
        </w:rPr>
        <w:t>月期间在蒙特利亚市、巴兰基亚市、布卡拉曼加市、麦德林市、波哥大市、卡塔赫纳市和卡利市巡回举办。在遴选过程中有</w:t>
      </w:r>
      <w:r>
        <w:rPr>
          <w:rFonts w:hint="eastAsia"/>
          <w:lang w:val="es-ES_tradnl"/>
        </w:rPr>
        <w:t>550</w:t>
      </w:r>
      <w:r>
        <w:rPr>
          <w:rFonts w:hint="eastAsia"/>
          <w:lang w:val="es-ES_tradnl"/>
        </w:rPr>
        <w:t>名选手和</w:t>
      </w:r>
      <w:r>
        <w:rPr>
          <w:rFonts w:hint="eastAsia"/>
          <w:lang w:val="es-ES_tradnl"/>
        </w:rPr>
        <w:t>176</w:t>
      </w:r>
      <w:r>
        <w:rPr>
          <w:rFonts w:hint="eastAsia"/>
          <w:lang w:val="es-ES_tradnl"/>
        </w:rPr>
        <w:t>名家长接受了提高认识培训，培训对象总计</w:t>
      </w:r>
      <w:r>
        <w:rPr>
          <w:rFonts w:hint="eastAsia"/>
          <w:lang w:val="es-ES_tradnl"/>
        </w:rPr>
        <w:t>726</w:t>
      </w:r>
      <w:r>
        <w:rPr>
          <w:rFonts w:hint="eastAsia"/>
          <w:lang w:val="es-ES_tradnl"/>
        </w:rPr>
        <w:t>名。这一提高认识运动介绍了人口贩运活动这一犯罪方式最为常用的一些拐带人口的方式，罪犯往往向被拐带人口哄称将其带往大城市或境外发展，但是等被拐带人口上当受骗后，则对其进行各种剥削，其中包括逼迫其卖淫。</w:t>
      </w:r>
    </w:p>
  </w:footnote>
  <w:footnote w:id="114">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2009</w:t>
      </w:r>
      <w:r>
        <w:rPr>
          <w:rFonts w:hint="eastAsia"/>
          <w:lang w:val="es-ES_tradnl"/>
        </w:rPr>
        <w:t>年由国立大学在内政和司法部与联合国毒品和犯罪问题办公室签署的合作协议的框架内发布。</w:t>
      </w:r>
    </w:p>
  </w:footnote>
  <w:footnote w:id="115">
    <w:p w:rsidR="00A83775" w:rsidRDefault="00A83775">
      <w:pPr>
        <w:pStyle w:val="FootnoteText"/>
        <w:widowControl w:val="0"/>
        <w:tabs>
          <w:tab w:val="clear" w:pos="1021"/>
          <w:tab w:val="right" w:pos="1020"/>
        </w:tabs>
        <w:rPr>
          <w:rFonts w:hint="eastAsia"/>
          <w:lang w:val="es-ES_tradnl"/>
        </w:rPr>
      </w:pPr>
      <w:r>
        <w:rPr>
          <w:lang w:val="es-ES_tradnl"/>
        </w:rPr>
        <w:tab/>
      </w:r>
      <w:r>
        <w:rPr>
          <w:rStyle w:val="FootnoteReference"/>
        </w:rPr>
        <w:footnoteRef/>
      </w:r>
      <w:r>
        <w:rPr>
          <w:lang w:val="es-ES_tradnl"/>
        </w:rPr>
        <w:tab/>
      </w:r>
      <w:r>
        <w:rPr>
          <w:rFonts w:hint="eastAsia"/>
          <w:lang w:val="es-ES_tradnl"/>
        </w:rPr>
        <w:t>财政和公共信贷部的金融信息和分析科。</w:t>
      </w:r>
    </w:p>
  </w:footnote>
  <w:footnote w:id="116">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在这一背景下，金融信息和分析科在</w:t>
      </w:r>
      <w:r>
        <w:rPr>
          <w:rFonts w:hint="eastAsia"/>
          <w:lang w:val="es-ES_tradnl"/>
        </w:rPr>
        <w:t>2008</w:t>
      </w:r>
      <w:r>
        <w:rPr>
          <w:rFonts w:hint="eastAsia"/>
          <w:lang w:val="es-ES_tradnl"/>
        </w:rPr>
        <w:t>至</w:t>
      </w:r>
      <w:r>
        <w:rPr>
          <w:rFonts w:hint="eastAsia"/>
          <w:lang w:val="es-ES_tradnl"/>
        </w:rPr>
        <w:t>2010</w:t>
      </w:r>
      <w:r>
        <w:rPr>
          <w:rFonts w:hint="eastAsia"/>
          <w:lang w:val="es-ES_tradnl"/>
        </w:rPr>
        <w:t>年期间提交了</w:t>
      </w:r>
      <w:r>
        <w:rPr>
          <w:rFonts w:hint="eastAsia"/>
          <w:lang w:val="es-ES_tradnl"/>
        </w:rPr>
        <w:t>16</w:t>
      </w:r>
      <w:r>
        <w:rPr>
          <w:rFonts w:hint="eastAsia"/>
          <w:lang w:val="es-ES_tradnl"/>
        </w:rPr>
        <w:t>份报告，报告主题分别与贩运人口罪行（</w:t>
      </w:r>
      <w:r>
        <w:rPr>
          <w:rFonts w:hint="eastAsia"/>
          <w:lang w:val="es-ES_tradnl"/>
        </w:rPr>
        <w:t>8</w:t>
      </w:r>
      <w:r>
        <w:rPr>
          <w:rFonts w:hint="eastAsia"/>
          <w:lang w:val="es-ES_tradnl"/>
        </w:rPr>
        <w:t>份）和偷运移民罪（</w:t>
      </w:r>
      <w:r>
        <w:rPr>
          <w:rFonts w:hint="eastAsia"/>
          <w:lang w:val="es-ES_tradnl"/>
        </w:rPr>
        <w:t>8</w:t>
      </w:r>
      <w:r>
        <w:rPr>
          <w:rFonts w:hint="eastAsia"/>
          <w:lang w:val="es-ES_tradnl"/>
        </w:rPr>
        <w:t>份）有关，其中，</w:t>
      </w:r>
      <w:r>
        <w:rPr>
          <w:rFonts w:hint="eastAsia"/>
          <w:lang w:val="es-ES_tradnl"/>
        </w:rPr>
        <w:t>8</w:t>
      </w:r>
      <w:r>
        <w:rPr>
          <w:rFonts w:hint="eastAsia"/>
          <w:lang w:val="es-ES_tradnl"/>
        </w:rPr>
        <w:t>份副本被寄发给与每份报告所涉活动存在一定关联的国家和地区，如：香港、西班牙、新加坡、阿根廷和美国。同一时期，金融信息和分析科遵照与其他当局鼎力合作的原则，对哥伦比亚国家警察总署的性犯罪、偷运和贩运人口罪案组递交的</w:t>
      </w:r>
      <w:r>
        <w:rPr>
          <w:rFonts w:hint="eastAsia"/>
          <w:lang w:val="es-ES_tradnl"/>
        </w:rPr>
        <w:t>61</w:t>
      </w:r>
      <w:r>
        <w:rPr>
          <w:rFonts w:hint="eastAsia"/>
          <w:lang w:val="es-ES_tradnl"/>
        </w:rPr>
        <w:t>份要求书进行了答复，其中涉案人员</w:t>
      </w:r>
      <w:r>
        <w:rPr>
          <w:rFonts w:hint="eastAsia"/>
          <w:lang w:val="es-ES_tradnl"/>
        </w:rPr>
        <w:t>330</w:t>
      </w:r>
      <w:r>
        <w:rPr>
          <w:rFonts w:hint="eastAsia"/>
          <w:lang w:val="es-ES_tradnl"/>
        </w:rPr>
        <w:t>名，涉案企业一家。</w:t>
      </w:r>
    </w:p>
  </w:footnote>
  <w:footnote w:id="117">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人口贩运罪与强迫卖淫、教唆卖淫或性奴役等罪行是分开进行规范的，这是因为这些犯罪分别触犯了不同的司法规定，且按照国际标准进行了分类。</w:t>
      </w:r>
    </w:p>
  </w:footnote>
  <w:footnote w:id="118">
    <w:p w:rsidR="00A83775" w:rsidRDefault="00A83775">
      <w:pPr>
        <w:pStyle w:val="FootnoteText"/>
        <w:widowControl w:val="0"/>
        <w:tabs>
          <w:tab w:val="clear" w:pos="1021"/>
          <w:tab w:val="right" w:pos="1020"/>
        </w:tabs>
        <w:rPr>
          <w:rFonts w:hint="eastAsia"/>
          <w:lang w:val="es-ES_tradnl"/>
        </w:rPr>
      </w:pPr>
      <w:r>
        <w:rPr>
          <w:lang w:val="es-ES_tradnl"/>
        </w:rPr>
        <w:tab/>
      </w:r>
      <w:r>
        <w:rPr>
          <w:rStyle w:val="FootnoteReference"/>
        </w:rPr>
        <w:footnoteRef/>
      </w:r>
      <w:r>
        <w:rPr>
          <w:lang w:val="es-ES_tradnl"/>
        </w:rPr>
        <w:tab/>
      </w:r>
      <w:r>
        <w:rPr>
          <w:rFonts w:hint="eastAsia"/>
          <w:lang w:val="es-ES_tradnl"/>
        </w:rPr>
        <w:t>重申了对这一问题的管制原则。第</w:t>
      </w:r>
      <w:r>
        <w:rPr>
          <w:rFonts w:hint="eastAsia"/>
          <w:lang w:val="es-ES_tradnl"/>
        </w:rPr>
        <w:t>SU-476/97</w:t>
      </w:r>
      <w:r>
        <w:rPr>
          <w:rFonts w:hint="eastAsia"/>
          <w:lang w:val="es-ES_tradnl"/>
        </w:rPr>
        <w:t>号判决，批文号</w:t>
      </w:r>
      <w:r>
        <w:rPr>
          <w:rFonts w:hint="eastAsia"/>
          <w:lang w:val="es-ES_tradnl"/>
        </w:rPr>
        <w:t>T-127.634</w:t>
      </w:r>
      <w:r>
        <w:rPr>
          <w:rFonts w:hint="eastAsia"/>
          <w:lang w:val="es-ES_tradnl"/>
        </w:rPr>
        <w:t>。主审大法官：维拉蒂米罗·纳兰霍·梅萨。</w:t>
      </w:r>
    </w:p>
  </w:footnote>
  <w:footnote w:id="119">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紧急救助方案至少应当满足以下需要：应受害妇女要求，将其送回原籍地；安全保障；适当的住宿条件；医疗、心理和物质救助，并提供相应信息和法律咨询，使受害妇女了解其自身权利和需要开展的法律程序。这些服务的提供需要得到合理的规范”（</w:t>
      </w:r>
      <w:r>
        <w:rPr>
          <w:rFonts w:hint="eastAsia"/>
          <w:lang w:val="es-ES_tradnl"/>
        </w:rPr>
        <w:t>2005</w:t>
      </w:r>
      <w:r>
        <w:rPr>
          <w:rFonts w:hint="eastAsia"/>
          <w:lang w:val="es-ES_tradnl"/>
        </w:rPr>
        <w:t>年的第</w:t>
      </w:r>
      <w:r>
        <w:rPr>
          <w:rFonts w:hint="eastAsia"/>
          <w:lang w:val="es-ES_tradnl"/>
        </w:rPr>
        <w:t>985</w:t>
      </w:r>
      <w:r>
        <w:rPr>
          <w:rFonts w:hint="eastAsia"/>
          <w:lang w:val="es-ES_tradnl"/>
        </w:rPr>
        <w:t>号法第</w:t>
      </w:r>
      <w:r>
        <w:rPr>
          <w:rFonts w:hint="eastAsia"/>
          <w:lang w:val="es-ES_tradnl"/>
        </w:rPr>
        <w:t>7</w:t>
      </w:r>
      <w:r>
        <w:rPr>
          <w:rFonts w:hint="eastAsia"/>
          <w:lang w:val="es-ES_tradnl"/>
        </w:rPr>
        <w:t>条）。而间接救助方案应当至少包含以下要素：“对受害妇女进行就业培训并帮助其寻找就业机会；在司法实施程序中对其全程陪同，特别是在为落实受害妇女的伤害修复而进行的执法过程中进行陪同”。</w:t>
      </w:r>
    </w:p>
  </w:footnote>
  <w:footnote w:id="120">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在与国际移民组织签署的协议框架内，全面打击人口贩运活动方案组聘请哥伦比亚洛斯安第斯大学开展关于哥伦比亚人口贩运活动的全国性研究：“规模和相关要素”（</w:t>
      </w:r>
      <w:r>
        <w:rPr>
          <w:rFonts w:hint="eastAsia"/>
          <w:lang w:val="es-ES_tradnl"/>
        </w:rPr>
        <w:t>2010</w:t>
      </w:r>
      <w:r>
        <w:rPr>
          <w:rFonts w:hint="eastAsia"/>
          <w:lang w:val="es-ES_tradnl"/>
        </w:rPr>
        <w:t>年</w:t>
      </w:r>
      <w:r>
        <w:rPr>
          <w:rFonts w:hint="eastAsia"/>
          <w:lang w:val="es-ES_tradnl"/>
        </w:rPr>
        <w:t>7</w:t>
      </w:r>
      <w:r>
        <w:rPr>
          <w:rFonts w:hint="eastAsia"/>
          <w:lang w:val="es-ES_tradnl"/>
        </w:rPr>
        <w:t>月至</w:t>
      </w:r>
      <w:r>
        <w:rPr>
          <w:rFonts w:hint="eastAsia"/>
          <w:lang w:val="es-ES_tradnl"/>
        </w:rPr>
        <w:t>2011</w:t>
      </w:r>
      <w:r>
        <w:rPr>
          <w:rFonts w:hint="eastAsia"/>
          <w:lang w:val="es-ES_tradnl"/>
        </w:rPr>
        <w:t>年</w:t>
      </w:r>
      <w:r>
        <w:rPr>
          <w:rFonts w:hint="eastAsia"/>
          <w:lang w:val="es-ES_tradnl"/>
        </w:rPr>
        <w:t>6</w:t>
      </w:r>
      <w:r>
        <w:rPr>
          <w:rFonts w:hint="eastAsia"/>
          <w:lang w:val="es-ES_tradnl"/>
        </w:rPr>
        <w:t>月）。</w:t>
      </w:r>
    </w:p>
  </w:footnote>
  <w:footnote w:id="121">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2008</w:t>
      </w:r>
      <w:r>
        <w:rPr>
          <w:rFonts w:hint="eastAsia"/>
          <w:lang w:val="es-ES_tradnl"/>
        </w:rPr>
        <w:t>年</w:t>
      </w:r>
      <w:r>
        <w:rPr>
          <w:rFonts w:hint="eastAsia"/>
          <w:lang w:val="es-ES_tradnl"/>
        </w:rPr>
        <w:t>8</w:t>
      </w:r>
      <w:r>
        <w:rPr>
          <w:rFonts w:hint="eastAsia"/>
          <w:lang w:val="es-ES_tradnl"/>
        </w:rPr>
        <w:t>月至</w:t>
      </w:r>
      <w:r>
        <w:rPr>
          <w:rFonts w:hint="eastAsia"/>
          <w:lang w:val="es-ES_tradnl"/>
        </w:rPr>
        <w:t>2009</w:t>
      </w:r>
      <w:r>
        <w:rPr>
          <w:rFonts w:hint="eastAsia"/>
          <w:lang w:val="es-ES_tradnl"/>
        </w:rPr>
        <w:t>年上半年，实施了名为“公共政策。土著妇女，融入地区发展事业的挑战”的项目，项目是由里奥人类可持续发展公司在妇女平等事务总统高级顾问办公室的支持下执行的，项目资助方为亚当方案组（美国国际开发署），来自纳里尼奥省孔巴尔市的孔巴留守地、智利留守地和帕南留守地以及阿尔达纳市的帕斯塔斯留守地的游牧土著妇女积极参与了这一项目。</w:t>
      </w:r>
    </w:p>
  </w:footnote>
  <w:footnote w:id="122">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考卡省、普图马约省、苏克雷省、玻利瓦尔省；纳里尼奥省、桑坦德省和北桑坦德省。</w:t>
      </w:r>
    </w:p>
  </w:footnote>
  <w:footnote w:id="123">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其目的是促进和推动开展必要行动，以巩固国家政策，使妇女在社会中所处的物质环境和非物质环境得到改善，努力消除妇女在行使其公民权利的过程中遇到的一切不平等和歧视。委员会的主要职能有：</w:t>
      </w:r>
      <w:r>
        <w:rPr>
          <w:rFonts w:hint="eastAsia"/>
          <w:lang w:val="es-ES_tradnl"/>
        </w:rPr>
        <w:t xml:space="preserve">(a) </w:t>
      </w:r>
      <w:r>
        <w:rPr>
          <w:rFonts w:hint="eastAsia"/>
          <w:lang w:val="es-ES_tradnl"/>
        </w:rPr>
        <w:t>在妇女组织和妇女团体、致力于捍卫妇女权利的研究机构和其他组织的配合下，制定立法提案，确保落实妇女的公民权利和政治权利以及经济、社会和文化权利；</w:t>
      </w:r>
      <w:r>
        <w:rPr>
          <w:rFonts w:hint="eastAsia"/>
          <w:lang w:val="es-ES_tradnl"/>
        </w:rPr>
        <w:t xml:space="preserve">(b) </w:t>
      </w:r>
      <w:r>
        <w:rPr>
          <w:rFonts w:hint="eastAsia"/>
          <w:lang w:val="es-ES_tradnl"/>
        </w:rPr>
        <w:t>监督国家各单位制定和实施旨在承认、促进、落实、扩展、保护和修复妇女的公民权利、政治权利、经济权利、社会权利和文化权利的计划、方案、项目和公共政策的工作，监督国家落实各项国际公约、协议、议定书以及国际组织的建议；</w:t>
      </w:r>
      <w:r>
        <w:rPr>
          <w:rFonts w:hint="eastAsia"/>
          <w:lang w:val="es-ES_tradnl"/>
        </w:rPr>
        <w:t xml:space="preserve">(c) </w:t>
      </w:r>
      <w:r>
        <w:rPr>
          <w:rFonts w:hint="eastAsia"/>
          <w:lang w:val="es-ES_tradnl"/>
        </w:rPr>
        <w:t>促进妇女参与普选职位的竞选工作，参与各公权力机关、国家各机关单位、政党和政治团体的领导和决策机构；等等。</w:t>
      </w:r>
    </w:p>
  </w:footnote>
  <w:footnote w:id="124">
    <w:p w:rsidR="00A83775" w:rsidRDefault="00A83775">
      <w:pPr>
        <w:pStyle w:val="FootnoteText"/>
        <w:widowControl w:val="0"/>
        <w:tabs>
          <w:tab w:val="clear" w:pos="1021"/>
          <w:tab w:val="right" w:pos="1020"/>
        </w:tabs>
        <w:rPr>
          <w:rFonts w:hint="eastAsia"/>
          <w:lang w:val="es-ES"/>
        </w:rPr>
      </w:pPr>
      <w:r>
        <w:rPr>
          <w:lang w:val="es-ES_tradnl"/>
        </w:rPr>
        <w:tab/>
      </w:r>
      <w:r>
        <w:rPr>
          <w:rStyle w:val="FootnoteReference"/>
        </w:rPr>
        <w:footnoteRef/>
      </w:r>
      <w:r>
        <w:rPr>
          <w:lang w:val="es-ES_tradnl"/>
        </w:rPr>
        <w:tab/>
      </w:r>
      <w:r>
        <w:rPr>
          <w:rFonts w:hint="eastAsia"/>
          <w:bCs/>
          <w:lang w:val="es-CO"/>
        </w:rPr>
        <w:t>关于对</w:t>
      </w:r>
      <w:r>
        <w:rPr>
          <w:rFonts w:hint="eastAsia"/>
          <w:bCs/>
          <w:lang w:val="es-CO"/>
        </w:rPr>
        <w:t>1994</w:t>
      </w:r>
      <w:r>
        <w:rPr>
          <w:rFonts w:hint="eastAsia"/>
          <w:bCs/>
          <w:lang w:val="es-CO"/>
        </w:rPr>
        <w:t>年的第</w:t>
      </w:r>
      <w:r>
        <w:rPr>
          <w:rFonts w:hint="eastAsia"/>
          <w:bCs/>
          <w:lang w:val="es-CO"/>
        </w:rPr>
        <w:t>136</w:t>
      </w:r>
      <w:r>
        <w:rPr>
          <w:rFonts w:hint="eastAsia"/>
          <w:bCs/>
          <w:lang w:val="es-CO"/>
        </w:rPr>
        <w:t>号法第</w:t>
      </w:r>
      <w:r>
        <w:rPr>
          <w:rFonts w:hint="eastAsia"/>
          <w:bCs/>
          <w:lang w:val="es-CO"/>
        </w:rPr>
        <w:t>3</w:t>
      </w:r>
      <w:r>
        <w:rPr>
          <w:rFonts w:hint="eastAsia"/>
          <w:bCs/>
          <w:lang w:val="es-CO"/>
        </w:rPr>
        <w:t>条第</w:t>
      </w:r>
      <w:r>
        <w:rPr>
          <w:rFonts w:hint="eastAsia"/>
          <w:bCs/>
          <w:lang w:val="es-CO"/>
        </w:rPr>
        <w:t>5</w:t>
      </w:r>
      <w:r>
        <w:rPr>
          <w:rFonts w:hint="eastAsia"/>
          <w:bCs/>
          <w:lang w:val="es-CO"/>
        </w:rPr>
        <w:t>款的违宪指控：“第</w:t>
      </w:r>
      <w:r>
        <w:rPr>
          <w:rFonts w:hint="eastAsia"/>
          <w:bCs/>
          <w:lang w:val="es-CO"/>
        </w:rPr>
        <w:t>3</w:t>
      </w:r>
      <w:r>
        <w:rPr>
          <w:rFonts w:hint="eastAsia"/>
          <w:bCs/>
          <w:lang w:val="es-CO"/>
        </w:rPr>
        <w:t>条。功能。市政府的功能包括：</w:t>
      </w:r>
      <w:r>
        <w:rPr>
          <w:rFonts w:hint="eastAsia"/>
          <w:bCs/>
          <w:lang w:val="es-CO"/>
        </w:rPr>
        <w:t>1</w:t>
      </w:r>
      <w:r>
        <w:rPr>
          <w:bCs/>
          <w:lang w:val="es-CO"/>
        </w:rPr>
        <w:t>.</w:t>
      </w:r>
      <w:r>
        <w:rPr>
          <w:rFonts w:hint="eastAsia"/>
          <w:bCs/>
          <w:lang w:val="es-CO"/>
        </w:rPr>
        <w:t xml:space="preserve"> </w:t>
      </w:r>
      <w:r>
        <w:rPr>
          <w:rFonts w:hint="eastAsia"/>
          <w:bCs/>
          <w:lang w:val="es-CO"/>
        </w:rPr>
        <w:t>管理市政事务并依法提供公共服务。</w:t>
      </w:r>
      <w:r>
        <w:rPr>
          <w:rFonts w:hint="eastAsia"/>
          <w:bCs/>
          <w:lang w:val="es-CO"/>
        </w:rPr>
        <w:t>2</w:t>
      </w:r>
      <w:r>
        <w:rPr>
          <w:bCs/>
          <w:lang w:val="es-CO"/>
        </w:rPr>
        <w:t>.</w:t>
      </w:r>
      <w:r>
        <w:rPr>
          <w:rFonts w:hint="eastAsia"/>
          <w:bCs/>
          <w:lang w:val="es-CO"/>
        </w:rPr>
        <w:t xml:space="preserve"> </w:t>
      </w:r>
      <w:r>
        <w:rPr>
          <w:rFonts w:hint="eastAsia"/>
          <w:bCs/>
          <w:lang w:val="es-CO"/>
        </w:rPr>
        <w:t>谋求当地发展并根据城市发展的需要建设各类工程。</w:t>
      </w:r>
      <w:r>
        <w:rPr>
          <w:rFonts w:hint="eastAsia"/>
          <w:bCs/>
          <w:lang w:val="es-CO"/>
        </w:rPr>
        <w:t>3</w:t>
      </w:r>
      <w:r>
        <w:rPr>
          <w:bCs/>
          <w:lang w:val="es-CO"/>
        </w:rPr>
        <w:t>.</w:t>
      </w:r>
      <w:r>
        <w:rPr>
          <w:rFonts w:hint="eastAsia"/>
          <w:bCs/>
          <w:lang w:val="es-CO"/>
        </w:rPr>
        <w:t xml:space="preserve"> </w:t>
      </w:r>
      <w:r>
        <w:rPr>
          <w:rFonts w:hint="eastAsia"/>
          <w:bCs/>
          <w:lang w:val="es-CO"/>
        </w:rPr>
        <w:t>促进社区参与，改善城市居民的社会条件和文化条件。</w:t>
      </w:r>
      <w:r>
        <w:rPr>
          <w:rFonts w:hint="eastAsia"/>
          <w:bCs/>
          <w:lang w:val="es-CO"/>
        </w:rPr>
        <w:t>4</w:t>
      </w:r>
      <w:r>
        <w:rPr>
          <w:bCs/>
          <w:lang w:val="es-CO"/>
        </w:rPr>
        <w:t>.</w:t>
      </w:r>
      <w:r>
        <w:rPr>
          <w:rFonts w:hint="eastAsia"/>
          <w:bCs/>
          <w:lang w:val="es-CO"/>
        </w:rPr>
        <w:t xml:space="preserve"> </w:t>
      </w:r>
      <w:r>
        <w:rPr>
          <w:rFonts w:hint="eastAsia"/>
          <w:bCs/>
          <w:lang w:val="es-CO"/>
        </w:rPr>
        <w:t>根据法律规定，与其他部门配合对当地的经济、社会和环境发展做出规划。</w:t>
      </w:r>
      <w:r>
        <w:rPr>
          <w:rFonts w:hint="eastAsia"/>
          <w:bCs/>
          <w:lang w:val="es-CO"/>
        </w:rPr>
        <w:t>5</w:t>
      </w:r>
      <w:r>
        <w:rPr>
          <w:bCs/>
          <w:lang w:val="es-CO"/>
        </w:rPr>
        <w:t>.</w:t>
      </w:r>
      <w:r>
        <w:rPr>
          <w:rFonts w:hint="eastAsia"/>
          <w:bCs/>
          <w:lang w:val="es-CO"/>
        </w:rPr>
        <w:t xml:space="preserve"> </w:t>
      </w:r>
      <w:r>
        <w:rPr>
          <w:rFonts w:hint="eastAsia"/>
          <w:bCs/>
          <w:lang w:val="es-CO"/>
        </w:rPr>
        <w:t>解决在卫生保健、教育、环境卫生、饮用水、公共服务、住房、休闲娱乐和体育方面尚未得到满足的需要，将工作重心向儿童、</w:t>
      </w:r>
      <w:r>
        <w:rPr>
          <w:rFonts w:ascii="SimHei" w:eastAsia="SimHei" w:hint="eastAsia"/>
          <w:bCs/>
          <w:lang w:val="es-CO"/>
        </w:rPr>
        <w:t>妇女</w:t>
      </w:r>
      <w:r>
        <w:rPr>
          <w:rFonts w:hint="eastAsia"/>
          <w:bCs/>
          <w:lang w:val="es-CO"/>
        </w:rPr>
        <w:t>、老年人和残疾人口直接倾斜，并与当地其他部门以及国家机关的工作互相配合、互为补充，落实法律的相关规定。</w:t>
      </w:r>
      <w:r>
        <w:rPr>
          <w:rFonts w:hint="eastAsia"/>
          <w:bCs/>
          <w:lang w:val="es-CO"/>
        </w:rPr>
        <w:t>6</w:t>
      </w:r>
      <w:r>
        <w:rPr>
          <w:bCs/>
          <w:lang w:val="es-CO"/>
        </w:rPr>
        <w:t xml:space="preserve">. </w:t>
      </w:r>
      <w:r>
        <w:rPr>
          <w:rFonts w:hint="eastAsia"/>
          <w:bCs/>
          <w:lang w:val="es-CO"/>
        </w:rPr>
        <w:t>根据法律规定确保对自然资源和环境的适当使用。</w:t>
      </w:r>
      <w:r>
        <w:rPr>
          <w:rFonts w:hint="eastAsia"/>
          <w:bCs/>
          <w:lang w:val="es-CO"/>
        </w:rPr>
        <w:t>7</w:t>
      </w:r>
      <w:r>
        <w:rPr>
          <w:bCs/>
          <w:lang w:val="es-CO"/>
        </w:rPr>
        <w:t xml:space="preserve">. </w:t>
      </w:r>
      <w:r>
        <w:rPr>
          <w:rFonts w:hint="eastAsia"/>
          <w:bCs/>
          <w:lang w:val="es-CO"/>
        </w:rPr>
        <w:t>促进改善本市居民的经济状况和社会状况。</w:t>
      </w:r>
      <w:r>
        <w:rPr>
          <w:rFonts w:hint="eastAsia"/>
          <w:bCs/>
          <w:lang w:val="es-CO"/>
        </w:rPr>
        <w:t>8</w:t>
      </w:r>
      <w:r>
        <w:rPr>
          <w:bCs/>
          <w:lang w:val="es-CO"/>
        </w:rPr>
        <w:t xml:space="preserve">. </w:t>
      </w:r>
      <w:r>
        <w:rPr>
          <w:rFonts w:hint="eastAsia"/>
          <w:bCs/>
          <w:lang w:val="es-CO"/>
        </w:rPr>
        <w:t>适时利用自有资金开展工作，并根据需要获得其他当地部门的补贴。</w:t>
      </w:r>
      <w:r>
        <w:rPr>
          <w:rFonts w:hint="eastAsia"/>
          <w:bCs/>
          <w:lang w:val="es-CO"/>
        </w:rPr>
        <w:t>9</w:t>
      </w:r>
      <w:r>
        <w:rPr>
          <w:bCs/>
          <w:lang w:val="es-CO"/>
        </w:rPr>
        <w:t xml:space="preserve">. </w:t>
      </w:r>
      <w:r>
        <w:rPr>
          <w:rFonts w:hint="eastAsia"/>
          <w:bCs/>
          <w:lang w:val="es-CO"/>
        </w:rPr>
        <w:t>宪法和法律规定的其他功能。（……）”【用黑体字强调】</w:t>
      </w:r>
      <w:r>
        <w:rPr>
          <w:rFonts w:hint="eastAsia"/>
          <w:iCs/>
          <w:lang w:val="es-ES_tradnl"/>
        </w:rPr>
        <w:t>。</w:t>
      </w:r>
    </w:p>
  </w:footnote>
  <w:footnote w:id="125">
    <w:p w:rsidR="00A83775" w:rsidRDefault="00A83775">
      <w:pPr>
        <w:pStyle w:val="FootnoteText"/>
        <w:widowControl w:val="0"/>
        <w:tabs>
          <w:tab w:val="clear" w:pos="1021"/>
          <w:tab w:val="right" w:pos="1020"/>
        </w:tabs>
        <w:rPr>
          <w:rFonts w:hint="eastAsia"/>
          <w:lang w:val="es-ES_tradnl"/>
        </w:rPr>
      </w:pPr>
      <w:r>
        <w:rPr>
          <w:lang w:val="es-ES"/>
        </w:rPr>
        <w:tab/>
      </w:r>
      <w:r>
        <w:rPr>
          <w:rStyle w:val="FootnoteReference"/>
        </w:rPr>
        <w:footnoteRef/>
      </w:r>
      <w:r>
        <w:rPr>
          <w:lang w:val="es-ES_tradnl"/>
        </w:rPr>
        <w:tab/>
      </w:r>
      <w:r>
        <w:rPr>
          <w:rFonts w:hint="eastAsia"/>
          <w:iCs/>
          <w:lang w:val="es-ES_tradnl"/>
        </w:rPr>
        <w:t>第</w:t>
      </w:r>
      <w:r>
        <w:rPr>
          <w:rFonts w:hint="eastAsia"/>
          <w:iCs/>
          <w:lang w:val="es-ES_tradnl"/>
        </w:rPr>
        <w:t>33</w:t>
      </w:r>
      <w:r>
        <w:rPr>
          <w:rFonts w:hint="eastAsia"/>
          <w:iCs/>
          <w:lang w:val="es-ES_tradnl"/>
        </w:rPr>
        <w:t>条：</w:t>
      </w:r>
      <w:r>
        <w:rPr>
          <w:rFonts w:hint="eastAsia"/>
          <w:b/>
          <w:iCs/>
          <w:lang w:val="es-ES_tradnl"/>
        </w:rPr>
        <w:t>人</w:t>
      </w:r>
      <w:r>
        <w:rPr>
          <w:rFonts w:hint="eastAsia"/>
          <w:iCs/>
          <w:lang w:val="es-ES_tradnl"/>
        </w:rPr>
        <w:t>、个人、儿童、成人和</w:t>
      </w:r>
      <w:r>
        <w:rPr>
          <w:rFonts w:ascii="SimHei" w:eastAsia="SimHei" w:hint="eastAsia"/>
          <w:bCs/>
          <w:lang w:val="es-CO"/>
        </w:rPr>
        <w:t>其他类似</w:t>
      </w:r>
      <w:r>
        <w:rPr>
          <w:rFonts w:hint="eastAsia"/>
          <w:iCs/>
          <w:lang w:val="es-ES_tradnl"/>
        </w:rPr>
        <w:t>的词语，从一般意义上来说都是指人类物种的单个个体，不因性别而有所区分，当这些词语出现在法律规定中时，除非由于规定本身的性质或者规定的背景而有限制性地专门针对一种性别，否则都是指男女双性。</w:t>
      </w:r>
      <w:r>
        <w:rPr>
          <w:rFonts w:ascii="SimHei" w:eastAsia="SimHei" w:hint="eastAsia"/>
          <w:bCs/>
          <w:lang w:val="es-CO"/>
        </w:rPr>
        <w:t>相反</w:t>
      </w:r>
      <w:r>
        <w:rPr>
          <w:rFonts w:hint="eastAsia"/>
          <w:iCs/>
          <w:lang w:val="es-ES_tradnl"/>
        </w:rPr>
        <w:t>，女人，女童、寡妇及其他类似词语均表明了其女性性别，</w:t>
      </w:r>
      <w:r>
        <w:rPr>
          <w:rFonts w:ascii="SimHei" w:eastAsia="SimHei" w:hint="eastAsia"/>
          <w:bCs/>
          <w:lang w:val="es-CO"/>
        </w:rPr>
        <w:t>因而不适用于男性</w:t>
      </w:r>
      <w:r>
        <w:rPr>
          <w:rFonts w:hint="eastAsia"/>
          <w:iCs/>
          <w:lang w:val="es-ES_tradnl"/>
        </w:rPr>
        <w:t>，除非明确说明法律规定将其范围扩展到了男性</w:t>
      </w:r>
      <w:r>
        <w:rPr>
          <w:rFonts w:hint="eastAsia"/>
          <w:bCs/>
          <w:lang w:val="es-CO"/>
        </w:rPr>
        <w:t>【用黑体字强调】</w:t>
      </w:r>
      <w:r>
        <w:rPr>
          <w:rFonts w:hint="eastAsia"/>
          <w:iCs/>
          <w:lang w:val="es-ES_tradnl"/>
        </w:rPr>
        <w:t>。</w:t>
      </w:r>
    </w:p>
  </w:footnote>
  <w:footnote w:id="126">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为获得全国范围内的信息，公共职能管理局设立了一个人事信息系统（</w:t>
      </w:r>
      <w:r>
        <w:rPr>
          <w:rFonts w:hint="eastAsia"/>
          <w:lang w:val="es-ES_tradnl"/>
        </w:rPr>
        <w:t>SUIP</w:t>
      </w:r>
      <w:r>
        <w:rPr>
          <w:rFonts w:hint="eastAsia"/>
          <w:lang w:val="es-ES_tradnl"/>
        </w:rPr>
        <w:t>），收集整理由三大权力机关、各类自治机关、监管和控制机关以及选举机构提供的数据资料。在地方一级，信息收集程序是通过向各地方单位发送调查问卷进行的。依据</w:t>
      </w:r>
      <w:r>
        <w:rPr>
          <w:rFonts w:hint="eastAsia"/>
          <w:lang w:val="es-ES_tradnl"/>
        </w:rPr>
        <w:t>2000</w:t>
      </w:r>
      <w:r>
        <w:rPr>
          <w:rFonts w:hint="eastAsia"/>
          <w:lang w:val="es-ES_tradnl"/>
        </w:rPr>
        <w:t>年的第</w:t>
      </w:r>
      <w:r>
        <w:rPr>
          <w:rFonts w:hint="eastAsia"/>
          <w:lang w:val="es-ES_tradnl"/>
        </w:rPr>
        <w:t>581</w:t>
      </w:r>
      <w:r>
        <w:rPr>
          <w:rFonts w:hint="eastAsia"/>
          <w:lang w:val="es-ES_tradnl"/>
        </w:rPr>
        <w:t>号法第</w:t>
      </w:r>
      <w:r>
        <w:rPr>
          <w:rFonts w:hint="eastAsia"/>
          <w:lang w:val="es-ES_tradnl"/>
        </w:rPr>
        <w:t>12</w:t>
      </w:r>
      <w:r>
        <w:rPr>
          <w:rFonts w:hint="eastAsia"/>
          <w:lang w:val="es-ES_tradnl"/>
        </w:rPr>
        <w:t>条开展监督工作。本次报告所采用的信息是从人事信息系统中援引的截止到</w:t>
      </w:r>
      <w:smartTag w:uri="urn:schemas-microsoft-com:office:smarttags" w:element="chsdate">
        <w:smartTagPr>
          <w:attr w:name="Year" w:val="2010"/>
          <w:attr w:name="Month" w:val="5"/>
          <w:attr w:name="Day" w:val="26"/>
          <w:attr w:name="IsLunarDate" w:val="False"/>
          <w:attr w:name="IsROCDate" w:val="False"/>
        </w:smartTagPr>
        <w:r>
          <w:rPr>
            <w:rFonts w:hint="eastAsia"/>
            <w:lang w:val="es-ES_tradnl"/>
          </w:rPr>
          <w:t>2010</w:t>
        </w:r>
        <w:r>
          <w:rPr>
            <w:rFonts w:hint="eastAsia"/>
            <w:lang w:val="es-ES_tradnl"/>
          </w:rPr>
          <w:t>年</w:t>
        </w:r>
        <w:r>
          <w:rPr>
            <w:rFonts w:hint="eastAsia"/>
            <w:lang w:val="es-ES_tradnl"/>
          </w:rPr>
          <w:t>5</w:t>
        </w:r>
        <w:r>
          <w:rPr>
            <w:rFonts w:hint="eastAsia"/>
            <w:lang w:val="es-ES_tradnl"/>
          </w:rPr>
          <w:t>月</w:t>
        </w:r>
        <w:r>
          <w:rPr>
            <w:rFonts w:hint="eastAsia"/>
            <w:lang w:val="es-ES_tradnl"/>
          </w:rPr>
          <w:t>26</w:t>
        </w:r>
        <w:r>
          <w:rPr>
            <w:rFonts w:hint="eastAsia"/>
            <w:lang w:val="es-ES_tradnl"/>
          </w:rPr>
          <w:t>日</w:t>
        </w:r>
      </w:smartTag>
      <w:r>
        <w:rPr>
          <w:rFonts w:hint="eastAsia"/>
          <w:lang w:val="es-ES_tradnl"/>
        </w:rPr>
        <w:t>国家一级的各单位提供的信息以及通过问卷调查收集到的各地方单位提供的截止到</w:t>
      </w:r>
      <w:smartTag w:uri="urn:schemas-microsoft-com:office:smarttags" w:element="chsdate">
        <w:smartTagPr>
          <w:attr w:name="Year" w:val="2010"/>
          <w:attr w:name="Month" w:val="10"/>
          <w:attr w:name="Day" w:val="15"/>
          <w:attr w:name="IsLunarDate" w:val="False"/>
          <w:attr w:name="IsROCDate" w:val="False"/>
        </w:smartTagPr>
        <w:r>
          <w:rPr>
            <w:rFonts w:hint="eastAsia"/>
            <w:lang w:val="es-ES_tradnl"/>
          </w:rPr>
          <w:t>2010</w:t>
        </w:r>
        <w:r>
          <w:rPr>
            <w:rFonts w:hint="eastAsia"/>
            <w:lang w:val="es-ES_tradnl"/>
          </w:rPr>
          <w:t>年</w:t>
        </w:r>
        <w:r>
          <w:rPr>
            <w:rFonts w:hint="eastAsia"/>
            <w:lang w:val="es-ES_tradnl"/>
          </w:rPr>
          <w:t>10</w:t>
        </w:r>
        <w:r>
          <w:rPr>
            <w:rFonts w:hint="eastAsia"/>
            <w:lang w:val="es-ES_tradnl"/>
          </w:rPr>
          <w:t>月</w:t>
        </w:r>
        <w:r>
          <w:rPr>
            <w:rFonts w:hint="eastAsia"/>
            <w:lang w:val="es-ES_tradnl"/>
          </w:rPr>
          <w:t>15</w:t>
        </w:r>
        <w:r>
          <w:rPr>
            <w:rFonts w:hint="eastAsia"/>
            <w:lang w:val="es-ES_tradnl"/>
          </w:rPr>
          <w:t>日</w:t>
        </w:r>
      </w:smartTag>
      <w:r>
        <w:rPr>
          <w:rFonts w:hint="eastAsia"/>
          <w:lang w:val="es-ES_tradnl"/>
        </w:rPr>
        <w:t>的信息。信息的更新和验证责任由各信息提供单位具体承担。</w:t>
      </w:r>
    </w:p>
  </w:footnote>
  <w:footnote w:id="127">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审计部门的社会福利基金、共和国总审计长办公室、审计总署、公民权利监察员办公室、国家总检察长办公室。</w:t>
      </w:r>
    </w:p>
  </w:footnote>
  <w:footnote w:id="128">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三大权力机关、各类监察和管理机关、国家民政登记局、各级自治机关和自治大学。</w:t>
      </w:r>
    </w:p>
  </w:footnote>
  <w:footnote w:id="129">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分别是卡尔达斯省、圣安德烈斯省、桑坦德省、大西洋省、沃佩斯省、普图马约省、维查达省和乔科省。</w:t>
      </w:r>
    </w:p>
  </w:footnote>
  <w:footnote w:id="130">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2008</w:t>
      </w:r>
      <w:r>
        <w:rPr>
          <w:rFonts w:hint="eastAsia"/>
          <w:lang w:val="es-ES_tradnl"/>
        </w:rPr>
        <w:t>年期间有三家政党开展了选举活动：哥伦比亚保守党（全国选区、省选区和地方选区），团结党（</w:t>
      </w:r>
      <w:r>
        <w:rPr>
          <w:rFonts w:hint="eastAsia"/>
          <w:lang w:val="es-ES_tradnl"/>
        </w:rPr>
        <w:t>6</w:t>
      </w:r>
      <w:r>
        <w:rPr>
          <w:rFonts w:hint="eastAsia"/>
          <w:lang w:val="es-ES_tradnl"/>
        </w:rPr>
        <w:t>个选区，波哥大的第</w:t>
      </w:r>
      <w:r>
        <w:rPr>
          <w:rFonts w:hint="eastAsia"/>
          <w:lang w:val="es-ES_tradnl"/>
        </w:rPr>
        <w:t>1</w:t>
      </w:r>
      <w:r>
        <w:rPr>
          <w:rFonts w:hint="eastAsia"/>
          <w:lang w:val="es-ES_tradnl"/>
        </w:rPr>
        <w:t>、</w:t>
      </w:r>
      <w:r>
        <w:rPr>
          <w:rFonts w:hint="eastAsia"/>
          <w:lang w:val="es-ES_tradnl"/>
        </w:rPr>
        <w:t>2</w:t>
      </w:r>
      <w:r>
        <w:rPr>
          <w:rFonts w:hint="eastAsia"/>
          <w:lang w:val="es-ES_tradnl"/>
        </w:rPr>
        <w:t>大区，省一级的第</w:t>
      </w:r>
      <w:r>
        <w:rPr>
          <w:rFonts w:hint="eastAsia"/>
          <w:lang w:val="es-ES_tradnl"/>
        </w:rPr>
        <w:t>1</w:t>
      </w:r>
      <w:r>
        <w:rPr>
          <w:rFonts w:hint="eastAsia"/>
          <w:lang w:val="es-ES_tradnl"/>
        </w:rPr>
        <w:t>、</w:t>
      </w:r>
      <w:r>
        <w:rPr>
          <w:rFonts w:hint="eastAsia"/>
          <w:lang w:val="es-ES_tradnl"/>
        </w:rPr>
        <w:t>2</w:t>
      </w:r>
      <w:r>
        <w:rPr>
          <w:rFonts w:hint="eastAsia"/>
          <w:lang w:val="es-ES_tradnl"/>
        </w:rPr>
        <w:t>大区）以及民主变革中心党（普通选区、非洲裔选区、土著选区和</w:t>
      </w:r>
      <w:r>
        <w:t>男女同性恋、双性恋和变性者</w:t>
      </w:r>
      <w:r>
        <w:rPr>
          <w:rFonts w:hint="eastAsia"/>
        </w:rPr>
        <w:t>选区</w:t>
      </w:r>
      <w:r>
        <w:rPr>
          <w:rFonts w:hint="eastAsia"/>
          <w:lang w:val="es-ES_tradnl"/>
        </w:rPr>
        <w:t>）。注册参选的女性比例总计达</w:t>
      </w:r>
      <w:r>
        <w:rPr>
          <w:rFonts w:hint="eastAsia"/>
          <w:lang w:val="es-ES_tradnl"/>
        </w:rPr>
        <w:t>37.54%</w:t>
      </w:r>
      <w:r>
        <w:rPr>
          <w:rFonts w:hint="eastAsia"/>
          <w:lang w:val="es-ES_tradnl"/>
        </w:rPr>
        <w:t>。</w:t>
      </w:r>
    </w:p>
  </w:footnote>
  <w:footnote w:id="131">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2009</w:t>
      </w:r>
      <w:r>
        <w:rPr>
          <w:rFonts w:hint="eastAsia"/>
          <w:lang w:val="es-ES_tradnl"/>
        </w:rPr>
        <w:t>年，举行政党选举的包括</w:t>
      </w:r>
      <w:r>
        <w:rPr>
          <w:rFonts w:hint="eastAsia"/>
          <w:lang w:val="es-ES_tradnl"/>
        </w:rPr>
        <w:t>MIRA</w:t>
      </w:r>
      <w:r>
        <w:rPr>
          <w:rFonts w:hint="eastAsia"/>
          <w:lang w:val="es-ES_tradnl"/>
        </w:rPr>
        <w:t>党（省议会、波哥大市议会和国家参议院），民主变革中心党（总统候选人），保守党（</w:t>
      </w:r>
      <w:r>
        <w:rPr>
          <w:rFonts w:hint="eastAsia"/>
          <w:lang w:val="es-ES_tradnl"/>
        </w:rPr>
        <w:t>3</w:t>
      </w:r>
      <w:r>
        <w:rPr>
          <w:rFonts w:hint="eastAsia"/>
          <w:lang w:val="es-ES_tradnl"/>
        </w:rPr>
        <w:t>个省份的众议院代表提名），哥伦比亚自由党（总统候选人，省议会，省政府领导班子和地区政府领导班子，第四届省议会及波哥大市议会，国家、各省和波哥大市监察员选举提名候选人），其中注册参选的女性比例总计达到</w:t>
      </w:r>
      <w:r>
        <w:rPr>
          <w:rFonts w:hint="eastAsia"/>
          <w:lang w:val="es-ES_tradnl"/>
        </w:rPr>
        <w:t>36.08%</w:t>
      </w:r>
      <w:r>
        <w:rPr>
          <w:rFonts w:hint="eastAsia"/>
          <w:lang w:val="es-ES_tradnl"/>
        </w:rPr>
        <w:t>。</w:t>
      </w:r>
    </w:p>
  </w:footnote>
  <w:footnote w:id="132">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根据这一法律对《刑法典》第</w:t>
      </w:r>
      <w:r>
        <w:rPr>
          <w:rFonts w:hint="eastAsia"/>
          <w:lang w:val="es-ES_tradnl"/>
        </w:rPr>
        <w:t>176</w:t>
      </w:r>
      <w:r>
        <w:rPr>
          <w:rFonts w:hint="eastAsia"/>
          <w:lang w:val="es-ES_tradnl"/>
        </w:rPr>
        <w:t>条进行了规范。</w:t>
      </w:r>
    </w:p>
  </w:footnote>
  <w:footnote w:id="133">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对</w:t>
      </w:r>
      <w:r>
        <w:rPr>
          <w:rFonts w:hint="eastAsia"/>
          <w:lang w:val="es-ES_tradnl"/>
        </w:rPr>
        <w:t>2003-2009</w:t>
      </w:r>
      <w:r>
        <w:rPr>
          <w:rFonts w:hint="eastAsia"/>
          <w:lang w:val="es-ES_tradnl"/>
        </w:rPr>
        <w:t>年期间对妇女的暴力侵害状况的初步探索。共和国副总统府人权和人道主义法总统方案组的人权观察站。</w:t>
      </w:r>
    </w:p>
  </w:footnote>
  <w:footnote w:id="134">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在观察站开展的分析工作中，将地方政要列为易遭受暴力侵害的弱势群体，其成员包括市长、前市长以及市政议会成员。其中前市长是指那些在遭受暴力侵害之前的两届任期内曾担任过市长职务的人士。</w:t>
      </w:r>
    </w:p>
  </w:footnote>
  <w:footnote w:id="135">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以下四类人士被认定为社会领袖和社区领袖：</w:t>
      </w:r>
      <w:r>
        <w:rPr>
          <w:rFonts w:hint="eastAsia"/>
          <w:lang w:val="es-ES_tradnl"/>
        </w:rPr>
        <w:t xml:space="preserve">(a) </w:t>
      </w:r>
      <w:r>
        <w:rPr>
          <w:rFonts w:hint="eastAsia"/>
          <w:lang w:val="es-ES_tradnl"/>
        </w:rPr>
        <w:t>社会组织的领导人：是指某家致力于达成某一项或某几项与其所在组织的社会福祉、经济利益、政治目标或文化目标有关工作的组织的领导人；</w:t>
      </w:r>
      <w:r>
        <w:rPr>
          <w:rFonts w:hint="eastAsia"/>
          <w:lang w:val="es-ES_tradnl"/>
        </w:rPr>
        <w:t xml:space="preserve">(b) </w:t>
      </w:r>
      <w:r>
        <w:rPr>
          <w:rFonts w:hint="eastAsia"/>
          <w:lang w:val="es-ES_tradnl"/>
        </w:rPr>
        <w:t>公民监察员：是指以某一公民利益团体的代表的身份行使对政府当局履行公共职能的状况进行监督工作的人士；</w:t>
      </w:r>
      <w:r>
        <w:rPr>
          <w:rFonts w:hint="eastAsia"/>
          <w:lang w:val="es-ES_tradnl"/>
        </w:rPr>
        <w:t xml:space="preserve">(c) </w:t>
      </w:r>
      <w:r>
        <w:rPr>
          <w:rFonts w:hint="eastAsia"/>
          <w:lang w:val="es-ES_tradnl"/>
        </w:rPr>
        <w:t>社区领袖：是指因其自身的领导能力、知识、经验和</w:t>
      </w:r>
      <w:r>
        <w:rPr>
          <w:rFonts w:hint="eastAsia"/>
          <w:lang w:val="es-ES_tradnl"/>
        </w:rPr>
        <w:t>/</w:t>
      </w:r>
      <w:r>
        <w:rPr>
          <w:rFonts w:hint="eastAsia"/>
          <w:lang w:val="es-ES_tradnl"/>
        </w:rPr>
        <w:t>或身体力行地为某一特定的社区</w:t>
      </w:r>
      <w:r>
        <w:rPr>
          <w:rFonts w:hint="eastAsia"/>
          <w:lang w:val="es-ES_tradnl"/>
        </w:rPr>
        <w:t>/</w:t>
      </w:r>
      <w:r>
        <w:rPr>
          <w:rFonts w:hint="eastAsia"/>
          <w:lang w:val="es-ES_tradnl"/>
        </w:rPr>
        <w:t>集体谋福利，实现其发展目标或捍卫其利益而备受推崇的人物；</w:t>
      </w:r>
      <w:r>
        <w:rPr>
          <w:rFonts w:hint="eastAsia"/>
          <w:lang w:val="es-ES_tradnl"/>
        </w:rPr>
        <w:t xml:space="preserve">(d) </w:t>
      </w:r>
      <w:r>
        <w:rPr>
          <w:rFonts w:hint="eastAsia"/>
          <w:lang w:val="es-ES_tradnl"/>
        </w:rPr>
        <w:t>社会组织的核心成员：是指在社会组织中担任要职（秘书、主席、财务主管）的人士。</w:t>
      </w:r>
    </w:p>
  </w:footnote>
  <w:footnote w:id="136">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在所有被暗杀的地方政要中，包括一名遇害女市长和</w:t>
      </w:r>
      <w:r>
        <w:rPr>
          <w:rFonts w:hint="eastAsia"/>
          <w:lang w:val="es-ES_tradnl"/>
        </w:rPr>
        <w:t>15</w:t>
      </w:r>
      <w:r>
        <w:rPr>
          <w:rFonts w:hint="eastAsia"/>
          <w:lang w:val="es-ES_tradnl"/>
        </w:rPr>
        <w:t>名女市政议员。一项对观察站提交的信息的初步分析清楚表明，制造此类事件的大多是非法武装团体。</w:t>
      </w:r>
    </w:p>
  </w:footnote>
  <w:footnote w:id="137">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这一时期遇害的所有工会女性成员中，从事教学工作的女性遇害几率最大，全国共有</w:t>
      </w:r>
      <w:r>
        <w:rPr>
          <w:rFonts w:hint="eastAsia"/>
          <w:lang w:val="es-ES_tradnl"/>
        </w:rPr>
        <w:t>64</w:t>
      </w:r>
      <w:r>
        <w:rPr>
          <w:rFonts w:hint="eastAsia"/>
          <w:lang w:val="es-ES_tradnl"/>
        </w:rPr>
        <w:t>人遇害（占所有遇害女性的</w:t>
      </w:r>
      <w:r>
        <w:rPr>
          <w:rFonts w:hint="eastAsia"/>
          <w:lang w:val="es-ES_tradnl"/>
        </w:rPr>
        <w:t>81%</w:t>
      </w:r>
      <w:r>
        <w:rPr>
          <w:rFonts w:hint="eastAsia"/>
          <w:lang w:val="es-ES_tradnl"/>
        </w:rPr>
        <w:t>）。另一方面，其他行业的工会女成员遇害案件共计</w:t>
      </w:r>
      <w:r>
        <w:rPr>
          <w:rFonts w:hint="eastAsia"/>
          <w:lang w:val="es-ES_tradnl"/>
        </w:rPr>
        <w:t>15</w:t>
      </w:r>
      <w:r>
        <w:rPr>
          <w:rFonts w:hint="eastAsia"/>
          <w:lang w:val="es-ES_tradnl"/>
        </w:rPr>
        <w:t>例，占</w:t>
      </w:r>
      <w:r>
        <w:rPr>
          <w:rFonts w:hint="eastAsia"/>
          <w:lang w:val="es-ES_tradnl"/>
        </w:rPr>
        <w:t>19%</w:t>
      </w:r>
      <w:r>
        <w:rPr>
          <w:rFonts w:hint="eastAsia"/>
          <w:lang w:val="es-ES_tradnl"/>
        </w:rPr>
        <w:t>。</w:t>
      </w:r>
    </w:p>
  </w:footnote>
  <w:footnote w:id="138">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观察站提交的报告称：“教育行业的工会女成员遇害比例较高的原因与哥伦比亚妇女在教育领域的活跃表现密不可分，在教育部门女性构成了主要的劳动力。同样，这一状况是各类非法武装团体为打击教育部门而犯下的暴行的延续，非法武装团体如此作为的原因是由于教育工作者很多都以社区领袖威望来努力让儿童和青少年远离非法武装活动，并且一些非法武装组织还认为工会与军队都是一伙的”。</w:t>
      </w:r>
    </w:p>
  </w:footnote>
  <w:footnote w:id="139">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正如观察站信息所提议的那样，近年来遇害人员的增加揭示出在国内反对</w:t>
      </w:r>
      <w:r>
        <w:rPr>
          <w:rFonts w:hint="eastAsia"/>
        </w:rPr>
        <w:t>在《正义与和平法》框架内出台的《受害者和土地归还法》的声势的壮大。在这方面，“许多妇女承担起了在从事关爱武装冲突中的流离失所者和受害者工作的组织中的领导职务（……）这些正当的要求却触到了非法武装团体的逆鳞，由于有关人士在社区以及国家和国际舞台上的高调行事，激发了非法武装团体的打压，妄图让她们保持沉默或消失”。观察站报告指出的另一个原因就是：“非法武装团体所采用的对妇女进行社会压迫的策略，其目的就是弱化妇女参与公共事务的积极性和影响力，这反映在在这一时期发生的总共</w:t>
      </w:r>
      <w:r>
        <w:rPr>
          <w:rFonts w:hint="eastAsia"/>
        </w:rPr>
        <w:t>10</w:t>
      </w:r>
      <w:r>
        <w:rPr>
          <w:rFonts w:hint="eastAsia"/>
        </w:rPr>
        <w:t>起凶杀案件中，从事社会工作的遇害妇女就有</w:t>
      </w:r>
      <w:r>
        <w:rPr>
          <w:rFonts w:hint="eastAsia"/>
        </w:rPr>
        <w:t>12</w:t>
      </w:r>
      <w:r>
        <w:rPr>
          <w:rFonts w:hint="eastAsia"/>
        </w:rPr>
        <w:t>位（……）”。</w:t>
      </w:r>
    </w:p>
  </w:footnote>
  <w:footnote w:id="140">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实施了旨在保障捍卫人权者、社会领袖和社区领袖的工作的国家程序。政府机关和人权保护组织之间达成了共识，并在国际社会的支持下共同开展工作，以便打造一个有利于谋求在哥伦比亚实现对人权的保护和尊重，拒绝一切形式的暴力和</w:t>
      </w:r>
      <w:r>
        <w:rPr>
          <w:rFonts w:hint="eastAsia"/>
          <w:lang w:val="es-ES_tradnl"/>
        </w:rPr>
        <w:t>/</w:t>
      </w:r>
      <w:r>
        <w:rPr>
          <w:rFonts w:hint="eastAsia"/>
          <w:lang w:val="es-ES_tradnl"/>
        </w:rPr>
        <w:t>或压迫的氛围。</w:t>
      </w:r>
    </w:p>
  </w:footnote>
  <w:footnote w:id="141">
    <w:p w:rsidR="00A83775" w:rsidRDefault="00A83775">
      <w:pPr>
        <w:pStyle w:val="FootnoteText"/>
        <w:widowControl w:val="0"/>
        <w:tabs>
          <w:tab w:val="clear" w:pos="1021"/>
          <w:tab w:val="right" w:pos="1020"/>
        </w:tabs>
        <w:rPr>
          <w:rFonts w:hint="eastAsia"/>
          <w:lang w:val="es-ES_tradnl"/>
        </w:rPr>
      </w:pPr>
      <w:r>
        <w:rPr>
          <w:lang w:val="es-ES"/>
        </w:rPr>
        <w:tab/>
      </w:r>
      <w:r>
        <w:rPr>
          <w:rStyle w:val="FootnoteReference"/>
        </w:rPr>
        <w:footnoteRef/>
      </w:r>
      <w:r>
        <w:rPr>
          <w:lang w:val="es-ES_tradnl"/>
        </w:rPr>
        <w:tab/>
      </w:r>
      <w:r>
        <w:rPr>
          <w:rFonts w:hint="eastAsia"/>
          <w:lang w:val="es-ES_tradnl"/>
        </w:rPr>
        <w:t>探讨的主题有：</w:t>
      </w:r>
      <w:r>
        <w:rPr>
          <w:rFonts w:hint="eastAsia"/>
          <w:lang w:val="es-ES_tradnl"/>
        </w:rPr>
        <w:t xml:space="preserve">(a) </w:t>
      </w:r>
      <w:r>
        <w:rPr>
          <w:rFonts w:hint="eastAsia"/>
          <w:lang w:val="es-ES_tradnl"/>
        </w:rPr>
        <w:t>构筑全面保护妇女权利的公共政策的进程（仅涉及到与人权保护官有关的方针）和内置和司法部关于妇女权利的法律提案；</w:t>
      </w:r>
      <w:r>
        <w:rPr>
          <w:rFonts w:hint="eastAsia"/>
          <w:lang w:val="es-ES_tradnl"/>
        </w:rPr>
        <w:t xml:space="preserve">(b) </w:t>
      </w:r>
      <w:r>
        <w:rPr>
          <w:rFonts w:hint="eastAsia"/>
          <w:lang w:val="es-ES_tradnl"/>
        </w:rPr>
        <w:t>由国家检察总署为人权保护官伸张正义；</w:t>
      </w:r>
      <w:r>
        <w:rPr>
          <w:rFonts w:hint="eastAsia"/>
          <w:lang w:val="es-ES_tradnl"/>
        </w:rPr>
        <w:t xml:space="preserve">(c) </w:t>
      </w:r>
      <w:r>
        <w:rPr>
          <w:rFonts w:hint="eastAsia"/>
          <w:lang w:val="es-ES_tradnl"/>
        </w:rPr>
        <w:t>执行第</w:t>
      </w:r>
      <w:r>
        <w:rPr>
          <w:rFonts w:hint="eastAsia"/>
          <w:lang w:val="es-ES_tradnl"/>
        </w:rPr>
        <w:t>092</w:t>
      </w:r>
      <w:r>
        <w:rPr>
          <w:rFonts w:hint="eastAsia"/>
          <w:lang w:val="es-ES_tradnl"/>
        </w:rPr>
        <w:t>号裁决（流离失所的妇女）。方案</w:t>
      </w:r>
      <w:r>
        <w:rPr>
          <w:rFonts w:hint="eastAsia"/>
          <w:lang w:val="es-ES_tradnl"/>
        </w:rPr>
        <w:t>10</w:t>
      </w:r>
      <w:r>
        <w:rPr>
          <w:rFonts w:hint="eastAsia"/>
          <w:lang w:val="es-ES_tradnl"/>
        </w:rPr>
        <w:t>：人权保护官；</w:t>
      </w:r>
      <w:r>
        <w:rPr>
          <w:rFonts w:hint="eastAsia"/>
          <w:lang w:val="es-ES_tradnl"/>
        </w:rPr>
        <w:t>(d)</w:t>
      </w:r>
      <w:r>
        <w:rPr>
          <w:lang w:val="es-ES_tradnl"/>
        </w:rPr>
        <w:t xml:space="preserve"> </w:t>
      </w:r>
      <w:r>
        <w:rPr>
          <w:rFonts w:hint="eastAsia"/>
          <w:lang w:val="es-ES_tradnl"/>
        </w:rPr>
        <w:t>内政和司法部关于在保护人权保护官的政策和法规中纳入性别观点的机构工作。</w:t>
      </w:r>
    </w:p>
  </w:footnote>
  <w:footnote w:id="142">
    <w:p w:rsidR="00A83775" w:rsidRDefault="00A83775">
      <w:pPr>
        <w:pStyle w:val="FootnoteText"/>
        <w:widowControl w:val="0"/>
        <w:tabs>
          <w:tab w:val="clear" w:pos="1021"/>
          <w:tab w:val="right" w:pos="1020"/>
        </w:tabs>
        <w:rPr>
          <w:rFonts w:hint="eastAsia"/>
          <w:lang w:val="es-ES_tradnl"/>
        </w:rPr>
      </w:pPr>
      <w:r>
        <w:rPr>
          <w:lang w:val="es-ES_tradnl"/>
        </w:rPr>
        <w:tab/>
      </w:r>
      <w:r>
        <w:rPr>
          <w:rStyle w:val="FootnoteReference"/>
        </w:rPr>
        <w:footnoteRef/>
      </w:r>
      <w:r>
        <w:rPr>
          <w:lang w:val="es-ES_tradnl"/>
        </w:rPr>
        <w:tab/>
      </w:r>
      <w:r>
        <w:rPr>
          <w:rFonts w:hint="eastAsia"/>
          <w:lang w:val="es-ES_tradnl"/>
        </w:rPr>
        <w:t>应理解为泛指父亲或者母亲，没有任何区别。</w:t>
      </w:r>
    </w:p>
  </w:footnote>
  <w:footnote w:id="143">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其上级主管单位为社会保障部，负责协调国家家庭福利体系的工作，具体拟定并实施各项政策，为国家和地方各级社区和公共和私人组织提供技术、社会和法律咨询服务，以解决与营养不良、家庭解体或家庭关系不稳定、家庭关系破裂和流浪儿童等有关的问题。</w:t>
      </w:r>
    </w:p>
  </w:footnote>
  <w:footnote w:id="144">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哥伦比亚政府工作报告：国家教育部在</w:t>
      </w:r>
      <w:r>
        <w:rPr>
          <w:rFonts w:hint="eastAsia"/>
          <w:lang w:val="es-ES_tradnl"/>
        </w:rPr>
        <w:t>2002-2010</w:t>
      </w:r>
      <w:r>
        <w:rPr>
          <w:rFonts w:hint="eastAsia"/>
          <w:lang w:val="es-ES_tradnl"/>
        </w:rPr>
        <w:t>年的工作成果。</w:t>
      </w:r>
    </w:p>
  </w:footnote>
  <w:footnote w:id="145">
    <w:p w:rsidR="00A83775" w:rsidRDefault="00A83775">
      <w:pPr>
        <w:pStyle w:val="FootnoteText"/>
        <w:widowControl w:val="0"/>
        <w:tabs>
          <w:tab w:val="clear" w:pos="1021"/>
          <w:tab w:val="right" w:pos="1020"/>
        </w:tabs>
        <w:rPr>
          <w:rFonts w:hint="eastAsia"/>
          <w:lang w:val="es-ES_tradnl"/>
        </w:rPr>
      </w:pPr>
      <w:r>
        <w:rPr>
          <w:lang w:val="es-ES_tradnl"/>
        </w:rPr>
        <w:tab/>
      </w:r>
      <w:r>
        <w:rPr>
          <w:rStyle w:val="FootnoteReference"/>
        </w:rPr>
        <w:footnoteRef/>
      </w:r>
      <w:r>
        <w:rPr>
          <w:lang w:val="es-ES_tradnl"/>
        </w:rPr>
        <w:tab/>
      </w:r>
      <w:r>
        <w:rPr>
          <w:rFonts w:hint="eastAsia"/>
          <w:lang w:val="es-ES_tradnl"/>
        </w:rPr>
        <w:t>关于评估结果信息的文件可通过以下链接查阅：</w:t>
      </w:r>
      <w:hyperlink r:id="rId9" w:history="1">
        <w:r>
          <w:rPr>
            <w:rStyle w:val="Hyperlink"/>
            <w:color w:val="auto"/>
            <w:u w:val="none"/>
            <w:lang w:val="es-ES_tradnl"/>
          </w:rPr>
          <w:t>www.plandecenal.edu.co/html/1726/articles-121192_archivo.pdf</w:t>
        </w:r>
      </w:hyperlink>
      <w:r>
        <w:rPr>
          <w:rFonts w:hint="eastAsia"/>
          <w:lang w:val="es-ES_tradnl"/>
        </w:rPr>
        <w:t>。</w:t>
      </w:r>
    </w:p>
  </w:footnote>
  <w:footnote w:id="146">
    <w:p w:rsidR="00A83775" w:rsidRDefault="00A83775">
      <w:pPr>
        <w:pStyle w:val="FootnoteText"/>
        <w:widowControl w:val="0"/>
        <w:tabs>
          <w:tab w:val="clear" w:pos="1021"/>
          <w:tab w:val="right" w:pos="1020"/>
        </w:tabs>
        <w:rPr>
          <w:rFonts w:hint="eastAsia"/>
          <w:lang w:val="es-ES_tradnl"/>
        </w:rPr>
      </w:pPr>
      <w:r>
        <w:rPr>
          <w:lang w:val="es-ES_tradnl"/>
        </w:rPr>
        <w:tab/>
      </w:r>
      <w:r>
        <w:rPr>
          <w:rStyle w:val="FootnoteReference"/>
        </w:rPr>
        <w:footnoteRef/>
      </w:r>
      <w:r>
        <w:rPr>
          <w:lang w:val="es-ES_tradnl"/>
        </w:rPr>
        <w:tab/>
      </w:r>
      <w:r>
        <w:rPr>
          <w:rFonts w:hint="eastAsia"/>
          <w:lang w:val="es-ES_tradnl"/>
        </w:rPr>
        <w:t>《</w:t>
      </w:r>
      <w:r>
        <w:rPr>
          <w:rFonts w:hint="eastAsia"/>
          <w:lang w:val="es-ES_tradnl"/>
        </w:rPr>
        <w:t>2006-2016</w:t>
      </w:r>
      <w:r>
        <w:rPr>
          <w:rFonts w:hint="eastAsia"/>
          <w:lang w:val="es-ES_tradnl"/>
        </w:rPr>
        <w:t>年国家十年期教育计划》的最终文本可通过以下链接查阅：</w:t>
      </w:r>
      <w:r>
        <w:rPr>
          <w:lang w:val="es-ES_tradnl"/>
        </w:rPr>
        <w:fldChar w:fldCharType="begin"/>
      </w:r>
      <w:r>
        <w:rPr>
          <w:lang w:val="es-ES_tradnl"/>
        </w:rPr>
        <w:instrText xml:space="preserve"> HYPERLINK "http://www.plandecenal.edu.co/</w:instrText>
      </w:r>
      <w:r>
        <w:rPr>
          <w:rFonts w:hint="eastAsia"/>
          <w:lang w:val="es-ES_tradnl"/>
        </w:rPr>
        <w:instrText xml:space="preserve"> </w:instrText>
      </w:r>
      <w:r>
        <w:rPr>
          <w:lang w:val="es-ES_tradnl"/>
        </w:rPr>
        <w:instrText xml:space="preserve">html/1726/w3-article-166057.html" </w:instrText>
      </w:r>
      <w:r>
        <w:rPr>
          <w:lang w:val="es-ES_tradnl"/>
        </w:rPr>
      </w:r>
      <w:r>
        <w:rPr>
          <w:lang w:val="es-ES_tradnl"/>
        </w:rPr>
        <w:fldChar w:fldCharType="separate"/>
      </w:r>
      <w:r>
        <w:rPr>
          <w:rStyle w:val="Hyperlink"/>
          <w:color w:val="auto"/>
          <w:u w:val="none"/>
          <w:lang w:val="es-ES_tradnl"/>
        </w:rPr>
        <w:t>www.plandecenal.edu.co/html/1726/w3-article-166057.html</w:t>
      </w:r>
      <w:r>
        <w:rPr>
          <w:lang w:val="es-ES_tradnl"/>
        </w:rPr>
        <w:fldChar w:fldCharType="end"/>
      </w:r>
      <w:r>
        <w:rPr>
          <w:rFonts w:hint="eastAsia"/>
          <w:lang w:val="es-ES_tradnl"/>
        </w:rPr>
        <w:t>。</w:t>
      </w:r>
    </w:p>
  </w:footnote>
  <w:footnote w:id="147">
    <w:p w:rsidR="00A83775" w:rsidRDefault="00A83775">
      <w:pPr>
        <w:pStyle w:val="FootnoteText"/>
        <w:widowControl w:val="0"/>
        <w:tabs>
          <w:tab w:val="clear" w:pos="1021"/>
          <w:tab w:val="right" w:pos="1020"/>
        </w:tabs>
        <w:rPr>
          <w:rFonts w:hint="eastAsia"/>
          <w:lang w:val="es-ES_tradnl"/>
        </w:rPr>
      </w:pPr>
      <w:r>
        <w:rPr>
          <w:lang w:val="es-ES_tradnl"/>
        </w:rPr>
        <w:tab/>
      </w:r>
      <w:r>
        <w:rPr>
          <w:rStyle w:val="FootnoteReference"/>
        </w:rPr>
        <w:footnoteRef/>
      </w:r>
      <w:r>
        <w:rPr>
          <w:lang w:val="es-ES_tradnl"/>
        </w:rPr>
        <w:tab/>
      </w:r>
      <w:r>
        <w:rPr>
          <w:rFonts w:hint="eastAsia"/>
          <w:lang w:val="es-ES_tradnl"/>
        </w:rPr>
        <w:t>专项读写集成教育阶段。</w:t>
      </w:r>
    </w:p>
  </w:footnote>
  <w:footnote w:id="148">
    <w:p w:rsidR="00A83775" w:rsidRDefault="00A83775">
      <w:pPr>
        <w:pStyle w:val="FootnoteText"/>
        <w:widowControl w:val="0"/>
        <w:tabs>
          <w:tab w:val="clear" w:pos="1021"/>
          <w:tab w:val="right" w:pos="1020"/>
        </w:tabs>
        <w:rPr>
          <w:rFonts w:hint="eastAsia"/>
          <w:lang w:val="es-ES_tradnl"/>
        </w:rPr>
      </w:pPr>
      <w:r>
        <w:rPr>
          <w:lang w:val="es-ES_tradnl"/>
        </w:rPr>
        <w:tab/>
      </w:r>
      <w:r>
        <w:rPr>
          <w:rStyle w:val="FootnoteReference"/>
        </w:rPr>
        <w:footnoteRef/>
      </w:r>
      <w:r>
        <w:rPr>
          <w:lang w:val="es-ES_tradnl"/>
        </w:rPr>
        <w:tab/>
      </w:r>
      <w:r>
        <w:rPr>
          <w:rFonts w:hint="eastAsia"/>
          <w:lang w:val="es-ES_tradnl"/>
        </w:rPr>
        <w:t>妇女平等事务总统高级顾问办公室，两性问题观察站，</w:t>
      </w:r>
      <w:r>
        <w:rPr>
          <w:rFonts w:hint="eastAsia"/>
          <w:lang w:val="es-ES_tradnl"/>
        </w:rPr>
        <w:t>2010</w:t>
      </w:r>
      <w:r>
        <w:rPr>
          <w:rFonts w:hint="eastAsia"/>
          <w:lang w:val="es-ES_tradnl"/>
        </w:rPr>
        <w:t>年</w:t>
      </w:r>
      <w:r>
        <w:rPr>
          <w:rFonts w:hint="eastAsia"/>
          <w:lang w:val="es-ES_tradnl"/>
        </w:rPr>
        <w:t>7</w:t>
      </w:r>
      <w:r>
        <w:rPr>
          <w:rFonts w:hint="eastAsia"/>
          <w:lang w:val="es-ES_tradnl"/>
        </w:rPr>
        <w:t>月的特别公报</w:t>
      </w:r>
      <w:r>
        <w:rPr>
          <w:rFonts w:hint="eastAsia"/>
          <w:lang w:val="es-CO"/>
        </w:rPr>
        <w:t>。</w:t>
      </w:r>
    </w:p>
  </w:footnote>
  <w:footnote w:id="149">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这是一种由哥伦比亚教育和学习信贷局发放的贷款，其目的是</w:t>
      </w:r>
      <w:r>
        <w:rPr>
          <w:rFonts w:hint="eastAsia"/>
          <w:lang w:val="es-MX"/>
        </w:rPr>
        <w:t>通过可持续的资金支持来回应国家对扩大高等教育覆盖率的需求，降低在准入门槛和效果方面的不平等，解决教学治疗和教育持久性方面的问题，使教育管理结构以及运作方式更具灵活性。</w:t>
      </w:r>
    </w:p>
  </w:footnote>
  <w:footnote w:id="150">
    <w:p w:rsidR="00A83775" w:rsidRDefault="00A83775">
      <w:pPr>
        <w:pStyle w:val="FootnoteText"/>
        <w:widowControl w:val="0"/>
        <w:tabs>
          <w:tab w:val="clear" w:pos="1021"/>
          <w:tab w:val="right" w:pos="1020"/>
        </w:tabs>
        <w:rPr>
          <w:rFonts w:hint="eastAsia"/>
          <w:lang w:val="es-ES_tradnl"/>
        </w:rPr>
      </w:pPr>
      <w:r>
        <w:rPr>
          <w:lang w:val="es-ES"/>
        </w:rPr>
        <w:tab/>
      </w:r>
      <w:r>
        <w:rPr>
          <w:rStyle w:val="FootnoteReference"/>
        </w:rPr>
        <w:footnoteRef/>
      </w:r>
      <w:r>
        <w:rPr>
          <w:lang w:val="es-ES_tradnl"/>
        </w:rPr>
        <w:tab/>
      </w:r>
      <w:r>
        <w:rPr>
          <w:rFonts w:hint="eastAsia"/>
          <w:lang w:val="es-ES_tradnl"/>
        </w:rPr>
        <w:t>请参见：</w:t>
      </w:r>
      <w:hyperlink r:id="rId10" w:history="1">
        <w:r>
          <w:rPr>
            <w:rStyle w:val="Hyperlink"/>
            <w:color w:val="auto"/>
            <w:u w:val="none"/>
            <w:lang w:val="es-ES_tradnl"/>
          </w:rPr>
          <w:t>www.sena.edu.co/Portal/Portafolio+de+Programas+de+Formación+y+Cursos/Programas+</w:t>
        </w:r>
        <w:r>
          <w:rPr>
            <w:rStyle w:val="Hyperlink"/>
            <w:rFonts w:hint="eastAsia"/>
            <w:color w:val="auto"/>
            <w:u w:val="none"/>
            <w:lang w:val="es-ES_tradnl"/>
          </w:rPr>
          <w:t xml:space="preserve"> </w:t>
        </w:r>
        <w:r>
          <w:rPr>
            <w:rStyle w:val="Hyperlink"/>
            <w:color w:val="auto"/>
            <w:u w:val="none"/>
            <w:lang w:val="es-ES_tradnl"/>
          </w:rPr>
          <w:t>de+formación+profesional/</w:t>
        </w:r>
      </w:hyperlink>
      <w:r>
        <w:rPr>
          <w:rFonts w:hint="eastAsia"/>
          <w:lang w:val="es-ES_tradnl"/>
        </w:rPr>
        <w:t>。</w:t>
      </w:r>
    </w:p>
  </w:footnote>
  <w:footnote w:id="151">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第</w:t>
      </w:r>
      <w:r>
        <w:rPr>
          <w:rFonts w:hint="eastAsia"/>
          <w:lang w:val="es-ES_tradnl"/>
        </w:rPr>
        <w:t>5</w:t>
      </w:r>
      <w:r>
        <w:rPr>
          <w:rFonts w:hint="eastAsia"/>
          <w:lang w:val="es-ES_tradnl"/>
        </w:rPr>
        <w:t>、</w:t>
      </w:r>
      <w:r>
        <w:rPr>
          <w:rFonts w:hint="eastAsia"/>
          <w:lang w:val="es-ES_tradnl"/>
        </w:rPr>
        <w:t>7</w:t>
      </w:r>
      <w:r>
        <w:rPr>
          <w:rFonts w:hint="eastAsia"/>
          <w:lang w:val="es-ES_tradnl"/>
        </w:rPr>
        <w:t>、</w:t>
      </w:r>
      <w:r>
        <w:rPr>
          <w:rFonts w:hint="eastAsia"/>
          <w:lang w:val="es-ES_tradnl"/>
        </w:rPr>
        <w:t>13</w:t>
      </w:r>
      <w:r>
        <w:rPr>
          <w:rFonts w:hint="eastAsia"/>
          <w:lang w:val="es-ES_tradnl"/>
        </w:rPr>
        <w:t>、</w:t>
      </w:r>
      <w:r>
        <w:rPr>
          <w:rFonts w:hint="eastAsia"/>
          <w:lang w:val="es-ES_tradnl"/>
        </w:rPr>
        <w:t>16</w:t>
      </w:r>
      <w:r>
        <w:rPr>
          <w:rFonts w:hint="eastAsia"/>
          <w:lang w:val="es-ES_tradnl"/>
        </w:rPr>
        <w:t>、</w:t>
      </w:r>
      <w:r>
        <w:rPr>
          <w:rFonts w:hint="eastAsia"/>
          <w:lang w:val="es-ES_tradnl"/>
        </w:rPr>
        <w:t>43</w:t>
      </w:r>
      <w:r>
        <w:rPr>
          <w:rFonts w:hint="eastAsia"/>
          <w:lang w:val="es-ES_tradnl"/>
        </w:rPr>
        <w:t>、</w:t>
      </w:r>
      <w:r>
        <w:rPr>
          <w:rFonts w:hint="eastAsia"/>
          <w:lang w:val="es-ES_tradnl"/>
        </w:rPr>
        <w:t>44</w:t>
      </w:r>
      <w:r>
        <w:rPr>
          <w:rFonts w:hint="eastAsia"/>
          <w:lang w:val="es-ES_tradnl"/>
        </w:rPr>
        <w:t>和</w:t>
      </w:r>
      <w:r>
        <w:rPr>
          <w:rFonts w:hint="eastAsia"/>
          <w:lang w:val="es-ES_tradnl"/>
        </w:rPr>
        <w:t>67</w:t>
      </w:r>
      <w:r>
        <w:rPr>
          <w:rFonts w:hint="eastAsia"/>
          <w:lang w:val="es-ES_tradnl"/>
        </w:rPr>
        <w:t>条。</w:t>
      </w:r>
    </w:p>
  </w:footnote>
  <w:footnote w:id="152">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该法列出了用于规范公共教育服务的一般法规，公共教育服务应当根据个人、家庭和社会的需要和利益来履行其社会功能。</w:t>
      </w:r>
    </w:p>
  </w:footnote>
  <w:footnote w:id="153">
    <w:p w:rsidR="00A83775" w:rsidRDefault="00A83775">
      <w:pPr>
        <w:pStyle w:val="FootnoteText"/>
        <w:widowControl w:val="0"/>
        <w:tabs>
          <w:tab w:val="clear" w:pos="1021"/>
          <w:tab w:val="right" w:pos="1020"/>
        </w:tabs>
        <w:rPr>
          <w:rFonts w:hint="eastAsia"/>
          <w:lang w:val="es-ES_tradnl"/>
        </w:rPr>
      </w:pPr>
      <w:r>
        <w:rPr>
          <w:lang w:val="es-ES"/>
        </w:rPr>
        <w:tab/>
      </w:r>
      <w:r>
        <w:rPr>
          <w:rStyle w:val="FootnoteReference"/>
        </w:rPr>
        <w:footnoteRef/>
      </w:r>
      <w:r>
        <w:rPr>
          <w:lang w:val="es-ES_tradnl"/>
        </w:rPr>
        <w:tab/>
      </w:r>
      <w:r>
        <w:rPr>
          <w:rFonts w:hint="eastAsia"/>
          <w:lang w:val="es-ES_tradnl"/>
        </w:rPr>
        <w:t>“据此颁布了旨在预防对儿童和青少年的性暴力并对暴力受害儿童和青少年进行全面关爱的若干法规”。</w:t>
      </w:r>
    </w:p>
  </w:footnote>
  <w:footnote w:id="154">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第</w:t>
      </w:r>
      <w:r>
        <w:rPr>
          <w:rFonts w:hint="eastAsia"/>
          <w:lang w:val="es-ES_tradnl"/>
        </w:rPr>
        <w:t>183</w:t>
      </w:r>
      <w:r>
        <w:rPr>
          <w:rFonts w:hint="eastAsia"/>
          <w:lang w:val="es-ES_tradnl"/>
        </w:rPr>
        <w:t>条。国家教育机构的学费。国家政府应规范国家教育机构学费的收取事宜。出于这一目的，应确定收费等级，为此应将学生的社会经济水平、各地生活费用的差异、家庭构成以及教育机构的补充性服务纳入学费确定的考虑因素。各省、地区的教育厅或相应的主管机关，以及各市主管公共教育服务事务的当局应当对这些规定的落实情况进行监督和管控。</w:t>
      </w:r>
    </w:p>
  </w:footnote>
  <w:footnote w:id="155">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在研究</w:t>
      </w:r>
      <w:r>
        <w:rPr>
          <w:rFonts w:hint="eastAsia"/>
          <w:lang w:val="es-ES_tradnl"/>
        </w:rPr>
        <w:t>2010</w:t>
      </w:r>
      <w:r>
        <w:rPr>
          <w:rFonts w:hint="eastAsia"/>
          <w:lang w:val="es-ES_tradnl"/>
        </w:rPr>
        <w:t>年的数据时，应当考虑到收集到的公立学校入学率的最终数据在采集过程中存在一定的偏差值，而从私立学校中采集到的信息是截至</w:t>
      </w:r>
      <w:smartTag w:uri="urn:schemas-microsoft-com:office:smarttags" w:element="chsdate">
        <w:smartTagPr>
          <w:attr w:name="Year" w:val="2010"/>
          <w:attr w:name="Month" w:val="11"/>
          <w:attr w:name="Day" w:val="30"/>
          <w:attr w:name="IsLunarDate" w:val="False"/>
          <w:attr w:name="IsROCDate" w:val="False"/>
        </w:smartTagPr>
        <w:r>
          <w:rPr>
            <w:rFonts w:hint="eastAsia"/>
            <w:lang w:val="es-ES_tradnl"/>
          </w:rPr>
          <w:t>2010</w:t>
        </w:r>
        <w:r>
          <w:rPr>
            <w:rFonts w:hint="eastAsia"/>
            <w:lang w:val="es-ES_tradnl"/>
          </w:rPr>
          <w:t>年</w:t>
        </w:r>
        <w:r>
          <w:rPr>
            <w:rFonts w:hint="eastAsia"/>
            <w:lang w:val="es-ES_tradnl"/>
          </w:rPr>
          <w:t>11</w:t>
        </w:r>
        <w:r>
          <w:rPr>
            <w:rFonts w:hint="eastAsia"/>
            <w:lang w:val="es-ES_tradnl"/>
          </w:rPr>
          <w:t>月</w:t>
        </w:r>
        <w:r>
          <w:rPr>
            <w:rFonts w:hint="eastAsia"/>
            <w:lang w:val="es-ES_tradnl"/>
          </w:rPr>
          <w:t>30</w:t>
        </w:r>
        <w:r>
          <w:rPr>
            <w:rFonts w:hint="eastAsia"/>
            <w:lang w:val="es-ES_tradnl"/>
          </w:rPr>
          <w:t>日</w:t>
        </w:r>
      </w:smartTag>
      <w:r>
        <w:rPr>
          <w:rFonts w:hint="eastAsia"/>
          <w:lang w:val="es-ES_tradnl"/>
        </w:rPr>
        <w:t>的数据，因此与实际数值也存在一定偏差。</w:t>
      </w:r>
    </w:p>
  </w:footnote>
  <w:footnote w:id="156">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CO"/>
        </w:rPr>
        <w:t>职业技术和技能专业的招生比例这一指标值的估算以预科生和专科生注册入学总数为基数。</w:t>
      </w:r>
    </w:p>
  </w:footnote>
  <w:footnote w:id="157">
    <w:p w:rsidR="00A83775" w:rsidRDefault="00A83775">
      <w:pPr>
        <w:pStyle w:val="FootnoteText"/>
        <w:widowControl w:val="0"/>
        <w:tabs>
          <w:tab w:val="clear" w:pos="1021"/>
          <w:tab w:val="right" w:pos="1020"/>
        </w:tabs>
        <w:rPr>
          <w:rFonts w:hint="eastAsia"/>
          <w:lang w:val="es-ES_tradnl"/>
        </w:rPr>
      </w:pPr>
      <w:r>
        <w:rPr>
          <w:lang w:val="es-ES"/>
        </w:rPr>
        <w:tab/>
      </w:r>
      <w:r>
        <w:rPr>
          <w:rStyle w:val="FootnoteReference"/>
        </w:rPr>
        <w:footnoteRef/>
      </w:r>
      <w:r>
        <w:rPr>
          <w:lang w:val="es-ES_tradnl"/>
        </w:rPr>
        <w:tab/>
      </w:r>
      <w:r>
        <w:rPr>
          <w:rFonts w:hint="eastAsia"/>
          <w:iCs/>
          <w:lang w:val="es-ES_tradnl"/>
        </w:rPr>
        <w:t>1</w:t>
      </w:r>
      <w:r>
        <w:rPr>
          <w:iCs/>
          <w:lang w:val="es-ES_tradnl"/>
        </w:rPr>
        <w:t>.</w:t>
      </w:r>
      <w:r>
        <w:rPr>
          <w:rFonts w:hint="eastAsia"/>
          <w:iCs/>
          <w:lang w:val="es-ES_tradnl"/>
        </w:rPr>
        <w:t>《劳动变革对创造就业岗位和就业质量的影响》。乌戈·洛佩斯、雷姆贝尔托·雷纳尔斯和埃尔辛·卡斯塔尼奥。社会保障</w:t>
      </w:r>
      <w:r>
        <w:rPr>
          <w:rFonts w:hint="eastAsia"/>
          <w:iCs/>
          <w:lang w:val="es-ES_tradnl"/>
        </w:rPr>
        <w:t>1</w:t>
      </w:r>
      <w:r>
        <w:rPr>
          <w:rFonts w:hint="eastAsia"/>
          <w:iCs/>
          <w:lang w:val="es-ES_tradnl"/>
        </w:rPr>
        <w:t>号登记簿，</w:t>
      </w:r>
      <w:r>
        <w:rPr>
          <w:rFonts w:hint="eastAsia"/>
          <w:iCs/>
          <w:lang w:val="es-ES_tradnl"/>
        </w:rPr>
        <w:t>2005</w:t>
      </w:r>
      <w:r>
        <w:rPr>
          <w:rFonts w:hint="eastAsia"/>
          <w:iCs/>
          <w:lang w:val="es-ES_tradnl"/>
        </w:rPr>
        <w:t>年</w:t>
      </w:r>
      <w:r>
        <w:rPr>
          <w:rFonts w:hint="eastAsia"/>
          <w:iCs/>
          <w:lang w:val="es-ES_tradnl"/>
        </w:rPr>
        <w:t>11</w:t>
      </w:r>
      <w:r>
        <w:rPr>
          <w:rFonts w:hint="eastAsia"/>
          <w:iCs/>
          <w:lang w:val="es-ES_tradnl"/>
        </w:rPr>
        <w:t>月，社会保障部。</w:t>
      </w:r>
      <w:r>
        <w:rPr>
          <w:rFonts w:hint="eastAsia"/>
          <w:iCs/>
          <w:lang w:val="es-ES_tradnl"/>
        </w:rPr>
        <w:t>2</w:t>
      </w:r>
      <w:r>
        <w:rPr>
          <w:iCs/>
          <w:lang w:val="es-ES_tradnl"/>
        </w:rPr>
        <w:t>.</w:t>
      </w:r>
      <w:r>
        <w:rPr>
          <w:rFonts w:hint="eastAsia"/>
          <w:iCs/>
          <w:lang w:val="es-ES_tradnl"/>
        </w:rPr>
        <w:t>《哥伦比亚劳动变革的政治经济学》，胡安·卡洛斯·埃切维利和毛里西奥·圣塔玛利亚。经济发展研究中心第</w:t>
      </w:r>
      <w:r>
        <w:rPr>
          <w:rFonts w:hint="eastAsia"/>
          <w:iCs/>
          <w:lang w:val="es-ES_tradnl"/>
        </w:rPr>
        <w:t>2004-22</w:t>
      </w:r>
      <w:r>
        <w:rPr>
          <w:rFonts w:hint="eastAsia"/>
          <w:iCs/>
          <w:lang w:val="es-ES_tradnl"/>
        </w:rPr>
        <w:t>号文件，</w:t>
      </w:r>
      <w:r>
        <w:rPr>
          <w:rFonts w:hint="eastAsia"/>
          <w:iCs/>
          <w:lang w:val="es-ES_tradnl"/>
        </w:rPr>
        <w:t>2004</w:t>
      </w:r>
      <w:r>
        <w:rPr>
          <w:rFonts w:hint="eastAsia"/>
          <w:iCs/>
          <w:lang w:val="es-ES_tradnl"/>
        </w:rPr>
        <w:t>年</w:t>
      </w:r>
      <w:r>
        <w:rPr>
          <w:rFonts w:hint="eastAsia"/>
          <w:iCs/>
          <w:lang w:val="es-ES_tradnl"/>
        </w:rPr>
        <w:t>4</w:t>
      </w:r>
      <w:r>
        <w:rPr>
          <w:rFonts w:hint="eastAsia"/>
          <w:iCs/>
          <w:lang w:val="es-ES_tradnl"/>
        </w:rPr>
        <w:t>月。安第斯大学。</w:t>
      </w:r>
      <w:r>
        <w:rPr>
          <w:rFonts w:hint="eastAsia"/>
          <w:iCs/>
          <w:lang w:val="es-ES_tradnl"/>
        </w:rPr>
        <w:t>3</w:t>
      </w:r>
      <w:r>
        <w:rPr>
          <w:iCs/>
          <w:lang w:val="es-ES_tradnl"/>
        </w:rPr>
        <w:t>.</w:t>
      </w:r>
      <w:r>
        <w:rPr>
          <w:rFonts w:hint="eastAsia"/>
          <w:iCs/>
          <w:lang w:val="es-ES_tradnl"/>
        </w:rPr>
        <w:t>《哥伦比亚劳动变革的成与败》。海洛·努涅斯。经济发展研究中心</w:t>
      </w:r>
      <w:r>
        <w:rPr>
          <w:rFonts w:hint="eastAsia"/>
          <w:iCs/>
          <w:lang w:val="es-ES_tradnl"/>
        </w:rPr>
        <w:t>2005-45</w:t>
      </w:r>
      <w:r>
        <w:rPr>
          <w:rFonts w:hint="eastAsia"/>
          <w:iCs/>
          <w:lang w:val="es-ES_tradnl"/>
        </w:rPr>
        <w:t>号文件。安第斯大学。</w:t>
      </w:r>
    </w:p>
  </w:footnote>
  <w:footnote w:id="158">
    <w:p w:rsidR="00A83775" w:rsidRDefault="00A83775">
      <w:pPr>
        <w:pStyle w:val="FootnoteText"/>
        <w:widowControl w:val="0"/>
        <w:tabs>
          <w:tab w:val="clear" w:pos="1021"/>
          <w:tab w:val="right" w:pos="1020"/>
        </w:tabs>
        <w:rPr>
          <w:rFonts w:hint="eastAsia"/>
          <w:lang w:val="es-ES_tradnl"/>
        </w:rPr>
      </w:pPr>
      <w:r>
        <w:rPr>
          <w:lang w:val="es-ES"/>
        </w:rPr>
        <w:tab/>
      </w:r>
      <w:r>
        <w:rPr>
          <w:rStyle w:val="FootnoteReference"/>
        </w:rPr>
        <w:footnoteRef/>
      </w:r>
      <w:r>
        <w:rPr>
          <w:lang w:val="es-ES_tradnl"/>
        </w:rPr>
        <w:tab/>
      </w:r>
      <w:r>
        <w:rPr>
          <w:rFonts w:hint="eastAsia"/>
          <w:lang w:val="es-ES_tradnl"/>
        </w:rPr>
        <w:t>在与第十二条对应的关于医疗保健和社会保障有关的章节中，同样论述了与</w:t>
      </w:r>
      <w:r>
        <w:rPr>
          <w:rFonts w:hint="eastAsia"/>
          <w:lang w:val="es-ES"/>
        </w:rPr>
        <w:t>医疗保障体系、养老金体系、职业风险体系以及家庭互助救济体系的参保人数增长有关的进步。</w:t>
      </w:r>
    </w:p>
  </w:footnote>
  <w:footnote w:id="159">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培训，方法转变，创立和加强生产性项目，宣传战略，强化合作社机制，对业务计划进行咨询，交付耗材和原材料，以及促进企业组织机制。</w:t>
      </w:r>
    </w:p>
  </w:footnote>
  <w:footnote w:id="160">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iCs/>
          <w:lang w:val="es-ES_tradnl"/>
        </w:rPr>
        <w:t>公共就业服务处的业务内容包括面向求职者开办就业指导培训班；对求职者（劳动力供给一方）的资料进行登记，包括个人基本情况、教育经历和工作经历；收集整理和登记用人单位（劳动力需求一方）的用人需求信息，以及其提供职位的岗位概况；将劳动力供给和需求信息进行匹配，以便减少当地的失业现象并提高对劳动力市场行为的分析能力。</w:t>
      </w:r>
    </w:p>
  </w:footnote>
  <w:footnote w:id="161">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社区妈妈是指来自与受照顾儿童同一个社区，经过一段时间的培训和训练，能够在每周五个工作日内在其家中对最多</w:t>
      </w:r>
      <w:r>
        <w:rPr>
          <w:rFonts w:hint="eastAsia"/>
          <w:lang w:val="es-ES_tradnl"/>
        </w:rPr>
        <w:t>15</w:t>
      </w:r>
      <w:r>
        <w:rPr>
          <w:rFonts w:hint="eastAsia"/>
          <w:lang w:val="es-ES_tradnl"/>
        </w:rPr>
        <w:t>名</w:t>
      </w:r>
      <w:r>
        <w:rPr>
          <w:rFonts w:hint="eastAsia"/>
          <w:lang w:val="es-ES_tradnl"/>
        </w:rPr>
        <w:t>7</w:t>
      </w:r>
      <w:r>
        <w:rPr>
          <w:rFonts w:hint="eastAsia"/>
          <w:lang w:val="es-ES_tradnl"/>
        </w:rPr>
        <w:t>岁以下儿童进行照看的妇女。家庭福利研究所是这一方案的主管负责单位，其资金来源为公共和私人企业缴纳的月费总额的</w:t>
      </w:r>
      <w:r>
        <w:rPr>
          <w:rFonts w:hint="eastAsia"/>
          <w:lang w:val="es-ES_tradnl"/>
        </w:rPr>
        <w:t>3%</w:t>
      </w:r>
      <w:r>
        <w:rPr>
          <w:rFonts w:hint="eastAsia"/>
          <w:lang w:val="es-ES_tradnl"/>
        </w:rPr>
        <w:t>。自方案实施之初就不断得以扩展，到</w:t>
      </w:r>
      <w:r>
        <w:rPr>
          <w:rFonts w:hint="eastAsia"/>
          <w:lang w:val="es-ES_tradnl"/>
        </w:rPr>
        <w:t>1996</w:t>
      </w:r>
      <w:r>
        <w:rPr>
          <w:rFonts w:hint="eastAsia"/>
          <w:lang w:val="es-ES_tradnl"/>
        </w:rPr>
        <w:t>年其覆盖范围已遍布全国。</w:t>
      </w:r>
    </w:p>
  </w:footnote>
  <w:footnote w:id="162">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发展中的家庭是指从家中的下一代孕育之初就共同生活和参与其抚育过程的家庭成员团体。发展中家庭包括家有孕妇的家庭、家有哺乳期妇女的家庭以及家有</w:t>
      </w:r>
      <w:r>
        <w:rPr>
          <w:rFonts w:hint="eastAsia"/>
          <w:lang w:val="es-ES_tradnl"/>
        </w:rPr>
        <w:t>2</w:t>
      </w:r>
      <w:r>
        <w:rPr>
          <w:rFonts w:hint="eastAsia"/>
          <w:lang w:val="es-ES_tradnl"/>
        </w:rPr>
        <w:t>岁以下子女的家庭。</w:t>
      </w:r>
    </w:p>
  </w:footnote>
  <w:footnote w:id="163">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通过与国家统计局、社会保障部和家庭福利研究所签署的协议实施。</w:t>
      </w:r>
    </w:p>
  </w:footnote>
  <w:footnote w:id="164">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2010</w:t>
      </w:r>
      <w:r>
        <w:rPr>
          <w:rFonts w:hint="eastAsia"/>
          <w:lang w:val="es-ES_tradnl"/>
        </w:rPr>
        <w:t>年</w:t>
      </w:r>
      <w:r>
        <w:rPr>
          <w:rFonts w:hint="eastAsia"/>
          <w:lang w:val="es-ES_tradnl"/>
        </w:rPr>
        <w:t>6</w:t>
      </w:r>
      <w:r>
        <w:rPr>
          <w:rFonts w:hint="eastAsia"/>
          <w:lang w:val="es-ES_tradnl"/>
        </w:rPr>
        <w:t>月，在女企业家峰会框架内，</w:t>
      </w:r>
      <w:r>
        <w:rPr>
          <w:rFonts w:hint="eastAsia"/>
          <w:lang w:val="es-ES_tradnl"/>
        </w:rPr>
        <w:t>22</w:t>
      </w:r>
      <w:r>
        <w:rPr>
          <w:rFonts w:hint="eastAsia"/>
          <w:lang w:val="es-ES_tradnl"/>
        </w:rPr>
        <w:t>家考卡山谷行会间委员会的成员单位加入了这一议程。</w:t>
      </w:r>
    </w:p>
  </w:footnote>
  <w:footnote w:id="165">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CO"/>
        </w:rPr>
        <w:t>墨西哥、阿根廷、智利、多米尼加共和国、土耳其、埃及等国。</w:t>
      </w:r>
    </w:p>
  </w:footnote>
  <w:footnote w:id="166">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沿就业和企业发展这一条工作主线开展的方案注重于培训、发放信贷、促进社会网络的发展、开辟营销渠道，以此帮助创造收入，实现妇女的经济自立，在关系到妇女切身利益的事项上能够自主决策，并减轻妇女在面对暴力时的弱势地位。</w:t>
      </w:r>
    </w:p>
  </w:footnote>
  <w:footnote w:id="167">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这一战略整合和连结了各家政府组织和民间社会代表，目的是改善极端贫困家庭以及处于流离失所状况家庭的生活条件，敦促政府将此类家庭有效纳入其社会服务的对象范围，通过整合家庭和政府两方面的共同努力和工作，确保弱势家庭摆脱现有的困境</w:t>
      </w:r>
    </w:p>
  </w:footnote>
  <w:footnote w:id="168">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这些数据是通过将</w:t>
      </w:r>
      <w:r>
        <w:rPr>
          <w:lang w:val="es-ES_tradnl"/>
        </w:rPr>
        <w:t>国家妇女企业培训计划</w:t>
      </w:r>
      <w:r>
        <w:rPr>
          <w:rFonts w:hint="eastAsia"/>
          <w:lang w:val="es-ES_tradnl"/>
        </w:rPr>
        <w:t>的行政登记机关中的登记信息，再加上流离失所人口登记处在针对一级贫困人口和流离失所者的社会行动署提供的信息的基础上整合得出的。</w:t>
      </w:r>
    </w:p>
  </w:footnote>
  <w:footnote w:id="169">
    <w:p w:rsidR="00A83775" w:rsidRDefault="00A83775">
      <w:pPr>
        <w:pStyle w:val="FootnoteText"/>
        <w:widowControl w:val="0"/>
        <w:tabs>
          <w:tab w:val="clear" w:pos="1021"/>
          <w:tab w:val="right" w:pos="1020"/>
        </w:tabs>
        <w:rPr>
          <w:rFonts w:hint="eastAsia"/>
          <w:lang w:val="es-ES_tradnl"/>
        </w:rPr>
      </w:pPr>
      <w:r>
        <w:rPr>
          <w:lang w:val="es-ES_tradnl"/>
        </w:rPr>
        <w:tab/>
      </w:r>
      <w:r>
        <w:rPr>
          <w:rStyle w:val="FootnoteReference"/>
        </w:rPr>
        <w:footnoteRef/>
      </w:r>
      <w:r>
        <w:rPr>
          <w:lang w:val="es-ES_tradnl"/>
        </w:rPr>
        <w:tab/>
      </w:r>
      <w:r>
        <w:rPr>
          <w:rFonts w:hint="eastAsia"/>
          <w:lang w:val="es-ES_tradnl"/>
        </w:rPr>
        <w:t>哥伦比亚女企业家全国联合会。</w:t>
      </w:r>
    </w:p>
  </w:footnote>
  <w:footnote w:id="170">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此次峰会的参与者包括全国各地的妇女领袖、女企业家、女性教育工作者以及国际上的特邀嘉宾。在此次峰会框架内，开展了以下主题活动：哥伦比亚女企业家全国联合会国家协定（在前文中已经提到过）；泛美论坛</w:t>
      </w:r>
      <w:r>
        <w:rPr>
          <w:rFonts w:hint="eastAsia"/>
          <w:lang w:val="es-ES_tradnl"/>
        </w:rPr>
        <w:t>-</w:t>
      </w:r>
      <w:r>
        <w:rPr>
          <w:rFonts w:hint="eastAsia"/>
          <w:lang w:val="es-ES_tradnl"/>
        </w:rPr>
        <w:t>“妇女与权力，谋求一个平等的世界”；第七届全国女企业家博览会</w:t>
      </w:r>
      <w:r>
        <w:rPr>
          <w:rFonts w:hint="eastAsia"/>
          <w:spacing w:val="-50"/>
          <w:lang w:val="es-ES"/>
        </w:rPr>
        <w:t>―</w:t>
      </w:r>
      <w:r>
        <w:rPr>
          <w:rFonts w:hint="eastAsia"/>
          <w:lang w:val="es-ES"/>
        </w:rPr>
        <w:t>―</w:t>
      </w:r>
      <w:r>
        <w:rPr>
          <w:bCs/>
          <w:lang w:val="es-CO"/>
        </w:rPr>
        <w:t>EXPOEMPRESARIA</w:t>
      </w:r>
      <w:r>
        <w:rPr>
          <w:rFonts w:hint="eastAsia"/>
          <w:bCs/>
          <w:lang w:val="es-CO"/>
        </w:rPr>
        <w:t>，参会者包括来自</w:t>
      </w:r>
      <w:r>
        <w:rPr>
          <w:rFonts w:hint="eastAsia"/>
          <w:bCs/>
          <w:lang w:val="es-CO"/>
        </w:rPr>
        <w:t>24</w:t>
      </w:r>
      <w:r>
        <w:rPr>
          <w:rFonts w:hint="eastAsia"/>
          <w:bCs/>
          <w:lang w:val="es-CO"/>
        </w:rPr>
        <w:t>个省的</w:t>
      </w:r>
      <w:r>
        <w:rPr>
          <w:rFonts w:hint="eastAsia"/>
          <w:bCs/>
          <w:lang w:val="es-CO"/>
        </w:rPr>
        <w:t>345</w:t>
      </w:r>
      <w:r>
        <w:rPr>
          <w:rFonts w:hint="eastAsia"/>
          <w:bCs/>
          <w:lang w:val="es-CO"/>
        </w:rPr>
        <w:t>个展商；</w:t>
      </w:r>
      <w:r>
        <w:rPr>
          <w:rFonts w:hint="eastAsia"/>
          <w:lang w:val="es-CO"/>
        </w:rPr>
        <w:t>为妇女提供各类金融资助机会的活动；国际小额贷款平台；国家政府信贷和社会服务活动；业务活动；</w:t>
      </w:r>
      <w:r>
        <w:rPr>
          <w:bCs/>
          <w:lang w:val="es-CO"/>
        </w:rPr>
        <w:t>ESIKA</w:t>
      </w:r>
      <w:r>
        <w:rPr>
          <w:rFonts w:hint="eastAsia"/>
          <w:bCs/>
          <w:lang w:val="es-CO"/>
        </w:rPr>
        <w:t>网关－</w:t>
      </w:r>
      <w:r>
        <w:rPr>
          <w:rFonts w:hint="eastAsia"/>
          <w:lang w:val="es-ES_tradnl"/>
        </w:rPr>
        <w:t>全国女企业家博览会；考卡山谷行业间委员会签署劳动平等议程；教育服务女企业家碰头会；根除暴力侵害妇女现象各省代表处全国碰头会；二十世纪杰出女性表彰会、论坛及美食节：品尝我们的历史。</w:t>
      </w:r>
    </w:p>
  </w:footnote>
  <w:footnote w:id="171">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bCs/>
          <w:lang w:val="es-CO"/>
        </w:rPr>
        <w:t>第</w:t>
      </w:r>
      <w:smartTag w:uri="urn:schemas-microsoft-com:office:smarttags" w:element="chmetcnv">
        <w:smartTagPr>
          <w:attr w:name="UnitName" w:val="a"/>
          <w:attr w:name="SourceValue" w:val="210"/>
          <w:attr w:name="HasSpace" w:val="False"/>
          <w:attr w:name="Negative" w:val="False"/>
          <w:attr w:name="NumberType" w:val="1"/>
          <w:attr w:name="TCSC" w:val="0"/>
        </w:smartTagPr>
        <w:r>
          <w:rPr>
            <w:rFonts w:hint="eastAsia"/>
            <w:bCs/>
            <w:lang w:val="es-CO"/>
          </w:rPr>
          <w:t>210A</w:t>
        </w:r>
      </w:smartTag>
      <w:r>
        <w:rPr>
          <w:rFonts w:hint="eastAsia"/>
          <w:bCs/>
          <w:lang w:val="es-CO"/>
        </w:rPr>
        <w:t>条。</w:t>
      </w:r>
      <w:r>
        <w:rPr>
          <w:rFonts w:ascii="KaiTi_GB2312" w:eastAsia="KaiTi_GB2312" w:hint="eastAsia"/>
          <w:bCs/>
          <w:lang w:val="es-CO"/>
        </w:rPr>
        <w:t>性骚扰。</w:t>
      </w:r>
      <w:r>
        <w:rPr>
          <w:rFonts w:hint="eastAsia"/>
          <w:bCs/>
          <w:lang w:val="es-CO"/>
        </w:rPr>
        <w:t>凭借其权威或在权利、年龄、性别、职务、社会、家庭或经济地位上的优势，</w:t>
      </w:r>
      <w:r>
        <w:rPr>
          <w:rFonts w:hint="eastAsia"/>
          <w:lang w:val="es-MX"/>
        </w:rPr>
        <w:t>为自己或第三人实施身体或口头的骚扰、迫害、烦扰或纠缠，以达到在对方不同意的情况下对其进行性侵犯的目的</w:t>
      </w:r>
      <w:r>
        <w:rPr>
          <w:rFonts w:hint="eastAsia"/>
          <w:bCs/>
          <w:lang w:val="es-CO"/>
        </w:rPr>
        <w:t>，构成性骚扰罪，判处一（</w:t>
      </w:r>
      <w:r>
        <w:rPr>
          <w:rFonts w:hint="eastAsia"/>
          <w:bCs/>
          <w:lang w:val="es-CO"/>
        </w:rPr>
        <w:t>1</w:t>
      </w:r>
      <w:r>
        <w:rPr>
          <w:rFonts w:hint="eastAsia"/>
          <w:bCs/>
          <w:lang w:val="es-CO"/>
        </w:rPr>
        <w:t>）年以上三（</w:t>
      </w:r>
      <w:r>
        <w:rPr>
          <w:rFonts w:hint="eastAsia"/>
          <w:bCs/>
          <w:lang w:val="es-CO"/>
        </w:rPr>
        <w:t>3</w:t>
      </w:r>
      <w:r>
        <w:rPr>
          <w:rFonts w:hint="eastAsia"/>
          <w:bCs/>
          <w:lang w:val="es-CO"/>
        </w:rPr>
        <w:t>）年以下监禁徒刑。</w:t>
      </w:r>
    </w:p>
  </w:footnote>
  <w:footnote w:id="172">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劳动总体参与率（</w:t>
      </w:r>
      <w:r>
        <w:rPr>
          <w:rFonts w:hint="eastAsia"/>
          <w:lang w:val="es-ES_tradnl"/>
        </w:rPr>
        <w:t>TGP</w:t>
      </w:r>
      <w:r>
        <w:rPr>
          <w:rFonts w:hint="eastAsia"/>
          <w:lang w:val="es-ES_tradnl"/>
        </w:rPr>
        <w:t>）：经济活跃人口与适龄劳动人口之间的比值。</w:t>
      </w:r>
    </w:p>
  </w:footnote>
  <w:footnote w:id="173">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是指就业人口与适龄劳动人口总数之间的百分比。</w:t>
      </w:r>
    </w:p>
  </w:footnote>
  <w:footnote w:id="174">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CO"/>
        </w:rPr>
        <w:t>其他类型：永久性失去劳动能力者，养老金、退休金、年金受益者，以及被认定为不适合或没有能力劳动的人员。</w:t>
      </w:r>
    </w:p>
  </w:footnote>
  <w:footnote w:id="175">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粮食安全和营养保障部门间委员会是一个跨部门的工作和协调组织，由农业部主持工作并由社会保障部负责技术秘书处的工作，任期两年。</w:t>
      </w:r>
    </w:p>
  </w:footnote>
  <w:footnote w:id="176">
    <w:p w:rsidR="00A83775" w:rsidRDefault="00A83775">
      <w:pPr>
        <w:pStyle w:val="FootnoteText"/>
        <w:widowControl w:val="0"/>
        <w:tabs>
          <w:tab w:val="clear" w:pos="1021"/>
          <w:tab w:val="right" w:pos="1020"/>
        </w:tabs>
        <w:rPr>
          <w:rFonts w:hint="eastAsia"/>
          <w:lang w:val="es-ES_tradnl"/>
        </w:rPr>
      </w:pPr>
      <w:r>
        <w:rPr>
          <w:lang w:val="es-ES"/>
        </w:rPr>
        <w:tab/>
      </w:r>
      <w:r>
        <w:rPr>
          <w:rStyle w:val="FootnoteReference"/>
        </w:rPr>
        <w:footnoteRef/>
      </w:r>
      <w:r>
        <w:rPr>
          <w:lang w:val="es-ES_tradnl"/>
        </w:rPr>
        <w:tab/>
      </w:r>
      <w:r>
        <w:t>马格达莱纳、塞萨尔、科尔多瓦、卡萨纳雷、梅塔、</w:t>
      </w:r>
      <w:r>
        <w:rPr>
          <w:rFonts w:hint="eastAsia"/>
        </w:rPr>
        <w:t>瓜伊尼亚</w:t>
      </w:r>
      <w:r>
        <w:t>、沃佩斯、瓜维亚雷、亚马孙、卡克塔、普图马约省、威拉省、里萨拉尔达、金迪奥、博亚卡、考卡、乔科、拉瓜希拉、苏克雷、波哥大、巴兰基亚</w:t>
      </w:r>
      <w:r>
        <w:rPr>
          <w:rFonts w:hint="eastAsia"/>
        </w:rPr>
        <w:t>和</w:t>
      </w:r>
      <w:r>
        <w:t>圣玛尔塔</w:t>
      </w:r>
      <w:r>
        <w:rPr>
          <w:rFonts w:hint="eastAsia"/>
          <w:lang w:val="es-ES_tradnl"/>
        </w:rPr>
        <w:t>。</w:t>
      </w:r>
    </w:p>
  </w:footnote>
  <w:footnote w:id="177">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资本化支付单元。</w:t>
      </w:r>
    </w:p>
  </w:footnote>
  <w:footnote w:id="178">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t>马格达莱纳省、北桑坦德省、博亚卡省、波哥大</w:t>
      </w:r>
      <w:r>
        <w:rPr>
          <w:rFonts w:hint="eastAsia"/>
        </w:rPr>
        <w:t>特区市</w:t>
      </w:r>
      <w:r>
        <w:t>、昆迪纳马卡省、托利马省、里萨拉尔达省、金迪奥省、考卡山谷省、安蒂奥基亚省、梅塔省、桑坦德省、纳里尼奥省和</w:t>
      </w:r>
      <w:r>
        <w:rPr>
          <w:rFonts w:hint="eastAsia"/>
        </w:rPr>
        <w:t>乌伊拉省</w:t>
      </w:r>
      <w:r>
        <w:t>。</w:t>
      </w:r>
    </w:p>
  </w:footnote>
  <w:footnote w:id="179">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t>马格达莱纳省、北桑坦德省、博亚卡省、波哥大</w:t>
      </w:r>
      <w:r>
        <w:rPr>
          <w:rFonts w:hint="eastAsia"/>
        </w:rPr>
        <w:t>特区市</w:t>
      </w:r>
      <w:r>
        <w:t>、昆迪纳马卡省、托利马省、里萨拉尔达省、金迪奥省、考卡山谷省、安蒂奥基亚省、梅塔省、桑坦德省、纳里尼奥省和</w:t>
      </w:r>
      <w:r>
        <w:rPr>
          <w:rFonts w:hint="eastAsia"/>
        </w:rPr>
        <w:t>乌伊拉省</w:t>
      </w:r>
      <w:r>
        <w:t>。</w:t>
      </w:r>
    </w:p>
  </w:footnote>
  <w:footnote w:id="180">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t>波哥大</w:t>
      </w:r>
      <w:r>
        <w:rPr>
          <w:rFonts w:hint="eastAsia"/>
        </w:rPr>
        <w:t>省、</w:t>
      </w:r>
      <w:r>
        <w:t>玻利瓦尔省、博亚卡省、北桑坦德省、安蒂奥基亚省、托利马省、里萨拉尔达省、考卡山谷省、瓜维亚雷省、普图马约省、塞萨尔省、桑坦德省、梅塔省、纳里尼奥省、卡尔达斯</w:t>
      </w:r>
      <w:r>
        <w:rPr>
          <w:rFonts w:hint="eastAsia"/>
        </w:rPr>
        <w:t>省</w:t>
      </w:r>
      <w:r>
        <w:t>。在</w:t>
      </w:r>
      <w:r>
        <w:t>2009</w:t>
      </w:r>
      <w:r>
        <w:t>年扩大到金迪奥省、昆迪纳马卡省、苏克雷</w:t>
      </w:r>
      <w:r>
        <w:rPr>
          <w:rFonts w:hint="eastAsia"/>
        </w:rPr>
        <w:t>省</w:t>
      </w:r>
      <w:r>
        <w:t>和卡塔赫纳</w:t>
      </w:r>
      <w:r>
        <w:rPr>
          <w:rFonts w:hint="eastAsia"/>
        </w:rPr>
        <w:t>省</w:t>
      </w:r>
      <w:r>
        <w:t>。</w:t>
      </w:r>
    </w:p>
  </w:footnote>
  <w:footnote w:id="181">
    <w:p w:rsidR="00A83775" w:rsidRDefault="00A83775">
      <w:pPr>
        <w:pStyle w:val="FootnoteText"/>
        <w:rPr>
          <w:rFonts w:hint="eastAsia"/>
        </w:rPr>
      </w:pPr>
      <w:r>
        <w:rPr>
          <w:rFonts w:hint="eastAsia"/>
        </w:rPr>
        <w:tab/>
      </w:r>
      <w:r>
        <w:rPr>
          <w:rStyle w:val="FootnoteReference"/>
        </w:rPr>
        <w:footnoteRef/>
      </w:r>
      <w:r>
        <w:rPr>
          <w:rFonts w:hint="eastAsia"/>
        </w:rPr>
        <w:tab/>
      </w:r>
      <w:r>
        <w:rPr>
          <w:rFonts w:hint="eastAsia"/>
        </w:rPr>
        <w:t>资料来源：国家统计局。估算机构：国家计划部</w:t>
      </w:r>
      <w:r>
        <w:rPr>
          <w:rFonts w:hint="eastAsia"/>
        </w:rPr>
        <w:t>-</w:t>
      </w:r>
      <w:r>
        <w:rPr>
          <w:rFonts w:hint="eastAsia"/>
        </w:rPr>
        <w:t>社会发展处</w:t>
      </w:r>
      <w:r>
        <w:rPr>
          <w:rFonts w:hint="eastAsia"/>
        </w:rPr>
        <w:t>-</w:t>
      </w:r>
      <w:r>
        <w:rPr>
          <w:rFonts w:hint="eastAsia"/>
        </w:rPr>
        <w:t>社会促进和生活质量分管处。</w:t>
      </w:r>
    </w:p>
  </w:footnote>
  <w:footnote w:id="182">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对于修缮翻新住房的，补贴额度为</w:t>
      </w:r>
      <w:r>
        <w:rPr>
          <w:rFonts w:hint="eastAsia"/>
          <w:lang w:val="es-ES_tradnl"/>
        </w:rPr>
        <w:t>12</w:t>
      </w:r>
      <w:r>
        <w:rPr>
          <w:rFonts w:hint="eastAsia"/>
          <w:lang w:val="es-ES_tradnl"/>
        </w:rPr>
        <w:t>至</w:t>
      </w:r>
      <w:r>
        <w:rPr>
          <w:rFonts w:hint="eastAsia"/>
          <w:lang w:val="es-ES_tradnl"/>
        </w:rPr>
        <w:t>15</w:t>
      </w:r>
      <w:r>
        <w:rPr>
          <w:rFonts w:hint="eastAsia"/>
          <w:lang w:val="es-ES_tradnl"/>
        </w:rPr>
        <w:t>倍的现行法定最低月工资</w:t>
      </w:r>
      <w:r>
        <w:rPr>
          <w:rFonts w:hint="eastAsia"/>
          <w:lang w:val="es-ES_tradnl"/>
        </w:rPr>
        <w:t>-SMMMLV</w:t>
      </w:r>
      <w:r>
        <w:rPr>
          <w:rFonts w:hint="eastAsia"/>
          <w:lang w:val="es-ES_tradnl"/>
        </w:rPr>
        <w:t>，而对于新建住房的，补贴额度为</w:t>
      </w:r>
      <w:r>
        <w:rPr>
          <w:rFonts w:hint="eastAsia"/>
          <w:lang w:val="es-ES_tradnl"/>
        </w:rPr>
        <w:t>15</w:t>
      </w:r>
      <w:r>
        <w:rPr>
          <w:rFonts w:hint="eastAsia"/>
          <w:lang w:val="es-ES_tradnl"/>
        </w:rPr>
        <w:t>至</w:t>
      </w:r>
      <w:r>
        <w:rPr>
          <w:rFonts w:hint="eastAsia"/>
          <w:lang w:val="es-ES_tradnl"/>
        </w:rPr>
        <w:t>18</w:t>
      </w:r>
      <w:r>
        <w:rPr>
          <w:rFonts w:hint="eastAsia"/>
          <w:lang w:val="es-ES_tradnl"/>
        </w:rPr>
        <w:t>倍的现行法定最低月工资。</w:t>
      </w:r>
    </w:p>
  </w:footnote>
  <w:footnote w:id="183">
    <w:p w:rsidR="00A83775" w:rsidRDefault="00A83775">
      <w:pPr>
        <w:pStyle w:val="FootnoteText"/>
        <w:rPr>
          <w:rFonts w:hint="eastAsia"/>
        </w:rPr>
      </w:pPr>
      <w:r>
        <w:rPr>
          <w:rFonts w:hint="eastAsia"/>
        </w:rPr>
        <w:tab/>
      </w:r>
      <w:r>
        <w:rPr>
          <w:rStyle w:val="FootnoteReference"/>
        </w:rPr>
        <w:footnoteRef/>
      </w:r>
      <w:r>
        <w:rPr>
          <w:rFonts w:hint="eastAsia"/>
        </w:rPr>
        <w:tab/>
      </w:r>
      <w:r>
        <w:rPr>
          <w:rFonts w:hint="eastAsia"/>
        </w:rPr>
        <w:t>生产联合支助项目，旨在认定各类具备结盟可能的生产联盟。为让更多人加入联盟中，对有意加盟者在预投资－可能性研究和金融、环境和社会评估阶段给予资助。如果证实存在结盟的可行性，生产联合支助项目可以从财政上对于实现结盟给予支持。</w:t>
      </w:r>
    </w:p>
  </w:footnote>
  <w:footnote w:id="184">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这一模式是指将多名符合条件的人员联合起来，使之成为各类农业改革方案的受益者，共同开展劳动、产业经营、提供服务和谋取共同利益。</w:t>
      </w:r>
    </w:p>
  </w:footnote>
  <w:footnote w:id="185">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这些优惠条件是农村妇女专属的，借此帮助其获得劳动力资源，或者以低于大企业主贷款利息六个点的优惠待遇获得投资启动金，这些受益妇女可以获得在农业金融服务手册中设定的所有类型的贷款，这一优惠仅针对农村妇女以及被迫流离失所的公民实行，他们可以获得低于正常利息的贷款，贷款用于大多限定用于农牧业投资。</w:t>
      </w:r>
    </w:p>
  </w:footnote>
  <w:footnote w:id="186">
    <w:p w:rsidR="00A83775" w:rsidRDefault="00A83775">
      <w:pPr>
        <w:pStyle w:val="FootnoteText"/>
        <w:widowControl w:val="0"/>
        <w:tabs>
          <w:tab w:val="clear" w:pos="1021"/>
          <w:tab w:val="right" w:pos="1020"/>
        </w:tabs>
        <w:rPr>
          <w:rFonts w:hint="eastAsia"/>
          <w:lang w:val="es-ES_tradnl"/>
        </w:rPr>
      </w:pPr>
      <w:r>
        <w:rPr>
          <w:lang w:val="es-ES"/>
        </w:rPr>
        <w:tab/>
      </w:r>
      <w:r>
        <w:rPr>
          <w:rStyle w:val="FootnoteReference"/>
        </w:rPr>
        <w:footnoteRef/>
      </w:r>
      <w:r>
        <w:rPr>
          <w:lang w:val="es-ES_tradnl"/>
        </w:rPr>
        <w:tab/>
      </w:r>
      <w:r>
        <w:rPr>
          <w:rFonts w:hint="eastAsia"/>
          <w:lang w:val="es-ES_tradnl"/>
        </w:rPr>
        <w:t>哥伦比亚农业生产者协会；全国咖啡业者联合会；哥伦比亚花艺协会；全国稻米联合会，哥伦比亚油棕榈种植业协会。</w:t>
      </w:r>
    </w:p>
  </w:footnote>
  <w:footnote w:id="187">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据估计，在多数情况下，如果共同支配家庭财产的家庭数量越多，那么家庭凝聚力越强。构建更为平等和更为民主的夫妻关系，表现在当就家庭财产的支配问题做决定时，夫妻双方可以共同商量，并使得家庭的投入和支出都花用在家中所有或部分成员的身上。</w:t>
      </w:r>
    </w:p>
  </w:footnote>
  <w:footnote w:id="188">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这一项目自</w:t>
      </w:r>
      <w:r>
        <w:rPr>
          <w:rFonts w:hint="eastAsia"/>
          <w:lang w:val="es-ES_tradnl"/>
        </w:rPr>
        <w:t>2007</w:t>
      </w:r>
      <w:r>
        <w:rPr>
          <w:rFonts w:hint="eastAsia"/>
          <w:lang w:val="es-ES_tradnl"/>
        </w:rPr>
        <w:t>年开始由</w:t>
      </w:r>
      <w:r>
        <w:rPr>
          <w:lang w:val="es-ES_tradnl"/>
        </w:rPr>
        <w:t>ACDI-VOCA</w:t>
      </w:r>
      <w:r>
        <w:rPr>
          <w:rFonts w:hint="eastAsia"/>
          <w:lang w:val="es-ES_tradnl"/>
        </w:rPr>
        <w:t>和</w:t>
      </w:r>
      <w:r>
        <w:rPr>
          <w:lang w:val="es-ES_tradnl"/>
        </w:rPr>
        <w:t>ADAM-FUPAD</w:t>
      </w:r>
      <w:r>
        <w:rPr>
          <w:rFonts w:hint="eastAsia"/>
          <w:lang w:val="es-ES_tradnl"/>
        </w:rPr>
        <w:t>在社会行动署的资金支持（</w:t>
      </w:r>
      <w:r>
        <w:rPr>
          <w:lang w:val="es-ES_tradnl"/>
        </w:rPr>
        <w:t>ACDI-VOCA</w:t>
      </w:r>
      <w:r>
        <w:rPr>
          <w:rFonts w:hint="eastAsia"/>
          <w:lang w:val="es-ES_tradnl"/>
        </w:rPr>
        <w:t>、</w:t>
      </w:r>
      <w:r>
        <w:rPr>
          <w:lang w:val="es-ES_tradnl"/>
        </w:rPr>
        <w:t>ADAM</w:t>
      </w:r>
      <w:r>
        <w:rPr>
          <w:rFonts w:hint="eastAsia"/>
          <w:lang w:val="es-ES_tradnl"/>
        </w:rPr>
        <w:t>）和自有资金（信贷和现金）负责实施。</w:t>
      </w:r>
    </w:p>
  </w:footnote>
  <w:footnote w:id="189">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受益妇女数量超过</w:t>
      </w:r>
      <w:r>
        <w:rPr>
          <w:rFonts w:hint="eastAsia"/>
          <w:lang w:val="es-ES_tradnl"/>
        </w:rPr>
        <w:t>1</w:t>
      </w:r>
      <w:r>
        <w:rPr>
          <w:lang w:val="es-ES_tradnl"/>
        </w:rPr>
        <w:t>,</w:t>
      </w:r>
      <w:r>
        <w:rPr>
          <w:rFonts w:hint="eastAsia"/>
          <w:lang w:val="es-ES_tradnl"/>
        </w:rPr>
        <w:t>000</w:t>
      </w:r>
      <w:r>
        <w:rPr>
          <w:rFonts w:hint="eastAsia"/>
          <w:lang w:val="es-ES_tradnl"/>
        </w:rPr>
        <w:t>人。活动主要集中在加强对与金融有关问题的培训和加大对储蓄的激励力度，通过在活动中鼓励参与人员开立储蓄账户来推行在</w:t>
      </w:r>
      <w:r>
        <w:rPr>
          <w:rFonts w:hint="eastAsia"/>
          <w:lang w:val="es-ES_tradnl"/>
        </w:rPr>
        <w:t>2007-2008</w:t>
      </w:r>
      <w:r>
        <w:rPr>
          <w:rFonts w:hint="eastAsia"/>
          <w:lang w:val="es-ES_tradnl"/>
        </w:rPr>
        <w:t>年期间实施的有产妇女储蓄计划第一阶段的银行化程序。在这一阶段，增强了储蓄能力，将之作为一项业务培训的战略，并通过新的联合储蓄战略促进开展各类集体性的联合行动，这项战略是通过储蓄和企业合伙人发展支助团队实施的。</w:t>
      </w:r>
    </w:p>
  </w:footnote>
  <w:footnote w:id="190">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妇女平等事务总统高级顾问办公室；哥伦比亚农村发展局；环境、住房和国土开发部；国家教育部；农业部；社会保障部；内政和司法部；文化部；合作经济管理部；公共职能管理局；国家计划部；国家统计局；哥伦比亚体育总局；国家民政登记处；农牧业部门融资基金（</w:t>
      </w:r>
      <w:r>
        <w:rPr>
          <w:lang w:val="es-ES_tradnl"/>
        </w:rPr>
        <w:t>FINAGRO</w:t>
      </w:r>
      <w:r>
        <w:rPr>
          <w:rFonts w:hint="eastAsia"/>
          <w:lang w:val="es-ES_tradnl"/>
        </w:rPr>
        <w:t>）；国家学徒服务局；家庭结算银行。</w:t>
      </w:r>
    </w:p>
  </w:footnote>
  <w:footnote w:id="191">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该战略重视差别化和差异化方针，从性别角度开展实施，作为发现和纠正各类不平等的方法，分析和理解男性和女性在特定背景下的不同特征，并为妇女争取公平待遇，从性别多样化角度为妇女提供必要的机会，以便其享有体面、平等的生活，尊重其身份特定，确保妇女能够充分享有各项权利和基本自由。</w:t>
      </w:r>
    </w:p>
  </w:footnote>
  <w:footnote w:id="192">
    <w:p w:rsidR="00A83775" w:rsidRDefault="00A83775">
      <w:pPr>
        <w:pStyle w:val="FootnoteText"/>
        <w:widowControl w:val="0"/>
        <w:tabs>
          <w:tab w:val="clear" w:pos="1021"/>
          <w:tab w:val="right" w:pos="1020"/>
        </w:tabs>
        <w:rPr>
          <w:rFonts w:hint="eastAsia"/>
          <w:lang w:val="es-ES_tradnl"/>
        </w:rPr>
      </w:pPr>
      <w:r>
        <w:rPr>
          <w:lang w:val="es-ES"/>
        </w:rPr>
        <w:tab/>
      </w:r>
      <w:r>
        <w:rPr>
          <w:rStyle w:val="FootnoteReference"/>
        </w:rPr>
        <w:footnoteRef/>
      </w:r>
      <w:r>
        <w:rPr>
          <w:lang w:val="es-ES_tradnl"/>
        </w:rPr>
        <w:tab/>
      </w:r>
      <w:r>
        <w:rPr>
          <w:rFonts w:hint="eastAsia"/>
          <w:lang w:val="es-ES_tradnl"/>
        </w:rPr>
        <w:t>打击非法作物耕种计划信息系统</w:t>
      </w:r>
      <w:r>
        <w:rPr>
          <w:lang w:val="es-ES_tradnl"/>
        </w:rPr>
        <w:t>-SIPCI, 2011</w:t>
      </w:r>
      <w:r>
        <w:rPr>
          <w:rFonts w:hint="eastAsia"/>
          <w:lang w:val="es-ES_tradnl"/>
        </w:rPr>
        <w:t>年。</w:t>
      </w:r>
    </w:p>
  </w:footnote>
  <w:footnote w:id="193">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也就是说，农村家庭的传统构成就是父母双亲及其子女。</w:t>
      </w:r>
    </w:p>
  </w:footnote>
  <w:footnote w:id="194">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根据</w:t>
      </w:r>
      <w:r>
        <w:rPr>
          <w:szCs w:val="24"/>
          <w:lang w:val="zh-CN"/>
        </w:rPr>
        <w:t>联合国毒品和犯罪问题办公室</w:t>
      </w:r>
      <w:r>
        <w:rPr>
          <w:rFonts w:hint="eastAsia"/>
          <w:lang w:val="es-ES_tradnl"/>
        </w:rPr>
        <w:t>对</w:t>
      </w:r>
      <w:r>
        <w:rPr>
          <w:rFonts w:hint="eastAsia"/>
          <w:lang w:val="es-ES"/>
        </w:rPr>
        <w:t>“护林人家庭”方案</w:t>
      </w:r>
      <w:r>
        <w:rPr>
          <w:rFonts w:hint="eastAsia"/>
          <w:lang w:val="es-ES_tradnl"/>
        </w:rPr>
        <w:t>实施的监测和评估体系所开展的问卷调查结果得到的信息（第一至六阶段的乡镇）</w:t>
      </w:r>
      <w:r>
        <w:rPr>
          <w:rFonts w:hint="eastAsia"/>
          <w:lang w:val="es-ES_tradnl"/>
        </w:rPr>
        <w:t>2005-2010</w:t>
      </w:r>
      <w:r>
        <w:rPr>
          <w:rFonts w:hint="eastAsia"/>
          <w:lang w:val="es-ES_tradnl"/>
        </w:rPr>
        <w:t>年信息收集阶段（……）关系稳定但没有子女的夫妻组成的家庭占</w:t>
      </w:r>
      <w:r>
        <w:rPr>
          <w:rFonts w:hint="eastAsia"/>
          <w:lang w:val="es-ES_tradnl"/>
        </w:rPr>
        <w:t>7.6%</w:t>
      </w:r>
      <w:r>
        <w:rPr>
          <w:rFonts w:hint="eastAsia"/>
          <w:lang w:val="es-ES_tradnl"/>
        </w:rPr>
        <w:t>。单亲家庭的比例较少，占</w:t>
      </w:r>
      <w:r>
        <w:rPr>
          <w:rFonts w:hint="eastAsia"/>
          <w:lang w:val="es-ES_tradnl"/>
        </w:rPr>
        <w:t>5.7%</w:t>
      </w:r>
      <w:r>
        <w:rPr>
          <w:rFonts w:hint="eastAsia"/>
          <w:lang w:val="es-ES_tradnl"/>
        </w:rPr>
        <w:t>，女户主式的大家族式家庭占</w:t>
      </w:r>
      <w:r>
        <w:rPr>
          <w:rFonts w:hint="eastAsia"/>
          <w:lang w:val="es-ES_tradnl"/>
        </w:rPr>
        <w:t>5.3%</w:t>
      </w:r>
      <w:r>
        <w:rPr>
          <w:rFonts w:hint="eastAsia"/>
          <w:lang w:val="es-ES_tradnl"/>
        </w:rPr>
        <w:t>。最后是男户主式的大家族式家庭以及男性主导家庭，各占</w:t>
      </w:r>
      <w:r>
        <w:rPr>
          <w:rFonts w:hint="eastAsia"/>
          <w:lang w:val="es-ES_tradnl"/>
        </w:rPr>
        <w:t>2.5%</w:t>
      </w:r>
      <w:r>
        <w:rPr>
          <w:rFonts w:hint="eastAsia"/>
          <w:lang w:val="es-ES_tradnl"/>
        </w:rPr>
        <w:t>。</w:t>
      </w:r>
    </w:p>
  </w:footnote>
  <w:footnote w:id="195">
    <w:p w:rsidR="00A83775" w:rsidRDefault="00A83775">
      <w:pPr>
        <w:pStyle w:val="FootnoteText"/>
        <w:widowControl w:val="0"/>
        <w:tabs>
          <w:tab w:val="clear" w:pos="1021"/>
          <w:tab w:val="right" w:pos="1020"/>
        </w:tabs>
        <w:rPr>
          <w:rFonts w:hint="eastAsia"/>
          <w:lang w:val="es-ES_tradnl"/>
        </w:rPr>
      </w:pPr>
      <w:r>
        <w:rPr>
          <w:lang w:val="es-ES"/>
        </w:rPr>
        <w:tab/>
      </w:r>
      <w:r>
        <w:rPr>
          <w:rStyle w:val="FootnoteReference"/>
        </w:rPr>
        <w:footnoteRef/>
      </w:r>
      <w:r>
        <w:rPr>
          <w:lang w:val="es-ES_tradnl"/>
        </w:rPr>
        <w:tab/>
      </w:r>
      <w:r>
        <w:rPr>
          <w:rFonts w:hint="eastAsia"/>
          <w:lang w:val="es-ES_tradnl"/>
        </w:rPr>
        <w:t>他们散布在各地区，如纳里尼奥省的图马科和拉克鲁斯；科尔多瓦省的铁拉尔塔和瓦伦西亚；桑坦德省的苏克雷；安蒂奥基亚省的埃尔巴格雷、图尔博和圣胡安德乌拉坝；乔科省的阿坎蒂；马格达莱纳省的圣塔玛利亚；博亚卡省的欧坦切；托利马省的纳塔盖玛；卡尔达斯省的马尔科塔利亚；韦伊拉省的圣塔玛利亚；普图马约省的洛斯雷斯瓜尔多·德康德瓜和雍基略以及西彭多伊市，亚马孙省的莱蒂西亚；普罗维登西亚和圣卡塔林省的阿尔奇皮艾拉格·德圣安德烈斯。</w:t>
      </w:r>
    </w:p>
  </w:footnote>
  <w:footnote w:id="196">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创造各类生产性机会，以便使目标人口获得收入并积蓄财产，克服贫困；通过共筹资金，努力满足此类人口在这方面的需求。项目目标人口包括</w:t>
      </w:r>
      <w:r>
        <w:rPr>
          <w:rFonts w:hint="eastAsia"/>
          <w:lang w:val="es-ES_tradnl"/>
        </w:rPr>
        <w:t>3</w:t>
      </w:r>
      <w:r>
        <w:rPr>
          <w:lang w:val="es-ES_tradnl"/>
        </w:rPr>
        <w:t>,</w:t>
      </w:r>
      <w:r>
        <w:rPr>
          <w:rFonts w:hint="eastAsia"/>
          <w:lang w:val="es-ES_tradnl"/>
        </w:rPr>
        <w:t>000</w:t>
      </w:r>
      <w:r>
        <w:rPr>
          <w:rFonts w:hint="eastAsia"/>
          <w:lang w:val="es-ES_tradnl"/>
        </w:rPr>
        <w:t>名具备以下特征的妇女：</w:t>
      </w:r>
      <w:r>
        <w:rPr>
          <w:rFonts w:hint="eastAsia"/>
          <w:lang w:val="es-ES_tradnl"/>
        </w:rPr>
        <w:t>1</w:t>
      </w:r>
      <w:r>
        <w:rPr>
          <w:lang w:val="es-ES_tradnl"/>
        </w:rPr>
        <w:t xml:space="preserve">. </w:t>
      </w:r>
      <w:r>
        <w:rPr>
          <w:rFonts w:hint="eastAsia"/>
          <w:lang w:val="es-ES_tradnl"/>
        </w:rPr>
        <w:t>年龄在</w:t>
      </w:r>
      <w:r>
        <w:rPr>
          <w:rFonts w:hint="eastAsia"/>
          <w:lang w:val="es-ES_tradnl"/>
        </w:rPr>
        <w:t>16</w:t>
      </w:r>
      <w:r>
        <w:rPr>
          <w:rFonts w:hint="eastAsia"/>
          <w:lang w:val="es-ES_tradnl"/>
        </w:rPr>
        <w:t>至</w:t>
      </w:r>
      <w:r>
        <w:rPr>
          <w:rFonts w:hint="eastAsia"/>
          <w:lang w:val="es-ES_tradnl"/>
        </w:rPr>
        <w:t>50</w:t>
      </w:r>
      <w:r>
        <w:rPr>
          <w:rFonts w:hint="eastAsia"/>
          <w:lang w:val="es-ES_tradnl"/>
        </w:rPr>
        <w:t>岁之间。</w:t>
      </w:r>
      <w:r>
        <w:rPr>
          <w:rFonts w:hint="eastAsia"/>
          <w:lang w:val="es-ES_tradnl"/>
        </w:rPr>
        <w:t>2</w:t>
      </w:r>
      <w:r>
        <w:rPr>
          <w:lang w:val="es-ES_tradnl"/>
        </w:rPr>
        <w:t xml:space="preserve">. </w:t>
      </w:r>
      <w:r>
        <w:rPr>
          <w:rFonts w:hint="eastAsia"/>
          <w:lang w:val="es-ES_tradnl"/>
        </w:rPr>
        <w:t>属于社会方案潜在受益者识别和分类系统（</w:t>
      </w:r>
      <w:r>
        <w:rPr>
          <w:rFonts w:hint="eastAsia"/>
          <w:lang w:val="es-ES_tradnl"/>
        </w:rPr>
        <w:t>SISBEN</w:t>
      </w:r>
      <w:r>
        <w:rPr>
          <w:rFonts w:hint="eastAsia"/>
          <w:lang w:val="es-ES_tradnl"/>
        </w:rPr>
        <w:t>）的第</w:t>
      </w:r>
      <w:r>
        <w:rPr>
          <w:rFonts w:hint="eastAsia"/>
          <w:lang w:val="es-ES_tradnl"/>
        </w:rPr>
        <w:t>1</w:t>
      </w:r>
      <w:r>
        <w:rPr>
          <w:rFonts w:hint="eastAsia"/>
          <w:lang w:val="es-ES_tradnl"/>
        </w:rPr>
        <w:t>和第</w:t>
      </w:r>
      <w:r>
        <w:rPr>
          <w:rFonts w:hint="eastAsia"/>
          <w:lang w:val="es-ES_tradnl"/>
        </w:rPr>
        <w:t>2</w:t>
      </w:r>
      <w:r>
        <w:rPr>
          <w:rFonts w:hint="eastAsia"/>
          <w:lang w:val="es-ES_tradnl"/>
        </w:rPr>
        <w:t>类人群。在选择各类创业项目的目标人选时，优先考虑武装冲突受害妇女、被迫流离失所的妇女、家庭内暴力受害妇女、重返社会的妇女以及家庭女户主。</w:t>
      </w:r>
    </w:p>
  </w:footnote>
  <w:footnote w:id="197">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委员会成员包括当地司法辖区最高法院的一名大法官；行政法庭的一名大法官；司法辖区部门委员会行政庭的一名大法官。</w:t>
      </w:r>
    </w:p>
  </w:footnote>
  <w:footnote w:id="198">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性别与司法公正”方法论指南，是一项可以应用在司法实践中的自主学习工具，也就是说，国内的司法行政人员可通过这一工具，在平等和不歧视的原则下普遍采用各项有助于尊重妇女权利和提高对妇女权利的认识的标准。就这一方法还在</w:t>
      </w:r>
      <w:r>
        <w:rPr>
          <w:rFonts w:hint="eastAsia"/>
          <w:lang w:val="es-ES_tradnl"/>
        </w:rPr>
        <w:t>2009</w:t>
      </w:r>
      <w:r>
        <w:rPr>
          <w:rFonts w:hint="eastAsia"/>
          <w:lang w:val="es-ES_tradnl"/>
        </w:rPr>
        <w:t>年出版了《语言－在构筑平等中的一项战略要素》一书。</w:t>
      </w:r>
    </w:p>
  </w:footnote>
  <w:footnote w:id="199">
    <w:p w:rsidR="00A83775" w:rsidRDefault="00A83775">
      <w:pPr>
        <w:pStyle w:val="FootnoteText"/>
        <w:widowControl w:val="0"/>
        <w:tabs>
          <w:tab w:val="clear" w:pos="1021"/>
          <w:tab w:val="right" w:pos="1020"/>
        </w:tabs>
        <w:rPr>
          <w:rFonts w:hint="eastAsia"/>
          <w:lang w:val="es-ES_tradnl"/>
        </w:rPr>
      </w:pPr>
      <w:r>
        <w:rPr>
          <w:lang w:val="es-ES"/>
        </w:rPr>
        <w:tab/>
      </w:r>
      <w:r>
        <w:rPr>
          <w:rStyle w:val="FootnoteReference"/>
        </w:rPr>
        <w:footnoteRef/>
      </w:r>
      <w:r>
        <w:rPr>
          <w:lang w:val="es-ES_tradnl"/>
        </w:rPr>
        <w:tab/>
      </w:r>
      <w:r>
        <w:rPr>
          <w:rFonts w:hint="eastAsia"/>
          <w:lang w:val="es-ES_tradnl"/>
        </w:rPr>
        <w:t>有效保护男童、女童和青少年免受来自于同伴或师长的一切形式的虐待、身心侵害、侮辱、歧视或嘲弄，出台适当的遏止、纠正和整改机制，以避免对学习成绩不好、有语言障碍或具有特殊能力或专长的男童、女童和青少年的身心侵害、侮辱、轻视和嘲弄。（</w:t>
      </w:r>
      <w:r>
        <w:rPr>
          <w:rFonts w:hint="eastAsia"/>
          <w:lang w:val="es-ES_tradnl"/>
        </w:rPr>
        <w:t>2006</w:t>
      </w:r>
      <w:r>
        <w:rPr>
          <w:rFonts w:hint="eastAsia"/>
          <w:lang w:val="es-ES_tradnl"/>
        </w:rPr>
        <w:t>年第</w:t>
      </w:r>
      <w:r>
        <w:rPr>
          <w:rFonts w:hint="eastAsia"/>
          <w:lang w:val="es-ES_tradnl"/>
        </w:rPr>
        <w:t>1098</w:t>
      </w:r>
      <w:r>
        <w:rPr>
          <w:rFonts w:hint="eastAsia"/>
          <w:lang w:val="es-ES_tradnl"/>
        </w:rPr>
        <w:t>号法第</w:t>
      </w:r>
      <w:r>
        <w:rPr>
          <w:rFonts w:hint="eastAsia"/>
          <w:lang w:val="es-ES_tradnl"/>
        </w:rPr>
        <w:t>44</w:t>
      </w:r>
      <w:r>
        <w:rPr>
          <w:rFonts w:hint="eastAsia"/>
          <w:lang w:val="es-ES_tradnl"/>
        </w:rPr>
        <w:t>条）。</w:t>
      </w:r>
    </w:p>
  </w:footnote>
  <w:footnote w:id="200">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该法律还就“提供各级基础和中等正规教育的公共和私立教育机构，有义务出台措施来</w:t>
      </w:r>
      <w:r>
        <w:rPr>
          <w:rFonts w:hint="eastAsia"/>
          <w:lang w:val="es-ES"/>
        </w:rPr>
        <w:t>预防、早期发现、自主保护、调查和指控针对学生的性虐待现象，无论其发生在校内还是校外。</w:t>
      </w:r>
      <w:r>
        <w:rPr>
          <w:rFonts w:hint="eastAsia"/>
          <w:lang w:val="es-ES_tradnl"/>
        </w:rPr>
        <w:t>”</w:t>
      </w:r>
    </w:p>
  </w:footnote>
  <w:footnote w:id="201">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bCs/>
          <w:lang w:val="es-CO"/>
        </w:rPr>
        <w:t>在惩治措施方面，该法律规定：</w:t>
      </w:r>
      <w:r>
        <w:rPr>
          <w:rFonts w:hint="eastAsia"/>
          <w:bCs/>
          <w:lang w:val="es-CO"/>
        </w:rPr>
        <w:t xml:space="preserve">(a) </w:t>
      </w:r>
      <w:r>
        <w:rPr>
          <w:rFonts w:hint="eastAsia"/>
          <w:bCs/>
          <w:lang w:val="es-CO"/>
        </w:rPr>
        <w:t>针对暴力侵害妇女罪，犯罪人除应接受对应的刑事处罚外，还应被判处剥夺以下权利：禁止接近受害人和</w:t>
      </w:r>
      <w:r>
        <w:rPr>
          <w:rFonts w:hint="eastAsia"/>
          <w:bCs/>
          <w:lang w:val="es-CO"/>
        </w:rPr>
        <w:t>/</w:t>
      </w:r>
      <w:r>
        <w:rPr>
          <w:rFonts w:hint="eastAsia"/>
          <w:bCs/>
          <w:lang w:val="es-CO"/>
        </w:rPr>
        <w:t>或其家庭成员；</w:t>
      </w:r>
      <w:r>
        <w:rPr>
          <w:rFonts w:hint="eastAsia"/>
          <w:bCs/>
          <w:lang w:val="es-CO"/>
        </w:rPr>
        <w:t xml:space="preserve">(b) </w:t>
      </w:r>
      <w:r>
        <w:rPr>
          <w:rFonts w:hint="eastAsia"/>
          <w:bCs/>
          <w:lang w:val="es-CO"/>
        </w:rPr>
        <w:t>如果施暴人与被害人之间存在以下关系：夫妻或同居配偶；尽管不生活在一起，但是存在亲子关系；配偶所带来的其前面的婚姻中生育的子女或收养的子女；其他共同生活在一个家庭中的成员的，或者仅是由于受害者女性身份而犯下危害生命罪或伤害罪（凶杀、人身伤害，等等）的，应加重处罚；</w:t>
      </w:r>
      <w:r>
        <w:rPr>
          <w:rFonts w:hint="eastAsia"/>
          <w:bCs/>
          <w:lang w:val="es-CO"/>
        </w:rPr>
        <w:t xml:space="preserve">(c) </w:t>
      </w:r>
      <w:r>
        <w:rPr>
          <w:rFonts w:hint="eastAsia"/>
          <w:bCs/>
          <w:lang w:val="es-CO"/>
        </w:rPr>
        <w:t>如果由于受害人的女性身份而对受国际人道主义法保护的人员犯下凶杀罪的，应加重处罚；</w:t>
      </w:r>
      <w:r>
        <w:rPr>
          <w:rFonts w:hint="eastAsia"/>
          <w:lang w:val="es-ES_tradnl"/>
        </w:rPr>
        <w:t xml:space="preserve">(d) </w:t>
      </w:r>
      <w:r>
        <w:rPr>
          <w:rFonts w:hint="eastAsia"/>
          <w:bCs/>
          <w:lang w:val="es-CO"/>
        </w:rPr>
        <w:t>施暴人与被害人之间存在以下关系：</w:t>
      </w:r>
      <w:r>
        <w:rPr>
          <w:rFonts w:hint="eastAsia"/>
          <w:lang w:val="es-ES_tradnl"/>
        </w:rPr>
        <w:t>四代以内的血亲和直系姻亲，夫妻或同居配偶，或者共同生活在一个家庭中的成员，或者利用受害人对犯罪人或从犯的信任而犯下绑架或勒索罪行的，</w:t>
      </w:r>
      <w:r>
        <w:rPr>
          <w:rFonts w:hint="eastAsia"/>
          <w:bCs/>
          <w:lang w:val="es-CO"/>
        </w:rPr>
        <w:t>应加重处罚。在这一规定中，姻亲关系是指通过任何婚姻形式或自由结合而产生的关系；</w:t>
      </w:r>
      <w:r>
        <w:rPr>
          <w:rFonts w:hint="eastAsia"/>
          <w:bCs/>
          <w:lang w:val="es-CO"/>
        </w:rPr>
        <w:t xml:space="preserve">(e) </w:t>
      </w:r>
      <w:r>
        <w:rPr>
          <w:rFonts w:hint="eastAsia"/>
          <w:bCs/>
          <w:lang w:val="es-CO"/>
        </w:rPr>
        <w:t>以下情况被认定为性骚扰罪：凭借其权威或在权利，年龄，性别，职务，社会、家庭或经济地位上的优势，</w:t>
      </w:r>
      <w:r>
        <w:rPr>
          <w:rFonts w:hint="eastAsia"/>
          <w:lang w:val="es-MX"/>
        </w:rPr>
        <w:t>为自己或第三人实施身体或口头的骚扰、迫害、烦扰或纠缠，以达到在对方不同意的情况下对其进行性侵犯的目的</w:t>
      </w:r>
      <w:r>
        <w:rPr>
          <w:rFonts w:hint="eastAsia"/>
          <w:lang w:val="es-ES_tradnl"/>
        </w:rPr>
        <w:t>，</w:t>
      </w:r>
      <w:r>
        <w:rPr>
          <w:rFonts w:hint="eastAsia"/>
          <w:bCs/>
          <w:lang w:val="es-CO"/>
        </w:rPr>
        <w:t>构成性骚扰罪，判处一年以上三年以下监禁徒刑</w:t>
      </w:r>
      <w:r>
        <w:rPr>
          <w:rFonts w:hint="eastAsia"/>
          <w:lang w:val="es-ES_tradnl"/>
        </w:rPr>
        <w:t>；</w:t>
      </w:r>
      <w:r>
        <w:rPr>
          <w:rFonts w:hint="eastAsia"/>
          <w:lang w:val="es-ES_tradnl"/>
        </w:rPr>
        <w:t xml:space="preserve">(f) </w:t>
      </w:r>
      <w:r>
        <w:rPr>
          <w:rFonts w:hint="eastAsia"/>
          <w:bCs/>
          <w:lang w:val="es-CO"/>
        </w:rPr>
        <w:t>施暴人与被害人之间存在以下关系：</w:t>
      </w:r>
      <w:r>
        <w:rPr>
          <w:rFonts w:hint="eastAsia"/>
          <w:lang w:val="es-ES_tradnl"/>
        </w:rPr>
        <w:t>四代以内的血亲和直系姻亲，夫妻或同居配偶，或者共同生活在一个家庭中的成员，或者利用受害人对犯罪人或从犯的信任而犯下侵害自由、身心完整性和性权利（强奸</w:t>
      </w:r>
      <w:r>
        <w:rPr>
          <w:rFonts w:hint="eastAsia"/>
          <w:lang w:val="es-ES_tradnl"/>
        </w:rPr>
        <w:t>-</w:t>
      </w:r>
      <w:r>
        <w:rPr>
          <w:rFonts w:hint="eastAsia"/>
          <w:lang w:val="es-ES_tradnl"/>
        </w:rPr>
        <w:t>掠夺性行为），以及构成强奸和性暴力罪的，应加重惩处。</w:t>
      </w:r>
      <w:r>
        <w:rPr>
          <w:rFonts w:hint="eastAsia"/>
          <w:bCs/>
          <w:lang w:val="es-CO"/>
        </w:rPr>
        <w:t>在这一规定中，姻亲关系是指通过任何婚姻形式或自由结合而产生的关系。对受害对象因种族、年龄、身心残疾、职业或职务而处于弱势地位的情况予以重罚。对以达到控制社会、在社会中制造恐怖气氛或威迫社区服从为目的而实施的犯罪予以重罚。</w:t>
      </w:r>
      <w:r>
        <w:rPr>
          <w:rFonts w:hint="eastAsia"/>
          <w:bCs/>
          <w:lang w:val="es-CO"/>
        </w:rPr>
        <w:t xml:space="preserve">(g) </w:t>
      </w:r>
      <w:r>
        <w:rPr>
          <w:rFonts w:hint="eastAsia"/>
          <w:bCs/>
          <w:lang w:val="es-CO"/>
        </w:rPr>
        <w:t>施暴人与被害人之间存在以下关系：</w:t>
      </w:r>
      <w:r>
        <w:rPr>
          <w:rFonts w:hint="eastAsia"/>
          <w:lang w:val="es-ES_tradnl"/>
        </w:rPr>
        <w:t>四代以内的血亲和直系姻亲，夫妻或同居配偶，或者共同生活在一个家庭中的成员，或者利用受害人对犯罪人或从犯的信任而犯下侵害自由、身心完整性和性权利（卖淫</w:t>
      </w:r>
      <w:r>
        <w:rPr>
          <w:rFonts w:hint="eastAsia"/>
          <w:lang w:val="es-ES_tradnl"/>
        </w:rPr>
        <w:t>-</w:t>
      </w:r>
      <w:r>
        <w:rPr>
          <w:rFonts w:hint="eastAsia"/>
          <w:lang w:val="es-ES_tradnl"/>
        </w:rPr>
        <w:t>拉皮条；诱导卖淫；贩卖人口），以及构成强奸和性暴力罪的，应加重惩处。</w:t>
      </w:r>
      <w:r>
        <w:rPr>
          <w:rFonts w:hint="eastAsia"/>
          <w:bCs/>
          <w:lang w:val="es-CO"/>
        </w:rPr>
        <w:t>在这一规定中，姻亲关系是指通过任何婚姻形式或自由结合而产生的关系。对受害对象因种族、年龄、身心残疾、职业或职务而处于弱势地位的情况予以重罚。</w:t>
      </w:r>
      <w:r>
        <w:rPr>
          <w:rFonts w:hint="eastAsia"/>
          <w:lang w:val="es-ES_tradnl"/>
        </w:rPr>
        <w:t xml:space="preserve">(h) </w:t>
      </w:r>
      <w:r>
        <w:rPr>
          <w:rFonts w:hint="eastAsia"/>
          <w:lang w:val="es-ES_tradnl"/>
        </w:rPr>
        <w:t>在对侵害自由罪和性暴力罪方面，规定：法官有权应任何诉讼当事人的申请，规定在案件审理过程中不对公众开放。如果任何当事人提出要求，主管当局应规定对其身份信息保密，不公布其个人资料、其子女以及任何置于其照顾或监护下的人员的个人资料。</w:t>
      </w:r>
    </w:p>
  </w:footnote>
  <w:footnote w:id="202">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CO"/>
        </w:rPr>
        <w:t>在之前提到的第</w:t>
      </w:r>
      <w:r>
        <w:rPr>
          <w:rFonts w:hint="eastAsia"/>
          <w:lang w:val="es-CO"/>
        </w:rPr>
        <w:t>1257</w:t>
      </w:r>
      <w:r>
        <w:rPr>
          <w:rFonts w:hint="eastAsia"/>
          <w:lang w:val="es-CO"/>
        </w:rPr>
        <w:t>号法实施条例的框架内，确定了通用的参与方法，即与相关工作的主管人员召开的会议，与妇女组织，特别是</w:t>
      </w:r>
      <w:r>
        <w:rPr>
          <w:rFonts w:hint="eastAsia"/>
          <w:lang w:val="es-CO"/>
        </w:rPr>
        <w:t>2008</w:t>
      </w:r>
      <w:r>
        <w:rPr>
          <w:rFonts w:hint="eastAsia"/>
          <w:lang w:val="es-CO"/>
        </w:rPr>
        <w:t>年的第</w:t>
      </w:r>
      <w:r>
        <w:rPr>
          <w:rFonts w:hint="eastAsia"/>
          <w:lang w:val="es-CO"/>
        </w:rPr>
        <w:t>1257</w:t>
      </w:r>
      <w:r>
        <w:rPr>
          <w:rFonts w:hint="eastAsia"/>
          <w:lang w:val="es-CO"/>
        </w:rPr>
        <w:t>号法执行情况跟踪工作组召开的会议，与国会妇女事务咨询委员召开的会议，要求各省级消除暴力侵害妇女行为工作组提供这方面的信息，与私营部门和行会组织召开的会议。规定了关于尽快出台法律事实条例的条款：第</w:t>
      </w:r>
      <w:r>
        <w:rPr>
          <w:rFonts w:hint="eastAsia"/>
          <w:lang w:val="es-CO"/>
        </w:rPr>
        <w:t>8</w:t>
      </w:r>
      <w:r>
        <w:rPr>
          <w:rFonts w:hint="eastAsia"/>
          <w:lang w:val="es-CO"/>
        </w:rPr>
        <w:t>条，暴力受害者的权利的</w:t>
      </w:r>
      <w:r>
        <w:rPr>
          <w:rFonts w:hint="eastAsia"/>
          <w:lang w:val="es-CO"/>
        </w:rPr>
        <w:t>(b)</w:t>
      </w:r>
      <w:r>
        <w:rPr>
          <w:rFonts w:hint="eastAsia"/>
          <w:lang w:val="es-CO"/>
        </w:rPr>
        <w:t>款和</w:t>
      </w:r>
      <w:r>
        <w:rPr>
          <w:rFonts w:hint="eastAsia"/>
          <w:lang w:val="es-CO"/>
        </w:rPr>
        <w:t>(k)</w:t>
      </w:r>
      <w:r>
        <w:rPr>
          <w:rFonts w:hint="eastAsia"/>
          <w:lang w:val="es-CO"/>
        </w:rPr>
        <w:t>款，第</w:t>
      </w:r>
      <w:r>
        <w:rPr>
          <w:rFonts w:hint="eastAsia"/>
          <w:lang w:val="es-CO"/>
        </w:rPr>
        <w:t>9</w:t>
      </w:r>
      <w:r>
        <w:rPr>
          <w:rFonts w:hint="eastAsia"/>
          <w:lang w:val="es-CO"/>
        </w:rPr>
        <w:t>条思想教育和预防措施的第</w:t>
      </w:r>
      <w:r>
        <w:rPr>
          <w:rFonts w:hint="eastAsia"/>
          <w:lang w:val="es-CO"/>
        </w:rPr>
        <w:t>6</w:t>
      </w:r>
      <w:r>
        <w:rPr>
          <w:rFonts w:hint="eastAsia"/>
          <w:lang w:val="es-CO"/>
        </w:rPr>
        <w:t>款，第</w:t>
      </w:r>
      <w:r>
        <w:rPr>
          <w:rFonts w:hint="eastAsia"/>
          <w:lang w:val="es-CO"/>
        </w:rPr>
        <w:t>17</w:t>
      </w:r>
      <w:r>
        <w:rPr>
          <w:rFonts w:hint="eastAsia"/>
          <w:lang w:val="es-CO"/>
        </w:rPr>
        <w:t>条家庭内暴力的保护措施的</w:t>
      </w:r>
      <w:r>
        <w:rPr>
          <w:rFonts w:hint="eastAsia"/>
          <w:lang w:val="es-CO"/>
        </w:rPr>
        <w:t>(b)</w:t>
      </w:r>
      <w:r>
        <w:rPr>
          <w:rFonts w:hint="eastAsia"/>
          <w:lang w:val="es-CO"/>
        </w:rPr>
        <w:t>款和</w:t>
      </w:r>
      <w:r>
        <w:rPr>
          <w:rFonts w:hint="eastAsia"/>
          <w:lang w:val="es-CO"/>
        </w:rPr>
        <w:t>(d)</w:t>
      </w:r>
      <w:r>
        <w:rPr>
          <w:rFonts w:hint="eastAsia"/>
          <w:lang w:val="es-CO"/>
        </w:rPr>
        <w:t>款至</w:t>
      </w:r>
      <w:r>
        <w:rPr>
          <w:rFonts w:hint="eastAsia"/>
          <w:lang w:val="es-CO"/>
        </w:rPr>
        <w:t>(l)</w:t>
      </w:r>
      <w:r>
        <w:rPr>
          <w:rFonts w:hint="eastAsia"/>
          <w:lang w:val="es-CO"/>
        </w:rPr>
        <w:t>款，第</w:t>
      </w:r>
      <w:r>
        <w:rPr>
          <w:rFonts w:hint="eastAsia"/>
          <w:lang w:val="es-CO"/>
        </w:rPr>
        <w:t>18</w:t>
      </w:r>
      <w:r>
        <w:rPr>
          <w:rFonts w:hint="eastAsia"/>
          <w:lang w:val="es-CO"/>
        </w:rPr>
        <w:t>条在各类形势下对家人的保护措施，</w:t>
      </w:r>
      <w:r>
        <w:rPr>
          <w:rFonts w:hint="eastAsia"/>
          <w:lang w:val="es-CO"/>
        </w:rPr>
        <w:t>a</w:t>
      </w:r>
      <w:r>
        <w:rPr>
          <w:rFonts w:hint="eastAsia"/>
          <w:lang w:val="es-CO"/>
        </w:rPr>
        <w:t>款。</w:t>
      </w:r>
    </w:p>
  </w:footnote>
  <w:footnote w:id="203">
    <w:p w:rsidR="00A83775" w:rsidRDefault="00A83775">
      <w:pPr>
        <w:pStyle w:val="FootnoteText"/>
        <w:widowControl w:val="0"/>
        <w:tabs>
          <w:tab w:val="clear" w:pos="1021"/>
          <w:tab w:val="right" w:pos="1020"/>
        </w:tabs>
        <w:rPr>
          <w:rFonts w:hint="eastAsia"/>
          <w:lang w:val="es-ES_tradnl"/>
        </w:rPr>
      </w:pPr>
      <w:r>
        <w:rPr>
          <w:lang w:val="es-ES_tradnl"/>
        </w:rPr>
        <w:tab/>
      </w:r>
      <w:r>
        <w:rPr>
          <w:rStyle w:val="FootnoteReference"/>
        </w:rPr>
        <w:footnoteRef/>
      </w:r>
      <w:r>
        <w:rPr>
          <w:lang w:val="es-ES_tradnl"/>
        </w:rPr>
        <w:tab/>
      </w:r>
      <w:r>
        <w:rPr>
          <w:rFonts w:hint="eastAsia"/>
        </w:rPr>
        <w:t>安蒂奥基亚省、亚马孙省、大西洋省、玻利瓦尔省、卡尔达斯省、考卡省、塞萨尔省、科尔多瓦省、瓜伊尼亚省、威拉省、马格达莱纳省、梅塔省、纳里尼奥省、北桑坦德省、普图马约省、金迪奥省、里萨拉尔达省、圣安德烈斯和普罗维登省、桑坦德省、托利马省、考卡山谷省和比查达省</w:t>
      </w:r>
      <w:r>
        <w:rPr>
          <w:rFonts w:hint="eastAsia"/>
          <w:lang w:val="es-ES_tradnl"/>
        </w:rPr>
        <w:t>。</w:t>
      </w:r>
    </w:p>
  </w:footnote>
  <w:footnote w:id="204">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各省和首都区预防暴力侵害妇女行为行动的指导文件。</w:t>
      </w:r>
    </w:p>
  </w:footnote>
  <w:footnote w:id="205">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《宪法》第</w:t>
      </w:r>
      <w:r>
        <w:rPr>
          <w:rFonts w:hint="eastAsia"/>
          <w:lang w:val="es-ES_tradnl"/>
        </w:rPr>
        <w:t>13</w:t>
      </w:r>
      <w:r>
        <w:rPr>
          <w:rFonts w:hint="eastAsia"/>
          <w:lang w:val="es-ES_tradnl"/>
        </w:rPr>
        <w:t>条所规定的平等原则与《宪法》第</w:t>
      </w:r>
      <w:r>
        <w:rPr>
          <w:rFonts w:hint="eastAsia"/>
          <w:lang w:val="es-ES_tradnl"/>
        </w:rPr>
        <w:t>43</w:t>
      </w:r>
      <w:r>
        <w:rPr>
          <w:rFonts w:hint="eastAsia"/>
          <w:lang w:val="es-ES_tradnl"/>
        </w:rPr>
        <w:t>条至第</w:t>
      </w:r>
      <w:r>
        <w:rPr>
          <w:rFonts w:hint="eastAsia"/>
          <w:lang w:val="es-ES_tradnl"/>
        </w:rPr>
        <w:t>45</w:t>
      </w:r>
      <w:r>
        <w:rPr>
          <w:rFonts w:hint="eastAsia"/>
          <w:lang w:val="es-ES_tradnl"/>
        </w:rPr>
        <w:t>条的内容相呼应。通过这些规定将两性基本原则都一并纳入到了宪法规定中（……）它们是：</w:t>
      </w:r>
      <w:r>
        <w:rPr>
          <w:lang w:val="es-ES_tradnl"/>
        </w:rPr>
        <w:t>(</w:t>
      </w:r>
      <w:r>
        <w:rPr>
          <w:rFonts w:hint="eastAsia"/>
          <w:lang w:val="es-ES_tradnl"/>
        </w:rPr>
        <w:t>一</w:t>
      </w:r>
      <w:r>
        <w:rPr>
          <w:rFonts w:hint="eastAsia"/>
          <w:lang w:val="es-ES_tradnl"/>
        </w:rPr>
        <w:t>)</w:t>
      </w:r>
      <w:r>
        <w:rPr>
          <w:lang w:val="es-ES_tradnl"/>
        </w:rPr>
        <w:t xml:space="preserve"> </w:t>
      </w:r>
      <w:r>
        <w:rPr>
          <w:rFonts w:hint="eastAsia"/>
          <w:lang w:val="es-ES_tradnl"/>
        </w:rPr>
        <w:t>明文禁止性别歧视和</w:t>
      </w:r>
      <w:r>
        <w:rPr>
          <w:lang w:val="es-ES_tradnl"/>
        </w:rPr>
        <w:t>(</w:t>
      </w:r>
      <w:r>
        <w:rPr>
          <w:rFonts w:hint="eastAsia"/>
          <w:lang w:val="es-ES_tradnl"/>
        </w:rPr>
        <w:t>二</w:t>
      </w:r>
      <w:r>
        <w:rPr>
          <w:rFonts w:hint="eastAsia"/>
          <w:lang w:val="es-ES_tradnl"/>
        </w:rPr>
        <w:t>)</w:t>
      </w:r>
      <w:r>
        <w:rPr>
          <w:lang w:val="es-ES_tradnl"/>
        </w:rPr>
        <w:t xml:space="preserve"> </w:t>
      </w:r>
      <w:r>
        <w:rPr>
          <w:rFonts w:hint="eastAsia"/>
          <w:lang w:val="es-ES_tradnl"/>
        </w:rPr>
        <w:t>将女性和未成年人列为需要特别保护的群体。</w:t>
      </w:r>
    </w:p>
  </w:footnote>
  <w:footnote w:id="206">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t>安蒂奥基亚省、亚马孙省、阿劳卡省、乔科省、昆迪纳马卡省、</w:t>
      </w:r>
      <w:r>
        <w:rPr>
          <w:rFonts w:hint="eastAsia"/>
        </w:rPr>
        <w:t>韦伊拉</w:t>
      </w:r>
      <w:r>
        <w:t>省、马格达莱纳省、梅塔省、桑坦德省、北桑坦德省、普图马约省、里萨拉尔达省、山谷</w:t>
      </w:r>
      <w:r>
        <w:rPr>
          <w:rFonts w:hint="eastAsia"/>
        </w:rPr>
        <w:t>省</w:t>
      </w:r>
      <w:r>
        <w:t>和沃佩斯</w:t>
      </w:r>
      <w:r>
        <w:rPr>
          <w:rFonts w:hint="eastAsia"/>
        </w:rPr>
        <w:t>省</w:t>
      </w:r>
      <w:r>
        <w:t>。</w:t>
      </w:r>
    </w:p>
  </w:footnote>
  <w:footnote w:id="207">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在</w:t>
      </w:r>
      <w:r>
        <w:rPr>
          <w:bCs/>
        </w:rPr>
        <w:t>亚马孙、安蒂奥基亚、阿劳卡、波哥大、乔科、昆迪纳马卡、威拉、马格达莱纳、梅塔、北桑坦德、里萨拉尔达、桑坦德、山谷和沃佩斯</w:t>
      </w:r>
      <w:r>
        <w:rPr>
          <w:rFonts w:hint="eastAsia"/>
          <w:bCs/>
        </w:rPr>
        <w:t>地区。</w:t>
      </w:r>
    </w:p>
  </w:footnote>
  <w:footnote w:id="208">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t>在波哥大、博亚卡、塞萨尔、昆迪纳马卡省、乔科省、纳里尼奥、卡克塔和里萨拉尔达。</w:t>
      </w:r>
    </w:p>
  </w:footnote>
  <w:footnote w:id="209">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2008</w:t>
      </w:r>
      <w:r>
        <w:rPr>
          <w:rFonts w:hint="eastAsia"/>
          <w:lang w:val="es-ES_tradnl"/>
        </w:rPr>
        <w:t>年第</w:t>
      </w:r>
      <w:r>
        <w:rPr>
          <w:rFonts w:hint="eastAsia"/>
          <w:lang w:val="es-ES_tradnl"/>
        </w:rPr>
        <w:t>1257</w:t>
      </w:r>
      <w:r>
        <w:rPr>
          <w:rFonts w:hint="eastAsia"/>
          <w:lang w:val="es-ES_tradnl"/>
        </w:rPr>
        <w:t>号法第</w:t>
      </w:r>
      <w:r>
        <w:rPr>
          <w:rFonts w:hint="eastAsia"/>
          <w:lang w:val="es-ES_tradnl"/>
        </w:rPr>
        <w:t>16</w:t>
      </w:r>
      <w:r>
        <w:rPr>
          <w:rFonts w:hint="eastAsia"/>
          <w:lang w:val="es-ES_tradnl"/>
        </w:rPr>
        <w:t>条。</w:t>
      </w:r>
    </w:p>
  </w:footnote>
  <w:footnote w:id="210">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2996</w:t>
      </w:r>
      <w:r>
        <w:rPr>
          <w:rFonts w:hint="eastAsia"/>
          <w:lang w:val="es-ES_tradnl"/>
        </w:rPr>
        <w:t>年第</w:t>
      </w:r>
      <w:r>
        <w:rPr>
          <w:rFonts w:hint="eastAsia"/>
          <w:lang w:val="es-ES_tradnl"/>
        </w:rPr>
        <w:t>294</w:t>
      </w:r>
      <w:r>
        <w:rPr>
          <w:rFonts w:hint="eastAsia"/>
          <w:lang w:val="es-ES_tradnl"/>
        </w:rPr>
        <w:t>号法第</w:t>
      </w:r>
      <w:r>
        <w:rPr>
          <w:rFonts w:hint="eastAsia"/>
          <w:lang w:val="es-ES_tradnl"/>
        </w:rPr>
        <w:t>2</w:t>
      </w:r>
      <w:r>
        <w:rPr>
          <w:rFonts w:hint="eastAsia"/>
          <w:lang w:val="es-ES_tradnl"/>
        </w:rPr>
        <w:t>条，规定家庭的构成为：</w:t>
      </w:r>
      <w:r>
        <w:rPr>
          <w:lang w:val="es-ES_tradnl"/>
        </w:rPr>
        <w:t>(</w:t>
      </w:r>
      <w:r>
        <w:rPr>
          <w:rFonts w:hint="eastAsia"/>
          <w:lang w:val="es-ES_tradnl"/>
        </w:rPr>
        <w:t>一</w:t>
      </w:r>
      <w:r>
        <w:rPr>
          <w:rFonts w:hint="eastAsia"/>
          <w:lang w:val="es-ES_tradnl"/>
        </w:rPr>
        <w:t xml:space="preserve">) </w:t>
      </w:r>
      <w:r>
        <w:rPr>
          <w:rFonts w:hint="eastAsia"/>
          <w:lang w:val="es-ES_tradnl"/>
        </w:rPr>
        <w:t>夫妻或长久同居伴侣；</w:t>
      </w:r>
      <w:r>
        <w:rPr>
          <w:lang w:val="es-ES_tradnl"/>
        </w:rPr>
        <w:t>(</w:t>
      </w:r>
      <w:r>
        <w:rPr>
          <w:rFonts w:hint="eastAsia"/>
          <w:lang w:val="es-ES_tradnl"/>
        </w:rPr>
        <w:t>二</w:t>
      </w:r>
      <w:r>
        <w:rPr>
          <w:rFonts w:hint="eastAsia"/>
          <w:lang w:val="es-ES_tradnl"/>
        </w:rPr>
        <w:t xml:space="preserve">) </w:t>
      </w:r>
      <w:r>
        <w:rPr>
          <w:rFonts w:hint="eastAsia"/>
          <w:lang w:val="es-ES_tradnl"/>
        </w:rPr>
        <w:t>家庭的父亲和母亲，即使不住在一起；</w:t>
      </w:r>
      <w:r>
        <w:rPr>
          <w:lang w:val="es-ES_tradnl"/>
        </w:rPr>
        <w:t>(</w:t>
      </w:r>
      <w:r>
        <w:rPr>
          <w:rFonts w:hint="eastAsia"/>
          <w:lang w:val="es-ES_tradnl"/>
        </w:rPr>
        <w:t>三</w:t>
      </w:r>
      <w:r>
        <w:rPr>
          <w:rFonts w:hint="eastAsia"/>
          <w:lang w:val="es-ES_tradnl"/>
        </w:rPr>
        <w:t xml:space="preserve">) </w:t>
      </w:r>
      <w:r>
        <w:rPr>
          <w:rFonts w:hint="eastAsia"/>
          <w:lang w:val="es-ES_tradnl"/>
        </w:rPr>
        <w:t>夫妻双方的父母或子女和养子女；</w:t>
      </w:r>
      <w:r>
        <w:rPr>
          <w:lang w:val="es-ES_tradnl"/>
        </w:rPr>
        <w:t>(</w:t>
      </w:r>
      <w:r>
        <w:rPr>
          <w:rFonts w:hint="eastAsia"/>
          <w:lang w:val="es-ES_tradnl"/>
        </w:rPr>
        <w:t>四</w:t>
      </w:r>
      <w:r>
        <w:rPr>
          <w:rFonts w:hint="eastAsia"/>
          <w:lang w:val="es-ES_tradnl"/>
        </w:rPr>
        <w:t xml:space="preserve">) </w:t>
      </w:r>
      <w:r>
        <w:rPr>
          <w:rFonts w:hint="eastAsia"/>
          <w:lang w:val="es-ES_tradnl"/>
        </w:rPr>
        <w:t>其他所有长期生活在一起，共同组成家庭的人员。</w:t>
      </w:r>
    </w:p>
  </w:footnote>
  <w:footnote w:id="211">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重申了</w:t>
      </w:r>
      <w:r>
        <w:rPr>
          <w:rFonts w:hint="eastAsia"/>
          <w:lang w:val="es-ES_tradnl"/>
        </w:rPr>
        <w:t>2008</w:t>
      </w:r>
      <w:r>
        <w:rPr>
          <w:rFonts w:hint="eastAsia"/>
          <w:lang w:val="es-ES_tradnl"/>
        </w:rPr>
        <w:t>年的第</w:t>
      </w:r>
      <w:r>
        <w:rPr>
          <w:rFonts w:hint="eastAsia"/>
          <w:lang w:val="es-ES_tradnl"/>
        </w:rPr>
        <w:t>C-425</w:t>
      </w:r>
      <w:r>
        <w:rPr>
          <w:rFonts w:hint="eastAsia"/>
          <w:lang w:val="es-ES_tradnl"/>
        </w:rPr>
        <w:t>号判决和</w:t>
      </w:r>
      <w:r>
        <w:rPr>
          <w:rFonts w:hint="eastAsia"/>
          <w:lang w:val="es-ES_tradnl"/>
        </w:rPr>
        <w:t>2009</w:t>
      </w:r>
      <w:r>
        <w:rPr>
          <w:rFonts w:hint="eastAsia"/>
          <w:lang w:val="es-ES_tradnl"/>
        </w:rPr>
        <w:t>年的第</w:t>
      </w:r>
      <w:r>
        <w:rPr>
          <w:rFonts w:hint="eastAsia"/>
          <w:lang w:val="es-ES_tradnl"/>
        </w:rPr>
        <w:t>C-489</w:t>
      </w:r>
      <w:r>
        <w:rPr>
          <w:rFonts w:hint="eastAsia"/>
          <w:lang w:val="es-ES_tradnl"/>
        </w:rPr>
        <w:t>号判决所主张的法理。</w:t>
      </w:r>
    </w:p>
  </w:footnote>
  <w:footnote w:id="212">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资料来源：武装部队总司令部和国家警察总署。</w:t>
      </w:r>
    </w:p>
  </w:footnote>
  <w:footnote w:id="213">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在这方面，国防部秉承“所有部队战士以及警察应将保护和尊重人权视为其首要义务”的信念。人权和人道主义法综合政策，国防部，</w:t>
      </w:r>
      <w:r>
        <w:rPr>
          <w:rFonts w:hint="eastAsia"/>
          <w:lang w:val="es-ES_tradnl"/>
        </w:rPr>
        <w:t>2008</w:t>
      </w:r>
      <w:r>
        <w:rPr>
          <w:rFonts w:hint="eastAsia"/>
          <w:lang w:val="es-ES_tradnl"/>
        </w:rPr>
        <w:t>年，第</w:t>
      </w:r>
      <w:r>
        <w:rPr>
          <w:rFonts w:hint="eastAsia"/>
          <w:lang w:val="es-ES_tradnl"/>
        </w:rPr>
        <w:t>3</w:t>
      </w:r>
      <w:r>
        <w:rPr>
          <w:rFonts w:hint="eastAsia"/>
          <w:lang w:val="es-ES_tradnl"/>
        </w:rPr>
        <w:t>段。</w:t>
      </w:r>
    </w:p>
  </w:footnote>
  <w:footnote w:id="214">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smartTag w:uri="urn:schemas-microsoft-com:office:smarttags" w:element="chsdate">
        <w:smartTagPr>
          <w:attr w:name="Year" w:val="2010"/>
          <w:attr w:name="Month" w:val="9"/>
          <w:attr w:name="Day" w:val="22"/>
          <w:attr w:name="IsLunarDate" w:val="False"/>
          <w:attr w:name="IsROCDate" w:val="False"/>
        </w:smartTagPr>
        <w:r>
          <w:rPr>
            <w:rFonts w:hint="eastAsia"/>
            <w:lang w:val="es-ES_tradnl"/>
          </w:rPr>
          <w:t>2010</w:t>
        </w:r>
        <w:r>
          <w:rPr>
            <w:rFonts w:hint="eastAsia"/>
            <w:lang w:val="es-ES_tradnl"/>
          </w:rPr>
          <w:t>年</w:t>
        </w:r>
        <w:r>
          <w:rPr>
            <w:rFonts w:hint="eastAsia"/>
            <w:lang w:val="es-ES_tradnl"/>
          </w:rPr>
          <w:t>9</w:t>
        </w:r>
        <w:r>
          <w:rPr>
            <w:rFonts w:hint="eastAsia"/>
            <w:lang w:val="es-ES_tradnl"/>
          </w:rPr>
          <w:t>月</w:t>
        </w:r>
        <w:r>
          <w:rPr>
            <w:rFonts w:hint="eastAsia"/>
            <w:lang w:val="es-ES_tradnl"/>
          </w:rPr>
          <w:t>22</w:t>
        </w:r>
        <w:r>
          <w:rPr>
            <w:rFonts w:hint="eastAsia"/>
            <w:lang w:val="es-ES_tradnl"/>
          </w:rPr>
          <w:t>日</w:t>
        </w:r>
      </w:smartTag>
      <w:r>
        <w:rPr>
          <w:rFonts w:hint="eastAsia"/>
          <w:lang w:val="es-ES_tradnl"/>
        </w:rPr>
        <w:t>，维克托·胡里奥·苏亚雷斯·罗哈斯，绰号莫诺何乔伊，在哥伦比亚正规军的以此代号为“罪恶之地行动”的对抗战中，在靠近索拉尼亚德拉马卡雷纳地区的拉埃斯卡莱拉落网。莫诺何乔伊是哥伦比亚革命武装力量这支游击队的头目兼书记处委员。哥伦比亚政府将此次战役认定为针对叛军所发起的最为激烈的一次对抗战。</w:t>
      </w:r>
    </w:p>
  </w:footnote>
  <w:footnote w:id="215">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2002-2006</w:t>
      </w:r>
      <w:r>
        <w:rPr>
          <w:rFonts w:hint="eastAsia"/>
          <w:lang w:val="es-ES_tradnl"/>
        </w:rPr>
        <w:t>年期间下降了</w:t>
      </w:r>
      <w:r>
        <w:rPr>
          <w:rFonts w:hint="eastAsia"/>
          <w:lang w:val="es-ES_tradnl"/>
        </w:rPr>
        <w:t>39%</w:t>
      </w:r>
      <w:r>
        <w:rPr>
          <w:rFonts w:hint="eastAsia"/>
          <w:lang w:val="es-ES_tradnl"/>
        </w:rPr>
        <w:t>，死亡人数从</w:t>
      </w:r>
      <w:r>
        <w:rPr>
          <w:rFonts w:hint="eastAsia"/>
          <w:lang w:val="es-ES_tradnl"/>
        </w:rPr>
        <w:t>28</w:t>
      </w:r>
      <w:r>
        <w:rPr>
          <w:lang w:val="es-ES_tradnl"/>
        </w:rPr>
        <w:t>,</w:t>
      </w:r>
      <w:r>
        <w:rPr>
          <w:rFonts w:hint="eastAsia"/>
          <w:lang w:val="es-ES_tradnl"/>
        </w:rPr>
        <w:t>775</w:t>
      </w:r>
      <w:r>
        <w:rPr>
          <w:rFonts w:hint="eastAsia"/>
          <w:lang w:val="es-ES_tradnl"/>
        </w:rPr>
        <w:t>人降至</w:t>
      </w:r>
      <w:r>
        <w:rPr>
          <w:rFonts w:hint="eastAsia"/>
          <w:lang w:val="es-ES_tradnl"/>
        </w:rPr>
        <w:t>17</w:t>
      </w:r>
      <w:r>
        <w:rPr>
          <w:lang w:val="es-ES_tradnl"/>
        </w:rPr>
        <w:t>,</w:t>
      </w:r>
      <w:r>
        <w:rPr>
          <w:rFonts w:hint="eastAsia"/>
          <w:lang w:val="es-ES_tradnl"/>
        </w:rPr>
        <w:t>479</w:t>
      </w:r>
      <w:r>
        <w:rPr>
          <w:rFonts w:hint="eastAsia"/>
          <w:lang w:val="es-ES_tradnl"/>
        </w:rPr>
        <w:t>人，而在</w:t>
      </w:r>
      <w:r>
        <w:rPr>
          <w:rFonts w:hint="eastAsia"/>
          <w:lang w:val="es-ES_tradnl"/>
        </w:rPr>
        <w:t>2006</w:t>
      </w:r>
      <w:r>
        <w:rPr>
          <w:rFonts w:hint="eastAsia"/>
          <w:lang w:val="es-ES_tradnl"/>
        </w:rPr>
        <w:t>至</w:t>
      </w:r>
      <w:r>
        <w:rPr>
          <w:rFonts w:hint="eastAsia"/>
          <w:lang w:val="es-ES_tradnl"/>
        </w:rPr>
        <w:t>2009</w:t>
      </w:r>
      <w:r>
        <w:rPr>
          <w:rFonts w:hint="eastAsia"/>
          <w:lang w:val="es-ES_tradnl"/>
        </w:rPr>
        <w:t>年期间下降了</w:t>
      </w:r>
      <w:r>
        <w:rPr>
          <w:rFonts w:hint="eastAsia"/>
          <w:lang w:val="es-ES_tradnl"/>
        </w:rPr>
        <w:t>10%</w:t>
      </w:r>
      <w:r>
        <w:rPr>
          <w:rFonts w:hint="eastAsia"/>
          <w:lang w:val="es-ES_tradnl"/>
        </w:rPr>
        <w:t>，最近一年的死亡人数降到了</w:t>
      </w:r>
      <w:r>
        <w:rPr>
          <w:rFonts w:hint="eastAsia"/>
          <w:lang w:val="es-ES_tradnl"/>
        </w:rPr>
        <w:t>15</w:t>
      </w:r>
      <w:r>
        <w:rPr>
          <w:lang w:val="es-ES_tradnl"/>
        </w:rPr>
        <w:t>,</w:t>
      </w:r>
      <w:r>
        <w:rPr>
          <w:rFonts w:hint="eastAsia"/>
          <w:lang w:val="es-ES_tradnl"/>
        </w:rPr>
        <w:t>817</w:t>
      </w:r>
      <w:r>
        <w:rPr>
          <w:rFonts w:hint="eastAsia"/>
          <w:lang w:val="es-ES_tradnl"/>
        </w:rPr>
        <w:t>人。</w:t>
      </w:r>
    </w:p>
  </w:footnote>
  <w:footnote w:id="216">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在这方面，必须要说明的是，登记在册的凶杀案件中约有</w:t>
      </w:r>
      <w:r>
        <w:rPr>
          <w:rFonts w:hint="eastAsia"/>
          <w:lang w:val="es-ES_tradnl"/>
        </w:rPr>
        <w:t>0.01%</w:t>
      </w:r>
      <w:r>
        <w:rPr>
          <w:rFonts w:hint="eastAsia"/>
          <w:lang w:val="es-ES_tradnl"/>
        </w:rPr>
        <w:t>（</w:t>
      </w:r>
      <w:r>
        <w:rPr>
          <w:rFonts w:hint="eastAsia"/>
          <w:lang w:val="es-ES_tradnl"/>
        </w:rPr>
        <w:t>134</w:t>
      </w:r>
      <w:r>
        <w:rPr>
          <w:rFonts w:hint="eastAsia"/>
          <w:lang w:val="es-ES_tradnl"/>
        </w:rPr>
        <w:t>起）并没有关于受害人性别的信息。</w:t>
      </w:r>
    </w:p>
  </w:footnote>
  <w:footnote w:id="217">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包括：</w:t>
      </w:r>
      <w:r>
        <w:rPr>
          <w:rFonts w:hint="eastAsia"/>
          <w:lang w:val="es-ES_tradnl"/>
        </w:rPr>
        <w:t xml:space="preserve">(a) </w:t>
      </w:r>
      <w:r>
        <w:rPr>
          <w:rFonts w:hint="eastAsia"/>
          <w:lang w:val="es-ES_tradnl"/>
        </w:rPr>
        <w:t>尊重和保护妇女权利，不得因社会阶级、种族或人种、收入水平、文化、教育、年龄、宗教信仰或其他任何性质的原因而加以歧视；</w:t>
      </w:r>
      <w:r>
        <w:rPr>
          <w:rFonts w:hint="eastAsia"/>
          <w:lang w:val="es-ES_tradnl"/>
        </w:rPr>
        <w:t xml:space="preserve">(b) </w:t>
      </w:r>
      <w:r>
        <w:rPr>
          <w:rFonts w:hint="eastAsia"/>
          <w:lang w:val="es-ES_tradnl"/>
        </w:rPr>
        <w:t>避免在武装部队中滋生任何歧视女兵的萌芽态势；</w:t>
      </w:r>
      <w:r>
        <w:rPr>
          <w:rFonts w:hint="eastAsia"/>
          <w:lang w:val="es-ES_tradnl"/>
        </w:rPr>
        <w:t xml:space="preserve">(c) </w:t>
      </w:r>
      <w:r>
        <w:rPr>
          <w:rFonts w:hint="eastAsia"/>
          <w:lang w:val="es-ES_tradnl"/>
        </w:rPr>
        <w:t>尽可能地由女兵来处理非法武装团体的退伍女兵；</w:t>
      </w:r>
      <w:r>
        <w:rPr>
          <w:rFonts w:hint="eastAsia"/>
          <w:lang w:val="es-ES_tradnl"/>
        </w:rPr>
        <w:t xml:space="preserve">(d) </w:t>
      </w:r>
      <w:r>
        <w:rPr>
          <w:rFonts w:hint="eastAsia"/>
          <w:lang w:val="es-ES_tradnl"/>
        </w:rPr>
        <w:t>为向国内和国际社会证明已经将性暴力的使用界定为战争罪，对非法武装团体在哥伦比亚境内犯下的性暴力犯罪行为进行了统计；</w:t>
      </w:r>
      <w:r>
        <w:rPr>
          <w:rFonts w:hint="eastAsia"/>
          <w:lang w:val="es-ES_tradnl"/>
        </w:rPr>
        <w:t xml:space="preserve">(e) </w:t>
      </w:r>
      <w:r>
        <w:rPr>
          <w:rFonts w:hint="eastAsia"/>
          <w:lang w:val="es-ES_tradnl"/>
        </w:rPr>
        <w:t>调查和惩办了一批针对妇女的性骚扰、侵犯、虐待和身心侵害的典型案件，特别是对妇女的不人道的和有辱人格的对待、强奸、强迫卖淫和任何形式的非礼和侮辱尊严的行为，以示警戒；</w:t>
      </w:r>
      <w:r>
        <w:rPr>
          <w:rFonts w:hint="eastAsia"/>
          <w:lang w:val="es-ES_tradnl"/>
        </w:rPr>
        <w:t xml:space="preserve">(f) </w:t>
      </w:r>
      <w:r>
        <w:rPr>
          <w:rFonts w:hint="eastAsia"/>
          <w:lang w:val="es-ES_tradnl"/>
        </w:rPr>
        <w:t>针对以妇女为犯罪目标的非法武装组织所犯罪行进行了刑事起诉。</w:t>
      </w:r>
    </w:p>
  </w:footnote>
  <w:footnote w:id="218">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包括：</w:t>
      </w:r>
      <w:r>
        <w:t>(a)</w:t>
      </w:r>
      <w:r>
        <w:rPr>
          <w:rFonts w:hint="eastAsia"/>
        </w:rPr>
        <w:t xml:space="preserve"> </w:t>
      </w:r>
      <w:r>
        <w:rPr>
          <w:rFonts w:hint="eastAsia"/>
          <w:lang w:val="es-ES_tradnl"/>
        </w:rPr>
        <w:t>开展培训活动，目的是宣传与保护妇女及其权利有关的国际法律法规；</w:t>
      </w:r>
      <w:r>
        <w:rPr>
          <w:rFonts w:hint="eastAsia"/>
          <w:lang w:val="es-ES_tradnl"/>
        </w:rPr>
        <w:t xml:space="preserve">(b) </w:t>
      </w:r>
      <w:r>
        <w:rPr>
          <w:rFonts w:hint="eastAsia"/>
          <w:lang w:val="es-ES_tradnl"/>
        </w:rPr>
        <w:t>开展各类针对妇女和女童的预防行动和宣传运动，目的是避免性别暴力事件的发生；</w:t>
      </w:r>
      <w:r>
        <w:rPr>
          <w:rFonts w:hint="eastAsia"/>
          <w:lang w:val="es-ES_tradnl"/>
        </w:rPr>
        <w:t xml:space="preserve">(c) </w:t>
      </w:r>
      <w:r>
        <w:rPr>
          <w:rFonts w:hint="eastAsia"/>
          <w:lang w:val="es-ES_tradnl"/>
        </w:rPr>
        <w:t>支持主管当局开展各类活动来预防和打击贩卖妇女儿童事件；</w:t>
      </w:r>
      <w:r>
        <w:rPr>
          <w:rFonts w:hint="eastAsia"/>
          <w:lang w:val="es-ES_tradnl"/>
        </w:rPr>
        <w:t xml:space="preserve">(d) </w:t>
      </w:r>
      <w:r>
        <w:rPr>
          <w:rFonts w:hint="eastAsia"/>
          <w:lang w:val="es-ES_tradnl"/>
        </w:rPr>
        <w:t>参与省级和市级主管部门实施的方案，以便从地方层面上宣传和执行与保护妇女及其权利有关的法规。</w:t>
      </w:r>
    </w:p>
  </w:footnote>
  <w:footnote w:id="219">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2000</w:t>
      </w:r>
      <w:r>
        <w:rPr>
          <w:rFonts w:hint="eastAsia"/>
          <w:lang w:val="es-ES_tradnl"/>
        </w:rPr>
        <w:t>年的第</w:t>
      </w:r>
      <w:r>
        <w:rPr>
          <w:lang w:val="es-ES_tradnl"/>
        </w:rPr>
        <w:t>1325</w:t>
      </w:r>
      <w:r>
        <w:rPr>
          <w:rFonts w:hint="eastAsia"/>
          <w:lang w:val="es-ES_tradnl"/>
        </w:rPr>
        <w:t>号决议，</w:t>
      </w:r>
      <w:r>
        <w:rPr>
          <w:rFonts w:hint="eastAsia"/>
          <w:lang w:val="es-ES_tradnl"/>
        </w:rPr>
        <w:t>2008</w:t>
      </w:r>
      <w:r>
        <w:rPr>
          <w:rFonts w:hint="eastAsia"/>
          <w:lang w:val="es-ES_tradnl"/>
        </w:rPr>
        <w:t>年的第</w:t>
      </w:r>
      <w:r>
        <w:rPr>
          <w:rFonts w:hint="eastAsia"/>
          <w:lang w:val="es-ES_tradnl"/>
        </w:rPr>
        <w:t>1820</w:t>
      </w:r>
      <w:r>
        <w:rPr>
          <w:rFonts w:hint="eastAsia"/>
          <w:lang w:val="es-ES_tradnl"/>
        </w:rPr>
        <w:t>号决议；</w:t>
      </w:r>
      <w:r>
        <w:rPr>
          <w:rFonts w:hint="eastAsia"/>
          <w:lang w:val="es-ES_tradnl"/>
        </w:rPr>
        <w:t>2009</w:t>
      </w:r>
      <w:r>
        <w:rPr>
          <w:rFonts w:hint="eastAsia"/>
          <w:lang w:val="es-ES_tradnl"/>
        </w:rPr>
        <w:t>年的第</w:t>
      </w:r>
      <w:r>
        <w:rPr>
          <w:rFonts w:hint="eastAsia"/>
          <w:lang w:val="es-ES_tradnl"/>
        </w:rPr>
        <w:t>1888</w:t>
      </w:r>
      <w:r>
        <w:rPr>
          <w:rFonts w:hint="eastAsia"/>
          <w:lang w:val="es-ES_tradnl"/>
        </w:rPr>
        <w:t>号决议；</w:t>
      </w:r>
      <w:r>
        <w:rPr>
          <w:rFonts w:hint="eastAsia"/>
          <w:lang w:val="es-ES_tradnl"/>
        </w:rPr>
        <w:t>2009</w:t>
      </w:r>
      <w:r>
        <w:rPr>
          <w:rFonts w:hint="eastAsia"/>
          <w:lang w:val="es-ES_tradnl"/>
        </w:rPr>
        <w:t>年的第</w:t>
      </w:r>
      <w:r>
        <w:rPr>
          <w:rFonts w:hint="eastAsia"/>
          <w:lang w:val="es-ES_tradnl"/>
        </w:rPr>
        <w:t>1889</w:t>
      </w:r>
      <w:r>
        <w:rPr>
          <w:rFonts w:hint="eastAsia"/>
          <w:lang w:val="es-ES_tradnl"/>
        </w:rPr>
        <w:t>号决议；</w:t>
      </w:r>
      <w:r>
        <w:rPr>
          <w:rFonts w:hint="eastAsia"/>
          <w:lang w:val="es-ES_tradnl"/>
        </w:rPr>
        <w:t>2010</w:t>
      </w:r>
      <w:r>
        <w:rPr>
          <w:rFonts w:hint="eastAsia"/>
          <w:lang w:val="es-ES_tradnl"/>
        </w:rPr>
        <w:t>年的第</w:t>
      </w:r>
      <w:r>
        <w:rPr>
          <w:rFonts w:hint="eastAsia"/>
          <w:lang w:val="es-ES_tradnl"/>
        </w:rPr>
        <w:t>1960</w:t>
      </w:r>
      <w:r>
        <w:rPr>
          <w:rFonts w:hint="eastAsia"/>
          <w:lang w:val="es-ES_tradnl"/>
        </w:rPr>
        <w:t>号决议。</w:t>
      </w:r>
    </w:p>
  </w:footnote>
  <w:footnote w:id="220">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包括：</w:t>
      </w:r>
      <w:smartTag w:uri="urn:schemas-microsoft-com:office:smarttags" w:element="chsdate">
        <w:smartTagPr>
          <w:attr w:name="Year" w:val="2008"/>
          <w:attr w:name="Month" w:val="7"/>
          <w:attr w:name="Day" w:val="9"/>
          <w:attr w:name="IsLunarDate" w:val="False"/>
          <w:attr w:name="IsROCDate" w:val="False"/>
        </w:smartTagPr>
        <w:r>
          <w:rPr>
            <w:rFonts w:hint="eastAsia"/>
            <w:lang w:val="es-ES_tradnl"/>
          </w:rPr>
          <w:t>2008</w:t>
        </w:r>
        <w:r>
          <w:rPr>
            <w:rFonts w:hint="eastAsia"/>
            <w:lang w:val="es-ES_tradnl"/>
          </w:rPr>
          <w:t>年</w:t>
        </w:r>
        <w:r>
          <w:rPr>
            <w:rFonts w:hint="eastAsia"/>
            <w:lang w:val="es-ES_tradnl"/>
          </w:rPr>
          <w:t>7</w:t>
        </w:r>
        <w:r>
          <w:rPr>
            <w:rFonts w:hint="eastAsia"/>
            <w:lang w:val="es-ES_tradnl"/>
          </w:rPr>
          <w:t>月</w:t>
        </w:r>
        <w:r>
          <w:rPr>
            <w:rFonts w:hint="eastAsia"/>
            <w:lang w:val="es-ES_tradnl"/>
          </w:rPr>
          <w:t>9</w:t>
        </w:r>
        <w:r>
          <w:rPr>
            <w:rFonts w:hint="eastAsia"/>
            <w:lang w:val="es-ES_tradnl"/>
          </w:rPr>
          <w:t>日</w:t>
        </w:r>
      </w:smartTag>
      <w:r>
        <w:rPr>
          <w:rFonts w:hint="eastAsia"/>
          <w:lang w:val="es-ES_tradnl"/>
        </w:rPr>
        <w:t>的第</w:t>
      </w:r>
      <w:r>
        <w:rPr>
          <w:rFonts w:hint="eastAsia"/>
          <w:lang w:val="es-ES_tradnl"/>
        </w:rPr>
        <w:t>0266</w:t>
      </w:r>
      <w:r>
        <w:rPr>
          <w:rFonts w:hint="eastAsia"/>
          <w:lang w:val="es-ES_tradnl"/>
        </w:rPr>
        <w:t>号决议</w:t>
      </w:r>
      <w:r>
        <w:rPr>
          <w:rFonts w:hint="eastAsia"/>
          <w:spacing w:val="-50"/>
          <w:lang w:val="es-ES"/>
        </w:rPr>
        <w:t>―</w:t>
      </w:r>
      <w:r>
        <w:rPr>
          <w:rFonts w:hint="eastAsia"/>
          <w:lang w:val="es-ES"/>
        </w:rPr>
        <w:t>―</w:t>
      </w:r>
      <w:r>
        <w:rPr>
          <w:rFonts w:hint="eastAsia"/>
          <w:lang w:val="es-ES_tradnl"/>
        </w:rPr>
        <w:t>包含用于指导有关部门在非法武装团体的暴力行为框架内针对性暴力案件开展行动的方针；</w:t>
      </w:r>
      <w:smartTag w:uri="urn:schemas-microsoft-com:office:smarttags" w:element="chsdate">
        <w:smartTagPr>
          <w:attr w:name="Year" w:val="2008"/>
          <w:attr w:name="Month" w:val="11"/>
          <w:attr w:name="Day" w:val="10"/>
          <w:attr w:name="IsLunarDate" w:val="False"/>
          <w:attr w:name="IsROCDate" w:val="False"/>
        </w:smartTagPr>
        <w:r>
          <w:rPr>
            <w:rFonts w:hint="eastAsia"/>
            <w:lang w:val="es-ES_tradnl"/>
          </w:rPr>
          <w:t>2008</w:t>
        </w:r>
        <w:r>
          <w:rPr>
            <w:rFonts w:hint="eastAsia"/>
            <w:lang w:val="es-ES_tradnl"/>
          </w:rPr>
          <w:t>年</w:t>
        </w:r>
        <w:r>
          <w:rPr>
            <w:rFonts w:hint="eastAsia"/>
            <w:lang w:val="es-ES_tradnl"/>
          </w:rPr>
          <w:t>11</w:t>
        </w:r>
        <w:r>
          <w:rPr>
            <w:rFonts w:hint="eastAsia"/>
            <w:lang w:val="es-ES_tradnl"/>
          </w:rPr>
          <w:t>月</w:t>
        </w:r>
        <w:r>
          <w:rPr>
            <w:rFonts w:hint="eastAsia"/>
            <w:lang w:val="es-ES_tradnl"/>
          </w:rPr>
          <w:t>10</w:t>
        </w:r>
        <w:r>
          <w:rPr>
            <w:rFonts w:hint="eastAsia"/>
            <w:lang w:val="es-ES_tradnl"/>
          </w:rPr>
          <w:t>日</w:t>
        </w:r>
      </w:smartTag>
      <w:r>
        <w:rPr>
          <w:rFonts w:hint="eastAsia"/>
          <w:lang w:val="es-ES_tradnl"/>
        </w:rPr>
        <w:t>的第</w:t>
      </w:r>
      <w:r>
        <w:rPr>
          <w:rFonts w:hint="eastAsia"/>
          <w:lang w:val="es-ES_tradnl"/>
        </w:rPr>
        <w:t>0117</w:t>
      </w:r>
      <w:r>
        <w:rPr>
          <w:rFonts w:hint="eastAsia"/>
          <w:lang w:val="es-ES_tradnl"/>
        </w:rPr>
        <w:t>号备忘录</w:t>
      </w:r>
      <w:r>
        <w:rPr>
          <w:rFonts w:hint="eastAsia"/>
          <w:spacing w:val="-50"/>
          <w:lang w:val="es-ES"/>
        </w:rPr>
        <w:t>―</w:t>
      </w:r>
      <w:r>
        <w:rPr>
          <w:rFonts w:hint="eastAsia"/>
          <w:lang w:val="es-ES"/>
        </w:rPr>
        <w:t>―</w:t>
      </w:r>
      <w:r>
        <w:rPr>
          <w:rFonts w:hint="eastAsia"/>
          <w:lang w:val="es-ES_tradnl"/>
        </w:rPr>
        <w:t>从心理学角度在非法武装团体的暴力行为框架内针对性暴力案件的差别化调查方法；</w:t>
      </w:r>
      <w:smartTag w:uri="urn:schemas-microsoft-com:office:smarttags" w:element="chsdate">
        <w:smartTagPr>
          <w:attr w:name="Year" w:val="2009"/>
          <w:attr w:name="Month" w:val="4"/>
          <w:attr w:name="Day" w:val="28"/>
          <w:attr w:name="IsLunarDate" w:val="False"/>
          <w:attr w:name="IsROCDate" w:val="False"/>
        </w:smartTagPr>
        <w:r>
          <w:rPr>
            <w:rFonts w:hint="eastAsia"/>
            <w:lang w:val="es-ES_tradnl"/>
          </w:rPr>
          <w:t>2009</w:t>
        </w:r>
        <w:r>
          <w:rPr>
            <w:rFonts w:hint="eastAsia"/>
            <w:lang w:val="es-ES_tradnl"/>
          </w:rPr>
          <w:t>年</w:t>
        </w:r>
        <w:r>
          <w:rPr>
            <w:rFonts w:hint="eastAsia"/>
            <w:lang w:val="es-ES_tradnl"/>
          </w:rPr>
          <w:t>4</w:t>
        </w:r>
        <w:r>
          <w:rPr>
            <w:rFonts w:hint="eastAsia"/>
            <w:lang w:val="es-ES_tradnl"/>
          </w:rPr>
          <w:t>月</w:t>
        </w:r>
        <w:r>
          <w:rPr>
            <w:rFonts w:hint="eastAsia"/>
            <w:lang w:val="es-ES_tradnl"/>
          </w:rPr>
          <w:t>28</w:t>
        </w:r>
        <w:r>
          <w:rPr>
            <w:rFonts w:hint="eastAsia"/>
            <w:lang w:val="es-ES_tradnl"/>
          </w:rPr>
          <w:t>日</w:t>
        </w:r>
      </w:smartTag>
      <w:r>
        <w:rPr>
          <w:rFonts w:hint="eastAsia"/>
          <w:lang w:val="es-ES_tradnl"/>
        </w:rPr>
        <w:t>的第</w:t>
      </w:r>
      <w:r>
        <w:rPr>
          <w:rFonts w:hint="eastAsia"/>
          <w:lang w:val="es-ES_tradnl"/>
        </w:rPr>
        <w:t>035</w:t>
      </w:r>
      <w:r>
        <w:rPr>
          <w:rFonts w:hint="eastAsia"/>
          <w:lang w:val="es-ES_tradnl"/>
        </w:rPr>
        <w:t>号备忘录</w:t>
      </w:r>
      <w:r>
        <w:rPr>
          <w:rFonts w:hint="eastAsia"/>
          <w:spacing w:val="-50"/>
          <w:lang w:val="es-ES"/>
        </w:rPr>
        <w:t>―</w:t>
      </w:r>
      <w:r>
        <w:rPr>
          <w:rFonts w:hint="eastAsia"/>
          <w:lang w:val="es-ES"/>
        </w:rPr>
        <w:t>―</w:t>
      </w:r>
      <w:r>
        <w:rPr>
          <w:rFonts w:hint="eastAsia"/>
          <w:lang w:val="es-ES_tradnl"/>
        </w:rPr>
        <w:t>针对强迫流离失所这一罪行进行调查的策略；</w:t>
      </w:r>
      <w:r>
        <w:rPr>
          <w:rFonts w:hint="eastAsia"/>
          <w:lang w:val="es-ES_tradnl"/>
        </w:rPr>
        <w:t>2009</w:t>
      </w:r>
      <w:r>
        <w:rPr>
          <w:rFonts w:hint="eastAsia"/>
          <w:lang w:val="es-ES_tradnl"/>
        </w:rPr>
        <w:t>年</w:t>
      </w:r>
      <w:r>
        <w:rPr>
          <w:rFonts w:hint="eastAsia"/>
          <w:lang w:val="es-ES_tradnl"/>
        </w:rPr>
        <w:t>11</w:t>
      </w:r>
      <w:r>
        <w:rPr>
          <w:rFonts w:hint="eastAsia"/>
          <w:lang w:val="es-ES_tradnl"/>
        </w:rPr>
        <w:t>月的第</w:t>
      </w:r>
      <w:r>
        <w:rPr>
          <w:rFonts w:hint="eastAsia"/>
          <w:lang w:val="es-ES_tradnl"/>
        </w:rPr>
        <w:t>075</w:t>
      </w:r>
      <w:r>
        <w:rPr>
          <w:rFonts w:hint="eastAsia"/>
          <w:lang w:val="es-ES_tradnl"/>
        </w:rPr>
        <w:t>号备忘录</w:t>
      </w:r>
      <w:r>
        <w:rPr>
          <w:rFonts w:hint="eastAsia"/>
          <w:spacing w:val="-50"/>
          <w:lang w:val="es-ES"/>
        </w:rPr>
        <w:t>―</w:t>
      </w:r>
      <w:r>
        <w:rPr>
          <w:rFonts w:hint="eastAsia"/>
          <w:lang w:val="es-ES"/>
        </w:rPr>
        <w:t>―</w:t>
      </w:r>
      <w:r>
        <w:rPr>
          <w:rFonts w:hint="eastAsia"/>
          <w:lang w:val="es-ES_tradnl"/>
        </w:rPr>
        <w:t>就性别暴力问题与致力于这方面工作的非政府组织开展合作，目的是与这些组织以及受害者接触并在其配合下开展工作。</w:t>
      </w:r>
    </w:p>
  </w:footnote>
  <w:footnote w:id="221">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国家政府考虑到在司法体制问题以及对性暴力案件受害人争取正当赔偿问题上面临的挑战，在有关部门的努力下，</w:t>
      </w:r>
      <w:r>
        <w:rPr>
          <w:rFonts w:hint="eastAsia"/>
          <w:lang w:val="es-ES_tradnl"/>
        </w:rPr>
        <w:t>2010</w:t>
      </w:r>
      <w:r>
        <w:rPr>
          <w:rFonts w:hint="eastAsia"/>
          <w:lang w:val="es-ES_tradnl"/>
        </w:rPr>
        <w:t>年</w:t>
      </w:r>
      <w:r>
        <w:rPr>
          <w:rFonts w:hint="eastAsia"/>
          <w:lang w:val="es-ES_tradnl"/>
        </w:rPr>
        <w:t>11</w:t>
      </w:r>
      <w:r>
        <w:rPr>
          <w:rFonts w:hint="eastAsia"/>
          <w:lang w:val="es-ES_tradnl"/>
        </w:rPr>
        <w:t>月总统府行政署与荷兰皇家大使馆签署了一份合作协议，通过这份协议敦促总统府人权事务署实施打击有罪不罚现象政策。</w:t>
      </w:r>
    </w:p>
  </w:footnote>
  <w:footnote w:id="222">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这一政策是由杀伤性地雷全面处置行动机构间委员会在</w:t>
      </w:r>
      <w:r>
        <w:rPr>
          <w:rFonts w:hint="eastAsia"/>
          <w:lang w:val="es-ES_tradnl"/>
        </w:rPr>
        <w:t>2008</w:t>
      </w:r>
      <w:r>
        <w:rPr>
          <w:rFonts w:hint="eastAsia"/>
          <w:lang w:val="es-ES_tradnl"/>
        </w:rPr>
        <w:t>年核准的。</w:t>
      </w:r>
    </w:p>
  </w:footnote>
  <w:footnote w:id="223">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努力采取措施让目标人口能够在平等条件下获得哥伦比亚重返社会事务局提供的心理服务：教育、卫生、心理辅导和经济帮助计划，包括进行必要的培训以帮助目标人口就业并获得收入（就业培训和业务规划）。这些服务从男性和女性人口各自的兴趣点和需要入手，帮助其根据自身情况获得满意的工作。</w:t>
      </w:r>
    </w:p>
  </w:footnote>
  <w:footnote w:id="224">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参与重返社会进程的人口的构成中，男性占据了大多数，占这一群体的</w:t>
      </w:r>
      <w:r>
        <w:rPr>
          <w:rFonts w:hint="eastAsia"/>
          <w:lang w:val="es-ES_tradnl"/>
        </w:rPr>
        <w:t>87%</w:t>
      </w:r>
      <w:r>
        <w:rPr>
          <w:rFonts w:hint="eastAsia"/>
          <w:lang w:val="es-ES_tradnl"/>
        </w:rPr>
        <w:t>，而女性占</w:t>
      </w:r>
      <w:r>
        <w:rPr>
          <w:rFonts w:hint="eastAsia"/>
          <w:lang w:val="es-ES_tradnl"/>
        </w:rPr>
        <w:t>13%</w:t>
      </w:r>
      <w:r>
        <w:rPr>
          <w:rFonts w:hint="eastAsia"/>
          <w:lang w:val="es-ES_tradnl"/>
        </w:rPr>
        <w:t>。通过对这些人口在加入非法武装团体之前、期间以及退出之后的经历进行分析，可以发现在男性和女性之间存在一些不公平和不同的情况，为此，要根据其各自的情况尽力实现两性平等。</w:t>
      </w:r>
    </w:p>
  </w:footnote>
  <w:footnote w:id="225">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国家赔偿与和解委员会，已经在第五条对应的内容中进行了介绍，其针对性别事务和目标人口的措施有助于将性别观点、生命周期和种族问题有效纳入到国家暴力受害者综合赔偿政策的构建过程中。</w:t>
      </w:r>
    </w:p>
  </w:footnote>
  <w:footnote w:id="226">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这一模式是由哥伦比亚重返社会事务局在妇女平等事务总统高级顾问办公室和安蒂奥基亚大学的合作下制定的。这一模式正在国内三个地区试点推行，</w:t>
      </w:r>
      <w:r>
        <w:rPr>
          <w:rFonts w:hint="eastAsia"/>
          <w:lang w:val="es-ES_tradnl"/>
        </w:rPr>
        <w:t>2011</w:t>
      </w:r>
      <w:r>
        <w:rPr>
          <w:rFonts w:hint="eastAsia"/>
          <w:lang w:val="es-ES_tradnl"/>
        </w:rPr>
        <w:t>年预计可能会推广到全国（</w:t>
      </w:r>
      <w:r>
        <w:rPr>
          <w:rFonts w:hint="eastAsia"/>
          <w:lang w:val="es-ES_tradnl"/>
        </w:rPr>
        <w:t>2009-2010</w:t>
      </w:r>
      <w:r>
        <w:rPr>
          <w:rFonts w:hint="eastAsia"/>
          <w:lang w:val="es-ES_tradnl"/>
        </w:rPr>
        <w:t>年）。</w:t>
      </w:r>
    </w:p>
  </w:footnote>
  <w:footnote w:id="227">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根据男性和女性各自的特定需求促进其养成自我保护习惯，以便能够照顾好自身的健康，保持良好的健康状况并改善其生活质量；力争减少对妇女的轻视，不得因其层服务于某一非法武装团体的事实而对其进行歧视，并强化其领导能力和政治参与能力，以提高其在民间社会中的地位。</w:t>
      </w:r>
    </w:p>
  </w:footnote>
  <w:footnote w:id="228">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人口基金和国防部已经通过各类培训和技术支持战略，在宣传推广性别观点和权利观点并将之内化为武装部队的工作机制方面做了大量工作，努力树立并全面落实平等原则，履行武装部队所承担的保护各项权利，特别是性权利和生殖权利的责任，提高了武装部队从性别观点角度履行其保护社会安定、制定政策和法律法规以及执法职能的能力，掌握与性别暴力有关的信息并作出相应的处置。</w:t>
      </w:r>
    </w:p>
  </w:footnote>
  <w:footnote w:id="229">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包括开发与国家公共卫生计划中包含的性健康与生殖健康、预防家庭内暴力和基于性别原因的暴力并树立新的男子汉观念有关的一切课题。</w:t>
      </w:r>
      <w:r>
        <w:rPr>
          <w:rFonts w:hint="eastAsia"/>
          <w:lang w:val="es-ES_tradnl"/>
        </w:rPr>
        <w:t>2010</w:t>
      </w:r>
      <w:r>
        <w:rPr>
          <w:rFonts w:hint="eastAsia"/>
          <w:lang w:val="es-ES_tradnl"/>
        </w:rPr>
        <w:t>年开立了第二个学位课程。</w:t>
      </w:r>
    </w:p>
  </w:footnote>
  <w:footnote w:id="230">
    <w:p w:rsidR="00A83775" w:rsidRDefault="00A83775">
      <w:pPr>
        <w:pStyle w:val="FootnoteText"/>
        <w:widowControl w:val="0"/>
        <w:tabs>
          <w:tab w:val="clear" w:pos="1021"/>
          <w:tab w:val="right" w:pos="1020"/>
        </w:tabs>
        <w:rPr>
          <w:rFonts w:hint="eastAsia"/>
          <w:lang w:val="es-ES_tradnl"/>
        </w:rPr>
      </w:pPr>
      <w:r>
        <w:rPr>
          <w:lang w:val="es-ES"/>
        </w:rPr>
        <w:tab/>
      </w:r>
      <w:r>
        <w:rPr>
          <w:rStyle w:val="FootnoteReference"/>
        </w:rPr>
        <w:footnoteRef/>
      </w:r>
      <w:r>
        <w:rPr>
          <w:lang w:val="es-ES_tradnl"/>
        </w:rPr>
        <w:tab/>
      </w:r>
      <w:r>
        <w:rPr>
          <w:rFonts w:hint="eastAsia"/>
          <w:lang w:val="es-ES"/>
        </w:rPr>
        <w:t>拉丁美洲和加勒比武装部队和国家警察预防和控制艾滋病毒</w:t>
      </w:r>
      <w:r>
        <w:rPr>
          <w:rFonts w:hint="eastAsia"/>
          <w:lang w:val="es-ES"/>
        </w:rPr>
        <w:t>/</w:t>
      </w:r>
      <w:r>
        <w:rPr>
          <w:rFonts w:hint="eastAsia"/>
          <w:lang w:val="es-ES"/>
        </w:rPr>
        <w:t>艾滋病</w:t>
      </w:r>
      <w:r>
        <w:rPr>
          <w:rFonts w:hint="eastAsia"/>
          <w:lang w:val="es-ES_tradnl"/>
        </w:rPr>
        <w:t>委员会。</w:t>
      </w:r>
    </w:p>
  </w:footnote>
  <w:footnote w:id="231">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这两部法律各自对应的国家警察纪律制度和军队军风军纪制度，囊括了哥伦比亚《刑法典》以及哥伦比亚政府批准的与对妇女一切形式的暴力侵害有关的国际条约协议中所规定的一切违纪行为。</w:t>
      </w:r>
      <w:r>
        <w:rPr>
          <w:rFonts w:hint="eastAsia"/>
          <w:lang w:val="es-ES_tradnl"/>
        </w:rPr>
        <w:t>2003</w:t>
      </w:r>
      <w:r>
        <w:rPr>
          <w:rFonts w:hint="eastAsia"/>
          <w:lang w:val="es-ES_tradnl"/>
        </w:rPr>
        <w:t>年的第</w:t>
      </w:r>
      <w:r>
        <w:rPr>
          <w:rFonts w:hint="eastAsia"/>
          <w:lang w:val="es-ES_tradnl"/>
        </w:rPr>
        <w:t>836</w:t>
      </w:r>
      <w:r>
        <w:rPr>
          <w:rFonts w:hint="eastAsia"/>
          <w:lang w:val="es-ES_tradnl"/>
        </w:rPr>
        <w:t>号法于</w:t>
      </w:r>
      <w:smartTag w:uri="urn:schemas-microsoft-com:office:smarttags" w:element="chsdate">
        <w:smartTagPr>
          <w:attr w:name="Year" w:val="2003"/>
          <w:attr w:name="Month" w:val="7"/>
          <w:attr w:name="Day" w:val="16"/>
          <w:attr w:name="IsLunarDate" w:val="False"/>
          <w:attr w:name="IsROCDate" w:val="False"/>
        </w:smartTagPr>
        <w:r>
          <w:rPr>
            <w:rFonts w:hint="eastAsia"/>
            <w:lang w:val="es-ES_tradnl"/>
          </w:rPr>
          <w:t>2003</w:t>
        </w:r>
        <w:r>
          <w:rPr>
            <w:rFonts w:hint="eastAsia"/>
            <w:lang w:val="es-ES_tradnl"/>
          </w:rPr>
          <w:t>年</w:t>
        </w:r>
        <w:r>
          <w:rPr>
            <w:rFonts w:hint="eastAsia"/>
            <w:lang w:val="es-ES_tradnl"/>
          </w:rPr>
          <w:t>7</w:t>
        </w:r>
        <w:r>
          <w:rPr>
            <w:rFonts w:hint="eastAsia"/>
            <w:lang w:val="es-ES_tradnl"/>
          </w:rPr>
          <w:t>月</w:t>
        </w:r>
        <w:r>
          <w:rPr>
            <w:rFonts w:hint="eastAsia"/>
            <w:lang w:val="es-ES_tradnl"/>
          </w:rPr>
          <w:t>16</w:t>
        </w:r>
        <w:r>
          <w:rPr>
            <w:rFonts w:hint="eastAsia"/>
            <w:lang w:val="es-ES_tradnl"/>
          </w:rPr>
          <w:t>日</w:t>
        </w:r>
      </w:smartTag>
      <w:r>
        <w:rPr>
          <w:rFonts w:hint="eastAsia"/>
          <w:lang w:val="es-ES_tradnl"/>
        </w:rPr>
        <w:t>获批通过并生效。</w:t>
      </w:r>
      <w:r>
        <w:rPr>
          <w:rFonts w:hint="eastAsia"/>
          <w:lang w:val="es-ES_tradnl"/>
        </w:rPr>
        <w:t>2006</w:t>
      </w:r>
      <w:r>
        <w:rPr>
          <w:rFonts w:hint="eastAsia"/>
          <w:lang w:val="es-ES_tradnl"/>
        </w:rPr>
        <w:t>年的第</w:t>
      </w:r>
      <w:r>
        <w:rPr>
          <w:rFonts w:hint="eastAsia"/>
          <w:lang w:val="es-ES_tradnl"/>
        </w:rPr>
        <w:t>1015</w:t>
      </w:r>
      <w:r>
        <w:rPr>
          <w:rFonts w:hint="eastAsia"/>
          <w:lang w:val="es-ES_tradnl"/>
        </w:rPr>
        <w:t>号法在其第</w:t>
      </w:r>
      <w:r>
        <w:rPr>
          <w:rFonts w:hint="eastAsia"/>
          <w:lang w:val="es-ES_tradnl"/>
        </w:rPr>
        <w:t>34</w:t>
      </w:r>
      <w:r>
        <w:rPr>
          <w:rFonts w:hint="eastAsia"/>
          <w:lang w:val="es-ES_tradnl"/>
        </w:rPr>
        <w:t>条第</w:t>
      </w:r>
      <w:r>
        <w:rPr>
          <w:rFonts w:hint="eastAsia"/>
          <w:lang w:val="es-ES_tradnl"/>
        </w:rPr>
        <w:t>18</w:t>
      </w:r>
      <w:r>
        <w:rPr>
          <w:rFonts w:hint="eastAsia"/>
          <w:lang w:val="es-ES_tradnl"/>
        </w:rPr>
        <w:t>款和第</w:t>
      </w:r>
      <w:r>
        <w:rPr>
          <w:rFonts w:hint="eastAsia"/>
          <w:lang w:val="es-ES_tradnl"/>
        </w:rPr>
        <w:t>35</w:t>
      </w:r>
      <w:r>
        <w:rPr>
          <w:rFonts w:hint="eastAsia"/>
          <w:lang w:val="es-ES_tradnl"/>
        </w:rPr>
        <w:t>条第</w:t>
      </w:r>
      <w:r>
        <w:rPr>
          <w:rFonts w:hint="eastAsia"/>
          <w:lang w:val="es-ES_tradnl"/>
        </w:rPr>
        <w:t>2</w:t>
      </w:r>
      <w:r>
        <w:rPr>
          <w:rFonts w:hint="eastAsia"/>
          <w:lang w:val="es-ES_tradnl"/>
        </w:rPr>
        <w:t>款中列出了被认定为构成侵害妇女的行为。第</w:t>
      </w:r>
      <w:r>
        <w:rPr>
          <w:rFonts w:hint="eastAsia"/>
          <w:lang w:val="es-ES_tradnl"/>
        </w:rPr>
        <w:t>1015</w:t>
      </w:r>
      <w:r>
        <w:rPr>
          <w:rFonts w:hint="eastAsia"/>
          <w:lang w:val="es-ES_tradnl"/>
        </w:rPr>
        <w:t>号法是一项专门针对国家警察部门的法律；该法律规定了对违规人员的纪律惩治措施。该法律于</w:t>
      </w:r>
      <w:smartTag w:uri="urn:schemas-microsoft-com:office:smarttags" w:element="chsdate">
        <w:smartTagPr>
          <w:attr w:name="Year" w:val="2006"/>
          <w:attr w:name="Month" w:val="2"/>
          <w:attr w:name="Day" w:val="7"/>
          <w:attr w:name="IsLunarDate" w:val="False"/>
          <w:attr w:name="IsROCDate" w:val="False"/>
        </w:smartTagPr>
        <w:r>
          <w:rPr>
            <w:rFonts w:hint="eastAsia"/>
            <w:lang w:val="es-ES_tradnl"/>
          </w:rPr>
          <w:t>2006</w:t>
        </w:r>
        <w:r>
          <w:rPr>
            <w:rFonts w:hint="eastAsia"/>
            <w:lang w:val="es-ES_tradnl"/>
          </w:rPr>
          <w:t>年</w:t>
        </w:r>
        <w:r>
          <w:rPr>
            <w:rFonts w:hint="eastAsia"/>
            <w:lang w:val="es-ES_tradnl"/>
          </w:rPr>
          <w:t>2</w:t>
        </w:r>
        <w:r>
          <w:rPr>
            <w:rFonts w:hint="eastAsia"/>
            <w:lang w:val="es-ES_tradnl"/>
          </w:rPr>
          <w:t>月</w:t>
        </w:r>
        <w:r>
          <w:rPr>
            <w:rFonts w:hint="eastAsia"/>
            <w:lang w:val="es-ES_tradnl"/>
          </w:rPr>
          <w:t>7</w:t>
        </w:r>
        <w:r>
          <w:rPr>
            <w:rFonts w:hint="eastAsia"/>
            <w:lang w:val="es-ES_tradnl"/>
          </w:rPr>
          <w:t>日</w:t>
        </w:r>
      </w:smartTag>
      <w:r>
        <w:rPr>
          <w:rFonts w:hint="eastAsia"/>
          <w:lang w:val="es-ES_tradnl"/>
        </w:rPr>
        <w:t>颁布出台并于</w:t>
      </w:r>
      <w:smartTag w:uri="urn:schemas-microsoft-com:office:smarttags" w:element="chsdate">
        <w:smartTagPr>
          <w:attr w:name="Year" w:val="2007"/>
          <w:attr w:name="Month" w:val="5"/>
          <w:attr w:name="Day" w:val="7"/>
          <w:attr w:name="IsLunarDate" w:val="False"/>
          <w:attr w:name="IsROCDate" w:val="False"/>
        </w:smartTagPr>
        <w:r>
          <w:rPr>
            <w:rFonts w:hint="eastAsia"/>
            <w:lang w:val="es-ES_tradnl"/>
          </w:rPr>
          <w:t>2007</w:t>
        </w:r>
        <w:r>
          <w:rPr>
            <w:rFonts w:hint="eastAsia"/>
            <w:lang w:val="es-ES_tradnl"/>
          </w:rPr>
          <w:t>年</w:t>
        </w:r>
        <w:r>
          <w:rPr>
            <w:rFonts w:hint="eastAsia"/>
            <w:lang w:val="es-ES_tradnl"/>
          </w:rPr>
          <w:t>5</w:t>
        </w:r>
        <w:r>
          <w:rPr>
            <w:rFonts w:hint="eastAsia"/>
            <w:lang w:val="es-ES_tradnl"/>
          </w:rPr>
          <w:t>月</w:t>
        </w:r>
        <w:r>
          <w:rPr>
            <w:rFonts w:hint="eastAsia"/>
            <w:lang w:val="es-ES_tradnl"/>
          </w:rPr>
          <w:t>7</w:t>
        </w:r>
        <w:r>
          <w:rPr>
            <w:rFonts w:hint="eastAsia"/>
            <w:lang w:val="es-ES_tradnl"/>
          </w:rPr>
          <w:t>日</w:t>
        </w:r>
      </w:smartTag>
      <w:r>
        <w:rPr>
          <w:rFonts w:hint="eastAsia"/>
          <w:lang w:val="es-ES_tradnl"/>
        </w:rPr>
        <w:t>生效。</w:t>
      </w:r>
    </w:p>
  </w:footnote>
  <w:footnote w:id="232">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参议院</w:t>
      </w:r>
      <w:r>
        <w:rPr>
          <w:rFonts w:hint="eastAsia"/>
          <w:lang w:val="es-ES_tradnl"/>
        </w:rPr>
        <w:t>2010</w:t>
      </w:r>
      <w:r>
        <w:rPr>
          <w:rFonts w:hint="eastAsia"/>
          <w:lang w:val="es-ES_tradnl"/>
        </w:rPr>
        <w:t>年第</w:t>
      </w:r>
      <w:r>
        <w:rPr>
          <w:rFonts w:hint="eastAsia"/>
          <w:lang w:val="es-ES_tradnl"/>
        </w:rPr>
        <w:t>213</w:t>
      </w:r>
      <w:r>
        <w:rPr>
          <w:rFonts w:hint="eastAsia"/>
          <w:lang w:val="es-ES_tradnl"/>
        </w:rPr>
        <w:t>号法草案</w:t>
      </w:r>
      <w:r>
        <w:rPr>
          <w:rFonts w:hint="eastAsia"/>
          <w:lang w:val="es-ES_tradnl"/>
        </w:rPr>
        <w:t>-</w:t>
      </w:r>
      <w:r>
        <w:rPr>
          <w:rFonts w:hint="eastAsia"/>
          <w:lang w:val="es-ES_tradnl"/>
        </w:rPr>
        <w:t>众议院</w:t>
      </w:r>
      <w:r>
        <w:rPr>
          <w:rFonts w:hint="eastAsia"/>
          <w:lang w:val="es-ES_tradnl"/>
        </w:rPr>
        <w:t>2010</w:t>
      </w:r>
      <w:r>
        <w:rPr>
          <w:rFonts w:hint="eastAsia"/>
          <w:lang w:val="es-ES_tradnl"/>
        </w:rPr>
        <w:t>年的第</w:t>
      </w:r>
      <w:r>
        <w:rPr>
          <w:rFonts w:hint="eastAsia"/>
          <w:lang w:val="es-ES_tradnl"/>
        </w:rPr>
        <w:t>107</w:t>
      </w:r>
      <w:r>
        <w:rPr>
          <w:rFonts w:hint="eastAsia"/>
          <w:lang w:val="es-ES_tradnl"/>
        </w:rPr>
        <w:t>号法草案和众议院</w:t>
      </w:r>
      <w:r>
        <w:rPr>
          <w:rFonts w:hint="eastAsia"/>
          <w:lang w:val="es-ES_tradnl"/>
        </w:rPr>
        <w:t>2010</w:t>
      </w:r>
      <w:r>
        <w:rPr>
          <w:rFonts w:hint="eastAsia"/>
          <w:lang w:val="es-ES_tradnl"/>
        </w:rPr>
        <w:t>年的第</w:t>
      </w:r>
      <w:r>
        <w:rPr>
          <w:rFonts w:hint="eastAsia"/>
          <w:lang w:val="es-ES_tradnl"/>
        </w:rPr>
        <w:t>085</w:t>
      </w:r>
      <w:r>
        <w:rPr>
          <w:rFonts w:hint="eastAsia"/>
          <w:lang w:val="es-ES_tradnl"/>
        </w:rPr>
        <w:t>号法草案。</w:t>
      </w:r>
    </w:p>
  </w:footnote>
  <w:footnote w:id="233">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这一法律草案是从司法过渡的角度着手制定的，“希望以此来解决长期以来由各方势力，如非法武装团体以及有组织犯罪团伙造成的严重暴力事件所引发的社会问题，这些非法组织的势力根深蒂固，在国内各地为非作歹。”法案中有很大的篇幅涉及到了人权问题，遵守并执行关于对暴力受害者进行保护和赔偿的各项国际标准。该法秉持以下原则：</w:t>
      </w:r>
      <w:r>
        <w:rPr>
          <w:rFonts w:hint="eastAsia"/>
          <w:lang w:val="es-ES_tradnl"/>
        </w:rPr>
        <w:t>(</w:t>
      </w:r>
      <w:r>
        <w:rPr>
          <w:rFonts w:hint="eastAsia"/>
          <w:lang w:val="es-ES_tradnl"/>
        </w:rPr>
        <w:t>一</w:t>
      </w:r>
      <w:r>
        <w:rPr>
          <w:rFonts w:hint="eastAsia"/>
          <w:lang w:val="es-ES_tradnl"/>
        </w:rPr>
        <w:t>)</w:t>
      </w:r>
      <w:r>
        <w:rPr>
          <w:rFonts w:hint="eastAsia"/>
          <w:lang w:val="es-ES_tradnl"/>
        </w:rPr>
        <w:t>“对国际人权法律法规中认定的对妇女权利的侵害行为以及对严重违反国际人道主义法的行为进行调查审理并作出赔偿的基本原则和方针”；</w:t>
      </w:r>
      <w:r>
        <w:rPr>
          <w:rFonts w:hint="eastAsia"/>
          <w:lang w:val="es-ES_tradnl"/>
        </w:rPr>
        <w:t>(</w:t>
      </w:r>
      <w:r>
        <w:rPr>
          <w:rFonts w:hint="eastAsia"/>
          <w:lang w:val="es-ES_tradnl"/>
        </w:rPr>
        <w:t>二</w:t>
      </w:r>
      <w:r>
        <w:rPr>
          <w:rFonts w:hint="eastAsia"/>
          <w:lang w:val="es-ES_tradnl"/>
        </w:rPr>
        <w:t xml:space="preserve">) </w:t>
      </w:r>
      <w:r>
        <w:rPr>
          <w:rFonts w:hint="eastAsia"/>
          <w:lang w:val="es-ES_tradnl"/>
        </w:rPr>
        <w:t>通过惩治有罪不罚现象保护和增进人权且符合现实情况的一系列原则；</w:t>
      </w:r>
      <w:r>
        <w:rPr>
          <w:rFonts w:hint="eastAsia"/>
          <w:lang w:val="es-ES_tradnl"/>
        </w:rPr>
        <w:t>(</w:t>
      </w:r>
      <w:r>
        <w:rPr>
          <w:rFonts w:hint="eastAsia"/>
          <w:lang w:val="es-ES_tradnl"/>
        </w:rPr>
        <w:t>三</w:t>
      </w:r>
      <w:r>
        <w:rPr>
          <w:rFonts w:hint="eastAsia"/>
          <w:lang w:val="es-ES_tradnl"/>
        </w:rPr>
        <w:t xml:space="preserve">) </w:t>
      </w:r>
      <w:r>
        <w:rPr>
          <w:rFonts w:hint="eastAsia"/>
          <w:lang w:val="es-ES_tradnl"/>
        </w:rPr>
        <w:t>关于国内流离失所问题的指导原则；和</w:t>
      </w:r>
      <w:r>
        <w:rPr>
          <w:rFonts w:hint="eastAsia"/>
          <w:lang w:val="es-ES_tradnl"/>
        </w:rPr>
        <w:t>(</w:t>
      </w:r>
      <w:r>
        <w:rPr>
          <w:rFonts w:hint="eastAsia"/>
          <w:lang w:val="es-ES_tradnl"/>
        </w:rPr>
        <w:t>四</w:t>
      </w:r>
      <w:r>
        <w:t>)</w:t>
      </w:r>
      <w:r>
        <w:rPr>
          <w:rFonts w:hint="eastAsia"/>
        </w:rPr>
        <w:t>《</w:t>
      </w:r>
      <w:r>
        <w:rPr>
          <w:rFonts w:hint="eastAsia"/>
          <w:lang w:val="es-ES_tradnl"/>
        </w:rPr>
        <w:t>消除对妇女一切形式歧视公约》，等等。</w:t>
      </w:r>
    </w:p>
  </w:footnote>
  <w:footnote w:id="234">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为基本权利易受侵害的弱势群体，如残疾人、工会领袖、人权监察员等提供了特别的保障和保护措施。</w:t>
      </w:r>
    </w:p>
  </w:footnote>
  <w:footnote w:id="235">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针对面临流离失所风险或处于流离失所状况的土著妇女和非洲裔妇女的方案已经制定出台，但是在预防、关爱这些妇女群体并为其争取赔偿方面的内容和方针尚不明确，目前国家政府正在事前参与和咨商的框架内，遵照宪法法院就落实</w:t>
      </w:r>
      <w:r>
        <w:rPr>
          <w:rFonts w:hint="eastAsia"/>
          <w:lang w:val="es-ES_tradnl"/>
        </w:rPr>
        <w:t>2004</w:t>
      </w:r>
      <w:r>
        <w:rPr>
          <w:rFonts w:hint="eastAsia"/>
          <w:lang w:val="es-ES_tradnl"/>
        </w:rPr>
        <w:t>年的第</w:t>
      </w:r>
      <w:r>
        <w:rPr>
          <w:rFonts w:hint="eastAsia"/>
          <w:lang w:val="es-ES_tradnl"/>
        </w:rPr>
        <w:t>T-025</w:t>
      </w:r>
      <w:r>
        <w:rPr>
          <w:rFonts w:hint="eastAsia"/>
          <w:lang w:val="es-ES_tradnl"/>
        </w:rPr>
        <w:t>号判决问题上所下达的指令完善这方面的工作。</w:t>
      </w:r>
      <w:r>
        <w:rPr>
          <w:rFonts w:hint="eastAsia"/>
          <w:lang w:val="es-CO"/>
        </w:rPr>
        <w:t>保障流离失所的受害妇女的权利，为其伸张正义、查明真相、争取赔偿并确保悲剧不再重演的方案也已经制定完成，但是由于前面提到的政府就对受害者赔偿的法案尚未完成，因此正在等待该方案的出台，以便对与该方案有关的战略予以确定。</w:t>
      </w:r>
    </w:p>
  </w:footnote>
  <w:footnote w:id="236">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参见《国家政府就关于对因暴力被迫流离失所的受害人口的公共政策问题所作的声明》，</w:t>
      </w:r>
      <w:smartTag w:uri="urn:schemas-microsoft-com:office:smarttags" w:element="chsdate">
        <w:smartTagPr>
          <w:attr w:name="Year" w:val="2011"/>
          <w:attr w:name="Month" w:val="3"/>
          <w:attr w:name="Day" w:val="16"/>
          <w:attr w:name="IsLunarDate" w:val="False"/>
          <w:attr w:name="IsROCDate" w:val="False"/>
        </w:smartTagPr>
        <w:r>
          <w:rPr>
            <w:rFonts w:hint="eastAsia"/>
            <w:lang w:val="es-ES_tradnl"/>
          </w:rPr>
          <w:t>2011</w:t>
        </w:r>
        <w:r>
          <w:rPr>
            <w:rFonts w:hint="eastAsia"/>
            <w:lang w:val="es-ES_tradnl"/>
          </w:rPr>
          <w:t>年</w:t>
        </w:r>
        <w:r>
          <w:rPr>
            <w:rFonts w:hint="eastAsia"/>
            <w:lang w:val="es-ES_tradnl"/>
          </w:rPr>
          <w:t>3</w:t>
        </w:r>
        <w:r>
          <w:rPr>
            <w:rFonts w:hint="eastAsia"/>
            <w:lang w:val="es-ES_tradnl"/>
          </w:rPr>
          <w:t>月</w:t>
        </w:r>
        <w:r>
          <w:rPr>
            <w:rFonts w:hint="eastAsia"/>
            <w:lang w:val="es-ES_tradnl"/>
          </w:rPr>
          <w:t>16</w:t>
        </w:r>
        <w:r>
          <w:rPr>
            <w:rFonts w:hint="eastAsia"/>
            <w:lang w:val="es-ES_tradnl"/>
          </w:rPr>
          <w:t>日</w:t>
        </w:r>
      </w:smartTag>
      <w:r>
        <w:rPr>
          <w:rFonts w:hint="eastAsia"/>
          <w:lang w:val="es-ES_tradnl"/>
        </w:rPr>
        <w:t>，波哥大，第</w:t>
      </w:r>
      <w:r>
        <w:rPr>
          <w:rFonts w:hint="eastAsia"/>
          <w:lang w:val="es-ES_tradnl"/>
        </w:rPr>
        <w:t>297</w:t>
      </w:r>
      <w:r>
        <w:rPr>
          <w:rFonts w:hint="eastAsia"/>
          <w:lang w:val="es-ES_tradnl"/>
        </w:rPr>
        <w:t>和</w:t>
      </w:r>
      <w:r>
        <w:rPr>
          <w:rFonts w:hint="eastAsia"/>
          <w:lang w:val="es-ES_tradnl"/>
        </w:rPr>
        <w:t>298</w:t>
      </w:r>
      <w:r>
        <w:rPr>
          <w:rFonts w:hint="eastAsia"/>
          <w:lang w:val="es-ES_tradnl"/>
        </w:rPr>
        <w:t>页。</w:t>
      </w:r>
    </w:p>
  </w:footnote>
  <w:footnote w:id="237">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指导手册对应的是以下方案：</w:t>
      </w:r>
      <w:r>
        <w:rPr>
          <w:rFonts w:hint="eastAsia"/>
          <w:lang w:val="es-ES_tradnl"/>
        </w:rPr>
        <w:t xml:space="preserve">(a) </w:t>
      </w:r>
      <w:r>
        <w:rPr>
          <w:rFonts w:hint="eastAsia"/>
          <w:lang w:val="es-CO"/>
        </w:rPr>
        <w:t>为流离失所妇女获得土地产权提供便利的方案</w:t>
      </w:r>
      <w:r>
        <w:rPr>
          <w:rFonts w:hint="eastAsia"/>
          <w:lang w:val="es-ES_tradnl"/>
        </w:rPr>
        <w:t>（</w:t>
      </w:r>
      <w:smartTag w:uri="urn:schemas-microsoft-com:office:smarttags" w:element="chsdate">
        <w:smartTagPr>
          <w:attr w:name="Year" w:val="2010"/>
          <w:attr w:name="Month" w:val="4"/>
          <w:attr w:name="Day" w:val="14"/>
          <w:attr w:name="IsLunarDate" w:val="False"/>
          <w:attr w:name="IsROCDate" w:val="False"/>
        </w:smartTagPr>
        <w:r>
          <w:rPr>
            <w:rFonts w:hint="eastAsia"/>
            <w:lang w:val="es-ES_tradnl"/>
          </w:rPr>
          <w:t>2010</w:t>
        </w:r>
        <w:r>
          <w:rPr>
            <w:rFonts w:hint="eastAsia"/>
            <w:lang w:val="es-ES_tradnl"/>
          </w:rPr>
          <w:t>年</w:t>
        </w:r>
        <w:r>
          <w:rPr>
            <w:rFonts w:hint="eastAsia"/>
            <w:lang w:val="es-ES_tradnl"/>
          </w:rPr>
          <w:t>4</w:t>
        </w:r>
        <w:r>
          <w:rPr>
            <w:rFonts w:hint="eastAsia"/>
            <w:lang w:val="es-ES_tradnl"/>
          </w:rPr>
          <w:t>月</w:t>
        </w:r>
        <w:r>
          <w:rPr>
            <w:rFonts w:hint="eastAsia"/>
            <w:lang w:val="es-ES_tradnl"/>
          </w:rPr>
          <w:t>14</w:t>
        </w:r>
        <w:r>
          <w:rPr>
            <w:rFonts w:hint="eastAsia"/>
            <w:lang w:val="es-ES_tradnl"/>
          </w:rPr>
          <w:t>日</w:t>
        </w:r>
      </w:smartTag>
      <w:r>
        <w:rPr>
          <w:rFonts w:hint="eastAsia"/>
          <w:lang w:val="es-ES_tradnl"/>
        </w:rPr>
        <w:t>）；</w:t>
      </w:r>
      <w:r>
        <w:rPr>
          <w:rFonts w:hint="eastAsia"/>
          <w:lang w:val="es-ES_tradnl"/>
        </w:rPr>
        <w:t xml:space="preserve">(b) </w:t>
      </w:r>
      <w:r>
        <w:rPr>
          <w:rFonts w:hint="eastAsia"/>
          <w:lang w:val="es-CO"/>
        </w:rPr>
        <w:t>预防流离失所问题对女性产生更严重影响的方案（</w:t>
      </w:r>
      <w:smartTag w:uri="urn:schemas-microsoft-com:office:smarttags" w:element="chsdate">
        <w:smartTagPr>
          <w:attr w:name="Year" w:val="2010"/>
          <w:attr w:name="Month" w:val="4"/>
          <w:attr w:name="Day" w:val="28"/>
          <w:attr w:name="IsLunarDate" w:val="False"/>
          <w:attr w:name="IsROCDate" w:val="False"/>
        </w:smartTagPr>
        <w:r>
          <w:rPr>
            <w:rFonts w:hint="eastAsia"/>
            <w:lang w:val="es-CO"/>
          </w:rPr>
          <w:t>2010</w:t>
        </w:r>
        <w:r>
          <w:rPr>
            <w:rFonts w:hint="eastAsia"/>
            <w:lang w:val="es-CO"/>
          </w:rPr>
          <w:t>年</w:t>
        </w:r>
        <w:r>
          <w:rPr>
            <w:rFonts w:hint="eastAsia"/>
            <w:lang w:val="es-CO"/>
          </w:rPr>
          <w:t>4</w:t>
        </w:r>
        <w:r>
          <w:rPr>
            <w:rFonts w:hint="eastAsia"/>
            <w:lang w:val="es-CO"/>
          </w:rPr>
          <w:t>月</w:t>
        </w:r>
        <w:r>
          <w:rPr>
            <w:rFonts w:hint="eastAsia"/>
            <w:lang w:val="es-CO"/>
          </w:rPr>
          <w:t>28</w:t>
        </w:r>
        <w:r>
          <w:rPr>
            <w:rFonts w:hint="eastAsia"/>
            <w:lang w:val="es-CO"/>
          </w:rPr>
          <w:t>日</w:t>
        </w:r>
      </w:smartTag>
      <w:r>
        <w:rPr>
          <w:rFonts w:hint="eastAsia"/>
          <w:lang w:val="es-CO"/>
        </w:rPr>
        <w:t>）；</w:t>
      </w:r>
      <w:r>
        <w:rPr>
          <w:rFonts w:hint="eastAsia"/>
          <w:lang w:val="es-CO"/>
        </w:rPr>
        <w:t xml:space="preserve">(c) </w:t>
      </w:r>
      <w:r>
        <w:rPr>
          <w:rFonts w:hint="eastAsia"/>
          <w:lang w:val="es-CO"/>
        </w:rPr>
        <w:t>预防对流离失所妇女的性暴力侵害并对受害妇女提供全面关爱的方案</w:t>
      </w:r>
      <w:r>
        <w:rPr>
          <w:rFonts w:hint="eastAsia"/>
          <w:lang w:val="es-ES_tradnl"/>
        </w:rPr>
        <w:t>（</w:t>
      </w:r>
      <w:smartTag w:uri="urn:schemas-microsoft-com:office:smarttags" w:element="chsdate">
        <w:smartTagPr>
          <w:attr w:name="Year" w:val="2010"/>
          <w:attr w:name="Month" w:val="5"/>
          <w:attr w:name="Day" w:val="5"/>
          <w:attr w:name="IsLunarDate" w:val="False"/>
          <w:attr w:name="IsROCDate" w:val="False"/>
        </w:smartTagPr>
        <w:r>
          <w:rPr>
            <w:rFonts w:hint="eastAsia"/>
            <w:lang w:val="es-ES_tradnl"/>
          </w:rPr>
          <w:t>2010</w:t>
        </w:r>
        <w:r>
          <w:rPr>
            <w:rFonts w:hint="eastAsia"/>
            <w:lang w:val="es-ES_tradnl"/>
          </w:rPr>
          <w:t>年</w:t>
        </w:r>
        <w:r>
          <w:rPr>
            <w:rFonts w:hint="eastAsia"/>
            <w:lang w:val="es-ES_tradnl"/>
          </w:rPr>
          <w:t>5</w:t>
        </w:r>
        <w:r>
          <w:rPr>
            <w:rFonts w:hint="eastAsia"/>
            <w:lang w:val="es-ES_tradnl"/>
          </w:rPr>
          <w:t>月</w:t>
        </w:r>
        <w:r>
          <w:rPr>
            <w:rFonts w:hint="eastAsia"/>
            <w:lang w:val="es-ES_tradnl"/>
          </w:rPr>
          <w:t>5</w:t>
        </w:r>
        <w:r>
          <w:rPr>
            <w:rFonts w:hint="eastAsia"/>
            <w:lang w:val="es-ES_tradnl"/>
          </w:rPr>
          <w:t>日</w:t>
        </w:r>
      </w:smartTag>
      <w:r>
        <w:rPr>
          <w:rFonts w:hint="eastAsia"/>
          <w:lang w:val="es-ES_tradnl"/>
        </w:rPr>
        <w:t>）；</w:t>
      </w:r>
      <w:r>
        <w:rPr>
          <w:rFonts w:hint="eastAsia"/>
          <w:lang w:val="es-CO"/>
        </w:rPr>
        <w:t xml:space="preserve">(d) </w:t>
      </w:r>
      <w:r>
        <w:rPr>
          <w:rFonts w:hint="eastAsia"/>
          <w:lang w:val="es-CO"/>
        </w:rPr>
        <w:t>预防对流离失所妇女的家庭内暴力和社区暴力侵害并对受害妇女提供全面关爱的方案</w:t>
      </w:r>
      <w:r>
        <w:rPr>
          <w:rFonts w:hint="eastAsia"/>
          <w:lang w:val="es-ES_tradnl"/>
        </w:rPr>
        <w:t>（</w:t>
      </w:r>
      <w:smartTag w:uri="urn:schemas-microsoft-com:office:smarttags" w:element="chsdate">
        <w:smartTagPr>
          <w:attr w:name="Year" w:val="2010"/>
          <w:attr w:name="Month" w:val="5"/>
          <w:attr w:name="Day" w:val="5"/>
          <w:attr w:name="IsLunarDate" w:val="False"/>
          <w:attr w:name="IsROCDate" w:val="False"/>
        </w:smartTagPr>
        <w:r>
          <w:rPr>
            <w:rFonts w:hint="eastAsia"/>
            <w:lang w:val="es-ES_tradnl"/>
          </w:rPr>
          <w:t>2010</w:t>
        </w:r>
        <w:r>
          <w:rPr>
            <w:rFonts w:hint="eastAsia"/>
            <w:lang w:val="es-ES_tradnl"/>
          </w:rPr>
          <w:t>年</w:t>
        </w:r>
        <w:r>
          <w:rPr>
            <w:rFonts w:hint="eastAsia"/>
            <w:lang w:val="es-ES_tradnl"/>
          </w:rPr>
          <w:t>5</w:t>
        </w:r>
        <w:r>
          <w:rPr>
            <w:rFonts w:hint="eastAsia"/>
            <w:lang w:val="es-ES_tradnl"/>
          </w:rPr>
          <w:t>月</w:t>
        </w:r>
        <w:r>
          <w:rPr>
            <w:rFonts w:hint="eastAsia"/>
            <w:lang w:val="es-ES_tradnl"/>
          </w:rPr>
          <w:t>5</w:t>
        </w:r>
        <w:r>
          <w:rPr>
            <w:rFonts w:hint="eastAsia"/>
            <w:lang w:val="es-ES_tradnl"/>
          </w:rPr>
          <w:t>日</w:t>
        </w:r>
      </w:smartTag>
      <w:r>
        <w:rPr>
          <w:rFonts w:hint="eastAsia"/>
          <w:lang w:val="es-ES_tradnl"/>
        </w:rPr>
        <w:t>）；</w:t>
      </w:r>
      <w:r>
        <w:rPr>
          <w:rFonts w:hint="eastAsia"/>
          <w:lang w:val="es-ES_tradnl"/>
        </w:rPr>
        <w:t xml:space="preserve">(e) </w:t>
      </w:r>
      <w:r>
        <w:rPr>
          <w:rFonts w:hint="eastAsia"/>
          <w:lang w:val="es-CO"/>
        </w:rPr>
        <w:t>流离失所妇女保健方案（</w:t>
      </w:r>
      <w:smartTag w:uri="urn:schemas-microsoft-com:office:smarttags" w:element="chsdate">
        <w:smartTagPr>
          <w:attr w:name="Year" w:val="2010"/>
          <w:attr w:name="Month" w:val="6"/>
          <w:attr w:name="Day" w:val="5"/>
          <w:attr w:name="IsLunarDate" w:val="False"/>
          <w:attr w:name="IsROCDate" w:val="False"/>
        </w:smartTagPr>
        <w:r>
          <w:rPr>
            <w:rFonts w:hint="eastAsia"/>
            <w:lang w:val="es-CO"/>
          </w:rPr>
          <w:t>2010</w:t>
        </w:r>
        <w:r>
          <w:rPr>
            <w:rFonts w:hint="eastAsia"/>
            <w:lang w:val="es-CO"/>
          </w:rPr>
          <w:t>年</w:t>
        </w:r>
        <w:r>
          <w:rPr>
            <w:rFonts w:hint="eastAsia"/>
            <w:lang w:val="es-CO"/>
          </w:rPr>
          <w:t>6</w:t>
        </w:r>
        <w:r>
          <w:rPr>
            <w:rFonts w:hint="eastAsia"/>
            <w:lang w:val="es-CO"/>
          </w:rPr>
          <w:t>月</w:t>
        </w:r>
        <w:r>
          <w:rPr>
            <w:rFonts w:hint="eastAsia"/>
            <w:lang w:val="es-CO"/>
          </w:rPr>
          <w:t>5</w:t>
        </w:r>
        <w:r>
          <w:rPr>
            <w:rFonts w:hint="eastAsia"/>
            <w:lang w:val="es-CO"/>
          </w:rPr>
          <w:t>日</w:t>
        </w:r>
      </w:smartTag>
      <w:r>
        <w:rPr>
          <w:rFonts w:hint="eastAsia"/>
          <w:lang w:val="es-CO"/>
        </w:rPr>
        <w:t>）；</w:t>
      </w:r>
      <w:r>
        <w:rPr>
          <w:rFonts w:hint="eastAsia"/>
          <w:lang w:val="es-CO"/>
        </w:rPr>
        <w:t xml:space="preserve">(f) </w:t>
      </w:r>
      <w:r>
        <w:rPr>
          <w:rFonts w:hint="eastAsia"/>
          <w:lang w:val="es-CO"/>
        </w:rPr>
        <w:t>对</w:t>
      </w:r>
      <w:r>
        <w:rPr>
          <w:rFonts w:hint="eastAsia"/>
          <w:lang w:val="es-CO"/>
        </w:rPr>
        <w:t>15</w:t>
      </w:r>
      <w:r>
        <w:rPr>
          <w:rFonts w:hint="eastAsia"/>
          <w:lang w:val="es-CO"/>
        </w:rPr>
        <w:t>岁以上流离失所妇女的教育支持方案（</w:t>
      </w:r>
      <w:smartTag w:uri="urn:schemas-microsoft-com:office:smarttags" w:element="chsdate">
        <w:smartTagPr>
          <w:attr w:name="Year" w:val="2010"/>
          <w:attr w:name="Month" w:val="6"/>
          <w:attr w:name="Day" w:val="18"/>
          <w:attr w:name="IsLunarDate" w:val="False"/>
          <w:attr w:name="IsROCDate" w:val="False"/>
        </w:smartTagPr>
        <w:r>
          <w:rPr>
            <w:rFonts w:hint="eastAsia"/>
            <w:lang w:val="es-CO"/>
          </w:rPr>
          <w:t>2010</w:t>
        </w:r>
        <w:r>
          <w:rPr>
            <w:rFonts w:hint="eastAsia"/>
            <w:lang w:val="es-CO"/>
          </w:rPr>
          <w:t>年</w:t>
        </w:r>
        <w:r>
          <w:rPr>
            <w:rFonts w:hint="eastAsia"/>
            <w:lang w:val="es-CO"/>
          </w:rPr>
          <w:t>6</w:t>
        </w:r>
        <w:r>
          <w:rPr>
            <w:rFonts w:hint="eastAsia"/>
            <w:lang w:val="es-CO"/>
          </w:rPr>
          <w:t>月</w:t>
        </w:r>
        <w:r>
          <w:rPr>
            <w:rFonts w:hint="eastAsia"/>
            <w:lang w:val="es-CO"/>
          </w:rPr>
          <w:t>18</w:t>
        </w:r>
        <w:r>
          <w:rPr>
            <w:rFonts w:hint="eastAsia"/>
            <w:lang w:val="es-CO"/>
          </w:rPr>
          <w:t>日</w:t>
        </w:r>
      </w:smartTag>
      <w:r>
        <w:rPr>
          <w:rFonts w:hint="eastAsia"/>
          <w:lang w:val="es-CO"/>
        </w:rPr>
        <w:t>）；</w:t>
      </w:r>
      <w:r>
        <w:rPr>
          <w:rFonts w:hint="eastAsia"/>
          <w:lang w:val="es-CO"/>
        </w:rPr>
        <w:t xml:space="preserve">(g) </w:t>
      </w:r>
      <w:r>
        <w:rPr>
          <w:rFonts w:hint="eastAsia"/>
          <w:lang w:val="es-CO"/>
        </w:rPr>
        <w:t>向流离失所妇女及其家庭提供心理治疗和辅导的方案（</w:t>
      </w:r>
      <w:smartTag w:uri="urn:schemas-microsoft-com:office:smarttags" w:element="chsdate">
        <w:smartTagPr>
          <w:attr w:name="Year" w:val="2010"/>
          <w:attr w:name="Month" w:val="6"/>
          <w:attr w:name="Day" w:val="25"/>
          <w:attr w:name="IsLunarDate" w:val="False"/>
          <w:attr w:name="IsROCDate" w:val="False"/>
        </w:smartTagPr>
        <w:r>
          <w:rPr>
            <w:rFonts w:hint="eastAsia"/>
            <w:lang w:val="es-CO"/>
          </w:rPr>
          <w:t>2010</w:t>
        </w:r>
        <w:r>
          <w:rPr>
            <w:rFonts w:hint="eastAsia"/>
            <w:lang w:val="es-CO"/>
          </w:rPr>
          <w:t>年</w:t>
        </w:r>
        <w:r>
          <w:rPr>
            <w:rFonts w:hint="eastAsia"/>
            <w:lang w:val="es-CO"/>
          </w:rPr>
          <w:t>6</w:t>
        </w:r>
        <w:r>
          <w:rPr>
            <w:rFonts w:hint="eastAsia"/>
            <w:lang w:val="es-CO"/>
          </w:rPr>
          <w:t>月</w:t>
        </w:r>
        <w:r>
          <w:rPr>
            <w:rFonts w:hint="eastAsia"/>
            <w:lang w:val="es-CO"/>
          </w:rPr>
          <w:t>25</w:t>
        </w:r>
        <w:r>
          <w:rPr>
            <w:rFonts w:hint="eastAsia"/>
            <w:lang w:val="es-CO"/>
          </w:rPr>
          <w:t>日</w:t>
        </w:r>
      </w:smartTag>
      <w:r>
        <w:rPr>
          <w:rFonts w:hint="eastAsia"/>
          <w:lang w:val="es-CO"/>
        </w:rPr>
        <w:t>）；</w:t>
      </w:r>
      <w:r>
        <w:rPr>
          <w:rFonts w:hint="eastAsia"/>
          <w:lang w:val="es-CO"/>
        </w:rPr>
        <w:t xml:space="preserve">(h) </w:t>
      </w:r>
      <w:r>
        <w:rPr>
          <w:rFonts w:hint="eastAsia"/>
          <w:lang w:val="es-CO"/>
        </w:rPr>
        <w:t>支持承担户主责任的流离失所妇女获得从事生产劳动的机会并预防对流离失所妇女和劳动妇女进行家务剥削和劳务剥削的方案（</w:t>
      </w:r>
      <w:smartTag w:uri="urn:schemas-microsoft-com:office:smarttags" w:element="chsdate">
        <w:smartTagPr>
          <w:attr w:name="Year" w:val="2010"/>
          <w:attr w:name="Month" w:val="6"/>
          <w:attr w:name="Day" w:val="29"/>
          <w:attr w:name="IsLunarDate" w:val="False"/>
          <w:attr w:name="IsROCDate" w:val="False"/>
        </w:smartTagPr>
        <w:r>
          <w:rPr>
            <w:rFonts w:hint="eastAsia"/>
            <w:lang w:val="es-CO"/>
          </w:rPr>
          <w:t>2010</w:t>
        </w:r>
        <w:r>
          <w:rPr>
            <w:rFonts w:hint="eastAsia"/>
            <w:lang w:val="es-CO"/>
          </w:rPr>
          <w:t>年</w:t>
        </w:r>
        <w:r>
          <w:rPr>
            <w:rFonts w:hint="eastAsia"/>
            <w:lang w:val="es-CO"/>
          </w:rPr>
          <w:t>6</w:t>
        </w:r>
        <w:r>
          <w:rPr>
            <w:rFonts w:hint="eastAsia"/>
            <w:lang w:val="es-CO"/>
          </w:rPr>
          <w:t>月</w:t>
        </w:r>
        <w:r>
          <w:rPr>
            <w:rFonts w:hint="eastAsia"/>
            <w:lang w:val="es-CO"/>
          </w:rPr>
          <w:t>29</w:t>
        </w:r>
        <w:r>
          <w:rPr>
            <w:rFonts w:hint="eastAsia"/>
            <w:lang w:val="es-CO"/>
          </w:rPr>
          <w:t>日</w:t>
        </w:r>
      </w:smartTag>
      <w:r>
        <w:rPr>
          <w:rFonts w:hint="eastAsia"/>
          <w:lang w:val="es-CO"/>
        </w:rPr>
        <w:t>）。</w:t>
      </w:r>
    </w:p>
  </w:footnote>
  <w:footnote w:id="238">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这些省份是：安蒂奥基亚省、玻利瓦尔省、瓜维亚雷省、苏克雷省和桑坦德省。</w:t>
      </w:r>
    </w:p>
  </w:footnote>
  <w:footnote w:id="239">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MX"/>
        </w:rPr>
        <w:t>在瓜亚雷斯省、玻利瓦尔生、安蒂奥基亚省、苏克雷省、考卡山谷省、桑坦德省和波哥大特区。</w:t>
      </w:r>
    </w:p>
  </w:footnote>
  <w:footnote w:id="240">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参见《国家政府就关于对因暴力被迫流离失所的受害人口的公共政策问题所作的声明》，</w:t>
      </w:r>
      <w:smartTag w:uri="urn:schemas-microsoft-com:office:smarttags" w:element="chsdate">
        <w:smartTagPr>
          <w:attr w:name="Year" w:val="2011"/>
          <w:attr w:name="Month" w:val="3"/>
          <w:attr w:name="Day" w:val="16"/>
          <w:attr w:name="IsLunarDate" w:val="False"/>
          <w:attr w:name="IsROCDate" w:val="False"/>
        </w:smartTagPr>
        <w:r>
          <w:rPr>
            <w:rFonts w:hint="eastAsia"/>
            <w:lang w:val="es-ES_tradnl"/>
          </w:rPr>
          <w:t>2011</w:t>
        </w:r>
        <w:r>
          <w:rPr>
            <w:rFonts w:hint="eastAsia"/>
            <w:lang w:val="es-ES_tradnl"/>
          </w:rPr>
          <w:t>年</w:t>
        </w:r>
        <w:r>
          <w:rPr>
            <w:rFonts w:hint="eastAsia"/>
            <w:lang w:val="es-ES_tradnl"/>
          </w:rPr>
          <w:t>3</w:t>
        </w:r>
        <w:r>
          <w:rPr>
            <w:rFonts w:hint="eastAsia"/>
            <w:lang w:val="es-ES_tradnl"/>
          </w:rPr>
          <w:t>月</w:t>
        </w:r>
        <w:r>
          <w:rPr>
            <w:rFonts w:hint="eastAsia"/>
            <w:lang w:val="es-ES_tradnl"/>
          </w:rPr>
          <w:t>16</w:t>
        </w:r>
        <w:r>
          <w:rPr>
            <w:rFonts w:hint="eastAsia"/>
            <w:lang w:val="es-ES_tradnl"/>
          </w:rPr>
          <w:t>日</w:t>
        </w:r>
      </w:smartTag>
      <w:r>
        <w:rPr>
          <w:rFonts w:hint="eastAsia"/>
          <w:lang w:val="es-ES_tradnl"/>
        </w:rPr>
        <w:t>，波哥大，第</w:t>
      </w:r>
      <w:r>
        <w:rPr>
          <w:rFonts w:hint="eastAsia"/>
          <w:lang w:val="es-ES_tradnl"/>
        </w:rPr>
        <w:t>299</w:t>
      </w:r>
      <w:r>
        <w:rPr>
          <w:rFonts w:hint="eastAsia"/>
          <w:lang w:val="es-ES_tradnl"/>
        </w:rPr>
        <w:t>页。</w:t>
      </w:r>
    </w:p>
  </w:footnote>
  <w:footnote w:id="241">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全面关爱流离失所人口国家委员会是一家咨询顾问机构，负责制定关于强迫失踪的政策，确保为方案实施的责任单位划拨相应预算以让国家流离失所者全面照料系统能够正常运作。</w:t>
      </w:r>
      <w:r>
        <w:rPr>
          <w:rFonts w:hint="eastAsia"/>
          <w:lang w:val="es-ES_tradnl"/>
        </w:rPr>
        <w:t>1997</w:t>
      </w:r>
      <w:r>
        <w:rPr>
          <w:rFonts w:hint="eastAsia"/>
          <w:lang w:val="es-ES_tradnl"/>
        </w:rPr>
        <w:t>年第</w:t>
      </w:r>
      <w:r>
        <w:rPr>
          <w:rFonts w:hint="eastAsia"/>
          <w:lang w:val="es-ES_tradnl"/>
        </w:rPr>
        <w:t>387</w:t>
      </w:r>
      <w:r>
        <w:rPr>
          <w:rFonts w:hint="eastAsia"/>
          <w:lang w:val="es-ES_tradnl"/>
        </w:rPr>
        <w:t>号法第</w:t>
      </w:r>
      <w:r>
        <w:rPr>
          <w:rFonts w:hint="eastAsia"/>
          <w:lang w:val="es-ES_tradnl"/>
        </w:rPr>
        <w:t>6</w:t>
      </w:r>
      <w:r>
        <w:rPr>
          <w:rFonts w:hint="eastAsia"/>
          <w:lang w:val="es-ES_tradnl"/>
        </w:rPr>
        <w:t>条。</w:t>
      </w:r>
    </w:p>
  </w:footnote>
  <w:footnote w:id="242">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在这一决议中</w:t>
      </w:r>
      <w:r>
        <w:rPr>
          <w:rFonts w:hint="eastAsia"/>
          <w:bCs/>
          <w:iCs/>
          <w:lang w:val="es-ES_tradnl"/>
        </w:rPr>
        <w:t>将“以流离失所人口的出身、种族、性别、宗教或年龄为由而区别对待”的做法视为歧视，这一规定与哥伦比亚所宣扬的多民族和多元文化性国家这一自我定位相一致。</w:t>
      </w:r>
    </w:p>
  </w:footnote>
  <w:footnote w:id="243">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bCs/>
          <w:lang w:val="es-ES_tradnl"/>
        </w:rPr>
        <w:t>国家政府深刻认识到其有义务照顾到全国的各类人口群体，因此希望通过这一决议来认定相关行动的范围、成果和局限性，同样还提出有必要“从差别化角度在关爱流离失所人口国家政策框架内开展新的行动，为此就政策实施工作提出了建议，以有效落实各类人权指标”。</w:t>
      </w:r>
    </w:p>
  </w:footnote>
  <w:footnote w:id="244">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宣布人身安全在哥伦比亚是一项个人的基本权利，国家当局应出台必要的保护措施，以便在特定条件下用于防范各类危害生命和人身完整性的风险，如果在用尽司法途径后仍无法确保在特殊情况下的人身安全，可要求行政当局介入干预。</w:t>
      </w:r>
    </w:p>
  </w:footnote>
  <w:footnote w:id="245">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在预防工作方面，女性所面临的风险主要有：</w:t>
      </w:r>
      <w:r>
        <w:rPr>
          <w:rFonts w:ascii="SimHei" w:eastAsia="SimHei" w:hint="eastAsia"/>
          <w:lang w:val="es-ES_tradnl"/>
        </w:rPr>
        <w:t>性暴力</w:t>
      </w:r>
      <w:r>
        <w:rPr>
          <w:rFonts w:hint="eastAsia"/>
          <w:lang w:val="es-ES_tradnl"/>
        </w:rPr>
        <w:t>、家务剥削和因身为女性而受到的剥削，强行招募其子女入伍或者其他类型的威胁，当妇女承担户主责任时，在这方面所受到的威胁尤甚，由于家人或熟人是某一武装团体的成员而受到的连带性报复，由于参与社会妇女组织或人权促进组织而受害的威胁和报复，家庭经济支柱被谋杀或强迫失踪，家庭解体，社会和经济歧视，由于历史遗留问题而被剥夺财产，在这方面，土著妇女和非洲裔妇女所面临的问题尤为突出。</w:t>
      </w:r>
    </w:p>
  </w:footnote>
  <w:footnote w:id="246">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在这一案件中，明显可以看出社会行动署所开展的验证工作未能达到宪法的要求，至少是出于以下原因：</w:t>
      </w:r>
      <w:r>
        <w:rPr>
          <w:rFonts w:hint="eastAsia"/>
          <w:lang w:val="es-ES_tradnl"/>
        </w:rPr>
        <w:t xml:space="preserve">(a) </w:t>
      </w:r>
      <w:r>
        <w:rPr>
          <w:rFonts w:hint="eastAsia"/>
          <w:lang w:val="es-ES_tradnl"/>
        </w:rPr>
        <w:t>在对证据材料以及当事人情况进行认定时并没有遵循善意原则；</w:t>
      </w:r>
      <w:r>
        <w:rPr>
          <w:rFonts w:hint="eastAsia"/>
          <w:lang w:val="es-ES_tradnl"/>
        </w:rPr>
        <w:t xml:space="preserve">(b) </w:t>
      </w:r>
      <w:r>
        <w:rPr>
          <w:rFonts w:hint="eastAsia"/>
          <w:lang w:val="es-ES_tradnl"/>
        </w:rPr>
        <w:t>在评估当事人的处境时并未遵循善意原则；</w:t>
      </w:r>
      <w:r>
        <w:rPr>
          <w:rFonts w:hint="eastAsia"/>
          <w:lang w:val="es-ES_tradnl"/>
        </w:rPr>
        <w:t xml:space="preserve">(c) </w:t>
      </w:r>
      <w:r>
        <w:rPr>
          <w:rFonts w:hint="eastAsia"/>
          <w:lang w:val="es-ES_tradnl"/>
        </w:rPr>
        <w:t>在理解和执行与办理登记有关的法律规定时并没有遵循有利性原则；</w:t>
      </w:r>
      <w:r>
        <w:rPr>
          <w:rFonts w:hint="eastAsia"/>
          <w:lang w:val="es-ES_tradnl"/>
        </w:rPr>
        <w:t xml:space="preserve">(d) </w:t>
      </w:r>
      <w:r>
        <w:rPr>
          <w:rFonts w:hint="eastAsia"/>
          <w:lang w:val="es-ES_tradnl"/>
        </w:rPr>
        <w:t>没有履行国家机关所承担的预防对当事人的生命安全和人身完整性构成威胁的风险，保护被迫流离失所的受害人的义务；</w:t>
      </w:r>
      <w:r>
        <w:rPr>
          <w:rFonts w:hint="eastAsia"/>
          <w:lang w:val="es-ES_tradnl"/>
        </w:rPr>
        <w:t xml:space="preserve">(e) </w:t>
      </w:r>
      <w:r>
        <w:rPr>
          <w:rFonts w:hint="eastAsia"/>
          <w:lang w:val="es-ES_tradnl"/>
        </w:rPr>
        <w:t>未能承担起国家机关应特别照顾被迫流离失所的受害妇女的义务。与此同时，指出在性别方面所面临的一个风险就是如何准确认定受害妇女与武装团体成员之间的关系，从这个意义上说，法院认为有关部门在研究要求在流离失所人口登记处办理登记的申请时，并没有考虑到性别观点，无法对流离失所妇女给予特别关爱，这在法院看来构成一项在性别事务方面的风险。</w:t>
      </w:r>
    </w:p>
  </w:footnote>
  <w:footnote w:id="247">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作出了对（玻利瓦尔省）萨拉多大屠杀中幸存的</w:t>
      </w:r>
      <w:r>
        <w:rPr>
          <w:rFonts w:hint="eastAsia"/>
          <w:lang w:val="es-ES_tradnl"/>
        </w:rPr>
        <w:t>10</w:t>
      </w:r>
      <w:r>
        <w:rPr>
          <w:rFonts w:hint="eastAsia"/>
          <w:lang w:val="es-ES_tradnl"/>
        </w:rPr>
        <w:t>名受害妇女有利的裁决，责令卫生系统西从心理学角度为其提供心理辅导和精神治疗。责令社会保障部与国家和地方的有关部门一起制定和实施关于心理关爱的必要政策、方案和行动，以满足武装冲突受害者、其所在家庭和社区的需要；遵循惠及所有目标对象的原则，开展促进和预防工作，采用差别化观点和相应的指标，并配备高素质的工作人员，等等。</w:t>
      </w:r>
    </w:p>
  </w:footnote>
  <w:footnote w:id="248">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这一技术手段的目的是认定受流离失所影响的人口并确定其特点。根据</w:t>
      </w:r>
      <w:r>
        <w:rPr>
          <w:rFonts w:hint="eastAsia"/>
          <w:lang w:val="es-ES_tradnl"/>
        </w:rPr>
        <w:t>2000</w:t>
      </w:r>
      <w:r>
        <w:rPr>
          <w:rFonts w:hint="eastAsia"/>
          <w:lang w:val="es-ES_tradnl"/>
        </w:rPr>
        <w:t>年第</w:t>
      </w:r>
      <w:r>
        <w:rPr>
          <w:rFonts w:hint="eastAsia"/>
          <w:lang w:val="es-ES_tradnl"/>
        </w:rPr>
        <w:t>2569</w:t>
      </w:r>
      <w:r>
        <w:rPr>
          <w:rFonts w:hint="eastAsia"/>
          <w:lang w:val="es-ES_tradnl"/>
        </w:rPr>
        <w:t>号法令的规定，社会行动署是负责设立登记处、搜集整理信息并对信息实时更新的责任单位。由于并没有设定到登记处进行登记的截止期限，不断有人到登记处办理登记，因此登记处的数据也在不断更新中；同时，在登记之后还需要对信息进行验证并将数据登入系统中。</w:t>
      </w:r>
    </w:p>
  </w:footnote>
  <w:footnote w:id="249">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截至</w:t>
      </w:r>
      <w:r>
        <w:rPr>
          <w:rFonts w:hint="eastAsia"/>
          <w:lang w:val="es-ES_tradnl"/>
        </w:rPr>
        <w:t>2011</w:t>
      </w:r>
      <w:r>
        <w:rPr>
          <w:rFonts w:hint="eastAsia"/>
          <w:lang w:val="es-ES_tradnl"/>
        </w:rPr>
        <w:t>年</w:t>
      </w:r>
      <w:r>
        <w:rPr>
          <w:rFonts w:hint="eastAsia"/>
          <w:lang w:val="es-ES_tradnl"/>
        </w:rPr>
        <w:t>1</w:t>
      </w:r>
      <w:r>
        <w:rPr>
          <w:rFonts w:hint="eastAsia"/>
          <w:lang w:val="es-ES_tradnl"/>
        </w:rPr>
        <w:t>月的信息。由于并没有设定到登记处进行登记的截止期限，不断有人到登记处办理登记，因此登记处的数据也在不断更新中；同时，在登记之后还需要对信息进行验证并将数据登入系统中。</w:t>
      </w:r>
    </w:p>
  </w:footnote>
  <w:footnote w:id="250">
    <w:p w:rsidR="00A83775" w:rsidRDefault="00A83775">
      <w:pPr>
        <w:pStyle w:val="FootnoteText"/>
        <w:widowControl w:val="0"/>
        <w:tabs>
          <w:tab w:val="clear" w:pos="1021"/>
          <w:tab w:val="right" w:pos="1020"/>
        </w:tabs>
        <w:rPr>
          <w:lang w:val="es-ES_tradnl"/>
        </w:rPr>
      </w:pPr>
      <w:r>
        <w:rPr>
          <w:lang w:val="es-ES"/>
        </w:rPr>
        <w:tab/>
      </w:r>
      <w:r>
        <w:rPr>
          <w:rStyle w:val="FootnoteReference"/>
        </w:rPr>
        <w:footnoteRef/>
      </w:r>
      <w:r>
        <w:rPr>
          <w:lang w:val="es-ES_tradnl"/>
        </w:rPr>
        <w:tab/>
      </w:r>
      <w:r>
        <w:rPr>
          <w:rFonts w:hint="eastAsia"/>
          <w:lang w:val="es-ES_tradnl"/>
        </w:rPr>
        <w:t>在这一时期开展了驱逐行动的省份有：安蒂奥基亚省（</w:t>
      </w:r>
      <w:r>
        <w:rPr>
          <w:rFonts w:hint="eastAsia"/>
          <w:lang w:val="es-ES_tradnl"/>
        </w:rPr>
        <w:t>17.9%</w:t>
      </w:r>
      <w:r>
        <w:rPr>
          <w:rFonts w:hint="eastAsia"/>
          <w:lang w:val="es-ES_tradnl"/>
        </w:rPr>
        <w:t>；</w:t>
      </w:r>
      <w:r>
        <w:rPr>
          <w:rFonts w:hint="eastAsia"/>
          <w:lang w:val="es-ES_tradnl"/>
        </w:rPr>
        <w:t>649</w:t>
      </w:r>
      <w:r>
        <w:rPr>
          <w:lang w:val="es-ES_tradnl"/>
        </w:rPr>
        <w:t>,</w:t>
      </w:r>
      <w:r>
        <w:rPr>
          <w:rFonts w:hint="eastAsia"/>
          <w:lang w:val="es-ES_tradnl"/>
        </w:rPr>
        <w:t>338</w:t>
      </w:r>
      <w:r>
        <w:rPr>
          <w:rFonts w:hint="eastAsia"/>
          <w:lang w:val="es-ES_tradnl"/>
        </w:rPr>
        <w:t>人），玻利瓦尔省（</w:t>
      </w:r>
      <w:r>
        <w:rPr>
          <w:rFonts w:hint="eastAsia"/>
          <w:lang w:val="es-ES_tradnl"/>
        </w:rPr>
        <w:t>8.5%</w:t>
      </w:r>
      <w:r>
        <w:rPr>
          <w:rFonts w:hint="eastAsia"/>
          <w:lang w:val="es-ES_tradnl"/>
        </w:rPr>
        <w:t>；</w:t>
      </w:r>
      <w:r>
        <w:rPr>
          <w:rFonts w:hint="eastAsia"/>
          <w:lang w:val="es-ES_tradnl"/>
        </w:rPr>
        <w:t>309</w:t>
      </w:r>
      <w:r>
        <w:rPr>
          <w:lang w:val="es-ES_tradnl"/>
        </w:rPr>
        <w:t>,</w:t>
      </w:r>
      <w:r>
        <w:rPr>
          <w:rFonts w:hint="eastAsia"/>
          <w:lang w:val="es-ES_tradnl"/>
        </w:rPr>
        <w:t>307</w:t>
      </w:r>
      <w:r>
        <w:rPr>
          <w:rFonts w:hint="eastAsia"/>
          <w:lang w:val="es-ES_tradnl"/>
        </w:rPr>
        <w:t>人），马格达莱纳省（</w:t>
      </w:r>
      <w:r>
        <w:rPr>
          <w:rFonts w:hint="eastAsia"/>
          <w:lang w:val="es-ES_tradnl"/>
        </w:rPr>
        <w:t>6.2%</w:t>
      </w:r>
      <w:r>
        <w:rPr>
          <w:rFonts w:hint="eastAsia"/>
          <w:lang w:val="es-ES_tradnl"/>
        </w:rPr>
        <w:t>；</w:t>
      </w:r>
      <w:r>
        <w:rPr>
          <w:rFonts w:hint="eastAsia"/>
          <w:lang w:val="es-ES_tradnl"/>
        </w:rPr>
        <w:t>223</w:t>
      </w:r>
      <w:r>
        <w:rPr>
          <w:lang w:val="es-ES_tradnl"/>
        </w:rPr>
        <w:t>,</w:t>
      </w:r>
      <w:r>
        <w:rPr>
          <w:rFonts w:hint="eastAsia"/>
          <w:lang w:val="es-ES_tradnl"/>
        </w:rPr>
        <w:t>774</w:t>
      </w:r>
      <w:r>
        <w:rPr>
          <w:rFonts w:hint="eastAsia"/>
          <w:lang w:val="es-ES_tradnl"/>
        </w:rPr>
        <w:t>人），乔科省（</w:t>
      </w:r>
      <w:r>
        <w:rPr>
          <w:rFonts w:hint="eastAsia"/>
          <w:lang w:val="es-ES_tradnl"/>
        </w:rPr>
        <w:t>5.6%</w:t>
      </w:r>
      <w:r>
        <w:rPr>
          <w:rFonts w:hint="eastAsia"/>
          <w:lang w:val="es-ES_tradnl"/>
        </w:rPr>
        <w:t>；</w:t>
      </w:r>
      <w:r>
        <w:rPr>
          <w:rFonts w:hint="eastAsia"/>
          <w:lang w:val="es-ES_tradnl"/>
        </w:rPr>
        <w:t>203</w:t>
      </w:r>
      <w:r>
        <w:rPr>
          <w:lang w:val="es-ES_tradnl"/>
        </w:rPr>
        <w:t>,</w:t>
      </w:r>
      <w:r>
        <w:rPr>
          <w:rFonts w:hint="eastAsia"/>
          <w:lang w:val="es-ES_tradnl"/>
        </w:rPr>
        <w:t>708</w:t>
      </w:r>
      <w:r>
        <w:rPr>
          <w:rFonts w:hint="eastAsia"/>
          <w:lang w:val="es-ES_tradnl"/>
        </w:rPr>
        <w:t>人）和塞萨尔省（</w:t>
      </w:r>
      <w:r>
        <w:rPr>
          <w:rFonts w:hint="eastAsia"/>
          <w:lang w:val="es-ES_tradnl"/>
        </w:rPr>
        <w:t>5.1%</w:t>
      </w:r>
      <w:r>
        <w:rPr>
          <w:rFonts w:hint="eastAsia"/>
          <w:lang w:val="es-ES_tradnl"/>
        </w:rPr>
        <w:t>；</w:t>
      </w:r>
      <w:r>
        <w:rPr>
          <w:rFonts w:hint="eastAsia"/>
          <w:lang w:val="es-ES_tradnl"/>
        </w:rPr>
        <w:t>185</w:t>
      </w:r>
      <w:r>
        <w:rPr>
          <w:lang w:val="es-ES_tradnl"/>
        </w:rPr>
        <w:t>,</w:t>
      </w:r>
      <w:r>
        <w:rPr>
          <w:rFonts w:hint="eastAsia"/>
          <w:lang w:val="es-ES_tradnl"/>
        </w:rPr>
        <w:t>980</w:t>
      </w:r>
      <w:r>
        <w:rPr>
          <w:rFonts w:hint="eastAsia"/>
          <w:lang w:val="es-ES_tradnl"/>
        </w:rPr>
        <w:t>人）。这些省份集中了国内</w:t>
      </w:r>
      <w:r>
        <w:rPr>
          <w:rFonts w:hint="eastAsia"/>
          <w:lang w:val="es-ES_tradnl"/>
        </w:rPr>
        <w:t>43%</w:t>
      </w:r>
      <w:r>
        <w:rPr>
          <w:rFonts w:hint="eastAsia"/>
          <w:lang w:val="es-ES_tradnl"/>
        </w:rPr>
        <w:t>的流离失所人口。同时，在这一时期驱逐现象最为严重的城市有布埃纳文图拉</w:t>
      </w:r>
      <w:r>
        <w:rPr>
          <w:rFonts w:hint="eastAsia"/>
          <w:lang w:val="es-MX"/>
        </w:rPr>
        <w:t>（</w:t>
      </w:r>
      <w:r>
        <w:rPr>
          <w:lang w:val="es-MX"/>
        </w:rPr>
        <w:t>80,797</w:t>
      </w:r>
      <w:r>
        <w:rPr>
          <w:rFonts w:hint="eastAsia"/>
          <w:lang w:val="es-MX"/>
        </w:rPr>
        <w:t>人）、埃尔卡门－玻利瓦尔省（</w:t>
      </w:r>
      <w:r>
        <w:rPr>
          <w:rFonts w:hint="eastAsia"/>
          <w:lang w:val="es-MX"/>
        </w:rPr>
        <w:t>74</w:t>
      </w:r>
      <w:r>
        <w:rPr>
          <w:lang w:val="es-MX"/>
        </w:rPr>
        <w:t>,</w:t>
      </w:r>
      <w:r>
        <w:rPr>
          <w:rFonts w:hint="eastAsia"/>
          <w:lang w:val="es-MX"/>
        </w:rPr>
        <w:t>148</w:t>
      </w:r>
      <w:r>
        <w:rPr>
          <w:rFonts w:hint="eastAsia"/>
          <w:lang w:val="es-MX"/>
        </w:rPr>
        <w:t>人）；图尔波（</w:t>
      </w:r>
      <w:r>
        <w:rPr>
          <w:rFonts w:hint="eastAsia"/>
          <w:lang w:val="es-MX"/>
        </w:rPr>
        <w:t>60</w:t>
      </w:r>
      <w:r>
        <w:rPr>
          <w:lang w:val="es-MX"/>
        </w:rPr>
        <w:t>,</w:t>
      </w:r>
      <w:r>
        <w:rPr>
          <w:rFonts w:hint="eastAsia"/>
          <w:lang w:val="es-MX"/>
        </w:rPr>
        <w:t>139</w:t>
      </w:r>
      <w:r>
        <w:rPr>
          <w:rFonts w:hint="eastAsia"/>
          <w:lang w:val="es-MX"/>
        </w:rPr>
        <w:t>人）、铁拉尔塔（</w:t>
      </w:r>
      <w:r>
        <w:rPr>
          <w:rFonts w:hint="eastAsia"/>
          <w:lang w:val="es-MX"/>
        </w:rPr>
        <w:t>59</w:t>
      </w:r>
      <w:r>
        <w:rPr>
          <w:lang w:val="es-MX"/>
        </w:rPr>
        <w:t>,</w:t>
      </w:r>
      <w:r>
        <w:rPr>
          <w:rFonts w:hint="eastAsia"/>
          <w:lang w:val="es-MX"/>
        </w:rPr>
        <w:t>512</w:t>
      </w:r>
      <w:r>
        <w:rPr>
          <w:rFonts w:hint="eastAsia"/>
          <w:lang w:val="es-MX"/>
        </w:rPr>
        <w:t>人）、里奥苏西奥</w:t>
      </w:r>
      <w:r>
        <w:rPr>
          <w:rFonts w:hint="eastAsia"/>
          <w:lang w:val="es-MX"/>
        </w:rPr>
        <w:t>-</w:t>
      </w:r>
      <w:r>
        <w:rPr>
          <w:rFonts w:hint="eastAsia"/>
          <w:lang w:val="es-MX"/>
        </w:rPr>
        <w:t>乔科省（</w:t>
      </w:r>
      <w:r>
        <w:rPr>
          <w:rFonts w:hint="eastAsia"/>
          <w:lang w:val="es-MX"/>
        </w:rPr>
        <w:t>56</w:t>
      </w:r>
      <w:r>
        <w:rPr>
          <w:lang w:val="es-MX"/>
        </w:rPr>
        <w:t>,</w:t>
      </w:r>
      <w:r>
        <w:rPr>
          <w:rFonts w:hint="eastAsia"/>
          <w:lang w:val="es-MX"/>
        </w:rPr>
        <w:t>739</w:t>
      </w:r>
      <w:r>
        <w:rPr>
          <w:rFonts w:hint="eastAsia"/>
          <w:lang w:val="es-MX"/>
        </w:rPr>
        <w:t>人）和圣玛尔塔（</w:t>
      </w:r>
      <w:r>
        <w:rPr>
          <w:rFonts w:hint="eastAsia"/>
          <w:lang w:val="es-MX"/>
        </w:rPr>
        <w:t>56</w:t>
      </w:r>
      <w:r>
        <w:rPr>
          <w:lang w:val="es-MX"/>
        </w:rPr>
        <w:t>,</w:t>
      </w:r>
      <w:r>
        <w:rPr>
          <w:rFonts w:hint="eastAsia"/>
          <w:lang w:val="es-MX"/>
        </w:rPr>
        <w:t>372</w:t>
      </w:r>
      <w:r>
        <w:rPr>
          <w:rFonts w:hint="eastAsia"/>
          <w:lang w:val="es-MX"/>
        </w:rPr>
        <w:t>人）。另一方面，接收流离失所人口较多的省份有：安蒂奥基亚省（</w:t>
      </w:r>
      <w:r>
        <w:rPr>
          <w:rFonts w:hint="eastAsia"/>
          <w:lang w:val="es-MX"/>
        </w:rPr>
        <w:t>17.4%</w:t>
      </w:r>
      <w:r>
        <w:rPr>
          <w:rFonts w:hint="eastAsia"/>
          <w:lang w:val="es-MX"/>
        </w:rPr>
        <w:t>；</w:t>
      </w:r>
      <w:r>
        <w:rPr>
          <w:rFonts w:hint="eastAsia"/>
          <w:lang w:val="es-MX"/>
        </w:rPr>
        <w:t>629</w:t>
      </w:r>
      <w:r>
        <w:rPr>
          <w:lang w:val="es-MX"/>
        </w:rPr>
        <w:t>,</w:t>
      </w:r>
      <w:r>
        <w:rPr>
          <w:rFonts w:hint="eastAsia"/>
          <w:lang w:val="es-MX"/>
        </w:rPr>
        <w:t>773</w:t>
      </w:r>
      <w:r>
        <w:rPr>
          <w:rFonts w:hint="eastAsia"/>
          <w:lang w:val="es-MX"/>
        </w:rPr>
        <w:t>人），波哥大特区（</w:t>
      </w:r>
      <w:r>
        <w:rPr>
          <w:rFonts w:hint="eastAsia"/>
          <w:lang w:val="es-MX"/>
        </w:rPr>
        <w:t>8.1%</w:t>
      </w:r>
      <w:r>
        <w:rPr>
          <w:rFonts w:hint="eastAsia"/>
          <w:lang w:val="es-MX"/>
        </w:rPr>
        <w:t>；</w:t>
      </w:r>
      <w:r>
        <w:rPr>
          <w:rFonts w:hint="eastAsia"/>
          <w:lang w:val="es-MX"/>
        </w:rPr>
        <w:t>292</w:t>
      </w:r>
      <w:r>
        <w:rPr>
          <w:lang w:val="es-MX"/>
        </w:rPr>
        <w:t>,</w:t>
      </w:r>
      <w:r>
        <w:rPr>
          <w:rFonts w:hint="eastAsia"/>
          <w:lang w:val="es-MX"/>
        </w:rPr>
        <w:t>446</w:t>
      </w:r>
      <w:r>
        <w:rPr>
          <w:rFonts w:hint="eastAsia"/>
          <w:lang w:val="es-MX"/>
        </w:rPr>
        <w:t>人）、考卡山谷省（</w:t>
      </w:r>
      <w:r>
        <w:rPr>
          <w:rFonts w:hint="eastAsia"/>
          <w:lang w:val="es-MX"/>
        </w:rPr>
        <w:t>6%</w:t>
      </w:r>
      <w:r>
        <w:rPr>
          <w:rFonts w:hint="eastAsia"/>
          <w:lang w:val="es-MX"/>
        </w:rPr>
        <w:t>；</w:t>
      </w:r>
      <w:r>
        <w:rPr>
          <w:rFonts w:hint="eastAsia"/>
          <w:lang w:val="es-MX"/>
        </w:rPr>
        <w:t>217</w:t>
      </w:r>
      <w:r>
        <w:rPr>
          <w:lang w:val="es-MX"/>
        </w:rPr>
        <w:t>,</w:t>
      </w:r>
      <w:r>
        <w:rPr>
          <w:rFonts w:hint="eastAsia"/>
          <w:lang w:val="es-MX"/>
        </w:rPr>
        <w:t>648</w:t>
      </w:r>
      <w:r>
        <w:rPr>
          <w:rFonts w:hint="eastAsia"/>
          <w:lang w:val="es-MX"/>
        </w:rPr>
        <w:t>人）；玻利瓦尔省（</w:t>
      </w:r>
      <w:r>
        <w:rPr>
          <w:rFonts w:hint="eastAsia"/>
          <w:lang w:val="es-MX"/>
        </w:rPr>
        <w:t>5.8%</w:t>
      </w:r>
      <w:r>
        <w:rPr>
          <w:rFonts w:hint="eastAsia"/>
          <w:lang w:val="es-MX"/>
        </w:rPr>
        <w:t>；</w:t>
      </w:r>
      <w:r>
        <w:rPr>
          <w:rFonts w:hint="eastAsia"/>
          <w:lang w:val="es-MX"/>
        </w:rPr>
        <w:t>215</w:t>
      </w:r>
      <w:r>
        <w:rPr>
          <w:lang w:val="es-MX"/>
        </w:rPr>
        <w:t>,</w:t>
      </w:r>
      <w:r>
        <w:rPr>
          <w:rFonts w:hint="eastAsia"/>
          <w:lang w:val="es-MX"/>
        </w:rPr>
        <w:t>004</w:t>
      </w:r>
      <w:r>
        <w:rPr>
          <w:rFonts w:hint="eastAsia"/>
          <w:lang w:val="es-MX"/>
        </w:rPr>
        <w:t>人）和马格达莱纳省（</w:t>
      </w:r>
      <w:r>
        <w:rPr>
          <w:rFonts w:hint="eastAsia"/>
          <w:lang w:val="es-MX"/>
        </w:rPr>
        <w:t>5%</w:t>
      </w:r>
      <w:r>
        <w:rPr>
          <w:rFonts w:hint="eastAsia"/>
          <w:lang w:val="es-MX"/>
        </w:rPr>
        <w:t>；</w:t>
      </w:r>
      <w:r>
        <w:rPr>
          <w:rFonts w:hint="eastAsia"/>
          <w:lang w:val="es-MX"/>
        </w:rPr>
        <w:t>182</w:t>
      </w:r>
      <w:r>
        <w:rPr>
          <w:lang w:val="es-MX"/>
        </w:rPr>
        <w:t>,</w:t>
      </w:r>
      <w:r>
        <w:rPr>
          <w:rFonts w:hint="eastAsia"/>
          <w:lang w:val="es-MX"/>
        </w:rPr>
        <w:t>896</w:t>
      </w:r>
      <w:r>
        <w:rPr>
          <w:rFonts w:hint="eastAsia"/>
          <w:lang w:val="es-MX"/>
        </w:rPr>
        <w:t>人）；而接收流离失所人口较多的城市包括波哥大市（</w:t>
      </w:r>
      <w:r>
        <w:rPr>
          <w:rFonts w:hint="eastAsia"/>
          <w:lang w:val="es-MX"/>
        </w:rPr>
        <w:t>292</w:t>
      </w:r>
      <w:r>
        <w:rPr>
          <w:lang w:val="es-MX"/>
        </w:rPr>
        <w:t>,</w:t>
      </w:r>
      <w:r>
        <w:rPr>
          <w:rFonts w:hint="eastAsia"/>
          <w:lang w:val="es-MX"/>
        </w:rPr>
        <w:t>446</w:t>
      </w:r>
      <w:r>
        <w:rPr>
          <w:rFonts w:hint="eastAsia"/>
          <w:lang w:val="es-MX"/>
        </w:rPr>
        <w:t>人），麦德林（</w:t>
      </w:r>
      <w:r>
        <w:rPr>
          <w:rFonts w:hint="eastAsia"/>
          <w:lang w:val="es-MX"/>
        </w:rPr>
        <w:t>196</w:t>
      </w:r>
      <w:r>
        <w:rPr>
          <w:lang w:val="es-MX"/>
        </w:rPr>
        <w:t>,</w:t>
      </w:r>
      <w:r>
        <w:rPr>
          <w:rFonts w:hint="eastAsia"/>
          <w:lang w:val="es-MX"/>
        </w:rPr>
        <w:t>486</w:t>
      </w:r>
      <w:r>
        <w:rPr>
          <w:rFonts w:hint="eastAsia"/>
          <w:lang w:val="es-MX"/>
        </w:rPr>
        <w:t>人），桑塔玛尔塔（</w:t>
      </w:r>
      <w:r>
        <w:rPr>
          <w:rFonts w:hint="eastAsia"/>
          <w:lang w:val="es-MX"/>
        </w:rPr>
        <w:t>112</w:t>
      </w:r>
      <w:r>
        <w:rPr>
          <w:lang w:val="es-MX"/>
        </w:rPr>
        <w:t>,</w:t>
      </w:r>
      <w:r>
        <w:rPr>
          <w:rFonts w:hint="eastAsia"/>
          <w:lang w:val="es-MX"/>
        </w:rPr>
        <w:t>725</w:t>
      </w:r>
      <w:r>
        <w:rPr>
          <w:rFonts w:hint="eastAsia"/>
          <w:lang w:val="es-MX"/>
        </w:rPr>
        <w:t>人），辛塞莱霍（</w:t>
      </w:r>
      <w:r>
        <w:rPr>
          <w:rFonts w:hint="eastAsia"/>
          <w:lang w:val="es-MX"/>
        </w:rPr>
        <w:t>88</w:t>
      </w:r>
      <w:r>
        <w:rPr>
          <w:lang w:val="es-MX"/>
        </w:rPr>
        <w:t>,</w:t>
      </w:r>
      <w:r>
        <w:rPr>
          <w:rFonts w:hint="eastAsia"/>
          <w:lang w:val="es-MX"/>
        </w:rPr>
        <w:t>616</w:t>
      </w:r>
      <w:r>
        <w:rPr>
          <w:rFonts w:hint="eastAsia"/>
          <w:lang w:val="es-MX"/>
        </w:rPr>
        <w:t>人），卡利（</w:t>
      </w:r>
      <w:r>
        <w:rPr>
          <w:rFonts w:hint="eastAsia"/>
          <w:lang w:val="es-MX"/>
        </w:rPr>
        <w:t>77</w:t>
      </w:r>
      <w:r>
        <w:rPr>
          <w:lang w:val="es-MX"/>
        </w:rPr>
        <w:t>,</w:t>
      </w:r>
      <w:r>
        <w:rPr>
          <w:rFonts w:hint="eastAsia"/>
          <w:lang w:val="es-MX"/>
        </w:rPr>
        <w:t>372</w:t>
      </w:r>
      <w:r>
        <w:rPr>
          <w:rFonts w:hint="eastAsia"/>
          <w:lang w:val="es-MX"/>
        </w:rPr>
        <w:t>人）和布埃纳文图拉（</w:t>
      </w:r>
      <w:r>
        <w:rPr>
          <w:rFonts w:hint="eastAsia"/>
          <w:lang w:val="es-MX"/>
        </w:rPr>
        <w:t>74</w:t>
      </w:r>
      <w:r>
        <w:rPr>
          <w:lang w:val="es-MX"/>
        </w:rPr>
        <w:t>,</w:t>
      </w:r>
      <w:r>
        <w:rPr>
          <w:rFonts w:hint="eastAsia"/>
          <w:lang w:val="es-MX"/>
        </w:rPr>
        <w:t>573</w:t>
      </w:r>
      <w:r>
        <w:rPr>
          <w:rFonts w:hint="eastAsia"/>
          <w:lang w:val="es-MX"/>
        </w:rPr>
        <w:t>人）。</w:t>
      </w:r>
    </w:p>
  </w:footnote>
  <w:footnote w:id="251">
    <w:p w:rsidR="00A83775" w:rsidRDefault="00A83775">
      <w:pPr>
        <w:pStyle w:val="FootnoteText"/>
        <w:widowControl w:val="0"/>
        <w:tabs>
          <w:tab w:val="clear" w:pos="1021"/>
          <w:tab w:val="right" w:pos="1020"/>
        </w:tabs>
        <w:rPr>
          <w:rFonts w:hint="eastAsia"/>
          <w:lang w:val="es-ES_tradnl"/>
        </w:rPr>
      </w:pPr>
      <w:r>
        <w:rPr>
          <w:lang w:val="es-ES_tradnl"/>
        </w:rPr>
        <w:tab/>
      </w:r>
      <w:r>
        <w:rPr>
          <w:rStyle w:val="FootnoteReference"/>
        </w:rPr>
        <w:footnoteRef/>
      </w:r>
      <w:r>
        <w:rPr>
          <w:lang w:val="es-ES_tradnl"/>
        </w:rPr>
        <w:tab/>
      </w:r>
      <w:r>
        <w:rPr>
          <w:rFonts w:hint="eastAsia"/>
          <w:lang w:val="es-ES_tradnl"/>
        </w:rPr>
        <w:t>该机构在</w:t>
      </w:r>
      <w:r>
        <w:rPr>
          <w:rFonts w:hint="eastAsia"/>
          <w:lang w:val="es-ES_tradnl"/>
        </w:rPr>
        <w:t>2008</w:t>
      </w:r>
      <w:r>
        <w:rPr>
          <w:rFonts w:hint="eastAsia"/>
          <w:lang w:val="es-ES_tradnl"/>
        </w:rPr>
        <w:t>年提交了一份监察员报告，介绍了促进和监督落实流离失所人口的性权利和生殖权利的情况，其重点落在了家庭内暴力和性暴力方面，各地市政府、卫生主管部门、教育主管部门、地方检察机关、</w:t>
      </w:r>
      <w:r>
        <w:rPr>
          <w:szCs w:val="24"/>
          <w:lang w:val="zh-CN"/>
        </w:rPr>
        <w:t>国家法律医学和法医学研究</w:t>
      </w:r>
      <w:r>
        <w:rPr>
          <w:rFonts w:hint="eastAsia"/>
          <w:szCs w:val="24"/>
          <w:lang w:val="zh-CN"/>
        </w:rPr>
        <w:t>所、哥伦比亚家庭福利研究所、各市有关部门、国家警察和卡利市、麦德林市、库库塔市和帕斯托市家庭事务警局的公务员都参与了这一工作</w:t>
      </w:r>
      <w:r>
        <w:rPr>
          <w:rFonts w:hint="eastAsia"/>
          <w:szCs w:val="24"/>
          <w:lang w:val="es-ES_tradnl"/>
        </w:rPr>
        <w:t>，</w:t>
      </w:r>
      <w:r>
        <w:rPr>
          <w:rFonts w:hint="eastAsia"/>
          <w:szCs w:val="24"/>
          <w:lang w:val="zh-CN"/>
        </w:rPr>
        <w:t>他们接受了有关于性权利和生殖权利的培训</w:t>
      </w:r>
      <w:r>
        <w:rPr>
          <w:rFonts w:hint="eastAsia"/>
          <w:szCs w:val="24"/>
          <w:lang w:val="es-ES_tradnl"/>
        </w:rPr>
        <w:t>，</w:t>
      </w:r>
      <w:r>
        <w:rPr>
          <w:rFonts w:hint="eastAsia"/>
          <w:szCs w:val="24"/>
          <w:lang w:val="zh-CN"/>
        </w:rPr>
        <w:t>这有助于制定针对家庭暴力和性暴力的工作方针</w:t>
      </w:r>
      <w:r>
        <w:rPr>
          <w:rFonts w:hint="eastAsia"/>
          <w:szCs w:val="24"/>
          <w:lang w:val="es-ES_tradnl"/>
        </w:rPr>
        <w:t>，</w:t>
      </w:r>
      <w:r>
        <w:rPr>
          <w:rFonts w:hint="eastAsia"/>
          <w:szCs w:val="24"/>
          <w:lang w:val="zh-CN"/>
        </w:rPr>
        <w:t>将工作重点放在了对流离失所人口的关爱方面。详情请参见《公民权利监察员办公室：</w:t>
      </w:r>
      <w:r>
        <w:rPr>
          <w:rFonts w:hint="eastAsia"/>
          <w:szCs w:val="24"/>
          <w:lang w:val="zh-CN"/>
        </w:rPr>
        <w:t>2008</w:t>
      </w:r>
      <w:r>
        <w:rPr>
          <w:rFonts w:hint="eastAsia"/>
          <w:szCs w:val="24"/>
          <w:lang w:val="zh-CN"/>
        </w:rPr>
        <w:t>年》。参见</w:t>
      </w:r>
      <w:hyperlink r:id="rId11" w:history="1">
        <w:r>
          <w:rPr>
            <w:rStyle w:val="Hyperlink"/>
            <w:iCs/>
            <w:color w:val="auto"/>
            <w:u w:val="none"/>
            <w:lang w:val="es-ES_tradnl"/>
          </w:rPr>
          <w:t>www.defensoria.org.co/red/</w:t>
        </w:r>
      </w:hyperlink>
      <w:r>
        <w:rPr>
          <w:rFonts w:hint="eastAsia"/>
          <w:iCs/>
          <w:lang w:val="es-ES_tradnl"/>
        </w:rPr>
        <w:t>。</w:t>
      </w:r>
    </w:p>
  </w:footnote>
  <w:footnote w:id="252">
    <w:p w:rsidR="00A83775" w:rsidRDefault="00A83775">
      <w:pPr>
        <w:pStyle w:val="FootnoteText"/>
        <w:widowControl w:val="0"/>
        <w:tabs>
          <w:tab w:val="clear" w:pos="1021"/>
          <w:tab w:val="right" w:pos="1020"/>
        </w:tabs>
        <w:rPr>
          <w:lang w:val="es-ES_tradnl"/>
        </w:rPr>
      </w:pPr>
      <w:r>
        <w:rPr>
          <w:lang w:val="es-ES_tradnl"/>
        </w:rPr>
        <w:tab/>
      </w:r>
      <w:r>
        <w:rPr>
          <w:rStyle w:val="FootnoteReference"/>
        </w:rPr>
        <w:footnoteRef/>
      </w:r>
      <w:r>
        <w:rPr>
          <w:lang w:val="es-ES_tradnl"/>
        </w:rPr>
        <w:tab/>
      </w:r>
      <w:r>
        <w:rPr>
          <w:rFonts w:hint="eastAsia"/>
          <w:lang w:val="es-ES_tradnl"/>
        </w:rPr>
        <w:t>在流离失所妇女保健方案、流离失所妇女及其家庭的心理健康和精神健康方案；预防和处理对流离失所妇女的性暴力方案的框架内开展了相应工作。</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775" w:rsidRDefault="00A83775">
    <w:pPr>
      <w:pStyle w:val="Header"/>
    </w:pPr>
    <w:r>
      <w:t>CEDAW/C/COL/7-8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775" w:rsidRDefault="00A83775">
    <w:pPr>
      <w:pStyle w:val="Header"/>
      <w:jc w:val="right"/>
      <w:rPr>
        <w:rFonts w:hint="eastAsia"/>
        <w:lang w:eastAsia="zh-CN"/>
      </w:rPr>
    </w:pPr>
    <w:r>
      <w:rPr>
        <w:lang w:eastAsia="zh-CN"/>
      </w:rPr>
      <w:t>CEDAW/C/COL/7-8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F2739"/>
    <w:multiLevelType w:val="hybridMultilevel"/>
    <w:tmpl w:val="F6942188"/>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0492B1D"/>
    <w:multiLevelType w:val="hybridMultilevel"/>
    <w:tmpl w:val="89D654A8"/>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016228"/>
    <w:multiLevelType w:val="hybridMultilevel"/>
    <w:tmpl w:val="C0CA98A4"/>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69C45DC"/>
    <w:multiLevelType w:val="hybridMultilevel"/>
    <w:tmpl w:val="8244F3C6"/>
    <w:lvl w:ilvl="0" w:tplc="4CF2752E">
      <w:start w:val="1"/>
      <w:numFmt w:val="lowerLetter"/>
      <w:lvlRestart w:val="0"/>
      <w:lvlText w:val="(%1)"/>
      <w:lvlJc w:val="left"/>
      <w:pPr>
        <w:tabs>
          <w:tab w:val="num" w:pos="1995"/>
        </w:tabs>
        <w:ind w:left="703" w:firstLine="431"/>
      </w:pPr>
    </w:lvl>
    <w:lvl w:ilvl="1" w:tplc="04090019" w:tentative="1">
      <w:start w:val="1"/>
      <w:numFmt w:val="lowerLetter"/>
      <w:lvlText w:val="%2."/>
      <w:lvlJc w:val="left"/>
      <w:pPr>
        <w:tabs>
          <w:tab w:val="num" w:pos="1009"/>
        </w:tabs>
        <w:ind w:left="1009" w:hanging="360"/>
      </w:pPr>
    </w:lvl>
    <w:lvl w:ilvl="2" w:tplc="0409001B" w:tentative="1">
      <w:start w:val="1"/>
      <w:numFmt w:val="lowerRoman"/>
      <w:lvlText w:val="%3."/>
      <w:lvlJc w:val="right"/>
      <w:pPr>
        <w:tabs>
          <w:tab w:val="num" w:pos="1729"/>
        </w:tabs>
        <w:ind w:left="1729" w:hanging="180"/>
      </w:pPr>
    </w:lvl>
    <w:lvl w:ilvl="3" w:tplc="0409000F" w:tentative="1">
      <w:start w:val="1"/>
      <w:numFmt w:val="decimal"/>
      <w:lvlText w:val="%4."/>
      <w:lvlJc w:val="left"/>
      <w:pPr>
        <w:tabs>
          <w:tab w:val="num" w:pos="2449"/>
        </w:tabs>
        <w:ind w:left="2449" w:hanging="360"/>
      </w:pPr>
    </w:lvl>
    <w:lvl w:ilvl="4" w:tplc="04090019" w:tentative="1">
      <w:start w:val="1"/>
      <w:numFmt w:val="lowerLetter"/>
      <w:lvlText w:val="%5."/>
      <w:lvlJc w:val="left"/>
      <w:pPr>
        <w:tabs>
          <w:tab w:val="num" w:pos="3169"/>
        </w:tabs>
        <w:ind w:left="3169" w:hanging="360"/>
      </w:pPr>
    </w:lvl>
    <w:lvl w:ilvl="5" w:tplc="0409001B" w:tentative="1">
      <w:start w:val="1"/>
      <w:numFmt w:val="lowerRoman"/>
      <w:lvlText w:val="%6."/>
      <w:lvlJc w:val="right"/>
      <w:pPr>
        <w:tabs>
          <w:tab w:val="num" w:pos="3889"/>
        </w:tabs>
        <w:ind w:left="3889" w:hanging="180"/>
      </w:pPr>
    </w:lvl>
    <w:lvl w:ilvl="6" w:tplc="0409000F" w:tentative="1">
      <w:start w:val="1"/>
      <w:numFmt w:val="decimal"/>
      <w:lvlText w:val="%7."/>
      <w:lvlJc w:val="left"/>
      <w:pPr>
        <w:tabs>
          <w:tab w:val="num" w:pos="4609"/>
        </w:tabs>
        <w:ind w:left="4609" w:hanging="360"/>
      </w:pPr>
    </w:lvl>
    <w:lvl w:ilvl="7" w:tplc="04090019" w:tentative="1">
      <w:start w:val="1"/>
      <w:numFmt w:val="lowerLetter"/>
      <w:lvlText w:val="%8."/>
      <w:lvlJc w:val="left"/>
      <w:pPr>
        <w:tabs>
          <w:tab w:val="num" w:pos="5329"/>
        </w:tabs>
        <w:ind w:left="5329" w:hanging="360"/>
      </w:pPr>
    </w:lvl>
    <w:lvl w:ilvl="8" w:tplc="0409001B" w:tentative="1">
      <w:start w:val="1"/>
      <w:numFmt w:val="lowerRoman"/>
      <w:lvlText w:val="%9."/>
      <w:lvlJc w:val="right"/>
      <w:pPr>
        <w:tabs>
          <w:tab w:val="num" w:pos="6049"/>
        </w:tabs>
        <w:ind w:left="6049" w:hanging="180"/>
      </w:pPr>
    </w:lvl>
  </w:abstractNum>
  <w:abstractNum w:abstractNumId="5">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6">
    <w:nsid w:val="0AED5826"/>
    <w:multiLevelType w:val="hybridMultilevel"/>
    <w:tmpl w:val="067AB79A"/>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BBE3299"/>
    <w:multiLevelType w:val="hybridMultilevel"/>
    <w:tmpl w:val="980EBBF8"/>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C7766D8"/>
    <w:multiLevelType w:val="hybridMultilevel"/>
    <w:tmpl w:val="6CE2B86C"/>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E284DC1"/>
    <w:multiLevelType w:val="hybridMultilevel"/>
    <w:tmpl w:val="3710D3CC"/>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F002019"/>
    <w:multiLevelType w:val="hybridMultilevel"/>
    <w:tmpl w:val="51746872"/>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0EB3B98"/>
    <w:multiLevelType w:val="hybridMultilevel"/>
    <w:tmpl w:val="EB84B5D6"/>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3F008E6"/>
    <w:multiLevelType w:val="hybridMultilevel"/>
    <w:tmpl w:val="FFA4CBA4"/>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44A0E58"/>
    <w:multiLevelType w:val="hybridMultilevel"/>
    <w:tmpl w:val="D0F62C34"/>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49014E2"/>
    <w:multiLevelType w:val="multilevel"/>
    <w:tmpl w:val="04090023"/>
    <w:styleLink w:val="a"/>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66964DD"/>
    <w:multiLevelType w:val="hybridMultilevel"/>
    <w:tmpl w:val="673612C4"/>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7C93FC3"/>
    <w:multiLevelType w:val="hybridMultilevel"/>
    <w:tmpl w:val="A718CA0A"/>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8037141"/>
    <w:multiLevelType w:val="hybridMultilevel"/>
    <w:tmpl w:val="37226668"/>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96D1AAB"/>
    <w:multiLevelType w:val="hybridMultilevel"/>
    <w:tmpl w:val="AD066944"/>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1CEC4D44"/>
    <w:multiLevelType w:val="hybridMultilevel"/>
    <w:tmpl w:val="DFDA3EE6"/>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12305E4"/>
    <w:multiLevelType w:val="hybridMultilevel"/>
    <w:tmpl w:val="758042EC"/>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45D40B6"/>
    <w:multiLevelType w:val="hybridMultilevel"/>
    <w:tmpl w:val="76BC650C"/>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6B07820"/>
    <w:multiLevelType w:val="multilevel"/>
    <w:tmpl w:val="FA8A0A7A"/>
    <w:styleLink w:val="Styl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27F06777"/>
    <w:multiLevelType w:val="hybridMultilevel"/>
    <w:tmpl w:val="25963350"/>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29973ACD"/>
    <w:multiLevelType w:val="hybridMultilevel"/>
    <w:tmpl w:val="0A20C33C"/>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29B119C5"/>
    <w:multiLevelType w:val="hybridMultilevel"/>
    <w:tmpl w:val="B5343712"/>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B5B0AB4"/>
    <w:multiLevelType w:val="hybridMultilevel"/>
    <w:tmpl w:val="C3C60E90"/>
    <w:lvl w:ilvl="0" w:tplc="244846E0">
      <w:start w:val="1"/>
      <w:numFmt w:val="bullet"/>
      <w:lvlText w:val=""/>
      <w:lvlJc w:val="left"/>
      <w:pPr>
        <w:tabs>
          <w:tab w:val="num" w:pos="1418"/>
        </w:tabs>
        <w:ind w:left="1134" w:firstLine="0"/>
      </w:pPr>
      <w:rPr>
        <w:rFonts w:ascii="Symbol" w:hAnsi="Symbol" w:hint="default"/>
      </w:rPr>
    </w:lvl>
    <w:lvl w:ilvl="1" w:tplc="4CF2752E">
      <w:start w:val="1"/>
      <w:numFmt w:val="lowerLetter"/>
      <w:lvlRestart w:val="0"/>
      <w:lvlText w:val="(%2)"/>
      <w:lvlJc w:val="left"/>
      <w:pPr>
        <w:tabs>
          <w:tab w:val="num" w:pos="1941"/>
        </w:tabs>
        <w:ind w:left="649" w:firstLine="431"/>
      </w:pPr>
      <w:rPr>
        <w:rFonts w:hint="default"/>
      </w:rPr>
    </w:lvl>
    <w:lvl w:ilvl="2" w:tplc="04090017">
      <w:start w:val="1"/>
      <w:numFmt w:val="lowerLetter"/>
      <w:lvlText w:val="%3)"/>
      <w:lvlJc w:val="left"/>
      <w:pPr>
        <w:tabs>
          <w:tab w:val="num" w:pos="1418"/>
        </w:tabs>
        <w:ind w:left="1134" w:firstLine="0"/>
      </w:pPr>
      <w:rPr>
        <w:rFonts w:hint="default"/>
      </w:rPr>
    </w:lvl>
    <w:lvl w:ilvl="3" w:tplc="A3DE0136">
      <w:start w:val="1"/>
      <w:numFmt w:val="lowerRoman"/>
      <w:lvlText w:val="%4)"/>
      <w:lvlJc w:val="left"/>
      <w:pPr>
        <w:tabs>
          <w:tab w:val="num" w:pos="2880"/>
        </w:tabs>
        <w:ind w:left="2880" w:hanging="360"/>
      </w:pPr>
      <w:rPr>
        <w:rFonts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2FCD187E"/>
    <w:multiLevelType w:val="hybridMultilevel"/>
    <w:tmpl w:val="B8B0D00E"/>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1C228B2"/>
    <w:multiLevelType w:val="hybridMultilevel"/>
    <w:tmpl w:val="C5BC5A00"/>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33D0789C"/>
    <w:multiLevelType w:val="hybridMultilevel"/>
    <w:tmpl w:val="0D18A200"/>
    <w:lvl w:ilvl="0" w:tplc="4CF2752E">
      <w:start w:val="1"/>
      <w:numFmt w:val="lowerLetter"/>
      <w:lvlRestart w:val="0"/>
      <w:lvlText w:val="(%1)"/>
      <w:lvlJc w:val="left"/>
      <w:pPr>
        <w:tabs>
          <w:tab w:val="num" w:pos="2426"/>
        </w:tabs>
        <w:ind w:left="1134" w:firstLine="431"/>
      </w:pPr>
    </w:lvl>
    <w:lvl w:ilvl="1" w:tplc="428EAAE4">
      <w:start w:val="1"/>
      <w:numFmt w:val="lowerLetter"/>
      <w:lvlText w:val="%2)"/>
      <w:lvlJc w:val="left"/>
      <w:pPr>
        <w:tabs>
          <w:tab w:val="num" w:pos="1515"/>
        </w:tabs>
        <w:ind w:left="1515" w:hanging="43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4793B5C"/>
    <w:multiLevelType w:val="hybridMultilevel"/>
    <w:tmpl w:val="ED8E06B2"/>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35581E56"/>
    <w:multiLevelType w:val="hybridMultilevel"/>
    <w:tmpl w:val="E8DCE4DA"/>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99706EF"/>
    <w:multiLevelType w:val="hybridMultilevel"/>
    <w:tmpl w:val="54628F60"/>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3AB72B4E"/>
    <w:multiLevelType w:val="hybridMultilevel"/>
    <w:tmpl w:val="F24600EA"/>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40734126"/>
    <w:multiLevelType w:val="hybridMultilevel"/>
    <w:tmpl w:val="21C8390E"/>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41A062D6"/>
    <w:multiLevelType w:val="hybridMultilevel"/>
    <w:tmpl w:val="DA5C9442"/>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437E77A9"/>
    <w:multiLevelType w:val="hybridMultilevel"/>
    <w:tmpl w:val="DDBC081A"/>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43B95837"/>
    <w:multiLevelType w:val="hybridMultilevel"/>
    <w:tmpl w:val="FDB49106"/>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44C32E1C"/>
    <w:multiLevelType w:val="hybridMultilevel"/>
    <w:tmpl w:val="44C2155A"/>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45B91F9D"/>
    <w:multiLevelType w:val="hybridMultilevel"/>
    <w:tmpl w:val="0F3493E6"/>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4627779A"/>
    <w:multiLevelType w:val="hybridMultilevel"/>
    <w:tmpl w:val="5FAE2D88"/>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4A625729"/>
    <w:multiLevelType w:val="hybridMultilevel"/>
    <w:tmpl w:val="05C828C6"/>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4BCD3634"/>
    <w:multiLevelType w:val="hybridMultilevel"/>
    <w:tmpl w:val="544C7622"/>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4F26361A"/>
    <w:multiLevelType w:val="hybridMultilevel"/>
    <w:tmpl w:val="A4F49E08"/>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50797974"/>
    <w:multiLevelType w:val="hybridMultilevel"/>
    <w:tmpl w:val="53E6F970"/>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50F75E1A"/>
    <w:multiLevelType w:val="hybridMultilevel"/>
    <w:tmpl w:val="D05CD86E"/>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517007C8"/>
    <w:multiLevelType w:val="hybridMultilevel"/>
    <w:tmpl w:val="7B24BB46"/>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5342620E"/>
    <w:multiLevelType w:val="hybridMultilevel"/>
    <w:tmpl w:val="03261FC8"/>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5353586C"/>
    <w:multiLevelType w:val="hybridMultilevel"/>
    <w:tmpl w:val="F5B8246A"/>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5796698D"/>
    <w:multiLevelType w:val="hybridMultilevel"/>
    <w:tmpl w:val="F12CDD1C"/>
    <w:lvl w:ilvl="0" w:tplc="76E220F2">
      <w:start w:val="1"/>
      <w:numFmt w:val="bullet"/>
      <w:pStyle w:val="Aktivnosti"/>
      <w:lvlText w:val=""/>
      <w:lvlJc w:val="left"/>
      <w:pPr>
        <w:tabs>
          <w:tab w:val="num" w:pos="2340"/>
        </w:tabs>
        <w:ind w:left="2340" w:hanging="360"/>
      </w:pPr>
      <w:rPr>
        <w:rFonts w:ascii="Wingdings" w:hAnsi="Wingdings" w:hint="default"/>
        <w:lang w:val="fr-FR"/>
      </w:rPr>
    </w:lvl>
    <w:lvl w:ilvl="1" w:tplc="04090019">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3">
    <w:nsid w:val="579E14F0"/>
    <w:multiLevelType w:val="hybridMultilevel"/>
    <w:tmpl w:val="D6DC6A94"/>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595277AF"/>
    <w:multiLevelType w:val="hybridMultilevel"/>
    <w:tmpl w:val="B204F48E"/>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5B3971B6"/>
    <w:multiLevelType w:val="hybridMultilevel"/>
    <w:tmpl w:val="5EA07312"/>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5B5F1C1A"/>
    <w:multiLevelType w:val="hybridMultilevel"/>
    <w:tmpl w:val="882C7FBE"/>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5E7D2DF8"/>
    <w:multiLevelType w:val="hybridMultilevel"/>
    <w:tmpl w:val="71C04ADC"/>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5F050FBB"/>
    <w:multiLevelType w:val="hybridMultilevel"/>
    <w:tmpl w:val="6EE6D344"/>
    <w:lvl w:ilvl="0" w:tplc="04090001">
      <w:start w:val="1"/>
      <w:numFmt w:val="bullet"/>
      <w:pStyle w:val="Nabrajanje"/>
      <w:lvlText w:val=""/>
      <w:lvlJc w:val="left"/>
      <w:pPr>
        <w:tabs>
          <w:tab w:val="num" w:pos="780"/>
        </w:tabs>
        <w:ind w:left="780" w:hanging="360"/>
      </w:pPr>
      <w:rPr>
        <w:rFonts w:ascii="Symbol" w:hAnsi="Symbol" w:hint="default"/>
      </w:rPr>
    </w:lvl>
    <w:lvl w:ilvl="1" w:tplc="04090019">
      <w:start w:val="1"/>
      <w:numFmt w:val="bullet"/>
      <w:lvlText w:val="o"/>
      <w:lvlJc w:val="left"/>
      <w:pPr>
        <w:tabs>
          <w:tab w:val="num" w:pos="1500"/>
        </w:tabs>
        <w:ind w:left="1500" w:hanging="360"/>
      </w:pPr>
      <w:rPr>
        <w:rFonts w:ascii="Courier New" w:hAnsi="Courier New" w:cs="Courier New" w:hint="default"/>
      </w:rPr>
    </w:lvl>
    <w:lvl w:ilvl="2" w:tplc="0409001B" w:tentative="1">
      <w:start w:val="1"/>
      <w:numFmt w:val="bullet"/>
      <w:lvlText w:val=""/>
      <w:lvlJc w:val="left"/>
      <w:pPr>
        <w:tabs>
          <w:tab w:val="num" w:pos="2220"/>
        </w:tabs>
        <w:ind w:left="2220" w:hanging="360"/>
      </w:pPr>
      <w:rPr>
        <w:rFonts w:ascii="Wingdings" w:hAnsi="Wingdings" w:hint="default"/>
      </w:rPr>
    </w:lvl>
    <w:lvl w:ilvl="3" w:tplc="0409000F" w:tentative="1">
      <w:start w:val="1"/>
      <w:numFmt w:val="bullet"/>
      <w:lvlText w:val=""/>
      <w:lvlJc w:val="left"/>
      <w:pPr>
        <w:tabs>
          <w:tab w:val="num" w:pos="2940"/>
        </w:tabs>
        <w:ind w:left="2940" w:hanging="360"/>
      </w:pPr>
      <w:rPr>
        <w:rFonts w:ascii="Symbol" w:hAnsi="Symbol" w:hint="default"/>
      </w:rPr>
    </w:lvl>
    <w:lvl w:ilvl="4" w:tplc="04090019" w:tentative="1">
      <w:start w:val="1"/>
      <w:numFmt w:val="bullet"/>
      <w:lvlText w:val="o"/>
      <w:lvlJc w:val="left"/>
      <w:pPr>
        <w:tabs>
          <w:tab w:val="num" w:pos="3660"/>
        </w:tabs>
        <w:ind w:left="3660" w:hanging="360"/>
      </w:pPr>
      <w:rPr>
        <w:rFonts w:ascii="Courier New" w:hAnsi="Courier New" w:cs="Courier New" w:hint="default"/>
      </w:rPr>
    </w:lvl>
    <w:lvl w:ilvl="5" w:tplc="0409001B" w:tentative="1">
      <w:start w:val="1"/>
      <w:numFmt w:val="bullet"/>
      <w:lvlText w:val=""/>
      <w:lvlJc w:val="left"/>
      <w:pPr>
        <w:tabs>
          <w:tab w:val="num" w:pos="4380"/>
        </w:tabs>
        <w:ind w:left="4380" w:hanging="360"/>
      </w:pPr>
      <w:rPr>
        <w:rFonts w:ascii="Wingdings" w:hAnsi="Wingdings" w:hint="default"/>
      </w:rPr>
    </w:lvl>
    <w:lvl w:ilvl="6" w:tplc="0409000F" w:tentative="1">
      <w:start w:val="1"/>
      <w:numFmt w:val="bullet"/>
      <w:lvlText w:val=""/>
      <w:lvlJc w:val="left"/>
      <w:pPr>
        <w:tabs>
          <w:tab w:val="num" w:pos="5100"/>
        </w:tabs>
        <w:ind w:left="5100" w:hanging="360"/>
      </w:pPr>
      <w:rPr>
        <w:rFonts w:ascii="Symbol" w:hAnsi="Symbol" w:hint="default"/>
      </w:rPr>
    </w:lvl>
    <w:lvl w:ilvl="7" w:tplc="04090019" w:tentative="1">
      <w:start w:val="1"/>
      <w:numFmt w:val="bullet"/>
      <w:lvlText w:val="o"/>
      <w:lvlJc w:val="left"/>
      <w:pPr>
        <w:tabs>
          <w:tab w:val="num" w:pos="5820"/>
        </w:tabs>
        <w:ind w:left="5820" w:hanging="360"/>
      </w:pPr>
      <w:rPr>
        <w:rFonts w:ascii="Courier New" w:hAnsi="Courier New" w:cs="Courier New" w:hint="default"/>
      </w:rPr>
    </w:lvl>
    <w:lvl w:ilvl="8" w:tplc="0409001B" w:tentative="1">
      <w:start w:val="1"/>
      <w:numFmt w:val="bullet"/>
      <w:lvlText w:val=""/>
      <w:lvlJc w:val="left"/>
      <w:pPr>
        <w:tabs>
          <w:tab w:val="num" w:pos="6540"/>
        </w:tabs>
        <w:ind w:left="6540" w:hanging="360"/>
      </w:pPr>
      <w:rPr>
        <w:rFonts w:ascii="Wingdings" w:hAnsi="Wingdings" w:hint="default"/>
      </w:rPr>
    </w:lvl>
  </w:abstractNum>
  <w:abstractNum w:abstractNumId="5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0">
    <w:nsid w:val="61B1034C"/>
    <w:multiLevelType w:val="hybridMultilevel"/>
    <w:tmpl w:val="32B231D6"/>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634B7816"/>
    <w:multiLevelType w:val="hybridMultilevel"/>
    <w:tmpl w:val="58A629D4"/>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63DD62E8"/>
    <w:multiLevelType w:val="hybridMultilevel"/>
    <w:tmpl w:val="57248BE2"/>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64DF7F36"/>
    <w:multiLevelType w:val="hybridMultilevel"/>
    <w:tmpl w:val="1D6634C4"/>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65BD46C5"/>
    <w:multiLevelType w:val="hybridMultilevel"/>
    <w:tmpl w:val="4FA014E2"/>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671861DB"/>
    <w:multiLevelType w:val="hybridMultilevel"/>
    <w:tmpl w:val="A9B633D4"/>
    <w:lvl w:ilvl="0">
      <w:start w:val="1"/>
      <w:numFmt w:val="bullet"/>
      <w:pStyle w:val="Bullet2GC"/>
      <w:lvlText w:val=""/>
      <w:lvlJc w:val="left"/>
      <w:pPr>
        <w:tabs>
          <w:tab w:val="num" w:pos="2427"/>
        </w:tabs>
        <w:ind w:left="2427" w:hanging="380"/>
      </w:pPr>
      <w:rPr>
        <w:rFonts w:ascii="Symbol" w:hAnsi="Symbol"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6">
    <w:nsid w:val="6883496E"/>
    <w:multiLevelType w:val="hybridMultilevel"/>
    <w:tmpl w:val="7664618A"/>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68862366"/>
    <w:multiLevelType w:val="hybridMultilevel"/>
    <w:tmpl w:val="523E6D94"/>
    <w:lvl w:ilvl="0" w:tplc="04090015">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8">
    <w:nsid w:val="6B3F25E1"/>
    <w:multiLevelType w:val="hybridMultilevel"/>
    <w:tmpl w:val="A57C00F6"/>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6BB00950"/>
    <w:multiLevelType w:val="hybridMultilevel"/>
    <w:tmpl w:val="07324E7C"/>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6E9176EB"/>
    <w:multiLevelType w:val="hybridMultilevel"/>
    <w:tmpl w:val="F4529DEA"/>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710A5BFD"/>
    <w:multiLevelType w:val="hybridMultilevel"/>
    <w:tmpl w:val="9828A704"/>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720C0FEC"/>
    <w:multiLevelType w:val="hybridMultilevel"/>
    <w:tmpl w:val="1A84A9E6"/>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72433D89"/>
    <w:multiLevelType w:val="hybridMultilevel"/>
    <w:tmpl w:val="85441332"/>
    <w:lvl w:ilvl="0" w:tplc="C1F2F11C">
      <w:start w:val="1"/>
      <w:numFmt w:val="lowerLetter"/>
      <w:lvlRestart w:val="0"/>
      <w:lvlText w:val="(%1)"/>
      <w:lvlJc w:val="left"/>
      <w:pPr>
        <w:tabs>
          <w:tab w:val="num" w:pos="2426"/>
        </w:tabs>
        <w:ind w:left="1134" w:firstLine="431"/>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726B3AC8"/>
    <w:multiLevelType w:val="multilevel"/>
    <w:tmpl w:val="0409001D"/>
    <w:styleLink w:val="1111110"/>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75">
    <w:nsid w:val="74400362"/>
    <w:multiLevelType w:val="hybridMultilevel"/>
    <w:tmpl w:val="F874031E"/>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74EE2026"/>
    <w:multiLevelType w:val="hybridMultilevel"/>
    <w:tmpl w:val="2B9417F6"/>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768357E4"/>
    <w:multiLevelType w:val="hybridMultilevel"/>
    <w:tmpl w:val="3222A6C8"/>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77C358EB"/>
    <w:multiLevelType w:val="hybridMultilevel"/>
    <w:tmpl w:val="D58AD0E4"/>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78DE260E"/>
    <w:multiLevelType w:val="hybridMultilevel"/>
    <w:tmpl w:val="4CCA4EC6"/>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797134A1"/>
    <w:multiLevelType w:val="singleLevel"/>
    <w:tmpl w:val="7ABCE1CA"/>
    <w:lvl w:ilvl="0">
      <w:start w:val="1"/>
      <w:numFmt w:val="decimal"/>
      <w:pStyle w:val="lentpavl"/>
      <w:lvlText w:val="2.%1."/>
      <w:lvlJc w:val="left"/>
      <w:pPr>
        <w:tabs>
          <w:tab w:val="num" w:pos="605"/>
        </w:tabs>
        <w:ind w:left="605" w:hanging="425"/>
      </w:pPr>
      <w:rPr>
        <w:rFonts w:ascii="Arial" w:hAnsi="Arial" w:cs="Arial" w:hint="default"/>
        <w:b/>
        <w:bCs/>
        <w:i w:val="0"/>
        <w:iCs w:val="0"/>
        <w:sz w:val="20"/>
        <w:szCs w:val="20"/>
        <w:u w:val="none"/>
      </w:rPr>
    </w:lvl>
  </w:abstractNum>
  <w:abstractNum w:abstractNumId="81">
    <w:nsid w:val="7A403DEF"/>
    <w:multiLevelType w:val="hybridMultilevel"/>
    <w:tmpl w:val="78FA7494"/>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7AAB4943"/>
    <w:multiLevelType w:val="hybridMultilevel"/>
    <w:tmpl w:val="A33496F0"/>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7E710DC2"/>
    <w:multiLevelType w:val="hybridMultilevel"/>
    <w:tmpl w:val="E15869C0"/>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7EBF3286"/>
    <w:multiLevelType w:val="hybridMultilevel"/>
    <w:tmpl w:val="181C4788"/>
    <w:lvl w:ilvl="0" w:tplc="4CF2752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4"/>
  </w:num>
  <w:num w:numId="2">
    <w:abstractNumId w:val="15"/>
  </w:num>
  <w:num w:numId="3">
    <w:abstractNumId w:val="12"/>
  </w:num>
  <w:num w:numId="4">
    <w:abstractNumId w:val="65"/>
  </w:num>
  <w:num w:numId="5">
    <w:abstractNumId w:val="16"/>
  </w:num>
  <w:num w:numId="6">
    <w:abstractNumId w:val="29"/>
  </w:num>
  <w:num w:numId="7">
    <w:abstractNumId w:val="3"/>
  </w:num>
  <w:num w:numId="8">
    <w:abstractNumId w:val="67"/>
  </w:num>
  <w:num w:numId="9">
    <w:abstractNumId w:val="59"/>
  </w:num>
  <w:num w:numId="10">
    <w:abstractNumId w:val="17"/>
  </w:num>
  <w:num w:numId="11">
    <w:abstractNumId w:val="5"/>
  </w:num>
  <w:num w:numId="12">
    <w:abstractNumId w:val="80"/>
  </w:num>
  <w:num w:numId="13">
    <w:abstractNumId w:val="58"/>
  </w:num>
  <w:num w:numId="14">
    <w:abstractNumId w:val="52"/>
  </w:num>
  <w:num w:numId="15">
    <w:abstractNumId w:val="25"/>
  </w:num>
  <w:num w:numId="16">
    <w:abstractNumId w:val="66"/>
  </w:num>
  <w:num w:numId="17">
    <w:abstractNumId w:val="32"/>
  </w:num>
  <w:num w:numId="18">
    <w:abstractNumId w:val="46"/>
  </w:num>
  <w:num w:numId="19">
    <w:abstractNumId w:val="56"/>
  </w:num>
  <w:num w:numId="20">
    <w:abstractNumId w:val="62"/>
  </w:num>
  <w:num w:numId="21">
    <w:abstractNumId w:val="28"/>
  </w:num>
  <w:num w:numId="22">
    <w:abstractNumId w:val="4"/>
  </w:num>
  <w:num w:numId="23">
    <w:abstractNumId w:val="45"/>
  </w:num>
  <w:num w:numId="24">
    <w:abstractNumId w:val="33"/>
  </w:num>
  <w:num w:numId="25">
    <w:abstractNumId w:val="10"/>
  </w:num>
  <w:num w:numId="26">
    <w:abstractNumId w:val="79"/>
  </w:num>
  <w:num w:numId="27">
    <w:abstractNumId w:val="8"/>
  </w:num>
  <w:num w:numId="28">
    <w:abstractNumId w:val="70"/>
  </w:num>
  <w:num w:numId="29">
    <w:abstractNumId w:val="0"/>
  </w:num>
  <w:num w:numId="30">
    <w:abstractNumId w:val="61"/>
  </w:num>
  <w:num w:numId="31">
    <w:abstractNumId w:val="68"/>
  </w:num>
  <w:num w:numId="32">
    <w:abstractNumId w:val="21"/>
  </w:num>
  <w:num w:numId="33">
    <w:abstractNumId w:val="31"/>
  </w:num>
  <w:num w:numId="34">
    <w:abstractNumId w:val="77"/>
  </w:num>
  <w:num w:numId="35">
    <w:abstractNumId w:val="43"/>
  </w:num>
  <w:num w:numId="36">
    <w:abstractNumId w:val="34"/>
  </w:num>
  <w:num w:numId="37">
    <w:abstractNumId w:val="1"/>
  </w:num>
  <w:num w:numId="38">
    <w:abstractNumId w:val="9"/>
  </w:num>
  <w:num w:numId="39">
    <w:abstractNumId w:val="14"/>
  </w:num>
  <w:num w:numId="40">
    <w:abstractNumId w:val="51"/>
  </w:num>
  <w:num w:numId="41">
    <w:abstractNumId w:val="50"/>
  </w:num>
  <w:num w:numId="42">
    <w:abstractNumId w:val="48"/>
  </w:num>
  <w:num w:numId="43">
    <w:abstractNumId w:val="39"/>
  </w:num>
  <w:num w:numId="44">
    <w:abstractNumId w:val="55"/>
  </w:num>
  <w:num w:numId="45">
    <w:abstractNumId w:val="73"/>
  </w:num>
  <w:num w:numId="46">
    <w:abstractNumId w:val="42"/>
  </w:num>
  <w:num w:numId="47">
    <w:abstractNumId w:val="78"/>
  </w:num>
  <w:num w:numId="48">
    <w:abstractNumId w:val="22"/>
  </w:num>
  <w:num w:numId="49">
    <w:abstractNumId w:val="13"/>
  </w:num>
  <w:num w:numId="50">
    <w:abstractNumId w:val="81"/>
  </w:num>
  <w:num w:numId="51">
    <w:abstractNumId w:val="37"/>
  </w:num>
  <w:num w:numId="52">
    <w:abstractNumId w:val="63"/>
  </w:num>
  <w:num w:numId="53">
    <w:abstractNumId w:val="27"/>
  </w:num>
  <w:num w:numId="54">
    <w:abstractNumId w:val="24"/>
  </w:num>
  <w:num w:numId="55">
    <w:abstractNumId w:val="60"/>
  </w:num>
  <w:num w:numId="56">
    <w:abstractNumId w:val="11"/>
  </w:num>
  <w:num w:numId="57">
    <w:abstractNumId w:val="84"/>
  </w:num>
  <w:num w:numId="58">
    <w:abstractNumId w:val="69"/>
  </w:num>
  <w:num w:numId="59">
    <w:abstractNumId w:val="19"/>
  </w:num>
  <w:num w:numId="60">
    <w:abstractNumId w:val="2"/>
  </w:num>
  <w:num w:numId="61">
    <w:abstractNumId w:val="47"/>
  </w:num>
  <w:num w:numId="62">
    <w:abstractNumId w:val="71"/>
  </w:num>
  <w:num w:numId="63">
    <w:abstractNumId w:val="30"/>
  </w:num>
  <w:num w:numId="64">
    <w:abstractNumId w:val="44"/>
  </w:num>
  <w:num w:numId="65">
    <w:abstractNumId w:val="35"/>
  </w:num>
  <w:num w:numId="66">
    <w:abstractNumId w:val="40"/>
  </w:num>
  <w:num w:numId="67">
    <w:abstractNumId w:val="36"/>
  </w:num>
  <w:num w:numId="68">
    <w:abstractNumId w:val="6"/>
  </w:num>
  <w:num w:numId="69">
    <w:abstractNumId w:val="64"/>
  </w:num>
  <w:num w:numId="70">
    <w:abstractNumId w:val="18"/>
  </w:num>
  <w:num w:numId="71">
    <w:abstractNumId w:val="41"/>
  </w:num>
  <w:num w:numId="72">
    <w:abstractNumId w:val="49"/>
  </w:num>
  <w:num w:numId="73">
    <w:abstractNumId w:val="72"/>
  </w:num>
  <w:num w:numId="74">
    <w:abstractNumId w:val="23"/>
  </w:num>
  <w:num w:numId="75">
    <w:abstractNumId w:val="53"/>
  </w:num>
  <w:num w:numId="76">
    <w:abstractNumId w:val="57"/>
  </w:num>
  <w:num w:numId="77">
    <w:abstractNumId w:val="54"/>
  </w:num>
  <w:num w:numId="78">
    <w:abstractNumId w:val="76"/>
  </w:num>
  <w:num w:numId="79">
    <w:abstractNumId w:val="38"/>
  </w:num>
  <w:num w:numId="80">
    <w:abstractNumId w:val="7"/>
  </w:num>
  <w:num w:numId="81">
    <w:abstractNumId w:val="20"/>
  </w:num>
  <w:num w:numId="82">
    <w:abstractNumId w:val="82"/>
  </w:num>
  <w:num w:numId="83">
    <w:abstractNumId w:val="75"/>
  </w:num>
  <w:num w:numId="84">
    <w:abstractNumId w:val="83"/>
  </w:num>
  <w:num w:numId="85">
    <w:abstractNumId w:val="26"/>
  </w:num>
  <w:num w:numId="86">
    <w:abstractNumId w:val="12"/>
  </w:num>
  <w:numIdMacAtCleanup w:val="8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es-CO"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PE"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6C40"/>
    <w:rsid w:val="00836BEA"/>
    <w:rsid w:val="009A6146"/>
    <w:rsid w:val="00A06C40"/>
    <w:rsid w:val="00A83775"/>
    <w:rsid w:val="00C9371F"/>
    <w:rsid w:val="00D93D0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aliases w:val="Títol b"/>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aliases w:val="Titre 3 Car,Car19 Car"/>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link w:val="Heading5Char"/>
    <w:qFormat/>
    <w:pPr>
      <w:spacing w:after="240"/>
      <w:outlineLvl w:val="4"/>
    </w:pPr>
    <w:rPr>
      <w:rFonts w:eastAsia="SimHei"/>
      <w:bCs/>
      <w:szCs w:val="36"/>
    </w:rPr>
  </w:style>
  <w:style w:type="paragraph" w:styleId="Heading6">
    <w:name w:val="heading 6"/>
    <w:aliases w:val="Antraštė 6 Diagrama1,Antraštė 6 Diagrama Diagrama"/>
    <w:basedOn w:val="Normal"/>
    <w:next w:val="Normal"/>
    <w:link w:val="Heading6Char"/>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pPr>
      <w:keepNext/>
      <w:keepLines/>
      <w:spacing w:before="240" w:after="64" w:line="320" w:lineRule="auto"/>
      <w:outlineLvl w:val="6"/>
    </w:pPr>
    <w:rPr>
      <w:b/>
      <w:bCs/>
      <w:szCs w:val="24"/>
    </w:rPr>
  </w:style>
  <w:style w:type="paragraph" w:styleId="Heading8">
    <w:name w:val="heading 8"/>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5"/>
      </w:numPr>
      <w:spacing w:after="120"/>
      <w:ind w:right="1134"/>
    </w:pPr>
    <w:rPr>
      <w:lang w:val="fr-CH"/>
    </w:rPr>
  </w:style>
  <w:style w:type="paragraph" w:styleId="FootnoteText">
    <w:name w:val="footnote text"/>
    <w:basedOn w:val="Normal"/>
    <w:link w:val="FootnoteTextChar1"/>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Pr>
      <w:rFonts w:ascii="Times New Roman" w:hAnsi="Times New Roman"/>
      <w:dstrike w:val="0"/>
      <w:color w:val="0000FF"/>
      <w:spacing w:val="0"/>
      <w:w w:val="100"/>
      <w:kern w:val="0"/>
      <w:position w:val="0"/>
      <w:sz w:val="21"/>
      <w:vertAlign w:val="superscript"/>
    </w:rPr>
  </w:style>
  <w:style w:type="paragraph" w:customStyle="1" w:styleId="a0">
    <w:name w:val="缩进正文"/>
    <w:basedOn w:val="SingleTxtGC"/>
    <w:pPr>
      <w:ind w:left="1565"/>
    </w:pPr>
  </w:style>
  <w:style w:type="paragraph" w:styleId="EndnoteText">
    <w:name w:val="endnote text"/>
    <w:aliases w:val="2_G"/>
    <w:basedOn w:val="FootnoteText"/>
    <w:pPr>
      <w:tabs>
        <w:tab w:val="right" w:pos="1021"/>
      </w:tabs>
    </w:pPr>
  </w:style>
  <w:style w:type="character" w:styleId="EndnoteReference">
    <w:name w:val="endnote reference"/>
    <w:aliases w:val="1_G"/>
    <w:basedOn w:val="FootnoteReference"/>
  </w:style>
  <w:style w:type="paragraph" w:customStyle="1" w:styleId="a1">
    <w:name w:val="表中标题"/>
    <w:basedOn w:val="SingleTxtGC"/>
    <w:pPr>
      <w:spacing w:before="80" w:after="80" w:line="200" w:lineRule="exact"/>
      <w:ind w:left="0" w:right="113"/>
    </w:pPr>
    <w:rPr>
      <w:rFonts w:eastAsia="KaiTi_GB2312"/>
      <w:sz w:val="18"/>
    </w:rPr>
  </w:style>
  <w:style w:type="paragraph" w:customStyle="1" w:styleId="a2">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3">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link w:val="FooterChar"/>
    <w:pPr>
      <w:spacing w:line="240" w:lineRule="auto"/>
    </w:pPr>
    <w:rPr>
      <w:sz w:val="16"/>
      <w:lang w:val="en-GB" w:eastAsia="en-US"/>
    </w:rPr>
  </w:style>
  <w:style w:type="character" w:styleId="PageNumber">
    <w:name w:val="page number"/>
    <w:basedOn w:val="DefaultParagraphFont"/>
    <w:rPr>
      <w:rFonts w:ascii="Times New Roman" w:eastAsia="SimSun" w:hAnsi="Times New Roman"/>
      <w:b/>
      <w:spacing w:val="0"/>
      <w:w w:val="100"/>
      <w:position w:val="0"/>
      <w:sz w:val="18"/>
    </w:rPr>
  </w:style>
  <w:style w:type="paragraph" w:styleId="Header">
    <w:name w:val="header"/>
    <w:basedOn w:val="Normal"/>
    <w:link w:val="HeaderChar"/>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3"/>
      </w:numPr>
      <w:spacing w:after="120"/>
      <w:ind w:right="1134"/>
    </w:pPr>
  </w:style>
  <w:style w:type="paragraph" w:customStyle="1" w:styleId="Bullet2GC">
    <w:name w:val="_Bullet 2_GC"/>
    <w:basedOn w:val="Normal"/>
    <w:pPr>
      <w:numPr>
        <w:numId w:val="4"/>
      </w:numPr>
      <w:spacing w:after="120"/>
      <w:ind w:right="1134"/>
    </w:pPr>
  </w:style>
  <w:style w:type="paragraph" w:styleId="Title">
    <w:name w:val="Title"/>
    <w:basedOn w:val="Normal"/>
    <w:link w:val="TitleChar"/>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link w:val="H1GCChar"/>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4">
    <w:name w:val="悬挂"/>
    <w:basedOn w:val="SingleTxtGC"/>
    <w:pPr>
      <w:ind w:left="1565" w:hanging="431"/>
    </w:pPr>
  </w:style>
  <w:style w:type="paragraph" w:customStyle="1" w:styleId="a5">
    <w:name w:val="表中文字"/>
    <w:basedOn w:val="SingleTxtGC"/>
    <w:pPr>
      <w:spacing w:before="40" w:line="240" w:lineRule="atLeast"/>
      <w:ind w:left="0" w:right="113"/>
    </w:pPr>
    <w:rPr>
      <w:sz w:val="18"/>
    </w:rPr>
  </w:style>
  <w:style w:type="paragraph" w:customStyle="1" w:styleId="a6">
    <w:name w:val="表数文字"/>
    <w:basedOn w:val="SingleTxtGC"/>
    <w:pPr>
      <w:spacing w:before="40" w:after="40" w:line="240" w:lineRule="atLeast"/>
      <w:ind w:left="0" w:right="113"/>
    </w:pPr>
    <w:rPr>
      <w:sz w:val="18"/>
    </w:rPr>
  </w:style>
  <w:style w:type="table" w:styleId="TableGrid">
    <w:name w:val="Table Grid"/>
    <w:basedOn w:val="TableNormal"/>
    <w:semiHidden/>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ChG">
    <w:name w:val="_ H _Ch_G"/>
    <w:basedOn w:val="Normal"/>
    <w:next w:val="Normal"/>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Normal"/>
    <w:next w:val="Normal"/>
    <w:link w:val="H1GCar"/>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FootnoteTextChar1">
    <w:name w:val="Footnote Text Char1"/>
    <w:basedOn w:val="DefaultParagraphFont"/>
    <w:link w:val="FootnoteText"/>
    <w:locked/>
    <w:rPr>
      <w:rFonts w:eastAsia="SimSun"/>
      <w:snapToGrid w:val="0"/>
      <w:sz w:val="18"/>
      <w:lang w:val="en-US" w:eastAsia="zh-CN" w:bidi="ar-SA"/>
    </w:rPr>
  </w:style>
  <w:style w:type="character" w:customStyle="1" w:styleId="H1GCar">
    <w:name w:val="_ H_1_G Car"/>
    <w:basedOn w:val="DefaultParagraphFont"/>
    <w:link w:val="H1G"/>
    <w:rPr>
      <w:rFonts w:eastAsia="SimSun"/>
      <w:b/>
      <w:sz w:val="24"/>
      <w:lang w:val="en-GB" w:eastAsia="en-US" w:bidi="ar-SA"/>
    </w:rPr>
  </w:style>
  <w:style w:type="paragraph" w:customStyle="1" w:styleId="SingleTxtG">
    <w:name w:val="_ Single Txt_G"/>
    <w:basedOn w:val="Normal"/>
    <w:link w:val="SingleTxtGChar"/>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Pr>
      <w:rFonts w:eastAsia="SimSun"/>
      <w:lang w:val="en-GB" w:eastAsia="en-US" w:bidi="ar-SA"/>
    </w:rPr>
  </w:style>
  <w:style w:type="paragraph" w:styleId="BodyText2">
    <w:name w:val="Body Text 2"/>
    <w:basedOn w:val="Normal"/>
    <w:link w:val="BodyText2Char"/>
    <w:semiHidden/>
    <w:pPr>
      <w:tabs>
        <w:tab w:val="clear" w:pos="431"/>
      </w:tabs>
      <w:suppressAutoHyphens/>
      <w:overflowPunct/>
      <w:adjustRightInd/>
      <w:snapToGrid/>
      <w:spacing w:after="120" w:line="480" w:lineRule="auto"/>
      <w:jc w:val="left"/>
    </w:pPr>
    <w:rPr>
      <w:snapToGrid/>
      <w:sz w:val="20"/>
      <w:lang w:val="en-GB" w:eastAsia="en-US"/>
    </w:rPr>
  </w:style>
  <w:style w:type="paragraph" w:customStyle="1" w:styleId="HMG">
    <w:name w:val="_ H __M_G"/>
    <w:basedOn w:val="Normal"/>
    <w:next w:val="Normal"/>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SMG">
    <w:name w:val="__S_M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H1">
    <w:name w:val="_ H_1"/>
    <w:basedOn w:val="Normal"/>
    <w:next w:val="Normal"/>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70" w:lineRule="exact"/>
      <w:ind w:left="1267" w:right="1267" w:hanging="1267"/>
      <w:jc w:val="left"/>
      <w:outlineLvl w:val="0"/>
    </w:pPr>
    <w:rPr>
      <w:b/>
      <w:snapToGrid/>
      <w:spacing w:val="4"/>
      <w:w w:val="103"/>
      <w:kern w:val="14"/>
      <w:sz w:val="24"/>
      <w:lang w:val="en-GB" w:eastAsia="en-US"/>
    </w:rPr>
  </w:style>
  <w:style w:type="paragraph" w:customStyle="1" w:styleId="H56G">
    <w:name w:val="_ H_5/6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customStyle="1" w:styleId="H23G">
    <w:name w:val="_ H_2/3_G"/>
    <w:basedOn w:val="Normal"/>
    <w:next w:val="Normal"/>
    <w:link w:val="H23GChar"/>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Bullet1G">
    <w:name w:val="_Bullet 1_G"/>
    <w:basedOn w:val="Normal"/>
    <w:pPr>
      <w:numPr>
        <w:numId w:val="7"/>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pPr>
      <w:numPr>
        <w:numId w:val="8"/>
      </w:numPr>
      <w:tabs>
        <w:tab w:val="clear" w:pos="431"/>
      </w:tabs>
      <w:suppressAutoHyphens/>
      <w:overflowPunct/>
      <w:adjustRightInd/>
      <w:snapToGrid/>
      <w:spacing w:after="120" w:line="240" w:lineRule="atLeast"/>
      <w:ind w:right="1134"/>
    </w:pPr>
    <w:rPr>
      <w:snapToGrid/>
      <w:sz w:val="20"/>
      <w:lang w:val="en-GB" w:eastAsia="en-US"/>
    </w:rPr>
  </w:style>
  <w:style w:type="paragraph" w:styleId="PlainText">
    <w:name w:val="Plain Text"/>
    <w:basedOn w:val="Normal"/>
    <w:semiHidden/>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aliases w:val="Corps de texte Car1,Corps de texte Car Car,Car12 Car Car,Corps de texte Car,Car12 Car"/>
    <w:basedOn w:val="Normal"/>
    <w:next w:val="Normal"/>
    <w:link w:val="BodyTextChar"/>
    <w:semiHidden/>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pPr>
      <w:tabs>
        <w:tab w:val="clear" w:pos="431"/>
      </w:tabs>
      <w:suppressAutoHyphens/>
      <w:overflowPunct/>
      <w:adjustRightInd/>
      <w:snapToGrid/>
      <w:spacing w:line="240" w:lineRule="atLeast"/>
      <w:ind w:left="1440" w:right="1440"/>
      <w:jc w:val="left"/>
    </w:pPr>
    <w:rPr>
      <w:snapToGrid/>
      <w:sz w:val="20"/>
      <w:lang w:val="en-GB" w:eastAsia="en-US"/>
    </w:rPr>
  </w:style>
  <w:style w:type="character" w:styleId="CommentReference">
    <w:name w:val="annotation reference"/>
    <w:semiHidden/>
    <w:rPr>
      <w:sz w:val="6"/>
    </w:rPr>
  </w:style>
  <w:style w:type="paragraph" w:styleId="CommentText">
    <w:name w:val="annotation text"/>
    <w:basedOn w:val="Normal"/>
    <w:semiHidden/>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Pr>
      <w:sz w:val="14"/>
    </w:rPr>
  </w:style>
  <w:style w:type="numbering" w:styleId="111111">
    <w:name w:val="Outline List 2"/>
    <w:basedOn w:val="NoList"/>
    <w:semiHidden/>
    <w:pPr>
      <w:numPr>
        <w:numId w:val="9"/>
      </w:numPr>
    </w:pPr>
  </w:style>
  <w:style w:type="numbering" w:styleId="1ai">
    <w:name w:val="Outline List 1"/>
    <w:basedOn w:val="NoList"/>
    <w:semiHidden/>
    <w:pPr>
      <w:numPr>
        <w:numId w:val="10"/>
      </w:numPr>
    </w:pPr>
  </w:style>
  <w:style w:type="numbering" w:styleId="ArticleSection">
    <w:name w:val="Outline List 3"/>
    <w:basedOn w:val="NoList"/>
    <w:semiHidden/>
    <w:pPr>
      <w:numPr>
        <w:numId w:val="11"/>
      </w:numPr>
    </w:pPr>
  </w:style>
  <w:style w:type="paragraph" w:styleId="BodyText3">
    <w:name w:val="Body Text 3"/>
    <w:aliases w:val=" Char Char1 Char Char"/>
    <w:basedOn w:val="Normal"/>
    <w:link w:val="BodyText3Char"/>
    <w:semiHidden/>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link w:val="BodyTextIndent3Char"/>
    <w:semiHidden/>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Pr>
      <w:i/>
      <w:iCs/>
    </w:rPr>
  </w:style>
  <w:style w:type="paragraph" w:styleId="EnvelopeReturn">
    <w:name w:val="envelope return"/>
    <w:basedOn w:val="Normal"/>
    <w:semiHidden/>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style>
  <w:style w:type="paragraph" w:styleId="HTMLAddress">
    <w:name w:val="HTML Address"/>
    <w:basedOn w:val="Normal"/>
    <w:semiHidden/>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paragraph" w:styleId="List">
    <w:name w:val="List"/>
    <w:basedOn w:val="Normal"/>
    <w:semiHidden/>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aliases w:val="Normal (Web) Char"/>
    <w:basedOn w:val="Normal"/>
    <w:semiHidden/>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aliases w:val="Antraštė 6 Diagrama1 Char,Antraštė 6 Diagrama Diagrama Char Char"/>
    <w:qFormat/>
    <w:rPr>
      <w:b/>
      <w:bCs/>
    </w:rPr>
  </w:style>
  <w:style w:type="paragraph" w:styleId="Subtitle">
    <w:name w:val="Subtitle"/>
    <w:basedOn w:val="Normal"/>
    <w:qFormat/>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link w:val="CharChar13"/>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link w:val="CharChar12"/>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link w:val="CharChar10"/>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character" w:customStyle="1" w:styleId="H23GChar">
    <w:name w:val="_ H_2/3_G Char"/>
    <w:link w:val="H23G"/>
    <w:rPr>
      <w:rFonts w:eastAsia="SimSun"/>
      <w:b/>
      <w:lang w:val="en-GB" w:eastAsia="en-US" w:bidi="ar-SA"/>
    </w:rPr>
  </w:style>
  <w:style w:type="character" w:customStyle="1" w:styleId="BodyTextChar">
    <w:name w:val="Body Text Char"/>
    <w:aliases w:val="Corps de texte Car1 Char1,Corps de texte Car Car Char1,Car12 Car Car Char1,Corps de texte Car Char1,Car12 Car Char"/>
    <w:link w:val="BodyText"/>
    <w:rPr>
      <w:rFonts w:eastAsia="SimSun"/>
      <w:lang w:val="en-GB" w:eastAsia="en-US" w:bidi="ar-SA"/>
    </w:rPr>
  </w:style>
  <w:style w:type="character" w:customStyle="1" w:styleId="apple-style-span">
    <w:name w:val="apple-style-span"/>
    <w:basedOn w:val="DefaultParagraphFont"/>
  </w:style>
  <w:style w:type="character" w:customStyle="1" w:styleId="apple-converted-space">
    <w:name w:val="apple-converted-space"/>
    <w:basedOn w:val="DefaultParagraphFont"/>
  </w:style>
  <w:style w:type="character" w:customStyle="1" w:styleId="Heading1Char">
    <w:name w:val="Heading 1 Char"/>
    <w:aliases w:val="Table_G Char"/>
    <w:link w:val="Heading1"/>
    <w:rPr>
      <w:rFonts w:eastAsia="SimSun"/>
      <w:b/>
      <w:kern w:val="32"/>
      <w:sz w:val="30"/>
      <w:lang w:val="en-US" w:eastAsia="zh-CN" w:bidi="ar-SA"/>
    </w:rPr>
  </w:style>
  <w:style w:type="character" w:customStyle="1" w:styleId="Heading2Char">
    <w:name w:val="Heading 2 Char"/>
    <w:aliases w:val="Títol b Char"/>
    <w:link w:val="Heading2"/>
    <w:rPr>
      <w:rFonts w:eastAsia="SimSun"/>
      <w:snapToGrid w:val="0"/>
      <w:kern w:val="28"/>
      <w:sz w:val="28"/>
      <w:lang w:val="en-US" w:eastAsia="zh-CN" w:bidi="ar-SA"/>
    </w:rPr>
  </w:style>
  <w:style w:type="character" w:customStyle="1" w:styleId="Heading3Char">
    <w:name w:val="Heading 3 Char"/>
    <w:aliases w:val="Titre 3 Car Char1,Car19 Car Char"/>
    <w:link w:val="Heading3"/>
    <w:rPr>
      <w:rFonts w:eastAsia="SimSun"/>
      <w:snapToGrid w:val="0"/>
      <w:kern w:val="28"/>
      <w:sz w:val="21"/>
      <w:u w:val="single"/>
      <w:lang w:val="en-US" w:eastAsia="zh-CN" w:bidi="ar-SA"/>
    </w:rPr>
  </w:style>
  <w:style w:type="character" w:customStyle="1" w:styleId="HeaderChar">
    <w:name w:val="Header Char"/>
    <w:link w:val="Header"/>
    <w:rPr>
      <w:rFonts w:eastAsia="SimSun"/>
      <w:b/>
      <w:snapToGrid w:val="0"/>
      <w:sz w:val="18"/>
      <w:lang w:val="en-GB" w:eastAsia="en-US" w:bidi="ar-SA"/>
    </w:rPr>
  </w:style>
  <w:style w:type="character" w:customStyle="1" w:styleId="FooterChar">
    <w:name w:val="Footer Char"/>
    <w:link w:val="Footer"/>
    <w:rPr>
      <w:snapToGrid w:val="0"/>
      <w:sz w:val="16"/>
      <w:lang w:val="en-GB" w:eastAsia="en-US" w:bidi="ar-SA"/>
    </w:rPr>
  </w:style>
  <w:style w:type="paragraph" w:styleId="BalloonText">
    <w:name w:val="Balloon Text"/>
    <w:basedOn w:val="Normal"/>
    <w:semiHidden/>
    <w:pPr>
      <w:tabs>
        <w:tab w:val="clear" w:pos="431"/>
      </w:tabs>
      <w:overflowPunct/>
      <w:adjustRightInd/>
      <w:snapToGrid/>
      <w:spacing w:line="240" w:lineRule="auto"/>
      <w:jc w:val="left"/>
    </w:pPr>
    <w:rPr>
      <w:rFonts w:ascii="Tahoma" w:hAnsi="Tahoma" w:cs="Tahoma"/>
      <w:snapToGrid/>
      <w:sz w:val="16"/>
      <w:szCs w:val="16"/>
      <w:lang w:val="en-GB" w:eastAsia="en-US"/>
    </w:rPr>
  </w:style>
  <w:style w:type="paragraph" w:styleId="CommentSubject">
    <w:name w:val="annotation subject"/>
    <w:basedOn w:val="CommentText"/>
    <w:next w:val="CommentText"/>
    <w:semiHidden/>
    <w:pPr>
      <w:suppressAutoHyphens w:val="0"/>
      <w:spacing w:line="240" w:lineRule="auto"/>
    </w:pPr>
    <w:rPr>
      <w:rFonts w:ascii="Arial" w:hAnsi="Arial"/>
      <w:b/>
      <w:bCs/>
    </w:rPr>
  </w:style>
  <w:style w:type="character" w:customStyle="1" w:styleId="hps">
    <w:name w:val="hps"/>
    <w:basedOn w:val="DefaultParagraphFont"/>
  </w:style>
  <w:style w:type="paragraph" w:customStyle="1" w:styleId="SingleTxt">
    <w:name w:val="__Single Txt"/>
    <w:basedOn w:val="Normal"/>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rFonts w:eastAsia="Calibri"/>
      <w:snapToGrid/>
      <w:spacing w:val="4"/>
      <w:w w:val="103"/>
      <w:kern w:val="14"/>
      <w:sz w:val="20"/>
      <w:lang w:val="en-GB" w:eastAsia="en-US"/>
    </w:rPr>
  </w:style>
  <w:style w:type="paragraph" w:customStyle="1" w:styleId="footnotetext0">
    <w:name w:val="footnote text"/>
    <w:basedOn w:val="Normal"/>
    <w:pPr>
      <w:tabs>
        <w:tab w:val="clear" w:pos="431"/>
      </w:tabs>
      <w:suppressAutoHyphens/>
      <w:overflowPunct/>
      <w:adjustRightInd/>
      <w:snapToGrid/>
      <w:spacing w:line="240" w:lineRule="auto"/>
      <w:jc w:val="left"/>
    </w:pPr>
    <w:rPr>
      <w:snapToGrid/>
      <w:kern w:val="1"/>
      <w:sz w:val="20"/>
      <w:lang w:val="fr-FR" w:eastAsia="de-AT"/>
    </w:rPr>
  </w:style>
  <w:style w:type="character" w:customStyle="1" w:styleId="CharChar16">
    <w:name w:val="Char Char16"/>
    <w:locked/>
    <w:rPr>
      <w:rFonts w:cs="Times New Roman"/>
      <w:b/>
      <w:bCs/>
      <w:sz w:val="24"/>
      <w:szCs w:val="24"/>
    </w:rPr>
  </w:style>
  <w:style w:type="character" w:customStyle="1" w:styleId="CharChar15">
    <w:name w:val="Char Char15"/>
    <w:locked/>
    <w:rPr>
      <w:rFonts w:ascii="Arial" w:hAnsi="Arial" w:cs="Arial"/>
      <w:i/>
      <w:iCs/>
      <w:sz w:val="16"/>
      <w:szCs w:val="16"/>
      <w:lang w:val="en-GB"/>
    </w:rPr>
  </w:style>
  <w:style w:type="character" w:customStyle="1" w:styleId="CharChar14">
    <w:name w:val="Char Char14"/>
    <w:locked/>
    <w:rPr>
      <w:rFonts w:cs="Times New Roman"/>
      <w:b/>
      <w:bCs/>
      <w:sz w:val="22"/>
      <w:szCs w:val="22"/>
      <w:lang w:val="lt-LT"/>
    </w:rPr>
  </w:style>
  <w:style w:type="character" w:customStyle="1" w:styleId="CharChar130">
    <w:name w:val="Char Char13"/>
    <w:locked/>
    <w:rPr>
      <w:rFonts w:eastAsia="Times New Roman" w:cs="Times New Roman"/>
      <w:sz w:val="24"/>
      <w:szCs w:val="24"/>
      <w:lang w:val="lt-LT"/>
    </w:rPr>
  </w:style>
  <w:style w:type="character" w:customStyle="1" w:styleId="CharChar120">
    <w:name w:val="Char Char12"/>
    <w:locked/>
    <w:rPr>
      <w:rFonts w:ascii="Arial" w:hAnsi="Arial" w:cs="Arial"/>
      <w:sz w:val="16"/>
      <w:szCs w:val="16"/>
      <w:lang w:val="en-GB"/>
    </w:rPr>
  </w:style>
  <w:style w:type="character" w:customStyle="1" w:styleId="FootnoteCharChar">
    <w:name w:val="Footnote Char Char"/>
    <w:semiHidden/>
    <w:locked/>
    <w:rPr>
      <w:rFonts w:ascii="TimesLT" w:hAnsi="TimesLT" w:cs="TimesLT"/>
      <w:lang w:val="en-GB"/>
    </w:rPr>
  </w:style>
  <w:style w:type="paragraph" w:customStyle="1" w:styleId="Sraopastraipa">
    <w:name w:val="Sąrašo pastraipa"/>
    <w:basedOn w:val="Normal"/>
    <w:qFormat/>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character" w:customStyle="1" w:styleId="CharChar11">
    <w:name w:val="Char Char11"/>
    <w:locked/>
    <w:rPr>
      <w:rFonts w:cs="Times New Roman"/>
      <w:sz w:val="24"/>
      <w:szCs w:val="24"/>
      <w:lang w:val="lt-LT"/>
    </w:rPr>
  </w:style>
  <w:style w:type="character" w:customStyle="1" w:styleId="Typewriter">
    <w:name w:val="Typewriter"/>
    <w:rPr>
      <w:rFonts w:ascii="Courier New" w:hAnsi="Courier New"/>
      <w:sz w:val="20"/>
    </w:rPr>
  </w:style>
  <w:style w:type="character" w:customStyle="1" w:styleId="FootnoteCharChar1">
    <w:name w:val="Footnote Char Char1"/>
    <w:locked/>
    <w:rPr>
      <w:rFonts w:cs="Times New Roman"/>
      <w:sz w:val="24"/>
      <w:szCs w:val="24"/>
      <w:lang/>
    </w:rPr>
  </w:style>
  <w:style w:type="paragraph" w:customStyle="1" w:styleId="hyperlink0">
    <w:name w:val="hyperlink"/>
    <w:basedOn w:val="Normal"/>
    <w:pPr>
      <w:tabs>
        <w:tab w:val="clear" w:pos="431"/>
      </w:tabs>
      <w:overflowPunct/>
      <w:autoSpaceDE w:val="0"/>
      <w:autoSpaceDN w:val="0"/>
      <w:adjustRightInd/>
      <w:snapToGrid/>
      <w:spacing w:line="297" w:lineRule="auto"/>
      <w:ind w:firstLine="312"/>
    </w:pPr>
    <w:rPr>
      <w:color w:val="000000"/>
      <w:sz w:val="20"/>
      <w:lang w:val="lt-LT" w:eastAsia="lt-LT"/>
    </w:rPr>
  </w:style>
  <w:style w:type="character" w:customStyle="1" w:styleId="CharChar9">
    <w:name w:val="Char Char9"/>
    <w:locked/>
    <w:rPr>
      <w:rFonts w:cs="Times New Roman"/>
      <w:b/>
      <w:bCs/>
      <w:sz w:val="24"/>
      <w:szCs w:val="24"/>
      <w:lang/>
    </w:rPr>
  </w:style>
  <w:style w:type="character" w:customStyle="1" w:styleId="CharChar8">
    <w:name w:val="Char Char8"/>
    <w:locked/>
    <w:rPr>
      <w:rFonts w:cs="Times New Roman"/>
      <w:sz w:val="16"/>
      <w:szCs w:val="16"/>
      <w:lang/>
    </w:rPr>
  </w:style>
  <w:style w:type="paragraph" w:customStyle="1" w:styleId="Textbody">
    <w:name w:val="Text body"/>
    <w:basedOn w:val="Normal"/>
    <w:pPr>
      <w:tabs>
        <w:tab w:val="clear" w:pos="431"/>
      </w:tabs>
      <w:suppressAutoHyphens/>
      <w:overflowPunct/>
      <w:autoSpaceDN w:val="0"/>
      <w:adjustRightInd/>
      <w:snapToGrid/>
      <w:spacing w:line="240" w:lineRule="auto"/>
      <w:textAlignment w:val="baseline"/>
    </w:pPr>
    <w:rPr>
      <w:kern w:val="3"/>
      <w:sz w:val="24"/>
      <w:szCs w:val="24"/>
      <w:lang w:val="lt-LT" w:eastAsia="lt-LT"/>
    </w:rPr>
  </w:style>
  <w:style w:type="paragraph" w:customStyle="1" w:styleId="bodytext0">
    <w:name w:val="bodytext"/>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paragraph" w:customStyle="1" w:styleId="Default">
    <w:name w:val="Default"/>
    <w:pPr>
      <w:autoSpaceDE w:val="0"/>
      <w:autoSpaceDN w:val="0"/>
      <w:adjustRightInd w:val="0"/>
    </w:pPr>
    <w:rPr>
      <w:rFonts w:ascii="Arial" w:hAnsi="Arial" w:cs="Arial"/>
      <w:snapToGrid w:val="0"/>
      <w:color w:val="000000"/>
      <w:sz w:val="24"/>
      <w:szCs w:val="24"/>
      <w:lang w:val="lt-LT" w:eastAsia="lt-LT"/>
    </w:rPr>
  </w:style>
  <w:style w:type="character" w:customStyle="1" w:styleId="CharChar7">
    <w:name w:val="Char Char7"/>
    <w:locked/>
    <w:rPr>
      <w:rFonts w:ascii="Courier New" w:hAnsi="Courier New" w:cs="Courier New"/>
    </w:rPr>
  </w:style>
  <w:style w:type="paragraph" w:customStyle="1" w:styleId="statymopavad">
    <w:name w:val="statymopavad"/>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character" w:customStyle="1" w:styleId="CharChar6">
    <w:name w:val="Char Char6"/>
    <w:locked/>
    <w:rPr>
      <w:rFonts w:ascii="Times New Roman" w:hAnsi="Times New Roman" w:cs="Times New Roman"/>
      <w:sz w:val="16"/>
      <w:szCs w:val="16"/>
      <w:lang w:val="en-GB"/>
    </w:rPr>
  </w:style>
  <w:style w:type="paragraph" w:customStyle="1" w:styleId="Paragraph">
    <w:name w:val="Paragraph"/>
    <w:basedOn w:val="Default"/>
    <w:next w:val="Default"/>
    <w:pPr>
      <w:spacing w:before="120"/>
    </w:pPr>
    <w:rPr>
      <w:color w:val="auto"/>
    </w:rPr>
  </w:style>
  <w:style w:type="paragraph" w:customStyle="1" w:styleId="lentpavl">
    <w:name w:val="lentpavl"/>
    <w:basedOn w:val="Normal"/>
    <w:pPr>
      <w:numPr>
        <w:numId w:val="12"/>
      </w:numPr>
      <w:tabs>
        <w:tab w:val="clear" w:pos="431"/>
      </w:tabs>
      <w:overflowPunct/>
      <w:adjustRightInd/>
      <w:snapToGrid/>
      <w:spacing w:line="240" w:lineRule="auto"/>
      <w:jc w:val="left"/>
    </w:pPr>
    <w:rPr>
      <w:rFonts w:ascii="Arial" w:hAnsi="Arial" w:cs="Arial"/>
      <w:b/>
      <w:bCs/>
      <w:sz w:val="20"/>
      <w:lang w:val="lt-LT" w:eastAsia="lt-LT"/>
    </w:rPr>
  </w:style>
  <w:style w:type="paragraph" w:customStyle="1" w:styleId="lentpava">
    <w:name w:val="lentpava"/>
    <w:basedOn w:val="lentpavl"/>
    <w:pPr>
      <w:numPr>
        <w:numId w:val="0"/>
      </w:numPr>
      <w:tabs>
        <w:tab w:val="left" w:pos="425"/>
      </w:tabs>
      <w:spacing w:before="40"/>
    </w:pPr>
    <w:rPr>
      <w:i/>
      <w:iCs/>
      <w:sz w:val="18"/>
      <w:szCs w:val="18"/>
    </w:rPr>
  </w:style>
  <w:style w:type="paragraph" w:customStyle="1" w:styleId="galva">
    <w:name w:val="galva"/>
    <w:basedOn w:val="Normal"/>
    <w:pPr>
      <w:tabs>
        <w:tab w:val="clear" w:pos="431"/>
      </w:tabs>
      <w:overflowPunct/>
      <w:adjustRightInd/>
      <w:snapToGrid/>
      <w:spacing w:before="40" w:after="40" w:line="240" w:lineRule="auto"/>
      <w:ind w:left="57"/>
      <w:jc w:val="left"/>
    </w:pPr>
    <w:rPr>
      <w:rFonts w:ascii="Arial" w:hAnsi="Arial" w:cs="Arial"/>
      <w:sz w:val="16"/>
      <w:szCs w:val="16"/>
      <w:lang w:val="en-GB" w:eastAsia="lt-LT"/>
    </w:rPr>
  </w:style>
  <w:style w:type="paragraph" w:customStyle="1" w:styleId="lentpava1">
    <w:name w:val="lentpava1"/>
    <w:basedOn w:val="lentpava"/>
    <w:pPr>
      <w:spacing w:before="0" w:after="40"/>
    </w:pPr>
    <w:rPr>
      <w:b w:val="0"/>
      <w:bCs w:val="0"/>
      <w:sz w:val="16"/>
      <w:szCs w:val="16"/>
    </w:rPr>
  </w:style>
  <w:style w:type="paragraph" w:customStyle="1" w:styleId="lentpavl1">
    <w:name w:val="lentpavl1"/>
    <w:basedOn w:val="Normal"/>
    <w:pPr>
      <w:tabs>
        <w:tab w:val="clear" w:pos="431"/>
      </w:tabs>
      <w:overflowPunct/>
      <w:adjustRightInd/>
      <w:snapToGrid/>
      <w:spacing w:before="120" w:line="240" w:lineRule="auto"/>
      <w:jc w:val="left"/>
    </w:pPr>
    <w:rPr>
      <w:rFonts w:ascii="Arial" w:hAnsi="Arial" w:cs="Arial"/>
      <w:sz w:val="16"/>
      <w:szCs w:val="16"/>
      <w:lang w:val="lt-LT" w:eastAsia="lt-LT"/>
    </w:rPr>
  </w:style>
  <w:style w:type="character" w:customStyle="1" w:styleId="CharChar5">
    <w:name w:val="Char Char5"/>
    <w:locked/>
    <w:rPr>
      <w:rFonts w:ascii="Arial" w:hAnsi="Arial" w:cs="Arial"/>
      <w:sz w:val="16"/>
      <w:szCs w:val="16"/>
      <w:lang w:val="en-GB"/>
    </w:rPr>
  </w:style>
  <w:style w:type="paragraph" w:customStyle="1" w:styleId="galva1">
    <w:name w:val="galva1"/>
    <w:basedOn w:val="Normal"/>
    <w:pPr>
      <w:tabs>
        <w:tab w:val="clear" w:pos="431"/>
      </w:tabs>
      <w:overflowPunct/>
      <w:adjustRightInd/>
      <w:snapToGrid/>
      <w:spacing w:after="40" w:line="240" w:lineRule="auto"/>
      <w:ind w:left="57"/>
      <w:jc w:val="left"/>
    </w:pPr>
    <w:rPr>
      <w:rFonts w:ascii="Arial" w:hAnsi="Arial" w:cs="Arial"/>
      <w:i/>
      <w:iCs/>
      <w:sz w:val="16"/>
      <w:szCs w:val="16"/>
      <w:lang w:val="en-GB" w:eastAsia="lt-LT"/>
    </w:rPr>
  </w:style>
  <w:style w:type="paragraph" w:customStyle="1" w:styleId="0atit">
    <w:name w:val="0atit"/>
    <w:basedOn w:val="Normal"/>
    <w:pPr>
      <w:tabs>
        <w:tab w:val="clear" w:pos="431"/>
      </w:tabs>
      <w:overflowPunct/>
      <w:adjustRightInd/>
      <w:snapToGrid/>
      <w:spacing w:before="60" w:line="240" w:lineRule="auto"/>
      <w:jc w:val="left"/>
    </w:pPr>
    <w:rPr>
      <w:rFonts w:ascii="Arial" w:hAnsi="Arial" w:cs="Arial"/>
      <w:sz w:val="16"/>
      <w:szCs w:val="16"/>
      <w:lang w:val="en-GB" w:eastAsia="lt-LT"/>
    </w:rPr>
  </w:style>
  <w:style w:type="paragraph" w:customStyle="1" w:styleId="skaiciai">
    <w:name w:val="skaiciai"/>
    <w:basedOn w:val="Normal"/>
    <w:pPr>
      <w:tabs>
        <w:tab w:val="clear" w:pos="431"/>
      </w:tabs>
      <w:overflowPunct/>
      <w:adjustRightInd/>
      <w:snapToGrid/>
      <w:spacing w:line="240" w:lineRule="auto"/>
      <w:ind w:right="170"/>
      <w:jc w:val="right"/>
    </w:pPr>
    <w:rPr>
      <w:rFonts w:ascii="Arial" w:hAnsi="Arial" w:cs="Arial"/>
      <w:sz w:val="16"/>
      <w:szCs w:val="16"/>
      <w:lang w:val="en-GB" w:eastAsia="lt-LT"/>
    </w:rPr>
  </w:style>
  <w:style w:type="paragraph" w:customStyle="1" w:styleId="lentpav">
    <w:name w:val="lentpav"/>
    <w:basedOn w:val="Normal"/>
    <w:pPr>
      <w:tabs>
        <w:tab w:val="clear" w:pos="431"/>
        <w:tab w:val="left" w:pos="1985"/>
      </w:tabs>
      <w:overflowPunct/>
      <w:adjustRightInd/>
      <w:snapToGrid/>
      <w:spacing w:before="60" w:line="240" w:lineRule="auto"/>
      <w:jc w:val="center"/>
    </w:pPr>
    <w:rPr>
      <w:rFonts w:ascii="Arial" w:hAnsi="Arial" w:cs="Arial"/>
      <w:b/>
      <w:bCs/>
      <w:sz w:val="20"/>
      <w:lang w:eastAsia="lt-LT"/>
    </w:rPr>
  </w:style>
  <w:style w:type="paragraph" w:customStyle="1" w:styleId="popav">
    <w:name w:val="popav"/>
    <w:basedOn w:val="Normal"/>
    <w:pPr>
      <w:tabs>
        <w:tab w:val="clear" w:pos="431"/>
      </w:tabs>
      <w:overflowPunct/>
      <w:adjustRightInd/>
      <w:snapToGrid/>
      <w:spacing w:before="60" w:after="60" w:line="240" w:lineRule="auto"/>
      <w:jc w:val="left"/>
    </w:pPr>
    <w:rPr>
      <w:rFonts w:ascii="Arial" w:hAnsi="Arial" w:cs="Arial"/>
      <w:sz w:val="18"/>
      <w:szCs w:val="18"/>
      <w:lang w:val="lt-LT" w:eastAsia="lt-LT"/>
    </w:rPr>
  </w:style>
  <w:style w:type="paragraph" w:styleId="TOC1">
    <w:name w:val="toc 1"/>
    <w:aliases w:val="Turinys"/>
    <w:basedOn w:val="Normal"/>
    <w:next w:val="Normal"/>
    <w:autoRedefine/>
    <w:semiHidden/>
    <w:pPr>
      <w:tabs>
        <w:tab w:val="clear" w:pos="431"/>
      </w:tabs>
      <w:overflowPunct/>
      <w:adjustRightInd/>
      <w:snapToGrid/>
      <w:spacing w:after="200" w:line="276" w:lineRule="auto"/>
      <w:jc w:val="left"/>
    </w:pPr>
    <w:rPr>
      <w:sz w:val="24"/>
      <w:szCs w:val="24"/>
      <w:lang w:eastAsia="lt-LT"/>
    </w:rPr>
  </w:style>
  <w:style w:type="paragraph" w:customStyle="1" w:styleId="1atit">
    <w:name w:val="1atit"/>
    <w:basedOn w:val="Normal"/>
    <w:pPr>
      <w:tabs>
        <w:tab w:val="clear" w:pos="431"/>
      </w:tabs>
      <w:overflowPunct/>
      <w:adjustRightInd/>
      <w:snapToGrid/>
      <w:spacing w:line="240" w:lineRule="auto"/>
      <w:ind w:left="113"/>
      <w:jc w:val="left"/>
    </w:pPr>
    <w:rPr>
      <w:rFonts w:ascii="Arial" w:hAnsi="Arial" w:cs="Arial"/>
      <w:sz w:val="16"/>
      <w:szCs w:val="16"/>
      <w:lang w:val="en-GB" w:eastAsia="lt-LT"/>
    </w:rPr>
  </w:style>
  <w:style w:type="paragraph" w:customStyle="1" w:styleId="skyrpava">
    <w:name w:val="skyrpava"/>
    <w:basedOn w:val="Normal"/>
    <w:pPr>
      <w:tabs>
        <w:tab w:val="clear" w:pos="431"/>
      </w:tabs>
      <w:overflowPunct/>
      <w:adjustRightInd/>
      <w:snapToGrid/>
      <w:spacing w:before="20" w:after="100" w:line="240" w:lineRule="auto"/>
      <w:jc w:val="center"/>
    </w:pPr>
    <w:rPr>
      <w:rFonts w:ascii="Arial" w:hAnsi="Arial" w:cs="Arial"/>
      <w:b/>
      <w:bCs/>
      <w:i/>
      <w:iCs/>
      <w:caps/>
      <w:sz w:val="18"/>
      <w:szCs w:val="18"/>
      <w:lang w:val="lt-LT" w:eastAsia="lt-LT"/>
    </w:rPr>
  </w:style>
  <w:style w:type="paragraph" w:customStyle="1" w:styleId="lentpavlt">
    <w:name w:val="lentpavlt"/>
    <w:basedOn w:val="Normal"/>
    <w:pPr>
      <w:tabs>
        <w:tab w:val="clear" w:pos="431"/>
      </w:tabs>
      <w:overflowPunct/>
      <w:adjustRightInd/>
      <w:snapToGrid/>
      <w:spacing w:before="120" w:line="240" w:lineRule="auto"/>
      <w:jc w:val="left"/>
    </w:pPr>
    <w:rPr>
      <w:rFonts w:ascii="Arial" w:hAnsi="Arial" w:cs="Arial"/>
      <w:b/>
      <w:bCs/>
      <w:sz w:val="20"/>
      <w:lang w:val="lt-LT" w:eastAsia="lt-LT"/>
    </w:rPr>
  </w:style>
  <w:style w:type="paragraph" w:customStyle="1" w:styleId="lentpavang">
    <w:name w:val="lentpavang"/>
    <w:basedOn w:val="Normal"/>
    <w:pPr>
      <w:tabs>
        <w:tab w:val="clear" w:pos="431"/>
      </w:tabs>
      <w:overflowPunct/>
      <w:adjustRightInd/>
      <w:snapToGrid/>
      <w:spacing w:before="60" w:after="80" w:line="240" w:lineRule="auto"/>
      <w:jc w:val="left"/>
    </w:pPr>
    <w:rPr>
      <w:rFonts w:ascii="Arial" w:hAnsi="Arial" w:cs="Arial"/>
      <w:b/>
      <w:bCs/>
      <w:i/>
      <w:iCs/>
      <w:sz w:val="18"/>
      <w:szCs w:val="18"/>
      <w:lang w:val="en-GB" w:eastAsia="lt-LT"/>
    </w:rPr>
  </w:style>
  <w:style w:type="paragraph" w:customStyle="1" w:styleId="StiliuslentpavlKairje0cmPirmojieilut0cm">
    <w:name w:val="Stilius lentpavl + Kairėje:  0 cm Pirmoji eilutė:  0 cm"/>
    <w:basedOn w:val="lentpavl"/>
    <w:pPr>
      <w:numPr>
        <w:numId w:val="0"/>
      </w:numPr>
      <w:tabs>
        <w:tab w:val="num" w:pos="425"/>
      </w:tabs>
      <w:ind w:left="425" w:hanging="425"/>
    </w:pPr>
  </w:style>
  <w:style w:type="paragraph" w:customStyle="1" w:styleId="skl">
    <w:name w:val="skl"/>
    <w:basedOn w:val="Normal"/>
    <w:pPr>
      <w:tabs>
        <w:tab w:val="clear" w:pos="431"/>
      </w:tabs>
      <w:overflowPunct/>
      <w:adjustRightInd/>
      <w:snapToGrid/>
      <w:spacing w:before="120" w:after="40" w:line="240" w:lineRule="auto"/>
      <w:jc w:val="left"/>
    </w:pPr>
    <w:rPr>
      <w:rFonts w:ascii="Arial" w:hAnsi="Arial" w:cs="Arial"/>
      <w:sz w:val="18"/>
      <w:szCs w:val="18"/>
      <w:lang w:val="lt-LT" w:eastAsia="lt-LT"/>
    </w:rPr>
  </w:style>
  <w:style w:type="paragraph" w:customStyle="1" w:styleId="galva-a">
    <w:name w:val="galva-a"/>
    <w:basedOn w:val="galva"/>
    <w:pPr>
      <w:widowControl w:val="0"/>
      <w:spacing w:before="0"/>
      <w:ind w:left="0" w:right="-85"/>
    </w:pPr>
    <w:rPr>
      <w:i/>
      <w:iCs/>
      <w:sz w:val="17"/>
      <w:szCs w:val="17"/>
      <w:lang w:val="en-US"/>
    </w:rPr>
  </w:style>
  <w:style w:type="paragraph" w:styleId="TOC2">
    <w:name w:val="toc 2"/>
    <w:basedOn w:val="Normal"/>
    <w:next w:val="Normal"/>
    <w:autoRedefine/>
    <w:semiHidden/>
    <w:pPr>
      <w:tabs>
        <w:tab w:val="clear" w:pos="431"/>
      </w:tabs>
      <w:overflowPunct/>
      <w:adjustRightInd/>
      <w:snapToGrid/>
      <w:spacing w:line="240" w:lineRule="auto"/>
      <w:ind w:left="170"/>
      <w:jc w:val="left"/>
    </w:pPr>
    <w:rPr>
      <w:rFonts w:ascii="Arial" w:hAnsi="Arial" w:cs="Arial"/>
      <w:sz w:val="17"/>
      <w:szCs w:val="17"/>
      <w:lang w:eastAsia="lt-LT"/>
    </w:rPr>
  </w:style>
  <w:style w:type="paragraph" w:customStyle="1" w:styleId="Sraopastraipa1">
    <w:name w:val="Sąrašo pastraipa1"/>
    <w:basedOn w:val="Normal"/>
    <w:pPr>
      <w:tabs>
        <w:tab w:val="clear" w:pos="431"/>
      </w:tabs>
      <w:overflowPunct/>
      <w:adjustRightInd/>
      <w:snapToGrid/>
      <w:spacing w:line="240" w:lineRule="auto"/>
      <w:ind w:left="720"/>
      <w:jc w:val="left"/>
    </w:pPr>
    <w:rPr>
      <w:sz w:val="24"/>
      <w:szCs w:val="24"/>
      <w:lang w:val="lt-LT" w:eastAsia="lt-LT"/>
    </w:rPr>
  </w:style>
  <w:style w:type="character" w:customStyle="1" w:styleId="CharChar3">
    <w:name w:val="Char Char3"/>
    <w:locked/>
    <w:rPr>
      <w:rFonts w:cs="Times New Roman"/>
      <w:sz w:val="24"/>
      <w:szCs w:val="24"/>
    </w:rPr>
  </w:style>
  <w:style w:type="character" w:customStyle="1" w:styleId="dpav">
    <w:name w:val="dpav"/>
    <w:rPr>
      <w:rFonts w:cs="Times New Roman"/>
      <w:sz w:val="26"/>
      <w:szCs w:val="26"/>
    </w:rPr>
  </w:style>
  <w:style w:type="paragraph" w:customStyle="1" w:styleId="BodyTextIndent21">
    <w:name w:val="Body Text Indent 21"/>
    <w:basedOn w:val="Normal"/>
    <w:pPr>
      <w:tabs>
        <w:tab w:val="clear" w:pos="431"/>
      </w:tabs>
      <w:suppressAutoHyphens/>
      <w:overflowPunct/>
      <w:adjustRightInd/>
      <w:snapToGrid/>
      <w:spacing w:after="200" w:line="360" w:lineRule="auto"/>
      <w:ind w:firstLine="720"/>
    </w:pPr>
    <w:rPr>
      <w:rFonts w:ascii="TimesLT" w:hAnsi="TimesLT" w:cs="TimesLT"/>
      <w:sz w:val="24"/>
      <w:szCs w:val="24"/>
      <w:lang w:val="lt-LT" w:eastAsia="lt-LT"/>
    </w:rPr>
  </w:style>
  <w:style w:type="paragraph" w:customStyle="1" w:styleId="prastasistinklapis2">
    <w:name w:val="Įprastasis (tinklapis)2"/>
    <w:basedOn w:val="Normal"/>
    <w:pPr>
      <w:tabs>
        <w:tab w:val="clear" w:pos="431"/>
      </w:tabs>
      <w:overflowPunct/>
      <w:adjustRightInd/>
      <w:snapToGrid/>
      <w:spacing w:before="240" w:after="240" w:line="240" w:lineRule="auto"/>
      <w:jc w:val="left"/>
    </w:pPr>
    <w:rPr>
      <w:sz w:val="24"/>
      <w:szCs w:val="24"/>
      <w:lang w:val="lt-LT" w:eastAsia="lt-LT"/>
    </w:rPr>
  </w:style>
  <w:style w:type="paragraph" w:customStyle="1" w:styleId="Betarp1">
    <w:name w:val="Be tarpų1"/>
    <w:rPr>
      <w:rFonts w:ascii="Calibri" w:hAnsi="Calibri" w:cs="Calibri"/>
      <w:snapToGrid w:val="0"/>
      <w:sz w:val="22"/>
      <w:szCs w:val="22"/>
      <w:lang w:val="ru-RU" w:eastAsia="lt-LT"/>
    </w:rPr>
  </w:style>
  <w:style w:type="paragraph" w:customStyle="1" w:styleId="Diagrama1CharCharDiagramaCharCharDiagrama">
    <w:name w:val="Diagrama1 Char Char Diagrama Char Char Diagrama"/>
    <w:basedOn w:val="Normal"/>
    <w:pPr>
      <w:tabs>
        <w:tab w:val="clear" w:pos="431"/>
      </w:tabs>
      <w:overflowPunct/>
      <w:adjustRightInd/>
      <w:snapToGrid/>
      <w:spacing w:after="160" w:line="240" w:lineRule="exact"/>
      <w:jc w:val="left"/>
    </w:pPr>
    <w:rPr>
      <w:sz w:val="20"/>
      <w:lang w:eastAsia="lt-LT"/>
    </w:rPr>
  </w:style>
  <w:style w:type="paragraph" w:customStyle="1" w:styleId="prastasistinklapis8">
    <w:name w:val="prastasistinklapis8"/>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paragraph" w:customStyle="1" w:styleId="fait">
    <w:name w:val="fait"/>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character" w:customStyle="1" w:styleId="CharChar2">
    <w:name w:val="Char Char2"/>
    <w:locked/>
    <w:rPr>
      <w:rFonts w:ascii="Courier New" w:hAnsi="Courier New" w:cs="Courier New"/>
      <w:lang/>
    </w:rPr>
  </w:style>
  <w:style w:type="character" w:customStyle="1" w:styleId="CharChar1">
    <w:name w:val="Char Char1"/>
    <w:locked/>
    <w:rPr>
      <w:rFonts w:cs="Times New Roman"/>
    </w:rPr>
  </w:style>
  <w:style w:type="character" w:customStyle="1" w:styleId="CharChar">
    <w:name w:val="Char Char"/>
    <w:locked/>
    <w:rPr>
      <w:rFonts w:cs="Times New Roman"/>
      <w:b/>
      <w:bCs/>
    </w:rPr>
  </w:style>
  <w:style w:type="paragraph" w:customStyle="1" w:styleId="Pagrindiniotekstopirmatrauka1">
    <w:name w:val="Pagrindinio teksto pirma įtrauka1"/>
    <w:basedOn w:val="Normal"/>
    <w:next w:val="hyperlink0"/>
    <w:pPr>
      <w:tabs>
        <w:tab w:val="clear" w:pos="431"/>
      </w:tabs>
      <w:suppressAutoHyphens/>
      <w:overflowPunct/>
      <w:adjustRightInd/>
      <w:snapToGrid/>
      <w:spacing w:after="120" w:line="240" w:lineRule="auto"/>
      <w:ind w:firstLine="210"/>
      <w:jc w:val="left"/>
    </w:pPr>
    <w:rPr>
      <w:rFonts w:ascii="TimesLT" w:hAnsi="TimesLT" w:cs="TimesLT"/>
      <w:sz w:val="20"/>
      <w:lang w:val="en-GB" w:eastAsia="lt-LT"/>
    </w:rPr>
  </w:style>
  <w:style w:type="paragraph" w:styleId="NoSpacing">
    <w:name w:val="No Spacing"/>
    <w:qFormat/>
    <w:rPr>
      <w:snapToGrid w:val="0"/>
      <w:sz w:val="24"/>
      <w:szCs w:val="24"/>
      <w:lang w:val="lt-LT" w:eastAsia="lt-LT"/>
    </w:rPr>
  </w:style>
  <w:style w:type="paragraph" w:customStyle="1" w:styleId="msolistparagraph0">
    <w:name w:val="msolistparagraph"/>
    <w:basedOn w:val="Normal"/>
    <w:pPr>
      <w:tabs>
        <w:tab w:val="clear" w:pos="431"/>
      </w:tabs>
      <w:overflowPunct/>
      <w:adjustRightInd/>
      <w:snapToGrid/>
      <w:spacing w:line="240" w:lineRule="auto"/>
      <w:ind w:left="720"/>
      <w:jc w:val="left"/>
    </w:pPr>
    <w:rPr>
      <w:sz w:val="24"/>
      <w:szCs w:val="24"/>
      <w:lang w:val="lt-LT" w:eastAsia="lt-LT"/>
    </w:rPr>
  </w:style>
  <w:style w:type="paragraph" w:customStyle="1" w:styleId="NormalWeb1">
    <w:name w:val="Normal (Web)1"/>
    <w:basedOn w:val="Normal"/>
    <w:pPr>
      <w:widowControl w:val="0"/>
      <w:tabs>
        <w:tab w:val="clear" w:pos="431"/>
      </w:tabs>
      <w:suppressAutoHyphens/>
      <w:overflowPunct/>
      <w:adjustRightInd/>
      <w:snapToGrid/>
      <w:spacing w:before="280" w:after="280" w:line="240" w:lineRule="auto"/>
      <w:jc w:val="left"/>
    </w:pPr>
    <w:rPr>
      <w:kern w:val="1"/>
      <w:sz w:val="24"/>
      <w:szCs w:val="24"/>
      <w:lang w:val="lt-LT" w:eastAsia="lt-LT"/>
    </w:rPr>
  </w:style>
  <w:style w:type="character" w:customStyle="1" w:styleId="tw4winMark">
    <w:name w:val="tw4winMark"/>
    <w:rPr>
      <w:rFonts w:ascii="Courier New" w:hAnsi="Courier New"/>
      <w:vanish/>
      <w:color w:val="800080"/>
      <w:sz w:val="24"/>
      <w:vertAlign w:val="subscript"/>
    </w:rPr>
  </w:style>
  <w:style w:type="paragraph" w:customStyle="1" w:styleId="Sraopastraipa0">
    <w:name w:val="S?ra?o pastraipa"/>
    <w:basedOn w:val="Normal"/>
    <w:next w:val="Sraopastraipa10"/>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paragraph" w:customStyle="1" w:styleId="Sraopastraipa10">
    <w:name w:val="S?ra?o pastraipa1"/>
    <w:basedOn w:val="Normal"/>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customStyle="1" w:styleId="BodyText21">
    <w:name w:val="Body Text 21"/>
    <w:basedOn w:val="Normal"/>
    <w:pPr>
      <w:tabs>
        <w:tab w:val="clear" w:pos="431"/>
      </w:tabs>
      <w:autoSpaceDE w:val="0"/>
      <w:autoSpaceDN w:val="0"/>
      <w:snapToGrid/>
      <w:spacing w:line="240" w:lineRule="auto"/>
      <w:textAlignment w:val="baseline"/>
    </w:pPr>
    <w:rPr>
      <w:snapToGrid/>
      <w:sz w:val="20"/>
      <w:lang w:val="hr-HR" w:eastAsia="en-US"/>
    </w:rPr>
  </w:style>
  <w:style w:type="paragraph" w:styleId="Caption">
    <w:name w:val="caption"/>
    <w:basedOn w:val="Normal"/>
    <w:next w:val="Normal"/>
    <w:qFormat/>
    <w:pPr>
      <w:tabs>
        <w:tab w:val="clear" w:pos="431"/>
      </w:tabs>
      <w:overflowPunct/>
      <w:adjustRightInd/>
      <w:snapToGrid/>
      <w:spacing w:line="240" w:lineRule="auto"/>
      <w:jc w:val="center"/>
    </w:pPr>
    <w:rPr>
      <w:rFonts w:ascii="Arial" w:hAnsi="Arial"/>
      <w:b/>
      <w:snapToGrid/>
      <w:sz w:val="24"/>
      <w:lang w:val="en-GB" w:eastAsia="en-US"/>
    </w:rPr>
  </w:style>
  <w:style w:type="paragraph" w:styleId="TOC3">
    <w:name w:val="toc 3"/>
    <w:basedOn w:val="Normal"/>
    <w:next w:val="Normal"/>
    <w:autoRedefine/>
    <w:pPr>
      <w:tabs>
        <w:tab w:val="clear" w:pos="431"/>
      </w:tabs>
      <w:overflowPunct/>
      <w:adjustRightInd/>
      <w:snapToGrid/>
      <w:spacing w:line="240" w:lineRule="auto"/>
      <w:ind w:left="480"/>
      <w:jc w:val="left"/>
    </w:pPr>
    <w:rPr>
      <w:i/>
      <w:iCs/>
      <w:snapToGrid/>
      <w:sz w:val="24"/>
      <w:szCs w:val="24"/>
      <w:lang w:val="en-GB" w:eastAsia="en-US"/>
    </w:rPr>
  </w:style>
  <w:style w:type="paragraph" w:styleId="TOC4">
    <w:name w:val="toc 4"/>
    <w:basedOn w:val="Normal"/>
    <w:next w:val="Normal"/>
    <w:autoRedefine/>
    <w:pPr>
      <w:tabs>
        <w:tab w:val="clear" w:pos="431"/>
        <w:tab w:val="right" w:leader="dot" w:pos="9062"/>
      </w:tabs>
      <w:overflowPunct/>
      <w:adjustRightInd/>
      <w:snapToGrid/>
      <w:spacing w:line="240" w:lineRule="auto"/>
      <w:ind w:left="720"/>
      <w:jc w:val="left"/>
    </w:pPr>
    <w:rPr>
      <w:rFonts w:ascii="Arial" w:hAnsi="Arial" w:cs="Arial"/>
      <w:noProof/>
      <w:snapToGrid/>
      <w:sz w:val="20"/>
      <w:lang w:val="hr-BA" w:eastAsia="en-US"/>
    </w:rPr>
  </w:style>
  <w:style w:type="paragraph" w:styleId="TOC5">
    <w:name w:val="toc 5"/>
    <w:basedOn w:val="Normal"/>
    <w:next w:val="Normal"/>
    <w:autoRedefine/>
    <w:semiHidden/>
    <w:pPr>
      <w:tabs>
        <w:tab w:val="clear" w:pos="431"/>
      </w:tabs>
      <w:overflowPunct/>
      <w:adjustRightInd/>
      <w:snapToGrid/>
      <w:spacing w:line="240" w:lineRule="auto"/>
      <w:ind w:left="960"/>
      <w:jc w:val="left"/>
    </w:pPr>
    <w:rPr>
      <w:snapToGrid/>
      <w:sz w:val="24"/>
      <w:szCs w:val="21"/>
      <w:lang w:val="en-GB" w:eastAsia="en-US"/>
    </w:rPr>
  </w:style>
  <w:style w:type="paragraph" w:styleId="TOC6">
    <w:name w:val="toc 6"/>
    <w:basedOn w:val="Normal"/>
    <w:next w:val="Normal"/>
    <w:autoRedefine/>
    <w:semiHidden/>
    <w:pPr>
      <w:tabs>
        <w:tab w:val="clear" w:pos="431"/>
      </w:tabs>
      <w:overflowPunct/>
      <w:adjustRightInd/>
      <w:snapToGrid/>
      <w:spacing w:line="240" w:lineRule="auto"/>
      <w:ind w:left="1200"/>
      <w:jc w:val="left"/>
    </w:pPr>
    <w:rPr>
      <w:snapToGrid/>
      <w:sz w:val="24"/>
      <w:szCs w:val="21"/>
      <w:lang w:val="en-GB" w:eastAsia="en-US"/>
    </w:rPr>
  </w:style>
  <w:style w:type="paragraph" w:styleId="TOC7">
    <w:name w:val="toc 7"/>
    <w:basedOn w:val="Normal"/>
    <w:next w:val="Normal"/>
    <w:autoRedefine/>
    <w:semiHidden/>
    <w:pPr>
      <w:tabs>
        <w:tab w:val="clear" w:pos="431"/>
      </w:tabs>
      <w:overflowPunct/>
      <w:adjustRightInd/>
      <w:snapToGrid/>
      <w:spacing w:line="240" w:lineRule="auto"/>
      <w:ind w:left="1440"/>
      <w:jc w:val="left"/>
    </w:pPr>
    <w:rPr>
      <w:snapToGrid/>
      <w:sz w:val="24"/>
      <w:szCs w:val="21"/>
      <w:lang w:val="en-GB" w:eastAsia="en-US"/>
    </w:rPr>
  </w:style>
  <w:style w:type="paragraph" w:styleId="TOC8">
    <w:name w:val="toc 8"/>
    <w:basedOn w:val="Normal"/>
    <w:next w:val="Normal"/>
    <w:autoRedefine/>
    <w:semiHidden/>
    <w:pPr>
      <w:tabs>
        <w:tab w:val="clear" w:pos="431"/>
      </w:tabs>
      <w:overflowPunct/>
      <w:adjustRightInd/>
      <w:snapToGrid/>
      <w:spacing w:line="240" w:lineRule="auto"/>
      <w:ind w:left="1680"/>
      <w:jc w:val="left"/>
    </w:pPr>
    <w:rPr>
      <w:snapToGrid/>
      <w:sz w:val="24"/>
      <w:szCs w:val="21"/>
      <w:lang w:val="en-GB" w:eastAsia="en-US"/>
    </w:rPr>
  </w:style>
  <w:style w:type="paragraph" w:styleId="TOC9">
    <w:name w:val="toc 9"/>
    <w:basedOn w:val="Normal"/>
    <w:next w:val="Normal"/>
    <w:autoRedefine/>
    <w:semiHidden/>
    <w:pPr>
      <w:tabs>
        <w:tab w:val="clear" w:pos="431"/>
      </w:tabs>
      <w:overflowPunct/>
      <w:adjustRightInd/>
      <w:snapToGrid/>
      <w:spacing w:line="240" w:lineRule="auto"/>
      <w:ind w:left="1920"/>
      <w:jc w:val="left"/>
    </w:pPr>
    <w:rPr>
      <w:snapToGrid/>
      <w:sz w:val="24"/>
      <w:szCs w:val="21"/>
      <w:lang w:val="en-GB" w:eastAsia="en-US"/>
    </w:rPr>
  </w:style>
  <w:style w:type="paragraph" w:styleId="Index2">
    <w:name w:val="index 2"/>
    <w:basedOn w:val="Normal"/>
    <w:next w:val="Normal"/>
    <w:autoRedefine/>
    <w:semiHidden/>
    <w:pPr>
      <w:tabs>
        <w:tab w:val="clear" w:pos="431"/>
      </w:tabs>
      <w:overflowPunct/>
      <w:adjustRightInd/>
      <w:snapToGrid/>
      <w:spacing w:line="240" w:lineRule="auto"/>
      <w:ind w:left="480" w:hanging="240"/>
      <w:jc w:val="left"/>
    </w:pPr>
    <w:rPr>
      <w:snapToGrid/>
      <w:sz w:val="24"/>
      <w:szCs w:val="24"/>
      <w:lang w:val="en-GB" w:eastAsia="en-US"/>
    </w:rPr>
  </w:style>
  <w:style w:type="paragraph" w:styleId="Index1">
    <w:name w:val="index 1"/>
    <w:basedOn w:val="Normal"/>
    <w:next w:val="Normal"/>
    <w:autoRedefine/>
    <w:semiHidden/>
    <w:pPr>
      <w:tabs>
        <w:tab w:val="clear" w:pos="431"/>
      </w:tabs>
      <w:overflowPunct/>
      <w:adjustRightInd/>
      <w:snapToGrid/>
      <w:spacing w:line="240" w:lineRule="auto"/>
      <w:ind w:left="240" w:hanging="240"/>
      <w:jc w:val="left"/>
    </w:pPr>
    <w:rPr>
      <w:snapToGrid/>
      <w:sz w:val="24"/>
      <w:szCs w:val="24"/>
      <w:lang w:val="en-GB" w:eastAsia="en-US"/>
    </w:rPr>
  </w:style>
  <w:style w:type="paragraph" w:styleId="Index3">
    <w:name w:val="index 3"/>
    <w:basedOn w:val="Normal"/>
    <w:next w:val="Normal"/>
    <w:autoRedefine/>
    <w:semiHidden/>
    <w:pPr>
      <w:tabs>
        <w:tab w:val="clear" w:pos="431"/>
      </w:tabs>
      <w:overflowPunct/>
      <w:adjustRightInd/>
      <w:snapToGrid/>
      <w:spacing w:line="240" w:lineRule="auto"/>
      <w:ind w:left="720" w:hanging="240"/>
      <w:jc w:val="left"/>
    </w:pPr>
    <w:rPr>
      <w:snapToGrid/>
      <w:sz w:val="24"/>
      <w:szCs w:val="24"/>
      <w:lang w:val="en-GB" w:eastAsia="en-US"/>
    </w:rPr>
  </w:style>
  <w:style w:type="paragraph" w:styleId="Index4">
    <w:name w:val="index 4"/>
    <w:basedOn w:val="Normal"/>
    <w:next w:val="Normal"/>
    <w:autoRedefine/>
    <w:semiHidden/>
    <w:pPr>
      <w:tabs>
        <w:tab w:val="clear" w:pos="431"/>
      </w:tabs>
      <w:overflowPunct/>
      <w:adjustRightInd/>
      <w:snapToGrid/>
      <w:spacing w:line="240" w:lineRule="auto"/>
      <w:ind w:left="960" w:hanging="240"/>
      <w:jc w:val="left"/>
    </w:pPr>
    <w:rPr>
      <w:snapToGrid/>
      <w:sz w:val="24"/>
      <w:szCs w:val="24"/>
      <w:lang w:val="en-GB" w:eastAsia="en-US"/>
    </w:rPr>
  </w:style>
  <w:style w:type="paragraph" w:styleId="Index5">
    <w:name w:val="index 5"/>
    <w:basedOn w:val="Normal"/>
    <w:next w:val="Normal"/>
    <w:autoRedefine/>
    <w:semiHidden/>
    <w:pPr>
      <w:tabs>
        <w:tab w:val="clear" w:pos="431"/>
      </w:tabs>
      <w:overflowPunct/>
      <w:adjustRightInd/>
      <w:snapToGrid/>
      <w:spacing w:line="240" w:lineRule="auto"/>
      <w:ind w:left="1200" w:hanging="240"/>
      <w:jc w:val="left"/>
    </w:pPr>
    <w:rPr>
      <w:snapToGrid/>
      <w:sz w:val="24"/>
      <w:szCs w:val="24"/>
      <w:lang w:val="en-GB" w:eastAsia="en-US"/>
    </w:rPr>
  </w:style>
  <w:style w:type="paragraph" w:styleId="Index6">
    <w:name w:val="index 6"/>
    <w:basedOn w:val="Normal"/>
    <w:next w:val="Normal"/>
    <w:autoRedefine/>
    <w:semiHidden/>
    <w:pPr>
      <w:tabs>
        <w:tab w:val="clear" w:pos="431"/>
      </w:tabs>
      <w:overflowPunct/>
      <w:adjustRightInd/>
      <w:snapToGrid/>
      <w:spacing w:line="240" w:lineRule="auto"/>
      <w:ind w:left="1440" w:hanging="240"/>
      <w:jc w:val="left"/>
    </w:pPr>
    <w:rPr>
      <w:snapToGrid/>
      <w:sz w:val="24"/>
      <w:szCs w:val="24"/>
      <w:lang w:val="en-GB" w:eastAsia="en-US"/>
    </w:rPr>
  </w:style>
  <w:style w:type="paragraph" w:styleId="Index7">
    <w:name w:val="index 7"/>
    <w:basedOn w:val="Normal"/>
    <w:next w:val="Normal"/>
    <w:autoRedefine/>
    <w:semiHidden/>
    <w:pPr>
      <w:tabs>
        <w:tab w:val="clear" w:pos="431"/>
      </w:tabs>
      <w:overflowPunct/>
      <w:adjustRightInd/>
      <w:snapToGrid/>
      <w:spacing w:line="240" w:lineRule="auto"/>
      <w:ind w:left="1680" w:hanging="240"/>
      <w:jc w:val="left"/>
    </w:pPr>
    <w:rPr>
      <w:snapToGrid/>
      <w:sz w:val="24"/>
      <w:szCs w:val="24"/>
      <w:lang w:val="en-GB" w:eastAsia="en-US"/>
    </w:rPr>
  </w:style>
  <w:style w:type="paragraph" w:styleId="Index8">
    <w:name w:val="index 8"/>
    <w:basedOn w:val="Normal"/>
    <w:next w:val="Normal"/>
    <w:autoRedefine/>
    <w:semiHidden/>
    <w:pPr>
      <w:tabs>
        <w:tab w:val="clear" w:pos="431"/>
      </w:tabs>
      <w:overflowPunct/>
      <w:adjustRightInd/>
      <w:snapToGrid/>
      <w:spacing w:line="240" w:lineRule="auto"/>
      <w:ind w:left="1920" w:hanging="240"/>
      <w:jc w:val="left"/>
    </w:pPr>
    <w:rPr>
      <w:snapToGrid/>
      <w:sz w:val="24"/>
      <w:szCs w:val="24"/>
      <w:lang w:val="en-GB" w:eastAsia="en-US"/>
    </w:rPr>
  </w:style>
  <w:style w:type="paragraph" w:styleId="Index9">
    <w:name w:val="index 9"/>
    <w:basedOn w:val="Normal"/>
    <w:next w:val="Normal"/>
    <w:autoRedefine/>
    <w:semiHidden/>
    <w:pPr>
      <w:tabs>
        <w:tab w:val="clear" w:pos="431"/>
      </w:tabs>
      <w:overflowPunct/>
      <w:adjustRightInd/>
      <w:snapToGrid/>
      <w:spacing w:line="240" w:lineRule="auto"/>
      <w:ind w:left="2160" w:hanging="240"/>
      <w:jc w:val="left"/>
    </w:pPr>
    <w:rPr>
      <w:snapToGrid/>
      <w:sz w:val="24"/>
      <w:szCs w:val="24"/>
      <w:lang w:val="en-GB" w:eastAsia="en-US"/>
    </w:rPr>
  </w:style>
  <w:style w:type="paragraph" w:styleId="IndexHeading">
    <w:name w:val="index heading"/>
    <w:basedOn w:val="Normal"/>
    <w:next w:val="Index1"/>
    <w:semiHidden/>
    <w:pPr>
      <w:tabs>
        <w:tab w:val="clear" w:pos="431"/>
      </w:tabs>
      <w:overflowPunct/>
      <w:adjustRightInd/>
      <w:snapToGrid/>
      <w:spacing w:line="240" w:lineRule="auto"/>
      <w:jc w:val="left"/>
    </w:pPr>
    <w:rPr>
      <w:snapToGrid/>
      <w:sz w:val="24"/>
      <w:szCs w:val="24"/>
      <w:lang w:val="en-GB" w:eastAsia="en-US"/>
    </w:rPr>
  </w:style>
  <w:style w:type="paragraph" w:customStyle="1" w:styleId="Tekst">
    <w:name w:val="Tekst"/>
    <w:basedOn w:val="Normal"/>
    <w:link w:val="TekstChar"/>
    <w:pPr>
      <w:tabs>
        <w:tab w:val="clear" w:pos="431"/>
      </w:tabs>
      <w:overflowPunct/>
      <w:adjustRightInd/>
      <w:snapToGrid/>
      <w:spacing w:before="120" w:line="240" w:lineRule="auto"/>
    </w:pPr>
    <w:rPr>
      <w:snapToGrid/>
      <w:sz w:val="24"/>
      <w:szCs w:val="24"/>
      <w:lang w:val="sr-Cyrl-CS" w:eastAsia="en-US"/>
    </w:rPr>
  </w:style>
  <w:style w:type="paragraph" w:customStyle="1" w:styleId="Podnaslov">
    <w:name w:val="Podnaslov"/>
    <w:basedOn w:val="Normal"/>
    <w:pPr>
      <w:tabs>
        <w:tab w:val="clear" w:pos="431"/>
      </w:tabs>
      <w:overflowPunct/>
      <w:adjustRightInd/>
      <w:snapToGrid/>
      <w:spacing w:line="240" w:lineRule="auto"/>
      <w:jc w:val="center"/>
    </w:pPr>
    <w:rPr>
      <w:rFonts w:ascii="Verdana" w:hAnsi="Verdana"/>
      <w:b/>
      <w:bCs/>
      <w:caps/>
      <w:snapToGrid/>
      <w:sz w:val="28"/>
      <w:szCs w:val="24"/>
      <w:lang w:val="sr-Latn-CS" w:eastAsia="en-US"/>
    </w:rPr>
  </w:style>
  <w:style w:type="character" w:customStyle="1" w:styleId="FootnoteTextChar1Char">
    <w:name w:val="Footnote Text Char1 Char"/>
    <w:aliases w:val="single space Char,footnote text Char,FOOTNOTES Char,fn Char Char1,fn Char Char Char1,fn Char Char Char Char,fn Char1,Footnote Text Char Char Char,Footnote Text Char1 Char Char Char,Footnote Text Char Char Char Char Char,ft Char"/>
    <w:rPr>
      <w:lang w:val="en-AU" w:eastAsia="en-US"/>
    </w:rPr>
  </w:style>
  <w:style w:type="paragraph" w:customStyle="1" w:styleId="Medunaslov">
    <w:name w:val="Medunaslov"/>
    <w:basedOn w:val="ListContinue"/>
    <w:pPr>
      <w:suppressAutoHyphens w:val="0"/>
      <w:spacing w:before="140" w:after="140" w:line="240" w:lineRule="auto"/>
      <w:ind w:left="567"/>
    </w:pPr>
    <w:rPr>
      <w:rFonts w:ascii="Arial" w:hAnsi="Arial"/>
      <w:b/>
      <w:sz w:val="24"/>
      <w:szCs w:val="24"/>
      <w:u w:val="single"/>
      <w:lang w:val="hr-HR"/>
    </w:rPr>
  </w:style>
  <w:style w:type="paragraph" w:customStyle="1" w:styleId="Nabrajanje">
    <w:name w:val="Nabrajanje"/>
    <w:basedOn w:val="Normal"/>
    <w:pPr>
      <w:numPr>
        <w:numId w:val="13"/>
      </w:numPr>
      <w:tabs>
        <w:tab w:val="clear" w:pos="431"/>
      </w:tabs>
      <w:overflowPunct/>
      <w:adjustRightInd/>
      <w:snapToGrid/>
      <w:spacing w:line="240" w:lineRule="auto"/>
      <w:jc w:val="left"/>
    </w:pPr>
    <w:rPr>
      <w:snapToGrid/>
      <w:sz w:val="24"/>
      <w:szCs w:val="24"/>
      <w:lang w:val="en-GB" w:eastAsia="en-US"/>
    </w:rPr>
  </w:style>
  <w:style w:type="paragraph" w:customStyle="1" w:styleId="COEHeading5">
    <w:name w:val="COE_Heading5"/>
    <w:basedOn w:val="Normal"/>
    <w:next w:val="Normal"/>
    <w:pPr>
      <w:keepNext/>
      <w:tabs>
        <w:tab w:val="clear" w:pos="431"/>
        <w:tab w:val="left" w:pos="570"/>
        <w:tab w:val="right" w:pos="8892"/>
      </w:tabs>
      <w:overflowPunct/>
      <w:adjustRightInd/>
      <w:snapToGrid/>
      <w:spacing w:before="240" w:line="240" w:lineRule="auto"/>
      <w:ind w:left="567" w:hanging="567"/>
    </w:pPr>
    <w:rPr>
      <w:rFonts w:ascii="AvantGarde" w:hAnsi="AvantGarde"/>
      <w:bCs/>
      <w:snapToGrid/>
      <w:sz w:val="20"/>
      <w:szCs w:val="22"/>
      <w:u w:val="single"/>
      <w:lang w:val="en-GB" w:eastAsia="fr-FR"/>
    </w:rPr>
  </w:style>
  <w:style w:type="paragraph" w:customStyle="1" w:styleId="tekst0">
    <w:name w:val="tekst"/>
    <w:basedOn w:val="Normal"/>
    <w:link w:val="tekstChar0"/>
    <w:pPr>
      <w:tabs>
        <w:tab w:val="clear" w:pos="431"/>
      </w:tabs>
      <w:overflowPunct/>
      <w:adjustRightInd/>
      <w:snapToGrid/>
      <w:spacing w:before="240" w:line="240" w:lineRule="auto"/>
    </w:pPr>
    <w:rPr>
      <w:snapToGrid/>
      <w:sz w:val="22"/>
      <w:szCs w:val="24"/>
      <w:lang w:val="sr-Cyrl-BA" w:eastAsia="en-US"/>
    </w:rPr>
  </w:style>
  <w:style w:type="paragraph" w:customStyle="1" w:styleId="Aktivnosti">
    <w:name w:val="Aktivnosti"/>
    <w:basedOn w:val="TOC5"/>
    <w:next w:val="TOC3"/>
    <w:pPr>
      <w:numPr>
        <w:numId w:val="14"/>
      </w:numPr>
      <w:tabs>
        <w:tab w:val="clear" w:pos="2340"/>
      </w:tabs>
      <w:ind w:left="960" w:firstLine="0"/>
    </w:pPr>
  </w:style>
  <w:style w:type="paragraph" w:styleId="ListParagraph">
    <w:name w:val="List Paragraph"/>
    <w:basedOn w:val="Normal"/>
    <w:qFormat/>
    <w:pPr>
      <w:tabs>
        <w:tab w:val="clear" w:pos="431"/>
      </w:tabs>
      <w:overflowPunct/>
      <w:adjustRightInd/>
      <w:snapToGrid/>
      <w:spacing w:line="240" w:lineRule="auto"/>
      <w:ind w:left="720"/>
      <w:contextualSpacing/>
      <w:jc w:val="left"/>
    </w:pPr>
    <w:rPr>
      <w:snapToGrid/>
      <w:sz w:val="24"/>
      <w:szCs w:val="24"/>
      <w:lang w:val="sr-Cyrl-CS" w:eastAsia="hr-HR"/>
    </w:rPr>
  </w:style>
  <w:style w:type="character" w:customStyle="1" w:styleId="CharChar110">
    <w:name w:val=" Char Char11"/>
    <w:rPr>
      <w:rFonts w:ascii="Tahoma" w:hAnsi="Tahoma"/>
      <w:sz w:val="22"/>
      <w:lang w:val="sr-Cyrl-CS" w:eastAsia="en-US"/>
    </w:rPr>
  </w:style>
  <w:style w:type="character" w:customStyle="1" w:styleId="CharChar20">
    <w:name w:val=" Char Char20"/>
    <w:rPr>
      <w:rFonts w:ascii="Arial" w:eastAsia="Calibri" w:hAnsi="Arial" w:cs="Arial"/>
      <w:b/>
      <w:iCs/>
      <w:sz w:val="24"/>
      <w:szCs w:val="24"/>
      <w:lang w:val="hr-HR" w:eastAsia="hr-HR"/>
    </w:rPr>
  </w:style>
  <w:style w:type="paragraph" w:customStyle="1" w:styleId="Normal1">
    <w:name w:val="Normal+1"/>
    <w:basedOn w:val="Default"/>
    <w:next w:val="Default"/>
    <w:rPr>
      <w:rFonts w:ascii="Times New Roman" w:eastAsia="Calibri" w:hAnsi="Times New Roman" w:cs="Times New Roman"/>
      <w:snapToGrid/>
      <w:color w:val="auto"/>
      <w:lang w:val="hr-HR" w:eastAsia="en-US"/>
    </w:rPr>
  </w:style>
  <w:style w:type="character" w:customStyle="1" w:styleId="TekstChar">
    <w:name w:val="Tekst Char"/>
    <w:link w:val="Tekst"/>
    <w:rPr>
      <w:rFonts w:eastAsia="SimSun"/>
      <w:sz w:val="24"/>
      <w:szCs w:val="24"/>
      <w:lang w:val="sr-Cyrl-CS" w:eastAsia="en-US" w:bidi="ar-SA"/>
    </w:rPr>
  </w:style>
  <w:style w:type="character" w:customStyle="1" w:styleId="CharChar21">
    <w:name w:val=" Char Char21"/>
    <w:rPr>
      <w:rFonts w:ascii="Arial" w:hAnsi="Arial" w:cs="Arial"/>
      <w:b/>
      <w:iCs/>
      <w:color w:val="1F1A17"/>
      <w:sz w:val="24"/>
      <w:szCs w:val="24"/>
    </w:rPr>
  </w:style>
  <w:style w:type="character" w:customStyle="1" w:styleId="tekstChar0">
    <w:name w:val="tekst Char"/>
    <w:link w:val="tekst0"/>
    <w:rPr>
      <w:rFonts w:eastAsia="SimSun"/>
      <w:sz w:val="22"/>
      <w:szCs w:val="24"/>
      <w:lang w:val="sr-Cyrl-BA" w:eastAsia="en-US" w:bidi="ar-SA"/>
    </w:rPr>
  </w:style>
  <w:style w:type="paragraph" w:customStyle="1" w:styleId="StyleBodyTextBefore6pt">
    <w:name w:val="Style Body Text + Before:  6 pt"/>
    <w:basedOn w:val="BodyText"/>
    <w:pPr>
      <w:suppressAutoHyphens w:val="0"/>
      <w:spacing w:before="120" w:line="240" w:lineRule="auto"/>
      <w:jc w:val="both"/>
    </w:pPr>
    <w:rPr>
      <w:rFonts w:ascii="Calibri" w:hAnsi="Calibri"/>
      <w:sz w:val="22"/>
      <w:lang w:val="hr-HR"/>
    </w:rPr>
  </w:style>
  <w:style w:type="character" w:customStyle="1" w:styleId="CharChar22">
    <w:name w:val=" Char Char22"/>
    <w:rPr>
      <w:rFonts w:ascii="Arial" w:hAnsi="Arial" w:cs="Arial"/>
      <w:b/>
      <w:iCs/>
      <w:sz w:val="28"/>
      <w:szCs w:val="28"/>
      <w:u w:val="single"/>
      <w:lang w:val="hr-HR" w:eastAsia="hr-HR"/>
    </w:rPr>
  </w:style>
  <w:style w:type="character" w:customStyle="1" w:styleId="Heading4Char">
    <w:name w:val="Heading 4 Char"/>
    <w:link w:val="Heading4"/>
    <w:rPr>
      <w:rFonts w:eastAsia="SimSun"/>
      <w:snapToGrid w:val="0"/>
      <w:sz w:val="21"/>
      <w:u w:val="single"/>
      <w:lang w:val="en-US" w:eastAsia="zh-CN" w:bidi="ar-SA"/>
    </w:rPr>
  </w:style>
  <w:style w:type="character" w:customStyle="1" w:styleId="Heading5Char">
    <w:name w:val="Heading 5 Char"/>
    <w:link w:val="Heading5"/>
    <w:rPr>
      <w:rFonts w:eastAsia="SimHei"/>
      <w:bCs/>
      <w:snapToGrid w:val="0"/>
      <w:sz w:val="21"/>
      <w:szCs w:val="36"/>
      <w:lang w:val="en-US" w:eastAsia="zh-CN" w:bidi="ar-SA"/>
    </w:rPr>
  </w:style>
  <w:style w:type="character" w:customStyle="1" w:styleId="Heading6Char">
    <w:name w:val="Heading 6 Char"/>
    <w:aliases w:val="Antraštė 6 Diagrama1 Char1,Antraštė 6 Diagrama Diagrama Char"/>
    <w:link w:val="Heading6"/>
    <w:rPr>
      <w:rFonts w:ascii="Arial" w:eastAsia="SimHei" w:hAnsi="Arial"/>
      <w:b/>
      <w:bCs/>
      <w:snapToGrid w:val="0"/>
      <w:sz w:val="21"/>
      <w:szCs w:val="24"/>
      <w:lang w:val="en-US" w:eastAsia="zh-CN" w:bidi="ar-SA"/>
    </w:rPr>
  </w:style>
  <w:style w:type="character" w:customStyle="1" w:styleId="Heading7Char">
    <w:name w:val="Heading 7 Char"/>
    <w:link w:val="Heading7"/>
    <w:rPr>
      <w:rFonts w:eastAsia="SimSun"/>
      <w:b/>
      <w:bCs/>
      <w:snapToGrid w:val="0"/>
      <w:sz w:val="21"/>
      <w:szCs w:val="24"/>
      <w:lang w:val="en-US" w:eastAsia="zh-CN" w:bidi="ar-SA"/>
    </w:rPr>
  </w:style>
  <w:style w:type="character" w:customStyle="1" w:styleId="Heading8Char">
    <w:name w:val="Heading 8 Char"/>
    <w:link w:val="Heading8"/>
    <w:rPr>
      <w:rFonts w:ascii="Arial" w:eastAsia="SimHei" w:hAnsi="Arial"/>
      <w:snapToGrid w:val="0"/>
      <w:sz w:val="21"/>
      <w:szCs w:val="24"/>
      <w:lang w:val="en-US" w:eastAsia="zh-CN" w:bidi="ar-SA"/>
    </w:rPr>
  </w:style>
  <w:style w:type="character" w:customStyle="1" w:styleId="Heading9Char">
    <w:name w:val="Heading 9 Char"/>
    <w:link w:val="Heading9"/>
    <w:rPr>
      <w:rFonts w:ascii="Arial" w:eastAsia="SimHei" w:hAnsi="Arial"/>
      <w:snapToGrid w:val="0"/>
      <w:sz w:val="21"/>
      <w:szCs w:val="21"/>
      <w:lang w:val="en-US" w:eastAsia="zh-CN" w:bidi="ar-SA"/>
    </w:rPr>
  </w:style>
  <w:style w:type="character" w:customStyle="1" w:styleId="TitleChar">
    <w:name w:val="Title Char"/>
    <w:link w:val="Title"/>
    <w:rPr>
      <w:rFonts w:ascii="Arial" w:eastAsia="SimSun" w:hAnsi="Arial" w:cs="Arial"/>
      <w:b/>
      <w:bCs/>
      <w:snapToGrid w:val="0"/>
      <w:sz w:val="32"/>
      <w:szCs w:val="32"/>
      <w:lang w:val="en-US" w:eastAsia="zh-CN" w:bidi="ar-SA"/>
    </w:rPr>
  </w:style>
  <w:style w:type="character" w:customStyle="1" w:styleId="BodyText3Char">
    <w:name w:val="Body Text 3 Char"/>
    <w:aliases w:val=" Char Char1 Char Char Char"/>
    <w:link w:val="BodyText3"/>
    <w:rPr>
      <w:rFonts w:eastAsia="SimSun"/>
      <w:sz w:val="16"/>
      <w:szCs w:val="16"/>
      <w:lang w:val="en-GB" w:eastAsia="en-US" w:bidi="ar-SA"/>
    </w:rPr>
  </w:style>
  <w:style w:type="character" w:customStyle="1" w:styleId="BodyText2Char">
    <w:name w:val="Body Text 2 Char"/>
    <w:link w:val="BodyText2"/>
    <w:rPr>
      <w:rFonts w:eastAsia="SimSun"/>
      <w:lang w:val="en-GB" w:eastAsia="en-US" w:bidi="ar-SA"/>
    </w:rPr>
  </w:style>
  <w:style w:type="character" w:customStyle="1" w:styleId="BodyTextIndent3Char">
    <w:name w:val="Body Text Indent 3 Char"/>
    <w:link w:val="BodyTextIndent3"/>
    <w:rPr>
      <w:rFonts w:eastAsia="SimSun"/>
      <w:sz w:val="16"/>
      <w:szCs w:val="16"/>
      <w:lang w:val="en-GB" w:eastAsia="en-US" w:bidi="ar-SA"/>
    </w:rPr>
  </w:style>
  <w:style w:type="character" w:customStyle="1" w:styleId="CharChar80">
    <w:name w:val=" Char Char8"/>
    <w:rPr>
      <w:rFonts w:ascii="Arial" w:hAnsi="Arial"/>
      <w:sz w:val="24"/>
      <w:lang w:val="en-US" w:eastAsia="en-US"/>
    </w:rPr>
  </w:style>
  <w:style w:type="character" w:customStyle="1" w:styleId="CharChar70">
    <w:name w:val=" Char Char7"/>
    <w:rPr>
      <w:rFonts w:ascii="Arial" w:hAnsi="Arial"/>
      <w:sz w:val="24"/>
      <w:lang w:val="en-US" w:eastAsia="en-US"/>
    </w:rPr>
  </w:style>
  <w:style w:type="character" w:customStyle="1" w:styleId="text1">
    <w:name w:val="text1"/>
    <w:rPr>
      <w:rFonts w:ascii="Verdana" w:hAnsi="Verdana" w:hint="default"/>
      <w:b w:val="0"/>
      <w:bCs w:val="0"/>
      <w:i w:val="0"/>
      <w:iCs w:val="0"/>
      <w:caps w:val="0"/>
      <w:color w:val="000000"/>
      <w:sz w:val="15"/>
      <w:szCs w:val="15"/>
    </w:rPr>
  </w:style>
  <w:style w:type="numbering" w:customStyle="1" w:styleId="Style1">
    <w:name w:val="Style1"/>
    <w:pPr>
      <w:numPr>
        <w:numId w:val="15"/>
      </w:numPr>
    </w:pPr>
  </w:style>
  <w:style w:type="paragraph" w:styleId="Revision">
    <w:name w:val="Revision"/>
    <w:hidden/>
    <w:semiHidden/>
    <w:rPr>
      <w:sz w:val="24"/>
      <w:szCs w:val="24"/>
    </w:rPr>
  </w:style>
  <w:style w:type="paragraph" w:customStyle="1" w:styleId="StyleBody11ptJustified">
    <w:name w:val="Style +Body 11 pt Justified"/>
    <w:basedOn w:val="Normal"/>
    <w:pPr>
      <w:tabs>
        <w:tab w:val="clear" w:pos="431"/>
      </w:tabs>
      <w:overflowPunct/>
      <w:adjustRightInd/>
      <w:snapToGrid/>
      <w:spacing w:before="120" w:line="240" w:lineRule="auto"/>
    </w:pPr>
    <w:rPr>
      <w:rFonts w:ascii="Calibri" w:hAnsi="Calibri"/>
      <w:snapToGrid/>
      <w:sz w:val="22"/>
      <w:lang w:val="en-GB" w:eastAsia="en-US"/>
    </w:rPr>
  </w:style>
  <w:style w:type="paragraph" w:styleId="TOCHeading">
    <w:name w:val="TOC Heading"/>
    <w:basedOn w:val="Heading1"/>
    <w:next w:val="Normal"/>
    <w:qFormat/>
    <w:pPr>
      <w:widowControl/>
      <w:tabs>
        <w:tab w:val="clear" w:pos="431"/>
      </w:tabs>
      <w:overflowPunct/>
      <w:adjustRightInd/>
      <w:snapToGrid/>
      <w:spacing w:before="480" w:after="0" w:line="276" w:lineRule="auto"/>
      <w:jc w:val="left"/>
      <w:outlineLvl w:val="9"/>
    </w:pPr>
    <w:rPr>
      <w:rFonts w:ascii="Cambria" w:eastAsia="MS Gothic" w:hAnsi="Cambria"/>
      <w:bCs/>
      <w:color w:val="365F91"/>
      <w:kern w:val="0"/>
      <w:sz w:val="28"/>
      <w:szCs w:val="28"/>
      <w:lang w:eastAsia="ja-JP"/>
    </w:rPr>
  </w:style>
  <w:style w:type="character" w:customStyle="1" w:styleId="atn">
    <w:name w:val="atn"/>
    <w:basedOn w:val="DefaultParagraphFont"/>
  </w:style>
  <w:style w:type="character" w:customStyle="1" w:styleId="gt-icon-text">
    <w:name w:val="gt-icon-text"/>
    <w:basedOn w:val="DefaultParagraphFont"/>
  </w:style>
  <w:style w:type="paragraph" w:styleId="Quote">
    <w:name w:val="Quote"/>
    <w:basedOn w:val="Normal"/>
    <w:next w:val="Normal"/>
    <w:link w:val="QuoteChar"/>
    <w:qFormat/>
    <w:pPr>
      <w:tabs>
        <w:tab w:val="clear" w:pos="431"/>
      </w:tabs>
      <w:overflowPunct/>
      <w:adjustRightInd/>
      <w:snapToGrid/>
      <w:spacing w:after="200" w:line="288" w:lineRule="auto"/>
      <w:jc w:val="left"/>
    </w:pPr>
    <w:rPr>
      <w:rFonts w:ascii="Calibri" w:eastAsia="Calibri" w:hAnsi="Calibri" w:cs="Arial"/>
      <w:snapToGrid/>
      <w:color w:val="943634"/>
      <w:sz w:val="20"/>
      <w:lang w:eastAsia="en-US" w:bidi="en-US"/>
    </w:rPr>
  </w:style>
  <w:style w:type="character" w:customStyle="1" w:styleId="QuoteChar">
    <w:name w:val="Quote Char"/>
    <w:link w:val="Quote"/>
    <w:rPr>
      <w:rFonts w:ascii="Calibri" w:eastAsia="Calibri" w:hAnsi="Calibri" w:cs="Arial"/>
      <w:color w:val="943634"/>
      <w:lang w:val="en-US" w:eastAsia="en-US" w:bidi="en-US"/>
    </w:rPr>
  </w:style>
  <w:style w:type="paragraph" w:styleId="IntenseQuote">
    <w:name w:val="Intense Quote"/>
    <w:basedOn w:val="Normal"/>
    <w:next w:val="Normal"/>
    <w:link w:val="IntenseQuoteChar"/>
    <w:qFormat/>
    <w:pPr>
      <w:pBdr>
        <w:top w:val="dotted" w:sz="8" w:space="10" w:color="C0504D"/>
        <w:bottom w:val="dotted" w:sz="8" w:space="10" w:color="C0504D"/>
      </w:pBdr>
      <w:tabs>
        <w:tab w:val="clear" w:pos="431"/>
      </w:tabs>
      <w:overflowPunct/>
      <w:adjustRightInd/>
      <w:snapToGrid/>
      <w:spacing w:after="200" w:line="300" w:lineRule="auto"/>
      <w:ind w:left="2160" w:right="2160"/>
      <w:jc w:val="center"/>
    </w:pPr>
    <w:rPr>
      <w:rFonts w:ascii="Cambria" w:hAnsi="Cambria"/>
      <w:b/>
      <w:bCs/>
      <w:i/>
      <w:iCs/>
      <w:snapToGrid/>
      <w:color w:val="C0504D"/>
      <w:sz w:val="20"/>
      <w:lang w:eastAsia="en-US" w:bidi="en-US"/>
    </w:rPr>
  </w:style>
  <w:style w:type="character" w:customStyle="1" w:styleId="IntenseQuoteChar">
    <w:name w:val="Intense Quote Char"/>
    <w:link w:val="IntenseQuote"/>
    <w:rPr>
      <w:rFonts w:ascii="Cambria" w:eastAsia="SimSun" w:hAnsi="Cambria"/>
      <w:b/>
      <w:bCs/>
      <w:i/>
      <w:iCs/>
      <w:color w:val="C0504D"/>
      <w:lang w:val="en-US" w:eastAsia="en-US" w:bidi="en-US"/>
    </w:rPr>
  </w:style>
  <w:style w:type="character" w:styleId="SubtleEmphasis">
    <w:name w:val="Subtle Emphasis"/>
    <w:qFormat/>
    <w:rPr>
      <w:rFonts w:ascii="Cambria" w:eastAsia="Times New Roman" w:hAnsi="Cambria" w:cs="Times New Roman"/>
      <w:i/>
      <w:iCs/>
      <w:color w:val="C0504D"/>
    </w:rPr>
  </w:style>
  <w:style w:type="character" w:styleId="IntenseEmphasis">
    <w:name w:val="Intense Emphasis"/>
    <w:qFormat/>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SubtleReference">
    <w:name w:val="Subtle Reference"/>
    <w:qFormat/>
    <w:rPr>
      <w:i/>
      <w:iCs/>
      <w:smallCaps/>
      <w:color w:val="C0504D"/>
      <w:u w:color="C0504D"/>
    </w:rPr>
  </w:style>
  <w:style w:type="character" w:styleId="IntenseReference">
    <w:name w:val="Intense Reference"/>
    <w:qFormat/>
    <w:rPr>
      <w:b/>
      <w:bCs/>
      <w:i/>
      <w:iCs/>
      <w:smallCaps/>
      <w:color w:val="C0504D"/>
      <w:u w:color="C0504D"/>
    </w:rPr>
  </w:style>
  <w:style w:type="character" w:styleId="BookTitle">
    <w:name w:val="Book Title"/>
    <w:qFormat/>
    <w:rPr>
      <w:rFonts w:ascii="Cambria" w:eastAsia="Times New Roman" w:hAnsi="Cambria" w:cs="Times New Roman"/>
      <w:b/>
      <w:bCs/>
      <w:i/>
      <w:iCs/>
      <w:smallCaps/>
      <w:color w:val="943634"/>
      <w:u w:val="single"/>
    </w:rPr>
  </w:style>
  <w:style w:type="table" w:styleId="MediumList1-Accent5">
    <w:name w:val="Medium List 1 Accent 5"/>
    <w:basedOn w:val="TableNormal"/>
    <w:rPr>
      <w:rFonts w:ascii="Calibri" w:eastAsia="Calibri" w:hAnsi="Calibri" w:cs="Arial"/>
      <w:color w:val="00000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paragraph" w:customStyle="1" w:styleId="AlaSind">
    <w:name w:val="A la Sind"/>
    <w:basedOn w:val="Normal"/>
    <w:pPr>
      <w:keepNext/>
      <w:tabs>
        <w:tab w:val="clear" w:pos="431"/>
        <w:tab w:val="right" w:pos="4536"/>
      </w:tabs>
      <w:overflowPunct/>
      <w:adjustRightInd/>
      <w:snapToGrid/>
      <w:spacing w:before="360" w:after="40" w:line="250" w:lineRule="exact"/>
    </w:pPr>
    <w:rPr>
      <w:rFonts w:ascii="GoudyOlSt BT" w:hAnsi="GoudyOlSt BT" w:cs="GoudyOlSt BT"/>
      <w:b/>
      <w:bCs/>
      <w:noProof/>
      <w:sz w:val="24"/>
      <w:szCs w:val="24"/>
      <w:lang w:val="ca-ES" w:eastAsia="fr-FR"/>
    </w:rPr>
  </w:style>
  <w:style w:type="paragraph" w:customStyle="1" w:styleId="Ttolc">
    <w:name w:val="Títol c"/>
    <w:basedOn w:val="Heading3"/>
    <w:link w:val="TtolcCar"/>
    <w:pPr>
      <w:keepLines w:val="0"/>
      <w:widowControl/>
      <w:tabs>
        <w:tab w:val="clear" w:pos="431"/>
      </w:tabs>
      <w:overflowPunct/>
      <w:adjustRightInd/>
      <w:snapToGrid/>
      <w:spacing w:after="0" w:line="360" w:lineRule="auto"/>
      <w:ind w:left="708"/>
      <w:jc w:val="both"/>
    </w:pPr>
    <w:rPr>
      <w:b/>
      <w:noProof/>
      <w:kern w:val="0"/>
      <w:sz w:val="24"/>
      <w:lang w:val="fr-FR" w:eastAsia="fr-FR"/>
    </w:rPr>
  </w:style>
  <w:style w:type="paragraph" w:customStyle="1" w:styleId="Ttola">
    <w:name w:val="Títol a"/>
    <w:basedOn w:val="Heading1"/>
    <w:link w:val="TtolaCar"/>
    <w:autoRedefine/>
    <w:pPr>
      <w:keepLines w:val="0"/>
      <w:widowControl/>
      <w:tabs>
        <w:tab w:val="clear" w:pos="431"/>
      </w:tabs>
      <w:overflowPunct/>
      <w:adjustRightInd/>
      <w:snapToGrid/>
      <w:spacing w:before="240" w:after="60" w:line="360" w:lineRule="auto"/>
      <w:ind w:left="435"/>
      <w:jc w:val="both"/>
    </w:pPr>
    <w:rPr>
      <w:bCs/>
      <w:caps/>
      <w:noProof/>
      <w:snapToGrid w:val="0"/>
      <w:sz w:val="28"/>
      <w:szCs w:val="28"/>
      <w:lang w:val="fr-FR" w:eastAsia="fr-FR"/>
    </w:rPr>
  </w:style>
  <w:style w:type="character" w:customStyle="1" w:styleId="TtolaCar">
    <w:name w:val="Títol a Car"/>
    <w:link w:val="Ttola"/>
    <w:rPr>
      <w:rFonts w:eastAsia="SimSun"/>
      <w:b/>
      <w:bCs/>
      <w:caps/>
      <w:noProof/>
      <w:snapToGrid w:val="0"/>
      <w:kern w:val="32"/>
      <w:sz w:val="28"/>
      <w:szCs w:val="28"/>
      <w:lang w:val="fr-FR" w:eastAsia="fr-FR" w:bidi="ar-SA"/>
    </w:rPr>
  </w:style>
  <w:style w:type="character" w:customStyle="1" w:styleId="TtolcCar">
    <w:name w:val="Títol c Car"/>
    <w:link w:val="Ttolc"/>
    <w:rPr>
      <w:rFonts w:eastAsia="SimSun"/>
      <w:b/>
      <w:noProof/>
      <w:snapToGrid w:val="0"/>
      <w:sz w:val="24"/>
      <w:u w:val="single"/>
      <w:lang w:val="fr-FR" w:eastAsia="fr-FR" w:bidi="ar-SA"/>
    </w:rPr>
  </w:style>
  <w:style w:type="paragraph" w:customStyle="1" w:styleId="Noparagraphstyle">
    <w:name w:val="[No paragraph style]"/>
    <w:pPr>
      <w:autoSpaceDE w:val="0"/>
      <w:autoSpaceDN w:val="0"/>
      <w:adjustRightInd w:val="0"/>
      <w:spacing w:line="288" w:lineRule="auto"/>
      <w:textAlignment w:val="center"/>
    </w:pPr>
    <w:rPr>
      <w:rFonts w:ascii="Times" w:hAnsi="Times" w:cs="Times"/>
      <w:snapToGrid w:val="0"/>
      <w:color w:val="000000"/>
      <w:sz w:val="24"/>
      <w:szCs w:val="24"/>
      <w:lang w:val="es-ES" w:eastAsia="fr-FR"/>
    </w:rPr>
  </w:style>
  <w:style w:type="paragraph" w:customStyle="1" w:styleId="textcom">
    <w:name w:val="text comú"/>
    <w:basedOn w:val="Noparagraphstyle"/>
    <w:next w:val="Noparagraphstyle"/>
    <w:autoRedefine/>
    <w:pPr>
      <w:keepLines/>
      <w:jc w:val="both"/>
      <w:textAlignment w:val="baseline"/>
    </w:pPr>
    <w:rPr>
      <w:rFonts w:ascii="Garamond" w:hAnsi="Garamond" w:cs="Garamond"/>
      <w:color w:val="auto"/>
      <w:sz w:val="20"/>
      <w:szCs w:val="20"/>
      <w:lang w:val="ca-ES"/>
    </w:rPr>
  </w:style>
  <w:style w:type="paragraph" w:customStyle="1" w:styleId="convenis">
    <w:name w:val="convenis"/>
    <w:basedOn w:val="Normal"/>
    <w:pPr>
      <w:tabs>
        <w:tab w:val="clear" w:pos="431"/>
      </w:tabs>
      <w:overflowPunct/>
      <w:adjustRightInd/>
      <w:snapToGrid/>
      <w:spacing w:before="24" w:after="24" w:line="240" w:lineRule="auto"/>
      <w:ind w:left="24" w:right="24"/>
    </w:pPr>
    <w:rPr>
      <w:noProof/>
      <w:sz w:val="24"/>
      <w:szCs w:val="24"/>
      <w:lang w:val="es-ES" w:eastAsia="fr-FR"/>
    </w:rPr>
  </w:style>
  <w:style w:type="paragraph" w:customStyle="1" w:styleId="QUADRE">
    <w:name w:val="QUADRE"/>
    <w:basedOn w:val="BodyText"/>
    <w:pPr>
      <w:suppressAutoHyphens w:val="0"/>
      <w:spacing w:line="240" w:lineRule="auto"/>
      <w:jc w:val="both"/>
    </w:pPr>
    <w:rPr>
      <w:b/>
      <w:bCs/>
      <w:noProof/>
      <w:snapToGrid w:val="0"/>
      <w:color w:val="FFFFFF"/>
      <w:lang w:val="fr-FR" w:eastAsia="fr-FR"/>
    </w:rPr>
  </w:style>
  <w:style w:type="paragraph" w:customStyle="1" w:styleId="TEXTNORMALNEGRETA12">
    <w:name w:val="TEXT NORMAL NEGRETA 12"/>
    <w:basedOn w:val="BodyTextIndent"/>
    <w:pPr>
      <w:tabs>
        <w:tab w:val="num" w:pos="1440"/>
        <w:tab w:val="left" w:pos="2072"/>
      </w:tabs>
      <w:suppressAutoHyphens w:val="0"/>
      <w:spacing w:after="0" w:line="360" w:lineRule="auto"/>
      <w:ind w:left="0"/>
      <w:jc w:val="both"/>
    </w:pPr>
    <w:rPr>
      <w:b/>
      <w:bCs/>
      <w:noProof/>
      <w:snapToGrid w:val="0"/>
      <w:sz w:val="24"/>
      <w:szCs w:val="24"/>
      <w:lang w:val="fr-FR" w:eastAsia="fr-FR"/>
    </w:rPr>
  </w:style>
  <w:style w:type="paragraph" w:customStyle="1" w:styleId="xl25">
    <w:name w:val="xl25"/>
    <w:basedOn w:val="Normal"/>
    <w:pPr>
      <w:tabs>
        <w:tab w:val="clear" w:pos="431"/>
      </w:tabs>
      <w:overflowPunct/>
      <w:adjustRightInd/>
      <w:snapToGrid/>
      <w:spacing w:before="100" w:beforeAutospacing="1" w:after="100" w:afterAutospacing="1" w:line="240" w:lineRule="auto"/>
      <w:jc w:val="left"/>
    </w:pPr>
    <w:rPr>
      <w:rFonts w:ascii="Arial0" w:eastAsia="Arial Unicode MS" w:hAnsi="Arial0" w:cs="Arial0"/>
      <w:noProof/>
      <w:snapToGrid/>
      <w:sz w:val="20"/>
      <w:lang w:val="es-ES" w:eastAsia="fr-FR"/>
    </w:rPr>
  </w:style>
  <w:style w:type="paragraph" w:customStyle="1" w:styleId="Justifi">
    <w:name w:val="Justifié"/>
    <w:aliases w:val="Avant : 12 pt Après : 12 pt Interligne : 1,5l"/>
    <w:basedOn w:val="Normal"/>
    <w:pPr>
      <w:tabs>
        <w:tab w:val="clear" w:pos="431"/>
      </w:tabs>
      <w:overflowPunct/>
      <w:adjustRightInd/>
      <w:snapToGrid/>
      <w:spacing w:before="240" w:after="240" w:line="360" w:lineRule="auto"/>
      <w:ind w:left="180"/>
    </w:pPr>
    <w:rPr>
      <w:noProof/>
      <w:sz w:val="24"/>
      <w:lang w:val="ca-ES" w:eastAsia="fr-FR"/>
    </w:rPr>
  </w:style>
  <w:style w:type="paragraph" w:customStyle="1" w:styleId="xl24">
    <w:name w:val="xl24"/>
    <w:basedOn w:val="Normal"/>
    <w:pPr>
      <w:tabs>
        <w:tab w:val="clear" w:pos="431"/>
      </w:tabs>
      <w:overflowPunct/>
      <w:adjustRightInd/>
      <w:snapToGrid/>
      <w:spacing w:before="100" w:beforeAutospacing="1" w:after="100" w:afterAutospacing="1" w:line="240" w:lineRule="auto"/>
      <w:jc w:val="left"/>
    </w:pPr>
    <w:rPr>
      <w:rFonts w:ascii="Arial" w:eastAsia="Arial Unicode MS" w:hAnsi="Arial" w:cs="Arial"/>
      <w:noProof/>
      <w:snapToGrid/>
      <w:sz w:val="24"/>
      <w:szCs w:val="24"/>
      <w:lang w:val="es-ES" w:eastAsia="es-ES"/>
    </w:rPr>
  </w:style>
  <w:style w:type="paragraph" w:customStyle="1" w:styleId="Ttol1Interlineat15lnies">
    <w:name w:val="Títol 1 + Interlineat:  15 línies"/>
    <w:basedOn w:val="Heading1"/>
    <w:pPr>
      <w:keepLines w:val="0"/>
      <w:widowControl/>
      <w:tabs>
        <w:tab w:val="clear" w:pos="431"/>
      </w:tabs>
      <w:overflowPunct/>
      <w:adjustRightInd/>
      <w:snapToGrid/>
      <w:spacing w:before="240" w:after="60" w:line="360" w:lineRule="auto"/>
      <w:jc w:val="both"/>
    </w:pPr>
    <w:rPr>
      <w:b w:val="0"/>
      <w:bCs/>
      <w:noProof/>
      <w:snapToGrid w:val="0"/>
      <w:sz w:val="28"/>
      <w:lang w:val="fr-FR" w:eastAsia="fr-FR"/>
    </w:rPr>
  </w:style>
  <w:style w:type="character" w:customStyle="1" w:styleId="Titre3CarChar">
    <w:name w:val="Titre 3 Car Char"/>
    <w:aliases w:val="Car19 Car Char Char"/>
    <w:rPr>
      <w:rFonts w:ascii="Cambria" w:hAnsi="Cambria" w:cs="Cambria"/>
      <w:b/>
      <w:bCs/>
      <w:snapToGrid w:val="0"/>
      <w:sz w:val="26"/>
      <w:szCs w:val="26"/>
      <w:lang w:val="fr-FR" w:eastAsia="fr-FR" w:bidi="ar-SA"/>
    </w:rPr>
  </w:style>
  <w:style w:type="character" w:customStyle="1" w:styleId="CorpsdetexteCar1Char">
    <w:name w:val="Corps de texte Car1 Char"/>
    <w:aliases w:val="Corps de texte Car Car Char,Car12 Car Car Char,Corps de texte Car Char,Car12 Car Char Char"/>
    <w:rPr>
      <w:snapToGrid w:val="0"/>
      <w:lang w:val="fr-FR" w:eastAsia="fr-FR" w:bidi="ar-SA"/>
    </w:rPr>
  </w:style>
  <w:style w:type="paragraph" w:customStyle="1" w:styleId="Prrafodelista">
    <w:name w:val="Párrafo de lista"/>
    <w:basedOn w:val="Normal"/>
    <w:qFormat/>
    <w:pPr>
      <w:tabs>
        <w:tab w:val="clear" w:pos="431"/>
      </w:tabs>
      <w:overflowPunct/>
      <w:adjustRightInd/>
      <w:snapToGrid/>
      <w:spacing w:line="240" w:lineRule="auto"/>
      <w:ind w:left="708"/>
      <w:jc w:val="left"/>
    </w:pPr>
    <w:rPr>
      <w:noProof/>
      <w:sz w:val="24"/>
      <w:szCs w:val="24"/>
      <w:lang w:val="fr-FR" w:eastAsia="fr-FR"/>
    </w:rPr>
  </w:style>
  <w:style w:type="paragraph" w:customStyle="1" w:styleId="2">
    <w:name w:val="页眉2"/>
    <w:basedOn w:val="Normal"/>
    <w:pPr>
      <w:framePr w:w="6747" w:h="284" w:hRule="exact" w:hSpace="181" w:vSpace="181" w:wrap="notBeside" w:vAnchor="page" w:hAnchor="page" w:x="4310" w:y="1163" w:anchorLock="1"/>
      <w:tabs>
        <w:tab w:val="clear" w:pos="431"/>
        <w:tab w:val="left" w:pos="425"/>
      </w:tabs>
      <w:overflowPunct/>
      <w:snapToGrid/>
      <w:spacing w:line="300" w:lineRule="exact"/>
      <w:jc w:val="right"/>
      <w:textAlignment w:val="baseline"/>
    </w:pPr>
    <w:rPr>
      <w:snapToGrid/>
      <w:color w:val="000000"/>
      <w:kern w:val="19"/>
      <w:sz w:val="19"/>
    </w:rPr>
  </w:style>
  <w:style w:type="paragraph" w:customStyle="1" w:styleId="ParaNoG">
    <w:name w:val="_ParaNo._G"/>
    <w:basedOn w:val="SingleTxtG"/>
    <w:pPr>
      <w:numPr>
        <w:numId w:val="2"/>
      </w:numPr>
    </w:pPr>
  </w:style>
  <w:style w:type="paragraph" w:customStyle="1" w:styleId="H23GR">
    <w:name w:val="_ H_2/3_GR"/>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pacing w:val="4"/>
      <w:w w:val="103"/>
      <w:kern w:val="14"/>
      <w:sz w:val="20"/>
      <w:lang w:val="ru-RU" w:eastAsia="ru-RU"/>
    </w:rPr>
  </w:style>
  <w:style w:type="paragraph" w:customStyle="1" w:styleId="HCh">
    <w:name w:val="_ H _Ch"/>
    <w:basedOn w:val="H1"/>
    <w:next w:val="SingleTxt"/>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300" w:lineRule="exact"/>
      <w:ind w:left="0" w:right="0" w:firstLine="0"/>
    </w:pPr>
    <w:rPr>
      <w:snapToGrid w:val="0"/>
      <w:spacing w:val="-2"/>
      <w:sz w:val="28"/>
      <w:lang w:val="es-ES" w:eastAsia="zh-CN"/>
    </w:rPr>
  </w:style>
  <w:style w:type="character" w:customStyle="1" w:styleId="ListParagraphChar1">
    <w:name w:val="List Paragraph Char1"/>
    <w:locked/>
    <w:rPr>
      <w:lang w:val="es-ES"/>
    </w:rPr>
  </w:style>
  <w:style w:type="character" w:customStyle="1" w:styleId="FootnoteTextChar">
    <w:name w:val="Footnote Text Char"/>
    <w:semiHidden/>
    <w:rPr>
      <w:rFonts w:ascii="Calibri" w:eastAsia="Times New Roman" w:hAnsi="Calibri"/>
      <w:lang w:val="es-ES"/>
    </w:rPr>
  </w:style>
  <w:style w:type="paragraph" w:customStyle="1" w:styleId="normal0">
    <w:name w:val="normal"/>
    <w:basedOn w:val="Normal"/>
    <w:pPr>
      <w:tabs>
        <w:tab w:val="clear" w:pos="431"/>
      </w:tabs>
      <w:overflowPunct/>
      <w:adjustRightInd/>
      <w:snapToGrid/>
      <w:spacing w:line="240" w:lineRule="auto"/>
      <w:jc w:val="left"/>
    </w:pPr>
    <w:rPr>
      <w:rFonts w:ascii="Calibri" w:hAnsi="Calibri"/>
      <w:sz w:val="22"/>
      <w:szCs w:val="22"/>
      <w:lang w:val="es-ES"/>
    </w:rPr>
  </w:style>
  <w:style w:type="character" w:customStyle="1" w:styleId="normalchar1">
    <w:name w:val="normal__char1"/>
    <w:rPr>
      <w:rFonts w:ascii="Calibri" w:hAnsi="Calibri"/>
    </w:rPr>
  </w:style>
  <w:style w:type="paragraph" w:customStyle="1" w:styleId="xmsonormal">
    <w:name w:val="xmsonormal"/>
    <w:basedOn w:val="Normal"/>
    <w:pPr>
      <w:tabs>
        <w:tab w:val="clear" w:pos="431"/>
      </w:tabs>
      <w:overflowPunct/>
      <w:adjustRightInd/>
      <w:snapToGrid/>
      <w:spacing w:before="100" w:beforeAutospacing="1" w:after="100" w:afterAutospacing="1" w:line="240" w:lineRule="auto"/>
      <w:jc w:val="left"/>
    </w:pPr>
    <w:rPr>
      <w:sz w:val="24"/>
      <w:szCs w:val="24"/>
      <w:lang w:val="es-ES"/>
    </w:rPr>
  </w:style>
  <w:style w:type="paragraph" w:customStyle="1" w:styleId="Prrafodelista1">
    <w:name w:val="Párrafo de lista1"/>
    <w:basedOn w:val="Normal"/>
    <w:pPr>
      <w:tabs>
        <w:tab w:val="clear" w:pos="431"/>
      </w:tabs>
      <w:overflowPunct/>
      <w:adjustRightInd/>
      <w:snapToGrid/>
      <w:spacing w:line="240" w:lineRule="auto"/>
      <w:ind w:left="708"/>
      <w:jc w:val="left"/>
    </w:pPr>
    <w:rPr>
      <w:sz w:val="24"/>
      <w:szCs w:val="24"/>
    </w:rPr>
  </w:style>
  <w:style w:type="character" w:customStyle="1" w:styleId="estilo8">
    <w:name w:val="estilo8"/>
  </w:style>
  <w:style w:type="character" w:customStyle="1" w:styleId="CharChar4">
    <w:name w:val="Char Char4"/>
    <w:locked/>
    <w:rPr>
      <w:lang w:val="es-ES_tradnl"/>
    </w:rPr>
  </w:style>
  <w:style w:type="character" w:customStyle="1" w:styleId="2GCharChar">
    <w:name w:val="2_G Char Char"/>
    <w:semiHidden/>
    <w:locked/>
    <w:rPr>
      <w:sz w:val="18"/>
      <w:lang w:val="fr-CH"/>
    </w:rPr>
  </w:style>
  <w:style w:type="character" w:customStyle="1" w:styleId="6GCharChar">
    <w:name w:val="6_G Char Char"/>
    <w:locked/>
    <w:rPr>
      <w:b/>
      <w:sz w:val="18"/>
      <w:lang w:val="fr-CH"/>
    </w:rPr>
  </w:style>
  <w:style w:type="character" w:customStyle="1" w:styleId="googqs-tidbit1">
    <w:name w:val="goog_qs-tidbit1"/>
  </w:style>
  <w:style w:type="character" w:customStyle="1" w:styleId="list0020paragraphchar1">
    <w:name w:val="list_0020paragraph__char1"/>
    <w:rPr>
      <w:rFonts w:ascii="Calibri" w:hAnsi="Calibri"/>
    </w:rPr>
  </w:style>
  <w:style w:type="paragraph" w:customStyle="1" w:styleId="CharChar13">
    <w:name w:val=" Char Char13"/>
    <w:basedOn w:val="Normal"/>
    <w:link w:val="TableColorful1"/>
    <w:pPr>
      <w:tabs>
        <w:tab w:val="clear" w:pos="431"/>
      </w:tabs>
      <w:overflowPunct/>
      <w:adjustRightInd/>
      <w:snapToGrid/>
      <w:spacing w:line="240" w:lineRule="auto"/>
      <w:ind w:left="720"/>
      <w:jc w:val="left"/>
    </w:pPr>
    <w:rPr>
      <w:sz w:val="20"/>
    </w:rPr>
  </w:style>
  <w:style w:type="character" w:customStyle="1" w:styleId="ListParagraphChar">
    <w:name w:val="List Paragraph Char"/>
    <w:locked/>
    <w:rPr>
      <w:lang w:val="en-US"/>
    </w:rPr>
  </w:style>
  <w:style w:type="character" w:customStyle="1" w:styleId="estilo46">
    <w:name w:val="estilo46"/>
  </w:style>
  <w:style w:type="character" w:customStyle="1" w:styleId="ListParagraphChar2">
    <w:name w:val="List Paragraph Char2"/>
    <w:locked/>
    <w:rPr>
      <w:sz w:val="24"/>
      <w:lang w:val="en-US"/>
    </w:rPr>
  </w:style>
  <w:style w:type="paragraph" w:customStyle="1" w:styleId="CharChar12">
    <w:name w:val=" Char Char12"/>
    <w:basedOn w:val="Normal"/>
    <w:link w:val="TableColorful2"/>
    <w:pPr>
      <w:tabs>
        <w:tab w:val="clear" w:pos="431"/>
      </w:tabs>
      <w:overflowPunct/>
      <w:adjustRightInd/>
      <w:snapToGrid/>
      <w:spacing w:after="200" w:line="276" w:lineRule="auto"/>
      <w:ind w:left="720"/>
      <w:jc w:val="left"/>
    </w:pPr>
    <w:rPr>
      <w:rFonts w:ascii="Calibri" w:hAnsi="Calibri"/>
      <w:sz w:val="20"/>
      <w:lang w:val="es-ES"/>
    </w:rPr>
  </w:style>
  <w:style w:type="character" w:customStyle="1" w:styleId="Listavistosa-nfasis1Car">
    <w:name w:val="Lista vistosa - énfasis 1 Car"/>
    <w:locked/>
    <w:rPr>
      <w:rFonts w:ascii="Calibri" w:hAnsi="Calibri"/>
      <w:lang w:val="es-ES"/>
    </w:rPr>
  </w:style>
  <w:style w:type="character" w:customStyle="1" w:styleId="CharChar100">
    <w:name w:val="Char Char10"/>
    <w:locked/>
    <w:rPr>
      <w:lang w:val="es-ES_tradnl"/>
    </w:rPr>
  </w:style>
  <w:style w:type="paragraph" w:customStyle="1" w:styleId="CharChar10">
    <w:name w:val=" Char Char10"/>
    <w:basedOn w:val="Normal"/>
    <w:link w:val="TableColorful3"/>
    <w:pPr>
      <w:tabs>
        <w:tab w:val="clear" w:pos="431"/>
      </w:tabs>
      <w:overflowPunct/>
      <w:adjustRightInd/>
      <w:snapToGrid/>
      <w:spacing w:line="276" w:lineRule="auto"/>
      <w:ind w:left="1418"/>
    </w:pPr>
    <w:rPr>
      <w:rFonts w:ascii="Calibri" w:hAnsi="Calibri"/>
      <w:iCs/>
      <w:sz w:val="24"/>
      <w:szCs w:val="24"/>
    </w:rPr>
  </w:style>
  <w:style w:type="character" w:customStyle="1" w:styleId="CitasdejurispCar">
    <w:name w:val="Citas de jurisp Car"/>
    <w:locked/>
    <w:rPr>
      <w:rFonts w:ascii="Calibri" w:hAnsi="Calibri"/>
      <w:sz w:val="24"/>
      <w:lang w:val="en-US"/>
    </w:rPr>
  </w:style>
  <w:style w:type="paragraph" w:customStyle="1" w:styleId="bodytext210">
    <w:name w:val="bodytext21"/>
    <w:basedOn w:val="Normal"/>
    <w:pPr>
      <w:tabs>
        <w:tab w:val="clear" w:pos="431"/>
      </w:tabs>
      <w:overflowPunct/>
      <w:adjustRightInd/>
      <w:snapToGrid/>
      <w:spacing w:before="100" w:beforeAutospacing="1" w:after="100" w:afterAutospacing="1" w:line="240" w:lineRule="auto"/>
      <w:jc w:val="left"/>
    </w:pPr>
    <w:rPr>
      <w:sz w:val="24"/>
      <w:szCs w:val="24"/>
      <w:lang w:val="es-CO"/>
    </w:rPr>
  </w:style>
  <w:style w:type="paragraph" w:customStyle="1" w:styleId="nospacing1">
    <w:name w:val="nospacing1"/>
    <w:basedOn w:val="Normal"/>
    <w:pPr>
      <w:tabs>
        <w:tab w:val="clear" w:pos="431"/>
      </w:tabs>
      <w:overflowPunct/>
      <w:adjustRightInd/>
      <w:snapToGrid/>
      <w:spacing w:before="100" w:beforeAutospacing="1" w:after="100" w:afterAutospacing="1" w:line="240" w:lineRule="auto"/>
      <w:jc w:val="left"/>
    </w:pPr>
    <w:rPr>
      <w:sz w:val="24"/>
      <w:szCs w:val="24"/>
      <w:lang w:val="es-CO"/>
    </w:rPr>
  </w:style>
  <w:style w:type="character" w:customStyle="1" w:styleId="nw1">
    <w:name w:val="nw1"/>
  </w:style>
  <w:style w:type="paragraph" w:customStyle="1" w:styleId="Pa2">
    <w:name w:val="Pa2"/>
    <w:basedOn w:val="Normal"/>
    <w:next w:val="Normal"/>
    <w:pPr>
      <w:tabs>
        <w:tab w:val="clear" w:pos="431"/>
      </w:tabs>
      <w:overflowPunct/>
      <w:autoSpaceDE w:val="0"/>
      <w:autoSpaceDN w:val="0"/>
      <w:snapToGrid/>
      <w:spacing w:line="201" w:lineRule="atLeast"/>
      <w:jc w:val="left"/>
    </w:pPr>
    <w:rPr>
      <w:sz w:val="24"/>
      <w:szCs w:val="24"/>
      <w:lang w:val="es-ES"/>
    </w:rPr>
  </w:style>
  <w:style w:type="paragraph" w:customStyle="1" w:styleId="estilotextohome">
    <w:name w:val="estilotextohome"/>
    <w:basedOn w:val="Normal"/>
    <w:pPr>
      <w:tabs>
        <w:tab w:val="clear" w:pos="431"/>
      </w:tabs>
      <w:overflowPunct/>
      <w:adjustRightInd/>
      <w:snapToGrid/>
      <w:spacing w:before="100" w:beforeAutospacing="1" w:after="100" w:afterAutospacing="1" w:line="240" w:lineRule="auto"/>
    </w:pPr>
    <w:rPr>
      <w:rFonts w:ascii="Arial" w:hAnsi="Arial" w:cs="Arial"/>
      <w:color w:val="112943"/>
      <w:sz w:val="14"/>
      <w:szCs w:val="14"/>
      <w:lang w:val="es-ES"/>
    </w:rPr>
  </w:style>
  <w:style w:type="numbering" w:customStyle="1" w:styleId="a">
    <w:name w:val="ÎÄÕÂ/½Ú"/>
    <w:pPr>
      <w:numPr>
        <w:numId w:val="2"/>
      </w:numPr>
    </w:pPr>
  </w:style>
  <w:style w:type="numbering" w:customStyle="1" w:styleId="1111110">
    <w:name w:val="1 / 1.1 / 1.1.1(Ëõ½ø)"/>
    <w:pPr>
      <w:numPr>
        <w:numId w:val="1"/>
      </w:numPr>
    </w:pPr>
  </w:style>
  <w:style w:type="character" w:customStyle="1" w:styleId="H1GCChar">
    <w:name w:val="_ H_1_GC Char"/>
    <w:basedOn w:val="DefaultParagraphFont"/>
    <w:link w:val="H1GC"/>
    <w:rPr>
      <w:rFonts w:eastAsia="SimHei"/>
      <w:snapToGrid w:val="0"/>
      <w:sz w:val="24"/>
      <w:lang w:val="en-US" w:eastAsia="zh-CN" w:bidi="ar-SA"/>
    </w:rPr>
  </w:style>
  <w:style w:type="character" w:customStyle="1" w:styleId="SingleTxtGCChar">
    <w:name w:val="_ Single Txt_GC Char"/>
    <w:basedOn w:val="DefaultParagraphFont"/>
    <w:link w:val="SingleTxtGC"/>
    <w:locked/>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ujercolombia.com" TargetMode="External"/><Relationship Id="rId13" Type="http://schemas.openxmlformats.org/officeDocument/2006/relationships/image" Target="media/image6.emf"/><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footnotes.xml.rels><?xml version="1.0" encoding="UTF-8" standalone="yes"?>
<Relationships xmlns="http://schemas.openxmlformats.org/package/2006/relationships"><Relationship Id="rId8" Type="http://schemas.openxmlformats.org/officeDocument/2006/relationships/hyperlink" Target="http://www.icbf.gov.co" TargetMode="External"/><Relationship Id="rId3" Type="http://schemas.openxmlformats.org/officeDocument/2006/relationships/hyperlink" Target="http://www.medicinalegal.gov.co/index.php?option=com_wrapper&amp;view%20=wrapper&amp;Itemid=84" TargetMode="External"/><Relationship Id="rId7" Type="http://schemas.openxmlformats.org/officeDocument/2006/relationships/hyperlink" Target="http://www.medicinalegal.gov.co/index.php?option=com_wrapper&amp;view=wrapper&amp;Itemid=60" TargetMode="External"/><Relationship Id="rId2" Type="http://schemas.openxmlformats.org/officeDocument/2006/relationships/hyperlink" Target="http://www.hogaresclubmichin.com/webmichin/michin.html" TargetMode="External"/><Relationship Id="rId1" Type="http://schemas.openxmlformats.org/officeDocument/2006/relationships/hyperlink" Target="http://www.mij.gov.co/%20eContent/newsdetailmore.asp?id=2976&amp;idcompany=%202&amp;idmenucategory=226" TargetMode="External"/><Relationship Id="rId6" Type="http://schemas.openxmlformats.org/officeDocument/2006/relationships/hyperlink" Target="http://www.medicinalegal.gov.co" TargetMode="External"/><Relationship Id="rId11" Type="http://schemas.openxmlformats.org/officeDocument/2006/relationships/hyperlink" Target="http://www.defensoria.org.co/red/" TargetMode="External"/><Relationship Id="rId5" Type="http://schemas.openxmlformats.org/officeDocument/2006/relationships/hyperlink" Target="http://www.medicinalegal.gov.co" TargetMode="External"/><Relationship Id="rId10" Type="http://schemas.openxmlformats.org/officeDocument/2006/relationships/hyperlink" Target="http://www.sena.edu.co/Portal/Portafolio+de+Programas+de+Formaci&#243;n+y+Cursos/Programas+%20de+formaci&#243;n+profesional/" TargetMode="External"/><Relationship Id="rId4" Type="http://schemas.openxmlformats.org/officeDocument/2006/relationships/hyperlink" Target="http://www.cinep.org.co" TargetMode="External"/><Relationship Id="rId9" Type="http://schemas.openxmlformats.org/officeDocument/2006/relationships/hyperlink" Target="http://www.plandecenal.edu.co/html/1726/articles-121192_archivo.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4</TotalTime>
  <Pages>1</Pages>
  <Words>20504</Words>
  <Characters>116879</Characters>
  <Application>Microsoft Office Outlook</Application>
  <DocSecurity>4</DocSecurity>
  <Lines>973</Lines>
  <Paragraphs>274</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137109</CharactersWithSpaces>
  <SharedDoc>false</SharedDoc>
  <HLinks>
    <vt:vector size="78" baseType="variant">
      <vt:variant>
        <vt:i4>5439498</vt:i4>
      </vt:variant>
      <vt:variant>
        <vt:i4>0</vt:i4>
      </vt:variant>
      <vt:variant>
        <vt:i4>0</vt:i4>
      </vt:variant>
      <vt:variant>
        <vt:i4>5</vt:i4>
      </vt:variant>
      <vt:variant>
        <vt:lpwstr>http://www.mujercolombia.com/</vt:lpwstr>
      </vt:variant>
      <vt:variant>
        <vt:lpwstr/>
      </vt:variant>
      <vt:variant>
        <vt:i4>4849681</vt:i4>
      </vt:variant>
      <vt:variant>
        <vt:i4>33</vt:i4>
      </vt:variant>
      <vt:variant>
        <vt:i4>0</vt:i4>
      </vt:variant>
      <vt:variant>
        <vt:i4>5</vt:i4>
      </vt:variant>
      <vt:variant>
        <vt:lpwstr>http://www.defensoria.org.co/red/</vt:lpwstr>
      </vt:variant>
      <vt:variant>
        <vt:lpwstr/>
      </vt:variant>
      <vt:variant>
        <vt:i4>13566170</vt:i4>
      </vt:variant>
      <vt:variant>
        <vt:i4>30</vt:i4>
      </vt:variant>
      <vt:variant>
        <vt:i4>0</vt:i4>
      </vt:variant>
      <vt:variant>
        <vt:i4>5</vt:i4>
      </vt:variant>
      <vt:variant>
        <vt:lpwstr>http://www.sena.edu.co/Portal/Portafolio+de+Programas+de+Formación+y+Cursos/Programas+ de+formación+profesional/</vt:lpwstr>
      </vt:variant>
      <vt:variant>
        <vt:lpwstr/>
      </vt:variant>
      <vt:variant>
        <vt:i4>8126564</vt:i4>
      </vt:variant>
      <vt:variant>
        <vt:i4>27</vt:i4>
      </vt:variant>
      <vt:variant>
        <vt:i4>0</vt:i4>
      </vt:variant>
      <vt:variant>
        <vt:i4>5</vt:i4>
      </vt:variant>
      <vt:variant>
        <vt:lpwstr>http://www.plandecenal.edu.co/ html/1726/w3-article-166057.html</vt:lpwstr>
      </vt:variant>
      <vt:variant>
        <vt:lpwstr/>
      </vt:variant>
      <vt:variant>
        <vt:i4>1245288</vt:i4>
      </vt:variant>
      <vt:variant>
        <vt:i4>24</vt:i4>
      </vt:variant>
      <vt:variant>
        <vt:i4>0</vt:i4>
      </vt:variant>
      <vt:variant>
        <vt:i4>5</vt:i4>
      </vt:variant>
      <vt:variant>
        <vt:lpwstr>http://www.plandecenal.edu.co/html/1726/articles-121192_archivo.pdf</vt:lpwstr>
      </vt:variant>
      <vt:variant>
        <vt:lpwstr/>
      </vt:variant>
      <vt:variant>
        <vt:i4>2097191</vt:i4>
      </vt:variant>
      <vt:variant>
        <vt:i4>21</vt:i4>
      </vt:variant>
      <vt:variant>
        <vt:i4>0</vt:i4>
      </vt:variant>
      <vt:variant>
        <vt:i4>5</vt:i4>
      </vt:variant>
      <vt:variant>
        <vt:lpwstr>http://www.icbf.gov.co/</vt:lpwstr>
      </vt:variant>
      <vt:variant>
        <vt:lpwstr/>
      </vt:variant>
      <vt:variant>
        <vt:i4>3014735</vt:i4>
      </vt:variant>
      <vt:variant>
        <vt:i4>18</vt:i4>
      </vt:variant>
      <vt:variant>
        <vt:i4>0</vt:i4>
      </vt:variant>
      <vt:variant>
        <vt:i4>5</vt:i4>
      </vt:variant>
      <vt:variant>
        <vt:lpwstr>http://www.medicinalegal.gov.co/index.php?option=com_wrapper&amp;view=wrapper&amp;Itemid=60</vt:lpwstr>
      </vt:variant>
      <vt:variant>
        <vt:lpwstr/>
      </vt:variant>
      <vt:variant>
        <vt:i4>1376336</vt:i4>
      </vt:variant>
      <vt:variant>
        <vt:i4>15</vt:i4>
      </vt:variant>
      <vt:variant>
        <vt:i4>0</vt:i4>
      </vt:variant>
      <vt:variant>
        <vt:i4>5</vt:i4>
      </vt:variant>
      <vt:variant>
        <vt:lpwstr>http://www.medicinalegal.gov.co/</vt:lpwstr>
      </vt:variant>
      <vt:variant>
        <vt:lpwstr/>
      </vt:variant>
      <vt:variant>
        <vt:i4>1376336</vt:i4>
      </vt:variant>
      <vt:variant>
        <vt:i4>12</vt:i4>
      </vt:variant>
      <vt:variant>
        <vt:i4>0</vt:i4>
      </vt:variant>
      <vt:variant>
        <vt:i4>5</vt:i4>
      </vt:variant>
      <vt:variant>
        <vt:lpwstr>http://www.medicinalegal.gov.co/</vt:lpwstr>
      </vt:variant>
      <vt:variant>
        <vt:lpwstr/>
      </vt:variant>
      <vt:variant>
        <vt:i4>1179713</vt:i4>
      </vt:variant>
      <vt:variant>
        <vt:i4>9</vt:i4>
      </vt:variant>
      <vt:variant>
        <vt:i4>0</vt:i4>
      </vt:variant>
      <vt:variant>
        <vt:i4>5</vt:i4>
      </vt:variant>
      <vt:variant>
        <vt:lpwstr>http://www.cinep.org.co/</vt:lpwstr>
      </vt:variant>
      <vt:variant>
        <vt:lpwstr/>
      </vt:variant>
      <vt:variant>
        <vt:i4>4259898</vt:i4>
      </vt:variant>
      <vt:variant>
        <vt:i4>6</vt:i4>
      </vt:variant>
      <vt:variant>
        <vt:i4>0</vt:i4>
      </vt:variant>
      <vt:variant>
        <vt:i4>5</vt:i4>
      </vt:variant>
      <vt:variant>
        <vt:lpwstr>http://www.medicinalegal.gov.co/index.php?option=com_wrapper&amp;view =wrapper&amp;Itemid=84</vt:lpwstr>
      </vt:variant>
      <vt:variant>
        <vt:lpwstr/>
      </vt:variant>
      <vt:variant>
        <vt:i4>6357091</vt:i4>
      </vt:variant>
      <vt:variant>
        <vt:i4>3</vt:i4>
      </vt:variant>
      <vt:variant>
        <vt:i4>0</vt:i4>
      </vt:variant>
      <vt:variant>
        <vt:i4>5</vt:i4>
      </vt:variant>
      <vt:variant>
        <vt:lpwstr>http://www.hogaresclubmichin.com/webmichin/michin.html</vt:lpwstr>
      </vt:variant>
      <vt:variant>
        <vt:lpwstr/>
      </vt:variant>
      <vt:variant>
        <vt:i4>7012386</vt:i4>
      </vt:variant>
      <vt:variant>
        <vt:i4>0</vt:i4>
      </vt:variant>
      <vt:variant>
        <vt:i4>0</vt:i4>
      </vt:variant>
      <vt:variant>
        <vt:i4>5</vt:i4>
      </vt:variant>
      <vt:variant>
        <vt:lpwstr>http://www.mij.gov.co/ eContent/newsdetailmore.asp?id=2976&amp;idcompany= 2&amp;idmenucategory=226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zhuang</dc:creator>
  <cp:keywords/>
  <dc:description/>
  <cp:lastModifiedBy>DCM</cp:lastModifiedBy>
  <cp:revision>2</cp:revision>
  <cp:lastPrinted>2010-03-09T08:52:00Z</cp:lastPrinted>
  <dcterms:created xsi:type="dcterms:W3CDTF">2013-01-08T08:17:00Z</dcterms:created>
  <dcterms:modified xsi:type="dcterms:W3CDTF">2013-01-08T08:17:00Z</dcterms:modified>
</cp:coreProperties>
</file>