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0D6A" w:rsidRDefault="00D80D6A">
      <w:pPr>
        <w:spacing w:line="60" w:lineRule="exact"/>
      </w:pPr>
      <w:r>
        <w:rPr>
          <w:rStyle w:val="CommentReference"/>
          <w:rFonts w:hint="eastAsia"/>
          <w:vanish/>
        </w:rPr>
        <w:commentReference w:id="0"/>
      </w:r>
    </w:p>
    <w:p w:rsidR="00D80D6A" w:rsidRDefault="00D80D6A">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beforeLines="0" w:before="0" w:after="0"/>
        <w:ind w:left="1264" w:right="1264" w:hanging="1264"/>
        <w:jc w:val="both"/>
        <w:rPr>
          <w:rFonts w:hint="eastAsia"/>
        </w:rPr>
      </w:pPr>
      <w:r>
        <w:rPr>
          <w:rFonts w:hint="eastAsia"/>
        </w:rPr>
        <w:t>消除对妇女歧视委员会</w:t>
      </w:r>
    </w:p>
    <w:p w:rsidR="00D80D6A" w:rsidRDefault="00D80D6A">
      <w:pPr>
        <w:pStyle w:val="50"/>
        <w:adjustRightInd w:val="0"/>
        <w:spacing w:beforeLines="0" w:before="0" w:afterLines="50" w:after="120" w:line="312" w:lineRule="atLeast"/>
        <w:textAlignment w:val="baseline"/>
        <w:rPr>
          <w:rFonts w:eastAsia="SimHei" w:hint="eastAsia"/>
          <w:b w:val="0"/>
          <w:color w:val="FF0000"/>
          <w:kern w:val="0"/>
          <w:szCs w:val="20"/>
        </w:rPr>
      </w:pPr>
      <w:r>
        <w:rPr>
          <w:rFonts w:eastAsia="SimHei" w:hint="eastAsia"/>
          <w:b w:val="0"/>
          <w:color w:val="FF0000"/>
          <w:kern w:val="0"/>
          <w:szCs w:val="20"/>
        </w:rPr>
        <w:t>第二十八届会议</w:t>
      </w:r>
    </w:p>
    <w:p w:rsidR="00D80D6A" w:rsidRDefault="00D80D6A">
      <w:pPr>
        <w:rPr>
          <w:rFonts w:ascii="SimHei" w:eastAsia="SimHei" w:hint="eastAsia"/>
          <w:color w:val="FF0000"/>
        </w:rPr>
      </w:pPr>
      <w:r>
        <w:rPr>
          <w:rFonts w:ascii="SimHei" w:eastAsia="SimHei" w:hint="eastAsia"/>
          <w:color w:val="FF0000"/>
        </w:rPr>
        <w:t>第59</w:t>
      </w:r>
      <w:r>
        <w:rPr>
          <w:rFonts w:ascii="SimHei" w:eastAsia="SimHei"/>
          <w:color w:val="FF0000"/>
        </w:rPr>
        <w:t>6</w:t>
      </w:r>
      <w:r>
        <w:rPr>
          <w:rFonts w:ascii="SimHei" w:eastAsia="SimHei" w:hint="eastAsia"/>
          <w:color w:val="FF0000"/>
        </w:rPr>
        <w:t>次会议简要记录</w:t>
      </w:r>
    </w:p>
    <w:p w:rsidR="00D80D6A" w:rsidRDefault="00D80D6A">
      <w:pPr>
        <w:spacing w:afterLines="50" w:after="120"/>
      </w:pPr>
      <w:r>
        <w:t>2003</w:t>
      </w:r>
      <w:r>
        <w:t>年</w:t>
      </w:r>
      <w:r>
        <w:t>1</w:t>
      </w:r>
      <w:r>
        <w:t>月</w:t>
      </w:r>
      <w:r>
        <w:rPr>
          <w:rFonts w:hint="eastAsia"/>
        </w:rPr>
        <w:t>1</w:t>
      </w:r>
      <w:r>
        <w:t>7</w:t>
      </w:r>
      <w:r>
        <w:t>日，星期</w:t>
      </w:r>
      <w:r>
        <w:rPr>
          <w:rFonts w:hint="eastAsia"/>
        </w:rPr>
        <w:t>五</w:t>
      </w:r>
      <w:r>
        <w:t>，</w:t>
      </w:r>
      <w:r>
        <w:rPr>
          <w:rFonts w:hint="eastAsia"/>
        </w:rPr>
        <w:t>上</w:t>
      </w:r>
      <w:r>
        <w:t>午</w:t>
      </w:r>
      <w:r>
        <w:rPr>
          <w:rFonts w:hint="eastAsia"/>
        </w:rPr>
        <w:t>10</w:t>
      </w:r>
      <w:r>
        <w:rPr>
          <w:rFonts w:hint="eastAsia"/>
        </w:rPr>
        <w:t>时</w:t>
      </w:r>
      <w:r>
        <w:t>在纽约总部举行</w:t>
      </w:r>
    </w:p>
    <w:p w:rsidR="00D80D6A" w:rsidRDefault="00D80D6A">
      <w:pPr>
        <w:widowControl/>
        <w:tabs>
          <w:tab w:val="left" w:pos="1260"/>
          <w:tab w:val="right" w:leader="dot" w:pos="8568"/>
        </w:tabs>
        <w:adjustRightInd/>
        <w:spacing w:line="320" w:lineRule="exact"/>
        <w:ind w:right="1267"/>
        <w:jc w:val="left"/>
        <w:textAlignment w:val="auto"/>
        <w:rPr>
          <w:rFonts w:hint="eastAsia"/>
        </w:rPr>
      </w:pPr>
      <w:r>
        <w:rPr>
          <w:rFonts w:eastAsia="KaiTi_GB2312"/>
          <w:color w:val="0000FF"/>
        </w:rPr>
        <w:t>主席：</w:t>
      </w:r>
      <w:r>
        <w:rPr>
          <w:rFonts w:eastAsia="KaiTi_GB2312" w:hint="eastAsia"/>
          <w:color w:val="0000FF"/>
        </w:rPr>
        <w:tab/>
      </w:r>
      <w:r>
        <w:rPr>
          <w:rFonts w:hint="eastAsia"/>
        </w:rPr>
        <w:t>阿贾尔女士</w:t>
      </w:r>
    </w:p>
    <w:p w:rsidR="00D80D6A" w:rsidRDefault="00D80D6A">
      <w:pPr>
        <w:pStyle w:val="HCh"/>
        <w:rPr>
          <w:rFonts w:eastAsia="SimSun" w:hint="eastAsia"/>
        </w:rPr>
      </w:pPr>
      <w:r>
        <w:rPr>
          <w:rFonts w:eastAsia="SimSun" w:hint="eastAsia"/>
        </w:rPr>
        <w:t>目录</w:t>
      </w:r>
    </w:p>
    <w:p w:rsidR="00D80D6A" w:rsidRDefault="00D80D6A">
      <w:pPr>
        <w:pStyle w:val="SingleTxt"/>
        <w:rPr>
          <w:rFonts w:hAnsi="SimSun"/>
        </w:rPr>
      </w:pPr>
      <w:r>
        <w:rPr>
          <w:rFonts w:hAnsi="SimSun"/>
        </w:rPr>
        <w:t>审议缔约国根据《公约》第18条提交的报告（</w:t>
      </w:r>
      <w:r>
        <w:rPr>
          <w:rFonts w:eastAsia="KaiTi_GB2312"/>
          <w:color w:val="0000FF"/>
        </w:rPr>
        <w:t>续</w:t>
      </w:r>
      <w:r>
        <w:rPr>
          <w:rFonts w:hAnsi="SimSun"/>
        </w:rPr>
        <w:t>）</w:t>
      </w:r>
    </w:p>
    <w:p w:rsidR="00D80D6A" w:rsidRDefault="00D80D6A" w:rsidP="00ED3442">
      <w:pPr>
        <w:pStyle w:val="SingleTxt"/>
        <w:ind w:leftChars="602" w:left="31680" w:firstLineChars="200" w:firstLine="31680"/>
        <w:rPr>
          <w:rFonts w:eastAsia="KaiTi_GB2312"/>
          <w:color w:val="0000FF"/>
        </w:rPr>
      </w:pPr>
      <w:r>
        <w:rPr>
          <w:rFonts w:eastAsia="KaiTi_GB2312" w:hint="eastAsia"/>
          <w:color w:val="0000FF"/>
        </w:rPr>
        <w:t>瑞士的第一次和第二次合并定期报告（续）</w:t>
      </w:r>
    </w:p>
    <w:p w:rsidR="00D80D6A" w:rsidRDefault="00D80D6A">
      <w:pPr>
        <w:pStyle w:val="50"/>
        <w:spacing w:before="240" w:after="240"/>
        <w:jc w:val="center"/>
        <w:rPr>
          <w:rFonts w:eastAsia="SimHei"/>
          <w:b w:val="0"/>
          <w:color w:val="FF0000"/>
        </w:rPr>
      </w:pPr>
    </w:p>
    <w:p w:rsidR="00D80D6A" w:rsidRDefault="00D80D6A">
      <w:pPr>
        <w:spacing w:after="240" w:line="360" w:lineRule="atLeast"/>
        <w:jc w:val="center"/>
        <w:rPr>
          <w:rFonts w:eastAsia="SimHei"/>
          <w:sz w:val="28"/>
        </w:rPr>
      </w:pPr>
    </w:p>
    <w:p w:rsidR="00D80D6A" w:rsidRDefault="00D80D6A">
      <w:pPr>
        <w:tabs>
          <w:tab w:val="left" w:pos="420"/>
        </w:tabs>
        <w:spacing w:line="120" w:lineRule="exact"/>
        <w:rPr>
          <w:rFonts w:eastAsia="SimHei"/>
          <w:sz w:val="28"/>
        </w:rPr>
        <w:sectPr w:rsidR="00D80D6A">
          <w:headerReference w:type="even" r:id="rId8"/>
          <w:headerReference w:type="default" r:id="rId9"/>
          <w:footerReference w:type="even" r:id="rId10"/>
          <w:footerReference w:type="default" r:id="rId11"/>
          <w:headerReference w:type="first" r:id="rId12"/>
          <w:footerReference w:type="first" r:id="rId13"/>
          <w:pgSz w:w="12242" w:h="15842" w:code="54"/>
          <w:pgMar w:top="1741" w:right="1196" w:bottom="1899" w:left="1196" w:header="578" w:footer="1032" w:gutter="0"/>
          <w:pgNumType w:start="1"/>
          <w:cols w:space="425"/>
          <w:titlePg/>
        </w:sectPr>
      </w:pPr>
      <w:r>
        <w:rPr>
          <w:rFonts w:eastAsia="SimHei"/>
          <w:sz w:val="28"/>
        </w:rPr>
        <w:br w:type="page"/>
      </w:r>
    </w:p>
    <w:p w:rsidR="00D80D6A" w:rsidRDefault="00D80D6A">
      <w:pPr>
        <w:tabs>
          <w:tab w:val="left" w:pos="420"/>
        </w:tabs>
        <w:spacing w:after="140" w:line="320" w:lineRule="exact"/>
        <w:rPr>
          <w:rFonts w:ascii="KaiTi_GB2312" w:eastAsia="KaiTi_GB2312" w:hint="eastAsia"/>
        </w:rPr>
      </w:pPr>
      <w:r>
        <w:rPr>
          <w:rFonts w:ascii="KaiTi_GB2312" w:eastAsia="KaiTi_GB2312" w:hint="eastAsia"/>
          <w:color w:val="0000FF"/>
        </w:rPr>
        <w:t>上午10时零5分宣布开会</w:t>
      </w:r>
    </w:p>
    <w:p w:rsidR="00D80D6A" w:rsidRDefault="00D80D6A">
      <w:pPr>
        <w:tabs>
          <w:tab w:val="left" w:pos="420"/>
        </w:tabs>
        <w:spacing w:after="140" w:line="320" w:lineRule="exact"/>
        <w:rPr>
          <w:rFonts w:eastAsia="SimHei" w:hint="eastAsia"/>
          <w:bCs/>
          <w:color w:val="FF0000"/>
        </w:rPr>
      </w:pPr>
      <w:r>
        <w:rPr>
          <w:rFonts w:eastAsia="SimHei" w:hint="eastAsia"/>
          <w:bCs/>
          <w:color w:val="FF0000"/>
        </w:rPr>
        <w:t>审查缔约国根据《公约》第</w:t>
      </w:r>
      <w:r>
        <w:rPr>
          <w:rFonts w:eastAsia="SimHei" w:hint="eastAsia"/>
          <w:bCs/>
          <w:color w:val="FF0000"/>
        </w:rPr>
        <w:t>18</w:t>
      </w:r>
      <w:r>
        <w:rPr>
          <w:rFonts w:eastAsia="SimHei" w:hint="eastAsia"/>
          <w:bCs/>
          <w:color w:val="FF0000"/>
        </w:rPr>
        <w:t>条提交的报告</w:t>
      </w:r>
      <w:r>
        <w:rPr>
          <w:rFonts w:hint="eastAsia"/>
          <w:bCs/>
        </w:rPr>
        <w:t>（</w:t>
      </w:r>
      <w:r>
        <w:rPr>
          <w:rFonts w:eastAsia="KaiTi_GB2312" w:hint="eastAsia"/>
          <w:color w:val="0000FF"/>
        </w:rPr>
        <w:t>续</w:t>
      </w:r>
      <w:r>
        <w:rPr>
          <w:rFonts w:hint="eastAsia"/>
          <w:bCs/>
        </w:rPr>
        <w:t>）</w:t>
      </w:r>
    </w:p>
    <w:p w:rsidR="00D80D6A" w:rsidRDefault="00D80D6A">
      <w:pPr>
        <w:tabs>
          <w:tab w:val="left" w:pos="420"/>
        </w:tabs>
        <w:spacing w:after="140" w:line="320" w:lineRule="exact"/>
        <w:jc w:val="left"/>
        <w:rPr>
          <w:rFonts w:eastAsia="KaiTi_GB2312" w:hint="eastAsia"/>
          <w:color w:val="0000FF"/>
        </w:rPr>
      </w:pPr>
      <w:r>
        <w:rPr>
          <w:rFonts w:eastAsia="KaiTi_GB2312" w:hint="eastAsia"/>
          <w:color w:val="0000FF"/>
        </w:rPr>
        <w:t>瑞士的第一次和第二次合并定期报告（续）</w:t>
      </w:r>
      <w:r>
        <w:rPr>
          <w:rFonts w:eastAsia="KaiTi_GB2312" w:hint="eastAsia"/>
        </w:rPr>
        <w:t>（</w:t>
      </w:r>
      <w:r>
        <w:rPr>
          <w:rFonts w:eastAsia="KaiTi_GB2312" w:hint="eastAsia"/>
        </w:rPr>
        <w:t>CEDAW/C/CHE/1-2</w:t>
      </w:r>
      <w:r>
        <w:rPr>
          <w:rFonts w:hint="eastAsia"/>
        </w:rPr>
        <w:t>和</w:t>
      </w:r>
      <w:r>
        <w:rPr>
          <w:rFonts w:hint="eastAsia"/>
        </w:rPr>
        <w:t>Add.1</w:t>
      </w:r>
      <w:r>
        <w:rPr>
          <w:rFonts w:eastAsia="KaiTi_GB2312" w:hint="eastAsia"/>
        </w:rPr>
        <w:t>）</w:t>
      </w:r>
    </w:p>
    <w:p w:rsidR="00D80D6A" w:rsidRDefault="00D80D6A" w:rsidP="00D80D6A">
      <w:pPr>
        <w:pStyle w:val="Date"/>
        <w:numPr>
          <w:ilvl w:val="0"/>
          <w:numId w:val="5"/>
        </w:numPr>
        <w:tabs>
          <w:tab w:val="clear" w:pos="570"/>
          <w:tab w:val="left" w:pos="420"/>
        </w:tabs>
        <w:spacing w:after="140" w:line="320" w:lineRule="exact"/>
        <w:ind w:left="0" w:firstLine="0"/>
        <w:rPr>
          <w:rFonts w:hint="eastAsia"/>
        </w:rPr>
      </w:pPr>
      <w:r>
        <w:rPr>
          <w:rFonts w:hint="eastAsia"/>
        </w:rPr>
        <w:t>应主席邀请，瑞士代表团在委员会议席就座。</w:t>
      </w:r>
    </w:p>
    <w:p w:rsidR="00D80D6A" w:rsidRDefault="00D80D6A">
      <w:pPr>
        <w:tabs>
          <w:tab w:val="left" w:pos="420"/>
        </w:tabs>
        <w:spacing w:after="140" w:line="320" w:lineRule="exact"/>
        <w:rPr>
          <w:rFonts w:hint="eastAsia"/>
        </w:rPr>
      </w:pPr>
      <w:r>
        <w:rPr>
          <w:rFonts w:hint="eastAsia"/>
        </w:rPr>
        <w:t>2.</w:t>
      </w:r>
      <w:r>
        <w:rPr>
          <w:rFonts w:hint="eastAsia"/>
        </w:rPr>
        <w:tab/>
      </w:r>
      <w:r>
        <w:rPr>
          <w:rFonts w:eastAsia="SimHei" w:hint="eastAsia"/>
          <w:b/>
          <w:color w:val="FF0000"/>
        </w:rPr>
        <w:t>Schulz</w:t>
      </w:r>
      <w:r>
        <w:rPr>
          <w:rFonts w:eastAsia="SimHei" w:hint="eastAsia"/>
          <w:bCs/>
          <w:color w:val="FF0000"/>
        </w:rPr>
        <w:t>女士</w:t>
      </w:r>
      <w:r>
        <w:rPr>
          <w:rFonts w:hint="eastAsia"/>
        </w:rPr>
        <w:t>（瑞士）说，瑞士代表团对委员会对瑞士的联邦制表现出的兴趣印象深刻。对它的机制提出的许多问题表明，在局外人看来，这种机制可能看起来非常复杂。联邦制建立在邦联与各州之间的平衡和合作的基础之上，尊重体制内每一成员的多样性。</w:t>
      </w:r>
    </w:p>
    <w:p w:rsidR="00D80D6A" w:rsidRDefault="00D80D6A">
      <w:pPr>
        <w:tabs>
          <w:tab w:val="left" w:pos="420"/>
        </w:tabs>
        <w:spacing w:after="140" w:line="320" w:lineRule="exact"/>
        <w:rPr>
          <w:rFonts w:hint="eastAsia"/>
        </w:rPr>
      </w:pPr>
      <w:r>
        <w:rPr>
          <w:rFonts w:hint="eastAsia"/>
        </w:rPr>
        <w:t>3.</w:t>
      </w:r>
      <w:r>
        <w:rPr>
          <w:rFonts w:hint="eastAsia"/>
        </w:rPr>
        <w:tab/>
      </w:r>
      <w:r>
        <w:rPr>
          <w:rFonts w:eastAsia="SimHei" w:hint="eastAsia"/>
          <w:b/>
          <w:color w:val="FF0000"/>
        </w:rPr>
        <w:t>Dusong</w:t>
      </w:r>
      <w:r>
        <w:rPr>
          <w:rFonts w:eastAsia="SimHei" w:hint="eastAsia"/>
          <w:bCs/>
          <w:color w:val="FF0000"/>
        </w:rPr>
        <w:t>女士</w:t>
      </w:r>
      <w:r>
        <w:rPr>
          <w:rFonts w:hint="eastAsia"/>
        </w:rPr>
        <w:t>（瑞士）对委员会中有如此多的成员把联邦制看成是充分执行公约的一个障碍感到意外。在瑞士这个联邦国家中，辅助原则使各州能具有被认为不具体属于邦联的一切权利和责任，因此，正是州负责实施许多国际公约。在规范有冲突的情况下，联邦法律高于其他法律。联邦制在实施公约时实际上具有一些明显的有利条件：它促进变革和进步，同时又尊重语言和文化上属于少数群体的权利，而且社会进步还有可能在州一级首先开始，最后普及到整个国家。举一些例子，某些州给予妇女选举权的时间大大早于邦联赋予妇女这种权利；像男女平等办公室这样的机构，在全国成立前最早是在州设立的。</w:t>
      </w:r>
    </w:p>
    <w:p w:rsidR="00D80D6A" w:rsidRDefault="00D80D6A">
      <w:pPr>
        <w:tabs>
          <w:tab w:val="left" w:pos="420"/>
        </w:tabs>
        <w:spacing w:after="140" w:line="320" w:lineRule="exact"/>
        <w:rPr>
          <w:rFonts w:hint="eastAsia"/>
        </w:rPr>
      </w:pPr>
      <w:r>
        <w:rPr>
          <w:rFonts w:hint="eastAsia"/>
        </w:rPr>
        <w:t>4.</w:t>
      </w:r>
      <w:r>
        <w:rPr>
          <w:rFonts w:hint="eastAsia"/>
        </w:rPr>
        <w:tab/>
      </w:r>
      <w:r>
        <w:rPr>
          <w:rFonts w:eastAsia="SimHei" w:hint="eastAsia"/>
          <w:b/>
          <w:color w:val="FF0000"/>
        </w:rPr>
        <w:t>Spenle</w:t>
      </w:r>
      <w:r>
        <w:rPr>
          <w:rFonts w:eastAsia="SimHei" w:hint="eastAsia"/>
          <w:bCs/>
          <w:color w:val="FF0000"/>
        </w:rPr>
        <w:t>先生</w:t>
      </w:r>
      <w:r>
        <w:rPr>
          <w:rFonts w:hint="eastAsia"/>
        </w:rPr>
        <w:t>（瑞士）说，在瑞士的一元论传统中，国内法和国际法形成一个单一法制。国际法的规范一经生效即变成法制的不可分割的一部分，所有联邦、州和市各级当局就必须遵守。</w:t>
      </w:r>
    </w:p>
    <w:p w:rsidR="00D80D6A" w:rsidRDefault="00D80D6A">
      <w:pPr>
        <w:tabs>
          <w:tab w:val="left" w:pos="420"/>
        </w:tabs>
        <w:spacing w:after="140" w:line="320" w:lineRule="exact"/>
        <w:rPr>
          <w:rFonts w:hint="eastAsia"/>
        </w:rPr>
      </w:pPr>
      <w:r>
        <w:rPr>
          <w:rFonts w:hint="eastAsia"/>
        </w:rPr>
        <w:t>5.</w:t>
      </w:r>
      <w:r>
        <w:rPr>
          <w:rFonts w:hint="eastAsia"/>
        </w:rPr>
        <w:tab/>
      </w:r>
      <w:r>
        <w:rPr>
          <w:rFonts w:eastAsia="SimHei" w:hint="eastAsia"/>
          <w:b/>
          <w:color w:val="FF0000"/>
        </w:rPr>
        <w:t>Ramseyer</w:t>
      </w:r>
      <w:r>
        <w:rPr>
          <w:rFonts w:eastAsia="SimHei" w:hint="eastAsia"/>
          <w:bCs/>
          <w:color w:val="FF0000"/>
        </w:rPr>
        <w:t>女士</w:t>
      </w:r>
      <w:r>
        <w:rPr>
          <w:rFonts w:hint="eastAsia"/>
        </w:rPr>
        <w:t>（瑞士）说，在瑞士没有真正的宪法法院。</w:t>
      </w:r>
      <w:r>
        <w:rPr>
          <w:rFonts w:hint="eastAsia"/>
        </w:rPr>
        <w:t>1990</w:t>
      </w:r>
      <w:r>
        <w:rPr>
          <w:rFonts w:hint="eastAsia"/>
        </w:rPr>
        <w:t>年代修订《宪法》期间，就提出了将宪法管辖权扩大至联邦法律的建议，但是未被国会通过。宪法事项的监督责任在于州和联邦两级的机构网络。在准备阶段期间，一项新法律是否符合宪法先由联邦委员会详细审查后再将意见传达至国会。宪法管辖权很重要，因为它允许个人对国家关于侵犯一项宪法保障的权利的决定提出控告。</w:t>
      </w:r>
    </w:p>
    <w:p w:rsidR="00D80D6A" w:rsidRDefault="00D80D6A">
      <w:pPr>
        <w:tabs>
          <w:tab w:val="left" w:pos="420"/>
        </w:tabs>
        <w:spacing w:after="140" w:line="320" w:lineRule="exact"/>
        <w:rPr>
          <w:rFonts w:hint="eastAsia"/>
        </w:rPr>
      </w:pPr>
      <w:r>
        <w:rPr>
          <w:rFonts w:hint="eastAsia"/>
        </w:rPr>
        <w:t>6.</w:t>
      </w:r>
      <w:r>
        <w:rPr>
          <w:rFonts w:hint="eastAsia"/>
        </w:rPr>
        <w:tab/>
      </w:r>
      <w:r>
        <w:rPr>
          <w:rFonts w:eastAsia="SimHei" w:hint="eastAsia"/>
          <w:bCs/>
          <w:color w:val="FF0000"/>
        </w:rPr>
        <w:t>M</w:t>
      </w:r>
      <w:r>
        <w:rPr>
          <w:rFonts w:eastAsia="SimHei"/>
          <w:bCs/>
          <w:color w:val="FF0000"/>
        </w:rPr>
        <w:t>ü</w:t>
      </w:r>
      <w:r>
        <w:rPr>
          <w:rFonts w:eastAsia="SimHei" w:hint="eastAsia"/>
          <w:b/>
          <w:color w:val="FF0000"/>
        </w:rPr>
        <w:t>ller</w:t>
      </w:r>
      <w:r>
        <w:rPr>
          <w:rFonts w:eastAsia="SimHei" w:hint="eastAsia"/>
          <w:bCs/>
          <w:color w:val="FF0000"/>
        </w:rPr>
        <w:t>女士</w:t>
      </w:r>
      <w:r>
        <w:rPr>
          <w:rFonts w:hint="eastAsia"/>
        </w:rPr>
        <w:t>（瑞士）承认在把男女间职能差异用作区别待遇的正当理由时存在一些危险。不过，这个问题还没有产生过，因为没有一项法院裁决将它们作为不平等待遇的理由。到今天为止，在联邦法庭上仅有一次具体援用了公约。公约第</w:t>
      </w:r>
      <w:r>
        <w:rPr>
          <w:rFonts w:hint="eastAsia"/>
        </w:rPr>
        <w:t>1</w:t>
      </w:r>
      <w:r>
        <w:rPr>
          <w:rFonts w:hint="eastAsia"/>
        </w:rPr>
        <w:t>条中包含的歧视定义未写入《宪法》，《宪法》中未载明定义，它将这一职能留给了法院。瑞士的报告（</w:t>
      </w:r>
      <w:r>
        <w:rPr>
          <w:rFonts w:hint="eastAsia"/>
        </w:rPr>
        <w:t>CEDAW/C/CHE/1-2</w:t>
      </w:r>
      <w:r>
        <w:rPr>
          <w:rFonts w:hint="eastAsia"/>
        </w:rPr>
        <w:t>）在提交委员会前已经政府核准。</w:t>
      </w:r>
    </w:p>
    <w:p w:rsidR="00D80D6A" w:rsidRDefault="00D80D6A">
      <w:pPr>
        <w:tabs>
          <w:tab w:val="left" w:pos="420"/>
        </w:tabs>
        <w:spacing w:after="140" w:line="320" w:lineRule="exact"/>
        <w:rPr>
          <w:rFonts w:hint="eastAsia"/>
        </w:rPr>
      </w:pPr>
      <w:r>
        <w:rPr>
          <w:rFonts w:hint="eastAsia"/>
        </w:rPr>
        <w:t>7.</w:t>
      </w:r>
      <w:r>
        <w:rPr>
          <w:rFonts w:hint="eastAsia"/>
        </w:rPr>
        <w:tab/>
      </w:r>
      <w:r>
        <w:rPr>
          <w:rFonts w:eastAsia="SimHei" w:hint="eastAsia"/>
          <w:b/>
          <w:color w:val="FF0000"/>
        </w:rPr>
        <w:t>Schulz</w:t>
      </w:r>
      <w:r>
        <w:rPr>
          <w:rFonts w:eastAsia="SimHei" w:hint="eastAsia"/>
          <w:bCs/>
          <w:color w:val="FF0000"/>
        </w:rPr>
        <w:t>女士</w:t>
      </w:r>
      <w:r>
        <w:rPr>
          <w:rFonts w:hint="eastAsia"/>
        </w:rPr>
        <w:t>（瑞士）在指出瑞士对公约关于服兵役、姓氏和婚姻财产提出保留时，请委员会成员参阅瑞士代表团关于那些问题的书面答复。</w:t>
      </w:r>
    </w:p>
    <w:p w:rsidR="00D80D6A" w:rsidRDefault="00D80D6A">
      <w:pPr>
        <w:tabs>
          <w:tab w:val="left" w:pos="420"/>
        </w:tabs>
        <w:spacing w:after="140" w:line="320" w:lineRule="exact"/>
        <w:rPr>
          <w:rFonts w:hint="eastAsia"/>
        </w:rPr>
      </w:pPr>
      <w:r>
        <w:rPr>
          <w:rFonts w:hint="eastAsia"/>
        </w:rPr>
        <w:t>8.</w:t>
      </w:r>
      <w:r>
        <w:rPr>
          <w:rFonts w:hint="eastAsia"/>
        </w:rPr>
        <w:tab/>
      </w:r>
      <w:r>
        <w:rPr>
          <w:rFonts w:eastAsia="SimHei" w:hint="eastAsia"/>
          <w:b/>
          <w:color w:val="FF0000"/>
        </w:rPr>
        <w:t>Spenle</w:t>
      </w:r>
      <w:r>
        <w:rPr>
          <w:rFonts w:eastAsia="SimHei" w:hint="eastAsia"/>
          <w:bCs/>
          <w:color w:val="FF0000"/>
        </w:rPr>
        <w:t>先生</w:t>
      </w:r>
      <w:r>
        <w:rPr>
          <w:rFonts w:hint="eastAsia"/>
        </w:rPr>
        <w:t>（瑞士）说，瑞士政府原则上赞成通过《任择议定书》，但是根据《宪法》，必须先与州磋商关于影响到州的权限的外交政策的决定。一项国际条约的批准要求国会两院的核准。</w:t>
      </w:r>
    </w:p>
    <w:p w:rsidR="00D80D6A" w:rsidRDefault="00D80D6A">
      <w:pPr>
        <w:tabs>
          <w:tab w:val="left" w:pos="420"/>
        </w:tabs>
        <w:spacing w:after="140" w:line="320" w:lineRule="exact"/>
        <w:rPr>
          <w:rFonts w:hint="eastAsia"/>
        </w:rPr>
      </w:pPr>
      <w:r>
        <w:rPr>
          <w:rFonts w:hint="eastAsia"/>
        </w:rPr>
        <w:t>9.</w:t>
      </w:r>
      <w:r>
        <w:rPr>
          <w:rFonts w:hint="eastAsia"/>
        </w:rPr>
        <w:tab/>
      </w:r>
      <w:r>
        <w:rPr>
          <w:rFonts w:eastAsia="SimHei" w:hint="eastAsia"/>
          <w:b/>
          <w:color w:val="FF0000"/>
        </w:rPr>
        <w:t>Schulz</w:t>
      </w:r>
      <w:r>
        <w:rPr>
          <w:rFonts w:eastAsia="SimHei" w:hint="eastAsia"/>
          <w:bCs/>
          <w:color w:val="FF0000"/>
        </w:rPr>
        <w:t>女士</w:t>
      </w:r>
      <w:r>
        <w:rPr>
          <w:rFonts w:hint="eastAsia"/>
        </w:rPr>
        <w:t>（瑞士）在回答关于促进男女平等的机构问题时说，四个机构组成全国男女平等机构的网络。她领导的联邦男女平等办公室是联邦行政部门的组成部分，直接向内政部长报告。该办公室可提出建议，但不能向其他联邦或州的机构下命令。从</w:t>
      </w:r>
      <w:r>
        <w:rPr>
          <w:rFonts w:hint="eastAsia"/>
        </w:rPr>
        <w:t>1996</w:t>
      </w:r>
      <w:r>
        <w:rPr>
          <w:rFonts w:hint="eastAsia"/>
        </w:rPr>
        <w:t>年到</w:t>
      </w:r>
      <w:r>
        <w:rPr>
          <w:rFonts w:hint="eastAsia"/>
        </w:rPr>
        <w:t>2003</w:t>
      </w:r>
      <w:r>
        <w:rPr>
          <w:rFonts w:hint="eastAsia"/>
        </w:rPr>
        <w:t>年期间该办公室的预算增加了</w:t>
      </w:r>
      <w:r>
        <w:rPr>
          <w:rFonts w:hint="eastAsia"/>
        </w:rPr>
        <w:t>117</w:t>
      </w:r>
      <w:r>
        <w:rPr>
          <w:rFonts w:hint="eastAsia"/>
        </w:rPr>
        <w:t>％；预算增加的主要部分用于促进职业生活方面的性别平等。自它</w:t>
      </w:r>
      <w:r>
        <w:rPr>
          <w:rFonts w:hint="eastAsia"/>
        </w:rPr>
        <w:t>1988</w:t>
      </w:r>
      <w:r>
        <w:rPr>
          <w:rFonts w:hint="eastAsia"/>
        </w:rPr>
        <w:t>年成立以来其工作人员增加了一倍以上，从</w:t>
      </w:r>
      <w:r>
        <w:rPr>
          <w:rFonts w:hint="eastAsia"/>
        </w:rPr>
        <w:t>4</w:t>
      </w:r>
      <w:r>
        <w:rPr>
          <w:rFonts w:hint="eastAsia"/>
        </w:rPr>
        <w:t>个员额增至</w:t>
      </w:r>
      <w:r>
        <w:rPr>
          <w:rFonts w:hint="eastAsia"/>
        </w:rPr>
        <w:t>11</w:t>
      </w:r>
      <w:r>
        <w:rPr>
          <w:rFonts w:hint="eastAsia"/>
        </w:rPr>
        <w:t>个员额。</w:t>
      </w:r>
    </w:p>
    <w:p w:rsidR="00D80D6A" w:rsidRDefault="00D80D6A">
      <w:pPr>
        <w:tabs>
          <w:tab w:val="left" w:pos="420"/>
        </w:tabs>
        <w:spacing w:after="140" w:line="320" w:lineRule="exact"/>
        <w:rPr>
          <w:rFonts w:hint="eastAsia"/>
        </w:rPr>
      </w:pPr>
      <w:r>
        <w:rPr>
          <w:rFonts w:hint="eastAsia"/>
        </w:rPr>
        <w:t>10.</w:t>
      </w:r>
      <w:r>
        <w:rPr>
          <w:rFonts w:hint="eastAsia"/>
        </w:rPr>
        <w:tab/>
      </w:r>
      <w:r>
        <w:rPr>
          <w:rFonts w:eastAsia="SimHei" w:hint="eastAsia"/>
          <w:b/>
          <w:color w:val="FF0000"/>
        </w:rPr>
        <w:t>Freivogel</w:t>
      </w:r>
      <w:r>
        <w:rPr>
          <w:rFonts w:eastAsia="SimHei" w:hint="eastAsia"/>
          <w:bCs/>
          <w:color w:val="FF0000"/>
        </w:rPr>
        <w:t>女士</w:t>
      </w:r>
      <w:r>
        <w:rPr>
          <w:rFonts w:hint="eastAsia"/>
        </w:rPr>
        <w:t>（瑞士）说，该体系的另一组成部分，联邦妇女问题委员会不属联邦行政部门，而是一个独立的国会以外的委员会，其职责是分析妇女的情况，提出建议以及与其他合作伙伴开展项目。它审查男女平等领域的法规草案并可提出修正意见。此外，</w:t>
      </w:r>
      <w:r>
        <w:rPr>
          <w:rFonts w:hint="eastAsia"/>
        </w:rPr>
        <w:t>26</w:t>
      </w:r>
      <w:r>
        <w:rPr>
          <w:rFonts w:hint="eastAsia"/>
        </w:rPr>
        <w:t>个州中的</w:t>
      </w:r>
      <w:r>
        <w:rPr>
          <w:rFonts w:hint="eastAsia"/>
        </w:rPr>
        <w:t>16</w:t>
      </w:r>
      <w:r>
        <w:rPr>
          <w:rFonts w:hint="eastAsia"/>
        </w:rPr>
        <w:t>个州和五个主要城市设立了平等办公室，它们的资源各不相同。最后，瑞士男女平等代表会议由联邦、州和市的促进男女平等的所有官方机构和办公室组成。</w:t>
      </w:r>
    </w:p>
    <w:p w:rsidR="00D80D6A" w:rsidRDefault="00D80D6A">
      <w:pPr>
        <w:tabs>
          <w:tab w:val="left" w:pos="420"/>
        </w:tabs>
        <w:spacing w:after="140" w:line="320" w:lineRule="exact"/>
        <w:rPr>
          <w:rFonts w:hint="eastAsia"/>
        </w:rPr>
      </w:pPr>
      <w:r>
        <w:rPr>
          <w:rFonts w:hint="eastAsia"/>
        </w:rPr>
        <w:t>11.</w:t>
      </w:r>
      <w:r>
        <w:rPr>
          <w:rFonts w:hint="eastAsia"/>
        </w:rPr>
        <w:tab/>
      </w:r>
      <w:r>
        <w:rPr>
          <w:rFonts w:eastAsia="SimHei" w:hint="eastAsia"/>
          <w:b/>
          <w:color w:val="FF0000"/>
        </w:rPr>
        <w:t>Haug</w:t>
      </w:r>
      <w:r>
        <w:rPr>
          <w:rFonts w:eastAsia="SimHei" w:hint="eastAsia"/>
          <w:bCs/>
          <w:color w:val="FF0000"/>
        </w:rPr>
        <w:t>女士</w:t>
      </w:r>
      <w:r>
        <w:rPr>
          <w:rFonts w:hint="eastAsia"/>
        </w:rPr>
        <w:t>（瑞士）谈到关于性别陈规定型观念的问题时说，为了获得选举权而进行的漫长努力，很可能延误了在婚姻法和政治参与等领域的重要的立法改革工作。不过，不可能确定是否存在此种因果关系，因为性别角色陈规定型观念取决于若干随着时间的推移而变化的因素。</w:t>
      </w:r>
    </w:p>
    <w:p w:rsidR="00D80D6A" w:rsidRDefault="00D80D6A">
      <w:pPr>
        <w:tabs>
          <w:tab w:val="left" w:pos="420"/>
        </w:tabs>
        <w:spacing w:after="140" w:line="320" w:lineRule="exact"/>
        <w:rPr>
          <w:rFonts w:hint="eastAsia"/>
        </w:rPr>
      </w:pPr>
      <w:r>
        <w:rPr>
          <w:rFonts w:hint="eastAsia"/>
        </w:rPr>
        <w:t>12.</w:t>
      </w:r>
      <w:r>
        <w:tab/>
      </w:r>
      <w:r>
        <w:rPr>
          <w:rFonts w:hint="eastAsia"/>
        </w:rPr>
        <w:t>关于基于宗教歧视移民妇女问题，现在无法提供统计资料或研究材料。</w:t>
      </w:r>
    </w:p>
    <w:p w:rsidR="00D80D6A" w:rsidRDefault="00D80D6A">
      <w:pPr>
        <w:tabs>
          <w:tab w:val="left" w:pos="420"/>
        </w:tabs>
        <w:spacing w:after="140" w:line="320" w:lineRule="exact"/>
        <w:rPr>
          <w:rFonts w:hint="eastAsia"/>
        </w:rPr>
      </w:pPr>
      <w:r>
        <w:rPr>
          <w:rFonts w:hint="eastAsia"/>
        </w:rPr>
        <w:t>13.</w:t>
      </w:r>
      <w:r>
        <w:rPr>
          <w:rFonts w:hint="eastAsia"/>
        </w:rPr>
        <w:tab/>
      </w:r>
      <w:r>
        <w:rPr>
          <w:rFonts w:eastAsia="SimHei" w:hint="eastAsia"/>
          <w:b/>
          <w:color w:val="FF0000"/>
        </w:rPr>
        <w:t>Groux</w:t>
      </w:r>
      <w:r>
        <w:rPr>
          <w:rFonts w:eastAsia="SimHei" w:hint="eastAsia"/>
          <w:bCs/>
          <w:color w:val="FF0000"/>
        </w:rPr>
        <w:t>女士</w:t>
      </w:r>
      <w:r>
        <w:rPr>
          <w:rFonts w:hint="eastAsia"/>
        </w:rPr>
        <w:t>（瑞士）回答了有关妇女接受高等教育的问题。她说，综合大学的妇女入学率与男子是同等的。然而，在最初面向经济学和技术学科的高级和专门培训的学校中，妇女的名额不足，因为那些学科传统上妇女处于少数地位。那些学校现在开设了社会科学和教育方案，在这些学科妇女占多数。现在无法提供按性别分列的退学率统计数据。</w:t>
      </w:r>
    </w:p>
    <w:p w:rsidR="00D80D6A" w:rsidRDefault="00D80D6A">
      <w:pPr>
        <w:tabs>
          <w:tab w:val="left" w:pos="420"/>
        </w:tabs>
        <w:spacing w:after="140" w:line="320" w:lineRule="exact"/>
        <w:rPr>
          <w:rFonts w:hint="eastAsia"/>
        </w:rPr>
      </w:pPr>
      <w:r>
        <w:rPr>
          <w:rFonts w:hint="eastAsia"/>
        </w:rPr>
        <w:t>14.</w:t>
      </w:r>
      <w:r>
        <w:tab/>
      </w:r>
      <w:r>
        <w:rPr>
          <w:rFonts w:hint="eastAsia"/>
        </w:rPr>
        <w:t>关于在媒体和广告中的陈规定型观念问题，由消费者、媒体和广告人组成的瑞士公平委员会，可以接受来自个人有关性别歧视的广告投诉并可禁止使用这种广告。</w:t>
      </w:r>
    </w:p>
    <w:p w:rsidR="00D80D6A" w:rsidRDefault="00D80D6A">
      <w:pPr>
        <w:tabs>
          <w:tab w:val="left" w:pos="420"/>
        </w:tabs>
        <w:spacing w:after="140" w:line="320" w:lineRule="exact"/>
        <w:rPr>
          <w:rFonts w:hint="eastAsia"/>
        </w:rPr>
      </w:pPr>
      <w:r>
        <w:rPr>
          <w:rFonts w:hint="eastAsia"/>
        </w:rPr>
        <w:t>15.</w:t>
      </w:r>
      <w:r>
        <w:rPr>
          <w:rFonts w:hint="eastAsia"/>
        </w:rPr>
        <w:tab/>
      </w:r>
      <w:r>
        <w:rPr>
          <w:rFonts w:eastAsia="SimHei" w:hint="eastAsia"/>
          <w:b/>
          <w:color w:val="FF0000"/>
        </w:rPr>
        <w:t>Haug</w:t>
      </w:r>
      <w:r>
        <w:rPr>
          <w:rFonts w:eastAsia="SimHei" w:hint="eastAsia"/>
          <w:bCs/>
          <w:color w:val="FF0000"/>
        </w:rPr>
        <w:t>女士</w:t>
      </w:r>
      <w:r>
        <w:rPr>
          <w:rFonts w:hint="eastAsia"/>
        </w:rPr>
        <w:t>（瑞士）在回答有关妇女参与媒体工作的问题时说，从</w:t>
      </w:r>
      <w:r>
        <w:rPr>
          <w:rFonts w:hint="eastAsia"/>
        </w:rPr>
        <w:t>1970</w:t>
      </w:r>
      <w:r>
        <w:rPr>
          <w:rFonts w:hint="eastAsia"/>
        </w:rPr>
        <w:t>年到</w:t>
      </w:r>
      <w:r>
        <w:rPr>
          <w:rFonts w:hint="eastAsia"/>
        </w:rPr>
        <w:t>1990</w:t>
      </w:r>
      <w:r>
        <w:rPr>
          <w:rFonts w:hint="eastAsia"/>
        </w:rPr>
        <w:t>年期间，女新闻记者的百分比从</w:t>
      </w:r>
      <w:r>
        <w:rPr>
          <w:rFonts w:hint="eastAsia"/>
        </w:rPr>
        <w:t>19.8</w:t>
      </w:r>
      <w:r>
        <w:rPr>
          <w:rFonts w:hint="eastAsia"/>
        </w:rPr>
        <w:t>上升至</w:t>
      </w:r>
      <w:r>
        <w:rPr>
          <w:rFonts w:hint="eastAsia"/>
        </w:rPr>
        <w:t>32.8</w:t>
      </w:r>
      <w:r>
        <w:rPr>
          <w:rFonts w:hint="eastAsia"/>
        </w:rPr>
        <w:t>。不过，编辑和管理人员中妇女只占</w:t>
      </w:r>
      <w:r>
        <w:rPr>
          <w:rFonts w:hint="eastAsia"/>
        </w:rPr>
        <w:t>15.4%</w:t>
      </w:r>
      <w:r>
        <w:rPr>
          <w:rFonts w:hint="eastAsia"/>
        </w:rPr>
        <w:t>。</w:t>
      </w:r>
    </w:p>
    <w:p w:rsidR="00D80D6A" w:rsidRDefault="00D80D6A">
      <w:pPr>
        <w:tabs>
          <w:tab w:val="left" w:pos="420"/>
        </w:tabs>
        <w:spacing w:after="140" w:line="320" w:lineRule="exact"/>
        <w:rPr>
          <w:rFonts w:hint="eastAsia"/>
        </w:rPr>
      </w:pPr>
      <w:r>
        <w:rPr>
          <w:rFonts w:hint="eastAsia"/>
        </w:rPr>
        <w:t>16.</w:t>
      </w:r>
      <w:r>
        <w:rPr>
          <w:rFonts w:hint="eastAsia"/>
        </w:rPr>
        <w:tab/>
      </w:r>
      <w:r>
        <w:rPr>
          <w:rFonts w:eastAsia="SimHei" w:hint="eastAsia"/>
          <w:b/>
          <w:color w:val="FF0000"/>
        </w:rPr>
        <w:t>Ramseyer</w:t>
      </w:r>
      <w:r>
        <w:rPr>
          <w:rFonts w:eastAsia="SimHei" w:hint="eastAsia"/>
          <w:bCs/>
          <w:color w:val="FF0000"/>
        </w:rPr>
        <w:t>女士</w:t>
      </w:r>
      <w:r>
        <w:rPr>
          <w:rFonts w:hint="eastAsia"/>
        </w:rPr>
        <w:t>（瑞士）在解释联邦行政部门中妇女代表名额低的问题时说，</w:t>
      </w:r>
      <w:r>
        <w:rPr>
          <w:rFonts w:hint="eastAsia"/>
        </w:rPr>
        <w:t>2002</w:t>
      </w:r>
      <w:r>
        <w:rPr>
          <w:rFonts w:hint="eastAsia"/>
        </w:rPr>
        <w:t>年的最新数据表明，在全部联邦雇员中妇女占</w:t>
      </w:r>
      <w:r>
        <w:rPr>
          <w:rFonts w:hint="eastAsia"/>
        </w:rPr>
        <w:t>25.4%</w:t>
      </w:r>
      <w:r>
        <w:rPr>
          <w:rFonts w:hint="eastAsia"/>
        </w:rPr>
        <w:t>。联邦行政机构中最大的雇主是国防部，它历来是男性的部门。如将国防部排除在统计数据之外，妇女的比例将升至</w:t>
      </w:r>
      <w:r>
        <w:rPr>
          <w:rFonts w:hint="eastAsia"/>
        </w:rPr>
        <w:t>32.8%</w:t>
      </w:r>
      <w:r>
        <w:rPr>
          <w:rFonts w:hint="eastAsia"/>
        </w:rPr>
        <w:t>。在大多数部中妇女在工作人员中占</w:t>
      </w:r>
      <w:r>
        <w:rPr>
          <w:rFonts w:hint="eastAsia"/>
        </w:rPr>
        <w:t>40%</w:t>
      </w:r>
      <w:r>
        <w:rPr>
          <w:rFonts w:hint="eastAsia"/>
        </w:rPr>
        <w:t>以上。尽管最近工作人员大量减少，妇女的比例继续在上升。所有联邦雇员都实行弹性工作时间且有可能做非全日工作，还提供儿童保育补贴。</w:t>
      </w:r>
    </w:p>
    <w:p w:rsidR="00D80D6A" w:rsidRDefault="00D80D6A">
      <w:pPr>
        <w:tabs>
          <w:tab w:val="left" w:pos="420"/>
        </w:tabs>
        <w:spacing w:after="140" w:line="320" w:lineRule="exact"/>
        <w:rPr>
          <w:rFonts w:hint="eastAsia"/>
        </w:rPr>
      </w:pPr>
      <w:r>
        <w:rPr>
          <w:rFonts w:hint="eastAsia"/>
        </w:rPr>
        <w:t>17.</w:t>
      </w:r>
      <w:r>
        <w:rPr>
          <w:rFonts w:hint="eastAsia"/>
        </w:rPr>
        <w:tab/>
      </w:r>
      <w:r>
        <w:rPr>
          <w:rFonts w:eastAsia="SimHei" w:hint="eastAsia"/>
          <w:b/>
          <w:color w:val="FF0000"/>
        </w:rPr>
        <w:t>Freivogel</w:t>
      </w:r>
      <w:r>
        <w:rPr>
          <w:rFonts w:eastAsia="SimHei" w:hint="eastAsia"/>
          <w:bCs/>
          <w:color w:val="FF0000"/>
        </w:rPr>
        <w:t>女士</w:t>
      </w:r>
      <w:r>
        <w:rPr>
          <w:rFonts w:hint="eastAsia"/>
        </w:rPr>
        <w:t>（瑞士）报告说，瑞士国民院已推迟实施所计划的从性别观点对职务评估制度进行的审查。不过，由于在机会均等领域法院的案件一定程度上获得了成功，若干州对它们的薪资结构已进行审查。许多州和自治地区面对可能的法律诉讼危险，正试图纠正它们的制度内存在的缺陷，并要求专家帮助它们研究性别歧视问题。</w:t>
      </w:r>
    </w:p>
    <w:p w:rsidR="00D80D6A" w:rsidRDefault="00D80D6A">
      <w:pPr>
        <w:tabs>
          <w:tab w:val="left" w:pos="420"/>
        </w:tabs>
        <w:spacing w:after="140" w:line="320" w:lineRule="exact"/>
        <w:rPr>
          <w:rFonts w:hint="eastAsia"/>
        </w:rPr>
      </w:pPr>
      <w:r>
        <w:rPr>
          <w:rFonts w:hint="eastAsia"/>
        </w:rPr>
        <w:t>18</w:t>
      </w:r>
      <w:r>
        <w:rPr>
          <w:rFonts w:hint="eastAsia"/>
        </w:rPr>
        <w:t>．遗憾的是，薪资状况在私营部门中是不同的，因为国家当局无权进行干预。工会和专业组织不得不对公司施加有效的压力，特别是行使他们的罢工权来施加压力。</w:t>
      </w:r>
    </w:p>
    <w:p w:rsidR="00D80D6A" w:rsidRDefault="00D80D6A">
      <w:pPr>
        <w:tabs>
          <w:tab w:val="left" w:pos="420"/>
        </w:tabs>
        <w:spacing w:after="140" w:line="320" w:lineRule="exact"/>
        <w:rPr>
          <w:rFonts w:hint="eastAsia"/>
        </w:rPr>
      </w:pPr>
      <w:r>
        <w:rPr>
          <w:rFonts w:hint="eastAsia"/>
        </w:rPr>
        <w:t>19.</w:t>
      </w:r>
      <w:r>
        <w:rPr>
          <w:rFonts w:hint="eastAsia"/>
        </w:rPr>
        <w:tab/>
      </w:r>
      <w:r>
        <w:rPr>
          <w:rFonts w:eastAsia="SimHei" w:hint="eastAsia"/>
          <w:b/>
          <w:color w:val="FF0000"/>
        </w:rPr>
        <w:t>Ramseyer</w:t>
      </w:r>
      <w:r>
        <w:rPr>
          <w:rFonts w:eastAsia="SimHei" w:hint="eastAsia"/>
          <w:bCs/>
          <w:color w:val="FF0000"/>
        </w:rPr>
        <w:t>女士</w:t>
      </w:r>
      <w:r>
        <w:rPr>
          <w:rFonts w:hint="eastAsia"/>
        </w:rPr>
        <w:t>（瑞士）回答了</w:t>
      </w:r>
      <w:r>
        <w:rPr>
          <w:rFonts w:hint="eastAsia"/>
        </w:rPr>
        <w:t>Sch</w:t>
      </w:r>
      <w:r>
        <w:t>ö</w:t>
      </w:r>
      <w:r>
        <w:rPr>
          <w:rFonts w:hint="eastAsia"/>
        </w:rPr>
        <w:t>pp-Schilling</w:t>
      </w:r>
      <w:r>
        <w:rPr>
          <w:rFonts w:hint="eastAsia"/>
        </w:rPr>
        <w:t>女士提出的联邦最高法院关于男女工资差异的判例法的问题。她说，报告第</w:t>
      </w:r>
      <w:r>
        <w:rPr>
          <w:rFonts w:hint="eastAsia"/>
        </w:rPr>
        <w:t>371</w:t>
      </w:r>
      <w:r>
        <w:rPr>
          <w:rFonts w:hint="eastAsia"/>
        </w:rPr>
        <w:t>段中提及的裁决在瑞士曾遭到激烈的反对。然而，鉴于法律的著作和法院最近的裁决，人们可以合理地预期它将不会对已存在多年的判例法产生影响。</w:t>
      </w:r>
    </w:p>
    <w:p w:rsidR="00D80D6A" w:rsidRDefault="00D80D6A">
      <w:pPr>
        <w:tabs>
          <w:tab w:val="left" w:pos="420"/>
        </w:tabs>
        <w:spacing w:after="140" w:line="320" w:lineRule="exact"/>
        <w:rPr>
          <w:rFonts w:hint="eastAsia"/>
        </w:rPr>
      </w:pPr>
      <w:r>
        <w:rPr>
          <w:rFonts w:hint="eastAsia"/>
        </w:rPr>
        <w:t>20.</w:t>
      </w:r>
      <w:r>
        <w:rPr>
          <w:rFonts w:hint="eastAsia"/>
        </w:rPr>
        <w:t>在回答</w:t>
      </w:r>
      <w:r>
        <w:rPr>
          <w:rFonts w:hint="eastAsia"/>
        </w:rPr>
        <w:t>Patten</w:t>
      </w:r>
      <w:r>
        <w:rPr>
          <w:rFonts w:hint="eastAsia"/>
        </w:rPr>
        <w:t>女士的一个问题时，她肯定《平等法》第</w:t>
      </w:r>
      <w:r>
        <w:rPr>
          <w:rFonts w:hint="eastAsia"/>
        </w:rPr>
        <w:t>3</w:t>
      </w:r>
      <w:r>
        <w:rPr>
          <w:rFonts w:hint="eastAsia"/>
        </w:rPr>
        <w:t>条禁止以她们可能怀孕为理由对妇女进行歧视，瑞士《义务法典》第</w:t>
      </w:r>
      <w:r>
        <w:rPr>
          <w:rFonts w:hint="eastAsia"/>
        </w:rPr>
        <w:t>336c</w:t>
      </w:r>
      <w:r>
        <w:rPr>
          <w:rFonts w:hint="eastAsia"/>
        </w:rPr>
        <w:t>条规定雇主在妇女孕期和生产后</w:t>
      </w:r>
      <w:r>
        <w:rPr>
          <w:rFonts w:hint="eastAsia"/>
        </w:rPr>
        <w:t>16</w:t>
      </w:r>
      <w:r>
        <w:rPr>
          <w:rFonts w:hint="eastAsia"/>
        </w:rPr>
        <w:t>周不得终止就业合同。对第</w:t>
      </w:r>
      <w:r>
        <w:rPr>
          <w:rFonts w:hint="eastAsia"/>
        </w:rPr>
        <w:t>336c</w:t>
      </w:r>
      <w:r>
        <w:rPr>
          <w:rFonts w:hint="eastAsia"/>
        </w:rPr>
        <w:t>条不许可有例外情况，必须在法院严格执行。她还证实帮佣工人的权利由普通家务劳动法加以保护。</w:t>
      </w:r>
    </w:p>
    <w:p w:rsidR="00D80D6A" w:rsidRDefault="00D80D6A">
      <w:pPr>
        <w:tabs>
          <w:tab w:val="left" w:pos="420"/>
        </w:tabs>
        <w:spacing w:after="140" w:line="340" w:lineRule="exact"/>
        <w:rPr>
          <w:rFonts w:hint="eastAsia"/>
        </w:rPr>
      </w:pPr>
      <w:r>
        <w:rPr>
          <w:rFonts w:hint="eastAsia"/>
        </w:rPr>
        <w:t>21.</w:t>
      </w:r>
      <w:r>
        <w:rPr>
          <w:rFonts w:hint="eastAsia"/>
        </w:rPr>
        <w:tab/>
      </w:r>
      <w:r>
        <w:rPr>
          <w:rFonts w:eastAsia="SimHei" w:hint="eastAsia"/>
          <w:b/>
          <w:color w:val="FF0000"/>
        </w:rPr>
        <w:t>Dusong</w:t>
      </w:r>
      <w:r>
        <w:rPr>
          <w:rFonts w:eastAsia="SimHei" w:hint="eastAsia"/>
          <w:bCs/>
          <w:color w:val="FF0000"/>
        </w:rPr>
        <w:t>女士</w:t>
      </w:r>
      <w:r>
        <w:rPr>
          <w:rFonts w:hint="eastAsia"/>
        </w:rPr>
        <w:t>（瑞士）谈了对妇女暴力行为的问题。她说，在瑞士人们对家庭暴力的认识在不断提高。治安和司法事务主要由各州负责，其中许多州已经建立工作组设立了受害人支援网络。在国家一级，正在修订法规，确保受害人得到更好的保护，犯罪人得到更严厉的处罚。</w:t>
      </w:r>
      <w:r>
        <w:rPr>
          <w:rFonts w:hint="eastAsia"/>
        </w:rPr>
        <w:t>2002</w:t>
      </w:r>
      <w:r>
        <w:rPr>
          <w:rFonts w:hint="eastAsia"/>
        </w:rPr>
        <w:t>年，将近</w:t>
      </w:r>
      <w:r>
        <w:rPr>
          <w:rFonts w:hint="eastAsia"/>
        </w:rPr>
        <w:t>100</w:t>
      </w:r>
      <w:r>
        <w:rPr>
          <w:rFonts w:hint="eastAsia"/>
        </w:rPr>
        <w:t>名警官和地方法官参加了由瑞士警察研究所举办的关于支援受害人的为期一周的“培训培训教员”课程。现在在州一级也在举办类似的培训课程。</w:t>
      </w:r>
      <w:r>
        <w:rPr>
          <w:rFonts w:hint="eastAsia"/>
        </w:rPr>
        <w:t>2003</w:t>
      </w:r>
      <w:r>
        <w:rPr>
          <w:rFonts w:hint="eastAsia"/>
        </w:rPr>
        <w:t>年，就家庭暴力问题在全国范围发起了一场大规模的宣传活动，希望这一活动将有利于打破人们在这一问题上的沉默。她还补充说，在制定打击对妇女暴力行为的措施时各州将考虑第</w:t>
      </w:r>
      <w:r>
        <w:rPr>
          <w:rFonts w:hint="eastAsia"/>
        </w:rPr>
        <w:t>19</w:t>
      </w:r>
      <w:r>
        <w:rPr>
          <w:rFonts w:hint="eastAsia"/>
        </w:rPr>
        <w:t>号一般性建议。</w:t>
      </w:r>
    </w:p>
    <w:p w:rsidR="00D80D6A" w:rsidRDefault="00D80D6A">
      <w:pPr>
        <w:tabs>
          <w:tab w:val="left" w:pos="420"/>
        </w:tabs>
        <w:spacing w:after="140" w:line="320" w:lineRule="exact"/>
        <w:rPr>
          <w:rFonts w:hint="eastAsia"/>
        </w:rPr>
      </w:pPr>
      <w:r>
        <w:rPr>
          <w:rFonts w:hint="eastAsia"/>
        </w:rPr>
        <w:t>22.</w:t>
      </w:r>
      <w:r>
        <w:rPr>
          <w:rFonts w:hint="eastAsia"/>
        </w:rPr>
        <w:tab/>
      </w:r>
      <w:r>
        <w:rPr>
          <w:rFonts w:eastAsia="SimHei" w:hint="eastAsia"/>
          <w:b/>
          <w:color w:val="FF0000"/>
        </w:rPr>
        <w:t>Naudi</w:t>
      </w:r>
      <w:r>
        <w:rPr>
          <w:rFonts w:eastAsia="SimHei" w:hint="eastAsia"/>
          <w:bCs/>
          <w:color w:val="FF0000"/>
        </w:rPr>
        <w:t>先生</w:t>
      </w:r>
      <w:r>
        <w:rPr>
          <w:rFonts w:hint="eastAsia"/>
        </w:rPr>
        <w:t>（瑞士）在回答有关外国妇女情况的若干问题时说，国民院认为没有必要对来瑞士从事卡巴莱舞女工作的外国妇女不再发签证，因为签证为那些妇女提供法律保护。不过，政府意识到需要采取进一步措施监控情况，必要时将修改入境规定。目前，一些州可向外国卡巴莱舞女颁发特别工作许可，停留的最长时间为八个月。工作许可一到期，这些舞女就必须离开瑞士，但是，她们在下一年仍可以同样的目的回到瑞士。卡巴莱舞女年龄最小的</w:t>
      </w:r>
      <w:r>
        <w:rPr>
          <w:rFonts w:hint="eastAsia"/>
        </w:rPr>
        <w:t>20</w:t>
      </w:r>
      <w:r>
        <w:rPr>
          <w:rFonts w:hint="eastAsia"/>
        </w:rPr>
        <w:t>岁。她们的工作条件还有待州当局进行检查，而且警方也开展了多种现场监督活动。</w:t>
      </w:r>
    </w:p>
    <w:p w:rsidR="00D80D6A" w:rsidRDefault="00D80D6A">
      <w:pPr>
        <w:tabs>
          <w:tab w:val="left" w:pos="420"/>
        </w:tabs>
        <w:spacing w:after="140" w:line="320" w:lineRule="exact"/>
        <w:rPr>
          <w:rFonts w:hint="eastAsia"/>
        </w:rPr>
      </w:pPr>
      <w:r>
        <w:rPr>
          <w:rFonts w:hint="eastAsia"/>
        </w:rPr>
        <w:t>23.</w:t>
      </w:r>
      <w:r>
        <w:rPr>
          <w:rFonts w:hint="eastAsia"/>
        </w:rPr>
        <w:tab/>
      </w:r>
      <w:r>
        <w:rPr>
          <w:rFonts w:hint="eastAsia"/>
        </w:rPr>
        <w:t>没有证据表明妓女人数增加是贩卖人口所致。不过，在某些州外国妓女入境与瑞士公民假结婚以获得居住许可。</w:t>
      </w:r>
    </w:p>
    <w:p w:rsidR="00D80D6A" w:rsidRDefault="00D80D6A">
      <w:pPr>
        <w:tabs>
          <w:tab w:val="left" w:pos="420"/>
        </w:tabs>
        <w:spacing w:after="140" w:line="320" w:lineRule="exact"/>
        <w:rPr>
          <w:rFonts w:hint="eastAsia"/>
        </w:rPr>
      </w:pPr>
      <w:r>
        <w:rPr>
          <w:rFonts w:hint="eastAsia"/>
        </w:rPr>
        <w:t>24.</w:t>
      </w:r>
      <w:r>
        <w:rPr>
          <w:rFonts w:hint="eastAsia"/>
        </w:rPr>
        <w:tab/>
      </w:r>
      <w:r>
        <w:rPr>
          <w:rFonts w:hint="eastAsia"/>
        </w:rPr>
        <w:t>在瑞士被贩卖的妇女不大可能给予庇护，因为她们与其说是受国家不如说是受个人直接或间接的迫害，而这种情况是难于证明的。瑞士通过向国际移徙组织和其他非政府组织开展的项目提供资金，积极参加保护被贩卖的妇女的国际行动，将她们送回原籍国。瑞士政府还提议在新的《外侨法》草案中，列入一条关于对离开瑞士的人给予重新融入社会援助的规定。</w:t>
      </w:r>
    </w:p>
    <w:p w:rsidR="00D80D6A" w:rsidRDefault="00D80D6A">
      <w:pPr>
        <w:tabs>
          <w:tab w:val="left" w:pos="420"/>
        </w:tabs>
        <w:spacing w:after="140" w:line="320" w:lineRule="exact"/>
        <w:rPr>
          <w:rFonts w:hint="eastAsia"/>
        </w:rPr>
      </w:pPr>
      <w:r>
        <w:rPr>
          <w:rFonts w:hint="eastAsia"/>
        </w:rPr>
        <w:t>25.</w:t>
      </w:r>
      <w:r>
        <w:rPr>
          <w:rFonts w:hint="eastAsia"/>
        </w:rPr>
        <w:tab/>
      </w:r>
      <w:r>
        <w:rPr>
          <w:rFonts w:hint="eastAsia"/>
        </w:rPr>
        <w:t>谈到立法问题时他说，专门处理贩卖人口问题的《刑法典》第</w:t>
      </w:r>
      <w:r>
        <w:rPr>
          <w:rFonts w:hint="eastAsia"/>
        </w:rPr>
        <w:t>196</w:t>
      </w:r>
      <w:r>
        <w:rPr>
          <w:rFonts w:hint="eastAsia"/>
        </w:rPr>
        <w:t>条有待修改，要提及器官贩卖和强迫劳动。犯有贩卖人口罪的人可判处</w:t>
      </w:r>
      <w:r>
        <w:rPr>
          <w:rFonts w:hint="eastAsia"/>
        </w:rPr>
        <w:t>6</w:t>
      </w:r>
      <w:r>
        <w:rPr>
          <w:rFonts w:hint="eastAsia"/>
        </w:rPr>
        <w:t>个月至</w:t>
      </w:r>
      <w:r>
        <w:rPr>
          <w:rFonts w:hint="eastAsia"/>
        </w:rPr>
        <w:t>20</w:t>
      </w:r>
      <w:r>
        <w:rPr>
          <w:rFonts w:hint="eastAsia"/>
        </w:rPr>
        <w:t>年不等的监禁。现在没有计划加重这种处罚。</w:t>
      </w:r>
    </w:p>
    <w:p w:rsidR="00D80D6A" w:rsidRDefault="00D80D6A">
      <w:pPr>
        <w:tabs>
          <w:tab w:val="left" w:pos="420"/>
        </w:tabs>
        <w:spacing w:after="140" w:line="320" w:lineRule="exact"/>
        <w:rPr>
          <w:rFonts w:hint="eastAsia"/>
        </w:rPr>
      </w:pPr>
      <w:r>
        <w:rPr>
          <w:rFonts w:hint="eastAsia"/>
        </w:rPr>
        <w:t>26.</w:t>
      </w:r>
      <w:r>
        <w:rPr>
          <w:rFonts w:hint="eastAsia"/>
        </w:rPr>
        <w:tab/>
      </w:r>
      <w:r>
        <w:rPr>
          <w:rFonts w:eastAsia="SimHei" w:hint="eastAsia"/>
          <w:b/>
          <w:color w:val="FF0000"/>
        </w:rPr>
        <w:t>Ramseyer</w:t>
      </w:r>
      <w:r>
        <w:rPr>
          <w:rFonts w:eastAsia="SimHei" w:hint="eastAsia"/>
          <w:bCs/>
          <w:color w:val="FF0000"/>
        </w:rPr>
        <w:t>女士</w:t>
      </w:r>
      <w:r>
        <w:rPr>
          <w:rFonts w:hint="eastAsia"/>
        </w:rPr>
        <w:t>（瑞士）说，由于瑞士是来自非洲的移民妇女的收容国，估计生活在瑞士的约</w:t>
      </w:r>
      <w:r>
        <w:rPr>
          <w:rFonts w:hint="eastAsia"/>
        </w:rPr>
        <w:t>6</w:t>
      </w:r>
      <w:r>
        <w:t xml:space="preserve"> </w:t>
      </w:r>
      <w:r>
        <w:rPr>
          <w:rFonts w:hint="eastAsia"/>
        </w:rPr>
        <w:t>700</w:t>
      </w:r>
      <w:r>
        <w:rPr>
          <w:rFonts w:hint="eastAsia"/>
        </w:rPr>
        <w:t>名女孩曾遭受女性生殖器官的残害。所幸的是，在大城镇为受此种习俗残害的妇女设立了支援机构。</w:t>
      </w:r>
    </w:p>
    <w:p w:rsidR="00D80D6A" w:rsidRDefault="00D80D6A">
      <w:pPr>
        <w:tabs>
          <w:tab w:val="left" w:pos="420"/>
        </w:tabs>
        <w:spacing w:after="140" w:line="320" w:lineRule="exact"/>
        <w:rPr>
          <w:rFonts w:hint="eastAsia"/>
        </w:rPr>
      </w:pPr>
      <w:r>
        <w:rPr>
          <w:rFonts w:hint="eastAsia"/>
        </w:rPr>
        <w:t>27.</w:t>
      </w:r>
      <w:r>
        <w:rPr>
          <w:rFonts w:hint="eastAsia"/>
        </w:rPr>
        <w:tab/>
      </w:r>
      <w:r>
        <w:rPr>
          <w:rFonts w:eastAsia="SimHei" w:hint="eastAsia"/>
          <w:b/>
          <w:color w:val="FF0000"/>
        </w:rPr>
        <w:t>Freivogel</w:t>
      </w:r>
      <w:r>
        <w:rPr>
          <w:rFonts w:eastAsia="SimHei" w:hint="eastAsia"/>
          <w:bCs/>
          <w:color w:val="FF0000"/>
        </w:rPr>
        <w:t>女士</w:t>
      </w:r>
      <w:r>
        <w:rPr>
          <w:rFonts w:hint="eastAsia"/>
        </w:rPr>
        <w:t>（瑞士）说，联邦最高法院已明确确认，瑞士《宪法》允许采取积极措施促进男女平等，包括配额制度。它曾经裁定，对其成员不经直接民选的机构实行配额制度是容许的，但是，在直接选举的情况下实行固定结果的配额，则是不合法的，因为这样做限制了公民的选举自由。最高法院还明确宣布，选举提名配额是合法的，因为这种做法不保证特定的结果，也不干涉选民的选举自由。</w:t>
      </w:r>
    </w:p>
    <w:p w:rsidR="00D80D6A" w:rsidRDefault="00D80D6A">
      <w:pPr>
        <w:tabs>
          <w:tab w:val="left" w:pos="420"/>
        </w:tabs>
        <w:spacing w:after="140" w:line="320" w:lineRule="exact"/>
        <w:rPr>
          <w:rFonts w:hint="eastAsia"/>
        </w:rPr>
      </w:pPr>
      <w:r>
        <w:rPr>
          <w:rFonts w:hint="eastAsia"/>
        </w:rPr>
        <w:t>28.</w:t>
      </w:r>
      <w:r>
        <w:rPr>
          <w:rFonts w:hint="eastAsia"/>
        </w:rPr>
        <w:tab/>
      </w:r>
      <w:r>
        <w:rPr>
          <w:rFonts w:hint="eastAsia"/>
        </w:rPr>
        <w:t>在国家一级已经实行了与性别有关的几种配额：例如，国会外委员会的成员中女性必须至少占</w:t>
      </w:r>
      <w:r>
        <w:rPr>
          <w:rFonts w:hint="eastAsia"/>
        </w:rPr>
        <w:t>30%</w:t>
      </w:r>
      <w:r>
        <w:rPr>
          <w:rFonts w:hint="eastAsia"/>
        </w:rPr>
        <w:t>。</w:t>
      </w:r>
    </w:p>
    <w:p w:rsidR="00D80D6A" w:rsidRDefault="00D80D6A">
      <w:pPr>
        <w:tabs>
          <w:tab w:val="left" w:pos="420"/>
        </w:tabs>
        <w:spacing w:after="140" w:line="320" w:lineRule="exact"/>
        <w:rPr>
          <w:rFonts w:hint="eastAsia"/>
        </w:rPr>
      </w:pPr>
      <w:r>
        <w:rPr>
          <w:rFonts w:hint="eastAsia"/>
        </w:rPr>
        <w:t>29.</w:t>
      </w:r>
      <w:r>
        <w:rPr>
          <w:rFonts w:hint="eastAsia"/>
        </w:rPr>
        <w:tab/>
      </w:r>
      <w:r>
        <w:rPr>
          <w:rFonts w:eastAsia="SimHei" w:hint="eastAsia"/>
          <w:b/>
          <w:color w:val="FF0000"/>
        </w:rPr>
        <w:t>Haug</w:t>
      </w:r>
      <w:r>
        <w:rPr>
          <w:rFonts w:eastAsia="SimHei" w:hint="eastAsia"/>
          <w:bCs/>
          <w:color w:val="FF0000"/>
        </w:rPr>
        <w:t>女士</w:t>
      </w:r>
      <w:r>
        <w:rPr>
          <w:rFonts w:hint="eastAsia"/>
        </w:rPr>
        <w:t>（瑞士）在回答</w:t>
      </w:r>
      <w:r>
        <w:rPr>
          <w:rFonts w:hint="eastAsia"/>
        </w:rPr>
        <w:t>Morvai</w:t>
      </w:r>
      <w:r>
        <w:rPr>
          <w:rFonts w:hint="eastAsia"/>
        </w:rPr>
        <w:t>女士提出的关于经济发展趋势的问题时说，</w:t>
      </w:r>
      <w:r>
        <w:rPr>
          <w:rFonts w:hint="eastAsia"/>
        </w:rPr>
        <w:t>1997</w:t>
      </w:r>
      <w:r>
        <w:rPr>
          <w:rFonts w:hint="eastAsia"/>
        </w:rPr>
        <w:t>年至</w:t>
      </w:r>
      <w:r>
        <w:rPr>
          <w:rFonts w:hint="eastAsia"/>
        </w:rPr>
        <w:t>2001</w:t>
      </w:r>
      <w:r>
        <w:rPr>
          <w:rFonts w:hint="eastAsia"/>
        </w:rPr>
        <w:t>年期间瑞士的国内生产总值上升了。在这段时间内，按实值计算的薪金增长了</w:t>
      </w:r>
      <w:r>
        <w:rPr>
          <w:rFonts w:hint="eastAsia"/>
        </w:rPr>
        <w:t>1.3%</w:t>
      </w:r>
      <w:r>
        <w:rPr>
          <w:rFonts w:hint="eastAsia"/>
        </w:rPr>
        <w:t>，妇女的薪金增长高于男子（</w:t>
      </w:r>
      <w:r>
        <w:rPr>
          <w:rFonts w:hint="eastAsia"/>
        </w:rPr>
        <w:t>1.9%</w:t>
      </w:r>
      <w:r>
        <w:rPr>
          <w:rFonts w:hint="eastAsia"/>
        </w:rPr>
        <w:t>比</w:t>
      </w:r>
      <w:r>
        <w:rPr>
          <w:rFonts w:hint="eastAsia"/>
        </w:rPr>
        <w:t>1.1%</w:t>
      </w:r>
      <w:r>
        <w:rPr>
          <w:rFonts w:hint="eastAsia"/>
        </w:rPr>
        <w:t>）。妇女更可能被划为“工作条件差”的一类别，而且如果她们工作的合同是短期的或者是外国人，就有落入这一类别的危险。</w:t>
      </w:r>
    </w:p>
    <w:p w:rsidR="00D80D6A" w:rsidRDefault="00D80D6A">
      <w:pPr>
        <w:tabs>
          <w:tab w:val="left" w:pos="420"/>
        </w:tabs>
        <w:spacing w:after="140" w:line="320" w:lineRule="exact"/>
        <w:rPr>
          <w:rFonts w:hint="eastAsia"/>
        </w:rPr>
      </w:pPr>
      <w:r>
        <w:rPr>
          <w:rFonts w:hint="eastAsia"/>
        </w:rPr>
        <w:t>30.</w:t>
      </w:r>
      <w:r>
        <w:rPr>
          <w:rFonts w:hint="eastAsia"/>
        </w:rPr>
        <w:tab/>
      </w:r>
      <w:r>
        <w:rPr>
          <w:rFonts w:eastAsia="SimHei" w:hint="eastAsia"/>
          <w:b/>
          <w:color w:val="FF0000"/>
        </w:rPr>
        <w:t>Schulz</w:t>
      </w:r>
      <w:r>
        <w:rPr>
          <w:rFonts w:eastAsia="SimHei" w:hint="eastAsia"/>
          <w:bCs/>
          <w:color w:val="FF0000"/>
        </w:rPr>
        <w:t>女士</w:t>
      </w:r>
      <w:r>
        <w:rPr>
          <w:rFonts w:hint="eastAsia"/>
        </w:rPr>
        <w:t>（瑞士）指出，在已经分发的书面文件中，可以看到对委员会成员提出的问题的更详细的回答。作为结论，她说，争取实现形式上和实质上男女平等的斗争一直在不断变化而且从不会结束。在瑞士的多语言和多民族的环境中，尊重少数群体是至关重要的，但是，任何立法和宪法的修改都需要在民众一级做起——自上而下的管治是行不通的。为了在全国范围实施公约的规定，需要有一个资源充足而又能动的提高妇女地位的全国机构，并且必须制定将性别观点纳入主流的战略。目前的优先重点是增加妇女参与专业和公众事务的机会并防止各种形式的针对妇女的暴力行为。</w:t>
      </w:r>
    </w:p>
    <w:p w:rsidR="00D80D6A" w:rsidRDefault="00D80D6A">
      <w:pPr>
        <w:tabs>
          <w:tab w:val="left" w:pos="420"/>
        </w:tabs>
        <w:spacing w:after="140" w:line="320" w:lineRule="exact"/>
        <w:rPr>
          <w:rFonts w:hint="eastAsia"/>
        </w:rPr>
      </w:pPr>
      <w:r>
        <w:rPr>
          <w:rFonts w:hint="eastAsia"/>
        </w:rPr>
        <w:t>31.</w:t>
      </w:r>
      <w:r>
        <w:rPr>
          <w:rFonts w:hint="eastAsia"/>
        </w:rPr>
        <w:tab/>
      </w:r>
      <w:r>
        <w:rPr>
          <w:rFonts w:eastAsia="SimHei" w:hint="eastAsia"/>
          <w:bCs/>
          <w:color w:val="FF0000"/>
        </w:rPr>
        <w:t>主席</w:t>
      </w:r>
      <w:r>
        <w:rPr>
          <w:rFonts w:hint="eastAsia"/>
        </w:rPr>
        <w:t>说，她期待着公约中提出的歧视定义将写入瑞士法规的那一天。她以个人身份发言时说，她觉得很难理解为什么提交报告国不能提供关于外来移民妇女情况的统计资料。经验表明她们往往受到歧视，这种歧视不仅基于她们的性别而且还由于她们的种族或宗教，而且她们还可能遭受作为她们自身文化一部分的歧视性做法。她促请瑞士认真研究这个问题并收集有关就业、教育、卫生和暴力问题的相关资料。</w:t>
      </w:r>
    </w:p>
    <w:p w:rsidR="00D80D6A" w:rsidRDefault="00D80D6A">
      <w:pPr>
        <w:tabs>
          <w:tab w:val="left" w:pos="420"/>
        </w:tabs>
        <w:spacing w:after="140" w:line="320" w:lineRule="exact"/>
        <w:rPr>
          <w:rFonts w:hint="eastAsia"/>
        </w:rPr>
      </w:pPr>
      <w:r>
        <w:rPr>
          <w:rFonts w:hint="eastAsia"/>
        </w:rPr>
        <w:t>32.</w:t>
      </w:r>
      <w:r>
        <w:rPr>
          <w:rFonts w:hint="eastAsia"/>
        </w:rPr>
        <w:tab/>
      </w:r>
      <w:r>
        <w:rPr>
          <w:rFonts w:hint="eastAsia"/>
        </w:rPr>
        <w:t>她还鼓励提交报告国审查它对公约提出的保留，以尽快撤销保留。关于《任择议定书》，她促请政府和民间社会两方面都作出努力提高州一级的认识，创造有利于批准的环境。</w:t>
      </w:r>
    </w:p>
    <w:p w:rsidR="00D80D6A" w:rsidRDefault="00D80D6A">
      <w:pPr>
        <w:tabs>
          <w:tab w:val="left" w:pos="420"/>
        </w:tabs>
        <w:spacing w:after="140" w:line="320" w:lineRule="exact"/>
        <w:rPr>
          <w:rFonts w:hint="eastAsia"/>
        </w:rPr>
      </w:pPr>
      <w:r>
        <w:rPr>
          <w:rFonts w:hint="eastAsia"/>
        </w:rPr>
        <w:t>33.</w:t>
      </w:r>
      <w:r>
        <w:rPr>
          <w:rFonts w:hint="eastAsia"/>
        </w:rPr>
        <w:tab/>
      </w:r>
      <w:r>
        <w:rPr>
          <w:rFonts w:eastAsia="SimHei" w:hint="eastAsia"/>
          <w:b/>
          <w:color w:val="FF0000"/>
        </w:rPr>
        <w:t>Schulz</w:t>
      </w:r>
      <w:r>
        <w:rPr>
          <w:rFonts w:eastAsia="SimHei" w:hint="eastAsia"/>
          <w:bCs/>
          <w:color w:val="FF0000"/>
        </w:rPr>
        <w:t>女士</w:t>
      </w:r>
      <w:r>
        <w:rPr>
          <w:rFonts w:hint="eastAsia"/>
        </w:rPr>
        <w:t>（瑞士）告诉委员会说，瑞士确实有关于外来移民妇女就业和培训的统计资料。下份报告将提供这方面更详细的信息。</w:t>
      </w:r>
    </w:p>
    <w:p w:rsidR="00D80D6A" w:rsidRDefault="00D80D6A">
      <w:pPr>
        <w:tabs>
          <w:tab w:val="left" w:pos="420"/>
        </w:tabs>
        <w:spacing w:after="140" w:line="320" w:lineRule="exact"/>
        <w:rPr>
          <w:rFonts w:hint="eastAsia"/>
        </w:rPr>
      </w:pPr>
      <w:r>
        <w:rPr>
          <w:rFonts w:hint="eastAsia"/>
        </w:rPr>
        <w:t>34.</w:t>
      </w:r>
      <w:r>
        <w:rPr>
          <w:rFonts w:hint="eastAsia"/>
        </w:rPr>
        <w:tab/>
      </w:r>
      <w:r>
        <w:rPr>
          <w:rFonts w:eastAsia="SimHei" w:hint="eastAsia"/>
          <w:b/>
          <w:color w:val="FF0000"/>
        </w:rPr>
        <w:t>Dusong</w:t>
      </w:r>
      <w:r>
        <w:rPr>
          <w:rFonts w:eastAsia="SimHei" w:hint="eastAsia"/>
          <w:bCs/>
          <w:color w:val="FF0000"/>
        </w:rPr>
        <w:t>女士</w:t>
      </w:r>
      <w:r>
        <w:rPr>
          <w:rFonts w:hint="eastAsia"/>
        </w:rPr>
        <w:t>（瑞士）指出，缺少统计数据并不意味着缺少行动。州当局已意识到外来移民妇女面临的问题——在某些州高达</w:t>
      </w:r>
      <w:r>
        <w:rPr>
          <w:rFonts w:hint="eastAsia"/>
        </w:rPr>
        <w:t>30%</w:t>
      </w:r>
      <w:r>
        <w:rPr>
          <w:rFonts w:hint="eastAsia"/>
        </w:rPr>
        <w:t>的妇女是外来移民——并已采取了各种措施，特别是开设培训和语言课程来解决她们的问题。她让委员会成员放心，他们的意见将有助于加速这个领域的工作。</w:t>
      </w:r>
    </w:p>
    <w:p w:rsidR="00D80D6A" w:rsidRDefault="00D80D6A">
      <w:pPr>
        <w:pStyle w:val="DualTxt"/>
        <w:tabs>
          <w:tab w:val="clear" w:pos="432"/>
          <w:tab w:val="clear" w:pos="864"/>
          <w:tab w:val="clear" w:pos="1293"/>
          <w:tab w:val="clear" w:pos="1724"/>
          <w:tab w:val="clear" w:pos="2155"/>
          <w:tab w:val="clear" w:pos="2586"/>
          <w:tab w:val="left" w:pos="420"/>
        </w:tabs>
        <w:rPr>
          <w:rFonts w:ascii="KaiTi_GB2312" w:eastAsia="KaiTi_GB2312"/>
          <w:color w:val="0000FF"/>
        </w:rPr>
        <w:sectPr w:rsidR="00D80D6A">
          <w:type w:val="continuous"/>
          <w:pgSz w:w="12242" w:h="15842" w:code="54"/>
          <w:pgMar w:top="1741" w:right="1196" w:bottom="1899" w:left="1196" w:header="578" w:footer="1032" w:gutter="0"/>
          <w:cols w:num="2" w:space="425"/>
          <w:titlePg/>
        </w:sectPr>
      </w:pPr>
      <w:r>
        <w:rPr>
          <w:rFonts w:ascii="KaiTi_GB2312" w:eastAsia="KaiTi_GB2312" w:hint="eastAsia"/>
          <w:color w:val="0000FF"/>
        </w:rPr>
        <w:t>上午11时25分散会</w:t>
      </w:r>
    </w:p>
    <w:p w:rsidR="00D80D6A" w:rsidRDefault="00D80D6A">
      <w:pPr>
        <w:pStyle w:val="DualTxt"/>
        <w:tabs>
          <w:tab w:val="clear" w:pos="432"/>
          <w:tab w:val="clear" w:pos="864"/>
          <w:tab w:val="clear" w:pos="1293"/>
          <w:tab w:val="clear" w:pos="1724"/>
          <w:tab w:val="clear" w:pos="2155"/>
          <w:tab w:val="clear" w:pos="2586"/>
          <w:tab w:val="left" w:pos="420"/>
        </w:tabs>
        <w:rPr>
          <w:rFonts w:ascii="KaiTi_GB2312" w:eastAsia="KaiTi_GB2312"/>
          <w:sz w:val="28"/>
        </w:rPr>
      </w:pPr>
    </w:p>
    <w:p w:rsidR="00D80D6A" w:rsidRDefault="00D80D6A">
      <w:pPr>
        <w:pStyle w:val="Date"/>
        <w:rPr>
          <w:rFonts w:hint="eastAsia"/>
        </w:rPr>
      </w:pPr>
    </w:p>
    <w:sectPr w:rsidR="00D80D6A">
      <w:type w:val="continuous"/>
      <w:pgSz w:w="12242" w:h="15842" w:code="54"/>
      <w:pgMar w:top="1741" w:right="1196" w:bottom="1899" w:left="1196" w:header="578" w:footer="1032" w:gutter="0"/>
      <w:pgNumType w:start="1"/>
      <w:cols w:space="425"/>
      <w:titlePg/>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D80D6A" w:rsidRDefault="00D80D6A">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NO&gt;&gt;N03</w:t>
      </w:r>
      <w:r>
        <w:rPr>
          <w:rFonts w:hint="eastAsia"/>
        </w:rPr>
        <w:t>21</w:t>
      </w:r>
      <w:r>
        <w:t>480C&lt;&lt;ODS JOB NO&gt;&gt;</w:t>
      </w:r>
    </w:p>
    <w:p w:rsidR="00D80D6A" w:rsidRDefault="00D80D6A">
      <w:pPr>
        <w:pStyle w:val="CommentText"/>
      </w:pPr>
      <w:r>
        <w:t>&lt;&lt;ODS DOC SYMBOL1&gt;&gt;CEDAW/C/SR.5</w:t>
      </w:r>
      <w:r>
        <w:rPr>
          <w:rFonts w:hint="eastAsia"/>
        </w:rPr>
        <w:t>9</w:t>
      </w:r>
      <w:r>
        <w:t>6&lt;&lt;ODS DOC SYMBOL1&gt;&gt;</w:t>
      </w:r>
    </w:p>
    <w:p w:rsidR="00D80D6A" w:rsidRDefault="00D80D6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ED3442">
      <w:pPr>
        <w:spacing w:line="240" w:lineRule="auto"/>
      </w:pPr>
      <w:r>
        <w:separator/>
      </w:r>
    </w:p>
  </w:endnote>
  <w:endnote w:type="continuationSeparator" w:id="0">
    <w:p w:rsidR="00000000" w:rsidRDefault="00ED344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仿宋体">
    <w:altName w:val="黑体"/>
    <w:charset w:val="86"/>
    <w:family w:val="roman"/>
    <w:pitch w:val="variable"/>
    <w:sig w:usb0="00000001" w:usb1="080E0000" w:usb2="00000010" w:usb3="00000000" w:csb0="00040000" w:csb1="00000000"/>
  </w:font>
  <w:font w:name="STKaiti">
    <w:altName w:val="华文楷体"/>
    <w:charset w:val="86"/>
    <w:family w:val="auto"/>
    <w:pitch w:val="variable"/>
    <w:sig w:usb0="00000287" w:usb1="080F0000" w:usb2="00000010" w:usb3="00000000" w:csb0="0004009F" w:csb1="00000000"/>
  </w:font>
  <w:font w:name="KaiTi_GB2312">
    <w:altName w:val="Arial Unicode MS"/>
    <w:panose1 w:val="02010609060101010101"/>
    <w:charset w:val="86"/>
    <w:family w:val="modern"/>
    <w:pitch w:val="fixed"/>
    <w:sig w:usb0="00000001" w:usb1="080E0000" w:usb2="00000010" w:usb3="00000000" w:csb0="00040000" w:csb1="00000000"/>
  </w:font>
  <w:font w:name="Book Antiqua">
    <w:panose1 w:val="02040602050305030304"/>
    <w:charset w:val="00"/>
    <w:family w:val="roman"/>
    <w:pitch w:val="variable"/>
    <w:sig w:usb0="00000287" w:usb1="00000000" w:usb2="00000000" w:usb3="00000000" w:csb0="0000009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0D6A" w:rsidRDefault="00D80D6A">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D80D6A" w:rsidRDefault="00D80D6A">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0D6A" w:rsidRDefault="00D80D6A">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rsidR="00D80D6A" w:rsidRDefault="00D80D6A">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0D6A" w:rsidRDefault="00D80D6A">
    <w:pPr>
      <w:pStyle w:val="Footer"/>
    </w:pPr>
  </w:p>
  <w:p w:rsidR="00D80D6A" w:rsidRDefault="00D80D6A">
    <w:pPr>
      <w:pStyle w:val="Footer"/>
      <w:pBdr>
        <w:top w:val="single" w:sz="2" w:space="0" w:color="000000"/>
      </w:pBdr>
      <w:rPr>
        <w:sz w:val="2"/>
      </w:rPr>
    </w:pPr>
  </w:p>
  <w:p w:rsidR="00D80D6A" w:rsidRDefault="00D80D6A">
    <w:pPr>
      <w:spacing w:before="60" w:after="120" w:line="240" w:lineRule="auto"/>
      <w:ind w:left="1264" w:right="1264"/>
      <w:rPr>
        <w:rFonts w:hint="eastAsia"/>
        <w:sz w:val="18"/>
      </w:rPr>
    </w:pPr>
    <w:r>
      <w:rPr>
        <w:rFonts w:hint="eastAsia"/>
        <w:sz w:val="18"/>
      </w:rPr>
      <w:t>本记录可以更正。</w:t>
    </w:r>
  </w:p>
  <w:p w:rsidR="00D80D6A" w:rsidRDefault="00D80D6A">
    <w:pPr>
      <w:spacing w:before="60" w:after="120" w:line="240" w:lineRule="auto"/>
      <w:ind w:left="1264" w:right="1264"/>
      <w:rPr>
        <w:rFonts w:hint="eastAsia"/>
        <w:sz w:val="18"/>
      </w:rPr>
    </w:pPr>
    <w:r>
      <w:rPr>
        <w:rFonts w:hint="eastAsia"/>
        <w:sz w:val="18"/>
      </w:rPr>
      <w:t>对本记录的各项更正应以一种工作语文提出。各项更正应在一份备忘录内列明，并填写在一份印发的记录上。各项更正应在</w:t>
    </w:r>
    <w:r>
      <w:rPr>
        <w:rFonts w:eastAsia="KaiTi_GB2312" w:hint="eastAsia"/>
        <w:color w:val="0000FF"/>
        <w:sz w:val="18"/>
      </w:rPr>
      <w:t>本文件印发日期后一个星期内</w:t>
    </w:r>
    <w:r>
      <w:rPr>
        <w:rFonts w:hint="eastAsia"/>
        <w:sz w:val="18"/>
      </w:rPr>
      <w:t>送交正式记录编辑科科长（联合国广场</w:t>
    </w:r>
    <w:r>
      <w:rPr>
        <w:rFonts w:hint="eastAsia"/>
        <w:sz w:val="18"/>
      </w:rPr>
      <w:t>2</w:t>
    </w:r>
    <w:r>
      <w:rPr>
        <w:rFonts w:hint="eastAsia"/>
        <w:sz w:val="18"/>
      </w:rPr>
      <w:t>号</w:t>
    </w:r>
    <w:r>
      <w:rPr>
        <w:rFonts w:hint="eastAsia"/>
        <w:sz w:val="18"/>
      </w:rPr>
      <w:t>DC2-750</w:t>
    </w:r>
    <w:r>
      <w:rPr>
        <w:rFonts w:hint="eastAsia"/>
        <w:sz w:val="18"/>
      </w:rPr>
      <w:t>室）。</w:t>
    </w:r>
  </w:p>
  <w:p w:rsidR="00D80D6A" w:rsidRDefault="00D80D6A">
    <w:pPr>
      <w:spacing w:before="60" w:after="120" w:line="240" w:lineRule="auto"/>
      <w:ind w:left="1264" w:right="1264"/>
      <w:rPr>
        <w:rFonts w:hint="eastAsia"/>
      </w:rPr>
    </w:pPr>
    <w:r>
      <w:rPr>
        <w:rFonts w:hint="eastAsia"/>
        <w:sz w:val="18"/>
      </w:rPr>
      <w:t>对本届会议各次会议记录的任何更正将并入一份更正汇编，于本届会议结束后不久印发。</w:t>
    </w:r>
  </w:p>
  <w:p w:rsidR="00D80D6A" w:rsidRDefault="00D80D6A">
    <w:pPr>
      <w:pStyle w:val="FootnoteText"/>
      <w:rPr>
        <w:rFonts w:hint="eastAsia"/>
        <w:sz w:val="21"/>
      </w:rPr>
    </w:pPr>
    <w:r>
      <w:rPr>
        <w:rFonts w:hint="eastAsia"/>
        <w:sz w:val="21"/>
      </w:rPr>
      <w:t>0</w:t>
    </w:r>
    <w:r>
      <w:rPr>
        <w:sz w:val="21"/>
      </w:rPr>
      <w:t>3</w:t>
    </w:r>
    <w:r>
      <w:rPr>
        <w:rFonts w:hint="eastAsia"/>
        <w:sz w:val="21"/>
      </w:rPr>
      <w:t>-21</w:t>
    </w:r>
    <w:r>
      <w:rPr>
        <w:sz w:val="21"/>
      </w:rPr>
      <w:t>480(C)</w:t>
    </w:r>
  </w:p>
  <w:p w:rsidR="00D80D6A" w:rsidRDefault="00D80D6A">
    <w:pPr>
      <w:pStyle w:val="FootnoteText"/>
      <w:spacing w:afterLines="50" w:after="120"/>
      <w:rPr>
        <w:rFonts w:ascii="Barcode 3 of 9 by request" w:hAnsi="Barcode 3 of 9 by request" w:hint="eastAsia"/>
        <w:b/>
        <w:bCs/>
        <w:sz w:val="21"/>
      </w:rPr>
    </w:pPr>
    <w:r>
      <w:rPr>
        <w:rFonts w:ascii="Barcode 3 of 9 by request" w:hAnsi="Barcode 3 of 9 by request" w:hint="eastAsia"/>
        <w:b/>
        <w:bCs/>
        <w:sz w:val="21"/>
      </w:rPr>
      <w:t>*0</w:t>
    </w:r>
    <w:r>
      <w:rPr>
        <w:rFonts w:ascii="Barcode 3 of 9 by request" w:hAnsi="Barcode 3 of 9 by request"/>
        <w:b/>
        <w:bCs/>
        <w:sz w:val="21"/>
      </w:rPr>
      <w:t>3</w:t>
    </w:r>
    <w:r>
      <w:rPr>
        <w:rFonts w:ascii="Barcode 3 of 9 by request" w:hAnsi="Barcode 3 of 9 by request" w:hint="eastAsia"/>
        <w:b/>
        <w:bCs/>
        <w:sz w:val="21"/>
      </w:rPr>
      <w:t>21</w:t>
    </w:r>
    <w:r>
      <w:rPr>
        <w:rFonts w:ascii="Barcode 3 of 9 by request" w:hAnsi="Barcode 3 of 9 by request"/>
        <w:b/>
        <w:bCs/>
        <w:sz w:val="21"/>
      </w:rPr>
      <w:t>480</w:t>
    </w:r>
    <w:r>
      <w:rPr>
        <w:rFonts w:ascii="Barcode 3 of 9 by request" w:hAnsi="Barcode 3 of 9 by request" w:hint="eastAsia"/>
        <w:b/>
        <w:bCs/>
        <w:sz w:val="21"/>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ED3442">
      <w:pPr>
        <w:spacing w:line="240" w:lineRule="auto"/>
      </w:pPr>
      <w:r>
        <w:separator/>
      </w:r>
    </w:p>
  </w:footnote>
  <w:footnote w:type="continuationSeparator" w:id="0">
    <w:p w:rsidR="00000000" w:rsidRDefault="00ED3442">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0D6A" w:rsidRDefault="00D80D6A">
    <w:pPr>
      <w:pStyle w:val="Header"/>
      <w:pBdr>
        <w:bottom w:val="none" w:sz="0" w:space="0" w:color="auto"/>
      </w:pBdr>
      <w:spacing w:line="60" w:lineRule="exact"/>
      <w:jc w:val="both"/>
    </w:pPr>
    <w:r>
      <w:rPr>
        <w:noProof/>
        <w:sz w:val="20"/>
      </w:rPr>
      <w:pict>
        <v:shapetype id="_x0000_t202" coordsize="21600,21600" o:spt="202" path="m,l,21600r21600,l21600,xe">
          <v:stroke joinstyle="miter"/>
          <v:path gradientshapeok="t" o:connecttype="rect"/>
        </v:shapetype>
        <v:shape id="_x0000_s2051" type="#_x0000_t202" style="position:absolute;left:0;text-align:left;margin-left:-5.8pt;margin-top:-.1pt;width:7in;height:50.4pt;z-index:1;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D80D6A">
                  <w:tblPrEx>
                    <w:tblCellMar>
                      <w:top w:w="0" w:type="dxa"/>
                      <w:bottom w:w="0" w:type="dxa"/>
                    </w:tblCellMar>
                  </w:tblPrEx>
                  <w:trPr>
                    <w:trHeight w:hRule="exact" w:val="864"/>
                  </w:trPr>
                  <w:tc>
                    <w:tcPr>
                      <w:tcW w:w="4838" w:type="dxa"/>
                      <w:vAlign w:val="bottom"/>
                    </w:tcPr>
                    <w:p w:rsidR="00D80D6A" w:rsidRDefault="00D80D6A">
                      <w:pPr>
                        <w:pStyle w:val="Header"/>
                        <w:pBdr>
                          <w:bottom w:val="none" w:sz="0" w:space="0" w:color="auto"/>
                        </w:pBdr>
                        <w:spacing w:after="80"/>
                        <w:jc w:val="both"/>
                        <w:rPr>
                          <w:b/>
                        </w:rPr>
                      </w:pPr>
                      <w:r>
                        <w:rPr>
                          <w:b/>
                        </w:rPr>
                        <w:t>CEDAW/C/SR.596</w:t>
                      </w:r>
                    </w:p>
                  </w:tc>
                  <w:tc>
                    <w:tcPr>
                      <w:tcW w:w="5048" w:type="dxa"/>
                      <w:tcBorders>
                        <w:bottom w:val="single" w:sz="4" w:space="0" w:color="auto"/>
                      </w:tcBorders>
                      <w:vAlign w:val="bottom"/>
                    </w:tcPr>
                    <w:p w:rsidR="00D80D6A" w:rsidRDefault="00D80D6A">
                      <w:pPr>
                        <w:pStyle w:val="Header"/>
                        <w:pBdr>
                          <w:bottom w:val="none" w:sz="0" w:space="0" w:color="auto"/>
                        </w:pBdr>
                      </w:pPr>
                    </w:p>
                  </w:tc>
                </w:tr>
              </w:tbl>
              <w:p w:rsidR="00D80D6A" w:rsidRDefault="00D80D6A"/>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0D6A" w:rsidRDefault="00D80D6A">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52" type="#_x0000_t202" style="position:absolute;left:0;text-align:left;margin-left:-6pt;margin-top:.95pt;width:7in;height:50.4pt;z-index:2;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D80D6A">
                  <w:tblPrEx>
                    <w:tblCellMar>
                      <w:top w:w="0" w:type="dxa"/>
                      <w:bottom w:w="0" w:type="dxa"/>
                    </w:tblCellMar>
                  </w:tblPrEx>
                  <w:trPr>
                    <w:trHeight w:hRule="exact" w:val="864"/>
                  </w:trPr>
                  <w:tc>
                    <w:tcPr>
                      <w:tcW w:w="4838" w:type="dxa"/>
                      <w:tcBorders>
                        <w:bottom w:val="single" w:sz="4" w:space="0" w:color="auto"/>
                      </w:tcBorders>
                      <w:vAlign w:val="bottom"/>
                    </w:tcPr>
                    <w:p w:rsidR="00D80D6A" w:rsidRDefault="00D80D6A">
                      <w:pPr>
                        <w:pStyle w:val="Header"/>
                        <w:pBdr>
                          <w:bottom w:val="none" w:sz="0" w:space="0" w:color="auto"/>
                        </w:pBdr>
                      </w:pPr>
                    </w:p>
                  </w:tc>
                  <w:tc>
                    <w:tcPr>
                      <w:tcW w:w="5048" w:type="dxa"/>
                      <w:vAlign w:val="bottom"/>
                    </w:tcPr>
                    <w:p w:rsidR="00D80D6A" w:rsidRDefault="00D80D6A">
                      <w:pPr>
                        <w:pStyle w:val="Header"/>
                        <w:pBdr>
                          <w:bottom w:val="none" w:sz="0" w:space="0" w:color="auto"/>
                        </w:pBdr>
                        <w:spacing w:after="80"/>
                        <w:jc w:val="right"/>
                        <w:rPr>
                          <w:b/>
                        </w:rPr>
                      </w:pPr>
                      <w:r>
                        <w:rPr>
                          <w:b/>
                        </w:rPr>
                        <w:t>CEDAW/C/SR.5</w:t>
                      </w:r>
                      <w:r>
                        <w:rPr>
                          <w:rFonts w:hint="eastAsia"/>
                          <w:b/>
                        </w:rPr>
                        <w:t>9</w:t>
                      </w:r>
                      <w:r>
                        <w:rPr>
                          <w:b/>
                        </w:rPr>
                        <w:t>6</w:t>
                      </w:r>
                    </w:p>
                  </w:tc>
                </w:tr>
              </w:tbl>
              <w:p w:rsidR="00D80D6A" w:rsidRDefault="00D80D6A"/>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D80D6A">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D80D6A" w:rsidRDefault="00D80D6A">
          <w:pPr>
            <w:pStyle w:val="Header"/>
            <w:pBdr>
              <w:bottom w:val="none" w:sz="0" w:space="0" w:color="auto"/>
            </w:pBdr>
            <w:spacing w:after="120"/>
          </w:pPr>
        </w:p>
      </w:tc>
      <w:tc>
        <w:tcPr>
          <w:tcW w:w="1872" w:type="dxa"/>
          <w:tcBorders>
            <w:top w:val="nil"/>
            <w:left w:val="nil"/>
            <w:bottom w:val="single" w:sz="4" w:space="0" w:color="auto"/>
            <w:right w:val="nil"/>
          </w:tcBorders>
          <w:vAlign w:val="bottom"/>
        </w:tcPr>
        <w:p w:rsidR="00D80D6A" w:rsidRDefault="00D80D6A">
          <w:pPr>
            <w:pStyle w:val="HCh"/>
            <w:spacing w:after="80"/>
            <w:rPr>
              <w:rFonts w:eastAsia="SimSun"/>
              <w:color w:val="auto"/>
              <w:spacing w:val="40"/>
              <w:w w:val="96"/>
              <w:sz w:val="30"/>
            </w:rPr>
          </w:pPr>
          <w:r>
            <w:rPr>
              <w:rFonts w:eastAsia="SimSun" w:hint="eastAsia"/>
              <w:color w:val="auto"/>
              <w:spacing w:val="40"/>
              <w:w w:val="96"/>
              <w:sz w:val="30"/>
            </w:rPr>
            <w:t>联合国</w:t>
          </w:r>
        </w:p>
      </w:tc>
      <w:tc>
        <w:tcPr>
          <w:tcW w:w="245" w:type="dxa"/>
          <w:tcBorders>
            <w:top w:val="nil"/>
            <w:left w:val="nil"/>
            <w:bottom w:val="single" w:sz="4" w:space="0" w:color="auto"/>
            <w:right w:val="nil"/>
          </w:tcBorders>
          <w:vAlign w:val="bottom"/>
        </w:tcPr>
        <w:p w:rsidR="00D80D6A" w:rsidRDefault="00D80D6A">
          <w:pPr>
            <w:pStyle w:val="Header"/>
            <w:pBdr>
              <w:bottom w:val="none" w:sz="0" w:space="0" w:color="auto"/>
            </w:pBdr>
            <w:spacing w:after="120"/>
          </w:pPr>
        </w:p>
      </w:tc>
      <w:tc>
        <w:tcPr>
          <w:tcW w:w="6523" w:type="dxa"/>
          <w:gridSpan w:val="3"/>
          <w:tcBorders>
            <w:top w:val="nil"/>
            <w:left w:val="nil"/>
            <w:bottom w:val="single" w:sz="4" w:space="0" w:color="auto"/>
            <w:right w:val="nil"/>
          </w:tcBorders>
          <w:vAlign w:val="bottom"/>
        </w:tcPr>
        <w:p w:rsidR="00D80D6A" w:rsidRDefault="00D80D6A">
          <w:pPr>
            <w:spacing w:line="240" w:lineRule="auto"/>
            <w:jc w:val="right"/>
            <w:rPr>
              <w:position w:val="-4"/>
              <w:sz w:val="20"/>
            </w:rPr>
          </w:pPr>
          <w:r>
            <w:rPr>
              <w:position w:val="-4"/>
              <w:sz w:val="36"/>
            </w:rPr>
            <w:t>CEDAW</w:t>
          </w:r>
          <w:r>
            <w:rPr>
              <w:rFonts w:ascii="Arial" w:eastAsia="SimHei" w:hAnsi="Arial" w:cs="Arial"/>
              <w:bCs/>
              <w:color w:val="FF0000"/>
              <w:position w:val="-4"/>
            </w:rPr>
            <w:t>/</w:t>
          </w:r>
          <w:r>
            <w:rPr>
              <w:position w:val="-4"/>
            </w:rPr>
            <w:t>C/SR.596</w:t>
          </w:r>
        </w:p>
      </w:tc>
    </w:tr>
    <w:tr w:rsidR="00D80D6A">
      <w:tblPrEx>
        <w:tblCellMar>
          <w:top w:w="0" w:type="dxa"/>
          <w:bottom w:w="0" w:type="dxa"/>
        </w:tblCellMar>
      </w:tblPrEx>
      <w:trPr>
        <w:trHeight w:hRule="exact" w:val="2880"/>
      </w:trPr>
      <w:tc>
        <w:tcPr>
          <w:tcW w:w="1267" w:type="dxa"/>
          <w:tcBorders>
            <w:left w:val="nil"/>
            <w:bottom w:val="single" w:sz="12" w:space="0" w:color="auto"/>
            <w:right w:val="nil"/>
          </w:tcBorders>
        </w:tcPr>
        <w:p w:rsidR="00D80D6A" w:rsidRDefault="00D80D6A">
          <w:pPr>
            <w:pStyle w:val="Header"/>
            <w:pBdr>
              <w:bottom w:val="none" w:sz="0" w:space="0" w:color="auto"/>
            </w:pBd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D80D6A" w:rsidRDefault="00D80D6A">
          <w:pPr>
            <w:pStyle w:val="Header"/>
            <w:pBdr>
              <w:bottom w:val="none" w:sz="0" w:space="0" w:color="auto"/>
            </w:pBdr>
            <w:spacing w:before="109"/>
            <w:ind w:left="-72"/>
          </w:pPr>
        </w:p>
      </w:tc>
      <w:tc>
        <w:tcPr>
          <w:tcW w:w="5227" w:type="dxa"/>
          <w:gridSpan w:val="3"/>
          <w:tcBorders>
            <w:left w:val="nil"/>
            <w:bottom w:val="single" w:sz="12" w:space="0" w:color="auto"/>
            <w:right w:val="nil"/>
          </w:tcBorders>
        </w:tcPr>
        <w:p w:rsidR="00D80D6A" w:rsidRDefault="00D80D6A">
          <w:pPr>
            <w:pStyle w:val="XLarge"/>
            <w:spacing w:before="109" w:after="140" w:line="520" w:lineRule="exact"/>
          </w:pPr>
          <w:r>
            <w:rPr>
              <w:rFonts w:hint="eastAsia"/>
            </w:rPr>
            <w:t>消除对妇女一切形式</w:t>
          </w:r>
          <w:r>
            <w:br/>
          </w:r>
          <w:r>
            <w:rPr>
              <w:rFonts w:hint="eastAsia"/>
            </w:rPr>
            <w:t>歧视公约</w:t>
          </w:r>
        </w:p>
      </w:tc>
      <w:tc>
        <w:tcPr>
          <w:tcW w:w="245" w:type="dxa"/>
          <w:tcBorders>
            <w:left w:val="nil"/>
            <w:bottom w:val="single" w:sz="12" w:space="0" w:color="auto"/>
            <w:right w:val="nil"/>
          </w:tcBorders>
        </w:tcPr>
        <w:p w:rsidR="00D80D6A" w:rsidRDefault="00D80D6A">
          <w:pPr>
            <w:pStyle w:val="Header"/>
            <w:pBdr>
              <w:bottom w:val="none" w:sz="0" w:space="0" w:color="auto"/>
            </w:pBdr>
            <w:spacing w:before="109"/>
          </w:pPr>
        </w:p>
      </w:tc>
      <w:tc>
        <w:tcPr>
          <w:tcW w:w="3180" w:type="dxa"/>
          <w:gridSpan w:val="2"/>
          <w:tcBorders>
            <w:left w:val="nil"/>
            <w:bottom w:val="single" w:sz="12" w:space="0" w:color="auto"/>
            <w:right w:val="nil"/>
          </w:tcBorders>
        </w:tcPr>
        <w:p w:rsidR="00D80D6A" w:rsidRDefault="00D80D6A">
          <w:pPr>
            <w:spacing w:before="240" w:line="240" w:lineRule="exact"/>
          </w:pPr>
          <w:r>
            <w:t>Distr.: General</w:t>
          </w:r>
        </w:p>
        <w:p w:rsidR="00D80D6A" w:rsidRDefault="00D80D6A">
          <w:pPr>
            <w:spacing w:line="240" w:lineRule="exact"/>
          </w:pPr>
          <w:r>
            <w:t>1 June 2004</w:t>
          </w:r>
        </w:p>
        <w:p w:rsidR="00D80D6A" w:rsidRDefault="00D80D6A">
          <w:pPr>
            <w:spacing w:line="240" w:lineRule="exact"/>
          </w:pPr>
          <w:r>
            <w:t>Chinese</w:t>
          </w:r>
        </w:p>
        <w:p w:rsidR="00D80D6A" w:rsidRDefault="00D80D6A">
          <w:pPr>
            <w:spacing w:line="240" w:lineRule="exact"/>
          </w:pPr>
          <w:r>
            <w:t>Original: English</w:t>
          </w:r>
        </w:p>
      </w:tc>
    </w:tr>
  </w:tbl>
  <w:p w:rsidR="00D80D6A" w:rsidRDefault="00D80D6A">
    <w:pPr>
      <w:pStyle w:val="Header"/>
      <w:pBdr>
        <w:bottom w:val="none" w:sz="0" w:space="0" w:color="auto"/>
      </w:pBdr>
      <w:spacing w:line="60" w:lineRule="exact"/>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E1F72E8"/>
    <w:multiLevelType w:val="singleLevel"/>
    <w:tmpl w:val="E15AEEFA"/>
    <w:lvl w:ilvl="0">
      <w:start w:val="2"/>
      <w:numFmt w:val="upperLetter"/>
      <w:pStyle w:val="Title"/>
      <w:lvlText w:val="%1."/>
      <w:lvlJc w:val="left"/>
      <w:pPr>
        <w:tabs>
          <w:tab w:val="num" w:pos="420"/>
        </w:tabs>
        <w:ind w:left="420" w:hanging="420"/>
      </w:pPr>
      <w:rPr>
        <w:rFonts w:hint="default"/>
      </w:rPr>
    </w:lvl>
  </w:abstractNum>
  <w:abstractNum w:abstractNumId="1">
    <w:nsid w:val="42242813"/>
    <w:multiLevelType w:val="hybridMultilevel"/>
    <w:tmpl w:val="21D67032"/>
    <w:lvl w:ilvl="0" w:tplc="F5042334">
      <w:start w:val="1"/>
      <w:numFmt w:val="decimal"/>
      <w:lvlText w:val="%1."/>
      <w:lvlJc w:val="left"/>
      <w:pPr>
        <w:tabs>
          <w:tab w:val="num" w:pos="570"/>
        </w:tabs>
        <w:ind w:left="570" w:hanging="570"/>
      </w:pPr>
      <w:rPr>
        <w:rFonts w:hint="eastAsia"/>
      </w:rPr>
    </w:lvl>
    <w:lvl w:ilvl="1" w:tplc="CC6CC24A">
      <w:start w:val="2"/>
      <w:numFmt w:val="decimal"/>
      <w:lvlText w:val="%2．"/>
      <w:lvlJc w:val="left"/>
      <w:pPr>
        <w:tabs>
          <w:tab w:val="num" w:pos="1140"/>
        </w:tabs>
        <w:ind w:left="1140" w:hanging="72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48122572"/>
    <w:multiLevelType w:val="hybridMultilevel"/>
    <w:tmpl w:val="152CBD40"/>
    <w:lvl w:ilvl="0" w:tplc="C2A2522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4F9F54A7"/>
    <w:multiLevelType w:val="singleLevel"/>
    <w:tmpl w:val="CA0235C4"/>
    <w:lvl w:ilvl="0">
      <w:start w:val="1"/>
      <w:numFmt w:val="upperLetter"/>
      <w:pStyle w:val="Heading1"/>
      <w:lvlText w:val="%1．"/>
      <w:lvlJc w:val="left"/>
      <w:pPr>
        <w:tabs>
          <w:tab w:val="num" w:pos="345"/>
        </w:tabs>
        <w:ind w:left="345" w:hanging="345"/>
      </w:pPr>
      <w:rPr>
        <w:rFonts w:hint="eastAsia"/>
      </w:rPr>
    </w:lvl>
  </w:abstractNum>
  <w:abstractNum w:abstractNumId="4">
    <w:nsid w:val="6E0D27F8"/>
    <w:multiLevelType w:val="singleLevel"/>
    <w:tmpl w:val="B73283FE"/>
    <w:lvl w:ilvl="0">
      <w:start w:val="1"/>
      <w:numFmt w:val="upperLetter"/>
      <w:pStyle w:val="Heading4"/>
      <w:lvlText w:val="%1．"/>
      <w:lvlJc w:val="left"/>
      <w:pPr>
        <w:tabs>
          <w:tab w:val="num" w:pos="360"/>
        </w:tabs>
        <w:ind w:left="360" w:hanging="360"/>
      </w:pPr>
      <w:rPr>
        <w:rFonts w:hint="eastAsia"/>
      </w:rPr>
    </w:lvl>
  </w:abstractNum>
  <w:num w:numId="1">
    <w:abstractNumId w:val="3"/>
  </w:num>
  <w:num w:numId="2">
    <w:abstractNumId w:val="4"/>
  </w:num>
  <w:num w:numId="3">
    <w:abstractNumId w:val="0"/>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0"/>
  <w:doNotHyphenateCaps/>
  <w:evenAndOddHeaders/>
  <w:drawingGridHorizontalSpacing w:val="120"/>
  <w:drawingGridVerticalSpacing w:val="104"/>
  <w:displayHorizontalDrawingGridEvery w:val="0"/>
  <w:displayVerticalDrawingGridEvery w:val="3"/>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80D6A"/>
    <w:rsid w:val="00D80D6A"/>
    <w:rsid w:val="00ED344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djustRightInd w:val="0"/>
      <w:spacing w:line="312" w:lineRule="atLeast"/>
      <w:jc w:val="both"/>
      <w:textAlignment w:val="baseline"/>
    </w:pPr>
    <w:rPr>
      <w:sz w:val="21"/>
      <w:lang w:val="en-US" w:eastAsia="zh-CN"/>
    </w:rPr>
  </w:style>
  <w:style w:type="paragraph" w:styleId="Heading1">
    <w:name w:val="heading 1"/>
    <w:basedOn w:val="Normal"/>
    <w:next w:val="Normal"/>
    <w:qFormat/>
    <w:pPr>
      <w:keepNext/>
      <w:numPr>
        <w:numId w:val="1"/>
      </w:numPr>
      <w:adjustRightInd/>
      <w:spacing w:beforeLines="50" w:before="50" w:after="240" w:line="400" w:lineRule="exact"/>
      <w:ind w:left="0" w:firstLine="0"/>
      <w:textAlignment w:val="auto"/>
      <w:outlineLvl w:val="0"/>
    </w:pPr>
    <w:rPr>
      <w:rFonts w:eastAsia="SimHei"/>
      <w:kern w:val="2"/>
      <w:sz w:val="28"/>
    </w:rPr>
  </w:style>
  <w:style w:type="paragraph" w:styleId="Heading2">
    <w:name w:val="heading 2"/>
    <w:basedOn w:val="Normal"/>
    <w:next w:val="NormalIndent"/>
    <w:qFormat/>
    <w:pPr>
      <w:keepNext/>
      <w:keepLines/>
      <w:adjustRightInd/>
      <w:spacing w:before="260" w:after="260" w:line="416" w:lineRule="auto"/>
      <w:textAlignment w:val="auto"/>
      <w:outlineLvl w:val="1"/>
    </w:pPr>
    <w:rPr>
      <w:rFonts w:ascii="Arial" w:eastAsia="SimHei" w:hAnsi="Arial"/>
      <w:b/>
      <w:kern w:val="2"/>
      <w:sz w:val="32"/>
    </w:rPr>
  </w:style>
  <w:style w:type="paragraph" w:styleId="Heading3">
    <w:name w:val="heading 3"/>
    <w:basedOn w:val="Normal"/>
    <w:next w:val="NormalIndent"/>
    <w:qFormat/>
    <w:pPr>
      <w:keepNext/>
      <w:numPr>
        <w:numId w:val="2"/>
      </w:numPr>
      <w:spacing w:before="240" w:after="240" w:line="360" w:lineRule="exact"/>
      <w:ind w:left="357" w:hanging="357"/>
      <w:outlineLvl w:val="2"/>
    </w:pPr>
    <w:rPr>
      <w:rFonts w:ascii="SimHei" w:eastAsia="SimHei"/>
      <w:sz w:val="24"/>
      <w:u w:val="single"/>
    </w:rPr>
  </w:style>
  <w:style w:type="paragraph" w:styleId="Heading4">
    <w:name w:val="heading 4"/>
    <w:basedOn w:val="Normal"/>
    <w:next w:val="NormalIndent"/>
    <w:qFormat/>
    <w:pPr>
      <w:keepNext/>
      <w:numPr>
        <w:numId w:val="2"/>
      </w:numPr>
      <w:spacing w:after="240" w:line="360" w:lineRule="exact"/>
      <w:outlineLvl w:val="3"/>
    </w:pPr>
    <w:rPr>
      <w:rFonts w:ascii="SimHei" w:eastAsia="SimHei"/>
      <w:sz w:val="24"/>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styleId="NormalIndent">
    <w:name w:val="Normal Indent"/>
    <w:basedOn w:val="Normal"/>
    <w:pPr>
      <w:spacing w:line="240" w:lineRule="auto"/>
      <w:ind w:firstLine="420"/>
    </w:pPr>
    <w:rPr>
      <w:kern w:val="2"/>
    </w:rPr>
  </w:style>
  <w:style w:type="paragraph" w:customStyle="1" w:styleId="2">
    <w:name w:val="页眉2"/>
    <w:basedOn w:val="Normal"/>
    <w:pPr>
      <w:framePr w:w="6747" w:h="284" w:hRule="exact" w:hSpace="181" w:vSpace="181" w:wrap="notBeside" w:vAnchor="page" w:hAnchor="page" w:x="4310" w:y="1163" w:anchorLock="1"/>
      <w:widowControl/>
      <w:tabs>
        <w:tab w:val="left" w:pos="425"/>
      </w:tabs>
      <w:spacing w:line="300" w:lineRule="exact"/>
      <w:jc w:val="right"/>
    </w:pPr>
    <w:rPr>
      <w:color w:val="000000"/>
      <w:kern w:val="19"/>
      <w:sz w:val="19"/>
    </w:rPr>
  </w:style>
  <w:style w:type="paragraph" w:customStyle="1" w:styleId="3">
    <w:name w:val="页眉3"/>
    <w:basedOn w:val="Normal"/>
    <w:pPr>
      <w:framePr w:w="9837" w:h="85" w:hRule="exact" w:hSpace="181" w:vSpace="181" w:wrap="notBeside" w:vAnchor="page" w:hAnchor="margin" w:y="1617" w:anchorLock="1"/>
      <w:widowControl/>
      <w:pBdr>
        <w:top w:val="single" w:sz="6" w:space="1" w:color="auto"/>
      </w:pBdr>
      <w:tabs>
        <w:tab w:val="left" w:pos="425"/>
      </w:tabs>
      <w:spacing w:after="140" w:line="280" w:lineRule="exact"/>
    </w:pPr>
    <w:rPr>
      <w:color w:val="000000"/>
      <w:kern w:val="20"/>
      <w:sz w:val="20"/>
    </w:rPr>
  </w:style>
  <w:style w:type="paragraph" w:customStyle="1" w:styleId="4">
    <w:name w:val="页眉4"/>
    <w:basedOn w:val="Normal"/>
    <w:next w:val="Normal"/>
    <w:pPr>
      <w:framePr w:w="3402" w:h="2268" w:hRule="exact" w:hSpace="181" w:vSpace="181" w:wrap="notBeside" w:vAnchor="page" w:hAnchor="page" w:x="2484" w:y="1883" w:anchorLock="1"/>
      <w:widowControl/>
      <w:tabs>
        <w:tab w:val="left" w:pos="425"/>
      </w:tabs>
      <w:spacing w:after="60" w:line="340" w:lineRule="exact"/>
      <w:jc w:val="left"/>
    </w:pPr>
    <w:rPr>
      <w:rFonts w:eastAsia="SimHei"/>
      <w:b/>
      <w:color w:val="000000"/>
      <w:spacing w:val="140"/>
      <w:kern w:val="34"/>
      <w:sz w:val="34"/>
    </w:rPr>
  </w:style>
  <w:style w:type="paragraph" w:customStyle="1" w:styleId="5">
    <w:name w:val="页眉5"/>
    <w:basedOn w:val="Header"/>
    <w:pPr>
      <w:framePr w:w="3119" w:h="1985" w:hRule="exact" w:hSpace="181" w:vSpace="181" w:wrap="notBeside" w:vAnchor="page" w:hAnchor="page" w:x="7882" w:y="1883" w:anchorLock="1"/>
      <w:pBdr>
        <w:bottom w:val="none" w:sz="0" w:space="0" w:color="auto"/>
      </w:pBdr>
      <w:tabs>
        <w:tab w:val="clear" w:pos="4320"/>
        <w:tab w:val="clear" w:pos="8640"/>
      </w:tabs>
      <w:spacing w:after="60" w:line="180" w:lineRule="exact"/>
      <w:jc w:val="left"/>
    </w:pPr>
    <w:rPr>
      <w:color w:val="000000"/>
      <w:kern w:val="18"/>
    </w:rPr>
  </w:style>
  <w:style w:type="paragraph" w:styleId="Header">
    <w:name w:val="header"/>
    <w:basedOn w:val="Normal"/>
    <w:pPr>
      <w:pBdr>
        <w:bottom w:val="single" w:sz="6" w:space="1" w:color="auto"/>
      </w:pBdr>
      <w:tabs>
        <w:tab w:val="center" w:pos="4320"/>
        <w:tab w:val="right" w:pos="8640"/>
      </w:tabs>
      <w:spacing w:line="240" w:lineRule="atLeast"/>
      <w:jc w:val="center"/>
    </w:pPr>
    <w:rPr>
      <w:sz w:val="18"/>
    </w:rPr>
  </w:style>
  <w:style w:type="paragraph" w:customStyle="1" w:styleId="6">
    <w:name w:val="页眉6"/>
    <w:basedOn w:val="3"/>
    <w:pPr>
      <w:framePr w:wrap="notBeside" w:y="4452"/>
    </w:pPr>
  </w:style>
  <w:style w:type="paragraph" w:styleId="Footer">
    <w:name w:val="footer"/>
    <w:basedOn w:val="Normal"/>
    <w:pPr>
      <w:tabs>
        <w:tab w:val="center" w:pos="4320"/>
        <w:tab w:val="right" w:pos="8640"/>
      </w:tabs>
      <w:spacing w:line="240" w:lineRule="atLeast"/>
      <w:jc w:val="left"/>
    </w:pPr>
    <w:rPr>
      <w:sz w:val="18"/>
    </w:rPr>
  </w:style>
  <w:style w:type="paragraph" w:styleId="FootnoteText">
    <w:name w:val="footnote text"/>
    <w:basedOn w:val="Normal"/>
    <w:semiHidden/>
    <w:pPr>
      <w:jc w:val="left"/>
    </w:pPr>
    <w:rPr>
      <w:rFonts w:eastAsia="仿宋体"/>
      <w:sz w:val="18"/>
    </w:rPr>
  </w:style>
  <w:style w:type="character" w:styleId="PageNumber">
    <w:name w:val="page number"/>
    <w:basedOn w:val="DefaultParagraphFont"/>
  </w:style>
  <w:style w:type="character" w:styleId="FootnoteReference">
    <w:name w:val="footnote reference"/>
    <w:semiHidden/>
    <w:rPr>
      <w:vertAlign w:val="superscript"/>
    </w:rPr>
  </w:style>
  <w:style w:type="paragraph" w:styleId="Date">
    <w:name w:val="Date"/>
    <w:basedOn w:val="Normal"/>
    <w:next w:val="Normal"/>
  </w:style>
  <w:style w:type="paragraph" w:styleId="BodyTextIndent">
    <w:name w:val="Body Text Indent"/>
    <w:basedOn w:val="Normal"/>
    <w:pPr>
      <w:spacing w:after="240" w:line="360" w:lineRule="exact"/>
      <w:ind w:firstLine="425"/>
    </w:pPr>
  </w:style>
  <w:style w:type="paragraph" w:styleId="PlainText">
    <w:name w:val="Plain Text"/>
    <w:basedOn w:val="Normal"/>
    <w:pPr>
      <w:spacing w:line="240" w:lineRule="auto"/>
    </w:pPr>
    <w:rPr>
      <w:rFonts w:ascii="SimSun"/>
    </w:rPr>
  </w:style>
  <w:style w:type="paragraph" w:styleId="Caption">
    <w:name w:val="caption"/>
    <w:basedOn w:val="Normal"/>
    <w:next w:val="Normal"/>
    <w:qFormat/>
    <w:pPr>
      <w:spacing w:before="152" w:after="160"/>
    </w:pPr>
    <w:rPr>
      <w:rFonts w:ascii="Arial" w:eastAsia="SimHei" w:hAnsi="Arial"/>
    </w:rPr>
  </w:style>
  <w:style w:type="paragraph" w:styleId="BodyText">
    <w:name w:val="Body Text"/>
    <w:basedOn w:val="Normal"/>
    <w:pPr>
      <w:spacing w:line="240" w:lineRule="auto"/>
    </w:pPr>
    <w:rPr>
      <w:rFonts w:ascii="SimSun"/>
      <w:kern w:val="2"/>
      <w:sz w:val="28"/>
    </w:rPr>
  </w:style>
  <w:style w:type="paragraph" w:styleId="BlockText">
    <w:name w:val="Block Text"/>
    <w:basedOn w:val="Normal"/>
    <w:pPr>
      <w:spacing w:after="240" w:line="440" w:lineRule="exact"/>
      <w:ind w:left="794" w:right="794" w:firstLine="425"/>
    </w:pPr>
  </w:style>
  <w:style w:type="paragraph" w:styleId="BodyTextIndent3">
    <w:name w:val="Body Text Indent 3"/>
    <w:basedOn w:val="Normal"/>
    <w:pPr>
      <w:tabs>
        <w:tab w:val="left" w:pos="2079"/>
      </w:tabs>
      <w:adjustRightInd/>
      <w:spacing w:line="240" w:lineRule="auto"/>
      <w:ind w:left="942"/>
      <w:textAlignment w:val="auto"/>
    </w:pPr>
    <w:rPr>
      <w:kern w:val="2"/>
    </w:rPr>
  </w:style>
  <w:style w:type="paragraph" w:styleId="BodyTextIndent2">
    <w:name w:val="Body Text Indent 2"/>
    <w:basedOn w:val="Normal"/>
    <w:pPr>
      <w:adjustRightInd/>
      <w:spacing w:line="240" w:lineRule="auto"/>
      <w:ind w:firstLine="462"/>
      <w:textAlignment w:val="auto"/>
    </w:pPr>
    <w:rPr>
      <w:i/>
      <w:kern w:val="2"/>
    </w:rPr>
  </w:style>
  <w:style w:type="character" w:styleId="EndnoteReference">
    <w:name w:val="endnote reference"/>
    <w:semiHidden/>
    <w:rPr>
      <w:vertAlign w:val="superscript"/>
    </w:rPr>
  </w:style>
  <w:style w:type="paragraph" w:styleId="EndnoteText">
    <w:name w:val="endnote text"/>
    <w:basedOn w:val="Normal"/>
    <w:semiHidden/>
    <w:pPr>
      <w:adjustRightInd/>
      <w:snapToGrid w:val="0"/>
      <w:spacing w:line="240" w:lineRule="auto"/>
      <w:jc w:val="left"/>
      <w:textAlignment w:val="auto"/>
    </w:pPr>
    <w:rPr>
      <w:kern w:val="2"/>
    </w:rPr>
  </w:style>
  <w:style w:type="paragraph" w:styleId="TOC1">
    <w:name w:val="toc 1"/>
    <w:basedOn w:val="Normal"/>
    <w:next w:val="Normal"/>
    <w:autoRedefine/>
    <w:semiHidden/>
    <w:pPr>
      <w:tabs>
        <w:tab w:val="right" w:leader="dot" w:pos="8302"/>
      </w:tabs>
      <w:adjustRightInd/>
      <w:spacing w:line="240" w:lineRule="auto"/>
      <w:textAlignment w:val="auto"/>
    </w:pPr>
    <w:rPr>
      <w:rFonts w:eastAsia="SimHei"/>
      <w:noProof/>
      <w:kern w:val="2"/>
    </w:rPr>
  </w:style>
  <w:style w:type="paragraph" w:styleId="TOC2">
    <w:name w:val="toc 2"/>
    <w:basedOn w:val="Normal"/>
    <w:next w:val="Normal"/>
    <w:autoRedefine/>
    <w:semiHidden/>
    <w:pPr>
      <w:tabs>
        <w:tab w:val="center" w:leader="dot" w:pos="8880"/>
        <w:tab w:val="right" w:pos="9720"/>
      </w:tabs>
      <w:spacing w:after="120" w:line="320" w:lineRule="atLeast"/>
      <w:ind w:leftChars="200" w:left="420"/>
    </w:pPr>
  </w:style>
  <w:style w:type="paragraph" w:customStyle="1" w:styleId="1">
    <w:name w:val="样式1"/>
    <w:basedOn w:val="BodyText"/>
    <w:pPr>
      <w:adjustRightInd/>
      <w:ind w:firstLineChars="200" w:firstLine="420"/>
      <w:textAlignment w:val="auto"/>
    </w:pPr>
    <w:rPr>
      <w:rFonts w:ascii="Times New Roman"/>
      <w:sz w:val="21"/>
      <w:szCs w:val="24"/>
    </w:rPr>
  </w:style>
  <w:style w:type="character" w:styleId="Hyperlink">
    <w:name w:val="Hyperlink"/>
    <w:rPr>
      <w:color w:val="0000FF"/>
      <w:u w:val="none"/>
    </w:rPr>
  </w:style>
  <w:style w:type="character" w:styleId="FollowedHyperlink">
    <w:name w:val="FollowedHyperlink"/>
    <w:rPr>
      <w:color w:val="0000FF"/>
      <w:u w:val="none"/>
    </w:rPr>
  </w:style>
  <w:style w:type="paragraph" w:styleId="Title">
    <w:name w:val="Title"/>
    <w:basedOn w:val="Normal"/>
    <w:qFormat/>
    <w:pPr>
      <w:numPr>
        <w:numId w:val="3"/>
      </w:numPr>
      <w:adjustRightInd/>
      <w:spacing w:line="360" w:lineRule="auto"/>
      <w:jc w:val="center"/>
      <w:textAlignment w:val="auto"/>
    </w:pPr>
    <w:rPr>
      <w:rFonts w:eastAsia="STKaiti"/>
      <w:b/>
      <w:kern w:val="2"/>
      <w:sz w:val="24"/>
    </w:rPr>
  </w:style>
  <w:style w:type="paragraph" w:styleId="BodyText2">
    <w:name w:val="Body Text 2"/>
    <w:basedOn w:val="Normal"/>
    <w:pPr>
      <w:framePr w:w="3609" w:h="1458" w:hRule="exact" w:hSpace="181" w:wrap="auto" w:vAnchor="text" w:hAnchor="page" w:x="2511" w:y="1"/>
      <w:spacing w:line="560" w:lineRule="exact"/>
      <w:jc w:val="left"/>
    </w:pPr>
    <w:rPr>
      <w:rFonts w:eastAsia="SimHei"/>
      <w:sz w:val="40"/>
    </w:rPr>
  </w:style>
  <w:style w:type="paragraph" w:customStyle="1" w:styleId="OmniPage6">
    <w:name w:val="OmniPage #6"/>
    <w:basedOn w:val="Normal"/>
    <w:pPr>
      <w:widowControl/>
      <w:adjustRightInd/>
      <w:spacing w:line="240" w:lineRule="auto"/>
      <w:jc w:val="left"/>
      <w:textAlignment w:val="auto"/>
    </w:pPr>
    <w:rPr>
      <w:sz w:val="24"/>
      <w:lang w:val="fr-FR" w:eastAsia="en-US"/>
    </w:rPr>
  </w:style>
  <w:style w:type="paragraph" w:customStyle="1" w:styleId="OmniPage12">
    <w:name w:val="OmniPage #12"/>
    <w:basedOn w:val="Normal"/>
    <w:pPr>
      <w:widowControl/>
      <w:adjustRightInd/>
      <w:spacing w:line="240" w:lineRule="auto"/>
      <w:jc w:val="left"/>
      <w:textAlignment w:val="auto"/>
    </w:pPr>
    <w:rPr>
      <w:sz w:val="24"/>
      <w:lang w:val="fr-FR" w:eastAsia="en-US"/>
    </w:rPr>
  </w:style>
  <w:style w:type="paragraph" w:customStyle="1" w:styleId="OmniPage15">
    <w:name w:val="OmniPage #15"/>
    <w:basedOn w:val="Normal"/>
    <w:pPr>
      <w:widowControl/>
      <w:adjustRightInd/>
      <w:spacing w:line="240" w:lineRule="auto"/>
      <w:jc w:val="left"/>
      <w:textAlignment w:val="auto"/>
    </w:pPr>
    <w:rPr>
      <w:sz w:val="24"/>
      <w:lang w:val="fr-FR" w:eastAsia="en-US"/>
    </w:rPr>
  </w:style>
  <w:style w:type="paragraph" w:customStyle="1" w:styleId="OmniPage13">
    <w:name w:val="OmniPage #13"/>
    <w:basedOn w:val="Normal"/>
    <w:pPr>
      <w:widowControl/>
      <w:adjustRightInd/>
      <w:spacing w:line="240" w:lineRule="auto"/>
      <w:jc w:val="left"/>
      <w:textAlignment w:val="auto"/>
    </w:pPr>
    <w:rPr>
      <w:sz w:val="24"/>
      <w:lang w:val="fr-FR" w:eastAsia="en-US"/>
    </w:rPr>
  </w:style>
  <w:style w:type="paragraph" w:customStyle="1" w:styleId="OmniPage9">
    <w:name w:val="OmniPage #9"/>
    <w:basedOn w:val="Normal"/>
    <w:pPr>
      <w:widowControl/>
      <w:adjustRightInd/>
      <w:spacing w:line="240" w:lineRule="auto"/>
      <w:jc w:val="left"/>
      <w:textAlignment w:val="auto"/>
    </w:pPr>
    <w:rPr>
      <w:sz w:val="24"/>
      <w:lang w:val="fr-FR" w:eastAsia="en-US"/>
    </w:rPr>
  </w:style>
  <w:style w:type="paragraph" w:customStyle="1" w:styleId="OmniPage14">
    <w:name w:val="OmniPage #14"/>
    <w:basedOn w:val="Normal"/>
    <w:pPr>
      <w:widowControl/>
      <w:adjustRightInd/>
      <w:spacing w:line="240" w:lineRule="auto"/>
      <w:jc w:val="left"/>
      <w:textAlignment w:val="auto"/>
    </w:pPr>
    <w:rPr>
      <w:sz w:val="24"/>
      <w:lang w:val="fr-FR" w:eastAsia="en-US"/>
    </w:rPr>
  </w:style>
  <w:style w:type="paragraph" w:styleId="BodyText3">
    <w:name w:val="Body Text 3"/>
    <w:basedOn w:val="Normal"/>
    <w:pPr>
      <w:widowControl/>
      <w:adjustRightInd/>
      <w:spacing w:line="240" w:lineRule="auto"/>
      <w:textAlignment w:val="auto"/>
    </w:pPr>
    <w:rPr>
      <w:color w:val="000000"/>
      <w:sz w:val="24"/>
      <w:lang w:val="fr-FR" w:eastAsia="en-US"/>
    </w:rPr>
  </w:style>
  <w:style w:type="paragraph" w:customStyle="1" w:styleId="HCh">
    <w:name w:val="_ H _Ch"/>
    <w:basedOn w:val="Normal"/>
    <w:next w:val="Normal"/>
    <w:pPr>
      <w:keepNext/>
      <w:keepLines/>
      <w:widowControl/>
      <w:tabs>
        <w:tab w:val="left" w:pos="57"/>
      </w:tabs>
      <w:suppressAutoHyphens/>
      <w:adjustRightInd/>
      <w:spacing w:before="120" w:after="240" w:line="460" w:lineRule="exact"/>
      <w:jc w:val="left"/>
      <w:textAlignment w:val="auto"/>
      <w:outlineLvl w:val="0"/>
    </w:pPr>
    <w:rPr>
      <w:rFonts w:ascii="SimHei" w:eastAsia="SimHei"/>
      <w:color w:val="FF0000"/>
      <w:kern w:val="14"/>
      <w:sz w:val="28"/>
    </w:rPr>
  </w:style>
  <w:style w:type="paragraph" w:customStyle="1" w:styleId="XLarge">
    <w:name w:val="XLarge"/>
    <w:basedOn w:val="Normal"/>
    <w:pPr>
      <w:keepNext/>
      <w:keepLines/>
      <w:widowControl/>
      <w:tabs>
        <w:tab w:val="left" w:pos="57"/>
        <w:tab w:val="right" w:leader="dot" w:pos="360"/>
      </w:tabs>
      <w:suppressAutoHyphens/>
      <w:adjustRightInd/>
      <w:spacing w:line="390" w:lineRule="exact"/>
      <w:jc w:val="left"/>
      <w:textAlignment w:val="auto"/>
      <w:outlineLvl w:val="0"/>
    </w:pPr>
    <w:rPr>
      <w:rFonts w:ascii="SimHei" w:eastAsia="SimHei"/>
      <w:color w:val="FF0000"/>
      <w:kern w:val="14"/>
      <w:sz w:val="40"/>
    </w:rPr>
  </w:style>
  <w:style w:type="paragraph" w:customStyle="1" w:styleId="H1">
    <w:name w:val="_ H_1"/>
    <w:basedOn w:val="Normal"/>
    <w:next w:val="Normal"/>
    <w:pPr>
      <w:keepNext/>
      <w:keepLines/>
      <w:widowControl/>
      <w:suppressAutoHyphens/>
      <w:adjustRightInd/>
      <w:spacing w:beforeLines="50" w:before="50" w:after="240" w:line="360" w:lineRule="exact"/>
      <w:jc w:val="left"/>
      <w:textAlignment w:val="auto"/>
      <w:outlineLvl w:val="0"/>
    </w:pPr>
    <w:rPr>
      <w:rFonts w:ascii="SimHei" w:eastAsia="SimHei"/>
      <w:color w:val="FF0000"/>
      <w:kern w:val="14"/>
      <w:sz w:val="24"/>
    </w:rPr>
  </w:style>
  <w:style w:type="paragraph" w:customStyle="1" w:styleId="H23">
    <w:name w:val="_ H_2/3"/>
    <w:basedOn w:val="Normal"/>
    <w:next w:val="Normal"/>
    <w:pPr>
      <w:widowControl/>
      <w:adjustRightInd/>
      <w:spacing w:after="240" w:line="360" w:lineRule="exact"/>
      <w:jc w:val="left"/>
      <w:textAlignment w:val="auto"/>
      <w:outlineLvl w:val="1"/>
    </w:pPr>
    <w:rPr>
      <w:rFonts w:ascii="KaiTi_GB2312" w:eastAsia="KaiTi_GB2312"/>
      <w:b/>
      <w:color w:val="0000FF"/>
      <w:spacing w:val="2"/>
      <w:kern w:val="14"/>
    </w:rPr>
  </w:style>
  <w:style w:type="character" w:styleId="CommentReference">
    <w:name w:val="annotation reference"/>
    <w:semiHidden/>
    <w:rPr>
      <w:sz w:val="6"/>
    </w:rPr>
  </w:style>
  <w:style w:type="paragraph" w:styleId="CommentText">
    <w:name w:val="annotation text"/>
    <w:basedOn w:val="Normal"/>
    <w:semiHidden/>
    <w:pPr>
      <w:widowControl/>
      <w:adjustRightInd/>
      <w:spacing w:line="320" w:lineRule="exact"/>
      <w:jc w:val="left"/>
      <w:textAlignment w:val="auto"/>
    </w:pPr>
    <w:rPr>
      <w:rFonts w:ascii="SimSun"/>
      <w:kern w:val="14"/>
    </w:rPr>
  </w:style>
  <w:style w:type="paragraph" w:customStyle="1" w:styleId="50">
    <w:name w:val="正文5"/>
    <w:basedOn w:val="Normal"/>
    <w:pPr>
      <w:adjustRightInd/>
      <w:spacing w:beforeLines="100" w:before="100" w:afterLines="100" w:after="100" w:line="240" w:lineRule="auto"/>
      <w:textAlignment w:val="auto"/>
    </w:pPr>
    <w:rPr>
      <w:b/>
      <w:kern w:val="2"/>
      <w:szCs w:val="24"/>
    </w:rPr>
  </w:style>
  <w:style w:type="paragraph" w:customStyle="1" w:styleId="40">
    <w:name w:val="正文4"/>
    <w:basedOn w:val="Normal"/>
    <w:pPr>
      <w:numPr>
        <w:numId w:val="4"/>
      </w:numPr>
      <w:adjustRightInd/>
      <w:spacing w:beforeLines="50" w:before="50" w:afterLines="50" w:after="50" w:line="240" w:lineRule="auto"/>
      <w:textAlignment w:val="auto"/>
    </w:pPr>
    <w:rPr>
      <w:kern w:val="2"/>
      <w:szCs w:val="24"/>
    </w:rPr>
  </w:style>
  <w:style w:type="paragraph" w:customStyle="1" w:styleId="10">
    <w:name w:val="正文1"/>
    <w:basedOn w:val="Normal"/>
    <w:pPr>
      <w:adjustRightInd/>
      <w:spacing w:beforeLines="100" w:before="100" w:afterLines="100" w:after="100" w:line="240" w:lineRule="auto"/>
      <w:ind w:firstLineChars="200" w:firstLine="200"/>
      <w:textAlignment w:val="auto"/>
    </w:pPr>
    <w:rPr>
      <w:kern w:val="2"/>
      <w:szCs w:val="24"/>
    </w:rPr>
  </w:style>
  <w:style w:type="paragraph" w:customStyle="1" w:styleId="20">
    <w:name w:val="正文2"/>
    <w:basedOn w:val="Normal"/>
    <w:pPr>
      <w:adjustRightInd/>
      <w:spacing w:beforeLines="50" w:before="50" w:afterLines="50" w:after="50" w:line="240" w:lineRule="auto"/>
      <w:ind w:firstLineChars="200" w:firstLine="200"/>
      <w:textAlignment w:val="auto"/>
    </w:pPr>
    <w:rPr>
      <w:kern w:val="2"/>
    </w:rPr>
  </w:style>
  <w:style w:type="paragraph" w:customStyle="1" w:styleId="30">
    <w:name w:val="正文3"/>
    <w:basedOn w:val="Normal"/>
    <w:pPr>
      <w:adjustRightInd/>
      <w:spacing w:line="240" w:lineRule="auto"/>
      <w:textAlignment w:val="auto"/>
    </w:pPr>
    <w:rPr>
      <w:kern w:val="2"/>
      <w:szCs w:val="24"/>
    </w:rPr>
  </w:style>
  <w:style w:type="paragraph" w:customStyle="1" w:styleId="60">
    <w:name w:val="样式6"/>
    <w:basedOn w:val="21"/>
    <w:rPr>
      <w:sz w:val="21"/>
    </w:rPr>
  </w:style>
  <w:style w:type="paragraph" w:customStyle="1" w:styleId="21">
    <w:name w:val="样式2"/>
    <w:basedOn w:val="Normal"/>
    <w:pPr>
      <w:adjustRightInd/>
      <w:spacing w:beforeLines="50" w:before="50" w:afterLines="50" w:after="50" w:line="240" w:lineRule="auto"/>
      <w:textAlignment w:val="auto"/>
    </w:pPr>
    <w:rPr>
      <w:rFonts w:ascii="Book Antiqua" w:eastAsia="KaiTi_GB2312" w:hAnsi="Book Antiqua"/>
      <w:kern w:val="2"/>
      <w:sz w:val="24"/>
      <w:szCs w:val="24"/>
      <w:lang w:val="es-ES"/>
    </w:rPr>
  </w:style>
  <w:style w:type="paragraph" w:customStyle="1" w:styleId="SingleTxt">
    <w:name w:val="__Single Txt"/>
    <w:basedOn w:val="Normal"/>
    <w:pPr>
      <w:widowControl/>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adjustRightInd/>
      <w:spacing w:after="140" w:line="320" w:lineRule="exact"/>
      <w:ind w:left="1264" w:right="1264"/>
      <w:textAlignment w:val="auto"/>
    </w:pPr>
    <w:rPr>
      <w:rFonts w:ascii="SimSun"/>
      <w:kern w:val="14"/>
    </w:rPr>
  </w:style>
  <w:style w:type="paragraph" w:customStyle="1" w:styleId="DualTxt">
    <w:name w:val="__Dual Txt"/>
    <w:basedOn w:val="Normal"/>
    <w:pPr>
      <w:widowControl/>
      <w:tabs>
        <w:tab w:val="left" w:pos="432"/>
        <w:tab w:val="left" w:pos="864"/>
        <w:tab w:val="left" w:pos="1293"/>
        <w:tab w:val="left" w:pos="1724"/>
        <w:tab w:val="left" w:pos="2155"/>
        <w:tab w:val="left" w:pos="2586"/>
      </w:tabs>
      <w:adjustRightInd/>
      <w:spacing w:after="140" w:line="320" w:lineRule="exact"/>
      <w:textAlignment w:val="auto"/>
    </w:pPr>
    <w:rPr>
      <w:rFonts w:ascii="SimSun"/>
      <w:kern w:val="14"/>
    </w:rPr>
  </w:style>
  <w:style w:type="paragraph" w:styleId="BalloonText">
    <w:name w:val="Balloon Text"/>
    <w:basedOn w:val="Normal"/>
    <w:semiHidden/>
    <w:rsid w:val="00D80D6A"/>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D:\WORK\&#26032;&#24314;&#25991;&#20214;&#22841;\&#26032;&#24314;&#25991;&#20214;&#22841;\un02075-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un02075-1</Template>
  <TotalTime>15</TotalTime>
  <Pages>3</Pages>
  <Words>739</Words>
  <Characters>4213</Characters>
  <Application>Microsoft Office Word</Application>
  <DocSecurity>4</DocSecurity>
  <Lines>35</Lines>
  <Paragraphs>9</Paragraphs>
  <ScaleCrop>false</ScaleCrop>
  <HeadingPairs>
    <vt:vector size="4" baseType="variant">
      <vt:variant>
        <vt:lpstr>Title</vt:lpstr>
      </vt:variant>
      <vt:variant>
        <vt:i4>1</vt:i4>
      </vt:variant>
      <vt:variant>
        <vt:lpstr>题目</vt:lpstr>
      </vt:variant>
      <vt:variant>
        <vt:i4>1</vt:i4>
      </vt:variant>
    </vt:vector>
  </HeadingPairs>
  <TitlesOfParts>
    <vt:vector size="2" baseType="lpstr">
      <vt:lpstr>联合国</vt:lpstr>
      <vt:lpstr>联合国</vt:lpstr>
    </vt:vector>
  </TitlesOfParts>
  <Company>infoll</Company>
  <LinksUpToDate>false</LinksUpToDate>
  <CharactersWithSpaces>4943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联合国</dc:title>
  <dc:subject/>
  <dc:creator>JonMMx 2000</dc:creator>
  <cp:keywords/>
  <cp:lastModifiedBy>Dezuo CAO</cp:lastModifiedBy>
  <cp:revision>4</cp:revision>
  <cp:lastPrinted>2004-06-01T12:52:00Z</cp:lastPrinted>
  <dcterms:created xsi:type="dcterms:W3CDTF">2004-06-01T12:50:00Z</dcterms:created>
  <dcterms:modified xsi:type="dcterms:W3CDTF">2004-06-01T13:37:00Z</dcterms:modified>
</cp:coreProperties>
</file>