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6424" w:rsidP="00E96424">
            <w:pPr>
              <w:jc w:val="right"/>
            </w:pPr>
            <w:r w:rsidRPr="00E96424">
              <w:rPr>
                <w:sz w:val="40"/>
              </w:rPr>
              <w:t>CERD</w:t>
            </w:r>
            <w:r>
              <w:t>/C/TJK/CO/6-8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E96424" w:rsidRDefault="00E96424" w:rsidP="00B778C8">
            <w:pPr>
              <w:spacing w:before="240"/>
            </w:pPr>
            <w:r>
              <w:t>Distr. general</w:t>
            </w:r>
          </w:p>
          <w:p w:rsidR="00E96424" w:rsidRDefault="00E96424" w:rsidP="00E96424">
            <w:pPr>
              <w:spacing w:line="240" w:lineRule="exact"/>
            </w:pPr>
            <w:r>
              <w:t>24 de octubre de 2012</w:t>
            </w:r>
          </w:p>
          <w:p w:rsidR="00E96424" w:rsidRDefault="00E96424" w:rsidP="00E96424">
            <w:pPr>
              <w:spacing w:line="240" w:lineRule="exact"/>
            </w:pPr>
            <w:r>
              <w:t>Español</w:t>
            </w:r>
          </w:p>
          <w:p w:rsidR="002D5AAC" w:rsidRDefault="00E96424" w:rsidP="00E96424">
            <w:pPr>
              <w:spacing w:line="240" w:lineRule="exact"/>
            </w:pPr>
            <w:r>
              <w:t>Original: inglés</w:t>
            </w:r>
          </w:p>
        </w:tc>
      </w:tr>
    </w:tbl>
    <w:p w:rsidR="00423724" w:rsidRPr="00DE0429" w:rsidRDefault="00423724" w:rsidP="00423724">
      <w:pPr>
        <w:spacing w:before="120"/>
        <w:outlineLvl w:val="0"/>
        <w:rPr>
          <w:b/>
          <w:sz w:val="24"/>
          <w:szCs w:val="24"/>
          <w:lang w:val="es-ES_tradnl"/>
        </w:rPr>
      </w:pPr>
      <w:r w:rsidRPr="00DE0429">
        <w:rPr>
          <w:b/>
          <w:sz w:val="24"/>
          <w:szCs w:val="24"/>
          <w:lang w:val="es-ES_tradnl"/>
        </w:rPr>
        <w:t>Comité para la Eliminación de la Discriminación Racial</w:t>
      </w:r>
    </w:p>
    <w:p w:rsidR="00423724" w:rsidRPr="00DE0429" w:rsidRDefault="00423724" w:rsidP="00423724">
      <w:pPr>
        <w:pStyle w:val="HChG"/>
      </w:pPr>
      <w:r w:rsidRPr="00DE0429">
        <w:tab/>
      </w:r>
      <w:r w:rsidRPr="00DE0429">
        <w:tab/>
        <w:t xml:space="preserve">Observaciones finales sobre </w:t>
      </w:r>
      <w:r>
        <w:t>los informes periódicos sexto a </w:t>
      </w:r>
      <w:r w:rsidRPr="00DE0429">
        <w:t>octavo de Tayikistá</w:t>
      </w:r>
      <w:r>
        <w:t xml:space="preserve">n, aprobadas por el Comité para </w:t>
      </w:r>
      <w:r w:rsidRPr="00DE0429">
        <w:t>la Eliminación de la Discriminac</w:t>
      </w:r>
      <w:r>
        <w:t>ión Racial en su 81º período de </w:t>
      </w:r>
      <w:r w:rsidRPr="00DE0429">
        <w:t>sesiones (6 a 31 de agosto de 2012)</w:t>
      </w:r>
    </w:p>
    <w:p w:rsidR="00423724" w:rsidRPr="006E6445" w:rsidRDefault="00423724" w:rsidP="00423724">
      <w:pPr>
        <w:pStyle w:val="SingleTxtG"/>
      </w:pPr>
      <w:r w:rsidRPr="006E6445">
        <w:t>1.</w:t>
      </w:r>
      <w:r w:rsidRPr="006E6445">
        <w:tab/>
        <w:t>El Comité examinó los informes periódicos sexto a octavo de Tayikistán (CERD/C/TJK/6-8), presentados en un solo documento, en sus sesiones 2171ª y 2172ª (CERD/C/SR.2171 y CERD/C/SR.2172), celebradas los días 8 y 9 de agosto de 2012. En su 2185ª sesión (CERD/C/SR.2185), celebrada el 17 de agosto de 2012, el Comité aprobó las siguientes observaciones finales.</w:t>
      </w:r>
    </w:p>
    <w:p w:rsidR="00423724" w:rsidRPr="00DE0429" w:rsidRDefault="00423724" w:rsidP="00423724">
      <w:pPr>
        <w:pStyle w:val="H1G"/>
      </w:pPr>
      <w:r w:rsidRPr="00DE0429">
        <w:tab/>
        <w:t>A.</w:t>
      </w:r>
      <w:r w:rsidRPr="00DE0429">
        <w:tab/>
        <w:t>Introducción</w:t>
      </w:r>
    </w:p>
    <w:p w:rsidR="00423724" w:rsidRPr="00FC7A77" w:rsidRDefault="00423724" w:rsidP="00423724">
      <w:pPr>
        <w:pStyle w:val="SingleTxtG"/>
      </w:pPr>
      <w:r w:rsidRPr="00FC7A77">
        <w:t>2.</w:t>
      </w:r>
      <w:r w:rsidRPr="00FC7A77">
        <w:tab/>
        <w:t>El Comité celebra la presentación, aunque con retraso, de los informes periódicos sexto a oct</w:t>
      </w:r>
      <w:r>
        <w:t>avo combinados del Estado parte, y a</w:t>
      </w:r>
      <w:r w:rsidRPr="00FC7A77">
        <w:t>gradece la presencia de una delegación de alto nivel y las respuestas francas y constructivas</w:t>
      </w:r>
      <w:r>
        <w:t xml:space="preserve"> dadas</w:t>
      </w:r>
      <w:r w:rsidRPr="00FC7A77">
        <w:t xml:space="preserve"> a las preguntas y observaciones </w:t>
      </w:r>
      <w:r>
        <w:t>que formularon</w:t>
      </w:r>
      <w:r w:rsidRPr="00FC7A77">
        <w:t xml:space="preserve"> los miembros del Comité.</w:t>
      </w:r>
    </w:p>
    <w:p w:rsidR="00423724" w:rsidRPr="00FC7A77" w:rsidRDefault="00423724" w:rsidP="00423724">
      <w:pPr>
        <w:pStyle w:val="SingleTxtG"/>
      </w:pPr>
      <w:r w:rsidRPr="00FC7A77">
        <w:t>3.</w:t>
      </w:r>
      <w:r w:rsidRPr="00FC7A77">
        <w:tab/>
        <w:t xml:space="preserve">El Comité </w:t>
      </w:r>
      <w:r>
        <w:t>observa</w:t>
      </w:r>
      <w:r w:rsidRPr="00FC7A77">
        <w:t xml:space="preserve"> con satisfacción que el informe del Estado parte se ajusta en general a las directrices sobre la presentación de informes.</w:t>
      </w:r>
    </w:p>
    <w:p w:rsidR="00423724" w:rsidRPr="00DE0429" w:rsidRDefault="00423724" w:rsidP="00423724">
      <w:pPr>
        <w:pStyle w:val="H1G"/>
      </w:pPr>
      <w:r w:rsidRPr="00DE0429">
        <w:tab/>
        <w:t>B.</w:t>
      </w:r>
      <w:r w:rsidRPr="00DE0429">
        <w:tab/>
        <w:t>Aspectos positivos</w:t>
      </w:r>
    </w:p>
    <w:p w:rsidR="00423724" w:rsidRPr="00E93579" w:rsidRDefault="00423724" w:rsidP="00423724">
      <w:pPr>
        <w:pStyle w:val="SingleTxtG"/>
      </w:pPr>
      <w:r w:rsidRPr="00E93579">
        <w:t>4.</w:t>
      </w:r>
      <w:r w:rsidRPr="00E93579">
        <w:tab/>
        <w:t>El Comité acoge favorablemente varias novedades positivas y actividades emprendidas por el Estado parte para luchar contra la discriminación racial y promover la diversidad, entre las que cabe señalar las siguientes:</w:t>
      </w:r>
    </w:p>
    <w:p w:rsidR="00423724" w:rsidRPr="00E93579" w:rsidRDefault="00423724" w:rsidP="00423724">
      <w:pPr>
        <w:pStyle w:val="SingleTxtG"/>
      </w:pPr>
      <w:r>
        <w:tab/>
      </w:r>
      <w:r w:rsidRPr="00E93579">
        <w:t>a)</w:t>
      </w:r>
      <w:r w:rsidRPr="00E93579">
        <w:tab/>
        <w:t>La enmienda, en mayo de 2004, del Código Penal</w:t>
      </w:r>
      <w:r>
        <w:t>,</w:t>
      </w:r>
      <w:r w:rsidRPr="00E93579">
        <w:t xml:space="preserve"> por la que se establecen circunstancias agravantes para la discriminación racial;</w:t>
      </w:r>
    </w:p>
    <w:p w:rsidR="00423724" w:rsidRPr="00E93579" w:rsidRDefault="00423724" w:rsidP="00423724">
      <w:pPr>
        <w:pStyle w:val="SingleTxtG"/>
      </w:pPr>
      <w:r>
        <w:tab/>
      </w:r>
      <w:r w:rsidRPr="00E93579">
        <w:t>b)</w:t>
      </w:r>
      <w:r w:rsidRPr="00E93579">
        <w:tab/>
        <w:t>El nuevo Código de Procedimiento Penal, de abril de 2010, que incorpora el principio de no discriminación a los procedimientos penales;</w:t>
      </w:r>
    </w:p>
    <w:p w:rsidR="00423724" w:rsidRPr="00E93579" w:rsidRDefault="00423724" w:rsidP="00423724">
      <w:pPr>
        <w:pStyle w:val="SingleTxtG"/>
      </w:pPr>
      <w:r>
        <w:tab/>
      </w:r>
      <w:r w:rsidRPr="00E93579">
        <w:t>c)</w:t>
      </w:r>
      <w:r w:rsidRPr="00E93579">
        <w:tab/>
        <w:t>El nuevo Código de Delitos Administrativos, de 1º de abril de 2009, en la medida en que prohíbe la difusión de productos racistas;</w:t>
      </w:r>
    </w:p>
    <w:p w:rsidR="00423724" w:rsidRPr="00E93579" w:rsidRDefault="00423724" w:rsidP="00423724">
      <w:pPr>
        <w:pStyle w:val="SingleTxtG"/>
      </w:pPr>
      <w:r>
        <w:tab/>
      </w:r>
      <w:r w:rsidRPr="00E93579">
        <w:t>d)</w:t>
      </w:r>
      <w:r w:rsidRPr="00E93579">
        <w:tab/>
        <w:t>La Ley sobre el idioma del Estado, de 5 de octubre de 2009, que consagra el derecho de los grupos étnicos y pueblos a usar su propio idioma sin restricciones.</w:t>
      </w:r>
    </w:p>
    <w:p w:rsidR="00423724" w:rsidRPr="00E93579" w:rsidRDefault="00423724" w:rsidP="00423724">
      <w:pPr>
        <w:pStyle w:val="SingleTxtG"/>
      </w:pPr>
      <w:r w:rsidRPr="00E93579">
        <w:t>5.</w:t>
      </w:r>
      <w:r w:rsidRPr="00E93579">
        <w:tab/>
        <w:t xml:space="preserve">El Comité </w:t>
      </w:r>
      <w:r>
        <w:t>toma nota d</w:t>
      </w:r>
      <w:r w:rsidRPr="00E93579">
        <w:t>el establecimiento, el 20 de marzo de 2008, de la Oficina del Defensor de los Derechos Humanos.</w:t>
      </w:r>
    </w:p>
    <w:p w:rsidR="00423724" w:rsidRPr="00E93579" w:rsidRDefault="00423724" w:rsidP="00423724">
      <w:pPr>
        <w:pStyle w:val="SingleTxtG"/>
      </w:pPr>
      <w:r w:rsidRPr="00E93579">
        <w:t>6.</w:t>
      </w:r>
      <w:r w:rsidRPr="00E93579">
        <w:tab/>
        <w:t xml:space="preserve">El Comité </w:t>
      </w:r>
      <w:r>
        <w:t xml:space="preserve">observa </w:t>
      </w:r>
      <w:r w:rsidRPr="00E93579">
        <w:t>también varias medidas adoptadas durante el período que se examina con el fin de combatir la trata de seres humanos, en particular un programa integral para el período 2006-2010, aprobado en virtud del Decreto del Gobierno Nº 213</w:t>
      </w:r>
      <w:r>
        <w:t>,</w:t>
      </w:r>
      <w:r w:rsidRPr="00E93579">
        <w:t xml:space="preserve"> </w:t>
      </w:r>
      <w:r>
        <w:t>d</w:t>
      </w:r>
      <w:r w:rsidRPr="00E93579">
        <w:t>el 6 de mayo de 2006.</w:t>
      </w:r>
    </w:p>
    <w:p w:rsidR="00423724" w:rsidRPr="00E93579" w:rsidRDefault="00423724" w:rsidP="00423724">
      <w:pPr>
        <w:pStyle w:val="SingleTxtG"/>
      </w:pPr>
      <w:r w:rsidRPr="00E93579">
        <w:t>7.</w:t>
      </w:r>
      <w:r w:rsidRPr="00E93579">
        <w:tab/>
        <w:t>El Comité celebra el Programa de Desarrollo Cul</w:t>
      </w:r>
      <w:r>
        <w:t>tural para el período 2008-2015</w:t>
      </w:r>
      <w:r w:rsidRPr="00E93579">
        <w:t xml:space="preserve"> aprobado en virtud de la Decisión del Gobierno Nº 85, de 3 de marzo de 2007.</w:t>
      </w:r>
    </w:p>
    <w:p w:rsidR="00423724" w:rsidRPr="00DE0429" w:rsidRDefault="00423724" w:rsidP="00423724">
      <w:pPr>
        <w:pStyle w:val="H1G"/>
      </w:pPr>
      <w:r w:rsidRPr="00DE0429">
        <w:tab/>
        <w:t>C.</w:t>
      </w:r>
      <w:r w:rsidRPr="00DE0429">
        <w:tab/>
        <w:t>Motivos de preocupación y recomendaciones</w:t>
      </w:r>
    </w:p>
    <w:p w:rsidR="00423724" w:rsidRPr="00DE0429" w:rsidRDefault="00423724" w:rsidP="00423724">
      <w:pPr>
        <w:pStyle w:val="H23G"/>
      </w:pPr>
      <w:r w:rsidRPr="00DE0429">
        <w:tab/>
      </w:r>
      <w:r w:rsidRPr="00DE0429">
        <w:tab/>
        <w:t>Datos pertinentes</w:t>
      </w:r>
    </w:p>
    <w:p w:rsidR="00423724" w:rsidRPr="00ED79C8" w:rsidRDefault="00423724" w:rsidP="00423724">
      <w:pPr>
        <w:pStyle w:val="SingleTxtG"/>
      </w:pPr>
      <w:r w:rsidRPr="00ED79C8">
        <w:t>8.</w:t>
      </w:r>
      <w:r w:rsidRPr="00ED79C8">
        <w:tab/>
        <w:t xml:space="preserve">El Comité observa que el Estado parte realizó un censo general en 2010 e incluyó algunos datos estadísticos en el informe periódico. No obstante, el Comité lamenta la falta de datos desglosados acerca de la composición étnica de la población y de indicadores socioeconómicos pertinentes sobre el disfrute de los derechos reconocidos en la Convención por los miembros de </w:t>
      </w:r>
      <w:r>
        <w:t>diversos</w:t>
      </w:r>
      <w:r w:rsidRPr="00ED79C8">
        <w:t xml:space="preserve"> grupos, en particular las minorías y los no ciudadanos (empleo, educación y atención de la salud), </w:t>
      </w:r>
      <w:r>
        <w:t>ya que esos datos</w:t>
      </w:r>
      <w:r w:rsidRPr="00ED79C8">
        <w:t xml:space="preserve"> son necesarios para evaluar los progresos y las dificultades en la aplicación de las disposiciones de la Convención (arts. 1 y 5).</w:t>
      </w:r>
    </w:p>
    <w:p w:rsidR="00423724" w:rsidRPr="00ED79C8" w:rsidRDefault="00423724" w:rsidP="00423724">
      <w:pPr>
        <w:pStyle w:val="SingleTxtG"/>
        <w:rPr>
          <w:b/>
        </w:rPr>
      </w:pPr>
      <w:r w:rsidRPr="00ED79C8">
        <w:rPr>
          <w:b/>
        </w:rPr>
        <w:t>Recordando sus directrices revisadas para la preparación de informes (CERD/C/2007/1), el Comité reitera su opinión acerca de la importancia de reunir datos desglosados sobre la composición étnica de la población</w:t>
      </w:r>
      <w:r>
        <w:rPr>
          <w:b/>
        </w:rPr>
        <w:t>,</w:t>
      </w:r>
      <w:r w:rsidRPr="00ED79C8">
        <w:rPr>
          <w:b/>
        </w:rPr>
        <w:t xml:space="preserve"> y recuerda que </w:t>
      </w:r>
      <w:r>
        <w:rPr>
          <w:b/>
        </w:rPr>
        <w:t>los</w:t>
      </w:r>
      <w:r w:rsidRPr="00ED79C8">
        <w:rPr>
          <w:b/>
        </w:rPr>
        <w:t xml:space="preserve"> datos exactos</w:t>
      </w:r>
      <w:r>
        <w:rPr>
          <w:b/>
        </w:rPr>
        <w:t>,</w:t>
      </w:r>
      <w:r w:rsidRPr="00ED79C8">
        <w:rPr>
          <w:b/>
        </w:rPr>
        <w:t xml:space="preserve"> desglosados por origen étnico o nacional </w:t>
      </w:r>
      <w:r>
        <w:rPr>
          <w:b/>
        </w:rPr>
        <w:t>y elaborados con</w:t>
      </w:r>
      <w:r w:rsidRPr="00ED79C8">
        <w:rPr>
          <w:b/>
        </w:rPr>
        <w:t xml:space="preserve"> una perspectiva de género</w:t>
      </w:r>
      <w:r>
        <w:rPr>
          <w:b/>
        </w:rPr>
        <w:t xml:space="preserve">, </w:t>
      </w:r>
      <w:r w:rsidRPr="00ED79C8">
        <w:rPr>
          <w:b/>
        </w:rPr>
        <w:t xml:space="preserve">sobre la situación y las condiciones socioeconómicas y culturales de </w:t>
      </w:r>
      <w:r>
        <w:rPr>
          <w:b/>
        </w:rPr>
        <w:t>los distintos grupos de la población</w:t>
      </w:r>
      <w:r w:rsidRPr="00ED79C8">
        <w:rPr>
          <w:b/>
        </w:rPr>
        <w:t xml:space="preserve"> son un instrumento útil para que el Estado parte adopte las medidas necesarias con miras a asegurar la igualdad </w:t>
      </w:r>
      <w:r>
        <w:rPr>
          <w:b/>
        </w:rPr>
        <w:t>de</w:t>
      </w:r>
      <w:r w:rsidRPr="00ED79C8">
        <w:rPr>
          <w:b/>
        </w:rPr>
        <w:t xml:space="preserve"> todos en el disfrute de los derechos recono</w:t>
      </w:r>
      <w:r>
        <w:rPr>
          <w:b/>
        </w:rPr>
        <w:t xml:space="preserve">cidos en la Convención </w:t>
      </w:r>
      <w:r w:rsidRPr="00ED79C8">
        <w:rPr>
          <w:b/>
        </w:rPr>
        <w:t>y evitar la discriminación por motivos étnicos o nacionales.</w:t>
      </w:r>
    </w:p>
    <w:p w:rsidR="00423724" w:rsidRPr="00DE0429" w:rsidRDefault="00423724" w:rsidP="00423724">
      <w:pPr>
        <w:pStyle w:val="H23G"/>
      </w:pPr>
      <w:r w:rsidRPr="00DE0429">
        <w:tab/>
      </w:r>
      <w:r w:rsidRPr="00DE0429">
        <w:tab/>
        <w:t>Definición de discriminación racial</w:t>
      </w:r>
    </w:p>
    <w:p w:rsidR="00423724" w:rsidRPr="00DE0429" w:rsidRDefault="00423724" w:rsidP="00423724">
      <w:pPr>
        <w:pStyle w:val="SingleTxtG"/>
        <w:rPr>
          <w:b/>
          <w:bCs/>
        </w:rPr>
      </w:pPr>
      <w:r w:rsidRPr="00DE0429">
        <w:t>9.</w:t>
      </w:r>
      <w:r w:rsidRPr="00DE0429">
        <w:tab/>
        <w:t xml:space="preserve">Si bien </w:t>
      </w:r>
      <w:r>
        <w:t>observa</w:t>
      </w:r>
      <w:r w:rsidRPr="00DE0429">
        <w:t xml:space="preserve"> que el artículo 7 del Código del Trabajo, relativo a la igualdad de oportunidades, establece una definición de discriminación racial que se acerca a la contenida en el artículo 1 de la Convención, el Com</w:t>
      </w:r>
      <w:r>
        <w:t>ité reitera su preocupación por</w:t>
      </w:r>
      <w:r w:rsidRPr="00DE0429">
        <w:t>que la legisla</w:t>
      </w:r>
      <w:r>
        <w:t>ción del Estado parte no incluye</w:t>
      </w:r>
      <w:r w:rsidRPr="00DE0429">
        <w:t xml:space="preserve"> disposiciones similares </w:t>
      </w:r>
      <w:r>
        <w:t>respecto de</w:t>
      </w:r>
      <w:r w:rsidRPr="00DE0429">
        <w:t xml:space="preserve"> otros ámbitos sociales. También lamenta que, pese a que las disposiciones de la Convención pueden invocarse directamente ante los tribunales nacionales, no existan casos de aplicación de la Convención por los tribunales (arts. 1 y 2).</w:t>
      </w:r>
    </w:p>
    <w:p w:rsidR="00423724" w:rsidRPr="00DE0429" w:rsidRDefault="00423724" w:rsidP="00423724">
      <w:pPr>
        <w:pStyle w:val="SingleTxtG"/>
        <w:rPr>
          <w:b/>
          <w:bCs/>
        </w:rPr>
      </w:pPr>
      <w:r w:rsidRPr="00DE0429">
        <w:rPr>
          <w:b/>
        </w:rPr>
        <w:t xml:space="preserve">El Comité recomienda al Estado parte que reconsidere su posición de que no es necesaria una definición de la discriminación racial que se ajuste a lo dispuesto en la Convención </w:t>
      </w:r>
      <w:r>
        <w:rPr>
          <w:b/>
        </w:rPr>
        <w:t>porque</w:t>
      </w:r>
      <w:r w:rsidRPr="00DE0429">
        <w:rPr>
          <w:b/>
        </w:rPr>
        <w:t xml:space="preserve"> los jueces pueden aplicar directamente las disposiciones de la Convención. </w:t>
      </w:r>
      <w:r>
        <w:rPr>
          <w:b/>
        </w:rPr>
        <w:t>El Comité insta</w:t>
      </w:r>
      <w:r w:rsidRPr="00DE0429">
        <w:rPr>
          <w:b/>
        </w:rPr>
        <w:t xml:space="preserve"> al Estado parte a que incluya en su legislación una definición de la discriminación racial conforme a la Convención, que abarque todos los ámbitos de la vida pública y privada, y</w:t>
      </w:r>
      <w:r>
        <w:rPr>
          <w:b/>
        </w:rPr>
        <w:t xml:space="preserve"> que</w:t>
      </w:r>
      <w:r w:rsidRPr="00DE0429">
        <w:rPr>
          <w:b/>
        </w:rPr>
        <w:t xml:space="preserve"> siga </w:t>
      </w:r>
      <w:r>
        <w:rPr>
          <w:b/>
        </w:rPr>
        <w:t>promoviendo entre</w:t>
      </w:r>
      <w:r w:rsidRPr="00DE0429">
        <w:rPr>
          <w:b/>
        </w:rPr>
        <w:t xml:space="preserve"> los jueces </w:t>
      </w:r>
      <w:r>
        <w:rPr>
          <w:b/>
        </w:rPr>
        <w:t>el conocimiento</w:t>
      </w:r>
      <w:r w:rsidRPr="00DE0429">
        <w:rPr>
          <w:b/>
        </w:rPr>
        <w:t xml:space="preserve"> de las normas internacionales aplicables a nivel nacional</w:t>
      </w:r>
      <w:r w:rsidRPr="00DE0429">
        <w:rPr>
          <w:b/>
          <w:bCs/>
        </w:rPr>
        <w:t>.</w:t>
      </w:r>
    </w:p>
    <w:p w:rsidR="00423724" w:rsidRPr="00DE0429" w:rsidRDefault="00423724" w:rsidP="00423724">
      <w:pPr>
        <w:pStyle w:val="H23G"/>
      </w:pPr>
      <w:r w:rsidRPr="00DE0429">
        <w:tab/>
      </w:r>
      <w:r w:rsidRPr="00DE0429">
        <w:tab/>
        <w:t>Tipificación de la discriminación racial como delito</w:t>
      </w:r>
    </w:p>
    <w:p w:rsidR="00423724" w:rsidRPr="00671A02" w:rsidRDefault="00423724" w:rsidP="00423724">
      <w:pPr>
        <w:pStyle w:val="SingleTxtG"/>
      </w:pPr>
      <w:r w:rsidRPr="00671A02">
        <w:t>10.</w:t>
      </w:r>
      <w:r w:rsidRPr="00671A02">
        <w:tab/>
        <w:t>El Comité observa que el Código Penal, el Código del Trabajo y el Código Administrativo contienen varias disposiciones jurídicas que prohíben la discriminación racial. Sin embargo, lamenta que el Estado parte aún no haya aprobado</w:t>
      </w:r>
      <w:r>
        <w:t xml:space="preserve"> una</w:t>
      </w:r>
      <w:r w:rsidRPr="00671A02">
        <w:t xml:space="preserve"> legislación </w:t>
      </w:r>
      <w:r>
        <w:t>completa</w:t>
      </w:r>
      <w:r w:rsidRPr="00671A02">
        <w:t xml:space="preserve"> sobre la discriminación racial y señala que las disposiciones vigentes no están en plena conformidad con el artículo 4 de la Convención, en particular </w:t>
      </w:r>
      <w:r>
        <w:t>porque</w:t>
      </w:r>
      <w:r w:rsidRPr="00671A02">
        <w:t xml:space="preserve"> la incitación a la discriminación racial y los actos de violencia por motivos racistas </w:t>
      </w:r>
      <w:r>
        <w:t xml:space="preserve">no están tipificados como delito </w:t>
      </w:r>
      <w:r w:rsidRPr="00671A02">
        <w:t>(art. 4).</w:t>
      </w:r>
    </w:p>
    <w:p w:rsidR="00423724" w:rsidRPr="00DE0429" w:rsidRDefault="00423724" w:rsidP="00423724">
      <w:pPr>
        <w:pStyle w:val="SingleTxtG"/>
        <w:rPr>
          <w:b/>
        </w:rPr>
      </w:pPr>
      <w:r w:rsidRPr="00DE0429">
        <w:rPr>
          <w:b/>
        </w:rPr>
        <w:t>El Comité reitera su opinión de que la promulgación de</w:t>
      </w:r>
      <w:r>
        <w:rPr>
          <w:b/>
        </w:rPr>
        <w:t xml:space="preserve"> una</w:t>
      </w:r>
      <w:r w:rsidRPr="00DE0429">
        <w:rPr>
          <w:b/>
        </w:rPr>
        <w:t xml:space="preserve"> legislación </w:t>
      </w:r>
      <w:r>
        <w:rPr>
          <w:b/>
        </w:rPr>
        <w:t>completa</w:t>
      </w:r>
      <w:r w:rsidRPr="00DE0429">
        <w:rPr>
          <w:b/>
        </w:rPr>
        <w:t xml:space="preserve"> sobre los delitos de discriminación racial constituiría un instrumento valioso para el Estado parte en la lucha contra la discriminación racial. Teniendo en cuenta el carácter obligatorio de las disposiciones del artículo 4 y de conformidad con su Recomendación general Nº 15 (1993) relativa al artículo 4 de la Convención, el Comité recomienda al Estado parte que revise su legislación con el fin de abarcar todos los elementos del artículo 4 de la Convención y vele por que se aplique eficazmente.</w:t>
      </w:r>
    </w:p>
    <w:p w:rsidR="00423724" w:rsidRPr="00DE0429" w:rsidRDefault="00423724" w:rsidP="00423724">
      <w:pPr>
        <w:pStyle w:val="H23G"/>
      </w:pPr>
      <w:r w:rsidRPr="00DE0429">
        <w:tab/>
      </w:r>
      <w:r>
        <w:tab/>
      </w:r>
      <w:r w:rsidRPr="00DE0429">
        <w:t>Ausencia de causas judiciales en m</w:t>
      </w:r>
      <w:r>
        <w:t>ateria de discriminación racial</w:t>
      </w:r>
    </w:p>
    <w:p w:rsidR="00423724" w:rsidRPr="00311073" w:rsidRDefault="00423724" w:rsidP="00423724">
      <w:pPr>
        <w:pStyle w:val="SingleTxtG"/>
      </w:pPr>
      <w:r w:rsidRPr="00311073">
        <w:t>11.</w:t>
      </w:r>
      <w:r w:rsidRPr="00311073">
        <w:tab/>
        <w:t>El Comité toma nota de la información facilitada por el Estado parte acerca de la ausencia de denuncias de actos de discriminación racial presentadas ante los tribunales o la Oficina del Defensor del Pueblo (arts. 2 y 6).</w:t>
      </w:r>
    </w:p>
    <w:p w:rsidR="00423724" w:rsidRPr="00311073" w:rsidRDefault="00423724" w:rsidP="00423724">
      <w:pPr>
        <w:pStyle w:val="SingleTxtG"/>
        <w:rPr>
          <w:b/>
        </w:rPr>
      </w:pPr>
      <w:r w:rsidRPr="00311073">
        <w:rPr>
          <w:b/>
        </w:rPr>
        <w:t xml:space="preserve">Recordando su Recomendación general Nº 31 (2005) sobre la prevención de la discriminación racial en la administración y el funcionamiento de la justicia penal, el Comité considera que la falta de denuncias de actos de discriminación racial no es necesariamente positiva. El Comité reitera su recomendación anterior (CERD/C/65/CO/8, párr. 20) de que el Estado parte realice un análisis exhaustivo de la ausencia de denuncias y evalúe si debe adoptar medidas adicionales para prevenir y combatir los actos de discriminación racial y proporcionar recursos a las víctimas de conformidad con la Convención, teniendo en cuenta </w:t>
      </w:r>
      <w:r>
        <w:rPr>
          <w:b/>
        </w:rPr>
        <w:t>la mencionada</w:t>
      </w:r>
      <w:r w:rsidRPr="00311073">
        <w:rPr>
          <w:b/>
        </w:rPr>
        <w:t xml:space="preserve"> Recomendación general.</w:t>
      </w:r>
    </w:p>
    <w:p w:rsidR="00423724" w:rsidRPr="00DE0429" w:rsidRDefault="00423724" w:rsidP="00423724">
      <w:pPr>
        <w:pStyle w:val="H23G"/>
      </w:pPr>
      <w:r w:rsidRPr="00DE0429">
        <w:tab/>
      </w:r>
      <w:r w:rsidRPr="00DE0429">
        <w:tab/>
        <w:t>Participación en la vida pública y política</w:t>
      </w:r>
    </w:p>
    <w:p w:rsidR="00423724" w:rsidRPr="00311073" w:rsidRDefault="00423724" w:rsidP="00423724">
      <w:pPr>
        <w:pStyle w:val="SingleTxtG"/>
      </w:pPr>
      <w:r w:rsidRPr="00311073">
        <w:t>12.</w:t>
      </w:r>
      <w:r w:rsidRPr="00311073">
        <w:tab/>
        <w:t>El Comité toma nota de los datos específicos facilitados por el Estado parte sobre la representación de las personas pertenecientes a grupos étnicos en la vida pública, la administración pública, la asamblea local y el poder judicial. Sin embargo, sigue preocupado por el bajo nivel de representación de estas personas en el Parlamento (arts. 1, 2 y 5).</w:t>
      </w:r>
    </w:p>
    <w:p w:rsidR="00423724" w:rsidRPr="00311073" w:rsidRDefault="00423724" w:rsidP="00423724">
      <w:pPr>
        <w:pStyle w:val="SingleTxtG"/>
        <w:rPr>
          <w:b/>
        </w:rPr>
      </w:pPr>
      <w:r w:rsidRPr="00311073">
        <w:rPr>
          <w:b/>
        </w:rPr>
        <w:t xml:space="preserve">El Comité alienta al Estado parte a que prosiga sus esfuerzos para aumentar la participación de las personas pertenecientes a grupos étnicos minoritarios, en particular las mujeres, </w:t>
      </w:r>
      <w:r>
        <w:rPr>
          <w:b/>
        </w:rPr>
        <w:t>en la vida pública y política. El Comité r</w:t>
      </w:r>
      <w:r w:rsidRPr="00311073">
        <w:rPr>
          <w:b/>
        </w:rPr>
        <w:t xml:space="preserve">ecomienda al Estado parte que mejore la representación de estas personas en el Parlamento y otras instituciones públicas, </w:t>
      </w:r>
      <w:r>
        <w:rPr>
          <w:b/>
        </w:rPr>
        <w:t>también</w:t>
      </w:r>
      <w:r w:rsidRPr="00311073">
        <w:rPr>
          <w:b/>
        </w:rPr>
        <w:t xml:space="preserve"> mediante la adopción de medidas especiales.</w:t>
      </w:r>
    </w:p>
    <w:p w:rsidR="00423724" w:rsidRPr="00DE0429" w:rsidRDefault="00423724" w:rsidP="00423724">
      <w:pPr>
        <w:pStyle w:val="H23G"/>
      </w:pPr>
      <w:r w:rsidRPr="00DE0429">
        <w:tab/>
      </w:r>
      <w:r w:rsidRPr="00DE0429">
        <w:tab/>
        <w:t>Situación de la comunidad romaní</w:t>
      </w:r>
    </w:p>
    <w:p w:rsidR="00423724" w:rsidRPr="00DE0429" w:rsidRDefault="00423724" w:rsidP="00423724">
      <w:pPr>
        <w:pStyle w:val="SingleTxtG"/>
      </w:pPr>
      <w:r w:rsidRPr="00DE0429">
        <w:t>13.</w:t>
      </w:r>
      <w:r w:rsidRPr="00DE0429">
        <w:tab/>
        <w:t>El Comité toma nota de la evaluación realizada por el Estado parte sobre la precaria situación de la comuni</w:t>
      </w:r>
      <w:r>
        <w:t>dad romaní y su estigmatización, y e</w:t>
      </w:r>
      <w:r w:rsidRPr="00DE0429">
        <w:t>xpresa pesar por la ausencia de un plan o estrategia concreto para proteger a los romaníes contra la discriminación y la estigmatización y promover sus derechos económicos, sociales y culturales (art. 5).</w:t>
      </w:r>
    </w:p>
    <w:p w:rsidR="00423724" w:rsidRPr="00DE0429" w:rsidRDefault="00423724" w:rsidP="00423724">
      <w:pPr>
        <w:pStyle w:val="SingleTxtG"/>
        <w:rPr>
          <w:b/>
        </w:rPr>
      </w:pPr>
      <w:r w:rsidRPr="00DE0429">
        <w:rPr>
          <w:b/>
        </w:rPr>
        <w:t>El Comité, recordando su Recomendación general Nº 27 (2000) relativa a la discriminación de los romaníes, recomienda al Estado parte que adopte una estrategia con miras a mejorar la situación de los romaníes, garantizar su protección contra la discriminación y la estigmatización y promover su derecho a la educación, el empleo, la vivie</w:t>
      </w:r>
      <w:r>
        <w:rPr>
          <w:b/>
        </w:rPr>
        <w:t>nda y la atención de la salud. El Comité a</w:t>
      </w:r>
      <w:r w:rsidRPr="00DE0429">
        <w:rPr>
          <w:b/>
        </w:rPr>
        <w:t>lienta al Estado parte a que organice campañas de sensibilización para promover la tolerancia, el entendimiento y la solidaridad de su población hacia la comunidad romaní.</w:t>
      </w:r>
    </w:p>
    <w:p w:rsidR="00423724" w:rsidRPr="00DE0429" w:rsidRDefault="00423724" w:rsidP="00423724">
      <w:pPr>
        <w:pStyle w:val="H23G"/>
      </w:pPr>
      <w:r w:rsidRPr="00DE0429">
        <w:tab/>
      </w:r>
      <w:r w:rsidRPr="00DE0429">
        <w:tab/>
        <w:t xml:space="preserve">Situación de los refugiados, los solicitantes de asilo y los </w:t>
      </w:r>
      <w:r>
        <w:t>apátridas, incluido el acceso a </w:t>
      </w:r>
      <w:r w:rsidRPr="00DE0429">
        <w:t>la ciudadanía</w:t>
      </w:r>
    </w:p>
    <w:p w:rsidR="00423724" w:rsidRPr="00F759DA" w:rsidRDefault="00423724" w:rsidP="00423724">
      <w:pPr>
        <w:pStyle w:val="SingleTxtG"/>
      </w:pPr>
      <w:r w:rsidRPr="00F759DA">
        <w:t>14.</w:t>
      </w:r>
      <w:r w:rsidRPr="00F759DA">
        <w:tab/>
        <w:t>El Comité está preocupado por las restricciones</w:t>
      </w:r>
      <w:r>
        <w:t xml:space="preserve"> impuestas</w:t>
      </w:r>
      <w:r w:rsidRPr="00F759DA">
        <w:t xml:space="preserve"> a la libertad de circulación de los refug</w:t>
      </w:r>
      <w:r>
        <w:t>iados y a su derecho a elegir su</w:t>
      </w:r>
      <w:r w:rsidRPr="00F759DA">
        <w:t xml:space="preserve"> lugar de residencia. </w:t>
      </w:r>
      <w:r>
        <w:t>También</w:t>
      </w:r>
      <w:r w:rsidRPr="00F759DA">
        <w:t xml:space="preserve"> si</w:t>
      </w:r>
      <w:r>
        <w:t>gue</w:t>
      </w:r>
      <w:r w:rsidRPr="00F759DA">
        <w:t xml:space="preserve"> </w:t>
      </w:r>
      <w:r>
        <w:t>preocupado por</w:t>
      </w:r>
      <w:r w:rsidRPr="00F759DA">
        <w:t xml:space="preserve"> los </w:t>
      </w:r>
      <w:r>
        <w:t>problemas que afro</w:t>
      </w:r>
      <w:r w:rsidRPr="00F759DA">
        <w:t>ntan los refugiados y los solicitantes de asilo en las esferas del empleo, el acceso a los servicios públicos, la educación y la ciudadanía y</w:t>
      </w:r>
      <w:r>
        <w:t xml:space="preserve"> por</w:t>
      </w:r>
      <w:r w:rsidRPr="00F759DA">
        <w:t xml:space="preserve"> el número de apátridas de larga data (art. 5).</w:t>
      </w:r>
    </w:p>
    <w:p w:rsidR="00423724" w:rsidRPr="00F759DA" w:rsidRDefault="00423724" w:rsidP="00423724">
      <w:pPr>
        <w:pStyle w:val="SingleTxtG"/>
        <w:rPr>
          <w:b/>
        </w:rPr>
      </w:pPr>
      <w:r w:rsidRPr="00F759DA">
        <w:rPr>
          <w:b/>
        </w:rPr>
        <w:t>El Comité recomienda al Estado parte que:</w:t>
      </w:r>
    </w:p>
    <w:p w:rsidR="00423724" w:rsidRPr="00F759DA" w:rsidRDefault="00423724" w:rsidP="00423724">
      <w:pPr>
        <w:pStyle w:val="SingleTxtG"/>
        <w:rPr>
          <w:b/>
        </w:rPr>
      </w:pPr>
      <w:r>
        <w:rPr>
          <w:b/>
        </w:rPr>
        <w:tab/>
      </w:r>
      <w:r w:rsidRPr="00F759DA">
        <w:rPr>
          <w:b/>
        </w:rPr>
        <w:t>a)</w:t>
      </w:r>
      <w:r w:rsidRPr="00F759DA">
        <w:rPr>
          <w:b/>
        </w:rPr>
        <w:tab/>
        <w:t>Derogue el reglamento que prohíbe a los refugiados vivir en determinadas zonas, en particular en Dushanbe y Kjujand;</w:t>
      </w:r>
    </w:p>
    <w:p w:rsidR="00423724" w:rsidRPr="00F759DA" w:rsidRDefault="00423724" w:rsidP="00423724">
      <w:pPr>
        <w:pStyle w:val="SingleTxtG"/>
        <w:rPr>
          <w:b/>
        </w:rPr>
      </w:pPr>
      <w:r>
        <w:rPr>
          <w:b/>
        </w:rPr>
        <w:tab/>
      </w:r>
      <w:r w:rsidRPr="00F759DA">
        <w:rPr>
          <w:b/>
        </w:rPr>
        <w:t>b)</w:t>
      </w:r>
      <w:r w:rsidRPr="00F759DA">
        <w:rPr>
          <w:b/>
        </w:rPr>
        <w:tab/>
        <w:t>Adopte todas las medidas necesarias para velar por que los refugiados disfruten del derecho al trabajo, a la atención de la salud y a la educación;</w:t>
      </w:r>
    </w:p>
    <w:p w:rsidR="00423724" w:rsidRPr="00F759DA" w:rsidRDefault="00423724" w:rsidP="00423724">
      <w:pPr>
        <w:pStyle w:val="SingleTxtG"/>
        <w:rPr>
          <w:b/>
        </w:rPr>
      </w:pPr>
      <w:r>
        <w:rPr>
          <w:b/>
        </w:rPr>
        <w:tab/>
      </w:r>
      <w:r w:rsidRPr="00F759DA">
        <w:rPr>
          <w:b/>
        </w:rPr>
        <w:t>c)</w:t>
      </w:r>
      <w:r w:rsidRPr="00F759DA">
        <w:rPr>
          <w:b/>
        </w:rPr>
        <w:tab/>
        <w:t>Vele por que los niños refugiados reciban una protección adecuada;</w:t>
      </w:r>
    </w:p>
    <w:p w:rsidR="00423724" w:rsidRPr="00F759DA" w:rsidRDefault="00423724" w:rsidP="00423724">
      <w:pPr>
        <w:pStyle w:val="SingleTxtG"/>
        <w:rPr>
          <w:b/>
        </w:rPr>
      </w:pPr>
      <w:r>
        <w:rPr>
          <w:b/>
        </w:rPr>
        <w:tab/>
      </w:r>
      <w:r w:rsidRPr="00F759DA">
        <w:rPr>
          <w:b/>
        </w:rPr>
        <w:t>d)</w:t>
      </w:r>
      <w:r w:rsidRPr="00F759DA">
        <w:rPr>
          <w:b/>
        </w:rPr>
        <w:tab/>
        <w:t>Resuelva el problema de los apátridas y considere la posibilidad de ratificar la Convención sobre el Estatuto de los Apátridas, de 1954, y la Convención para reducir los casos de apatridia, de 1961;</w:t>
      </w:r>
    </w:p>
    <w:p w:rsidR="00423724" w:rsidRPr="00F759DA" w:rsidRDefault="00423724" w:rsidP="00423724">
      <w:pPr>
        <w:pStyle w:val="SingleTxtG"/>
        <w:rPr>
          <w:b/>
        </w:rPr>
      </w:pPr>
      <w:r>
        <w:rPr>
          <w:b/>
        </w:rPr>
        <w:tab/>
      </w:r>
      <w:r w:rsidRPr="00F759DA">
        <w:rPr>
          <w:b/>
        </w:rPr>
        <w:t>e)</w:t>
      </w:r>
      <w:r w:rsidRPr="00F759DA">
        <w:rPr>
          <w:b/>
        </w:rPr>
        <w:tab/>
        <w:t>Concluya sin demora la labor legislativa en curso, con la asistencia del Alto Comisionado de las Naciones Unidas para los Refugiados, con el fin de aprobar la nueva Ley de ciudadanía y revisar la Ley de refugiados.</w:t>
      </w:r>
    </w:p>
    <w:p w:rsidR="00423724" w:rsidRPr="00DE0429" w:rsidRDefault="00423724" w:rsidP="00423724">
      <w:pPr>
        <w:pStyle w:val="H23G"/>
      </w:pPr>
      <w:r w:rsidRPr="00DE0429">
        <w:tab/>
      </w:r>
      <w:r>
        <w:tab/>
      </w:r>
      <w:r w:rsidRPr="00DE0429">
        <w:t>Lucha contra la trata de seres humanos</w:t>
      </w:r>
    </w:p>
    <w:p w:rsidR="00423724" w:rsidRPr="00DE0429" w:rsidRDefault="00423724" w:rsidP="00423724">
      <w:pPr>
        <w:pStyle w:val="SingleTxtG"/>
        <w:rPr>
          <w:b/>
        </w:rPr>
      </w:pPr>
      <w:r w:rsidRPr="00DE0429">
        <w:t>15.</w:t>
      </w:r>
      <w:r w:rsidRPr="00DE0429">
        <w:tab/>
        <w:t xml:space="preserve">El Comité observa que Tayikistán sigue siendo un país de origen </w:t>
      </w:r>
      <w:r>
        <w:t>de</w:t>
      </w:r>
      <w:r w:rsidRPr="00DE0429">
        <w:t xml:space="preserve"> la trata de mujeres y niños, en particular los pertenecientes a grupos vulnerables, </w:t>
      </w:r>
      <w:r>
        <w:t>como</w:t>
      </w:r>
      <w:r w:rsidRPr="00DE0429">
        <w:t xml:space="preserve"> las minorías, los refugiados y los solicitantes de asilo (art. 5).</w:t>
      </w:r>
    </w:p>
    <w:p w:rsidR="00423724" w:rsidRPr="00DE0429" w:rsidRDefault="00423724" w:rsidP="00423724">
      <w:pPr>
        <w:pStyle w:val="SingleTxtG"/>
        <w:rPr>
          <w:b/>
        </w:rPr>
      </w:pPr>
      <w:r w:rsidRPr="00DE0429">
        <w:rPr>
          <w:b/>
        </w:rPr>
        <w:t>El Comité alienta al Estado parte a que prosiga sus esfuerzos para combatir este flagelo enjuiciando a los autores, proporcionando reparación a las víctimas de la trata y cooperando con los Estados vecinos.</w:t>
      </w:r>
    </w:p>
    <w:p w:rsidR="00423724" w:rsidRPr="00DE0429" w:rsidRDefault="00423724" w:rsidP="00423724">
      <w:pPr>
        <w:pStyle w:val="H23G"/>
      </w:pPr>
      <w:r w:rsidRPr="00DE0429">
        <w:tab/>
      </w:r>
      <w:r>
        <w:tab/>
      </w:r>
      <w:r w:rsidRPr="00DE0429">
        <w:t>Legislación discriminatoria contra los no ciudadanos</w:t>
      </w:r>
    </w:p>
    <w:p w:rsidR="00423724" w:rsidRPr="00DD19D5" w:rsidRDefault="00423724" w:rsidP="00423724">
      <w:pPr>
        <w:pStyle w:val="SingleTxtG"/>
      </w:pPr>
      <w:r w:rsidRPr="00DD19D5">
        <w:t>16.</w:t>
      </w:r>
      <w:r w:rsidRPr="00DD19D5">
        <w:tab/>
        <w:t>El Comité expresa su inquietud respecto de la modificación, en 2011, del Código de Familia por la que se limita el derecho de los extranjeros y los apátridas, incluidos los migrantes, a contraer matrimonio con una mujer tayika al exigir</w:t>
      </w:r>
      <w:r>
        <w:t>les</w:t>
      </w:r>
      <w:r w:rsidRPr="00DD19D5">
        <w:t xml:space="preserve"> que hayan residido legalmente en el país durante al menos un año y que firmen un contrato prenupcial obligatorio en virtud del cual se comprometen a ofrecer un hogar a su esposa tayika. El Comité lamenta esta disposición, que </w:t>
      </w:r>
      <w:r>
        <w:t>tiene un efecto discriminatorio y contraviene</w:t>
      </w:r>
      <w:r w:rsidRPr="00DD19D5">
        <w:t xml:space="preserve"> la Convención (arts. 2 y 5).</w:t>
      </w:r>
    </w:p>
    <w:p w:rsidR="00423724" w:rsidRPr="00DD19D5" w:rsidRDefault="00423724" w:rsidP="00423724">
      <w:pPr>
        <w:pStyle w:val="SingleTxtG"/>
        <w:rPr>
          <w:b/>
        </w:rPr>
      </w:pPr>
      <w:r w:rsidRPr="00DD19D5">
        <w:rPr>
          <w:b/>
        </w:rPr>
        <w:t xml:space="preserve">A la luz de su Recomendación general Nº 30 (2005) sobre la discriminación contra los no ciudadanos, el Comité recomienda al Estado parte que revise su legislación para ponerla en plena conformidad con las obligaciones internacionales que ha contraído y con la Convención; en particular, el Estado parte debe </w:t>
      </w:r>
      <w:r>
        <w:rPr>
          <w:b/>
        </w:rPr>
        <w:t>garantizar</w:t>
      </w:r>
      <w:r w:rsidRPr="00DD19D5">
        <w:rPr>
          <w:b/>
        </w:rPr>
        <w:t xml:space="preserve"> que los no ciudadanos gocen efectivamente de los derechos enunciados en el artículo 5 de la Convención, sin discriminación</w:t>
      </w:r>
      <w:r>
        <w:rPr>
          <w:b/>
        </w:rPr>
        <w:t xml:space="preserve"> alguna</w:t>
      </w:r>
      <w:r w:rsidRPr="00DD19D5">
        <w:rPr>
          <w:b/>
        </w:rPr>
        <w:t>. El Comité recuerda que los Estados parte</w:t>
      </w:r>
      <w:r>
        <w:rPr>
          <w:b/>
        </w:rPr>
        <w:t>s</w:t>
      </w:r>
      <w:r w:rsidRPr="00DD19D5">
        <w:rPr>
          <w:b/>
        </w:rPr>
        <w:t xml:space="preserve"> tienen el deber de </w:t>
      </w:r>
      <w:r>
        <w:rPr>
          <w:b/>
        </w:rPr>
        <w:t>velar por</w:t>
      </w:r>
      <w:r w:rsidRPr="00DD19D5">
        <w:rPr>
          <w:b/>
        </w:rPr>
        <w:t xml:space="preserve"> que las garantías legislativas contra la </w:t>
      </w:r>
      <w:r>
        <w:rPr>
          <w:b/>
        </w:rPr>
        <w:t>discriminación racial se apliquen</w:t>
      </w:r>
      <w:r w:rsidRPr="00DD19D5">
        <w:rPr>
          <w:b/>
        </w:rPr>
        <w:t xml:space="preserve"> a los no ciudadanos, independientemente de su condición de inmigrantes, y</w:t>
      </w:r>
      <w:r>
        <w:rPr>
          <w:b/>
        </w:rPr>
        <w:t xml:space="preserve"> por</w:t>
      </w:r>
      <w:r w:rsidRPr="00DD19D5">
        <w:rPr>
          <w:b/>
        </w:rPr>
        <w:t xml:space="preserve"> que la aplicación de la legislación no </w:t>
      </w:r>
      <w:r>
        <w:rPr>
          <w:b/>
        </w:rPr>
        <w:t>tenga</w:t>
      </w:r>
      <w:r w:rsidRPr="00DD19D5">
        <w:rPr>
          <w:b/>
        </w:rPr>
        <w:t xml:space="preserve"> ningún efecto discrimina</w:t>
      </w:r>
      <w:r>
        <w:rPr>
          <w:b/>
        </w:rPr>
        <w:t>torio sobre los no ciudadanos. El Comité recomienda al Estado parte que</w:t>
      </w:r>
      <w:r w:rsidRPr="00DD19D5">
        <w:rPr>
          <w:b/>
        </w:rPr>
        <w:t xml:space="preserve"> tenga</w:t>
      </w:r>
      <w:r>
        <w:rPr>
          <w:b/>
        </w:rPr>
        <w:t xml:space="preserve"> esto</w:t>
      </w:r>
      <w:r w:rsidRPr="00DD19D5">
        <w:rPr>
          <w:b/>
        </w:rPr>
        <w:t xml:space="preserve"> en cuenta en la nueva Ley de ciudadanía </w:t>
      </w:r>
      <w:r>
        <w:rPr>
          <w:b/>
        </w:rPr>
        <w:t>y busque</w:t>
      </w:r>
      <w:r w:rsidRPr="00DD19D5">
        <w:rPr>
          <w:b/>
        </w:rPr>
        <w:t xml:space="preserve"> otras maneras de proteger a las mujeres tayikas</w:t>
      </w:r>
      <w:r>
        <w:rPr>
          <w:b/>
        </w:rPr>
        <w:t>,</w:t>
      </w:r>
      <w:r w:rsidRPr="00DD19D5">
        <w:rPr>
          <w:b/>
        </w:rPr>
        <w:t xml:space="preserve"> </w:t>
      </w:r>
      <w:r>
        <w:rPr>
          <w:b/>
        </w:rPr>
        <w:t>evitando</w:t>
      </w:r>
      <w:r w:rsidRPr="00DD19D5">
        <w:rPr>
          <w:b/>
        </w:rPr>
        <w:t xml:space="preserve"> la discriminación por motivos étnicos o nacionales.</w:t>
      </w:r>
    </w:p>
    <w:p w:rsidR="00423724" w:rsidRPr="00DE0429" w:rsidRDefault="00423724" w:rsidP="00423724">
      <w:pPr>
        <w:pStyle w:val="H23G"/>
      </w:pPr>
      <w:r w:rsidRPr="00DE0429">
        <w:tab/>
      </w:r>
      <w:r w:rsidRPr="00DE0429">
        <w:tab/>
        <w:t>Mandato del Defensor del Pueblo</w:t>
      </w:r>
    </w:p>
    <w:p w:rsidR="00423724" w:rsidRPr="00DE0429" w:rsidRDefault="00423724" w:rsidP="00423724">
      <w:pPr>
        <w:pStyle w:val="SingleTxtG"/>
      </w:pPr>
      <w:r w:rsidRPr="00DE0429">
        <w:t>17</w:t>
      </w:r>
      <w:r>
        <w:t>.</w:t>
      </w:r>
      <w:r>
        <w:tab/>
        <w:t>El Comité está preocupado por</w:t>
      </w:r>
      <w:r w:rsidRPr="00DE0429">
        <w:t>que el Defensor del Pueblo aún no ha contribuido eficazmente a la aplicación de la Convención y no parece funcionar de forma independiente del Gobierno (art. 2).</w:t>
      </w:r>
    </w:p>
    <w:p w:rsidR="00423724" w:rsidRPr="00DE0429" w:rsidRDefault="00423724" w:rsidP="00423724">
      <w:pPr>
        <w:pStyle w:val="SingleTxtG"/>
      </w:pPr>
      <w:r w:rsidRPr="00DE0429">
        <w:rPr>
          <w:b/>
        </w:rPr>
        <w:t>El Comité alienta al Estado parte a que garantice la independencia de la Oficina del Defensor del Pueblo dotándola de recursos humanos y financieros adecuados para desempeñar su mandato, que incluye, la promoción y supervisión de los derecho</w:t>
      </w:r>
      <w:r>
        <w:rPr>
          <w:b/>
        </w:rPr>
        <w:t>s enunciados en la Convención. El Comité a</w:t>
      </w:r>
      <w:r w:rsidRPr="00DE0429">
        <w:rPr>
          <w:b/>
        </w:rPr>
        <w:t>lienta asimismo al Estado parte a que adopte las medidas necesarias para elevar de categoría a la Oficina del Defensor del Pueblo o establecer una institución nacional de derechos humanos que se ajuste a los Principios relativos al estatuto de las instituciones nacionales de promoción y protección de los derechos humanos (Principios de París) y a las recomendaciones aceptadas durante el examen periódico universal realizado por el Consejo de Derechos Humanos.</w:t>
      </w:r>
    </w:p>
    <w:p w:rsidR="00423724" w:rsidRPr="00DE0429" w:rsidRDefault="00423724" w:rsidP="00423724">
      <w:pPr>
        <w:pStyle w:val="H23G"/>
      </w:pPr>
      <w:r w:rsidRPr="00DE0429">
        <w:tab/>
      </w:r>
      <w:r w:rsidRPr="00DE0429">
        <w:tab/>
        <w:t>Promoción de los idiomas minoritarios</w:t>
      </w:r>
    </w:p>
    <w:p w:rsidR="00423724" w:rsidRPr="00745DD2" w:rsidRDefault="00423724" w:rsidP="00423724">
      <w:pPr>
        <w:pStyle w:val="SingleTxtG"/>
      </w:pPr>
      <w:r w:rsidRPr="00745DD2">
        <w:t>18.</w:t>
      </w:r>
      <w:r w:rsidRPr="00745DD2">
        <w:tab/>
        <w:t>El Comité reitera su preocupación por la falta de libros de texto para los niños pertenecientes a los grupos minoritarios y la ausencia de profesores</w:t>
      </w:r>
      <w:r>
        <w:t xml:space="preserve"> cualificados</w:t>
      </w:r>
      <w:r w:rsidRPr="00745DD2">
        <w:t xml:space="preserve"> de</w:t>
      </w:r>
      <w:r>
        <w:t xml:space="preserve"> los idiomas minoritarios</w:t>
      </w:r>
      <w:r w:rsidRPr="00745DD2">
        <w:t xml:space="preserve">. Si bien toma nota de los esfuerzos por promover los idiomas hablados </w:t>
      </w:r>
      <w:r>
        <w:t>por todos</w:t>
      </w:r>
      <w:r w:rsidRPr="00745DD2">
        <w:t>, como el ruso o el inglés, el Comité considera que ello no debe hacerse a expensas de los idiomas de los grupos minoritarios (art. 5).</w:t>
      </w:r>
    </w:p>
    <w:p w:rsidR="00423724" w:rsidRPr="00745DD2" w:rsidRDefault="00423724" w:rsidP="00423724">
      <w:pPr>
        <w:pStyle w:val="SingleTxtG"/>
        <w:rPr>
          <w:b/>
        </w:rPr>
      </w:pPr>
      <w:r w:rsidRPr="00745DD2">
        <w:rPr>
          <w:b/>
        </w:rPr>
        <w:t xml:space="preserve">El Comité alienta al Estado parte a que prosiga la labor </w:t>
      </w:r>
      <w:r>
        <w:rPr>
          <w:b/>
        </w:rPr>
        <w:t>encaminada a</w:t>
      </w:r>
      <w:r w:rsidRPr="00745DD2">
        <w:rPr>
          <w:b/>
        </w:rPr>
        <w:t xml:space="preserve"> garantizar el suministro de libros de texto en los idiomas minoritarios. Además, el Comité recomienda al Estado parte que ponga en marcha programas de capacitación dirigidos a los docentes de los estudiantes que pertenecen a las minorías, incluida </w:t>
      </w:r>
      <w:r>
        <w:rPr>
          <w:b/>
        </w:rPr>
        <w:t xml:space="preserve">la </w:t>
      </w:r>
      <w:r w:rsidRPr="00745DD2">
        <w:rPr>
          <w:b/>
        </w:rPr>
        <w:t xml:space="preserve">formación profesional </w:t>
      </w:r>
      <w:r>
        <w:rPr>
          <w:b/>
        </w:rPr>
        <w:t>en el idioma materno. También lo</w:t>
      </w:r>
      <w:r w:rsidRPr="00745DD2">
        <w:rPr>
          <w:b/>
        </w:rPr>
        <w:t xml:space="preserve"> alienta a que redoble los esfuerzos para impartir educación en los idiomas minoritarios o enseñar estos idiomas, en particular en</w:t>
      </w:r>
      <w:r>
        <w:rPr>
          <w:b/>
        </w:rPr>
        <w:t xml:space="preserve"> la</w:t>
      </w:r>
      <w:r w:rsidRPr="00745DD2">
        <w:rPr>
          <w:b/>
        </w:rPr>
        <w:t xml:space="preserve"> secundaria y</w:t>
      </w:r>
      <w:r>
        <w:rPr>
          <w:b/>
        </w:rPr>
        <w:t xml:space="preserve"> los</w:t>
      </w:r>
      <w:r w:rsidRPr="00745DD2">
        <w:rPr>
          <w:b/>
        </w:rPr>
        <w:t xml:space="preserve"> niveles superiores, con arreglo a las necesidades y deseos de las personas pertenecientes a tales grupos.</w:t>
      </w:r>
    </w:p>
    <w:p w:rsidR="00423724" w:rsidRPr="00DE0429" w:rsidRDefault="00423724" w:rsidP="00423724">
      <w:pPr>
        <w:pStyle w:val="H23G"/>
      </w:pPr>
      <w:r w:rsidRPr="00DE0429">
        <w:tab/>
      </w:r>
      <w:r w:rsidRPr="00DE0429">
        <w:tab/>
        <w:t>Participación de las organizaciones de la sociedad civil</w:t>
      </w:r>
    </w:p>
    <w:p w:rsidR="00423724" w:rsidRPr="00DE0429" w:rsidRDefault="00423724" w:rsidP="00423724">
      <w:pPr>
        <w:pStyle w:val="SingleTxtG"/>
        <w:rPr>
          <w:b/>
        </w:rPr>
      </w:pPr>
      <w:r w:rsidRPr="00DE0429">
        <w:t>19.</w:t>
      </w:r>
      <w:r w:rsidRPr="00DE0429">
        <w:tab/>
        <w:t>Pese a la información proporcionada por el Estado parte respecto de la participación de las organizaciones no gubernamentales</w:t>
      </w:r>
      <w:r>
        <w:t xml:space="preserve"> (ONG)</w:t>
      </w:r>
      <w:r w:rsidRPr="00DE0429">
        <w:t xml:space="preserve"> en la preparación del informe, el Comité lamenta que no exista un informe paralelo y que no se haya recibido información alguna de estas organizaciones (art. 2).</w:t>
      </w:r>
    </w:p>
    <w:p w:rsidR="00423724" w:rsidRPr="00AC7703" w:rsidRDefault="00423724" w:rsidP="00423724">
      <w:pPr>
        <w:pStyle w:val="SingleTxtG"/>
        <w:rPr>
          <w:b/>
        </w:rPr>
      </w:pPr>
      <w:r w:rsidRPr="00AC7703">
        <w:rPr>
          <w:b/>
        </w:rPr>
        <w:t xml:space="preserve">El Comité recomienda al Estado parte que </w:t>
      </w:r>
      <w:r>
        <w:rPr>
          <w:b/>
        </w:rPr>
        <w:t>recabe nuevamente</w:t>
      </w:r>
      <w:r w:rsidRPr="00AC7703">
        <w:rPr>
          <w:b/>
        </w:rPr>
        <w:t xml:space="preserve"> la participación de las </w:t>
      </w:r>
      <w:r>
        <w:rPr>
          <w:b/>
        </w:rPr>
        <w:t xml:space="preserve">ONG </w:t>
      </w:r>
      <w:r w:rsidRPr="00AC7703">
        <w:rPr>
          <w:b/>
        </w:rPr>
        <w:t>en la preparación del próximo informe periódico y facilite su participación en el próximo período de sesiones en el que presente un informe.</w:t>
      </w:r>
    </w:p>
    <w:p w:rsidR="00423724" w:rsidRPr="00DE0429" w:rsidRDefault="00423724" w:rsidP="00423724">
      <w:pPr>
        <w:pStyle w:val="H1G"/>
      </w:pPr>
      <w:r w:rsidRPr="00DE0429">
        <w:tab/>
        <w:t>D.</w:t>
      </w:r>
      <w:r w:rsidRPr="00DE0429">
        <w:tab/>
        <w:t>Otras recomendaciones</w:t>
      </w:r>
    </w:p>
    <w:p w:rsidR="00423724" w:rsidRPr="00DE0429" w:rsidRDefault="00423724" w:rsidP="00423724">
      <w:pPr>
        <w:pStyle w:val="H23G"/>
      </w:pPr>
      <w:r>
        <w:tab/>
      </w:r>
      <w:r>
        <w:tab/>
      </w:r>
      <w:r w:rsidRPr="00DE0429">
        <w:t>Seguimiento de la Declaración y el Programa de Acción de Durban</w:t>
      </w:r>
    </w:p>
    <w:p w:rsidR="00423724" w:rsidRPr="00DE0429" w:rsidRDefault="00423724" w:rsidP="00423724">
      <w:pPr>
        <w:pStyle w:val="SingleTxtG"/>
      </w:pPr>
      <w:r w:rsidRPr="00DE0429">
        <w:t>20.</w:t>
      </w:r>
      <w:r w:rsidRPr="00DE0429">
        <w:tab/>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423724" w:rsidRPr="00DE0429" w:rsidRDefault="00423724" w:rsidP="00423724">
      <w:pPr>
        <w:pStyle w:val="H23G"/>
      </w:pPr>
      <w:r w:rsidRPr="00DE0429">
        <w:tab/>
      </w:r>
      <w:r>
        <w:tab/>
      </w:r>
      <w:r w:rsidRPr="00DE0429">
        <w:t>Enmienda al artículo 8 de la Convención</w:t>
      </w:r>
    </w:p>
    <w:p w:rsidR="00423724" w:rsidRPr="00DE0429" w:rsidRDefault="00423724" w:rsidP="00423724">
      <w:pPr>
        <w:pStyle w:val="SingleTxtG"/>
      </w:pPr>
      <w:r w:rsidRPr="00DE0429">
        <w:t>21.</w:t>
      </w:r>
      <w:r w:rsidRPr="00DE0429">
        <w:tab/>
        <w:t>El Comité recomienda al Estado parte que ratifique las enmiendas al artículo 8, párrafo 6, de la Convención, aprobadas el 15 de enero de 1992 en la 14ª Reunión de los Estados partes en la Convención y refrendadas por la As</w:t>
      </w:r>
      <w:r>
        <w:t>amblea General en su resolución </w:t>
      </w:r>
      <w:r w:rsidRPr="00DE0429">
        <w:t>47/111. A este respecto, el Comité recuerda las resoluciones de la Asamblea General 61/148, 63/243 y 65/200, en las que la Asamblea instó encarecidamente a los Estados partes en la Convención a que aceleraran sus procedimientos internos de ratificación de la enmienda de la Convención relativa a la financiación del Comité y notificaran con prontitud por escrito al Secretario Genera</w:t>
      </w:r>
      <w:r>
        <w:t>l su aceptación de la enmienda.</w:t>
      </w:r>
    </w:p>
    <w:p w:rsidR="00423724" w:rsidRPr="00DE0429" w:rsidRDefault="00423724" w:rsidP="00423724">
      <w:pPr>
        <w:pStyle w:val="H23G"/>
      </w:pPr>
      <w:r>
        <w:tab/>
      </w:r>
      <w:r w:rsidRPr="00DE0429">
        <w:tab/>
        <w:t>Difusión</w:t>
      </w:r>
    </w:p>
    <w:p w:rsidR="00423724" w:rsidRPr="00DE0429" w:rsidRDefault="00423724" w:rsidP="00423724">
      <w:pPr>
        <w:pStyle w:val="SingleTxtG"/>
      </w:pPr>
      <w:r w:rsidRPr="00DE0429">
        <w:t>22.</w:t>
      </w:r>
      <w:r w:rsidRPr="00DE0429">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423724" w:rsidRPr="00DE0429" w:rsidRDefault="00423724" w:rsidP="00423724">
      <w:pPr>
        <w:pStyle w:val="H23G"/>
      </w:pPr>
      <w:r w:rsidRPr="00DE0429">
        <w:tab/>
      </w:r>
      <w:r w:rsidRPr="00DE0429">
        <w:tab/>
        <w:t>Documento básico común</w:t>
      </w:r>
    </w:p>
    <w:p w:rsidR="00423724" w:rsidRPr="003E7CA9" w:rsidRDefault="00423724" w:rsidP="00423724">
      <w:pPr>
        <w:pStyle w:val="SingleTxtG"/>
      </w:pPr>
      <w:r w:rsidRPr="003E7CA9">
        <w:t>23.</w:t>
      </w:r>
      <w:r w:rsidRPr="003E7CA9">
        <w:tab/>
        <w:t>El Comité alienta al Estado parte a que actualice periódicamente su documento básico (HRI/CORE/1/Add.128), presentado en 2004 de conformidad con las directrices armonizadas sobre la preparación de informes con arreglo a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p>
    <w:p w:rsidR="00423724" w:rsidRPr="00DE0429" w:rsidRDefault="00423724" w:rsidP="00423724">
      <w:pPr>
        <w:pStyle w:val="H23G"/>
      </w:pPr>
      <w:r w:rsidRPr="00DE0429">
        <w:tab/>
      </w:r>
      <w:r w:rsidRPr="00DE0429">
        <w:tab/>
        <w:t>Seguimiento de las observaciones finales</w:t>
      </w:r>
    </w:p>
    <w:p w:rsidR="00423724" w:rsidRPr="00DE0429" w:rsidRDefault="00423724" w:rsidP="00423724">
      <w:pPr>
        <w:pStyle w:val="SingleTxtG"/>
      </w:pPr>
      <w:r w:rsidRPr="00DE0429">
        <w:t>24.</w:t>
      </w:r>
      <w:r w:rsidRPr="00DE0429">
        <w:tab/>
        <w:t>De conformidad con el artículo 9, párrafo 1, de la Convención y el artículo 65 de su reglamento enmendado, el Comité pide al Estado parte que facilite información, dentro del plazo de un año a partir de la aprobación de las presentes observaciones finales, sobre el seguimiento que haya dado a las recomendaciones que figuran en los párrafos 13 y 14.</w:t>
      </w:r>
    </w:p>
    <w:p w:rsidR="00423724" w:rsidRPr="00DE0429" w:rsidRDefault="00423724" w:rsidP="00423724">
      <w:pPr>
        <w:pStyle w:val="H23G"/>
      </w:pPr>
      <w:r w:rsidRPr="00DE0429">
        <w:tab/>
      </w:r>
      <w:r>
        <w:tab/>
      </w:r>
      <w:r w:rsidRPr="00DE0429">
        <w:t xml:space="preserve">Párrafos de particular importancia </w:t>
      </w:r>
    </w:p>
    <w:p w:rsidR="00423724" w:rsidRPr="00DE0429" w:rsidRDefault="00423724" w:rsidP="00423724">
      <w:pPr>
        <w:pStyle w:val="SingleTxtG"/>
      </w:pPr>
      <w:r w:rsidRPr="00DE0429">
        <w:t>25.</w:t>
      </w:r>
      <w:r w:rsidRPr="00DE0429">
        <w:tab/>
        <w:t>El Comité también desea señalar a la atención del Estado parte la particular importancia de las recomendaciones que figuran en los párrafos 9, 16 y 17 y le pide que en su próximo informe periódico facilite información detallada sobre las medidas concretas que haya adoptado para aplicarlas.</w:t>
      </w:r>
    </w:p>
    <w:p w:rsidR="00423724" w:rsidRPr="00DE0429" w:rsidRDefault="00423724" w:rsidP="00423724">
      <w:pPr>
        <w:pStyle w:val="H23G"/>
      </w:pPr>
      <w:r w:rsidRPr="00DE0429">
        <w:tab/>
      </w:r>
      <w:r w:rsidRPr="00DE0429">
        <w:tab/>
        <w:t>Preparación del próximo informe</w:t>
      </w:r>
    </w:p>
    <w:p w:rsidR="00423724" w:rsidRPr="00DE0429" w:rsidRDefault="00423724" w:rsidP="00F6379F">
      <w:pPr>
        <w:pStyle w:val="SingleTxtG"/>
        <w:keepNext/>
        <w:keepLines/>
      </w:pPr>
      <w:r w:rsidRPr="00DE0429">
        <w:t>26.</w:t>
      </w:r>
      <w:r w:rsidRPr="00DE0429">
        <w:tab/>
        <w:t>El Comité recomienda al Estado parte que presente sus informes periódicos 9º a 11º en un solo documento, a más tardar el 10 de febrero de 2016, teniendo en cuenta las directrices relativas al documento específicamente destinado al Comité para la Eliminación de la Discriminación Racial, aprobadas por el Comité 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básico común (HRI/GEN.2/Rev.6, cap. I, párr. 19).</w:t>
      </w:r>
    </w:p>
    <w:p w:rsidR="00423724" w:rsidRPr="00DE0429" w:rsidRDefault="00423724" w:rsidP="00423724">
      <w:pPr>
        <w:pStyle w:val="SingleTxtG"/>
        <w:spacing w:before="240"/>
        <w:jc w:val="center"/>
        <w:rPr>
          <w:u w:val="single"/>
        </w:rPr>
      </w:pPr>
      <w:r>
        <w:rPr>
          <w:u w:val="single"/>
        </w:rPr>
        <w:tab/>
      </w:r>
      <w:r>
        <w:rPr>
          <w:u w:val="single"/>
        </w:rPr>
        <w:tab/>
      </w:r>
      <w:r>
        <w:rPr>
          <w:u w:val="single"/>
        </w:rPr>
        <w:tab/>
      </w:r>
    </w:p>
    <w:sectPr w:rsidR="00423724" w:rsidRPr="00DE0429" w:rsidSect="00E9642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084" w:rsidRDefault="00BC0084">
      <w:r>
        <w:separator/>
      </w:r>
    </w:p>
  </w:endnote>
  <w:endnote w:type="continuationSeparator" w:id="0">
    <w:p w:rsidR="00BC0084" w:rsidRDefault="00BC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F3" w:rsidRPr="00E96424" w:rsidRDefault="004827F3" w:rsidP="00E96424">
    <w:pPr>
      <w:pStyle w:val="Footer"/>
      <w:tabs>
        <w:tab w:val="right" w:pos="9638"/>
      </w:tabs>
    </w:pPr>
    <w:r w:rsidRPr="00E96424">
      <w:rPr>
        <w:b/>
        <w:sz w:val="18"/>
      </w:rPr>
      <w:fldChar w:fldCharType="begin"/>
    </w:r>
    <w:r w:rsidRPr="00E96424">
      <w:rPr>
        <w:b/>
        <w:sz w:val="18"/>
      </w:rPr>
      <w:instrText xml:space="preserve"> PAGE  \* MERGEFORMAT </w:instrText>
    </w:r>
    <w:r w:rsidRPr="00E96424">
      <w:rPr>
        <w:b/>
        <w:sz w:val="18"/>
      </w:rPr>
      <w:fldChar w:fldCharType="separate"/>
    </w:r>
    <w:r w:rsidR="005E668D">
      <w:rPr>
        <w:b/>
        <w:noProof/>
        <w:sz w:val="18"/>
      </w:rPr>
      <w:t>6</w:t>
    </w:r>
    <w:r w:rsidRPr="00E96424">
      <w:rPr>
        <w:b/>
        <w:sz w:val="18"/>
      </w:rPr>
      <w:fldChar w:fldCharType="end"/>
    </w:r>
    <w:r>
      <w:rPr>
        <w:b/>
        <w:sz w:val="18"/>
      </w:rPr>
      <w:tab/>
    </w:r>
    <w:r>
      <w:t>GE.12-46934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F3" w:rsidRPr="00E96424" w:rsidRDefault="004827F3" w:rsidP="00E96424">
    <w:pPr>
      <w:pStyle w:val="Footer"/>
      <w:tabs>
        <w:tab w:val="right" w:pos="9638"/>
      </w:tabs>
      <w:rPr>
        <w:b/>
        <w:sz w:val="18"/>
      </w:rPr>
    </w:pPr>
    <w:r>
      <w:t>GE.12-46934</w:t>
    </w:r>
    <w:r>
      <w:tab/>
    </w:r>
    <w:r w:rsidRPr="00E96424">
      <w:rPr>
        <w:b/>
        <w:sz w:val="18"/>
      </w:rPr>
      <w:fldChar w:fldCharType="begin"/>
    </w:r>
    <w:r w:rsidRPr="00E96424">
      <w:rPr>
        <w:b/>
        <w:sz w:val="18"/>
      </w:rPr>
      <w:instrText xml:space="preserve"> PAGE  \* MERGEFORMAT </w:instrText>
    </w:r>
    <w:r w:rsidRPr="00E96424">
      <w:rPr>
        <w:b/>
        <w:sz w:val="18"/>
      </w:rPr>
      <w:fldChar w:fldCharType="separate"/>
    </w:r>
    <w:r w:rsidR="00B61097">
      <w:rPr>
        <w:b/>
        <w:noProof/>
        <w:sz w:val="18"/>
      </w:rPr>
      <w:t>7</w:t>
    </w:r>
    <w:r w:rsidRPr="00E964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F3" w:rsidRPr="00E96424" w:rsidRDefault="004827F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12-46934  (S)    091112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084" w:rsidRPr="001075E9" w:rsidRDefault="00BC0084" w:rsidP="001075E9">
      <w:pPr>
        <w:tabs>
          <w:tab w:val="right" w:pos="2155"/>
        </w:tabs>
        <w:spacing w:after="80" w:line="240" w:lineRule="auto"/>
        <w:ind w:left="680"/>
        <w:rPr>
          <w:u w:val="single"/>
        </w:rPr>
      </w:pPr>
      <w:r>
        <w:rPr>
          <w:u w:val="single"/>
        </w:rPr>
        <w:tab/>
      </w:r>
    </w:p>
  </w:footnote>
  <w:footnote w:type="continuationSeparator" w:id="0">
    <w:p w:rsidR="00BC0084" w:rsidRDefault="00BC0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F3" w:rsidRPr="00E96424" w:rsidRDefault="004827F3">
    <w:pPr>
      <w:pStyle w:val="Header"/>
    </w:pPr>
    <w:r>
      <w:t>CERD/C/TJK/CO/6-8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F3" w:rsidRPr="00E96424" w:rsidRDefault="004827F3" w:rsidP="00E96424">
    <w:pPr>
      <w:pStyle w:val="Header"/>
      <w:jc w:val="right"/>
    </w:pPr>
    <w:r>
      <w:t>CERD/C/TJK/CO/6-8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0EB4"/>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2D53"/>
    <w:rsid w:val="002D5AAC"/>
    <w:rsid w:val="00301299"/>
    <w:rsid w:val="00322004"/>
    <w:rsid w:val="003402C2"/>
    <w:rsid w:val="00381C24"/>
    <w:rsid w:val="003958D0"/>
    <w:rsid w:val="003D386F"/>
    <w:rsid w:val="004031F0"/>
    <w:rsid w:val="00423724"/>
    <w:rsid w:val="00454E07"/>
    <w:rsid w:val="00471CB3"/>
    <w:rsid w:val="004827F3"/>
    <w:rsid w:val="0050108D"/>
    <w:rsid w:val="0051740C"/>
    <w:rsid w:val="00572E19"/>
    <w:rsid w:val="005E668D"/>
    <w:rsid w:val="005F0B42"/>
    <w:rsid w:val="00634841"/>
    <w:rsid w:val="00654D1A"/>
    <w:rsid w:val="00655A21"/>
    <w:rsid w:val="006725B3"/>
    <w:rsid w:val="006808A9"/>
    <w:rsid w:val="006D631C"/>
    <w:rsid w:val="006F35EE"/>
    <w:rsid w:val="007021FF"/>
    <w:rsid w:val="007076CB"/>
    <w:rsid w:val="00714F25"/>
    <w:rsid w:val="007967DF"/>
    <w:rsid w:val="00800EB4"/>
    <w:rsid w:val="00834B71"/>
    <w:rsid w:val="0086445C"/>
    <w:rsid w:val="00865FAC"/>
    <w:rsid w:val="008728CD"/>
    <w:rsid w:val="008A08D7"/>
    <w:rsid w:val="008A13F9"/>
    <w:rsid w:val="008C0F65"/>
    <w:rsid w:val="00906890"/>
    <w:rsid w:val="009110DF"/>
    <w:rsid w:val="00951972"/>
    <w:rsid w:val="00954E65"/>
    <w:rsid w:val="00A17DFD"/>
    <w:rsid w:val="00A4674B"/>
    <w:rsid w:val="00A917B3"/>
    <w:rsid w:val="00AB4B51"/>
    <w:rsid w:val="00AF72BB"/>
    <w:rsid w:val="00B066FC"/>
    <w:rsid w:val="00B10CC7"/>
    <w:rsid w:val="00B61097"/>
    <w:rsid w:val="00B62458"/>
    <w:rsid w:val="00B778C8"/>
    <w:rsid w:val="00BA3587"/>
    <w:rsid w:val="00BB36EA"/>
    <w:rsid w:val="00BC0084"/>
    <w:rsid w:val="00BC3D6A"/>
    <w:rsid w:val="00BD33EE"/>
    <w:rsid w:val="00C60F0C"/>
    <w:rsid w:val="00C63C2A"/>
    <w:rsid w:val="00C805C9"/>
    <w:rsid w:val="00CA1679"/>
    <w:rsid w:val="00D05347"/>
    <w:rsid w:val="00D90138"/>
    <w:rsid w:val="00DA26B8"/>
    <w:rsid w:val="00DD4E25"/>
    <w:rsid w:val="00E73F76"/>
    <w:rsid w:val="00E96424"/>
    <w:rsid w:val="00EA31D8"/>
    <w:rsid w:val="00EA44D9"/>
    <w:rsid w:val="00EA5579"/>
    <w:rsid w:val="00EF1360"/>
    <w:rsid w:val="00EF3220"/>
    <w:rsid w:val="00EF7198"/>
    <w:rsid w:val="00F41883"/>
    <w:rsid w:val="00F6379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3055</Words>
  <Characters>15983</Characters>
  <Application>Microsoft Office Word</Application>
  <DocSecurity>4</DocSecurity>
  <Lines>270</Lines>
  <Paragraphs>94</Paragraphs>
  <ScaleCrop>false</ScaleCrop>
  <HeadingPairs>
    <vt:vector size="2" baseType="variant">
      <vt:variant>
        <vt:lpstr>Título</vt:lpstr>
      </vt:variant>
      <vt:variant>
        <vt:i4>1</vt:i4>
      </vt:variant>
    </vt:vector>
  </HeadingPairs>
  <TitlesOfParts>
    <vt:vector size="1" baseType="lpstr">
      <vt:lpstr>CERD/C/TJK/CO/6-8  12-46934</vt:lpstr>
    </vt:vector>
  </TitlesOfParts>
  <Company/>
  <LinksUpToDate>false</LinksUpToDate>
  <CharactersWithSpaces>18944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CERD/C/TJK/CO/6-8  12-46934</dc:title>
  <dc:subject>FINAL</dc:subject>
  <dc:creator>Javier Rodríguez</dc:creator>
  <cp:keywords/>
  <dc:description/>
  <cp:lastModifiedBy>Javier Rodríguez</cp:lastModifiedBy>
  <cp:revision>7</cp:revision>
  <cp:lastPrinted>2012-11-12T12:10:00Z</cp:lastPrinted>
  <dcterms:created xsi:type="dcterms:W3CDTF">2012-11-12T12:10:00Z</dcterms:created>
  <dcterms:modified xsi:type="dcterms:W3CDTF">2012-11-12T12:12:00Z</dcterms:modified>
</cp:coreProperties>
</file>