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170D92C3" w14:textId="77777777" w:rsidTr="00DD44B1">
        <w:trPr>
          <w:trHeight w:hRule="exact" w:val="851"/>
        </w:trPr>
        <w:tc>
          <w:tcPr>
            <w:tcW w:w="142" w:type="dxa"/>
            <w:tcBorders>
              <w:bottom w:val="single" w:sz="4" w:space="0" w:color="auto"/>
            </w:tcBorders>
          </w:tcPr>
          <w:p w14:paraId="659E279A" w14:textId="77777777" w:rsidR="002D5AAC" w:rsidRDefault="002D5AAC" w:rsidP="00E0520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F622B4A"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423A8BF" w14:textId="77777777" w:rsidR="002D5AAC" w:rsidRDefault="00E0520B" w:rsidP="00E0520B">
            <w:pPr>
              <w:jc w:val="right"/>
            </w:pPr>
            <w:r w:rsidRPr="00E0520B">
              <w:rPr>
                <w:sz w:val="40"/>
              </w:rPr>
              <w:t>E</w:t>
            </w:r>
            <w:r>
              <w:t>/C.12/2020/2</w:t>
            </w:r>
          </w:p>
        </w:tc>
      </w:tr>
      <w:tr w:rsidR="002D5AAC" w:rsidRPr="008502FB" w14:paraId="6AC7F59E" w14:textId="77777777" w:rsidTr="00DD44B1">
        <w:trPr>
          <w:trHeight w:hRule="exact" w:val="2835"/>
        </w:trPr>
        <w:tc>
          <w:tcPr>
            <w:tcW w:w="1280" w:type="dxa"/>
            <w:gridSpan w:val="2"/>
            <w:tcBorders>
              <w:top w:val="single" w:sz="4" w:space="0" w:color="auto"/>
              <w:bottom w:val="single" w:sz="12" w:space="0" w:color="auto"/>
            </w:tcBorders>
          </w:tcPr>
          <w:p w14:paraId="7EC4018D" w14:textId="77777777" w:rsidR="002D5AAC" w:rsidRDefault="002E5067" w:rsidP="00DD44B1">
            <w:pPr>
              <w:spacing w:before="120"/>
              <w:jc w:val="center"/>
            </w:pPr>
            <w:r>
              <w:rPr>
                <w:noProof/>
                <w:lang w:val="fr-CH" w:eastAsia="fr-CH"/>
              </w:rPr>
              <w:drawing>
                <wp:inline distT="0" distB="0" distL="0" distR="0" wp14:anchorId="59F7C602" wp14:editId="1174217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07C7FB3"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33BCB13" w14:textId="77777777" w:rsidR="002D5AAC" w:rsidRDefault="00E0520B" w:rsidP="00DD44B1">
            <w:pPr>
              <w:spacing w:before="240"/>
              <w:rPr>
                <w:lang w:val="en-US"/>
              </w:rPr>
            </w:pPr>
            <w:r>
              <w:rPr>
                <w:lang w:val="en-US"/>
              </w:rPr>
              <w:t>Distr.: General</w:t>
            </w:r>
          </w:p>
          <w:p w14:paraId="27EA5199" w14:textId="77777777" w:rsidR="00E0520B" w:rsidRDefault="00E0520B" w:rsidP="00E0520B">
            <w:pPr>
              <w:spacing w:line="240" w:lineRule="exact"/>
              <w:rPr>
                <w:lang w:val="en-US"/>
              </w:rPr>
            </w:pPr>
            <w:r>
              <w:rPr>
                <w:lang w:val="en-US"/>
              </w:rPr>
              <w:t>15 December 2020</w:t>
            </w:r>
          </w:p>
          <w:p w14:paraId="63492F2D" w14:textId="77777777" w:rsidR="00E0520B" w:rsidRDefault="00E0520B" w:rsidP="00E0520B">
            <w:pPr>
              <w:spacing w:line="240" w:lineRule="exact"/>
              <w:rPr>
                <w:lang w:val="en-US"/>
              </w:rPr>
            </w:pPr>
            <w:r>
              <w:rPr>
                <w:lang w:val="en-US"/>
              </w:rPr>
              <w:t>Russian</w:t>
            </w:r>
          </w:p>
          <w:p w14:paraId="09A3C4F7" w14:textId="77777777" w:rsidR="00E0520B" w:rsidRPr="00D62A45" w:rsidRDefault="00E0520B" w:rsidP="00E0520B">
            <w:pPr>
              <w:spacing w:line="240" w:lineRule="exact"/>
              <w:rPr>
                <w:lang w:val="en-US"/>
              </w:rPr>
            </w:pPr>
            <w:r>
              <w:rPr>
                <w:lang w:val="en-US"/>
              </w:rPr>
              <w:t>Original: English</w:t>
            </w:r>
          </w:p>
        </w:tc>
      </w:tr>
    </w:tbl>
    <w:p w14:paraId="1426AFF4" w14:textId="77777777" w:rsidR="001A45BE" w:rsidRPr="001A45BE" w:rsidRDefault="001A45BE" w:rsidP="001A45BE">
      <w:pPr>
        <w:spacing w:before="120"/>
        <w:rPr>
          <w:b/>
          <w:bCs/>
          <w:sz w:val="24"/>
          <w:szCs w:val="24"/>
        </w:rPr>
      </w:pPr>
      <w:r w:rsidRPr="001A45BE">
        <w:rPr>
          <w:b/>
          <w:bCs/>
          <w:sz w:val="24"/>
          <w:szCs w:val="24"/>
        </w:rPr>
        <w:t xml:space="preserve">Комитет по экономическим, социальным </w:t>
      </w:r>
      <w:r>
        <w:rPr>
          <w:b/>
          <w:bCs/>
          <w:sz w:val="24"/>
          <w:szCs w:val="24"/>
        </w:rPr>
        <w:br/>
      </w:r>
      <w:r w:rsidRPr="001A45BE">
        <w:rPr>
          <w:b/>
          <w:bCs/>
          <w:sz w:val="24"/>
          <w:szCs w:val="24"/>
        </w:rPr>
        <w:t>и культурным правам</w:t>
      </w:r>
    </w:p>
    <w:p w14:paraId="2B38D95E" w14:textId="77777777" w:rsidR="001A45BE" w:rsidRPr="009875A0" w:rsidRDefault="001A45BE" w:rsidP="001A45BE">
      <w:pPr>
        <w:pStyle w:val="HChG"/>
      </w:pPr>
      <w:r>
        <w:tab/>
      </w:r>
      <w:r>
        <w:tab/>
      </w:r>
      <w:r>
        <w:rPr>
          <w:bCs/>
        </w:rPr>
        <w:t>Заявление о всеобщем и равном доступе к вакцинам против коронавирусной инфекции (COVID-19)</w:t>
      </w:r>
      <w:r>
        <w:t xml:space="preserve"> </w:t>
      </w:r>
    </w:p>
    <w:p w14:paraId="3EF7A7B1" w14:textId="77777777" w:rsidR="001A45BE" w:rsidRPr="009875A0" w:rsidRDefault="001A45BE" w:rsidP="001A45BE">
      <w:pPr>
        <w:pStyle w:val="H1G"/>
      </w:pPr>
      <w:r>
        <w:tab/>
      </w:r>
      <w:r>
        <w:tab/>
      </w:r>
      <w:r>
        <w:rPr>
          <w:bCs/>
        </w:rPr>
        <w:t>Заявление Комитета по экономическим, социальным и</w:t>
      </w:r>
      <w:r>
        <w:rPr>
          <w:bCs/>
          <w:lang w:val="en-US"/>
        </w:rPr>
        <w:t> </w:t>
      </w:r>
      <w:r>
        <w:rPr>
          <w:bCs/>
        </w:rPr>
        <w:t>культурным правам</w:t>
      </w:r>
      <w:r w:rsidRPr="00136E1D">
        <w:rPr>
          <w:rStyle w:val="a8"/>
          <w:b w:val="0"/>
          <w:sz w:val="20"/>
          <w:vertAlign w:val="baseline"/>
        </w:rPr>
        <w:footnoteReference w:customMarkFollows="1" w:id="1"/>
        <w:t>*</w:t>
      </w:r>
    </w:p>
    <w:p w14:paraId="3DE90226" w14:textId="77777777" w:rsidR="001A45BE" w:rsidRPr="009875A0" w:rsidRDefault="001A45BE" w:rsidP="001A45BE">
      <w:pPr>
        <w:pStyle w:val="SingleTxtG"/>
        <w:tabs>
          <w:tab w:val="clear" w:pos="2268"/>
          <w:tab w:val="clear" w:pos="2835"/>
        </w:tabs>
      </w:pPr>
      <w:r w:rsidRPr="009875A0">
        <w:t>1.</w:t>
      </w:r>
      <w:r w:rsidRPr="009875A0">
        <w:tab/>
      </w:r>
      <w:r>
        <w:t>Ожидается, что безопасная и эффективная вакцина уменьшит риски для здоровья и жизни, связанные с коронавирусной инфекцией (COVID-19), и</w:t>
      </w:r>
      <w:r>
        <w:rPr>
          <w:lang w:val="en-US"/>
        </w:rPr>
        <w:t> </w:t>
      </w:r>
      <w:r>
        <w:t>одновременно позволит постепенную отмену некоторых ограничительных мер, которые потребовалось ввести для борьбы с распространением вируса. Она также поможет оправиться от серьезного негативного воздействия, которое эти меры оказали на осуществление экономических, социальных и культурных прав, особенно наиболее обездоленными и маргинализированными группами населения. По этой причине для мира имеют важное и обнадеживающее значение новости о том, что несколько вакцин против COVID-19 могут быть вскоре одобрены органами здравоохранения после того, как будут выполнены процедуры, предусмотренные соответствующими техническими руководствами Всемирной организации здравоохранения (ВОЗ), касающимися вакцин против COVID-19 и других биологических препаратов, с тем чтобы гарантировать их безопасность и эффективность</w:t>
      </w:r>
      <w:r w:rsidRPr="00CE4E97">
        <w:rPr>
          <w:rStyle w:val="a8"/>
          <w:bCs/>
        </w:rPr>
        <w:footnoteReference w:id="2"/>
      </w:r>
      <w:r>
        <w:t>. В этом контексте Комитет считает необходимым напомнить государствам-участникам об их обязательстве по Пакту в этой области, с</w:t>
      </w:r>
      <w:r w:rsidR="00C92687">
        <w:t> </w:t>
      </w:r>
      <w:r>
        <w:t>тем чтобы избежать необоснованной дискриминации и неравенства в доступе к вакцинам против COVID-19</w:t>
      </w:r>
      <w:r w:rsidRPr="00CE4E97">
        <w:rPr>
          <w:sz w:val="18"/>
          <w:szCs w:val="18"/>
          <w:vertAlign w:val="superscript"/>
        </w:rPr>
        <w:footnoteReference w:id="3"/>
      </w:r>
      <w:r>
        <w:t>.</w:t>
      </w:r>
    </w:p>
    <w:p w14:paraId="2F044545" w14:textId="77777777" w:rsidR="001A45BE" w:rsidRPr="009875A0" w:rsidRDefault="001A45BE" w:rsidP="001A45BE">
      <w:pPr>
        <w:pStyle w:val="SingleTxtG"/>
        <w:tabs>
          <w:tab w:val="clear" w:pos="2268"/>
          <w:tab w:val="clear" w:pos="2835"/>
        </w:tabs>
      </w:pPr>
      <w:r w:rsidRPr="009875A0">
        <w:t>2.</w:t>
      </w:r>
      <w:r w:rsidRPr="009875A0">
        <w:tab/>
      </w:r>
      <w:r>
        <w:t>Каждый человек имеет право на наивысший достижимый уровень физического и психического здоровья</w:t>
      </w:r>
      <w:r w:rsidRPr="00CE4E97">
        <w:rPr>
          <w:sz w:val="18"/>
          <w:szCs w:val="18"/>
          <w:vertAlign w:val="superscript"/>
        </w:rPr>
        <w:footnoteReference w:id="4"/>
      </w:r>
      <w:r>
        <w:t>, что включает в себя доступ к программам иммунизации против основных инфекционных заболеваний</w:t>
      </w:r>
      <w:r w:rsidRPr="00CE4E97">
        <w:rPr>
          <w:sz w:val="18"/>
          <w:szCs w:val="18"/>
          <w:vertAlign w:val="superscript"/>
        </w:rPr>
        <w:footnoteReference w:id="5"/>
      </w:r>
      <w:r>
        <w:t>. Каждый человек также имеет право пользоваться благами научного прогресса</w:t>
      </w:r>
      <w:r w:rsidRPr="00CE4E97">
        <w:rPr>
          <w:sz w:val="18"/>
          <w:vertAlign w:val="superscript"/>
        </w:rPr>
        <w:footnoteReference w:id="6"/>
      </w:r>
      <w:r>
        <w:t>, что включает в себя доступ ко всем наилучшим имеющимся прикладным результатам научного прогресса, необходимым для обеспечения наивысшего достижимого уровня здоровья</w:t>
      </w:r>
      <w:r w:rsidRPr="00CE4E97">
        <w:rPr>
          <w:sz w:val="18"/>
          <w:szCs w:val="18"/>
          <w:vertAlign w:val="superscript"/>
        </w:rPr>
        <w:footnoteReference w:id="7"/>
      </w:r>
      <w:r>
        <w:t xml:space="preserve">. Оба эти права </w:t>
      </w:r>
      <w:r>
        <w:lastRenderedPageBreak/>
        <w:t xml:space="preserve">подразумевают, что каждый человек имеет право на доступ к безопасной, эффективной и основанной на применении наилучших научных разработок вакцине против COVID-19. </w:t>
      </w:r>
    </w:p>
    <w:p w14:paraId="51E23D42" w14:textId="77777777" w:rsidR="001A45BE" w:rsidRPr="009875A0" w:rsidRDefault="001A45BE" w:rsidP="001A45BE">
      <w:pPr>
        <w:pStyle w:val="SingleTxtG"/>
        <w:tabs>
          <w:tab w:val="clear" w:pos="2268"/>
          <w:tab w:val="clear" w:pos="2835"/>
        </w:tabs>
      </w:pPr>
      <w:r w:rsidRPr="009875A0">
        <w:t>3.</w:t>
      </w:r>
      <w:r w:rsidRPr="009875A0">
        <w:tab/>
      </w:r>
      <w:r>
        <w:t>Государства обязаны принимать все необходимые меры, максимально задействуя имеющиеся ресурсы, чтобы гарантировать доступ к вакцинам против COVID-19 для всех без какой-либо дискриминации</w:t>
      </w:r>
      <w:r w:rsidRPr="00CE4E97">
        <w:rPr>
          <w:sz w:val="18"/>
          <w:szCs w:val="18"/>
          <w:vertAlign w:val="superscript"/>
        </w:rPr>
        <w:footnoteReference w:id="8"/>
      </w:r>
      <w:r>
        <w:t>. Обязанность государств обеспечивать иммунизацию против основных инфекционных заболеваний, а также предупреждать эпидемии и бороться с ними является одной из первоочередных обязанностей, касающихся права на здоровье</w:t>
      </w:r>
      <w:r w:rsidRPr="00CE4E97">
        <w:rPr>
          <w:sz w:val="18"/>
          <w:szCs w:val="18"/>
          <w:vertAlign w:val="superscript"/>
        </w:rPr>
        <w:footnoteReference w:id="9"/>
      </w:r>
      <w:r>
        <w:t xml:space="preserve">. В нынешних условиях государства обязаны уделять максимальное внимание обеспечению всех вакцинами против COVID-19. </w:t>
      </w:r>
    </w:p>
    <w:p w14:paraId="6F54FAF8" w14:textId="77777777" w:rsidR="001A45BE" w:rsidRPr="00110ACD" w:rsidRDefault="001A45BE" w:rsidP="001A45BE">
      <w:pPr>
        <w:pStyle w:val="SingleTxtG"/>
        <w:tabs>
          <w:tab w:val="clear" w:pos="2268"/>
          <w:tab w:val="clear" w:pos="2835"/>
        </w:tabs>
      </w:pPr>
      <w:r w:rsidRPr="00110ACD">
        <w:t>4.</w:t>
      </w:r>
      <w:r w:rsidRPr="00110ACD">
        <w:tab/>
      </w:r>
      <w:r>
        <w:t>Право на здоровье требует от государств обеспечения наличия, доступности, приемлемости и хорошего качества медицинских учреждений, услуг и товаров, включая вакцины</w:t>
      </w:r>
      <w:r w:rsidRPr="00CE4E97">
        <w:rPr>
          <w:sz w:val="18"/>
          <w:vertAlign w:val="superscript"/>
        </w:rPr>
        <w:footnoteReference w:id="10"/>
      </w:r>
      <w:r w:rsidR="00DC3343">
        <w:t>.</w:t>
      </w:r>
      <w:r>
        <w:t xml:space="preserve"> Вакцины против COVID-19 должны не только производиться и иметься в наличии; они также должны быть доступны для всех. Для обеспечения доступа к вакцинам против COVID-19 государства должны, во-первых, устранить любую дискриминацию по таким признакам, как религия, национальное происхождение, пол, сексуальная ориентация и гендерная идентичность, расовая и этническая идентичность, возраст, инвалидность, миграционный статус, социальное происхождение, бедность или любой другой соответствующий статус; во-вторых, гарантировать физическую доступность вакцин, особенно для маргинализированных групп и лиц, живущих в отдаленных районах, используя как государственные, так и частные каналы и укрепляя потенциал систем здравоохранения по предоставлению вакцин; в-третьих, гарантировать ценовую или экономическую доступность для всех, в том числе путем бесплатного предоставления вакцин, по крайней мере для лиц с низким уровнем дохода и малоимущих; и, в-четвертых, гарантировать доступ к соответствующей информации, особенно путем распространения точной научной информации о безопасности и эффективности различных вакцин, а также проведения общественных кампаний по защите людей от ложной, вводящей в заблуждение или псевдонаучной информации о вакцинах, которая стремительно распространяется в Интернете и социальных сетях</w:t>
      </w:r>
      <w:r w:rsidRPr="00CE4E97">
        <w:rPr>
          <w:sz w:val="18"/>
          <w:szCs w:val="18"/>
          <w:vertAlign w:val="superscript"/>
        </w:rPr>
        <w:footnoteReference w:id="11"/>
      </w:r>
      <w:r>
        <w:t>.</w:t>
      </w:r>
    </w:p>
    <w:p w14:paraId="2A2CEED0" w14:textId="77777777" w:rsidR="001A45BE" w:rsidRPr="00110ACD" w:rsidRDefault="001A45BE" w:rsidP="001A45BE">
      <w:pPr>
        <w:pStyle w:val="SingleTxtG"/>
        <w:tabs>
          <w:tab w:val="clear" w:pos="2268"/>
          <w:tab w:val="clear" w:pos="2835"/>
        </w:tabs>
      </w:pPr>
      <w:r w:rsidRPr="00110ACD">
        <w:t>5.</w:t>
      </w:r>
      <w:r w:rsidRPr="00110ACD">
        <w:tab/>
      </w:r>
      <w:r>
        <w:t>Невозможно гарантировать, что все получат немедленный доступ к вакцине против COVID-19, даже если в ближайшее время будет одобрено несколько вакцин. Массовые производство и поставка вакцин предполагают не только огромные финансовые затраты, но и сложные административные и медицинские процедуры. Приоритизация доступа к вакцинам для конкретных групп населения неизбежна, по</w:t>
      </w:r>
      <w:r w:rsidR="00D67639">
        <w:t> </w:t>
      </w:r>
      <w:r>
        <w:t>крайней мере на начальных этапах, не только на национальном, но и на международном уровне. В соответствии с общим запретом дискриминации</w:t>
      </w:r>
      <w:r w:rsidRPr="00CE4E97">
        <w:rPr>
          <w:sz w:val="18"/>
          <w:szCs w:val="18"/>
          <w:vertAlign w:val="superscript"/>
        </w:rPr>
        <w:footnoteReference w:id="12"/>
      </w:r>
      <w:r>
        <w:t xml:space="preserve"> такая приоритизация должна основываться на медицинских потребностях и интересах общественного здравоохранения. В соответствии с этими критериями приоритет может быть отдан, например, медицинскому персоналу и работникам системы здравоохранения или лицам, подверженны</w:t>
      </w:r>
      <w:r w:rsidR="00D67639">
        <w:t>м</w:t>
      </w:r>
      <w:r>
        <w:t xml:space="preserve"> большему риску развития серьезного заболевания в случае заражения SARS-COV-2 в силу возраста или предсуществующих состояний, или лицам, наиболее подверженным и уязвимым к вирусу в силу социальных детерминант здоровья, таким как люди, живущие в неформальных поселениях или других густонаселенных или нестабильных формах жилья, малообеспеченные группы населения, коренные народы, расовые меньшинства, мигранты, беженцы, перемещенные лица, заключенные и другие </w:t>
      </w:r>
      <w:bookmarkStart w:id="0" w:name="_GoBack"/>
      <w:bookmarkEnd w:id="0"/>
      <w:r>
        <w:lastRenderedPageBreak/>
        <w:t xml:space="preserve">маргинализированные и обездоленные группы населения. В любом случае критерии приоритизации должны устанавливаться в процессе надлежащих консультаций с общественностью, быть прозрачными и подлежать общественному контролю, </w:t>
      </w:r>
      <w:r w:rsidR="00D67639">
        <w:br/>
      </w:r>
      <w:r>
        <w:t xml:space="preserve">а в случае возникновения спора </w:t>
      </w:r>
      <w:r w:rsidR="00D67639">
        <w:t>—</w:t>
      </w:r>
      <w:r>
        <w:t xml:space="preserve"> судебному пересмотру во избежание дискриминации. </w:t>
      </w:r>
    </w:p>
    <w:p w14:paraId="18D258A3" w14:textId="77777777" w:rsidR="001A45BE" w:rsidRPr="001412E9" w:rsidRDefault="001A45BE" w:rsidP="001A45BE">
      <w:pPr>
        <w:pStyle w:val="SingleTxtG"/>
        <w:tabs>
          <w:tab w:val="clear" w:pos="2268"/>
          <w:tab w:val="clear" w:pos="2835"/>
        </w:tabs>
      </w:pPr>
      <w:r w:rsidRPr="001412E9">
        <w:t>6.</w:t>
      </w:r>
      <w:r w:rsidRPr="001412E9">
        <w:tab/>
      </w:r>
      <w:r>
        <w:t xml:space="preserve">Многие из вакцин, которые могут быть одобрены, были разработаны частными компаниями и могут подпадать под режим прав интеллектуальной собственности. Эти компании надеются получить прибыль, и справедливо, что они получат разумную компенсацию за свои инвестиции и исследования. Вместе с тем Комитет напоминает государствам-участникам, что интеллектуальная собственность </w:t>
      </w:r>
      <w:r w:rsidR="00D955FF">
        <w:t>—</w:t>
      </w:r>
      <w:r>
        <w:t xml:space="preserve"> это не право человека, а социальный продукт, выполняющий определенную социальную функцию</w:t>
      </w:r>
      <w:r w:rsidRPr="00CE4E97">
        <w:rPr>
          <w:sz w:val="18"/>
          <w:szCs w:val="18"/>
          <w:vertAlign w:val="superscript"/>
        </w:rPr>
        <w:footnoteReference w:id="13"/>
      </w:r>
      <w:r>
        <w:t>. Поэтому государства-участники обязаны не допускать, чтобы режимы прав интеллектуальной собственности и патентного права подрывали осуществление экономических, социальных и культурных прав, например, делая важнейшие общественные блага, такие как вакцины или лекарства, недоступными для развивающихся стран или обнищавшего населения из-за необоснованной структуры затрат</w:t>
      </w:r>
      <w:r w:rsidRPr="00CE4E97">
        <w:rPr>
          <w:sz w:val="18"/>
          <w:szCs w:val="18"/>
          <w:vertAlign w:val="superscript"/>
        </w:rPr>
        <w:footnoteReference w:id="14"/>
      </w:r>
      <w:r>
        <w:t xml:space="preserve">. Таким образом, как указано в Дохинской декларации о Соглашении по торговым аспектам прав интеллектуальной собственности (ТРИПС) и общественном здравоохранении, режим прав интеллектуальной собственности должен толковаться и осуществляться в поддержку обязанности государств </w:t>
      </w:r>
      <w:r w:rsidR="00C92687">
        <w:t>«</w:t>
      </w:r>
      <w:r>
        <w:t>охранять здоровье населения</w:t>
      </w:r>
      <w:r w:rsidR="00C92687">
        <w:t>»</w:t>
      </w:r>
      <w:r w:rsidRPr="00CE4E97">
        <w:rPr>
          <w:sz w:val="18"/>
          <w:vertAlign w:val="superscript"/>
        </w:rPr>
        <w:footnoteReference w:id="15"/>
      </w:r>
      <w:r>
        <w:t>. Таким образом, государствам-участникам следует использовать, когда это необходимо, все гибкие положения Соглашения по ТРИПС, такие как принудительные лицензии, для обеспечения доступа к вакцине против COVID-19 для всех. Однако этих гибких возможностей, по всей вероятности, будет недостаточно для того, чтобы адекватно противостоять пандемии, особенно в развивающихся странах. Поэтому некоторые государства предложили в качестве дополнительной меры, чтобы Всемирная торговая организация (ВТО) допустила отступление от некоторых положений Соглашения по ТРИПС в контексте глобального кризиса в области здравоохранения. Это предложение, поддержанное рядом мандатариев специальных процедур Совета по правам человека</w:t>
      </w:r>
      <w:r w:rsidRPr="00CE4E97">
        <w:rPr>
          <w:sz w:val="18"/>
          <w:szCs w:val="18"/>
          <w:vertAlign w:val="superscript"/>
        </w:rPr>
        <w:footnoteReference w:id="16"/>
      </w:r>
      <w:r>
        <w:t xml:space="preserve">, должно быть рассмотрено и реализовано с целью содействия профилактике, сдерживанию и лечению COVID-19 путем обеспечения глобальной ценовой доступности вакцин. </w:t>
      </w:r>
    </w:p>
    <w:p w14:paraId="589F2C19" w14:textId="77777777" w:rsidR="001A45BE" w:rsidRPr="009875A0" w:rsidRDefault="001A45BE" w:rsidP="001A45BE">
      <w:pPr>
        <w:pStyle w:val="SingleTxtG"/>
        <w:tabs>
          <w:tab w:val="clear" w:pos="2268"/>
          <w:tab w:val="clear" w:pos="2835"/>
        </w:tabs>
      </w:pPr>
      <w:r w:rsidRPr="009875A0">
        <w:t>7.</w:t>
      </w:r>
      <w:r w:rsidRPr="009875A0">
        <w:tab/>
      </w:r>
      <w:r>
        <w:t>Коммерческие организации, включая фармацевтические компании, обязаны, в</w:t>
      </w:r>
      <w:r w:rsidR="00C92687">
        <w:t> </w:t>
      </w:r>
      <w:r>
        <w:t>соответствии с международными стандартами, как минимум, соблюдать права, закрепленные в Международном пакте об экономических, социальных и культурных правах</w:t>
      </w:r>
      <w:r w:rsidRPr="00CE4E97">
        <w:rPr>
          <w:sz w:val="18"/>
          <w:szCs w:val="18"/>
          <w:vertAlign w:val="superscript"/>
        </w:rPr>
        <w:footnoteReference w:id="17"/>
      </w:r>
      <w:r>
        <w:t>. Поэтому таким субъектам следует воздерживаться от использования ссылок на права интеллектуальной собственности таким образом, который не согласуется с правом каждого человека на доступ к безопасной и эффективной вакцине против COVID-19 и с обязательством государств гарантировать как можно скорее всеобщий и равный доступ к такой вакцине.</w:t>
      </w:r>
    </w:p>
    <w:p w14:paraId="6D6B8E7A" w14:textId="77777777" w:rsidR="001A45BE" w:rsidRPr="009875A0" w:rsidRDefault="001A45BE" w:rsidP="001A45BE">
      <w:pPr>
        <w:pStyle w:val="SingleTxtG"/>
        <w:tabs>
          <w:tab w:val="clear" w:pos="2268"/>
          <w:tab w:val="clear" w:pos="2835"/>
        </w:tabs>
      </w:pPr>
      <w:r w:rsidRPr="009875A0">
        <w:t>8.</w:t>
      </w:r>
      <w:r w:rsidRPr="009875A0">
        <w:tab/>
      </w:r>
      <w:r>
        <w:t>В соответствии с Пактом, при определенных обстоятельствах государства-участники могут быть сочтены непосредственно ответственными за действия или бездействие коммерческих организаций</w:t>
      </w:r>
      <w:r w:rsidRPr="00CE4E97">
        <w:rPr>
          <w:sz w:val="18"/>
          <w:szCs w:val="18"/>
          <w:vertAlign w:val="superscript"/>
        </w:rPr>
        <w:footnoteReference w:id="18"/>
      </w:r>
      <w:r>
        <w:t xml:space="preserve">. Кроме того, они несут экстерриториальное </w:t>
      </w:r>
      <w:r>
        <w:lastRenderedPageBreak/>
        <w:t>обязательство принимать меры, необходимые для защиты экономических, социальных и культурных прав, с тем чтобы корпорации, домицилированные на их территории и/или находящиеся под их юрисдикцией, не нарушали эти права за рубежом</w:t>
      </w:r>
      <w:r w:rsidRPr="00CE4E97">
        <w:rPr>
          <w:sz w:val="18"/>
          <w:szCs w:val="18"/>
          <w:vertAlign w:val="superscript"/>
        </w:rPr>
        <w:footnoteReference w:id="19"/>
      </w:r>
      <w:r>
        <w:t>. Поэтому государствам следует принимать все необходимые меры для обеспечения того, чтобы такие коммерческие организации воздерживались от использования ссылок на права интеллектуальной собственности ни на своей собственной территории, ни за рубежом таким образом, который не согласуется с правом каждого человека на доступ к безопасной и эффективной вакцине против COVID-19.</w:t>
      </w:r>
    </w:p>
    <w:p w14:paraId="5245BE87" w14:textId="77777777" w:rsidR="001A45BE" w:rsidRPr="009875A0" w:rsidRDefault="001A45BE" w:rsidP="001A45BE">
      <w:pPr>
        <w:pStyle w:val="SingleTxtG"/>
        <w:tabs>
          <w:tab w:val="clear" w:pos="2268"/>
          <w:tab w:val="clear" w:pos="2835"/>
        </w:tabs>
      </w:pPr>
      <w:r w:rsidRPr="009875A0">
        <w:t>9.</w:t>
      </w:r>
      <w:r w:rsidRPr="009875A0">
        <w:tab/>
      </w:r>
      <w:r>
        <w:t>В соответствии с Пактом</w:t>
      </w:r>
      <w:r w:rsidR="003F3062">
        <w:t>,</w:t>
      </w:r>
      <w:r>
        <w:t xml:space="preserve"> государства обязаны осуществлять международное сотрудничество и оказывать помощь в целях обеспечения всеобщего равного доступа к вакцинам, когда это необходимо</w:t>
      </w:r>
      <w:r w:rsidRPr="00CE4E97">
        <w:rPr>
          <w:sz w:val="18"/>
          <w:szCs w:val="18"/>
          <w:vertAlign w:val="superscript"/>
        </w:rPr>
        <w:footnoteReference w:id="20"/>
      </w:r>
      <w:r>
        <w:t>. Тот факт, что нынешний кризис является пандемией, усиливает эту обязанность государств</w:t>
      </w:r>
      <w:r w:rsidRPr="00CE4E97">
        <w:rPr>
          <w:sz w:val="18"/>
          <w:szCs w:val="18"/>
          <w:vertAlign w:val="superscript"/>
        </w:rPr>
        <w:footnoteReference w:id="21"/>
      </w:r>
      <w:r>
        <w:t xml:space="preserve">. Поэтому государства должны укреплять свое международное сотрудничество, с тем чтобы как можно скорее гарантировать всеобщий и равный доступ к вакцинам против COVID-19 во всем мире, в том числе для населения наименее развитых стран, которые могут не располагать финансовыми ресурсами, гарантирующими доступ к вакцинам для своего населения. </w:t>
      </w:r>
    </w:p>
    <w:p w14:paraId="58AB2393" w14:textId="77777777" w:rsidR="001A45BE" w:rsidRPr="009875A0" w:rsidRDefault="001A45BE" w:rsidP="001A45BE">
      <w:pPr>
        <w:pStyle w:val="SingleTxtG"/>
        <w:tabs>
          <w:tab w:val="clear" w:pos="2268"/>
          <w:tab w:val="clear" w:pos="2835"/>
        </w:tabs>
      </w:pPr>
      <w:r w:rsidRPr="009875A0">
        <w:t>10.</w:t>
      </w:r>
      <w:r w:rsidRPr="009875A0">
        <w:tab/>
      </w:r>
      <w:r>
        <w:t>Вполне понятно, что государства считают приоритетом обеспечить доступ к вакцинам в первую очередь для своих собственных граждан. Однако такое стремление не должно приводить к своего рода изоляционизму в сфере здравоохранения или к гонке за вакцинами против COVID-19 между государствами, в которой одни государства, особенно развитые государства, конкурируют с другими с целью заключения дорогостоящих и непрозрачных сделок с частными компаниями по обеспечению вакцинами в первую очередь всех или большинства своих собственных граждан. Такая конкуренция между государствами может привести к повышению цен на вакцины и даже создать временную монополию на доступ к первым вакцинам, произведенным для некоторых развитых государств, что негативно скажется, по</w:t>
      </w:r>
      <w:r w:rsidR="00A97394">
        <w:t> </w:t>
      </w:r>
      <w:r>
        <w:t>крайней мере временно, на возможности других стран, особенно развивающихся, обеспечить доступ к вакцинам для своего населения. Такая конкурентная борьба между государствами за доступ к вакцинам является контрпродуктивной с точки зрения глобального подхода к здравоохранению, поскольку она делает борьбу с пандемией гораздо более сложной и затяжной. До тех пор, пока значительная часть населения мира не будет иметь доступа к мерам по контролю, профилактике и лечению COVID-19, а также к вакцинам против него, риск новых всплесков пандемии будет сохраняться. Кроме того, такая конкурентная борьба за доступ к вакцинам противоречит экстерриториальным обязательствам государств избегать принятия решений, которые ограничивают возможности других государств по реализации своего права на здоровье. Она также препятствует доступу к вакцинам для тех, кто в них больше всего нуждается в наименее развитых странах</w:t>
      </w:r>
      <w:r w:rsidRPr="00CE4E97">
        <w:rPr>
          <w:sz w:val="18"/>
          <w:szCs w:val="18"/>
          <w:vertAlign w:val="superscript"/>
        </w:rPr>
        <w:footnoteReference w:id="22"/>
      </w:r>
      <w:r>
        <w:t>. Тайный характер некоторых сделок также противоречит обязанности государств создавать прозрачные механизмы, обеспечивающие подотчетность, общественный контроль и участие граждан в принятии решений, касающихся распределения ресурсов и применения технологий для реализации права на здоровье</w:t>
      </w:r>
      <w:r w:rsidRPr="00CE4E97">
        <w:rPr>
          <w:sz w:val="18"/>
          <w:szCs w:val="18"/>
          <w:vertAlign w:val="superscript"/>
        </w:rPr>
        <w:footnoteReference w:id="23"/>
      </w:r>
      <w:r>
        <w:t>.</w:t>
      </w:r>
    </w:p>
    <w:p w14:paraId="388092C6" w14:textId="77777777" w:rsidR="001A45BE" w:rsidRPr="00110ACD" w:rsidRDefault="001A45BE" w:rsidP="001A45BE">
      <w:pPr>
        <w:pStyle w:val="SingleTxtG"/>
        <w:tabs>
          <w:tab w:val="clear" w:pos="2268"/>
          <w:tab w:val="clear" w:pos="2835"/>
        </w:tabs>
      </w:pPr>
      <w:r w:rsidRPr="00110ACD">
        <w:t>11.</w:t>
      </w:r>
      <w:r w:rsidRPr="00110ACD">
        <w:tab/>
      </w:r>
      <w:r>
        <w:t>Вместо того чтобы стремиться к изоляционизму в сфере здравоохранения и участвовать в гонке за вакциной, государства должны выполнять свои обязательства по содействию осуществлению всех прав человека, включая право на здоровье, во всем мире</w:t>
      </w:r>
      <w:r w:rsidRPr="00CE4E97">
        <w:rPr>
          <w:sz w:val="18"/>
          <w:szCs w:val="18"/>
          <w:vertAlign w:val="superscript"/>
        </w:rPr>
        <w:footnoteReference w:id="24"/>
      </w:r>
      <w:r>
        <w:t xml:space="preserve">. Распределение вакцин и приоритизация доступа к ним должны быть организованы и поддержаны международным сотрудничеством и помощью, которые включает в себя совместное использование достижений научного прогресса и их </w:t>
      </w:r>
      <w:r>
        <w:lastRenderedPageBreak/>
        <w:t>прикладных результатов</w:t>
      </w:r>
      <w:r w:rsidRPr="00CE4E97">
        <w:rPr>
          <w:sz w:val="18"/>
          <w:szCs w:val="18"/>
          <w:vertAlign w:val="superscript"/>
        </w:rPr>
        <w:footnoteReference w:id="25"/>
      </w:r>
      <w:r>
        <w:t xml:space="preserve">. Поэтому государствам-участникам следует разработать стратегии и механизмы справедливого распределения финансовых расходов, связанных с исследованиями, производством и распределением вакцин против COVID-19, в том числе путем сокращения бремени задолженности стран, которые в этом нуждаются. Они также должны принять прозрачные и основанные на широком участии механизмы, обеспечивающие, чтобы приоритизация в глобальном распределении вакцин основывалась </w:t>
      </w:r>
      <w:r w:rsidR="00A97394">
        <w:t>—</w:t>
      </w:r>
      <w:r>
        <w:t xml:space="preserve"> как это должно быть и на национальном уровне </w:t>
      </w:r>
      <w:r w:rsidR="00A97394">
        <w:t>—</w:t>
      </w:r>
      <w:r>
        <w:t xml:space="preserve"> на медицинских потребностях и интересах общественного здравоохранения. Такая поддержка может быть организована с использованием поддерживаемого</w:t>
      </w:r>
      <w:r w:rsidRPr="00FF247D">
        <w:t xml:space="preserve"> </w:t>
      </w:r>
      <w:r>
        <w:t xml:space="preserve">ВОЗ Глобального механизма обеспечения вакцинами COVAX. </w:t>
      </w:r>
    </w:p>
    <w:p w14:paraId="378B7DA3" w14:textId="77777777" w:rsidR="001A45BE" w:rsidRDefault="001A45BE" w:rsidP="001A45BE">
      <w:pPr>
        <w:pStyle w:val="SingleTxtG"/>
        <w:tabs>
          <w:tab w:val="clear" w:pos="2268"/>
          <w:tab w:val="clear" w:pos="2835"/>
        </w:tabs>
      </w:pPr>
      <w:r>
        <w:t>12.</w:t>
      </w:r>
      <w:r>
        <w:tab/>
        <w:t>И наконец, хотя в настоящем заявлении основное внимание уделяется равному и всеобщему доступу к вакцинам против COVID-19, Комитет считает, что его основные соображения имеют отношение mutatis mutandis к обязательствам государств также обеспечивать всеобщий и равный доступ к средствам лечения COVID-19. Кроме того, Комитет напоминает государствам-участникам, что любые меры, принимаемые для ограничения экономических, социальных и культурных прав в связи с пандемией, должны соответствовать условиям, изложенным в статье 4 Пакта. В этой связи Комитет ссылается на свое заявление от 6 апреля 2020 года о пандемии и экономических, социальных и культурных правах (E/C.12/2020/1).</w:t>
      </w:r>
    </w:p>
    <w:p w14:paraId="7D5FA988" w14:textId="77777777" w:rsidR="00381C24" w:rsidRPr="00BC18B2" w:rsidRDefault="001A45BE" w:rsidP="001A45BE">
      <w:pPr>
        <w:pStyle w:val="SingleTxtG"/>
        <w:tabs>
          <w:tab w:val="clear" w:pos="2268"/>
          <w:tab w:val="clear" w:pos="2835"/>
        </w:tabs>
        <w:spacing w:before="240" w:after="0"/>
        <w:jc w:val="center"/>
      </w:pPr>
      <w:r>
        <w:rPr>
          <w:u w:val="single"/>
        </w:rPr>
        <w:tab/>
      </w:r>
      <w:r>
        <w:rPr>
          <w:u w:val="single"/>
        </w:rPr>
        <w:tab/>
      </w:r>
      <w:r>
        <w:rPr>
          <w:u w:val="single"/>
        </w:rPr>
        <w:tab/>
      </w:r>
      <w:r>
        <w:rPr>
          <w:u w:val="single"/>
        </w:rPr>
        <w:tab/>
      </w:r>
    </w:p>
    <w:sectPr w:rsidR="00381C24" w:rsidRPr="00BC18B2" w:rsidSect="00E0520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F4917" w14:textId="77777777" w:rsidR="009F2E64" w:rsidRPr="00A312BC" w:rsidRDefault="009F2E64" w:rsidP="00A312BC"/>
  </w:endnote>
  <w:endnote w:type="continuationSeparator" w:id="0">
    <w:p w14:paraId="13F47C1F" w14:textId="77777777" w:rsidR="009F2E64" w:rsidRPr="00A312BC" w:rsidRDefault="009F2E6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2ECF5" w14:textId="77777777" w:rsidR="00E0520B" w:rsidRPr="00E0520B" w:rsidRDefault="00E0520B">
    <w:pPr>
      <w:pStyle w:val="aa"/>
    </w:pPr>
    <w:r w:rsidRPr="00E0520B">
      <w:rPr>
        <w:b/>
        <w:sz w:val="18"/>
      </w:rPr>
      <w:fldChar w:fldCharType="begin"/>
    </w:r>
    <w:r w:rsidRPr="00E0520B">
      <w:rPr>
        <w:b/>
        <w:sz w:val="18"/>
      </w:rPr>
      <w:instrText xml:space="preserve"> PAGE  \* MERGEFORMAT </w:instrText>
    </w:r>
    <w:r w:rsidRPr="00E0520B">
      <w:rPr>
        <w:b/>
        <w:sz w:val="18"/>
      </w:rPr>
      <w:fldChar w:fldCharType="separate"/>
    </w:r>
    <w:r w:rsidRPr="00E0520B">
      <w:rPr>
        <w:b/>
        <w:noProof/>
        <w:sz w:val="18"/>
      </w:rPr>
      <w:t>2</w:t>
    </w:r>
    <w:r w:rsidRPr="00E0520B">
      <w:rPr>
        <w:b/>
        <w:sz w:val="18"/>
      </w:rPr>
      <w:fldChar w:fldCharType="end"/>
    </w:r>
    <w:r>
      <w:rPr>
        <w:b/>
        <w:sz w:val="18"/>
      </w:rPr>
      <w:tab/>
    </w:r>
    <w:r>
      <w:t>GE.20-17009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FEB4A" w14:textId="77777777" w:rsidR="00E0520B" w:rsidRPr="00E0520B" w:rsidRDefault="00E0520B" w:rsidP="00E0520B">
    <w:pPr>
      <w:pStyle w:val="aa"/>
      <w:tabs>
        <w:tab w:val="clear" w:pos="9639"/>
        <w:tab w:val="right" w:pos="9638"/>
      </w:tabs>
      <w:rPr>
        <w:b/>
        <w:sz w:val="18"/>
      </w:rPr>
    </w:pPr>
    <w:r>
      <w:t>GE.20-17009</w:t>
    </w:r>
    <w:r>
      <w:tab/>
    </w:r>
    <w:r w:rsidRPr="00E0520B">
      <w:rPr>
        <w:b/>
        <w:sz w:val="18"/>
      </w:rPr>
      <w:fldChar w:fldCharType="begin"/>
    </w:r>
    <w:r w:rsidRPr="00E0520B">
      <w:rPr>
        <w:b/>
        <w:sz w:val="18"/>
      </w:rPr>
      <w:instrText xml:space="preserve"> PAGE  \* MERGEFORMAT </w:instrText>
    </w:r>
    <w:r w:rsidRPr="00E0520B">
      <w:rPr>
        <w:b/>
        <w:sz w:val="18"/>
      </w:rPr>
      <w:fldChar w:fldCharType="separate"/>
    </w:r>
    <w:r w:rsidRPr="00E0520B">
      <w:rPr>
        <w:b/>
        <w:noProof/>
        <w:sz w:val="18"/>
      </w:rPr>
      <w:t>3</w:t>
    </w:r>
    <w:r w:rsidRPr="00E052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2DAF3" w14:textId="77777777" w:rsidR="00042B72" w:rsidRPr="00E0520B" w:rsidRDefault="00E0520B" w:rsidP="00E0520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A7409A6" wp14:editId="30A311F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20-17009  (R)</w:t>
    </w:r>
    <w:r>
      <w:rPr>
        <w:noProof/>
      </w:rPr>
      <w:drawing>
        <wp:anchor distT="0" distB="0" distL="114300" distR="114300" simplePos="0" relativeHeight="251659264" behindDoc="0" locked="0" layoutInCell="1" allowOverlap="1" wp14:anchorId="7E6209B0" wp14:editId="121A9D8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161220  161220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F46B7" w14:textId="77777777" w:rsidR="009F2E64" w:rsidRPr="001075E9" w:rsidRDefault="009F2E64" w:rsidP="001075E9">
      <w:pPr>
        <w:tabs>
          <w:tab w:val="right" w:pos="2155"/>
        </w:tabs>
        <w:spacing w:after="80" w:line="240" w:lineRule="auto"/>
        <w:ind w:left="680"/>
        <w:rPr>
          <w:u w:val="single"/>
        </w:rPr>
      </w:pPr>
      <w:r>
        <w:rPr>
          <w:u w:val="single"/>
        </w:rPr>
        <w:tab/>
      </w:r>
    </w:p>
  </w:footnote>
  <w:footnote w:type="continuationSeparator" w:id="0">
    <w:p w14:paraId="6C4B2D80" w14:textId="77777777" w:rsidR="009F2E64" w:rsidRDefault="009F2E64" w:rsidP="00407B78">
      <w:pPr>
        <w:tabs>
          <w:tab w:val="right" w:pos="2155"/>
        </w:tabs>
        <w:spacing w:after="80"/>
        <w:ind w:left="680"/>
        <w:rPr>
          <w:u w:val="single"/>
        </w:rPr>
      </w:pPr>
      <w:r>
        <w:rPr>
          <w:u w:val="single"/>
        </w:rPr>
        <w:tab/>
      </w:r>
    </w:p>
  </w:footnote>
  <w:footnote w:id="1">
    <w:p w14:paraId="2218F505" w14:textId="77777777" w:rsidR="001A45BE" w:rsidRPr="009875A0" w:rsidRDefault="001A45BE" w:rsidP="001A45BE">
      <w:pPr>
        <w:pStyle w:val="af"/>
        <w:rPr>
          <w:szCs w:val="18"/>
        </w:rPr>
      </w:pPr>
      <w:r>
        <w:tab/>
      </w:r>
      <w:r w:rsidRPr="006E6B9F">
        <w:rPr>
          <w:sz w:val="20"/>
        </w:rPr>
        <w:t>*</w:t>
      </w:r>
      <w:r>
        <w:tab/>
        <w:t>Принято Комитетом в межсессионный период 27 ноября 2020 года.</w:t>
      </w:r>
    </w:p>
  </w:footnote>
  <w:footnote w:id="2">
    <w:p w14:paraId="327C792A" w14:textId="77777777" w:rsidR="001A45BE" w:rsidRPr="009875A0" w:rsidRDefault="001A45BE" w:rsidP="001A45BE">
      <w:pPr>
        <w:pStyle w:val="af"/>
        <w:rPr>
          <w:szCs w:val="18"/>
        </w:rPr>
      </w:pPr>
      <w:r w:rsidRPr="00634345">
        <w:rPr>
          <w:szCs w:val="18"/>
        </w:rPr>
        <w:tab/>
      </w:r>
      <w:r w:rsidRPr="00CE4E97">
        <w:rPr>
          <w:rStyle w:val="a8"/>
          <w:szCs w:val="18"/>
        </w:rPr>
        <w:footnoteRef/>
      </w:r>
      <w:r>
        <w:t xml:space="preserve"> </w:t>
      </w:r>
      <w:r>
        <w:tab/>
        <w:t xml:space="preserve">См. ВОЗ, </w:t>
      </w:r>
      <w:r w:rsidR="00C92687">
        <w:t>«</w:t>
      </w:r>
      <w:r>
        <w:t>Соответствующие технические документы ВОЗ, касающиеся вакцин против COVID-19 и других биологических препаратов</w:t>
      </w:r>
      <w:r w:rsidR="00C92687">
        <w:t>»</w:t>
      </w:r>
      <w:r>
        <w:t xml:space="preserve">, 25 сентября 2020 года. </w:t>
      </w:r>
    </w:p>
  </w:footnote>
  <w:footnote w:id="3">
    <w:p w14:paraId="6C410A82"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Общее мнение в отношении обязательств государств-соседей по Пакту в связи с пандемией см.</w:t>
      </w:r>
      <w:r w:rsidR="00C92687">
        <w:t> </w:t>
      </w:r>
      <w:r>
        <w:t>в заявлении Комитета от 6 апреля 2020 года о пандемии коронавирусной инфекци</w:t>
      </w:r>
      <w:r w:rsidR="005653C5">
        <w:t>и</w:t>
      </w:r>
      <w:r>
        <w:t xml:space="preserve"> (COVID-19) и об экономических, социальных и культурных правах (E/C.12/2020/1).</w:t>
      </w:r>
    </w:p>
  </w:footnote>
  <w:footnote w:id="4">
    <w:p w14:paraId="163D1DA8" w14:textId="77777777" w:rsidR="001A45BE" w:rsidRPr="00110ACD" w:rsidRDefault="001A45BE" w:rsidP="001A45BE">
      <w:pPr>
        <w:pStyle w:val="af"/>
        <w:rPr>
          <w:szCs w:val="18"/>
        </w:rPr>
      </w:pPr>
      <w:r w:rsidRPr="001412E9">
        <w:rPr>
          <w:szCs w:val="18"/>
        </w:rPr>
        <w:tab/>
      </w:r>
      <w:r w:rsidRPr="00CE4E97">
        <w:rPr>
          <w:rStyle w:val="a8"/>
          <w:szCs w:val="18"/>
        </w:rPr>
        <w:footnoteRef/>
      </w:r>
      <w:r>
        <w:t xml:space="preserve"> </w:t>
      </w:r>
      <w:r>
        <w:tab/>
        <w:t>Международный пакт об экономических, социальных и культурных правах, ст</w:t>
      </w:r>
      <w:r w:rsidR="00A44BD4">
        <w:t>.</w:t>
      </w:r>
      <w:r>
        <w:t xml:space="preserve"> 12; Всеобщая декларация прав человека, ст</w:t>
      </w:r>
      <w:r w:rsidR="00A44BD4">
        <w:t>.</w:t>
      </w:r>
      <w:r>
        <w:t xml:space="preserve"> 25.</w:t>
      </w:r>
    </w:p>
  </w:footnote>
  <w:footnote w:id="5">
    <w:p w14:paraId="41A77665"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 xml:space="preserve">Комитет по экономическим, социальным и культурным правам, замечание общего </w:t>
      </w:r>
      <w:r w:rsidR="00FF30FB">
        <w:br/>
      </w:r>
      <w:r>
        <w:t>порядка №</w:t>
      </w:r>
      <w:r w:rsidR="00C92687">
        <w:t> </w:t>
      </w:r>
      <w:r>
        <w:t>14 (2000), п</w:t>
      </w:r>
      <w:r w:rsidR="00A44BD4">
        <w:t>.</w:t>
      </w:r>
      <w:r>
        <w:t xml:space="preserve"> 36</w:t>
      </w:r>
      <w:r w:rsidR="00FF30FB">
        <w:t>.</w:t>
      </w:r>
    </w:p>
  </w:footnote>
  <w:footnote w:id="6">
    <w:p w14:paraId="5075DBA7" w14:textId="77777777" w:rsidR="001A45BE" w:rsidRPr="00110ACD" w:rsidRDefault="001A45BE" w:rsidP="001A45BE">
      <w:pPr>
        <w:pStyle w:val="af"/>
        <w:rPr>
          <w:szCs w:val="18"/>
        </w:rPr>
      </w:pPr>
      <w:r w:rsidRPr="001412E9">
        <w:rPr>
          <w:szCs w:val="18"/>
        </w:rPr>
        <w:tab/>
      </w:r>
      <w:r w:rsidRPr="00CE4E97">
        <w:rPr>
          <w:rStyle w:val="a8"/>
          <w:szCs w:val="18"/>
        </w:rPr>
        <w:footnoteRef/>
      </w:r>
      <w:r>
        <w:t xml:space="preserve"> </w:t>
      </w:r>
      <w:r>
        <w:tab/>
        <w:t>Международный пакт об экономических, социальных и культурных правах, ст</w:t>
      </w:r>
      <w:r w:rsidR="00A44BD4">
        <w:t>.</w:t>
      </w:r>
      <w:r>
        <w:t xml:space="preserve"> 15; Всеобщая декларация прав человека, ст</w:t>
      </w:r>
      <w:r w:rsidR="00A44BD4">
        <w:t>.</w:t>
      </w:r>
      <w:r>
        <w:t xml:space="preserve"> 27.</w:t>
      </w:r>
    </w:p>
  </w:footnote>
  <w:footnote w:id="7">
    <w:p w14:paraId="54788323" w14:textId="2A9E5D9D"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Комитет по экономическим, социальным и культурным правам, замечание общего порядка</w:t>
      </w:r>
      <w:r w:rsidR="000A1AFA">
        <w:t> </w:t>
      </w:r>
      <w:r>
        <w:t>№</w:t>
      </w:r>
      <w:r w:rsidR="00C92687">
        <w:t> </w:t>
      </w:r>
      <w:r>
        <w:t>25 (2020), п</w:t>
      </w:r>
      <w:r w:rsidR="00A44BD4">
        <w:t>.</w:t>
      </w:r>
      <w:r>
        <w:t xml:space="preserve"> 70</w:t>
      </w:r>
      <w:r w:rsidR="00FF30FB">
        <w:t>.</w:t>
      </w:r>
    </w:p>
  </w:footnote>
  <w:footnote w:id="8">
    <w:p w14:paraId="2E4BBE04"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Международный пакт об экономических, социальных и культурных правах, ст</w:t>
      </w:r>
      <w:r w:rsidR="00A44BD4">
        <w:t>.</w:t>
      </w:r>
      <w:r>
        <w:t xml:space="preserve"> 2, 12 и</w:t>
      </w:r>
      <w:r w:rsidR="00C92687">
        <w:t> </w:t>
      </w:r>
      <w:r>
        <w:t>15</w:t>
      </w:r>
      <w:r w:rsidR="004D0FD8">
        <w:t>.</w:t>
      </w:r>
    </w:p>
  </w:footnote>
  <w:footnote w:id="9">
    <w:p w14:paraId="2AC5734D" w14:textId="77777777" w:rsidR="001A45BE" w:rsidRPr="009875A0" w:rsidRDefault="001A45BE" w:rsidP="001A45BE">
      <w:pPr>
        <w:pStyle w:val="af"/>
        <w:rPr>
          <w:szCs w:val="18"/>
        </w:rPr>
      </w:pPr>
      <w:r w:rsidRPr="001412E9">
        <w:rPr>
          <w:szCs w:val="18"/>
        </w:rPr>
        <w:tab/>
      </w:r>
      <w:r w:rsidRPr="00CE4E97">
        <w:rPr>
          <w:rStyle w:val="a8"/>
          <w:szCs w:val="18"/>
        </w:rPr>
        <w:footnoteRef/>
      </w:r>
      <w:r>
        <w:tab/>
        <w:t xml:space="preserve">Комитет по экономическим, социальным и культурным правам, замечание общего </w:t>
      </w:r>
      <w:r w:rsidR="004A3616">
        <w:br/>
      </w:r>
      <w:r>
        <w:t>порядка №</w:t>
      </w:r>
      <w:r w:rsidR="00C92687">
        <w:t> </w:t>
      </w:r>
      <w:r>
        <w:t>14 (2000), п</w:t>
      </w:r>
      <w:r w:rsidR="00A44BD4">
        <w:t>.</w:t>
      </w:r>
      <w:r>
        <w:t xml:space="preserve"> 44</w:t>
      </w:r>
      <w:r w:rsidR="00E35EB6">
        <w:t>.</w:t>
      </w:r>
    </w:p>
  </w:footnote>
  <w:footnote w:id="10">
    <w:p w14:paraId="73E50E43" w14:textId="77777777" w:rsidR="001A45BE" w:rsidRPr="009875A0" w:rsidRDefault="001A45BE" w:rsidP="001A45BE">
      <w:pPr>
        <w:pStyle w:val="af"/>
        <w:rPr>
          <w:szCs w:val="18"/>
        </w:rPr>
      </w:pPr>
      <w:r w:rsidRPr="00E710D9">
        <w:rPr>
          <w:szCs w:val="18"/>
        </w:rPr>
        <w:tab/>
      </w:r>
      <w:r w:rsidRPr="00CE4E97">
        <w:rPr>
          <w:rStyle w:val="a8"/>
          <w:szCs w:val="18"/>
        </w:rPr>
        <w:footnoteRef/>
      </w:r>
      <w:r>
        <w:t xml:space="preserve"> </w:t>
      </w:r>
      <w:r>
        <w:tab/>
        <w:t>Там же, п</w:t>
      </w:r>
      <w:r w:rsidR="00A44BD4">
        <w:t>.</w:t>
      </w:r>
      <w:r>
        <w:t xml:space="preserve"> 12.</w:t>
      </w:r>
    </w:p>
  </w:footnote>
  <w:footnote w:id="11">
    <w:p w14:paraId="35611082"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Комитет по экономическим, социальным и культурным правам, замечание общего порядка</w:t>
      </w:r>
      <w:r w:rsidR="00885A8A">
        <w:t> </w:t>
      </w:r>
      <w:r>
        <w:t>№ 25 (2020), п</w:t>
      </w:r>
      <w:r w:rsidR="00A44BD4">
        <w:t>.</w:t>
      </w:r>
      <w:r>
        <w:t xml:space="preserve"> 52</w:t>
      </w:r>
      <w:r w:rsidR="00885A8A">
        <w:t>.</w:t>
      </w:r>
    </w:p>
  </w:footnote>
  <w:footnote w:id="12">
    <w:p w14:paraId="67C321EB"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Международный пакт об экономических, социальных и культурных правах, ст</w:t>
      </w:r>
      <w:r w:rsidR="00A44BD4">
        <w:t>.</w:t>
      </w:r>
      <w:r>
        <w:t xml:space="preserve"> 2</w:t>
      </w:r>
      <w:r w:rsidR="004F3A02">
        <w:t xml:space="preserve">. </w:t>
      </w:r>
      <w:r>
        <w:t>См.</w:t>
      </w:r>
      <w:r w:rsidR="00C92687">
        <w:t> </w:t>
      </w:r>
      <w:r>
        <w:t>также Комитет по экономическим, социальным и культурным правам, замечание общего порядка № 20 (2009).</w:t>
      </w:r>
    </w:p>
  </w:footnote>
  <w:footnote w:id="13">
    <w:p w14:paraId="43F91448"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 xml:space="preserve">Комитет по экономическим, социальным и культурным правам, замечание общего </w:t>
      </w:r>
      <w:r w:rsidR="004F3A02">
        <w:br/>
      </w:r>
      <w:r>
        <w:t>порядка №</w:t>
      </w:r>
      <w:r w:rsidR="00C92687">
        <w:t> </w:t>
      </w:r>
      <w:r>
        <w:t>17 (2006), п</w:t>
      </w:r>
      <w:r w:rsidR="00A44BD4">
        <w:t>п.</w:t>
      </w:r>
      <w:r>
        <w:t xml:space="preserve"> 1</w:t>
      </w:r>
      <w:r w:rsidR="004F3A02">
        <w:t>–</w:t>
      </w:r>
      <w:r>
        <w:t>2.</w:t>
      </w:r>
    </w:p>
  </w:footnote>
  <w:footnote w:id="14">
    <w:p w14:paraId="458BD4D0"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Там же, п</w:t>
      </w:r>
      <w:r w:rsidR="00A44BD4">
        <w:t>.</w:t>
      </w:r>
      <w:r>
        <w:t xml:space="preserve"> 35.</w:t>
      </w:r>
    </w:p>
  </w:footnote>
  <w:footnote w:id="15">
    <w:p w14:paraId="2070146B"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 xml:space="preserve">См. Комитет по экономическим, социальным и культурным правам, замечание общего </w:t>
      </w:r>
      <w:r w:rsidR="004F3A02">
        <w:br/>
      </w:r>
      <w:r>
        <w:t>порядка № 25 (2020), п</w:t>
      </w:r>
      <w:r w:rsidR="00A44BD4">
        <w:t>.</w:t>
      </w:r>
      <w:r>
        <w:t xml:space="preserve"> 69.</w:t>
      </w:r>
    </w:p>
  </w:footnote>
  <w:footnote w:id="16">
    <w:p w14:paraId="06CC1315"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 xml:space="preserve">Управление Верховного комиссара ООН по правам человека (УВКПЧ), </w:t>
      </w:r>
      <w:r w:rsidR="00C92687">
        <w:t>«</w:t>
      </w:r>
      <w:r>
        <w:t>Заявление экспертов ООН по правам человека: Всеобщий доступ к вакцинам имеет жизненно важное значение для профилактики и сдерживания COVID-19 во всем мире</w:t>
      </w:r>
      <w:r w:rsidR="00C92687">
        <w:t>»</w:t>
      </w:r>
      <w:r>
        <w:t>, заявление для прессы, 9 ноября 2020</w:t>
      </w:r>
      <w:r w:rsidR="00C92687">
        <w:t> </w:t>
      </w:r>
      <w:r>
        <w:t xml:space="preserve">года. </w:t>
      </w:r>
    </w:p>
  </w:footnote>
  <w:footnote w:id="17">
    <w:p w14:paraId="5E04C7AC"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Комитет по экономическим, социальным и культурным правам, замечание общего порядка</w:t>
      </w:r>
      <w:r w:rsidR="004F3A02">
        <w:t> </w:t>
      </w:r>
      <w:r>
        <w:t>№</w:t>
      </w:r>
      <w:r w:rsidR="00C92687">
        <w:t> </w:t>
      </w:r>
      <w:r>
        <w:t>24 (2017), п</w:t>
      </w:r>
      <w:r w:rsidR="00A44BD4">
        <w:t>.</w:t>
      </w:r>
      <w:r>
        <w:t xml:space="preserve"> 5. См. Руководящие принципы предпринимательской деятельности в аспекте прав человека, принцип 11.</w:t>
      </w:r>
    </w:p>
  </w:footnote>
  <w:footnote w:id="18">
    <w:p w14:paraId="786CF06A" w14:textId="77777777" w:rsidR="001A45BE" w:rsidRPr="00110ACD" w:rsidRDefault="001A45BE" w:rsidP="001A45BE">
      <w:pPr>
        <w:pStyle w:val="af"/>
        <w:rPr>
          <w:szCs w:val="18"/>
        </w:rPr>
      </w:pPr>
      <w:r w:rsidRPr="001412E9">
        <w:rPr>
          <w:szCs w:val="18"/>
        </w:rPr>
        <w:tab/>
      </w:r>
      <w:r w:rsidRPr="00CE4E97">
        <w:rPr>
          <w:rStyle w:val="a8"/>
          <w:szCs w:val="18"/>
        </w:rPr>
        <w:footnoteRef/>
      </w:r>
      <w:r>
        <w:t xml:space="preserve"> </w:t>
      </w:r>
      <w:r>
        <w:tab/>
        <w:t>Комитет по экономическим, социальным и культурным правам, замечание общего порядка</w:t>
      </w:r>
      <w:r w:rsidR="004F3A02">
        <w:t> </w:t>
      </w:r>
      <w:r>
        <w:t>№</w:t>
      </w:r>
      <w:r w:rsidR="00C92687">
        <w:t> </w:t>
      </w:r>
      <w:r>
        <w:t>24 (2017), п</w:t>
      </w:r>
      <w:r w:rsidR="00A44BD4">
        <w:t>.</w:t>
      </w:r>
      <w:r>
        <w:t xml:space="preserve"> 11.</w:t>
      </w:r>
    </w:p>
  </w:footnote>
  <w:footnote w:id="19">
    <w:p w14:paraId="06501809"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Там же, п</w:t>
      </w:r>
      <w:r w:rsidR="00A44BD4">
        <w:t>п.</w:t>
      </w:r>
      <w:r>
        <w:t xml:space="preserve"> 26 и 28.</w:t>
      </w:r>
    </w:p>
  </w:footnote>
  <w:footnote w:id="20">
    <w:p w14:paraId="49B6B8C2"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Международный пакт об экономических, социальных и культурных правах, п</w:t>
      </w:r>
      <w:r w:rsidR="00A44BD4">
        <w:t>.</w:t>
      </w:r>
      <w:r w:rsidR="00C92687">
        <w:t> </w:t>
      </w:r>
      <w:r>
        <w:t>1 ст</w:t>
      </w:r>
      <w:r w:rsidR="00A44BD4">
        <w:t>.</w:t>
      </w:r>
      <w:r w:rsidR="00C92687">
        <w:t> </w:t>
      </w:r>
      <w:r>
        <w:t>2.</w:t>
      </w:r>
    </w:p>
  </w:footnote>
  <w:footnote w:id="21">
    <w:p w14:paraId="01DAB9C1"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Комитет по экономическим, социальным и культурным правам, замечание общего порядка</w:t>
      </w:r>
      <w:r w:rsidR="004F3A02">
        <w:t> </w:t>
      </w:r>
      <w:r>
        <w:t>№ 25 (2020), п</w:t>
      </w:r>
      <w:r w:rsidR="00A44BD4">
        <w:t>.</w:t>
      </w:r>
      <w:r>
        <w:t xml:space="preserve"> 82.</w:t>
      </w:r>
    </w:p>
  </w:footnote>
  <w:footnote w:id="22">
    <w:p w14:paraId="3F14DB55" w14:textId="77777777" w:rsidR="001A45BE" w:rsidRPr="00110ACD" w:rsidRDefault="001A45BE" w:rsidP="001A45BE">
      <w:pPr>
        <w:pStyle w:val="af"/>
        <w:rPr>
          <w:szCs w:val="18"/>
        </w:rPr>
      </w:pPr>
      <w:r w:rsidRPr="001412E9">
        <w:rPr>
          <w:szCs w:val="18"/>
        </w:rPr>
        <w:tab/>
      </w:r>
      <w:r w:rsidRPr="00CE4E97">
        <w:rPr>
          <w:rStyle w:val="a8"/>
          <w:szCs w:val="18"/>
        </w:rPr>
        <w:footnoteRef/>
      </w:r>
      <w:r>
        <w:t xml:space="preserve"> </w:t>
      </w:r>
      <w:r>
        <w:tab/>
        <w:t xml:space="preserve">См. там же, замечание общего порядка № </w:t>
      </w:r>
      <w:r w:rsidR="004F3A02">
        <w:t>2</w:t>
      </w:r>
      <w:r>
        <w:t>4 (2017).</w:t>
      </w:r>
    </w:p>
  </w:footnote>
  <w:footnote w:id="23">
    <w:p w14:paraId="1E2F2AE5" w14:textId="77777777" w:rsidR="001A45BE" w:rsidRPr="00110ACD" w:rsidRDefault="001A45BE" w:rsidP="001A45BE">
      <w:pPr>
        <w:pStyle w:val="af"/>
        <w:rPr>
          <w:szCs w:val="18"/>
        </w:rPr>
      </w:pPr>
      <w:r w:rsidRPr="001412E9">
        <w:rPr>
          <w:szCs w:val="18"/>
        </w:rPr>
        <w:tab/>
      </w:r>
      <w:r w:rsidRPr="00CE4E97">
        <w:rPr>
          <w:rStyle w:val="a8"/>
          <w:szCs w:val="18"/>
        </w:rPr>
        <w:footnoteRef/>
      </w:r>
      <w:r>
        <w:t xml:space="preserve"> </w:t>
      </w:r>
      <w:r>
        <w:tab/>
        <w:t>См. Комитет по экономическим, социальным и культурным правам, замечания общего порядка</w:t>
      </w:r>
      <w:r w:rsidR="00826264">
        <w:t> </w:t>
      </w:r>
      <w:r>
        <w:t>№ 25 (2020), п</w:t>
      </w:r>
      <w:r w:rsidR="00A44BD4">
        <w:t>.</w:t>
      </w:r>
      <w:r>
        <w:t xml:space="preserve"> 55, и № 14 (2000), п</w:t>
      </w:r>
      <w:r w:rsidR="00A44BD4">
        <w:t>.</w:t>
      </w:r>
      <w:r>
        <w:t xml:space="preserve"> 55.</w:t>
      </w:r>
    </w:p>
  </w:footnote>
  <w:footnote w:id="24">
    <w:p w14:paraId="128D4399"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Устав Организации Объединенных Наций, ст</w:t>
      </w:r>
      <w:r w:rsidR="00A44BD4">
        <w:t>.</w:t>
      </w:r>
      <w:r>
        <w:t xml:space="preserve"> 55–56. См. также Комитет по экономическим, социальным и культурным правам, замечание общего порядка № 24 (2017).</w:t>
      </w:r>
    </w:p>
  </w:footnote>
  <w:footnote w:id="25">
    <w:p w14:paraId="50670518" w14:textId="77777777" w:rsidR="001A45BE" w:rsidRPr="009875A0" w:rsidRDefault="001A45BE" w:rsidP="001A45BE">
      <w:pPr>
        <w:pStyle w:val="af"/>
        <w:rPr>
          <w:szCs w:val="18"/>
        </w:rPr>
      </w:pPr>
      <w:r w:rsidRPr="001412E9">
        <w:rPr>
          <w:szCs w:val="18"/>
        </w:rPr>
        <w:tab/>
      </w:r>
      <w:r w:rsidRPr="00CE4E97">
        <w:rPr>
          <w:rStyle w:val="a8"/>
          <w:szCs w:val="18"/>
        </w:rPr>
        <w:footnoteRef/>
      </w:r>
      <w:r>
        <w:t xml:space="preserve"> </w:t>
      </w:r>
      <w:r>
        <w:tab/>
        <w:t>См. Международный пакт об экономических, социальных и культурных правах, ст</w:t>
      </w:r>
      <w:r w:rsidR="00A44BD4">
        <w:t>.</w:t>
      </w:r>
      <w:r>
        <w:t xml:space="preserve"> 2. См.</w:t>
      </w:r>
      <w:r w:rsidR="00F44FD3">
        <w:t> </w:t>
      </w:r>
      <w:r>
        <w:t xml:space="preserve">также обязательства, принятые в рамках Цели 3 в области устойчивого развития.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384C0" w14:textId="5E2A6642" w:rsidR="00E0520B" w:rsidRPr="00E0520B" w:rsidRDefault="008502FB">
    <w:pPr>
      <w:pStyle w:val="a5"/>
    </w:pPr>
    <w:r>
      <w:fldChar w:fldCharType="begin"/>
    </w:r>
    <w:r>
      <w:instrText xml:space="preserve"> TITLE  \* MERGEFORMAT </w:instrText>
    </w:r>
    <w:r>
      <w:fldChar w:fldCharType="separate"/>
    </w:r>
    <w:r>
      <w:t>E/C.12/2020/2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DC7D3" w14:textId="2CC0D84F" w:rsidR="00E0520B" w:rsidRPr="00E0520B" w:rsidRDefault="008502FB" w:rsidP="00E0520B">
    <w:pPr>
      <w:pStyle w:val="a5"/>
      <w:jc w:val="right"/>
    </w:pPr>
    <w:r>
      <w:fldChar w:fldCharType="begin"/>
    </w:r>
    <w:r>
      <w:instrText xml:space="preserve"> TITLE  \* MERGEFORMAT </w:instrText>
    </w:r>
    <w:r>
      <w:fldChar w:fldCharType="separate"/>
    </w:r>
    <w:r>
      <w:t>E/C.12/2020/2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40F53" w14:textId="77777777" w:rsidR="00E0520B" w:rsidRDefault="00E0520B" w:rsidP="001A45B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960A35"/>
    <w:multiLevelType w:val="hybridMultilevel"/>
    <w:tmpl w:val="A9AE2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1"/>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6"/>
  </w:num>
  <w:num w:numId="23">
    <w:abstractNumId w:val="13"/>
  </w:num>
  <w:num w:numId="24">
    <w:abstractNumId w:val="15"/>
  </w:num>
  <w:num w:numId="25">
    <w:abstractNumId w:val="16"/>
  </w:num>
  <w:num w:numId="26">
    <w:abstractNumId w:val="13"/>
  </w:num>
  <w:num w:numId="27">
    <w:abstractNumId w:val="15"/>
  </w:num>
  <w:num w:numId="28">
    <w:abstractNumId w:val="12"/>
    <w:lvlOverride w:ilvl="0">
      <w:lvl w:ilvl="0" w:tplc="240A000F">
        <w:start w:val="1"/>
        <w:numFmt w:val="decimal"/>
        <w:lvlText w:val="%1."/>
        <w:lvlJc w:val="left"/>
        <w:pPr>
          <w:ind w:left="72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E64"/>
    <w:rsid w:val="00033EE1"/>
    <w:rsid w:val="00042B72"/>
    <w:rsid w:val="00043B08"/>
    <w:rsid w:val="00054581"/>
    <w:rsid w:val="000558BD"/>
    <w:rsid w:val="000857D2"/>
    <w:rsid w:val="000A1AFA"/>
    <w:rsid w:val="000B57E7"/>
    <w:rsid w:val="000B6373"/>
    <w:rsid w:val="000F09DF"/>
    <w:rsid w:val="000F61B2"/>
    <w:rsid w:val="001075E9"/>
    <w:rsid w:val="001253D8"/>
    <w:rsid w:val="00136E1D"/>
    <w:rsid w:val="0014152F"/>
    <w:rsid w:val="00142F5E"/>
    <w:rsid w:val="00180183"/>
    <w:rsid w:val="0018024D"/>
    <w:rsid w:val="0018649F"/>
    <w:rsid w:val="00186D70"/>
    <w:rsid w:val="00196389"/>
    <w:rsid w:val="001A45BE"/>
    <w:rsid w:val="001B3EF6"/>
    <w:rsid w:val="001C7A89"/>
    <w:rsid w:val="001D5C5A"/>
    <w:rsid w:val="00203065"/>
    <w:rsid w:val="00220DC7"/>
    <w:rsid w:val="002979E2"/>
    <w:rsid w:val="002A2EFC"/>
    <w:rsid w:val="002B74B1"/>
    <w:rsid w:val="002C0E18"/>
    <w:rsid w:val="002D44D6"/>
    <w:rsid w:val="002D5AAC"/>
    <w:rsid w:val="002E5067"/>
    <w:rsid w:val="002F405F"/>
    <w:rsid w:val="002F7011"/>
    <w:rsid w:val="002F7EEC"/>
    <w:rsid w:val="00301299"/>
    <w:rsid w:val="00305C08"/>
    <w:rsid w:val="00307FB6"/>
    <w:rsid w:val="00317339"/>
    <w:rsid w:val="00322004"/>
    <w:rsid w:val="003402C2"/>
    <w:rsid w:val="00381C24"/>
    <w:rsid w:val="003958D0"/>
    <w:rsid w:val="003A0D43"/>
    <w:rsid w:val="003B00E5"/>
    <w:rsid w:val="003F0164"/>
    <w:rsid w:val="003F3062"/>
    <w:rsid w:val="00407B78"/>
    <w:rsid w:val="00424203"/>
    <w:rsid w:val="0042551A"/>
    <w:rsid w:val="00452493"/>
    <w:rsid w:val="00453318"/>
    <w:rsid w:val="00454E07"/>
    <w:rsid w:val="00472C5C"/>
    <w:rsid w:val="004A3616"/>
    <w:rsid w:val="004D0FD8"/>
    <w:rsid w:val="004F3A02"/>
    <w:rsid w:val="004F7F02"/>
    <w:rsid w:val="0050108D"/>
    <w:rsid w:val="00513081"/>
    <w:rsid w:val="00517901"/>
    <w:rsid w:val="00526683"/>
    <w:rsid w:val="005653C5"/>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E6B9F"/>
    <w:rsid w:val="006F35EE"/>
    <w:rsid w:val="007021FF"/>
    <w:rsid w:val="00712895"/>
    <w:rsid w:val="00734ACB"/>
    <w:rsid w:val="00757357"/>
    <w:rsid w:val="00792497"/>
    <w:rsid w:val="00806737"/>
    <w:rsid w:val="00811570"/>
    <w:rsid w:val="00825F8D"/>
    <w:rsid w:val="00826264"/>
    <w:rsid w:val="00834B71"/>
    <w:rsid w:val="008502FB"/>
    <w:rsid w:val="0086445C"/>
    <w:rsid w:val="00881771"/>
    <w:rsid w:val="00885A8A"/>
    <w:rsid w:val="00894693"/>
    <w:rsid w:val="00896BA2"/>
    <w:rsid w:val="008A08D7"/>
    <w:rsid w:val="008B6909"/>
    <w:rsid w:val="008C30BC"/>
    <w:rsid w:val="00906890"/>
    <w:rsid w:val="00911BE4"/>
    <w:rsid w:val="00951972"/>
    <w:rsid w:val="009608F3"/>
    <w:rsid w:val="009A24AC"/>
    <w:rsid w:val="009F2E64"/>
    <w:rsid w:val="00A14DA8"/>
    <w:rsid w:val="00A21F00"/>
    <w:rsid w:val="00A312BC"/>
    <w:rsid w:val="00A44BD4"/>
    <w:rsid w:val="00A84021"/>
    <w:rsid w:val="00A84D35"/>
    <w:rsid w:val="00A917B3"/>
    <w:rsid w:val="00A97394"/>
    <w:rsid w:val="00AB2DBD"/>
    <w:rsid w:val="00AB4B51"/>
    <w:rsid w:val="00AC3430"/>
    <w:rsid w:val="00B10CC7"/>
    <w:rsid w:val="00B36DF7"/>
    <w:rsid w:val="00B520D9"/>
    <w:rsid w:val="00B539E7"/>
    <w:rsid w:val="00B62458"/>
    <w:rsid w:val="00BC18B2"/>
    <w:rsid w:val="00BD33EE"/>
    <w:rsid w:val="00BF21E1"/>
    <w:rsid w:val="00C106D6"/>
    <w:rsid w:val="00C60F0C"/>
    <w:rsid w:val="00C805C9"/>
    <w:rsid w:val="00C92687"/>
    <w:rsid w:val="00C92939"/>
    <w:rsid w:val="00CA1679"/>
    <w:rsid w:val="00CB151C"/>
    <w:rsid w:val="00CE4E97"/>
    <w:rsid w:val="00CE5A1A"/>
    <w:rsid w:val="00CF55F6"/>
    <w:rsid w:val="00D1565E"/>
    <w:rsid w:val="00D33D63"/>
    <w:rsid w:val="00D34308"/>
    <w:rsid w:val="00D5253A"/>
    <w:rsid w:val="00D62A45"/>
    <w:rsid w:val="00D67639"/>
    <w:rsid w:val="00D90028"/>
    <w:rsid w:val="00D90138"/>
    <w:rsid w:val="00D955FF"/>
    <w:rsid w:val="00DC3343"/>
    <w:rsid w:val="00DD44B1"/>
    <w:rsid w:val="00DD78D1"/>
    <w:rsid w:val="00DE32CD"/>
    <w:rsid w:val="00DF71B9"/>
    <w:rsid w:val="00E0520B"/>
    <w:rsid w:val="00E35EB6"/>
    <w:rsid w:val="00E73F76"/>
    <w:rsid w:val="00E90403"/>
    <w:rsid w:val="00EA2C9F"/>
    <w:rsid w:val="00EA420E"/>
    <w:rsid w:val="00ED0BDA"/>
    <w:rsid w:val="00EE142A"/>
    <w:rsid w:val="00EF1360"/>
    <w:rsid w:val="00EF3220"/>
    <w:rsid w:val="00F43903"/>
    <w:rsid w:val="00F44FD3"/>
    <w:rsid w:val="00F94155"/>
    <w:rsid w:val="00F9783F"/>
    <w:rsid w:val="00FD2EF7"/>
    <w:rsid w:val="00FE447E"/>
    <w:rsid w:val="00FF30F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A97C1D"/>
  <w15:docId w15:val="{7BD28F10-A1A3-4F3F-ADA3-6A685799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1A45BE"/>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1701</Words>
  <Characters>11881</Characters>
  <Application>Microsoft Office Word</Application>
  <DocSecurity>0</DocSecurity>
  <Lines>99</Lines>
  <Paragraphs>27</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
  <dc:creator>Olga OVTCHINNIKOVA</dc:creator>
  <cp:keywords/>
  <cp:lastModifiedBy>Olga Ovchinnikova</cp:lastModifiedBy>
  <cp:revision>3</cp:revision>
  <cp:lastPrinted>2020-12-16T14:20:00Z</cp:lastPrinted>
  <dcterms:created xsi:type="dcterms:W3CDTF">2020-12-16T14:20:00Z</dcterms:created>
  <dcterms:modified xsi:type="dcterms:W3CDTF">2020-12-16T14:20:00Z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