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421" w:rsidRDefault="00A70421" w:rsidP="00A70421">
      <w:pPr>
        <w:spacing w:line="60" w:lineRule="exact"/>
        <w:rPr>
          <w:sz w:val="6"/>
        </w:rPr>
        <w:sectPr w:rsidR="00A70421" w:rsidSect="00A7042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A70421" w:rsidRDefault="00A70421" w:rsidP="00A70421">
      <w:pPr>
        <w:spacing w:line="60" w:lineRule="exact"/>
        <w:rPr>
          <w:sz w:val="6"/>
        </w:rPr>
      </w:pPr>
    </w:p>
    <w:p w:rsidR="0028278E" w:rsidRPr="00BC4DF0" w:rsidRDefault="0028278E" w:rsidP="0028278E">
      <w:pPr>
        <w:pStyle w:val="SingleTxt"/>
        <w:spacing w:after="60"/>
        <w:ind w:left="0"/>
        <w:rPr>
          <w:rFonts w:ascii="SimHei" w:eastAsia="SimHei" w:hint="eastAsia"/>
          <w:color w:val="FF0000"/>
          <w:sz w:val="24"/>
          <w:szCs w:val="24"/>
        </w:rPr>
      </w:pPr>
      <w:r w:rsidRPr="00BC4DF0">
        <w:rPr>
          <w:rFonts w:ascii="SimHei" w:eastAsia="SimHei" w:hint="eastAsia"/>
          <w:color w:val="FF0000"/>
          <w:sz w:val="24"/>
          <w:szCs w:val="24"/>
        </w:rPr>
        <w:t>消除对妇女歧视委员会</w:t>
      </w:r>
    </w:p>
    <w:p w:rsidR="0028278E" w:rsidRPr="00BC4DF0" w:rsidRDefault="0028278E" w:rsidP="0028278E">
      <w:pPr>
        <w:pStyle w:val="SingleTxt"/>
        <w:spacing w:after="60"/>
        <w:ind w:left="0"/>
        <w:rPr>
          <w:rFonts w:ascii="SimHei" w:eastAsia="SimHei" w:hint="eastAsia"/>
          <w:color w:val="FF0000"/>
        </w:rPr>
      </w:pPr>
      <w:r w:rsidRPr="00BC4DF0">
        <w:rPr>
          <w:rFonts w:ascii="SimHei" w:eastAsia="SimHei" w:hint="eastAsia"/>
          <w:color w:val="FF0000"/>
        </w:rPr>
        <w:t>第三十九届会议</w:t>
      </w:r>
    </w:p>
    <w:p w:rsidR="0028278E" w:rsidRDefault="0028278E" w:rsidP="0028278E">
      <w:pPr>
        <w:pStyle w:val="SingleTxt"/>
        <w:spacing w:after="0"/>
        <w:ind w:left="0"/>
        <w:rPr>
          <w:rFonts w:hint="eastAsia"/>
        </w:rPr>
      </w:pPr>
      <w:r>
        <w:rPr>
          <w:rFonts w:hint="eastAsia"/>
        </w:rPr>
        <w:t>2007年7月23日至8月10日</w:t>
      </w:r>
    </w:p>
    <w:p w:rsidR="0028278E" w:rsidRPr="00BC4DF0" w:rsidRDefault="0028278E" w:rsidP="0028278E">
      <w:pPr>
        <w:pStyle w:val="SingleTxt"/>
        <w:spacing w:after="0" w:line="120" w:lineRule="exact"/>
        <w:rPr>
          <w:sz w:val="10"/>
        </w:rPr>
      </w:pPr>
    </w:p>
    <w:p w:rsidR="0028278E" w:rsidRPr="00BC4DF0" w:rsidRDefault="0028278E" w:rsidP="0028278E">
      <w:pPr>
        <w:pStyle w:val="SingleTxt"/>
        <w:spacing w:after="0" w:line="120" w:lineRule="exact"/>
        <w:rPr>
          <w:sz w:val="10"/>
        </w:rPr>
      </w:pPr>
    </w:p>
    <w:p w:rsidR="0028278E" w:rsidRPr="00BC4DF0" w:rsidRDefault="0028278E" w:rsidP="0028278E">
      <w:pPr>
        <w:pStyle w:val="SingleTxt"/>
        <w:spacing w:after="0" w:line="120" w:lineRule="exact"/>
        <w:rPr>
          <w:sz w:val="10"/>
        </w:rPr>
      </w:pPr>
    </w:p>
    <w:p w:rsidR="0028278E" w:rsidRDefault="0028278E" w:rsidP="0028278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消除对妇女歧视委员会的结论意见：列支敦士登</w:t>
      </w:r>
    </w:p>
    <w:p w:rsidR="0028278E" w:rsidRPr="00BC4DF0" w:rsidRDefault="0028278E" w:rsidP="0028278E">
      <w:pPr>
        <w:pStyle w:val="SingleTxt"/>
        <w:spacing w:after="0" w:line="120" w:lineRule="exact"/>
        <w:rPr>
          <w:sz w:val="10"/>
        </w:rPr>
      </w:pPr>
    </w:p>
    <w:p w:rsidR="0028278E" w:rsidRPr="00BC4DF0" w:rsidRDefault="0028278E" w:rsidP="0028278E">
      <w:pPr>
        <w:pStyle w:val="SingleTxt"/>
        <w:spacing w:after="0" w:line="120" w:lineRule="exact"/>
        <w:rPr>
          <w:sz w:val="10"/>
        </w:rPr>
      </w:pPr>
    </w:p>
    <w:p w:rsidR="0028278E" w:rsidRDefault="0028278E" w:rsidP="0028278E">
      <w:pPr>
        <w:pStyle w:val="SingleTxt"/>
        <w:rPr>
          <w:rFonts w:hint="eastAsia"/>
        </w:rPr>
      </w:pPr>
      <w:r>
        <w:rPr>
          <w:rFonts w:hint="eastAsia"/>
        </w:rPr>
        <w:t>1.</w:t>
      </w:r>
      <w:r>
        <w:rPr>
          <w:rFonts w:hint="eastAsia"/>
        </w:rPr>
        <w:tab/>
      </w:r>
      <w:r w:rsidRPr="00BC4DF0">
        <w:rPr>
          <w:rFonts w:hint="eastAsia"/>
          <w:spacing w:val="-4"/>
        </w:rPr>
        <w:t>2007年7月26日，委员会第797和第798次会议（见CEDAW/C/SR.797</w:t>
      </w:r>
      <w:r>
        <w:rPr>
          <w:spacing w:val="-4"/>
        </w:rPr>
        <w:t>(B)</w:t>
      </w:r>
      <w:r w:rsidRPr="00BC4DF0">
        <w:rPr>
          <w:rFonts w:hint="eastAsia"/>
          <w:spacing w:val="-4"/>
        </w:rPr>
        <w:t>和798</w:t>
      </w:r>
      <w:r>
        <w:rPr>
          <w:spacing w:val="-4"/>
        </w:rPr>
        <w:t>(B)</w:t>
      </w:r>
      <w:r w:rsidRPr="00BC4DF0">
        <w:rPr>
          <w:rFonts w:hint="eastAsia"/>
          <w:spacing w:val="-4"/>
        </w:rPr>
        <w:t>）</w:t>
      </w:r>
      <w:r>
        <w:rPr>
          <w:rFonts w:hint="eastAsia"/>
        </w:rPr>
        <w:t>审议了列支敦士登第二次和第三次定期报告（CEDAW/C/LIE/2和CEDAW/C/LIE/3）。委员会的议题和问题清单载于CEDAW/C/LIE/Q/3，列支敦士登的答复载于CEDAW/C/LIE/Q/3/Add.1。</w:t>
      </w:r>
    </w:p>
    <w:p w:rsidR="0028278E" w:rsidRDefault="0028278E" w:rsidP="00282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28278E" w:rsidRPr="00BC4DF0" w:rsidRDefault="0028278E" w:rsidP="0028278E">
      <w:pPr>
        <w:pStyle w:val="SingleTxt"/>
        <w:spacing w:after="0" w:line="120" w:lineRule="exact"/>
        <w:rPr>
          <w:rFonts w:hint="eastAsia"/>
          <w:sz w:val="10"/>
        </w:rPr>
      </w:pPr>
    </w:p>
    <w:p w:rsidR="0028278E" w:rsidRDefault="0028278E" w:rsidP="0028278E">
      <w:pPr>
        <w:pStyle w:val="SingleTxt"/>
        <w:rPr>
          <w:rFonts w:hint="eastAsia"/>
        </w:rPr>
      </w:pPr>
      <w:r>
        <w:rPr>
          <w:rFonts w:hint="eastAsia"/>
        </w:rPr>
        <w:t>2.</w:t>
      </w:r>
      <w:r>
        <w:rPr>
          <w:rFonts w:hint="eastAsia"/>
        </w:rPr>
        <w:tab/>
        <w:t>委员会感谢缔约国遵循委员会定期报告编写导则并考虑到委员会以往的结论意见，提交第二次和第三次定期报告。</w:t>
      </w:r>
    </w:p>
    <w:p w:rsidR="0028278E" w:rsidRDefault="0028278E" w:rsidP="0028278E">
      <w:pPr>
        <w:pStyle w:val="SingleTxt"/>
        <w:rPr>
          <w:rFonts w:hint="eastAsia"/>
        </w:rPr>
      </w:pPr>
      <w:r>
        <w:rPr>
          <w:rFonts w:hint="eastAsia"/>
        </w:rPr>
        <w:t>3.</w:t>
      </w:r>
      <w:r>
        <w:rPr>
          <w:rFonts w:hint="eastAsia"/>
        </w:rPr>
        <w:tab/>
        <w:t>委员会赞赏缔约国对会前工作组提出的议题和问题清单作出了书面答复，赞赏该国作了口头介绍及在答复委员会成员的口头提问时作了进一步澄清。委员会赞赏代表团与委员会成员进行了坦诚、建设性对话，使委员会成员进一步了解到列支敦士登妇女的真实情况。</w:t>
      </w:r>
    </w:p>
    <w:p w:rsidR="0028278E" w:rsidRDefault="0028278E" w:rsidP="0028278E">
      <w:pPr>
        <w:pStyle w:val="SingleTxt"/>
        <w:rPr>
          <w:rFonts w:hint="eastAsia"/>
        </w:rPr>
      </w:pPr>
      <w:r>
        <w:rPr>
          <w:rFonts w:hint="eastAsia"/>
        </w:rPr>
        <w:t>4.</w:t>
      </w:r>
      <w:r>
        <w:rPr>
          <w:rFonts w:hint="eastAsia"/>
        </w:rPr>
        <w:tab/>
        <w:t>委员会赞赏缔约国派出由列支敦士登常驻联合国代表率领的代表团，成员包括平等机会办公室主任。</w:t>
      </w:r>
    </w:p>
    <w:p w:rsidR="0028278E" w:rsidRDefault="0028278E" w:rsidP="0028278E">
      <w:pPr>
        <w:pStyle w:val="SingleTxt"/>
        <w:rPr>
          <w:rFonts w:hint="eastAsia"/>
        </w:rPr>
      </w:pPr>
      <w:r>
        <w:rPr>
          <w:rFonts w:hint="eastAsia"/>
        </w:rPr>
        <w:t>5.</w:t>
      </w:r>
      <w:r>
        <w:rPr>
          <w:rFonts w:hint="eastAsia"/>
        </w:rPr>
        <w:tab/>
        <w:t>委员会赞赏地注意到缔约国于2001年10月批准了《公约任择议定书》。</w:t>
      </w:r>
    </w:p>
    <w:p w:rsidR="0028278E" w:rsidRDefault="0028278E" w:rsidP="00282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28278E" w:rsidRPr="00BC4DF0" w:rsidRDefault="0028278E" w:rsidP="0028278E">
      <w:pPr>
        <w:pStyle w:val="SingleTxt"/>
        <w:spacing w:after="0" w:line="120" w:lineRule="exact"/>
        <w:rPr>
          <w:rFonts w:hint="eastAsia"/>
          <w:sz w:val="10"/>
        </w:rPr>
      </w:pPr>
    </w:p>
    <w:p w:rsidR="0028278E" w:rsidRDefault="0028278E" w:rsidP="0028278E">
      <w:pPr>
        <w:pStyle w:val="SingleTxt"/>
        <w:rPr>
          <w:rFonts w:hint="eastAsia"/>
        </w:rPr>
      </w:pPr>
      <w:r>
        <w:rPr>
          <w:rFonts w:hint="eastAsia"/>
        </w:rPr>
        <w:t>6.</w:t>
      </w:r>
      <w:r>
        <w:rPr>
          <w:rFonts w:hint="eastAsia"/>
        </w:rPr>
        <w:tab/>
        <w:t>委员会赞扬缔约国为实现工作场所男女平等待遇于2006年修订《两性平等法案》；为加强对受害人的保护修订了《刑事诉讼法》，在《刑法》中纳入有关缠扰的条款；在2007年6月通过了《受害人援助法案》，该法案将于2008年4月1日生效，并将向受害人提供心理辅导和财政援助。委员会还赞扬平等机会办公室实施有关两性平等的各个方面的培训和提高认识方案。</w:t>
      </w:r>
    </w:p>
    <w:p w:rsidR="0028278E" w:rsidRDefault="0028278E" w:rsidP="0028278E">
      <w:pPr>
        <w:pStyle w:val="SingleTxt"/>
        <w:rPr>
          <w:rFonts w:hint="eastAsia"/>
        </w:rPr>
      </w:pPr>
      <w:r>
        <w:rPr>
          <w:rFonts w:hint="eastAsia"/>
        </w:rPr>
        <w:t>7.</w:t>
      </w:r>
      <w:r>
        <w:rPr>
          <w:rFonts w:hint="eastAsia"/>
        </w:rPr>
        <w:tab/>
        <w:t>委员会欢迎缔约国在其发展合作方案中为妇女项目和促进妇女人权作出贡献。</w:t>
      </w:r>
    </w:p>
    <w:p w:rsidR="0028278E" w:rsidRDefault="0028278E" w:rsidP="00282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28278E" w:rsidRPr="00BC4DF0" w:rsidRDefault="0028278E" w:rsidP="0028278E">
      <w:pPr>
        <w:pStyle w:val="SingleTxt"/>
        <w:spacing w:after="0" w:line="120" w:lineRule="exact"/>
        <w:rPr>
          <w:rFonts w:hint="eastAsia"/>
          <w:sz w:val="10"/>
        </w:rPr>
      </w:pPr>
    </w:p>
    <w:p w:rsidR="0028278E" w:rsidRDefault="0028278E" w:rsidP="0028278E">
      <w:pPr>
        <w:pStyle w:val="SingleTxt"/>
        <w:rPr>
          <w:rFonts w:hint="eastAsia"/>
        </w:rPr>
      </w:pPr>
      <w:r>
        <w:rPr>
          <w:rFonts w:hint="eastAsia"/>
        </w:rPr>
        <w:t>8.</w:t>
      </w:r>
      <w:r>
        <w:rPr>
          <w:rFonts w:hint="eastAsia"/>
        </w:rPr>
        <w:tab/>
      </w:r>
      <w:r w:rsidRPr="00BC4DF0">
        <w:rPr>
          <w:rFonts w:ascii="SimHei" w:eastAsia="SimHei" w:hint="eastAsia"/>
          <w:color w:val="FF0000"/>
        </w:rPr>
        <w:t>委员会</w:t>
      </w:r>
      <w:r>
        <w:rPr>
          <w:rFonts w:ascii="SimHei" w:eastAsia="SimHei" w:hint="eastAsia"/>
          <w:color w:val="FF0000"/>
        </w:rPr>
        <w:t>提请注意</w:t>
      </w:r>
      <w:r w:rsidRPr="00BC4DF0">
        <w:rPr>
          <w:rFonts w:ascii="SimHei" w:eastAsia="SimHei" w:hint="eastAsia"/>
          <w:color w:val="FF0000"/>
        </w:rPr>
        <w:t>，缔约国有义务系统</w:t>
      </w:r>
      <w:r>
        <w:rPr>
          <w:rFonts w:ascii="SimHei" w:eastAsia="SimHei" w:hint="eastAsia"/>
          <w:color w:val="FF0000"/>
        </w:rPr>
        <w:t>地</w:t>
      </w:r>
      <w:r w:rsidRPr="00BC4DF0">
        <w:rPr>
          <w:rFonts w:ascii="SimHei" w:eastAsia="SimHei" w:hint="eastAsia"/>
          <w:color w:val="FF0000"/>
        </w:rPr>
        <w:t>、持续地</w:t>
      </w:r>
      <w:r>
        <w:rPr>
          <w:rFonts w:ascii="SimHei" w:eastAsia="SimHei" w:hint="eastAsia"/>
          <w:color w:val="FF0000"/>
        </w:rPr>
        <w:t>执行</w:t>
      </w:r>
      <w:r w:rsidRPr="00BC4DF0">
        <w:rPr>
          <w:rFonts w:ascii="SimHei" w:eastAsia="SimHei" w:hint="eastAsia"/>
          <w:color w:val="FF0000"/>
        </w:rPr>
        <w:t>《公约》所有规定，</w:t>
      </w:r>
      <w:r>
        <w:rPr>
          <w:rFonts w:ascii="SimHei" w:eastAsia="SimHei" w:hint="eastAsia"/>
          <w:color w:val="FF0000"/>
        </w:rPr>
        <w:t>同时</w:t>
      </w:r>
      <w:r w:rsidRPr="00BC4DF0">
        <w:rPr>
          <w:rFonts w:ascii="SimHei" w:eastAsia="SimHei" w:hint="eastAsia"/>
          <w:color w:val="FF0000"/>
        </w:rPr>
        <w:t>认为从现在到提交下一次定期报告</w:t>
      </w:r>
      <w:r>
        <w:rPr>
          <w:rFonts w:ascii="SimHei" w:eastAsia="SimHei" w:hint="eastAsia"/>
          <w:color w:val="FF0000"/>
        </w:rPr>
        <w:t>这段时间内，缔约国</w:t>
      </w:r>
      <w:r w:rsidRPr="00BC4DF0">
        <w:rPr>
          <w:rFonts w:ascii="SimHei" w:eastAsia="SimHei" w:hint="eastAsia"/>
          <w:color w:val="FF0000"/>
        </w:rPr>
        <w:t>必须优先</w:t>
      </w:r>
      <w:r>
        <w:rPr>
          <w:rFonts w:ascii="SimHei" w:eastAsia="SimHei" w:hint="eastAsia"/>
          <w:color w:val="FF0000"/>
        </w:rPr>
        <w:t>重视</w:t>
      </w:r>
      <w:r w:rsidRPr="00BC4DF0">
        <w:rPr>
          <w:rFonts w:ascii="SimHei" w:eastAsia="SimHei" w:hint="eastAsia"/>
          <w:color w:val="FF0000"/>
        </w:rPr>
        <w:t>本结论意见</w:t>
      </w:r>
      <w:r>
        <w:rPr>
          <w:rFonts w:ascii="SimHei" w:eastAsia="SimHei" w:hint="eastAsia"/>
          <w:color w:val="FF0000"/>
        </w:rPr>
        <w:t>提出</w:t>
      </w:r>
      <w:r w:rsidRPr="00BC4DF0">
        <w:rPr>
          <w:rFonts w:ascii="SimHei" w:eastAsia="SimHei" w:hint="eastAsia"/>
          <w:color w:val="FF0000"/>
        </w:rPr>
        <w:t>的各项关切和建议。因此，委员会吁请缔约国在</w:t>
      </w:r>
      <w:r>
        <w:rPr>
          <w:rFonts w:ascii="SimHei" w:eastAsia="SimHei" w:hint="eastAsia"/>
          <w:color w:val="FF0000"/>
        </w:rPr>
        <w:t>执行</w:t>
      </w:r>
      <w:r w:rsidRPr="00BC4DF0">
        <w:rPr>
          <w:rFonts w:ascii="SimHei" w:eastAsia="SimHei" w:hint="eastAsia"/>
          <w:color w:val="FF0000"/>
        </w:rPr>
        <w:t>活动中</w:t>
      </w:r>
      <w:r>
        <w:rPr>
          <w:rFonts w:ascii="SimHei" w:eastAsia="SimHei" w:hint="eastAsia"/>
          <w:color w:val="FF0000"/>
        </w:rPr>
        <w:t>注重这</w:t>
      </w:r>
      <w:r w:rsidRPr="00BC4DF0">
        <w:rPr>
          <w:rFonts w:ascii="SimHei" w:eastAsia="SimHei" w:hint="eastAsia"/>
          <w:color w:val="FF0000"/>
        </w:rPr>
        <w:t>些领域，并在下一次定期报告中报告所采取的行动和取得的成果。委员会还吁请缔约国将本结论意见</w:t>
      </w:r>
      <w:r>
        <w:rPr>
          <w:rFonts w:ascii="SimHei" w:eastAsia="SimHei" w:hint="eastAsia"/>
          <w:color w:val="FF0000"/>
        </w:rPr>
        <w:t>发</w:t>
      </w:r>
      <w:r w:rsidRPr="00BC4DF0">
        <w:rPr>
          <w:rFonts w:ascii="SimHei" w:eastAsia="SimHei" w:hint="eastAsia"/>
          <w:color w:val="FF0000"/>
        </w:rPr>
        <w:t>交给</w:t>
      </w:r>
      <w:r>
        <w:rPr>
          <w:rFonts w:ascii="SimHei" w:eastAsia="SimHei" w:hint="eastAsia"/>
          <w:color w:val="FF0000"/>
        </w:rPr>
        <w:t>各</w:t>
      </w:r>
      <w:r w:rsidRPr="00BC4DF0">
        <w:rPr>
          <w:rFonts w:ascii="SimHei" w:eastAsia="SimHei" w:hint="eastAsia"/>
          <w:color w:val="FF0000"/>
        </w:rPr>
        <w:t>相关部</w:t>
      </w:r>
      <w:r>
        <w:rPr>
          <w:rFonts w:ascii="SimHei" w:eastAsia="SimHei" w:hint="eastAsia"/>
          <w:color w:val="FF0000"/>
        </w:rPr>
        <w:t>委和</w:t>
      </w:r>
      <w:r w:rsidRPr="00BC4DF0">
        <w:rPr>
          <w:rFonts w:ascii="SimHei" w:eastAsia="SimHei" w:hint="eastAsia"/>
          <w:color w:val="FF0000"/>
        </w:rPr>
        <w:t>议会，以确保各项意见得到充分落实。</w:t>
      </w:r>
    </w:p>
    <w:p w:rsidR="0028278E" w:rsidRDefault="0028278E" w:rsidP="0028278E">
      <w:pPr>
        <w:pStyle w:val="SingleTxt"/>
        <w:rPr>
          <w:rFonts w:hint="eastAsia"/>
        </w:rPr>
      </w:pPr>
      <w:r>
        <w:rPr>
          <w:rFonts w:hint="eastAsia"/>
        </w:rPr>
        <w:t>9.</w:t>
      </w:r>
      <w:r>
        <w:rPr>
          <w:rFonts w:hint="eastAsia"/>
        </w:rPr>
        <w:tab/>
        <w:t>委员会注意到《公约》直接适用，但是感到关切的是对《公约》宣传的力度不够，也未将其作为法律基础经常用于缔约国实施消除对妇女歧视和促进两性平等的措施，包括立法。委员会还感到关切的是，在法院诉讼中没有援引《公约》条款，这可能说明司法机关和法律界人士缺乏对《公约》的认识。</w:t>
      </w:r>
    </w:p>
    <w:p w:rsidR="0028278E" w:rsidRDefault="0028278E" w:rsidP="0028278E">
      <w:pPr>
        <w:pStyle w:val="SingleTxt"/>
        <w:rPr>
          <w:rFonts w:hint="eastAsia"/>
        </w:rPr>
      </w:pPr>
      <w:r>
        <w:rPr>
          <w:rFonts w:hint="eastAsia"/>
        </w:rPr>
        <w:t>10.</w:t>
      </w:r>
      <w:r>
        <w:rPr>
          <w:rFonts w:hint="eastAsia"/>
        </w:rPr>
        <w:tab/>
      </w:r>
      <w:r w:rsidRPr="00470BFB">
        <w:rPr>
          <w:rFonts w:ascii="SimHei" w:eastAsia="SimHei" w:hint="eastAsia"/>
          <w:color w:val="FF0000"/>
        </w:rPr>
        <w:t>委员会敦请缔约国在其实现两性平等的努力中，进一步强调《公约》是具有法律约束力和直接适用的人权文书。委员会还吁请缔约国采取主动积极措施，提高对《公约》的认识，尤其是提高司法和法律专业、政党、议会男女人士和各级政府官员，包括执法人员对《公约》的认识，以便在制定和执行切实遵守男女平等原则的所有立法、政策和方案中加强对《公约》的应用。委员会鼓励缔约国通过培训方案系统地促进对《公约》和两性平等的了解和认识。</w:t>
      </w:r>
    </w:p>
    <w:p w:rsidR="0028278E" w:rsidRDefault="0028278E" w:rsidP="0028278E">
      <w:pPr>
        <w:pStyle w:val="SingleTxt"/>
        <w:rPr>
          <w:rFonts w:hint="eastAsia"/>
        </w:rPr>
      </w:pPr>
      <w:r>
        <w:rPr>
          <w:rFonts w:hint="eastAsia"/>
        </w:rPr>
        <w:t>11.</w:t>
      </w:r>
      <w:r>
        <w:rPr>
          <w:rFonts w:hint="eastAsia"/>
        </w:rPr>
        <w:tab/>
        <w:t>委员会认识到缔约国实施双轨制，但是对缔约国对《公约》第一条的保留表示关切，如列支敦士登代表团所确认，列支敦士登王室对继承王位的规定剥夺妇女继承王位的机会。</w:t>
      </w:r>
    </w:p>
    <w:p w:rsidR="0028278E" w:rsidRDefault="0028278E" w:rsidP="0028278E">
      <w:pPr>
        <w:pStyle w:val="SingleTxt"/>
        <w:rPr>
          <w:rFonts w:hint="eastAsia"/>
        </w:rPr>
      </w:pPr>
      <w:r>
        <w:rPr>
          <w:rFonts w:hint="eastAsia"/>
        </w:rPr>
        <w:t>12.</w:t>
      </w:r>
      <w:r>
        <w:rPr>
          <w:rFonts w:hint="eastAsia"/>
        </w:rPr>
        <w:tab/>
      </w:r>
      <w:r w:rsidRPr="00470BFB">
        <w:rPr>
          <w:rFonts w:ascii="SimHei" w:eastAsia="SimHei" w:hint="eastAsia"/>
          <w:color w:val="FF0000"/>
        </w:rPr>
        <w:t>委员会鼓励缔约国同列支敦士登王室讨论对《公约》第一条的保留，以便撤销这项保留。</w:t>
      </w:r>
    </w:p>
    <w:p w:rsidR="0028278E" w:rsidRDefault="0028278E" w:rsidP="0028278E">
      <w:pPr>
        <w:pStyle w:val="SingleTxt"/>
        <w:rPr>
          <w:rFonts w:hint="eastAsia"/>
        </w:rPr>
      </w:pPr>
      <w:r>
        <w:rPr>
          <w:rFonts w:hint="eastAsia"/>
        </w:rPr>
        <w:t>13.</w:t>
      </w:r>
      <w:r>
        <w:rPr>
          <w:rFonts w:hint="eastAsia"/>
        </w:rPr>
        <w:tab/>
        <w:t>委员会注意到最近修订了关于工作场所男女平等待遇的1999年《两性平等法》，以及在2006年的修订中纳入了劳工市场性骚扰和直接、间接歧视的定义，但是委员会关切地注意到，委员会在1999年审议列支敦士登初次报告时提出的建议（A/54/38/Rev.1，part I，第160段）没有反映在该法的定本及其后来的修正案中。委员会在审议初次报告时曾建议，该法的适用范围不仅包括劳动生活，而且扩及各个生活领域，以便在公、私生活领域内加速实现平等。委员会感到关切的是，该法因适用范围有限，可能会减少对在《公约》所涉所有其他领域消除对妇女歧视的应有关注。</w:t>
      </w:r>
    </w:p>
    <w:p w:rsidR="0028278E" w:rsidRDefault="0028278E" w:rsidP="0028278E">
      <w:pPr>
        <w:pStyle w:val="SingleTxt"/>
        <w:rPr>
          <w:rFonts w:hint="eastAsia"/>
        </w:rPr>
      </w:pPr>
      <w:r>
        <w:rPr>
          <w:rFonts w:hint="eastAsia"/>
        </w:rPr>
        <w:t>14.</w:t>
      </w:r>
      <w:r>
        <w:rPr>
          <w:rFonts w:hint="eastAsia"/>
        </w:rPr>
        <w:tab/>
      </w:r>
      <w:r w:rsidRPr="00470BFB">
        <w:rPr>
          <w:rFonts w:ascii="SimHei" w:eastAsia="SimHei" w:hint="eastAsia"/>
          <w:color w:val="FF0000"/>
        </w:rPr>
        <w:t>委员会吁请缔约国按照《公约》第一和第二条，在各个生活领域积极努力地消除对妇女的歧视和切实遵守男女平等原则。委员会请缔约国认真系统地监测《公约》各项规定的实施情况，在《公约》所涉各个领域有效消除对妇女的歧视，促进和加速实现法律上和事实上的男女平等。</w:t>
      </w:r>
    </w:p>
    <w:p w:rsidR="0028278E" w:rsidRDefault="0028278E" w:rsidP="0028278E">
      <w:pPr>
        <w:pStyle w:val="SingleTxt"/>
        <w:rPr>
          <w:rFonts w:hint="eastAsia"/>
        </w:rPr>
      </w:pPr>
      <w:r>
        <w:rPr>
          <w:rFonts w:hint="eastAsia"/>
        </w:rPr>
        <w:t>15.</w:t>
      </w:r>
      <w:r>
        <w:rPr>
          <w:rFonts w:hint="eastAsia"/>
        </w:rPr>
        <w:tab/>
        <w:t>委员会注意到妇女参加劳动队伍人数增加，但是对于她们在非全时工和失业人口中人数偏多感到关切，这对她们整个生命周期的经济状况产生长期影响。委员会对于持续存在的纵向和横向职业隔离、薪酬差距以及很多妇女在孩子出生后离职的事实仍表关切。委员会还对私营部门不愿采取措施改善妇女就业现况表示关切。</w:t>
      </w:r>
    </w:p>
    <w:p w:rsidR="0028278E" w:rsidRDefault="0028278E" w:rsidP="0028278E">
      <w:pPr>
        <w:pStyle w:val="SingleTxt"/>
        <w:rPr>
          <w:rFonts w:hint="eastAsia"/>
        </w:rPr>
      </w:pPr>
      <w:r>
        <w:rPr>
          <w:rFonts w:hint="eastAsia"/>
        </w:rPr>
        <w:t>16.</w:t>
      </w:r>
      <w:r>
        <w:rPr>
          <w:rFonts w:hint="eastAsia"/>
        </w:rPr>
        <w:tab/>
      </w:r>
      <w:r w:rsidRPr="00470BFB">
        <w:rPr>
          <w:rFonts w:ascii="SimHei" w:eastAsia="SimHei" w:hint="eastAsia"/>
          <w:color w:val="FF0000"/>
        </w:rPr>
        <w:t>委员会敦请缔约国加倍努力，确保男女在公私营劳</w:t>
      </w:r>
      <w:r>
        <w:rPr>
          <w:rFonts w:ascii="SimHei" w:eastAsia="SimHei" w:hint="eastAsia"/>
          <w:color w:val="FF0000"/>
        </w:rPr>
        <w:t>动力</w:t>
      </w:r>
      <w:r w:rsidRPr="00470BFB">
        <w:rPr>
          <w:rFonts w:ascii="SimHei" w:eastAsia="SimHei" w:hint="eastAsia"/>
          <w:color w:val="FF0000"/>
        </w:rPr>
        <w:t>市场享有平等机会。委员会建议缔约国采取主动积极措施，如向妇女提供更多的教育和培训机会，消除职业隔离，继续加大力度，实施帮助妇女在生育后重新进入</w:t>
      </w:r>
      <w:r>
        <w:rPr>
          <w:rFonts w:ascii="SimHei" w:eastAsia="SimHei" w:hint="eastAsia"/>
          <w:color w:val="FF0000"/>
        </w:rPr>
        <w:t>劳动队伍</w:t>
      </w:r>
      <w:r w:rsidRPr="00470BFB">
        <w:rPr>
          <w:rFonts w:ascii="SimHei" w:eastAsia="SimHei" w:hint="eastAsia"/>
          <w:color w:val="FF0000"/>
        </w:rPr>
        <w:t>的措施。委员会建议缔约国推动实施和监测公私营部门有关</w:t>
      </w:r>
      <w:r>
        <w:rPr>
          <w:rFonts w:ascii="SimHei" w:eastAsia="SimHei" w:hint="eastAsia"/>
          <w:color w:val="FF0000"/>
        </w:rPr>
        <w:t>同值工作同等报酬</w:t>
      </w:r>
      <w:r w:rsidRPr="00470BFB">
        <w:rPr>
          <w:rFonts w:ascii="SimHei" w:eastAsia="SimHei" w:hint="eastAsia"/>
          <w:color w:val="FF0000"/>
        </w:rPr>
        <w:t>、灵活工作安排和非全时工的现行措施，并拟定必要措施，消除妇女从事非全时工可能产生的不利后果，特别是在养恤金和退休金福利方面。委员会还敦请缔约国确保帮助兼顾家庭与工作责任的措施对男女都适用，应该让男子承担更多家庭和照顾责任。缔约国应采取措施，鼓励父亲多多利用育儿假，并考虑为此设置奖金。</w:t>
      </w:r>
    </w:p>
    <w:p w:rsidR="0028278E" w:rsidRDefault="0028278E" w:rsidP="0028278E">
      <w:pPr>
        <w:pStyle w:val="SingleTxt"/>
        <w:rPr>
          <w:rFonts w:hint="eastAsia"/>
        </w:rPr>
      </w:pPr>
      <w:r>
        <w:rPr>
          <w:rFonts w:hint="eastAsia"/>
        </w:rPr>
        <w:t>17.</w:t>
      </w:r>
      <w:r>
        <w:rPr>
          <w:rFonts w:hint="eastAsia"/>
        </w:rPr>
        <w:tab/>
        <w:t>委员会对妇女在民选和委任机构中任职人数仍然偏低表示关切，而政府曾在1997年通过决议，规定无论男女在委任机构中的人数都不得超过三分之二。委员会还感到关切的是，妇女担任外交事务、司法和教育机构等公共行政以及私营部门的高级职位人数仍然偏低，从而限制了妇女对各个领域决策进程的参与。</w:t>
      </w:r>
    </w:p>
    <w:p w:rsidR="0028278E" w:rsidRDefault="0028278E" w:rsidP="0028278E">
      <w:pPr>
        <w:pStyle w:val="SingleTxt"/>
        <w:rPr>
          <w:rFonts w:hint="eastAsia"/>
        </w:rPr>
      </w:pPr>
      <w:r>
        <w:rPr>
          <w:rFonts w:hint="eastAsia"/>
        </w:rPr>
        <w:t>18.</w:t>
      </w:r>
      <w:r>
        <w:rPr>
          <w:rFonts w:hint="eastAsia"/>
        </w:rPr>
        <w:tab/>
      </w:r>
      <w:r w:rsidRPr="00470BFB">
        <w:rPr>
          <w:rFonts w:ascii="SimHei" w:eastAsia="SimHei" w:hint="eastAsia"/>
          <w:color w:val="FF0000"/>
        </w:rPr>
        <w:t>委员会鼓励缔约国加倍努力，加强妇女的领导作用，增加妇女在议会、市议会、各委员会和咨询委员会等政治机构决策职务中的人数以及在公共行政，包括外交事务及私营部门中的人数。委员会建议缔约国扩大现有的提高认识工作和培训活动，让更广泛的利益攸关者，包括政党领导人、私营部门和根据公法设立的基金会董事会高级管理人员都参与这些活动。委员会建议缔约国采取措施，特别是根据《公约》第四条第1款和委员会关于暂行特别措施的一般性建议25和关于公共生活的一般性建议23采取暂行特别措施，加快实现妇女在各级和各个领域的充分、平等参与。委员会请缔约国监测这些措施在一段时间后产生的影响和取得的成果，并在下一次定期报告中列入这方面的资料。</w:t>
      </w:r>
    </w:p>
    <w:p w:rsidR="0028278E" w:rsidRDefault="0028278E" w:rsidP="0028278E">
      <w:pPr>
        <w:pStyle w:val="SingleTxt"/>
        <w:rPr>
          <w:rFonts w:hint="eastAsia"/>
        </w:rPr>
      </w:pPr>
      <w:r>
        <w:rPr>
          <w:rFonts w:hint="eastAsia"/>
        </w:rPr>
        <w:t>19.</w:t>
      </w:r>
      <w:r>
        <w:rPr>
          <w:rFonts w:hint="eastAsia"/>
        </w:rPr>
        <w:tab/>
        <w:t>委员会对关于暂行特别措施的《公约》第四条第1款在缔约国适用范围有限表示关切，这不符合委员会一般性建议25。</w:t>
      </w:r>
    </w:p>
    <w:p w:rsidR="0028278E" w:rsidRDefault="0028278E" w:rsidP="0028278E">
      <w:pPr>
        <w:pStyle w:val="SingleTxt"/>
        <w:rPr>
          <w:rFonts w:hint="eastAsia"/>
        </w:rPr>
      </w:pPr>
      <w:r>
        <w:rPr>
          <w:rFonts w:hint="eastAsia"/>
        </w:rPr>
        <w:t>20.</w:t>
      </w:r>
      <w:r>
        <w:rPr>
          <w:rFonts w:hint="eastAsia"/>
        </w:rPr>
        <w:tab/>
      </w:r>
      <w:r w:rsidRPr="00470BFB">
        <w:rPr>
          <w:rFonts w:ascii="SimHei" w:eastAsia="SimHei" w:hint="eastAsia"/>
          <w:color w:val="FF0000"/>
        </w:rPr>
        <w:t>委员会建议缔约国进一步评估目前实施暂行特别措施所取得的成果，并为此考虑将其扩用到各项战略中，包括立法和行政措施、外联和支助方案、资源分配和奖励办法、定向征聘以及在《公约》各领域设定有时限规定的目标和指标。缔约国在这些努力中，应考虑到关于《公约》第四条第1款的委员会一般性建议</w:t>
      </w:r>
      <w:r w:rsidRPr="007E5D6C">
        <w:rPr>
          <w:rFonts w:ascii="SimHei" w:eastAsia="SimHei" w:hint="eastAsia"/>
          <w:color w:val="FF0000"/>
        </w:rPr>
        <w:t>25。</w:t>
      </w:r>
    </w:p>
    <w:p w:rsidR="0028278E" w:rsidRDefault="0028278E" w:rsidP="00606CC6">
      <w:pPr>
        <w:pStyle w:val="SingleTxt"/>
        <w:spacing w:after="160" w:line="340" w:lineRule="exact"/>
        <w:rPr>
          <w:rFonts w:hint="eastAsia"/>
        </w:rPr>
      </w:pPr>
      <w:r>
        <w:rPr>
          <w:rFonts w:hint="eastAsia"/>
        </w:rPr>
        <w:t>21.</w:t>
      </w:r>
      <w:r>
        <w:rPr>
          <w:rFonts w:hint="eastAsia"/>
        </w:rPr>
        <w:tab/>
        <w:t>委员会欢迎缔约国努力消除歧视妇女和企图维持男女不平等的陈规定型观念和行为，但同时仍然关切关于妇女和男子在家庭和社会的角色和责任的传统观念和定位持续存在。委员会感到关切的是妇女主要相夫教子和照顾家人，而男子主要养家糊口的定型观念持续存在。这些定型观念影响了妇女的社会地位，造成妇女在劳动力市场、在决策岗位、在学习和专业机会的选择等一系列领域处于不利地位。委员会指出，这些定型观念大大妨碍了《公约》第二条(a)项所规定的男女平等原则的真正实现。</w:t>
      </w:r>
    </w:p>
    <w:p w:rsidR="0028278E" w:rsidRDefault="0028278E" w:rsidP="00606CC6">
      <w:pPr>
        <w:pStyle w:val="SingleTxt"/>
        <w:spacing w:after="160" w:line="340" w:lineRule="exact"/>
        <w:rPr>
          <w:rFonts w:hint="eastAsia"/>
        </w:rPr>
      </w:pPr>
      <w:r>
        <w:rPr>
          <w:rFonts w:hint="eastAsia"/>
        </w:rPr>
        <w:t>22.</w:t>
      </w:r>
      <w:r>
        <w:rPr>
          <w:rFonts w:hint="eastAsia"/>
        </w:rPr>
        <w:tab/>
      </w:r>
      <w:r w:rsidRPr="00470BFB">
        <w:rPr>
          <w:rFonts w:ascii="SimHei" w:eastAsia="SimHei" w:hint="eastAsia"/>
          <w:color w:val="FF0000"/>
        </w:rPr>
        <w:t>委员会吁请缔约国按照《公约》第二条(f)项和第五条(a)项的规定，针对男子和妇女、男孩和女孩采取一项全面政策，克服关于妇女和男子在社会和家庭中角色的传统定型观念。这项政策应该包括法律、行政和提高认识措施，让公职人员和民间社会都参与进来，针对全体国民。此外，应着重各种媒体，包括印刷媒体和网络媒体的参与，并涵盖专题方案和一般方案。</w:t>
      </w:r>
    </w:p>
    <w:p w:rsidR="0028278E" w:rsidRDefault="0028278E" w:rsidP="00606CC6">
      <w:pPr>
        <w:pStyle w:val="SingleTxt"/>
        <w:spacing w:after="160" w:line="340" w:lineRule="exact"/>
        <w:rPr>
          <w:rFonts w:hint="eastAsia"/>
        </w:rPr>
      </w:pPr>
      <w:r>
        <w:rPr>
          <w:rFonts w:hint="eastAsia"/>
        </w:rPr>
        <w:t>23</w:t>
      </w:r>
      <w:r>
        <w:t>.</w:t>
      </w:r>
      <w:r>
        <w:tab/>
      </w:r>
      <w:r>
        <w:rPr>
          <w:rFonts w:hint="eastAsia"/>
        </w:rPr>
        <w:t>委员会感到关切的是没有就事实上的结合作出法律规定，这可能使妇女在分居或离婚时得不到保护和救济。</w:t>
      </w:r>
    </w:p>
    <w:p w:rsidR="0028278E" w:rsidRDefault="0028278E" w:rsidP="00606CC6">
      <w:pPr>
        <w:pStyle w:val="SingleTxt"/>
        <w:spacing w:after="160" w:line="340" w:lineRule="exact"/>
        <w:rPr>
          <w:rFonts w:hint="eastAsia"/>
        </w:rPr>
      </w:pPr>
      <w:r>
        <w:rPr>
          <w:rFonts w:hint="eastAsia"/>
        </w:rPr>
        <w:t>24.</w:t>
      </w:r>
      <w:r>
        <w:rPr>
          <w:rFonts w:hint="eastAsia"/>
        </w:rPr>
        <w:tab/>
      </w:r>
      <w:r w:rsidRPr="00470BFB">
        <w:rPr>
          <w:rFonts w:ascii="SimHei" w:eastAsia="SimHei" w:hint="eastAsia"/>
          <w:color w:val="FF0000"/>
        </w:rPr>
        <w:t>委员会鼓励缔约国审查关于婚姻和家庭关系的现行法律制度，使现行法律规定也适用于事实上结合的伴侣。</w:t>
      </w:r>
    </w:p>
    <w:p w:rsidR="0028278E" w:rsidRDefault="0028278E" w:rsidP="00606CC6">
      <w:pPr>
        <w:pStyle w:val="SingleTxt"/>
        <w:spacing w:after="160" w:line="340" w:lineRule="exact"/>
        <w:rPr>
          <w:rFonts w:hint="eastAsia"/>
        </w:rPr>
      </w:pPr>
      <w:r>
        <w:rPr>
          <w:rFonts w:hint="eastAsia"/>
        </w:rPr>
        <w:t>25.</w:t>
      </w:r>
      <w:r>
        <w:tab/>
      </w:r>
      <w:r>
        <w:rPr>
          <w:rFonts w:hint="eastAsia"/>
        </w:rPr>
        <w:t>委员会注意到一个多方利益攸关者工作组正在进行讨论，但是对选择堕胎的妇女受到严历惩罚表示关切。</w:t>
      </w:r>
    </w:p>
    <w:p w:rsidR="0028278E" w:rsidRDefault="0028278E" w:rsidP="00606CC6">
      <w:pPr>
        <w:pStyle w:val="SingleTxt"/>
        <w:spacing w:after="160" w:line="340" w:lineRule="exact"/>
        <w:rPr>
          <w:rFonts w:hint="eastAsia"/>
        </w:rPr>
      </w:pPr>
      <w:r>
        <w:rPr>
          <w:rFonts w:hint="eastAsia"/>
        </w:rPr>
        <w:t>26.</w:t>
      </w:r>
      <w:r w:rsidRPr="00470BFB">
        <w:rPr>
          <w:rFonts w:ascii="SimHei" w:eastAsia="SimHei" w:hint="eastAsia"/>
          <w:color w:val="FF0000"/>
        </w:rPr>
        <w:tab/>
        <w:t>委员会建议缔约国考虑审查与堕胎有关的法律，以便按照有关妇女</w:t>
      </w:r>
      <w:r>
        <w:rPr>
          <w:rFonts w:ascii="SimHei" w:eastAsia="SimHei" w:hint="eastAsia"/>
          <w:color w:val="FF0000"/>
        </w:rPr>
        <w:t>与</w:t>
      </w:r>
      <w:r w:rsidRPr="00470BFB">
        <w:rPr>
          <w:rFonts w:ascii="SimHei" w:eastAsia="SimHei" w:hint="eastAsia"/>
          <w:color w:val="FF0000"/>
        </w:rPr>
        <w:t>保健的委员会一般性建议24和《北京宣言和行动纲要》，取消对堕胎妇女实施的惩罚性规定。委员会还鼓励缔约国认真监督所提供的保健服务，对妇女的各种健康问题采取对性别问题有敏感认识的应对措施。在这方面，请缔约国将委员会一般性建议24作为一项行动框架，确保在各项卫生政策和方案中纳入性别观点。</w:t>
      </w:r>
    </w:p>
    <w:p w:rsidR="0028278E" w:rsidRPr="00470BFB" w:rsidRDefault="0028278E" w:rsidP="00606CC6">
      <w:pPr>
        <w:pStyle w:val="SingleTxt"/>
        <w:spacing w:after="160" w:line="340" w:lineRule="exact"/>
        <w:rPr>
          <w:rFonts w:ascii="SimHei" w:eastAsia="SimHei" w:hint="eastAsia"/>
          <w:color w:val="FF0000"/>
        </w:rPr>
      </w:pPr>
      <w:r>
        <w:rPr>
          <w:rFonts w:hint="eastAsia"/>
        </w:rPr>
        <w:t>27.</w:t>
      </w:r>
      <w:r>
        <w:rPr>
          <w:rFonts w:hint="eastAsia"/>
        </w:rPr>
        <w:tab/>
      </w:r>
      <w:r w:rsidRPr="00470BFB">
        <w:rPr>
          <w:rFonts w:ascii="SimHei" w:eastAsia="SimHei" w:hint="eastAsia"/>
          <w:color w:val="FF0000"/>
        </w:rPr>
        <w:t>委员会请缔约国在下一次报告中提供资料，说明就实现两性平等的法律、政策、计划和方案的影响进行的调查研究所取得的成果。</w:t>
      </w:r>
    </w:p>
    <w:p w:rsidR="0028278E" w:rsidRDefault="0028278E" w:rsidP="00606CC6">
      <w:pPr>
        <w:pStyle w:val="SingleTxt"/>
        <w:spacing w:after="160" w:line="340" w:lineRule="exact"/>
        <w:rPr>
          <w:rFonts w:hint="eastAsia"/>
        </w:rPr>
      </w:pPr>
      <w:r>
        <w:rPr>
          <w:rFonts w:hint="eastAsia"/>
        </w:rPr>
        <w:t>28.</w:t>
      </w:r>
      <w:r>
        <w:tab/>
      </w:r>
      <w:r w:rsidRPr="00470BFB">
        <w:rPr>
          <w:rFonts w:ascii="SimHei" w:eastAsia="SimHei" w:hint="eastAsia"/>
          <w:color w:val="FF0000"/>
        </w:rPr>
        <w:t>委员会敦促缔约国在执行《公约》义务时，充分利用加强《公约》各项规定的《北京宣言和行动纲要》，并请缔约国在下一次定期报告中提供</w:t>
      </w:r>
      <w:r>
        <w:rPr>
          <w:rFonts w:ascii="SimHei" w:eastAsia="SimHei" w:hint="eastAsia"/>
          <w:color w:val="FF0000"/>
        </w:rPr>
        <w:t>有关</w:t>
      </w:r>
      <w:r w:rsidRPr="00470BFB">
        <w:rPr>
          <w:rFonts w:ascii="SimHei" w:eastAsia="SimHei" w:hint="eastAsia"/>
          <w:color w:val="FF0000"/>
        </w:rPr>
        <w:t>资料。</w:t>
      </w:r>
    </w:p>
    <w:p w:rsidR="00606CC6" w:rsidRDefault="0028278E" w:rsidP="00606CC6">
      <w:pPr>
        <w:pStyle w:val="SingleTxt"/>
        <w:spacing w:after="160" w:line="340" w:lineRule="exact"/>
        <w:rPr>
          <w:rFonts w:ascii="SimHei" w:eastAsia="SimHei" w:hint="eastAsia"/>
          <w:color w:val="FF0000"/>
        </w:rPr>
      </w:pPr>
      <w:r>
        <w:rPr>
          <w:rFonts w:hint="eastAsia"/>
        </w:rPr>
        <w:t>29.</w:t>
      </w:r>
      <w:r>
        <w:rPr>
          <w:rFonts w:hint="eastAsia"/>
        </w:rPr>
        <w:tab/>
      </w:r>
      <w:r w:rsidRPr="00470BFB">
        <w:rPr>
          <w:rFonts w:ascii="SimHei" w:eastAsia="SimHei" w:hint="eastAsia"/>
          <w:color w:val="FF0000"/>
        </w:rPr>
        <w:t>委员会还强调，充分</w:t>
      </w:r>
      <w:r>
        <w:rPr>
          <w:rFonts w:ascii="SimHei" w:eastAsia="SimHei" w:hint="eastAsia"/>
          <w:color w:val="FF0000"/>
        </w:rPr>
        <w:t>和</w:t>
      </w:r>
      <w:r w:rsidRPr="00470BFB">
        <w:rPr>
          <w:rFonts w:ascii="SimHei" w:eastAsia="SimHei" w:hint="eastAsia"/>
          <w:color w:val="FF0000"/>
        </w:rPr>
        <w:t>有效地执行《公约》对实现千年发展目标</w:t>
      </w:r>
      <w:r>
        <w:rPr>
          <w:rFonts w:ascii="SimHei" w:eastAsia="SimHei" w:hint="eastAsia"/>
          <w:color w:val="FF0000"/>
        </w:rPr>
        <w:t>不可或缺</w:t>
      </w:r>
      <w:r w:rsidRPr="00470BFB">
        <w:rPr>
          <w:rFonts w:ascii="SimHei" w:eastAsia="SimHei" w:hint="eastAsia"/>
          <w:color w:val="FF0000"/>
        </w:rPr>
        <w:t>。委员会要求在实现千年发展目标的</w:t>
      </w:r>
      <w:r>
        <w:rPr>
          <w:rFonts w:ascii="SimHei" w:eastAsia="SimHei" w:hint="eastAsia"/>
          <w:color w:val="FF0000"/>
        </w:rPr>
        <w:t>一切</w:t>
      </w:r>
      <w:r w:rsidRPr="00470BFB">
        <w:rPr>
          <w:rFonts w:ascii="SimHei" w:eastAsia="SimHei" w:hint="eastAsia"/>
          <w:color w:val="FF0000"/>
        </w:rPr>
        <w:t>工作中</w:t>
      </w:r>
      <w:r>
        <w:rPr>
          <w:rFonts w:ascii="SimHei" w:eastAsia="SimHei" w:hint="eastAsia"/>
          <w:color w:val="FF0000"/>
        </w:rPr>
        <w:t>纳入</w:t>
      </w:r>
      <w:r w:rsidRPr="00470BFB">
        <w:rPr>
          <w:rFonts w:ascii="SimHei" w:eastAsia="SimHei" w:hint="eastAsia"/>
          <w:color w:val="FF0000"/>
        </w:rPr>
        <w:t>性别观点，明确</w:t>
      </w:r>
      <w:r>
        <w:rPr>
          <w:rFonts w:ascii="SimHei" w:eastAsia="SimHei" w:hint="eastAsia"/>
          <w:color w:val="FF0000"/>
        </w:rPr>
        <w:t>体现《公约》</w:t>
      </w:r>
      <w:r w:rsidRPr="00470BFB">
        <w:rPr>
          <w:rFonts w:ascii="SimHei" w:eastAsia="SimHei" w:hint="eastAsia"/>
          <w:color w:val="FF0000"/>
        </w:rPr>
        <w:t>各项规定，并请缔约国在下一次定期报告中提供</w:t>
      </w:r>
      <w:r>
        <w:rPr>
          <w:rFonts w:ascii="SimHei" w:eastAsia="SimHei" w:hint="eastAsia"/>
          <w:color w:val="FF0000"/>
        </w:rPr>
        <w:t>有关</w:t>
      </w:r>
      <w:r w:rsidRPr="00470BFB">
        <w:rPr>
          <w:rFonts w:ascii="SimHei" w:eastAsia="SimHei" w:hint="eastAsia"/>
          <w:color w:val="FF0000"/>
        </w:rPr>
        <w:t>资料。</w:t>
      </w:r>
    </w:p>
    <w:p w:rsidR="0028278E" w:rsidRPr="00470BFB" w:rsidRDefault="0028278E" w:rsidP="0028278E">
      <w:pPr>
        <w:pStyle w:val="SingleTxt"/>
        <w:rPr>
          <w:rFonts w:ascii="SimHei" w:eastAsia="SimHei" w:hint="eastAsia"/>
          <w:color w:val="FF0000"/>
        </w:rPr>
      </w:pPr>
      <w:r>
        <w:rPr>
          <w:rFonts w:hint="eastAsia"/>
        </w:rPr>
        <w:t>30.</w:t>
      </w:r>
      <w:r>
        <w:rPr>
          <w:rFonts w:hint="eastAsia"/>
        </w:rPr>
        <w:tab/>
      </w:r>
      <w:r w:rsidRPr="00470BFB">
        <w:rPr>
          <w:rFonts w:ascii="SimHei" w:eastAsia="SimHei" w:hint="eastAsia"/>
          <w:color w:val="FF0000"/>
        </w:rPr>
        <w:t>委员会指出，各国参加七项主要国际人权文书，</w:t>
      </w:r>
      <w:r w:rsidRPr="005C042E">
        <w:rPr>
          <w:rStyle w:val="FootnoteReference"/>
          <w:rFonts w:ascii="SimHei" w:eastAsia="SimHei"/>
          <w:color w:val="FF0000"/>
        </w:rPr>
        <w:footnoteReference w:id="1"/>
      </w:r>
      <w:r w:rsidRPr="00470BFB">
        <w:rPr>
          <w:rFonts w:ascii="SimHei" w:eastAsia="SimHei" w:hint="eastAsia"/>
          <w:color w:val="FF0000"/>
        </w:rPr>
        <w:t xml:space="preserve"> </w:t>
      </w:r>
      <w:r>
        <w:rPr>
          <w:rFonts w:ascii="SimHei" w:eastAsia="SimHei" w:hint="eastAsia"/>
          <w:color w:val="FF0000"/>
        </w:rPr>
        <w:t>有助于</w:t>
      </w:r>
      <w:r w:rsidRPr="00470BFB">
        <w:rPr>
          <w:rFonts w:ascii="SimHei" w:eastAsia="SimHei" w:hint="eastAsia"/>
          <w:color w:val="FF0000"/>
        </w:rPr>
        <w:t>促进妇女在生活的各个方面享受人权和基本自由。因此，委员会鼓励列支敦士登政府考虑批准它尚未成为缔约国的条约，即《保护所有移徙工人及其家庭成员权利国际公约》。</w:t>
      </w:r>
    </w:p>
    <w:p w:rsidR="0028278E" w:rsidRPr="00470BFB" w:rsidRDefault="0028278E" w:rsidP="0028278E">
      <w:pPr>
        <w:pStyle w:val="SingleTxt"/>
        <w:rPr>
          <w:rFonts w:ascii="SimHei" w:eastAsia="SimHei" w:hint="eastAsia"/>
          <w:color w:val="FF0000"/>
        </w:rPr>
      </w:pPr>
      <w:r>
        <w:rPr>
          <w:rFonts w:hint="eastAsia"/>
        </w:rPr>
        <w:t>31.</w:t>
      </w:r>
      <w:r>
        <w:rPr>
          <w:rFonts w:hint="eastAsia"/>
        </w:rPr>
        <w:tab/>
      </w:r>
      <w:r w:rsidRPr="00470BFB">
        <w:rPr>
          <w:rFonts w:ascii="SimHei" w:eastAsia="SimHei" w:hint="eastAsia"/>
          <w:color w:val="FF0000"/>
        </w:rPr>
        <w:t>委员会请列支敦士登广为传播本结论意见，使人民，包括政府官员、政界人士、议员以及妇女组织和人权组织了解为确保妇女在法律上和事实上的平等而采取的措施以及在这方面应进一步采取的措施。委员会请缔约国继续</w:t>
      </w:r>
      <w:r>
        <w:rPr>
          <w:rFonts w:ascii="SimHei" w:eastAsia="SimHei" w:hint="eastAsia"/>
          <w:color w:val="FF0000"/>
        </w:rPr>
        <w:t>广泛宣传</w:t>
      </w:r>
      <w:r w:rsidRPr="00470BFB">
        <w:rPr>
          <w:rFonts w:ascii="SimHei" w:eastAsia="SimHei" w:hint="eastAsia"/>
          <w:color w:val="FF0000"/>
        </w:rPr>
        <w:t>《公约》</w:t>
      </w:r>
      <w:r>
        <w:rPr>
          <w:rFonts w:ascii="SimHei" w:eastAsia="SimHei" w:hint="eastAsia"/>
          <w:color w:val="FF0000"/>
        </w:rPr>
        <w:t>及其</w:t>
      </w:r>
      <w:r w:rsidRPr="00470BFB">
        <w:rPr>
          <w:rFonts w:ascii="SimHei" w:eastAsia="SimHei" w:hint="eastAsia"/>
          <w:color w:val="FF0000"/>
        </w:rPr>
        <w:t>公约任择议定书、委员会各项一般性建议、《北京宣言和行动纲要》以及题为“2000年妇女：二十一世纪两性平等、发展与和平”的大会第二十三届特别会议成果</w:t>
      </w:r>
      <w:r>
        <w:rPr>
          <w:rFonts w:ascii="SimHei" w:eastAsia="SimHei" w:hint="eastAsia"/>
          <w:color w:val="FF0000"/>
        </w:rPr>
        <w:t>，</w:t>
      </w:r>
      <w:r w:rsidRPr="00470BFB">
        <w:rPr>
          <w:rFonts w:ascii="SimHei" w:eastAsia="SimHei" w:hint="eastAsia"/>
          <w:color w:val="FF0000"/>
        </w:rPr>
        <w:t>特别是向妇女组织和人权组织</w:t>
      </w:r>
      <w:r>
        <w:rPr>
          <w:rFonts w:ascii="SimHei" w:eastAsia="SimHei" w:hint="eastAsia"/>
          <w:color w:val="FF0000"/>
        </w:rPr>
        <w:t>开展宣传。</w:t>
      </w:r>
    </w:p>
    <w:p w:rsidR="0028278E" w:rsidRPr="00470BFB" w:rsidRDefault="0028278E" w:rsidP="0028278E">
      <w:pPr>
        <w:pStyle w:val="SingleTxt"/>
        <w:rPr>
          <w:rFonts w:ascii="SimHei" w:eastAsia="SimHei" w:hint="eastAsia"/>
          <w:color w:val="FF0000"/>
        </w:rPr>
      </w:pPr>
      <w:r>
        <w:rPr>
          <w:rFonts w:hint="eastAsia"/>
        </w:rPr>
        <w:t>32.</w:t>
      </w:r>
      <w:r>
        <w:rPr>
          <w:rFonts w:hint="eastAsia"/>
        </w:rPr>
        <w:tab/>
      </w:r>
      <w:r>
        <w:rPr>
          <w:rFonts w:ascii="SimHei" w:eastAsia="SimHei" w:hint="eastAsia"/>
          <w:color w:val="FF0000"/>
        </w:rPr>
        <w:t>委员会请缔约国在应</w:t>
      </w:r>
      <w:r w:rsidRPr="00470BFB">
        <w:rPr>
          <w:rFonts w:ascii="SimHei" w:eastAsia="SimHei" w:hint="eastAsia"/>
          <w:color w:val="FF0000"/>
        </w:rPr>
        <w:t>于2009年1月根据《公约》第十八条提交的下一次定期报告中答复本结论意见所提出的各项关切。</w:t>
      </w:r>
    </w:p>
    <w:p w:rsidR="0028278E" w:rsidRPr="00470BFB" w:rsidRDefault="0028278E" w:rsidP="0028278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28278E" w:rsidRDefault="0028278E" w:rsidP="0028278E">
      <w:pPr>
        <w:pStyle w:val="SingleTxt"/>
        <w:rPr>
          <w:rFonts w:hint="eastAsia"/>
        </w:rPr>
      </w:pPr>
    </w:p>
    <w:p w:rsidR="0028278E" w:rsidRPr="00BC4DF0" w:rsidRDefault="0028278E" w:rsidP="0028278E">
      <w:pPr>
        <w:pStyle w:val="SingleTxt"/>
        <w:rPr>
          <w:rFonts w:hint="eastAsia"/>
        </w:rPr>
      </w:pPr>
    </w:p>
    <w:p w:rsidR="0028278E" w:rsidRPr="00070465" w:rsidRDefault="0028278E" w:rsidP="0028278E"/>
    <w:p w:rsidR="00EA31C3" w:rsidRPr="00A70421" w:rsidRDefault="00EA31C3" w:rsidP="00A70421">
      <w:pPr>
        <w:pStyle w:val="SingleTxt"/>
        <w:rPr>
          <w:rFonts w:hint="eastAsia"/>
        </w:rPr>
      </w:pPr>
    </w:p>
    <w:sectPr w:rsidR="00EA31C3" w:rsidRPr="00A70421" w:rsidSect="00A7042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0:42:00Z" w:initials="Start">
    <w:p w:rsidR="00D37BC0" w:rsidRDefault="00D37BC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NO&gt;&gt;N0746054C&lt;&lt;ODS JOB NO&gt;&gt;</w:t>
      </w:r>
    </w:p>
    <w:p w:rsidR="00D37BC0" w:rsidRDefault="00D37BC0">
      <w:pPr>
        <w:pStyle w:val="CommentText"/>
      </w:pPr>
      <w:r>
        <w:t>&lt;&lt;ODS DOC SYMBOL1&gt;&gt;CEDAW/C/LIE/CO/3&lt;&lt;ODS DOC SYMBOL1&gt;&gt;</w:t>
      </w:r>
    </w:p>
    <w:p w:rsidR="00D37BC0" w:rsidRDefault="00D37B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DF3" w:rsidRDefault="00560DF3" w:rsidP="00A70421">
      <w:pPr>
        <w:pStyle w:val="Header"/>
      </w:pPr>
      <w:r>
        <w:separator/>
      </w:r>
    </w:p>
  </w:endnote>
  <w:endnote w:type="continuationSeparator" w:id="0">
    <w:p w:rsidR="00560DF3" w:rsidRDefault="00560DF3" w:rsidP="00A7042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BC0" w:rsidTr="00A70421">
      <w:tblPrEx>
        <w:tblCellMar>
          <w:top w:w="0" w:type="dxa"/>
          <w:bottom w:w="0" w:type="dxa"/>
        </w:tblCellMar>
      </w:tblPrEx>
      <w:tc>
        <w:tcPr>
          <w:tcW w:w="5033" w:type="dxa"/>
          <w:shd w:val="clear" w:color="auto" w:fill="auto"/>
        </w:tcPr>
        <w:p w:rsidR="00D37BC0" w:rsidRPr="00A70421" w:rsidRDefault="00D37BC0" w:rsidP="00A704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6E13">
            <w:rPr>
              <w:b w:val="0"/>
              <w:w w:val="103"/>
              <w:sz w:val="14"/>
            </w:rPr>
            <w:t>07-46054</w:t>
          </w:r>
          <w:r>
            <w:rPr>
              <w:b w:val="0"/>
              <w:w w:val="103"/>
              <w:sz w:val="14"/>
            </w:rPr>
            <w:fldChar w:fldCharType="end"/>
          </w:r>
        </w:p>
      </w:tc>
      <w:tc>
        <w:tcPr>
          <w:tcW w:w="5033" w:type="dxa"/>
          <w:shd w:val="clear" w:color="auto" w:fill="auto"/>
        </w:tcPr>
        <w:p w:rsidR="00D37BC0" w:rsidRPr="00A70421" w:rsidRDefault="00D37BC0" w:rsidP="00A7042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F76E13">
            <w:rPr>
              <w:w w:val="103"/>
              <w:sz w:val="17"/>
            </w:rPr>
            <w:t>4</w:t>
          </w:r>
          <w:r>
            <w:rPr>
              <w:w w:val="103"/>
              <w:sz w:val="17"/>
            </w:rPr>
            <w:fldChar w:fldCharType="end"/>
          </w:r>
        </w:p>
      </w:tc>
    </w:tr>
  </w:tbl>
  <w:p w:rsidR="00D37BC0" w:rsidRPr="00A70421" w:rsidRDefault="00D37BC0" w:rsidP="00A70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BC0" w:rsidTr="00A70421">
      <w:tblPrEx>
        <w:tblCellMar>
          <w:top w:w="0" w:type="dxa"/>
          <w:bottom w:w="0" w:type="dxa"/>
        </w:tblCellMar>
      </w:tblPrEx>
      <w:tc>
        <w:tcPr>
          <w:tcW w:w="5033" w:type="dxa"/>
          <w:shd w:val="clear" w:color="auto" w:fill="auto"/>
        </w:tcPr>
        <w:p w:rsidR="00D37BC0" w:rsidRPr="00A70421" w:rsidRDefault="00D37BC0" w:rsidP="00A70421">
          <w:pPr>
            <w:pStyle w:val="Footer"/>
            <w:jc w:val="right"/>
          </w:pPr>
          <w:r>
            <w:fldChar w:fldCharType="begin"/>
          </w:r>
          <w:r>
            <w:instrText xml:space="preserve"> PAGE  \* MERGEFORMAT </w:instrText>
          </w:r>
          <w:r>
            <w:fldChar w:fldCharType="separate"/>
          </w:r>
          <w:r w:rsidR="00F76E13">
            <w:t>5</w:t>
          </w:r>
          <w:r>
            <w:fldChar w:fldCharType="end"/>
          </w:r>
        </w:p>
      </w:tc>
      <w:tc>
        <w:tcPr>
          <w:tcW w:w="5033" w:type="dxa"/>
          <w:shd w:val="clear" w:color="auto" w:fill="auto"/>
        </w:tcPr>
        <w:p w:rsidR="00D37BC0" w:rsidRPr="00A70421" w:rsidRDefault="00D37BC0" w:rsidP="00A7042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6E13">
            <w:rPr>
              <w:b w:val="0"/>
              <w:w w:val="103"/>
              <w:sz w:val="14"/>
            </w:rPr>
            <w:t>07-46054</w:t>
          </w:r>
          <w:r>
            <w:rPr>
              <w:b w:val="0"/>
              <w:w w:val="103"/>
              <w:sz w:val="14"/>
            </w:rPr>
            <w:fldChar w:fldCharType="end"/>
          </w:r>
        </w:p>
      </w:tc>
    </w:tr>
  </w:tbl>
  <w:p w:rsidR="00D37BC0" w:rsidRPr="00A70421" w:rsidRDefault="00D37BC0" w:rsidP="00A70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BC0" w:rsidRDefault="00D37BC0" w:rsidP="00A7042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F76E13">
      <w:rPr>
        <w:b w:val="0"/>
        <w:sz w:val="21"/>
      </w:rPr>
      <w:t>07-46054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3</w:t>
    </w:r>
    <w:r>
      <w:rPr>
        <w:b w:val="0"/>
        <w:sz w:val="21"/>
      </w:rPr>
      <w:t>0807</w:t>
    </w:r>
  </w:p>
  <w:p w:rsidR="00D37BC0" w:rsidRPr="00A70421" w:rsidRDefault="00D37BC0" w:rsidP="00A7042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76E13">
      <w:rPr>
        <w:rFonts w:ascii="Barcode 3 of 9 by request" w:hAnsi="Barcode 3 of 9 by request"/>
        <w:sz w:val="24"/>
      </w:rPr>
      <w:t>*0746054*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DF3" w:rsidRPr="005C042E" w:rsidRDefault="00560DF3" w:rsidP="005C042E">
      <w:pPr>
        <w:pStyle w:val="Footer"/>
        <w:spacing w:after="80"/>
        <w:ind w:left="792"/>
        <w:rPr>
          <w:sz w:val="16"/>
        </w:rPr>
      </w:pPr>
      <w:r w:rsidRPr="005C042E">
        <w:rPr>
          <w:sz w:val="16"/>
        </w:rPr>
        <w:t>__________________</w:t>
      </w:r>
    </w:p>
  </w:footnote>
  <w:footnote w:type="continuationSeparator" w:id="0">
    <w:p w:rsidR="00560DF3" w:rsidRPr="005C042E" w:rsidRDefault="00560DF3" w:rsidP="005C042E">
      <w:pPr>
        <w:pStyle w:val="Footer"/>
        <w:spacing w:after="80"/>
        <w:ind w:left="792"/>
        <w:rPr>
          <w:sz w:val="16"/>
        </w:rPr>
      </w:pPr>
      <w:r w:rsidRPr="005C042E">
        <w:rPr>
          <w:sz w:val="16"/>
        </w:rPr>
        <w:t>__________________</w:t>
      </w:r>
    </w:p>
  </w:footnote>
  <w:footnote w:id="1">
    <w:p w:rsidR="00D37BC0" w:rsidRPr="00470BFB" w:rsidRDefault="00D37BC0" w:rsidP="005C042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70BFB">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37BC0" w:rsidTr="00A70421">
      <w:tblPrEx>
        <w:tblCellMar>
          <w:top w:w="0" w:type="dxa"/>
          <w:bottom w:w="0" w:type="dxa"/>
        </w:tblCellMar>
      </w:tblPrEx>
      <w:trPr>
        <w:trHeight w:hRule="exact" w:val="864"/>
      </w:trPr>
      <w:tc>
        <w:tcPr>
          <w:tcW w:w="4838" w:type="dxa"/>
          <w:shd w:val="clear" w:color="auto" w:fill="auto"/>
          <w:vAlign w:val="bottom"/>
        </w:tcPr>
        <w:p w:rsidR="00D37BC0" w:rsidRPr="00A70421" w:rsidRDefault="00D37BC0" w:rsidP="00A7042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76E13">
            <w:rPr>
              <w:b/>
              <w:sz w:val="17"/>
            </w:rPr>
            <w:t>CEDAW/C/LIE/CO/3</w:t>
          </w:r>
          <w:r>
            <w:rPr>
              <w:b/>
              <w:sz w:val="17"/>
            </w:rPr>
            <w:fldChar w:fldCharType="end"/>
          </w:r>
        </w:p>
      </w:tc>
      <w:tc>
        <w:tcPr>
          <w:tcW w:w="5033" w:type="dxa"/>
          <w:shd w:val="clear" w:color="auto" w:fill="auto"/>
          <w:vAlign w:val="bottom"/>
        </w:tcPr>
        <w:p w:rsidR="00D37BC0" w:rsidRDefault="00D37BC0" w:rsidP="00A70421">
          <w:pPr>
            <w:pStyle w:val="Header"/>
          </w:pPr>
        </w:p>
      </w:tc>
    </w:tr>
  </w:tbl>
  <w:p w:rsidR="00D37BC0" w:rsidRPr="00A70421" w:rsidRDefault="00D37BC0" w:rsidP="00A704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37BC0" w:rsidTr="00A70421">
      <w:tblPrEx>
        <w:tblCellMar>
          <w:top w:w="0" w:type="dxa"/>
          <w:bottom w:w="0" w:type="dxa"/>
        </w:tblCellMar>
      </w:tblPrEx>
      <w:trPr>
        <w:trHeight w:hRule="exact" w:val="864"/>
      </w:trPr>
      <w:tc>
        <w:tcPr>
          <w:tcW w:w="4838" w:type="dxa"/>
          <w:shd w:val="clear" w:color="auto" w:fill="auto"/>
          <w:vAlign w:val="bottom"/>
        </w:tcPr>
        <w:p w:rsidR="00D37BC0" w:rsidRDefault="00D37BC0" w:rsidP="00A70421">
          <w:pPr>
            <w:pStyle w:val="Header"/>
          </w:pPr>
        </w:p>
      </w:tc>
      <w:tc>
        <w:tcPr>
          <w:tcW w:w="5033" w:type="dxa"/>
          <w:shd w:val="clear" w:color="auto" w:fill="auto"/>
          <w:vAlign w:val="bottom"/>
        </w:tcPr>
        <w:p w:rsidR="00D37BC0" w:rsidRPr="00A70421" w:rsidRDefault="00D37BC0" w:rsidP="00A7042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76E13">
            <w:rPr>
              <w:b/>
              <w:sz w:val="17"/>
            </w:rPr>
            <w:t>CEDAW/C/LIE/CO/3</w:t>
          </w:r>
          <w:r>
            <w:rPr>
              <w:b/>
              <w:sz w:val="17"/>
            </w:rPr>
            <w:fldChar w:fldCharType="end"/>
          </w:r>
        </w:p>
      </w:tc>
    </w:tr>
  </w:tbl>
  <w:p w:rsidR="00D37BC0" w:rsidRPr="00A70421" w:rsidRDefault="00D37BC0" w:rsidP="00A704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37BC0" w:rsidTr="00A704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7BC0" w:rsidRDefault="00D37BC0" w:rsidP="00A70421">
          <w:pPr>
            <w:pStyle w:val="Header"/>
            <w:spacing w:after="120"/>
          </w:pPr>
        </w:p>
      </w:tc>
      <w:tc>
        <w:tcPr>
          <w:tcW w:w="1872" w:type="dxa"/>
          <w:tcBorders>
            <w:bottom w:val="single" w:sz="4" w:space="0" w:color="auto"/>
          </w:tcBorders>
          <w:shd w:val="clear" w:color="auto" w:fill="auto"/>
          <w:vAlign w:val="bottom"/>
        </w:tcPr>
        <w:p w:rsidR="00D37BC0" w:rsidRPr="00A70421" w:rsidRDefault="00D37BC0" w:rsidP="00A7042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37BC0" w:rsidRDefault="00D37BC0" w:rsidP="00A70421">
          <w:pPr>
            <w:pStyle w:val="Header"/>
            <w:spacing w:after="120"/>
          </w:pPr>
        </w:p>
      </w:tc>
      <w:tc>
        <w:tcPr>
          <w:tcW w:w="6523" w:type="dxa"/>
          <w:gridSpan w:val="3"/>
          <w:tcBorders>
            <w:bottom w:val="single" w:sz="4" w:space="0" w:color="auto"/>
          </w:tcBorders>
          <w:shd w:val="clear" w:color="auto" w:fill="auto"/>
          <w:vAlign w:val="bottom"/>
        </w:tcPr>
        <w:p w:rsidR="00D37BC0" w:rsidRPr="00A70421" w:rsidRDefault="00D37BC0" w:rsidP="00A70421">
          <w:pPr>
            <w:spacing w:after="80" w:line="240" w:lineRule="auto"/>
            <w:jc w:val="right"/>
            <w:rPr>
              <w:rFonts w:ascii="Times New Roman"/>
              <w:position w:val="-4"/>
            </w:rPr>
          </w:pPr>
          <w:r>
            <w:rPr>
              <w:rFonts w:ascii="Times New Roman"/>
              <w:position w:val="-4"/>
              <w:sz w:val="40"/>
            </w:rPr>
            <w:t>CEDAW</w:t>
          </w:r>
          <w:r>
            <w:rPr>
              <w:rFonts w:ascii="Times New Roman"/>
              <w:position w:val="-4"/>
            </w:rPr>
            <w:t>/C/LIE/CO/3</w:t>
          </w:r>
        </w:p>
      </w:tc>
    </w:tr>
    <w:tr w:rsidR="00D37BC0" w:rsidRPr="00A70421" w:rsidTr="00A704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7BC0" w:rsidRDefault="00D37BC0" w:rsidP="00A7042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37BC0" w:rsidRPr="00A70421" w:rsidRDefault="00D37BC0" w:rsidP="00A70421">
          <w:pPr>
            <w:pStyle w:val="Header"/>
            <w:spacing w:before="109"/>
            <w:ind w:left="-72"/>
          </w:pPr>
        </w:p>
      </w:tc>
      <w:tc>
        <w:tcPr>
          <w:tcW w:w="5227" w:type="dxa"/>
          <w:gridSpan w:val="3"/>
          <w:tcBorders>
            <w:top w:val="single" w:sz="4" w:space="0" w:color="auto"/>
            <w:bottom w:val="single" w:sz="12" w:space="0" w:color="auto"/>
          </w:tcBorders>
          <w:shd w:val="clear" w:color="auto" w:fill="auto"/>
        </w:tcPr>
        <w:p w:rsidR="00D37BC0" w:rsidRPr="00A70421" w:rsidRDefault="00D37BC0" w:rsidP="00A7042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37BC0" w:rsidRPr="00A70421" w:rsidRDefault="00D37BC0" w:rsidP="00A70421">
          <w:pPr>
            <w:pStyle w:val="Header"/>
            <w:spacing w:before="109"/>
          </w:pPr>
        </w:p>
      </w:tc>
      <w:tc>
        <w:tcPr>
          <w:tcW w:w="3180" w:type="dxa"/>
          <w:gridSpan w:val="2"/>
          <w:tcBorders>
            <w:top w:val="single" w:sz="4" w:space="0" w:color="auto"/>
            <w:bottom w:val="single" w:sz="12" w:space="0" w:color="auto"/>
          </w:tcBorders>
          <w:shd w:val="clear" w:color="auto" w:fill="auto"/>
        </w:tcPr>
        <w:p w:rsidR="00D37BC0" w:rsidRDefault="00D37BC0" w:rsidP="00A70421">
          <w:pPr>
            <w:spacing w:before="240" w:line="240" w:lineRule="exact"/>
            <w:rPr>
              <w:rFonts w:ascii="Times New Roman"/>
            </w:rPr>
          </w:pPr>
          <w:r>
            <w:rPr>
              <w:rFonts w:ascii="Times New Roman"/>
            </w:rPr>
            <w:t>Distr.: General</w:t>
          </w:r>
        </w:p>
        <w:p w:rsidR="00D37BC0" w:rsidRDefault="00D37BC0" w:rsidP="00A70421">
          <w:pPr>
            <w:spacing w:line="240" w:lineRule="exact"/>
            <w:rPr>
              <w:rFonts w:ascii="Times New Roman"/>
            </w:rPr>
          </w:pPr>
          <w:r>
            <w:rPr>
              <w:rFonts w:ascii="Times New Roman" w:hint="eastAsia"/>
            </w:rPr>
            <w:t>10</w:t>
          </w:r>
          <w:r>
            <w:rPr>
              <w:rFonts w:ascii="Times New Roman"/>
            </w:rPr>
            <w:t xml:space="preserve"> </w:t>
          </w:r>
          <w:r>
            <w:rPr>
              <w:rFonts w:ascii="Times New Roman" w:hint="eastAsia"/>
            </w:rPr>
            <w:t>A</w:t>
          </w:r>
          <w:r>
            <w:rPr>
              <w:rFonts w:ascii="Times New Roman"/>
            </w:rPr>
            <w:t>ugust 2007</w:t>
          </w:r>
        </w:p>
        <w:p w:rsidR="00D37BC0" w:rsidRDefault="00D37BC0" w:rsidP="00A70421">
          <w:pPr>
            <w:spacing w:line="240" w:lineRule="exact"/>
            <w:rPr>
              <w:rFonts w:ascii="Times New Roman"/>
            </w:rPr>
          </w:pPr>
          <w:r>
            <w:rPr>
              <w:rFonts w:ascii="Times New Roman"/>
            </w:rPr>
            <w:t>Chinese</w:t>
          </w:r>
        </w:p>
        <w:p w:rsidR="00D37BC0" w:rsidRPr="00A70421" w:rsidRDefault="00D37BC0" w:rsidP="00A70421">
          <w:pPr>
            <w:spacing w:line="240" w:lineRule="exact"/>
            <w:rPr>
              <w:rFonts w:ascii="Times New Roman"/>
            </w:rPr>
          </w:pPr>
          <w:r>
            <w:rPr>
              <w:rFonts w:ascii="Times New Roman"/>
            </w:rPr>
            <w:t>Original: English</w:t>
          </w:r>
        </w:p>
      </w:tc>
    </w:tr>
  </w:tbl>
  <w:p w:rsidR="00D37BC0" w:rsidRPr="00A70421" w:rsidRDefault="00D37BC0" w:rsidP="00A7042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54*"/>
    <w:docVar w:name="CreationDt" w:val="20/08/2007 10:37:36"/>
    <w:docVar w:name="DocCategory" w:val="Doc"/>
    <w:docVar w:name="DocType" w:val="Final"/>
    <w:docVar w:name="FooterJN" w:val="07-46054"/>
    <w:docVar w:name="jobn" w:val="07-46054 (C)"/>
    <w:docVar w:name="jobnDT" w:val="07-46054 (C)   200807"/>
    <w:docVar w:name="jobnDTDT" w:val="07-46054 (C)   200807   200807"/>
    <w:docVar w:name="JobNo" w:val="0746054C"/>
    <w:docVar w:name="OandT" w:val="Wang XQ"/>
    <w:docVar w:name="sss1" w:val="CEDAW/C/LIE/CO/3"/>
    <w:docVar w:name="sss2" w:val="-"/>
    <w:docVar w:name="Symbol1" w:val="CEDAW/C/LIE/CO/3"/>
    <w:docVar w:name="Symbol2" w:val="-"/>
  </w:docVars>
  <w:rsids>
    <w:rsidRoot w:val="004779D4"/>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23E17"/>
    <w:rsid w:val="00231575"/>
    <w:rsid w:val="00247382"/>
    <w:rsid w:val="00252E35"/>
    <w:rsid w:val="00254858"/>
    <w:rsid w:val="00257053"/>
    <w:rsid w:val="00266257"/>
    <w:rsid w:val="00271BE6"/>
    <w:rsid w:val="0027454D"/>
    <w:rsid w:val="00280671"/>
    <w:rsid w:val="002814F9"/>
    <w:rsid w:val="0028278E"/>
    <w:rsid w:val="00282D17"/>
    <w:rsid w:val="002867F0"/>
    <w:rsid w:val="002A4AEF"/>
    <w:rsid w:val="002B305F"/>
    <w:rsid w:val="002B564F"/>
    <w:rsid w:val="002C2254"/>
    <w:rsid w:val="002C3BC9"/>
    <w:rsid w:val="002C54DB"/>
    <w:rsid w:val="002D0694"/>
    <w:rsid w:val="002D5503"/>
    <w:rsid w:val="002E66D5"/>
    <w:rsid w:val="002F41E2"/>
    <w:rsid w:val="00301DCD"/>
    <w:rsid w:val="00320C99"/>
    <w:rsid w:val="003274A9"/>
    <w:rsid w:val="00331221"/>
    <w:rsid w:val="003649EE"/>
    <w:rsid w:val="00371BC6"/>
    <w:rsid w:val="00373A15"/>
    <w:rsid w:val="00394A02"/>
    <w:rsid w:val="003B6885"/>
    <w:rsid w:val="003C7B20"/>
    <w:rsid w:val="003E4565"/>
    <w:rsid w:val="003E748F"/>
    <w:rsid w:val="003E7612"/>
    <w:rsid w:val="00414423"/>
    <w:rsid w:val="0043460D"/>
    <w:rsid w:val="004411AD"/>
    <w:rsid w:val="004424EF"/>
    <w:rsid w:val="00444975"/>
    <w:rsid w:val="00453BB0"/>
    <w:rsid w:val="00460162"/>
    <w:rsid w:val="004620A8"/>
    <w:rsid w:val="004779D4"/>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1180"/>
    <w:rsid w:val="005541E4"/>
    <w:rsid w:val="00560DF3"/>
    <w:rsid w:val="0058302A"/>
    <w:rsid w:val="005A1044"/>
    <w:rsid w:val="005B7338"/>
    <w:rsid w:val="005C02AB"/>
    <w:rsid w:val="005C042E"/>
    <w:rsid w:val="005D0F04"/>
    <w:rsid w:val="005F12F0"/>
    <w:rsid w:val="005F3273"/>
    <w:rsid w:val="005F34A3"/>
    <w:rsid w:val="00606CC6"/>
    <w:rsid w:val="00610CF2"/>
    <w:rsid w:val="006479F1"/>
    <w:rsid w:val="00650BEE"/>
    <w:rsid w:val="006520FA"/>
    <w:rsid w:val="0065377D"/>
    <w:rsid w:val="00666F57"/>
    <w:rsid w:val="006740A7"/>
    <w:rsid w:val="00691524"/>
    <w:rsid w:val="006A654B"/>
    <w:rsid w:val="006E2924"/>
    <w:rsid w:val="006E7A26"/>
    <w:rsid w:val="006F2B3D"/>
    <w:rsid w:val="007319E0"/>
    <w:rsid w:val="00737486"/>
    <w:rsid w:val="00737B00"/>
    <w:rsid w:val="0075155C"/>
    <w:rsid w:val="00753A05"/>
    <w:rsid w:val="00761190"/>
    <w:rsid w:val="00776537"/>
    <w:rsid w:val="00783A25"/>
    <w:rsid w:val="007877F4"/>
    <w:rsid w:val="007C0581"/>
    <w:rsid w:val="007E1B5E"/>
    <w:rsid w:val="007F2278"/>
    <w:rsid w:val="00805783"/>
    <w:rsid w:val="00806F57"/>
    <w:rsid w:val="00806F90"/>
    <w:rsid w:val="00824C19"/>
    <w:rsid w:val="008378D1"/>
    <w:rsid w:val="00846462"/>
    <w:rsid w:val="00861298"/>
    <w:rsid w:val="0086691F"/>
    <w:rsid w:val="00871FD3"/>
    <w:rsid w:val="00883DB0"/>
    <w:rsid w:val="00884C8F"/>
    <w:rsid w:val="00896D38"/>
    <w:rsid w:val="008C3296"/>
    <w:rsid w:val="008E2D03"/>
    <w:rsid w:val="008F2BB5"/>
    <w:rsid w:val="008F2DC6"/>
    <w:rsid w:val="008F425D"/>
    <w:rsid w:val="008F5472"/>
    <w:rsid w:val="008F5D0F"/>
    <w:rsid w:val="009101C4"/>
    <w:rsid w:val="009122E0"/>
    <w:rsid w:val="00913351"/>
    <w:rsid w:val="0096193C"/>
    <w:rsid w:val="00965C89"/>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0421"/>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00D4"/>
    <w:rsid w:val="00BE1CC3"/>
    <w:rsid w:val="00BE365A"/>
    <w:rsid w:val="00BE47C4"/>
    <w:rsid w:val="00C052A2"/>
    <w:rsid w:val="00C06A4A"/>
    <w:rsid w:val="00C1391A"/>
    <w:rsid w:val="00C14CE6"/>
    <w:rsid w:val="00C15218"/>
    <w:rsid w:val="00C2725D"/>
    <w:rsid w:val="00C42033"/>
    <w:rsid w:val="00C464DD"/>
    <w:rsid w:val="00C6369D"/>
    <w:rsid w:val="00C76854"/>
    <w:rsid w:val="00C83319"/>
    <w:rsid w:val="00CB2B1E"/>
    <w:rsid w:val="00CC3E8B"/>
    <w:rsid w:val="00CC4E84"/>
    <w:rsid w:val="00CD5641"/>
    <w:rsid w:val="00CE64AC"/>
    <w:rsid w:val="00CF7718"/>
    <w:rsid w:val="00D17491"/>
    <w:rsid w:val="00D177F1"/>
    <w:rsid w:val="00D323B5"/>
    <w:rsid w:val="00D37BC0"/>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505AB"/>
    <w:rsid w:val="00F62E3F"/>
    <w:rsid w:val="00F67F90"/>
    <w:rsid w:val="00F76E13"/>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625</Words>
  <Characters>3565</Characters>
  <Application>Microsoft Office Word</Application>
  <DocSecurity>4</DocSecurity>
  <Lines>29</Lines>
  <Paragraphs>8</Paragraphs>
  <ScaleCrop>false</ScaleCrop>
  <Company>United Nations</Company>
  <LinksUpToDate>false</LinksUpToDate>
  <CharactersWithSpaces>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31</cp:revision>
  <cp:lastPrinted>2007-08-23T08:45:00Z</cp:lastPrinted>
  <dcterms:created xsi:type="dcterms:W3CDTF">2007-08-20T09:36:00Z</dcterms:created>
  <dcterms:modified xsi:type="dcterms:W3CDTF">2007-08-23T08:45:00Z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0746054</vt:lpwstr>
  </property>
  <property fmtid="{D5CDD505-2E9C-101B-9397-08002B2CF9AE}" pid="3" name="Symbol1">
    <vt:lpwstr>CEDAW/C/LIE/CO/3</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