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32BCABC" w14:textId="77777777" w:rsidTr="00B456A0">
        <w:trPr>
          <w:trHeight w:hRule="exact" w:val="810"/>
        </w:trPr>
        <w:tc>
          <w:tcPr>
            <w:tcW w:w="1266" w:type="dxa"/>
            <w:tcBorders>
              <w:top w:val="nil"/>
              <w:bottom w:val="single" w:sz="4" w:space="0" w:color="auto"/>
            </w:tcBorders>
            <w:shd w:val="clear" w:color="auto" w:fill="auto"/>
          </w:tcPr>
          <w:p w14:paraId="7935E605" w14:textId="77777777" w:rsidR="00712059" w:rsidRPr="00CA35DF" w:rsidRDefault="00712059" w:rsidP="00F95E9A">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23C64BEC"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095B6B30" w14:textId="5DF8A52B" w:rsidR="006B3E27" w:rsidRPr="00BC0351" w:rsidRDefault="00BC0351" w:rsidP="00BC0351">
            <w:pPr>
              <w:bidi w:val="0"/>
              <w:rPr>
                <w:szCs w:val="20"/>
              </w:rPr>
            </w:pPr>
            <w:r w:rsidRPr="003B3700">
              <w:rPr>
                <w:sz w:val="40"/>
                <w:szCs w:val="20"/>
              </w:rPr>
              <w:t>CAT</w:t>
            </w:r>
            <w:r w:rsidRPr="003B3700">
              <w:rPr>
                <w:szCs w:val="20"/>
              </w:rPr>
              <w:t>/C/</w:t>
            </w:r>
            <w:r w:rsidRPr="004C6318">
              <w:rPr>
                <w:szCs w:val="20"/>
              </w:rPr>
              <w:t>75</w:t>
            </w:r>
            <w:r w:rsidRPr="003B3700">
              <w:rPr>
                <w:szCs w:val="20"/>
              </w:rPr>
              <w:t>/</w:t>
            </w:r>
            <w:r w:rsidRPr="004C6318">
              <w:rPr>
                <w:szCs w:val="20"/>
              </w:rPr>
              <w:t>2</w:t>
            </w:r>
          </w:p>
        </w:tc>
      </w:tr>
      <w:tr w:rsidR="006B3E27" w:rsidRPr="00CA35DF" w14:paraId="204EF551" w14:textId="77777777" w:rsidTr="00B456A0">
        <w:trPr>
          <w:trHeight w:hRule="exact" w:val="2835"/>
        </w:trPr>
        <w:tc>
          <w:tcPr>
            <w:tcW w:w="1266" w:type="dxa"/>
            <w:tcBorders>
              <w:top w:val="nil"/>
              <w:bottom w:val="single" w:sz="12" w:space="0" w:color="auto"/>
            </w:tcBorders>
            <w:shd w:val="clear" w:color="auto" w:fill="auto"/>
          </w:tcPr>
          <w:p w14:paraId="120D4DEA" w14:textId="77777777" w:rsidR="006B3E27" w:rsidRPr="00CA35DF" w:rsidRDefault="00261289" w:rsidP="00CA35DF">
            <w:pPr>
              <w:jc w:val="center"/>
              <w:rPr>
                <w:rtl/>
              </w:rPr>
            </w:pPr>
            <w:r w:rsidRPr="00CA35DF">
              <w:rPr>
                <w:noProof/>
                <w:rtl/>
              </w:rPr>
              <w:drawing>
                <wp:inline distT="0" distB="0" distL="0" distR="0" wp14:anchorId="1B399828" wp14:editId="0B8EED9B">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372C5A7" w14:textId="77777777" w:rsidR="00A67AF5" w:rsidRPr="004C6318" w:rsidRDefault="00817373" w:rsidP="00D3653E">
            <w:pPr>
              <w:spacing w:before="120" w:after="40" w:line="580" w:lineRule="exact"/>
              <w:ind w:left="57"/>
              <w:rPr>
                <w:b/>
                <w:bCs/>
                <w:sz w:val="42"/>
                <w:szCs w:val="42"/>
              </w:rPr>
            </w:pPr>
            <w:r w:rsidRPr="004C6318">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79E26C3" w14:textId="051E9405" w:rsidR="006B3E27" w:rsidRDefault="00BC0351" w:rsidP="00EE56C3">
            <w:pPr>
              <w:bidi w:val="0"/>
              <w:spacing w:before="240"/>
              <w:rPr>
                <w:szCs w:val="20"/>
              </w:rPr>
            </w:pPr>
            <w:r>
              <w:rPr>
                <w:szCs w:val="20"/>
              </w:rPr>
              <w:t>Dist</w:t>
            </w:r>
            <w:r w:rsidR="003B3700" w:rsidRPr="003B3700">
              <w:rPr>
                <w:szCs w:val="20"/>
              </w:rPr>
              <w:t>r.:</w:t>
            </w:r>
            <w:r>
              <w:rPr>
                <w:szCs w:val="20"/>
              </w:rPr>
              <w:t xml:space="preserve"> General</w:t>
            </w:r>
          </w:p>
          <w:p w14:paraId="2AB6DD78" w14:textId="4CD11E22" w:rsidR="00BC0351" w:rsidRDefault="003B3700" w:rsidP="00BC0351">
            <w:pPr>
              <w:bidi w:val="0"/>
              <w:spacing w:line="240" w:lineRule="exact"/>
              <w:jc w:val="left"/>
              <w:rPr>
                <w:szCs w:val="20"/>
              </w:rPr>
            </w:pPr>
            <w:r w:rsidRPr="004C6318">
              <w:rPr>
                <w:szCs w:val="20"/>
              </w:rPr>
              <w:t xml:space="preserve">9 December </w:t>
            </w:r>
            <w:r w:rsidR="00BC0351" w:rsidRPr="004C6318">
              <w:rPr>
                <w:szCs w:val="20"/>
              </w:rPr>
              <w:t>2022</w:t>
            </w:r>
          </w:p>
          <w:p w14:paraId="63AEF1D2" w14:textId="77777777" w:rsidR="00BC0351" w:rsidRDefault="00BC0351" w:rsidP="00BC0351">
            <w:pPr>
              <w:bidi w:val="0"/>
              <w:spacing w:line="240" w:lineRule="exact"/>
              <w:jc w:val="left"/>
              <w:rPr>
                <w:szCs w:val="20"/>
              </w:rPr>
            </w:pPr>
            <w:r>
              <w:rPr>
                <w:szCs w:val="20"/>
              </w:rPr>
              <w:t>Arabic</w:t>
            </w:r>
          </w:p>
          <w:p w14:paraId="051561A0" w14:textId="4EEBFAD9" w:rsidR="00BC0351" w:rsidRPr="00BC0351" w:rsidRDefault="00BC0351" w:rsidP="00BC0351">
            <w:pPr>
              <w:bidi w:val="0"/>
              <w:spacing w:line="240" w:lineRule="exact"/>
              <w:jc w:val="left"/>
              <w:rPr>
                <w:szCs w:val="20"/>
              </w:rPr>
            </w:pPr>
            <w:r>
              <w:rPr>
                <w:szCs w:val="20"/>
              </w:rPr>
              <w:t>Origina</w:t>
            </w:r>
            <w:r w:rsidR="003B3700" w:rsidRPr="003B3700">
              <w:rPr>
                <w:szCs w:val="20"/>
              </w:rPr>
              <w:t xml:space="preserve">l: </w:t>
            </w:r>
            <w:r>
              <w:rPr>
                <w:szCs w:val="20"/>
              </w:rPr>
              <w:t>English</w:t>
            </w:r>
          </w:p>
        </w:tc>
      </w:tr>
    </w:tbl>
    <w:p w14:paraId="3AF13A68" w14:textId="012161B4" w:rsidR="003B3700" w:rsidRPr="004C6318" w:rsidRDefault="003B3700" w:rsidP="003B3700">
      <w:pPr>
        <w:pStyle w:val="SingleTxtGA"/>
        <w:spacing w:before="120" w:after="0"/>
        <w:ind w:left="0" w:right="283"/>
        <w:jc w:val="left"/>
        <w:rPr>
          <w:rFonts w:eastAsia="Calibri"/>
          <w:b/>
          <w:bCs/>
          <w:color w:val="000000" w:themeColor="text1"/>
          <w:sz w:val="26"/>
          <w:szCs w:val="26"/>
          <w:shd w:val="clear" w:color="000000" w:fill="FFFFFF"/>
          <w:lang w:val="ar-SA" w:eastAsia="zh-TW" w:bidi="en-GB"/>
        </w:rPr>
      </w:pPr>
      <w:r w:rsidRPr="004C6318">
        <w:rPr>
          <w:b/>
          <w:bCs/>
          <w:sz w:val="26"/>
          <w:szCs w:val="26"/>
          <w:rtl/>
        </w:rPr>
        <w:t>لجنة مناهضة التعذيب</w:t>
      </w:r>
    </w:p>
    <w:p w14:paraId="535A824B" w14:textId="67ACA4FD" w:rsidR="003B3700" w:rsidRPr="004C6318" w:rsidRDefault="003B3700" w:rsidP="003B3700">
      <w:pPr>
        <w:pStyle w:val="HChGA"/>
        <w:rPr>
          <w:rFonts w:eastAsia="Calibri"/>
          <w:sz w:val="24"/>
          <w:szCs w:val="24"/>
          <w:shd w:val="clear" w:color="000000" w:fill="FFFFFF"/>
          <w:lang w:val="ar-SA" w:eastAsia="zh-TW" w:bidi="en-GB"/>
        </w:rPr>
      </w:pPr>
      <w:r w:rsidRPr="004C6318">
        <w:rPr>
          <w:rtl/>
        </w:rPr>
        <w:tab/>
      </w:r>
      <w:r w:rsidRPr="004C6318">
        <w:rPr>
          <w:rtl/>
        </w:rPr>
        <w:tab/>
      </w:r>
      <w:r w:rsidRPr="004C6318">
        <w:rPr>
          <w:rtl/>
          <w:lang w:val="en-US"/>
        </w:rPr>
        <w:t>قرار</w:t>
      </w:r>
      <w:r w:rsidRPr="004C6318">
        <w:rPr>
          <w:rtl/>
        </w:rPr>
        <w:t xml:space="preserve"> اعتمدته اللجنة بشأن الطلبات المتعلقة بنيكاراغوا المقدمة من اللجنة الفرعية لمنع التعذيب وغيره من ضروب المعاملة أو العقوبة القاسية أو</w:t>
      </w:r>
      <w:r w:rsidRPr="004C6318">
        <w:rPr>
          <w:rFonts w:hint="cs"/>
          <w:rtl/>
        </w:rPr>
        <w:t> </w:t>
      </w:r>
      <w:r w:rsidRPr="004C6318">
        <w:rPr>
          <w:rtl/>
        </w:rPr>
        <w:t xml:space="preserve">اللاإنسانية أو المهينة بموجب المادة </w:t>
      </w:r>
      <w:r w:rsidRPr="004C6318">
        <w:rPr>
          <w:rFonts w:ascii="Simplified Arabic"/>
          <w:rtl/>
        </w:rPr>
        <w:t>16(4)</w:t>
      </w:r>
      <w:r w:rsidRPr="004C6318">
        <w:rPr>
          <w:rtl/>
        </w:rPr>
        <w:t xml:space="preserve"> من البروتوكول الاختياري</w:t>
      </w:r>
      <w:r w:rsidRPr="004C6318">
        <w:rPr>
          <w:rFonts w:hint="cs"/>
          <w:rtl/>
        </w:rPr>
        <w:t> </w:t>
      </w:r>
      <w:r w:rsidRPr="004C6318">
        <w:rPr>
          <w:rtl/>
        </w:rPr>
        <w:t>للاتفاقية</w:t>
      </w:r>
      <w:r w:rsidRPr="004C6318">
        <w:rPr>
          <w:rStyle w:val="FootnoteReference"/>
          <w:sz w:val="26"/>
          <w:szCs w:val="26"/>
          <w:vertAlign w:val="baseline"/>
          <w:rtl/>
        </w:rPr>
        <w:footnoteReference w:customMarkFollows="1" w:id="1"/>
        <w:t>*</w:t>
      </w:r>
    </w:p>
    <w:p w14:paraId="01FB5107" w14:textId="2C408506"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t>1</w:t>
      </w:r>
      <w:r w:rsidRPr="003B3700">
        <w:rPr>
          <w:rFonts w:eastAsiaTheme="minorEastAsia"/>
          <w:rtl/>
        </w:rPr>
        <w:t>-</w:t>
      </w:r>
      <w:r w:rsidRPr="003B3700">
        <w:rPr>
          <w:rFonts w:eastAsiaTheme="minorEastAsia"/>
          <w:rtl/>
        </w:rPr>
        <w:tab/>
        <w:t xml:space="preserve">صدقت نيكاراغوا على الاتفاقية في </w:t>
      </w:r>
      <w:r w:rsidRPr="004C6318">
        <w:rPr>
          <w:rFonts w:eastAsiaTheme="minorEastAsia"/>
          <w:rtl/>
        </w:rPr>
        <w:t>5</w:t>
      </w:r>
      <w:r w:rsidRPr="003B3700">
        <w:rPr>
          <w:rFonts w:eastAsiaTheme="minorEastAsia"/>
          <w:rtl/>
        </w:rPr>
        <w:t xml:space="preserve"> تموز/يوليه </w:t>
      </w:r>
      <w:r w:rsidRPr="004C6318">
        <w:rPr>
          <w:rFonts w:eastAsiaTheme="minorEastAsia"/>
          <w:rtl/>
        </w:rPr>
        <w:t>2005</w:t>
      </w:r>
      <w:r w:rsidRPr="003B3700">
        <w:rPr>
          <w:rFonts w:eastAsiaTheme="minorEastAsia"/>
          <w:rtl/>
        </w:rPr>
        <w:t xml:space="preserve"> وعلى البروتوكول الاختياري الملحق بها في </w:t>
      </w:r>
      <w:r w:rsidRPr="004C6318">
        <w:rPr>
          <w:rFonts w:eastAsiaTheme="minorEastAsia"/>
          <w:rtl/>
        </w:rPr>
        <w:t>25</w:t>
      </w:r>
      <w:r w:rsidRPr="003B3700">
        <w:rPr>
          <w:rFonts w:eastAsiaTheme="minorEastAsia"/>
          <w:rtl/>
        </w:rPr>
        <w:t xml:space="preserve"> شباط/فبراير </w:t>
      </w:r>
      <w:r w:rsidRPr="004C6318">
        <w:rPr>
          <w:rFonts w:eastAsiaTheme="minorEastAsia"/>
          <w:rtl/>
        </w:rPr>
        <w:t>2009</w:t>
      </w:r>
      <w:r w:rsidRPr="003B3700">
        <w:rPr>
          <w:rFonts w:eastAsiaTheme="minorEastAsia"/>
          <w:rtl/>
        </w:rPr>
        <w:t>.</w:t>
      </w:r>
    </w:p>
    <w:p w14:paraId="4AB16EBB" w14:textId="1069A973"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t>2</w:t>
      </w:r>
      <w:r w:rsidRPr="003B3700">
        <w:rPr>
          <w:rFonts w:eastAsiaTheme="minorEastAsia"/>
          <w:rtl/>
        </w:rPr>
        <w:t>-</w:t>
      </w:r>
      <w:r w:rsidRPr="003B3700">
        <w:rPr>
          <w:rFonts w:eastAsiaTheme="minorEastAsia"/>
          <w:rtl/>
        </w:rPr>
        <w:tab/>
        <w:t xml:space="preserve">وفي </w:t>
      </w:r>
      <w:r w:rsidRPr="004C6318">
        <w:rPr>
          <w:rFonts w:eastAsiaTheme="minorEastAsia"/>
          <w:rtl/>
        </w:rPr>
        <w:t>10</w:t>
      </w:r>
      <w:r w:rsidRPr="003B3700">
        <w:rPr>
          <w:rFonts w:eastAsiaTheme="minorEastAsia"/>
          <w:rtl/>
        </w:rPr>
        <w:t xml:space="preserve"> تشرين الثاني/نوفمبر </w:t>
      </w:r>
      <w:r w:rsidRPr="004C6318">
        <w:rPr>
          <w:rFonts w:eastAsiaTheme="minorEastAsia"/>
          <w:rtl/>
        </w:rPr>
        <w:t>2022</w:t>
      </w:r>
      <w:r w:rsidRPr="003B3700">
        <w:rPr>
          <w:rFonts w:eastAsiaTheme="minorEastAsia"/>
          <w:rtl/>
        </w:rPr>
        <w:t xml:space="preserve">، طلبت اللجنة الفرعية لمنع التعذيب وغيره من ضروب المعاملة أو العقوبة القاسية أو اللاإنسانية أو المهينة، بموجب المادة </w:t>
      </w:r>
      <w:r w:rsidRPr="004C6318">
        <w:rPr>
          <w:rFonts w:eastAsiaTheme="minorEastAsia"/>
          <w:rtl/>
        </w:rPr>
        <w:t>16</w:t>
      </w:r>
      <w:r w:rsidRPr="003B3700">
        <w:rPr>
          <w:rFonts w:eastAsiaTheme="minorEastAsia"/>
          <w:rtl/>
        </w:rPr>
        <w:t>(</w:t>
      </w:r>
      <w:r w:rsidRPr="004C6318">
        <w:rPr>
          <w:rFonts w:eastAsiaTheme="minorEastAsia"/>
          <w:rtl/>
        </w:rPr>
        <w:t>4</w:t>
      </w:r>
      <w:r w:rsidRPr="003B3700">
        <w:rPr>
          <w:rFonts w:eastAsiaTheme="minorEastAsia"/>
          <w:rtl/>
        </w:rPr>
        <w:t>) من البروتوكول الاختياري، أن تدلي اللجنة ببيان عام بشأن رفض حكومة نيكاراغوا التعاون مع اللجنة الفرعية وفق</w:t>
      </w:r>
      <w:r>
        <w:rPr>
          <w:rFonts w:eastAsiaTheme="minorEastAsia"/>
          <w:rtl/>
        </w:rPr>
        <w:t xml:space="preserve">اً </w:t>
      </w:r>
      <w:r w:rsidRPr="003B3700">
        <w:rPr>
          <w:rFonts w:eastAsiaTheme="minorEastAsia"/>
          <w:rtl/>
        </w:rPr>
        <w:t xml:space="preserve">للمادتين </w:t>
      </w:r>
      <w:r w:rsidRPr="004C6318">
        <w:rPr>
          <w:rFonts w:eastAsiaTheme="minorEastAsia"/>
          <w:rtl/>
        </w:rPr>
        <w:t>12</w:t>
      </w:r>
      <w:r w:rsidRPr="003B3700">
        <w:rPr>
          <w:rFonts w:eastAsiaTheme="minorEastAsia"/>
          <w:rtl/>
        </w:rPr>
        <w:t xml:space="preserve"> و</w:t>
      </w:r>
      <w:r w:rsidRPr="004C6318">
        <w:rPr>
          <w:rFonts w:eastAsiaTheme="minorEastAsia"/>
          <w:rtl/>
        </w:rPr>
        <w:t>14</w:t>
      </w:r>
      <w:r w:rsidRPr="003B3700">
        <w:rPr>
          <w:rFonts w:eastAsiaTheme="minorEastAsia"/>
          <w:rtl/>
        </w:rPr>
        <w:t xml:space="preserve"> من البروتوكول الاختياري، وأن تنشر تقرير اللجنة الفرعية عن زيارتها إلى نيكاراغوا في عام </w:t>
      </w:r>
      <w:r w:rsidRPr="004C6318">
        <w:rPr>
          <w:rFonts w:eastAsiaTheme="minorEastAsia"/>
          <w:rtl/>
        </w:rPr>
        <w:t>2014</w:t>
      </w:r>
      <w:r w:rsidRPr="003B3700">
        <w:rPr>
          <w:rFonts w:eastAsiaTheme="minorEastAsia"/>
          <w:rtl/>
        </w:rPr>
        <w:t>، الذي يتضمن توصيات اللجنة الفرعية وملاحظاتها للدولة الطرف.</w:t>
      </w:r>
    </w:p>
    <w:p w14:paraId="13F1CD89" w14:textId="77777777"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t>3</w:t>
      </w:r>
      <w:r w:rsidRPr="003B3700">
        <w:rPr>
          <w:rFonts w:eastAsiaTheme="minorEastAsia"/>
          <w:rtl/>
        </w:rPr>
        <w:t>-</w:t>
      </w:r>
      <w:r w:rsidRPr="003B3700">
        <w:rPr>
          <w:rFonts w:eastAsiaTheme="minorEastAsia"/>
          <w:rtl/>
        </w:rPr>
        <w:tab/>
        <w:t xml:space="preserve">والأسباب الرئيسية التي ذكرتها اللجنة الفرعية بخصوص طلبيْها ذات شقين: أولا، رفض الدولة الطرف قبول زيارة من اللجنة الفرعية في عام </w:t>
      </w:r>
      <w:r w:rsidRPr="004C6318">
        <w:rPr>
          <w:rFonts w:eastAsiaTheme="minorEastAsia"/>
          <w:rtl/>
        </w:rPr>
        <w:t>2023</w:t>
      </w:r>
      <w:r w:rsidRPr="003B3700">
        <w:rPr>
          <w:rFonts w:eastAsiaTheme="minorEastAsia"/>
          <w:rtl/>
        </w:rPr>
        <w:t xml:space="preserve"> أو التعامل معها بطرق أخرى، على الرغم من الجهود التي تبذلها اللجنة الفرعية لشرح ولايتها والتزامات الدول الأطراف في البروتوكول الاختياري؛ وثانيا، عدم تقديم الدولة الطرف معلومات بشأن التدابير المتخذة لتنفيذ التوصيات الواردة في تقرير اللجنة الفرعية عن زيارتها إلى نيكاراغوا.</w:t>
      </w:r>
    </w:p>
    <w:p w14:paraId="3E66ACD4" w14:textId="62E02B23"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t>4</w:t>
      </w:r>
      <w:r w:rsidRPr="003B3700">
        <w:rPr>
          <w:rFonts w:eastAsiaTheme="minorEastAsia"/>
          <w:rtl/>
        </w:rPr>
        <w:t>-</w:t>
      </w:r>
      <w:r w:rsidRPr="003B3700">
        <w:rPr>
          <w:rFonts w:eastAsiaTheme="minorEastAsia"/>
          <w:rtl/>
        </w:rPr>
        <w:tab/>
        <w:t>وعمل</w:t>
      </w:r>
      <w:r>
        <w:rPr>
          <w:rFonts w:eastAsiaTheme="minorEastAsia"/>
          <w:rtl/>
        </w:rPr>
        <w:t xml:space="preserve">اً </w:t>
      </w:r>
      <w:r w:rsidRPr="003B3700">
        <w:rPr>
          <w:rFonts w:eastAsiaTheme="minorEastAsia"/>
          <w:rtl/>
        </w:rPr>
        <w:t xml:space="preserve">بالفقرة </w:t>
      </w:r>
      <w:r w:rsidRPr="004C6318">
        <w:rPr>
          <w:rFonts w:eastAsiaTheme="minorEastAsia"/>
          <w:rtl/>
        </w:rPr>
        <w:t>4</w:t>
      </w:r>
      <w:r w:rsidRPr="003B3700">
        <w:rPr>
          <w:rFonts w:eastAsiaTheme="minorEastAsia"/>
          <w:rtl/>
        </w:rPr>
        <w:t xml:space="preserve"> من المادة </w:t>
      </w:r>
      <w:r w:rsidRPr="004C6318">
        <w:rPr>
          <w:rFonts w:eastAsiaTheme="minorEastAsia"/>
          <w:rtl/>
        </w:rPr>
        <w:t>16</w:t>
      </w:r>
      <w:r w:rsidRPr="003B3700">
        <w:rPr>
          <w:rFonts w:eastAsiaTheme="minorEastAsia"/>
          <w:rtl/>
        </w:rPr>
        <w:t xml:space="preserve"> من البروتوكول الاختياري، دعت اللجنة الممثل الدائم لنيكاراغوا لدى مكتب الأمم المتحدة والمنظمات الدولية الأخرى في جنيف إلى حضور جلسة خاصة في </w:t>
      </w:r>
      <w:r w:rsidRPr="004C6318">
        <w:rPr>
          <w:rFonts w:eastAsiaTheme="minorEastAsia"/>
          <w:rtl/>
        </w:rPr>
        <w:t>22</w:t>
      </w:r>
      <w:r w:rsidRPr="003B3700">
        <w:rPr>
          <w:rFonts w:eastAsiaTheme="minorEastAsia"/>
          <w:rtl/>
        </w:rPr>
        <w:t xml:space="preserve"> تشرين الثاني/نوفمبر </w:t>
      </w:r>
      <w:r w:rsidRPr="004C6318">
        <w:rPr>
          <w:rFonts w:eastAsiaTheme="minorEastAsia"/>
          <w:rtl/>
        </w:rPr>
        <w:t>2022</w:t>
      </w:r>
      <w:r w:rsidRPr="003B3700">
        <w:rPr>
          <w:rFonts w:eastAsiaTheme="minorEastAsia"/>
          <w:rtl/>
        </w:rPr>
        <w:t xml:space="preserve"> للإعراب عن آرائها. وللأسف، لم تتلق اللجنة أي رد على الدعوة. </w:t>
      </w:r>
    </w:p>
    <w:p w14:paraId="0401135E" w14:textId="584A65A5"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t>5</w:t>
      </w:r>
      <w:r w:rsidRPr="003B3700">
        <w:rPr>
          <w:rFonts w:eastAsiaTheme="minorEastAsia"/>
          <w:rtl/>
        </w:rPr>
        <w:t>-</w:t>
      </w:r>
      <w:r w:rsidRPr="003B3700">
        <w:rPr>
          <w:rFonts w:eastAsiaTheme="minorEastAsia"/>
          <w:rtl/>
        </w:rPr>
        <w:tab/>
        <w:t>ونظر</w:t>
      </w:r>
      <w:r>
        <w:rPr>
          <w:rFonts w:eastAsiaTheme="minorEastAsia"/>
          <w:rtl/>
        </w:rPr>
        <w:t xml:space="preserve">اً </w:t>
      </w:r>
      <w:r w:rsidRPr="003B3700">
        <w:rPr>
          <w:rFonts w:eastAsiaTheme="minorEastAsia"/>
          <w:rtl/>
        </w:rPr>
        <w:t xml:space="preserve">لعدم ورود أي تفسير من الدولة الطرف في هذا الصدد، وبعد إيلاء الاعتبار الواجب لطلب اللجنة الفرعية، قررت اللجنة في </w:t>
      </w:r>
      <w:r w:rsidRPr="004C6318">
        <w:rPr>
          <w:rFonts w:eastAsiaTheme="minorEastAsia"/>
          <w:rtl/>
        </w:rPr>
        <w:t>23</w:t>
      </w:r>
      <w:r w:rsidRPr="003B3700">
        <w:rPr>
          <w:rFonts w:eastAsiaTheme="minorEastAsia"/>
          <w:rtl/>
        </w:rPr>
        <w:t xml:space="preserve"> تشرين الثاني/نوفمبر </w:t>
      </w:r>
      <w:r w:rsidRPr="004C6318">
        <w:rPr>
          <w:rFonts w:eastAsiaTheme="minorEastAsia"/>
          <w:rtl/>
        </w:rPr>
        <w:t>2022</w:t>
      </w:r>
      <w:r w:rsidRPr="003B3700">
        <w:rPr>
          <w:rFonts w:eastAsiaTheme="minorEastAsia"/>
          <w:rtl/>
        </w:rPr>
        <w:t xml:space="preserve"> أن تصدر بياناً عاماً بشأن هذه المسألة وأن تنشر تقرير اللجنة الفرعية عن زيارتها إلى نيكاراغوا</w:t>
      </w:r>
      <w:r w:rsidRPr="004C6318">
        <w:rPr>
          <w:rStyle w:val="FootnoteReference"/>
          <w:rFonts w:eastAsiaTheme="minorEastAsia"/>
          <w:sz w:val="22"/>
          <w:shd w:val="clear" w:color="000000" w:fill="FFFFFF"/>
          <w:rtl/>
        </w:rPr>
        <w:t>(</w:t>
      </w:r>
      <w:r w:rsidRPr="004C6318">
        <w:rPr>
          <w:rStyle w:val="FootnoteReference"/>
          <w:rFonts w:eastAsiaTheme="minorEastAsia"/>
          <w:sz w:val="22"/>
          <w:shd w:val="clear" w:color="000000" w:fill="FFFFFF"/>
          <w:lang w:val="en-US"/>
        </w:rPr>
        <w:footnoteReference w:id="2"/>
      </w:r>
      <w:r>
        <w:rPr>
          <w:rStyle w:val="FootnoteReference"/>
          <w:rFonts w:eastAsiaTheme="minorEastAsia" w:hint="cs"/>
          <w:sz w:val="22"/>
          <w:shd w:val="clear" w:color="000000" w:fill="FFFFFF"/>
          <w:rtl/>
        </w:rPr>
        <w:t>)</w:t>
      </w:r>
      <w:r w:rsidRPr="003B3700">
        <w:rPr>
          <w:rFonts w:eastAsiaTheme="minorEastAsia"/>
          <w:rtl/>
        </w:rPr>
        <w:t xml:space="preserve">. </w:t>
      </w:r>
    </w:p>
    <w:p w14:paraId="3850A22A" w14:textId="0CA0B3E6" w:rsidR="003B3700" w:rsidRPr="003B3700" w:rsidRDefault="003B3700" w:rsidP="003B3700">
      <w:pPr>
        <w:pStyle w:val="SingleTxtGA"/>
        <w:rPr>
          <w:rFonts w:eastAsiaTheme="minorEastAsia"/>
          <w:shd w:val="clear" w:color="000000" w:fill="FFFFFF"/>
          <w:lang w:val="ar-SA" w:eastAsia="zh-TW" w:bidi="en-GB"/>
        </w:rPr>
      </w:pPr>
      <w:r w:rsidRPr="004C6318">
        <w:rPr>
          <w:rFonts w:eastAsiaTheme="minorEastAsia"/>
          <w:rtl/>
        </w:rPr>
        <w:lastRenderedPageBreak/>
        <w:t>6</w:t>
      </w:r>
      <w:r w:rsidRPr="003B3700">
        <w:rPr>
          <w:rFonts w:eastAsiaTheme="minorEastAsia"/>
          <w:rtl/>
        </w:rPr>
        <w:t>-</w:t>
      </w:r>
      <w:r w:rsidRPr="003B3700">
        <w:rPr>
          <w:rFonts w:eastAsiaTheme="minorEastAsia"/>
          <w:rtl/>
        </w:rPr>
        <w:tab/>
        <w:t>وتطبيق</w:t>
      </w:r>
      <w:r>
        <w:rPr>
          <w:rFonts w:eastAsiaTheme="minorEastAsia"/>
          <w:rtl/>
        </w:rPr>
        <w:t xml:space="preserve">اً </w:t>
      </w:r>
      <w:r w:rsidRPr="003B3700">
        <w:rPr>
          <w:rFonts w:eastAsiaTheme="minorEastAsia"/>
          <w:rtl/>
        </w:rPr>
        <w:t>لهذا القرار، ستصدر اللجنة بيان</w:t>
      </w:r>
      <w:r>
        <w:rPr>
          <w:rFonts w:eastAsiaTheme="minorEastAsia"/>
          <w:rtl/>
        </w:rPr>
        <w:t xml:space="preserve">اً </w:t>
      </w:r>
      <w:r w:rsidRPr="003B3700">
        <w:rPr>
          <w:rFonts w:eastAsiaTheme="minorEastAsia"/>
          <w:rtl/>
        </w:rPr>
        <w:t xml:space="preserve">في </w:t>
      </w:r>
      <w:r w:rsidRPr="004C6318">
        <w:rPr>
          <w:rFonts w:eastAsiaTheme="minorEastAsia"/>
          <w:rtl/>
        </w:rPr>
        <w:t>29</w:t>
      </w:r>
      <w:r w:rsidRPr="003B3700">
        <w:rPr>
          <w:rFonts w:eastAsiaTheme="minorEastAsia"/>
          <w:rtl/>
        </w:rPr>
        <w:t xml:space="preserve"> تشرين الثاني/نوفمبر </w:t>
      </w:r>
      <w:r w:rsidRPr="004C6318">
        <w:rPr>
          <w:rFonts w:eastAsiaTheme="minorEastAsia"/>
          <w:rtl/>
        </w:rPr>
        <w:t>2022</w:t>
      </w:r>
      <w:r w:rsidRPr="003B3700">
        <w:rPr>
          <w:rFonts w:eastAsiaTheme="minorEastAsia"/>
          <w:rtl/>
        </w:rPr>
        <w:t xml:space="preserve">. وتعتزم اللجنة دعوة اللجنة الفرعية إلى الانضمام إلى البيان قبل إصداره. </w:t>
      </w:r>
    </w:p>
    <w:p w14:paraId="0869F4C3" w14:textId="46BCE4F7" w:rsidR="003B3700" w:rsidRDefault="003B3700" w:rsidP="003B3700">
      <w:pPr>
        <w:pStyle w:val="SingleTxtGA"/>
        <w:rPr>
          <w:rFonts w:eastAsiaTheme="minorEastAsia"/>
          <w:shd w:val="clear" w:color="000000" w:fill="FFFFFF"/>
          <w:lang w:val="en-US" w:eastAsia="zh-TW" w:bidi="en-GB"/>
        </w:rPr>
      </w:pPr>
      <w:r w:rsidRPr="004C6318">
        <w:rPr>
          <w:rFonts w:eastAsiaTheme="minorEastAsia"/>
          <w:rtl/>
        </w:rPr>
        <w:t>7</w:t>
      </w:r>
      <w:r w:rsidRPr="003B3700">
        <w:rPr>
          <w:rFonts w:eastAsiaTheme="minorEastAsia"/>
          <w:rtl/>
        </w:rPr>
        <w:t>-</w:t>
      </w:r>
      <w:r w:rsidRPr="003B3700">
        <w:rPr>
          <w:rFonts w:eastAsiaTheme="minorEastAsia"/>
          <w:rtl/>
        </w:rPr>
        <w:tab/>
        <w:t>ويُعلَن هذا المقرر بعد إحالته إلى اللجنة الفرعية والدولة الطرف.</w:t>
      </w:r>
    </w:p>
    <w:p w14:paraId="62CF93F2" w14:textId="506B8FB1" w:rsidR="003B3700" w:rsidRPr="003B3700" w:rsidRDefault="003B3700" w:rsidP="003B3700">
      <w:pPr>
        <w:pStyle w:val="SingleTxtGA"/>
        <w:jc w:val="center"/>
        <w:rPr>
          <w:u w:val="single"/>
          <w:shd w:val="clear" w:color="000000" w:fill="FFFFFF"/>
          <w:rtl/>
          <w:lang w:eastAsia="zh-TW"/>
        </w:rPr>
      </w:pPr>
      <w:r>
        <w:rPr>
          <w:u w:val="single"/>
          <w:shd w:val="clear" w:color="000000" w:fill="FFFFFF"/>
          <w:rtl/>
          <w:lang w:eastAsia="zh-TW"/>
        </w:rPr>
        <w:tab/>
      </w:r>
      <w:r>
        <w:rPr>
          <w:u w:val="single"/>
          <w:shd w:val="clear" w:color="000000" w:fill="FFFFFF"/>
          <w:rtl/>
          <w:lang w:eastAsia="zh-TW"/>
        </w:rPr>
        <w:tab/>
      </w:r>
      <w:r>
        <w:rPr>
          <w:u w:val="single"/>
          <w:shd w:val="clear" w:color="000000" w:fill="FFFFFF"/>
          <w:rtl/>
          <w:lang w:eastAsia="zh-TW"/>
        </w:rPr>
        <w:tab/>
      </w:r>
    </w:p>
    <w:sectPr w:rsidR="003B3700" w:rsidRPr="003B3700" w:rsidSect="00BC035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C6CE0" w14:textId="77777777" w:rsidR="00F6045A" w:rsidRPr="002901D9" w:rsidRDefault="00F6045A" w:rsidP="00874514">
      <w:pPr>
        <w:spacing w:after="60" w:line="240" w:lineRule="auto"/>
        <w:ind w:left="57"/>
        <w:rPr>
          <w:i/>
          <w:iCs/>
        </w:rPr>
      </w:pPr>
      <w:r>
        <w:rPr>
          <w:rFonts w:hint="cs"/>
          <w:i/>
          <w:iCs/>
          <w:rtl/>
        </w:rPr>
        <w:t>الحواشي</w:t>
      </w:r>
    </w:p>
  </w:endnote>
  <w:endnote w:type="continuationSeparator" w:id="0">
    <w:p w14:paraId="16B44CD1" w14:textId="77777777" w:rsidR="00F6045A" w:rsidRDefault="00F6045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DB579" w14:textId="5A618FC8" w:rsidR="00F95E9A" w:rsidRPr="00F95E9A" w:rsidRDefault="00F95E9A" w:rsidP="00F95E9A">
    <w:pPr>
      <w:pStyle w:val="Footer"/>
      <w:tabs>
        <w:tab w:val="right" w:pos="9638"/>
      </w:tabs>
      <w:rPr>
        <w:b/>
        <w:sz w:val="18"/>
        <w:lang w:val="en-US"/>
      </w:rPr>
    </w:pPr>
    <w:r>
      <w:rPr>
        <w:lang w:val="en-US"/>
      </w:rPr>
      <w:t>GE.22-26918</w:t>
    </w:r>
    <w:r>
      <w:rPr>
        <w:lang w:val="en-US"/>
      </w:rPr>
      <w:tab/>
    </w:r>
    <w:r w:rsidRPr="00F95E9A">
      <w:rPr>
        <w:b/>
        <w:sz w:val="18"/>
        <w:lang w:val="en-US"/>
      </w:rPr>
      <w:fldChar w:fldCharType="begin"/>
    </w:r>
    <w:r w:rsidRPr="00F95E9A">
      <w:rPr>
        <w:b/>
        <w:sz w:val="18"/>
        <w:lang w:val="en-US"/>
      </w:rPr>
      <w:instrText xml:space="preserve"> PAGE  \* MERGEFORMAT </w:instrText>
    </w:r>
    <w:r w:rsidRPr="00F95E9A">
      <w:rPr>
        <w:b/>
        <w:sz w:val="18"/>
        <w:lang w:val="en-US"/>
      </w:rPr>
      <w:fldChar w:fldCharType="separate"/>
    </w:r>
    <w:r w:rsidRPr="00F95E9A">
      <w:rPr>
        <w:b/>
        <w:noProof/>
        <w:sz w:val="18"/>
        <w:lang w:val="en-US"/>
      </w:rPr>
      <w:t>2</w:t>
    </w:r>
    <w:r w:rsidRPr="00F95E9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41E78" w14:textId="35ABFA4D" w:rsidR="006959B0" w:rsidRPr="00F95E9A" w:rsidRDefault="00F95E9A" w:rsidP="00F95E9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GE.22-26918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FF4EA" w14:textId="26CC01AD" w:rsidR="00261289" w:rsidRPr="00F95E9A" w:rsidRDefault="00F95E9A" w:rsidP="00F95E9A">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D3C782B" wp14:editId="4FF1028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22-26918 (A)</w:t>
    </w:r>
    <w:r>
      <w:rPr>
        <w:noProof/>
        <w:sz w:val="20"/>
        <w:lang w:val="en-US"/>
      </w:rPr>
      <w:drawing>
        <wp:anchor distT="0" distB="0" distL="114300" distR="114300" simplePos="0" relativeHeight="251659264" behindDoc="0" locked="0" layoutInCell="1" allowOverlap="1" wp14:anchorId="62BF50F5" wp14:editId="3C5C1A5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E7EB" w14:textId="77777777" w:rsidR="00F6045A" w:rsidRPr="00C111C6" w:rsidRDefault="00F6045A"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FBA702" w14:textId="77777777" w:rsidR="00F6045A" w:rsidRDefault="00F6045A" w:rsidP="00656392">
      <w:pPr>
        <w:spacing w:line="240" w:lineRule="auto"/>
      </w:pPr>
      <w:r>
        <w:continuationSeparator/>
      </w:r>
    </w:p>
  </w:footnote>
  <w:footnote w:id="1">
    <w:p w14:paraId="4FF8D236" w14:textId="427A6CB5" w:rsidR="003B3700" w:rsidRPr="003B3700" w:rsidRDefault="003B3700" w:rsidP="003B3700">
      <w:pPr>
        <w:pStyle w:val="FootnoteText1"/>
        <w:rPr>
          <w:rFonts w:eastAsiaTheme="minorEastAsia"/>
          <w:rtl/>
        </w:rPr>
      </w:pPr>
      <w:r w:rsidRPr="002519C1">
        <w:rPr>
          <w:rFonts w:eastAsiaTheme="minorEastAsia"/>
          <w:sz w:val="20"/>
          <w:szCs w:val="20"/>
          <w:rtl/>
        </w:rPr>
        <w:t>*</w:t>
      </w:r>
      <w:r w:rsidRPr="003B3700">
        <w:rPr>
          <w:rFonts w:eastAsiaTheme="minorEastAsia"/>
          <w:rtl/>
        </w:rPr>
        <w:tab/>
        <w:t xml:space="preserve">اعتمدته اللجنة في دورتها </w:t>
      </w:r>
      <w:r w:rsidRPr="004C6318">
        <w:rPr>
          <w:rFonts w:eastAsiaTheme="minorEastAsia"/>
          <w:rtl/>
        </w:rPr>
        <w:t>75</w:t>
      </w:r>
      <w:r w:rsidRPr="003B3700">
        <w:rPr>
          <w:rFonts w:eastAsiaTheme="minorEastAsia"/>
          <w:rtl/>
        </w:rPr>
        <w:t xml:space="preserve"> (</w:t>
      </w:r>
      <w:r w:rsidRPr="004C6318">
        <w:rPr>
          <w:rFonts w:eastAsiaTheme="minorEastAsia"/>
          <w:rtl/>
        </w:rPr>
        <w:t>31</w:t>
      </w:r>
      <w:r w:rsidRPr="003B3700">
        <w:rPr>
          <w:rFonts w:eastAsiaTheme="minorEastAsia"/>
          <w:rtl/>
        </w:rPr>
        <w:t xml:space="preserve"> تشرين الأول/أكتوبر </w:t>
      </w:r>
      <w:r>
        <w:rPr>
          <w:rFonts w:eastAsiaTheme="minorEastAsia" w:hint="cs"/>
          <w:rtl/>
        </w:rPr>
        <w:t>-</w:t>
      </w:r>
      <w:r w:rsidRPr="004C6318">
        <w:rPr>
          <w:rFonts w:eastAsiaTheme="minorEastAsia" w:hint="cs"/>
          <w:rtl/>
        </w:rPr>
        <w:t xml:space="preserve"> </w:t>
      </w:r>
      <w:r w:rsidRPr="004C6318">
        <w:rPr>
          <w:rFonts w:eastAsiaTheme="minorEastAsia"/>
          <w:rtl/>
        </w:rPr>
        <w:t>25</w:t>
      </w:r>
      <w:r w:rsidRPr="003B3700">
        <w:rPr>
          <w:rFonts w:eastAsiaTheme="minorEastAsia"/>
          <w:rtl/>
        </w:rPr>
        <w:t xml:space="preserve"> تشرين الثاني/نوفمبر </w:t>
      </w:r>
      <w:r w:rsidRPr="004C6318">
        <w:rPr>
          <w:rFonts w:eastAsiaTheme="minorEastAsia"/>
          <w:rtl/>
        </w:rPr>
        <w:t>2022</w:t>
      </w:r>
      <w:r w:rsidRPr="003B3700">
        <w:rPr>
          <w:rFonts w:eastAsiaTheme="minorEastAsia"/>
          <w:rtl/>
        </w:rPr>
        <w:t xml:space="preserve">). </w:t>
      </w:r>
    </w:p>
  </w:footnote>
  <w:footnote w:id="2">
    <w:p w14:paraId="4F585D5E" w14:textId="77777777" w:rsidR="003B3700" w:rsidRPr="003B3700" w:rsidRDefault="003B3700" w:rsidP="003B3700">
      <w:pPr>
        <w:pStyle w:val="FootnoteText1"/>
        <w:textDirection w:val="tbRlV"/>
        <w:rPr>
          <w:rFonts w:eastAsiaTheme="minorEastAsia"/>
          <w:lang w:val="ar-SA" w:eastAsia="zh-TW" w:bidi="en-GB"/>
        </w:rPr>
      </w:pPr>
      <w:r w:rsidRPr="003B3700">
        <w:rPr>
          <w:rFonts w:eastAsiaTheme="minorEastAsia" w:hint="cs"/>
          <w:rtl/>
        </w:rPr>
        <w:t>(</w:t>
      </w:r>
      <w:r w:rsidRPr="004C6318">
        <w:rPr>
          <w:rStyle w:val="FootnoteReference"/>
          <w:rFonts w:eastAsiaTheme="minorEastAsia"/>
          <w:vertAlign w:val="baseline"/>
        </w:rPr>
        <w:footnoteRef/>
      </w:r>
      <w:r w:rsidRPr="003B3700">
        <w:rPr>
          <w:rFonts w:eastAsiaTheme="minorEastAsia" w:hint="cs"/>
          <w:rtl/>
        </w:rPr>
        <w:t>)</w:t>
      </w:r>
      <w:r w:rsidRPr="003B3700">
        <w:rPr>
          <w:rFonts w:eastAsiaTheme="minorEastAsia"/>
          <w:rtl/>
        </w:rPr>
        <w:tab/>
        <w:t xml:space="preserve">سيصدر التقرير العام تحت الرمز </w:t>
      </w:r>
      <w:hyperlink r:id="rId1" w:history="1">
        <w:r w:rsidRPr="003B3700">
          <w:rPr>
            <w:rStyle w:val="Hyperlink"/>
            <w:rFonts w:eastAsiaTheme="minorEastAsia"/>
          </w:rPr>
          <w:t>CAT/OP/NIC/ROSP/</w:t>
        </w:r>
        <w:r w:rsidRPr="004C6318">
          <w:rPr>
            <w:rStyle w:val="Hyperlink"/>
            <w:rFonts w:eastAsiaTheme="minorEastAsia"/>
          </w:rPr>
          <w:t>1</w:t>
        </w:r>
      </w:hyperlink>
      <w:r w:rsidRPr="003B3700">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6CD93" w14:textId="5A568ADE" w:rsidR="00F95E9A" w:rsidRPr="00F95E9A" w:rsidRDefault="00F95E9A" w:rsidP="00F95E9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7F3A" w14:textId="3125D58B" w:rsidR="00F95E9A" w:rsidRPr="00F95E9A" w:rsidRDefault="00F95E9A" w:rsidP="00F95E9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CAT/C/75/2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AA9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DF"/>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519C1"/>
    <w:rsid w:val="00261289"/>
    <w:rsid w:val="00266034"/>
    <w:rsid w:val="0026755E"/>
    <w:rsid w:val="00267A0E"/>
    <w:rsid w:val="002901D9"/>
    <w:rsid w:val="002976C2"/>
    <w:rsid w:val="002D55DF"/>
    <w:rsid w:val="00323EC8"/>
    <w:rsid w:val="003260FF"/>
    <w:rsid w:val="00343D95"/>
    <w:rsid w:val="00362E33"/>
    <w:rsid w:val="00374341"/>
    <w:rsid w:val="00384DA7"/>
    <w:rsid w:val="003B3700"/>
    <w:rsid w:val="003D1062"/>
    <w:rsid w:val="00420D7B"/>
    <w:rsid w:val="00450B21"/>
    <w:rsid w:val="00453B63"/>
    <w:rsid w:val="00455780"/>
    <w:rsid w:val="00462F28"/>
    <w:rsid w:val="00472BE8"/>
    <w:rsid w:val="004811D5"/>
    <w:rsid w:val="004956DC"/>
    <w:rsid w:val="004B0A1C"/>
    <w:rsid w:val="004C6318"/>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27E64"/>
    <w:rsid w:val="00645840"/>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C0351"/>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3E39"/>
    <w:rsid w:val="00D3653E"/>
    <w:rsid w:val="00D42810"/>
    <w:rsid w:val="00D914A7"/>
    <w:rsid w:val="00DB712F"/>
    <w:rsid w:val="00DC1D29"/>
    <w:rsid w:val="00DD13C3"/>
    <w:rsid w:val="00DD596E"/>
    <w:rsid w:val="00DD621E"/>
    <w:rsid w:val="00DE3471"/>
    <w:rsid w:val="00DF0575"/>
    <w:rsid w:val="00E2697F"/>
    <w:rsid w:val="00E64B72"/>
    <w:rsid w:val="00E70E04"/>
    <w:rsid w:val="00E76499"/>
    <w:rsid w:val="00EA6F8B"/>
    <w:rsid w:val="00EC05A7"/>
    <w:rsid w:val="00EC4B6B"/>
    <w:rsid w:val="00EE56C3"/>
    <w:rsid w:val="00EF1EE5"/>
    <w:rsid w:val="00F158EB"/>
    <w:rsid w:val="00F1695F"/>
    <w:rsid w:val="00F6045A"/>
    <w:rsid w:val="00F62057"/>
    <w:rsid w:val="00F763B4"/>
    <w:rsid w:val="00F81AF1"/>
    <w:rsid w:val="00F900C3"/>
    <w:rsid w:val="00F95E9A"/>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2D5B00"/>
  <w15:docId w15:val="{C4453EDE-ED8C-4DEC-8A76-B1EF19D1F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qFormat/>
    <w:rsid w:val="003B370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link w:val="SingleTxtGChar"/>
    <w:qFormat/>
    <w:rsid w:val="003B370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3B3700"/>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B3700"/>
    <w:rPr>
      <w:rFonts w:ascii="Times New Roman" w:eastAsia="SimSun" w:hAnsiTheme="minorHAnsi" w:cs="Simplified Arabic"/>
      <w:sz w:val="18"/>
      <w:szCs w:val="30"/>
      <w:lang w:val="en-GB" w:eastAsia="zh-CN"/>
    </w:rPr>
  </w:style>
  <w:style w:type="character" w:styleId="FootnoteReference">
    <w:name w:val="footnote reference"/>
    <w:aliases w:val="4_G"/>
    <w:qFormat/>
    <w:rsid w:val="003B3700"/>
    <w:rPr>
      <w:rFonts w:ascii="Times New Roman" w:hAnsi="Times New Roman"/>
      <w:sz w:val="18"/>
      <w:vertAlign w:val="superscript"/>
    </w:rPr>
  </w:style>
  <w:style w:type="character" w:customStyle="1" w:styleId="SingleTxtGChar">
    <w:name w:val="_ Single Txt_G Char"/>
    <w:basedOn w:val="DefaultParagraphFont"/>
    <w:link w:val="SingleTxtG"/>
    <w:locked/>
    <w:rsid w:val="003B3700"/>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3B3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AT/OP/NIC/ROS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New%20folder\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Pages>
  <Words>268</Words>
  <Characters>1826</Characters>
  <Application>Microsoft Office Word</Application>
  <DocSecurity>0</DocSecurity>
  <Lines>182</Lines>
  <Paragraphs>149</Paragraphs>
  <ScaleCrop>false</ScaleCrop>
  <HeadingPairs>
    <vt:vector size="2" baseType="variant">
      <vt:variant>
        <vt:lpstr>Title</vt:lpstr>
      </vt:variant>
      <vt:variant>
        <vt:i4>1</vt:i4>
      </vt:variant>
    </vt:vector>
  </HeadingPairs>
  <TitlesOfParts>
    <vt:vector size="1" baseType="lpstr">
      <vt:lpstr>CAT/C/75/2</vt:lpstr>
    </vt:vector>
  </TitlesOfParts>
  <Company>DCM</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CAT/C/75/2</dc:title>
  <dc:subject>GE.2226918(A)</dc:subject>
  <dc:creator>Muntaha BUHNAM - Mounir BOUKA</dc:creator>
  <cp:keywords>GE.2260159(A)</cp:keywords>
  <dc:description>Distr.: General
9 December 2022
Arabic
Original: English</dc:description>
  <cp:lastModifiedBy>Jamal Alkahlout</cp:lastModifiedBy>
  <cp:revision>2</cp:revision>
  <cp:lastPrinted>2016-06-21T10:29:00Z</cp:lastPrinted>
  <dcterms:created xsi:type="dcterms:W3CDTF">2023-01-20T16:01:00Z</dcterms:created>
  <dcterms:modified xsi:type="dcterms:W3CDTF">2023-01-20T16:01:00Z</dcterms:modified>
  <cp:category>Final</cp:category>
</cp:coreProperties>
</file>