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lang w:val="es-ES_tradnl"/>
        </w:rPr>
      </w:pPr>
      <w:r>
        <w:rPr>
          <w:noProof/>
          <w:sz w:val="20"/>
        </w:rPr>
        <w:pict>
          <v:line id="_x0000_s1031" style="position:absolute;z-index:6;mso-wrap-edited:f;mso-position-horizontal-relative:page;mso-position-vertical-relative:page" from="85.05pt,249.5pt" to="552.75pt,249.5pt" strokeweight="4.5pt">
            <w10:wrap anchorx="page" anchory="page"/>
            <w10:anchorlock/>
          </v:line>
        </w:pict>
      </w:r>
      <w:r>
        <w:rPr>
          <w:noProof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166.05pt;margin-top:119.05pt;width:207pt;height:83.45pt;z-index:5;mso-wrap-edited:f;mso-position-horizontal-relative:page;mso-position-vertical-relative:page" wrapcoords="-167 0 -167 21600 21767 21600 21767 0 -167 0" filled="f" stroked="f">
            <v:textbox inset="0,0,0,0">
              <w:txbxContent>
                <w:p w:rsidR="00000000" w:rsidRDefault="00000000">
                  <w:pPr>
                    <w:rPr>
                      <w:rFonts w:ascii="Arial" w:hAnsi="Arial" w:cs="Arial"/>
                      <w:b/>
                      <w:bCs/>
                      <w:sz w:val="32"/>
                      <w:lang w:val="es-ES_tradnl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32"/>
                      <w:lang w:val="es-ES_tradnl"/>
                    </w:rPr>
                    <w:t>Convención contra</w:t>
                  </w:r>
                  <w:r>
                    <w:rPr>
                      <w:rFonts w:ascii="Arial" w:hAnsi="Arial" w:cs="Arial"/>
                      <w:b/>
                      <w:bCs/>
                      <w:sz w:val="32"/>
                      <w:lang w:val="es-ES_tradnl"/>
                    </w:rPr>
                    <w:br/>
                    <w:t>la Tortura y Otros Tratos</w:t>
                  </w:r>
                  <w:r>
                    <w:rPr>
                      <w:rFonts w:ascii="Arial" w:hAnsi="Arial" w:cs="Arial"/>
                      <w:b/>
                      <w:bCs/>
                      <w:sz w:val="32"/>
                      <w:lang w:val="es-ES_tradnl"/>
                    </w:rPr>
                    <w:br/>
                    <w:t>o Penas Crueles</w:t>
                  </w:r>
                  <w:r>
                    <w:rPr>
                      <w:rFonts w:ascii="Arial" w:hAnsi="Arial" w:cs="Arial"/>
                      <w:b/>
                      <w:bCs/>
                      <w:sz w:val="32"/>
                      <w:lang w:val="es-ES_tradnl"/>
                    </w:rPr>
                    <w:br/>
                    <w:t>Inhumanos o Degradantes</w:t>
                  </w:r>
                </w:p>
              </w:txbxContent>
            </v:textbox>
            <w10:wrap anchorx="page" anchory="page"/>
            <w10:anchorlock/>
          </v:shape>
        </w:pict>
      </w:r>
      <w:r>
        <w:rPr>
          <w:noProof/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9" type="#_x0000_t75" style="position:absolute;margin-left:87.9pt;margin-top:112pt;width:68.05pt;height:63.9pt;z-index:4;visibility:visible;mso-wrap-edited:f;mso-position-horizontal-relative:page;mso-position-vertical-relative:page">
            <v:imagedata r:id="rId6" o:title=""/>
            <w10:wrap anchorx="page" anchory="page"/>
            <w10:anchorlock/>
          </v:shape>
          <o:OLEObject Type="Embed" ProgID="Word.Picture.8" ShapeID="_x0000_s1029" DrawAspect="Content" ObjectID="_1396012131" r:id="rId7"/>
        </w:pict>
      </w:r>
      <w:r>
        <w:rPr>
          <w:noProof/>
          <w:sz w:val="20"/>
        </w:rPr>
        <w:pict>
          <v:line id="_x0000_s1028" style="position:absolute;z-index:3;mso-wrap-edited:f;mso-position-horizontal-relative:page;mso-position-vertical-relative:page" from="85.05pt,104.9pt" to="552.75pt,104.9pt" wrapcoords="-35 0 -35 0 21635 0 21635 0 -35 0">
            <w10:wrap anchorx="page" anchory="page"/>
            <w10:anchorlock/>
          </v:line>
        </w:pict>
      </w:r>
      <w:r>
        <w:rPr>
          <w:noProof/>
          <w:sz w:val="20"/>
        </w:rPr>
        <w:pict>
          <v:shape id="_x0000_s1027" type="#_x0000_t202" style="position:absolute;margin-left:472.05pt;margin-top:51.05pt;width:80.75pt;height:45.35pt;z-index:2;mso-wrap-edited:f;mso-position-horizontal-relative:page;mso-position-vertical-relative:page" wrapcoords="-167 0 -167 21600 21767 21600 21767 0 -167 0" filled="f" stroked="f">
            <v:textbox inset="0,0,0,0">
              <w:txbxContent>
                <w:p w:rsidR="00000000" w:rsidRDefault="00000000">
                  <w:pPr>
                    <w:rPr>
                      <w:rFonts w:ascii="Arial" w:hAnsi="Arial" w:cs="Arial"/>
                      <w:b/>
                      <w:bCs/>
                      <w:sz w:val="72"/>
                      <w:lang w:val="es-ES_tradnl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72"/>
                      <w:lang w:val="es-ES_tradnl"/>
                    </w:rPr>
                    <w:t>CAT</w:t>
                  </w:r>
                </w:p>
              </w:txbxContent>
            </v:textbox>
            <w10:wrap anchorx="page" anchory="page"/>
            <w10:anchorlock/>
          </v:shape>
        </w:pict>
      </w:r>
      <w:r>
        <w:rPr>
          <w:noProof/>
          <w:sz w:val="20"/>
        </w:rPr>
        <w:pict>
          <v:shape id="_x0000_s1026" type="#_x0000_t202" style="position:absolute;margin-left:85.05pt;margin-top:56.7pt;width:96.4pt;height:36.85pt;z-index:1;mso-wrap-edited:f;mso-position-horizontal-relative:page;mso-position-vertical-relative:page" wrapcoords="-167 0 -167 21600 21767 21600 21767 0 -167 0" filled="f" stroked="f">
            <v:textbox inset="0,0,0,0">
              <w:txbxContent>
                <w:p w:rsidR="00000000" w:rsidRDefault="00000000">
                  <w:pPr>
                    <w:rPr>
                      <w:rFonts w:ascii="Arial" w:hAnsi="Arial" w:cs="Arial"/>
                      <w:b/>
                      <w:bCs/>
                      <w:sz w:val="28"/>
                      <w:lang w:val="es-ES_tradnl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8"/>
                      <w:lang w:val="es-ES_tradnl"/>
                    </w:rPr>
                    <w:t>NACIONES UNIDAS</w:t>
                  </w:r>
                </w:p>
              </w:txbxContent>
            </v:textbox>
            <w10:wrap anchorx="page" anchory="page"/>
            <w10:anchorlock/>
          </v:shape>
        </w:pict>
      </w:r>
    </w:p>
    <w:p w:rsidR="00000000" w:rsidRDefault="00000000">
      <w:pPr>
        <w:rPr>
          <w:lang w:val="es-ES_tradnl"/>
        </w:rPr>
      </w:pPr>
    </w:p>
    <w:p w:rsidR="00000000" w:rsidRDefault="00000000">
      <w:pPr>
        <w:rPr>
          <w:lang w:val="es-ES_tradnl"/>
        </w:rPr>
      </w:pPr>
    </w:p>
    <w:p w:rsidR="00000000" w:rsidRDefault="00000000">
      <w:pPr>
        <w:spacing w:after="240"/>
        <w:ind w:left="7137"/>
        <w:rPr>
          <w:lang w:val="es-ES_tradnl"/>
        </w:rPr>
      </w:pPr>
      <w:r>
        <w:rPr>
          <w:lang w:val="es-ES_tradnl"/>
        </w:rPr>
        <w:t>Distr.</w:t>
      </w:r>
      <w:r>
        <w:rPr>
          <w:lang w:val="es-ES_tradnl"/>
        </w:rPr>
        <w:br/>
        <w:t>GENERAL</w:t>
      </w:r>
    </w:p>
    <w:p w:rsidR="00000000" w:rsidRDefault="00000000">
      <w:pPr>
        <w:spacing w:after="240"/>
        <w:ind w:left="7137"/>
        <w:rPr>
          <w:lang w:val="es-ES_tradnl"/>
        </w:rPr>
      </w:pPr>
      <w:r>
        <w:rPr>
          <w:lang w:val="es-ES_tradnl"/>
        </w:rPr>
        <w:t>CAT/C/CR/28/3</w:t>
      </w:r>
      <w:r>
        <w:rPr>
          <w:lang w:val="es-ES_tradnl"/>
        </w:rPr>
        <w:br/>
        <w:t>12 de junio de 2002</w:t>
      </w:r>
    </w:p>
    <w:p w:rsidR="00000000" w:rsidRDefault="00000000">
      <w:pPr>
        <w:spacing w:after="600"/>
        <w:ind w:left="7139"/>
        <w:rPr>
          <w:lang w:val="es-ES_tradnl"/>
        </w:rPr>
      </w:pPr>
      <w:r>
        <w:rPr>
          <w:lang w:val="es-ES_tradnl"/>
        </w:rPr>
        <w:t>ESPAÑOL</w:t>
      </w:r>
      <w:r>
        <w:rPr>
          <w:lang w:val="es-ES_tradnl"/>
        </w:rPr>
        <w:br/>
        <w:t>Original:  INGLÉS</w:t>
      </w:r>
    </w:p>
    <w:p w:rsidR="00000000" w:rsidRDefault="00000000">
      <w:pPr>
        <w:spacing w:after="960"/>
        <w:rPr>
          <w:lang w:val="es-ES_tradnl"/>
        </w:rPr>
      </w:pPr>
      <w:r>
        <w:rPr>
          <w:lang w:val="es-ES_tradnl"/>
        </w:rPr>
        <w:t>COMITÉ CONTRA LA TORTURA</w:t>
      </w:r>
      <w:r>
        <w:rPr>
          <w:lang w:val="es-ES_tradnl"/>
        </w:rPr>
        <w:br/>
        <w:t>28º período de sesiones</w:t>
      </w:r>
      <w:r>
        <w:rPr>
          <w:lang w:val="es-ES_tradnl"/>
        </w:rPr>
        <w:br/>
        <w:t>29 de abril a 17 de mayo de 2002</w:t>
      </w:r>
    </w:p>
    <w:p w:rsidR="00000000" w:rsidRDefault="00000000">
      <w:pPr>
        <w:spacing w:after="240"/>
        <w:jc w:val="center"/>
        <w:rPr>
          <w:lang w:val="es-ES_tradnl"/>
        </w:rPr>
      </w:pPr>
      <w:r>
        <w:rPr>
          <w:lang w:val="es-ES_tradnl"/>
        </w:rPr>
        <w:t xml:space="preserve">EXAMEN DE LOS INFORMES PRESENTADOS POR LOS ESTADOS </w:t>
      </w:r>
      <w:r>
        <w:rPr>
          <w:lang w:val="es-ES_tradnl"/>
        </w:rPr>
        <w:br/>
        <w:t>PARTES EN VIRTUD DEL ARTÍCULO 19 DE LA CONVENCIÓN</w:t>
      </w:r>
    </w:p>
    <w:p w:rsidR="00000000" w:rsidRDefault="00000000">
      <w:pPr>
        <w:spacing w:after="480"/>
        <w:jc w:val="center"/>
        <w:rPr>
          <w:u w:val="single"/>
          <w:lang w:val="es-ES_tradnl"/>
        </w:rPr>
      </w:pPr>
      <w:r>
        <w:rPr>
          <w:u w:val="single"/>
          <w:lang w:val="es-ES_tradnl"/>
        </w:rPr>
        <w:t>Conclusiones y recomendaciones del Comité contra la Tortura</w:t>
      </w:r>
    </w:p>
    <w:p w:rsidR="00000000" w:rsidRDefault="00000000">
      <w:pPr>
        <w:spacing w:after="240"/>
        <w:jc w:val="center"/>
        <w:rPr>
          <w:lang w:val="es-ES_tradnl"/>
        </w:rPr>
      </w:pPr>
      <w:r>
        <w:rPr>
          <w:lang w:val="es-ES_tradnl"/>
        </w:rPr>
        <w:t>NORUEGA</w:t>
      </w:r>
    </w:p>
    <w:p w:rsidR="00000000" w:rsidRDefault="00000000">
      <w:pPr>
        <w:spacing w:after="240"/>
        <w:rPr>
          <w:lang w:val="es-ES_tradnl"/>
        </w:rPr>
      </w:pPr>
      <w:r>
        <w:rPr>
          <w:lang w:val="es-ES_tradnl"/>
        </w:rPr>
        <w:t>1.</w:t>
      </w:r>
      <w:r>
        <w:rPr>
          <w:lang w:val="es-ES_tradnl"/>
        </w:rPr>
        <w:tab/>
        <w:t>El Comité examinó el cuarto informe periódico de Noruega (CAT/C/55/Add.4) en sus sesiones 511ª, 514ª y 519ª, celebradas los días 6, 7 y 10 de mayo de 2002 (CAT/C/SR.511, 514 y 519), y aprobó las observaciones finales que figuran a continuación.</w:t>
      </w:r>
    </w:p>
    <w:p w:rsidR="00000000" w:rsidRDefault="00000000">
      <w:pPr>
        <w:spacing w:after="240"/>
        <w:jc w:val="center"/>
        <w:rPr>
          <w:u w:val="single"/>
          <w:lang w:val="es-ES_tradnl"/>
        </w:rPr>
      </w:pPr>
      <w:r>
        <w:rPr>
          <w:lang w:val="es-ES_tradnl"/>
        </w:rPr>
        <w:t xml:space="preserve">A.  </w:t>
      </w:r>
      <w:r>
        <w:rPr>
          <w:u w:val="single"/>
          <w:lang w:val="es-ES_tradnl"/>
        </w:rPr>
        <w:t>Introducción</w:t>
      </w:r>
    </w:p>
    <w:p w:rsidR="00000000" w:rsidRDefault="00000000">
      <w:pPr>
        <w:spacing w:after="240"/>
        <w:rPr>
          <w:lang w:val="es-ES_tradnl"/>
        </w:rPr>
      </w:pPr>
      <w:r>
        <w:rPr>
          <w:lang w:val="es-ES_tradnl"/>
        </w:rPr>
        <w:t>2.</w:t>
      </w:r>
      <w:r>
        <w:rPr>
          <w:lang w:val="es-ES_tradnl"/>
        </w:rPr>
        <w:tab/>
        <w:t>El Comité acoge con beneplácito el cuarto informe periódico de Noruega, que fue presentado oportunamente y se ajusta cabalmente a las directivas del Comité para la elaboración de los informes periódicos de los Estados Partes.  El Comité alaba al Estado Parte por la oportuna periodicidad de los informes y celebra el diálogo productivo y constructivo que ha sostenido con él.</w:t>
      </w:r>
    </w:p>
    <w:p w:rsidR="00000000" w:rsidRDefault="00000000">
      <w:pPr>
        <w:spacing w:after="240"/>
        <w:jc w:val="center"/>
        <w:rPr>
          <w:u w:val="single"/>
          <w:lang w:val="es-ES_tradnl"/>
        </w:rPr>
      </w:pPr>
      <w:r>
        <w:rPr>
          <w:lang w:val="es-ES_tradnl"/>
        </w:rPr>
        <w:t xml:space="preserve">B.  </w:t>
      </w:r>
      <w:r>
        <w:rPr>
          <w:u w:val="single"/>
          <w:lang w:val="es-ES_tradnl"/>
        </w:rPr>
        <w:t>Aspectos positivos</w:t>
      </w:r>
    </w:p>
    <w:p w:rsidR="00000000" w:rsidRDefault="00000000">
      <w:pPr>
        <w:spacing w:after="240"/>
        <w:rPr>
          <w:lang w:val="es-ES_tradnl"/>
        </w:rPr>
      </w:pPr>
      <w:r>
        <w:rPr>
          <w:lang w:val="es-ES_tradnl"/>
        </w:rPr>
        <w:t>3.</w:t>
      </w:r>
      <w:r>
        <w:rPr>
          <w:lang w:val="es-ES_tradnl"/>
        </w:rPr>
        <w:tab/>
        <w:t>El Comité encomia al Estado Parte por el alto grado de respeto de los derechos humanos que mantiene en general y por su puntual aplicación de las disposiciones de la Convención.</w:t>
      </w:r>
    </w:p>
    <w:p w:rsidR="00000000" w:rsidRDefault="00000000">
      <w:pPr>
        <w:rPr>
          <w:lang w:val="es-ES_tradnl"/>
        </w:rPr>
      </w:pPr>
    </w:p>
    <w:p w:rsidR="00000000" w:rsidRDefault="00000000">
      <w:pPr>
        <w:rPr>
          <w:lang w:val="es-ES_tradnl"/>
        </w:rPr>
      </w:pPr>
    </w:p>
    <w:p w:rsidR="00000000" w:rsidRDefault="00000000">
      <w:pPr>
        <w:rPr>
          <w:lang w:val="es-ES_tradnl"/>
        </w:rPr>
      </w:pPr>
      <w:r>
        <w:rPr>
          <w:lang w:val="es-ES_tradnl"/>
        </w:rPr>
        <w:t>GE.02-42555 (S)    310702    310702</w:t>
      </w:r>
    </w:p>
    <w:p w:rsidR="00000000" w:rsidRDefault="00000000">
      <w:pPr>
        <w:spacing w:after="240"/>
        <w:rPr>
          <w:lang w:val="es-ES_tradnl"/>
        </w:rPr>
      </w:pPr>
      <w:r>
        <w:rPr>
          <w:lang w:val="es-ES_tradnl"/>
        </w:rPr>
        <w:br w:type="page"/>
        <w:t>4.</w:t>
      </w:r>
      <w:r>
        <w:rPr>
          <w:lang w:val="es-ES_tradnl"/>
        </w:rPr>
        <w:tab/>
        <w:t>El Comité toma nota con satisfacción de:</w:t>
      </w:r>
    </w:p>
    <w:p w:rsidR="00000000" w:rsidRDefault="00000000">
      <w:pPr>
        <w:spacing w:after="240"/>
        <w:ind w:left="1134" w:hanging="567"/>
        <w:rPr>
          <w:lang w:val="es-ES_tradnl"/>
        </w:rPr>
      </w:pPr>
      <w:r>
        <w:rPr>
          <w:lang w:val="es-ES_tradnl"/>
        </w:rPr>
        <w:t>a)</w:t>
      </w:r>
      <w:r>
        <w:rPr>
          <w:lang w:val="es-ES_tradnl"/>
        </w:rPr>
        <w:tab/>
        <w:t>La aprobación de un plan de acción sobre los derechos humanos para el período de 2000 a 2004, como parte del seguimiento de la Conferencia Mundial de Derechos Humanos de 1993 que indica, entre otras cosas, las medidas destinadas a seguir cumpliendo la Convención introducidas en la legislación noruega;</w:t>
      </w:r>
    </w:p>
    <w:p w:rsidR="00000000" w:rsidRDefault="00000000">
      <w:pPr>
        <w:spacing w:after="240"/>
        <w:ind w:left="1134" w:hanging="567"/>
        <w:rPr>
          <w:lang w:val="es-ES_tradnl"/>
        </w:rPr>
      </w:pPr>
      <w:r>
        <w:rPr>
          <w:lang w:val="es-ES_tradnl"/>
        </w:rPr>
        <w:t>b)</w:t>
      </w:r>
      <w:r>
        <w:rPr>
          <w:lang w:val="es-ES_tradnl"/>
        </w:rPr>
        <w:tab/>
        <w:t>La promulgación de directrices sobre la notificación de la detención a los parientes y abogados, así como sobre el derecho a la atención de la salud de quien esté en detención preventiva;</w:t>
      </w:r>
    </w:p>
    <w:p w:rsidR="00000000" w:rsidRDefault="00000000">
      <w:pPr>
        <w:spacing w:after="240"/>
        <w:ind w:left="1134" w:hanging="567"/>
        <w:rPr>
          <w:lang w:val="es-ES_tradnl"/>
        </w:rPr>
      </w:pPr>
      <w:r>
        <w:rPr>
          <w:lang w:val="es-ES_tradnl"/>
        </w:rPr>
        <w:t>c)</w:t>
      </w:r>
      <w:r>
        <w:rPr>
          <w:lang w:val="es-ES_tradnl"/>
        </w:rPr>
        <w:tab/>
        <w:t>La propuesta de incorporar en el Código Penal una nueva disposición que prohíba y sancione la tortura, de conformidad con el artículo 1 de la Convención;</w:t>
      </w:r>
    </w:p>
    <w:p w:rsidR="00000000" w:rsidRDefault="00000000">
      <w:pPr>
        <w:spacing w:after="240"/>
        <w:ind w:left="1134" w:hanging="567"/>
        <w:rPr>
          <w:lang w:val="es-ES_tradnl"/>
        </w:rPr>
      </w:pPr>
      <w:r>
        <w:rPr>
          <w:lang w:val="es-ES_tradnl"/>
        </w:rPr>
        <w:t>d)</w:t>
      </w:r>
      <w:r>
        <w:rPr>
          <w:lang w:val="es-ES_tradnl"/>
        </w:rPr>
        <w:tab/>
        <w:t>La propuesta de modificar la Ley de procedimiento penal para reducir en general la aplicación del régimen de incomunicación y para reforzar la vigilancia judicial de éste por medio de la regulación y limitación jurídicas;</w:t>
      </w:r>
    </w:p>
    <w:p w:rsidR="00000000" w:rsidRDefault="00000000">
      <w:pPr>
        <w:spacing w:after="240"/>
        <w:ind w:left="1134" w:hanging="567"/>
        <w:rPr>
          <w:lang w:val="es-ES_tradnl"/>
        </w:rPr>
      </w:pPr>
      <w:r>
        <w:rPr>
          <w:lang w:val="es-ES_tradnl"/>
        </w:rPr>
        <w:t>e)</w:t>
      </w:r>
      <w:r>
        <w:rPr>
          <w:lang w:val="es-ES_tradnl"/>
        </w:rPr>
        <w:tab/>
        <w:t>Los estudios realizados para determinar la calidad de las investigaciones que llevan a cabo los órganos especiales de investigación;</w:t>
      </w:r>
    </w:p>
    <w:p w:rsidR="00000000" w:rsidRDefault="00000000">
      <w:pPr>
        <w:spacing w:after="240"/>
        <w:ind w:left="1134" w:hanging="567"/>
        <w:rPr>
          <w:lang w:val="es-ES_tradnl"/>
        </w:rPr>
      </w:pPr>
      <w:r>
        <w:rPr>
          <w:lang w:val="es-ES_tradnl"/>
        </w:rPr>
        <w:t>f)</w:t>
      </w:r>
      <w:r>
        <w:rPr>
          <w:lang w:val="es-ES_tradnl"/>
        </w:rPr>
        <w:tab/>
        <w:t>La regularidad y generosidad de las donaciones del Estado Parte al Fondo de Contribuciones Voluntarias de las Naciones Unidas para las Víctimas de la Tortura;</w:t>
      </w:r>
    </w:p>
    <w:p w:rsidR="00000000" w:rsidRDefault="00000000">
      <w:pPr>
        <w:spacing w:after="240"/>
        <w:ind w:left="1134" w:hanging="567"/>
        <w:rPr>
          <w:lang w:val="es-ES_tradnl"/>
        </w:rPr>
      </w:pPr>
      <w:r>
        <w:rPr>
          <w:lang w:val="es-ES_tradnl"/>
        </w:rPr>
        <w:t>g)</w:t>
      </w:r>
      <w:r>
        <w:rPr>
          <w:lang w:val="es-ES_tradnl"/>
        </w:rPr>
        <w:tab/>
        <w:t>El alto porcentaje de mujeres entre los funcionarios de la judicatura, la policía y el servicio penitenciario.</w:t>
      </w:r>
    </w:p>
    <w:p w:rsidR="00000000" w:rsidRDefault="00000000">
      <w:pPr>
        <w:spacing w:after="240"/>
        <w:jc w:val="center"/>
        <w:rPr>
          <w:lang w:val="es-ES_tradnl"/>
        </w:rPr>
      </w:pPr>
      <w:r>
        <w:rPr>
          <w:lang w:val="es-ES_tradnl"/>
        </w:rPr>
        <w:t xml:space="preserve">C.  </w:t>
      </w:r>
      <w:r>
        <w:rPr>
          <w:u w:val="single"/>
          <w:lang w:val="es-ES_tradnl"/>
        </w:rPr>
        <w:t>Motivos de preocupación</w:t>
      </w:r>
    </w:p>
    <w:p w:rsidR="00000000" w:rsidRDefault="00000000">
      <w:pPr>
        <w:spacing w:after="240"/>
        <w:rPr>
          <w:lang w:val="es-ES_tradnl"/>
        </w:rPr>
      </w:pPr>
      <w:r>
        <w:rPr>
          <w:lang w:val="es-ES_tradnl"/>
        </w:rPr>
        <w:t>5.</w:t>
      </w:r>
      <w:r>
        <w:rPr>
          <w:lang w:val="es-ES_tradnl"/>
        </w:rPr>
        <w:tab/>
        <w:t>El Comité sigue preocupado por la aplicación del régimen de incomunicación en la detención preventiva.</w:t>
      </w:r>
    </w:p>
    <w:p w:rsidR="00000000" w:rsidRDefault="00000000">
      <w:pPr>
        <w:spacing w:after="240"/>
        <w:jc w:val="center"/>
        <w:rPr>
          <w:u w:val="single"/>
          <w:lang w:val="es-ES_tradnl"/>
        </w:rPr>
      </w:pPr>
      <w:r>
        <w:rPr>
          <w:lang w:val="es-ES_tradnl"/>
        </w:rPr>
        <w:t xml:space="preserve">D.  </w:t>
      </w:r>
      <w:r>
        <w:rPr>
          <w:u w:val="single"/>
          <w:lang w:val="es-ES_tradnl"/>
        </w:rPr>
        <w:t>Recomendaciones</w:t>
      </w:r>
    </w:p>
    <w:p w:rsidR="00000000" w:rsidRDefault="00000000">
      <w:pPr>
        <w:spacing w:after="240"/>
        <w:rPr>
          <w:lang w:val="es-ES_tradnl"/>
        </w:rPr>
      </w:pPr>
      <w:r>
        <w:rPr>
          <w:lang w:val="es-ES_tradnl"/>
        </w:rPr>
        <w:t>6.</w:t>
      </w:r>
      <w:r>
        <w:rPr>
          <w:lang w:val="es-ES_tradnl"/>
        </w:rPr>
        <w:tab/>
        <w:t>El Comité recomienda que:</w:t>
      </w:r>
    </w:p>
    <w:p w:rsidR="00000000" w:rsidRDefault="00000000">
      <w:pPr>
        <w:spacing w:after="240"/>
        <w:ind w:left="1134" w:hanging="567"/>
        <w:rPr>
          <w:lang w:val="es-ES_tradnl"/>
        </w:rPr>
      </w:pPr>
      <w:r>
        <w:rPr>
          <w:lang w:val="es-ES_tradnl"/>
        </w:rPr>
        <w:t>a)</w:t>
      </w:r>
      <w:r>
        <w:rPr>
          <w:lang w:val="es-ES_tradnl"/>
        </w:rPr>
        <w:tab/>
        <w:t xml:space="preserve">Se promulgue la debida legislación para tipificar como delito la tortura en el ordenamiento penal noruego, conforme al artículo 1 de la Convención, de acuerdo con la propuesta mencionada </w:t>
      </w:r>
      <w:r>
        <w:rPr>
          <w:u w:val="single"/>
          <w:lang w:val="es-ES_tradnl"/>
        </w:rPr>
        <w:t>supra</w:t>
      </w:r>
      <w:r>
        <w:rPr>
          <w:lang w:val="es-ES_tradnl"/>
        </w:rPr>
        <w:t>.  Pide que en el próximo informe periódico de Noruega se informe a este respecto.</w:t>
      </w:r>
    </w:p>
    <w:p w:rsidR="00000000" w:rsidRDefault="00000000">
      <w:pPr>
        <w:spacing w:after="240"/>
        <w:ind w:left="1134" w:hanging="567"/>
        <w:rPr>
          <w:lang w:val="es-ES_tradnl"/>
        </w:rPr>
      </w:pPr>
      <w:r>
        <w:rPr>
          <w:lang w:val="es-ES_tradnl"/>
        </w:rPr>
        <w:t>b)</w:t>
      </w:r>
      <w:r>
        <w:rPr>
          <w:lang w:val="es-ES_tradnl"/>
        </w:rPr>
        <w:tab/>
        <w:t>En el próximo informe periódico del Estado Parte se informe sobre las medidas adoptadas para responder a la constante inquietud del Comité acerca de la aplicación del régimen de incomunicación en la detención preventiva.</w:t>
      </w:r>
    </w:p>
    <w:p w:rsidR="00000000" w:rsidRDefault="00000000">
      <w:pPr>
        <w:spacing w:after="240"/>
        <w:ind w:left="1134" w:hanging="567"/>
        <w:rPr>
          <w:lang w:val="es-ES_tradnl"/>
        </w:rPr>
      </w:pPr>
      <w:r>
        <w:rPr>
          <w:lang w:val="es-ES_tradnl"/>
        </w:rPr>
        <w:t>c)</w:t>
      </w:r>
      <w:r>
        <w:rPr>
          <w:lang w:val="es-ES_tradnl"/>
        </w:rPr>
        <w:tab/>
        <w:t>En el próximo informe periódico del Estado Parte se informe de lo ocurrido con las propuestas de modificación de la Ley de procedimiento penal en cuanto al régimen de incomunicación.</w:t>
      </w:r>
    </w:p>
    <w:p w:rsidR="00000000" w:rsidRDefault="00000000">
      <w:pPr>
        <w:spacing w:after="240"/>
        <w:ind w:left="1134" w:hanging="567"/>
        <w:rPr>
          <w:lang w:val="es-ES_tradnl"/>
        </w:rPr>
      </w:pPr>
      <w:r>
        <w:rPr>
          <w:lang w:val="es-ES_tradnl"/>
        </w:rPr>
        <w:t>d)</w:t>
      </w:r>
      <w:r>
        <w:rPr>
          <w:lang w:val="es-ES_tradnl"/>
        </w:rPr>
        <w:tab/>
        <w:t>En el próximo informe periódico de Noruega también se informe de las propuestas de modificación de la Ley de extranjería en base a la resolución 1373 (2001) del Consejo de Seguridad sobre la cooperación internacional para luchar contra las amenazas a la paz y la seguridad internacionales representadas por los actos de terrorismo.</w:t>
      </w:r>
    </w:p>
    <w:p w:rsidR="00000000" w:rsidRDefault="00000000">
      <w:pPr>
        <w:spacing w:after="240"/>
        <w:ind w:left="1134" w:hanging="567"/>
        <w:rPr>
          <w:lang w:val="es-ES_tradnl"/>
        </w:rPr>
      </w:pPr>
      <w:r>
        <w:rPr>
          <w:lang w:val="es-ES_tradnl"/>
        </w:rPr>
        <w:t>e)</w:t>
      </w:r>
      <w:r>
        <w:rPr>
          <w:lang w:val="es-ES_tradnl"/>
        </w:rPr>
        <w:tab/>
        <w:t>Que las conclusiones y recomendaciones del Comité se difundan ampliamente en el Estado Parte en todos los idiomas que proceda.</w:t>
      </w:r>
    </w:p>
    <w:p w:rsidR="00000000" w:rsidRDefault="00000000">
      <w:pPr>
        <w:spacing w:after="240"/>
        <w:jc w:val="center"/>
      </w:pPr>
      <w:r>
        <w:rPr>
          <w:lang w:val="es-ES_tradnl"/>
        </w:rPr>
        <w:t>-----</w:t>
      </w:r>
    </w:p>
    <w:p w:rsidR="00000000" w:rsidRDefault="00000000"/>
    <w:sectPr w:rsidR="00000000">
      <w:headerReference w:type="even" r:id="rId8"/>
      <w:headerReference w:type="default" r:id="rId9"/>
      <w:pgSz w:w="11906" w:h="16838" w:code="9"/>
      <w:pgMar w:top="1701" w:right="850" w:bottom="1984" w:left="1701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r>
        <w:separator/>
      </w:r>
    </w:p>
  </w:endnote>
  <w:endnote w:type="continuationSeparator" w:id="0">
    <w:p w:rsidR="00000000" w:rsidRDefault="00000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r>
        <w:separator/>
      </w:r>
    </w:p>
  </w:footnote>
  <w:footnote w:type="continuationSeparator" w:id="0">
    <w:p w:rsidR="00000000" w:rsidRDefault="000000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t>CAT/C/CR/28/3</w:t>
    </w:r>
  </w:p>
  <w:p w:rsidR="00000000" w:rsidRDefault="00000000">
    <w:pPr>
      <w:pStyle w:val="Header"/>
    </w:pPr>
    <w:r>
      <w:t xml:space="preserve">página </w:t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tabs>
        <w:tab w:val="left" w:pos="7527"/>
      </w:tabs>
    </w:pPr>
    <w:r>
      <w:tab/>
      <w:t>CAT/C/CR/28/3</w:t>
    </w:r>
  </w:p>
  <w:p w:rsidR="00000000" w:rsidRDefault="00000000">
    <w:pPr>
      <w:tabs>
        <w:tab w:val="left" w:pos="7527"/>
      </w:tabs>
    </w:pPr>
    <w:r>
      <w:tab/>
      <w:t xml:space="preserve">página </w:t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3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doNotTrackMoves/>
  <w:defaultTabStop w:val="567"/>
  <w:hyphenationZone w:val="425"/>
  <w:evenAndOddHeaders/>
  <w:drawingGridHorizontalSpacing w:val="39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val="es-ES" w:eastAsia="es-E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252"/>
        <w:tab w:val="right" w:pos="8504"/>
      </w:tabs>
    </w:pPr>
  </w:style>
  <w:style w:type="paragraph" w:styleId="Footer">
    <w:name w:val="footer"/>
    <w:basedOn w:val="Normal"/>
    <w:semiHidden/>
    <w:pPr>
      <w:tabs>
        <w:tab w:val="center" w:pos="4252"/>
        <w:tab w:val="right" w:pos="8504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2000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1</Pages>
  <Words>605</Words>
  <Characters>3150</Characters>
  <Application>Microsoft Office Word</Application>
  <DocSecurity>4</DocSecurity>
  <Lines>47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CAT/C/CR/28/3  02-42555</vt:lpstr>
    </vt:vector>
  </TitlesOfParts>
  <Company>ONU</Company>
  <LinksUpToDate>false</LinksUpToDate>
  <CharactersWithSpaces>4240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CAT/C/CR/28/3  02-42555</dc:title>
  <dc:subject>FINAL</dc:subject>
  <dc:creator>Javier Rodríguez</dc:creator>
  <cp:keywords/>
  <dc:description/>
  <cp:lastModifiedBy>Desk</cp:lastModifiedBy>
  <cp:revision>2</cp:revision>
  <cp:lastPrinted>2002-04-29T12:35:00Z</cp:lastPrinted>
  <dcterms:created xsi:type="dcterms:W3CDTF">2002-07-31T15:01:00Z</dcterms:created>
  <dcterms:modified xsi:type="dcterms:W3CDTF">2002-07-31T15:01:00Z</dcterms:modified>
</cp:coreProperties>
</file>