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CMW</w:t>
            </w:r>
            <w:r>
              <w:t xml:space="preserve">/C/SR.127 </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22 de julio de 2010</w:t>
            </w:r>
          </w:p>
          <w:p w:rsidR="00000000" w:rsidRDefault="00000000">
            <w:r>
              <w:t>Español</w:t>
            </w:r>
          </w:p>
          <w:p w:rsidR="00000000" w:rsidRDefault="00000000">
            <w:r>
              <w:t>Original: inglés</w:t>
            </w:r>
          </w:p>
        </w:tc>
      </w:tr>
    </w:tbl>
    <w:p w:rsidR="00000000" w:rsidRDefault="00000000">
      <w:pPr>
        <w:spacing w:before="120" w:after="120"/>
        <w:rPr>
          <w:b/>
          <w:bCs/>
        </w:rPr>
      </w:pPr>
      <w:r>
        <w:rPr>
          <w:b/>
          <w:bCs/>
          <w:sz w:val="24"/>
          <w:szCs w:val="24"/>
        </w:rPr>
        <w:t>Comité de Protección de los Derechos de Todos</w:t>
      </w:r>
      <w:r>
        <w:rPr>
          <w:b/>
          <w:bCs/>
          <w:sz w:val="24"/>
          <w:szCs w:val="24"/>
        </w:rPr>
        <w:br/>
        <w:t>los Trabajadores Migratorios y de sus Familiares</w:t>
      </w:r>
      <w:r>
        <w:rPr>
          <w:b/>
          <w:bCs/>
        </w:rPr>
        <w:br/>
        <w:t>12º período de sesiones</w:t>
      </w:r>
    </w:p>
    <w:p w:rsidR="00000000" w:rsidRDefault="00000000">
      <w:pPr>
        <w:spacing w:after="240"/>
      </w:pPr>
      <w:r>
        <w:rPr>
          <w:b/>
          <w:bCs/>
        </w:rPr>
        <w:t>Acta resumida (parcial)</w:t>
      </w:r>
      <w:r>
        <w:rPr>
          <w:rStyle w:val="FootnoteReference"/>
          <w:bCs/>
          <w:sz w:val="20"/>
          <w:vertAlign w:val="baseline"/>
        </w:rPr>
        <w:footnoteReference w:customMarkFollows="1" w:id="1"/>
        <w:t>*</w:t>
      </w:r>
      <w:r>
        <w:rPr>
          <w:b/>
          <w:bCs/>
        </w:rPr>
        <w:t xml:space="preserve"> de la 127ª sesión</w:t>
      </w:r>
      <w:r>
        <w:rPr>
          <w:b/>
          <w:bCs/>
        </w:rPr>
        <w:br/>
      </w:r>
      <w:r>
        <w:t xml:space="preserve">Celebrada en el Palais Wilson, Ginebra, el lunes 26 de abril de </w:t>
      </w:r>
      <w:smartTag w:uri="urn:schemas-microsoft-com:office:smarttags" w:element="metricconverter">
        <w:smartTagPr>
          <w:attr w:name="ProductID" w:val="2010, a"/>
        </w:smartTagPr>
        <w:r>
          <w:t>2010, a</w:t>
        </w:r>
      </w:smartTag>
      <w:r>
        <w:t xml:space="preserve"> las 10.00 horas</w:t>
      </w:r>
    </w:p>
    <w:p w:rsidR="00000000" w:rsidRDefault="00000000">
      <w:pPr>
        <w:tabs>
          <w:tab w:val="right" w:pos="1960"/>
          <w:tab w:val="left" w:pos="2072"/>
        </w:tabs>
        <w:spacing w:before="120"/>
        <w:rPr>
          <w:i/>
          <w:iCs/>
        </w:rPr>
      </w:pPr>
      <w:r>
        <w:rPr>
          <w:i/>
          <w:lang w:val="es-ES_tradnl"/>
        </w:rPr>
        <w:tab/>
        <w:t>Presidente provisional:</w:t>
      </w:r>
      <w:r>
        <w:rPr>
          <w:lang w:val="es-ES_tradnl"/>
        </w:rPr>
        <w:tab/>
        <w:t xml:space="preserve">Sr. </w:t>
      </w:r>
      <w:r>
        <w:t>Ndiaye (Representante del Secretario General)</w:t>
      </w:r>
      <w:r>
        <w:br/>
      </w:r>
      <w:r>
        <w:tab/>
      </w:r>
      <w:r>
        <w:rPr>
          <w:i/>
          <w:lang w:val="es-ES_tradnl"/>
        </w:rPr>
        <w:t>Presidente:</w:t>
      </w:r>
      <w:r>
        <w:rPr>
          <w:lang w:val="es-ES_tradnl"/>
        </w:rPr>
        <w:tab/>
        <w:t>Sr. El Jamri</w:t>
      </w:r>
    </w:p>
    <w:p w:rsidR="00000000" w:rsidRDefault="00000000">
      <w:pPr>
        <w:pStyle w:val="HChG"/>
        <w:rPr>
          <w:b w:val="0"/>
        </w:rPr>
      </w:pPr>
      <w:r>
        <w:rPr>
          <w:b w:val="0"/>
        </w:rPr>
        <w:t>Sumario</w:t>
      </w:r>
    </w:p>
    <w:p w:rsidR="00000000" w:rsidRDefault="00000000">
      <w:pPr>
        <w:pStyle w:val="SingleTxtG"/>
        <w:jc w:val="left"/>
      </w:pPr>
      <w:r>
        <w:t>Apertura del período de sesiones</w:t>
      </w:r>
    </w:p>
    <w:p w:rsidR="00000000" w:rsidRDefault="00000000">
      <w:pPr>
        <w:pStyle w:val="SingleTxtG"/>
        <w:jc w:val="left"/>
      </w:pPr>
      <w:r>
        <w:t>Declaración solemne de los miembros recientemente elegidos prevista en</w:t>
      </w:r>
      <w:r>
        <w:br/>
        <w:t xml:space="preserve">el artículo 11 del reglamento provisional del Comité </w:t>
      </w:r>
    </w:p>
    <w:p w:rsidR="00000000" w:rsidRDefault="00000000">
      <w:pPr>
        <w:pStyle w:val="SingleTxtG"/>
        <w:jc w:val="left"/>
      </w:pPr>
      <w:r>
        <w:t xml:space="preserve">Elección de </w:t>
      </w:r>
      <w:smartTag w:uri="urn:schemas-microsoft-com:office:smarttags" w:element="PersonName">
        <w:smartTagPr>
          <w:attr w:name="ProductID" w:val="la Mesa"/>
        </w:smartTagPr>
        <w:r>
          <w:t>la Mesa</w:t>
        </w:r>
      </w:smartTag>
      <w:r>
        <w:t>, de conformidad con los artículos 12 y 13 del reglamento</w:t>
      </w:r>
      <w:r>
        <w:br/>
        <w:t xml:space="preserve">provisional del Comité </w:t>
      </w:r>
    </w:p>
    <w:p w:rsidR="00000000" w:rsidRDefault="00000000">
      <w:pPr>
        <w:pStyle w:val="SingleTxtG"/>
        <w:jc w:val="left"/>
      </w:pPr>
      <w:r>
        <w:t>Aprobación del programa</w:t>
      </w:r>
    </w:p>
    <w:p w:rsidR="00000000" w:rsidRDefault="00000000">
      <w:pPr>
        <w:pStyle w:val="SingleTxtG"/>
        <w:jc w:val="left"/>
      </w:pPr>
      <w:r>
        <w:t>Cuestiones de organización y otros asuntos</w:t>
      </w:r>
    </w:p>
    <w:p w:rsidR="00000000" w:rsidRDefault="00000000">
      <w:pPr>
        <w:pStyle w:val="SingleTxtG"/>
        <w:jc w:val="left"/>
      </w:pPr>
      <w:r>
        <w:t>Examen de los informes presentados por los Estados partes con arreglo al</w:t>
      </w:r>
      <w:r>
        <w:br/>
        <w:t xml:space="preserve">artículo 73 de </w:t>
      </w:r>
      <w:smartTag w:uri="urn:schemas-microsoft-com:office:smarttags" w:element="PersonName">
        <w:smartTagPr>
          <w:attr w:name="ProductID" w:val="la Convenci￳n"/>
        </w:smartTagPr>
        <w:r>
          <w:t>la Convención</w:t>
        </w:r>
      </w:smartTag>
    </w:p>
    <w:p w:rsidR="00000000" w:rsidRDefault="00000000"/>
    <w:p w:rsidR="00000000" w:rsidRDefault="00000000">
      <w:pPr>
        <w:pStyle w:val="SingleTxtG"/>
        <w:rPr>
          <w:i/>
        </w:rPr>
      </w:pPr>
      <w:r>
        <w:br w:type="page"/>
      </w:r>
      <w:r>
        <w:rPr>
          <w:i/>
        </w:rPr>
        <w:t>Se declara abierta la sesión a las 10.10 horas.</w:t>
      </w:r>
    </w:p>
    <w:p w:rsidR="00000000" w:rsidRDefault="00000000">
      <w:pPr>
        <w:pStyle w:val="H23G"/>
      </w:pPr>
      <w:r>
        <w:tab/>
      </w:r>
      <w:r>
        <w:tab/>
        <w:t>Apertura del período de sesiones</w:t>
      </w:r>
    </w:p>
    <w:p w:rsidR="00000000" w:rsidRDefault="00000000">
      <w:pPr>
        <w:pStyle w:val="SingleTxtG"/>
      </w:pPr>
      <w:r>
        <w:t>1.</w:t>
      </w:r>
      <w:r>
        <w:tab/>
      </w:r>
      <w:r>
        <w:rPr>
          <w:b/>
        </w:rPr>
        <w:t>El</w:t>
      </w:r>
      <w:r>
        <w:t xml:space="preserve"> </w:t>
      </w:r>
      <w:r>
        <w:rPr>
          <w:b/>
          <w:iCs/>
        </w:rPr>
        <w:t>Presidente provisional</w:t>
      </w:r>
      <w:r>
        <w:t xml:space="preserve"> declara abierto el 12º período de sesiones del Comité de Protección de los Derechos de Todos los Trabajadores Migratorios y de sus Familiares.</w:t>
      </w:r>
    </w:p>
    <w:p w:rsidR="00000000" w:rsidRDefault="00000000">
      <w:pPr>
        <w:pStyle w:val="SingleTxtG"/>
      </w:pPr>
      <w:r>
        <w:t>2.</w:t>
      </w:r>
      <w:r>
        <w:tab/>
        <w:t xml:space="preserve">Dice que el Comité se reúne por primera vez con la participación de todos sus miembros, tras entrar en vigor en 2009, en el 41º Estado parte, </w:t>
      </w:r>
      <w:smartTag w:uri="urn:schemas-microsoft-com:office:smarttags" w:element="PersonName">
        <w:smartTagPr>
          <w:attr w:name="ProductID" w:val="寁⩀寞7Ĭ宻浰ൟalꋚ␻谀⩰寞뚤寁⩀寞7Ĭ宻歨ൟꄣ␻谀⩰寞뚤寁⩀寞7Ĭ宻殸ൟꄴ␻谀⩰寞뚤寁⩀寞7Ĭ宻氈ൟꄽ␻谀⩰寞뚤寁⩀寞7Ĭ宻汘ൟꄆ␻谀⩰寞뚤寁⩀寞7Ĭ宻沨ൟꄏ␻谀⩰寞뚤寁⩀寞7Ĭ宻泸ൟꄐ␻谀⩰寞뚤寁⩀寞7Ĭ宻淀ൟꄙ␻谀⩰寞뚤寁⩀寞7Ĭ宻游ൟꅢ␻谀⩰寞뚤寁⩀寞7Ĭ宻溈ൟꅫ␻谀⩰寞뚤寁⩀寞7Ĭ宻漀ൟꅼ␻谀⩰寞뚤寁⩀寞7Ĭ宻潐ൟꅅ␻谀⩰寞뚤寁⩀寞7Ĭ宻濈ൟꅎ␻谀⩰寞뚤寁⩀寞7Ĭ宻灀ൟꅗ␻谀⩰寞뚤寁⩀寞7Ĭ宻炸ൟꅘ␻谀⩰寞뚤寁⩀寞7Ĭ宻焰ൟꆡ␻谀⩰寞뚤寁⩀寞7Ĭ宻熀ൟꆪ␻谀⩰寞뚤寁⩀寞7Ĭ宻燐ൟꆳ␻谀⩰寞뚤寁⩀寞7Ĭ宻版ൟꆄ␻谀⩰寞뚤寁⩀寞7Ĭ宻犘ൟꆍ␻谀⩰寞뚤寁⩀寞7Ĭ宻狨ൟꆖ␻谀⩰寞뚤寁⩀寞7Ĭ宻猸ൟꆟ␻谀⩰寞뚤寁⩀寞7Ĭ宻玈ൟꇠ␻谀⩰寞뚤寁⩀寞7Ĭ宻珘ൟꇩ␻谀⩰寞뚤寁⩀寞7Ĭ宻琨ൟꇲ␻谀⩰寞뚤寁⩀寞7Ĭ宻瑸ൟꇻ␻谀⩰寞뚤寁⩀寞7Ĭ宻瓈ൟꇌ␻谀⩰寞뚤寁⩀寞7Ĭ宻畀ൟꇕ␻谀⩰寞뚤寁⩀寞7Ĭ宻疐ൟꇞ␻谀⩰寞뚤寁⩀寞7Ĭ宻痠ൟꀧ␻谀⩰寞뚤寁⩀寞7Ĭ宻癘ൟꀨ␻谀⩰寞뚤寁⩀寞7Ĭ宻皨ൟꀱ␻谀⩰寞뚤寁⩀寞7Ĭ宻相ൟꀺ␻谀⩰寞뚤寁⩀寞7Ĭ宻睈ൟꀃ␻谀⩰寞뚤寁⩀寞7Ĭ宻矀ൟꀔ␻谀⩰寞뚤寁⩀寞7Ĭ宻砸ൟꀝ␻谀⩰寞뚤寁⩀寞7Ĭ宻碈ൟꁦ␻谀⩰寞뚤寁⩀寞7Ĭ宻礀ൟꁯ␻谀⩰寞뚤寁⩀寞7Ĭ宻祐ൟꁰ␻谀⩰寞뚤寁⩀寞7Ĭ宻禠ൟꁹ␻谀⩰寞뚤寁⩀寞7Ĭ宻稘ൟꁂ␻谀⩰寞뚤寁⩀寞7Ĭ宻窐ൟꁋ␻谀⩰寞뚤寁⩀寞7Ĭ宻章ൟꁜ␻谀⩰寞뚤寁⩀寞7Ĭ宻筘ൟꂥ␻谀⩰寞뚤寁⩀寞7Ĭ宻箨ൟꂮ␻谀⩰寞뚤寁⩀寞7Ĭ宻簠ൟꂷ␻谀⩰寞뚤寁⩀寞7Ĭ宻籰ൟꂸ␻谀⩰寞뚤寁⩀寞7Ĭ宻糀ൟꂁ␻谀⩰寞뚤寁⩀寞7Ĭ宻紸ൟꂊ␻谀⩰寞뚤寁⩀寞7Ĭ宻綈ൟꂓ␻谀⩰寞뚤寁⩀寞7Ĭ宻緘ൟꃤ␻谀⩰寞뚤寁⩀寞7Ĭ宻繐ൟꃭ␻谀⩰寞뚤寁⩀寞7Ĭ宻纠ൟꃶ␻谀⩰寞뚤寁⩀寞7Ĭ宻缘ൟꃿ␻谀⩰寞뚤寁⩀寞7Ĭ宻罨ൟꃀ␻谀⩰寞뚤寁⩀寞7Ĭ宻翠ൟꃉ␻谀⩰寞뚤寁⩀寞7Ĭ宻耰ൟꃒ␻谀⩰寞뚤寁⩀寞7Ĭ宻肀ൟꃛ␻谀⩰寞뚤寁⩀寞7Ĭ宻胸ൟ뼬␻谀⩰寞뚤寁⩀寞7Ĭ宻腈ൟ뼵␻谀⩰寞뚤寁⩀寞7Ĭ宻膘ൟ뼾␻谀⩰寞뚤寁⩀寞7Ĭ宻舐ൟ뼇␻谀⩰寞뚤寁⩀寞7Ĭ宻芈ൟ뼈␻谀⩰寞뚤寁⩀寞7Ĭ宻苘ൟ뼑␻谀⩰寞뚤寁⩀寞7Ĭ宻茨ൟ뼚␻谀⩰寞뚤寁⩀寞7Ĭ宻荸ൟ뽣␻谀⩰寞뚤寁⩀寞7Ĭ宻菰ൟ뽴␻谀⩰寞뚤寁⩀寞7Ĭ宻葀ൟ뽽␻谀⩰寞뚤寁⩀寞7Ĭ宻蒐ൟ뽆␻谀⩰寞뚤寁⩀寞7Ĭ宻蔈ൟ뽏␻谀⩰寞뚤寁⩀寞7Ĭ宻薀ൟ뽐␻谀⩰寞뚤寁⩀寞7Ĭ宻藸ൟ뽙␻谀⩰寞뚤寁⩀寞7Ĭ宻虈ൟ뾢␻谀⩰寞뚤寁⩀寞7Ĭ宻蚘ൟ뾫␻谀⩰寞뚤寁⩀寞7Ĭ宻蜐ൟ뾼␻谀⩰寞뚤寁⩀寞7Ĭ宻螈ൟ뾅␻谀⩰寞뚤寁⩀寞7Ĭ宻蟘ൟ뾎␻谀⩰寞뚤寁⩀寞7Ĭ宻蠨ൟ뾗␻谀⩰寞뚤寁⩀寞7Ĭ宻袠ൟ뾘␻谀⩰寞뚤寁⩀寞7Ĭ宻裰ൟ뿡␻谀⩰寞뚤寁⩀寞7Ĭ宻襀ൟ뿪␻谀⩰寞뚤寁⩀寞7Ĭ宻覸ൟ뿳␻谀⩰寞뚤寁⩀寞7Ĭ宻訰ൟ뿄␻谀⩰寞뚤寁⩀寞7Ĭ宻誀ൟ뿍␻谀⩰寞뚤寁⩀寞7Ĭ宻諸ൟ뿖␻谀⩰寞뚤寁⩀寞7Ĭ宻議ൟ뿟␻谀⩰寞뚤寁⩀寞7Ĭ宻诨ൟ븠␻谀⩰寞뚤寁⩀寞7Ĭ宻谸ൟ븩␻谀⩰寞뚤寁⩀寞7Ĭ宻貰ൟ븲␻谀⩰寞뚤寁⩀寞7Ĭ宻贀ൟ븻␻谀⩰寞뚤寁⩀寞7Ĭ宻赐ൟ브␻谀⩰寞뚤寁⩀寞7Ĭ宻趠ൟ븕␻谀⩰寞뚤寁⩀寞7Ĭ宻踘ൟ븞␻谀⩰寞뚤寁⩀寞7Ĭ宻蹨ൟ빧␻谀⩰寞뚤寁⩀寞7Ĭ宻躸ൟ빨␻谀⩰寞뚤寁⩀寞7Ĭ宻輰ൟ빱␻谀⩰寞뚤寁⩀寞7Ĭ宻辀ൟ빺␻谀⩰寞뚤寁⩀寞7Ĭ宻邘ൟ빃␻谀⩰寞뚤寁⩀寞7Ĭ宻部ൟ빔␻谀⩰寞뚤寁⩀寞7Ĭ宻鄸ൟ빝␻谀⩰寞뚤寁⩀寞7Ĭ宻醈ൟ뺦␻谀⩰寞뚤寁⩀寞7Ĭ宻釘ൟ뺯␻谀⩰寞뚤寁⩀寞7Ĭ宻鈨ൟ뺰␻谀⩰寞뚤寁⩀寞7Ĭ宻鉸ൟ뺹␻谀⩰寞뚤寁⩀寞7Ĭ宻鋰ൟ뺂␻谀⩰寞뚤寁⩀寞7Ĭ宻鍨ൟ뺋␻谀⩰寞뚤寁⩀寞7Ĭ宻鏠ൟ뺜␻谀⩰寞뚤寁⩀寞7Ĭ宻鐰ൟ뻥␻谀⩰寞뚤寁⩀寞7Ĭ宻钀ൟ뻮␻谀⩰寞뚤寁⩀寞7Ĭ宻铐ൟ뻷␻谀⩰寞뚤寁⩀寞7Ĭ宻造ൟ뻸␻谀⩰寞뚤寁⩀寞7Ĭ宻锠ൟ뻁␻谀⩰寞뚤寁⩀寞7Ĭ宻镰ൟ뻊␻谀⩰寞뚤寁⩀寞7Ĭ宻闀ൟ뻓␻谀⩰寞뚤寁⩀寞7Ĭ宻阐ൟ봤␻谀⩰寞뚤寁⩀寞7Ĭ宻陠ൟ봭␻谀⩰寞뚤寁⩀寞7Ĭ宻隰ൟ봶␻谀⩰寞뚤寁⩀寞7Ĭ宻霨ൟ봿␻谀⩰寞뚤寁⩀寞7Ĭ宻靸ൟ봀␻谀⩰寞뚤寁⩀寞7Ĭ宻韈ൟ봉␻谀⩰寞뚤寁⩀寞7Ĭ宻顀ൟ봒␻谀⩰寞뚤寁⩀寞7Ĭ宻颐ൟ봛␻谀⩰寞뚤寁⩀寞7Ĭ宻餈ൟ뵬␻谀⩰寞뚤寁⩀寞7Ĭ宻馀ൟ뵵␻谀⩰寞뚤寁⩀寞7Ĭ宻駐ൟ뵾␻谀⩰寞뚤寁⩀寞7Ĭ宻騠ൟ뵇␻谀⩰寞뚤寁⩀寞7Ĭ宻骘ൟ뵈␻谀⩰寞뚤寁⩀寞7Ĭ宻髨ൟ뵑␻谀⩰寞뚤寁⩀寞7Ĭ宻鬸ൟ뵚␻谀⩰寞뚤寁⩀寞7Ĭ宻鮰ൟ붣␻谀⩰寞뚤寁⩀寞7Ĭ宻鰀ൟ붴␻谀⩰寞뚤寁⩀寞7Ĭ宻鱐ൟ붽␻谀⩰寞뚤寁⩀寞7Ĭ宻鳈ൟ붆␻谀⩰寞뚤寁⩀寞7Ĭ宻鴘ൟ붏␻谀⩰寞뚤寁⩀寞7Ĭ宻鵨ൟ붐␻谀⩰寞뚤寁⩀寞7Ĭ宻鷠ൟ붙␻谀⩰寞뚤寁⩀寞7Ĭ宻鸰ൟ뷢␻谀⩰寞뚤寁⩀寞7Ĭ宻麨ൟ뷫␻谀⩰寞뚤寁⩀寞7Ĭ宻黸ൟ뷼␻谀⩰寞뚤寁⩀寞7Ĭ宻齰ൟ뷅␻谀⩰寞뚤寁⩀寞7Ĭ宻鿨ൟ뷎␻谀⩰寞뚤寁⩀寞7Ĭ宻ꀸൟ뷗␻谀⩰寞뚤寁⩀寞7Ĭ宻ꂈൟ뷘␻谀⩰寞뚤寁⩀寞7Ĭ宻ꄀൟ밡␻谀⩰寞뚤寁⩀寞7Ĭ宻ꅸൟ밪␻谀⩰寞뚤寁⩀寞7Ĭ宻ꇈൟ밳␻谀⩰寞뚤寁⩀寞7Ĭ宻ꈘൟ밄␻谀⩰寞뚤寁⩀寞7Ĭ宻ꊐൟ밍␻谀⩰寞뚤寁⩀寞7Ĭ宻ꋠൟ밖␻谀⩰寞뚤寁⩀寞7Ĭ宻ꌰൟ밟␻谀⩰寞뚤寁⩀寞7Ĭ宻ꎨൟ뱠␻谀⩰寞뚤寁⩀寞7Ĭ宻ꐠൟ뱩␻谀⩰寞뚤寁⩀寞7Ĭ宻꒘ൟ뱲␻谀⩰寞뚤寁⩀寞7Ĭ宻ꓨൟ뱻␻谀⩰寞뚤寁⩀寞7Ĭ宻ꕠൟ뱌␻谀⩰寞뚤寁⩀寞7Ĭ宻ꖰൟ뱕␻谀⩰寞뚤寁⩀寞7Ĭ宻ꘀൟ뱞␻谀⩰寞뚤寁⩀寞7Ĭ宻Ꙑൟ벧␻谀⩰寞뚤寁⩀寞7Ĭ宻ꚠൟ벨␻谀⩰寞뚤寁⩀寞7Ĭ宻ꜘൟ벱␻谀⩰寞뚤寁⩀寞7Ĭ宻Ꞑൟ벺␻谀⩰寞뚤寁⩀寞7Ĭ宻꟠ൟ벃␻谀⩰寞뚤寁⩀寞7Ĭ宻꠰ൟ범␻谀⩰寞뚤寁⩀寞7Ĭ宻ꢨൟ벝␻谀⩰寞뚤寁⩀寞7Ĭ宻꣸ൟ볦␻谀⩰寞뚤寁⩀寞7Ĭ宻ꥈൟ볯␻谀⩰寞뚤寁⩀寞7Ĭ宻꧀ൟ볰␻谀⩰寞뚤寁⩀寞7Ĭ宻꨸ൟ볹␻谀⩰寞뚤寁⩀寞7Ĭ宻ꪰൟ볂␻谀⩰寞뚤寁⩀寞7Ĭ宻꬀ൟ볋␻谀⩰寞뚤寁⩀寞7Ĭ宻ꭐൟ볜␻谀⩰寞뚤寁⩀寞7Ĭ宻ꯈൟ묥␻谀⩰寞뚤寁⩀寞7Ĭ宻갘ൟ묮␻谀⩰寞뚤寁⩀寞7Ĭ宻겐ൟ묷␻谀⩰寞뚤寁⩀寞7Ĭ宻고ൟ문␻谀⩰寞뚤寁⩀寞7Ĭ宻괰ൟ묁␻谀⩰寞뚤寁⩀寞7Ĭ宻궨ൟ묊␻谀⩰寞뚤寁⩀寞7Ĭ宻긠ൟ묓␻谀⩰寞뚤寁⩀寞7Ĭ宻깰ൟ뭤␻谀⩰寞뚤寁⩀寞7Ĭ宻껀ൟ뭭␻谀⩰寞뚤寁⩀寞7Ĭ宻꼸ൟ뭶␻谀⩰寞뚤寁⩀寞7Ĭ宻꾈ൟ뭿␻谀⩰寞뚤寁⩀寞7Ĭ宻뀀ൟ뭀␻谀⩰寞뚤寁⩀寞7Ĭ宻끐ൟ뭉␻谀⩰寞뚤寁⩀寞7Ĭ宻냈ൟ뭒␻谀⩰寞뚤寁⩀寞7Ĭ宻녀ൟ뭛␻谀⩰寞뚤寁⩀寞7Ĭ宻놐ൟ뮬␻谀⩰寞뚤寁⩀寞7Ĭ宻뇠ൟ뮵␻谀⩰寞뚤寁⩀寞7Ĭ宻눰ൟ뮾␻谀⩰寞뚤寁⩀寞7Ĭ宻늀ൟ뮇␻谀⩰寞뚤寁⩀寞7Ĭ宻닸ൟ뮈␻谀⩰寞뚤寁⩀寞7Ĭ宻데ൟ뮑␻谀⩰寞뚤寁⩀寞7Ĭ宻돀ൟ뮚␻谀⩰寞뚤寁⩀寞7Ĭ宻됸ൟ믣␻谀⩰寞뚤寁⩀寞7Ĭ宻뒈ൟ믴␻谀⩰寞뚤寁⩀寞7Ĭ宻듘ൟ믽␻谀⩰寞뚤寁⩀寞7Ĭ宻땐ൟ믆␻谀⩰寞뚤寁⩀寞7Ĭ宻떠ൟ믏␻谀⩰寞뚤寁⩀寞7Ĭ宻똘ൟ믐␻谀⩰寞뚤寁⩀寞7Ĭ宻뙨ൟ믙␻谀⩰寞뚤寁⩀寞7Ĭ宻뚸ൟ먢␻谀⩰寞뚤寁⩀寞7Ĭ宻뜈ൟ먫␻谀⩰寞뚤寁⩀寞7Ĭ宻띘ൟ먼␻谀⩰寞뚤寁⩀寞7Ĭ宻럐ൟ먅␻谀⩰寞뚤寁⩀寞7Ĭ宻렠ൟ먎␻谀⩰寞뚤寁⩀寞7Ĭ宻뢘ൟ먗␻谀⩰寞뚤寁⩀寞7Ĭ宻루ൟ먘␻谀⩰寞뚤寁⩀寞7Ĭ宻률ൟ멡␻谀⩰寞뚤寁⩀寞7Ĭ宻린ൟ멪␻谀⩰寞뚤寁⩀寞7Ĭ宻먀ൟ멳␻谀⩰寞뚤寁⩀寞7Ĭ宻멸ൟ멄␻谀⩰寞뚤寁⩀寞7Ĭ宻뫈ൟ멍␻谀⩰寞뚤寁⩀寞7Ĭ宻묘ൟ멖␻谀⩰寞뚤寁⩀寞7Ĭ宻뮐ൟ멟␻谀⩰寞뚤寁⩀寞7Ĭ宻믠ൟ몠␻谀⩰寞뚤寁⩀寞7Ĭ宻배ൟ목␻谀⩰寞뚤寁⩀寞7Ĭ宻벨ൟ몲␻谀⩰寞뚤寁⩀寞7Ĭ宻본ൟ못␻谀⩰寞뚤寁⩀寞7Ĭ宻뵈ൟ몌␻谀⩰寞뚤寁⩀寞7Ĭ宻붘ൟ몕␻谀⩰寞뚤寁⩀寞7Ĭ宻븐ൟ몞␻谀⩰寞뚤寁⩀寞7Ĭ宻빠ൟ뫧␻谀⩰寞뚤寁⩀寞7Ĭ宻뻘ൟ뫨␻谀⩰寞뚤寁⩀寞7Ĭ宻뼨ൟ뫱␻谀⩰寞뚤寁⩀寞7Ĭ宻쁀ൟ뫺␻谀⩰寞뚤寁⩀寞7Ĭ宻삐ൟ뫃␻谀⩰寞뚤寁⩀寞7Ĭ宻샠ൟ뫔␻谀⩰寞뚤寁⩀寞7Ĭ宻섰ൟ뫝␻谀⩰寞뚤寁⩀寞7Ĭ宻솀ൟ뤦␻谀⩰寞뚤寁⩀寞7Ĭ宻쇐ൟ뤯␻谀⩰寞뚤寁⩀寞7Ĭ宻술ൟ뤰␻谀⩰寞뚤寁⩀寞7Ĭ宻슘ൟ뤹␻谀⩰寞뚤寁⩀寞7Ĭ宻쌐ൟ뤂␻谀⩰寞뚤寁⩀寞7Ĭ宻썠ൟ뤋␻谀⩰寞뚤寁⩀寞7Ĭ宻쎰ൟ뤜␻谀⩰寞뚤寁⩀寞7Ĭ宻쐨ൟ륥␻谀⩰寞뚤寁⩀寞7Ĭ宻쑸ൟ륮␻谀⩰寞뚤寁⩀寞7Ĭ宻쓈ൟ륷␻谀⩰寞뚤寁⩀寞7Ĭ宻앀ൟ른␻谀⩰寞뚤寁⩀寞7Ĭ宻얐ൟ륁␻谀⩰寞뚤寁⩀寞7Ĭ宻엠ൟ륊␻谀⩰寞뚤寁⩀寞7Ĭ宻옰ൟ륓␻谀⩰寞뚤寁⩀寞7Ĭ宻욀ൟ릤␻谀⩰寞뚤寁⩀寞7Ĭ宻원ൟ릭␻谀⩰寞뚤寁⩀寞7Ĭ宻읈ൟ릶␻谀⩰寞뚤寁⩀寞7Ĭ宻잘ൟ릿␻谀⩰寞뚤寁⩀寞7Ĭ宻점ൟ릀␻谀⩰寞뚤寁⩀寞7Ĭ宻졠ൟ릉␻谀⩰寞뚤寁⩀寞7Ĭ宻죘ൟ릒␻谀⩰寞뚤寁⩀寞7Ĭ宻줨ൟ릛␻谀⩰寞뚤寁⩀寞7Ĭ宻즠ൟ맬␻谀⩰寞뚤寁⩀寞7Ĭ宻쨘ൟ맵␻谀⩰寞뚤寁⩀寞7Ĭ宻쩨ൟ맾␻谀⩰寞뚤寁⩀寞7Ĭ宻쪸ൟ맇␻谀⩰寞뚤寁⩀寞7Ĭ宻쬈ൟ마␻谀⩰寞뚤寁⩀寞7Ĭ宻쭘ൟ맑␻谀⩰寞뚤寁⩀寞7Ĭ宻쮨ൟ맚␻谀⩰寞뚤寁⩀寞7Ĭ宻쯸ൟ렣␻谀⩰寞뚤寁⩀寞7Ĭ宻챰ൟ렴␻谀⩰寞뚤寁⩀寞7Ĭ宻쳀ൟ렽␻谀⩰寞뚤寁⩀寞7Ĭ宻촐ൟ렆␻谀⩰寞뚤寁⩀寞7Ĭ宻춈ൟ렏␻谀⩰寞뚤寁⩀寞7Ĭ宻췘ൟ렐␻谀⩰寞뚤寁⩀寞7Ĭ宻칐ൟ렙␻谀⩰寞뚤寁⩀寞7Ĭ宻캠ൟ롢␻谀⩰寞뚤寁⩀寞7Ĭ宻켘ൟ롫␻谀⩰寞뚤寁⩀寞7Ĭ宻쾐ൟ롼␻谀⩰寞뚤寁⩀寞7Ĭ宻퀈ൟ롅␻谀⩰寞뚤寁⩀寞7Ĭ宻큘ൟ롎␻谀⩰寞뚤寁⩀寞7Ĭ宻킨ൟ롗␻谀⩰寞뚤寁⩀寞7Ĭ宻턠ൟ롘␻谀⩰寞뚤寁⩀寞7Ĭ宻톘ൟ뢡␻谀⩰寞뚤寁⩀寞7Ĭ宻퇨ൟ뢪␻谀⩰寞뚤寁⩀寞7Ĭ宻퉠ൟ뢳␻谀⩰寞뚤寁⩀寞7Ĭ宻튰ൟ뢄␻谀⩰寞뚤寁⩀寞7Ĭ宻패ൟ뢍␻谀⩰寞뚤寁⩀寞7Ĭ宻퍸ൟ뢖␻谀⩰寞뚤寁⩀寞7Ĭ宻폈ൟ뢟␻谀⩰寞뚤寁⩀寞7Ĭ宻퐘ൟ룠␻谀⩰寞뚤寁⩀寞7Ĭ宻푨ൟ룩␻谀⩰寞뚤寁⩀寞7Ĭ宻퓠ൟ룲␻谀⩰寞뚤寁⩀寞7Ĭ宻픰ൟ룻␻谀⩰寞뚤寁⩀寞7Ĭ宻햨ൟ료␻谀⩰寞뚤寁⩀寞7Ĭ宻헸ൟ룕␻谀⩰寞뚤寁⩀寞7Ĭ宻홈ൟ룞␻谀⩰寞뚤寁⩀寞7Ĭ宻훀ൟ뜧␻谀⩰寞뚤寁⩀寞7Ĭ宻휐ൟ뜨␻谀⩰寞뚤寁⩀寞7Ĭ宻흠ൟ뜱␻谀⩰寞뚤寁⩀寞7Ĭ宻ퟘൟ뜺␻谀⩰寞뚤寁⩀寞7Ĭ宻ൟ뜃␻谀⩰寞뚤寁⩀寞7Ĭ宻ൟ뜔␻谀⩰寞뚤寁⩀寞7Ĭ宻ൟ뜝␻谀⩰寞뚤寁⩀寞7Ĭ宻ൟ띦␻谀⩰寞뚤寁⩀寞7Ĭ宻ൟ띯␻谀⩰寞뚤寁⩀寞7Ĭ宻ൟ띰␻谀⩰寞뚤寁⩀寞7Ĭ宻ൟ띹␻谀⩰寞뚤寁⩀寞7Ĭ宻ൟ띂␻谀⩰寞뚤寁⩀寞7Ĭ宻ൟ띋␻谀⩰寞뚤寁⩀寞7Ĭ宻ൟ띜␻谀⩰寞뚤寁⩀寞7Ĭ宻ൟ랥␻谀⩰寞뚤寁⩀寞7Ĭ宻ൟ랮␻谀⩰寞뚤寁⩀寞7Ĭ宻ൟ랷␻谀⩰寞뚤寁⩀寞7Ĭ宻ൟ랸␻谀⩰寞뚤寁⩀寞7Ĭ宻ൟ랁␻谀⩰寞뚤寁⩀寞7Ĭ宻ൟ랊␻谀⩰寞뚤寁⩀寞7Ĭ宻ൟ랓␻谀⩰寞뚤寁⩀寞7Ĭ宻ൟ럤␻谀⩰寞뚤寁⩀寞7Ĭ宻ൟ럭␻谀⩰寞뚤寁⩀寞7Ĭ宻ൟ럶␻谀⩰寞뚤寁⩀寞7Ĭ宻ൟ럿␻谀⩰寞뚤寁⩀寞7Ĭ宻ൟ럀␻谀⩰寞뚤寁⩀寞7Ĭ宻ൟ량␻谀⩰寞뚤寁⩀寞7Ĭ宻ൟ럒␻谀⩰寞뚤寁⩀寞7Ĭ宻ൟ럛␻谀⩰寞뚤寁⩀寞7Ĭ宻ൟ똬␻谀⩰寞뚤寁⩀寞7Ĭ宻ൟ똵␻谀⩰寞뚤寁⩀寞7Ĭ宻ൟ똾␻谀⩰寞뚤寁⩀寞7Ĭ宻ൟ똇␻谀⩰寞뚤寁⩀寞7Ĭ宻ൟ똈␻谀⩰寞뚤寁⩀寞7Ĭ宻ൟ똑␻谀⩰寞뚤寁⩀寞7Ĭ宻ൟ똚␻谀⩰寞뚤寁⩀寞7Ĭ宻ൟ뙣␻谀⩰寞뚤寁⩀寞7Ĭ宻ൟ뙴␻谀⩰寞뚤寁⩀寞7Ĭ宻ൟ뙽␻谀⩰寞뚤寁⩀寞7Ĭ宻ൟ뙆␻谀⩰寞뚤寁⩀寞7Ĭ宻ൟ뙏␻谀⩰寞뚤寁⩀寞7Ĭ宻ൟ뙐␻谀⩰寞뚤寁⩀寞7Ĭ宻ൟ뙙␻谀⩰寞뚤寁⩀寞7Ĭ宻ൟ뚢␻谀⩰寞뚤寁⩀寞7Ĭ宻ൟ뚫␻谀⩰寞뚤寁⩀寞7Ĭ宻ൟ뚼␻谀⩰寞뚤寁⩀寞7Ĭ宻ൟ뚅␻谀⩰寞뚤寁⩀寞7Ĭ宻ൟ뚎␻谀⩰寞뚤寁⩀寞7Ĭ宻ൟ뚗␻谀⩰寞뚤寁⩀寞7Ĭ宻ൟ뚘␻谀⩰寞뚤寁⩀寞7Ĭ宻ൟ뛡␻谀⩰寞뚤寁⩀寞7Ĭ宻ൟ뛪␻谀⩰寞뚤寁⩀寞7Ĭ宻ൟ뛳␻谀⩰寞뚤寁⩀寞7Ĭ宻ൟ뛄␻谀⩰寞뚤寁⩀寞7Ĭ宻ൟ뛍␻谀⩰寞뚤寁⩀寞7Ĭ宻ൟ뛖␻谀⩰寞뚤寁⩀寞7Ĭ宻ൟ뛟␻谀⩰寞뚤寁⩀寞7Ĭ宻ൟ딠␻谀⩰寞뚤寁⩀寞7Ĭ宻ൟ딩␻谀⩰寞뚤寁⩀寞7Ĭ宻ൟ딲␻谀⩰寞뚤寁⩀寞7Ĭ宻ൟ딻␻谀⩰寞뚤寁⩀寞7Ĭ宻ൟ딌␻谀⩰寞뚤寁⩀寞7Ĭ宻ൟ딕␻谀⩰寞뚤寁⩀寞7Ĭ宻ൟ딞␻谀⩰寞뚤寁⩀寞7Ĭ宻ൟ땧␻谀⩰寞뚤寁⩀寞7Ĭ宻ൟ땨␻谀⩰寞뚤寁⩀寞7Ĭ宻ൟ땱␻谀⩰寞뚤寁⩀寞7Ĭ宻ൟ땺␻谀⩰寞뚤寁⩀寞7Ĭ宻ൟ땃␻谀⩰寞뚤寁⩀寞7Ĭ宻ൟ땔␻谀⩰寞뚤寁⩀寞7Ĭ宻ൟ땝␻谀⩰寞뚤寁⩀寞7Ĭ宻ൟ떦␻谀⩰寞뚤寁⩀寞7Ĭ宻ൟ떯␻谀⩰寞뚤寁⩀寞7Ĭ宻ൟ떰␻谀⩰寞뚤寁⩀寞7Ĭ宻ൟ떹␻谀⩰寞뚤寁⩀寞7Ĭ宻ൟ떂␻谀⩰寞뚤寁⩀寞7Ĭ宻ൟ떋␻谀⩰寞뚤寁⩀寞7Ĭ宻ൟ떜␻谀⩰寞뚤寁⩀寞7Ĭ宻ൟ뗥␻谀⩰寞뚤寁⩀寞7Ĭ宻ൟ뗮␻谀⩰寞뚤寁⩀寞7Ĭ宻ൟ뗷␻谀⩰寞뚤寁⩀寞7Ĭ宻ൟ뗸␻谀⩰寞뚤寁⩀寞7Ĭ宻ൟ뗁␻谀⩰寞뚤寁⩀寞7Ĭ宻ൟ뗊␻谀⩰寞뚤寁⩀寞7Ĭ宻ൟ뗓␻谀⩰寞뚤寁⩀寞7Ĭ宻ൟ됤␻谀⩰寞뚤寁⩀寞7Ĭ宻ൟ됭␻谀⩰寞뚤寁⩀寞7Ĭ宻ൟ됶␻谀⩰寞뚤寁⩀寞7Ĭ宻ൟ됿␻谀⩰寞뚤寁⩀寞7Ĭ宻ൟ됀␻谀⩰寞뚤寁⩀寞7Ĭ宻ൟ됉␻谀⩰寞뚤寁⩀寞7Ĭ宻ൟ됒␻谀⩰寞뚤寁⩀寞7Ĭ宻ൟ됛␻谀⩰寞뚤寁⩀寞7Ĭ宻鸞ൟ둬␻谀⩰寞뚤寁⩀寞7Ĭ宻殺ൟ둵␻谀⩰寞뚤寁⩀寞7Ĭ宻裡ൟ둾␻谀⩰寞뚤寁⩀寞7Ĭ宻器ൟ둇␻谀⩰寞뚤寁⩀寞7Ĭ宻愈ൟ둈␻谀⩰寞뚤寁⩀寞7Ĭ宻ﬀൟ둑␻谀⩰寞뚤寁⩀寞7Ĭ宻ﭐൟ둚␻谀⩰寞뚤寁⩀寞7Ĭ宻﯈ൟ뒣␻谀⩰寞뚤寁⩀寞7Ĭ宻ﰘൟ뒴␻谀⩰寞뚤寁⩀寞7Ĭ宻ﲐൟ뒽␻谀⩰寞뚤寁⩀寞7Ĭ宻ﳠൟ"/>
        </w:smartTagPr>
        <w:r>
          <w:t xml:space="preserve">la </w:t>
        </w:r>
        <w:r>
          <w:rPr>
            <w:bCs/>
          </w:rPr>
          <w:t>Convención Internacional</w:t>
        </w:r>
      </w:smartTag>
      <w:r>
        <w:rPr>
          <w:bCs/>
        </w:rPr>
        <w:t xml:space="preserve"> sobre la protección de los derechos de todos los trabajadores migratorios y de sus familiares</w:t>
      </w:r>
      <w:r>
        <w:t xml:space="preserve">. La expansión del Comité coincide con la celebración en 2010 del 20º aniversario de la adopción de </w:t>
      </w:r>
      <w:smartTag w:uri="urn:schemas-microsoft-com:office:smarttags" w:element="PersonName">
        <w:smartTagPr>
          <w:attr w:name="ProductID" w:val="la Convenci￳n"/>
        </w:smartTagPr>
        <w:r>
          <w:t>la Convención</w:t>
        </w:r>
      </w:smartTag>
      <w:r>
        <w:t xml:space="preserve">, ocasión que se aprovechará para una mayor concienciación sobre los derechos de los migrantes y para alentar a más Estados a adherirse a </w:t>
      </w:r>
      <w:smartTag w:uri="urn:schemas-microsoft-com:office:smarttags" w:element="PersonName">
        <w:smartTagPr>
          <w:attr w:name="ProductID" w:val="la Convenci￳n."/>
        </w:smartTagPr>
        <w:r>
          <w:t>la Convención.</w:t>
        </w:r>
      </w:smartTag>
    </w:p>
    <w:p w:rsidR="00000000" w:rsidRDefault="00000000">
      <w:pPr>
        <w:pStyle w:val="SingleTxtG"/>
      </w:pPr>
      <w:r>
        <w:t>3.</w:t>
      </w:r>
      <w:r>
        <w:tab/>
        <w:t xml:space="preserve">La protección efectiva de los derechos humanos en el contexto de las migraciones es una de las prioridades estratégicas de </w:t>
      </w:r>
      <w:smartTag w:uri="urn:schemas-microsoft-com:office:smarttags" w:element="PersonName">
        <w:smartTagPr>
          <w:attr w:name="ProductID" w:val="la Oficina"/>
        </w:smartTagPr>
        <w:r>
          <w:t>la Oficina</w:t>
        </w:r>
      </w:smartTag>
      <w:r>
        <w:t xml:space="preserve"> del Alto Comisionado de las Naciones Unidas para los Derechos Humanos (ACNUDH) para el bienio 2010-2011. El ACNUDH se centrará en particular en cuatro esferas críticas relacionadas con las migraciones, a saber: la discriminación, la xenofobia, el racismo y la intolerancia conexa contra los migrantes; los derechos económicos, sociales y culturales de los migrantes; los centros de detención de inmigrantes y la penalización de la migración irregular; y la repercusión de las crisis económica mundial sobre los derechos humanos de los migrantes. El ACNUDH también se propone realizar actividades de promoción y sensibilización en relación con las Convención. </w:t>
      </w:r>
    </w:p>
    <w:p w:rsidR="00000000" w:rsidRDefault="00000000">
      <w:pPr>
        <w:pStyle w:val="SingleTxtG"/>
      </w:pPr>
      <w:r>
        <w:t>4.</w:t>
      </w:r>
      <w:r>
        <w:tab/>
        <w:t xml:space="preserve">Se ha organizado y planificado diversas iniciativas para 2010, con miras a la universalización de la Convención. Éstas incluyen </w:t>
      </w:r>
      <w:smartTag w:uri="urn:schemas-microsoft-com:office:smarttags" w:element="PersonName">
        <w:smartTagPr>
          <w:attr w:name="ProductID" w:val="la Campa￱a"/>
        </w:smartTagPr>
        <w:r>
          <w:t>la Campaña</w:t>
        </w:r>
      </w:smartTag>
      <w:r>
        <w:t xml:space="preserve"> mundial para la ratificación de </w:t>
      </w:r>
      <w:smartTag w:uri="urn:schemas-microsoft-com:office:smarttags" w:element="PersonName">
        <w:smartTagPr>
          <w:attr w:name="ProductID" w:val="la Convenci￳n"/>
        </w:smartTagPr>
        <w:r>
          <w:t>la Convención</w:t>
        </w:r>
      </w:smartTag>
      <w:r>
        <w:t xml:space="preserve"> sobre los derechos de los migrantes, reuniones sobre cuestiones relacionadas con las migraciones organizadas por el ACNUDH, un coloquio jurídico celebrado en Bruselas sobre el marco de derechos humanos para la protección de los trabajadores domésticos migratorios y una conferencia en Lisboa sobre los derechos humanos y las migraciones. Durante el segundo semestre de 2010, el ACNUDH asumirá la presidencia del Grupo Mundial sobre Migración, antes de la celebración del Cuarto Foro Mundial sobre </w:t>
      </w:r>
      <w:smartTag w:uri="urn:schemas-microsoft-com:office:smarttags" w:element="PersonName">
        <w:smartTagPr>
          <w:attr w:name="ProductID" w:val="la Migraci￳n"/>
        </w:smartTagPr>
        <w:r>
          <w:t>la Migración</w:t>
        </w:r>
      </w:smartTag>
      <w:r>
        <w:t xml:space="preserve"> y el Desarrollo, que tendrá lugar en in México en noviembre.</w:t>
      </w:r>
    </w:p>
    <w:p w:rsidR="00000000" w:rsidRDefault="00000000">
      <w:pPr>
        <w:pStyle w:val="SingleTxtG"/>
      </w:pPr>
      <w:r>
        <w:t>5.</w:t>
      </w:r>
      <w:r>
        <w:tab/>
        <w:t>La cuestión de los derechos humanos de los migrantes se ha planteado reiteradamente en el 13º período de sesiones del Consejo de Derechos Humanos, así como en las recomendaciones formuladas en el contexto del proceso del examen periódico universal. El ACNUDH celebrará muy próximamente una reunión de un día de duración en relación con la aplicación de la resolución 12/6, del Consejo de Derechos Humanos, y en 2009 el Relator Especial sobre los derechos humanos de los migrantes visitó dos países, a saber, el Reino Unido de Gran Bretaña e Irlanda del Norte y el Senegal.</w:t>
      </w:r>
    </w:p>
    <w:p w:rsidR="00000000" w:rsidRDefault="00000000">
      <w:pPr>
        <w:pStyle w:val="SingleTxtG"/>
      </w:pPr>
      <w:r>
        <w:t>6.</w:t>
      </w:r>
      <w:r>
        <w:tab/>
        <w:t xml:space="preserve">Refiriéndose a la cuestión del fortalecimiento del sistema de órganos creados en virtud de instrumentos internacionales, recuerda que en el 12º período de sesiones del Consejo de Derechos Humanos, el Alto Comisionado alentó a los interesados a iniciar un proceso de reflexión sobre las maneras de mejorar la coherencia y la eficacia. En ese sentido, señala a la atención una reunión oficiosa de antiguos y actuales expertos de órganos de tratados organizada por </w:t>
      </w:r>
      <w:smartTag w:uri="urn:schemas-microsoft-com:office:smarttags" w:element="PersonName">
        <w:smartTagPr>
          <w:attr w:name="ProductID" w:val="la Universidad"/>
        </w:smartTagPr>
        <w:r>
          <w:t>la Universidad</w:t>
        </w:r>
      </w:smartTag>
      <w:r>
        <w:t xml:space="preserve"> de Nottingham (Reino Unido) en noviembre de 2009, con miras a proponer un marco para el fortalecimiento del sistema.</w:t>
      </w:r>
    </w:p>
    <w:p w:rsidR="00000000" w:rsidRDefault="00000000">
      <w:pPr>
        <w:pStyle w:val="H23G"/>
      </w:pPr>
      <w:r>
        <w:tab/>
      </w:r>
      <w:r>
        <w:tab/>
        <w:t>Declaración solemne de los miembros recientemente elegidos prevista</w:t>
      </w:r>
      <w:r>
        <w:br/>
        <w:t>en el artículo 11 del reglamento provisional del Comité</w:t>
      </w:r>
    </w:p>
    <w:p w:rsidR="00000000" w:rsidRDefault="00000000">
      <w:pPr>
        <w:pStyle w:val="SingleTxtG"/>
        <w:keepNext/>
        <w:keepLines/>
      </w:pPr>
      <w:r>
        <w:t>7.</w:t>
      </w:r>
      <w:r>
        <w:tab/>
      </w:r>
      <w:r>
        <w:rPr>
          <w:b/>
        </w:rPr>
        <w:t>El Presidente provisional</w:t>
      </w:r>
      <w:r>
        <w:t xml:space="preserve"> acoge al Sr. Carrión-Mena, a </w:t>
      </w:r>
      <w:smartTag w:uri="urn:schemas-microsoft-com:office:smarttags" w:element="PersonName">
        <w:smartTagPr>
          <w:attr w:name="ProductID" w:val="La Sra. Dicko"/>
        </w:smartTagPr>
        <w:r>
          <w:t>la Sra. Dicko</w:t>
        </w:r>
      </w:smartTag>
      <w:r>
        <w:t xml:space="preserve">, al Sr. Ibarra González, a </w:t>
      </w:r>
      <w:smartTag w:uri="urn:schemas-microsoft-com:office:smarttags" w:element="PersonName">
        <w:smartTagPr>
          <w:attr w:name="ProductID" w:val="La Sra. Miller-Stennett"/>
        </w:smartTagPr>
        <w:r>
          <w:t>la Sra. Miller-Stennett</w:t>
        </w:r>
      </w:smartTag>
      <w:r>
        <w:t>, y al Sr. Tall como nuevos miembros del Comité y los invita a hacer la declaración solemne prevista en el artículo 11 del reglamento provisional del Comité.</w:t>
      </w:r>
    </w:p>
    <w:p w:rsidR="00000000" w:rsidRDefault="00000000">
      <w:pPr>
        <w:pStyle w:val="SingleTxtG"/>
      </w:pPr>
      <w:r>
        <w:t>8.</w:t>
      </w:r>
      <w:r>
        <w:tab/>
      </w:r>
      <w:r>
        <w:rPr>
          <w:i/>
        </w:rPr>
        <w:t xml:space="preserve">El Sr. Carrión-Mena, </w:t>
      </w:r>
      <w:smartTag w:uri="urn:schemas-microsoft-com:office:smarttags" w:element="PersonName">
        <w:smartTagPr>
          <w:attr w:name="ProductID" w:val="La Sra. Dicko"/>
        </w:smartTagPr>
        <w:r>
          <w:rPr>
            <w:i/>
          </w:rPr>
          <w:t>la Sra. Dicko</w:t>
        </w:r>
      </w:smartTag>
      <w:r>
        <w:rPr>
          <w:i/>
        </w:rPr>
        <w:t xml:space="preserve">, el Sr. Ibarra González, </w:t>
      </w:r>
      <w:smartTag w:uri="urn:schemas-microsoft-com:office:smarttags" w:element="PersonName">
        <w:smartTagPr>
          <w:attr w:name="ProductID" w:val="La Sra. Miller-Stennett"/>
        </w:smartTagPr>
        <w:r>
          <w:rPr>
            <w:i/>
          </w:rPr>
          <w:t>la Sra. Miller-Stennett</w:t>
        </w:r>
      </w:smartTag>
      <w:r>
        <w:rPr>
          <w:i/>
        </w:rPr>
        <w:t xml:space="preserve"> y el Sr. Tall hacen la declaración solemne prevista en el artículo 11 del reglamento provisional del Comité</w:t>
      </w:r>
      <w:r>
        <w:t>.</w:t>
      </w:r>
    </w:p>
    <w:p w:rsidR="00000000" w:rsidRDefault="00000000">
      <w:pPr>
        <w:pStyle w:val="H23G"/>
      </w:pPr>
      <w:r>
        <w:tab/>
      </w:r>
      <w:r>
        <w:tab/>
        <w:t xml:space="preserve">Elección de </w:t>
      </w:r>
      <w:smartTag w:uri="urn:schemas-microsoft-com:office:smarttags" w:element="PersonName">
        <w:smartTagPr>
          <w:attr w:name="ProductID" w:val="la Mesa"/>
        </w:smartTagPr>
        <w:r>
          <w:t>la Mesa</w:t>
        </w:r>
      </w:smartTag>
      <w:r>
        <w:t>, de conformidad con los artículos 12 y 13 del reglamento provisional del Comité</w:t>
      </w:r>
    </w:p>
    <w:p w:rsidR="00000000" w:rsidRDefault="00000000">
      <w:pPr>
        <w:pStyle w:val="SingleTxtG"/>
      </w:pPr>
      <w:r>
        <w:t>9.</w:t>
      </w:r>
      <w:r>
        <w:tab/>
      </w:r>
      <w:smartTag w:uri="urn:schemas-microsoft-com:office:smarttags" w:element="PersonName">
        <w:smartTagPr>
          <w:attr w:name="ProductID" w:val="La Sra. Cubias"/>
        </w:smartTagPr>
        <w:r>
          <w:rPr>
            <w:b/>
          </w:rPr>
          <w:t>La Sra. Cubias</w:t>
        </w:r>
      </w:smartTag>
      <w:r>
        <w:rPr>
          <w:b/>
        </w:rPr>
        <w:t xml:space="preserve"> Medina</w:t>
      </w:r>
      <w:r>
        <w:t xml:space="preserve"> propone la candidatura del Sr. El Jamri al cargo de Presidente.</w:t>
      </w:r>
    </w:p>
    <w:p w:rsidR="00000000" w:rsidRDefault="00000000">
      <w:pPr>
        <w:pStyle w:val="SingleTxtG"/>
      </w:pPr>
      <w:r>
        <w:t>10.</w:t>
      </w:r>
      <w:r>
        <w:tab/>
      </w:r>
      <w:r>
        <w:rPr>
          <w:b/>
        </w:rPr>
        <w:t>El Sr. Alba</w:t>
      </w:r>
      <w:r>
        <w:t xml:space="preserve"> y </w:t>
      </w:r>
      <w:smartTag w:uri="urn:schemas-microsoft-com:office:smarttags" w:element="PersonName">
        <w:smartTagPr>
          <w:attr w:name="ProductID" w:val="la Sra. Konsimbo"/>
        </w:smartTagPr>
        <w:r>
          <w:t xml:space="preserve">la </w:t>
        </w:r>
        <w:r>
          <w:rPr>
            <w:b/>
          </w:rPr>
          <w:t>Sra. Konsimbo</w:t>
        </w:r>
      </w:smartTag>
      <w:r>
        <w:t xml:space="preserve"> apoyan esa candidatura.</w:t>
      </w:r>
    </w:p>
    <w:p w:rsidR="00000000" w:rsidRDefault="00000000">
      <w:pPr>
        <w:pStyle w:val="SingleTxtG"/>
      </w:pPr>
      <w:r>
        <w:t>11.</w:t>
      </w:r>
      <w:r>
        <w:tab/>
      </w:r>
      <w:r>
        <w:rPr>
          <w:i/>
        </w:rPr>
        <w:t>Por aclamación, el Sr. El Jamri queda elegido Presidente</w:t>
      </w:r>
      <w:r>
        <w:t>.</w:t>
      </w:r>
    </w:p>
    <w:p w:rsidR="00000000" w:rsidRDefault="00000000">
      <w:pPr>
        <w:pStyle w:val="SingleTxtG"/>
      </w:pPr>
      <w:r>
        <w:t>12.</w:t>
      </w:r>
      <w:r>
        <w:tab/>
      </w:r>
      <w:r>
        <w:rPr>
          <w:i/>
        </w:rPr>
        <w:t>El Sr. El Jamri ocupa la Presidencia.</w:t>
      </w:r>
    </w:p>
    <w:p w:rsidR="00000000" w:rsidRDefault="00000000">
      <w:pPr>
        <w:pStyle w:val="SingleTxtG"/>
      </w:pPr>
      <w:r>
        <w:t>13.</w:t>
      </w:r>
      <w:r>
        <w:tab/>
      </w:r>
      <w:r>
        <w:rPr>
          <w:b/>
        </w:rPr>
        <w:t>El</w:t>
      </w:r>
      <w:r>
        <w:t xml:space="preserve"> </w:t>
      </w:r>
      <w:r>
        <w:rPr>
          <w:b/>
        </w:rPr>
        <w:t>Presidente</w:t>
      </w:r>
      <w:r>
        <w:t xml:space="preserve"> expresa su reconocimiento por la labor del Alto Comisionado de las Naciones Unidas para los Derechos Humanos de dar prioridad a los derechos de los migrantes, y celebra las diversas iniciativas de promoción y sensibilización en relación con la Convención. Hasta ahora, sólo 43 Estados han ratificado la Convención. El bajo número de ratificaciones presenta un auténtico desafío para el Comité, y es importante que todos los Estados que todavía no lo hayan hecho se adhieran al instrumento.</w:t>
      </w:r>
    </w:p>
    <w:p w:rsidR="00000000" w:rsidRDefault="00000000">
      <w:pPr>
        <w:pStyle w:val="SingleTxtG"/>
      </w:pPr>
      <w:r>
        <w:t>14.</w:t>
      </w:r>
      <w:r>
        <w:tab/>
        <w:t>También aprecia los esfuerzos de sensibilización sobre la cuestión de los migrantes que trabajan en el servicio doméstico, tema respecto del cual el Comité proyecta adoptar una observación general en su actual período de sesiones.</w:t>
      </w:r>
    </w:p>
    <w:p w:rsidR="00000000" w:rsidRDefault="00000000">
      <w:pPr>
        <w:pStyle w:val="SingleTxtG"/>
      </w:pPr>
      <w:r>
        <w:t>15.</w:t>
      </w:r>
      <w:r>
        <w:tab/>
        <w:t>Hay más de 200 millones de migrantes internacionales, el 60% de ellos en los denominados países "desarrollados". Los migrantes indocumentados, y los trabajadores migrantes que se hallan en situación irregular representan de un 10% a un 15% del total. El fortalecimiento de los derechos de los migrantes es la mejor manera de luchar contra la migración ilícita, la trata de personas, y el tráfico ilícito de migrantes. Además, la investigación ha revelado que la protección de los trabajadores migrantes realza el efecto positivo de la migración sobre la productividad y el desarrollo nacionales. Todos los interesados saldrán ganando si se respetan los derechos de los migrantes, trátese de los países de acogida, de los países de origen, de los empleadores o de los propios migrantes.</w:t>
      </w:r>
    </w:p>
    <w:p w:rsidR="00000000" w:rsidRDefault="00000000">
      <w:pPr>
        <w:pStyle w:val="SingleTxtG"/>
      </w:pPr>
      <w:r>
        <w:t>16.</w:t>
      </w:r>
      <w:r>
        <w:tab/>
        <w:t xml:space="preserve">El hecho de que se haya ampliado la composición del Comité es prueba de la vitalidad y fuerza de la Convención. Los nuevos miembros procedentes de Guatemala, Jamaica, Mali y el Senegal han traído consigo conocimientos y experiencia que ayudarán al Comité a hacer frente a sus diversos desafíos. </w:t>
      </w:r>
    </w:p>
    <w:p w:rsidR="00000000" w:rsidRDefault="00000000">
      <w:pPr>
        <w:pStyle w:val="SingleTxtG"/>
      </w:pPr>
      <w:r>
        <w:t>17.</w:t>
      </w:r>
      <w:r>
        <w:tab/>
        <w:t>El Comité comparte la preocupación del Alto Comisionado sobre la necesidad de racionalizar el trabajo de los órganos de tratados, y está dispuesto a continuar sus debates sobre esas cuestiones, en particular sobre cómo evitar la duplicación del trabajo entre las reuniones entre Comités y las reuniones de los Presidentes de órganos de tratados.</w:t>
      </w:r>
    </w:p>
    <w:p w:rsidR="00000000" w:rsidRDefault="00000000">
      <w:pPr>
        <w:pStyle w:val="SingleTxtG"/>
      </w:pPr>
      <w:r>
        <w:t>18.</w:t>
      </w:r>
      <w:r>
        <w:tab/>
        <w:t xml:space="preserve">Desea agradecer a los colaboradores del Comité, en particular a </w:t>
      </w:r>
      <w:smartTag w:uri="urn:schemas-microsoft-com:office:smarttags" w:element="PersonName">
        <w:r>
          <w:t>la Organización Internacional</w:t>
        </w:r>
      </w:smartTag>
      <w:r>
        <w:t xml:space="preserve"> del Trabajo (OIT) y otros organismos de las Naciones Unidas y organizaciones no gubernamentales (ONG), por el papel que han desempeñado en la consecución de los objetivos de </w:t>
      </w:r>
      <w:smartTag w:uri="urn:schemas-microsoft-com:office:smarttags" w:element="PersonName">
        <w:smartTagPr>
          <w:attr w:name="ProductID" w:val="la Convenci￳n."/>
        </w:smartTagPr>
        <w:r>
          <w:t>la Convención.</w:t>
        </w:r>
      </w:smartTag>
    </w:p>
    <w:p w:rsidR="00000000" w:rsidRDefault="00000000">
      <w:pPr>
        <w:pStyle w:val="SingleTxtG"/>
      </w:pPr>
      <w:r>
        <w:t>19.</w:t>
      </w:r>
      <w:r>
        <w:tab/>
        <w:t>Dice que tiene entendido que el Comité desea reanudar los mandatos del Sr. Brillantes y del Sr. Taghizade como Vicepresidentes.</w:t>
      </w:r>
    </w:p>
    <w:p w:rsidR="00000000" w:rsidRDefault="00000000">
      <w:pPr>
        <w:pStyle w:val="SingleTxtG"/>
        <w:rPr>
          <w:i/>
        </w:rPr>
      </w:pPr>
      <w:r>
        <w:t>20.</w:t>
      </w:r>
      <w:r>
        <w:tab/>
      </w:r>
      <w:r>
        <w:rPr>
          <w:i/>
        </w:rPr>
        <w:t>Así queda acordado.</w:t>
      </w:r>
    </w:p>
    <w:p w:rsidR="00000000" w:rsidRDefault="00000000">
      <w:pPr>
        <w:pStyle w:val="SingleTxtG"/>
      </w:pPr>
      <w:r>
        <w:t>21.</w:t>
      </w:r>
      <w:r>
        <w:tab/>
      </w:r>
      <w:r>
        <w:rPr>
          <w:b/>
        </w:rPr>
        <w:t>El Sr. Alba</w:t>
      </w:r>
      <w:r>
        <w:t xml:space="preserve"> propone la candidatura de </w:t>
      </w:r>
      <w:smartTag w:uri="urn:schemas-microsoft-com:office:smarttags" w:element="PersonName">
        <w:smartTagPr>
          <w:attr w:name="ProductID" w:val="La Sra. Cubias"/>
        </w:smartTagPr>
        <w:r>
          <w:t>la Sra. Cubias</w:t>
        </w:r>
      </w:smartTag>
      <w:r>
        <w:t xml:space="preserve"> Medina al cargo de Vicepresidente.</w:t>
      </w:r>
    </w:p>
    <w:p w:rsidR="00000000" w:rsidRDefault="00000000">
      <w:pPr>
        <w:pStyle w:val="SingleTxtG"/>
      </w:pPr>
      <w:r>
        <w:t>22.</w:t>
      </w:r>
      <w:r>
        <w:tab/>
      </w:r>
      <w:r>
        <w:rPr>
          <w:b/>
        </w:rPr>
        <w:t>El</w:t>
      </w:r>
      <w:r>
        <w:t xml:space="preserve"> </w:t>
      </w:r>
      <w:r>
        <w:rPr>
          <w:b/>
        </w:rPr>
        <w:t>Sr. Sevim</w:t>
      </w:r>
      <w:r>
        <w:t xml:space="preserve"> apoya esa candidatura.</w:t>
      </w:r>
    </w:p>
    <w:p w:rsidR="00000000" w:rsidRDefault="00000000">
      <w:pPr>
        <w:pStyle w:val="SingleTxtG"/>
      </w:pPr>
      <w:r>
        <w:t>23.</w:t>
      </w:r>
      <w:r>
        <w:tab/>
      </w:r>
      <w:r>
        <w:rPr>
          <w:i/>
        </w:rPr>
        <w:t xml:space="preserve">Por aclamación, </w:t>
      </w:r>
      <w:smartTag w:uri="urn:schemas-microsoft-com:office:smarttags" w:element="PersonName">
        <w:smartTagPr>
          <w:attr w:name="ProductID" w:val="La Sra. Cubias"/>
        </w:smartTagPr>
        <w:r>
          <w:rPr>
            <w:i/>
          </w:rPr>
          <w:t>la Sra. Cubias</w:t>
        </w:r>
      </w:smartTag>
      <w:r>
        <w:rPr>
          <w:i/>
        </w:rPr>
        <w:t xml:space="preserve"> Medina queda elegida Vicepresidenta.</w:t>
      </w:r>
    </w:p>
    <w:p w:rsidR="00000000" w:rsidRDefault="00000000">
      <w:pPr>
        <w:pStyle w:val="SingleTxtG"/>
      </w:pPr>
      <w:r>
        <w:t>24.</w:t>
      </w:r>
      <w:r>
        <w:tab/>
      </w:r>
      <w:r>
        <w:rPr>
          <w:b/>
        </w:rPr>
        <w:t>El</w:t>
      </w:r>
      <w:r>
        <w:t xml:space="preserve"> </w:t>
      </w:r>
      <w:r>
        <w:rPr>
          <w:b/>
        </w:rPr>
        <w:t>Sr. Sevim</w:t>
      </w:r>
      <w:r>
        <w:t xml:space="preserve"> propone la candidatura del Sr. El-Borai al cargo de Relator.</w:t>
      </w:r>
    </w:p>
    <w:p w:rsidR="00000000" w:rsidRDefault="00000000">
      <w:pPr>
        <w:pStyle w:val="SingleTxtG"/>
      </w:pPr>
      <w:r>
        <w:t>25.</w:t>
      </w:r>
      <w:r>
        <w:tab/>
      </w:r>
      <w:smartTag w:uri="urn:schemas-microsoft-com:office:smarttags" w:element="PersonName">
        <w:smartTagPr>
          <w:attr w:name="ProductID" w:val="La Sra. Cubias"/>
        </w:smartTagPr>
        <w:r>
          <w:rPr>
            <w:b/>
          </w:rPr>
          <w:t>La</w:t>
        </w:r>
        <w:r>
          <w:t xml:space="preserve"> </w:t>
        </w:r>
        <w:r>
          <w:rPr>
            <w:b/>
          </w:rPr>
          <w:t>Sra. Cubias</w:t>
        </w:r>
      </w:smartTag>
      <w:r>
        <w:rPr>
          <w:b/>
        </w:rPr>
        <w:t xml:space="preserve"> Medina</w:t>
      </w:r>
      <w:r>
        <w:t xml:space="preserve"> apoya esa candidatura.</w:t>
      </w:r>
    </w:p>
    <w:p w:rsidR="00000000" w:rsidRDefault="00000000">
      <w:pPr>
        <w:pStyle w:val="SingleTxtG"/>
      </w:pPr>
      <w:r>
        <w:t>26.</w:t>
      </w:r>
      <w:r>
        <w:tab/>
      </w:r>
      <w:r>
        <w:rPr>
          <w:i/>
        </w:rPr>
        <w:t>Por aclamación, el Sr. El-Borai queda elegido Relator.</w:t>
      </w:r>
    </w:p>
    <w:p w:rsidR="00000000" w:rsidRDefault="00000000">
      <w:pPr>
        <w:pStyle w:val="H23G"/>
      </w:pPr>
      <w:r>
        <w:tab/>
      </w:r>
      <w:r>
        <w:tab/>
        <w:t xml:space="preserve">Aprobación del programa </w:t>
      </w:r>
      <w:r>
        <w:rPr>
          <w:b w:val="0"/>
        </w:rPr>
        <w:t>(CMW/C/12/1)</w:t>
      </w:r>
    </w:p>
    <w:p w:rsidR="00000000" w:rsidRDefault="00000000">
      <w:pPr>
        <w:pStyle w:val="SingleTxtG"/>
      </w:pPr>
      <w:r>
        <w:t>27.</w:t>
      </w:r>
      <w:r>
        <w:tab/>
      </w:r>
      <w:r>
        <w:rPr>
          <w:b/>
        </w:rPr>
        <w:t>El Presidente</w:t>
      </w:r>
      <w:r>
        <w:t xml:space="preserve"> señala a la atención el programa de trabajo provisional para el 12º período de sesiones y dice que las tareas adicionales para el Comité no mencionadas serían la elaboración del programa para el 13º período de sesiones, el nombramiento de representantes para la próxima reunión entre Comités y el nombramiento de relatores para la Argentina, Chile, Guatemala y México. Entiende que el Comité desea aprobar el programa y el programa de trabajo provisional en esa inteligencia.</w:t>
      </w:r>
    </w:p>
    <w:p w:rsidR="00000000" w:rsidRDefault="00000000">
      <w:pPr>
        <w:pStyle w:val="SingleTxtG"/>
        <w:rPr>
          <w:b/>
          <w:i/>
        </w:rPr>
      </w:pPr>
      <w:r>
        <w:t>28.</w:t>
      </w:r>
      <w:r>
        <w:tab/>
      </w:r>
      <w:r>
        <w:rPr>
          <w:i/>
        </w:rPr>
        <w:t>Así queda acordado.</w:t>
      </w:r>
    </w:p>
    <w:p w:rsidR="00000000" w:rsidRDefault="00000000">
      <w:pPr>
        <w:pStyle w:val="H23G"/>
      </w:pPr>
      <w:r>
        <w:tab/>
      </w:r>
      <w:r>
        <w:tab/>
        <w:t>Cuestiones de organización y otros asuntos</w:t>
      </w:r>
    </w:p>
    <w:p w:rsidR="00000000" w:rsidRDefault="00000000">
      <w:pPr>
        <w:pStyle w:val="SingleTxtG"/>
      </w:pPr>
      <w:r>
        <w:t>29.</w:t>
      </w:r>
      <w:r>
        <w:tab/>
      </w:r>
      <w:r>
        <w:rPr>
          <w:b/>
        </w:rPr>
        <w:t>El</w:t>
      </w:r>
      <w:r>
        <w:t xml:space="preserve"> </w:t>
      </w:r>
      <w:r>
        <w:rPr>
          <w:b/>
        </w:rPr>
        <w:t>Presidente</w:t>
      </w:r>
      <w:r>
        <w:t xml:space="preserve"> invita a los miembros del Comité a informar sobre las reuniones a las que han asistido o las actividades realizadas desde el 11º período de sesiones en relación con la promoción de </w:t>
      </w:r>
      <w:smartTag w:uri="urn:schemas-microsoft-com:office:smarttags" w:element="PersonName">
        <w:smartTagPr>
          <w:attr w:name="ProductID" w:val="la Convenci￳n."/>
        </w:smartTagPr>
        <w:r>
          <w:t>la Convención.</w:t>
        </w:r>
      </w:smartTag>
    </w:p>
    <w:p w:rsidR="00000000" w:rsidRDefault="00000000">
      <w:pPr>
        <w:pStyle w:val="SingleTxtG"/>
      </w:pPr>
      <w:r>
        <w:t>30.</w:t>
      </w:r>
      <w:r>
        <w:tab/>
      </w:r>
      <w:smartTag w:uri="urn:schemas-microsoft-com:office:smarttags" w:element="PersonName">
        <w:smartTagPr>
          <w:attr w:name="ProductID" w:val="La Sra. Cubias"/>
        </w:smartTagPr>
        <w:r>
          <w:rPr>
            <w:b/>
          </w:rPr>
          <w:t>La</w:t>
        </w:r>
        <w:r>
          <w:t xml:space="preserve"> </w:t>
        </w:r>
        <w:r>
          <w:rPr>
            <w:b/>
          </w:rPr>
          <w:t>Sra. Cubias</w:t>
        </w:r>
      </w:smartTag>
      <w:r>
        <w:rPr>
          <w:b/>
        </w:rPr>
        <w:t xml:space="preserve"> Medina</w:t>
      </w:r>
      <w:r>
        <w:t xml:space="preserve"> dice que hizo una exposición en el Congreso Centroamericano sobre infecciones de transmisión sexual, VIH y sida, celebrado en Costa Rica, en que se hizo hincapié en el tema de las poblaciones migrantes. En el Congreso, que atrajo a más de 5.000 participantes, se abordaron diversos temas relativos a la migración. Una inquietud importante expresada por las ONG fue el hecho de que, en muchos Estados, la legislación que rige el ingreso y la residencia discrimina contra las personas con VIH/SIDA. Sugiere que el Comité tenga presente ese aspecto de la legislación al examinar los informes de los Estados partes en el futuro.</w:t>
      </w:r>
    </w:p>
    <w:p w:rsidR="00000000" w:rsidRDefault="00000000">
      <w:pPr>
        <w:pStyle w:val="SingleTxtG"/>
      </w:pPr>
      <w:r>
        <w:t>31.</w:t>
      </w:r>
      <w:r>
        <w:tab/>
      </w:r>
      <w:r>
        <w:rPr>
          <w:b/>
        </w:rPr>
        <w:t>El</w:t>
      </w:r>
      <w:r>
        <w:t xml:space="preserve"> </w:t>
      </w:r>
      <w:r>
        <w:rPr>
          <w:b/>
        </w:rPr>
        <w:t>Sr. Brillantes</w:t>
      </w:r>
      <w:r>
        <w:t xml:space="preserve"> dice que en materia de actividades de promoción, el Comité debe procurar estar a la altura de los loables esfuerzos del Alto Comisionado de las Naciones Unidas para los Derechos Humanos, cuya oficina en el Canadá ha venido realizando actividades de cabildeo para mejorar las condiciones de los cuidadores extranjeros. Se han efectuado enmiendas apropiadas en la legislación para asegurar que sus gastos de contratación y de viaje no supongan una carga para ellos. También cabe señalar que a la luz del Segundo Foro Mundial sobre </w:t>
      </w:r>
      <w:smartTag w:uri="urn:schemas-microsoft-com:office:smarttags" w:element="PersonName">
        <w:smartTagPr>
          <w:attr w:name="ProductID" w:val="la Migraci￳n"/>
        </w:smartTagPr>
        <w:r>
          <w:t>la Migración</w:t>
        </w:r>
      </w:smartTag>
      <w:r>
        <w:t xml:space="preserve"> y el Desarrollo, celebrado en Manila, todos los candidatos en las elecciones presidenciales en Filipinas han incluido políticas de migración en sus programas electorales.</w:t>
      </w:r>
    </w:p>
    <w:p w:rsidR="00000000" w:rsidRDefault="00000000">
      <w:pPr>
        <w:pStyle w:val="SingleTxtG"/>
      </w:pPr>
      <w:r>
        <w:t>32.</w:t>
      </w:r>
      <w:r>
        <w:tab/>
      </w:r>
      <w:r>
        <w:rPr>
          <w:b/>
        </w:rPr>
        <w:t xml:space="preserve">El Presidente </w:t>
      </w:r>
      <w:r>
        <w:t xml:space="preserve">dice que ha asistido al Tercer Foro Mundial sobre </w:t>
      </w:r>
      <w:smartTag w:uri="urn:schemas-microsoft-com:office:smarttags" w:element="PersonName">
        <w:smartTagPr>
          <w:attr w:name="ProductID" w:val="la Migraci￳n"/>
        </w:smartTagPr>
        <w:r>
          <w:t>la Migración</w:t>
        </w:r>
      </w:smartTag>
      <w:r>
        <w:t xml:space="preserve"> y el Desarrollo, celebrado en Atenas en noviembre de 2009, y que presentará sus conclusiones al Comité oportunamente.</w:t>
      </w:r>
    </w:p>
    <w:p w:rsidR="00000000" w:rsidRDefault="00000000">
      <w:pPr>
        <w:pStyle w:val="SingleTxtG"/>
        <w:keepNext/>
        <w:keepLines/>
      </w:pPr>
      <w:r>
        <w:t>33.</w:t>
      </w:r>
      <w:r>
        <w:tab/>
        <w:t xml:space="preserve">Entre otras reuniones a las que ha asistido cabe mencionar el Foro Permanente de diálogo arabeafricano sobre democracia y derechos humanos, celebrado en El Cairo en diciembre de 2009, que se centró en la migración en las regiones árabe y africana, y una conferencia organizada por </w:t>
      </w:r>
      <w:smartTag w:uri="urn:schemas-microsoft-com:office:smarttags" w:element="PersonName">
        <w:smartTagPr>
          <w:attr w:name="ProductID" w:val="la Uni￳n Interparlamentaria"/>
        </w:smartTagPr>
        <w:r>
          <w:t>la Unión Interparlamentaria</w:t>
        </w:r>
      </w:smartTag>
      <w:r>
        <w:t xml:space="preserve"> en París en diciembre de 2009 sobre la migración y la violencia contra la mujer.</w:t>
      </w:r>
    </w:p>
    <w:p w:rsidR="00000000" w:rsidRDefault="00000000">
      <w:pPr>
        <w:pStyle w:val="SingleTxtG"/>
      </w:pPr>
      <w:r>
        <w:t>34.</w:t>
      </w:r>
      <w:r>
        <w:tab/>
        <w:t xml:space="preserve">Ha celebrado el Día Internacional del Migrante en Mauritania, donde hubo un programa de reuniones organizado por </w:t>
      </w:r>
      <w:smartTag w:uri="urn:schemas-microsoft-com:office:smarttags" w:element="PersonName">
        <w:smartTagPr>
          <w:attr w:name="ProductID" w:val="la OIT"/>
        </w:smartTagPr>
        <w:r>
          <w:t>la OIT</w:t>
        </w:r>
      </w:smartTag>
      <w:r>
        <w:t>, y donde publicó una declaración conjunta con el Relator Especial sobre los derechos humanos de los migrantes.</w:t>
      </w:r>
    </w:p>
    <w:p w:rsidR="00000000" w:rsidRDefault="00000000">
      <w:pPr>
        <w:pStyle w:val="SingleTxtG"/>
      </w:pPr>
      <w:r>
        <w:t>35.</w:t>
      </w:r>
      <w:r>
        <w:tab/>
        <w:t xml:space="preserve">La conclusión obtenida de estas actividades es que </w:t>
      </w:r>
      <w:smartTag w:uri="urn:schemas-microsoft-com:office:smarttags" w:element="PersonName">
        <w:smartTagPr>
          <w:attr w:name="ProductID" w:val="la Convenci￳n"/>
        </w:smartTagPr>
        <w:r>
          <w:t>la Convención</w:t>
        </w:r>
      </w:smartTag>
      <w:r>
        <w:t xml:space="preserve"> está abierta a diferentes interpretaciones sobre una variedad de cuestiones clave relativas a la migración. El Comité podría tal vez considerar la posibilidad de redactar notas explicativas sobre el instrumento para la atención de los Estados. A ese respecto, presentará a los miembros una compilación de las razones aducidas por los Estados al Consejo de Derechos Humanos para no ratificar la Convención. Básicamente las razones son políticas, aunque muchos Estados afirman que los derechos de los migrantes ya están protegidos por su legislación actual.</w:t>
      </w:r>
    </w:p>
    <w:p w:rsidR="00000000" w:rsidRDefault="00000000">
      <w:pPr>
        <w:pStyle w:val="SingleTxtG"/>
      </w:pPr>
      <w:r>
        <w:t>36.</w:t>
      </w:r>
      <w:r>
        <w:tab/>
        <w:t>Por último,</w:t>
      </w:r>
      <w:r>
        <w:rPr>
          <w:b/>
        </w:rPr>
        <w:t xml:space="preserve"> </w:t>
      </w:r>
      <w:r>
        <w:t>dice que asistió al sexagésimo primer</w:t>
      </w:r>
      <w:r>
        <w:rPr>
          <w:b/>
        </w:rPr>
        <w:t xml:space="preserve"> </w:t>
      </w:r>
      <w:r>
        <w:t xml:space="preserve">período de sesiones de </w:t>
      </w:r>
      <w:smartTag w:uri="urn:schemas-microsoft-com:office:smarttags" w:element="PersonName">
        <w:smartTagPr>
          <w:attr w:name="ProductID" w:val="la Asamblea General"/>
        </w:smartTagPr>
        <w:r>
          <w:t>la Asamblea General</w:t>
        </w:r>
      </w:smartTag>
      <w:r>
        <w:t xml:space="preserve"> de las Naciones Unidas, donde hizo una declaración sobre la labor del Comité. También tuvo la oportunidad de reunirse con los gobernadores de varios Estados, incluidos el Gobernador de Florida, y una asociación local de trabajadores migratorios. Evidentemente, la situación de los trabajadores migratorios es muy difícil en los Estados Unidos, entre otras cosas porque, desde el 11 septiembre de 2001, se ha concedido más poderes a la policía de inmigración y a los jueces, y ahora se somete a los inmigrantes a la humillación de tener que llevar un grillete electrónico, normalmente reservado para los delincuentes.</w:t>
      </w:r>
    </w:p>
    <w:p w:rsidR="00000000" w:rsidRDefault="00000000">
      <w:pPr>
        <w:pStyle w:val="SingleTxtG"/>
      </w:pPr>
      <w:r>
        <w:t>37.</w:t>
      </w:r>
      <w:r>
        <w:tab/>
      </w:r>
      <w:r>
        <w:rPr>
          <w:b/>
        </w:rPr>
        <w:t>El Sr. El-Borai</w:t>
      </w:r>
      <w:r>
        <w:t xml:space="preserve"> pregunta cómo contribuirá el Comité a los debates que han de celebrarse durante la próxima Conferencia Internacional del Trabajo sobre un nuevo instrumento sobre los trabajadores domésticos.</w:t>
      </w:r>
    </w:p>
    <w:p w:rsidR="00000000" w:rsidRDefault="00000000">
      <w:pPr>
        <w:pStyle w:val="SingleTxtG"/>
      </w:pPr>
      <w:r>
        <w:t>38.</w:t>
      </w:r>
      <w:r>
        <w:tab/>
      </w:r>
      <w:r>
        <w:rPr>
          <w:b/>
        </w:rPr>
        <w:t xml:space="preserve">El Presidente </w:t>
      </w:r>
      <w:r>
        <w:t>dice que el Comité analizará la cuestión en los próximos días, teniendo en cuenta las observaciones hechas durante el día de debate general que se observó durante el 11º período de sesiones.</w:t>
      </w:r>
    </w:p>
    <w:p w:rsidR="00000000" w:rsidRDefault="00000000">
      <w:pPr>
        <w:pStyle w:val="SingleTxtG"/>
      </w:pPr>
      <w:r>
        <w:t>39.</w:t>
      </w:r>
      <w:r>
        <w:tab/>
      </w:r>
      <w:r>
        <w:rPr>
          <w:b/>
        </w:rPr>
        <w:t>El Sr. Carrión Mena</w:t>
      </w:r>
      <w:r>
        <w:t xml:space="preserve"> dice que, en una conferencia organizada por </w:t>
      </w:r>
      <w:smartTag w:uri="urn:schemas-microsoft-com:office:smarttags" w:element="PersonName">
        <w:smartTagPr>
          <w:attr w:name="ProductID" w:val="la Organizaci￳n Internacional"/>
        </w:smartTagPr>
        <w:r>
          <w:t>la Organización Internacional</w:t>
        </w:r>
      </w:smartTag>
      <w:r>
        <w:t xml:space="preserve"> para las Migraciones, instó a los Estados a que ratificaran </w:t>
      </w:r>
      <w:smartTag w:uri="urn:schemas-microsoft-com:office:smarttags" w:element="PersonName">
        <w:smartTagPr>
          <w:attr w:name="ProductID" w:val="寁⩀寞7Ĭ宻ᷘඤal荜⏭s谀⩰寞뚤寁⩀寞7Ĭ宻Ḁඤal荕⏭ 谀⩰寞뚤寁⩀寞7Ĭ宻ᶰඤdu荎⏭d谀⩰寞뚤寁⩀寞7Ĭ宻Ḩඤ d荇⏭y谀⩰寞뚤寁⩀寞7Ĭ宻ᙨ඾in茸⏭t谀⩰寞뚤寁⩀寞7Ĭ宻ᚸ඾es茱⏭a谀⩰寞뚤寁⩀寞7Ĭ宻ᜰ඾Mo茪⏭o谀⩰寞뚤寁⩀寞7Ĭ宻ក඾ad茣⏭n谀⩰寞뚤寁⩀寞7Ĭ宻័඾it茔⏭i谀⩰寞뚤寁⩀寞7Ĭ宻ᠠ඾rs茍⏭n谀⩰寞뚤寁⩀寞7Ĭ宻ᡰ඾ar茆⏭a谀⩰寞뚤寁⩀寞7Ĭ宻ᣀ඾ve苿⏭ 谀⩰寞뚤寁⩀寞7Ĭ宻ᤐ඾ d苰⏭i谀⩰寞뚤寁⩀寞7Ĭ宻ᦈ඾rc苩⏭n谀⩰寞뚤寁⩀寞7Ĭ宻ᨀ඾in苢⏭c谀⩰寞뚤寁⩀寞7Ĭ宻ᩐ඾oc苛⏭u谀⩰寞뚤寁⩀寞7Ĭ宻᪠඾ir苌⏭ 谀⩰寞뚤寁⩀寞7Ĭ宻ᬘ඾co苅⏭t谀⩰寞뚤寁⩀寞7Ĭ宻ᮐ඾he芾⏭e谀⩰寞뚤寁⩀寞7Ĭ宻ᯠ඾ti芷⏭ 谀⩰寞뚤寁⩀寞7Ĭ宻ᰰ඾e 芨⏭g谀⩰寞뚤寁⩀寞7Ĭ宻Შ඾do芡⏭i谀⩰寞뚤寁⩀寞7Ĭ宻᳸඾ro芚⏭d谀⩰寞뚤寁⩀寞7Ĭ宻ᵈ඾nc芓⏭,谀⩰寞뚤寁⩀寞7Ĭ宻ᶘ඾n.芄⏭e谀⩰寞뚤寁⩀寞7Ĭ宻ᷨ඾ok艽⏭t谀⩰寞뚤寁⩀寞7Ĭ宻Ṡ඾su艶⏭e谀⩰寞뚤寁⩀寞7Ĭ宻Ằ඾it良⏭t谀⩰寞뚤寁⩀寞7Ĭ宻ἀ඾s 艠⏭b谀⩰寞뚤寁⩀寞7Ĭ宻ὸ඾ R艙⏭p谀⩰寞뚤寁⩀寞7Ĭ宻Ὲ඾gu艒⏭C谀⩰寞뚤寁⩀寞7Ĭ宻⁀඾th艋⏭i谀⩰寞뚤寁⩀寞7Ĭ宻₸඾le舼⏭o谀⩰寞뚤寁⩀寞7Ĭ宻℈඾ n舵⏭ 谀⩰寞뚤寁⩀寞7Ĭ宻⅘඾bo舮⏭ 谀⩰寞뚤寁⩀寞7Ĭ宻⇐඾bi舧⏭t谀⩰寞뚤寁⩀寞7Ĭ宻∠඾(M舘⏭g谀⩰寞뚤寁⩀寞7Ĭ宻≰඾gu舑⏭t谀⩰寞뚤寁⩀寞7Ĭ宻⋨඾ l舊⏭.谀⩰寞뚤寁⩀寞7Ĭ宻⌸඾ a舃⏭ 谀⩰寞뚤寁⩀寞7Ĭ宻⎈඾em뷴⏭t谀⩰寞뚤寁⩀寞7Ĭ宻⏘඾f 뷭⏭e谀⩰寞뚤寁⩀寞7Ĭ宻⑐඾te뷦⏭a谀⩰寞뚤寁⩀寞7Ĭ宻Ⓢ඾s 뷟⏭ 谀⩰寞뚤寁⩀寞7Ĭ宻┘඾hu뷐⏭(谀⩰寞뚤寁⩀寞7Ĭ宻╨඾y 뷉⏭ 谀⩰寞뚤寁⩀寞7Ĭ宻▸඾is뷂⏭n谀⩰寞뚤寁⩀寞7Ĭ宻☰඾sp붻⏭t谀⩰寞뚤寁⩀寞7Ĭ宻⚀඾im붬⏭a谀⩰寞뚤寁⩀寞7Ĭ宻⛐඾ P붥⏭c谀⩰寞뚤寁⩀寞7Ĭ宻❈඾gl붞⏭i谀⩰寞뚤寁⩀寞7Ĭ宻➘඾ra붗⏭d谀⩰寞뚤寁⩀寞7Ĭ宻⠐඾ve불⏭i谀⩰寞뚤寁⩀寞7Ĭ宻⡠඾fe북⏭i谀⩰寞뚤寁⩀寞7Ĭ宻⢰඾ o뵺⏭j谀⩰寞뚤寁⩀寞7Ĭ宻⤨඾ur뵳⏭ 谀⩰寞뚤寁⩀寞7Ĭ宻⦠඾na뵤⏭C谀⩰寞뚤寁⩀寞7Ĭ宻⧰඾oc뵝⏭u谀⩰寞뚤寁⩀寞7Ĭ宻⩨඾ s뵖⏭c谀⩰寞뚤寁⩀寞7Ĭ宻⪸඾ &#10;뵏⏭.谀⩰寞뚤寁⩀寞7Ĭ宻⬰඾fo뵀⏭c谀⩰寞뚤寁⩀寞7Ĭ宻⮀඾at봹⏭n谀⩰寞뚤寁⩀寞7Ĭ宻⯐඾er봲⏭c谀⩰寞뚤寁⩀寞7Ĭ宻Ⱐ඾e 봫⏭a谀⩰寞뚤寁⩀寞7Ĭ宻Ⲙ඾pr봜⏭i谀⩰寞뚤寁⩀寞7Ĭ宻⳨඾no봕⏭p谀⩰寞뚤寁⩀寞7Ĭ宻ⴸ඾en봎⏭r谀⩰寞뚤寁⩀寞7Ĭ宻ⶰ඾ o봇⏭h谀⩰寞뚤寁⩀寞7Ĭ宻⸨඾th본⏭i谀⩰寞뚤寁⩀寞7Ĭ宻⹸඾up볱⏭e谀⩰寞뚤寁⩀寞7Ĭ宻⻰඾rc볪⏭e谀⩰寞뚤寁⩀寞7Ĭ宻⽀඾il볣⏭e谀⩰寞뚤寁⩀寞7Ĭ宻⾐඾ C볔⏭m谀⩰寞뚤寁⩀寞7Ĭ宻⿠඾pr볍⏭i谀⩰寞뚤寁⩀寞7Ĭ宻〰඾d 볆⏭c谀⩰寞뚤寁⩀寞7Ĭ宻む඾, 벿⏭e谀⩰寞뚤寁⩀寞7Ĭ宻バ඾th벰⏭n谀⩰寞뚤寁⩀寞7Ĭ宻ㄠ඾vi벩⏭ 谀⩰寞뚤寁⩀寞7Ĭ宻㆘඾o 벢⏭i谀⩰寞뚤寁⩀寞7Ĭ宻㇨඾ti벛⏭a谀⩰寞뚤寁⩀寞7Ĭ宻㈸඾in벌⏭i谀⩰寞뚤寁⩀寞7Ĭ宻㊰඾ 1벅⏭w谀⩰寞뚤寁⩀寞7Ĭ宻㌀඾e 뱾⏭n谀⩰寞뚤寁⩀寞7Ĭ宻㍐඾ri뱷⏭ 谀⩰寞뚤寁⩀寞7Ĭ宻㏈඾sp뱨⏭i谀⩰寞뚤寁⩀寞7Ĭ宻㐘඾ M뱡⏭e谀⩰寞뚤寁⩀寞7Ĭ宻㑨඾me뱚⏭e谀⩰寞뚤寁⩀寞7Ĭ宻㒸඾ch뱓⏭d谀⩰寞뚤寁⩀寞7Ĭ宻㔰඾wa뱄⏭t谀⩰寞뚤寁⩀寞7Ĭ宻㖀඾en밽⏭w谀⩰寞뚤寁⩀寞7Ĭ宻㗐඾d 밶⏭ 谀⩰寞뚤寁⩀寞7Ĭ宻㙈඾bo밯⏭ 谀⩰寞뚤寁⩀寞7Ĭ宻㚘඾re밠⏭ 谀⩰寞뚤寁⩀寞7Ĭ宻㜐඾w 밙⏭f谀⩰寞뚤寁⩀寞7Ĭ宻㞈඾di밒⏭i谀⩰寞뚤寁⩀寞7Ĭ宻㟘඾an밋⏭ 谀⩰寞뚤寁⩀寞7Ĭ宻㡐඾ o뿼⏭c谀⩰寞뚤寁⩀寞7Ĭ宻㢠඾si뿵⏭i谀⩰寞뚤寁⩀寞7Ĭ宻㣰඾re뿮⏭r谀⩰寞뚤寁⩀寞7Ĭ宻㥨඾n 뿧⏭b谀⩰寞뚤寁⩀寞7Ĭ宻㦸඾we뿘⏭ 谀⩰寞뚤寁⩀寞7Ĭ宻㨈඾ p뿑⏭p谀⩰寞뚤寁⩀寞7Ĭ宻㪀඾sa뿊⏭ 谀⩰寞뚤寁⩀寞7Ĭ宻㫐඾y 뿃⏭e谀⩰寞뚤寁⩀寞7Ĭ宻㭈඾o 뾴⏭r谀⩰寞뚤寁⩀寞7Ĭ宻㮘඾rn뾭⏭i谀⩰寞뚤寁⩀寞7Ĭ宻㯨඾ha뾦⏭ 谀⩰寞뚤寁⩀寞7Ĭ宻㱠඾l 뾟⏭t谀⩰寞뚤寁⩀寞7Ĭ宻㲰඾it뾐⏭s谀⩰寞뚤寁⩀寞7Ĭ宻㴨඾to뾉⏭e谀⩰寞뚤寁⩀寞7Ĭ宻㵸඾. 뾂⏭a谀⩰寞뚤寁⩀寞7Ĭ宻㷈඾ov뽻⏭g谀⩰寞뚤寁⩀寞7Ĭ宻㸘඾hi뽬⏭r谀⩰寞뚤寁⩀寞7Ĭ宻㺐඾wi뽥⏭ 谀⩰寞뚤寁⩀寞7Ĭ宻㼈඾ts뽞⏭r谀⩰寞뚤寁⩀寞7Ĭ宻㽘඾k 뽗⏭m谀⩰寞뚤寁⩀寞7Ĭ宻㾨඾fo뽈⏭c谀⩰寞뚤寁⩀寞7Ĭ宻䀠඾ t뽁⏭t谀⩰寞뚤寁⩀寞7Ĭ宻䂘඾an뼺⏭t谀⩰寞뚤寁⩀寞7Ĭ宻䃨඾me뼳⏭a谀⩰寞뚤寁⩀寞7Ĭ宻䅠඾he뼤⏭o谀⩰寞뚤寁⩀寞7Ĭ宻䆰඾40뼝⏭u谀⩰寞뚤寁⩀寞7Ĭ宻䈀඾e 뼖⏭a谀⩰寞뚤寁⩀寞7Ĭ宻䉸඾it뼏⏭t谀⩰寞뚤寁⩀寞7Ĭ宻䋈඾ t뼀⏭t谀⩰寞뚤寁⩀寞7Ĭ宻䍀඾on뻹⏭h谀⩰寞뚤寁⩀寞7Ĭ宻䎐඾ t뻲⏭e谀⩰寞뚤寁⩀寞7Ĭ宻䏠඾ b뻫⏭t谀⩰寞뚤寁⩀寞7Ĭ宻䑘඾ S뻜⏭ 谀⩰寞뚤寁⩀寞7Ĭ宻䒨඾&#10;4뻕⏭ 谀⩰寞뚤寁⩀寞7Ĭ宻䓸඾th뻎⏭ 谀⩰寞뚤寁⩀寞7Ĭ宻䕰඾rn뻇⏭n谀⩰寞뚤寁⩀寞7Ĭ宻䗀඾ra뺸⏭e谀⩰寞뚤寁⩀寞7Ĭ宻䘐඾le뺱⏭I谀⩰寞뚤寁⩀寞7Ĭ宻䚈඾ld뺪⏭e谀⩰寞뚤寁⩀寞7Ĭ宻䜀඾il뺣⏭e谀⩰寞뚤寁⩀寞7Ĭ宻䝐඾ P뺔⏭m谀⩰寞뚤寁⩀寞7Ĭ宻䞠඾ai뺍⏭e谀⩰寞뚤寁⩀寞7Ĭ宻䟰඾th뺆⏭i谀⩰寞뚤寁⩀寞7Ĭ宻䡀඾ow빿⏭h谀⩰寞뚤寁⩀寞7Ĭ宻䢐඾ze빰⏭a谀⩰寞뚤寁⩀寞7Ĭ宻䣠඾e 빩⏭u谀⩰寞뚤寁⩀寞7Ĭ宻䥘඾th빢⏭C谀⩰寞뚤寁⩀寞7Ĭ宻䦨඾Ch빛⏭d谀⩰寞뚤寁⩀寞7Ĭ宻䨠඾ i빌⏭a谀⩰寞뚤寁⩀寞7Ĭ宻䩰඾un빅⏭y谀⩰寞뚤寁⩀寞7Ĭ宻䫀඾se븾⏭a谀⩰寞뚤寁⩀寞7Ĭ宻䬸඾ h븷⏭ 谀⩰寞뚤寁⩀寞7Ĭ宻䮈඾th븨⏭d谀⩰寞뚤寁⩀寞7Ĭ宻䯘඾ha븡⏭p谀⩰寞뚤寁⩀寞7Ĭ宻䱐඾in븚⏭p谀⩰寞뚤寁⩀寞7Ĭ宻䳈඾ta븓⏭ 谀⩰寞뚤寁⩀寞7Ĭ宻䴘඾es븄⏭o谀⩰寞뚤寁⩀寞7Ĭ宻䶐඾et맽⏭&#10;谀⩰寞뚤寁⩀寞7Ĭ宻䷠඾ou맶⏭t谀⩰寞뚤寁⩀寞7Ĭ宻乘඾dr맯⏭ 谀⩰寞뚤寁⩀寞7Ĭ宻仐඾it맠⏭s谀⩰寞뚤寁⩀寞7Ĭ宻传඾an맙⏭i谀⩰寞뚤寁⩀寞7Ĭ宻佰඾t 맒⏭e谀⩰寞뚤寁⩀寞7Ĭ宻俨඾ta맋⏭ 谀⩰寞뚤寁⩀寞7Ĭ宻偠඾ow림⏭f谀⩰寞뚤寁⩀寞7Ĭ宻傰඾m 릵⏭a蠀&quot;latinoamericanosternacional릮⏭l耀ᒷifla Convención Internacional릧⏭t蠀ugla Convención Internacional릘⏭m耀ᓀssion.&#10;50. The Chairperson note릑⏭t耀ᓉt the revised reporting guideli릊⏭s耀ᓒad not been completely followed릃⏭n耀ᓛhe case of both reports on the 르⏭t耀ᓤnal Protocols. She asked whethe륭⏭M耀ᓭgolia traded or exported small 륦⏭m耀ᓶor light weapons to other count륟⏭e耀ᓿand, if so, how it ensured that륐⏭u耀ᔈ weapons did not end up in the 륉⏭n耀ᔑ of children who were recruited륂⏭o耀ᔚarticipate in armed conflict. S뤻⏭ 耀ᔣso asked whether peace educatio뤬⏭w耀ᔬ included in the curriculum in 뤥⏭n耀ᔵlia.&#10;51. Mr. Gurán (Country Rap뤞⏭r耀ᔾur) asked whether a law prohibi뤗⏭n耀ᕇthe trade and export of small a뤈⏭s耀ᕐnd light weapons as well as mil뤁⏭a耀ᕙ assistance to countries where 룺⏭i耀ᕢren were involved in armed conf룳⏭c耀ᕫwas being prepared or whether i룤⏭w耀ᕴ under discussion. &#10;Optional Pr룝⏭o耀ᕽl to the Convention on the Righ룖⏭ 耀ᖆ the Child on the sale of child룏⏭n耀ᖏchild prostitution and child po룀⏭o耀ᖘaphy&#10;52. Mr. Gurán (Country Rap뢹⏭r耀ᖡur) asked for information on th뢲⏭r耀ᖪults of the National Programme 뢫⏭ 耀ᖳotection from Trafficking of Ch뢜⏭d耀ᖼn and Women for the Purpose of 뢕⏭x耀ᗅl Exploitation. He also asked a뢎⏭u耀ᗎthe budget allocated to the pro뢇⏭a耀ᗗe and requested clarification o롸⏭w耀ᗠch body was responsible for its롱⏭m耀ᗩementation, monitoring and eval롪⏭t耀ᗲn. In addition, he asked the de롣⏭g耀ᗻion to provide information on t롔⏭ 耀ᘄtivities and results of the End롍⏭h耀ᘍd Prostitution, Child Pornograp롆⏭ 耀ᘖd Trafficking of Children for S렿⏭u耀ᘟ Purposes (ECPAT) national netw렰⏭k耀ᘨ&#10;53. He requested further infor렩⏭t耀ᘱn on the agreements that the Mo렢⏭o耀ᘺan Government had produced for 렛⏭u耀ᙃst companies in order to combat렌⏭e耀ᙌtourism, as well as information렅⏭n耀ᙕhe results of such agreements.&#10;믾⏭.耀ᙞe asked whether Mongolia collec믷⏭d耀ᙧny data on girls and boys who w믨⏭e耀ᙰexually exploited. He pointed o믡⏭ 耀ᙹat the victim protection progra믚⏭e耀ᚂthat had been implemented, with믓⏭h耀ᚋassistance of the United Nation믄⏭C耀ᚔldren’s Fund (UNICEF) and other뮽⏭r耀᚝nizations, were oriented toward뮶⏭g耀ᚦls; boys were not mentioned as 뮯⏭c耀ᚯms of child prostitution or chi뮠⏭ 耀ᚸrnography. He wondered if the d뮙⏭e耀ᛁtion could provide any informat뮒⏭n耀ᛊn such groups of boys.&#10;55. Last뮋⏭,耀ᛓe asked if there had been any e뭼⏭l耀ᛜtion of the hotlines opened by 뭵⏭e耀ᛥentre for the Protection of Chi뭮⏭r耀ᛮ from Abuse and the Centre for 뭧⏭n耀ᛷr Equality for victims of child뭘⏭b耀ᜀe. He asked for details on the 뭑⏭l耀ᜉrs to those hotlines and on the뭊⏭e耀ᜒlts of their cases. &#10;56. Mr. Pu뭃⏭s耀᜛sked how the State party identi무⏭e耀ᜤ targeted and collected data on묭⏭u耀ᜭerable groups of children, such묦⏭s耀᜶hildren in slums, street childr묟⏭ 耀᜿ children in institutions, and 묐⏭e耀ᝈer it had targeted responses or묉⏭t耀ᝑtegies to prevent the sexual ex묂⏭o耀᝚ation of such groups. He noted 뫻⏭a耀ᝣchild protection work for child뫬⏭n耀ᝬho were victims of sexual explo뫥⏭a耀᝵on was often undertaken by NGOs뫞⏭n耀᝾asked about State-funded servic뫗⏭ 耀ជ that area.&#10;57. Ms. Aidoo state뫈⏭t耀ថt poverty was one of the root c뫁⏭s耀យ of children’s vulnerability an몺⏭a耀អed what the State party was doi몳⏭ 耀ឫ terms of targeted poverty alle몤⏭a耀឴on in the areas, regions and pr몝⏭i耀ួes from which trafficked childr몖⏭,耀ំn particular girls, originated.몏⏭h耀៏asked whether Mongolian legisla몀⏭o耀៘included a clear definition of 멹⏭e耀១ffence of the sale of children 멲⏭ 耀៪ovided for in the Optional Prot멫⏭o耀៳ Lastly, she asked the delegati멜⏭ 耀៼ provide a clear picture of the멕⏭o耀᠅rnment’s role in implementing t멎⏭ 耀᠎tional Protocol, in terms of it멇⏭p耀᠗icies and strategies.&#10;58. Mr. C머⏭a耀ᠠlla asked if the State party en먱⏭s耀ᠩed introducing the crime of sal먪⏭o耀ᠲchildren into its legislation a먣⏭ 耀ᠻw it perceived the difference b먔⏭w耀ᡄn trafficking and sale. He also먍⏭s耀ᡍd what the Government was doing먆⏭n耀ᡖerms of monitoring and preventi뗿⏭ 耀ᡟternet content that was harmful뗰⏭o耀ᡨchildren and if, for example, t뗩⏭ 耀ᡱlice were involved in that work뗢⏭5耀᡺ Ms. Villarán de la Puente aske뗛⏭f耀ᢃ information on the sanctions a뗌⏭l耀ᢌd to perpetrators of sexual exp뗅⏭i耀ᢕtion and prostitution. She also떾⏭s耀ᢞd if there were specific protoc떷⏭s耀ᢧn protecting girls or boys who 떨⏭b耀ᢰtted complaints from victimizat떡⏭n耀ᢹr further abuse during the comp떚⏭i耀ᣂs process. &#10;60. Mr. Kotrane ask떓⏭ 耀ᣋo had drafted the report on the떄⏭p耀ᣔonal Protocol and what part the땽⏭i耀ᣝstry of Justice had played. He 땶⏭s耀ᣦved that the laws in Mongolia d땯⏭ 耀ᣯt seem to be in accordance with땠⏭h耀᣸Optional Protocol; the domestic땙⏭r耀ᤁinal Code needed to be adapted 땒⏭ 耀ᤊe provisions of the Optional Pr땋⏭o耀ᤓl and to use its definitions. H딼⏭a耀ᤜed whether acts committed again딵⏭ 耀ᤥchild abroad, for example by a 딮⏭r耀᤮gner living on Mongolian territ딧⏭y耀ᤷcould be prosecuted by the dome딘⏭i耀᥀authorities. He observed that t딑⏭ 耀᥉inciple of territoriality was n딊⏭ 耀ᥒtirely in keeping with the prov딃⏭i耀ᥛs of the Optional Protocol. &#10;61듴⏭M耀ᥤ Ortiz asked how the State part듭⏭e耀ᥭured that information on the Op듦⏭o耀᥶l Protocol and the Convention a듟⏭ 耀᥿e crimes referred to therein wa듐⏭d耀ᦈseminated to the public. &#10;62. T듉⏭ 耀ᦑairperson said that all the act듂⏭o耀ᦚlined in the Optional Protocol 뒻⏭o耀ᦣd be explicitly stated in the C뒬⏭m耀᦬al Code and that appropriate sa뒥⏭t耀ᦵns must be provided. She emphas뒞⏭e耀ᦾthat all children under the age뒗⏭f耀ᧇ8 should be considered as victi뒈⏭,耀᧐ot criminals, and that the fact뒁⏭h耀᧙ the minimum age of sexual cons둺⏭t耀᧢n Mongolia was 16 should not af둳⏭c耀᧫that principle, for example in 둤⏭e耀᧴ase of prostitution.&#10;63. In its둝⏭e耀᧽ies, the State party said that 둖⏭e耀ᨆ had been no cases of sale of c둏⏭l耀ᨏen for the purposes of forced l둀⏭o耀ᨘ, exploitation or adoption in t됹⏭ 耀ᨡevious three years. She wondere됲⏭w耀ᨪ no such cases were reported, i됫⏭p耀ᨳticular because the Committee h된⏭ 耀ᨼceived reports of children bein됕⏭s耀ᩅd to work abroad or in mines in됎⏭o耀ᩎolia. Lastly, she requested fur됇⏭e耀ᩗinformation on the administrati럸⏭ 耀᩠asures that had been implemente럱⏭t耀ᩩhelp victims of child exploitat럪⏭n耀ᩲ&#10;The meeting rose at 5.50 horas럣⏭耀᩻㒌렀䠽]欰බ쓠඿럔⏭耀᪄럍⏭耀᪍럆⏭耀᪖랿⏭耀᪟랰⏭耀᪨랩⏭耀᪱랢⏭耀᪺랛⏭耀᫃람⏭耀ᫌ랅⏭耀᫕띾⏭耀᫞띷⏭耀᫧띨⏭耀᫰띡⏭耀᫹띚⏭耀ᬂ띓⏭耀ᬋ띄⏭耀ᬔ뜽⏭耀ᬝ뜶⏭耀ᬦ뜯⏭耀ᬯ뜠⏭耀ᬸ뜙⏭耀ᭁ뜒⏭耀ᭊ뜋⏭耀᭓뛼⏭耀᭜뛵⏭耀᭥뛮⏭耀᭮뛧⏭耀᭷뛘⏭耀ᮀ뛑⏭耀ᮉ뛊⏭耀ᮒ뛃⏭耀ᮛ뚴⏭耀ᮤ뚭⏭耀ᮭ뚦⏭耀᮶뚟⏭耀ᮿ뚐⏭耀ᯈ뚉⏭耀ᯑ뚂⏭耀ᯚ뙻⏭耀ᯣ뙬⏭耀ᯬ뙥⏭耀᯵뙞⏭耀᯾뙗⏭耀ᰇ뙈⏭耀ᰐ뙁⏭耀ᰙ똺⏭耀ᰢ똳⏭耀ᰫ똤⏭耀ᰴ똝⏭耀᰽똖⏭耀᱆똏⏭耀ᱏ똀⏭耀᱘뇹⏭耀ᱡ뇲⏭耀ᱪ뇫⏭耀ᱳ뇜⏭耀ᱼ뇕⏭耀ᲅ뇎⏭耀᲎뇇⏭耀Თ"/>
        </w:smartTagPr>
        <w:r>
          <w:t xml:space="preserve">la </w:t>
        </w:r>
        <w:r>
          <w:rPr>
            <w:bCs/>
          </w:rPr>
          <w:t>Convención Internacional</w:t>
        </w:r>
      </w:smartTag>
      <w:r>
        <w:rPr>
          <w:bCs/>
        </w:rPr>
        <w:t xml:space="preserve"> sobre la protección de los derechos de todos los trabajadores migratorios y de sus familiares</w:t>
      </w:r>
      <w:r>
        <w:t xml:space="preserve"> y que adoptaran una perspectiva de las migraciones basada en los derechos humanos. En una conferencia sobre las migraciones celebrada en el Ecuador en marzo de 2010, pidió a España, que actualmente ocupa la presidencia de </w:t>
      </w:r>
      <w:smartTag w:uri="urn:schemas-microsoft-com:office:smarttags" w:element="PersonName">
        <w:smartTagPr>
          <w:attr w:name="ProductID" w:val="la Uni￳n Europea"/>
        </w:smartTagPr>
        <w:r>
          <w:t>la Unión Europea</w:t>
        </w:r>
      </w:smartTag>
      <w:r>
        <w:t>, que sentara un ejemplo ratificando la Convención. Los migrantes latinoamericanos con quienes se reunió en 2010 dijeron estar preocupados de que el actual Gobierno de los Estados Unidos de América no haya adoptado una decisión sobre la cuestión de la migración. La posición adoptada en abril de 2010 por el Estado de Arizona, que penaliza a los migrantes mexicanos que cruzan la frontera internacional, les preocupa sobremanera.</w:t>
      </w:r>
    </w:p>
    <w:p w:rsidR="00000000" w:rsidRDefault="00000000">
      <w:pPr>
        <w:pStyle w:val="SingleTxtG"/>
      </w:pPr>
      <w:r>
        <w:t>40.</w:t>
      </w:r>
      <w:r>
        <w:tab/>
      </w:r>
      <w:r>
        <w:rPr>
          <w:b/>
        </w:rPr>
        <w:t>El Presidente</w:t>
      </w:r>
      <w:r>
        <w:t xml:space="preserve"> señala a la atención del Comité el hecho de que, aunque el Gobierno de España haya manifestado que se abstiene por ahora de firmar </w:t>
      </w:r>
      <w:smartTag w:uri="urn:schemas-microsoft-com:office:smarttags" w:element="PersonName">
        <w:smartTagPr>
          <w:attr w:name="ProductID" w:val="la Convenci￳n"/>
        </w:smartTagPr>
        <w:r>
          <w:t>la Convención</w:t>
        </w:r>
      </w:smartTag>
      <w:r>
        <w:t>, ha señalado que estará dispuesto a reconsiderar su posición más adelante.</w:t>
      </w:r>
    </w:p>
    <w:p w:rsidR="00000000" w:rsidRDefault="00000000">
      <w:pPr>
        <w:pStyle w:val="SingleTxtG"/>
        <w:rPr>
          <w:b/>
        </w:rPr>
      </w:pPr>
      <w:r>
        <w:t>41.</w:t>
      </w:r>
      <w:r>
        <w:tab/>
      </w:r>
      <w:r>
        <w:rPr>
          <w:b/>
        </w:rPr>
        <w:t>El</w:t>
      </w:r>
      <w:r>
        <w:t xml:space="preserve"> </w:t>
      </w:r>
      <w:r>
        <w:rPr>
          <w:b/>
        </w:rPr>
        <w:t>Sr. Ibarra González</w:t>
      </w:r>
      <w:r>
        <w:t xml:space="preserve"> dice que según parece los Estados Unidos están cerrando sus fronteras a los trabajadores migratorios y a sus familiares. Pregunta si no ha llegado el momento de que el Comité formule una declaración pública sobre la cuestión de la reforma migratoria en los Estados Unidos. </w:t>
      </w:r>
    </w:p>
    <w:p w:rsidR="00000000" w:rsidRDefault="00000000">
      <w:pPr>
        <w:pStyle w:val="H23G"/>
      </w:pPr>
      <w:r>
        <w:tab/>
      </w:r>
      <w:r>
        <w:tab/>
        <w:t>Examen de los informes presentados por los Estados partes con arreglo</w:t>
      </w:r>
      <w:r>
        <w:br/>
        <w:t xml:space="preserve">al artículo 73 de </w:t>
      </w:r>
      <w:smartTag w:uri="urn:schemas-microsoft-com:office:smarttags" w:element="PersonName">
        <w:smartTagPr>
          <w:attr w:name="ProductID" w:val="la Convenci￳n"/>
        </w:smartTagPr>
        <w:r>
          <w:t>la Convención</w:t>
        </w:r>
      </w:smartTag>
    </w:p>
    <w:p w:rsidR="00000000" w:rsidRDefault="00000000">
      <w:pPr>
        <w:pStyle w:val="H4G"/>
      </w:pPr>
      <w:r>
        <w:tab/>
      </w:r>
      <w:r>
        <w:tab/>
        <w:t>Diálogo con instituciones nacionales para los derechos humanos y organizaciones</w:t>
      </w:r>
      <w:r>
        <w:br/>
        <w:t>no gubernamentales sobre el informe inicial de Argelia</w:t>
      </w:r>
    </w:p>
    <w:p w:rsidR="00000000" w:rsidRDefault="00000000">
      <w:pPr>
        <w:pStyle w:val="SingleTxtG"/>
      </w:pPr>
      <w:r>
        <w:t>42.</w:t>
      </w:r>
      <w:r>
        <w:tab/>
      </w:r>
      <w:smartTag w:uri="urn:schemas-microsoft-com:office:smarttags" w:element="PersonName">
        <w:smartTagPr>
          <w:attr w:name="ProductID" w:val="La Sra. Zolkiewska"/>
        </w:smartTagPr>
        <w:r>
          <w:rPr>
            <w:b/>
          </w:rPr>
          <w:t>La</w:t>
        </w:r>
        <w:r>
          <w:t xml:space="preserve"> </w:t>
        </w:r>
        <w:r>
          <w:rPr>
            <w:b/>
          </w:rPr>
          <w:t>Sra. Zolkiewska</w:t>
        </w:r>
      </w:smartTag>
      <w:r>
        <w:t xml:space="preserve"> (Amnistía Internacional) dice que Argelia se ha transformado en un importante país de tránsito para miles de extranjeros, en su mayoría procedentes de países del África subsahariana, en su intento de migrar hacia Europa. También ha aumentado la migración de ciudadanos argelinos. Se intercepta a centenares de migrantes argelinos y extranjeros y, en algunos casos algunos éstos perecen en el mar. Se informa de que miles de migrantes extranjeros en situación irregular son deportados de Argelia cada año.</w:t>
      </w:r>
    </w:p>
    <w:p w:rsidR="00000000" w:rsidRDefault="00000000">
      <w:pPr>
        <w:pStyle w:val="SingleTxtG"/>
      </w:pPr>
      <w:r>
        <w:t>43.</w:t>
      </w:r>
      <w:r>
        <w:tab/>
        <w:t xml:space="preserve">Las autoridades argelinas han adoptado diversas medidas jurídicas para luchar contra el tráfico ilícito de migrantes y controlar la migración irregular. Sin embargo, según parece, algunas de las medidas no cumplen con las obligaciones internacionales de Argelia en materia de derechos humanos. Por ejemplo, la Ley Nº 08-11 establece un proceso de apelación contra las órdenes de expulsión dictadas por el Ministerio del Interior. Sin embargo, los </w:t>
      </w:r>
      <w:r>
        <w:rPr>
          <w:i/>
        </w:rPr>
        <w:t>walis</w:t>
      </w:r>
      <w:r>
        <w:t xml:space="preserve"> (gobernadores) también están facultados para ordenar la deportación de los extranjeros que a su juicio han ingresado en Argelia o residen allí ilegalmente, y en esos casos, según parece, no existe el derecho de apelación. Por lo tanto, al parecer, la ley incrementa el peligro de una expulsión arbitraria y colectiva de los migrantes. </w:t>
      </w:r>
    </w:p>
    <w:p w:rsidR="00000000" w:rsidRDefault="00000000">
      <w:pPr>
        <w:pStyle w:val="SingleTxtG"/>
      </w:pPr>
      <w:r>
        <w:t>44.</w:t>
      </w:r>
      <w:r>
        <w:tab/>
        <w:t xml:space="preserve">En la Ley Nº 08-11 también se prevé el establecimiento de centros de retención para migrantes en situación irregular, en espera de su deportación a sus países de origen o a los países vecinos desde los cuales se considera que ingresaron a Argelia. Sin embargo, no se fija límite alguno para el número de veces que un </w:t>
      </w:r>
      <w:r>
        <w:rPr>
          <w:i/>
        </w:rPr>
        <w:t>wali</w:t>
      </w:r>
      <w:r>
        <w:t xml:space="preserve"> puede ampliar una orden de detención de 30 días.</w:t>
      </w:r>
    </w:p>
    <w:p w:rsidR="00000000" w:rsidRDefault="00000000">
      <w:pPr>
        <w:pStyle w:val="SingleTxtG"/>
      </w:pPr>
      <w:r>
        <w:t>45.</w:t>
      </w:r>
      <w:r>
        <w:tab/>
        <w:t>En la Ley Nº 08-11 se prescriben penas severas para quienes se dedican al contrabando de personas o para toda persona que ayude a extranjeros a ingresar, permanecer o viajar ilegalmente en Argelia. Se contempla una pena de cárcel de hasta cinco años y una cuantiosa multa para las personas condenadas por haber facilitado o intentado facilitar directa o indirectamente el ingreso, el desplazamiento, la estancia o la salida ilícitos de migrantes. A Amnistía Internacional le preocupa que la aplicación de la ley aumente el número de casos de terceras partes penalizadas por ayudar a migrantes en situación irregular.</w:t>
      </w:r>
    </w:p>
    <w:p w:rsidR="00000000" w:rsidRDefault="00000000">
      <w:pPr>
        <w:pStyle w:val="SingleTxtG"/>
      </w:pPr>
      <w:r>
        <w:t>46.</w:t>
      </w:r>
      <w:r>
        <w:tab/>
        <w:t xml:space="preserve">En agosto de 2008, se enmendó el Código Penal para que fuese un delito penal, sancionable hasta con seis meses de cárcel, salir de Argelia por lugares distintos de los pasos fronterizos reconocidos. El propósito es penalizar y desalentar el tráfico ilícito de migrantes, pero Amnistía Internacional cree que la enmienda es una medida de control de la inmigración desproporcionadamente severa que podría conducir a detenciones innecesarias y a una penalización de las migraciones. </w:t>
      </w:r>
    </w:p>
    <w:p w:rsidR="00000000" w:rsidRDefault="00000000">
      <w:pPr>
        <w:pStyle w:val="SingleTxtG"/>
      </w:pPr>
      <w:r>
        <w:t>47.</w:t>
      </w:r>
      <w:r>
        <w:tab/>
        <w:t xml:space="preserve">Según parece, las autoridades argelinas deportan a miles de migrantes cada año, lo que en muchos casos parece equivaler a expulsiones colectivas, sin salvaguardias ni derecho de apelación adecuados. Algunos de los deportados son personas necesitadas de protección internacional, pero no obstante se les niega la oportunidad de impugnar su expulsión sobre la base de un examen de las circunstancias. Entre los deportados como migrantes en situación irregular se incluye a personas reconocidas como refugiados por </w:t>
      </w:r>
      <w:smartTag w:uri="urn:schemas-microsoft-com:office:smarttags" w:element="PersonName">
        <w:smartTagPr>
          <w:attr w:name="ProductID" w:val="la Oficina"/>
        </w:smartTagPr>
        <w:r>
          <w:t xml:space="preserve">la </w:t>
        </w:r>
        <w:r>
          <w:rPr>
            <w:bCs/>
          </w:rPr>
          <w:t>Oficina</w:t>
        </w:r>
      </w:smartTag>
      <w:r>
        <w:rPr>
          <w:bCs/>
        </w:rPr>
        <w:t xml:space="preserve"> del Alto Comisionado de las Naciones Unidas para los Refugiados</w:t>
      </w:r>
      <w:r>
        <w:t xml:space="preserve"> (ACNUR) en Argelia. </w:t>
      </w:r>
    </w:p>
    <w:p w:rsidR="00000000" w:rsidRDefault="00000000">
      <w:pPr>
        <w:pStyle w:val="SingleTxtG"/>
        <w:keepNext/>
        <w:keepLines/>
      </w:pPr>
      <w:r>
        <w:t>48.</w:t>
      </w:r>
      <w:r>
        <w:tab/>
        <w:t>Algunos migrantes deportados han sido abandonados en zonas desérticas, remotas e inhóspitas sin alimentos ni agua adecuados. La prensa y otras fuentes han denunciado casos de tortura y otros malos tratos a los migrantes en situación irregular por parte de la policía argelina, y según parece algunas mujeres han sido sometidas a abusos sexuales, incluida la violación. Hasta donde se sabe ninguna de las denuncias ha sido investigada.</w:t>
      </w:r>
    </w:p>
    <w:p w:rsidR="00000000" w:rsidRDefault="00000000">
      <w:pPr>
        <w:pStyle w:val="SingleTxtG"/>
      </w:pPr>
      <w:r>
        <w:t>49.</w:t>
      </w:r>
      <w:r>
        <w:tab/>
        <w:t>Amnistía Internacional recomienda que se enmiende la Ley Nº 08-11 para garantizar el derecho a impugnar las órdenes de expulsión en procedimientos que cumplan con las normas internacionales. Además, la ley debe garantizar que no se penalice a ninguna persona encargada de proporcionar asistencia jurídica, médica y humanitaria o de otra índole a los migrantes en situación irregular.</w:t>
      </w:r>
    </w:p>
    <w:p w:rsidR="00000000" w:rsidRDefault="00000000">
      <w:pPr>
        <w:pStyle w:val="SingleTxtG"/>
      </w:pPr>
      <w:r>
        <w:t>50.</w:t>
      </w:r>
      <w:r>
        <w:tab/>
        <w:t>Se dará siempre preferencia a las medidas no privativas de la libertad por encima de la detención de los migrantes en situación irregular, que ha de usarse únicamente como último recurso y por el tiempo más breve posible, y aún así únicamente cuando las autoridades puedan demostrar que es una medida necesaria y proporcional en cada caso. Amnistía Internacional también recomienda que se deroguen de inmediato las disposiciones por las que se penaliza la salida ilícita del territorio argelino. Debe ponerse fin a la expulsión arbitraria y colectiva de migrantes de conformidad con el principio de no devolución conforme al derecho internacional.</w:t>
      </w:r>
    </w:p>
    <w:p w:rsidR="00000000" w:rsidRDefault="00000000">
      <w:pPr>
        <w:pStyle w:val="SingleTxtG"/>
      </w:pPr>
      <w:r>
        <w:t>51.</w:t>
      </w:r>
      <w:r>
        <w:tab/>
        <w:t>Por último, dice que deben realizarse investigaciones independientes e imparciales de las denuncias de tortura y malos tratos de los migrantes y que debe enjuiciarse a los responsables, de conformidad con las normas internacionales para un juicio equitativo.</w:t>
      </w:r>
    </w:p>
    <w:p w:rsidR="00000000" w:rsidRDefault="00000000">
      <w:pPr>
        <w:pStyle w:val="SingleTxtG"/>
      </w:pPr>
      <w:r>
        <w:t>52.</w:t>
      </w:r>
      <w:r>
        <w:tab/>
      </w:r>
      <w:r>
        <w:rPr>
          <w:b/>
        </w:rPr>
        <w:t>El Sr. El-Borai</w:t>
      </w:r>
      <w:r>
        <w:t xml:space="preserve"> solicita una aclaración adicional sobre las disposiciones de la Ley Nº 08-11.</w:t>
      </w:r>
    </w:p>
    <w:p w:rsidR="00000000" w:rsidRDefault="00000000">
      <w:pPr>
        <w:pStyle w:val="SingleTxtG"/>
      </w:pPr>
      <w:r>
        <w:t>53.</w:t>
      </w:r>
      <w:r>
        <w:tab/>
      </w:r>
      <w:r>
        <w:rPr>
          <w:b/>
        </w:rPr>
        <w:t>El Sr. Sevim</w:t>
      </w:r>
      <w:r>
        <w:t xml:space="preserve"> pregunta si Amnistía Internacional mantiene estadísticas sobre los migrantes documentados y no documentados deportados de Estados europeos a Argelia. Esos datos serían útiles para el Comité, en particular por cuanto Argelia ha firmado acuerdos de readmisión con cinco Estados europeos.</w:t>
      </w:r>
    </w:p>
    <w:p w:rsidR="00000000" w:rsidRDefault="00000000">
      <w:pPr>
        <w:pStyle w:val="SingleTxtG"/>
      </w:pPr>
      <w:r>
        <w:t>54.</w:t>
      </w:r>
      <w:r>
        <w:tab/>
      </w:r>
      <w:smartTag w:uri="urn:schemas-microsoft-com:office:smarttags" w:element="PersonName">
        <w:smartTagPr>
          <w:attr w:name="ProductID" w:val="La Sra. Poussi"/>
        </w:smartTagPr>
        <w:r>
          <w:rPr>
            <w:b/>
          </w:rPr>
          <w:t>La Sra. Poussi</w:t>
        </w:r>
      </w:smartTag>
      <w:r>
        <w:rPr>
          <w:b/>
        </w:rPr>
        <w:t xml:space="preserve"> Konsimbo</w:t>
      </w:r>
      <w:r>
        <w:t xml:space="preserve"> pregunta si la información proporcionada por Amnistía Internacional ha sido tomada de documentos oficiales. ¿Ha intentado Amnistía Internacional examinar las cuestiones planteadas con las autoridades argelinas?</w:t>
      </w:r>
    </w:p>
    <w:p w:rsidR="00000000" w:rsidRDefault="00000000">
      <w:pPr>
        <w:pStyle w:val="SingleTxtG"/>
      </w:pPr>
      <w:r>
        <w:t>55.</w:t>
      </w:r>
      <w:r>
        <w:tab/>
      </w:r>
      <w:r>
        <w:rPr>
          <w:b/>
        </w:rPr>
        <w:t>El</w:t>
      </w:r>
      <w:r>
        <w:t xml:space="preserve"> </w:t>
      </w:r>
      <w:r>
        <w:rPr>
          <w:b/>
        </w:rPr>
        <w:t>Sr. Tall</w:t>
      </w:r>
      <w:r>
        <w:t xml:space="preserve"> pide que se reparta a los miembros del Comité copias de la Ley Nº 08</w:t>
      </w:r>
      <w:r>
        <w:noBreakHyphen/>
        <w:t xml:space="preserve">11. Solicita información adicional sobre las órdenes de expulsión dictadas por los </w:t>
      </w:r>
      <w:r>
        <w:rPr>
          <w:i/>
        </w:rPr>
        <w:t>walis</w:t>
      </w:r>
      <w:r>
        <w:t xml:space="preserve"> y sobre casos de detención en campamentos de retención. Desea saber si ha habido casos de expulsión colectiva.</w:t>
      </w:r>
    </w:p>
    <w:p w:rsidR="00000000" w:rsidRDefault="00000000">
      <w:pPr>
        <w:pStyle w:val="SingleTxtG"/>
      </w:pPr>
      <w:r>
        <w:t>56.</w:t>
      </w:r>
      <w:r>
        <w:tab/>
      </w:r>
      <w:r>
        <w:rPr>
          <w:b/>
        </w:rPr>
        <w:t>El</w:t>
      </w:r>
      <w:r>
        <w:t xml:space="preserve"> </w:t>
      </w:r>
      <w:r>
        <w:rPr>
          <w:b/>
        </w:rPr>
        <w:t>Sr. Brillantes</w:t>
      </w:r>
      <w:r>
        <w:t xml:space="preserve"> pregunta si se considera un delito intentar salir de Argelia ilegalmente, o si las personas tienen que haber salido de Argelia ilegalmente para ser enjuiciadas. De ser éste el caso, se pregunta si se les tiene que conducir de regreso a Argelia para comparecer ante las autoridades judiciales en el país.</w:t>
      </w:r>
    </w:p>
    <w:p w:rsidR="00000000" w:rsidRDefault="00000000">
      <w:pPr>
        <w:pStyle w:val="SingleTxtG"/>
      </w:pPr>
      <w:r>
        <w:t>57.</w:t>
      </w:r>
      <w:r>
        <w:tab/>
      </w:r>
      <w:smartTag w:uri="urn:schemas-microsoft-com:office:smarttags" w:element="PersonName">
        <w:smartTagPr>
          <w:attr w:name="ProductID" w:val="La Sra. Zolkiewska"/>
        </w:smartTagPr>
        <w:r>
          <w:rPr>
            <w:b/>
          </w:rPr>
          <w:t>La Sra. Zolkiewska</w:t>
        </w:r>
      </w:smartTag>
      <w:r>
        <w:t xml:space="preserve"> (Amnistía Internacional) dice que Amnistía Internacional no posee estadísticas sobre el número de migrantes que han sido deportados, puesto que no puede patrullar todos los pasos fronterizos o las inmensas zonas desérticas que forman la frontera argelina.</w:t>
      </w:r>
    </w:p>
    <w:p w:rsidR="00000000" w:rsidRDefault="00000000">
      <w:pPr>
        <w:pStyle w:val="SingleTxtG"/>
      </w:pPr>
      <w:r>
        <w:t>58.</w:t>
      </w:r>
      <w:r>
        <w:tab/>
        <w:t xml:space="preserve">Los </w:t>
      </w:r>
      <w:r>
        <w:rPr>
          <w:i/>
        </w:rPr>
        <w:t>walis</w:t>
      </w:r>
      <w:r>
        <w:t xml:space="preserve"> están facultados para ordenar la deportación de personas residentes en Argelia cuya presencia se considera ilegal, o que hayan ingresado en el país sin la documentación adecuada. Sin proceso de apelación oficial, las personas pueden ser expulsadas con suma rapidez y sin garantías procesales. </w:t>
      </w:r>
    </w:p>
    <w:p w:rsidR="00000000" w:rsidRDefault="00000000">
      <w:pPr>
        <w:pStyle w:val="SingleTxtG"/>
      </w:pPr>
      <w:r>
        <w:t>59.</w:t>
      </w:r>
      <w:r>
        <w:tab/>
        <w:t>Las personas sorprendidas abandonando Argelia ilegalmente son detenidas, acusadas y enjuiciadas. Se tiene información de personas acusadas de ese delito desde la promulgación de las enmiendas al Código Penal.</w:t>
      </w:r>
    </w:p>
    <w:p w:rsidR="00000000" w:rsidRDefault="00000000">
      <w:pPr>
        <w:pStyle w:val="SingleTxtG"/>
        <w:rPr>
          <w:i/>
        </w:rPr>
      </w:pPr>
      <w:r>
        <w:rPr>
          <w:i/>
        </w:rPr>
        <w:t>El debate abarcado por el acta concluye a las 12.10 horas.</w:t>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GE.10-41827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GE.10-41827</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pPr>
  </w:p>
  <w:p w:rsidR="00000000" w:rsidRDefault="00000000">
    <w:pPr>
      <w:pStyle w:val="FootnoteText"/>
      <w:spacing w:after="120"/>
      <w:rPr>
        <w:lang w:val="es-ES_tradnl"/>
      </w:rPr>
    </w:pPr>
    <w:r>
      <w:tab/>
    </w:r>
    <w:r>
      <w:tab/>
    </w:r>
    <w:r>
      <w:rPr>
        <w:lang w:val="es-ES_tradnl"/>
      </w:rPr>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pacing w:after="600"/>
      <w:rPr>
        <w:sz w:val="20"/>
      </w:rPr>
    </w:pPr>
    <w:r>
      <w:rPr>
        <w:lang w:val="es-ES_tradnl"/>
      </w:rPr>
      <w:tab/>
    </w:r>
    <w:r>
      <w:rPr>
        <w:lang w:val="es-ES_tradnl"/>
      </w:rPr>
      <w:tab/>
    </w:r>
    <w:r>
      <w:rPr>
        <w:sz w:val="20"/>
        <w:lang w:val="es-ES_tradnl"/>
      </w:rPr>
      <w:t>Las correcciones que se introduzcan en las actas de las sesiones públicas del Comité se reunirán en un documento único que se publicará poco después del período de sesiones</w:t>
    </w:r>
    <w:r>
      <w:rPr>
        <w:lang w:val="es-ES_tradnl"/>
      </w:rPr>
      <w:t>.</w:t>
    </w:r>
  </w:p>
  <w:p w:rsidR="00000000" w:rsidRDefault="00000000">
    <w:pPr>
      <w:pStyle w:val="Footer"/>
    </w:pPr>
    <w:r>
      <w:rPr>
        <w:sz w:val="20"/>
      </w:rPr>
      <w:t>GE.10-41827</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200710    220710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rPr>
          <w:sz w:val="20"/>
        </w:rPr>
      </w:pPr>
      <w:r>
        <w:tab/>
      </w:r>
      <w:r>
        <w:rPr>
          <w:rStyle w:val="FootnoteReference"/>
          <w:sz w:val="20"/>
          <w:vertAlign w:val="baseline"/>
        </w:rPr>
        <w:t>*</w:t>
      </w:r>
      <w:r>
        <w:tab/>
        <w:t>No se levantó acta resumida del resto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 xml:space="preserve">CMW/C/SR.127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 xml:space="preserve">CMW/C/SR.127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8</Pages>
  <Words>3426</Words>
  <Characters>18849</Characters>
  <Application>Microsoft Office Word</Application>
  <DocSecurity>4</DocSecurity>
  <Lines>157</Lines>
  <Paragraphs>44</Paragraphs>
  <ScaleCrop>false</ScaleCrop>
  <HeadingPairs>
    <vt:vector size="2" baseType="variant">
      <vt:variant>
        <vt:lpstr>Título</vt:lpstr>
      </vt:variant>
      <vt:variant>
        <vt:i4>1</vt:i4>
      </vt:variant>
    </vt:vector>
  </HeadingPairs>
  <TitlesOfParts>
    <vt:vector size="1" baseType="lpstr">
      <vt:lpstr>CMW/C/SR.127   -10-41827</vt:lpstr>
    </vt:vector>
  </TitlesOfParts>
  <Company/>
  <LinksUpToDate>false</LinksUpToDate>
  <CharactersWithSpaces>22231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CMW/C/SR.127   -10-41827</dc:title>
  <dc:subject>Final</dc:subject>
  <dc:creator>Romina Meriño </dc:creator>
  <cp:keywords/>
  <dc:description/>
  <cp:lastModifiedBy>Admieng</cp:lastModifiedBy>
  <cp:revision>2</cp:revision>
  <cp:lastPrinted>2010-07-22T07:00:00Z</cp:lastPrinted>
  <dcterms:created xsi:type="dcterms:W3CDTF">2010-07-22T08:05:00Z</dcterms:created>
  <dcterms:modified xsi:type="dcterms:W3CDTF">2010-07-22T08:05:00Z</dcterms:modified>
</cp:coreProperties>
</file>