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17ECA" w14:paraId="298AD12C" w14:textId="77777777" w:rsidTr="005C06D4">
        <w:trPr>
          <w:cantSplit/>
          <w:trHeight w:hRule="exact" w:val="851"/>
        </w:trPr>
        <w:tc>
          <w:tcPr>
            <w:tcW w:w="1276" w:type="dxa"/>
            <w:tcBorders>
              <w:bottom w:val="single" w:sz="4" w:space="0" w:color="auto"/>
            </w:tcBorders>
            <w:vAlign w:val="bottom"/>
          </w:tcPr>
          <w:p w14:paraId="32DEF58D" w14:textId="77777777" w:rsidR="001E498C" w:rsidRPr="009C41E2" w:rsidRDefault="001E498C" w:rsidP="005C06D4">
            <w:pPr>
              <w:spacing w:after="80"/>
            </w:pPr>
          </w:p>
        </w:tc>
        <w:tc>
          <w:tcPr>
            <w:tcW w:w="2268" w:type="dxa"/>
            <w:tcBorders>
              <w:bottom w:val="single" w:sz="4" w:space="0" w:color="auto"/>
            </w:tcBorders>
            <w:vAlign w:val="bottom"/>
          </w:tcPr>
          <w:p w14:paraId="2E7EDE17" w14:textId="77777777" w:rsidR="001E498C" w:rsidRPr="009C41E2" w:rsidRDefault="0085508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41AF737" w14:textId="77777777" w:rsidR="001E498C" w:rsidRPr="009C41E2" w:rsidRDefault="0085508B" w:rsidP="0053631F">
            <w:pPr>
              <w:suppressAutoHyphens w:val="0"/>
              <w:spacing w:after="20"/>
              <w:jc w:val="right"/>
            </w:pPr>
            <w:r w:rsidRPr="00100320">
              <w:rPr>
                <w:sz w:val="40"/>
              </w:rPr>
              <w:t>CERD</w:t>
            </w:r>
            <w:r>
              <w:t>/</w:t>
            </w:r>
            <w:r w:rsidR="00257838" w:rsidRPr="009C41E2">
              <w:t>C/SR.3107</w:t>
            </w:r>
          </w:p>
        </w:tc>
      </w:tr>
      <w:tr w:rsidR="00417ECA" w14:paraId="548D1B25" w14:textId="77777777" w:rsidTr="005C06D4">
        <w:trPr>
          <w:cantSplit/>
          <w:trHeight w:hRule="exact" w:val="2835"/>
        </w:trPr>
        <w:tc>
          <w:tcPr>
            <w:tcW w:w="1276" w:type="dxa"/>
            <w:tcBorders>
              <w:top w:val="single" w:sz="4" w:space="0" w:color="auto"/>
              <w:bottom w:val="single" w:sz="12" w:space="0" w:color="auto"/>
            </w:tcBorders>
          </w:tcPr>
          <w:p w14:paraId="4D8756CE" w14:textId="77777777" w:rsidR="001E498C" w:rsidRPr="009C41E2" w:rsidRDefault="0085508B" w:rsidP="005C06D4">
            <w:pPr>
              <w:spacing w:before="120"/>
              <w:jc w:val="center"/>
            </w:pPr>
            <w:r w:rsidRPr="009C41E2">
              <w:rPr>
                <w:noProof/>
                <w:lang w:val="fr-CH" w:eastAsia="fr-CH"/>
              </w:rPr>
              <w:drawing>
                <wp:inline distT="0" distB="0" distL="0" distR="0" wp14:anchorId="4E5569F0" wp14:editId="3DCDE8E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1A0429" w14:textId="77777777" w:rsidR="00950B01" w:rsidRPr="000B4EF7" w:rsidRDefault="0085508B" w:rsidP="00950B01">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D1E853D"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46EA6806" w14:textId="77777777" w:rsidR="001E498C" w:rsidRPr="00F772C5" w:rsidRDefault="0085508B" w:rsidP="005C06D4">
            <w:pPr>
              <w:suppressAutoHyphens w:val="0"/>
              <w:spacing w:before="240" w:line="240" w:lineRule="exact"/>
              <w:rPr>
                <w:lang w:val="en-US"/>
              </w:rPr>
            </w:pPr>
            <w:r w:rsidRPr="00F772C5">
              <w:rPr>
                <w:lang w:val="en-US"/>
              </w:rPr>
              <w:t>Distr.</w:t>
            </w:r>
            <w:r w:rsidR="0046257D" w:rsidRPr="00F772C5">
              <w:rPr>
                <w:lang w:val="en-US"/>
              </w:rPr>
              <w:t>:</w:t>
            </w:r>
            <w:r w:rsidRPr="00F772C5">
              <w:rPr>
                <w:lang w:val="en-US"/>
              </w:rPr>
              <w:t xml:space="preserve"> </w:t>
            </w:r>
            <w:r w:rsidR="00257838" w:rsidRPr="00F772C5">
              <w:rPr>
                <w:lang w:val="en-US"/>
              </w:rPr>
              <w:t>General</w:t>
            </w:r>
          </w:p>
          <w:p w14:paraId="29A5998E" w14:textId="1CC4C7EB" w:rsidR="001E498C" w:rsidRPr="00F772C5" w:rsidRDefault="00C5055C" w:rsidP="005C06D4">
            <w:pPr>
              <w:suppressAutoHyphens w:val="0"/>
              <w:rPr>
                <w:lang w:val="en-US"/>
              </w:rPr>
            </w:pPr>
            <w:r>
              <w:rPr>
                <w:lang w:val="en-US"/>
              </w:rPr>
              <w:t>27 August 2024</w:t>
            </w:r>
          </w:p>
          <w:p w14:paraId="51009B3A" w14:textId="77777777" w:rsidR="003B0B0F" w:rsidRPr="00F772C5" w:rsidRDefault="003B0B0F" w:rsidP="005C06D4">
            <w:pPr>
              <w:suppressAutoHyphens w:val="0"/>
              <w:rPr>
                <w:lang w:val="en-US"/>
              </w:rPr>
            </w:pPr>
          </w:p>
          <w:p w14:paraId="1F4FD438" w14:textId="77777777" w:rsidR="006056E0" w:rsidRPr="00F772C5" w:rsidRDefault="0085508B" w:rsidP="005C06D4">
            <w:pPr>
              <w:suppressAutoHyphens w:val="0"/>
              <w:rPr>
                <w:lang w:val="en-US"/>
              </w:rPr>
            </w:pPr>
            <w:r w:rsidRPr="00F772C5">
              <w:rPr>
                <w:lang w:val="en-US"/>
              </w:rPr>
              <w:t>Original: English</w:t>
            </w:r>
          </w:p>
        </w:tc>
      </w:tr>
    </w:tbl>
    <w:p w14:paraId="44573A20" w14:textId="77777777" w:rsidR="00CB43B4" w:rsidRDefault="0085508B" w:rsidP="00CB43B4">
      <w:pPr>
        <w:spacing w:before="120"/>
        <w:rPr>
          <w:b/>
          <w:bCs/>
          <w:sz w:val="24"/>
          <w:szCs w:val="24"/>
        </w:rPr>
      </w:pPr>
      <w:r>
        <w:rPr>
          <w:b/>
          <w:sz w:val="24"/>
        </w:rPr>
        <w:t>Committee on the Elimination of Racial Discrimination</w:t>
      </w:r>
    </w:p>
    <w:p w14:paraId="615DB5BD" w14:textId="77777777" w:rsidR="003B0B0F" w:rsidRPr="009C41E2" w:rsidRDefault="00257838" w:rsidP="00CB43B4">
      <w:pPr>
        <w:spacing w:after="120"/>
        <w:rPr>
          <w:b/>
          <w:bCs/>
        </w:rPr>
      </w:pPr>
      <w:r w:rsidRPr="009C41E2">
        <w:rPr>
          <w:b/>
          <w:bCs/>
        </w:rPr>
        <w:t>113th</w:t>
      </w:r>
      <w:r w:rsidR="0085508B" w:rsidRPr="009C41E2">
        <w:rPr>
          <w:b/>
          <w:bCs/>
        </w:rPr>
        <w:t xml:space="preserve"> session</w:t>
      </w:r>
    </w:p>
    <w:p w14:paraId="631204E0" w14:textId="77777777" w:rsidR="003B0B0F" w:rsidRPr="00F24D6D" w:rsidRDefault="0085508B" w:rsidP="002E6AF8">
      <w:pPr>
        <w:rPr>
          <w:b/>
          <w:bCs/>
        </w:rPr>
      </w:pPr>
      <w:r w:rsidRPr="00F24D6D">
        <w:rPr>
          <w:b/>
          <w:bCs/>
        </w:rPr>
        <w:t xml:space="preserve">Summary record of the </w:t>
      </w:r>
      <w:r w:rsidR="002E6AF8" w:rsidRPr="00F24D6D">
        <w:rPr>
          <w:b/>
          <w:bCs/>
        </w:rPr>
        <w:t xml:space="preserve">3107th </w:t>
      </w:r>
      <w:r w:rsidRPr="00F24D6D">
        <w:rPr>
          <w:b/>
          <w:bCs/>
        </w:rPr>
        <w:t>meeting</w:t>
      </w:r>
      <w:r w:rsidR="00C943DA">
        <w:t>*</w:t>
      </w:r>
    </w:p>
    <w:p w14:paraId="4551F0D2" w14:textId="1F01250E" w:rsidR="003B0B0F" w:rsidRPr="009C41E2" w:rsidRDefault="0085508B" w:rsidP="00F24D6D">
      <w:pPr>
        <w:spacing w:after="120"/>
      </w:pPr>
      <w:r w:rsidRPr="009C41E2">
        <w:t xml:space="preserve">Held at the </w:t>
      </w:r>
      <w:r w:rsidR="00AE7729" w:rsidRPr="009C41E2">
        <w:t>Palais Wilson, Geneva</w:t>
      </w:r>
      <w:r w:rsidRPr="009C41E2">
        <w:t xml:space="preserve">, on </w:t>
      </w:r>
      <w:r w:rsidR="00AE7729" w:rsidRPr="009C41E2">
        <w:t>Friday, 23 August 2024, at 3 p.m.</w:t>
      </w:r>
    </w:p>
    <w:p w14:paraId="73909442" w14:textId="77777777" w:rsidR="003B0B0F" w:rsidRDefault="0085508B" w:rsidP="00AE7729">
      <w:pPr>
        <w:tabs>
          <w:tab w:val="left" w:pos="1134"/>
          <w:tab w:val="right" w:leader="dot" w:pos="8504"/>
        </w:tabs>
        <w:spacing w:after="120"/>
      </w:pPr>
      <w:r w:rsidRPr="009C41E2">
        <w:rPr>
          <w:i/>
        </w:rPr>
        <w:t>Chair</w:t>
      </w:r>
      <w:r w:rsidRPr="009C41E2">
        <w:t>:</w:t>
      </w:r>
      <w:r w:rsidRPr="009C41E2">
        <w:tab/>
      </w:r>
      <w:r w:rsidR="00AE7729" w:rsidRPr="009C41E2">
        <w:t>Mr. Balcerzak</w:t>
      </w:r>
    </w:p>
    <w:p w14:paraId="0C949E5E" w14:textId="77777777" w:rsidR="003B0B0F" w:rsidRPr="009C41E2" w:rsidRDefault="0085508B" w:rsidP="003B0B0F">
      <w:pPr>
        <w:tabs>
          <w:tab w:val="right" w:pos="992"/>
          <w:tab w:val="left" w:pos="1276"/>
          <w:tab w:val="right" w:leader="dot" w:pos="8504"/>
        </w:tabs>
        <w:spacing w:before="360" w:after="240"/>
        <w:rPr>
          <w:sz w:val="28"/>
        </w:rPr>
      </w:pPr>
      <w:r w:rsidRPr="009C41E2">
        <w:rPr>
          <w:sz w:val="28"/>
        </w:rPr>
        <w:t>Contents</w:t>
      </w:r>
    </w:p>
    <w:p w14:paraId="3C8C2F53" w14:textId="2F51911C" w:rsidR="002D0F56" w:rsidRDefault="00AD0747" w:rsidP="002D0F56">
      <w:pPr>
        <w:pStyle w:val="SingleTxtG"/>
      </w:pPr>
      <w:r>
        <w:t>Organizational and other matters</w:t>
      </w:r>
    </w:p>
    <w:p w14:paraId="69005F50" w14:textId="4C135958" w:rsidR="000C2BDC" w:rsidRDefault="00B11B00" w:rsidP="00C448CC">
      <w:pPr>
        <w:pStyle w:val="SingleTxtG"/>
        <w:ind w:left="1701" w:firstLine="9"/>
        <w:jc w:val="left"/>
        <w:rPr>
          <w:i/>
          <w:iCs/>
        </w:rPr>
      </w:pPr>
      <w:r>
        <w:rPr>
          <w:i/>
          <w:iCs/>
        </w:rPr>
        <w:t>Draft general recommendation No. 37 on racial discrimination in the enjoyment of the right to health</w:t>
      </w:r>
    </w:p>
    <w:p w14:paraId="3FCD0955" w14:textId="71ACCE69" w:rsidR="00CF0CC1" w:rsidRDefault="00AD0747" w:rsidP="009B4065">
      <w:pPr>
        <w:pStyle w:val="SingleTxtG"/>
      </w:pPr>
      <w:r w:rsidRPr="00AD0747">
        <w:t>Closure of the session</w:t>
      </w:r>
    </w:p>
    <w:p w14:paraId="055ACE82" w14:textId="77777777" w:rsidR="00C448CC" w:rsidRPr="00C448CC" w:rsidRDefault="00CF0CC1" w:rsidP="00C448CC">
      <w:pPr>
        <w:pStyle w:val="SingleTxtG"/>
        <w:rPr>
          <w:i/>
          <w:iCs/>
          <w:lang w:val="en-CA"/>
        </w:rPr>
      </w:pPr>
      <w:r>
        <w:br w:type="page"/>
      </w:r>
      <w:r w:rsidR="00C448CC" w:rsidRPr="00C448CC">
        <w:rPr>
          <w:i/>
          <w:iCs/>
          <w:lang w:val="en-CA"/>
        </w:rPr>
        <w:lastRenderedPageBreak/>
        <w:t xml:space="preserve">The meeting was called to order at 3 p.m. </w:t>
      </w:r>
    </w:p>
    <w:p w14:paraId="07B10CF3" w14:textId="33BD3696" w:rsidR="00C448CC" w:rsidRDefault="00C448CC" w:rsidP="00C448CC">
      <w:pPr>
        <w:pStyle w:val="H23G"/>
        <w:rPr>
          <w:lang w:val="en-CA"/>
        </w:rPr>
      </w:pPr>
      <w:r>
        <w:rPr>
          <w:lang w:val="en-CA"/>
        </w:rPr>
        <w:tab/>
      </w:r>
      <w:r>
        <w:rPr>
          <w:lang w:val="en-CA"/>
        </w:rPr>
        <w:tab/>
        <w:t>Organizational and other matters</w:t>
      </w:r>
    </w:p>
    <w:p w14:paraId="2E4A70D7" w14:textId="77777777" w:rsidR="00C448CC" w:rsidRPr="00C448CC" w:rsidRDefault="00C448CC" w:rsidP="00D263D7">
      <w:pPr>
        <w:pStyle w:val="SingleTxtG"/>
        <w:ind w:left="1701"/>
        <w:jc w:val="left"/>
        <w:rPr>
          <w:i/>
          <w:iCs/>
          <w:lang w:val="en-CA"/>
        </w:rPr>
      </w:pPr>
      <w:r w:rsidRPr="00C448CC">
        <w:rPr>
          <w:i/>
          <w:iCs/>
          <w:lang w:val="en-CA"/>
        </w:rPr>
        <w:t>Draft general recommendation No. 37 on racial discrimination in the enjoyment of the right to health</w:t>
      </w:r>
    </w:p>
    <w:p w14:paraId="78D7A22C" w14:textId="77777777" w:rsidR="00C448CC" w:rsidRDefault="00C448CC" w:rsidP="002F100B">
      <w:pPr>
        <w:pStyle w:val="ParaNoG"/>
        <w:rPr>
          <w:lang w:val="en-CA"/>
        </w:rPr>
      </w:pPr>
      <w:r w:rsidRPr="0096715F">
        <w:rPr>
          <w:b/>
          <w:bCs/>
          <w:lang w:val="en-CA"/>
        </w:rPr>
        <w:t>The Chair</w:t>
      </w:r>
      <w:r>
        <w:rPr>
          <w:b/>
          <w:bCs/>
          <w:lang w:val="en-CA"/>
        </w:rPr>
        <w:t xml:space="preserve"> </w:t>
      </w:r>
      <w:r w:rsidRPr="00863457">
        <w:rPr>
          <w:lang w:val="en-CA"/>
        </w:rPr>
        <w:t>said that</w:t>
      </w:r>
      <w:r>
        <w:rPr>
          <w:lang w:val="en-CA"/>
        </w:rPr>
        <w:t>,</w:t>
      </w:r>
      <w:r w:rsidRPr="00863457">
        <w:rPr>
          <w:lang w:val="en-CA"/>
        </w:rPr>
        <w:t xml:space="preserve"> </w:t>
      </w:r>
      <w:r>
        <w:rPr>
          <w:lang w:val="en-CA"/>
        </w:rPr>
        <w:t>s</w:t>
      </w:r>
      <w:r w:rsidRPr="00863457">
        <w:rPr>
          <w:lang w:val="en-CA"/>
        </w:rPr>
        <w:t>ince 1972, the Committee ha</w:t>
      </w:r>
      <w:r>
        <w:rPr>
          <w:lang w:val="en-CA"/>
        </w:rPr>
        <w:t>d</w:t>
      </w:r>
      <w:r w:rsidRPr="00863457">
        <w:rPr>
          <w:lang w:val="en-CA"/>
        </w:rPr>
        <w:t xml:space="preserve"> issued</w:t>
      </w:r>
      <w:r>
        <w:rPr>
          <w:lang w:val="en-CA"/>
        </w:rPr>
        <w:t xml:space="preserve"> 36</w:t>
      </w:r>
      <w:r w:rsidRPr="00863457">
        <w:rPr>
          <w:lang w:val="en-CA"/>
        </w:rPr>
        <w:t xml:space="preserve"> general recommendations</w:t>
      </w:r>
      <w:r>
        <w:rPr>
          <w:lang w:val="en-CA"/>
        </w:rPr>
        <w:t xml:space="preserve"> on various topics in order to provide guida</w:t>
      </w:r>
      <w:r w:rsidRPr="00863457">
        <w:rPr>
          <w:lang w:val="en-CA"/>
        </w:rPr>
        <w:t xml:space="preserve">nce </w:t>
      </w:r>
      <w:r>
        <w:rPr>
          <w:lang w:val="en-CA"/>
        </w:rPr>
        <w:t>f</w:t>
      </w:r>
      <w:r w:rsidRPr="00863457">
        <w:rPr>
          <w:lang w:val="en-CA"/>
        </w:rPr>
        <w:t>o</w:t>
      </w:r>
      <w:r>
        <w:rPr>
          <w:lang w:val="en-CA"/>
        </w:rPr>
        <w:t>r</w:t>
      </w:r>
      <w:r w:rsidRPr="00863457">
        <w:rPr>
          <w:lang w:val="en-CA"/>
        </w:rPr>
        <w:t xml:space="preserve"> States in understanding </w:t>
      </w:r>
      <w:r>
        <w:rPr>
          <w:lang w:val="en-CA"/>
        </w:rPr>
        <w:t>and implementing the Convention. He invited Ms. Stavrinaki to present the revised draft of what would become the Committee’s thirty-seventh general recommendation, on racial discrimination in the enjoyment of the right to health, with a view to its adoption.</w:t>
      </w:r>
    </w:p>
    <w:p w14:paraId="0375696D" w14:textId="19CA0CBD" w:rsidR="00C448CC" w:rsidRDefault="00C448CC" w:rsidP="002F100B">
      <w:pPr>
        <w:pStyle w:val="ParaNoG"/>
        <w:rPr>
          <w:rFonts w:eastAsia="Times New Roman"/>
          <w:lang w:eastAsia="zh-CN"/>
        </w:rPr>
      </w:pPr>
      <w:r w:rsidRPr="00D40B8D">
        <w:rPr>
          <w:b/>
          <w:bCs/>
        </w:rPr>
        <w:t>Ms. Stavrinaki</w:t>
      </w:r>
      <w:r w:rsidRPr="00D40B8D">
        <w:t xml:space="preserve"> (Rapporteur for the</w:t>
      </w:r>
      <w:r>
        <w:t xml:space="preserve"> general recommendation) said that the process of drafting general recommendation No. 37 had begun in August 2022 with a thematic discussion (</w:t>
      </w:r>
      <w:hyperlink r:id="rId11" w:history="1">
        <w:r w:rsidRPr="00026E69">
          <w:rPr>
            <w:rStyle w:val="Hyperlink"/>
          </w:rPr>
          <w:t>CERD/C/SR.2914</w:t>
        </w:r>
      </w:hyperlink>
      <w:r>
        <w:t xml:space="preserve">) held during the Committee’s 107th session. </w:t>
      </w:r>
      <w:r>
        <w:rPr>
          <w:rFonts w:eastAsia="Times New Roman"/>
          <w:lang w:eastAsia="zh-CN"/>
        </w:rPr>
        <w:t xml:space="preserve">Between </w:t>
      </w:r>
      <w:r w:rsidRPr="00DF2886">
        <w:rPr>
          <w:rFonts w:eastAsia="Times New Roman"/>
          <w:lang w:eastAsia="zh-CN"/>
        </w:rPr>
        <w:t xml:space="preserve">July 2023 </w:t>
      </w:r>
      <w:r>
        <w:rPr>
          <w:rFonts w:eastAsia="Times New Roman"/>
          <w:lang w:eastAsia="zh-CN"/>
        </w:rPr>
        <w:t xml:space="preserve">and </w:t>
      </w:r>
      <w:r w:rsidRPr="00DF2886">
        <w:rPr>
          <w:rFonts w:eastAsia="Times New Roman"/>
          <w:lang w:eastAsia="zh-CN"/>
        </w:rPr>
        <w:t>March 2024</w:t>
      </w:r>
      <w:r>
        <w:rPr>
          <w:rFonts w:eastAsia="Times New Roman"/>
          <w:lang w:eastAsia="zh-CN"/>
        </w:rPr>
        <w:t xml:space="preserve">, the Committee had held four </w:t>
      </w:r>
      <w:r w:rsidRPr="00DF2886">
        <w:rPr>
          <w:rFonts w:eastAsia="Times New Roman"/>
          <w:lang w:eastAsia="zh-CN"/>
        </w:rPr>
        <w:t xml:space="preserve">online regional consultations with </w:t>
      </w:r>
      <w:r>
        <w:rPr>
          <w:rFonts w:eastAsia="Times New Roman"/>
          <w:lang w:eastAsia="zh-CN"/>
        </w:rPr>
        <w:t xml:space="preserve">participants from </w:t>
      </w:r>
      <w:r w:rsidRPr="00DF2886">
        <w:rPr>
          <w:rFonts w:eastAsia="Times New Roman"/>
          <w:lang w:eastAsia="zh-CN"/>
        </w:rPr>
        <w:t>Africa,</w:t>
      </w:r>
      <w:r>
        <w:rPr>
          <w:rFonts w:eastAsia="Times New Roman"/>
          <w:lang w:eastAsia="zh-CN"/>
        </w:rPr>
        <w:t xml:space="preserve"> Latin America, Asia</w:t>
      </w:r>
      <w:r w:rsidR="00431F66">
        <w:rPr>
          <w:rFonts w:eastAsia="Times New Roman"/>
          <w:lang w:eastAsia="zh-CN"/>
        </w:rPr>
        <w:t>,</w:t>
      </w:r>
      <w:r>
        <w:rPr>
          <w:rFonts w:eastAsia="Times New Roman"/>
          <w:lang w:eastAsia="zh-CN"/>
        </w:rPr>
        <w:t xml:space="preserve"> and Europe and North America</w:t>
      </w:r>
      <w:r w:rsidRPr="00DF2886">
        <w:rPr>
          <w:rFonts w:eastAsia="Times New Roman"/>
          <w:lang w:eastAsia="zh-CN"/>
        </w:rPr>
        <w:t xml:space="preserve">. </w:t>
      </w:r>
      <w:r>
        <w:rPr>
          <w:rFonts w:eastAsia="Times New Roman"/>
          <w:lang w:eastAsia="zh-CN"/>
        </w:rPr>
        <w:t xml:space="preserve">During the drafting process, the Committee had received comments and observations from </w:t>
      </w:r>
      <w:r w:rsidRPr="00DF2886">
        <w:rPr>
          <w:rFonts w:eastAsia="Times New Roman"/>
          <w:lang w:eastAsia="zh-CN"/>
        </w:rPr>
        <w:t>State</w:t>
      </w:r>
      <w:r>
        <w:rPr>
          <w:rFonts w:eastAsia="Times New Roman"/>
          <w:lang w:eastAsia="zh-CN"/>
        </w:rPr>
        <w:t>s</w:t>
      </w:r>
      <w:r w:rsidRPr="00DF2886">
        <w:rPr>
          <w:rFonts w:eastAsia="Times New Roman"/>
          <w:lang w:eastAsia="zh-CN"/>
        </w:rPr>
        <w:t xml:space="preserve"> parties, international organizations and agencies, national human rights institutions, civil society organizations</w:t>
      </w:r>
      <w:r>
        <w:rPr>
          <w:rFonts w:eastAsia="Times New Roman"/>
          <w:lang w:eastAsia="zh-CN"/>
        </w:rPr>
        <w:t xml:space="preserve">, </w:t>
      </w:r>
      <w:r w:rsidRPr="00DF2886">
        <w:rPr>
          <w:rFonts w:eastAsia="Times New Roman"/>
          <w:lang w:eastAsia="zh-CN"/>
        </w:rPr>
        <w:t>health professionals</w:t>
      </w:r>
      <w:r>
        <w:rPr>
          <w:rFonts w:eastAsia="Times New Roman"/>
          <w:lang w:eastAsia="zh-CN"/>
        </w:rPr>
        <w:t xml:space="preserve">’ associations </w:t>
      </w:r>
      <w:r w:rsidRPr="00DF2886">
        <w:rPr>
          <w:rFonts w:eastAsia="Times New Roman"/>
          <w:lang w:eastAsia="zh-CN"/>
        </w:rPr>
        <w:t>and academia</w:t>
      </w:r>
      <w:r>
        <w:rPr>
          <w:rFonts w:eastAsia="Times New Roman"/>
          <w:lang w:eastAsia="zh-CN"/>
        </w:rPr>
        <w:t>.</w:t>
      </w:r>
      <w:r w:rsidRPr="00DF2886">
        <w:rPr>
          <w:rFonts w:eastAsia="Times New Roman"/>
          <w:lang w:eastAsia="zh-CN"/>
        </w:rPr>
        <w:t xml:space="preserve"> </w:t>
      </w:r>
    </w:p>
    <w:p w14:paraId="4A5A1C64" w14:textId="775763C8" w:rsidR="00C448CC" w:rsidRDefault="00C448CC" w:rsidP="002F100B">
      <w:pPr>
        <w:pStyle w:val="ParaNoG"/>
        <w:rPr>
          <w:rFonts w:eastAsia="Times New Roman"/>
          <w:lang w:eastAsia="zh-CN"/>
        </w:rPr>
      </w:pPr>
      <w:r w:rsidRPr="00DF2886">
        <w:rPr>
          <w:rFonts w:eastAsia="Times New Roman"/>
          <w:lang w:eastAsia="zh-CN"/>
        </w:rPr>
        <w:t>The</w:t>
      </w:r>
      <w:r>
        <w:rPr>
          <w:rFonts w:eastAsia="Times New Roman"/>
          <w:lang w:eastAsia="zh-CN"/>
        </w:rPr>
        <w:t xml:space="preserve"> draft general</w:t>
      </w:r>
      <w:r w:rsidRPr="00DF2886">
        <w:rPr>
          <w:rFonts w:eastAsia="Times New Roman"/>
          <w:lang w:eastAsia="zh-CN"/>
        </w:rPr>
        <w:t xml:space="preserve"> recommendation buil</w:t>
      </w:r>
      <w:r>
        <w:rPr>
          <w:rFonts w:eastAsia="Times New Roman"/>
          <w:lang w:eastAsia="zh-CN"/>
        </w:rPr>
        <w:t>t</w:t>
      </w:r>
      <w:r w:rsidRPr="00DF2886">
        <w:rPr>
          <w:rFonts w:eastAsia="Times New Roman"/>
          <w:lang w:eastAsia="zh-CN"/>
        </w:rPr>
        <w:t xml:space="preserve"> on the knowledge that racial discrimination </w:t>
      </w:r>
      <w:r>
        <w:rPr>
          <w:rFonts w:eastAsia="Times New Roman"/>
          <w:lang w:eastAsia="zh-CN"/>
        </w:rPr>
        <w:t>was</w:t>
      </w:r>
      <w:r w:rsidRPr="00DF2886">
        <w:rPr>
          <w:rFonts w:eastAsia="Times New Roman"/>
          <w:lang w:eastAsia="zh-CN"/>
        </w:rPr>
        <w:t xml:space="preserve"> a structural determinant of health</w:t>
      </w:r>
      <w:r>
        <w:rPr>
          <w:rFonts w:eastAsia="Times New Roman"/>
          <w:lang w:eastAsia="zh-CN"/>
        </w:rPr>
        <w:t xml:space="preserve"> that exerted a negative influence on the health of individuals throughout their lives, shaping their</w:t>
      </w:r>
      <w:r w:rsidRPr="00DF2886">
        <w:rPr>
          <w:rFonts w:eastAsia="Times New Roman"/>
          <w:lang w:eastAsia="zh-CN"/>
        </w:rPr>
        <w:t xml:space="preserve"> </w:t>
      </w:r>
      <w:r>
        <w:rPr>
          <w:rFonts w:eastAsia="Times New Roman"/>
          <w:lang w:eastAsia="zh-CN"/>
        </w:rPr>
        <w:t>vulnerability</w:t>
      </w:r>
      <w:r w:rsidRPr="00DF2886">
        <w:rPr>
          <w:rFonts w:eastAsia="Times New Roman"/>
          <w:lang w:eastAsia="zh-CN"/>
        </w:rPr>
        <w:t xml:space="preserve"> </w:t>
      </w:r>
      <w:r>
        <w:rPr>
          <w:rFonts w:eastAsia="Times New Roman"/>
          <w:lang w:eastAsia="zh-CN"/>
        </w:rPr>
        <w:t xml:space="preserve">and their </w:t>
      </w:r>
      <w:r w:rsidRPr="00DF2886">
        <w:rPr>
          <w:rFonts w:eastAsia="Times New Roman"/>
          <w:lang w:eastAsia="zh-CN"/>
        </w:rPr>
        <w:t>exposure to disease</w:t>
      </w:r>
      <w:r>
        <w:rPr>
          <w:rFonts w:eastAsia="Times New Roman"/>
          <w:lang w:eastAsia="zh-CN"/>
        </w:rPr>
        <w:t>.</w:t>
      </w:r>
      <w:r w:rsidRPr="00DF2886">
        <w:rPr>
          <w:rFonts w:eastAsia="Times New Roman"/>
          <w:lang w:eastAsia="zh-CN"/>
        </w:rPr>
        <w:t xml:space="preserve"> </w:t>
      </w:r>
      <w:r>
        <w:rPr>
          <w:rFonts w:eastAsia="Times New Roman"/>
          <w:lang w:eastAsia="zh-CN"/>
        </w:rPr>
        <w:t xml:space="preserve">The text </w:t>
      </w:r>
      <w:r w:rsidRPr="00DF2886">
        <w:rPr>
          <w:rFonts w:eastAsia="Times New Roman"/>
          <w:lang w:eastAsia="zh-CN"/>
        </w:rPr>
        <w:t>explain</w:t>
      </w:r>
      <w:r>
        <w:rPr>
          <w:rFonts w:eastAsia="Times New Roman"/>
          <w:lang w:eastAsia="zh-CN"/>
        </w:rPr>
        <w:t>ed</w:t>
      </w:r>
      <w:r w:rsidRPr="00DF2886">
        <w:rPr>
          <w:rFonts w:eastAsia="Times New Roman"/>
          <w:lang w:eastAsia="zh-CN"/>
        </w:rPr>
        <w:t xml:space="preserve"> </w:t>
      </w:r>
      <w:r>
        <w:rPr>
          <w:rFonts w:eastAsia="Times New Roman"/>
          <w:lang w:eastAsia="zh-CN"/>
        </w:rPr>
        <w:t>that equality and</w:t>
      </w:r>
      <w:r w:rsidRPr="00DF2886">
        <w:rPr>
          <w:rFonts w:eastAsia="Times New Roman"/>
          <w:lang w:eastAsia="zh-CN"/>
        </w:rPr>
        <w:t xml:space="preserve"> freedom from racial discrimination</w:t>
      </w:r>
      <w:r>
        <w:rPr>
          <w:rFonts w:eastAsia="Times New Roman"/>
          <w:lang w:eastAsia="zh-CN"/>
        </w:rPr>
        <w:t xml:space="preserve"> in the enjoyment of the right to health were underpinned by</w:t>
      </w:r>
      <w:r w:rsidRPr="004869B8">
        <w:rPr>
          <w:rFonts w:eastAsia="Times New Roman"/>
          <w:lang w:eastAsia="zh-CN"/>
        </w:rPr>
        <w:t xml:space="preserve"> </w:t>
      </w:r>
      <w:r>
        <w:rPr>
          <w:rFonts w:eastAsia="Times New Roman"/>
          <w:lang w:eastAsia="zh-CN"/>
        </w:rPr>
        <w:t>a</w:t>
      </w:r>
      <w:r w:rsidRPr="00DF2886">
        <w:rPr>
          <w:rFonts w:eastAsia="Times New Roman"/>
          <w:lang w:eastAsia="zh-CN"/>
        </w:rPr>
        <w:t>rticle 5 (e) (iv)</w:t>
      </w:r>
      <w:r>
        <w:rPr>
          <w:rFonts w:eastAsia="Times New Roman"/>
          <w:lang w:eastAsia="zh-CN"/>
        </w:rPr>
        <w:t xml:space="preserve"> of the Convention, giving</w:t>
      </w:r>
      <w:r w:rsidRPr="00DF2886">
        <w:rPr>
          <w:rFonts w:eastAsia="Times New Roman"/>
          <w:lang w:eastAsia="zh-CN"/>
        </w:rPr>
        <w:t xml:space="preserve"> concrete examples </w:t>
      </w:r>
      <w:r>
        <w:rPr>
          <w:rFonts w:eastAsia="Times New Roman"/>
          <w:lang w:eastAsia="zh-CN"/>
        </w:rPr>
        <w:t xml:space="preserve">of how </w:t>
      </w:r>
      <w:r w:rsidRPr="00DF2886">
        <w:rPr>
          <w:rFonts w:eastAsia="Times New Roman"/>
          <w:lang w:eastAsia="zh-CN"/>
        </w:rPr>
        <w:t>laws, policies and practice</w:t>
      </w:r>
      <w:r>
        <w:rPr>
          <w:rFonts w:eastAsia="Times New Roman"/>
          <w:lang w:eastAsia="zh-CN"/>
        </w:rPr>
        <w:t xml:space="preserve">s could lead to racial discrimination </w:t>
      </w:r>
      <w:r w:rsidRPr="00DF2886">
        <w:rPr>
          <w:rFonts w:eastAsia="Times New Roman"/>
          <w:lang w:eastAsia="zh-CN"/>
        </w:rPr>
        <w:t>at</w:t>
      </w:r>
      <w:r>
        <w:rPr>
          <w:rFonts w:eastAsia="Times New Roman"/>
          <w:lang w:eastAsia="zh-CN"/>
        </w:rPr>
        <w:t xml:space="preserve"> the</w:t>
      </w:r>
      <w:r w:rsidRPr="00DF2886">
        <w:rPr>
          <w:rFonts w:eastAsia="Times New Roman"/>
          <w:lang w:eastAsia="zh-CN"/>
        </w:rPr>
        <w:t xml:space="preserve"> individual and structural level</w:t>
      </w:r>
      <w:r>
        <w:rPr>
          <w:rFonts w:eastAsia="Times New Roman"/>
          <w:lang w:eastAsia="zh-CN"/>
        </w:rPr>
        <w:t>s.</w:t>
      </w:r>
      <w:r w:rsidRPr="00DF2886">
        <w:rPr>
          <w:rFonts w:eastAsia="Times New Roman"/>
          <w:lang w:eastAsia="zh-CN"/>
        </w:rPr>
        <w:t xml:space="preserve"> </w:t>
      </w:r>
      <w:r w:rsidR="009C3F41">
        <w:rPr>
          <w:rFonts w:eastAsia="Times New Roman"/>
          <w:lang w:eastAsia="zh-CN"/>
        </w:rPr>
        <w:t>It</w:t>
      </w:r>
      <w:r w:rsidRPr="00DF2886">
        <w:rPr>
          <w:rFonts w:eastAsia="Times New Roman"/>
          <w:lang w:eastAsia="zh-CN"/>
        </w:rPr>
        <w:t xml:space="preserve"> </w:t>
      </w:r>
      <w:r>
        <w:rPr>
          <w:rFonts w:eastAsia="Times New Roman"/>
          <w:lang w:eastAsia="zh-CN"/>
        </w:rPr>
        <w:t>took</w:t>
      </w:r>
      <w:r w:rsidRPr="00DF2886">
        <w:rPr>
          <w:rFonts w:eastAsia="Times New Roman"/>
          <w:lang w:eastAsia="zh-CN"/>
        </w:rPr>
        <w:t xml:space="preserve"> a holistic and intersectional approach </w:t>
      </w:r>
      <w:r>
        <w:rPr>
          <w:rFonts w:eastAsia="Times New Roman"/>
          <w:lang w:eastAsia="zh-CN"/>
        </w:rPr>
        <w:t>to</w:t>
      </w:r>
      <w:r w:rsidRPr="00DF2886">
        <w:rPr>
          <w:rFonts w:eastAsia="Times New Roman"/>
          <w:lang w:eastAsia="zh-CN"/>
        </w:rPr>
        <w:t xml:space="preserve"> the right to health</w:t>
      </w:r>
      <w:r>
        <w:rPr>
          <w:rFonts w:eastAsia="Times New Roman"/>
          <w:lang w:eastAsia="zh-CN"/>
        </w:rPr>
        <w:t>,</w:t>
      </w:r>
      <w:r w:rsidRPr="00DF2886">
        <w:rPr>
          <w:rFonts w:eastAsia="Times New Roman"/>
          <w:lang w:eastAsia="zh-CN"/>
        </w:rPr>
        <w:t xml:space="preserve"> encompassing </w:t>
      </w:r>
      <w:r>
        <w:rPr>
          <w:rFonts w:eastAsia="Times New Roman"/>
          <w:lang w:eastAsia="zh-CN"/>
        </w:rPr>
        <w:t>dimensions such as</w:t>
      </w:r>
      <w:r w:rsidRPr="00DF2886">
        <w:rPr>
          <w:rFonts w:eastAsia="Times New Roman"/>
          <w:lang w:eastAsia="zh-CN"/>
        </w:rPr>
        <w:t xml:space="preserve"> prevention and protection against vulnerabilities and inequalities in key determinants of health</w:t>
      </w:r>
      <w:r>
        <w:rPr>
          <w:rFonts w:eastAsia="Times New Roman"/>
          <w:lang w:eastAsia="zh-CN"/>
        </w:rPr>
        <w:t>;</w:t>
      </w:r>
      <w:r w:rsidRPr="00DF2886">
        <w:rPr>
          <w:rFonts w:eastAsia="Times New Roman"/>
          <w:lang w:eastAsia="zh-CN"/>
        </w:rPr>
        <w:t xml:space="preserve"> the right to bodily autonomy and physical integrity</w:t>
      </w:r>
      <w:r>
        <w:rPr>
          <w:rFonts w:eastAsia="Times New Roman"/>
          <w:lang w:eastAsia="zh-CN"/>
        </w:rPr>
        <w:t>;</w:t>
      </w:r>
      <w:r w:rsidRPr="00DF2886">
        <w:rPr>
          <w:rFonts w:eastAsia="Times New Roman"/>
          <w:lang w:eastAsia="zh-CN"/>
        </w:rPr>
        <w:t xml:space="preserve"> and the right to a system of health protection</w:t>
      </w:r>
      <w:r>
        <w:rPr>
          <w:rFonts w:eastAsia="Times New Roman"/>
          <w:lang w:eastAsia="zh-CN"/>
        </w:rPr>
        <w:t>,</w:t>
      </w:r>
      <w:r w:rsidRPr="00DF2886">
        <w:rPr>
          <w:rFonts w:eastAsia="Times New Roman"/>
          <w:lang w:eastAsia="zh-CN"/>
        </w:rPr>
        <w:t xml:space="preserve"> including entitlements to public health </w:t>
      </w:r>
      <w:r>
        <w:rPr>
          <w:rFonts w:eastAsia="Times New Roman"/>
          <w:lang w:eastAsia="zh-CN"/>
        </w:rPr>
        <w:t>and</w:t>
      </w:r>
      <w:r w:rsidRPr="00DF2886">
        <w:rPr>
          <w:rFonts w:eastAsia="Times New Roman"/>
          <w:lang w:eastAsia="zh-CN"/>
        </w:rPr>
        <w:t xml:space="preserve"> </w:t>
      </w:r>
      <w:r>
        <w:rPr>
          <w:rFonts w:eastAsia="Times New Roman"/>
          <w:lang w:eastAsia="zh-CN"/>
        </w:rPr>
        <w:t xml:space="preserve">to </w:t>
      </w:r>
      <w:r w:rsidRPr="00DF2886">
        <w:rPr>
          <w:rFonts w:eastAsia="Times New Roman"/>
          <w:lang w:eastAsia="zh-CN"/>
        </w:rPr>
        <w:t>healt</w:t>
      </w:r>
      <w:r>
        <w:rPr>
          <w:rFonts w:eastAsia="Times New Roman"/>
          <w:lang w:eastAsia="zh-CN"/>
        </w:rPr>
        <w:t>h</w:t>
      </w:r>
      <w:r w:rsidRPr="00DF2886">
        <w:rPr>
          <w:rFonts w:eastAsia="Times New Roman"/>
          <w:lang w:eastAsia="zh-CN"/>
        </w:rPr>
        <w:t xml:space="preserve"> facilities, services and goods. </w:t>
      </w:r>
      <w:r>
        <w:rPr>
          <w:rFonts w:eastAsia="Times New Roman"/>
          <w:lang w:eastAsia="zh-CN"/>
        </w:rPr>
        <w:t>The draft general recommendation</w:t>
      </w:r>
      <w:r w:rsidRPr="00DF2886">
        <w:rPr>
          <w:rFonts w:eastAsia="Times New Roman"/>
          <w:lang w:eastAsia="zh-CN"/>
        </w:rPr>
        <w:t xml:space="preserve"> </w:t>
      </w:r>
      <w:r>
        <w:rPr>
          <w:rFonts w:eastAsia="Times New Roman"/>
          <w:lang w:eastAsia="zh-CN"/>
        </w:rPr>
        <w:t xml:space="preserve">also drew attention to </w:t>
      </w:r>
      <w:r w:rsidRPr="00DF2886">
        <w:rPr>
          <w:rFonts w:eastAsia="Times New Roman"/>
          <w:lang w:eastAsia="zh-CN"/>
        </w:rPr>
        <w:t>the right to privacy and confidentiality</w:t>
      </w:r>
      <w:r>
        <w:rPr>
          <w:rFonts w:eastAsia="Times New Roman"/>
          <w:lang w:eastAsia="zh-CN"/>
        </w:rPr>
        <w:t>,</w:t>
      </w:r>
      <w:r w:rsidRPr="00DF2886">
        <w:rPr>
          <w:rFonts w:eastAsia="Times New Roman"/>
          <w:lang w:eastAsia="zh-CN"/>
        </w:rPr>
        <w:t xml:space="preserve"> the right to participation in health-related decision</w:t>
      </w:r>
      <w:r>
        <w:rPr>
          <w:rFonts w:eastAsia="Times New Roman"/>
          <w:lang w:eastAsia="zh-CN"/>
        </w:rPr>
        <w:t>-</w:t>
      </w:r>
      <w:r w:rsidRPr="00DF2886">
        <w:rPr>
          <w:rFonts w:eastAsia="Times New Roman"/>
          <w:lang w:eastAsia="zh-CN"/>
        </w:rPr>
        <w:t xml:space="preserve">making at the community, national and international levels and the right to an effective remedy and reparation for any </w:t>
      </w:r>
      <w:r>
        <w:rPr>
          <w:rFonts w:eastAsia="Times New Roman"/>
          <w:lang w:eastAsia="zh-CN"/>
        </w:rPr>
        <w:t>harm</w:t>
      </w:r>
      <w:r w:rsidRPr="00DF2886">
        <w:rPr>
          <w:rFonts w:eastAsia="Times New Roman"/>
          <w:lang w:eastAsia="zh-CN"/>
        </w:rPr>
        <w:t xml:space="preserve"> suffered as a result of racial discrimination. </w:t>
      </w:r>
    </w:p>
    <w:p w14:paraId="7DFFFF17" w14:textId="77777777" w:rsidR="00C448CC" w:rsidRDefault="00C448CC" w:rsidP="002F100B">
      <w:pPr>
        <w:pStyle w:val="ParaNoG"/>
        <w:rPr>
          <w:rFonts w:eastAsia="Times New Roman"/>
          <w:lang w:eastAsia="zh-CN"/>
        </w:rPr>
      </w:pPr>
      <w:r>
        <w:rPr>
          <w:rFonts w:eastAsia="Times New Roman"/>
          <w:lang w:eastAsia="zh-CN"/>
        </w:rPr>
        <w:t>In the text, the Committee advocated various measures to ensure the equal</w:t>
      </w:r>
      <w:r w:rsidRPr="00DF2886">
        <w:rPr>
          <w:rFonts w:eastAsia="Times New Roman"/>
          <w:lang w:eastAsia="zh-CN"/>
        </w:rPr>
        <w:t xml:space="preserve"> enjoyment of the right to health</w:t>
      </w:r>
      <w:r>
        <w:rPr>
          <w:rFonts w:eastAsia="Times New Roman"/>
          <w:lang w:eastAsia="zh-CN"/>
        </w:rPr>
        <w:t>. For example, States should adopt special measures for disadvantaged groups; prevent harmful practices by private actors; and mitigate and provide reparation for harm. States should develop inclusive</w:t>
      </w:r>
      <w:r w:rsidRPr="00DF2886">
        <w:rPr>
          <w:rFonts w:eastAsia="Times New Roman"/>
          <w:lang w:eastAsia="zh-CN"/>
        </w:rPr>
        <w:t xml:space="preserve"> </w:t>
      </w:r>
      <w:r>
        <w:rPr>
          <w:rFonts w:eastAsia="Times New Roman"/>
          <w:lang w:eastAsia="zh-CN"/>
        </w:rPr>
        <w:t xml:space="preserve">public </w:t>
      </w:r>
      <w:r w:rsidRPr="00DF2886">
        <w:rPr>
          <w:rFonts w:eastAsia="Times New Roman"/>
          <w:lang w:eastAsia="zh-CN"/>
        </w:rPr>
        <w:t>health system</w:t>
      </w:r>
      <w:r>
        <w:rPr>
          <w:rFonts w:eastAsia="Times New Roman"/>
          <w:lang w:eastAsia="zh-CN"/>
        </w:rPr>
        <w:t>s</w:t>
      </w:r>
      <w:r w:rsidRPr="00DF2886">
        <w:rPr>
          <w:rFonts w:eastAsia="Times New Roman"/>
          <w:lang w:eastAsia="zh-CN"/>
        </w:rPr>
        <w:t>,</w:t>
      </w:r>
      <w:r>
        <w:rPr>
          <w:rFonts w:eastAsia="Times New Roman"/>
          <w:lang w:eastAsia="zh-CN"/>
        </w:rPr>
        <w:t xml:space="preserve"> accompanied by</w:t>
      </w:r>
      <w:r w:rsidRPr="00DF2886">
        <w:rPr>
          <w:rFonts w:eastAsia="Times New Roman"/>
          <w:lang w:eastAsia="zh-CN"/>
        </w:rPr>
        <w:t xml:space="preserve"> targeted training, public education, monitoring tools</w:t>
      </w:r>
      <w:r>
        <w:rPr>
          <w:rFonts w:eastAsia="Times New Roman"/>
          <w:lang w:eastAsia="zh-CN"/>
        </w:rPr>
        <w:t xml:space="preserve"> and the</w:t>
      </w:r>
      <w:r w:rsidRPr="00DF2886">
        <w:rPr>
          <w:rFonts w:eastAsia="Times New Roman"/>
          <w:lang w:eastAsia="zh-CN"/>
        </w:rPr>
        <w:t xml:space="preserve"> representation and participation of affected communities at all levels.</w:t>
      </w:r>
      <w:r>
        <w:rPr>
          <w:rFonts w:eastAsia="Times New Roman"/>
          <w:lang w:eastAsia="zh-CN"/>
        </w:rPr>
        <w:t xml:space="preserve"> They should ensure that health authorities refrained from </w:t>
      </w:r>
      <w:r w:rsidRPr="00DF2886">
        <w:rPr>
          <w:rFonts w:eastAsia="Times New Roman"/>
          <w:lang w:eastAsia="zh-CN"/>
        </w:rPr>
        <w:t>stigmatization, incitement</w:t>
      </w:r>
      <w:r>
        <w:rPr>
          <w:rFonts w:eastAsia="Times New Roman"/>
          <w:lang w:eastAsia="zh-CN"/>
        </w:rPr>
        <w:t xml:space="preserve"> to racial</w:t>
      </w:r>
      <w:r w:rsidRPr="00DF2886">
        <w:rPr>
          <w:rFonts w:eastAsia="Times New Roman"/>
          <w:lang w:eastAsia="zh-CN"/>
        </w:rPr>
        <w:t xml:space="preserve"> hatred and acts of discrimination against</w:t>
      </w:r>
      <w:r>
        <w:rPr>
          <w:rFonts w:eastAsia="Times New Roman"/>
          <w:lang w:eastAsia="zh-CN"/>
        </w:rPr>
        <w:t xml:space="preserve"> protected</w:t>
      </w:r>
      <w:r w:rsidRPr="00DF2886">
        <w:rPr>
          <w:rFonts w:eastAsia="Times New Roman"/>
          <w:lang w:eastAsia="zh-CN"/>
        </w:rPr>
        <w:t xml:space="preserve"> individuals and groups. </w:t>
      </w:r>
      <w:r>
        <w:rPr>
          <w:rFonts w:eastAsia="Times New Roman"/>
          <w:lang w:eastAsia="zh-CN"/>
        </w:rPr>
        <w:t>Public awareness</w:t>
      </w:r>
      <w:r w:rsidRPr="00DF2886">
        <w:rPr>
          <w:rFonts w:eastAsia="Times New Roman"/>
          <w:lang w:eastAsia="zh-CN"/>
        </w:rPr>
        <w:t xml:space="preserve"> and education</w:t>
      </w:r>
      <w:r>
        <w:rPr>
          <w:rFonts w:eastAsia="Times New Roman"/>
          <w:lang w:eastAsia="zh-CN"/>
        </w:rPr>
        <w:t xml:space="preserve"> measures, based on article 7 of the Convention,</w:t>
      </w:r>
      <w:r w:rsidRPr="00DF2886">
        <w:rPr>
          <w:rFonts w:eastAsia="Times New Roman"/>
          <w:lang w:eastAsia="zh-CN"/>
        </w:rPr>
        <w:t xml:space="preserve"> </w:t>
      </w:r>
      <w:r>
        <w:rPr>
          <w:rFonts w:eastAsia="Times New Roman"/>
          <w:lang w:eastAsia="zh-CN"/>
        </w:rPr>
        <w:t xml:space="preserve">might be taken </w:t>
      </w:r>
      <w:r w:rsidRPr="00DF2886">
        <w:rPr>
          <w:rFonts w:eastAsia="Times New Roman"/>
          <w:lang w:eastAsia="zh-CN"/>
        </w:rPr>
        <w:t xml:space="preserve">with a view to combating prejudice and stereotypes. </w:t>
      </w:r>
    </w:p>
    <w:p w14:paraId="60EA2298" w14:textId="77777777" w:rsidR="00C448CC" w:rsidRDefault="00C448CC" w:rsidP="002F100B">
      <w:pPr>
        <w:pStyle w:val="ParaNoG"/>
        <w:rPr>
          <w:rFonts w:eastAsia="Times New Roman"/>
          <w:lang w:eastAsia="zh-CN"/>
        </w:rPr>
      </w:pPr>
      <w:r>
        <w:rPr>
          <w:rFonts w:eastAsia="Times New Roman"/>
          <w:lang w:eastAsia="zh-CN"/>
        </w:rPr>
        <w:t>The</w:t>
      </w:r>
      <w:r w:rsidRPr="00DF2886">
        <w:rPr>
          <w:rFonts w:eastAsia="Times New Roman"/>
          <w:lang w:eastAsia="zh-CN"/>
        </w:rPr>
        <w:t xml:space="preserve"> general recommendation</w:t>
      </w:r>
      <w:r>
        <w:rPr>
          <w:rFonts w:eastAsia="Times New Roman"/>
          <w:lang w:eastAsia="zh-CN"/>
        </w:rPr>
        <w:t xml:space="preserve"> made clear that States parties should be in position to </w:t>
      </w:r>
      <w:r w:rsidRPr="00DF2886">
        <w:rPr>
          <w:rFonts w:eastAsia="Times New Roman"/>
          <w:lang w:eastAsia="zh-CN"/>
        </w:rPr>
        <w:t>measur</w:t>
      </w:r>
      <w:r>
        <w:rPr>
          <w:rFonts w:eastAsia="Times New Roman"/>
          <w:lang w:eastAsia="zh-CN"/>
        </w:rPr>
        <w:t xml:space="preserve">e </w:t>
      </w:r>
      <w:r w:rsidRPr="00DF2886">
        <w:rPr>
          <w:rFonts w:eastAsia="Times New Roman"/>
          <w:lang w:eastAsia="zh-CN"/>
        </w:rPr>
        <w:t>the impact of racial discrimination, identify</w:t>
      </w:r>
      <w:r>
        <w:rPr>
          <w:rFonts w:eastAsia="Times New Roman"/>
          <w:lang w:eastAsia="zh-CN"/>
        </w:rPr>
        <w:t xml:space="preserve"> </w:t>
      </w:r>
      <w:r w:rsidRPr="00DF2886">
        <w:rPr>
          <w:rFonts w:eastAsia="Times New Roman"/>
          <w:lang w:eastAsia="zh-CN"/>
        </w:rPr>
        <w:t>quantitative and qualitative trends and</w:t>
      </w:r>
      <w:r>
        <w:rPr>
          <w:rFonts w:eastAsia="Times New Roman"/>
          <w:lang w:eastAsia="zh-CN"/>
        </w:rPr>
        <w:t xml:space="preserve"> </w:t>
      </w:r>
      <w:r w:rsidRPr="00DF2886">
        <w:rPr>
          <w:rFonts w:eastAsia="Times New Roman"/>
          <w:lang w:eastAsia="zh-CN"/>
        </w:rPr>
        <w:t xml:space="preserve">adopt </w:t>
      </w:r>
      <w:r>
        <w:rPr>
          <w:rFonts w:eastAsia="Times New Roman"/>
          <w:lang w:eastAsia="zh-CN"/>
        </w:rPr>
        <w:t>specific measures within a broader policy framework.</w:t>
      </w:r>
      <w:r w:rsidRPr="00DF2886">
        <w:rPr>
          <w:rFonts w:eastAsia="Times New Roman"/>
          <w:lang w:eastAsia="zh-CN"/>
        </w:rPr>
        <w:t xml:space="preserve"> </w:t>
      </w:r>
      <w:r>
        <w:rPr>
          <w:rFonts w:eastAsia="Times New Roman"/>
          <w:lang w:eastAsia="zh-CN"/>
        </w:rPr>
        <w:t>The Committee hoped that the text would</w:t>
      </w:r>
      <w:r w:rsidRPr="00DF2886">
        <w:rPr>
          <w:rFonts w:eastAsia="Times New Roman"/>
          <w:lang w:eastAsia="zh-CN"/>
        </w:rPr>
        <w:t xml:space="preserve"> enhance the impact of the Convention at</w:t>
      </w:r>
      <w:r>
        <w:rPr>
          <w:rFonts w:eastAsia="Times New Roman"/>
          <w:lang w:eastAsia="zh-CN"/>
        </w:rPr>
        <w:t xml:space="preserve"> the</w:t>
      </w:r>
      <w:r w:rsidRPr="00DF2886">
        <w:rPr>
          <w:rFonts w:eastAsia="Times New Roman"/>
          <w:lang w:eastAsia="zh-CN"/>
        </w:rPr>
        <w:t xml:space="preserve"> national level as </w:t>
      </w:r>
      <w:r>
        <w:rPr>
          <w:rFonts w:eastAsia="Times New Roman"/>
          <w:lang w:eastAsia="zh-CN"/>
        </w:rPr>
        <w:t>a</w:t>
      </w:r>
      <w:r w:rsidRPr="00DF2886">
        <w:rPr>
          <w:rFonts w:eastAsia="Times New Roman"/>
          <w:lang w:eastAsia="zh-CN"/>
        </w:rPr>
        <w:t xml:space="preserve"> global instrument </w:t>
      </w:r>
      <w:r>
        <w:rPr>
          <w:rFonts w:eastAsia="Times New Roman"/>
          <w:lang w:eastAsia="zh-CN"/>
        </w:rPr>
        <w:t xml:space="preserve">for the </w:t>
      </w:r>
      <w:r w:rsidRPr="00DF2886">
        <w:rPr>
          <w:rFonts w:eastAsia="Times New Roman"/>
          <w:lang w:eastAsia="zh-CN"/>
        </w:rPr>
        <w:t>equitable, inclusive and effective enjoyment of the right</w:t>
      </w:r>
      <w:r>
        <w:rPr>
          <w:rFonts w:eastAsia="Times New Roman"/>
          <w:lang w:eastAsia="zh-CN"/>
        </w:rPr>
        <w:t xml:space="preserve"> </w:t>
      </w:r>
      <w:r w:rsidRPr="00DF2886">
        <w:rPr>
          <w:rFonts w:eastAsia="Times New Roman"/>
          <w:lang w:eastAsia="zh-CN"/>
        </w:rPr>
        <w:t xml:space="preserve">to </w:t>
      </w:r>
      <w:r>
        <w:rPr>
          <w:rFonts w:eastAsia="Times New Roman"/>
          <w:lang w:eastAsia="zh-CN"/>
        </w:rPr>
        <w:t>the</w:t>
      </w:r>
      <w:r w:rsidRPr="00DF2886">
        <w:rPr>
          <w:rFonts w:eastAsia="Times New Roman"/>
          <w:lang w:eastAsia="zh-CN"/>
        </w:rPr>
        <w:t xml:space="preserve"> highest attainable standard of physical and mental health.</w:t>
      </w:r>
      <w:r w:rsidRPr="009F6FBD">
        <w:rPr>
          <w:rFonts w:eastAsia="Times New Roman"/>
          <w:lang w:eastAsia="zh-CN"/>
        </w:rPr>
        <w:t xml:space="preserve"> </w:t>
      </w:r>
    </w:p>
    <w:p w14:paraId="113E0A32" w14:textId="77777777" w:rsidR="00C448CC" w:rsidRPr="00E12302" w:rsidRDefault="00C448CC" w:rsidP="002F100B">
      <w:pPr>
        <w:pStyle w:val="ParaNoG"/>
      </w:pPr>
      <w:r w:rsidRPr="00D11482">
        <w:rPr>
          <w:i/>
          <w:iCs/>
        </w:rPr>
        <w:t>Draft general recommendation No. 37</w:t>
      </w:r>
      <w:r>
        <w:rPr>
          <w:i/>
          <w:iCs/>
        </w:rPr>
        <w:t xml:space="preserve"> on racial discrimination in the enjoyment of the right to health, as a whole, as amended,</w:t>
      </w:r>
      <w:r w:rsidRPr="00D11482">
        <w:rPr>
          <w:i/>
          <w:iCs/>
        </w:rPr>
        <w:t xml:space="preserve"> was adopted.</w:t>
      </w:r>
    </w:p>
    <w:p w14:paraId="1419E600" w14:textId="77777777" w:rsidR="00C448CC" w:rsidRDefault="00C448CC" w:rsidP="002F100B">
      <w:pPr>
        <w:pStyle w:val="ParaNoG"/>
      </w:pPr>
      <w:r>
        <w:rPr>
          <w:b/>
          <w:bCs/>
        </w:rPr>
        <w:t>Ms. Shepherd</w:t>
      </w:r>
      <w:r>
        <w:t xml:space="preserve"> said that the Committee had learned during the coronavirus disease (COVID-19) pandemic how racial discrimination could influence health outcomes. In the light of ongoing global health challenges, she hoped that States would be guided by the general recommendation in protecting vulnerable groups. </w:t>
      </w:r>
    </w:p>
    <w:p w14:paraId="40994C91" w14:textId="77777777" w:rsidR="00C448CC" w:rsidRDefault="00C448CC" w:rsidP="002F100B">
      <w:pPr>
        <w:pStyle w:val="ParaNoG"/>
      </w:pPr>
      <w:r w:rsidRPr="00D11482">
        <w:rPr>
          <w:b/>
          <w:bCs/>
        </w:rPr>
        <w:t>Mr. Yeung Sik Yuen</w:t>
      </w:r>
      <w:r>
        <w:t xml:space="preserve">, welcoming the adoption of the general recommendation, said that the next step was to ensure its relevance and effectiveness. He was hopeful that, in the </w:t>
      </w:r>
      <w:r>
        <w:lastRenderedPageBreak/>
        <w:t>years to come, the Committee would refer often to the general recommendation in its concluding observations.</w:t>
      </w:r>
    </w:p>
    <w:p w14:paraId="541B23DA" w14:textId="24037BBB" w:rsidR="00C448CC" w:rsidRDefault="00C448CC" w:rsidP="002F100B">
      <w:pPr>
        <w:pStyle w:val="ParaNoG"/>
        <w:rPr>
          <w:rFonts w:eastAsia="Times New Roman"/>
          <w:lang w:eastAsia="zh-CN"/>
        </w:rPr>
      </w:pPr>
      <w:r w:rsidRPr="00E0248E">
        <w:rPr>
          <w:b/>
          <w:bCs/>
        </w:rPr>
        <w:t xml:space="preserve">Mr. Amir </w:t>
      </w:r>
      <w:r w:rsidRPr="00E0248E">
        <w:t>said that</w:t>
      </w:r>
      <w:r>
        <w:t xml:space="preserve"> </w:t>
      </w:r>
      <w:r w:rsidRPr="00E0248E">
        <w:t xml:space="preserve">all </w:t>
      </w:r>
      <w:r>
        <w:t>persons in need of protection under the Convention should be grateful for the adoption of the general recommendation as an additional tool for the defence of their rights.</w:t>
      </w:r>
      <w:r w:rsidRPr="00BF620C">
        <w:t xml:space="preserve"> </w:t>
      </w:r>
      <w:r w:rsidRPr="00B77C26">
        <w:rPr>
          <w:rFonts w:eastAsia="Times New Roman"/>
          <w:lang w:eastAsia="zh-CN"/>
        </w:rPr>
        <w:t xml:space="preserve">The general recommendation was </w:t>
      </w:r>
      <w:r>
        <w:rPr>
          <w:rFonts w:eastAsia="Times New Roman"/>
          <w:lang w:eastAsia="zh-CN"/>
        </w:rPr>
        <w:t xml:space="preserve">particularly important </w:t>
      </w:r>
      <w:r w:rsidRPr="00B77C26">
        <w:rPr>
          <w:rFonts w:eastAsia="Times New Roman"/>
          <w:lang w:eastAsia="zh-CN"/>
        </w:rPr>
        <w:t xml:space="preserve">for </w:t>
      </w:r>
      <w:r>
        <w:rPr>
          <w:rFonts w:eastAsia="Times New Roman"/>
          <w:lang w:eastAsia="zh-CN"/>
        </w:rPr>
        <w:t>people in war</w:t>
      </w:r>
      <w:r w:rsidR="00625F32">
        <w:rPr>
          <w:rFonts w:eastAsia="Times New Roman"/>
          <w:lang w:eastAsia="zh-CN"/>
        </w:rPr>
        <w:noBreakHyphen/>
      </w:r>
      <w:r>
        <w:rPr>
          <w:rFonts w:eastAsia="Times New Roman"/>
          <w:lang w:eastAsia="zh-CN"/>
        </w:rPr>
        <w:t xml:space="preserve">torn </w:t>
      </w:r>
      <w:r w:rsidRPr="00B77C26">
        <w:rPr>
          <w:rFonts w:eastAsia="Times New Roman"/>
          <w:lang w:eastAsia="zh-CN"/>
        </w:rPr>
        <w:t>countries</w:t>
      </w:r>
      <w:r w:rsidR="00E76554">
        <w:rPr>
          <w:rFonts w:eastAsia="Times New Roman"/>
          <w:lang w:eastAsia="zh-CN"/>
        </w:rPr>
        <w:t>,</w:t>
      </w:r>
      <w:r w:rsidRPr="00B77C26">
        <w:rPr>
          <w:rFonts w:eastAsia="Times New Roman"/>
          <w:lang w:eastAsia="zh-CN"/>
        </w:rPr>
        <w:t xml:space="preserve"> who were</w:t>
      </w:r>
      <w:r>
        <w:rPr>
          <w:rFonts w:eastAsia="Times New Roman"/>
          <w:lang w:eastAsia="zh-CN"/>
        </w:rPr>
        <w:t xml:space="preserve"> sometimes </w:t>
      </w:r>
      <w:r w:rsidRPr="00B77C26">
        <w:rPr>
          <w:rFonts w:eastAsia="Times New Roman"/>
          <w:lang w:eastAsia="zh-CN"/>
        </w:rPr>
        <w:t>de</w:t>
      </w:r>
      <w:r>
        <w:rPr>
          <w:rFonts w:eastAsia="Times New Roman"/>
          <w:lang w:eastAsia="zh-CN"/>
        </w:rPr>
        <w:t>prived of</w:t>
      </w:r>
      <w:r w:rsidRPr="00B77C26">
        <w:rPr>
          <w:rFonts w:eastAsia="Times New Roman"/>
          <w:lang w:eastAsia="zh-CN"/>
        </w:rPr>
        <w:t xml:space="preserve"> the</w:t>
      </w:r>
      <w:r>
        <w:rPr>
          <w:rFonts w:eastAsia="Times New Roman"/>
          <w:lang w:eastAsia="zh-CN"/>
        </w:rPr>
        <w:t>ir</w:t>
      </w:r>
      <w:r w:rsidRPr="00B77C26">
        <w:rPr>
          <w:rFonts w:eastAsia="Times New Roman"/>
          <w:lang w:eastAsia="zh-CN"/>
        </w:rPr>
        <w:t xml:space="preserve"> right to health and </w:t>
      </w:r>
      <w:r w:rsidR="00E76554">
        <w:rPr>
          <w:rFonts w:eastAsia="Times New Roman"/>
          <w:lang w:eastAsia="zh-CN"/>
        </w:rPr>
        <w:t xml:space="preserve">even </w:t>
      </w:r>
      <w:r w:rsidRPr="00B77C26">
        <w:rPr>
          <w:rFonts w:eastAsia="Times New Roman"/>
          <w:lang w:eastAsia="zh-CN"/>
        </w:rPr>
        <w:t>the</w:t>
      </w:r>
      <w:r>
        <w:rPr>
          <w:rFonts w:eastAsia="Times New Roman"/>
          <w:lang w:eastAsia="zh-CN"/>
        </w:rPr>
        <w:t>ir</w:t>
      </w:r>
      <w:r w:rsidRPr="00B77C26">
        <w:rPr>
          <w:rFonts w:eastAsia="Times New Roman"/>
          <w:lang w:eastAsia="zh-CN"/>
        </w:rPr>
        <w:t xml:space="preserve"> right to life.</w:t>
      </w:r>
    </w:p>
    <w:p w14:paraId="303B3F7B" w14:textId="77777777" w:rsidR="00C448CC" w:rsidRPr="004F3413" w:rsidRDefault="00C448CC" w:rsidP="002F100B">
      <w:pPr>
        <w:pStyle w:val="ParaNoG"/>
        <w:rPr>
          <w:rFonts w:eastAsia="Times New Roman"/>
          <w:lang w:eastAsia="zh-CN"/>
        </w:rPr>
      </w:pPr>
      <w:r w:rsidRPr="00342CAB">
        <w:rPr>
          <w:b/>
          <w:bCs/>
        </w:rPr>
        <w:t>Mr. Guissé</w:t>
      </w:r>
      <w:r w:rsidRPr="00342CAB">
        <w:rPr>
          <w:rStyle w:val="Heading1Char"/>
        </w:rPr>
        <w:t xml:space="preserve"> </w:t>
      </w:r>
      <w:r w:rsidRPr="00ED7614">
        <w:rPr>
          <w:rStyle w:val="Heading1Char"/>
        </w:rPr>
        <w:t>said that</w:t>
      </w:r>
      <w:r w:rsidRPr="00342CAB">
        <w:rPr>
          <w:rFonts w:eastAsia="Times New Roman"/>
          <w:lang w:eastAsia="zh-CN"/>
        </w:rPr>
        <w:t xml:space="preserve"> </w:t>
      </w:r>
      <w:r>
        <w:rPr>
          <w:rFonts w:eastAsia="Times New Roman"/>
          <w:lang w:eastAsia="zh-CN"/>
        </w:rPr>
        <w:t>the right to</w:t>
      </w:r>
      <w:r w:rsidRPr="00342CAB">
        <w:rPr>
          <w:rFonts w:eastAsia="Times New Roman"/>
          <w:lang w:eastAsia="zh-CN"/>
        </w:rPr>
        <w:t xml:space="preserve"> health</w:t>
      </w:r>
      <w:r>
        <w:rPr>
          <w:rFonts w:eastAsia="Times New Roman"/>
          <w:lang w:eastAsia="zh-CN"/>
        </w:rPr>
        <w:t xml:space="preserve"> </w:t>
      </w:r>
      <w:r w:rsidRPr="00342CAB">
        <w:rPr>
          <w:rFonts w:eastAsia="Times New Roman"/>
          <w:lang w:eastAsia="zh-CN"/>
        </w:rPr>
        <w:t xml:space="preserve">touched upon many areas of life </w:t>
      </w:r>
      <w:r>
        <w:rPr>
          <w:rFonts w:eastAsia="Times New Roman"/>
          <w:lang w:eastAsia="zh-CN"/>
        </w:rPr>
        <w:t>and was central to</w:t>
      </w:r>
      <w:r w:rsidRPr="00342CAB">
        <w:rPr>
          <w:rFonts w:eastAsia="Times New Roman"/>
          <w:lang w:eastAsia="zh-CN"/>
        </w:rPr>
        <w:t xml:space="preserve"> sustainable development. </w:t>
      </w:r>
      <w:r>
        <w:rPr>
          <w:rFonts w:eastAsia="Times New Roman"/>
          <w:lang w:eastAsia="zh-CN"/>
        </w:rPr>
        <w:t xml:space="preserve">The Committee </w:t>
      </w:r>
      <w:r w:rsidRPr="00342CAB">
        <w:rPr>
          <w:rFonts w:eastAsia="Times New Roman"/>
          <w:lang w:eastAsia="zh-CN"/>
        </w:rPr>
        <w:t xml:space="preserve">should </w:t>
      </w:r>
      <w:r>
        <w:rPr>
          <w:rFonts w:eastAsia="Times New Roman"/>
          <w:lang w:eastAsia="zh-CN"/>
        </w:rPr>
        <w:t>s</w:t>
      </w:r>
      <w:r w:rsidRPr="00342CAB">
        <w:rPr>
          <w:rFonts w:eastAsia="Times New Roman"/>
          <w:lang w:eastAsia="zh-CN"/>
        </w:rPr>
        <w:t>e</w:t>
      </w:r>
      <w:r>
        <w:rPr>
          <w:rFonts w:eastAsia="Times New Roman"/>
          <w:lang w:eastAsia="zh-CN"/>
        </w:rPr>
        <w:t>ek to strengthen</w:t>
      </w:r>
      <w:r w:rsidRPr="00342CAB">
        <w:rPr>
          <w:rFonts w:eastAsia="Times New Roman"/>
          <w:lang w:eastAsia="zh-CN"/>
        </w:rPr>
        <w:t xml:space="preserve"> the</w:t>
      </w:r>
      <w:r>
        <w:rPr>
          <w:rFonts w:eastAsia="Times New Roman"/>
          <w:lang w:eastAsia="zh-CN"/>
        </w:rPr>
        <w:t xml:space="preserve"> impact of the</w:t>
      </w:r>
      <w:r w:rsidRPr="00342CAB">
        <w:rPr>
          <w:rFonts w:eastAsia="Times New Roman"/>
          <w:lang w:eastAsia="zh-CN"/>
        </w:rPr>
        <w:t xml:space="preserve"> general recommendation </w:t>
      </w:r>
      <w:r>
        <w:rPr>
          <w:rFonts w:eastAsia="Times New Roman"/>
          <w:lang w:eastAsia="zh-CN"/>
        </w:rPr>
        <w:t>through</w:t>
      </w:r>
      <w:r w:rsidRPr="00342CAB">
        <w:rPr>
          <w:rFonts w:eastAsia="Times New Roman"/>
          <w:lang w:eastAsia="zh-CN"/>
        </w:rPr>
        <w:t xml:space="preserve"> its</w:t>
      </w:r>
      <w:r>
        <w:rPr>
          <w:rFonts w:eastAsia="Times New Roman"/>
          <w:lang w:eastAsia="zh-CN"/>
        </w:rPr>
        <w:t xml:space="preserve"> work with States parties and its </w:t>
      </w:r>
      <w:r w:rsidRPr="00342CAB">
        <w:rPr>
          <w:rFonts w:eastAsia="Times New Roman"/>
          <w:lang w:eastAsia="zh-CN"/>
        </w:rPr>
        <w:t>interactions with the other treaty bodies</w:t>
      </w:r>
      <w:r>
        <w:rPr>
          <w:rFonts w:eastAsia="Times New Roman"/>
          <w:lang w:eastAsia="zh-CN"/>
        </w:rPr>
        <w:t>.</w:t>
      </w:r>
    </w:p>
    <w:p w14:paraId="6BFF30FD" w14:textId="77777777" w:rsidR="00C448CC" w:rsidRDefault="00C448CC" w:rsidP="002F100B">
      <w:pPr>
        <w:pStyle w:val="ParaNoG"/>
      </w:pPr>
      <w:r w:rsidRPr="00A4688F">
        <w:rPr>
          <w:b/>
          <w:bCs/>
        </w:rPr>
        <w:t>Ms. Tlakula</w:t>
      </w:r>
      <w:r>
        <w:t xml:space="preserve"> said that many countries, both in the global South and the global North, struggled to ensure the right to health, in particular for the poorest in society. She believed that the general recommendation would assist all States in their efforts to deliver universal health care.</w:t>
      </w:r>
    </w:p>
    <w:p w14:paraId="38075BE9" w14:textId="6E0E8AF2" w:rsidR="00C448CC" w:rsidRDefault="00C448CC" w:rsidP="002F100B">
      <w:pPr>
        <w:pStyle w:val="ParaNoG"/>
        <w:rPr>
          <w:rFonts w:eastAsia="Times New Roman"/>
          <w:lang w:eastAsia="zh-CN"/>
        </w:rPr>
      </w:pPr>
      <w:r w:rsidRPr="00EE5E91">
        <w:rPr>
          <w:b/>
          <w:bCs/>
        </w:rPr>
        <w:t>Ms</w:t>
      </w:r>
      <w:r w:rsidRPr="00C52653">
        <w:rPr>
          <w:b/>
          <w:bCs/>
        </w:rPr>
        <w:t>. Esseneme</w:t>
      </w:r>
      <w:r w:rsidRPr="00C52653">
        <w:rPr>
          <w:rFonts w:eastAsia="Times New Roman"/>
          <w:lang w:eastAsia="zh-CN"/>
        </w:rPr>
        <w:t xml:space="preserve"> said that one of the strengths of the general recommendation was that</w:t>
      </w:r>
      <w:r>
        <w:rPr>
          <w:rFonts w:eastAsia="Times New Roman"/>
          <w:lang w:eastAsia="zh-CN"/>
        </w:rPr>
        <w:t xml:space="preserve"> </w:t>
      </w:r>
      <w:r w:rsidRPr="00C52653">
        <w:rPr>
          <w:rFonts w:eastAsia="Times New Roman"/>
          <w:lang w:eastAsia="zh-CN"/>
        </w:rPr>
        <w:t>it took account of all of the world’s health system</w:t>
      </w:r>
      <w:r>
        <w:rPr>
          <w:rFonts w:eastAsia="Times New Roman"/>
          <w:lang w:eastAsia="zh-CN"/>
        </w:rPr>
        <w:t>s</w:t>
      </w:r>
      <w:r w:rsidRPr="00C52653">
        <w:rPr>
          <w:rFonts w:eastAsia="Times New Roman"/>
          <w:lang w:eastAsia="zh-CN"/>
        </w:rPr>
        <w:t>.</w:t>
      </w:r>
      <w:r>
        <w:rPr>
          <w:rFonts w:eastAsia="Times New Roman"/>
          <w:lang w:eastAsia="zh-CN"/>
        </w:rPr>
        <w:t xml:space="preserve"> </w:t>
      </w:r>
      <w:r w:rsidRPr="00C52653">
        <w:rPr>
          <w:rFonts w:eastAsia="Times New Roman"/>
          <w:lang w:eastAsia="zh-CN"/>
        </w:rPr>
        <w:t xml:space="preserve">She particularly welcomed the inclusion of language on </w:t>
      </w:r>
      <w:r>
        <w:rPr>
          <w:rFonts w:eastAsia="Times New Roman"/>
          <w:lang w:eastAsia="zh-CN"/>
        </w:rPr>
        <w:t xml:space="preserve">traditional healers, medicines and pharmacopoeia. </w:t>
      </w:r>
      <w:r w:rsidRPr="00AD7DB8">
        <w:rPr>
          <w:rFonts w:eastAsia="Times New Roman"/>
          <w:lang w:eastAsia="zh-CN"/>
        </w:rPr>
        <w:t>She encouraged the members of the Committee to disseminate the general recommendation as widely as possible in</w:t>
      </w:r>
      <w:r>
        <w:rPr>
          <w:rFonts w:eastAsia="Times New Roman"/>
          <w:lang w:eastAsia="zh-CN"/>
        </w:rPr>
        <w:t xml:space="preserve"> the course of</w:t>
      </w:r>
      <w:r w:rsidRPr="00AD7DB8">
        <w:rPr>
          <w:rFonts w:eastAsia="Times New Roman"/>
          <w:lang w:eastAsia="zh-CN"/>
        </w:rPr>
        <w:t xml:space="preserve"> their </w:t>
      </w:r>
      <w:r>
        <w:rPr>
          <w:rFonts w:eastAsia="Times New Roman"/>
          <w:lang w:eastAsia="zh-CN"/>
        </w:rPr>
        <w:t xml:space="preserve">professional activities </w:t>
      </w:r>
      <w:r w:rsidRPr="00AD7DB8">
        <w:rPr>
          <w:rFonts w:eastAsia="Times New Roman"/>
          <w:lang w:eastAsia="zh-CN"/>
        </w:rPr>
        <w:t xml:space="preserve">and in their countries of origin. </w:t>
      </w:r>
      <w:r>
        <w:rPr>
          <w:rFonts w:eastAsia="Times New Roman"/>
          <w:lang w:eastAsia="zh-CN"/>
        </w:rPr>
        <w:t>In her view, t</w:t>
      </w:r>
      <w:r w:rsidRPr="00C6319B">
        <w:rPr>
          <w:rFonts w:eastAsia="Times New Roman"/>
          <w:lang w:eastAsia="zh-CN"/>
        </w:rPr>
        <w:t xml:space="preserve">he general recommendation would be </w:t>
      </w:r>
      <w:r>
        <w:rPr>
          <w:rFonts w:eastAsia="Times New Roman"/>
          <w:lang w:eastAsia="zh-CN"/>
        </w:rPr>
        <w:t xml:space="preserve">particularly </w:t>
      </w:r>
      <w:r w:rsidRPr="00C6319B">
        <w:rPr>
          <w:rFonts w:eastAsia="Times New Roman"/>
          <w:lang w:eastAsia="zh-CN"/>
        </w:rPr>
        <w:t xml:space="preserve">useful for </w:t>
      </w:r>
      <w:r>
        <w:rPr>
          <w:rFonts w:eastAsia="Times New Roman"/>
          <w:lang w:eastAsia="zh-CN"/>
        </w:rPr>
        <w:t>evaluatin</w:t>
      </w:r>
      <w:r w:rsidR="00BA1071">
        <w:rPr>
          <w:rFonts w:eastAsia="Times New Roman"/>
          <w:lang w:eastAsia="zh-CN"/>
        </w:rPr>
        <w:t>g</w:t>
      </w:r>
      <w:r>
        <w:rPr>
          <w:rFonts w:eastAsia="Times New Roman"/>
          <w:lang w:eastAsia="zh-CN"/>
        </w:rPr>
        <w:t xml:space="preserve"> </w:t>
      </w:r>
      <w:r w:rsidRPr="00C6319B">
        <w:rPr>
          <w:rFonts w:eastAsia="Times New Roman"/>
          <w:lang w:eastAsia="zh-CN"/>
        </w:rPr>
        <w:t>States</w:t>
      </w:r>
      <w:r>
        <w:rPr>
          <w:rFonts w:eastAsia="Times New Roman"/>
          <w:lang w:eastAsia="zh-CN"/>
        </w:rPr>
        <w:t xml:space="preserve"> parties</w:t>
      </w:r>
      <w:r w:rsidRPr="00C6319B">
        <w:rPr>
          <w:rFonts w:eastAsia="Times New Roman"/>
          <w:lang w:eastAsia="zh-CN"/>
        </w:rPr>
        <w:t>’ implementation of article 5 of the Convention</w:t>
      </w:r>
      <w:r>
        <w:rPr>
          <w:rFonts w:eastAsia="Times New Roman"/>
          <w:lang w:eastAsia="zh-CN"/>
        </w:rPr>
        <w:t xml:space="preserve">; it would also be helpful for </w:t>
      </w:r>
      <w:r w:rsidRPr="00C6319B">
        <w:rPr>
          <w:rFonts w:eastAsia="Times New Roman"/>
          <w:lang w:eastAsia="zh-CN"/>
        </w:rPr>
        <w:t>the</w:t>
      </w:r>
      <w:r>
        <w:rPr>
          <w:rFonts w:eastAsia="Times New Roman"/>
          <w:lang w:eastAsia="zh-CN"/>
        </w:rPr>
        <w:t xml:space="preserve"> work of the</w:t>
      </w:r>
      <w:r w:rsidRPr="00C6319B">
        <w:rPr>
          <w:rFonts w:eastAsia="Times New Roman"/>
          <w:lang w:eastAsia="zh-CN"/>
        </w:rPr>
        <w:t xml:space="preserve"> Committee on Economic, Social and Cultural Rights</w:t>
      </w:r>
      <w:r>
        <w:rPr>
          <w:rFonts w:eastAsia="Times New Roman"/>
          <w:lang w:eastAsia="zh-CN"/>
        </w:rPr>
        <w:t>.</w:t>
      </w:r>
    </w:p>
    <w:p w14:paraId="0D5DD92E" w14:textId="77777777" w:rsidR="00C448CC" w:rsidRDefault="00C448CC" w:rsidP="002F100B">
      <w:pPr>
        <w:pStyle w:val="ParaNoG"/>
      </w:pPr>
      <w:r w:rsidRPr="00416753">
        <w:rPr>
          <w:b/>
          <w:bCs/>
        </w:rPr>
        <w:t>Mr. Diaby</w:t>
      </w:r>
      <w:r w:rsidRPr="00416753">
        <w:t xml:space="preserve"> said </w:t>
      </w:r>
      <w:r>
        <w:t>that the general recommendation took into account several proposals that had been made</w:t>
      </w:r>
      <w:r w:rsidRPr="00416753">
        <w:t xml:space="preserve"> during the regional consultation with stakeholders from Latin America</w:t>
      </w:r>
      <w:r>
        <w:t xml:space="preserve">, in particular language on traditional medicines and the protection of </w:t>
      </w:r>
      <w:r w:rsidRPr="00416753">
        <w:t xml:space="preserve">Indigenous Peoples and people of African descent. </w:t>
      </w:r>
      <w:r>
        <w:t>All</w:t>
      </w:r>
      <w:r w:rsidRPr="00416753">
        <w:t xml:space="preserve"> stakeholders</w:t>
      </w:r>
      <w:r>
        <w:t xml:space="preserve"> should be encouraged</w:t>
      </w:r>
      <w:r w:rsidRPr="00416753">
        <w:t xml:space="preserve"> to take ownership of the general recommendation. </w:t>
      </w:r>
    </w:p>
    <w:p w14:paraId="646183E3" w14:textId="77777777" w:rsidR="00C448CC" w:rsidRPr="003B1CFB" w:rsidRDefault="00C448CC" w:rsidP="002F100B">
      <w:pPr>
        <w:pStyle w:val="ParaNoG"/>
      </w:pPr>
      <w:r w:rsidRPr="00CF32EA">
        <w:rPr>
          <w:b/>
          <w:bCs/>
        </w:rPr>
        <w:t>Ms. Chung</w:t>
      </w:r>
      <w:r>
        <w:t xml:space="preserve"> said that the Committee and other treaty bodies should draw attention to the general recommendation during the review of State party reports</w:t>
      </w:r>
      <w:r w:rsidRPr="003B1CFB">
        <w:t>.</w:t>
      </w:r>
    </w:p>
    <w:p w14:paraId="0C0D94ED" w14:textId="77777777" w:rsidR="00C448CC" w:rsidRDefault="00C448CC" w:rsidP="002F100B">
      <w:pPr>
        <w:pStyle w:val="ParaNoG"/>
      </w:pPr>
      <w:r w:rsidRPr="00E70089">
        <w:rPr>
          <w:b/>
          <w:bCs/>
        </w:rPr>
        <w:t>The Chair</w:t>
      </w:r>
      <w:r w:rsidRPr="00B1221E">
        <w:t xml:space="preserve"> said</w:t>
      </w:r>
      <w:r>
        <w:t xml:space="preserve"> that all members of the Committee were grateful to Ms. Stavrinaki for her contribution as Rapporteur. He hoped that the general recommendation would resonate widely. Henceforth, the Committee’s task would be to promote the general recommendation and follow up on its implementation and use. </w:t>
      </w:r>
    </w:p>
    <w:p w14:paraId="0F44CAFB" w14:textId="17CCB0B2" w:rsidR="00C448CC" w:rsidRPr="008E7A13" w:rsidRDefault="00BC0C27" w:rsidP="00BC0C27">
      <w:pPr>
        <w:pStyle w:val="H23G"/>
        <w:rPr>
          <w:lang w:val="en-CA"/>
        </w:rPr>
      </w:pPr>
      <w:r>
        <w:rPr>
          <w:lang w:val="en-CA"/>
        </w:rPr>
        <w:tab/>
      </w:r>
      <w:r>
        <w:rPr>
          <w:lang w:val="en-CA"/>
        </w:rPr>
        <w:tab/>
      </w:r>
      <w:r w:rsidR="00C448CC" w:rsidRPr="008E7A13">
        <w:rPr>
          <w:lang w:val="en-CA"/>
        </w:rPr>
        <w:t xml:space="preserve">Closure of the session </w:t>
      </w:r>
    </w:p>
    <w:p w14:paraId="5D2BABB1" w14:textId="67224613" w:rsidR="00C448CC" w:rsidRDefault="00C448CC" w:rsidP="002F100B">
      <w:pPr>
        <w:pStyle w:val="ParaNoG"/>
        <w:rPr>
          <w:lang w:val="en-CA"/>
        </w:rPr>
      </w:pPr>
      <w:r w:rsidRPr="002D1382">
        <w:rPr>
          <w:b/>
          <w:bCs/>
          <w:lang w:val="en-CA"/>
        </w:rPr>
        <w:t>Ms. Chung</w:t>
      </w:r>
      <w:r>
        <w:rPr>
          <w:lang w:val="en-CA"/>
        </w:rPr>
        <w:t xml:space="preserve"> (Rapporteur)</w:t>
      </w:r>
      <w:r>
        <w:t xml:space="preserve"> </w:t>
      </w:r>
      <w:r>
        <w:rPr>
          <w:lang w:val="en-CA"/>
        </w:rPr>
        <w:t>said that the Committee’s</w:t>
      </w:r>
      <w:r w:rsidRPr="004F5A94">
        <w:rPr>
          <w:lang w:val="en-CA"/>
        </w:rPr>
        <w:t xml:space="preserve"> 113th session </w:t>
      </w:r>
      <w:r>
        <w:rPr>
          <w:lang w:val="en-CA"/>
        </w:rPr>
        <w:t xml:space="preserve">had been attended in person by all but one of its members. </w:t>
      </w:r>
      <w:r w:rsidRPr="004F5A94">
        <w:rPr>
          <w:lang w:val="en-CA"/>
        </w:rPr>
        <w:t xml:space="preserve">At the </w:t>
      </w:r>
      <w:r>
        <w:rPr>
          <w:lang w:val="en-CA"/>
        </w:rPr>
        <w:t>p</w:t>
      </w:r>
      <w:r w:rsidRPr="004F5A94">
        <w:rPr>
          <w:lang w:val="en-CA"/>
        </w:rPr>
        <w:t xml:space="preserve">ublic </w:t>
      </w:r>
      <w:r>
        <w:rPr>
          <w:lang w:val="en-CA"/>
        </w:rPr>
        <w:t>o</w:t>
      </w:r>
      <w:r w:rsidRPr="004F5A94">
        <w:rPr>
          <w:lang w:val="en-CA"/>
        </w:rPr>
        <w:t xml:space="preserve">pening, </w:t>
      </w:r>
      <w:r>
        <w:rPr>
          <w:lang w:val="en-CA"/>
        </w:rPr>
        <w:t xml:space="preserve">a </w:t>
      </w:r>
      <w:r w:rsidRPr="002F100B">
        <w:t>statement</w:t>
      </w:r>
      <w:r>
        <w:rPr>
          <w:lang w:val="en-CA"/>
        </w:rPr>
        <w:t xml:space="preserve"> had been </w:t>
      </w:r>
      <w:r w:rsidRPr="004F5A94">
        <w:rPr>
          <w:lang w:val="en-CA"/>
        </w:rPr>
        <w:t>delivered by Mr. Guillaume Ngefa,</w:t>
      </w:r>
      <w:r>
        <w:rPr>
          <w:lang w:val="en-CA"/>
        </w:rPr>
        <w:t xml:space="preserve"> </w:t>
      </w:r>
      <w:r w:rsidRPr="004F5A94">
        <w:rPr>
          <w:lang w:val="en-CA"/>
        </w:rPr>
        <w:t>Chief of the Universal Periodic Review</w:t>
      </w:r>
      <w:r>
        <w:rPr>
          <w:lang w:val="en-CA"/>
        </w:rPr>
        <w:t xml:space="preserve"> </w:t>
      </w:r>
      <w:r w:rsidRPr="004F5A94">
        <w:rPr>
          <w:lang w:val="en-CA"/>
        </w:rPr>
        <w:t xml:space="preserve">Branch of the </w:t>
      </w:r>
      <w:r>
        <w:rPr>
          <w:lang w:val="en-CA"/>
        </w:rPr>
        <w:t>Office</w:t>
      </w:r>
      <w:r w:rsidRPr="004F5A94">
        <w:rPr>
          <w:lang w:val="en-CA"/>
        </w:rPr>
        <w:t xml:space="preserve"> of the </w:t>
      </w:r>
      <w:r>
        <w:rPr>
          <w:lang w:val="en-CA"/>
        </w:rPr>
        <w:t xml:space="preserve">United Nations </w:t>
      </w:r>
      <w:r w:rsidRPr="004F5A94">
        <w:rPr>
          <w:lang w:val="en-CA"/>
        </w:rPr>
        <w:t>High Commissioner</w:t>
      </w:r>
      <w:r>
        <w:rPr>
          <w:lang w:val="en-CA"/>
        </w:rPr>
        <w:t xml:space="preserve"> </w:t>
      </w:r>
      <w:r w:rsidRPr="004F5A94">
        <w:rPr>
          <w:lang w:val="en-CA"/>
        </w:rPr>
        <w:t>for Human Rights.</w:t>
      </w:r>
      <w:r>
        <w:rPr>
          <w:lang w:val="en-CA"/>
        </w:rPr>
        <w:t xml:space="preserve"> During the session, the Committee had conducted reviews and adopted concluding observations on the reports of seven States parties – Belarus, Bosnia and Herzegovina, Iran (Islamic Republic of), Iraq, Pakistan, the United Kingdom and Venezuela (Bolivarian Republic of). The Committee appreciated the information contributed by all delegations, by non-governmental organizations and by the national human rights institutions of Bosnia and Herzegovina, Pakistan and the United</w:t>
      </w:r>
      <w:r w:rsidR="007E5386">
        <w:rPr>
          <w:lang w:val="en-CA"/>
        </w:rPr>
        <w:t> </w:t>
      </w:r>
      <w:r>
        <w:rPr>
          <w:lang w:val="en-CA"/>
        </w:rPr>
        <w:t xml:space="preserve">Kingdom. </w:t>
      </w:r>
    </w:p>
    <w:p w14:paraId="6F6688BF" w14:textId="77777777" w:rsidR="00C448CC" w:rsidRDefault="00C448CC" w:rsidP="002F100B">
      <w:pPr>
        <w:pStyle w:val="ParaNoG"/>
        <w:rPr>
          <w:lang w:val="en-CA"/>
        </w:rPr>
      </w:pPr>
      <w:r>
        <w:rPr>
          <w:lang w:val="en-CA"/>
        </w:rPr>
        <w:t>On 29 June 2024, acting u</w:t>
      </w:r>
      <w:r w:rsidRPr="004F5A94">
        <w:rPr>
          <w:lang w:val="en-CA"/>
        </w:rPr>
        <w:t xml:space="preserve">nder its </w:t>
      </w:r>
      <w:r>
        <w:rPr>
          <w:lang w:val="en-CA"/>
        </w:rPr>
        <w:t>e</w:t>
      </w:r>
      <w:r w:rsidRPr="004F5A94">
        <w:rPr>
          <w:lang w:val="en-CA"/>
        </w:rPr>
        <w:t xml:space="preserve">arly </w:t>
      </w:r>
      <w:r>
        <w:rPr>
          <w:lang w:val="en-CA"/>
        </w:rPr>
        <w:t>w</w:t>
      </w:r>
      <w:r w:rsidRPr="004F5A94">
        <w:rPr>
          <w:lang w:val="en-CA"/>
        </w:rPr>
        <w:t xml:space="preserve">arning and </w:t>
      </w:r>
      <w:r>
        <w:rPr>
          <w:lang w:val="en-CA"/>
        </w:rPr>
        <w:t>u</w:t>
      </w:r>
      <w:r w:rsidRPr="004F5A94">
        <w:rPr>
          <w:lang w:val="en-CA"/>
        </w:rPr>
        <w:t xml:space="preserve">rgent </w:t>
      </w:r>
      <w:r>
        <w:rPr>
          <w:lang w:val="en-CA"/>
        </w:rPr>
        <w:t>a</w:t>
      </w:r>
      <w:r w:rsidRPr="004F5A94">
        <w:rPr>
          <w:lang w:val="en-CA"/>
        </w:rPr>
        <w:t xml:space="preserve">ction </w:t>
      </w:r>
      <w:r>
        <w:rPr>
          <w:lang w:val="en-CA"/>
        </w:rPr>
        <w:t>p</w:t>
      </w:r>
      <w:r w:rsidRPr="004F5A94">
        <w:rPr>
          <w:lang w:val="en-CA"/>
        </w:rPr>
        <w:t>rocedure, the Committee</w:t>
      </w:r>
      <w:r>
        <w:rPr>
          <w:lang w:val="en-CA"/>
        </w:rPr>
        <w:t xml:space="preserve"> had issued </w:t>
      </w:r>
      <w:r w:rsidRPr="004F5A94">
        <w:rPr>
          <w:lang w:val="en-CA"/>
        </w:rPr>
        <w:t>a statement on the situation of Rohingya who</w:t>
      </w:r>
      <w:r>
        <w:rPr>
          <w:lang w:val="en-CA"/>
        </w:rPr>
        <w:t xml:space="preserve"> had</w:t>
      </w:r>
      <w:r w:rsidRPr="004F5A94">
        <w:rPr>
          <w:lang w:val="en-CA"/>
        </w:rPr>
        <w:t xml:space="preserve"> fled </w:t>
      </w:r>
      <w:r>
        <w:rPr>
          <w:lang w:val="en-CA"/>
        </w:rPr>
        <w:t>from Myanmar to India</w:t>
      </w:r>
      <w:r w:rsidRPr="004F5A94">
        <w:rPr>
          <w:lang w:val="en-CA"/>
        </w:rPr>
        <w:t xml:space="preserve">. </w:t>
      </w:r>
      <w:r>
        <w:rPr>
          <w:lang w:val="en-CA"/>
        </w:rPr>
        <w:t>The</w:t>
      </w:r>
      <w:r w:rsidRPr="004F5A94">
        <w:rPr>
          <w:lang w:val="en-CA"/>
        </w:rPr>
        <w:t xml:space="preserve"> Committee ha</w:t>
      </w:r>
      <w:r>
        <w:rPr>
          <w:lang w:val="en-CA"/>
        </w:rPr>
        <w:t>d also</w:t>
      </w:r>
      <w:r w:rsidRPr="004F5A94">
        <w:rPr>
          <w:lang w:val="en-CA"/>
        </w:rPr>
        <w:t xml:space="preserve"> endorsed</w:t>
      </w:r>
      <w:r>
        <w:rPr>
          <w:lang w:val="en-CA"/>
        </w:rPr>
        <w:t xml:space="preserve"> a number of</w:t>
      </w:r>
      <w:r w:rsidRPr="004F5A94">
        <w:rPr>
          <w:lang w:val="en-CA"/>
        </w:rPr>
        <w:t xml:space="preserve"> letters</w:t>
      </w:r>
      <w:r>
        <w:rPr>
          <w:lang w:val="en-CA"/>
        </w:rPr>
        <w:t xml:space="preserve"> that would be sent </w:t>
      </w:r>
      <w:r w:rsidRPr="004F5A94">
        <w:rPr>
          <w:lang w:val="en-CA"/>
        </w:rPr>
        <w:t xml:space="preserve">to States </w:t>
      </w:r>
      <w:r>
        <w:rPr>
          <w:lang w:val="en-CA"/>
        </w:rPr>
        <w:t>p</w:t>
      </w:r>
      <w:r w:rsidRPr="004F5A94">
        <w:rPr>
          <w:lang w:val="en-CA"/>
        </w:rPr>
        <w:t>arties</w:t>
      </w:r>
      <w:r>
        <w:rPr>
          <w:lang w:val="en-CA"/>
        </w:rPr>
        <w:t xml:space="preserve"> under the same procedure.</w:t>
      </w:r>
    </w:p>
    <w:p w14:paraId="4B990125" w14:textId="77777777" w:rsidR="00C448CC" w:rsidRDefault="00C448CC" w:rsidP="002F100B">
      <w:pPr>
        <w:pStyle w:val="ParaNoG"/>
        <w:rPr>
          <w:lang w:val="en-CA"/>
        </w:rPr>
      </w:pPr>
      <w:r>
        <w:t xml:space="preserve">The Committee had continued to work on its draft </w:t>
      </w:r>
      <w:r>
        <w:rPr>
          <w:lang w:val="en-CA"/>
        </w:rPr>
        <w:t xml:space="preserve">general recommendation No. 37 on </w:t>
      </w:r>
      <w:r w:rsidRPr="00192967">
        <w:t>racial discrimination in the enjoyment of the right to health</w:t>
      </w:r>
      <w:r>
        <w:t xml:space="preserve">, culminating in the adoption of the final draft. </w:t>
      </w:r>
      <w:r w:rsidRPr="004F5A94">
        <w:rPr>
          <w:lang w:val="en-CA"/>
        </w:rPr>
        <w:t>The Committee</w:t>
      </w:r>
      <w:r>
        <w:rPr>
          <w:lang w:val="en-CA"/>
        </w:rPr>
        <w:t xml:space="preserve"> had</w:t>
      </w:r>
      <w:r w:rsidRPr="004F5A94">
        <w:rPr>
          <w:lang w:val="en-CA"/>
        </w:rPr>
        <w:t xml:space="preserve"> also discussed </w:t>
      </w:r>
      <w:r>
        <w:rPr>
          <w:lang w:val="en-CA"/>
        </w:rPr>
        <w:t>the development, with the Committee on the Protection of the Rights of All</w:t>
      </w:r>
      <w:r w:rsidRPr="004F5A94">
        <w:rPr>
          <w:lang w:val="en-CA"/>
        </w:rPr>
        <w:t xml:space="preserve"> Migrant Workers</w:t>
      </w:r>
      <w:r>
        <w:rPr>
          <w:lang w:val="en-CA"/>
        </w:rPr>
        <w:t xml:space="preserve"> and Members of Their Families,</w:t>
      </w:r>
      <w:r w:rsidRPr="004F5A94">
        <w:rPr>
          <w:lang w:val="en-CA"/>
        </w:rPr>
        <w:t xml:space="preserve"> </w:t>
      </w:r>
      <w:r>
        <w:rPr>
          <w:lang w:val="en-CA"/>
        </w:rPr>
        <w:t>of a</w:t>
      </w:r>
      <w:r w:rsidRPr="004F5A94">
        <w:rPr>
          <w:lang w:val="en-CA"/>
        </w:rPr>
        <w:t xml:space="preserve"> joint</w:t>
      </w:r>
      <w:r>
        <w:rPr>
          <w:lang w:val="en-CA"/>
        </w:rPr>
        <w:t xml:space="preserve"> </w:t>
      </w:r>
      <w:r w:rsidRPr="004F5A94">
        <w:rPr>
          <w:lang w:val="en-CA"/>
        </w:rPr>
        <w:t>general recommendation on addressing and eradicating</w:t>
      </w:r>
      <w:r>
        <w:rPr>
          <w:lang w:val="en-CA"/>
        </w:rPr>
        <w:t xml:space="preserve"> </w:t>
      </w:r>
      <w:r w:rsidRPr="004F5A94">
        <w:rPr>
          <w:lang w:val="en-CA"/>
        </w:rPr>
        <w:t xml:space="preserve">xenophobia and its impact on </w:t>
      </w:r>
      <w:r w:rsidRPr="004F5A94">
        <w:rPr>
          <w:lang w:val="en-CA"/>
        </w:rPr>
        <w:lastRenderedPageBreak/>
        <w:t>the rights of migrants, their families and other</w:t>
      </w:r>
      <w:r>
        <w:rPr>
          <w:lang w:val="en-CA"/>
        </w:rPr>
        <w:t xml:space="preserve"> </w:t>
      </w:r>
      <w:r w:rsidRPr="004F5A94">
        <w:rPr>
          <w:lang w:val="en-CA"/>
        </w:rPr>
        <w:t>non-citizens affected by racial discrimination.</w:t>
      </w:r>
      <w:r>
        <w:rPr>
          <w:lang w:val="en-CA"/>
        </w:rPr>
        <w:t xml:space="preserve"> G</w:t>
      </w:r>
      <w:r w:rsidRPr="004F5A94">
        <w:rPr>
          <w:lang w:val="en-CA"/>
        </w:rPr>
        <w:t xml:space="preserve">lobal and regional consultations </w:t>
      </w:r>
      <w:r>
        <w:rPr>
          <w:lang w:val="en-CA"/>
        </w:rPr>
        <w:t xml:space="preserve">were </w:t>
      </w:r>
      <w:r w:rsidRPr="004F5A94">
        <w:rPr>
          <w:lang w:val="en-CA"/>
        </w:rPr>
        <w:t>scheduled for</w:t>
      </w:r>
      <w:r>
        <w:rPr>
          <w:lang w:val="en-CA"/>
        </w:rPr>
        <w:t xml:space="preserve"> later in 2024</w:t>
      </w:r>
      <w:r w:rsidRPr="004F5A94">
        <w:rPr>
          <w:lang w:val="en-CA"/>
        </w:rPr>
        <w:t>.</w:t>
      </w:r>
    </w:p>
    <w:p w14:paraId="47CDC8B9" w14:textId="0E077AEE" w:rsidR="00C448CC" w:rsidRDefault="00C448CC" w:rsidP="002F100B">
      <w:pPr>
        <w:pStyle w:val="ParaNoG"/>
        <w:rPr>
          <w:lang w:val="en-CA"/>
        </w:rPr>
      </w:pPr>
      <w:r>
        <w:rPr>
          <w:lang w:val="en-CA"/>
        </w:rPr>
        <w:t>On 22 August 2024, t</w:t>
      </w:r>
      <w:r w:rsidRPr="004F5A94">
        <w:rPr>
          <w:lang w:val="en-CA"/>
        </w:rPr>
        <w:t xml:space="preserve">he ad hoc Conciliation Commission </w:t>
      </w:r>
      <w:r>
        <w:rPr>
          <w:lang w:val="en-CA"/>
        </w:rPr>
        <w:t>for</w:t>
      </w:r>
      <w:r w:rsidRPr="004F5A94">
        <w:rPr>
          <w:lang w:val="en-CA"/>
        </w:rPr>
        <w:t xml:space="preserve"> the inter-</w:t>
      </w:r>
      <w:r>
        <w:rPr>
          <w:lang w:val="en-CA"/>
        </w:rPr>
        <w:t>S</w:t>
      </w:r>
      <w:r w:rsidRPr="004F5A94">
        <w:rPr>
          <w:lang w:val="en-CA"/>
        </w:rPr>
        <w:t xml:space="preserve">tate communication </w:t>
      </w:r>
      <w:r w:rsidRPr="00C90D29">
        <w:rPr>
          <w:i/>
          <w:iCs/>
          <w:lang w:val="en-CA"/>
        </w:rPr>
        <w:t>State of Palestine v. Israel</w:t>
      </w:r>
      <w:r>
        <w:rPr>
          <w:lang w:val="en-CA"/>
        </w:rPr>
        <w:t xml:space="preserve"> had published its report (</w:t>
      </w:r>
      <w:hyperlink r:id="rId12" w:history="1">
        <w:r w:rsidRPr="00026E69">
          <w:rPr>
            <w:rStyle w:val="Hyperlink"/>
            <w:lang w:val="en-CA"/>
          </w:rPr>
          <w:t>CERD/C/113/3</w:t>
        </w:r>
      </w:hyperlink>
      <w:r>
        <w:rPr>
          <w:lang w:val="en-CA"/>
        </w:rPr>
        <w:t xml:space="preserve">), which had been formally adopted on 19 February 2024 and transmitted to the parties. </w:t>
      </w:r>
      <w:r w:rsidRPr="004F5A94">
        <w:rPr>
          <w:lang w:val="en-CA"/>
        </w:rPr>
        <w:t>The report present</w:t>
      </w:r>
      <w:r>
        <w:rPr>
          <w:lang w:val="en-CA"/>
        </w:rPr>
        <w:t xml:space="preserve">ed </w:t>
      </w:r>
      <w:r w:rsidRPr="004F5A94">
        <w:rPr>
          <w:lang w:val="en-CA"/>
        </w:rPr>
        <w:t xml:space="preserve">the findings </w:t>
      </w:r>
      <w:r>
        <w:rPr>
          <w:lang w:val="en-CA"/>
        </w:rPr>
        <w:t>of</w:t>
      </w:r>
      <w:r w:rsidRPr="004F5A94">
        <w:rPr>
          <w:lang w:val="en-CA"/>
        </w:rPr>
        <w:t xml:space="preserve"> </w:t>
      </w:r>
      <w:r>
        <w:rPr>
          <w:lang w:val="en-CA"/>
        </w:rPr>
        <w:t xml:space="preserve">the </w:t>
      </w:r>
      <w:r w:rsidRPr="004F5A94">
        <w:rPr>
          <w:lang w:val="en-CA"/>
        </w:rPr>
        <w:t>Conciliation Commission</w:t>
      </w:r>
      <w:r>
        <w:rPr>
          <w:lang w:val="en-CA"/>
        </w:rPr>
        <w:t xml:space="preserve"> and its recommendations</w:t>
      </w:r>
      <w:r w:rsidRPr="004F5A94">
        <w:rPr>
          <w:lang w:val="en-CA"/>
        </w:rPr>
        <w:t xml:space="preserve"> for a peaceful settlement</w:t>
      </w:r>
      <w:r>
        <w:rPr>
          <w:lang w:val="en-CA"/>
        </w:rPr>
        <w:t xml:space="preserve"> </w:t>
      </w:r>
      <w:r w:rsidRPr="004F5A94">
        <w:rPr>
          <w:lang w:val="en-CA"/>
        </w:rPr>
        <w:t>of the dispute</w:t>
      </w:r>
      <w:r>
        <w:rPr>
          <w:lang w:val="en-CA"/>
        </w:rPr>
        <w:t xml:space="preserve"> between the State of Palestine and Israel on several issues of racial discrimination</w:t>
      </w:r>
      <w:r w:rsidRPr="004F5A94">
        <w:rPr>
          <w:lang w:val="en-CA"/>
        </w:rPr>
        <w:t>.</w:t>
      </w:r>
      <w:r>
        <w:rPr>
          <w:lang w:val="en-CA"/>
        </w:rPr>
        <w:t xml:space="preserve"> </w:t>
      </w:r>
      <w:r w:rsidRPr="004F5A94">
        <w:rPr>
          <w:lang w:val="en-CA"/>
        </w:rPr>
        <w:t xml:space="preserve">The report </w:t>
      </w:r>
      <w:r>
        <w:rPr>
          <w:lang w:val="en-CA"/>
        </w:rPr>
        <w:t>was</w:t>
      </w:r>
      <w:r w:rsidRPr="004F5A94">
        <w:rPr>
          <w:lang w:val="en-CA"/>
        </w:rPr>
        <w:t xml:space="preserve"> available on the Committee</w:t>
      </w:r>
      <w:r>
        <w:rPr>
          <w:lang w:val="en-CA"/>
        </w:rPr>
        <w:t>’s web page.</w:t>
      </w:r>
    </w:p>
    <w:p w14:paraId="3C9A4AB5" w14:textId="77777777" w:rsidR="00C448CC" w:rsidRDefault="00C448CC" w:rsidP="002F100B">
      <w:pPr>
        <w:pStyle w:val="ParaNoG"/>
        <w:rPr>
          <w:lang w:val="en-CA"/>
        </w:rPr>
      </w:pPr>
      <w:r>
        <w:rPr>
          <w:lang w:val="en-CA"/>
        </w:rPr>
        <w:t>Lastly, the</w:t>
      </w:r>
      <w:r w:rsidRPr="004F5A94">
        <w:rPr>
          <w:lang w:val="en-CA"/>
        </w:rPr>
        <w:t xml:space="preserve"> Committee </w:t>
      </w:r>
      <w:r>
        <w:rPr>
          <w:lang w:val="en-CA"/>
        </w:rPr>
        <w:t xml:space="preserve">had </w:t>
      </w:r>
      <w:r w:rsidRPr="004F5A94">
        <w:rPr>
          <w:lang w:val="en-CA"/>
        </w:rPr>
        <w:t>adopted its annual report</w:t>
      </w:r>
      <w:r>
        <w:rPr>
          <w:lang w:val="en-CA"/>
        </w:rPr>
        <w:t xml:space="preserve"> to the General Assembly.</w:t>
      </w:r>
    </w:p>
    <w:p w14:paraId="0630D202" w14:textId="7ED1167B" w:rsidR="00C448CC" w:rsidRDefault="00C448CC" w:rsidP="002F100B">
      <w:pPr>
        <w:pStyle w:val="ParaNoG"/>
        <w:rPr>
          <w:lang w:val="en-CA"/>
        </w:rPr>
      </w:pPr>
      <w:r>
        <w:rPr>
          <w:lang w:val="en-CA"/>
        </w:rPr>
        <w:t>At its subsequent session, scheduled to</w:t>
      </w:r>
      <w:r w:rsidRPr="004F5A94">
        <w:rPr>
          <w:lang w:val="en-CA"/>
        </w:rPr>
        <w:t xml:space="preserve"> take place</w:t>
      </w:r>
      <w:r>
        <w:rPr>
          <w:lang w:val="en-CA"/>
        </w:rPr>
        <w:t xml:space="preserve"> </w:t>
      </w:r>
      <w:r w:rsidRPr="004F5A94">
        <w:rPr>
          <w:lang w:val="en-CA"/>
        </w:rPr>
        <w:t>between 25 November and 13</w:t>
      </w:r>
      <w:r w:rsidR="002D2E82">
        <w:rPr>
          <w:lang w:val="en-CA"/>
        </w:rPr>
        <w:t> </w:t>
      </w:r>
      <w:r w:rsidRPr="004F5A94">
        <w:rPr>
          <w:lang w:val="en-CA"/>
        </w:rPr>
        <w:t>December 2024</w:t>
      </w:r>
      <w:r>
        <w:rPr>
          <w:lang w:val="en-CA"/>
        </w:rPr>
        <w:t>, the Committee would consider the reports of</w:t>
      </w:r>
      <w:r w:rsidRPr="004F5A94">
        <w:rPr>
          <w:lang w:val="en-CA"/>
        </w:rPr>
        <w:t xml:space="preserve"> Armenia, Ecuador, Greece, Kenya,</w:t>
      </w:r>
      <w:r>
        <w:rPr>
          <w:lang w:val="en-CA"/>
        </w:rPr>
        <w:t xml:space="preserve"> </w:t>
      </w:r>
      <w:r w:rsidRPr="004F5A94">
        <w:rPr>
          <w:lang w:val="en-CA"/>
        </w:rPr>
        <w:t xml:space="preserve">Monaco and Saudi Arabia. </w:t>
      </w:r>
    </w:p>
    <w:p w14:paraId="19F53872" w14:textId="77777777" w:rsidR="00C448CC" w:rsidRDefault="00C448CC" w:rsidP="002F100B">
      <w:pPr>
        <w:pStyle w:val="ParaNoG"/>
        <w:rPr>
          <w:i/>
          <w:iCs/>
          <w:lang w:val="en-CA"/>
        </w:rPr>
      </w:pPr>
      <w:r>
        <w:rPr>
          <w:lang w:val="en-CA"/>
        </w:rPr>
        <w:t xml:space="preserve">After the customary exchange of courtesies, </w:t>
      </w:r>
      <w:r w:rsidRPr="004C2C7D">
        <w:rPr>
          <w:b/>
          <w:bCs/>
          <w:lang w:val="en-CA"/>
        </w:rPr>
        <w:t>the Chair</w:t>
      </w:r>
      <w:r>
        <w:rPr>
          <w:lang w:val="en-CA"/>
        </w:rPr>
        <w:t xml:space="preserve"> declared the 113th session of the Committee on the Elimination of Discrimination closed.</w:t>
      </w:r>
    </w:p>
    <w:p w14:paraId="0D77913A" w14:textId="639EDF05" w:rsidR="00CF0CC1" w:rsidRPr="00F8553B" w:rsidRDefault="00C448CC" w:rsidP="00F8553B">
      <w:pPr>
        <w:pStyle w:val="SingleTxtG"/>
        <w:rPr>
          <w:i/>
          <w:iCs/>
        </w:rPr>
      </w:pPr>
      <w:r w:rsidRPr="00F8553B">
        <w:rPr>
          <w:i/>
          <w:iCs/>
          <w:lang w:val="en-CA"/>
        </w:rPr>
        <w:t>The meeting rose at 3.45 p.m.</w:t>
      </w:r>
    </w:p>
    <w:sectPr w:rsidR="00CF0CC1" w:rsidRPr="00F8553B"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26C36" w14:textId="77777777" w:rsidR="00424D4C" w:rsidRDefault="00424D4C" w:rsidP="00F95C08">
      <w:pPr>
        <w:spacing w:line="240" w:lineRule="auto"/>
      </w:pPr>
    </w:p>
  </w:endnote>
  <w:endnote w:type="continuationSeparator" w:id="0">
    <w:p w14:paraId="22C5BA4F" w14:textId="77777777" w:rsidR="00424D4C" w:rsidRPr="00AC3823" w:rsidRDefault="00424D4C" w:rsidP="00AC3823">
      <w:pPr>
        <w:pStyle w:val="Footer"/>
      </w:pPr>
    </w:p>
  </w:endnote>
  <w:endnote w:type="continuationNotice" w:id="1">
    <w:p w14:paraId="2572375E" w14:textId="77777777" w:rsidR="00424D4C" w:rsidRDefault="00424D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BCCBF" w14:textId="1C18DAE2" w:rsidR="006056E0" w:rsidRPr="00CF0CC1" w:rsidRDefault="00CF0CC1" w:rsidP="00CF0CC1">
    <w:pPr>
      <w:pStyle w:val="Footer"/>
      <w:tabs>
        <w:tab w:val="right" w:pos="9638"/>
      </w:tabs>
    </w:pPr>
    <w:r w:rsidRPr="00CF0CC1">
      <w:rPr>
        <w:b/>
        <w:bCs/>
        <w:sz w:val="18"/>
      </w:rPr>
      <w:fldChar w:fldCharType="begin"/>
    </w:r>
    <w:r w:rsidRPr="00CF0CC1">
      <w:rPr>
        <w:b/>
        <w:bCs/>
        <w:sz w:val="18"/>
      </w:rPr>
      <w:instrText xml:space="preserve"> PAGE  \* MERGEFORMAT </w:instrText>
    </w:r>
    <w:r w:rsidRPr="00CF0CC1">
      <w:rPr>
        <w:b/>
        <w:bCs/>
        <w:sz w:val="18"/>
      </w:rPr>
      <w:fldChar w:fldCharType="separate"/>
    </w:r>
    <w:r w:rsidRPr="00CF0CC1">
      <w:rPr>
        <w:b/>
        <w:bCs/>
        <w:noProof/>
        <w:sz w:val="18"/>
      </w:rPr>
      <w:t>2</w:t>
    </w:r>
    <w:r w:rsidRPr="00CF0CC1">
      <w:rPr>
        <w:b/>
        <w:bCs/>
        <w:sz w:val="18"/>
      </w:rPr>
      <w:fldChar w:fldCharType="end"/>
    </w:r>
    <w:r>
      <w:tab/>
      <w:t>GE.24-15133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02442" w14:textId="526B8CA4" w:rsidR="001E498C" w:rsidRPr="00CF0CC1" w:rsidRDefault="00CF0CC1" w:rsidP="00CF0CC1">
    <w:pPr>
      <w:pStyle w:val="Footer"/>
      <w:tabs>
        <w:tab w:val="right" w:pos="9638"/>
      </w:tabs>
    </w:pPr>
    <w:r>
      <w:t>GE.24-15133</w:t>
    </w:r>
    <w:r>
      <w:tab/>
    </w:r>
    <w:r w:rsidRPr="00CF0CC1">
      <w:rPr>
        <w:b/>
        <w:bCs/>
        <w:sz w:val="18"/>
      </w:rPr>
      <w:fldChar w:fldCharType="begin"/>
    </w:r>
    <w:r w:rsidRPr="00CF0CC1">
      <w:rPr>
        <w:b/>
        <w:bCs/>
        <w:sz w:val="18"/>
      </w:rPr>
      <w:instrText xml:space="preserve"> PAGE  \* MERGEFORMAT </w:instrText>
    </w:r>
    <w:r w:rsidRPr="00CF0CC1">
      <w:rPr>
        <w:b/>
        <w:bCs/>
        <w:sz w:val="18"/>
      </w:rPr>
      <w:fldChar w:fldCharType="separate"/>
    </w:r>
    <w:r w:rsidRPr="00CF0CC1">
      <w:rPr>
        <w:b/>
        <w:bCs/>
        <w:noProof/>
        <w:sz w:val="18"/>
      </w:rPr>
      <w:t>3</w:t>
    </w:r>
    <w:r w:rsidRPr="00CF0CC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F4AA" w14:textId="77777777" w:rsidR="002D0F56" w:rsidRDefault="0085508B" w:rsidP="002D0F56">
    <w:pPr>
      <w:pStyle w:val="FootnoteText"/>
      <w:tabs>
        <w:tab w:val="clear" w:pos="1021"/>
        <w:tab w:val="right" w:pos="2154"/>
      </w:tabs>
      <w:spacing w:after="80"/>
      <w:ind w:left="680" w:firstLine="0"/>
      <w:rPr>
        <w:u w:val="single"/>
      </w:rPr>
    </w:pPr>
    <w:r>
      <w:rPr>
        <w:u w:val="single"/>
      </w:rPr>
      <w:tab/>
    </w:r>
  </w:p>
  <w:p w14:paraId="203BEF82" w14:textId="118D508B" w:rsidR="002D0F56" w:rsidRDefault="0085508B" w:rsidP="002D0F56">
    <w:pPr>
      <w:pStyle w:val="FootnoteText"/>
      <w:rPr>
        <w:sz w:val="20"/>
      </w:rPr>
    </w:pPr>
    <w:r>
      <w:tab/>
    </w:r>
    <w:r>
      <w:rPr>
        <w:sz w:val="20"/>
      </w:rPr>
      <w:t>*</w:t>
    </w:r>
    <w:r>
      <w:tab/>
      <w:t xml:space="preserve">No summary records were issued for </w:t>
    </w:r>
    <w:r w:rsidR="0035439D">
      <w:t xml:space="preserve">the </w:t>
    </w:r>
    <w:r w:rsidR="00484479">
      <w:t>3097th to 3106th</w:t>
    </w:r>
    <w:r>
      <w:t xml:space="preserve"> meeting</w:t>
    </w:r>
    <w:r>
      <w:rPr>
        <w:szCs w:val="18"/>
      </w:rPr>
      <w:t>s</w:t>
    </w:r>
    <w:r>
      <w:rPr>
        <w:sz w:val="20"/>
      </w:rPr>
      <w:t>.</w:t>
    </w:r>
  </w:p>
  <w:p w14:paraId="36600839" w14:textId="77777777" w:rsidR="003B0B0F" w:rsidRDefault="003B0B0F" w:rsidP="003B0B0F">
    <w:pPr>
      <w:pStyle w:val="FootnoteText"/>
      <w:pBdr>
        <w:bottom w:val="single" w:sz="4" w:space="1" w:color="auto"/>
      </w:pBdr>
      <w:tabs>
        <w:tab w:val="clear" w:pos="1021"/>
      </w:tabs>
      <w:ind w:left="0" w:right="0" w:firstLine="0"/>
    </w:pPr>
  </w:p>
  <w:p w14:paraId="1D283CD0" w14:textId="77777777" w:rsidR="003B0B0F" w:rsidRDefault="0085508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BB1C3B1" w14:textId="77777777" w:rsidR="003B0B0F" w:rsidRPr="003B0B0F" w:rsidRDefault="0085508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0AAA17C" w14:textId="551AD397" w:rsidR="006056E0" w:rsidRDefault="00CF0CC1" w:rsidP="006861E6">
    <w:pPr>
      <w:pStyle w:val="Footer"/>
      <w:rPr>
        <w:sz w:val="20"/>
      </w:rPr>
    </w:pPr>
    <w:r>
      <w:rPr>
        <w:noProof/>
        <w:lang w:val="en-US" w:eastAsia="zh-CN"/>
      </w:rPr>
      <w:drawing>
        <wp:anchor distT="0" distB="0" distL="114300" distR="114300" simplePos="0" relativeHeight="251659264" behindDoc="1" locked="1" layoutInCell="1" allowOverlap="1" wp14:anchorId="01341FAD" wp14:editId="47AFDED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2E8A11" w14:textId="3D5B4BDE" w:rsidR="00CF0CC1" w:rsidRPr="00CF0CC1" w:rsidRDefault="00CF0CC1" w:rsidP="00CF0CC1">
    <w:pPr>
      <w:pStyle w:val="Footer"/>
      <w:rPr>
        <w:sz w:val="20"/>
      </w:rPr>
    </w:pPr>
    <w:r>
      <w:rPr>
        <w:sz w:val="20"/>
      </w:rPr>
      <w:t>GE.24-15133  (E)</w:t>
    </w:r>
    <w:r>
      <w:rPr>
        <w:noProof/>
        <w:sz w:val="20"/>
      </w:rPr>
      <w:drawing>
        <wp:anchor distT="0" distB="0" distL="114300" distR="114300" simplePos="0" relativeHeight="251660288" behindDoc="0" locked="0" layoutInCell="1" allowOverlap="1" wp14:anchorId="59F87F33" wp14:editId="524C098F">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B5529">
      <w:rPr>
        <w:sz w:val="20"/>
      </w:rPr>
      <w:t xml:space="preserve">    270824    </w:t>
    </w:r>
    <w:r w:rsidR="00C5055C">
      <w:rPr>
        <w:sz w:val="20"/>
      </w:rPr>
      <w:t>27</w:t>
    </w:r>
    <w:r w:rsidR="007B5529">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F856F" w14:textId="77777777" w:rsidR="00424D4C" w:rsidRPr="00AC3823" w:rsidRDefault="00424D4C" w:rsidP="00AC3823">
      <w:pPr>
        <w:pStyle w:val="Footer"/>
        <w:tabs>
          <w:tab w:val="right" w:pos="2155"/>
        </w:tabs>
        <w:spacing w:after="80" w:line="240" w:lineRule="atLeast"/>
        <w:ind w:left="680"/>
        <w:rPr>
          <w:u w:val="single"/>
        </w:rPr>
      </w:pPr>
      <w:r>
        <w:rPr>
          <w:u w:val="single"/>
        </w:rPr>
        <w:tab/>
      </w:r>
    </w:p>
  </w:footnote>
  <w:footnote w:type="continuationSeparator" w:id="0">
    <w:p w14:paraId="644A3BB1" w14:textId="77777777" w:rsidR="00424D4C" w:rsidRPr="00AC3823" w:rsidRDefault="00424D4C" w:rsidP="00AC3823">
      <w:pPr>
        <w:pStyle w:val="Footer"/>
        <w:tabs>
          <w:tab w:val="right" w:pos="2155"/>
        </w:tabs>
        <w:spacing w:after="80" w:line="240" w:lineRule="atLeast"/>
        <w:ind w:left="680"/>
        <w:rPr>
          <w:u w:val="single"/>
        </w:rPr>
      </w:pPr>
      <w:r>
        <w:rPr>
          <w:u w:val="single"/>
        </w:rPr>
        <w:tab/>
      </w:r>
    </w:p>
  </w:footnote>
  <w:footnote w:type="continuationNotice" w:id="1">
    <w:p w14:paraId="63829236" w14:textId="77777777" w:rsidR="00424D4C" w:rsidRPr="00AC3823" w:rsidRDefault="00424D4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0987F" w14:textId="77777777" w:rsidR="006056E0" w:rsidRDefault="00257838">
    <w:pPr>
      <w:pStyle w:val="Header"/>
    </w:pPr>
    <w:r>
      <w:t>CERD/C/SR.3107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D3525" w14:textId="77777777" w:rsidR="005B6BC9" w:rsidRDefault="00257838" w:rsidP="005B6BC9">
    <w:pPr>
      <w:pStyle w:val="Header"/>
      <w:jc w:val="right"/>
    </w:pPr>
    <w:r>
      <w:t>CERD/C/SR.3107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62C971E">
      <w:start w:val="1"/>
      <w:numFmt w:val="decimal"/>
      <w:pStyle w:val="ParaNoG"/>
      <w:lvlText w:val="%1."/>
      <w:lvlJc w:val="left"/>
      <w:pPr>
        <w:tabs>
          <w:tab w:val="num" w:pos="1701"/>
        </w:tabs>
        <w:ind w:left="1134" w:firstLine="0"/>
      </w:pPr>
      <w:rPr>
        <w:rFonts w:ascii="Times New Roman" w:hAnsi="Times New Roman" w:hint="default"/>
        <w:b w:val="0"/>
        <w:i w:val="0"/>
        <w:sz w:val="20"/>
      </w:rPr>
    </w:lvl>
    <w:lvl w:ilvl="1" w:tplc="C6006836" w:tentative="1">
      <w:start w:val="1"/>
      <w:numFmt w:val="lowerLetter"/>
      <w:lvlText w:val="%2."/>
      <w:lvlJc w:val="left"/>
      <w:pPr>
        <w:tabs>
          <w:tab w:val="num" w:pos="1440"/>
        </w:tabs>
        <w:ind w:left="1440" w:hanging="360"/>
      </w:pPr>
    </w:lvl>
    <w:lvl w:ilvl="2" w:tplc="3C283230" w:tentative="1">
      <w:start w:val="1"/>
      <w:numFmt w:val="lowerRoman"/>
      <w:lvlText w:val="%3."/>
      <w:lvlJc w:val="right"/>
      <w:pPr>
        <w:tabs>
          <w:tab w:val="num" w:pos="2160"/>
        </w:tabs>
        <w:ind w:left="2160" w:hanging="180"/>
      </w:pPr>
    </w:lvl>
    <w:lvl w:ilvl="3" w:tplc="D2D49432" w:tentative="1">
      <w:start w:val="1"/>
      <w:numFmt w:val="decimal"/>
      <w:lvlText w:val="%4."/>
      <w:lvlJc w:val="left"/>
      <w:pPr>
        <w:tabs>
          <w:tab w:val="num" w:pos="2880"/>
        </w:tabs>
        <w:ind w:left="2880" w:hanging="360"/>
      </w:pPr>
    </w:lvl>
    <w:lvl w:ilvl="4" w:tplc="AD460132" w:tentative="1">
      <w:start w:val="1"/>
      <w:numFmt w:val="lowerLetter"/>
      <w:lvlText w:val="%5."/>
      <w:lvlJc w:val="left"/>
      <w:pPr>
        <w:tabs>
          <w:tab w:val="num" w:pos="3600"/>
        </w:tabs>
        <w:ind w:left="3600" w:hanging="360"/>
      </w:pPr>
    </w:lvl>
    <w:lvl w:ilvl="5" w:tplc="53405196" w:tentative="1">
      <w:start w:val="1"/>
      <w:numFmt w:val="lowerRoman"/>
      <w:lvlText w:val="%6."/>
      <w:lvlJc w:val="right"/>
      <w:pPr>
        <w:tabs>
          <w:tab w:val="num" w:pos="4320"/>
        </w:tabs>
        <w:ind w:left="4320" w:hanging="180"/>
      </w:pPr>
    </w:lvl>
    <w:lvl w:ilvl="6" w:tplc="7E2E0D74" w:tentative="1">
      <w:start w:val="1"/>
      <w:numFmt w:val="decimal"/>
      <w:lvlText w:val="%7."/>
      <w:lvlJc w:val="left"/>
      <w:pPr>
        <w:tabs>
          <w:tab w:val="num" w:pos="5040"/>
        </w:tabs>
        <w:ind w:left="5040" w:hanging="360"/>
      </w:pPr>
    </w:lvl>
    <w:lvl w:ilvl="7" w:tplc="8640C9A2" w:tentative="1">
      <w:start w:val="1"/>
      <w:numFmt w:val="lowerLetter"/>
      <w:lvlText w:val="%8."/>
      <w:lvlJc w:val="left"/>
      <w:pPr>
        <w:tabs>
          <w:tab w:val="num" w:pos="5760"/>
        </w:tabs>
        <w:ind w:left="5760" w:hanging="360"/>
      </w:pPr>
    </w:lvl>
    <w:lvl w:ilvl="8" w:tplc="E968D592"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958CC1B4">
      <w:start w:val="1"/>
      <w:numFmt w:val="bullet"/>
      <w:pStyle w:val="Bullet2G"/>
      <w:lvlText w:val="•"/>
      <w:lvlJc w:val="left"/>
      <w:pPr>
        <w:tabs>
          <w:tab w:val="num" w:pos="2268"/>
        </w:tabs>
        <w:ind w:left="2268" w:hanging="170"/>
      </w:pPr>
      <w:rPr>
        <w:rFonts w:ascii="Times New Roman" w:hAnsi="Times New Roman" w:cs="Times New Roman" w:hint="default"/>
      </w:rPr>
    </w:lvl>
    <w:lvl w:ilvl="1" w:tplc="958249F2" w:tentative="1">
      <w:start w:val="1"/>
      <w:numFmt w:val="bullet"/>
      <w:lvlText w:val="o"/>
      <w:lvlJc w:val="left"/>
      <w:pPr>
        <w:tabs>
          <w:tab w:val="num" w:pos="3708"/>
        </w:tabs>
        <w:ind w:left="3708" w:hanging="360"/>
      </w:pPr>
      <w:rPr>
        <w:rFonts w:ascii="Courier New" w:hAnsi="Courier New" w:hint="default"/>
      </w:rPr>
    </w:lvl>
    <w:lvl w:ilvl="2" w:tplc="43A8E87E" w:tentative="1">
      <w:start w:val="1"/>
      <w:numFmt w:val="bullet"/>
      <w:lvlText w:val=""/>
      <w:lvlJc w:val="left"/>
      <w:pPr>
        <w:tabs>
          <w:tab w:val="num" w:pos="4428"/>
        </w:tabs>
        <w:ind w:left="4428" w:hanging="360"/>
      </w:pPr>
      <w:rPr>
        <w:rFonts w:ascii="Wingdings" w:hAnsi="Wingdings" w:hint="default"/>
      </w:rPr>
    </w:lvl>
    <w:lvl w:ilvl="3" w:tplc="EDCC49DA" w:tentative="1">
      <w:start w:val="1"/>
      <w:numFmt w:val="bullet"/>
      <w:lvlText w:val=""/>
      <w:lvlJc w:val="left"/>
      <w:pPr>
        <w:tabs>
          <w:tab w:val="num" w:pos="5148"/>
        </w:tabs>
        <w:ind w:left="5148" w:hanging="360"/>
      </w:pPr>
      <w:rPr>
        <w:rFonts w:ascii="Symbol" w:hAnsi="Symbol" w:hint="default"/>
      </w:rPr>
    </w:lvl>
    <w:lvl w:ilvl="4" w:tplc="8916AE98" w:tentative="1">
      <w:start w:val="1"/>
      <w:numFmt w:val="bullet"/>
      <w:lvlText w:val="o"/>
      <w:lvlJc w:val="left"/>
      <w:pPr>
        <w:tabs>
          <w:tab w:val="num" w:pos="5868"/>
        </w:tabs>
        <w:ind w:left="5868" w:hanging="360"/>
      </w:pPr>
      <w:rPr>
        <w:rFonts w:ascii="Courier New" w:hAnsi="Courier New" w:hint="default"/>
      </w:rPr>
    </w:lvl>
    <w:lvl w:ilvl="5" w:tplc="A0D20AE4" w:tentative="1">
      <w:start w:val="1"/>
      <w:numFmt w:val="bullet"/>
      <w:lvlText w:val=""/>
      <w:lvlJc w:val="left"/>
      <w:pPr>
        <w:tabs>
          <w:tab w:val="num" w:pos="6588"/>
        </w:tabs>
        <w:ind w:left="6588" w:hanging="360"/>
      </w:pPr>
      <w:rPr>
        <w:rFonts w:ascii="Wingdings" w:hAnsi="Wingdings" w:hint="default"/>
      </w:rPr>
    </w:lvl>
    <w:lvl w:ilvl="6" w:tplc="25908FE0" w:tentative="1">
      <w:start w:val="1"/>
      <w:numFmt w:val="bullet"/>
      <w:lvlText w:val=""/>
      <w:lvlJc w:val="left"/>
      <w:pPr>
        <w:tabs>
          <w:tab w:val="num" w:pos="7308"/>
        </w:tabs>
        <w:ind w:left="7308" w:hanging="360"/>
      </w:pPr>
      <w:rPr>
        <w:rFonts w:ascii="Symbol" w:hAnsi="Symbol" w:hint="default"/>
      </w:rPr>
    </w:lvl>
    <w:lvl w:ilvl="7" w:tplc="FDA4251A" w:tentative="1">
      <w:start w:val="1"/>
      <w:numFmt w:val="bullet"/>
      <w:lvlText w:val="o"/>
      <w:lvlJc w:val="left"/>
      <w:pPr>
        <w:tabs>
          <w:tab w:val="num" w:pos="8028"/>
        </w:tabs>
        <w:ind w:left="8028" w:hanging="360"/>
      </w:pPr>
      <w:rPr>
        <w:rFonts w:ascii="Courier New" w:hAnsi="Courier New" w:hint="default"/>
      </w:rPr>
    </w:lvl>
    <w:lvl w:ilvl="8" w:tplc="D222E4C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5838B494">
      <w:start w:val="1"/>
      <w:numFmt w:val="bullet"/>
      <w:pStyle w:val="Bullet1G"/>
      <w:lvlText w:val="•"/>
      <w:lvlJc w:val="left"/>
      <w:pPr>
        <w:tabs>
          <w:tab w:val="num" w:pos="1701"/>
        </w:tabs>
        <w:ind w:left="1701" w:hanging="170"/>
      </w:pPr>
      <w:rPr>
        <w:rFonts w:ascii="Times New Roman" w:hAnsi="Times New Roman" w:cs="Times New Roman" w:hint="default"/>
      </w:rPr>
    </w:lvl>
    <w:lvl w:ilvl="1" w:tplc="1932FBE0" w:tentative="1">
      <w:start w:val="1"/>
      <w:numFmt w:val="bullet"/>
      <w:lvlText w:val="o"/>
      <w:lvlJc w:val="left"/>
      <w:pPr>
        <w:tabs>
          <w:tab w:val="num" w:pos="3141"/>
        </w:tabs>
        <w:ind w:left="3141" w:hanging="360"/>
      </w:pPr>
      <w:rPr>
        <w:rFonts w:ascii="Courier New" w:hAnsi="Courier New" w:hint="default"/>
      </w:rPr>
    </w:lvl>
    <w:lvl w:ilvl="2" w:tplc="5574C450" w:tentative="1">
      <w:start w:val="1"/>
      <w:numFmt w:val="bullet"/>
      <w:lvlText w:val=""/>
      <w:lvlJc w:val="left"/>
      <w:pPr>
        <w:tabs>
          <w:tab w:val="num" w:pos="3861"/>
        </w:tabs>
        <w:ind w:left="3861" w:hanging="360"/>
      </w:pPr>
      <w:rPr>
        <w:rFonts w:ascii="Wingdings" w:hAnsi="Wingdings" w:hint="default"/>
      </w:rPr>
    </w:lvl>
    <w:lvl w:ilvl="3" w:tplc="BD6ED484" w:tentative="1">
      <w:start w:val="1"/>
      <w:numFmt w:val="bullet"/>
      <w:lvlText w:val=""/>
      <w:lvlJc w:val="left"/>
      <w:pPr>
        <w:tabs>
          <w:tab w:val="num" w:pos="4581"/>
        </w:tabs>
        <w:ind w:left="4581" w:hanging="360"/>
      </w:pPr>
      <w:rPr>
        <w:rFonts w:ascii="Symbol" w:hAnsi="Symbol" w:hint="default"/>
      </w:rPr>
    </w:lvl>
    <w:lvl w:ilvl="4" w:tplc="53C8B1E6" w:tentative="1">
      <w:start w:val="1"/>
      <w:numFmt w:val="bullet"/>
      <w:lvlText w:val="o"/>
      <w:lvlJc w:val="left"/>
      <w:pPr>
        <w:tabs>
          <w:tab w:val="num" w:pos="5301"/>
        </w:tabs>
        <w:ind w:left="5301" w:hanging="360"/>
      </w:pPr>
      <w:rPr>
        <w:rFonts w:ascii="Courier New" w:hAnsi="Courier New" w:hint="default"/>
      </w:rPr>
    </w:lvl>
    <w:lvl w:ilvl="5" w:tplc="5CB4C342" w:tentative="1">
      <w:start w:val="1"/>
      <w:numFmt w:val="bullet"/>
      <w:lvlText w:val=""/>
      <w:lvlJc w:val="left"/>
      <w:pPr>
        <w:tabs>
          <w:tab w:val="num" w:pos="6021"/>
        </w:tabs>
        <w:ind w:left="6021" w:hanging="360"/>
      </w:pPr>
      <w:rPr>
        <w:rFonts w:ascii="Wingdings" w:hAnsi="Wingdings" w:hint="default"/>
      </w:rPr>
    </w:lvl>
    <w:lvl w:ilvl="6" w:tplc="6BFAC7E8" w:tentative="1">
      <w:start w:val="1"/>
      <w:numFmt w:val="bullet"/>
      <w:lvlText w:val=""/>
      <w:lvlJc w:val="left"/>
      <w:pPr>
        <w:tabs>
          <w:tab w:val="num" w:pos="6741"/>
        </w:tabs>
        <w:ind w:left="6741" w:hanging="360"/>
      </w:pPr>
      <w:rPr>
        <w:rFonts w:ascii="Symbol" w:hAnsi="Symbol" w:hint="default"/>
      </w:rPr>
    </w:lvl>
    <w:lvl w:ilvl="7" w:tplc="B8ECAADE" w:tentative="1">
      <w:start w:val="1"/>
      <w:numFmt w:val="bullet"/>
      <w:lvlText w:val="o"/>
      <w:lvlJc w:val="left"/>
      <w:pPr>
        <w:tabs>
          <w:tab w:val="num" w:pos="7461"/>
        </w:tabs>
        <w:ind w:left="7461" w:hanging="360"/>
      </w:pPr>
      <w:rPr>
        <w:rFonts w:ascii="Courier New" w:hAnsi="Courier New" w:hint="default"/>
      </w:rPr>
    </w:lvl>
    <w:lvl w:ilvl="8" w:tplc="8F3A347C"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40924123">
    <w:abstractNumId w:val="15"/>
  </w:num>
  <w:num w:numId="2" w16cid:durableId="849681882">
    <w:abstractNumId w:val="11"/>
  </w:num>
  <w:num w:numId="3" w16cid:durableId="1081681840">
    <w:abstractNumId w:val="10"/>
  </w:num>
  <w:num w:numId="4" w16cid:durableId="257182955">
    <w:abstractNumId w:val="8"/>
  </w:num>
  <w:num w:numId="5" w16cid:durableId="1410157142">
    <w:abstractNumId w:val="3"/>
  </w:num>
  <w:num w:numId="6" w16cid:durableId="1441071754">
    <w:abstractNumId w:val="2"/>
  </w:num>
  <w:num w:numId="7" w16cid:durableId="1598638387">
    <w:abstractNumId w:val="1"/>
  </w:num>
  <w:num w:numId="8" w16cid:durableId="1634408655">
    <w:abstractNumId w:val="0"/>
  </w:num>
  <w:num w:numId="9" w16cid:durableId="373189899">
    <w:abstractNumId w:val="9"/>
  </w:num>
  <w:num w:numId="10" w16cid:durableId="678504291">
    <w:abstractNumId w:val="7"/>
  </w:num>
  <w:num w:numId="11" w16cid:durableId="835148389">
    <w:abstractNumId w:val="6"/>
  </w:num>
  <w:num w:numId="12" w16cid:durableId="1838229177">
    <w:abstractNumId w:val="5"/>
  </w:num>
  <w:num w:numId="13" w16cid:durableId="348412193">
    <w:abstractNumId w:val="4"/>
  </w:num>
  <w:num w:numId="14" w16cid:durableId="902061583">
    <w:abstractNumId w:val="15"/>
  </w:num>
  <w:num w:numId="15" w16cid:durableId="1702364079">
    <w:abstractNumId w:val="11"/>
  </w:num>
  <w:num w:numId="16" w16cid:durableId="1902057803">
    <w:abstractNumId w:val="10"/>
  </w:num>
  <w:num w:numId="17" w16cid:durableId="1240286433">
    <w:abstractNumId w:val="12"/>
  </w:num>
  <w:num w:numId="18" w16cid:durableId="1540241542">
    <w:abstractNumId w:val="14"/>
  </w:num>
  <w:num w:numId="19" w16cid:durableId="75252356">
    <w:abstractNumId w:val="13"/>
  </w:num>
  <w:num w:numId="20" w16cid:durableId="15003451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26E69"/>
    <w:rsid w:val="00031C36"/>
    <w:rsid w:val="000334F9"/>
    <w:rsid w:val="00036F5D"/>
    <w:rsid w:val="0007796D"/>
    <w:rsid w:val="000A2588"/>
    <w:rsid w:val="000B4EF7"/>
    <w:rsid w:val="000B7790"/>
    <w:rsid w:val="000C2BDC"/>
    <w:rsid w:val="000C390E"/>
    <w:rsid w:val="000C4A15"/>
    <w:rsid w:val="00100320"/>
    <w:rsid w:val="00111F2F"/>
    <w:rsid w:val="0014365E"/>
    <w:rsid w:val="00150724"/>
    <w:rsid w:val="00150DB2"/>
    <w:rsid w:val="00176178"/>
    <w:rsid w:val="00192E80"/>
    <w:rsid w:val="001D4319"/>
    <w:rsid w:val="001E498C"/>
    <w:rsid w:val="001F525A"/>
    <w:rsid w:val="00223272"/>
    <w:rsid w:val="0024779E"/>
    <w:rsid w:val="00257838"/>
    <w:rsid w:val="00291F1D"/>
    <w:rsid w:val="00293E28"/>
    <w:rsid w:val="002966D7"/>
    <w:rsid w:val="002C3BE3"/>
    <w:rsid w:val="002D0F56"/>
    <w:rsid w:val="002D2E82"/>
    <w:rsid w:val="002E6AF8"/>
    <w:rsid w:val="002F100B"/>
    <w:rsid w:val="002F1C80"/>
    <w:rsid w:val="00353ED5"/>
    <w:rsid w:val="0035439D"/>
    <w:rsid w:val="0039005B"/>
    <w:rsid w:val="003B0B0F"/>
    <w:rsid w:val="003C05F3"/>
    <w:rsid w:val="003D1AD0"/>
    <w:rsid w:val="003D3938"/>
    <w:rsid w:val="00417ECA"/>
    <w:rsid w:val="00424D4C"/>
    <w:rsid w:val="00431F66"/>
    <w:rsid w:val="00446FE5"/>
    <w:rsid w:val="00452396"/>
    <w:rsid w:val="00457CD7"/>
    <w:rsid w:val="0046257D"/>
    <w:rsid w:val="00482156"/>
    <w:rsid w:val="00484479"/>
    <w:rsid w:val="004D0848"/>
    <w:rsid w:val="004E3A1B"/>
    <w:rsid w:val="005103A6"/>
    <w:rsid w:val="0053631F"/>
    <w:rsid w:val="005505B7"/>
    <w:rsid w:val="00573BE5"/>
    <w:rsid w:val="00586ED3"/>
    <w:rsid w:val="00596AA9"/>
    <w:rsid w:val="005A14CB"/>
    <w:rsid w:val="005B43E7"/>
    <w:rsid w:val="005B6BC9"/>
    <w:rsid w:val="005B75E3"/>
    <w:rsid w:val="005C06D4"/>
    <w:rsid w:val="006056E0"/>
    <w:rsid w:val="006239EA"/>
    <w:rsid w:val="00625F32"/>
    <w:rsid w:val="00670DFB"/>
    <w:rsid w:val="006748CF"/>
    <w:rsid w:val="006813D2"/>
    <w:rsid w:val="006861E6"/>
    <w:rsid w:val="006A2080"/>
    <w:rsid w:val="006B627B"/>
    <w:rsid w:val="006E3F0A"/>
    <w:rsid w:val="00706E82"/>
    <w:rsid w:val="0071601D"/>
    <w:rsid w:val="0072392D"/>
    <w:rsid w:val="00766CEC"/>
    <w:rsid w:val="007A26B7"/>
    <w:rsid w:val="007A62E6"/>
    <w:rsid w:val="007B5529"/>
    <w:rsid w:val="007E5386"/>
    <w:rsid w:val="00801226"/>
    <w:rsid w:val="0080684C"/>
    <w:rsid w:val="00815502"/>
    <w:rsid w:val="00830674"/>
    <w:rsid w:val="00831242"/>
    <w:rsid w:val="0085508B"/>
    <w:rsid w:val="00861053"/>
    <w:rsid w:val="00863F97"/>
    <w:rsid w:val="00871C75"/>
    <w:rsid w:val="008776DC"/>
    <w:rsid w:val="00880106"/>
    <w:rsid w:val="008A0E26"/>
    <w:rsid w:val="008C7952"/>
    <w:rsid w:val="008E2BD2"/>
    <w:rsid w:val="008F02FF"/>
    <w:rsid w:val="008F69EF"/>
    <w:rsid w:val="00950B01"/>
    <w:rsid w:val="00957790"/>
    <w:rsid w:val="009705C8"/>
    <w:rsid w:val="009B4065"/>
    <w:rsid w:val="009C3F41"/>
    <w:rsid w:val="009C41E2"/>
    <w:rsid w:val="009C747D"/>
    <w:rsid w:val="00A319E9"/>
    <w:rsid w:val="00A75EB9"/>
    <w:rsid w:val="00A815AF"/>
    <w:rsid w:val="00AB7E73"/>
    <w:rsid w:val="00AC2CCD"/>
    <w:rsid w:val="00AC3823"/>
    <w:rsid w:val="00AD0747"/>
    <w:rsid w:val="00AE323C"/>
    <w:rsid w:val="00AE7729"/>
    <w:rsid w:val="00B00181"/>
    <w:rsid w:val="00B11B00"/>
    <w:rsid w:val="00B34BE7"/>
    <w:rsid w:val="00B41FDC"/>
    <w:rsid w:val="00B43C66"/>
    <w:rsid w:val="00B765F7"/>
    <w:rsid w:val="00B9024D"/>
    <w:rsid w:val="00BA07AB"/>
    <w:rsid w:val="00BA0CA9"/>
    <w:rsid w:val="00BA1071"/>
    <w:rsid w:val="00BC0C27"/>
    <w:rsid w:val="00BE4745"/>
    <w:rsid w:val="00BF30B9"/>
    <w:rsid w:val="00BF3C2C"/>
    <w:rsid w:val="00C02897"/>
    <w:rsid w:val="00C10BCA"/>
    <w:rsid w:val="00C155C7"/>
    <w:rsid w:val="00C265B5"/>
    <w:rsid w:val="00C448CC"/>
    <w:rsid w:val="00C5055C"/>
    <w:rsid w:val="00C943DA"/>
    <w:rsid w:val="00CB43B4"/>
    <w:rsid w:val="00CB56FC"/>
    <w:rsid w:val="00CC2887"/>
    <w:rsid w:val="00CF0CC1"/>
    <w:rsid w:val="00D263D7"/>
    <w:rsid w:val="00D3439C"/>
    <w:rsid w:val="00DA22F4"/>
    <w:rsid w:val="00DA40FE"/>
    <w:rsid w:val="00DB1831"/>
    <w:rsid w:val="00DC0AE6"/>
    <w:rsid w:val="00DC11EE"/>
    <w:rsid w:val="00DD052A"/>
    <w:rsid w:val="00DD3BFD"/>
    <w:rsid w:val="00DF6678"/>
    <w:rsid w:val="00E22CF2"/>
    <w:rsid w:val="00E52D25"/>
    <w:rsid w:val="00E52D9F"/>
    <w:rsid w:val="00E56B4F"/>
    <w:rsid w:val="00E76554"/>
    <w:rsid w:val="00ED7614"/>
    <w:rsid w:val="00F01808"/>
    <w:rsid w:val="00F164B0"/>
    <w:rsid w:val="00F24D6D"/>
    <w:rsid w:val="00F660DF"/>
    <w:rsid w:val="00F772C5"/>
    <w:rsid w:val="00F80094"/>
    <w:rsid w:val="00F8553B"/>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5D6F6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8F02FF"/>
    <w:rPr>
      <w:color w:val="605E5C"/>
      <w:shd w:val="clear" w:color="auto" w:fill="E1DFDD"/>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4E3A1B"/>
    <w:rPr>
      <w:sz w:val="16"/>
      <w:szCs w:val="16"/>
    </w:rPr>
  </w:style>
  <w:style w:type="paragraph" w:styleId="CommentText">
    <w:name w:val="annotation text"/>
    <w:basedOn w:val="Normal"/>
    <w:link w:val="CommentTextChar"/>
    <w:uiPriority w:val="99"/>
    <w:unhideWhenUsed/>
    <w:rsid w:val="004E3A1B"/>
    <w:pPr>
      <w:spacing w:line="240" w:lineRule="auto"/>
    </w:pPr>
  </w:style>
  <w:style w:type="character" w:customStyle="1" w:styleId="CommentTextChar">
    <w:name w:val="Comment Text Char"/>
    <w:basedOn w:val="DefaultParagraphFont"/>
    <w:link w:val="CommentText"/>
    <w:uiPriority w:val="99"/>
    <w:rsid w:val="004E3A1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E3A1B"/>
    <w:rPr>
      <w:b/>
      <w:bCs/>
    </w:rPr>
  </w:style>
  <w:style w:type="character" w:customStyle="1" w:styleId="CommentSubjectChar">
    <w:name w:val="Comment Subject Char"/>
    <w:basedOn w:val="CommentTextChar"/>
    <w:link w:val="CommentSubject"/>
    <w:uiPriority w:val="99"/>
    <w:semiHidden/>
    <w:rsid w:val="004E3A1B"/>
    <w:rPr>
      <w:rFonts w:ascii="Times New Roman" w:eastAsia="Times New Roman" w:hAnsi="Times New Roman" w:cs="Times New Roman"/>
      <w:b/>
      <w:bCs/>
      <w:sz w:val="20"/>
      <w:szCs w:val="20"/>
      <w:lang w:val="en-GB"/>
    </w:rPr>
  </w:style>
  <w:style w:type="paragraph" w:styleId="Revision">
    <w:name w:val="Revision"/>
    <w:hidden/>
    <w:uiPriority w:val="99"/>
    <w:semiHidden/>
    <w:rsid w:val="00830674"/>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RD/C/113/3"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SR.2914"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0ED467-B3F0-4211-A2BF-990DA67F141B}">
  <ds:schemaRefs>
    <ds:schemaRef ds:uri="http://schemas.microsoft.com/sharepoint/v3/contenttype/forms"/>
  </ds:schemaRefs>
</ds:datastoreItem>
</file>

<file path=customXml/itemProps2.xml><?xml version="1.0" encoding="utf-8"?>
<ds:datastoreItem xmlns:ds="http://schemas.openxmlformats.org/officeDocument/2006/customXml" ds:itemID="{9EA1B532-702D-4C5F-A910-48D5482CD171}">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85FBEA41-2D5A-45EA-B848-3F13425121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1565</Words>
  <Characters>8739</Characters>
  <Application>Microsoft Office Word</Application>
  <DocSecurity>0</DocSecurity>
  <Lines>145</Lines>
  <Paragraphs>42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CERD/C/SR.3107</vt:lpstr>
      <vt:lpstr/>
      <vt:lpstr/>
    </vt:vector>
  </TitlesOfParts>
  <Company>DCM</Company>
  <LinksUpToDate>false</LinksUpToDate>
  <CharactersWithSpaces>10278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CERD/C/SR.3107</dc:title>
  <dc:subject>2415133</dc:subject>
  <dc:creator>cg</dc:creator>
  <cp:keywords/>
  <dc:description/>
  <cp:lastModifiedBy>Anni Vi</cp:lastModifiedBy>
  <cp:revision>2</cp:revision>
  <cp:lastPrinted>2017-10-13T08:20:00Z</cp:lastPrinted>
  <dcterms:created xsi:type="dcterms:W3CDTF">2024-08-27T12:20:00Z</dcterms:created>
  <dcterms:modified xsi:type="dcterms:W3CDTF">2024-08-27T12:20:00Z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26/08/2024 11:55:04</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23 August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3107th</vt:lpwstr>
  </property>
  <property fmtid="{D5CDD505-2E9C-101B-9397-08002B2CF9AE}" pid="22" name="olang">
    <vt:lpwstr>English</vt:lpwstr>
  </property>
  <property fmtid="{D5CDD505-2E9C-101B-9397-08002B2CF9AE}" pid="23" name="Order">
    <vt:r8>397000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113th</vt:lpwstr>
  </property>
  <property fmtid="{D5CDD505-2E9C-101B-9397-08002B2CF9AE}" pid="29" name="stitle">
    <vt:lpwstr>stitle</vt:lpwstr>
  </property>
  <property fmtid="{D5CDD505-2E9C-101B-9397-08002B2CF9AE}" pid="30" name="sym1">
    <vt:lpwstr>C/SR.3107</vt:lpwstr>
  </property>
  <property fmtid="{D5CDD505-2E9C-101B-9397-08002B2CF9AE}" pid="31" name="symh">
    <vt:lpwstr>CERD/C/SR.3107</vt:lpwstr>
  </property>
  <property fmtid="{D5CDD505-2E9C-101B-9397-08002B2CF9AE}" pid="32" name="tlang">
    <vt:lpwstr>tlang</vt:lpwstr>
  </property>
  <property fmtid="{D5CDD505-2E9C-101B-9397-08002B2CF9AE}" pid="33" name="virs">
    <vt:lpwstr>virs</vt:lpwstr>
  </property>
</Properties>
</file>