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5B4" w:rsidRPr="00B53DD5" w:rsidRDefault="00B53DD5" w:rsidP="00B53DD5">
      <w:pPr>
        <w:spacing w:line="60" w:lineRule="exact"/>
        <w:rPr>
          <w:spacing w:val="0"/>
          <w:w w:val="100"/>
          <w:kern w:val="0"/>
          <w:sz w:val="6"/>
        </w:rPr>
        <w:sectPr w:rsidR="000875B4" w:rsidRPr="00B53D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rStyle w:val="CommentReference"/>
        </w:rPr>
        <w:commentReference w:id="0"/>
      </w:r>
    </w:p>
    <w:p w:rsidR="000875B4" w:rsidRDefault="000875B4">
      <w:pPr>
        <w:pStyle w:val="H1"/>
        <w:tabs>
          <w:tab w:val="left" w:pos="680"/>
        </w:tabs>
        <w:spacing w:after="84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t>в отношении женщин</w:t>
      </w:r>
    </w:p>
    <w:p w:rsidR="000875B4" w:rsidRDefault="000875B4">
      <w:pPr>
        <w:pStyle w:val="HCh"/>
        <w:spacing w:after="240" w:line="240" w:lineRule="auto"/>
        <w:ind w:left="1264" w:right="1259"/>
        <w:rPr>
          <w:spacing w:val="0"/>
          <w:w w:val="100"/>
          <w:kern w:val="0"/>
          <w:lang w:val="ru-RU"/>
        </w:rPr>
      </w:pPr>
      <w:r>
        <w:rPr>
          <w:spacing w:val="0"/>
          <w:w w:val="100"/>
          <w:kern w:val="0"/>
          <w:lang w:val="ru-RU"/>
        </w:rPr>
        <w:t xml:space="preserve">Рассмотрение докладов, представленных </w:t>
      </w:r>
      <w:r>
        <w:rPr>
          <w:spacing w:val="0"/>
          <w:w w:val="100"/>
          <w:kern w:val="0"/>
          <w:lang w:val="ru-RU"/>
        </w:rPr>
        <w:br/>
        <w:t xml:space="preserve">государствами-участниками в соответствии </w:t>
      </w:r>
      <w:r>
        <w:rPr>
          <w:spacing w:val="0"/>
          <w:w w:val="100"/>
          <w:kern w:val="0"/>
          <w:lang w:val="ru-RU"/>
        </w:rPr>
        <w:br/>
        <w:t>со статьей 18 Конвенции о</w:t>
      </w:r>
      <w:r>
        <w:rPr>
          <w:spacing w:val="0"/>
          <w:w w:val="100"/>
          <w:kern w:val="0"/>
          <w:lang w:val="en-US"/>
        </w:rPr>
        <w:t> </w:t>
      </w:r>
      <w:r>
        <w:rPr>
          <w:spacing w:val="0"/>
          <w:w w:val="100"/>
          <w:kern w:val="0"/>
          <w:lang w:val="ru-RU"/>
        </w:rPr>
        <w:t>ликвидации всех форм дискриминации в отношении женщин</w:t>
      </w:r>
    </w:p>
    <w:p w:rsidR="000875B4" w:rsidRDefault="000875B4">
      <w:pPr>
        <w:pStyle w:val="H1"/>
        <w:spacing w:after="240" w:line="240" w:lineRule="auto"/>
        <w:ind w:left="1264" w:right="1259"/>
        <w:rPr>
          <w:spacing w:val="0"/>
          <w:w w:val="100"/>
          <w:kern w:val="0"/>
          <w:lang w:val="ru-RU"/>
        </w:rPr>
      </w:pPr>
      <w:r>
        <w:rPr>
          <w:spacing w:val="0"/>
          <w:w w:val="100"/>
          <w:kern w:val="0"/>
          <w:lang w:val="ru-RU"/>
        </w:rPr>
        <w:t>Объединенные шестой и седьмой периодические доклады государств-участников</w:t>
      </w:r>
    </w:p>
    <w:p w:rsidR="000875B4" w:rsidRDefault="000875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4" w:right="1259"/>
        <w:rPr>
          <w:spacing w:val="0"/>
          <w:w w:val="100"/>
          <w:kern w:val="0"/>
          <w:sz w:val="20"/>
        </w:rPr>
      </w:pPr>
      <w:r>
        <w:rPr>
          <w:spacing w:val="0"/>
          <w:w w:val="100"/>
          <w:kern w:val="0"/>
          <w:szCs w:val="24"/>
          <w:lang w:val="ru-RU"/>
        </w:rPr>
        <w:t>Эквадор</w:t>
      </w:r>
      <w:r>
        <w:rPr>
          <w:rStyle w:val="FootnoteReference"/>
          <w:b w:val="0"/>
          <w:sz w:val="24"/>
          <w:szCs w:val="24"/>
          <w:lang w:val="ru-RU"/>
        </w:rPr>
        <w:footnoteReference w:customMarkFollows="1" w:id="1"/>
        <w:t>*</w:t>
      </w:r>
    </w:p>
    <w:p w:rsidR="000875B4" w:rsidRDefault="000875B4">
      <w:pPr>
        <w:pStyle w:val="SingleTxt"/>
        <w:suppressAutoHyphens/>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rPr>
      </w:pPr>
      <w:r>
        <w:rPr>
          <w:spacing w:val="0"/>
          <w:w w:val="100"/>
          <w:kern w:val="0"/>
        </w:rPr>
        <w:br w:type="page"/>
      </w:r>
      <w:r>
        <w:rPr>
          <w:spacing w:val="0"/>
          <w:w w:val="100"/>
          <w:kern w:val="0"/>
        </w:rPr>
        <w:tab/>
      </w:r>
      <w:r>
        <w:rPr>
          <w:spacing w:val="0"/>
          <w:w w:val="100"/>
          <w:kern w:val="0"/>
        </w:rPr>
        <w:tab/>
      </w:r>
      <w:r>
        <w:rPr>
          <w:spacing w:val="0"/>
          <w:w w:val="100"/>
          <w:kern w:val="0"/>
          <w:szCs w:val="24"/>
          <w:lang w:val="ru-RU"/>
        </w:rPr>
        <w:t>Объединенные шестой и седьмой официальные доклады</w:t>
      </w:r>
      <w:r>
        <w:rPr>
          <w:rStyle w:val="FootnoteReference"/>
          <w:b w:val="0"/>
        </w:rPr>
        <w:t xml:space="preserve"> </w:t>
      </w:r>
      <w:r>
        <w:rPr>
          <w:rStyle w:val="FootnoteReference"/>
          <w:b w:val="0"/>
        </w:rPr>
        <w:footnoteReference w:id="2"/>
      </w:r>
      <w:r>
        <w:rPr>
          <w:spacing w:val="0"/>
          <w:w w:val="100"/>
          <w:kern w:val="0"/>
        </w:rPr>
        <w:t xml:space="preserve"> </w:t>
      </w:r>
      <w:r>
        <w:rPr>
          <w:spacing w:val="0"/>
          <w:w w:val="100"/>
          <w:kern w:val="0"/>
          <w:szCs w:val="24"/>
          <w:lang w:val="ru-RU"/>
        </w:rPr>
        <w:t xml:space="preserve">Эквадора о ходе выполнения Конвенции о ликвидации </w:t>
      </w:r>
      <w:r>
        <w:rPr>
          <w:spacing w:val="0"/>
          <w:w w:val="100"/>
          <w:kern w:val="0"/>
          <w:szCs w:val="24"/>
          <w:lang w:val="ru-RU"/>
        </w:rPr>
        <w:br/>
        <w:t xml:space="preserve">всех форм дискриминации в отношении женщин </w:t>
      </w:r>
    </w:p>
    <w:p w:rsidR="000875B4" w:rsidRDefault="000875B4">
      <w:pPr>
        <w:pStyle w:val="SingleTxt"/>
        <w:suppressAutoHyphens/>
        <w:spacing w:after="0" w:line="120" w:lineRule="exact"/>
        <w:rPr>
          <w:sz w:val="10"/>
          <w:lang w:val="ru-RU"/>
        </w:rPr>
      </w:pPr>
    </w:p>
    <w:p w:rsidR="000875B4" w:rsidRDefault="000875B4">
      <w:pPr>
        <w:pStyle w:val="SingleTxt"/>
        <w:suppressAutoHyphens/>
        <w:spacing w:after="0" w:line="120" w:lineRule="exact"/>
        <w:rPr>
          <w:sz w:val="10"/>
          <w:lang w:val="ru-RU"/>
        </w:rPr>
      </w:pPr>
    </w:p>
    <w:p w:rsidR="000875B4" w:rsidRDefault="000875B4">
      <w:pPr>
        <w:pStyle w:val="SingleTxt"/>
        <w:keepNext/>
        <w:keepLines/>
        <w:suppressAutoHyphens/>
        <w:spacing w:after="0"/>
        <w:ind w:left="1264" w:right="1259" w:hanging="1264"/>
        <w:jc w:val="left"/>
        <w:outlineLvl w:val="1"/>
        <w:rPr>
          <w:b/>
          <w:bCs/>
          <w:sz w:val="10"/>
          <w:lang w:val="ru-RU"/>
        </w:rPr>
      </w:pPr>
      <w:r>
        <w:rPr>
          <w:b/>
          <w:bCs/>
          <w:lang w:val="ru-RU"/>
        </w:rPr>
        <w:tab/>
      </w:r>
      <w:r>
        <w:rPr>
          <w:b/>
          <w:bCs/>
          <w:lang w:val="ru-RU"/>
        </w:rPr>
        <w:tab/>
        <w:t>За период 1998–2006 годов</w:t>
      </w:r>
    </w:p>
    <w:p w:rsidR="000875B4" w:rsidRDefault="000875B4">
      <w:pPr>
        <w:pStyle w:val="SingleTxt"/>
        <w:suppressAutoHyphens/>
        <w:spacing w:after="0" w:line="120" w:lineRule="exact"/>
        <w:rPr>
          <w:sz w:val="10"/>
          <w:lang w:val="ru-RU"/>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59" w:hanging="1264"/>
      </w:pPr>
      <w:r>
        <w:tab/>
      </w:r>
      <w:r>
        <w:tab/>
      </w:r>
      <w:r>
        <w:rPr>
          <w:bCs/>
          <w:szCs w:val="24"/>
          <w:lang w:val="ru-RU"/>
        </w:rPr>
        <w:t>Кито, декабрь 2006 года</w:t>
      </w:r>
    </w:p>
    <w:p w:rsidR="000875B4" w:rsidRDefault="000875B4">
      <w:pPr>
        <w:pStyle w:val="SingleTxt"/>
        <w:suppressAutoHyphens/>
      </w:pPr>
    </w:p>
    <w:p w:rsidR="000875B4" w:rsidRDefault="000875B4">
      <w:pPr>
        <w:pStyle w:val="SingleTxt"/>
        <w:suppressAutoHyphens/>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es-EC"/>
        </w:rPr>
      </w:pPr>
      <w:r>
        <w:rPr>
          <w:spacing w:val="0"/>
          <w:w w:val="100"/>
          <w:kern w:val="0"/>
        </w:rPr>
        <w:br w:type="page"/>
      </w:r>
      <w:r>
        <w:rPr>
          <w:spacing w:val="0"/>
          <w:w w:val="100"/>
          <w:kern w:val="0"/>
        </w:rPr>
        <w:tab/>
      </w:r>
      <w:r>
        <w:rPr>
          <w:spacing w:val="0"/>
          <w:w w:val="100"/>
          <w:kern w:val="0"/>
        </w:rPr>
        <w:tab/>
      </w:r>
      <w:r>
        <w:rPr>
          <w:spacing w:val="0"/>
          <w:w w:val="100"/>
          <w:kern w:val="0"/>
          <w:szCs w:val="24"/>
          <w:lang w:val="ru-RU"/>
        </w:rPr>
        <w:t xml:space="preserve">Состав Рабочей группы по правам женщин </w:t>
      </w:r>
      <w:r>
        <w:rPr>
          <w:spacing w:val="0"/>
          <w:w w:val="100"/>
          <w:kern w:val="0"/>
          <w:szCs w:val="24"/>
          <w:lang w:val="ru-RU"/>
        </w:rPr>
        <w:br/>
        <w:t xml:space="preserve">при Государственной координационной комиссии Эквадора </w:t>
      </w:r>
      <w:r>
        <w:rPr>
          <w:spacing w:val="0"/>
          <w:w w:val="100"/>
          <w:kern w:val="0"/>
          <w:szCs w:val="24"/>
          <w:lang w:val="ru-RU"/>
        </w:rPr>
        <w:br/>
        <w:t>по правам человека</w:t>
      </w:r>
    </w:p>
    <w:p w:rsidR="000875B4" w:rsidRDefault="000875B4">
      <w:pPr>
        <w:pStyle w:val="SingleTxt"/>
        <w:spacing w:after="0" w:line="120" w:lineRule="exact"/>
        <w:rPr>
          <w:sz w:val="10"/>
          <w:lang w:val="es-EC"/>
        </w:rPr>
      </w:pPr>
    </w:p>
    <w:p w:rsidR="000875B4" w:rsidRDefault="000875B4">
      <w:pPr>
        <w:pStyle w:val="SingleTxt"/>
        <w:suppressAutoHyphens/>
        <w:spacing w:after="0" w:line="120" w:lineRule="exact"/>
        <w:rPr>
          <w:sz w:val="10"/>
          <w:lang w:val="es-EC"/>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szCs w:val="24"/>
          <w:lang w:val="ru-RU"/>
        </w:rPr>
        <w:t>Государственные учреждения</w:t>
      </w:r>
    </w:p>
    <w:p w:rsidR="000875B4" w:rsidRDefault="000875B4">
      <w:pPr>
        <w:pStyle w:val="SingleTxt"/>
        <w:spacing w:after="0" w:line="120" w:lineRule="exact"/>
        <w:rPr>
          <w:sz w:val="10"/>
        </w:rPr>
      </w:pPr>
    </w:p>
    <w:p w:rsidR="000875B4" w:rsidRDefault="000875B4">
      <w:pPr>
        <w:pStyle w:val="SingleTxt"/>
      </w:pPr>
      <w:r>
        <w:rPr>
          <w:lang w:val="ru-RU"/>
        </w:rPr>
        <w:t xml:space="preserve">Верховный избирательный суд </w:t>
      </w:r>
    </w:p>
    <w:p w:rsidR="000875B4" w:rsidRDefault="000875B4">
      <w:pPr>
        <w:pStyle w:val="SingleTxt"/>
      </w:pPr>
      <w:r>
        <w:rPr>
          <w:lang w:val="ru-RU"/>
        </w:rPr>
        <w:t xml:space="preserve">Комиссия по делам женщин и семьи Национального конгресса </w:t>
      </w:r>
    </w:p>
    <w:p w:rsidR="000875B4" w:rsidRDefault="000875B4">
      <w:pPr>
        <w:pStyle w:val="SingleTxt"/>
      </w:pPr>
      <w:r>
        <w:rPr>
          <w:lang w:val="ru-RU"/>
        </w:rPr>
        <w:t xml:space="preserve">Конституционный суд </w:t>
      </w:r>
    </w:p>
    <w:p w:rsidR="000875B4" w:rsidRDefault="000875B4">
      <w:pPr>
        <w:pStyle w:val="SingleTxt"/>
      </w:pPr>
      <w:r>
        <w:rPr>
          <w:lang w:val="ru-RU"/>
        </w:rPr>
        <w:t>Министерство внутренних дел</w:t>
      </w:r>
    </w:p>
    <w:p w:rsidR="000875B4" w:rsidRDefault="000875B4">
      <w:pPr>
        <w:pStyle w:val="SingleTxt"/>
      </w:pPr>
      <w:r>
        <w:rPr>
          <w:lang w:val="ru-RU"/>
        </w:rPr>
        <w:t>Министерство здравоохранения</w:t>
      </w:r>
    </w:p>
    <w:p w:rsidR="000875B4" w:rsidRDefault="000875B4">
      <w:pPr>
        <w:pStyle w:val="SingleTxt"/>
      </w:pPr>
      <w:r>
        <w:rPr>
          <w:lang w:val="ru-RU"/>
        </w:rPr>
        <w:t>Министерство иностранных дел</w:t>
      </w:r>
    </w:p>
    <w:p w:rsidR="000875B4" w:rsidRDefault="000875B4">
      <w:pPr>
        <w:pStyle w:val="SingleTxt"/>
      </w:pPr>
      <w:r>
        <w:rPr>
          <w:lang w:val="ru-RU"/>
        </w:rPr>
        <w:t>Министерство образования</w:t>
      </w:r>
    </w:p>
    <w:p w:rsidR="000875B4" w:rsidRDefault="000875B4">
      <w:pPr>
        <w:pStyle w:val="SingleTxt"/>
      </w:pPr>
      <w:r>
        <w:rPr>
          <w:lang w:val="ru-RU"/>
        </w:rPr>
        <w:t>Министерство охраны окружающей среды</w:t>
      </w:r>
    </w:p>
    <w:p w:rsidR="000875B4" w:rsidRDefault="000875B4">
      <w:pPr>
        <w:pStyle w:val="SingleTxt"/>
      </w:pPr>
      <w:r>
        <w:rPr>
          <w:lang w:val="ru-RU"/>
        </w:rPr>
        <w:t>Министерство социального обеспечения</w:t>
      </w:r>
    </w:p>
    <w:p w:rsidR="000875B4" w:rsidRDefault="000875B4">
      <w:pPr>
        <w:pStyle w:val="SingleTxt"/>
      </w:pPr>
      <w:r>
        <w:rPr>
          <w:lang w:val="ru-RU"/>
        </w:rPr>
        <w:t xml:space="preserve">Министерство труда и занятости </w:t>
      </w:r>
    </w:p>
    <w:p w:rsidR="000875B4" w:rsidRDefault="000875B4">
      <w:pPr>
        <w:pStyle w:val="SingleTxt"/>
      </w:pPr>
      <w:r>
        <w:rPr>
          <w:lang w:val="ru-RU"/>
        </w:rPr>
        <w:t>Министерство экономики и финансов</w:t>
      </w:r>
    </w:p>
    <w:p w:rsidR="000875B4" w:rsidRDefault="000875B4">
      <w:pPr>
        <w:pStyle w:val="SingleTxt"/>
      </w:pPr>
      <w:r>
        <w:rPr>
          <w:lang w:val="ru-RU"/>
        </w:rPr>
        <w:t xml:space="preserve">Национальное управление по гендерным проблемам при Министерстве внутренних дел </w:t>
      </w:r>
    </w:p>
    <w:p w:rsidR="000875B4" w:rsidRDefault="000875B4">
      <w:pPr>
        <w:pStyle w:val="SingleTxt"/>
      </w:pPr>
      <w:r>
        <w:rPr>
          <w:lang w:val="ru-RU"/>
        </w:rPr>
        <w:t xml:space="preserve">Национальное управление по делам женщин при Управлении уполномоченного по правам человека </w:t>
      </w:r>
    </w:p>
    <w:p w:rsidR="000875B4" w:rsidRDefault="000875B4">
      <w:pPr>
        <w:pStyle w:val="SingleTxt"/>
      </w:pPr>
      <w:r>
        <w:rPr>
          <w:lang w:val="ru-RU"/>
        </w:rPr>
        <w:t>Национальный институт статистики и переписи населения (ИНЕК)</w:t>
      </w:r>
    </w:p>
    <w:p w:rsidR="000875B4" w:rsidRDefault="000875B4">
      <w:pPr>
        <w:pStyle w:val="SingleTxt"/>
      </w:pPr>
      <w:r>
        <w:rPr>
          <w:lang w:val="ru-RU"/>
        </w:rPr>
        <w:t xml:space="preserve">Национальный совет по делам женщин (КОНАМУ) </w:t>
      </w:r>
    </w:p>
    <w:p w:rsidR="000875B4" w:rsidRDefault="000875B4">
      <w:pPr>
        <w:pStyle w:val="SingleTxt"/>
      </w:pPr>
      <w:r>
        <w:rPr>
          <w:lang w:val="ru-RU"/>
        </w:rPr>
        <w:t>Национальный совет по делам инвалидов (КОНАИДС)</w:t>
      </w:r>
    </w:p>
    <w:p w:rsidR="000875B4" w:rsidRDefault="000875B4">
      <w:pPr>
        <w:pStyle w:val="SingleTxt"/>
      </w:pPr>
      <w:r>
        <w:rPr>
          <w:lang w:val="ru-RU"/>
        </w:rPr>
        <w:t xml:space="preserve">Оперативный отдел по исполнению Закона о бесплатной медицинской помощи беременным, роженицам и новорожденным и о медицинском обслуживании детей </w:t>
      </w:r>
    </w:p>
    <w:p w:rsidR="000875B4" w:rsidRDefault="000875B4">
      <w:pPr>
        <w:pStyle w:val="SingleTxt"/>
      </w:pPr>
      <w:r>
        <w:rPr>
          <w:lang w:val="ru-RU"/>
        </w:rPr>
        <w:t xml:space="preserve">Отдел гендерных проблем и проблем молодежи Министерства труда и занятости </w:t>
      </w:r>
    </w:p>
    <w:p w:rsidR="000875B4" w:rsidRDefault="000875B4">
      <w:pPr>
        <w:pStyle w:val="SingleTxt"/>
      </w:pPr>
      <w:r>
        <w:rPr>
          <w:lang w:val="ru-RU"/>
        </w:rPr>
        <w:t xml:space="preserve">Программа Министерства образования ПЛАНЕСА </w:t>
      </w:r>
    </w:p>
    <w:p w:rsidR="000875B4" w:rsidRDefault="000875B4">
      <w:pPr>
        <w:pStyle w:val="SingleTxt"/>
        <w:rPr>
          <w:color w:val="000000"/>
        </w:rPr>
      </w:pPr>
      <w:r>
        <w:rPr>
          <w:color w:val="000000"/>
          <w:lang w:val="ru-RU"/>
        </w:rPr>
        <w:t>Совет по развитию афроэквадорцев (КОДАЭ)</w:t>
      </w:r>
      <w:r>
        <w:rPr>
          <w:color w:val="000000"/>
          <w:lang w:val="ru-RU" w:eastAsia="ru-RU"/>
        </w:rPr>
        <w:t xml:space="preserve"> </w:t>
      </w:r>
    </w:p>
    <w:p w:rsidR="000875B4" w:rsidRDefault="000875B4">
      <w:pPr>
        <w:pStyle w:val="SingleTxt"/>
      </w:pPr>
      <w:r>
        <w:rPr>
          <w:color w:val="000000"/>
          <w:lang w:val="ru-RU" w:eastAsia="ru-RU"/>
        </w:rPr>
        <w:t>Совет по развитию народностей и народов Эквадора (КОДЕНПЭ)</w:t>
      </w:r>
    </w:p>
    <w:p w:rsidR="000875B4" w:rsidRDefault="000875B4">
      <w:pPr>
        <w:pStyle w:val="SingleTxt"/>
      </w:pPr>
      <w:r>
        <w:rPr>
          <w:lang w:val="ru-RU"/>
        </w:rPr>
        <w:t>Технический секретариат Социального фронта</w:t>
      </w:r>
    </w:p>
    <w:p w:rsidR="000875B4" w:rsidRDefault="000875B4">
      <w:pPr>
        <w:pStyle w:val="SingleTxt"/>
        <w:suppressAutoHyphens/>
      </w:pPr>
      <w:r>
        <w:rPr>
          <w:bCs/>
          <w:lang w:val="ru-RU"/>
        </w:rPr>
        <w:t>Управление Национальной полиции по защите прав женщин (ОДМУ)</w:t>
      </w:r>
    </w:p>
    <w:p w:rsidR="000875B4" w:rsidRDefault="000875B4">
      <w:pPr>
        <w:pStyle w:val="SingleTxt"/>
        <w:suppressAutoHyphens/>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szCs w:val="24"/>
          <w:lang w:val="ru-RU"/>
        </w:rPr>
        <w:t>Организации гражданского общества</w:t>
      </w:r>
    </w:p>
    <w:p w:rsidR="000875B4" w:rsidRDefault="000875B4">
      <w:pPr>
        <w:pStyle w:val="SingleTxt"/>
        <w:spacing w:after="0" w:line="120" w:lineRule="exact"/>
        <w:rPr>
          <w:sz w:val="10"/>
        </w:rPr>
      </w:pPr>
    </w:p>
    <w:p w:rsidR="000875B4" w:rsidRDefault="000875B4">
      <w:pPr>
        <w:pStyle w:val="SingleTxt"/>
        <w:rPr>
          <w:lang w:val="ru-RU"/>
        </w:rPr>
      </w:pPr>
      <w:r>
        <w:rPr>
          <w:lang w:val="ru-RU"/>
        </w:rPr>
        <w:t xml:space="preserve">Ассоциация женщин – депутатов провинциальных парламентов Эквадора (АКОПЕ) </w:t>
      </w:r>
    </w:p>
    <w:p w:rsidR="000875B4" w:rsidRDefault="000875B4">
      <w:pPr>
        <w:pStyle w:val="SingleTxt"/>
        <w:rPr>
          <w:lang w:val="ru-RU"/>
        </w:rPr>
      </w:pPr>
      <w:r>
        <w:rPr>
          <w:lang w:val="ru-RU"/>
        </w:rPr>
        <w:t xml:space="preserve">Ассоциация муниципалитетов Эквадора (АМЕ) </w:t>
      </w:r>
    </w:p>
    <w:p w:rsidR="000875B4" w:rsidRDefault="000875B4">
      <w:pPr>
        <w:pStyle w:val="SingleTxt"/>
        <w:rPr>
          <w:lang w:val="ru-RU"/>
        </w:rPr>
      </w:pPr>
      <w:r>
        <w:rPr>
          <w:lang w:val="ru-RU"/>
        </w:rPr>
        <w:t xml:space="preserve">Ассоциация провинциальных парламентов Эквадора (КОНКОПЕ) </w:t>
      </w:r>
    </w:p>
    <w:p w:rsidR="000875B4" w:rsidRDefault="000875B4">
      <w:pPr>
        <w:pStyle w:val="SingleTxt"/>
        <w:rPr>
          <w:lang w:val="ru-RU"/>
        </w:rPr>
      </w:pPr>
      <w:r>
        <w:rPr>
          <w:lang w:val="ru-RU"/>
        </w:rPr>
        <w:t xml:space="preserve">Комитет по поддержке мер в защиту прав женщин в странах Латинской Америки и Карибского бассейна – Эквадорское отделение/КЛАДЕМ </w:t>
      </w:r>
    </w:p>
    <w:p w:rsidR="000875B4" w:rsidRDefault="000875B4">
      <w:pPr>
        <w:pStyle w:val="SingleTxt"/>
        <w:rPr>
          <w:lang w:val="ru-RU"/>
        </w:rPr>
      </w:pPr>
      <w:r>
        <w:rPr>
          <w:lang w:val="ru-RU"/>
        </w:rPr>
        <w:t xml:space="preserve">Народный центр помощи женщинам Эквадора (СЕПАМ) </w:t>
      </w:r>
    </w:p>
    <w:p w:rsidR="000875B4" w:rsidRDefault="000875B4">
      <w:pPr>
        <w:pStyle w:val="SingleTxt"/>
        <w:rPr>
          <w:lang w:val="ru-RU"/>
        </w:rPr>
      </w:pPr>
      <w:r>
        <w:rPr>
          <w:lang w:val="ru-RU"/>
        </w:rPr>
        <w:t>Национальный женский форум</w:t>
      </w:r>
    </w:p>
    <w:p w:rsidR="000875B4" w:rsidRDefault="000875B4">
      <w:pPr>
        <w:pStyle w:val="SingleTxt"/>
        <w:rPr>
          <w:lang w:val="ru-RU"/>
        </w:rPr>
      </w:pPr>
      <w:r>
        <w:rPr>
          <w:lang w:val="ru-RU"/>
        </w:rPr>
        <w:t xml:space="preserve">Национальный совет Эквадора по делам женщин из числа коренных народов </w:t>
      </w:r>
    </w:p>
    <w:p w:rsidR="000875B4" w:rsidRDefault="000875B4">
      <w:pPr>
        <w:pStyle w:val="SingleTxt"/>
        <w:rPr>
          <w:lang w:val="ru-RU"/>
        </w:rPr>
      </w:pPr>
      <w:r>
        <w:rPr>
          <w:color w:val="000000"/>
          <w:szCs w:val="22"/>
          <w:lang w:val="ru-RU" w:eastAsia="ru-RU"/>
        </w:rPr>
        <w:t>Политический координационный совет по делам женщин Эквадора</w:t>
      </w:r>
    </w:p>
    <w:p w:rsidR="000875B4" w:rsidRDefault="000875B4">
      <w:pPr>
        <w:pStyle w:val="SingleTxt"/>
        <w:rPr>
          <w:lang w:val="ru-RU"/>
        </w:rPr>
      </w:pPr>
      <w:r>
        <w:rPr>
          <w:color w:val="000000"/>
          <w:szCs w:val="22"/>
          <w:lang w:val="ru-RU" w:eastAsia="ru-RU"/>
        </w:rPr>
        <w:t>Политический координационный совет по делам</w:t>
      </w:r>
      <w:r>
        <w:rPr>
          <w:lang w:val="ru-RU"/>
        </w:rPr>
        <w:t xml:space="preserve"> молодежи</w:t>
      </w:r>
    </w:p>
    <w:p w:rsidR="000875B4" w:rsidRDefault="000875B4">
      <w:pPr>
        <w:pStyle w:val="SingleTxt"/>
        <w:rPr>
          <w:lang w:val="ru-RU"/>
        </w:rPr>
      </w:pPr>
      <w:r>
        <w:rPr>
          <w:lang w:val="ru-RU"/>
        </w:rPr>
        <w:t xml:space="preserve">Фонд "Равенство" </w:t>
      </w:r>
    </w:p>
    <w:p w:rsidR="000875B4" w:rsidRDefault="000875B4">
      <w:pPr>
        <w:pStyle w:val="SingleTxt"/>
      </w:pPr>
      <w:r>
        <w:rPr>
          <w:lang w:val="ru-RU"/>
        </w:rPr>
        <w:t>Центр междисциплинарных исследований Эквадора (СЕИМЕ)</w:t>
      </w:r>
    </w:p>
    <w:p w:rsidR="000875B4" w:rsidRDefault="000875B4">
      <w:pPr>
        <w:pStyle w:val="SingleTxt"/>
        <w:suppressAutoHyphens/>
      </w:pPr>
    </w:p>
    <w:p w:rsidR="000875B4" w:rsidRDefault="000875B4">
      <w:pPr>
        <w:pStyle w:val="SingleTxt"/>
        <w:suppressAutoHyphens/>
      </w:pPr>
    </w:p>
    <w:p w:rsidR="000875B4" w:rsidRDefault="000875B4">
      <w:pPr>
        <w:pStyle w:val="SingleTxt"/>
        <w:suppressAutoHyphens/>
      </w:pPr>
    </w:p>
    <w:p w:rsidR="000875B4" w:rsidRDefault="000875B4">
      <w:pPr>
        <w:pStyle w:val="SingleTxt"/>
        <w:suppressAutoHyphens/>
      </w:pPr>
    </w:p>
    <w:p w:rsidR="000875B4" w:rsidRDefault="000875B4">
      <w:pPr>
        <w:pStyle w:val="HCh"/>
        <w:spacing w:after="120"/>
        <w:rPr>
          <w:b w:val="0"/>
          <w:spacing w:val="0"/>
          <w:w w:val="100"/>
          <w:kern w:val="0"/>
        </w:rPr>
      </w:pPr>
      <w:r>
        <w:rPr>
          <w:spacing w:val="0"/>
          <w:w w:val="100"/>
          <w:kern w:val="0"/>
        </w:rPr>
        <w:br w:type="page"/>
      </w:r>
      <w:r>
        <w:rPr>
          <w:b w:val="0"/>
          <w:bCs/>
          <w:spacing w:val="0"/>
          <w:w w:val="100"/>
          <w:kern w:val="0"/>
          <w:sz w:val="24"/>
          <w:szCs w:val="24"/>
          <w:lang w:val="ru-RU"/>
        </w:rPr>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875B4">
        <w:tblPrEx>
          <w:tblCellMar>
            <w:top w:w="0" w:type="dxa"/>
            <w:bottom w:w="0" w:type="dxa"/>
          </w:tblCellMar>
        </w:tblPrEx>
        <w:tc>
          <w:tcPr>
            <w:tcW w:w="1060" w:type="dxa"/>
          </w:tcPr>
          <w:p w:rsidR="000875B4" w:rsidRDefault="000875B4">
            <w:pPr>
              <w:spacing w:after="120" w:line="240" w:lineRule="auto"/>
              <w:jc w:val="right"/>
              <w:rPr>
                <w:i/>
                <w:spacing w:val="0"/>
                <w:w w:val="100"/>
                <w:kern w:val="0"/>
                <w:sz w:val="14"/>
              </w:rPr>
            </w:pPr>
          </w:p>
        </w:tc>
        <w:tc>
          <w:tcPr>
            <w:tcW w:w="7056" w:type="dxa"/>
          </w:tcPr>
          <w:p w:rsidR="000875B4" w:rsidRDefault="000875B4">
            <w:pPr>
              <w:spacing w:after="120" w:line="240" w:lineRule="auto"/>
              <w:rPr>
                <w:i/>
                <w:spacing w:val="0"/>
                <w:w w:val="100"/>
                <w:kern w:val="0"/>
                <w:sz w:val="14"/>
              </w:rPr>
            </w:pPr>
          </w:p>
        </w:tc>
        <w:tc>
          <w:tcPr>
            <w:tcW w:w="994" w:type="dxa"/>
          </w:tcPr>
          <w:p w:rsidR="000875B4" w:rsidRDefault="000875B4">
            <w:pPr>
              <w:spacing w:after="120" w:line="240" w:lineRule="auto"/>
              <w:ind w:right="40"/>
              <w:jc w:val="right"/>
              <w:rPr>
                <w:i/>
                <w:spacing w:val="0"/>
                <w:w w:val="100"/>
                <w:kern w:val="0"/>
                <w:sz w:val="14"/>
              </w:rPr>
            </w:pPr>
          </w:p>
        </w:tc>
        <w:tc>
          <w:tcPr>
            <w:tcW w:w="792" w:type="dxa"/>
          </w:tcPr>
          <w:p w:rsidR="000875B4" w:rsidRDefault="000875B4">
            <w:pPr>
              <w:spacing w:after="120" w:line="240" w:lineRule="auto"/>
              <w:ind w:right="40"/>
              <w:jc w:val="right"/>
              <w:rPr>
                <w:i/>
                <w:spacing w:val="0"/>
                <w:w w:val="100"/>
                <w:kern w:val="0"/>
                <w:sz w:val="14"/>
                <w:lang w:val="ru-RU"/>
              </w:rPr>
            </w:pPr>
            <w:r>
              <w:rPr>
                <w:i/>
                <w:spacing w:val="0"/>
                <w:w w:val="100"/>
                <w:kern w:val="0"/>
                <w:sz w:val="14"/>
                <w:lang w:val="ru-RU"/>
              </w:rPr>
              <w:t>Стр.</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right" w:leader="dot" w:pos="9101"/>
              </w:tabs>
              <w:spacing w:after="120"/>
              <w:ind w:left="1080"/>
              <w:rPr>
                <w:spacing w:val="0"/>
                <w:w w:val="100"/>
                <w:kern w:val="0"/>
                <w:sz w:val="17"/>
              </w:rPr>
            </w:pPr>
            <w:r>
              <w:rPr>
                <w:spacing w:val="0"/>
                <w:w w:val="100"/>
                <w:kern w:val="0"/>
              </w:rPr>
              <w:tab/>
            </w:r>
            <w:r>
              <w:rPr>
                <w:spacing w:val="0"/>
                <w:w w:val="100"/>
                <w:kern w:val="0"/>
                <w:lang w:val="ru-RU"/>
              </w:rPr>
              <w:t>Введение</w:t>
            </w:r>
            <w:r>
              <w:rPr>
                <w:spacing w:val="0"/>
                <w:w w:val="100"/>
                <w:kern w:val="0"/>
                <w:sz w:val="17"/>
              </w:rPr>
              <w:tab/>
            </w:r>
          </w:p>
        </w:tc>
        <w:tc>
          <w:tcPr>
            <w:tcW w:w="792" w:type="dxa"/>
            <w:vAlign w:val="bottom"/>
          </w:tcPr>
          <w:p w:rsidR="000875B4" w:rsidRDefault="000875B4">
            <w:pPr>
              <w:spacing w:after="120"/>
              <w:ind w:right="40"/>
              <w:jc w:val="right"/>
              <w:rPr>
                <w:spacing w:val="0"/>
                <w:w w:val="100"/>
                <w:kern w:val="0"/>
                <w:lang w:val="ru-RU"/>
              </w:rPr>
            </w:pPr>
            <w:r>
              <w:rPr>
                <w:spacing w:val="0"/>
                <w:w w:val="100"/>
                <w:kern w:val="0"/>
                <w:lang w:val="ru-RU"/>
              </w:rPr>
              <w:t>6</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left" w:pos="2160"/>
                <w:tab w:val="left" w:pos="2592"/>
                <w:tab w:val="left" w:pos="3024"/>
                <w:tab w:val="left" w:pos="3456"/>
                <w:tab w:val="right" w:leader="dot" w:pos="9101"/>
              </w:tabs>
              <w:spacing w:after="120"/>
              <w:ind w:left="1080"/>
              <w:rPr>
                <w:spacing w:val="0"/>
                <w:w w:val="100"/>
                <w:kern w:val="0"/>
                <w:sz w:val="17"/>
              </w:rPr>
            </w:pPr>
            <w:r>
              <w:rPr>
                <w:spacing w:val="0"/>
                <w:w w:val="100"/>
                <w:kern w:val="0"/>
              </w:rPr>
              <w:tab/>
              <w:t>Часть I.</w:t>
            </w:r>
            <w:r>
              <w:rPr>
                <w:spacing w:val="0"/>
                <w:w w:val="100"/>
                <w:kern w:val="0"/>
              </w:rPr>
              <w:tab/>
            </w:r>
            <w:r>
              <w:rPr>
                <w:bCs/>
                <w:spacing w:val="0"/>
                <w:w w:val="100"/>
                <w:kern w:val="0"/>
                <w:szCs w:val="24"/>
                <w:lang w:val="ru-RU"/>
              </w:rPr>
              <w:t>Статистическая информация</w:t>
            </w:r>
            <w:r>
              <w:rPr>
                <w:spacing w:val="0"/>
                <w:w w:val="100"/>
                <w:kern w:val="0"/>
                <w:sz w:val="17"/>
              </w:rPr>
              <w:tab/>
            </w:r>
          </w:p>
        </w:tc>
        <w:tc>
          <w:tcPr>
            <w:tcW w:w="792" w:type="dxa"/>
            <w:vAlign w:val="bottom"/>
          </w:tcPr>
          <w:p w:rsidR="000875B4" w:rsidRDefault="000875B4">
            <w:pPr>
              <w:spacing w:after="120"/>
              <w:ind w:right="40"/>
              <w:jc w:val="right"/>
              <w:rPr>
                <w:spacing w:val="0"/>
                <w:w w:val="100"/>
                <w:kern w:val="0"/>
              </w:rPr>
            </w:pPr>
            <w:r>
              <w:rPr>
                <w:spacing w:val="0"/>
                <w:w w:val="100"/>
                <w:kern w:val="0"/>
              </w:rPr>
              <w:t>7</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caps/>
                <w:spacing w:val="0"/>
                <w:w w:val="100"/>
                <w:kern w:val="0"/>
                <w:sz w:val="17"/>
              </w:rPr>
            </w:pPr>
            <w:r>
              <w:rPr>
                <w:spacing w:val="0"/>
                <w:w w:val="100"/>
                <w:kern w:val="0"/>
              </w:rPr>
              <w:tab/>
            </w:r>
            <w:r>
              <w:rPr>
                <w:caps/>
                <w:spacing w:val="0"/>
                <w:w w:val="100"/>
                <w:kern w:val="0"/>
              </w:rPr>
              <w:t>A.</w:t>
            </w:r>
            <w:r>
              <w:rPr>
                <w:caps/>
                <w:spacing w:val="0"/>
                <w:w w:val="100"/>
                <w:kern w:val="0"/>
              </w:rPr>
              <w:tab/>
            </w:r>
            <w:r>
              <w:rPr>
                <w:bCs/>
                <w:spacing w:val="0"/>
                <w:w w:val="100"/>
                <w:kern w:val="0"/>
                <w:szCs w:val="24"/>
                <w:lang w:val="ru-RU"/>
              </w:rPr>
              <w:t>Общая характеристика политического и экономического положения</w:t>
            </w:r>
            <w:r>
              <w:rPr>
                <w:spacing w:val="0"/>
                <w:w w:val="100"/>
                <w:kern w:val="0"/>
                <w:sz w:val="17"/>
              </w:rPr>
              <w:tab/>
            </w:r>
          </w:p>
        </w:tc>
        <w:tc>
          <w:tcPr>
            <w:tcW w:w="792" w:type="dxa"/>
            <w:vAlign w:val="bottom"/>
          </w:tcPr>
          <w:p w:rsidR="000875B4" w:rsidRDefault="000875B4">
            <w:pPr>
              <w:spacing w:after="120"/>
              <w:ind w:right="40"/>
              <w:jc w:val="right"/>
              <w:rPr>
                <w:spacing w:val="0"/>
                <w:w w:val="100"/>
                <w:kern w:val="0"/>
              </w:rPr>
            </w:pPr>
            <w:r>
              <w:rPr>
                <w:spacing w:val="0"/>
                <w:w w:val="100"/>
                <w:kern w:val="0"/>
              </w:rPr>
              <w:t>7</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Pr>
                <w:spacing w:val="0"/>
                <w:w w:val="100"/>
                <w:kern w:val="0"/>
                <w:sz w:val="17"/>
              </w:rPr>
            </w:pPr>
            <w:r>
              <w:rPr>
                <w:spacing w:val="0"/>
                <w:w w:val="100"/>
                <w:kern w:val="0"/>
              </w:rPr>
              <w:t>B.</w:t>
            </w:r>
            <w:r>
              <w:rPr>
                <w:spacing w:val="0"/>
                <w:w w:val="100"/>
                <w:kern w:val="0"/>
              </w:rPr>
              <w:tab/>
            </w:r>
            <w:r>
              <w:rPr>
                <w:bCs/>
                <w:spacing w:val="0"/>
                <w:w w:val="100"/>
                <w:kern w:val="0"/>
                <w:szCs w:val="24"/>
                <w:lang w:val="ru-RU"/>
              </w:rPr>
              <w:t>Современное положение женщин в цифрах</w:t>
            </w:r>
            <w:r>
              <w:rPr>
                <w:spacing w:val="0"/>
                <w:w w:val="100"/>
                <w:kern w:val="0"/>
                <w:sz w:val="17"/>
              </w:rPr>
              <w:tab/>
            </w:r>
          </w:p>
        </w:tc>
        <w:tc>
          <w:tcPr>
            <w:tcW w:w="792" w:type="dxa"/>
            <w:vAlign w:val="bottom"/>
          </w:tcPr>
          <w:p w:rsidR="000875B4" w:rsidRDefault="000875B4">
            <w:pPr>
              <w:spacing w:after="120"/>
              <w:ind w:right="40"/>
              <w:jc w:val="right"/>
              <w:rPr>
                <w:spacing w:val="0"/>
                <w:w w:val="100"/>
                <w:kern w:val="0"/>
              </w:rPr>
            </w:pPr>
            <w:r>
              <w:rPr>
                <w:spacing w:val="0"/>
                <w:w w:val="100"/>
                <w:kern w:val="0"/>
              </w:rPr>
              <w:t>9</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2160"/>
                <w:tab w:val="right" w:leader="dot" w:pos="9101"/>
              </w:tabs>
              <w:spacing w:after="120"/>
              <w:ind w:left="1296" w:hanging="216"/>
              <w:rPr>
                <w:spacing w:val="0"/>
                <w:w w:val="100"/>
                <w:kern w:val="0"/>
                <w:sz w:val="17"/>
              </w:rPr>
            </w:pPr>
            <w:r>
              <w:rPr>
                <w:spacing w:val="0"/>
                <w:w w:val="100"/>
                <w:kern w:val="0"/>
              </w:rPr>
              <w:tab/>
              <w:t>Часть II.</w:t>
            </w:r>
            <w:r>
              <w:rPr>
                <w:spacing w:val="0"/>
                <w:w w:val="100"/>
                <w:kern w:val="0"/>
              </w:rPr>
              <w:tab/>
            </w:r>
            <w:r>
              <w:rPr>
                <w:bCs/>
                <w:spacing w:val="0"/>
                <w:w w:val="100"/>
                <w:kern w:val="0"/>
                <w:szCs w:val="24"/>
                <w:lang w:val="ru-RU"/>
              </w:rPr>
              <w:t xml:space="preserve">Осуществление Конвенции о ликвидации всех форм дискриминации </w:t>
            </w:r>
            <w:r>
              <w:rPr>
                <w:bCs/>
                <w:spacing w:val="0"/>
                <w:w w:val="100"/>
                <w:kern w:val="0"/>
                <w:szCs w:val="24"/>
                <w:lang w:val="ru-RU"/>
              </w:rPr>
              <w:br/>
              <w:t>в отношении женщин</w:t>
            </w:r>
            <w:r>
              <w:rPr>
                <w:spacing w:val="0"/>
                <w:w w:val="100"/>
                <w:kern w:val="0"/>
                <w:sz w:val="17"/>
              </w:rPr>
              <w:tab/>
            </w:r>
          </w:p>
        </w:tc>
        <w:tc>
          <w:tcPr>
            <w:tcW w:w="792" w:type="dxa"/>
            <w:vAlign w:val="bottom"/>
          </w:tcPr>
          <w:p w:rsidR="000875B4" w:rsidRDefault="000875B4">
            <w:pPr>
              <w:spacing w:after="120"/>
              <w:ind w:right="40"/>
              <w:jc w:val="right"/>
              <w:rPr>
                <w:spacing w:val="0"/>
                <w:w w:val="100"/>
                <w:kern w:val="0"/>
                <w:lang w:val="ru-RU"/>
              </w:rPr>
            </w:pPr>
            <w:r>
              <w:rPr>
                <w:spacing w:val="0"/>
                <w:w w:val="100"/>
                <w:kern w:val="0"/>
              </w:rPr>
              <w:t>2</w:t>
            </w:r>
            <w:r>
              <w:rPr>
                <w:spacing w:val="0"/>
                <w:w w:val="100"/>
                <w:kern w:val="0"/>
                <w:lang w:val="ru-RU"/>
              </w:rPr>
              <w:t>1</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left" w:pos="2160"/>
                <w:tab w:val="right" w:leader="dot" w:pos="9101"/>
              </w:tabs>
              <w:spacing w:after="120"/>
              <w:ind w:left="1080"/>
              <w:rPr>
                <w:spacing w:val="0"/>
                <w:w w:val="100"/>
                <w:kern w:val="0"/>
              </w:rPr>
            </w:pPr>
            <w:r>
              <w:rPr>
                <w:spacing w:val="0"/>
                <w:w w:val="100"/>
                <w:kern w:val="0"/>
              </w:rPr>
              <w:tab/>
              <w:t>Часть III.</w:t>
            </w:r>
            <w:r>
              <w:rPr>
                <w:spacing w:val="0"/>
                <w:w w:val="100"/>
                <w:kern w:val="0"/>
              </w:rPr>
              <w:tab/>
            </w:r>
            <w:r>
              <w:rPr>
                <w:bCs/>
                <w:spacing w:val="0"/>
                <w:w w:val="100"/>
                <w:kern w:val="0"/>
                <w:szCs w:val="24"/>
                <w:lang w:val="ru-RU"/>
              </w:rPr>
              <w:t>Актуальные проблемы</w:t>
            </w:r>
            <w:r>
              <w:rPr>
                <w:spacing w:val="0"/>
                <w:w w:val="100"/>
                <w:kern w:val="0"/>
              </w:rPr>
              <w:tab/>
            </w:r>
          </w:p>
        </w:tc>
        <w:tc>
          <w:tcPr>
            <w:tcW w:w="792" w:type="dxa"/>
            <w:vAlign w:val="bottom"/>
          </w:tcPr>
          <w:p w:rsidR="000875B4" w:rsidRDefault="000875B4">
            <w:pPr>
              <w:spacing w:after="120"/>
              <w:ind w:right="40"/>
              <w:jc w:val="right"/>
              <w:rPr>
                <w:spacing w:val="0"/>
                <w:w w:val="100"/>
                <w:kern w:val="0"/>
                <w:lang w:val="ru-RU"/>
              </w:rPr>
            </w:pPr>
            <w:r>
              <w:rPr>
                <w:spacing w:val="0"/>
                <w:w w:val="100"/>
                <w:kern w:val="0"/>
                <w:lang w:val="ru-RU"/>
              </w:rPr>
              <w:t>77</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left" w:pos="2160"/>
                <w:tab w:val="right" w:leader="dot" w:pos="9101"/>
              </w:tabs>
              <w:spacing w:after="120"/>
              <w:ind w:left="1080"/>
              <w:rPr>
                <w:spacing w:val="0"/>
                <w:w w:val="100"/>
                <w:kern w:val="0"/>
                <w:sz w:val="17"/>
              </w:rPr>
            </w:pPr>
            <w:r>
              <w:rPr>
                <w:spacing w:val="0"/>
                <w:w w:val="100"/>
                <w:kern w:val="0"/>
              </w:rPr>
              <w:tab/>
            </w:r>
            <w:r>
              <w:rPr>
                <w:bCs/>
                <w:spacing w:val="0"/>
                <w:w w:val="100"/>
                <w:kern w:val="0"/>
                <w:szCs w:val="24"/>
                <w:lang w:val="ru-RU"/>
              </w:rPr>
              <w:t>Библиография</w:t>
            </w:r>
            <w:r>
              <w:rPr>
                <w:spacing w:val="0"/>
                <w:w w:val="100"/>
                <w:kern w:val="0"/>
                <w:sz w:val="17"/>
              </w:rPr>
              <w:tab/>
            </w:r>
          </w:p>
        </w:tc>
        <w:tc>
          <w:tcPr>
            <w:tcW w:w="792" w:type="dxa"/>
            <w:vAlign w:val="bottom"/>
          </w:tcPr>
          <w:p w:rsidR="000875B4" w:rsidRDefault="000875B4">
            <w:pPr>
              <w:spacing w:after="120"/>
              <w:ind w:right="40"/>
              <w:jc w:val="right"/>
              <w:rPr>
                <w:spacing w:val="0"/>
                <w:w w:val="100"/>
                <w:kern w:val="0"/>
                <w:lang w:val="ru-RU"/>
              </w:rPr>
            </w:pPr>
            <w:r>
              <w:rPr>
                <w:spacing w:val="0"/>
                <w:w w:val="100"/>
                <w:kern w:val="0"/>
                <w:lang w:val="ru-RU"/>
              </w:rPr>
              <w:t>81</w:t>
            </w:r>
          </w:p>
        </w:tc>
      </w:tr>
      <w:tr w:rsidR="000875B4">
        <w:tblPrEx>
          <w:tblCellMar>
            <w:top w:w="0" w:type="dxa"/>
            <w:bottom w:w="0" w:type="dxa"/>
          </w:tblCellMar>
        </w:tblPrEx>
        <w:tc>
          <w:tcPr>
            <w:tcW w:w="9110" w:type="dxa"/>
            <w:gridSpan w:val="3"/>
          </w:tcPr>
          <w:p w:rsidR="000875B4" w:rsidRDefault="000875B4">
            <w:pPr>
              <w:tabs>
                <w:tab w:val="right" w:pos="1080"/>
                <w:tab w:val="left" w:pos="1296"/>
                <w:tab w:val="left" w:pos="1728"/>
                <w:tab w:val="right" w:leader="dot" w:pos="9101"/>
              </w:tabs>
              <w:spacing w:after="120"/>
              <w:ind w:left="1080"/>
              <w:rPr>
                <w:spacing w:val="0"/>
                <w:w w:val="100"/>
                <w:kern w:val="0"/>
                <w:sz w:val="17"/>
              </w:rPr>
            </w:pPr>
            <w:r>
              <w:rPr>
                <w:spacing w:val="0"/>
                <w:w w:val="100"/>
                <w:kern w:val="0"/>
              </w:rPr>
              <w:tab/>
            </w:r>
            <w:r>
              <w:rPr>
                <w:spacing w:val="0"/>
                <w:w w:val="100"/>
                <w:kern w:val="0"/>
                <w:lang w:val="ru-RU"/>
              </w:rPr>
              <w:t>Сокращения</w:t>
            </w:r>
            <w:r>
              <w:rPr>
                <w:spacing w:val="0"/>
                <w:w w:val="100"/>
                <w:kern w:val="0"/>
                <w:sz w:val="17"/>
              </w:rPr>
              <w:tab/>
            </w:r>
          </w:p>
        </w:tc>
        <w:tc>
          <w:tcPr>
            <w:tcW w:w="792" w:type="dxa"/>
            <w:vAlign w:val="bottom"/>
          </w:tcPr>
          <w:p w:rsidR="000875B4" w:rsidRDefault="000875B4">
            <w:pPr>
              <w:spacing w:after="120"/>
              <w:ind w:right="40"/>
              <w:jc w:val="right"/>
              <w:rPr>
                <w:spacing w:val="0"/>
                <w:w w:val="100"/>
                <w:kern w:val="0"/>
                <w:lang w:val="ru-RU"/>
              </w:rPr>
            </w:pPr>
            <w:r>
              <w:rPr>
                <w:spacing w:val="0"/>
                <w:w w:val="100"/>
                <w:kern w:val="0"/>
                <w:lang w:val="ru-RU"/>
              </w:rPr>
              <w:t>82</w:t>
            </w:r>
          </w:p>
        </w:tc>
      </w:tr>
    </w:tbl>
    <w:p w:rsidR="000875B4" w:rsidRDefault="000875B4">
      <w:pPr>
        <w:rPr>
          <w:spacing w:val="0"/>
          <w:w w:val="100"/>
          <w:kern w:val="0"/>
          <w:lang w:val="ru-RU"/>
        </w:rPr>
      </w:pPr>
    </w:p>
    <w:p w:rsidR="000875B4" w:rsidRDefault="000875B4">
      <w:pPr>
        <w:rPr>
          <w:spacing w:val="0"/>
          <w:w w:val="100"/>
          <w:kern w:val="0"/>
          <w:lang w:val="ru-RU"/>
        </w:rPr>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rPr>
        <w:br w:type="page"/>
      </w:r>
      <w:r>
        <w:rPr>
          <w:spacing w:val="0"/>
          <w:w w:val="100"/>
          <w:kern w:val="0"/>
        </w:rPr>
        <w:tab/>
      </w:r>
      <w:r>
        <w:rPr>
          <w:spacing w:val="0"/>
          <w:w w:val="100"/>
          <w:kern w:val="0"/>
        </w:rPr>
        <w:tab/>
      </w:r>
      <w:r>
        <w:rPr>
          <w:spacing w:val="0"/>
          <w:w w:val="100"/>
          <w:kern w:val="0"/>
          <w:lang w:val="ru-RU"/>
        </w:rPr>
        <w:t>Введение</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SingleTxt"/>
        <w:rPr>
          <w:lang w:val="ru-RU"/>
        </w:rPr>
      </w:pPr>
      <w:r>
        <w:rPr>
          <w:lang w:val="ru-RU"/>
        </w:rPr>
        <w:t>1.</w:t>
      </w:r>
      <w:r>
        <w:rPr>
          <w:lang w:val="ru-RU"/>
        </w:rPr>
        <w:tab/>
        <w:t xml:space="preserve">Республика Эквадор имеет честь представить Комитету по ликвидации дискриминации в отношении женщин </w:t>
      </w:r>
      <w:r>
        <w:rPr>
          <w:color w:val="000000"/>
          <w:lang w:val="ru-RU"/>
        </w:rPr>
        <w:t xml:space="preserve">объединенные шестой и седьмой периодические доклады в соответствии с рекомендацией, изложенной в пункте 41 документа </w:t>
      </w:r>
      <w:r>
        <w:rPr>
          <w:lang w:val="ru-RU"/>
        </w:rPr>
        <w:t xml:space="preserve">(см. А/58/38, часть II, раздел В, пункты 282–336) от 18 июля 2003 года, </w:t>
      </w:r>
      <w:r>
        <w:rPr>
          <w:lang w:val="ru-RU"/>
        </w:rPr>
        <w:br/>
        <w:t xml:space="preserve">в котором содержатся Заключительные замечания Комитета к Объединенным четвертому и пятому докладам Эквадора, рассмотренным на его двадцать девятой очередной сессии. Комиссия по координации в области прав человека при Министерстве иностранных дел довела Замечания Комитета до сведения государственных ведомств и организаций гражданского общества, организовав </w:t>
      </w:r>
      <w:r>
        <w:rPr>
          <w:lang w:val="ru-RU"/>
        </w:rPr>
        <w:br/>
        <w:t xml:space="preserve">их обсуждение в рамках семинаров и разместив их текст на веб-сайте Министерства по адресу: www.mmrree.gov.ec/politicaexterior/politicamultilateral/ddhh. </w:t>
      </w:r>
    </w:p>
    <w:p w:rsidR="000875B4" w:rsidRDefault="000875B4">
      <w:pPr>
        <w:pStyle w:val="SingleTxt"/>
        <w:rPr>
          <w:lang w:val="ru-RU"/>
        </w:rPr>
      </w:pPr>
      <w:r>
        <w:rPr>
          <w:lang w:val="ru-RU"/>
        </w:rPr>
        <w:t>2.</w:t>
      </w:r>
      <w:r>
        <w:rPr>
          <w:lang w:val="ru-RU"/>
        </w:rPr>
        <w:tab/>
        <w:t xml:space="preserve">Данные доклады были подготовлены в соответствии со статьей 18 Конвенции </w:t>
      </w:r>
      <w:r>
        <w:rPr>
          <w:lang w:val="ru-RU"/>
        </w:rPr>
        <w:br/>
        <w:t xml:space="preserve">о ликвидации дискриминации в отношении женщин, подписанной Эквадором 17 июля 1980 года и ратифицированной 19 октября 1981 года, и на основании разработанных Комитетом Руководящих принципов подготовки периодических докладов (HRI/GEN/2/Rev.1/Add/2). В подготовке докладов впервые участвовали женские организации страны, входящие в Рабочую группу по правам женщин, которая с 2003 года действует в рамках Комиссии по координации в области прав человека. С целью информирования общественности тексты докладов размещены на веб-сайте по адресу, указанному в предыдущем пункте. </w:t>
      </w:r>
    </w:p>
    <w:p w:rsidR="000875B4" w:rsidRDefault="000875B4">
      <w:pPr>
        <w:pStyle w:val="SingleTxt"/>
        <w:rPr>
          <w:lang w:val="ru-RU"/>
        </w:rPr>
      </w:pPr>
      <w:r>
        <w:rPr>
          <w:lang w:val="ru-RU"/>
        </w:rPr>
        <w:t>3.</w:t>
      </w:r>
      <w:r>
        <w:rPr>
          <w:lang w:val="ru-RU"/>
        </w:rPr>
        <w:tab/>
        <w:t xml:space="preserve">В первой части настоящего документа приводятся статистические данные </w:t>
      </w:r>
      <w:r>
        <w:rPr>
          <w:lang w:val="ru-RU"/>
        </w:rPr>
        <w:br/>
        <w:t>о положении женщин в стране в разбивке по полу, возрастным группам и этнической принадлежности, что соответствует рекомендациям Комитета, изложенным в пунктах 36 и 37 его Заключительных замечаний.</w:t>
      </w:r>
    </w:p>
    <w:p w:rsidR="000875B4" w:rsidRDefault="000875B4">
      <w:pPr>
        <w:pStyle w:val="SingleTxt"/>
        <w:rPr>
          <w:lang w:val="ru-RU"/>
        </w:rPr>
      </w:pPr>
      <w:r>
        <w:rPr>
          <w:lang w:val="ru-RU"/>
        </w:rPr>
        <w:t>4.</w:t>
      </w:r>
      <w:r>
        <w:rPr>
          <w:lang w:val="ru-RU"/>
        </w:rPr>
        <w:tab/>
        <w:t xml:space="preserve">Во второй части данного документа освещаются меры, принятые Эквадором </w:t>
      </w:r>
      <w:r>
        <w:rPr>
          <w:lang w:val="ru-RU"/>
        </w:rPr>
        <w:br/>
        <w:t xml:space="preserve">с целью обеспечения гендерного подхода в проводимой государством политике </w:t>
      </w:r>
      <w:r>
        <w:rPr>
          <w:lang w:val="ru-RU"/>
        </w:rPr>
        <w:br/>
        <w:t>в период 1998–2006 годов, и прежде всего деятельность Национального совета по делам женщин (КОНАМУ), поскольку он, согласно его уставу, является ведущим органом по проведению политики, направленной на обеспечение и защиту прав человека женщин и гендерного равенства в Эквадоре. Кроме того, приводится информация о соответствующих мерах, принятых различными государственными министерствами и ведомствами, а также о деятельности частных организаций, также участвующих в работе по улучшению условий жизни женщин, хотя вследствие ограничений, связанных с объемом и характером доклада, эти сведения далеко не полные.</w:t>
      </w:r>
    </w:p>
    <w:p w:rsidR="000875B4" w:rsidRDefault="000875B4">
      <w:pPr>
        <w:pStyle w:val="SingleTxt"/>
        <w:rPr>
          <w:lang w:val="ru-RU"/>
        </w:rPr>
      </w:pPr>
      <w:r>
        <w:rPr>
          <w:lang w:val="ru-RU"/>
        </w:rPr>
        <w:t>5.</w:t>
      </w:r>
      <w:r>
        <w:rPr>
          <w:lang w:val="ru-RU"/>
        </w:rPr>
        <w:tab/>
        <w:t xml:space="preserve">В заключительной части настоящего документа освещаются актуальные проблемы, которые предстоит решать Эквадору, с тем чтобы обеспечить достижение предусмотренных Конвенцией целей. </w:t>
      </w:r>
    </w:p>
    <w:p w:rsidR="000875B4" w:rsidRDefault="000875B4">
      <w:pPr>
        <w:pStyle w:val="SingleTxt"/>
        <w:rPr>
          <w:lang w:val="ru-RU"/>
        </w:rPr>
      </w:pPr>
      <w:r>
        <w:rPr>
          <w:lang w:val="ru-RU"/>
        </w:rPr>
        <w:t xml:space="preserve">6. Управление по правам человека и социальным проблемам Министерства иностранных дел и Национальный совет по делам женщин с 2003 года координируют деятельность Рабочей группы, занимающейся проблемами прав человека женщин и гендерными проблемами. Эта группа, созданная в рамках Комиссии по координации в области прав человека при Министерстве иностранных дел, является межведомственным механизмом, занимающимся вопросами выполнения обязательств в области соблюдения прав человека. В состав группы входят представители государственных ведомств и гражданского общества. Ее задачей является сбор информации количественного и качественного характера </w:t>
      </w:r>
      <w:r>
        <w:rPr>
          <w:lang w:val="ru-RU"/>
        </w:rPr>
        <w:br/>
        <w:t xml:space="preserve">о деятельности соответствующих учреждений и организаций в целях подготовки представляемых в Комитет докладов. Технической координацией этой работы занимается КОНАМУ. Рабочая группа предполагает продолжать на постоянной основе мониторинг выполнения принятых на себя государством международных обязательств в области прав человека женщин. </w:t>
      </w:r>
    </w:p>
    <w:p w:rsidR="000875B4" w:rsidRDefault="000875B4">
      <w:pPr>
        <w:pStyle w:val="SingleTxt"/>
      </w:pPr>
      <w:r>
        <w:rPr>
          <w:lang w:val="ru-RU"/>
        </w:rPr>
        <w:t>7.</w:t>
      </w:r>
      <w:r>
        <w:rPr>
          <w:lang w:val="ru-RU"/>
        </w:rPr>
        <w:tab/>
        <w:t xml:space="preserve">Помимо того что сбор такой информации осуществляется в соответствии </w:t>
      </w:r>
      <w:r>
        <w:rPr>
          <w:lang w:val="ru-RU"/>
        </w:rPr>
        <w:br/>
        <w:t xml:space="preserve">с обязательствами Эквадора перед Комитетом и женщинами страны, государство надеется, что эти данные будут полезны для государственных учреждений, участвующих в разработке государственной политики, для неправительственных </w:t>
      </w:r>
      <w:r>
        <w:rPr>
          <w:lang w:val="ru-RU"/>
        </w:rPr>
        <w:br/>
        <w:t>и женских организаций, научных институтов, местных органов власти и международных организаций.</w:t>
      </w:r>
    </w:p>
    <w:p w:rsidR="000875B4" w:rsidRDefault="000875B4">
      <w:pPr>
        <w:pStyle w:val="SingleTxt"/>
        <w:tabs>
          <w:tab w:val="clear" w:pos="1742"/>
        </w:tabs>
        <w:suppressAutoHyphens/>
        <w:spacing w:after="0" w:line="120" w:lineRule="exact"/>
        <w:ind w:left="0"/>
        <w:rPr>
          <w:sz w:val="10"/>
        </w:rPr>
      </w:pPr>
    </w:p>
    <w:p w:rsidR="000875B4" w:rsidRDefault="000875B4">
      <w:pPr>
        <w:pStyle w:val="SingleTxt"/>
        <w:tabs>
          <w:tab w:val="clear" w:pos="1742"/>
        </w:tabs>
        <w:suppressAutoHyphens/>
        <w:spacing w:after="0" w:line="120" w:lineRule="exact"/>
        <w:ind w:left="0"/>
        <w:rPr>
          <w:sz w:val="10"/>
        </w:rPr>
      </w:pPr>
    </w:p>
    <w:p w:rsidR="000875B4" w:rsidRDefault="000875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rPr>
      </w:pPr>
      <w:r>
        <w:rPr>
          <w:spacing w:val="0"/>
          <w:w w:val="100"/>
          <w:kern w:val="0"/>
        </w:rPr>
        <w:tab/>
      </w:r>
      <w:r>
        <w:rPr>
          <w:spacing w:val="0"/>
          <w:w w:val="100"/>
          <w:kern w:val="0"/>
        </w:rPr>
        <w:tab/>
        <w:t>Часть I</w:t>
      </w:r>
      <w:r>
        <w:rPr>
          <w:spacing w:val="0"/>
          <w:w w:val="100"/>
          <w:kern w:val="0"/>
        </w:rPr>
        <w:br/>
      </w:r>
      <w:r>
        <w:rPr>
          <w:bCs/>
          <w:spacing w:val="0"/>
          <w:w w:val="100"/>
          <w:kern w:val="0"/>
          <w:szCs w:val="24"/>
          <w:lang w:val="ru-RU"/>
        </w:rPr>
        <w:t>Статистическая информация</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rPr>
      </w:pPr>
      <w:r>
        <w:rPr>
          <w:spacing w:val="0"/>
          <w:w w:val="100"/>
          <w:kern w:val="0"/>
        </w:rPr>
        <w:tab/>
        <w:t>A.</w:t>
      </w:r>
      <w:r>
        <w:rPr>
          <w:spacing w:val="0"/>
          <w:w w:val="100"/>
          <w:kern w:val="0"/>
        </w:rPr>
        <w:tab/>
      </w:r>
      <w:r>
        <w:rPr>
          <w:spacing w:val="0"/>
          <w:w w:val="100"/>
          <w:kern w:val="0"/>
          <w:szCs w:val="24"/>
          <w:lang w:val="ru-RU"/>
        </w:rPr>
        <w:t>Общая характеристика политического и экономического положения</w:t>
      </w:r>
    </w:p>
    <w:p w:rsidR="000875B4" w:rsidRDefault="000875B4">
      <w:pPr>
        <w:pStyle w:val="SingleTxt"/>
      </w:pPr>
    </w:p>
    <w:p w:rsidR="000875B4" w:rsidRDefault="000875B4">
      <w:pPr>
        <w:pStyle w:val="SingleTxt"/>
      </w:pPr>
      <w:r>
        <w:t>8.</w:t>
      </w:r>
      <w:r>
        <w:tab/>
        <w:t xml:space="preserve">Согласно Конституции, Республика Эквадор является </w:t>
      </w:r>
      <w:r>
        <w:rPr>
          <w:rStyle w:val="postbody1"/>
          <w:sz w:val="20"/>
        </w:rPr>
        <w:t xml:space="preserve">социально-правовым, суверенным, унитарным, демократическим, многокультурным и многоэтническим государством. По данным последней переписи населения 2001 года, численность населения страны составляет </w:t>
      </w:r>
      <w:r>
        <w:t>12 156 608 человек, 50,5 процента из которых – женщины (6 138 255). При этом свыше 3 млн. женщин проживают в районе Косты и на Галапагосских островах, 2,5 млн. – в Сьерре и более 250 тыс.</w:t>
      </w:r>
      <w:r>
        <w:rPr>
          <w:lang w:val="ru-RU"/>
        </w:rPr>
        <w:t xml:space="preserve"> </w:t>
      </w:r>
      <w:r>
        <w:t>–</w:t>
      </w:r>
      <w:r>
        <w:rPr>
          <w:lang w:val="ru-RU"/>
        </w:rPr>
        <w:t xml:space="preserve"> </w:t>
      </w:r>
      <w:r>
        <w:t xml:space="preserve">в Амазонии. Городское население составляет 61,1 процента, и здесь доля женщин доходит до 104,9 процента [так в оригинале]. В возрастной группе 0–14 лет женщины составляют 49,3 процента, тогда как среди населения в возрасте 65 лет и старше женщины составляют 52,2 процента. </w:t>
      </w:r>
    </w:p>
    <w:p w:rsidR="000875B4" w:rsidRDefault="000875B4">
      <w:pPr>
        <w:pStyle w:val="SingleTxt"/>
      </w:pPr>
      <w:r>
        <w:t>9.</w:t>
      </w:r>
      <w:r>
        <w:tab/>
        <w:t>Согласно расчетам, сделанным в октябре 2003 года Национальным институтом статистики и переписи населения (ИНЕК) и Экономической комиссией для Латинской Америки (ЭКЛАК), в 2005 году численность женского населения должна была составить 6 684 639 человек, а мужского – 6 723 631. Средний показатель фертильности снизился, составив в 2001 году 3,4–2,9 в городах и 4,4</w:t>
      </w:r>
      <w:r>
        <w:rPr>
          <w:lang w:val="ru-RU"/>
        </w:rPr>
        <w:t xml:space="preserve"> </w:t>
      </w:r>
      <w:r>
        <w:t>–</w:t>
      </w:r>
      <w:r>
        <w:rPr>
          <w:lang w:val="ru-RU"/>
        </w:rPr>
        <w:t xml:space="preserve"> </w:t>
      </w:r>
      <w:r>
        <w:t xml:space="preserve">в сельских районах. Трое из каждых десяти граждан Эквадора – молодые люди. Самой многочисленной среди молодежи является старшая возрастная группа – от 19 до 24 лет (41,65 процента), причем доля женщин и мужчин одинакова. </w:t>
      </w:r>
    </w:p>
    <w:p w:rsidR="000875B4" w:rsidRDefault="000875B4">
      <w:pPr>
        <w:pStyle w:val="SingleTxt"/>
      </w:pPr>
      <w:r>
        <w:t>10.</w:t>
      </w:r>
      <w:r>
        <w:tab/>
        <w:t>Наиболее многочисленными этническими группами являются метисы и представители коренного населения; доля белых и потомков выходцев из Африки ниже. По данным переписи населения 2001 года, 604 009 человек в Эквадоре (то есть 5 процентов от общей численности населения) – чернокожие и мулаты. Согласно данным организаций афроэквадорцев, численность этого населения колеблется в пределах от 900 тыс. до 1,2 млн. человек</w:t>
      </w:r>
      <w:r>
        <w:rPr>
          <w:rStyle w:val="FootnoteReference"/>
        </w:rPr>
        <w:footnoteReference w:id="3"/>
      </w:r>
      <w:r>
        <w:t>. Численность коренного населения составляет 830 418 человек, свыше 50 процентов которых – женщины. По данным ЭКЛАК, на каждые 100 женщин из числа коренного населения приход</w:t>
      </w:r>
      <w:r>
        <w:rPr>
          <w:lang w:val="ru-RU"/>
        </w:rPr>
        <w:t>и</w:t>
      </w:r>
      <w:r>
        <w:t xml:space="preserve">тся 95,08 мужчин, тогда как среди афроэквадорцев соотношение числа мужчин и женщин составляет 106,7 мужчин на 100 женщин. </w:t>
      </w:r>
    </w:p>
    <w:p w:rsidR="000875B4" w:rsidRDefault="000875B4">
      <w:pPr>
        <w:pStyle w:val="SingleTxt"/>
      </w:pPr>
      <w:r>
        <w:t>11.</w:t>
      </w:r>
      <w:r>
        <w:tab/>
        <w:t>Согласно данным 2003 года, главами 21,3 процента всех домохозяйств в стране являются женщины. Неудовлетворенными остаются базовые потребности 52 процентов лиц, говорящих на языках коренных народов или проживающих в</w:t>
      </w:r>
      <w:r>
        <w:rPr>
          <w:lang w:val="ru-RU"/>
        </w:rPr>
        <w:t> </w:t>
      </w:r>
      <w:r>
        <w:t>домохозяйствах, где говорят на языках коренных жителей.</w:t>
      </w:r>
    </w:p>
    <w:p w:rsidR="000875B4" w:rsidRDefault="000875B4">
      <w:pPr>
        <w:pStyle w:val="SingleTxt"/>
      </w:pPr>
      <w:r>
        <w:t>12.</w:t>
      </w:r>
      <w:r>
        <w:tab/>
        <w:t>Согласно Политической конституции, Эквадор является президентской республикой; система представительных органов власти формируется на основе альтернативных выборов с широким участием населения; система управления является децентрализованной, предусматривающей передачу ряда функций органам власти провинций и кантонов. Однако за последние восемь лет в результате народных волнений были досрочно прекращены полномочия двух президентов. В</w:t>
      </w:r>
      <w:r>
        <w:rPr>
          <w:lang w:val="ru-RU"/>
        </w:rPr>
        <w:t> </w:t>
      </w:r>
      <w:r>
        <w:t xml:space="preserve">обоих случаях президентский пост заняли вице-президенты. Продолжается процесс разграничения полномочий ветвей власти, прежде всего деполитизация судебной системы, и в этих целях недавно в присутствии международных </w:t>
      </w:r>
      <w:r>
        <w:rPr>
          <w:lang w:val="ru-RU"/>
        </w:rPr>
        <w:br/>
      </w:r>
      <w:r>
        <w:t>и национальных наблюдателей был впервые проведен референдум по вопросу о</w:t>
      </w:r>
      <w:r>
        <w:rPr>
          <w:lang w:val="ru-RU"/>
        </w:rPr>
        <w:t> </w:t>
      </w:r>
      <w:r>
        <w:t>назначении членов ныне действующего Верховного суда.</w:t>
      </w:r>
      <w:r>
        <w:rPr>
          <w:highlight w:val="yellow"/>
        </w:rPr>
        <w:t xml:space="preserve"> </w:t>
      </w:r>
    </w:p>
    <w:p w:rsidR="000875B4" w:rsidRDefault="000875B4">
      <w:pPr>
        <w:pStyle w:val="SingleTxt"/>
      </w:pPr>
      <w:r>
        <w:t>13.</w:t>
      </w:r>
      <w:r>
        <w:tab/>
        <w:t>Политический и финансовый кризис 1999–2000 годов имел важные последствия для социально-экономического развития страны. Имеющиеся показатели свидетельствуют о росте бедности, увеличении численности безработных, а также о возрастании притока мигрантов в города и за границу</w:t>
      </w:r>
      <w:r>
        <w:rPr>
          <w:lang w:val="ru-RU"/>
        </w:rPr>
        <w:t xml:space="preserve"> (около 700 тыс. человек в 2003 году)</w:t>
      </w:r>
      <w:r>
        <w:rPr>
          <w:rStyle w:val="FootnoteReference"/>
        </w:rPr>
        <w:footnoteReference w:id="4"/>
      </w:r>
      <w:r>
        <w:t>. В 2000</w:t>
      </w:r>
      <w:r>
        <w:rPr>
          <w:lang w:val="ru-RU"/>
        </w:rPr>
        <w:t xml:space="preserve"> </w:t>
      </w:r>
      <w:r>
        <w:t xml:space="preserve">году в ответ на резкое снижение производственной и банковской активности правительство провело реформу денежной системы, введя доллар США в качестве единственного официального платежного средства (по курсу 25 000 сукре = 1 долл. США). В 2001 году в Эквадоре наблюдались признаки стабилизации в экономической сфере, такие как снижение уровня безработицы. При этом денежные переводы от граждан Эквадора, работающих за границей, составили в том году 1,43 млрд. долл. США – больше, чем все прямые иностранные инвестиции, полученные страной за предыдущий год. </w:t>
      </w:r>
    </w:p>
    <w:p w:rsidR="000875B4" w:rsidRDefault="000875B4">
      <w:pPr>
        <w:pStyle w:val="SingleTxt"/>
      </w:pPr>
      <w:r>
        <w:t>14.</w:t>
      </w:r>
      <w:r>
        <w:tab/>
        <w:t>В течение 2002 года почти во всех отраслях экономики отмечался небольшой рост. На этом фоне выделялись подъем в строительной отрасли и рост инвестиций в</w:t>
      </w:r>
      <w:r>
        <w:rPr>
          <w:lang w:val="ru-RU"/>
        </w:rPr>
        <w:t> </w:t>
      </w:r>
      <w:r>
        <w:t>нефтяном секторе. С 2000 года бюджетные ассигнования на социальные цели выросли вдвое – с 690 млн. до 1,5 млрд. в 2002 году и до 2,5 мрд. в 2006 году. Это произошло благодаря тому, что правительству и гражданскому обществу удалось достичь договоренности о создании условий для гражданского контроля над подготовкой и принятием бюджета. Данная договоренность известна как Договор о</w:t>
      </w:r>
      <w:r>
        <w:rPr>
          <w:lang w:val="ru-RU"/>
        </w:rPr>
        <w:t> </w:t>
      </w:r>
      <w:r>
        <w:t xml:space="preserve">создании Наблюдательного совета по контролю за финансовой политикой. </w:t>
      </w:r>
    </w:p>
    <w:p w:rsidR="000875B4" w:rsidRDefault="000875B4">
      <w:pPr>
        <w:pStyle w:val="SingleTxt"/>
      </w:pPr>
      <w:r>
        <w:t>15.</w:t>
      </w:r>
      <w:r>
        <w:tab/>
        <w:t>С 2003 года в стране складывается благоприятная макроэкономическая ситуация, однако экономическое положение населения осложняется, поскольку переход на расчеты в долларах США привел к росту инфляции, а значит</w:t>
      </w:r>
      <w:r>
        <w:rPr>
          <w:lang w:val="ru-RU"/>
        </w:rPr>
        <w:t>,</w:t>
      </w:r>
      <w:r>
        <w:t xml:space="preserve"> и </w:t>
      </w:r>
      <w:r>
        <w:rPr>
          <w:lang w:val="ru-RU"/>
        </w:rPr>
        <w:br/>
      </w:r>
      <w:r>
        <w:t xml:space="preserve">к увеличению стоимости жизни. Одной из проблем структурного характера остается бюджетный дефицит. Кроме того, несмотря на увеличение сумм, выделяемых государством на социальные нужды, не соблюдаются предусмотренные </w:t>
      </w:r>
      <w:r>
        <w:rPr>
          <w:lang w:val="ru-RU"/>
        </w:rPr>
        <w:br/>
      </w:r>
      <w:r>
        <w:t>в Конституции минимальные уровни бюджетных ассигнований на образование и здравоохранение, что связано с необходимостью обслуживания внешнего долга государства.</w:t>
      </w:r>
    </w:p>
    <w:p w:rsidR="000875B4" w:rsidRDefault="000875B4">
      <w:pPr>
        <w:pStyle w:val="SingleTxt"/>
      </w:pPr>
      <w:r>
        <w:t>16.</w:t>
      </w:r>
      <w:r>
        <w:tab/>
        <w:t>Уровень бедности в стране, рассчитанный с применением метода расчета совокупных доходов, вырос: если в 1995 году он составлял 56 процентов, то в 2000 году достиг самого высокого показателя</w:t>
      </w:r>
      <w:r>
        <w:rPr>
          <w:lang w:val="ru-RU"/>
        </w:rPr>
        <w:t xml:space="preserve"> </w:t>
      </w:r>
      <w:r>
        <w:t>–</w:t>
      </w:r>
      <w:r>
        <w:rPr>
          <w:lang w:val="ru-RU"/>
        </w:rPr>
        <w:t xml:space="preserve"> </w:t>
      </w:r>
      <w:r>
        <w:t>69 процентов</w:t>
      </w:r>
      <w:r>
        <w:rPr>
          <w:rStyle w:val="FootnoteReference"/>
        </w:rPr>
        <w:footnoteReference w:id="5"/>
      </w:r>
      <w:r>
        <w:t xml:space="preserve">. Затем он несколько снизился и стабилизировался в 2003 году на уровне приблизительно 60 процентов. По данным из этих же источников, необратимые издержки кризиса могут составить до 4 процентов роста обнищания. Рост нищеты имеет четко выраженный характер, и здесь необратимые издержки достигают 13 процентов. Иными словами, бедные еще более нищают и не имеют возможностей выбраться из нищеты. </w:t>
      </w:r>
    </w:p>
    <w:p w:rsidR="000875B4" w:rsidRDefault="000875B4">
      <w:pPr>
        <w:pStyle w:val="SingleTxt"/>
      </w:pPr>
      <w:r>
        <w:t>17.</w:t>
      </w:r>
      <w:r>
        <w:tab/>
        <w:t>В течение периода, за который Комитету представляется доклад (1998–2006 годы), эквадорское государство принимало меры к выполнению взятых им на себя обязательств по обеспечению равенства между женщинами и мужчинами и ликвидации дискриминации. С этой целью были задействованы экономические и институциональные ресурсы на решение основных проблем, препятствующих доступу женщин, детей и подростков к осуществлению своих основных социальных прав. Однако выделяемых средств все еще недостаточно. Эта работа велась с учетом требований Декларации тысячелетия, Пекинской платформы действий и Конвенции о ликвидации всех форм дискриминации в отношении женщин. Все эти меры сведены воедино в рамках Плана обеспечения равенства возможностей для женщин Эквадора на 2005–2009 годы. В соответствии с принятым 9 марта 2006 года правительственным декретом № 1207-A это</w:t>
      </w:r>
      <w:r>
        <w:rPr>
          <w:lang w:val="ru-RU"/>
        </w:rPr>
        <w:t>т</w:t>
      </w:r>
      <w:r>
        <w:t xml:space="preserve"> план имеет статус национальной политики.</w:t>
      </w:r>
    </w:p>
    <w:p w:rsidR="000875B4" w:rsidRDefault="000875B4">
      <w:pPr>
        <w:pStyle w:val="SingleTxt"/>
        <w:tabs>
          <w:tab w:val="clear" w:pos="1742"/>
        </w:tabs>
        <w:suppressAutoHyphens/>
        <w:spacing w:after="0" w:line="120" w:lineRule="exact"/>
        <w:ind w:left="0"/>
        <w:rPr>
          <w:sz w:val="10"/>
        </w:rPr>
      </w:pPr>
    </w:p>
    <w:p w:rsidR="000875B4" w:rsidRDefault="000875B4">
      <w:pPr>
        <w:pStyle w:val="SingleTxt"/>
        <w:tabs>
          <w:tab w:val="clear" w:pos="1742"/>
        </w:tabs>
        <w:suppressAutoHyphens/>
        <w:spacing w:after="0" w:line="120" w:lineRule="exact"/>
        <w:ind w:left="0"/>
        <w:rPr>
          <w:sz w:val="10"/>
        </w:rPr>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rPr>
      </w:pPr>
      <w:r>
        <w:rPr>
          <w:spacing w:val="0"/>
          <w:w w:val="100"/>
          <w:kern w:val="0"/>
        </w:rPr>
        <w:tab/>
        <w:t>B.</w:t>
      </w:r>
      <w:r>
        <w:rPr>
          <w:spacing w:val="0"/>
          <w:w w:val="100"/>
          <w:kern w:val="0"/>
        </w:rPr>
        <w:tab/>
      </w:r>
      <w:r>
        <w:rPr>
          <w:bCs/>
          <w:spacing w:val="0"/>
          <w:w w:val="100"/>
          <w:kern w:val="0"/>
          <w:szCs w:val="24"/>
          <w:lang w:val="ru-RU"/>
        </w:rPr>
        <w:t>Современное положение женщин в цифрах</w:t>
      </w:r>
      <w:r>
        <w:rPr>
          <w:rStyle w:val="FootnoteReference"/>
          <w:b w:val="0"/>
        </w:rPr>
        <w:footnoteReference w:id="6"/>
      </w:r>
    </w:p>
    <w:p w:rsidR="000875B4" w:rsidRDefault="000875B4">
      <w:pPr>
        <w:pStyle w:val="SingleTxt"/>
        <w:suppressAutoHyphens/>
        <w:spacing w:after="0" w:line="120" w:lineRule="exact"/>
        <w:rPr>
          <w:sz w:val="10"/>
        </w:rPr>
      </w:pPr>
    </w:p>
    <w:p w:rsidR="000875B4" w:rsidRDefault="000875B4">
      <w:pPr>
        <w:pStyle w:val="SingleTxt"/>
        <w:suppressAutoHyphens/>
        <w:spacing w:after="0" w:line="120" w:lineRule="exact"/>
        <w:rPr>
          <w:sz w:val="10"/>
        </w:rPr>
      </w:pPr>
    </w:p>
    <w:p w:rsidR="000875B4" w:rsidRDefault="000875B4">
      <w:pPr>
        <w:pStyle w:val="SingleTxt"/>
      </w:pPr>
      <w:r>
        <w:t>18.</w:t>
      </w:r>
      <w:r>
        <w:tab/>
        <w:t xml:space="preserve">Приведенные ниже данные дают общее представление о той ситуации, </w:t>
      </w:r>
      <w:r>
        <w:rPr>
          <w:lang w:val="ru-RU"/>
        </w:rPr>
        <w:br/>
      </w:r>
      <w:r>
        <w:t xml:space="preserve">в которой в настоящее время находятся эквадорские женщины, а также </w:t>
      </w:r>
      <w:r>
        <w:rPr>
          <w:lang w:val="ru-RU"/>
        </w:rPr>
        <w:br/>
      </w:r>
      <w:r>
        <w:t>о сохраняющемся до сих пор их неравноправно</w:t>
      </w:r>
      <w:r>
        <w:rPr>
          <w:lang w:val="ru-RU"/>
        </w:rPr>
        <w:t>м</w:t>
      </w:r>
      <w:r>
        <w:t xml:space="preserve"> положени</w:t>
      </w:r>
      <w:r>
        <w:rPr>
          <w:lang w:val="ru-RU"/>
        </w:rPr>
        <w:t>и</w:t>
      </w:r>
      <w:r>
        <w:t xml:space="preserve"> по сравнению с</w:t>
      </w:r>
      <w:r>
        <w:rPr>
          <w:lang w:val="ru-RU"/>
        </w:rPr>
        <w:t> </w:t>
      </w:r>
      <w:r>
        <w:t xml:space="preserve">мужчинами в экономике, образовании, социальной сфере и </w:t>
      </w:r>
      <w:r>
        <w:rPr>
          <w:lang w:val="ru-RU"/>
        </w:rPr>
        <w:t xml:space="preserve">в области </w:t>
      </w:r>
      <w:r>
        <w:t>участи</w:t>
      </w:r>
      <w:r>
        <w:rPr>
          <w:lang w:val="ru-RU"/>
        </w:rPr>
        <w:t>я</w:t>
      </w:r>
      <w:r>
        <w:t xml:space="preserve"> в</w:t>
      </w:r>
      <w:r>
        <w:rPr>
          <w:lang w:val="ru-RU"/>
        </w:rPr>
        <w:t> </w:t>
      </w:r>
      <w:r>
        <w:t>политике.</w:t>
      </w:r>
    </w:p>
    <w:p w:rsidR="000875B4" w:rsidRDefault="000875B4">
      <w:pPr>
        <w:pStyle w:val="SingleTxt"/>
        <w:tabs>
          <w:tab w:val="clear" w:pos="1742"/>
        </w:tabs>
        <w:suppressAutoHyphens/>
        <w:spacing w:after="0" w:line="120" w:lineRule="exact"/>
        <w:ind w:left="0"/>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tab/>
      </w:r>
      <w:r>
        <w:tab/>
      </w:r>
      <w:r>
        <w:rPr>
          <w:lang w:val="ru-RU"/>
        </w:rPr>
        <w:t>Средства производства</w:t>
      </w:r>
    </w:p>
    <w:p w:rsidR="000875B4" w:rsidRDefault="000875B4">
      <w:pPr>
        <w:pStyle w:val="SingleTxt"/>
        <w:suppressAutoHyphens/>
        <w:spacing w:after="0" w:line="120" w:lineRule="exact"/>
        <w:rPr>
          <w:sz w:val="10"/>
        </w:rPr>
      </w:pPr>
    </w:p>
    <w:p w:rsidR="000875B4" w:rsidRDefault="000875B4">
      <w:pPr>
        <w:pStyle w:val="SingleTxt"/>
        <w:rPr>
          <w:lang w:val="ru-RU"/>
        </w:rPr>
      </w:pPr>
      <w:r>
        <w:rPr>
          <w:lang w:val="ru-RU"/>
        </w:rPr>
        <w:t>19.</w:t>
      </w:r>
      <w:r>
        <w:rPr>
          <w:lang w:val="ru-RU"/>
        </w:rPr>
        <w:tab/>
        <w:t xml:space="preserve">Независимость женщин в сфере экономики в значительной мере определяется их отношением к средствам производства и степенью владения ими. В сельских районах земля представляет собой социальный и культурный капитал, который создает доходы семей, дает им пропитание и обеспечивает выживание. Тем не менее 73 процента мужчин и 79 процентов женщин не владеют землей. </w:t>
      </w:r>
    </w:p>
    <w:p w:rsidR="000875B4" w:rsidRDefault="000875B4">
      <w:pPr>
        <w:pStyle w:val="SingleTxt"/>
        <w:rPr>
          <w:lang w:val="ru-RU" w:eastAsia="ko-KR"/>
        </w:rPr>
      </w:pPr>
      <w:r>
        <w:rPr>
          <w:lang w:val="ru-RU" w:eastAsia="ko-KR"/>
        </w:rPr>
        <w:t>20.</w:t>
      </w:r>
      <w:r>
        <w:rPr>
          <w:lang w:val="ru-RU" w:eastAsia="ko-KR"/>
        </w:rPr>
        <w:tab/>
        <w:t xml:space="preserve">Сельскохозяйственным производством занимаются люди с наиболее низким уровнем образования: 30,8 процента женщин и 19,7 процента мужчин не имеют никакого формального образования. Только 9,7 процента женщин и 13,1 процента мужчин, занятых в сельском хозяйстве, получили среднее и высшее образование. Помимо низкого уровня общего образования сельскохозяйственные производители не имеют и сельскохозяйственного образования, и это также негативно сказывается на уровне производительности и благосостоянии крестьян. </w:t>
      </w:r>
    </w:p>
    <w:p w:rsidR="000875B4" w:rsidRDefault="000875B4">
      <w:pPr>
        <w:pStyle w:val="SingleTxt"/>
        <w:rPr>
          <w:lang w:val="ru-RU" w:eastAsia="ko-KR"/>
        </w:rPr>
      </w:pPr>
      <w:r>
        <w:rPr>
          <w:lang w:val="ru-RU" w:eastAsia="ko-KR"/>
        </w:rPr>
        <w:t>21.</w:t>
      </w:r>
      <w:r>
        <w:rPr>
          <w:lang w:val="ru-RU" w:eastAsia="ko-KR"/>
        </w:rPr>
        <w:tab/>
        <w:t>Женщины являются собственниками или совладельцами малых предприятий, в первую очередь в сфере легкой промышленности.</w:t>
      </w:r>
    </w:p>
    <w:p w:rsidR="000875B4" w:rsidRDefault="000875B4">
      <w:pPr>
        <w:pStyle w:val="SingleTxt"/>
        <w:rPr>
          <w:lang w:val="ru-RU" w:eastAsia="ko-KR"/>
        </w:rPr>
      </w:pPr>
      <w:r>
        <w:rPr>
          <w:lang w:val="ru-RU" w:eastAsia="ko-KR"/>
        </w:rPr>
        <w:t>22.</w:t>
      </w:r>
      <w:r>
        <w:rPr>
          <w:lang w:val="ru-RU" w:eastAsia="ko-KR"/>
        </w:rPr>
        <w:tab/>
        <w:t xml:space="preserve">Хотя полная информация о численности женщин-предпринимателей и размере их предприятий отсутствует, определенное представление можно составить на основании данных о числе самозанятых женщин, а также женщин – владельцев или совладельцев предприятий. Так, 3,4 процента женщин из числа опрошенных владели или были совладельцами предприятий, а 32 процента были самозанятыми. </w:t>
      </w:r>
    </w:p>
    <w:p w:rsidR="000875B4" w:rsidRDefault="000875B4">
      <w:pPr>
        <w:pStyle w:val="SingleTxt"/>
      </w:pPr>
      <w:r>
        <w:rPr>
          <w:lang w:val="ru-RU" w:eastAsia="ko-KR"/>
        </w:rPr>
        <w:t>23.</w:t>
      </w:r>
      <w:r>
        <w:rPr>
          <w:lang w:val="ru-RU" w:eastAsia="ko-KR"/>
        </w:rPr>
        <w:tab/>
        <w:t>Неоплачиваемой работой по дому занимается 17 процентов населения страны, из них 60 процентов – женщины. Среди лиц, работающих в качестве домашней прислуги, 94,9 процента составляют женщины.</w:t>
      </w:r>
    </w:p>
    <w:p w:rsidR="000875B4" w:rsidRDefault="000875B4">
      <w:pPr>
        <w:pStyle w:val="SingleTxt"/>
        <w:tabs>
          <w:tab w:val="clear" w:pos="1742"/>
        </w:tabs>
        <w:suppressAutoHyphens/>
        <w:spacing w:after="0" w:line="120" w:lineRule="exact"/>
        <w:ind w:left="0"/>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ru-RU"/>
        </w:rPr>
      </w:pPr>
      <w:r>
        <w:tab/>
      </w:r>
      <w:r>
        <w:tab/>
      </w:r>
      <w:r>
        <w:rPr>
          <w:lang w:val="ru-RU"/>
        </w:rPr>
        <w:t>Доступ к кредитам</w:t>
      </w:r>
    </w:p>
    <w:p w:rsidR="000875B4" w:rsidRDefault="000875B4">
      <w:pPr>
        <w:spacing w:line="120" w:lineRule="exact"/>
        <w:rPr>
          <w:spacing w:val="0"/>
          <w:w w:val="100"/>
          <w:kern w:val="0"/>
          <w:sz w:val="10"/>
        </w:rPr>
      </w:pPr>
    </w:p>
    <w:p w:rsidR="000875B4" w:rsidRDefault="000875B4">
      <w:pPr>
        <w:pStyle w:val="SingleTxt"/>
        <w:rPr>
          <w:lang w:eastAsia="ko-KR"/>
        </w:rPr>
      </w:pPr>
      <w:r>
        <w:rPr>
          <w:lang w:eastAsia="ko-KR"/>
        </w:rPr>
        <w:t>24.</w:t>
      </w:r>
      <w:r>
        <w:rPr>
          <w:lang w:eastAsia="ko-KR"/>
        </w:rPr>
        <w:tab/>
        <w:t xml:space="preserve">Ограниченная доступность кредитов является одной из слабых сторон сельскохозяйственного сектора страны. По данным III Национальной сельскохозяйственной переписи 2000 года, только 4,6 процента женщин и 8 процентов мужчин, занимающихся производительным трудом, получали кредиты на производственные цели. Имеет место дискриминация в доступности кредитов </w:t>
      </w:r>
      <w:r>
        <w:rPr>
          <w:lang w:val="ru-RU" w:eastAsia="ko-KR"/>
        </w:rPr>
        <w:br/>
      </w:r>
      <w:r>
        <w:rPr>
          <w:lang w:eastAsia="ko-KR"/>
        </w:rPr>
        <w:t>для женщин, которые составляют 25 процентов от общей численности занятых в</w:t>
      </w:r>
      <w:r>
        <w:rPr>
          <w:lang w:val="ru-RU" w:eastAsia="ko-KR"/>
        </w:rPr>
        <w:t> </w:t>
      </w:r>
      <w:r>
        <w:rPr>
          <w:lang w:eastAsia="ko-KR"/>
        </w:rPr>
        <w:t>производстве, но лишь 16 процентов</w:t>
      </w:r>
      <w:r>
        <w:rPr>
          <w:lang w:val="ru-RU" w:eastAsia="ko-KR"/>
        </w:rPr>
        <w:t xml:space="preserve"> </w:t>
      </w:r>
      <w:r>
        <w:rPr>
          <w:lang w:eastAsia="ko-KR"/>
        </w:rPr>
        <w:t>–</w:t>
      </w:r>
      <w:r>
        <w:rPr>
          <w:lang w:val="ru-RU" w:eastAsia="ko-KR"/>
        </w:rPr>
        <w:t xml:space="preserve"> </w:t>
      </w:r>
      <w:r>
        <w:rPr>
          <w:lang w:eastAsia="ko-KR"/>
        </w:rPr>
        <w:t xml:space="preserve">из числа получающих кредиты. </w:t>
      </w:r>
    </w:p>
    <w:p w:rsidR="000875B4" w:rsidRDefault="000875B4">
      <w:pPr>
        <w:pStyle w:val="SingleTxt"/>
        <w:tabs>
          <w:tab w:val="clear" w:pos="1742"/>
        </w:tabs>
        <w:suppressAutoHyphens/>
        <w:spacing w:after="0" w:line="120" w:lineRule="exact"/>
        <w:ind w:left="0"/>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tab/>
      </w:r>
      <w:r>
        <w:tab/>
      </w:r>
      <w:r>
        <w:rPr>
          <w:lang w:val="ru-RU"/>
        </w:rPr>
        <w:t>Бедность</w:t>
      </w:r>
    </w:p>
    <w:p w:rsidR="000875B4" w:rsidRDefault="000875B4">
      <w:pPr>
        <w:pStyle w:val="SingleTxt"/>
        <w:spacing w:after="0" w:line="120" w:lineRule="exact"/>
        <w:rPr>
          <w:sz w:val="10"/>
        </w:rPr>
      </w:pPr>
    </w:p>
    <w:p w:rsidR="000875B4" w:rsidRDefault="000875B4">
      <w:pPr>
        <w:pStyle w:val="SingleTxt"/>
        <w:rPr>
          <w:lang w:eastAsia="ko-KR"/>
        </w:rPr>
      </w:pPr>
      <w:r>
        <w:rPr>
          <w:lang w:eastAsia="ko-KR"/>
        </w:rPr>
        <w:t>25.</w:t>
      </w:r>
      <w:r>
        <w:rPr>
          <w:lang w:eastAsia="ko-KR"/>
        </w:rPr>
        <w:tab/>
        <w:t>Средний уровень доходов домохозяйств, главами которых являются женщины, значительно ниже</w:t>
      </w:r>
      <w:r>
        <w:rPr>
          <w:lang w:val="ru-RU" w:eastAsia="ko-KR"/>
        </w:rPr>
        <w:t>, чем</w:t>
      </w:r>
      <w:r>
        <w:rPr>
          <w:lang w:eastAsia="ko-KR"/>
        </w:rPr>
        <w:t xml:space="preserve"> у домохозяйств, которые возглавляют мужчины. В городах разница составляет 65 процентов, а в сельских районах – 80 процентов.</w:t>
      </w:r>
    </w:p>
    <w:p w:rsidR="000875B4" w:rsidRDefault="000875B4">
      <w:pPr>
        <w:pStyle w:val="SingleTxt"/>
      </w:pPr>
      <w:r>
        <w:t>26.</w:t>
      </w:r>
      <w:r>
        <w:tab/>
        <w:t>Если взять такой показатель, как пол лица, получающего наиболее высокий доход в домохозяйстве кормильца, то доля бедных домохозяйств, возглавляемых женщинами, составляет 32,5 процента. Что касается домохозяйств, не относящихся к категории бедных, то женщины возглавляют 27 процентов из них. Это объясняется меньшими размерами домохозяйств, находящихся на их попечении. Кроме того, это касается тех случаев, когда их доходы идут в основном на внутренние потребности домохозяйства.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Доступ к базовым услугам</w:t>
      </w:r>
    </w:p>
    <w:p w:rsidR="000875B4" w:rsidRDefault="000875B4">
      <w:pPr>
        <w:pStyle w:val="SingleTxt"/>
        <w:spacing w:after="0" w:line="120" w:lineRule="exact"/>
        <w:rPr>
          <w:sz w:val="10"/>
        </w:rPr>
      </w:pPr>
    </w:p>
    <w:p w:rsidR="000875B4" w:rsidRDefault="000875B4">
      <w:pPr>
        <w:pStyle w:val="SingleTxt"/>
      </w:pPr>
      <w:r>
        <w:t>27.</w:t>
      </w:r>
      <w:r>
        <w:tab/>
        <w:t xml:space="preserve">По данным последней переписи населения (2001 год), 66,6 процента жилищ </w:t>
      </w:r>
      <w:r>
        <w:rPr>
          <w:lang w:val="ru-RU"/>
        </w:rPr>
        <w:br/>
      </w:r>
      <w:r>
        <w:t xml:space="preserve">в городах и 16,4 процента в сельских районах пользуются услугами канализации. Благосостояние и здоровье членов домохозяйства определяются санитарным состоянием их жилых помещений и окружающей территории. Большое значение </w:t>
      </w:r>
      <w:r>
        <w:rPr>
          <w:lang w:val="ru-RU"/>
        </w:rPr>
        <w:br/>
      </w:r>
      <w:r>
        <w:t>в создании благоприятной для здоровья населения окружающей среды имеет организация вывоза твердых отходов. 86,8 процента жилого фонда в городах и 21,7 процента в сельских районах обеспечены услугами по вывозу мусора.</w:t>
      </w:r>
    </w:p>
    <w:p w:rsidR="000875B4" w:rsidRDefault="000875B4">
      <w:pPr>
        <w:pStyle w:val="SingleTxt"/>
      </w:pPr>
      <w:r>
        <w:br w:type="page"/>
        <w:t>28.</w:t>
      </w:r>
      <w:r>
        <w:tab/>
        <w:t xml:space="preserve">Для создания здоровой окружающей среды необходима соответствующая гигиеническим требованиям система канализации. Наличие систем канализации характеризует качество жилья. 95,3 процента жилищ в городах и 61,1 процента </w:t>
      </w:r>
      <w:r>
        <w:rPr>
          <w:lang w:val="ru-RU"/>
        </w:rPr>
        <w:br/>
      </w:r>
      <w:r>
        <w:t xml:space="preserve">в сельских районах имеют системы сбора и отвода канализационных и сточных вод. </w:t>
      </w:r>
    </w:p>
    <w:p w:rsidR="000875B4" w:rsidRDefault="000875B4">
      <w:pPr>
        <w:pStyle w:val="SingleTxt"/>
      </w:pPr>
      <w:r>
        <w:t>29.</w:t>
      </w:r>
      <w:r>
        <w:tab/>
        <w:t xml:space="preserve">64,5 процента жилищ в городах и 19,5 процента в сельских районах подключены к общественному водопроводу, однако следует отметить, что не вся водопроводная вода подвергается очистке. </w:t>
      </w:r>
    </w:p>
    <w:p w:rsidR="000875B4" w:rsidRDefault="000875B4">
      <w:pPr>
        <w:pStyle w:val="SingleTxt"/>
        <w:rPr>
          <w:lang w:eastAsia="es-ES"/>
        </w:rPr>
      </w:pPr>
      <w:r>
        <w:rPr>
          <w:lang w:eastAsia="es-ES"/>
        </w:rPr>
        <w:t>30.</w:t>
      </w:r>
      <w:r>
        <w:rPr>
          <w:lang w:eastAsia="es-ES"/>
        </w:rPr>
        <w:tab/>
        <w:t>Комплексный коэффициент базовой инфраструктуры представляет собой показатель, суммирующий различные параметры развития базовой инфраструктуры. По данным переписи 2001 года, этот показатель составляет в Эквадоре 40 процентов.</w:t>
      </w:r>
    </w:p>
    <w:p w:rsidR="000875B4" w:rsidRDefault="000875B4">
      <w:pPr>
        <w:pStyle w:val="SingleTxt"/>
      </w:pPr>
      <w:r>
        <w:t>31.</w:t>
      </w:r>
      <w:r>
        <w:tab/>
        <w:t>Согласно переписи 2001 года, 1,6 процента городского населения и 32,8 процента сельского населения используют для приготовления пищи дрова или уголь. Факторами, определяющими качество жизни и благосостояние населения, являются наличие кухонного помещения и использование в приготовлении пищи безопасных видов топлива.</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Право на образование</w:t>
      </w:r>
      <w:r>
        <w:rPr>
          <w:rStyle w:val="FootnoteReference"/>
          <w:b w:val="0"/>
        </w:rPr>
        <w:footnoteReference w:id="7"/>
      </w:r>
    </w:p>
    <w:p w:rsidR="000875B4" w:rsidRDefault="000875B4">
      <w:pPr>
        <w:pStyle w:val="SingleTxt"/>
        <w:spacing w:after="0" w:line="120" w:lineRule="exact"/>
        <w:rPr>
          <w:sz w:val="10"/>
        </w:rPr>
      </w:pPr>
    </w:p>
    <w:p w:rsidR="000875B4" w:rsidRDefault="000875B4">
      <w:pPr>
        <w:pStyle w:val="SingleTxt"/>
      </w:pPr>
      <w:r>
        <w:t>32.</w:t>
      </w:r>
      <w:r>
        <w:tab/>
        <w:t>Равноправие в официальной системе образования представляет собой одно из основных завоеваний женщин Эквадора. Сохраняющиеся пока различия в положении женщин и мужчин незначительны. Серьезные диспропорции сохраняются в показателях численности выбывших из школ, а также между коренным и некоренным населением и городскими и сельскими районами.</w:t>
      </w:r>
    </w:p>
    <w:p w:rsidR="000875B4" w:rsidRDefault="000875B4">
      <w:pPr>
        <w:pStyle w:val="SingleTxt"/>
      </w:pPr>
      <w:r>
        <w:t>33.</w:t>
      </w:r>
      <w:r>
        <w:tab/>
        <w:t xml:space="preserve">По данным доклада о ходе выполнения Целей в области развития Декларации тысячелетия (ЦРДТ), цель в области начального образования была достигнута в 2005 году, и в этой сфере наблюдается устойчивая тенденция. В период 1990–2004 годов в начальной школе на каждые 100 мальчиков приходилось 98,3 девочки. Ситуация в средней школе, по состоянию на 1990 год, была гораздо благоприятнее </w:t>
      </w:r>
      <w:r>
        <w:rPr>
          <w:lang w:val="ru-RU"/>
        </w:rPr>
        <w:br/>
      </w:r>
      <w:r>
        <w:t xml:space="preserve">в отношении девочек (106 девочек на каждые 100 мальчиков), а в 2004 году это соотношение составляло один к одному (100 девочек на каждые 100 мальчиков). </w:t>
      </w:r>
      <w:r>
        <w:rPr>
          <w:lang w:val="ru-RU"/>
        </w:rPr>
        <w:br/>
      </w:r>
      <w:r>
        <w:t>В высшей школе наблюдается тенденция к увеличению числа женщин среди студентов. Но, несмотря на то что женщин среди студентов вузов больше, чем мужчин, по-прежнему имеют место сложности с трудоустройством на престижные рабочие места, то есть образование само по себе еще не гарантирует женщинам повышение доходов.</w:t>
      </w:r>
    </w:p>
    <w:p w:rsidR="000875B4" w:rsidRDefault="000875B4">
      <w:pPr>
        <w:pStyle w:val="SingleTxt"/>
      </w:pPr>
      <w:r>
        <w:t>3</w:t>
      </w:r>
      <w:r>
        <w:rPr>
          <w:lang w:val="ru-RU"/>
        </w:rPr>
        <w:t>4</w:t>
      </w:r>
      <w:r>
        <w:t>.</w:t>
      </w:r>
      <w:r>
        <w:tab/>
        <w:t xml:space="preserve">Что касается данных о числе учащихся средних школ в 2003 году в разбивке </w:t>
      </w:r>
      <w:r>
        <w:rPr>
          <w:lang w:val="ru-RU"/>
        </w:rPr>
        <w:br/>
      </w:r>
      <w:r>
        <w:t>по языковой и этнической принадлежности</w:t>
      </w:r>
      <w:r>
        <w:rPr>
          <w:vertAlign w:val="superscript"/>
        </w:rPr>
        <w:footnoteReference w:id="8"/>
      </w:r>
      <w:r>
        <w:t>, то на каждые 100 мужчин, говорящих на языках коренных народов и проживающих в сельских районах, приходилось 88 женщин; примерно то же соотношение и в высшей школе (92 женщины на</w:t>
      </w:r>
      <w:r>
        <w:rPr>
          <w:lang w:val="ru-RU"/>
        </w:rPr>
        <w:t> </w:t>
      </w:r>
      <w:r>
        <w:t>каждые 100 мужчин)</w:t>
      </w:r>
      <w:r>
        <w:rPr>
          <w:vertAlign w:val="superscript"/>
        </w:rPr>
        <w:footnoteReference w:id="9"/>
      </w:r>
      <w:r>
        <w:t xml:space="preserve">. </w:t>
      </w:r>
    </w:p>
    <w:p w:rsidR="000875B4" w:rsidRDefault="000875B4">
      <w:pPr>
        <w:pStyle w:val="SingleTxt"/>
      </w:pPr>
      <w:r>
        <w:t>35.</w:t>
      </w:r>
      <w:r>
        <w:tab/>
        <w:t>Хотя мальчики и девочки имеют практически равный доступ к начальному образованию, отсутствуют сведения о том, в течение скольких лет девочки посещают учебные заведения, а эта информация крайне важна для разработки политики и программ в гендерной области. Однако углубленные исследования проблем бедности четко выявляют взаимосвязь между продолжительностью обучения девочек в школе и улучшением качества их будущей жизни.</w:t>
      </w:r>
    </w:p>
    <w:p w:rsidR="000875B4" w:rsidRDefault="000875B4">
      <w:pPr>
        <w:pStyle w:val="SingleTxt"/>
      </w:pPr>
      <w:r>
        <w:t>36.</w:t>
      </w:r>
      <w:r>
        <w:tab/>
        <w:t xml:space="preserve">Существенных различий между числом мальчиков и девочек, выбывающих </w:t>
      </w:r>
      <w:r>
        <w:rPr>
          <w:lang w:val="ru-RU"/>
        </w:rPr>
        <w:br/>
      </w:r>
      <w:r>
        <w:t xml:space="preserve">из школ, не существует. Тем не менее обращают на себя внимание те причины, </w:t>
      </w:r>
      <w:r>
        <w:rPr>
          <w:lang w:val="ru-RU"/>
        </w:rPr>
        <w:br/>
      </w:r>
      <w:r>
        <w:t xml:space="preserve">по которым девочки и девушки-подростки не поступают в школы или выбывают </w:t>
      </w:r>
      <w:r>
        <w:rPr>
          <w:lang w:val="ru-RU"/>
        </w:rPr>
        <w:br/>
      </w:r>
      <w:r>
        <w:t>из них. К числу таких причин относятся факторы, связанные с гендерной дискриминацией, особенно когда дети вынуждены ухаживать за младшими братьями и сестрами или престарелыми членами семьи (13 процентов девочек и 0,8 процента мальчиков), подростковая беременность (9 процентов) или же невозможность поступить в вузы ввиду экономических причин: из числа девушек, отказавшихся от идеи продолжать учиться дальше, 48 процентов сделали это ввиду нехватки средств, а 16 процентов – из-за необходимости работать; среди юношей эти показатели составляют соответственно 47 и 29 процентов.</w:t>
      </w:r>
    </w:p>
    <w:p w:rsidR="000875B4" w:rsidRDefault="000875B4">
      <w:pPr>
        <w:pStyle w:val="SingleTxt"/>
        <w:rPr>
          <w:lang w:eastAsia="ko-KR"/>
        </w:rPr>
      </w:pPr>
      <w:r>
        <w:rPr>
          <w:lang w:eastAsia="ko-KR"/>
        </w:rPr>
        <w:t>37.</w:t>
      </w:r>
      <w:r>
        <w:rPr>
          <w:lang w:eastAsia="ko-KR"/>
        </w:rPr>
        <w:tab/>
        <w:t xml:space="preserve">Поэтому основная задача состоит в том, чтобы гарантировать девочкам не только возможность поступить в школу, но и завершить курс базовой и средней школы, а также продолжить свое обучение, получив среднее техническое, технологическое, университетское или высшее профессиональное образование. </w:t>
      </w:r>
      <w:r>
        <w:rPr>
          <w:lang w:val="ru-RU" w:eastAsia="ko-KR"/>
        </w:rPr>
        <w:br/>
      </w:r>
      <w:r>
        <w:rPr>
          <w:lang w:eastAsia="ko-KR"/>
        </w:rPr>
        <w:t>С другой стороны, обучение девочек в школах тесно связано с принятием на институциональном уровне необходимых мер, направленных на улучшение качества образования и создание образовательной среды, безопасной и недискриминационной для девочек и девушек-подростков.</w:t>
      </w:r>
    </w:p>
    <w:p w:rsidR="000875B4" w:rsidRDefault="000875B4">
      <w:pPr>
        <w:pStyle w:val="SingleTxt"/>
      </w:pPr>
      <w:r>
        <w:t>38.</w:t>
      </w:r>
      <w:r>
        <w:tab/>
        <w:t xml:space="preserve">Уровень неграмотности в Эквадоре составляет 9,02 процента, то есть неграмотными являются 732 089 человек, 58 процентов которых – женщины (ИНЕК, 2001 год). Данные свидетельствуют о высокой доле неграмотных среди сельских женщин из числа коренных народов, а также среди лиц старше 65 лет. </w:t>
      </w:r>
    </w:p>
    <w:p w:rsidR="000875B4" w:rsidRDefault="000875B4">
      <w:pPr>
        <w:pStyle w:val="SingleTxt"/>
      </w:pPr>
      <w:r>
        <w:t>39.</w:t>
      </w:r>
      <w:r>
        <w:tab/>
        <w:t xml:space="preserve">Доля грамотных среди мужчин и женщин в возрасте от 15 до 24 лет в целом </w:t>
      </w:r>
      <w:r>
        <w:rPr>
          <w:lang w:val="ru-RU"/>
        </w:rPr>
        <w:br/>
      </w:r>
      <w:r>
        <w:t xml:space="preserve">по стране составила в 1990 году 98,8 процента, в 2000 году – 100,1 процента, а </w:t>
      </w:r>
      <w:r>
        <w:rPr>
          <w:lang w:val="ru-RU"/>
        </w:rPr>
        <w:br/>
      </w:r>
      <w:r>
        <w:t xml:space="preserve">в 2004 году – </w:t>
      </w:r>
      <w:r>
        <w:rPr>
          <w:color w:val="000000"/>
        </w:rPr>
        <w:t>100,4 процента</w:t>
      </w:r>
      <w:r>
        <w:t xml:space="preserve">. Если представить этот показатель в разбивке </w:t>
      </w:r>
      <w:r>
        <w:rPr>
          <w:lang w:val="ru-RU"/>
        </w:rPr>
        <w:br/>
      </w:r>
      <w:r>
        <w:t>по языковым группам, то уровень грамотности среди женщин из числа коренных народов будет ниже (89,3 процента в 2001 году).</w:t>
      </w:r>
    </w:p>
    <w:p w:rsidR="000875B4" w:rsidRDefault="000875B4">
      <w:pPr>
        <w:pStyle w:val="SingleTxt"/>
        <w:spacing w:after="80"/>
        <w:ind w:left="1264" w:right="1264"/>
      </w:pPr>
      <w:r>
        <w:t>40.</w:t>
      </w:r>
      <w:r>
        <w:tab/>
        <w:t xml:space="preserve">В каждой следующей возрастной группе доля неграмотных среди женщин увеличивается. В первую очередь это относится к сельским женщинам – здесь </w:t>
      </w:r>
      <w:r>
        <w:rPr>
          <w:lang w:val="ru-RU"/>
        </w:rPr>
        <w:br/>
      </w:r>
      <w:r>
        <w:t>в возрастной группе старше 65 лет доля неграмотных женщин достигает 62 процентов. Эти данные свидетельствуют о необходимости разработать меры позитивного действия в отношении сельских женщин, особенно из числа говорящих на языках коренных народов.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tab/>
      </w:r>
      <w:r>
        <w:tab/>
      </w:r>
      <w:r>
        <w:rPr>
          <w:lang w:val="ru-RU"/>
        </w:rPr>
        <w:t>Право на защиту здоровья</w:t>
      </w:r>
      <w:r>
        <w:br/>
      </w:r>
      <w:r>
        <w:rPr>
          <w:bCs/>
        </w:rPr>
        <w:t>Сексуальные и репродуктивные права</w:t>
      </w:r>
    </w:p>
    <w:p w:rsidR="000875B4" w:rsidRDefault="000875B4">
      <w:pPr>
        <w:pStyle w:val="SingleTxt"/>
        <w:spacing w:after="0" w:line="120" w:lineRule="exact"/>
        <w:rPr>
          <w:sz w:val="10"/>
          <w:lang w:eastAsia="ko-KR"/>
        </w:rPr>
      </w:pPr>
    </w:p>
    <w:p w:rsidR="000875B4" w:rsidRDefault="000875B4">
      <w:pPr>
        <w:pStyle w:val="SingleTxt"/>
        <w:rPr>
          <w:lang w:eastAsia="ko-KR"/>
        </w:rPr>
      </w:pPr>
      <w:r>
        <w:rPr>
          <w:lang w:eastAsia="ko-KR"/>
        </w:rPr>
        <w:t>41.</w:t>
      </w:r>
      <w:r>
        <w:rPr>
          <w:lang w:eastAsia="ko-KR"/>
        </w:rPr>
        <w:tab/>
        <w:t xml:space="preserve">Одной из проблем, препятствующих всесторонней реализации прав подростков, является подростковая беременность. Для решения этой проблемы </w:t>
      </w:r>
      <w:r>
        <w:rPr>
          <w:lang w:val="ru-RU" w:eastAsia="ko-KR"/>
        </w:rPr>
        <w:br/>
      </w:r>
      <w:r>
        <w:rPr>
          <w:lang w:eastAsia="ko-KR"/>
        </w:rPr>
        <w:t xml:space="preserve">во всех школах и колледжах страны проводилась более активная работа по сексуальному воспитанию. Особый размах эта работа получила с 2000 года, когда был принят Национальный план сексуального воспитания и программа по его осуществлению, и с 2003 года, когда был принят новый Органический закон </w:t>
      </w:r>
      <w:r>
        <w:rPr>
          <w:lang w:val="ru-RU" w:eastAsia="ko-KR"/>
        </w:rPr>
        <w:br/>
      </w:r>
      <w:r>
        <w:rPr>
          <w:lang w:eastAsia="ko-KR"/>
        </w:rPr>
        <w:t xml:space="preserve">о защите здоровья, предусматривающий в обязательном порядке проведение на всех уровнях просветительской работы по проблемам сексуального и репродуктивного здоровья. Подробнее об этом пойдет речь ниже. </w:t>
      </w:r>
    </w:p>
    <w:p w:rsidR="000875B4" w:rsidRDefault="000875B4">
      <w:pPr>
        <w:pStyle w:val="SingleTxt"/>
        <w:rPr>
          <w:lang w:eastAsia="ko-KR"/>
        </w:rPr>
      </w:pPr>
      <w:r>
        <w:rPr>
          <w:lang w:eastAsia="ko-KR"/>
        </w:rPr>
        <w:t>42.</w:t>
      </w:r>
      <w:r>
        <w:rPr>
          <w:lang w:eastAsia="ko-KR"/>
        </w:rPr>
        <w:tab/>
        <w:t xml:space="preserve">Следует также отметить, что подростковая беременность является одним из основных факторов риска для здоровья матери и новорожденного. У матерей подросткового возраста сужается круг жизненных возможностей, они вынуждены раньше начинать работать вне дома и, как правило, у них в дальнейшем большее число детей. В обществе отсутствуют необходимые механизмы психологической поддержки супружеских пар подросткового возраста, и в результате девочка-подросток вынуждена в одиночку нести все тяготы и всю ответственность, сопряженные с материнством. Однако в 2004 году началась реализация проекта "Подростки Эквадора", цель которого – помочь подросткам обоих полов в решении этих проблем. Подробнее о данном проекте будет сказано ниже. </w:t>
      </w:r>
    </w:p>
    <w:p w:rsidR="000875B4" w:rsidRDefault="000875B4">
      <w:pPr>
        <w:pStyle w:val="SingleTxt"/>
        <w:rPr>
          <w:lang w:eastAsia="ko-KR"/>
        </w:rPr>
      </w:pPr>
      <w:r>
        <w:rPr>
          <w:lang w:eastAsia="ko-KR"/>
        </w:rPr>
        <w:t>43.</w:t>
      </w:r>
      <w:r>
        <w:rPr>
          <w:lang w:eastAsia="ko-KR"/>
        </w:rPr>
        <w:tab/>
        <w:t>В 2003 году подростки в возрасте 12–19 лет составляли 16 процентов беременных в стране (СИИСЕ, 2003 год). По данным демографическо</w:t>
      </w:r>
      <w:r>
        <w:rPr>
          <w:lang w:val="ru-RU" w:eastAsia="ko-KR"/>
        </w:rPr>
        <w:t>го опроса по вопросу охраны</w:t>
      </w:r>
      <w:r>
        <w:rPr>
          <w:lang w:eastAsia="ko-KR"/>
        </w:rPr>
        <w:t xml:space="preserve"> здоровья матери и ребенка (ЭНДЕМАИН</w:t>
      </w:r>
      <w:r>
        <w:rPr>
          <w:lang w:val="ru-RU" w:eastAsia="ko-KR"/>
        </w:rPr>
        <w:noBreakHyphen/>
      </w:r>
      <w:r>
        <w:rPr>
          <w:lang w:eastAsia="ko-KR"/>
        </w:rPr>
        <w:t xml:space="preserve">2004), наиболее остры проблемы подростковой беременности в сельских районах, и чаще всего это касается девочек-подростков с более низким уровнем образования: 32,3 процента девочек-подростков, не имеющих образования вообще, и 16,7 процента тех, кто закончил только начальную школу, стали матерями. </w:t>
      </w:r>
    </w:p>
    <w:p w:rsidR="000875B4" w:rsidRDefault="000875B4">
      <w:pPr>
        <w:pStyle w:val="SingleTxt"/>
        <w:rPr>
          <w:lang w:eastAsia="ko-KR"/>
        </w:rPr>
      </w:pPr>
      <w:r>
        <w:rPr>
          <w:lang w:eastAsia="ko-KR"/>
        </w:rPr>
        <w:t>44.</w:t>
      </w:r>
      <w:r>
        <w:rPr>
          <w:lang w:eastAsia="ko-KR"/>
        </w:rPr>
        <w:tab/>
        <w:t xml:space="preserve">В 1998 году Министерство образования страны впервые провело в школах опрос в отношении потребления наркотиков и сексуальности. Согласно этому источнику, 30 процентов подростков в возрасте 12–17 лет уже имели опыт сексуальных отношений. Что касается сексуального воспитания, то обществу необходимо "содействовать повышению уровня осведомленности и понимания собственного организма, поскольку это – составная часть уважения к себе и заботы </w:t>
      </w:r>
      <w:r>
        <w:rPr>
          <w:lang w:val="ru-RU" w:eastAsia="ko-KR"/>
        </w:rPr>
        <w:br/>
      </w:r>
      <w:r>
        <w:rPr>
          <w:lang w:eastAsia="ko-KR"/>
        </w:rPr>
        <w:t xml:space="preserve">о собственном здоровье". Иными словами, необходимо добиваться "внедрения </w:t>
      </w:r>
      <w:r>
        <w:rPr>
          <w:lang w:val="ru-RU" w:eastAsia="ko-KR"/>
        </w:rPr>
        <w:br/>
      </w:r>
      <w:r>
        <w:rPr>
          <w:lang w:eastAsia="ko-KR"/>
        </w:rPr>
        <w:t xml:space="preserve">в практику такого сексуального поведения, основополагающими принципами которого являются осознанность, свобода выбора и ответственность перед собой и перед другими" (Cerutti: 1995). О том же говорится и в Политической конституции </w:t>
      </w:r>
      <w:r>
        <w:rPr>
          <w:lang w:val="ru-RU" w:eastAsia="ko-KR"/>
        </w:rPr>
        <w:t>р</w:t>
      </w:r>
      <w:r>
        <w:rPr>
          <w:lang w:eastAsia="ko-KR"/>
        </w:rPr>
        <w:t>еспублики.</w:t>
      </w:r>
    </w:p>
    <w:p w:rsidR="000875B4" w:rsidRDefault="000875B4">
      <w:pPr>
        <w:pStyle w:val="SingleTxt"/>
      </w:pPr>
      <w:r>
        <w:t>45.</w:t>
      </w:r>
      <w:r>
        <w:tab/>
        <w:t>Для беременных подростков в возрасте 15–19 лет риск умереть во время родов в два раза больше, чем для женщин в возрасте от 20 до 29 лет; для девушек моложе 15 лет степень этого риска возрастает в пять раз. Хотя подростковая беременность имеет место во всех этнических группах, данные переписи населения 2001 года свидетельствуют о том, что чаще всего это явление встречается среди афроэкваторианок и что оно особенно распространено в сельских районах</w:t>
      </w:r>
      <w:r>
        <w:rPr>
          <w:rStyle w:val="FootnoteReference"/>
        </w:rPr>
        <w:footnoteReference w:id="10"/>
      </w:r>
      <w:r>
        <w:t>.</w:t>
      </w:r>
    </w:p>
    <w:p w:rsidR="000875B4" w:rsidRDefault="000875B4">
      <w:pPr>
        <w:pStyle w:val="SingleTxt"/>
        <w:spacing w:after="0"/>
        <w:ind w:left="1264" w:right="1264"/>
      </w:pPr>
      <w:r>
        <w:t>46.</w:t>
      </w:r>
      <w:r>
        <w:tab/>
        <w:t>По данным исследования, проведенного в сельских районах Эквадора, в 1998 году 64 процента женщин в возрасте 15–49 лет были знакомы с методами контрацепции, а в городах этот показатель возрастал до 88 процентов. Что касается применения методов контрацепции, то в сельских районах их применяли 23,4 процента женщин, а в городах – 35,6 процента</w:t>
      </w:r>
      <w:r>
        <w:rPr>
          <w:rStyle w:val="FootnoteReference"/>
        </w:rPr>
        <w:footnoteReference w:id="11"/>
      </w:r>
      <w:r>
        <w:t>.</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br w:type="page"/>
      </w:r>
      <w:r>
        <w:tab/>
      </w:r>
      <w:r>
        <w:tab/>
      </w:r>
      <w:r>
        <w:rPr>
          <w:lang w:val="ru-RU"/>
        </w:rPr>
        <w:t>Женская заболеваемость и смертность</w:t>
      </w:r>
    </w:p>
    <w:p w:rsidR="000875B4" w:rsidRDefault="000875B4">
      <w:pPr>
        <w:pStyle w:val="SingleTxt"/>
        <w:spacing w:after="0" w:line="120" w:lineRule="exact"/>
        <w:rPr>
          <w:sz w:val="10"/>
        </w:rPr>
      </w:pPr>
    </w:p>
    <w:p w:rsidR="000875B4" w:rsidRDefault="000875B4">
      <w:pPr>
        <w:pStyle w:val="SingleTxt"/>
      </w:pPr>
      <w:r>
        <w:t>47.</w:t>
      </w:r>
      <w:r>
        <w:tab/>
        <w:t xml:space="preserve">Смертность среди женщин по причинам, связанным с материнством, гинекологическими заболеваниями и родовспоможением, обусловлена прежде всего осложнениями во время беременности и родов (15 процентов), следующими </w:t>
      </w:r>
      <w:r>
        <w:rPr>
          <w:lang w:val="ru-RU"/>
        </w:rPr>
        <w:br/>
      </w:r>
      <w:r>
        <w:t>по значимости факторами являются искусственное прерывание беременности (6,1 процента) и нарушения внутриутробного развития плода.</w:t>
      </w:r>
    </w:p>
    <w:p w:rsidR="000875B4" w:rsidRDefault="000875B4">
      <w:pPr>
        <w:pStyle w:val="SingleTxt"/>
      </w:pPr>
      <w:r>
        <w:t>48.</w:t>
      </w:r>
      <w:r>
        <w:tab/>
        <w:t xml:space="preserve">По данным Министерства здравоохранения, представившего в 2004 году список десяти главных причин заболеваемости, основная причина смертности </w:t>
      </w:r>
      <w:r>
        <w:rPr>
          <w:lang w:val="ru-RU"/>
        </w:rPr>
        <w:br/>
      </w:r>
      <w:r>
        <w:t>у мужчин и женщин – заболевания хронического и дегенеративного характера, такие как болезни сердца, пневмония, заболевания сосудов головного мозга и гипертония. Сердечные заболевания стали причиной смерти 8,6 процента женщин и 7,3 процента мужчин. Следующие по частотности причины женской смертности</w:t>
      </w:r>
      <w:r>
        <w:rPr>
          <w:lang w:val="ru-RU"/>
        </w:rPr>
        <w:t xml:space="preserve"> </w:t>
      </w:r>
      <w:r>
        <w:t>–</w:t>
      </w:r>
      <w:r>
        <w:rPr>
          <w:lang w:val="ru-RU"/>
        </w:rPr>
        <w:t xml:space="preserve"> </w:t>
      </w:r>
      <w:r>
        <w:t>сахарный диабет (6,4 процента), заболевания сосудов головного мозга</w:t>
      </w:r>
      <w:r>
        <w:rPr>
          <w:lang w:val="ru-RU"/>
        </w:rPr>
        <w:t xml:space="preserve"> </w:t>
      </w:r>
      <w:r>
        <w:t>(6,0 процента), пневмония (5,9 процента), а также некоторые врожденные заболевания (3,4 процента).</w:t>
      </w:r>
    </w:p>
    <w:p w:rsidR="000875B4" w:rsidRDefault="000875B4">
      <w:pPr>
        <w:pStyle w:val="SingleTxt"/>
      </w:pPr>
      <w:r>
        <w:t xml:space="preserve">49. </w:t>
      </w:r>
      <w:r>
        <w:rPr>
          <w:lang w:val="ru-RU"/>
        </w:rPr>
        <w:tab/>
      </w:r>
      <w:r>
        <w:t>В 2004 году 23,5 тыс. женщин (1 процент женского населения страны) умерли от рака шейки матки, а 30,8 тыс. женщин (1,8 процента женского населения страны)</w:t>
      </w:r>
      <w:r>
        <w:rPr>
          <w:lang w:val="ru-RU"/>
        </w:rPr>
        <w:t> </w:t>
      </w:r>
      <w:r>
        <w:t xml:space="preserve">– от рака груди. По данным демографического </w:t>
      </w:r>
      <w:r>
        <w:rPr>
          <w:lang w:val="ru-RU"/>
        </w:rPr>
        <w:t>опроса по вопросу</w:t>
      </w:r>
      <w:r>
        <w:t xml:space="preserve"> охраны здоровья матери и ребенка (ЭНДЕМАИН), в 2004 году только 16,1 процента женщин в возрасте от 35 до 64 лет прошли медицинский осмотр на предмет раннего выявления рака шейки матки – заболевания, являющегося одной из основных причин женской смертности в стране.</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ВИЧ</w:t>
      </w:r>
      <w:r>
        <w:t>/</w:t>
      </w:r>
      <w:r>
        <w:rPr>
          <w:lang w:val="ru-RU"/>
        </w:rPr>
        <w:t>СПИД</w:t>
      </w:r>
    </w:p>
    <w:p w:rsidR="000875B4" w:rsidRDefault="000875B4">
      <w:pPr>
        <w:pStyle w:val="SingleTxt"/>
        <w:spacing w:after="0" w:line="120" w:lineRule="exact"/>
        <w:rPr>
          <w:sz w:val="10"/>
        </w:rPr>
      </w:pPr>
    </w:p>
    <w:p w:rsidR="000875B4" w:rsidRDefault="000875B4">
      <w:pPr>
        <w:pStyle w:val="SingleTxt"/>
      </w:pPr>
      <w:r>
        <w:t>50.</w:t>
      </w:r>
      <w:r>
        <w:tab/>
        <w:t>По данным Министерства здравоохранения</w:t>
      </w:r>
      <w:r>
        <w:rPr>
          <w:rStyle w:val="FootnoteReference"/>
        </w:rPr>
        <w:footnoteReference w:id="12"/>
      </w:r>
      <w:r>
        <w:t>, в стране живут 1108</w:t>
      </w:r>
      <w:r>
        <w:rPr>
          <w:lang w:val="ru-RU"/>
        </w:rPr>
        <w:t xml:space="preserve"> </w:t>
      </w:r>
      <w:r>
        <w:t xml:space="preserve">человек </w:t>
      </w:r>
      <w:r>
        <w:rPr>
          <w:lang w:val="ru-RU"/>
        </w:rPr>
        <w:br/>
      </w:r>
      <w:r>
        <w:t>с ВИЧ/СПИДом: 406 мужчин и 221 женщина являются носителями ВИЧ-инфекции, а 364 мужчины и 117 женщин больны СПИДом; эти данные не включают 102</w:t>
      </w:r>
      <w:r>
        <w:rPr>
          <w:lang w:val="ru-RU"/>
        </w:rPr>
        <w:t> </w:t>
      </w:r>
      <w:r>
        <w:t xml:space="preserve">инфицированных </w:t>
      </w:r>
      <w:r>
        <w:rPr>
          <w:lang w:val="ru-RU"/>
        </w:rPr>
        <w:t>детей</w:t>
      </w:r>
      <w:r>
        <w:t xml:space="preserve"> младше 14 лет. </w:t>
      </w:r>
    </w:p>
    <w:p w:rsidR="000875B4" w:rsidRDefault="000875B4">
      <w:pPr>
        <w:pStyle w:val="SingleTxt"/>
        <w:rPr>
          <w:rFonts w:eastAsia="Times New Roman"/>
          <w:lang w:eastAsia="es-ES"/>
        </w:rPr>
      </w:pPr>
      <w:r>
        <w:rPr>
          <w:rFonts w:eastAsia="Times New Roman"/>
          <w:lang w:eastAsia="es-ES"/>
        </w:rPr>
        <w:t>51.</w:t>
      </w:r>
      <w:r>
        <w:rPr>
          <w:rFonts w:eastAsia="Times New Roman"/>
          <w:lang w:eastAsia="es-ES"/>
        </w:rPr>
        <w:tab/>
        <w:t xml:space="preserve">По состоянию на 2005 год из общего числа случаев ВИЧ/СПИДа в Эквадоре 73,2 процента инфицированных и заболевших – мужчины, а 26,8 процента – женщины. По сравнению с предыдущим периодом все чаще носителями вируса являются женщины: если в 1984–1999 годах на каждых 3,7 инфицированных мужчин приходилась 1 женщина, то в 2005 году это соотношение уже составило 2,14 : 1. </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Право на жизнь без насилия</w:t>
      </w:r>
    </w:p>
    <w:p w:rsidR="000875B4" w:rsidRDefault="000875B4">
      <w:pPr>
        <w:pStyle w:val="SingleTxt"/>
        <w:spacing w:after="0" w:line="120" w:lineRule="exact"/>
        <w:rPr>
          <w:sz w:val="10"/>
        </w:rPr>
      </w:pPr>
    </w:p>
    <w:p w:rsidR="000875B4" w:rsidRDefault="000875B4">
      <w:pPr>
        <w:pStyle w:val="SingleTxt"/>
      </w:pPr>
      <w:r>
        <w:t>52.</w:t>
      </w:r>
      <w:r>
        <w:tab/>
        <w:t xml:space="preserve">Статья 2 Закона о борьбе с насилием в отношении женщин и семьи относит </w:t>
      </w:r>
      <w:r>
        <w:rPr>
          <w:lang w:val="ru-RU"/>
        </w:rPr>
        <w:br/>
      </w:r>
      <w:r>
        <w:t xml:space="preserve">к понятию "насилие в семье" любое действие или бездействие, выражающееся </w:t>
      </w:r>
      <w:r>
        <w:rPr>
          <w:lang w:val="ru-RU"/>
        </w:rPr>
        <w:br/>
      </w:r>
      <w:r>
        <w:t xml:space="preserve">в жестоком обращении физического, психологического или сексуального характера со стороны члена семьи в отношении женщины или других членов семьи. Подавляющее большинство пострадавших (94 процента) – дети и женщины. </w:t>
      </w:r>
    </w:p>
    <w:p w:rsidR="000875B4" w:rsidRDefault="000875B4">
      <w:pPr>
        <w:pStyle w:val="SingleTxt"/>
        <w:rPr>
          <w:lang w:eastAsia="es-ES"/>
        </w:rPr>
      </w:pPr>
      <w:r>
        <w:rPr>
          <w:lang w:eastAsia="es-ES"/>
        </w:rPr>
        <w:t>53.</w:t>
      </w:r>
      <w:r>
        <w:rPr>
          <w:lang w:eastAsia="es-ES"/>
        </w:rPr>
        <w:tab/>
      </w:r>
      <w:r>
        <w:rPr>
          <w:lang w:eastAsia="ko-KR"/>
        </w:rPr>
        <w:t xml:space="preserve">По данным демографического </w:t>
      </w:r>
      <w:r>
        <w:rPr>
          <w:lang w:val="ru-RU"/>
        </w:rPr>
        <w:t>опроса по вопросу</w:t>
      </w:r>
      <w:r>
        <w:rPr>
          <w:lang w:eastAsia="ko-KR"/>
        </w:rPr>
        <w:t xml:space="preserve"> охраны здоровья матери и ребенка, из 7217 опрошенных женщин 15,3 процента заявили о том, что они подвергались словесному или психологическому насилию, </w:t>
      </w:r>
      <w:r>
        <w:rPr>
          <w:lang w:eastAsia="es-ES"/>
        </w:rPr>
        <w:t>10,3 процента</w:t>
      </w:r>
      <w:r>
        <w:rPr>
          <w:lang w:val="ru-RU" w:eastAsia="es-ES"/>
        </w:rPr>
        <w:t xml:space="preserve"> </w:t>
      </w:r>
      <w:r>
        <w:rPr>
          <w:lang w:eastAsia="es-ES"/>
        </w:rPr>
        <w:t>–</w:t>
      </w:r>
      <w:r>
        <w:rPr>
          <w:lang w:val="ru-RU" w:eastAsia="es-ES"/>
        </w:rPr>
        <w:t xml:space="preserve"> </w:t>
      </w:r>
      <w:r>
        <w:rPr>
          <w:lang w:eastAsia="es-ES"/>
        </w:rPr>
        <w:t>физическому насилию, а 3,8 </w:t>
      </w:r>
      <w:r>
        <w:t xml:space="preserve">процента – о том, что они подвергались </w:t>
      </w:r>
      <w:r>
        <w:rPr>
          <w:lang w:val="ru-RU" w:eastAsia="es-ES"/>
        </w:rPr>
        <w:t>како</w:t>
      </w:r>
      <w:r>
        <w:rPr>
          <w:lang w:eastAsia="es-ES"/>
        </w:rPr>
        <w:t>й</w:t>
      </w:r>
      <w:r>
        <w:rPr>
          <w:lang w:val="ru-RU" w:eastAsia="es-ES"/>
        </w:rPr>
        <w:t>-либо</w:t>
      </w:r>
      <w:r>
        <w:rPr>
          <w:lang w:eastAsia="es-ES"/>
        </w:rPr>
        <w:t xml:space="preserve"> форме сексуального насилия. </w:t>
      </w:r>
    </w:p>
    <w:p w:rsidR="000875B4" w:rsidRDefault="000875B4">
      <w:pPr>
        <w:pStyle w:val="SingleTxt"/>
      </w:pPr>
      <w:r>
        <w:t>54.</w:t>
      </w:r>
      <w:r>
        <w:tab/>
        <w:t xml:space="preserve">По данным того же обследования, 7 процентов женщин в возрасте от 15 </w:t>
      </w:r>
      <w:r>
        <w:rPr>
          <w:lang w:val="ru-RU"/>
        </w:rPr>
        <w:br/>
      </w:r>
      <w:r>
        <w:t>до 49 лет сообщили, что в течение своей жизни они подвергались изнасилованию (с</w:t>
      </w:r>
      <w:r>
        <w:rPr>
          <w:lang w:val="ru-RU"/>
        </w:rPr>
        <w:t> </w:t>
      </w:r>
      <w:r>
        <w:t xml:space="preserve">проникновением); 4 процента упомянули о той или иной форме сексуального надругательства (изнасилование без проникновения). </w:t>
      </w:r>
    </w:p>
    <w:p w:rsidR="000875B4" w:rsidRDefault="000875B4">
      <w:pPr>
        <w:pStyle w:val="SingleTxt"/>
      </w:pPr>
      <w:r>
        <w:t>55.</w:t>
      </w:r>
      <w:r>
        <w:tab/>
        <w:t>Другие специализированные исследования показали, что 121 из 1000</w:t>
      </w:r>
      <w:r>
        <w:rPr>
          <w:lang w:val="ru-RU"/>
        </w:rPr>
        <w:t xml:space="preserve"> </w:t>
      </w:r>
      <w:r>
        <w:t xml:space="preserve">молодых людей (женщин и мужчин) становились объектом непрошенных поцелуев и ласк, </w:t>
      </w:r>
      <w:r>
        <w:rPr>
          <w:lang w:val="ru-RU"/>
        </w:rPr>
        <w:br/>
      </w:r>
      <w:r>
        <w:t xml:space="preserve">32 из 1000 молодых людей были изнасилованы, а 27 из 1000 подвергались оральному и генитальному сексуальному насилию (СЕПАМ, Кито, 2003: 46). </w:t>
      </w:r>
    </w:p>
    <w:p w:rsidR="000875B4" w:rsidRDefault="000875B4">
      <w:pPr>
        <w:pStyle w:val="SingleTxt"/>
        <w:rPr>
          <w:lang w:eastAsia="es-ES"/>
        </w:rPr>
      </w:pPr>
      <w:r>
        <w:rPr>
          <w:lang w:eastAsia="es-ES"/>
        </w:rPr>
        <w:t>56.</w:t>
      </w:r>
      <w:r>
        <w:rPr>
          <w:lang w:eastAsia="es-ES"/>
        </w:rPr>
        <w:tab/>
        <w:t xml:space="preserve">С другой стороны, хотя общее число заявлений о случаях насилия, поступающих в отделения </w:t>
      </w:r>
      <w:r>
        <w:t>Национального управления по гендерным проблемам, остается на стабильном уровне, наблюдается рост числа заявлений о случаях психологического насилия, и это свидетельствует о том, что о такого рода насилии в</w:t>
      </w:r>
      <w:r>
        <w:rPr>
          <w:lang w:val="ru-RU"/>
        </w:rPr>
        <w:t> </w:t>
      </w:r>
      <w:r>
        <w:t xml:space="preserve">настоящее время заявляют чаще, то есть эта проблема осознается сегодня лучше. </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Женщина и вооруженные конфликты</w:t>
      </w:r>
    </w:p>
    <w:p w:rsidR="000875B4" w:rsidRDefault="000875B4">
      <w:pPr>
        <w:pStyle w:val="SingleTxt"/>
        <w:spacing w:after="0" w:line="120" w:lineRule="exact"/>
        <w:rPr>
          <w:sz w:val="10"/>
        </w:rPr>
      </w:pPr>
    </w:p>
    <w:p w:rsidR="000875B4" w:rsidRDefault="000875B4">
      <w:pPr>
        <w:pStyle w:val="SingleTxt"/>
      </w:pPr>
      <w:r>
        <w:t>57.</w:t>
      </w:r>
      <w:r>
        <w:tab/>
        <w:t xml:space="preserve">Хотя в Эквадоре вооруженные конфликты отсутствуют, осуществленный в соседней стране план "Колумбия" привел к росту насилия на границе. В результате </w:t>
      </w:r>
      <w:r>
        <w:rPr>
          <w:lang w:val="ru-RU"/>
        </w:rPr>
        <w:br/>
      </w:r>
      <w:r>
        <w:t xml:space="preserve">в последние годы все больше колумбийцев перебираются в Эквадор, однако и сами эквадорцы оказались вынужденными покинуть свои прежние места проживания вблизи границы с Колумбией. </w:t>
      </w:r>
    </w:p>
    <w:p w:rsidR="000875B4" w:rsidRDefault="000875B4">
      <w:pPr>
        <w:pStyle w:val="SingleTxt"/>
      </w:pPr>
      <w:r>
        <w:t xml:space="preserve">58. </w:t>
      </w:r>
      <w:r>
        <w:tab/>
        <w:t>В связи с этим колумбийская неправительственная организация "Консультативный совет по правам человека и перемещению населения</w:t>
      </w:r>
      <w:r>
        <w:rPr>
          <w:lang w:val="ru-RU"/>
        </w:rPr>
        <w:t>"</w:t>
      </w:r>
      <w:r>
        <w:t xml:space="preserve"> указывает, что с 2000 года границы Венесуэлы и Эквадора пересекли 49 545 беженцев. По данным эквадорского Министерства иностранных дел, только в 2003 году 11 345 человек обратились в Эквадор с просьбой о предоставлении убежища. Половина этих просьб была удовлетворена. </w:t>
      </w:r>
    </w:p>
    <w:p w:rsidR="000875B4" w:rsidRDefault="000875B4">
      <w:pPr>
        <w:pStyle w:val="SingleTxt"/>
      </w:pPr>
      <w:r>
        <w:t>59.</w:t>
      </w:r>
      <w:r>
        <w:tab/>
        <w:t>Обострение внутреннего конфликта в Колумбии вследствие реализации плана "Колумбия" и региональной инициативы "Анды", а также систематические нарушения прав человека и международного гуманитарного права являются основными причинами увеличения притока ищущих убежища колумбийцев в Эквадор и в меньшей степени – в Панаму и Венесуэлу. Женщины покидают свои общины в поисках убежища "в основном потому, что они сами, их мужья или члены их семьи подвергаются преследованиям, потому что они опасаются насильственной мобилизации своих детей в вооруженные формирования, потому что они потеряли близких родственников, погибших насильственной смертью, или же потому, что они подверглись воздействию вредных веществ, которыми обрабатывались плантации запрещенных к выращиванию растений"</w:t>
      </w:r>
      <w:r>
        <w:rPr>
          <w:rStyle w:val="FootnoteReference"/>
          <w:bCs/>
        </w:rPr>
        <w:footnoteReference w:id="13"/>
      </w:r>
      <w:r>
        <w:t>.</w:t>
      </w:r>
    </w:p>
    <w:p w:rsidR="000875B4" w:rsidRDefault="000875B4">
      <w:pPr>
        <w:pStyle w:val="SingleTxt"/>
      </w:pPr>
      <w:r>
        <w:t>60.</w:t>
      </w:r>
      <w:r>
        <w:tab/>
        <w:t>По данным исследования, проведенного в 2004 году Андским региональным отделением ЮНИФЕМ</w:t>
      </w:r>
      <w:r>
        <w:rPr>
          <w:vertAlign w:val="superscript"/>
        </w:rPr>
        <w:footnoteReference w:id="14"/>
      </w:r>
      <w:r>
        <w:t xml:space="preserve">, в районе, известном под названием "северная граница" (Карчи, Эсмеральдас, Имбабура и Сукумбиос), в период с 2000 по 2003 год от перемещенных граждан Колумбии поступило более 21 тыс. заявлений с просьбой </w:t>
      </w:r>
      <w:r>
        <w:rPr>
          <w:lang w:val="ru-RU"/>
        </w:rPr>
        <w:br/>
      </w:r>
      <w:r>
        <w:t xml:space="preserve">о предоставлении убежища (УВКБ ООН, 2003 год). Для северного приграничного района характерны высокие показатели бедности, безработицы, отсутствие базовой инфраструктуры, загрязнение окружающей среды, и все это крайне негативно сказывается на возможностях разрабатывать и проводить в жизнь политику, которая гарантировала бы всестороннюю реализацию прав перемещенного населения. </w:t>
      </w:r>
    </w:p>
    <w:p w:rsidR="000875B4" w:rsidRDefault="000875B4">
      <w:pPr>
        <w:pStyle w:val="SingleTxt"/>
      </w:pPr>
      <w:r>
        <w:t>61.</w:t>
      </w:r>
      <w:r>
        <w:tab/>
        <w:t>По данным Министерства иностранных дел Эквадора, число граждан Колумбии, подавших в период 2000–2004 годов ходатайства о предоставлении убежища</w:t>
      </w:r>
      <w:r>
        <w:rPr>
          <w:lang w:val="ru-RU"/>
        </w:rPr>
        <w:t>, составило</w:t>
      </w:r>
      <w:r>
        <w:t xml:space="preserve"> 27 495 человек, причем очевидна тенденция к возрастанию</w:t>
      </w:r>
      <w:r>
        <w:rPr>
          <w:lang w:val="ru-RU"/>
        </w:rPr>
        <w:t xml:space="preserve"> </w:t>
      </w:r>
      <w:r>
        <w:t>– 60 процентов заявлений поступили в период с 2003 по август 2004 года (Camacho, 2004).</w:t>
      </w:r>
    </w:p>
    <w:p w:rsidR="000875B4" w:rsidRDefault="000875B4">
      <w:pPr>
        <w:pStyle w:val="SingleTxt"/>
      </w:pPr>
      <w:r>
        <w:t>62.</w:t>
      </w:r>
      <w:r>
        <w:tab/>
        <w:t>К числу имеющих при этом место основных проблем гендерного характера относятся:</w:t>
      </w:r>
    </w:p>
    <w:p w:rsidR="000875B4" w:rsidRDefault="000875B4">
      <w:pPr>
        <w:pStyle w:val="SingleTxt0"/>
      </w:pPr>
      <w:r>
        <w:rPr>
          <w:bCs w:val="0"/>
        </w:rPr>
        <w:tab/>
        <w:t>–</w:t>
      </w:r>
      <w:r>
        <w:rPr>
          <w:bCs w:val="0"/>
        </w:rPr>
        <w:tab/>
      </w:r>
      <w:r>
        <w:t>Отсутствие документов и трудовая эксплуатация (чрезмерная продолжительность рабочего времени, низкая заработная плата, невыплачивание зарплаты, отказ в предоставлении льгот и включении в систему социального страхования, сексуальные домогательства и шантаж под угрозой депортации, угроза ареста, жестокое обращение, конфискация имущества, опасные и вредные для здоровья условия труда, например воздействие химических веществ на цветочных плантациях).</w:t>
      </w:r>
    </w:p>
    <w:p w:rsidR="000875B4" w:rsidRDefault="000875B4">
      <w:pPr>
        <w:pStyle w:val="SingleTxt0"/>
      </w:pPr>
      <w:r>
        <w:tab/>
        <w:t>–</w:t>
      </w:r>
      <w:r>
        <w:tab/>
        <w:t xml:space="preserve">Виды занятости, определяемые традиционной системой гендерного доминирования, и связанные с этим чрезмерные нагрузки на рабочих местах. </w:t>
      </w:r>
    </w:p>
    <w:p w:rsidR="000875B4" w:rsidRDefault="000875B4">
      <w:pPr>
        <w:pStyle w:val="SingleTxt0"/>
      </w:pPr>
      <w:r>
        <w:tab/>
        <w:t>–</w:t>
      </w:r>
      <w:r>
        <w:tab/>
        <w:t>Дискриминация и унижение.</w:t>
      </w:r>
    </w:p>
    <w:p w:rsidR="000875B4" w:rsidRDefault="000875B4">
      <w:pPr>
        <w:pStyle w:val="SingleTxt0"/>
        <w:rPr>
          <w:bCs w:val="0"/>
        </w:rPr>
      </w:pPr>
      <w:r>
        <w:tab/>
        <w:t>–</w:t>
      </w:r>
      <w:r>
        <w:tab/>
        <w:t>Гендерное насилие.</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Право на труд</w:t>
      </w:r>
      <w:r>
        <w:br/>
      </w:r>
      <w:r>
        <w:rPr>
          <w:lang w:val="ru-RU"/>
        </w:rPr>
        <w:t>Занятость и заработная плата</w:t>
      </w:r>
    </w:p>
    <w:p w:rsidR="000875B4" w:rsidRDefault="000875B4">
      <w:pPr>
        <w:pStyle w:val="SingleTxt"/>
        <w:spacing w:after="0" w:line="120" w:lineRule="exact"/>
        <w:rPr>
          <w:sz w:val="10"/>
        </w:rPr>
      </w:pPr>
    </w:p>
    <w:p w:rsidR="000875B4" w:rsidRDefault="000875B4">
      <w:pPr>
        <w:pStyle w:val="SingleTxt"/>
      </w:pPr>
      <w:r>
        <w:t>63.</w:t>
      </w:r>
      <w:r>
        <w:tab/>
        <w:t xml:space="preserve">Дискриминация является определяющей причиной социальной незащищенности женщин, поскольку уровень оплаты труда женщин частично определяют такие факторы, как доступность системы образования и возможность его закончить, равно как и возможность получить доступ на рынок труда, а также взаимосвязь с неэкономическими видами деятельности. По данным исследования проблем занятости в Кито, проведенного Институтом экономических исследований Католического университета и Центральным банком, большинство частично занятых и безработных составляют женщины. Согласно последним данным за январь 2003 года, уровень неполной занятости женщин составлял 50 процентов, тогда как мужчин – 25 процентов, а полностью безработными были 11 процентов женщин и 6,5 процента мужчин. В наиболее тяжелом положении находятся молодые женщины: уровень безработицы среди женщин в возрасте 15–29 лет составляет 19 процентов, а среди молодых мужчин – 11,3 процента. </w:t>
      </w:r>
    </w:p>
    <w:p w:rsidR="000875B4" w:rsidRDefault="000875B4">
      <w:pPr>
        <w:pStyle w:val="SingleTxt"/>
      </w:pPr>
      <w:r>
        <w:t>64.</w:t>
      </w:r>
      <w:r>
        <w:tab/>
        <w:t xml:space="preserve">По данным того же источника, заработная плата женщин в среднем на 22 процента ниже заработной платы мужчин. Это обусловлено такими причинами, как уровень образования, опыт работы, преданность делу, однако еще одной причиной является гендерная дискриминация, за счет чего заработки мужчин на 12 процентов превышают заработки женщин. Дискриминация и подчиненное положение женщин находят свое выражение в том, что они работают на низкооплачиваемых должностях, зачастую их положение неустойчиво, уровень квалификации низок, социальное страхование отсутствует. </w:t>
      </w:r>
    </w:p>
    <w:p w:rsidR="000875B4" w:rsidRDefault="000875B4">
      <w:pPr>
        <w:pStyle w:val="SingleTxt"/>
        <w:rPr>
          <w:lang w:eastAsia="es-ES"/>
        </w:rPr>
      </w:pPr>
      <w:r>
        <w:rPr>
          <w:lang w:eastAsia="es-ES"/>
        </w:rPr>
        <w:t>65.</w:t>
      </w:r>
      <w:r>
        <w:rPr>
          <w:lang w:eastAsia="es-ES"/>
        </w:rPr>
        <w:tab/>
        <w:t>Тот же источник сообщает, что 37 процентов женщин заняты в неформальном секторе, тогда как у мужчин этот показатель составляет 33</w:t>
      </w:r>
      <w:r>
        <w:t> процента</w:t>
      </w:r>
      <w:r>
        <w:rPr>
          <w:lang w:eastAsia="es-ES"/>
        </w:rPr>
        <w:t xml:space="preserve">. В сельском хозяйстве, напротив, трудятся 35 процентов мужчин и 25 процентов женщин; что касается работы в качестве домашней прислуги, то 95 процентов занятых этой работой – женщины. </w:t>
      </w:r>
    </w:p>
    <w:p w:rsidR="000875B4" w:rsidRDefault="000875B4">
      <w:pPr>
        <w:pStyle w:val="SingleTxt"/>
      </w:pPr>
      <w:r>
        <w:t>66.</w:t>
      </w:r>
      <w:r>
        <w:tab/>
        <w:t xml:space="preserve">Рост участия женщин в неформальном секторе экономики и его нестабильность ввиду кризиса стали факторами, определяющими ухудшение качественного содержания работ, в которых заняты женщины, и рост их участия </w:t>
      </w:r>
      <w:r>
        <w:rPr>
          <w:lang w:val="ru-RU"/>
        </w:rPr>
        <w:br/>
      </w:r>
      <w:r>
        <w:t xml:space="preserve">в нетоварных отраслях. В целом экономический кризис, поразивший Эквадор в последние десятилетия, привел к усилению этих тенденций, росту гендерных различий и к тому, что женщины оказались в неблагоприятной экономической ситуации, и столь </w:t>
      </w:r>
      <w:r>
        <w:rPr>
          <w:lang w:val="ru-RU"/>
        </w:rPr>
        <w:t>же н</w:t>
      </w:r>
      <w:r>
        <w:t>еблагоприятна для женщин ситуация в плане возможностей и их разнообразия.</w:t>
      </w:r>
    </w:p>
    <w:p w:rsidR="000875B4" w:rsidRDefault="000875B4">
      <w:pPr>
        <w:pStyle w:val="SingleTxt"/>
        <w:rPr>
          <w:lang w:eastAsia="es-ES"/>
        </w:rPr>
      </w:pPr>
      <w:r>
        <w:rPr>
          <w:lang w:eastAsia="es-ES"/>
        </w:rPr>
        <w:t>67.</w:t>
      </w:r>
      <w:r>
        <w:rPr>
          <w:lang w:eastAsia="es-ES"/>
        </w:rPr>
        <w:tab/>
        <w:t xml:space="preserve">Средний уровень доходов свидетельствует о наличии дискриминации в оплате труда: в городах средний уровень доходов у женщин составляет 67 процентов, </w:t>
      </w:r>
      <w:r>
        <w:rPr>
          <w:lang w:val="ru-RU" w:eastAsia="es-ES"/>
        </w:rPr>
        <w:br/>
      </w:r>
      <w:r>
        <w:rPr>
          <w:lang w:eastAsia="es-ES"/>
        </w:rPr>
        <w:t>а в сельских районах</w:t>
      </w:r>
      <w:r>
        <w:rPr>
          <w:lang w:val="ru-RU" w:eastAsia="es-ES"/>
        </w:rPr>
        <w:t xml:space="preserve"> </w:t>
      </w:r>
      <w:r>
        <w:rPr>
          <w:lang w:eastAsia="es-ES"/>
        </w:rPr>
        <w:t>–</w:t>
      </w:r>
      <w:r>
        <w:rPr>
          <w:lang w:val="ru-RU" w:eastAsia="es-ES"/>
        </w:rPr>
        <w:t xml:space="preserve"> </w:t>
      </w:r>
      <w:r>
        <w:rPr>
          <w:lang w:eastAsia="es-ES"/>
        </w:rPr>
        <w:t xml:space="preserve">47 процентов от доходов мужчин. </w:t>
      </w:r>
    </w:p>
    <w:p w:rsidR="000875B4" w:rsidRDefault="000875B4">
      <w:pPr>
        <w:pStyle w:val="SingleTxt"/>
      </w:pPr>
      <w:r>
        <w:t>68.</w:t>
      </w:r>
      <w:r>
        <w:tab/>
        <w:t>На уровне страны средние доходы домохозяйств, возглавляемых женщинами, ниже, чем доходы домохозяйств, возглавляемых мужчинами: на каждые 100 долл., зарабатываемых мужчиной, приходится 70 долл., зарабатываемых женщиной. В</w:t>
      </w:r>
      <w:r>
        <w:rPr>
          <w:lang w:val="ru-RU"/>
        </w:rPr>
        <w:t> </w:t>
      </w:r>
      <w:r>
        <w:t xml:space="preserve">городах уровень неравенства еще выше (64,6 процента). </w:t>
      </w:r>
    </w:p>
    <w:p w:rsidR="000875B4" w:rsidRDefault="000875B4">
      <w:pPr>
        <w:pStyle w:val="SingleTxt"/>
      </w:pPr>
      <w:r>
        <w:t>69.</w:t>
      </w:r>
      <w:r>
        <w:tab/>
        <w:t>Что касается рабочих, то в легкой промышленности ставки зарплаты у женщин ниже, чем у мужчин, однако во внутренней торговле доходы женщин и мужчин одинаковы. Объясняется это тем, что на предприятиях женщины трудятся на хуже оплачиваемых работах или откровенно подвергаются дискриминации. Особый случай – горнодобывающая промышленность, где ситуация неблагоприятна для мужчин, поскольку женщины зарабатывают на 56 процентов больше. Это объясняется тем, что, по имеющейся в отношении данной отрасли информации, 91 процент занятых здесь женщин работают в нефтяной отрасли, тогда как более 5</w:t>
      </w:r>
      <w:r>
        <w:rPr>
          <w:lang w:val="ru-RU"/>
        </w:rPr>
        <w:t>0</w:t>
      </w:r>
      <w:r>
        <w:t xml:space="preserve"> процентов мужчин – в шахтах и карьерах, то есть на низкооплачиваемых работах, в которых женщины практически отсутствуют. </w:t>
      </w:r>
    </w:p>
    <w:p w:rsidR="000875B4" w:rsidRDefault="000875B4">
      <w:pPr>
        <w:pStyle w:val="SingleTxt"/>
      </w:pPr>
      <w:r>
        <w:t>70.</w:t>
      </w:r>
      <w:r>
        <w:tab/>
        <w:t>Что касается отдельных секторов на рынке труда, то разница в уровнях зарплаты в современных (формальных) отраслях хотя и существует, но не так велика, как в сельском хозяйстве, где женский труд оценивается особенно низко. Удивительно, но и работа мужчин в качестве домашней прислуги оплачивается гораздо выше, чем работа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Pr>
          <w:bCs/>
        </w:rPr>
        <w:tab/>
        <w:t>Случаи увольнения по гендерным мотивам</w:t>
      </w:r>
    </w:p>
    <w:p w:rsidR="000875B4" w:rsidRDefault="000875B4">
      <w:pPr>
        <w:pStyle w:val="SingleTxt"/>
        <w:spacing w:after="0" w:line="120" w:lineRule="exact"/>
        <w:rPr>
          <w:sz w:val="10"/>
        </w:rPr>
      </w:pPr>
    </w:p>
    <w:p w:rsidR="000875B4" w:rsidRDefault="000875B4">
      <w:pPr>
        <w:pStyle w:val="SingleTxt"/>
        <w:rPr>
          <w:lang w:eastAsia="es-ES"/>
        </w:rPr>
      </w:pPr>
      <w:r>
        <w:rPr>
          <w:lang w:eastAsia="es-ES"/>
        </w:rPr>
        <w:t>71.</w:t>
      </w:r>
      <w:r>
        <w:rPr>
          <w:lang w:eastAsia="es-ES"/>
        </w:rPr>
        <w:tab/>
        <w:t>В Департамент инспекции Министерства труда и занятости в период с января по май 2006</w:t>
      </w:r>
      <w:r>
        <w:t> </w:t>
      </w:r>
      <w:r>
        <w:rPr>
          <w:lang w:eastAsia="es-ES"/>
        </w:rPr>
        <w:t xml:space="preserve">года поступили 2023 жалобы по случаям увольнения женщин. </w:t>
      </w:r>
    </w:p>
    <w:p w:rsidR="000875B4" w:rsidRDefault="000875B4">
      <w:pPr>
        <w:pStyle w:val="SingleTxt"/>
      </w:pPr>
      <w:r>
        <w:t>72.</w:t>
      </w:r>
      <w:r>
        <w:tab/>
        <w:t>В 1830 жалобах на необоснованные увольнения не разъяснялась ни ситуация, при которой имело место увольнение, ни его мотивы. В 81 случае жалобы были поданы в связи с увольнением, которое оправдывалось разными причинами, будь то решение работодателя или расторжение трудового договора, что означает невыполнение работодателями своих обязательств.</w:t>
      </w:r>
    </w:p>
    <w:p w:rsidR="000875B4" w:rsidRDefault="000875B4">
      <w:pPr>
        <w:pStyle w:val="SingleTxt"/>
        <w:rPr>
          <w:lang w:eastAsia="es-ES"/>
        </w:rPr>
      </w:pPr>
      <w:r>
        <w:rPr>
          <w:lang w:eastAsia="es-ES"/>
        </w:rPr>
        <w:t>73.</w:t>
      </w:r>
      <w:r>
        <w:rPr>
          <w:lang w:eastAsia="es-ES"/>
        </w:rPr>
        <w:tab/>
        <w:t>С материнством были связаны 40 жалоб. Если работодатель узнает, что его работница беременна, он может ее уволить под каким-либо предлогом или пере</w:t>
      </w:r>
      <w:r>
        <w:rPr>
          <w:lang w:val="ru-RU" w:eastAsia="es-ES"/>
        </w:rPr>
        <w:t>в</w:t>
      </w:r>
      <w:r>
        <w:rPr>
          <w:lang w:eastAsia="es-ES"/>
        </w:rPr>
        <w:t xml:space="preserve">ести на работу, угрожающую ее беременности и сопряженную, например, с необходимостью поднимать тяжести или заниматься трудоемкой уборкой, а также оказать на нее психологическое давление. Если работница все же продолжает работать, работодатель стремится ее уволить, утверждая, что у него нет работы, посильной для беременных. </w:t>
      </w:r>
    </w:p>
    <w:p w:rsidR="000875B4" w:rsidRDefault="000875B4">
      <w:pPr>
        <w:pStyle w:val="SingleTxt"/>
        <w:rPr>
          <w:lang w:eastAsia="es-ES"/>
        </w:rPr>
      </w:pPr>
      <w:r>
        <w:rPr>
          <w:lang w:eastAsia="es-ES"/>
        </w:rPr>
        <w:t>74.</w:t>
      </w:r>
      <w:r>
        <w:rPr>
          <w:lang w:eastAsia="es-ES"/>
        </w:rPr>
        <w:tab/>
        <w:t xml:space="preserve">Кроме того, поступили 7 жалоб от матерей, имеющих грудных детей. Когда женщины по истечении двенадцати недель отпуска по беременности и родам возвращались на свои рабочие места, то оказывалось, что на этих местах уже работает кто-то другой или же компания просто взяла на это место другого постоянного работника. </w:t>
      </w:r>
    </w:p>
    <w:p w:rsidR="000875B4" w:rsidRDefault="000875B4">
      <w:pPr>
        <w:pStyle w:val="SingleTxt"/>
      </w:pPr>
      <w:r>
        <w:t>75.</w:t>
      </w:r>
      <w:r>
        <w:tab/>
        <w:t>В связи с домогательствами были поданы 65 жалоб. В одной из жалоб заявитель указала на сексуальные домогательства как на причину ее увольнения. По данным Департамента инспекции Министерства труда и занятости, небольшое количество таких жалоб, поступающих в Министерство труда, объясняется тем, что в Генеральной прокуратуре действует отдел, занимающийся преступлениями на сексуальной почве, и именно сюда подаются жалобы на случаи сексуальных домогательств. Для того чтобы определить, имели ли место такие домогательства, учитывается факт преследований, жестокого физического обращения или психологического насилия, жертвой которого была работающая женщина.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Pr>
          <w:bCs/>
        </w:rPr>
        <w:tab/>
      </w:r>
      <w:r>
        <w:rPr>
          <w:bCs/>
          <w:lang w:eastAsia="es-ES"/>
        </w:rPr>
        <w:t>Службы по уходу за детьми на рабочих местах</w:t>
      </w:r>
    </w:p>
    <w:p w:rsidR="000875B4" w:rsidRDefault="000875B4">
      <w:pPr>
        <w:pStyle w:val="SingleTxt"/>
        <w:spacing w:after="0" w:line="120" w:lineRule="exact"/>
        <w:rPr>
          <w:sz w:val="10"/>
        </w:rPr>
      </w:pPr>
    </w:p>
    <w:p w:rsidR="000875B4" w:rsidRDefault="000875B4">
      <w:pPr>
        <w:pStyle w:val="SingleTxt"/>
        <w:rPr>
          <w:lang w:eastAsia="es-ES"/>
        </w:rPr>
      </w:pPr>
      <w:r>
        <w:rPr>
          <w:lang w:eastAsia="es-ES"/>
        </w:rPr>
        <w:t>76.</w:t>
      </w:r>
      <w:r>
        <w:rPr>
          <w:lang w:eastAsia="es-ES"/>
        </w:rPr>
        <w:tab/>
        <w:t xml:space="preserve">Позитивным является то, что матери, имеющие требующих присмотра детей, имеют возможность работать вне дома. Детские сады и другие государственные детские учреждения оказывают важные социальные услуги по уходу за детьми, которые не ходят в школу и которых в ином случае пришлось бы оставлять дома одних или под присмотром других малолетних членов семьи. </w:t>
      </w:r>
    </w:p>
    <w:p w:rsidR="000875B4" w:rsidRDefault="000875B4">
      <w:pPr>
        <w:pStyle w:val="SingleTxt"/>
      </w:pPr>
      <w:r>
        <w:t>77.</w:t>
      </w:r>
      <w:r>
        <w:tab/>
        <w:t>Кроме того, эти учреждения играют свою роль в решении проблем здравоохранения и образования. Они предоставляют детям питание, обеспечивают их безопасность, способствуют их росту и развитию, проводят вакцинацию и стимулируют развитие психомоторных навыков и ведут подготовку детей к</w:t>
      </w:r>
      <w:r>
        <w:rPr>
          <w:lang w:val="ru-RU"/>
        </w:rPr>
        <w:t> </w:t>
      </w:r>
      <w:r>
        <w:t>овладению навыками чтения и письма.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Трудовая миграция</w:t>
      </w:r>
      <w:r>
        <w:rPr>
          <w:rStyle w:val="FootnoteReference"/>
          <w:b w:val="0"/>
        </w:rPr>
        <w:footnoteReference w:id="15"/>
      </w:r>
    </w:p>
    <w:p w:rsidR="000875B4" w:rsidRDefault="000875B4">
      <w:pPr>
        <w:pStyle w:val="SingleTxt"/>
        <w:spacing w:after="0" w:line="120" w:lineRule="exact"/>
        <w:rPr>
          <w:sz w:val="10"/>
        </w:rPr>
      </w:pPr>
    </w:p>
    <w:p w:rsidR="000875B4" w:rsidRDefault="000875B4">
      <w:pPr>
        <w:pStyle w:val="SingleTxt"/>
      </w:pPr>
      <w:r>
        <w:t>78.</w:t>
      </w:r>
      <w:r>
        <w:tab/>
        <w:t xml:space="preserve">В стране отсутствует система сбора и обработки статистических данных </w:t>
      </w:r>
      <w:r>
        <w:rPr>
          <w:lang w:val="ru-RU"/>
        </w:rPr>
        <w:br/>
      </w:r>
      <w:r>
        <w:t>о распространенности</w:t>
      </w:r>
      <w:r>
        <w:rPr>
          <w:vertAlign w:val="superscript"/>
        </w:rPr>
        <w:footnoteReference w:id="16"/>
      </w:r>
      <w:r>
        <w:t xml:space="preserve"> эмиграции среди граждан Эквадора, которая давала бы общее представление о положении эквадорцев в странах назначения. ИНЕК располагает информацией о международной миграции, позволяющей дать количественную оценку и характеристику ситуации с выездом эквадорцев из страны и въездом в Эквадор иностранцев. Ряд вопросов, которые задавались в ходе переписи населения 2001 года</w:t>
      </w:r>
      <w:r>
        <w:rPr>
          <w:lang w:val="ru-RU"/>
        </w:rPr>
        <w:t>,</w:t>
      </w:r>
      <w:r>
        <w:t xml:space="preserve"> имели целью получить данные за последние пять лет (с</w:t>
      </w:r>
      <w:r>
        <w:rPr>
          <w:lang w:val="ru-RU"/>
        </w:rPr>
        <w:t> </w:t>
      </w:r>
      <w:r>
        <w:t xml:space="preserve">1996 года) об эмиграции за границу. </w:t>
      </w:r>
    </w:p>
    <w:p w:rsidR="000875B4" w:rsidRDefault="000875B4">
      <w:pPr>
        <w:pStyle w:val="SingleTxt"/>
      </w:pPr>
      <w:r>
        <w:t>79.</w:t>
      </w:r>
      <w:r>
        <w:tab/>
        <w:t xml:space="preserve">По данным переписи, в общем потоке эмигрантов за период с 1996 по 2000 год 53 процента составляли мужчины, а 47 процентов – женщины. Анализ по возрастным группам показывает, что около 91 процента эмигрировавших женщин были в возрасте 15–64 лет и примерно такой же показатель (92 процента) у мужчин. Кроме того, отмечается, что в возрастной группе старше 65 лет чаще за рубеж выезжают женщины (57 процентов). </w:t>
      </w:r>
    </w:p>
    <w:p w:rsidR="000875B4" w:rsidRDefault="000875B4">
      <w:pPr>
        <w:pStyle w:val="SingleTxt"/>
      </w:pPr>
      <w:r>
        <w:t>80.</w:t>
      </w:r>
      <w:r>
        <w:tab/>
        <w:t xml:space="preserve">В отношении причин миграции женщин следует отметить, что в 37 процентах случаев они выезжали работать, </w:t>
      </w:r>
      <w:r>
        <w:rPr>
          <w:lang w:val="ru-RU"/>
        </w:rPr>
        <w:t xml:space="preserve">в </w:t>
      </w:r>
      <w:r>
        <w:t>34 процента</w:t>
      </w:r>
      <w:r>
        <w:rPr>
          <w:lang w:val="ru-RU"/>
        </w:rPr>
        <w:t xml:space="preserve">х </w:t>
      </w:r>
      <w:r>
        <w:t>–</w:t>
      </w:r>
      <w:r>
        <w:rPr>
          <w:lang w:val="ru-RU"/>
        </w:rPr>
        <w:t xml:space="preserve"> </w:t>
      </w:r>
      <w:r>
        <w:t xml:space="preserve">на постоянное проживание, </w:t>
      </w:r>
      <w:r>
        <w:rPr>
          <w:lang w:val="ru-RU"/>
        </w:rPr>
        <w:br/>
        <w:t xml:space="preserve">в </w:t>
      </w:r>
      <w:r>
        <w:t>17 процент</w:t>
      </w:r>
      <w:r>
        <w:rPr>
          <w:lang w:val="ru-RU"/>
        </w:rPr>
        <w:t>ах</w:t>
      </w:r>
      <w:r>
        <w:t xml:space="preserve"> – в качестве туристов, а в остальных случаях указывались другие причины. Чаще всего за последние пять лет жители Эквадора эмигрировали </w:t>
      </w:r>
      <w:r>
        <w:rPr>
          <w:lang w:val="ru-RU"/>
        </w:rPr>
        <w:br/>
      </w:r>
      <w:r>
        <w:t xml:space="preserve">в Испанию (51 процент), на втором месте – Соединенные Штаты (21 процент), </w:t>
      </w:r>
      <w:r>
        <w:rPr>
          <w:lang w:val="ru-RU"/>
        </w:rPr>
        <w:br/>
      </w:r>
      <w:r>
        <w:t>на третьем – Италия (13 процентов), а на остальные страны приходится меньший процент.</w:t>
      </w:r>
    </w:p>
    <w:p w:rsidR="000875B4" w:rsidRDefault="000875B4">
      <w:pPr>
        <w:pStyle w:val="SingleTxt"/>
      </w:pPr>
      <w:r>
        <w:t>81.</w:t>
      </w:r>
      <w:r>
        <w:tab/>
        <w:t xml:space="preserve">В исследовании международной миграции проанализирована информация </w:t>
      </w:r>
      <w:r>
        <w:rPr>
          <w:lang w:val="ru-RU"/>
        </w:rPr>
        <w:br/>
      </w:r>
      <w:r>
        <w:t xml:space="preserve">о выездах эквадорцев за рубеж в период с 2001 по 2003 год, и результаты анализа в основном совпадают с теми тенденциями, которые выявила проводившаяся в стране перепись населения. Исключение составляют лишь мотивы миграции: в 2001 году 96 процентов женщин сообщили, что целью их выезда был туризм, в 2002 году ту же причину указали 80 процентов женщин, а в 2003 году – 64 процента. Вторая из указанных целей выезда – работа. Показатели здесь имеют тенденцию к росту: если в 2001 году эту цель называли 4 процента женщин, то в 2002 году – 19 процентов, а в 2003 году – 35 процентов. </w:t>
      </w:r>
    </w:p>
    <w:p w:rsidR="000875B4" w:rsidRDefault="000875B4">
      <w:pPr>
        <w:pStyle w:val="SingleTxt"/>
      </w:pPr>
      <w:r>
        <w:t>82.</w:t>
      </w:r>
      <w:r>
        <w:tab/>
        <w:t>Что касается рода занятий, который указывают выезжающие за рубеж гражданки Эквадора, то 49 процентов из тех, кто выезжал за границу в 2001 году, –</w:t>
      </w:r>
      <w:r>
        <w:rPr>
          <w:lang w:val="ru-RU"/>
        </w:rPr>
        <w:t xml:space="preserve"> </w:t>
      </w:r>
      <w:r>
        <w:t>квалифицированные специалисты, ученые и работники умственного труда, 19 процентов – студентки, а 17 процентов – домохозяйки; в 2002 году квалифицированные специалисты, ученые и работники умственного труда составили 56 процентов выехавших, студентки – 18 процентов, а домохозяйки</w:t>
      </w:r>
      <w:r>
        <w:rPr>
          <w:lang w:val="ru-RU"/>
        </w:rPr>
        <w:t xml:space="preserve"> </w:t>
      </w:r>
      <w:r>
        <w:t>–</w:t>
      </w:r>
      <w:r>
        <w:rPr>
          <w:lang w:val="ru-RU"/>
        </w:rPr>
        <w:t xml:space="preserve"> </w:t>
      </w:r>
      <w:r>
        <w:t>13 процентов. В 2003 году эти цифры изменились, составив соответственно 50, 21 и 14 процентов. Эти данные свидетельствуют о том, что за рубеж в поисках работы или более высокооплачиваемой работы выезжает экономически активная и квалифицированная часть женского населения.</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Участие женщин в политической жизни</w:t>
      </w:r>
    </w:p>
    <w:p w:rsidR="000875B4" w:rsidRDefault="000875B4">
      <w:pPr>
        <w:pStyle w:val="SingleTxt"/>
        <w:spacing w:after="0" w:line="120" w:lineRule="exact"/>
        <w:rPr>
          <w:sz w:val="10"/>
        </w:rPr>
      </w:pPr>
    </w:p>
    <w:p w:rsidR="000875B4" w:rsidRDefault="000875B4">
      <w:pPr>
        <w:pStyle w:val="SingleTxt"/>
      </w:pPr>
      <w:r>
        <w:t>83.</w:t>
      </w:r>
      <w:r>
        <w:tab/>
        <w:t xml:space="preserve">Участие женщин и мужчин в политической жизни характеризуется различиями, которые связаны с их социализацией, культурными стереотипами, организационной культурой и с действующими нормами и правилами. Участие женщин в политической жизни укрепляет их позиции как социальной группы в той мере, в какой они имеют возможность объединяться в организации, выражать свои требования, высказывать свою точку зрения и защищать свои права. </w:t>
      </w:r>
    </w:p>
    <w:p w:rsidR="000875B4" w:rsidRDefault="000875B4">
      <w:pPr>
        <w:pStyle w:val="SingleTxt"/>
      </w:pPr>
      <w:r>
        <w:t>84.</w:t>
      </w:r>
      <w:r>
        <w:tab/>
        <w:t xml:space="preserve">Изменения в законодательстве, такие как Закон о праве на труд (1997 год), а затем Закон об участии в политической жизни (2000 год), принятые под давлением со стороны ряда сил, в числе которых важнейшую роль сыграло женское движение, привели к введению квот на включение женщин в списки кандидатов на всенародных выборах и тем самым стали стратегически важными шагами на пути предоставления женщинам бóльших возможностей для участия в политической жизни. Согласно Закону 2000 года, женщины должны включаться в списки кандидатов наряду с мужчинами с соблюдением принципов чередования и ротации. В 2000 году доля женщин среди избранных кандидатов возросла до 25 процентов, что составило прирост на почти 20 процентных пунктов в сравнении с выборами 1996 года. Несомненно, что этот результат был достигнут благодаря мерам позитивного характера и работе организаций по укреплению лидирующих позиций женщин в политической сфере. </w:t>
      </w:r>
    </w:p>
    <w:p w:rsidR="000875B4" w:rsidRDefault="000875B4">
      <w:pPr>
        <w:pStyle w:val="SingleTxt"/>
        <w:rPr>
          <w:lang w:eastAsia="es-ES"/>
        </w:rPr>
      </w:pPr>
      <w:r>
        <w:rPr>
          <w:lang w:eastAsia="es-ES"/>
        </w:rPr>
        <w:t>85.</w:t>
      </w:r>
      <w:r>
        <w:rPr>
          <w:lang w:eastAsia="es-ES"/>
        </w:rPr>
        <w:tab/>
        <w:t>По данным фонда "Равноправие и развитие", специализированной организации, занимающ</w:t>
      </w:r>
      <w:r>
        <w:rPr>
          <w:lang w:val="ru-RU" w:eastAsia="es-ES"/>
        </w:rPr>
        <w:t>ей</w:t>
      </w:r>
      <w:r>
        <w:rPr>
          <w:lang w:eastAsia="es-ES"/>
        </w:rPr>
        <w:t>ся вопросами участия женщин в политической жизни</w:t>
      </w:r>
      <w:r>
        <w:rPr>
          <w:rStyle w:val="FootnoteReference"/>
          <w:bCs/>
          <w:lang w:val="ru-RU" w:eastAsia="es-ES"/>
        </w:rPr>
        <w:footnoteReference w:id="17"/>
      </w:r>
      <w:r>
        <w:rPr>
          <w:lang w:eastAsia="es-ES"/>
        </w:rPr>
        <w:t>, на 22 вакантных места депутатов префектур претендовали 118 мужчин и 12 женщин. Тот факт, что из 12 женщин-кандидатов 4 были избраны депутатами префектур, свидетельствует о том, что показатель успешности составил 33,33 процента. Однако можно проанализировать это явление с другой точки зрения, а именно исходя из того, что женщины составляли 9 процентов кандидатов, а мужчины – 91 процент, в результате женщины заняли 18,18 процента мест депутатов префектур, а мужчины</w:t>
      </w:r>
      <w:r>
        <w:rPr>
          <w:lang w:val="ru-RU" w:eastAsia="es-ES"/>
        </w:rPr>
        <w:t> </w:t>
      </w:r>
      <w:r>
        <w:rPr>
          <w:lang w:eastAsia="es-ES"/>
        </w:rPr>
        <w:t xml:space="preserve">– 81,82 процента. Первые увеличили вдвое свое присутствие в префектурах по сравнению с долей женщин среди кандидатов, а для вторых этот показатель снизился: если среди кандидатов доля мужчин составляла около 94 процентов, то среди избранных депутатов их оказалось 81,82 процента. Это свидетельствует о том, что на выборах депутатов префектур избиратели отдавали предпочтение женщинам-кандидатам. </w:t>
      </w:r>
    </w:p>
    <w:p w:rsidR="000875B4" w:rsidRDefault="000875B4">
      <w:pPr>
        <w:pStyle w:val="SingleTxt"/>
        <w:rPr>
          <w:lang w:eastAsia="es-ES"/>
        </w:rPr>
      </w:pPr>
      <w:r>
        <w:rPr>
          <w:lang w:eastAsia="es-ES"/>
        </w:rPr>
        <w:t>86.</w:t>
      </w:r>
      <w:r>
        <w:rPr>
          <w:lang w:eastAsia="es-ES"/>
        </w:rPr>
        <w:tab/>
        <w:t xml:space="preserve">В выборах депутатов муниципальных советов участвовали 137 женщин, что составило 10,66 процента всех кандидатов. В результате выборов членами муниципальных советов стали 13 женщин (5,94 процента от общего числа членов этих советов). В данном случае доля избранных женщин оказалась ниже по сравнению с их долей среди кандидатов, однако по сравнению с предыдущими выборами они получили больше мест в советах. Если в 2002 году в члены муниципальных советов было избрано 6 женщин, что составило 2,74 процента от общего числа депутатов, то в 2004 году их доля выросла вдвое. </w:t>
      </w:r>
    </w:p>
    <w:p w:rsidR="000875B4" w:rsidRDefault="000875B4">
      <w:pPr>
        <w:pStyle w:val="SingleTxt"/>
        <w:rPr>
          <w:lang w:eastAsia="es-ES"/>
        </w:rPr>
      </w:pPr>
      <w:r>
        <w:rPr>
          <w:lang w:eastAsia="es-ES"/>
        </w:rPr>
        <w:t>87.</w:t>
      </w:r>
      <w:r>
        <w:rPr>
          <w:lang w:eastAsia="es-ES"/>
        </w:rPr>
        <w:tab/>
        <w:t>Значительна доля женщин, избранных провинциальными консультантами, –</w:t>
      </w:r>
      <w:r>
        <w:rPr>
          <w:lang w:val="ru-RU" w:eastAsia="es-ES"/>
        </w:rPr>
        <w:t xml:space="preserve"> </w:t>
      </w:r>
      <w:r>
        <w:rPr>
          <w:lang w:eastAsia="es-ES"/>
        </w:rPr>
        <w:t xml:space="preserve">31,87 процента. Это меньше, чем доля женщин среди кандидатов, но больше, чем число женщин, избранных советниками в ходе предыдущих выборов. </w:t>
      </w:r>
    </w:p>
    <w:p w:rsidR="000875B4" w:rsidRDefault="000875B4">
      <w:pPr>
        <w:pStyle w:val="SingleTxt"/>
        <w:rPr>
          <w:lang w:eastAsia="es-ES"/>
        </w:rPr>
      </w:pPr>
      <w:r>
        <w:rPr>
          <w:lang w:eastAsia="es-ES"/>
        </w:rPr>
        <w:t>88.</w:t>
      </w:r>
      <w:r>
        <w:rPr>
          <w:lang w:eastAsia="es-ES"/>
        </w:rPr>
        <w:tab/>
        <w:t xml:space="preserve">31,01 процента женщин среди муниципальных консультантов является историческим показателем, потому что это выше, чем доля женщин по результатам предыдущих выборов. Поскольку речь здесь идет о выборе из нескольких кандидатов, то причины, по которым доля избранных женщин оказалась ниже их доли среди кандидатов, в данном случае такие же, как и те, что обусловили итоги выборов провинциальных консультантов. </w:t>
      </w:r>
    </w:p>
    <w:p w:rsidR="000875B4" w:rsidRDefault="000875B4">
      <w:pPr>
        <w:pStyle w:val="SingleTxt"/>
        <w:rPr>
          <w:lang w:eastAsia="es-ES"/>
        </w:rPr>
      </w:pPr>
      <w:r>
        <w:rPr>
          <w:lang w:eastAsia="es-ES"/>
        </w:rPr>
        <w:t>89. В дополнение к этой информации следует отметить, что в ходе выборов, состоявшихся в октябре 2006 года, на период 2007–2011 годов депутатами парламента страны были избраны 25 женщин.</w:t>
      </w:r>
    </w:p>
    <w:p w:rsidR="000875B4" w:rsidRDefault="000875B4">
      <w:pPr>
        <w:pStyle w:val="SingleTxt"/>
        <w:rPr>
          <w:lang w:val="ru-RU"/>
        </w:rPr>
      </w:pPr>
      <w:r>
        <w:t>90.</w:t>
      </w:r>
      <w:r>
        <w:tab/>
        <w:t>В отношении президентских выборов необходимо указать, что одним из 13 кандидатов на пост президента была женщина, которая заняла в итоге пятое место, набрав небольшое число голосов избирателей. Слабая поддержка участниками голосования этой кандидатуры объяснялась не тем, что на пост президента претендовала женщина, а скорее тем, что избиратели в целом отвергли традиционные формы политической деятельности, в защиту которых выступала представляемая ею партия, поскольку эти формы были основаны на принципах социальной изоляции, патриархальности и элитарности</w:t>
      </w:r>
      <w:r>
        <w:rPr>
          <w:lang w:val="ru-RU"/>
        </w:rPr>
        <w:t>.</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Pr>
          <w:bCs/>
        </w:rPr>
        <w:tab/>
        <w:t>Женщины в сфере принятия решений</w:t>
      </w:r>
    </w:p>
    <w:p w:rsidR="000875B4" w:rsidRDefault="000875B4">
      <w:pPr>
        <w:pStyle w:val="SingleTxt"/>
        <w:spacing w:after="0" w:line="120" w:lineRule="exact"/>
        <w:rPr>
          <w:sz w:val="10"/>
        </w:rPr>
      </w:pPr>
    </w:p>
    <w:p w:rsidR="000875B4" w:rsidRDefault="000875B4">
      <w:pPr>
        <w:pStyle w:val="SingleTxt"/>
      </w:pPr>
      <w:r>
        <w:t>91.</w:t>
      </w:r>
      <w:r>
        <w:tab/>
        <w:t xml:space="preserve">В последние годы женщины на постах государственных министров по сравнению с другими странами, такими как Колумбия и Чили, были представлены недостаточно. В 1998 году женщины занимали 20 процентов этих постов, </w:t>
      </w:r>
      <w:r>
        <w:rPr>
          <w:lang w:val="ru-RU"/>
        </w:rPr>
        <w:br/>
      </w:r>
      <w:r>
        <w:t>в 1999 году</w:t>
      </w:r>
      <w:r>
        <w:rPr>
          <w:lang w:val="ru-RU"/>
        </w:rPr>
        <w:t xml:space="preserve"> </w:t>
      </w:r>
      <w:r>
        <w:t>–</w:t>
      </w:r>
      <w:r>
        <w:rPr>
          <w:lang w:val="ru-RU"/>
        </w:rPr>
        <w:t xml:space="preserve"> </w:t>
      </w:r>
      <w:r>
        <w:t>26,7 процента, в 2002 году – 14 процентов, в 2003 году – 26 процентов, а в июле 2004 года этот показатель едва достиг 13 процентов. Однако в 2007 году, после того как 8 женщин были назначены на посты государственных министров, женщины будут занимать 45 процентов всех министерских постов.</w:t>
      </w:r>
    </w:p>
    <w:p w:rsidR="000875B4" w:rsidRDefault="000875B4">
      <w:pPr>
        <w:pStyle w:val="SingleTxt"/>
      </w:pPr>
      <w:r>
        <w:t>92.</w:t>
      </w:r>
      <w:r>
        <w:tab/>
        <w:t>По состоянию на ноябрь 2006 года женщины занимали 2 из 15 министерских постов – министров по туризму и по вопросам окружающей среды. В период пребывания у власти того же президента женщины возглавляли министерства экономики и финансов и образования</w:t>
      </w:r>
      <w:r>
        <w:rPr>
          <w:lang w:val="ru-RU"/>
        </w:rPr>
        <w:t xml:space="preserve"> </w:t>
      </w:r>
      <w:r>
        <w:t>–</w:t>
      </w:r>
      <w:r>
        <w:rPr>
          <w:lang w:val="ru-RU"/>
        </w:rPr>
        <w:t xml:space="preserve"> </w:t>
      </w:r>
      <w:r>
        <w:t>в первом случае в течение пяти, а во втором</w:t>
      </w:r>
      <w:r>
        <w:rPr>
          <w:lang w:val="ru-RU"/>
        </w:rPr>
        <w:t> </w:t>
      </w:r>
      <w:r>
        <w:t xml:space="preserve">– в течение восьми месяцев. В 2007 году президент назначил женщин на 8 из 18 министерских постов. </w:t>
      </w:r>
    </w:p>
    <w:p w:rsidR="000875B4" w:rsidRDefault="000875B4">
      <w:pPr>
        <w:pStyle w:val="SingleTxt"/>
        <w:rPr>
          <w:color w:val="000000"/>
        </w:rPr>
      </w:pPr>
      <w:r>
        <w:t>93.</w:t>
      </w:r>
      <w:r>
        <w:tab/>
        <w:t xml:space="preserve">В настоящее время женщина является </w:t>
      </w:r>
      <w:r>
        <w:rPr>
          <w:lang w:val="ru-RU"/>
        </w:rPr>
        <w:t>г</w:t>
      </w:r>
      <w:r>
        <w:t xml:space="preserve">енеральным прокурором </w:t>
      </w:r>
      <w:r>
        <w:rPr>
          <w:lang w:val="ru-RU"/>
        </w:rPr>
        <w:t>р</w:t>
      </w:r>
      <w:r>
        <w:t xml:space="preserve">еспублики; в предыдущий период этот пост также занимала женщина. В </w:t>
      </w:r>
      <w:r>
        <w:rPr>
          <w:lang w:val="ru-RU"/>
        </w:rPr>
        <w:t>в</w:t>
      </w:r>
      <w:r>
        <w:t xml:space="preserve">ерховных, районных, уголовных судах и судах низших инстанций (по гражданским делам, по делам детей, </w:t>
      </w:r>
      <w:r>
        <w:rPr>
          <w:color w:val="000000"/>
        </w:rPr>
        <w:t xml:space="preserve">по делам найма жилых помещений, по уголовным делам, по вопросам трудового законодательства и по вопросам транспорта) также не соблюдаются нормы минимальной представленности женщин. Наибольшая доля женщин среди судей по вопросам трудового законодательства – 56 процентов. Кроме того, значительное число женщин являются в стране уполномоченными по правам человека. </w:t>
      </w:r>
    </w:p>
    <w:p w:rsidR="000875B4" w:rsidRDefault="000875B4">
      <w:pPr>
        <w:pStyle w:val="SingleTxt"/>
      </w:pPr>
      <w:r>
        <w:t>94.</w:t>
      </w:r>
      <w:r>
        <w:tab/>
        <w:t xml:space="preserve">Что касается комиссариатов и государственных управлений, то все руководящие посты в них занимают мужчины, тогда как все посты руководителей комиссариатов по делам женщин и семьи, за исключением одного, действующего </w:t>
      </w:r>
      <w:r>
        <w:rPr>
          <w:lang w:val="ru-RU"/>
        </w:rPr>
        <w:br/>
      </w:r>
      <w:r>
        <w:t>в столице страны, – женщины.</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rPr>
      </w:pPr>
      <w:r>
        <w:rPr>
          <w:spacing w:val="0"/>
          <w:w w:val="100"/>
          <w:kern w:val="0"/>
        </w:rPr>
        <w:tab/>
      </w:r>
      <w:r>
        <w:rPr>
          <w:spacing w:val="0"/>
          <w:w w:val="100"/>
          <w:kern w:val="0"/>
        </w:rPr>
        <w:tab/>
        <w:t>Часть II</w:t>
      </w:r>
      <w:r>
        <w:rPr>
          <w:spacing w:val="0"/>
          <w:w w:val="100"/>
          <w:kern w:val="0"/>
        </w:rPr>
        <w:br/>
      </w:r>
      <w:r>
        <w:rPr>
          <w:bCs/>
          <w:spacing w:val="0"/>
          <w:w w:val="100"/>
          <w:kern w:val="0"/>
        </w:rPr>
        <w:t>Осуществление Конвенции о ликвидации всех форм дискриминации в отношении женщин</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Pr>
          <w:lang w:val="ru-RU"/>
        </w:rPr>
        <w:t>Статья 2</w:t>
      </w:r>
      <w:r>
        <w:br/>
      </w:r>
      <w:r>
        <w:rPr>
          <w:bCs/>
        </w:rPr>
        <w:t>Меры по ликвидации дискриминации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Pr>
          <w:lang w:val="ru-RU"/>
        </w:rPr>
        <w:t>Статья 3</w:t>
      </w:r>
      <w:r>
        <w:br/>
      </w:r>
      <w:r>
        <w:rPr>
          <w:bCs/>
        </w:rPr>
        <w:t>Обеспечение осуществления прав человека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Законодательство, содействующее реализации прав человека женщин</w:t>
      </w:r>
    </w:p>
    <w:p w:rsidR="000875B4" w:rsidRDefault="000875B4">
      <w:pPr>
        <w:pStyle w:val="SingleTxt"/>
        <w:spacing w:after="0" w:line="120" w:lineRule="exact"/>
        <w:rPr>
          <w:sz w:val="10"/>
        </w:rPr>
      </w:pPr>
    </w:p>
    <w:p w:rsidR="000875B4" w:rsidRDefault="000875B4">
      <w:pPr>
        <w:pStyle w:val="SingleTxt"/>
      </w:pPr>
      <w:r>
        <w:t>95.</w:t>
      </w:r>
      <w:r>
        <w:tab/>
        <w:t xml:space="preserve">В Политической конституции Эквадора, вступившей в силу в 1998 году, в качестве основных обязанностей государства провозглашается защита прав человека (пункт 2 статьи 3), признается равноправие женщин и мужчин и устанавливаются гарантии защиты и реализации прав человека женщин при полном запрете всех форм дискриминации в отношении женщин (пункт 3 статьи 23), гарантируются равные возможности доступа к производственным ресурсам и равноправие супругов в браке (статья 34), право на труд и репродуктивные права женщин (статья 36), разработка и реализация политики гендерного равенства (статьи 41 и 254), обеспечение гендерного равенства в сфере образования (статья 67), обеспечение равноправия в процессах всенародных выборов и участия в политической жизни (статья 102). </w:t>
      </w:r>
    </w:p>
    <w:p w:rsidR="000875B4" w:rsidRDefault="000875B4">
      <w:pPr>
        <w:pStyle w:val="SingleTxt"/>
      </w:pPr>
      <w:r>
        <w:t>96.</w:t>
      </w:r>
      <w:r>
        <w:tab/>
        <w:t xml:space="preserve">С 1996 года составной частью Политической конституции является система конституционного правосудия, которая гарантирует права граждан и принятие мер по защите конституционных прав. Низшей инстанцией являются конституционные судьи, а высшей – Конституционный суд, который выступил в защиту ряда нарушенных прав женщин. Кроме того, в Политической хартии в качестве средства конституционного контроля предусматривается признание деяния не соответствующим требованиям Конституции. Соответствующее решение принимает </w:t>
      </w:r>
      <w:r>
        <w:rPr>
          <w:lang w:val="ru-RU"/>
        </w:rPr>
        <w:t>Конституционный суд</w:t>
      </w:r>
      <w:r>
        <w:t xml:space="preserve"> – орган, стоящий на защите таких прав, как равенство, недопущение дискриминации и право на участие в политической жизни. </w:t>
      </w:r>
    </w:p>
    <w:p w:rsidR="000875B4" w:rsidRDefault="000875B4">
      <w:pPr>
        <w:pStyle w:val="SingleTxt"/>
      </w:pPr>
      <w:r>
        <w:t>97.</w:t>
      </w:r>
      <w:r>
        <w:tab/>
        <w:t xml:space="preserve">Содержащееся в Конвенции определение "дискриминация в отношении женщин" было введено в юридическую систему Эквадора в соответствии с положением Конституции (статья 163) после ратификации Конвенции; тот же порядок действует и в отношении всех международных договоров, подписанных Эквадором. Ссылки на Конвенцию даются в ходе происходящих в стране судебных процессов, прежде всего по делам о насилии в семье и по вопросам реализации сексуальных и репродуктивных прав, однако статистических данных на этот счет нет. </w:t>
      </w:r>
    </w:p>
    <w:p w:rsidR="000875B4" w:rsidRDefault="000875B4">
      <w:pPr>
        <w:pStyle w:val="SingleTxt"/>
      </w:pPr>
      <w:r>
        <w:t>98.</w:t>
      </w:r>
      <w:r>
        <w:tab/>
        <w:t xml:space="preserve">Даже в отсутствие прямых законодательных положений, препятствующих женщинам в реализации их прав, традиции, существующие в правовой и социальной сферах, приводят к дискриминации женщин как в государственной, так и в частной жизни, поскольку следствием этих традиций является дифференцированный подход, благоприятствующий мужчинам и ущемляющий интересы женщин. </w:t>
      </w:r>
    </w:p>
    <w:p w:rsidR="000875B4" w:rsidRDefault="000875B4">
      <w:pPr>
        <w:pStyle w:val="SingleTxt"/>
        <w:rPr>
          <w:color w:val="000000"/>
        </w:rPr>
      </w:pPr>
      <w:r>
        <w:rPr>
          <w:color w:val="000000"/>
        </w:rPr>
        <w:t>99.</w:t>
      </w:r>
      <w:r>
        <w:rPr>
          <w:color w:val="000000"/>
        </w:rPr>
        <w:tab/>
        <w:t xml:space="preserve">В стране приняты важные законы, направленные на обеспечение равных возможностей для мужчин и женщин и на обеспечение прав человека женщин. </w:t>
      </w:r>
      <w:r>
        <w:rPr>
          <w:color w:val="000000"/>
          <w:lang w:val="ru-RU"/>
        </w:rPr>
        <w:br/>
      </w:r>
      <w:r>
        <w:rPr>
          <w:color w:val="000000"/>
        </w:rPr>
        <w:t xml:space="preserve">К числу основополагающих законов относятся следующие: Закон о борьбе с насилием в отношении женщин и семьи, Закон о выборах, Закон о сексуальном воспитании, Закон о бесплатной медицинской помощи беременным, роженицам и новорожденным, Закон о защите права на труд и Кодекс законов о защите прав детей и подростков. В некоторых случаях предусматривается, что эти законы должны осуществляться в рамках национальных программ, направленных на всестороннее обеспечение прав женщин. Оценка этого процесса показывает, что помимо необходимости выделять на эти программы больше средств следует также развивать и применять на практике действенные механизмы их осуществления, которые в значительной степени зависят от наличия реального доступа к правосудию. </w:t>
      </w:r>
    </w:p>
    <w:p w:rsidR="000875B4" w:rsidRDefault="000875B4">
      <w:pPr>
        <w:pStyle w:val="SingleTxt"/>
      </w:pPr>
      <w:r>
        <w:t>100.</w:t>
      </w:r>
      <w:r>
        <w:tab/>
        <w:t xml:space="preserve">В ответе на рекомендации, содержащиеся в пунктах 8 и 9 Заключительных замечаний Комитета в отношении предыдущих докладов государства-участника </w:t>
      </w:r>
      <w:r>
        <w:rPr>
          <w:lang w:val="ru-RU"/>
        </w:rPr>
        <w:br/>
      </w:r>
      <w:r>
        <w:t xml:space="preserve">и касающиеся необходимости устранения дискриминационных положений из уголовного, гражданского законодательства и законодательства по делам семьи, </w:t>
      </w:r>
      <w:r>
        <w:rPr>
          <w:lang w:val="ru-RU"/>
        </w:rPr>
        <w:br/>
      </w:r>
      <w:r>
        <w:t>в четвертом и пятом докладах указывалось, что "</w:t>
      </w:r>
      <w:r>
        <w:rPr>
          <w:color w:val="000000"/>
        </w:rPr>
        <w:t xml:space="preserve">благодаря принятию Закона № 043 от 18 августа 1989 года в Гражданский кодекс было внесено 81 изменение, в результате чего расширились правовые возможности женщин в отношении заключения брака, супружеских взаимоотношений, брачного контракта, обязанностей и прав супругов, родительских прав и прекращения брака", </w:t>
      </w:r>
      <w:r>
        <w:rPr>
          <w:color w:val="000000"/>
          <w:lang w:val="ru-RU"/>
        </w:rPr>
        <w:br/>
      </w:r>
      <w:r>
        <w:rPr>
          <w:color w:val="000000"/>
        </w:rPr>
        <w:t>в результате чего в гражданском и семейном законодательстве была устранена какая-либо дискриминация.</w:t>
      </w:r>
    </w:p>
    <w:p w:rsidR="000875B4" w:rsidRDefault="000875B4">
      <w:pPr>
        <w:pStyle w:val="SingleTxt"/>
        <w:rPr>
          <w:color w:val="000000"/>
        </w:rPr>
      </w:pPr>
      <w:r>
        <w:rPr>
          <w:color w:val="000000"/>
        </w:rPr>
        <w:t>101.</w:t>
      </w:r>
      <w:r>
        <w:rPr>
          <w:color w:val="000000"/>
        </w:rPr>
        <w:tab/>
        <w:t xml:space="preserve">В последние годы важные меры были приняты в сфере уголовного законодательства. В соответствии с пунктами 9, 18 и 19 Заключительных замечаний Комитета в 2005 году в Уголовный кодекс был внесен ряд поправок ("Рехистро офисиаль", № 45, 23 июня 2005 года). В соответствии с этим законом в Уголовный кодекс были введены новые виды преступлений, нарушающих права человека детей, подростков и женщин. Так, наказанию подлежат торговля людьми, сексуальная эксплуатация детей и подростков, детская порнография, секс-туризм; кроме того, были ужесточены меры наказания за насилие. В качестве отягчающих обстоятельств по делам о преступлениях на сексуальной почве теперь считаются совершения таких деяний в отношении родственников, заражение инфекционными заболеваниями и другие обстоятельства, касающиеся жертв сексуального насилия. Принято даже положение о том, что не подлежит наказанию случай ранения или убийства, если это было совершено в качестве меры защиты от сексуального насилия. </w:t>
      </w:r>
    </w:p>
    <w:p w:rsidR="000875B4" w:rsidRDefault="000875B4">
      <w:pPr>
        <w:pStyle w:val="SingleTxt"/>
      </w:pPr>
      <w:r>
        <w:rPr>
          <w:color w:val="000000"/>
        </w:rPr>
        <w:t>102.</w:t>
      </w:r>
      <w:r>
        <w:rPr>
          <w:color w:val="000000"/>
        </w:rPr>
        <w:tab/>
        <w:t xml:space="preserve">Что касается квалификации такого вида преступления, как изнасилование, то из его определения был устранен такой субъективный элемент, как то, что жертва преступления должна быть </w:t>
      </w:r>
      <w:r>
        <w:rPr>
          <w:i/>
          <w:iCs/>
          <w:color w:val="000000"/>
        </w:rPr>
        <w:t>"добропорядочной женщиной"</w:t>
      </w:r>
      <w:r>
        <w:rPr>
          <w:color w:val="000000"/>
        </w:rPr>
        <w:t xml:space="preserve">. Вместо статьи, согласно которой наказанию не подлежит </w:t>
      </w:r>
      <w:r>
        <w:rPr>
          <w:i/>
          <w:iCs/>
          <w:color w:val="000000"/>
        </w:rPr>
        <w:t xml:space="preserve">"один из супругов, застигший другого супруга </w:t>
      </w:r>
      <w:r>
        <w:rPr>
          <w:i/>
          <w:iCs/>
          <w:color w:val="000000"/>
          <w:lang w:val="ru-RU"/>
        </w:rPr>
        <w:br/>
      </w:r>
      <w:r>
        <w:rPr>
          <w:i/>
          <w:iCs/>
          <w:color w:val="000000"/>
        </w:rPr>
        <w:t>в момент супружеской измены и убивающий его или его партнера или наносящий и</w:t>
      </w:r>
      <w:r>
        <w:rPr>
          <w:i/>
          <w:iCs/>
          <w:color w:val="000000"/>
          <w:lang w:val="ru-RU"/>
        </w:rPr>
        <w:t xml:space="preserve">м </w:t>
      </w:r>
      <w:r>
        <w:rPr>
          <w:i/>
          <w:iCs/>
          <w:color w:val="000000"/>
        </w:rPr>
        <w:t>раны или побои, а также женщина, совершившая те же деяния для защиты своего целомудрия, которое подвергалось серьезной опасности"</w:t>
      </w:r>
      <w:r>
        <w:rPr>
          <w:color w:val="000000"/>
        </w:rPr>
        <w:t>, была введена ныне действующая статья 22, которая гласит, что не содержат состава преступления случаи убийства или нанесения повреждений, если они были совершены в тот момент, когда совершивший эти деяния подвергался сексуальному надругательству или насилию. В результате реформы список отягчающих обстоятельств, содержащийся в статье 30, был дополнен пунктом 6, согласно которому отягчающим обстоятельством является совершение правонарушения по мотивам дискриминационного характера в отношении места рождения, возраста, пола, этнической принадлежности, цвета кожи, социального происхождения, языка, религии, политических убеждений, материального положения, сексуальной ориентации, состояния здоровья, недееспособности или каких-либо других различий.</w:t>
      </w:r>
    </w:p>
    <w:p w:rsidR="000875B4" w:rsidRDefault="000875B4">
      <w:pPr>
        <w:pStyle w:val="SingleTxt"/>
        <w:rPr>
          <w:color w:val="000000"/>
        </w:rPr>
      </w:pPr>
      <w:r>
        <w:rPr>
          <w:color w:val="000000"/>
        </w:rPr>
        <w:t>103.</w:t>
      </w:r>
      <w:r>
        <w:rPr>
          <w:color w:val="000000"/>
        </w:rPr>
        <w:tab/>
        <w:t xml:space="preserve">Благодаря упомянутым реформам </w:t>
      </w:r>
      <w:r>
        <w:rPr>
          <w:color w:val="000000"/>
          <w:lang w:val="ru-RU"/>
        </w:rPr>
        <w:t>в отношении</w:t>
      </w:r>
      <w:r>
        <w:rPr>
          <w:color w:val="000000"/>
        </w:rPr>
        <w:t xml:space="preserve"> таких преступлений, как торговля людьми и преступления на сексуальной почве (статья без номера, следующая после 29-й)</w:t>
      </w:r>
      <w:r>
        <w:rPr>
          <w:color w:val="000000"/>
          <w:lang w:val="ru-RU"/>
        </w:rPr>
        <w:t>,</w:t>
      </w:r>
      <w:r>
        <w:rPr>
          <w:color w:val="000000"/>
        </w:rPr>
        <w:t xml:space="preserve"> количество смягчающих обстоятельств сократилось с двенадцати до двух и предусмотрены двенадцать отягчающих обстоятельств по преступлениям такого рода (статья без номера, следующая после 30-й). Кроме того, внесенные в статью 31 изменения имели целью более четко указать, что отягчающим обстоятельством при совершении преступлений любого рода является тот факт, что жертва преступления приходится правонарушителю супругом (супругой), сожителем (сожительницей), кровным родственником (родственницей) до четвертого колена включительно, или свойственником (свойственницей) до второго колена, или же его потомком, или предком. </w:t>
      </w:r>
    </w:p>
    <w:p w:rsidR="000875B4" w:rsidRDefault="000875B4">
      <w:pPr>
        <w:pStyle w:val="SingleTxt"/>
        <w:rPr>
          <w:color w:val="000000"/>
        </w:rPr>
      </w:pPr>
      <w:r>
        <w:rPr>
          <w:color w:val="000000"/>
        </w:rPr>
        <w:t>104.</w:t>
      </w:r>
      <w:r>
        <w:rPr>
          <w:color w:val="000000"/>
        </w:rPr>
        <w:tab/>
        <w:t xml:space="preserve">В рамках реформирования Уголовного кодекса в 2005 году было также дано определение преступлений, связанных с торговлей людьми в целях сексуальной эксплуатации (статьи без номера после 190-й). При этом более строгое наказание предусматривается в случаях, когда правонарушитель использует беззащитность жертвы или когда жертва не в состоянии оказать сопротивление. Была развита и уточнена трактовка понятия "сексуальное домогательство" в Уголовном кодексе (статьи 511 и последующие) и дано определение детской порнографии, исходя из которого уже возбужден ряд судебных дел. </w:t>
      </w:r>
    </w:p>
    <w:p w:rsidR="000875B4" w:rsidRDefault="000875B4">
      <w:pPr>
        <w:pStyle w:val="SingleTxt"/>
        <w:rPr>
          <w:color w:val="000000"/>
        </w:rPr>
      </w:pPr>
      <w:r>
        <w:rPr>
          <w:color w:val="000000"/>
        </w:rPr>
        <w:t>105.</w:t>
      </w:r>
      <w:r>
        <w:rPr>
          <w:color w:val="000000"/>
        </w:rPr>
        <w:tab/>
        <w:t>Что касается пунктов 30 и 31 Заключительных замечаний Комитета, то для того чтобы гарантировать равные права на труд, в сентябре 2005 года Министерство труда издало Распоряжение № 261, запрещающее гендерную дискриминацию при приеме на работу в государственные и частные структуры. В случае нарушения этого распоряжения виновные, в соответствии с положениями Трудового кодекса, выплачивают штраф.</w:t>
      </w:r>
    </w:p>
    <w:p w:rsidR="000875B4" w:rsidRDefault="000875B4">
      <w:pPr>
        <w:pStyle w:val="SingleTxt"/>
        <w:rPr>
          <w:color w:val="000000"/>
        </w:rPr>
      </w:pPr>
      <w:r>
        <w:rPr>
          <w:color w:val="000000"/>
        </w:rPr>
        <w:t>106.</w:t>
      </w:r>
      <w:r>
        <w:rPr>
          <w:color w:val="000000"/>
        </w:rPr>
        <w:tab/>
        <w:t xml:space="preserve">Министерство труда при поддержке Международной организации труда (МОТ) подготовило проект нового Трудового кодекса, в который включены статьи, касающиеся проблемы сексуальных домогательств на рабочих местах. Термин "работа в качестве домашней прислуги" заменен на "труд по дому", ограничена продолжительность рабочего времени, предусмотрено предоставление </w:t>
      </w:r>
      <w:r>
        <w:rPr>
          <w:color w:val="000000"/>
          <w:lang w:val="ru-RU"/>
        </w:rPr>
        <w:br/>
      </w:r>
      <w:r>
        <w:rPr>
          <w:color w:val="000000"/>
        </w:rPr>
        <w:t xml:space="preserve">в обязательном порядке всех оговоренных в законодательстве льгот. В соответствии с принятым в сентябре 2005 года Распоряжением № 261 запрещаются объявления </w:t>
      </w:r>
      <w:r>
        <w:rPr>
          <w:color w:val="000000"/>
          <w:lang w:val="ru-RU"/>
        </w:rPr>
        <w:br/>
      </w:r>
      <w:r>
        <w:rPr>
          <w:color w:val="000000"/>
        </w:rPr>
        <w:t>о приеме на работу сексистского или ограничительного характера. В вышеупомянутый проект включен также конституционный принцип запрета на дискриминацию. Что касается равенства в оплате труда, то в проект включены положения, направленные на сокращение разницы в уровнях оплаты труда мужчин и женщин.</w:t>
      </w:r>
    </w:p>
    <w:p w:rsidR="000875B4" w:rsidRDefault="000875B4">
      <w:pPr>
        <w:pStyle w:val="SingleTxt"/>
        <w:rPr>
          <w:color w:val="000000"/>
        </w:rPr>
      </w:pPr>
      <w:r>
        <w:rPr>
          <w:color w:val="000000"/>
        </w:rPr>
        <w:t>107.</w:t>
      </w:r>
      <w:r>
        <w:rPr>
          <w:color w:val="000000"/>
        </w:rPr>
        <w:tab/>
        <w:t>Говоря о применении положений нового Трудового кодекса, касающихся сексуальных домогательств, следует отметить, что в период с января по май 2005 года зарегистрирована только одна жалоба на сексуальные домогательства, поданная в Трудовую инспекцию Кито. Это связано с тем, что сексуальное домогательство является уголовным преступлением и соответствующие дела рассматриваются органами прокуратуры. Однако, как уже говорилось в предыдущем пункте, понятие сексуальных домогательств фигурирует и в новом Трудовом кодексе, и поэтому женщины имеют право обращаться в органы Трудовой инспекции национального уровня в случаях, если они подверглись сексуальным домогательствам на работе.</w:t>
      </w:r>
    </w:p>
    <w:p w:rsidR="000875B4" w:rsidRDefault="000875B4">
      <w:pPr>
        <w:pStyle w:val="SingleTxt"/>
        <w:rPr>
          <w:color w:val="000000"/>
        </w:rPr>
      </w:pPr>
      <w:r>
        <w:rPr>
          <w:color w:val="000000"/>
        </w:rPr>
        <w:t>108.</w:t>
      </w:r>
      <w:r>
        <w:rPr>
          <w:color w:val="000000"/>
        </w:rPr>
        <w:tab/>
        <w:t>Комиссия Национального конгресса по делам женщин, детей, молодежи и семьи с 2000 года разрабатывает систему надзора за реализацией прав. В рамках этой системы удалось, в числе прочего, воздействовать на ряд государственных ведомств, которые, как, например, Комиссия по транспорту провинции Гуаяс, ограничивали прием женщин на работу по дискриминационным мотивам.</w:t>
      </w:r>
    </w:p>
    <w:p w:rsidR="000875B4" w:rsidRDefault="000875B4">
      <w:pPr>
        <w:pStyle w:val="SingleTxt"/>
      </w:pPr>
      <w:r>
        <w:t>109.</w:t>
      </w:r>
      <w:r>
        <w:tab/>
        <w:t xml:space="preserve">Комиссии по делам женщин, детей, молодежи и семьи, по социальным и трудовым вопросам и по здравоохранению Национального конгресса разработали направленные на защиту прав женщин законопроекты и/или проекты изменений </w:t>
      </w:r>
      <w:r>
        <w:rPr>
          <w:lang w:val="ru-RU"/>
        </w:rPr>
        <w:br/>
      </w:r>
      <w:r>
        <w:t>и дополнений в Кодекс законов о здравоохранении, Уголовный и Трудовой кодексы, а также в Закон о бесплатной медицинской помощи беременным, роженицам и новорожденным и о медицинском обслуживании детей. Эти инициативы были поддержаны женскими движениями и Национальным советом по делам женщин. Ниже приводится список представленных законопроектов:</w:t>
      </w:r>
    </w:p>
    <w:p w:rsidR="000875B4" w:rsidRDefault="000875B4">
      <w:pPr>
        <w:pStyle w:val="SingleTxt0"/>
      </w:pPr>
      <w:r>
        <w:tab/>
        <w:t>–</w:t>
      </w:r>
      <w:r>
        <w:tab/>
        <w:t>законопроект о внесении изменений и дополнений в Закон о выборах;</w:t>
      </w:r>
    </w:p>
    <w:p w:rsidR="000875B4" w:rsidRDefault="000875B4">
      <w:pPr>
        <w:pStyle w:val="SingleTxt0"/>
      </w:pPr>
      <w:r>
        <w:tab/>
        <w:t>–</w:t>
      </w:r>
      <w:r>
        <w:tab/>
        <w:t>законопроекты о внесении изменений и дополнений в Трудовой кодекс (меры по регулированию труда детей и подростков, надзору и контролю за соблюдением этих норм и наказанию нарушающих их работодателей);</w:t>
      </w:r>
    </w:p>
    <w:p w:rsidR="000875B4" w:rsidRDefault="000875B4">
      <w:pPr>
        <w:pStyle w:val="SingleTxt0"/>
      </w:pPr>
      <w:r>
        <w:tab/>
        <w:t>–</w:t>
      </w:r>
      <w:r>
        <w:tab/>
        <w:t>законопроект о внесении изменений и дополнений в Закон о политических партиях с целью обеспечения возможностей для участия женщин в политической жизни;</w:t>
      </w:r>
    </w:p>
    <w:p w:rsidR="000875B4" w:rsidRDefault="000875B4">
      <w:pPr>
        <w:pStyle w:val="SingleTxt0"/>
      </w:pPr>
      <w:r>
        <w:tab/>
        <w:t>–</w:t>
      </w:r>
      <w:r>
        <w:tab/>
        <w:t>законопроект о внесении изменений и дополнений в Закон о гражданской службе и административной карьере;</w:t>
      </w:r>
    </w:p>
    <w:p w:rsidR="000875B4" w:rsidRDefault="000875B4">
      <w:pPr>
        <w:pStyle w:val="SingleTxt0"/>
      </w:pPr>
      <w:r>
        <w:tab/>
        <w:t>–</w:t>
      </w:r>
      <w:r>
        <w:tab/>
        <w:t>законопроект о внесении изменений и дополнений в Органический закон Национального конгресса о судебных органах;</w:t>
      </w:r>
    </w:p>
    <w:p w:rsidR="000875B4" w:rsidRDefault="000875B4">
      <w:pPr>
        <w:pStyle w:val="SingleTxt0"/>
      </w:pPr>
      <w:r>
        <w:tab/>
        <w:t>–</w:t>
      </w:r>
      <w:r>
        <w:tab/>
        <w:t xml:space="preserve">законопроект о внесении изменений и дополнений в </w:t>
      </w:r>
      <w:r>
        <w:rPr>
          <w:color w:val="000000"/>
        </w:rPr>
        <w:t>Кодекс законов о здравоохранении</w:t>
      </w:r>
      <w:r>
        <w:t>;</w:t>
      </w:r>
    </w:p>
    <w:p w:rsidR="000875B4" w:rsidRDefault="000875B4">
      <w:pPr>
        <w:pStyle w:val="SingleTxt0"/>
      </w:pPr>
      <w:r>
        <w:tab/>
        <w:t>–</w:t>
      </w:r>
      <w:r>
        <w:tab/>
        <w:t>законопроект о защите лиц, оказывающих платные сексуальные услуги, оказании им помощи и мерах по искоренению этого явления;</w:t>
      </w:r>
    </w:p>
    <w:p w:rsidR="000875B4" w:rsidRDefault="000875B4">
      <w:pPr>
        <w:pStyle w:val="SingleTxt0"/>
      </w:pPr>
      <w:r>
        <w:tab/>
        <w:t>–</w:t>
      </w:r>
      <w:r>
        <w:tab/>
        <w:t>законопроект о внесении изменений и дополнений в Уголовный кодекс;</w:t>
      </w:r>
    </w:p>
    <w:p w:rsidR="000875B4" w:rsidRDefault="000875B4">
      <w:pPr>
        <w:pStyle w:val="SingleTxt0"/>
      </w:pPr>
      <w:r>
        <w:tab/>
        <w:t>–</w:t>
      </w:r>
      <w:r>
        <w:tab/>
        <w:t xml:space="preserve">законопроект о сексуальном и репродуктивном здоровье; </w:t>
      </w:r>
    </w:p>
    <w:p w:rsidR="000875B4" w:rsidRDefault="000875B4">
      <w:pPr>
        <w:pStyle w:val="SingleTxt0"/>
      </w:pPr>
      <w:r>
        <w:tab/>
        <w:t>–</w:t>
      </w:r>
      <w:r>
        <w:tab/>
        <w:t>законопроект о внесении изменений и дополнений в Закон о социальном страховании с целью включения в Общую систему обязательного страхования на добровольной основе лиц, занимающихся неоплачиваемым трудом по дому;</w:t>
      </w:r>
    </w:p>
    <w:p w:rsidR="000875B4" w:rsidRDefault="000875B4">
      <w:pPr>
        <w:pStyle w:val="SingleTxt0"/>
      </w:pPr>
      <w:r>
        <w:tab/>
        <w:t>–</w:t>
      </w:r>
      <w:r>
        <w:tab/>
        <w:t>проект Кодекса законов о детях и подростках;</w:t>
      </w:r>
    </w:p>
    <w:p w:rsidR="000875B4" w:rsidRDefault="000875B4">
      <w:pPr>
        <w:pStyle w:val="SingleTxt0"/>
      </w:pPr>
      <w:r>
        <w:tab/>
        <w:t>–</w:t>
      </w:r>
      <w:r>
        <w:tab/>
        <w:t>законопроект о внесении изменений и дополнений в Закон о сексуальном воспитании;</w:t>
      </w:r>
    </w:p>
    <w:p w:rsidR="000875B4" w:rsidRDefault="000875B4">
      <w:pPr>
        <w:pStyle w:val="SingleTxt0"/>
      </w:pPr>
      <w:r>
        <w:tab/>
        <w:t>–</w:t>
      </w:r>
      <w:r>
        <w:tab/>
        <w:t>проект Семейного кодекса;</w:t>
      </w:r>
    </w:p>
    <w:p w:rsidR="000875B4" w:rsidRDefault="000875B4">
      <w:pPr>
        <w:pStyle w:val="SingleTxt0"/>
      </w:pPr>
      <w:r>
        <w:tab/>
        <w:t>–</w:t>
      </w:r>
      <w:r>
        <w:tab/>
        <w:t>законопроект о внесении изменений и дополнений в Закон об инвалидах;</w:t>
      </w:r>
    </w:p>
    <w:p w:rsidR="000875B4" w:rsidRDefault="000875B4">
      <w:pPr>
        <w:pStyle w:val="SingleTxt0"/>
      </w:pPr>
      <w:r>
        <w:tab/>
        <w:t>–</w:t>
      </w:r>
      <w:r>
        <w:tab/>
        <w:t xml:space="preserve">законопроект о внесении изменений и дополнений в Закон о </w:t>
      </w:r>
      <w:r>
        <w:rPr>
          <w:bCs w:val="0"/>
        </w:rPr>
        <w:t>бесплатной медицинской помощи беременным, роженицам и новорожденным</w:t>
      </w:r>
      <w:r>
        <w:t xml:space="preserve">; </w:t>
      </w:r>
    </w:p>
    <w:p w:rsidR="000875B4" w:rsidRDefault="000875B4">
      <w:pPr>
        <w:pStyle w:val="SingleTxt0"/>
      </w:pPr>
      <w:r>
        <w:tab/>
        <w:t>–</w:t>
      </w:r>
      <w:r>
        <w:tab/>
        <w:t xml:space="preserve">законопроект о помощи безнадзорным детям; а также </w:t>
      </w:r>
    </w:p>
    <w:p w:rsidR="000875B4" w:rsidRDefault="000875B4">
      <w:pPr>
        <w:pStyle w:val="SingleTxt0"/>
      </w:pPr>
      <w:r>
        <w:tab/>
        <w:t>–</w:t>
      </w:r>
      <w:r>
        <w:tab/>
        <w:t>законопроект о защите детей и подростков из числа коренных народов.</w:t>
      </w:r>
    </w:p>
    <w:p w:rsidR="000875B4" w:rsidRDefault="000875B4">
      <w:pPr>
        <w:pStyle w:val="SingleTxt"/>
      </w:pPr>
      <w:r>
        <w:t>110.</w:t>
      </w:r>
      <w:r>
        <w:tab/>
        <w:t xml:space="preserve">Из этих законопроектов к настоящему времени приняты и подписаны Закон </w:t>
      </w:r>
      <w:r>
        <w:rPr>
          <w:lang w:val="ru-RU"/>
        </w:rPr>
        <w:br/>
      </w:r>
      <w:r>
        <w:t>о внесении изменений и дополнений в Закон о выборах (приложение к "Рехистро офисиа</w:t>
      </w:r>
      <w:r>
        <w:rPr>
          <w:lang w:val="ru-RU"/>
        </w:rPr>
        <w:t>ль</w:t>
      </w:r>
      <w:r>
        <w:t xml:space="preserve">", № 20, 18 февраля 2000 года), Кодекс законов о детях и подростках ("Рехистро офисиаль", № 737, 3 января 2003 года), Закон о внесении изменений и дополнений в Уголовный кодекс ("Рехистро офисиаль", № 45, 23 июня 2005 года), Закон о внесении изменений и дополнений в Трудовой кодекс ("Рехистро офисиаль", № 198, 30 января 2006 года), предусматривающий меры по трудоустройству инвалидов, а также Органический закон </w:t>
      </w:r>
      <w:r>
        <w:rPr>
          <w:color w:val="000000"/>
        </w:rPr>
        <w:t>о здравоохранении</w:t>
      </w:r>
      <w:r>
        <w:t xml:space="preserve"> (приложение </w:t>
      </w:r>
      <w:r>
        <w:rPr>
          <w:lang w:val="ru-RU"/>
        </w:rPr>
        <w:br/>
      </w:r>
      <w:r>
        <w:t>к "Рехистро офисиаль", № 423, 22 декабря 2006 года).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br w:type="page"/>
      </w:r>
      <w:r>
        <w:rPr>
          <w:bCs/>
        </w:rPr>
        <w:tab/>
      </w:r>
      <w:r>
        <w:rPr>
          <w:bCs/>
        </w:rPr>
        <w:tab/>
        <w:t>Национальный механизм по гендерным вопросам</w:t>
      </w:r>
    </w:p>
    <w:p w:rsidR="000875B4" w:rsidRDefault="000875B4">
      <w:pPr>
        <w:pStyle w:val="SingleTxt"/>
        <w:spacing w:after="0" w:line="120" w:lineRule="exact"/>
        <w:rPr>
          <w:sz w:val="10"/>
        </w:rPr>
      </w:pPr>
    </w:p>
    <w:p w:rsidR="000875B4" w:rsidRDefault="000875B4">
      <w:pPr>
        <w:pStyle w:val="SingleTxt"/>
      </w:pPr>
      <w:r>
        <w:t>111.</w:t>
      </w:r>
      <w:r>
        <w:tab/>
        <w:t xml:space="preserve">Национальный совет по делам женщин был создан в соответствии с правительственным декретом № 764 в октябре 1997 года в качестве ведущего органа в сфере разработки и осуществления государственной политики в области гендерных проблем. Совет имеет статус юридического лица, владеет имуществом, обладает собственной финансовой и административной структурой и действует при президенте </w:t>
      </w:r>
      <w:r>
        <w:rPr>
          <w:lang w:val="ru-RU"/>
        </w:rPr>
        <w:t>р</w:t>
      </w:r>
      <w:r>
        <w:t xml:space="preserve">еспублики. </w:t>
      </w:r>
    </w:p>
    <w:p w:rsidR="000875B4" w:rsidRDefault="000875B4">
      <w:pPr>
        <w:pStyle w:val="SingleTxt"/>
      </w:pPr>
      <w:r>
        <w:t>112.</w:t>
      </w:r>
      <w:r>
        <w:tab/>
        <w:t xml:space="preserve">Положением о Совете предусмотрено создание Правления, членами которого являются представители государства и национальных женских организаций. Таким образом, государство и гражданское общество несут совместную ответственность за определение основных направлений политики в сфере обеспечения гендерного равенства и обеспечения прав женщин Эквадора. </w:t>
      </w:r>
    </w:p>
    <w:p w:rsidR="000875B4" w:rsidRDefault="000875B4">
      <w:pPr>
        <w:pStyle w:val="SingleTxt"/>
      </w:pPr>
      <w:r>
        <w:t>113.</w:t>
      </w:r>
      <w:r>
        <w:tab/>
        <w:t xml:space="preserve">В состав Правления входят представитель президента </w:t>
      </w:r>
      <w:r>
        <w:rPr>
          <w:lang w:val="ru-RU"/>
        </w:rPr>
        <w:t>р</w:t>
      </w:r>
      <w:r>
        <w:t xml:space="preserve">еспублики, являющийся его председателем, и по одному представителю от Генерального секретариата государственного управления, Секретариата планирования и развития и Технического секретариата Социального фронта. Со стороны гражданского общества в Правление входят три представителя национальных женских организаций, назначаемые самими этими организациями. В настоящее время членами Правления являются по одной представительнице Постоянного национального форума женщин Эквадора, конфедерации "Женщины за перемены" и Политического координационного совета по делам женщин Эквадора. В составе Правления нет представительниц организаций гражданского общества, объединяющих женщин из числа коренных народов или женщин – потомков выходцев из Африки. </w:t>
      </w:r>
    </w:p>
    <w:p w:rsidR="000875B4" w:rsidRDefault="000875B4">
      <w:pPr>
        <w:pStyle w:val="SingleTxt"/>
      </w:pPr>
      <w:r>
        <w:t>114.</w:t>
      </w:r>
      <w:r>
        <w:tab/>
        <w:t xml:space="preserve">В ответ на обеспокоенность, выраженную Комитетом в пункте 11 его Заключительных замечаний, КОНАМУ, приступая в начале 2006 года к широкому обсуждению Закона о равенстве женщин, предложил в качестве одной из основных тем для дискуссии вопрос о введении в состав Правления Совета женщин из числа коренных народов или женщин – потомков выходцев из Африки. В ходе дискуссии стало очевидно, что назрела необходимость юридического оформления или регистрации национальных женских организаций в КОНАМУ в качестве общенациональных организаций. Организация, объединяющая женщин из числа коренных народов, – Национальный совет по делам женщин – представителей коренных народов Эквадора – официально зарегистрирована, однако она не заявляла открыто о своем желании войти в Правление. Лидеры организаций чернокожих женщин в настоящее время занимаются регистрацией своих организаций, чтобы </w:t>
      </w:r>
      <w:r>
        <w:rPr>
          <w:lang w:val="ru-RU"/>
        </w:rPr>
        <w:br/>
      </w:r>
      <w:r>
        <w:t xml:space="preserve">в ближайшем будущем войти в Правление. В этих целях КОНАМУ сотрудничает </w:t>
      </w:r>
      <w:r>
        <w:rPr>
          <w:lang w:val="ru-RU"/>
        </w:rPr>
        <w:br/>
      </w:r>
      <w:r>
        <w:t xml:space="preserve">с Координационным советом по делам чернокожих женщин Эквадора, предоставляя ему консультации по правовым вопросам. </w:t>
      </w:r>
    </w:p>
    <w:p w:rsidR="000875B4" w:rsidRDefault="000875B4">
      <w:pPr>
        <w:pStyle w:val="SingleTxt"/>
      </w:pPr>
      <w:r>
        <w:t>115.</w:t>
      </w:r>
      <w:r>
        <w:tab/>
        <w:t xml:space="preserve">Исполнительный директор Совета назначается по решению Правления и является полностью независимым от правительства, приходящего к власти </w:t>
      </w:r>
      <w:r>
        <w:rPr>
          <w:lang w:val="ru-RU"/>
        </w:rPr>
        <w:br/>
      </w:r>
      <w:r>
        <w:t>в результате всенародного голосования; это делается с той целью, чтобы обеспечить выполнение Советом поставленной перед ним задачи – разрабатывать и осуществлять государственную политику. В 2003 году Совет пережил внутренний кризис, в результате в течение длительного времени он работал без постоянного руководителя. Однако входящие в Правление женские организации при поддержке других членов и следуя рекомендациям, содержащимся в пунктах 10 и 11 Заключительных замечаний Комитета, приняли необходимые меры по избранию нового Директора. Были рассмотрены резюме трех женщин, давно и успешно работающих в женском движении, и в результате Директором была избрана та из них, чья квалификация оказалась самой высокой. Нынешний Исполнительный директор будет работать на этом посту до сентября 2007 года.</w:t>
      </w:r>
    </w:p>
    <w:p w:rsidR="000875B4" w:rsidRDefault="000875B4">
      <w:pPr>
        <w:pStyle w:val="SingleTxt"/>
      </w:pPr>
      <w:r>
        <w:t>116.</w:t>
      </w:r>
      <w:r>
        <w:tab/>
        <w:t>Кроме того, с учетом пунктов 10 и 11 Заключительных замечаний Комитета относительно мандата Совета, призванного гарантировать проведение в жизнь законов, планов и программ по обеспечению гендерного равенства, Председатель КОНАМУ, будь то женщина или мужчина, играет весьма важную роль, представляя Совет на самых высоких уровнях принятия решений, поскольку является связующим звеном между президентом страны и Советом. Равным образом, представители государственных учреждений действуют в качестве эффективного канала, благодаря которому обеспечивается учет гендерного фактора при национальном планировании, а также при проведении государственной экономической и социальной политики, поскольку в Правление входит представитель Технического секретариата Социального фронта, связанного со всеми соответствующими отраслевыми министерствами. В техническом аппарате Совета работают 42 штатных сотрудника категории технических специалистов и 5 специальных консультантов.</w:t>
      </w:r>
    </w:p>
    <w:p w:rsidR="000875B4" w:rsidRDefault="000875B4">
      <w:pPr>
        <w:pStyle w:val="SingleTxt"/>
      </w:pPr>
      <w:r>
        <w:t>117.</w:t>
      </w:r>
      <w:r>
        <w:tab/>
        <w:t>За последние три года в государственном аппарате заметно укрепились позиции национального механизма по гендерным вопросам. Совет проявил себя как ведущее ведомство в сфере разработки и осуществления государственной политики по гендерным вопросам на самых высоких уровнях государственной власти. Таким образом, принята во внимание обеспокоенность Комитета, выраженная в пунктах 8 и 9 его Заключительных замечаний, в связи с "отсутствием комплексной политики институционализации гендерной проблематики как основного звена в рамках стратегических приоритетов государства". Такая политика уже проводится, хотя и недостаточно последовательно, с момента создания Совета в 1997 году.</w:t>
      </w:r>
    </w:p>
    <w:p w:rsidR="000875B4" w:rsidRDefault="000875B4">
      <w:pPr>
        <w:pStyle w:val="SingleTxt"/>
      </w:pPr>
      <w:r>
        <w:t>118.</w:t>
      </w:r>
      <w:r>
        <w:tab/>
        <w:t xml:space="preserve">КОНАМУ проводил работу по укреплению институциональных связей </w:t>
      </w:r>
      <w:r>
        <w:rPr>
          <w:lang w:val="ru-RU"/>
        </w:rPr>
        <w:br/>
      </w:r>
      <w:r>
        <w:t xml:space="preserve">с другими Советами, занимающимися вопросами обеспечения прав аналогичного характера, прежде всего с Национальным советом по делам детей и подростков, </w:t>
      </w:r>
      <w:r>
        <w:rPr>
          <w:color w:val="000000"/>
        </w:rPr>
        <w:t>Советом по развитию народностей и народов Эквадора, Национальным советом по</w:t>
      </w:r>
      <w:r>
        <w:rPr>
          <w:color w:val="000000"/>
          <w:lang w:val="ru-RU"/>
        </w:rPr>
        <w:t> </w:t>
      </w:r>
      <w:r>
        <w:rPr>
          <w:color w:val="000000"/>
        </w:rPr>
        <w:t>делам инвалидов, Национальным советом по здравоохранению, Ассоциацией муниципалитетов Эквадора и с Техническим секретариатом Социального фронта. КОНАМУ приступил к координации своей деятельности с деятельностью этих органов с целью обеспечить включение конкретных мер политического характера в</w:t>
      </w:r>
      <w:r>
        <w:rPr>
          <w:color w:val="000000"/>
          <w:lang w:val="ru-RU"/>
        </w:rPr>
        <w:t> </w:t>
      </w:r>
      <w:r>
        <w:rPr>
          <w:color w:val="000000"/>
        </w:rPr>
        <w:t>социальную повестку дня, а также в деятельность по развитию децентрализации и самоуправления.</w:t>
      </w:r>
    </w:p>
    <w:p w:rsidR="000875B4" w:rsidRDefault="000875B4">
      <w:pPr>
        <w:pStyle w:val="SingleTxt"/>
      </w:pPr>
      <w:r>
        <w:t>119.</w:t>
      </w:r>
      <w:r>
        <w:tab/>
        <w:t>Совет поддержал создание в 19 муниципалитетах, 5 органах власти провинциального уровня и в ряде министерств институциональных и правовых механизмов обеспечения равных возможностей. Краеугольным камнем этого процесса является использование возможностей международного сотрудничества</w:t>
      </w:r>
      <w:r>
        <w:rPr>
          <w:rStyle w:val="FootnoteReference"/>
          <w:bCs/>
          <w:lang w:val="ru-RU"/>
        </w:rPr>
        <w:footnoteReference w:id="18"/>
      </w:r>
      <w:r>
        <w:t xml:space="preserve">, чтобы тем самым обеспечить комплексный гендерный подход в проектах в области развития, а также получение необходимых для этого средств. </w:t>
      </w:r>
    </w:p>
    <w:p w:rsidR="000875B4" w:rsidRDefault="000875B4">
      <w:pPr>
        <w:pStyle w:val="SingleTxt"/>
      </w:pPr>
      <w:r>
        <w:t>120.</w:t>
      </w:r>
      <w:r>
        <w:tab/>
        <w:t xml:space="preserve">Фундаментальный принцип работы Совета – обеспечение транспарентности. Значительные технические усилия, людские ресурсы и финансовые средства были затрачены на создание в апреле 2006 года веб-портала Совета </w:t>
      </w:r>
      <w:hyperlink r:id="rId14" w:history="1">
        <w:r>
          <w:rPr>
            <w:rStyle w:val="Hyperlink"/>
            <w:bCs/>
            <w:color w:val="auto"/>
            <w:lang w:val="ru-RU"/>
          </w:rPr>
          <w:t>www.conamu.gov.ec</w:t>
        </w:r>
      </w:hyperlink>
      <w:r>
        <w:t>, как того требует Закон об обеспечении транспарентности и доступа к государственной информации. Женщины, как входящие в женские организации, так и не являющиеся их членами, организации гражданского общества, международные организации и государственные учреждения могут ознакомиться со всей информацией о Совете, в том числе об успехах и проблемах в его работе, о бюджете, Плане обеспечения равных возможностей, об основных программах и разработанных на их основе проектах, о законах и правилах внутреннего распорядка.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ru-RU"/>
        </w:rPr>
      </w:pPr>
      <w:r>
        <w:tab/>
      </w:r>
      <w:r>
        <w:tab/>
      </w:r>
      <w:r>
        <w:rPr>
          <w:lang w:val="ru-RU"/>
        </w:rPr>
        <w:t>Другие ведомства, содействующие становлению гендерного равенства в стране</w:t>
      </w:r>
    </w:p>
    <w:p w:rsidR="000875B4" w:rsidRDefault="000875B4">
      <w:pPr>
        <w:pStyle w:val="SingleTxt"/>
        <w:spacing w:after="0" w:line="120" w:lineRule="exact"/>
        <w:rPr>
          <w:sz w:val="10"/>
        </w:rPr>
      </w:pPr>
    </w:p>
    <w:p w:rsidR="000875B4" w:rsidRDefault="000875B4">
      <w:pPr>
        <w:pStyle w:val="SingleTxt"/>
        <w:rPr>
          <w:bCs/>
          <w:lang w:val="ru-RU" w:eastAsia="ko-KR"/>
        </w:rPr>
      </w:pPr>
      <w:r>
        <w:rPr>
          <w:bCs/>
          <w:lang w:val="ru-RU" w:eastAsia="ko-KR"/>
        </w:rPr>
        <w:t>121.</w:t>
      </w:r>
      <w:r>
        <w:rPr>
          <w:bCs/>
          <w:lang w:val="ru-RU" w:eastAsia="ko-KR"/>
        </w:rPr>
        <w:tab/>
        <w:t>Деятельность Совета по делам женщин эффективно дополняют другие учреждения, занимающиеся гендерными проблемами. На секторальном уровне решению стоящих перед ним задач способствуют создание и приведение в действие в ряде министерств и государственных учреждений механизмов обеспечения гендерного равенства или защиты прав женщин</w:t>
      </w:r>
      <w:r>
        <w:rPr>
          <w:rStyle w:val="FootnoteReference"/>
          <w:bCs/>
          <w:lang w:eastAsia="ko-KR"/>
        </w:rPr>
        <w:footnoteReference w:id="19"/>
      </w:r>
      <w:r>
        <w:rPr>
          <w:bCs/>
          <w:lang w:val="ru-RU" w:eastAsia="ko-KR"/>
        </w:rPr>
        <w:t>.</w:t>
      </w:r>
    </w:p>
    <w:p w:rsidR="000875B4" w:rsidRDefault="000875B4">
      <w:pPr>
        <w:pStyle w:val="SingleTxt"/>
        <w:rPr>
          <w:bCs/>
          <w:lang w:val="ru-RU" w:eastAsia="ko-KR"/>
        </w:rPr>
      </w:pPr>
      <w:r>
        <w:rPr>
          <w:bCs/>
          <w:lang w:val="ru-RU" w:eastAsia="ko-KR"/>
        </w:rPr>
        <w:t>122.</w:t>
      </w:r>
      <w:r>
        <w:rPr>
          <w:bCs/>
          <w:lang w:val="ru-RU" w:eastAsia="ko-KR"/>
        </w:rPr>
        <w:tab/>
        <w:t>В органах власти на местах также действуют комиссии по делам женщин или по гендерным вопросам, большинство из которых находятся в ведении управлений по планированию или развитию. В настоящее время механизмы по гендерным вопросам действуют в системе органов власти 18 муниципалитетов и 5 провинций</w:t>
      </w:r>
      <w:r>
        <w:rPr>
          <w:rStyle w:val="FootnoteReference"/>
          <w:bCs/>
          <w:lang w:eastAsia="ko-KR"/>
        </w:rPr>
        <w:footnoteReference w:id="20"/>
      </w:r>
      <w:r>
        <w:rPr>
          <w:bCs/>
          <w:lang w:val="ru-RU" w:eastAsia="ko-KR"/>
        </w:rPr>
        <w:t>.</w:t>
      </w:r>
    </w:p>
    <w:p w:rsidR="000875B4" w:rsidRDefault="000875B4">
      <w:pPr>
        <w:pStyle w:val="SingleTxt"/>
        <w:rPr>
          <w:color w:val="000000"/>
          <w:lang w:val="ru-RU"/>
        </w:rPr>
      </w:pPr>
      <w:r>
        <w:rPr>
          <w:color w:val="000000"/>
          <w:lang w:val="ru-RU"/>
        </w:rPr>
        <w:t>123.</w:t>
      </w:r>
      <w:r>
        <w:rPr>
          <w:color w:val="000000"/>
          <w:lang w:val="ru-RU"/>
        </w:rPr>
        <w:tab/>
        <w:t xml:space="preserve">В конце 1990-х </w:t>
      </w:r>
      <w:r>
        <w:rPr>
          <w:lang w:val="ru-RU"/>
        </w:rPr>
        <w:t>годов</w:t>
      </w:r>
      <w:r>
        <w:rPr>
          <w:color w:val="000000"/>
          <w:lang w:val="ru-RU"/>
        </w:rPr>
        <w:t xml:space="preserve"> было создано Управление уполномоченного по правам человека, в котором первоначально была предусмотрена должность заместителя Уполномоченного по защите интересов женщин. Под его руководством были созданы механизмы рассмотрения случаев нарушения государственными ведомствами прав женщин в результате актов дискриминации, социальной изоляции или сексизма. Позднее аппарат заместителя Уполномоченного по защите интересов женщин был реорганизован и в настоящее время называется Национальное управление по защите прав женщин, детей и подростков, а его полномочия, согласно ныне действующему Органическому закону об Управлении уполномоченного по правам человека, несколько сужены. </w:t>
      </w:r>
    </w:p>
    <w:p w:rsidR="000875B4" w:rsidRDefault="000875B4">
      <w:pPr>
        <w:pStyle w:val="SingleTxt"/>
        <w:rPr>
          <w:color w:val="000000"/>
          <w:lang w:val="ru-RU"/>
        </w:rPr>
      </w:pPr>
      <w:r>
        <w:rPr>
          <w:color w:val="000000"/>
          <w:lang w:val="ru-RU"/>
        </w:rPr>
        <w:t>124.</w:t>
      </w:r>
      <w:r>
        <w:rPr>
          <w:color w:val="000000"/>
          <w:lang w:val="ru-RU"/>
        </w:rPr>
        <w:tab/>
        <w:t xml:space="preserve">Задача Женского отдела Управления уполномоченного по правам человека – своевременно и эффективно обеспечивать соблюдение прав человека женщин, детей и подростков, развивать межучрежденческое сотрудничество и вести среди населения страны разъяснительную работу по вопросам прав человека. </w:t>
      </w:r>
    </w:p>
    <w:p w:rsidR="000875B4" w:rsidRDefault="000875B4">
      <w:pPr>
        <w:pStyle w:val="SingleTxt"/>
        <w:rPr>
          <w:color w:val="000000"/>
          <w:lang w:val="ru-RU"/>
        </w:rPr>
      </w:pPr>
      <w:r>
        <w:rPr>
          <w:color w:val="000000"/>
          <w:lang w:val="ru-RU"/>
        </w:rPr>
        <w:t>125.</w:t>
      </w:r>
      <w:r>
        <w:rPr>
          <w:color w:val="000000"/>
          <w:lang w:val="ru-RU"/>
        </w:rPr>
        <w:tab/>
        <w:t xml:space="preserve">Женский отдел рассматривает и направляет по инстанциям жалобы и просьбы, поступающие от представителей этих социально незащищенных групп, и представляет свои доклады на рассмотрение первого и/или второго заместителей Уполномоченного по правам человека для принятия решения. Этот отдел совместно с другими государственными учреждениями и организациями гражданского общества, занимающимися аналогичными проблемами, участвует в разработке мер и политики, направленных на защиту интересов детей, подростков и на решение гендерных проблем, и держит под своим контролем прохождение дел, находящихся на рассмотрении органов судебной власти, в судах по делам детей, а также </w:t>
      </w:r>
      <w:r>
        <w:rPr>
          <w:color w:val="000000"/>
          <w:lang w:val="ru-RU"/>
        </w:rPr>
        <w:br/>
        <w:t>в отношении государственных частных учреждений. Кроме того, он оказывает посреднические услуги в урегулировании конфликтов и консультационные услуги.</w:t>
      </w:r>
    </w:p>
    <w:p w:rsidR="000875B4" w:rsidRDefault="000875B4">
      <w:pPr>
        <w:pStyle w:val="SingleTxt"/>
        <w:rPr>
          <w:color w:val="000000"/>
          <w:lang w:val="ru-RU"/>
        </w:rPr>
      </w:pPr>
      <w:r>
        <w:rPr>
          <w:color w:val="000000"/>
          <w:lang w:val="ru-RU"/>
        </w:rPr>
        <w:t>126.</w:t>
      </w:r>
      <w:r>
        <w:rPr>
          <w:color w:val="000000"/>
          <w:lang w:val="ru-RU"/>
        </w:rPr>
        <w:tab/>
        <w:t>Отдел оказывает техническое содействие в социальной сфере и в области психологической поддержки. Среди прочего, он организует посещения по месту жительства и готовит доклады по социальным проблемам, помогает семьям, переживающим кризис, неурядицы или распад, проводит профилактические мероприятия с целью пропаганды уважения человеческого достоинства и жизни без насилия и добивается, чтобы жертва бытового насилия чувствовала себя в безопасности в своей семье. Это ведомство помогает также пострадавшим, находящимся в кризисном состоянии, проводит индивидуальную и групповую психотерапию для женщин, ставших жертвами насилия, в целях повышения их самоуважения, заводит отдельное дело по каждой жалобе и проводит психологические обследования по запросу органов прокуратуры.</w:t>
      </w:r>
    </w:p>
    <w:p w:rsidR="000875B4" w:rsidRDefault="000875B4">
      <w:pPr>
        <w:pStyle w:val="SingleTxt"/>
        <w:rPr>
          <w:bCs/>
          <w:lang w:val="ru-RU"/>
        </w:rPr>
      </w:pPr>
      <w:r>
        <w:rPr>
          <w:bCs/>
          <w:lang w:val="ru-RU"/>
        </w:rPr>
        <w:t>127.</w:t>
      </w:r>
      <w:r>
        <w:rPr>
          <w:bCs/>
          <w:lang w:val="ru-RU"/>
        </w:rPr>
        <w:tab/>
        <w:t xml:space="preserve">Все эти меры позволяют говорить о функционировании программ помощи жертвам насилия в отношении женщин, по поводу которых Комитет высказал определенную озабоченность в пункте 23 своих Заключительных замечаний. </w:t>
      </w:r>
    </w:p>
    <w:p w:rsidR="000875B4" w:rsidRDefault="000875B4">
      <w:pPr>
        <w:pStyle w:val="SingleTxt"/>
        <w:rPr>
          <w:bCs/>
          <w:lang w:val="ru-RU"/>
        </w:rPr>
      </w:pPr>
      <w:r>
        <w:rPr>
          <w:bCs/>
          <w:lang w:val="ru-RU"/>
        </w:rPr>
        <w:t>128.</w:t>
      </w:r>
      <w:r>
        <w:rPr>
          <w:bCs/>
          <w:lang w:val="ru-RU"/>
        </w:rPr>
        <w:tab/>
        <w:t>Что касается законодательной работы, то после 1998 года была создана Специальная постоянная комиссия по делам женщин, детей и семьи, задача которой – разрабатывать законы, направленные на защиту прав женщин, детей, молодежи и семьи в целом, и меры по их реализации. Как отмечалось выше, Комиссия выступила с важными законодательными инициативами в защиту интересов женщин.</w:t>
      </w:r>
    </w:p>
    <w:p w:rsidR="000875B4" w:rsidRDefault="000875B4">
      <w:pPr>
        <w:pStyle w:val="SingleTxt"/>
        <w:rPr>
          <w:bCs/>
          <w:lang w:val="ru-RU"/>
        </w:rPr>
      </w:pPr>
      <w:r>
        <w:rPr>
          <w:bCs/>
          <w:lang w:val="ru-RU"/>
        </w:rPr>
        <w:t>129.</w:t>
      </w:r>
      <w:r>
        <w:rPr>
          <w:bCs/>
          <w:lang w:val="ru-RU"/>
        </w:rPr>
        <w:tab/>
        <w:t>На уровне исполнительной власти созданное в 2000 году</w:t>
      </w:r>
      <w:r>
        <w:rPr>
          <w:lang w:val="ru-RU"/>
        </w:rPr>
        <w:t xml:space="preserve"> </w:t>
      </w:r>
      <w:r>
        <w:rPr>
          <w:bCs/>
          <w:lang w:val="ru-RU"/>
        </w:rPr>
        <w:t xml:space="preserve">Национальное управление по гендерным вопросам при Министерстве внутренних дел занимается координированием работы 32 комиссариатов по делам женщин и семьи, созданных на основании </w:t>
      </w:r>
      <w:r>
        <w:rPr>
          <w:color w:val="000000"/>
          <w:lang w:val="ru-RU"/>
        </w:rPr>
        <w:t>Закона о борьбе с насилием в отношении женщин и семьи во всех провинциях страны и являющихся координирующими органами по всем вопросам, связанным с отправлением правосудия по делам о насилии в семье. Главная задача Управления – оказывать помощь и содействие в осуществлении политики, стратегий и механизмов по обеспечению гендерного равенства и добиваться сокращения масштабов насилия в семье.</w:t>
      </w:r>
    </w:p>
    <w:p w:rsidR="000875B4" w:rsidRDefault="000875B4">
      <w:pPr>
        <w:pStyle w:val="SingleTxt"/>
        <w:rPr>
          <w:bCs/>
          <w:lang w:val="ru-RU"/>
        </w:rPr>
      </w:pPr>
      <w:r>
        <w:rPr>
          <w:bCs/>
          <w:lang w:val="ru-RU"/>
        </w:rPr>
        <w:t>130.</w:t>
      </w:r>
      <w:r>
        <w:rPr>
          <w:bCs/>
          <w:lang w:val="ru-RU"/>
        </w:rPr>
        <w:tab/>
      </w:r>
      <w:r>
        <w:rPr>
          <w:color w:val="000000"/>
          <w:lang w:val="ru-RU"/>
        </w:rPr>
        <w:t>Управление Национальной полиции по защите прав женщин занимается находящимися в компетенции органов полиции вопросами осуществления Закона о борьбе с насилием.</w:t>
      </w:r>
    </w:p>
    <w:p w:rsidR="000875B4" w:rsidRDefault="000875B4">
      <w:pPr>
        <w:pStyle w:val="SingleTxt"/>
        <w:rPr>
          <w:bCs/>
          <w:lang w:val="ru-RU"/>
        </w:rPr>
      </w:pPr>
      <w:r>
        <w:rPr>
          <w:bCs/>
          <w:lang w:val="ru-RU"/>
        </w:rPr>
        <w:t>131.</w:t>
      </w:r>
      <w:r>
        <w:rPr>
          <w:bCs/>
          <w:lang w:val="ru-RU"/>
        </w:rPr>
        <w:tab/>
        <w:t>Кроме того, на уровне исполнительной власти при Министерстве труда с 2004 года действует Отдел гендерного равноправия и молодежи, обеспечивающий соблюдение норм трудового законодательства применительно к социально незащищенным группам трудящихся.</w:t>
      </w:r>
    </w:p>
    <w:p w:rsidR="000875B4" w:rsidRDefault="000875B4">
      <w:pPr>
        <w:pStyle w:val="SingleTxt"/>
      </w:pPr>
      <w:r>
        <w:t>132.</w:t>
      </w:r>
      <w:r>
        <w:tab/>
        <w:t xml:space="preserve">Поскольку для проведения расследований и возбуждения в суде дел о преступлениях на сексуальной почве требуются подготовленные специалисты, Государственное министерство занималось созданием специальных отделов </w:t>
      </w:r>
      <w:r>
        <w:rPr>
          <w:lang w:val="ru-RU"/>
        </w:rPr>
        <w:br/>
      </w:r>
      <w:r>
        <w:t>по борьбе с насилием в семье и преступлениями на сексуальной почве в трех крупнейших округах страны</w:t>
      </w:r>
      <w:r>
        <w:rPr>
          <w:lang w:val="ru-RU"/>
        </w:rPr>
        <w:t>:</w:t>
      </w:r>
      <w:r>
        <w:t xml:space="preserve"> Гуаяс – Галапагосские острова, Пичинча и Манаби.</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План равенства возможностей (ПРВ) на 2005–2009 годы</w:t>
      </w:r>
      <w:r>
        <w:rPr>
          <w:rStyle w:val="FootnoteReference"/>
          <w:b w:val="0"/>
        </w:rPr>
        <w:footnoteReference w:id="21"/>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133.</w:t>
      </w:r>
      <w:r>
        <w:rPr>
          <w:bCs/>
          <w:lang w:val="ru-RU"/>
        </w:rPr>
        <w:tab/>
        <w:t xml:space="preserve">В марте 2006 года была завершена работа над Планом равенства возможностей на 2005–2009 </w:t>
      </w:r>
      <w:r>
        <w:rPr>
          <w:lang w:val="ru-RU"/>
        </w:rPr>
        <w:t>годы</w:t>
      </w:r>
      <w:r>
        <w:rPr>
          <w:bCs/>
          <w:lang w:val="ru-RU"/>
        </w:rPr>
        <w:t>, по поводу которого Комитет выражал обеспокоенность в пунктах 12 и 13 своих Заключительных замечаний. План явился плодом консультаций, совместной работы и методических изысканий, в которых приняли участие сотни самых разных женщин – представительниц коренного населения, афроэквадорок, крестьянок, молодых девушек, лесбиянок, членов национальных и региональных организаций, работниц сферы сексуальных услуг, лидеров социальных и политических движений, представительниц местных органов власти и сотрудниц Национального совета по делам женщин. Таким образом, ПРВ представляет собой документ, с которым обязаны сверять свою деятельность все учреждения и ведомства, занимающиеся вопросами разработки, формулирования и осуществления политики государства Эквадор. Он же является основным технико-политическим документом для Национального совета по делам женщин.</w:t>
      </w:r>
    </w:p>
    <w:p w:rsidR="000875B4" w:rsidRDefault="000875B4">
      <w:pPr>
        <w:pStyle w:val="SingleTxt"/>
      </w:pPr>
      <w:r>
        <w:t>134.</w:t>
      </w:r>
      <w:r>
        <w:tab/>
        <w:t>В ПРВ на 2005–2009 годы работа по защите прав разделена на четыре основных направления, которые в совокупности фиксируют основные проблемы разных групп женщин и задачу обеспечения их прав как основу Плана:</w:t>
      </w:r>
    </w:p>
    <w:p w:rsidR="000875B4" w:rsidRDefault="000875B4">
      <w:pPr>
        <w:pStyle w:val="SingleTxt0"/>
      </w:pPr>
      <w:r>
        <w:tab/>
        <w:t>–</w:t>
      </w:r>
      <w:r>
        <w:tab/>
        <w:t xml:space="preserve">содействие в реализации и защита права женщин на участие в социальной и политической жизни, обеспечение их гражданских прав и утверждение демократических методов управления; </w:t>
      </w:r>
    </w:p>
    <w:p w:rsidR="000875B4" w:rsidRDefault="000875B4">
      <w:pPr>
        <w:pStyle w:val="SingleTxt0"/>
      </w:pPr>
      <w:r>
        <w:tab/>
        <w:t>–</w:t>
      </w:r>
      <w:r>
        <w:tab/>
        <w:t xml:space="preserve">содействие в реализации и защита прав женщин на жизнь без насилия </w:t>
      </w:r>
      <w:r>
        <w:br/>
        <w:t xml:space="preserve">в условиях мира, на здоровье, на осуществление их сексуальных и репродуктивных прав и на доступ к правосудию; </w:t>
      </w:r>
    </w:p>
    <w:p w:rsidR="000875B4" w:rsidRDefault="000875B4">
      <w:pPr>
        <w:pStyle w:val="SingleTxt0"/>
      </w:pPr>
      <w:r>
        <w:tab/>
        <w:t>–</w:t>
      </w:r>
      <w:r>
        <w:tab/>
        <w:t>содействие в реализации и защита культурных и межкультурных прав женщин, их прав на образование, на качество жизни и на самостоятельность;</w:t>
      </w:r>
    </w:p>
    <w:p w:rsidR="000875B4" w:rsidRDefault="000875B4">
      <w:pPr>
        <w:pStyle w:val="SingleTxt0"/>
      </w:pPr>
      <w:r>
        <w:tab/>
        <w:t>–</w:t>
      </w:r>
      <w:r>
        <w:tab/>
        <w:t>содействие в реализации и защита экономических и экологических прав женщин, их прав на труд и на доступ к финансовым и нефинансовым ресурсам.</w:t>
      </w:r>
    </w:p>
    <w:p w:rsidR="000875B4" w:rsidRDefault="000875B4">
      <w:pPr>
        <w:pStyle w:val="SingleTxt"/>
        <w:rPr>
          <w:bCs/>
          <w:lang w:val="ru-RU"/>
        </w:rPr>
      </w:pPr>
      <w:r>
        <w:rPr>
          <w:bCs/>
          <w:lang w:val="ru-RU"/>
        </w:rPr>
        <w:t>135.</w:t>
      </w:r>
      <w:r>
        <w:rPr>
          <w:bCs/>
          <w:lang w:val="ru-RU"/>
        </w:rPr>
        <w:tab/>
        <w:t xml:space="preserve">Важность Плана равенства возможностей состоит в том, что он дает возможность принимать на самых высоких уровнях государственной власти решения, направленные на мобилизацию людских, экономических и технических ресурсов, необходимых для обеспечения равноправия эквадорских женщин, девочек и девушек, к какой бы этнической или социальной группе они ни принадлежали. </w:t>
      </w:r>
      <w:r>
        <w:rPr>
          <w:bCs/>
          <w:lang w:val="ru-RU"/>
        </w:rPr>
        <w:br/>
        <w:t xml:space="preserve">С другой стороны, План – это заключенный в стране пакт о равноправии, в котором отражена воля гражданского общества и государства, стремящихся существенно уменьшить в среднесрочной перспективе и полностью искоренить в дальнейшем те факторы неравноправия, которые негативно сказываются на положении девочек, девушек и женщин. </w:t>
      </w:r>
    </w:p>
    <w:p w:rsidR="000875B4" w:rsidRDefault="000875B4">
      <w:pPr>
        <w:pStyle w:val="SingleTxt"/>
        <w:rPr>
          <w:bCs/>
          <w:lang w:val="ru-RU"/>
        </w:rPr>
      </w:pPr>
      <w:r>
        <w:rPr>
          <w:bCs/>
          <w:lang w:val="ru-RU"/>
        </w:rPr>
        <w:t>136.</w:t>
      </w:r>
      <w:r>
        <w:rPr>
          <w:bCs/>
          <w:lang w:val="ru-RU"/>
        </w:rPr>
        <w:tab/>
        <w:t>Технический секретариат Социального фронта и Совет совместными усилиями добиваются включения в оперативные планы различных государственных учреждений положений Плана равенства возможностей, а также осуществляют мониторинг расходов на социальные цели с позиций учета в них гендерного фактора.</w:t>
      </w:r>
    </w:p>
    <w:p w:rsidR="000875B4" w:rsidRDefault="000875B4">
      <w:pPr>
        <w:pStyle w:val="SingleTxt"/>
      </w:pPr>
      <w:r>
        <w:t>137.</w:t>
      </w:r>
      <w:r>
        <w:tab/>
        <w:t xml:space="preserve">В марте 2006 года президент </w:t>
      </w:r>
      <w:r>
        <w:rPr>
          <w:lang w:val="ru-RU"/>
        </w:rPr>
        <w:t>р</w:t>
      </w:r>
      <w:r>
        <w:t>еспублики подписал правительственный декрет № 1207-A, в соответствии с которым Плану равенства возможностей придан статус государственной политики.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Бюджетные ассигнования на работу по гендерной проблематике</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138.</w:t>
      </w:r>
      <w:r>
        <w:rPr>
          <w:bCs/>
          <w:lang w:val="ru-RU"/>
        </w:rPr>
        <w:tab/>
        <w:t xml:space="preserve">Что касается финансовых средств, то в 2003–2004 годах КОНАМУ добился своей цели – увеличения в государственном бюджете на 2005 </w:t>
      </w:r>
      <w:r>
        <w:rPr>
          <w:lang w:val="ru-RU" w:eastAsia="ko-KR"/>
        </w:rPr>
        <w:t>год</w:t>
      </w:r>
      <w:r>
        <w:rPr>
          <w:bCs/>
          <w:lang w:val="ru-RU"/>
        </w:rPr>
        <w:t xml:space="preserve"> ассигнований, выделяемых Совету, до 1,7 млн. долл. США, из которых 750 тыс. долл. США предназначались на разработку государственной политики по гендерным вопросам, причем исполнение бюджета составило в общей сложности 97 процентов.</w:t>
      </w:r>
    </w:p>
    <w:p w:rsidR="000875B4" w:rsidRDefault="000875B4">
      <w:pPr>
        <w:pStyle w:val="SingleTxt"/>
        <w:rPr>
          <w:bCs/>
          <w:lang w:val="ru-RU"/>
        </w:rPr>
      </w:pPr>
      <w:r>
        <w:rPr>
          <w:bCs/>
          <w:lang w:val="ru-RU"/>
        </w:rPr>
        <w:t>139.</w:t>
      </w:r>
      <w:r>
        <w:rPr>
          <w:bCs/>
          <w:lang w:val="ru-RU"/>
        </w:rPr>
        <w:tab/>
        <w:t xml:space="preserve">Тем не менее, несмотря на то что национальный механизм по гендерным вопросам за столь короткое время добился очевидных успехов в разработке государственной политики и продемонстрировал способность осваивать выделенные ассигнования, объем бюджетных средств, выделенных КОНАМУ на 2006 </w:t>
      </w:r>
      <w:r>
        <w:rPr>
          <w:lang w:val="ru-RU" w:eastAsia="ko-KR"/>
        </w:rPr>
        <w:t>год</w:t>
      </w:r>
      <w:r>
        <w:rPr>
          <w:bCs/>
          <w:lang w:val="ru-RU"/>
        </w:rPr>
        <w:t>, был сокращен на 70 процентов. Всего Совет получил 200</w:t>
      </w:r>
      <w:r>
        <w:rPr>
          <w:bCs/>
        </w:rPr>
        <w:t> </w:t>
      </w:r>
      <w:r>
        <w:rPr>
          <w:bCs/>
          <w:lang w:val="ru-RU"/>
        </w:rPr>
        <w:t>тыс. долл. США, что снизило активность работы по защите прав женщин. Аналогичная ситуация сложилась и в других государственных учреждениях вследствие как проводившейся с начала года Министерством экономики политики урезания государственных ассигнований на социальные нужды, так и непонимания необходимости вкладывать средства в социальную политику.</w:t>
      </w:r>
    </w:p>
    <w:p w:rsidR="000875B4" w:rsidRDefault="000875B4">
      <w:pPr>
        <w:pStyle w:val="SingleTxt"/>
        <w:rPr>
          <w:bCs/>
          <w:lang w:val="ru-RU"/>
        </w:rPr>
      </w:pPr>
      <w:r>
        <w:rPr>
          <w:bCs/>
          <w:lang w:val="ru-RU"/>
        </w:rPr>
        <w:t>140.</w:t>
      </w:r>
      <w:r>
        <w:rPr>
          <w:bCs/>
          <w:lang w:val="ru-RU"/>
        </w:rPr>
        <w:tab/>
        <w:t xml:space="preserve">Эти бюджетные решения не уменьшили решимости КОНАМУ и ряда других государственных учреждений продолжать начатую работу, что позволяет надеяться на увеличение бюджетных ассигнований в 2007 году. </w:t>
      </w:r>
    </w:p>
    <w:p w:rsidR="000875B4" w:rsidRDefault="000875B4">
      <w:pPr>
        <w:pStyle w:val="SingleTxt"/>
        <w:rPr>
          <w:lang w:val="ru-RU"/>
        </w:rPr>
      </w:pPr>
      <w:r>
        <w:rPr>
          <w:lang w:val="ru-RU"/>
        </w:rPr>
        <w:t>141.</w:t>
      </w:r>
      <w:r>
        <w:rPr>
          <w:lang w:val="ru-RU"/>
        </w:rPr>
        <w:tab/>
        <w:t xml:space="preserve">В целях создания условий для разработки мер социального и экономического характера по решению гендерных проблем в октябре 2005 </w:t>
      </w:r>
      <w:r>
        <w:rPr>
          <w:bCs/>
          <w:lang w:val="ru-RU"/>
        </w:rPr>
        <w:t>года</w:t>
      </w:r>
      <w:r>
        <w:rPr>
          <w:lang w:val="ru-RU"/>
        </w:rPr>
        <w:t xml:space="preserve"> КОНАМУ подписал договор с Министерством экономики и финансов, Секретариатом по вопросам осуществления Целей в области развития Декларации тысячелетия, Национальным секретариатом планировании и развития и ЮНИФЕМ. Задача этого договора – обеспечить гендерный подход в бюджетной политике. Этот инструмент бюджетной политики позволяет реализовать на практике требование Конституции относительно трансверсального применения гендерного подхода при составлении государственного бюджета, в системах государственных капиталовложений и государственного кредитования, в том числе и в отсутствие соответствующей статьи расходов в государственном бюджете, находящегося в ведении Управления государственного кредитования. </w:t>
      </w:r>
    </w:p>
    <w:p w:rsidR="000875B4" w:rsidRDefault="000875B4">
      <w:pPr>
        <w:pStyle w:val="SingleTxt"/>
        <w:rPr>
          <w:lang w:val="ru-RU"/>
        </w:rPr>
      </w:pPr>
      <w:r>
        <w:rPr>
          <w:lang w:val="ru-RU"/>
        </w:rPr>
        <w:t>142.</w:t>
      </w:r>
      <w:r>
        <w:rPr>
          <w:lang w:val="ru-RU"/>
        </w:rPr>
        <w:tab/>
        <w:t xml:space="preserve">В рамках вышеуказанного договора ведется работа над проектом "Бюджеты, учитывающие гендерные факторы", который становится основным инструментом, позволяющим обеспечить гендерный подход со стороны государственных учреждений, определяющих экономическую политику страны, и тем самым перераспределить средства таким образом, чтобы обеспечить выполнение обязательств и задач по обеспечению гендерного равенства, в том числе Плана равенства возможностей, которому по решению правительства придан статус государственной политики. </w:t>
      </w:r>
    </w:p>
    <w:p w:rsidR="000875B4" w:rsidRDefault="000875B4">
      <w:pPr>
        <w:pStyle w:val="SingleTxt"/>
        <w:rPr>
          <w:lang w:val="ru-RU"/>
        </w:rPr>
      </w:pPr>
      <w:r>
        <w:rPr>
          <w:lang w:val="ru-RU"/>
        </w:rPr>
        <w:t>143.</w:t>
      </w:r>
      <w:r>
        <w:rPr>
          <w:lang w:val="ru-RU"/>
        </w:rPr>
        <w:tab/>
        <w:t xml:space="preserve">Данный проект планируется реализовать в течение четырех лет – с 2005 по 2008 год. Проект включает четыре основных компонента: </w:t>
      </w:r>
      <w:r>
        <w:t>a</w:t>
      </w:r>
      <w:r>
        <w:rPr>
          <w:lang w:val="ru-RU"/>
        </w:rPr>
        <w:t xml:space="preserve">) информационно-пропагандистскую деятельность в ведущих учреждениях, организациях гражданского общества, в рамках международного сотрудничества и в научных учреждениях; </w:t>
      </w:r>
      <w:r>
        <w:t>b</w:t>
      </w:r>
      <w:r>
        <w:rPr>
          <w:lang w:val="ru-RU"/>
        </w:rPr>
        <w:t xml:space="preserve">) создание и введение в действие системы планирования и разработки бюджета на основе гендерного подхода и соответствующих критериев; с) осуществление экспериментальных проектов в бюджетной сфере в двух отраслевых министерствах; а также </w:t>
      </w:r>
      <w:r>
        <w:t>d</w:t>
      </w:r>
      <w:r>
        <w:rPr>
          <w:lang w:val="ru-RU"/>
        </w:rPr>
        <w:t>) расширение возможностей и обеспечение необходимых технических условий для введения в действие системы планирования и разработки бюджета на основе гендерного подхода.</w:t>
      </w:r>
    </w:p>
    <w:p w:rsidR="000875B4" w:rsidRDefault="000875B4">
      <w:pPr>
        <w:pStyle w:val="SingleTxt"/>
      </w:pPr>
      <w:r>
        <w:t>144.</w:t>
      </w:r>
      <w:r>
        <w:tab/>
        <w:t>К сентябрю 2006 года были достигнуты важные договоренности с центральными органами власти и организациями гражданского общества относительно подготовки и реализации бюджетов, учитывающих гендерные факторы. Кроме того, удалось включить ряд гендерных показателей в методологию отбора проектов для финансирования и в руководящие принципы разработки государственного бюджета, на основании которых производится выделение государственных средств. Были проведены исследования по этой проблематике и подготовлены рекомендации по разработке бюджетов государственных учреждений с учетом гендерного подхода. Параллельно с этой работой проводились и разного рода учебные мероприятия для сотрудников государственных и научных учреждений, организованные КОНАМУ, ЮНИФЕМ и Латиноамериканским факультетом общественных наук.</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Проект Закона о равенстве возможностей</w:t>
      </w:r>
    </w:p>
    <w:p w:rsidR="000875B4" w:rsidRDefault="000875B4">
      <w:pPr>
        <w:pStyle w:val="SingleTxt"/>
        <w:spacing w:after="0" w:line="120" w:lineRule="exact"/>
        <w:rPr>
          <w:sz w:val="10"/>
        </w:rPr>
      </w:pPr>
    </w:p>
    <w:p w:rsidR="000875B4" w:rsidRDefault="000875B4">
      <w:pPr>
        <w:pStyle w:val="SingleTxt"/>
        <w:rPr>
          <w:bCs/>
          <w:lang w:val="ru-RU" w:eastAsia="ko-KR"/>
        </w:rPr>
      </w:pPr>
      <w:r>
        <w:rPr>
          <w:bCs/>
          <w:lang w:val="ru-RU" w:eastAsia="ko-KR"/>
        </w:rPr>
        <w:t>145.</w:t>
      </w:r>
      <w:r>
        <w:rPr>
          <w:bCs/>
          <w:lang w:val="ru-RU" w:eastAsia="ko-KR"/>
        </w:rPr>
        <w:tab/>
        <w:t>Как отмечалось выше, План равенства возможностей на 2005–2009 </w:t>
      </w:r>
      <w:r>
        <w:rPr>
          <w:bCs/>
          <w:lang w:val="ru-RU"/>
        </w:rPr>
        <w:t>годы</w:t>
      </w:r>
      <w:r>
        <w:rPr>
          <w:bCs/>
          <w:lang w:val="ru-RU" w:eastAsia="ko-KR"/>
        </w:rPr>
        <w:t>, в котором применен подход на основе обеспечения прав и культурно-этнического многообразия, а также учитываются проблемы, с которыми сталкиваются женщины на местах, и принимаемые государством меры политического характера с целью обеспечения гендерного равенства, представляет собой основной технико-политический инструмент, определяющий в целом направленность действий эквадорского государства.</w:t>
      </w:r>
    </w:p>
    <w:p w:rsidR="000875B4" w:rsidRDefault="000875B4">
      <w:pPr>
        <w:pStyle w:val="SingleTxt"/>
        <w:rPr>
          <w:bCs/>
          <w:lang w:val="ru-RU" w:eastAsia="ko-KR"/>
        </w:rPr>
      </w:pPr>
      <w:r>
        <w:rPr>
          <w:bCs/>
          <w:lang w:val="ru-RU" w:eastAsia="ko-KR"/>
        </w:rPr>
        <w:t>146.</w:t>
      </w:r>
      <w:r>
        <w:rPr>
          <w:bCs/>
          <w:lang w:val="ru-RU" w:eastAsia="ko-KR"/>
        </w:rPr>
        <w:tab/>
        <w:t>Тем не менее необходимо укреплять потенциал всех учреждений, которые обеспечивают институционализацию гендерных проблем в стране, равно как и все существующие технико-политические инструменты (Пакт о равноправии и ПРВ). Для этого требуется принять законы, которые закрепили бы существование этих механизмов обеспечения и защиты прав женщин и создали бы надежные административные, экономические, правовые и политические основы, дающие им возможность функционировать и сохранять устойчивость</w:t>
      </w:r>
      <w:r>
        <w:rPr>
          <w:rStyle w:val="FootnoteReference"/>
          <w:bCs/>
          <w:lang w:eastAsia="ko-KR"/>
        </w:rPr>
        <w:footnoteReference w:id="22"/>
      </w:r>
      <w:r>
        <w:rPr>
          <w:bCs/>
          <w:lang w:val="ru-RU" w:eastAsia="ko-KR"/>
        </w:rPr>
        <w:t>.</w:t>
      </w:r>
    </w:p>
    <w:p w:rsidR="000875B4" w:rsidRDefault="000875B4">
      <w:pPr>
        <w:pStyle w:val="SingleTxt"/>
        <w:rPr>
          <w:bCs/>
          <w:lang w:val="ru-RU"/>
        </w:rPr>
      </w:pPr>
      <w:r>
        <w:rPr>
          <w:bCs/>
          <w:lang w:val="ru-RU"/>
        </w:rPr>
        <w:t>147.</w:t>
      </w:r>
      <w:r>
        <w:rPr>
          <w:bCs/>
          <w:lang w:val="ru-RU"/>
        </w:rPr>
        <w:tab/>
        <w:t>Во исполнение рекомендации Комитета</w:t>
      </w:r>
      <w:r>
        <w:rPr>
          <w:rStyle w:val="FootnoteReference"/>
          <w:bCs/>
        </w:rPr>
        <w:footnoteReference w:id="23"/>
      </w:r>
      <w:r>
        <w:rPr>
          <w:bCs/>
          <w:lang w:val="ru-RU"/>
        </w:rPr>
        <w:t xml:space="preserve"> </w:t>
      </w:r>
      <w:r>
        <w:rPr>
          <w:bCs/>
          <w:lang w:val="ru-RU" w:eastAsia="ko-KR"/>
        </w:rPr>
        <w:t>эквадорское государств</w:t>
      </w:r>
      <w:r>
        <w:rPr>
          <w:bCs/>
          <w:lang w:val="ru-RU"/>
        </w:rPr>
        <w:t xml:space="preserve">о через КОНАМУ приступило в ноябре 2005 года к разработке при широком участии общественности проекта Закона о равенстве возможностей и гендерном равноправии. С самого начала этой работы активное участие в ней принимают женские организации и местные органы власти. Процесс разработки и обсуждения законопроекта позволит провести широкую дискуссию по проблемам представленности различных групп женщин, и прежде всего женщин разной этнической принадлежности, представительниц коренных народов и афроэквадорок, в руководящих органах КОНАМУ, о чем говорилось в пункте 11 Заключительных замечаний Комитета. </w:t>
      </w:r>
    </w:p>
    <w:p w:rsidR="000875B4" w:rsidRDefault="000875B4">
      <w:pPr>
        <w:pStyle w:val="SingleTxt"/>
      </w:pPr>
      <w:r>
        <w:t>148.</w:t>
      </w:r>
      <w:r>
        <w:tab/>
        <w:t>Законопроект преследует, в числе прочих, и цель гарантировать выделение существенных финансовых ресурсов на деятельность в гендерной сфере. Хотя и предпринимаются серьезные усилия по обеспечению гендерного подхода в бюджетной политике, она в значительной степени определяется политической волей тех сил, которые в данный момент находятся у власти, и поэтому принятие соответствующего закона призвано гарантировать устойчивость проводимой гендерной политики.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Pr>
          <w:bCs/>
        </w:rPr>
        <w:tab/>
      </w:r>
      <w:r>
        <w:rPr>
          <w:bCs/>
          <w:color w:val="000000"/>
          <w:lang w:val="ru-RU"/>
        </w:rPr>
        <w:t>Обеспечение гендерного подхода в социальной политике страны</w:t>
      </w:r>
    </w:p>
    <w:p w:rsidR="000875B4" w:rsidRDefault="000875B4">
      <w:pPr>
        <w:pStyle w:val="SingleTxt"/>
        <w:spacing w:after="0" w:line="120" w:lineRule="exact"/>
        <w:rPr>
          <w:sz w:val="10"/>
        </w:rPr>
      </w:pPr>
    </w:p>
    <w:p w:rsidR="000875B4" w:rsidRDefault="000875B4">
      <w:pPr>
        <w:pStyle w:val="SingleTxt"/>
      </w:pPr>
      <w:r>
        <w:t>149.</w:t>
      </w:r>
      <w:r>
        <w:tab/>
        <w:t>КОНАМУ и Технический секретариат Социального фронта в мае 2006 года подписали соглашение о сотрудничестве, цель которого – обеспечить гендерный подход и комплексную защиту прав женщин при осуществлении различных направлений социальной политики страны. Эти два ведомства занимаются разработкой проекта ежегодного Плана действий, задача которого – укрепить позиции Расширенного совета Социального фронта, принять и реализовать План равенства возможностей на 2005–2009 годы как направление государственной политики, вести пропагандистскую и учебную работу в отношении гендерного подхода с участниками разработки, реализации и оценки социальной политики, обеспечить внедрение гендерного подхода в процессы мониторинга планов и программ и подготовки бюджета социального сектора, которой занимается Секретариат, а также разработать механизмы сбора данных и информации стратегического характера с целью выявления случаев гендерного неравноправия во всех сферах жизни общества и продвижения в направлении комплексной реализации прав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Информация статистического и стратегического характера</w:t>
      </w:r>
    </w:p>
    <w:p w:rsidR="000875B4" w:rsidRDefault="000875B4">
      <w:pPr>
        <w:pStyle w:val="SingleTxt"/>
        <w:keepNext/>
        <w:keepLines/>
        <w:spacing w:after="0" w:line="120" w:lineRule="exact"/>
        <w:rPr>
          <w:sz w:val="10"/>
        </w:rPr>
      </w:pPr>
    </w:p>
    <w:p w:rsidR="000875B4" w:rsidRDefault="000875B4">
      <w:pPr>
        <w:pStyle w:val="SingleTxt"/>
        <w:rPr>
          <w:lang w:val="ru-RU"/>
        </w:rPr>
      </w:pPr>
      <w:r>
        <w:rPr>
          <w:lang w:val="ru-RU"/>
        </w:rPr>
        <w:t>150.</w:t>
      </w:r>
      <w:r>
        <w:rPr>
          <w:lang w:val="ru-RU"/>
        </w:rPr>
        <w:tab/>
        <w:t xml:space="preserve">Сбор статистической информации в разбивке по полу и разработка количественных и качественных показателей, которые давали бы представление </w:t>
      </w:r>
      <w:r>
        <w:rPr>
          <w:lang w:val="ru-RU"/>
        </w:rPr>
        <w:br/>
        <w:t xml:space="preserve">о пробелах в обеспечении гендерного равенства и позволяли бы проводить анализ экономической и социальной политики на основе гендерного подхода, – еще одно из важных направлений деятельности государства-участника. Это направление позволяет, как уже говорилось выше, учесть замечания Комитета, содержащиеся в пунктах 36 и 37 его Заключительных замечаний. </w:t>
      </w:r>
    </w:p>
    <w:p w:rsidR="000875B4" w:rsidRDefault="000875B4">
      <w:pPr>
        <w:pStyle w:val="SingleTxt"/>
        <w:rPr>
          <w:lang w:val="ru-RU"/>
        </w:rPr>
      </w:pPr>
      <w:r>
        <w:rPr>
          <w:lang w:val="ru-RU"/>
        </w:rPr>
        <w:t>151.</w:t>
      </w:r>
      <w:r>
        <w:rPr>
          <w:lang w:val="ru-RU"/>
        </w:rPr>
        <w:tab/>
        <w:t xml:space="preserve">Национальный институт статистики и переписи населения (ИНЕК) несет ответственность за сбор и анализ информации стратегического характера, необходимой для выявления  гендерного неравенства. </w:t>
      </w:r>
    </w:p>
    <w:p w:rsidR="000875B4" w:rsidRDefault="000875B4">
      <w:pPr>
        <w:pStyle w:val="SingleTxt"/>
        <w:rPr>
          <w:color w:val="000000"/>
          <w:lang w:val="ru-RU"/>
        </w:rPr>
      </w:pPr>
      <w:r>
        <w:rPr>
          <w:lang w:val="ru-RU"/>
        </w:rPr>
        <w:t>152.</w:t>
      </w:r>
      <w:r>
        <w:rPr>
          <w:lang w:val="ru-RU"/>
        </w:rPr>
        <w:tab/>
        <w:t xml:space="preserve">Равным образом, Технический секретариат Социального фронта с помощью своего Информационно-аналитического отдела проводит важную работу по предоставлению данных и обеспечению функционирования </w:t>
      </w:r>
      <w:r>
        <w:rPr>
          <w:color w:val="000000"/>
          <w:lang w:val="ru-RU"/>
        </w:rPr>
        <w:t xml:space="preserve">Комплексной системы социальных показателей Эквадора, в рамках которой действует ряд подразделений, </w:t>
      </w:r>
      <w:r>
        <w:rPr>
          <w:color w:val="000000"/>
          <w:lang w:val="ru-RU"/>
        </w:rPr>
        <w:br/>
        <w:t xml:space="preserve">в том числе Комплексная система социальных показателей положения женщин (СИМУХЕРЕС) и Комплексная система социальных показателей положения детей (СИНИНЬЕС). СИМУХЕРЕС занимается выявлением критических областей, играющих важную роль в совершенствовании политики по улучшению положения женщин и сокращению гендерного неравенства, поскольку деятельность этой организации позволяет получить наглядное представление о тех проблемах женщин, решение которых требует коллективных усилий, а также проанализировать причины и проявления неравенства в трех основных областях: частная жизнь, государственная сфера и социальное благополучие и равноправие. </w:t>
      </w:r>
    </w:p>
    <w:p w:rsidR="000875B4" w:rsidRDefault="000875B4">
      <w:pPr>
        <w:pStyle w:val="SingleTxt"/>
        <w:rPr>
          <w:color w:val="000000"/>
          <w:lang w:val="ru-RU"/>
        </w:rPr>
      </w:pPr>
      <w:r>
        <w:rPr>
          <w:color w:val="000000"/>
          <w:lang w:val="ru-RU"/>
        </w:rPr>
        <w:t>153.</w:t>
      </w:r>
      <w:r>
        <w:rPr>
          <w:color w:val="000000"/>
          <w:lang w:val="ru-RU"/>
        </w:rPr>
        <w:tab/>
        <w:t xml:space="preserve">Плодом стратегического сотрудничества ИНЕК и КОНАМУ стала опубликованная в 2005 </w:t>
      </w:r>
      <w:r>
        <w:rPr>
          <w:bCs/>
          <w:lang w:val="ru-RU"/>
        </w:rPr>
        <w:t>году</w:t>
      </w:r>
      <w:r>
        <w:rPr>
          <w:color w:val="000000"/>
          <w:lang w:val="ru-RU"/>
        </w:rPr>
        <w:t xml:space="preserve"> книга "</w:t>
      </w:r>
      <w:r>
        <w:rPr>
          <w:color w:val="000000"/>
          <w:lang w:val="es-ES_tradnl"/>
        </w:rPr>
        <w:t>Mujeres</w:t>
      </w:r>
      <w:r>
        <w:rPr>
          <w:color w:val="000000"/>
          <w:lang w:val="ru-RU"/>
        </w:rPr>
        <w:t xml:space="preserve"> </w:t>
      </w:r>
      <w:r>
        <w:rPr>
          <w:color w:val="000000"/>
          <w:lang w:val="es-ES_tradnl"/>
        </w:rPr>
        <w:t>y</w:t>
      </w:r>
      <w:r>
        <w:rPr>
          <w:color w:val="000000"/>
          <w:lang w:val="ru-RU"/>
        </w:rPr>
        <w:t xml:space="preserve"> </w:t>
      </w:r>
      <w:r>
        <w:rPr>
          <w:color w:val="000000"/>
          <w:lang w:val="es-ES_tradnl"/>
        </w:rPr>
        <w:t>Hombres</w:t>
      </w:r>
      <w:r>
        <w:rPr>
          <w:color w:val="000000"/>
          <w:lang w:val="ru-RU"/>
        </w:rPr>
        <w:t xml:space="preserve"> </w:t>
      </w:r>
      <w:r>
        <w:rPr>
          <w:color w:val="000000"/>
          <w:lang w:val="es-ES_tradnl"/>
        </w:rPr>
        <w:t>del</w:t>
      </w:r>
      <w:r>
        <w:rPr>
          <w:color w:val="000000"/>
          <w:lang w:val="ru-RU"/>
        </w:rPr>
        <w:t xml:space="preserve"> </w:t>
      </w:r>
      <w:r>
        <w:rPr>
          <w:color w:val="000000"/>
          <w:lang w:val="es-ES_tradnl"/>
        </w:rPr>
        <w:t>Ecuador</w:t>
      </w:r>
      <w:r>
        <w:rPr>
          <w:color w:val="000000"/>
          <w:lang w:val="ru-RU"/>
        </w:rPr>
        <w:t xml:space="preserve"> </w:t>
      </w:r>
      <w:r>
        <w:rPr>
          <w:color w:val="000000"/>
          <w:lang w:val="es-ES_tradnl"/>
        </w:rPr>
        <w:t>en</w:t>
      </w:r>
      <w:r>
        <w:rPr>
          <w:color w:val="000000"/>
          <w:lang w:val="ru-RU"/>
        </w:rPr>
        <w:t xml:space="preserve"> </w:t>
      </w:r>
      <w:r>
        <w:rPr>
          <w:color w:val="000000"/>
          <w:lang w:val="es-ES_tradnl"/>
        </w:rPr>
        <w:t>Cifras</w:t>
      </w:r>
      <w:r>
        <w:rPr>
          <w:color w:val="000000"/>
          <w:lang w:val="ru-RU"/>
        </w:rPr>
        <w:t xml:space="preserve"> </w:t>
      </w:r>
      <w:r>
        <w:rPr>
          <w:color w:val="000000"/>
          <w:lang w:val="es-ES_tradnl"/>
        </w:rPr>
        <w:t>II</w:t>
      </w:r>
      <w:r>
        <w:rPr>
          <w:color w:val="000000"/>
          <w:lang w:val="ru-RU"/>
        </w:rPr>
        <w:t>" ("Женщины и мужчины Эквадора в цифрах-</w:t>
      </w:r>
      <w:r>
        <w:rPr>
          <w:color w:val="000000"/>
          <w:lang w:val="es-ES_tradnl"/>
        </w:rPr>
        <w:t>II</w:t>
      </w:r>
      <w:r>
        <w:rPr>
          <w:color w:val="000000"/>
          <w:lang w:val="ru-RU"/>
        </w:rPr>
        <w:t xml:space="preserve">"). В книге приведены все имеющиеся статистические данные о положении мужчин и женщин в Эквадоре и показатели </w:t>
      </w:r>
      <w:r>
        <w:rPr>
          <w:color w:val="000000"/>
          <w:lang w:val="ru-RU"/>
        </w:rPr>
        <w:br/>
        <w:t>в разбивке по кантонам, что позволяет выделить заслуживающие первоочередного внимания проблемы на уровне населенных пунктов и районов. Определенным недостатком данной публикации является то, что она основывается на данных переписи 2001 </w:t>
      </w:r>
      <w:r>
        <w:rPr>
          <w:bCs/>
          <w:lang w:val="ru-RU"/>
        </w:rPr>
        <w:t>года</w:t>
      </w:r>
      <w:r>
        <w:rPr>
          <w:color w:val="000000"/>
          <w:lang w:val="ru-RU"/>
        </w:rPr>
        <w:t>.</w:t>
      </w:r>
    </w:p>
    <w:p w:rsidR="000875B4" w:rsidRDefault="000875B4">
      <w:pPr>
        <w:pStyle w:val="SingleTxt"/>
      </w:pPr>
      <w:r>
        <w:t>154.</w:t>
      </w:r>
      <w:r>
        <w:tab/>
        <w:t>В декабре 2005 года в провинциях Эсмеральдас, Чимборасо и Пичинча был проведен первый в Эквадоре опрос об использовании времени. Этот опрос проводился в рамках опроса относительно занятости, неполной занятости и безработицы и преследовал цели сбора информации о различиях в использовании времени женщинами и мужчинами, о видах их деятельности в производственной и социальной сферах, а также получения наглядного представления о вкладе женщин в</w:t>
      </w:r>
      <w:r>
        <w:rPr>
          <w:lang w:val="ru-RU"/>
        </w:rPr>
        <w:t> </w:t>
      </w:r>
      <w:r>
        <w:t>экономику.</w:t>
      </w:r>
    </w:p>
    <w:p w:rsidR="000875B4" w:rsidRDefault="000875B4">
      <w:pPr>
        <w:pStyle w:val="SingleTxt"/>
        <w:spacing w:after="0" w:line="120" w:lineRule="exact"/>
        <w:rPr>
          <w:sz w:val="10"/>
        </w:rPr>
      </w:pPr>
    </w:p>
    <w:p w:rsidR="000875B4" w:rsidRDefault="000875B4">
      <w:pPr>
        <w:pStyle w:val="H23"/>
      </w:pPr>
      <w:r>
        <w:rPr>
          <w:lang w:val="ru-RU"/>
        </w:rPr>
        <w:t>Институциональные и правовые механизмы по искоренению и предупреждению гендерного насилия и наказанию за него</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155.</w:t>
      </w:r>
      <w:r>
        <w:rPr>
          <w:bCs/>
          <w:lang w:val="ru-RU"/>
        </w:rPr>
        <w:tab/>
        <w:t xml:space="preserve">После 1995 года, когда был принят </w:t>
      </w:r>
      <w:r>
        <w:rPr>
          <w:color w:val="000000"/>
          <w:lang w:val="ru-RU"/>
        </w:rPr>
        <w:t xml:space="preserve">Закон о борьбе с насилием в отношении женщин и семьи (Закон № 103), в стране было многое сделано для институционализации государственной политики в сфере предупреждения и искоренения насилия в семье и гендерного насилия и наказания за них. </w:t>
      </w:r>
    </w:p>
    <w:p w:rsidR="000875B4" w:rsidRDefault="000875B4">
      <w:pPr>
        <w:pStyle w:val="SingleTxt"/>
        <w:rPr>
          <w:color w:val="000000"/>
        </w:rPr>
      </w:pPr>
      <w:r>
        <w:rPr>
          <w:color w:val="000000"/>
        </w:rPr>
        <w:t>156.</w:t>
      </w:r>
      <w:r>
        <w:rPr>
          <w:color w:val="000000"/>
        </w:rPr>
        <w:tab/>
        <w:t xml:space="preserve">В марте 2000 </w:t>
      </w:r>
      <w:r>
        <w:rPr>
          <w:bCs/>
        </w:rPr>
        <w:t>года</w:t>
      </w:r>
      <w:r>
        <w:rPr>
          <w:color w:val="000000"/>
        </w:rPr>
        <w:t xml:space="preserve"> в рамках реструктуризации Министерства внутренних дел и полиции было создано Национальное управление комиссариатов по делам женщин и семьи</w:t>
      </w:r>
      <w:r>
        <w:rPr>
          <w:rStyle w:val="FootnoteReference"/>
          <w:color w:val="000000"/>
        </w:rPr>
        <w:footnoteReference w:id="24"/>
      </w:r>
      <w:r>
        <w:rPr>
          <w:color w:val="000000"/>
        </w:rPr>
        <w:t xml:space="preserve">. В августе 2002 </w:t>
      </w:r>
      <w:r>
        <w:rPr>
          <w:bCs/>
        </w:rPr>
        <w:t>года</w:t>
      </w:r>
      <w:r>
        <w:rPr>
          <w:color w:val="000000"/>
        </w:rPr>
        <w:t xml:space="preserve"> распоряжением Министерства оно было преобразовано в Национальное управление по гендерным вопросам</w:t>
      </w:r>
      <w:r>
        <w:rPr>
          <w:rStyle w:val="FootnoteReference"/>
          <w:color w:val="000000"/>
        </w:rPr>
        <w:footnoteReference w:id="25"/>
      </w:r>
      <w:r>
        <w:rPr>
          <w:color w:val="000000"/>
        </w:rPr>
        <w:t>.</w:t>
      </w:r>
    </w:p>
    <w:p w:rsidR="000875B4" w:rsidRDefault="000875B4">
      <w:pPr>
        <w:pStyle w:val="SingleTxt"/>
        <w:rPr>
          <w:color w:val="000000"/>
          <w:lang w:val="ru-RU"/>
        </w:rPr>
      </w:pPr>
      <w:r>
        <w:rPr>
          <w:color w:val="000000"/>
          <w:lang w:val="ru-RU"/>
        </w:rPr>
        <w:t>157.</w:t>
      </w:r>
      <w:r>
        <w:rPr>
          <w:color w:val="000000"/>
          <w:lang w:val="ru-RU"/>
        </w:rPr>
        <w:tab/>
        <w:t xml:space="preserve">Данное Управление совместно с КОНАМУ разрабатывает политику, направленную на снижение масштабов бытового насилия в стране и обеспечение гендерного равенства и осуществляемую центральными и местными подразделениями Министерства внутренних дел. Иными словами, Управление несет ответственность за координацию работы комиссариатов по делам женщин и семьи и занимающихся этими проблемами органов там, где таких комиссариатов нет, – главных полицейских управлений, полицейских управлений, комиссариатов полиции и </w:t>
      </w:r>
      <w:r>
        <w:rPr>
          <w:lang w:val="ru-RU"/>
        </w:rPr>
        <w:t>полицейских</w:t>
      </w:r>
      <w:r>
        <w:rPr>
          <w:color w:val="000000"/>
          <w:lang w:val="ru-RU"/>
        </w:rPr>
        <w:t xml:space="preserve"> участков, – а также за контроль над этими органами.</w:t>
      </w:r>
    </w:p>
    <w:p w:rsidR="000875B4" w:rsidRDefault="000875B4">
      <w:pPr>
        <w:pStyle w:val="SingleTxt"/>
        <w:rPr>
          <w:bCs/>
          <w:lang w:val="ru-RU"/>
        </w:rPr>
      </w:pPr>
      <w:r>
        <w:rPr>
          <w:bCs/>
          <w:lang w:val="ru-RU"/>
        </w:rPr>
        <w:t>158.</w:t>
      </w:r>
      <w:r>
        <w:rPr>
          <w:bCs/>
          <w:lang w:val="ru-RU"/>
        </w:rPr>
        <w:tab/>
        <w:t xml:space="preserve">Первый комиссариат </w:t>
      </w:r>
      <w:r>
        <w:rPr>
          <w:color w:val="000000"/>
          <w:lang w:val="ru-RU"/>
        </w:rPr>
        <w:t xml:space="preserve">по делам женщин и семьи был создан в 1994 </w:t>
      </w:r>
      <w:r>
        <w:rPr>
          <w:bCs/>
          <w:lang w:val="ru-RU"/>
        </w:rPr>
        <w:t>году</w:t>
      </w:r>
      <w:r>
        <w:rPr>
          <w:color w:val="000000"/>
          <w:lang w:val="ru-RU"/>
        </w:rPr>
        <w:t xml:space="preserve">. </w:t>
      </w:r>
      <w:r>
        <w:rPr>
          <w:color w:val="000000"/>
          <w:lang w:val="ru-RU"/>
        </w:rPr>
        <w:br/>
        <w:t>В настоящее время в Эквадоре действуют 32 к</w:t>
      </w:r>
      <w:r>
        <w:rPr>
          <w:bCs/>
          <w:lang w:val="ru-RU"/>
        </w:rPr>
        <w:t xml:space="preserve">омиссариата </w:t>
      </w:r>
      <w:r>
        <w:rPr>
          <w:color w:val="000000"/>
          <w:lang w:val="ru-RU"/>
        </w:rPr>
        <w:t xml:space="preserve">по делам женщин и семьи. Существует большая заинтересованность в создании новых комиссариатов и в других городах страны, особенно в кантонах с большой численностью населения, как, например, в Гуаякиле (главном порте страны) или в Сукумбиосе – северной приграничной провинции, где в последние годы обостряется насилие, связанное </w:t>
      </w:r>
      <w:r>
        <w:rPr>
          <w:color w:val="000000"/>
          <w:lang w:val="ru-RU"/>
        </w:rPr>
        <w:br/>
        <w:t>с тем, что этот район нефтедобычи расположен вблизи Колумбии, в которой массовые перемещения жителей вследствие вооруженных конфликтов стали обыденным явлением.</w:t>
      </w:r>
    </w:p>
    <w:p w:rsidR="000875B4" w:rsidRDefault="000875B4">
      <w:pPr>
        <w:pStyle w:val="SingleTxt"/>
        <w:rPr>
          <w:bCs/>
          <w:lang w:val="ru-RU"/>
        </w:rPr>
      </w:pPr>
      <w:r>
        <w:rPr>
          <w:bCs/>
          <w:lang w:val="ru-RU"/>
        </w:rPr>
        <w:t>159.</w:t>
      </w:r>
      <w:r>
        <w:rPr>
          <w:bCs/>
          <w:lang w:val="ru-RU"/>
        </w:rPr>
        <w:tab/>
        <w:t xml:space="preserve">Одна из стратегий борьбы с гендерным насилием в стране состоит </w:t>
      </w:r>
      <w:r>
        <w:rPr>
          <w:bCs/>
          <w:lang w:val="ru-RU"/>
        </w:rPr>
        <w:br/>
        <w:t xml:space="preserve">в налаживании сотрудничества, которое дает возможность на местах оказывать помощь жертвам насилия, а на национальном уровне – воздействовать на государственную политику, дополняя тем самым усилия комиссариатов по делам женщин. В этих целях были созданы Совет по мерам политического воздействия </w:t>
      </w:r>
      <w:r>
        <w:rPr>
          <w:bCs/>
          <w:lang w:val="ru-RU"/>
        </w:rPr>
        <w:br/>
        <w:t xml:space="preserve">по предотвращению и искоренению сексуального насилия и Национальный технический совет по предупреждению и искоренению сексуального насилия. </w:t>
      </w:r>
    </w:p>
    <w:p w:rsidR="000875B4" w:rsidRDefault="000875B4">
      <w:pPr>
        <w:pStyle w:val="SingleTxt"/>
        <w:rPr>
          <w:bCs/>
          <w:lang w:val="ru-RU"/>
        </w:rPr>
      </w:pPr>
      <w:r>
        <w:rPr>
          <w:bCs/>
          <w:lang w:val="ru-RU"/>
        </w:rPr>
        <w:t>160.</w:t>
      </w:r>
      <w:r>
        <w:rPr>
          <w:bCs/>
          <w:lang w:val="ru-RU"/>
        </w:rPr>
        <w:tab/>
        <w:t xml:space="preserve">Цель Совета по мерам политического воздействия состоит в том, чтобы различные государственные органы проблематику насилия воспринимали как политическую проблему. Он будет добиваться своевременного выделения необходимых средств, принятия новых законов и внесения изменений и дополнений в уже действующие законы по защите и обеспечению прав женщин, и прежде всего права на жизнь без насилия. </w:t>
      </w:r>
    </w:p>
    <w:p w:rsidR="000875B4" w:rsidRDefault="000875B4">
      <w:pPr>
        <w:pStyle w:val="SingleTxt"/>
        <w:rPr>
          <w:bCs/>
          <w:lang w:val="ru-RU"/>
        </w:rPr>
      </w:pPr>
      <w:r>
        <w:rPr>
          <w:bCs/>
          <w:lang w:val="ru-RU"/>
        </w:rPr>
        <w:t>161.</w:t>
      </w:r>
      <w:r>
        <w:rPr>
          <w:bCs/>
          <w:lang w:val="ru-RU"/>
        </w:rPr>
        <w:tab/>
        <w:t xml:space="preserve">В деятельности этого Совета принимают участие такие государственные учреждения, как КОНАМУ, Отдел по делам женщин Национальной полиции, Управление по делам женщин при Управлении уполномоченного по правам человека, Прокуратура и Управление по гендерным вопросам Министерства внутренних дел. Кроме того, в его работе участвуют НПО, занимающиеся проблемами насилия, такие как </w:t>
      </w:r>
      <w:r>
        <w:rPr>
          <w:color w:val="000000"/>
          <w:lang w:val="ru-RU"/>
        </w:rPr>
        <w:t>Народный центр помощи женщинам, и международные организации, такие как Фонд Организации Объединенных Наций для развития в интересах женщин, Фонд Организации Объединенных Наций в области народонаселения и Детский фонд Организации Объединенных Наций.</w:t>
      </w:r>
    </w:p>
    <w:p w:rsidR="000875B4" w:rsidRDefault="000875B4">
      <w:pPr>
        <w:pStyle w:val="SingleTxt"/>
        <w:rPr>
          <w:bCs/>
          <w:lang w:val="ru-RU"/>
        </w:rPr>
      </w:pPr>
      <w:r>
        <w:rPr>
          <w:bCs/>
          <w:lang w:val="ru-RU"/>
        </w:rPr>
        <w:t>162.</w:t>
      </w:r>
      <w:r>
        <w:rPr>
          <w:bCs/>
          <w:lang w:val="ru-RU"/>
        </w:rPr>
        <w:tab/>
        <w:t>Технический совет является важным форумом обсуждения и формулирования предложений в отношении мер государственной политики, направленных на предотвращение и искоренение насилия</w:t>
      </w:r>
      <w:r>
        <w:rPr>
          <w:rStyle w:val="FootnoteReference"/>
          <w:bCs/>
        </w:rPr>
        <w:footnoteReference w:id="26"/>
      </w:r>
      <w:r>
        <w:rPr>
          <w:bCs/>
          <w:lang w:val="ru-RU"/>
        </w:rPr>
        <w:t>. В рамках Совета ставится задача разработки в среднесрочной перспективе Национального плана по искоренению гендерного насилия.</w:t>
      </w:r>
    </w:p>
    <w:p w:rsidR="000875B4" w:rsidRDefault="000875B4">
      <w:pPr>
        <w:pStyle w:val="SingleTxt"/>
        <w:rPr>
          <w:bCs/>
          <w:color w:val="000000"/>
          <w:lang w:val="ru-RU"/>
        </w:rPr>
      </w:pPr>
      <w:r>
        <w:rPr>
          <w:bCs/>
          <w:color w:val="000000"/>
          <w:lang w:val="ru-RU"/>
        </w:rPr>
        <w:t>163.</w:t>
      </w:r>
      <w:r>
        <w:rPr>
          <w:bCs/>
          <w:color w:val="000000"/>
          <w:lang w:val="ru-RU"/>
        </w:rPr>
        <w:tab/>
        <w:t>Как отмечалось выше, в ходе реформирования Уголовного кодекса в июне 2005 </w:t>
      </w:r>
      <w:r>
        <w:rPr>
          <w:bCs/>
          <w:lang w:val="ru-RU"/>
        </w:rPr>
        <w:t xml:space="preserve">года </w:t>
      </w:r>
      <w:r>
        <w:rPr>
          <w:bCs/>
          <w:color w:val="000000"/>
          <w:lang w:val="ru-RU"/>
        </w:rPr>
        <w:t>в него была включена квалификация таких новых видов преступлений, как сексуальная эксплуатация, детская порнография, торговля людьми и похищение людей. Однако для женщин Эквадора в сфере уголовного законодательства сделано еще далеко не все: насилие в отношении женщин продолжает рассматриваться как правонарушение, а не как преступление</w:t>
      </w:r>
      <w:r>
        <w:rPr>
          <w:rStyle w:val="FootnoteReference"/>
          <w:bCs/>
          <w:color w:val="000000"/>
        </w:rPr>
        <w:footnoteReference w:id="27"/>
      </w:r>
      <w:r>
        <w:rPr>
          <w:bCs/>
          <w:color w:val="000000"/>
          <w:lang w:val="ru-RU"/>
        </w:rPr>
        <w:t>.</w:t>
      </w:r>
    </w:p>
    <w:p w:rsidR="000875B4" w:rsidRDefault="000875B4">
      <w:pPr>
        <w:pStyle w:val="SingleTxt"/>
        <w:rPr>
          <w:bCs/>
          <w:color w:val="000000"/>
          <w:lang w:val="ru-RU"/>
        </w:rPr>
      </w:pPr>
      <w:r>
        <w:rPr>
          <w:bCs/>
          <w:color w:val="000000"/>
          <w:lang w:val="ru-RU"/>
        </w:rPr>
        <w:t>164.</w:t>
      </w:r>
      <w:r>
        <w:rPr>
          <w:bCs/>
          <w:color w:val="000000"/>
          <w:lang w:val="ru-RU"/>
        </w:rPr>
        <w:tab/>
        <w:t xml:space="preserve">С учетом замечаний, содержащихся в пунктах 22 и 23 Заключительных замечаний Комитета, и в рамках стратегии, направленной на обеспечение надлежащего соблюдения Закона </w:t>
      </w:r>
      <w:r>
        <w:rPr>
          <w:color w:val="000000"/>
          <w:lang w:val="ru-RU"/>
        </w:rPr>
        <w:t xml:space="preserve">о борьбе с насилием в отношении женщин и семьи, особый упор был сделан на разработку норм, которые способствовали бы эффективному применению Закона № 103. С этой целью были опубликованы Положение о порядке применения Закона о борьбе с насилием в отношении женщин и семьи, а также предназначенное для работников правоохранительных органов Руководство по применению данного Закона. </w:t>
      </w:r>
    </w:p>
    <w:p w:rsidR="000875B4" w:rsidRDefault="000875B4">
      <w:pPr>
        <w:pStyle w:val="SingleTxt"/>
        <w:rPr>
          <w:color w:val="000000"/>
          <w:lang w:val="ru-RU"/>
        </w:rPr>
      </w:pPr>
      <w:r>
        <w:rPr>
          <w:bCs/>
          <w:color w:val="000000"/>
          <w:lang w:val="ru-RU"/>
        </w:rPr>
        <w:t>165.</w:t>
      </w:r>
      <w:r>
        <w:rPr>
          <w:bCs/>
          <w:color w:val="000000"/>
          <w:lang w:val="ru-RU"/>
        </w:rPr>
        <w:tab/>
      </w:r>
      <w:r>
        <w:rPr>
          <w:color w:val="000000"/>
          <w:lang w:val="ru-RU"/>
        </w:rPr>
        <w:t xml:space="preserve">Положение о порядке применения Закона предназначено для различных органов, ведающих этими вопросами, в том числе для Комиссии по делам женщин и семьи Национального конгресса, Государственного министерства, Управления уполномоченного по правам человека, Управления по гендерным вопросам Министерства внутренних дел, комиссариатов по делам женщин и семьи, Управления Национальной полиции по защите прав женщин, а также для различных НПО и консультативных органов при комиссариатах. </w:t>
      </w:r>
    </w:p>
    <w:p w:rsidR="000875B4" w:rsidRDefault="000875B4">
      <w:pPr>
        <w:pStyle w:val="SingleTxt"/>
        <w:rPr>
          <w:bCs/>
          <w:color w:val="000000"/>
          <w:lang w:val="ru-RU"/>
        </w:rPr>
      </w:pPr>
      <w:r>
        <w:rPr>
          <w:bCs/>
          <w:color w:val="000000"/>
          <w:lang w:val="ru-RU"/>
        </w:rPr>
        <w:t>166.</w:t>
      </w:r>
      <w:r>
        <w:rPr>
          <w:bCs/>
          <w:color w:val="000000"/>
          <w:lang w:val="ru-RU"/>
        </w:rPr>
        <w:tab/>
        <w:t xml:space="preserve">Процесс подготовки Положения имел большое значение, потому что при этом использовался опыт, накопленный самими комиссариатами при осуществлении данного Закона. Общее регламентирующее </w:t>
      </w:r>
      <w:r>
        <w:rPr>
          <w:color w:val="000000"/>
          <w:lang w:val="ru-RU"/>
        </w:rPr>
        <w:t>положение о порядке применения Закона о борьбе с насилием в отношении женщин и семьи было принято 18 августа 2004 </w:t>
      </w:r>
      <w:r>
        <w:rPr>
          <w:bCs/>
          <w:lang w:val="ru-RU"/>
        </w:rPr>
        <w:t>года</w:t>
      </w:r>
      <w:r>
        <w:rPr>
          <w:color w:val="000000"/>
          <w:lang w:val="ru-RU"/>
        </w:rPr>
        <w:t xml:space="preserve"> и опубликовано в "Рехистро офисиаль", № 411, 1 сентября того же года</w:t>
      </w:r>
      <w:r>
        <w:rPr>
          <w:rStyle w:val="FootnoteReference"/>
          <w:bCs/>
          <w:color w:val="000000"/>
        </w:rPr>
        <w:footnoteReference w:id="28"/>
      </w:r>
      <w:r>
        <w:rPr>
          <w:color w:val="000000"/>
          <w:lang w:val="ru-RU"/>
        </w:rPr>
        <w:t>.</w:t>
      </w:r>
    </w:p>
    <w:p w:rsidR="000875B4" w:rsidRDefault="000875B4">
      <w:pPr>
        <w:pStyle w:val="SingleTxt"/>
        <w:rPr>
          <w:bCs/>
          <w:color w:val="000000"/>
          <w:lang w:val="ru-RU"/>
        </w:rPr>
      </w:pPr>
      <w:r>
        <w:rPr>
          <w:bCs/>
          <w:color w:val="000000"/>
          <w:lang w:val="ru-RU"/>
        </w:rPr>
        <w:t>167.</w:t>
      </w:r>
      <w:r>
        <w:rPr>
          <w:bCs/>
          <w:color w:val="000000"/>
          <w:lang w:val="ru-RU"/>
        </w:rPr>
        <w:tab/>
        <w:t xml:space="preserve">Кроме того, в 2005 </w:t>
      </w:r>
      <w:r>
        <w:rPr>
          <w:bCs/>
          <w:lang w:val="ru-RU"/>
        </w:rPr>
        <w:t>году</w:t>
      </w:r>
      <w:r>
        <w:rPr>
          <w:bCs/>
          <w:color w:val="000000"/>
          <w:lang w:val="ru-RU"/>
        </w:rPr>
        <w:t xml:space="preserve"> Постановлением Министерства внутренних дел и полиции № 298 было утверждено Руководство по применению Закона и Общего регламентирующего положения. В подготовке Руководства участвовали Управление по гендерным вопросам Министерства и ряд организаций гражданского общества. </w:t>
      </w:r>
    </w:p>
    <w:p w:rsidR="000875B4" w:rsidRDefault="000875B4">
      <w:pPr>
        <w:pStyle w:val="SingleTxt"/>
        <w:rPr>
          <w:bCs/>
          <w:color w:val="000000"/>
          <w:lang w:val="ru-RU"/>
        </w:rPr>
      </w:pPr>
      <w:r>
        <w:rPr>
          <w:bCs/>
          <w:color w:val="000000"/>
          <w:lang w:val="ru-RU"/>
        </w:rPr>
        <w:t>168.</w:t>
      </w:r>
      <w:r>
        <w:rPr>
          <w:bCs/>
          <w:color w:val="000000"/>
          <w:lang w:val="ru-RU"/>
        </w:rPr>
        <w:tab/>
        <w:t xml:space="preserve">Управление Министерства внутренних дел по гендерным вопросам и КОНАМУ организовали активную кампанию по распространению Руководства. Кроме того, проводятся учебные занятия для судей и сотрудников комиссариатов </w:t>
      </w:r>
      <w:r>
        <w:rPr>
          <w:bCs/>
          <w:color w:val="000000"/>
          <w:lang w:val="ru-RU"/>
        </w:rPr>
        <w:br/>
        <w:t xml:space="preserve">по делам женщин и семьи, которые в силу своих полномочий занимаются делами </w:t>
      </w:r>
      <w:r>
        <w:rPr>
          <w:bCs/>
          <w:color w:val="000000"/>
          <w:lang w:val="ru-RU"/>
        </w:rPr>
        <w:br/>
        <w:t>о физическом, психологическом или сексуальном насилии, а также для сотрудников Национальной полиции.</w:t>
      </w:r>
    </w:p>
    <w:p w:rsidR="000875B4" w:rsidRDefault="000875B4">
      <w:pPr>
        <w:pStyle w:val="SingleTxt"/>
      </w:pPr>
      <w:r>
        <w:t>169.</w:t>
      </w:r>
      <w:r>
        <w:tab/>
        <w:t>В 2002 году Государственное министерство (следственный орган) утвердило форму судебно-медицинского протокола для проведения экспертизы по случаям физического и сексуального насилия. В 2003 году в качестве части процесса институционализации гендерного подхода в судебной системе страны при Государственном министерстве был образован Комитет по гендерным вопросам. В</w:t>
      </w:r>
      <w:r>
        <w:rPr>
          <w:lang w:val="ru-RU"/>
        </w:rPr>
        <w:t> </w:t>
      </w:r>
      <w:r>
        <w:t>2006 году была создана Национальная сеть женщин-прокуроров.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color w:val="000000"/>
          <w:lang w:val="ru-RU"/>
        </w:rPr>
        <w:t>Искоренение преступлений на сексуальной почве в учебных заведениях</w:t>
      </w:r>
    </w:p>
    <w:p w:rsidR="000875B4" w:rsidRDefault="000875B4">
      <w:pPr>
        <w:pStyle w:val="SingleTxt"/>
        <w:spacing w:after="0" w:line="120" w:lineRule="exact"/>
        <w:rPr>
          <w:sz w:val="10"/>
        </w:rPr>
      </w:pPr>
    </w:p>
    <w:p w:rsidR="000875B4" w:rsidRDefault="000875B4">
      <w:pPr>
        <w:pStyle w:val="SingleTxt"/>
        <w:rPr>
          <w:lang w:val="ru-RU"/>
        </w:rPr>
      </w:pPr>
      <w:r>
        <w:rPr>
          <w:lang w:val="ru-RU"/>
        </w:rPr>
        <w:t>170.</w:t>
      </w:r>
      <w:r>
        <w:rPr>
          <w:lang w:val="ru-RU"/>
        </w:rPr>
        <w:tab/>
        <w:t xml:space="preserve">В конце 2005 и первой половине 2006 </w:t>
      </w:r>
      <w:r>
        <w:rPr>
          <w:bCs/>
          <w:lang w:val="ru-RU"/>
        </w:rPr>
        <w:t>года</w:t>
      </w:r>
      <w:r>
        <w:rPr>
          <w:lang w:val="ru-RU"/>
        </w:rPr>
        <w:t xml:space="preserve"> для руководителей провинциальных управлений Министерства образования было организовано интенсивное изучение Распоряжения № 3393 Министерства, в котором предусматривается принятие комплекса мер для </w:t>
      </w:r>
      <w:r>
        <w:rPr>
          <w:bCs/>
          <w:color w:val="000000"/>
          <w:lang w:val="ru-RU"/>
        </w:rPr>
        <w:t>искоренения преступлений на сексуальной почве в учебных заведениях</w:t>
      </w:r>
      <w:r>
        <w:rPr>
          <w:lang w:val="ru-RU"/>
        </w:rPr>
        <w:t>.</w:t>
      </w:r>
    </w:p>
    <w:p w:rsidR="000875B4" w:rsidRDefault="000875B4">
      <w:pPr>
        <w:pStyle w:val="SingleTxt"/>
        <w:spacing w:after="60"/>
        <w:ind w:left="1264" w:right="1264"/>
      </w:pPr>
      <w:r>
        <w:t>171.</w:t>
      </w:r>
      <w:r>
        <w:tab/>
        <w:t xml:space="preserve">Государство приняло энергичные меры для разработки Национального плана предупреждения и искоренения преступлений на сексуальной почве в учебных заведениях. В этой работе, центральную роль в которой играло Министерство образования, активно участвовали также Национальный совет по делам детей и подростков, Министерство здравоохранения, Комиссия по делам женщин, детей </w:t>
      </w:r>
      <w:r>
        <w:rPr>
          <w:lang w:val="ru-RU"/>
        </w:rPr>
        <w:br/>
      </w:r>
      <w:r>
        <w:t xml:space="preserve">и семьи Национального конгресса, Национальный институт по проблемам детства и семьи, Государственное министерство, Специализированная полиция для детей </w:t>
      </w:r>
      <w:r>
        <w:rPr>
          <w:lang w:val="ru-RU"/>
        </w:rPr>
        <w:br/>
      </w:r>
      <w:r>
        <w:t>и подростков, Детский форум и Национальный союз эквадорцев. Целью этой работы является осуществление программ и проектов, необходимых для искоренения преступлений на сексуальной почве.</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rPr>
      </w:pPr>
      <w:r>
        <w:rPr>
          <w:bCs/>
        </w:rPr>
        <w:tab/>
      </w:r>
      <w:r>
        <w:rPr>
          <w:bCs/>
        </w:rPr>
        <w:tab/>
      </w:r>
      <w:r>
        <w:rPr>
          <w:bCs/>
          <w:lang w:val="ru-RU"/>
        </w:rPr>
        <w:t>Борьба с торговлей женщинами и девочками и их сексуальной эксплуатацией</w:t>
      </w:r>
    </w:p>
    <w:p w:rsidR="000875B4" w:rsidRDefault="000875B4">
      <w:pPr>
        <w:pStyle w:val="SingleTxt"/>
        <w:spacing w:after="0" w:line="120" w:lineRule="exact"/>
        <w:rPr>
          <w:sz w:val="10"/>
        </w:rPr>
      </w:pPr>
    </w:p>
    <w:p w:rsidR="000875B4" w:rsidRDefault="000875B4">
      <w:pPr>
        <w:pStyle w:val="SingleTxt"/>
        <w:spacing w:after="100"/>
        <w:ind w:left="1264" w:right="1264"/>
        <w:rPr>
          <w:lang w:val="ru-RU"/>
        </w:rPr>
      </w:pPr>
      <w:r>
        <w:rPr>
          <w:lang w:val="ru-RU"/>
        </w:rPr>
        <w:t>172.</w:t>
      </w:r>
      <w:r>
        <w:rPr>
          <w:lang w:val="ru-RU"/>
        </w:rPr>
        <w:tab/>
        <w:t xml:space="preserve">В 2004 </w:t>
      </w:r>
      <w:r>
        <w:rPr>
          <w:bCs/>
          <w:lang w:val="ru-RU"/>
        </w:rPr>
        <w:t>году</w:t>
      </w:r>
      <w:r>
        <w:rPr>
          <w:lang w:val="ru-RU"/>
        </w:rPr>
        <w:t xml:space="preserve"> в соответствии с Декретом президента была образована комиссия для разработки Национального плана борьбы с похищениями людей, незаконным провозом мигрантов, сексуальной и трудовой эксплуатацией и с другими формами эксплуатации, а также с проституцией женщин, детей и подростков, с детской порнографией и растлением малолетних.</w:t>
      </w:r>
    </w:p>
    <w:p w:rsidR="000875B4" w:rsidRDefault="000875B4">
      <w:pPr>
        <w:pStyle w:val="SingleTxt"/>
        <w:spacing w:after="100"/>
        <w:ind w:left="1264" w:right="1264"/>
        <w:rPr>
          <w:lang w:val="ru-RU"/>
        </w:rPr>
      </w:pPr>
      <w:r>
        <w:rPr>
          <w:lang w:val="ru-RU"/>
        </w:rPr>
        <w:t>173.</w:t>
      </w:r>
      <w:r>
        <w:rPr>
          <w:lang w:val="ru-RU"/>
        </w:rPr>
        <w:tab/>
        <w:t xml:space="preserve">В апреле 2006 </w:t>
      </w:r>
      <w:r>
        <w:rPr>
          <w:bCs/>
          <w:lang w:val="ru-RU"/>
        </w:rPr>
        <w:t>года</w:t>
      </w:r>
      <w:r>
        <w:rPr>
          <w:lang w:val="ru-RU"/>
        </w:rPr>
        <w:t xml:space="preserve"> подготовка этого Плана была завершена. Цель Плана – содействовать комплексному и скоординированному осуществлению различными государственными учреждениями, организациями гражданского общества и международными организациями мер по выявлению случаев коммерческой сексуальной эксплуатации детей, принуждения женщин к занятию проституцией, похищения людей и торговли людьми, а также последствий этих явлений; по созданию и приведению в действие специальных механизмов по борьбе с этими негативными явлениями и по учету в национальном законодательстве положений международного права, с тем чтобы обеспечить пострадавшим или находящимся </w:t>
      </w:r>
      <w:r>
        <w:rPr>
          <w:lang w:val="ru-RU"/>
        </w:rPr>
        <w:br/>
        <w:t>в опасном положении женщинам, детям и подросткам помощь, защиту и восстановление их прав.</w:t>
      </w:r>
    </w:p>
    <w:p w:rsidR="000875B4" w:rsidRDefault="000875B4">
      <w:pPr>
        <w:pStyle w:val="SingleTxt"/>
        <w:spacing w:after="100"/>
        <w:ind w:left="1264" w:right="1264"/>
        <w:rPr>
          <w:lang w:val="ru-RU"/>
        </w:rPr>
      </w:pPr>
      <w:r>
        <w:rPr>
          <w:lang w:val="ru-RU"/>
        </w:rPr>
        <w:t>174.</w:t>
      </w:r>
      <w:r>
        <w:rPr>
          <w:lang w:val="ru-RU"/>
        </w:rPr>
        <w:tab/>
        <w:t>В настоящее время Комиссия создает адекватные механизмы по реализации данного Плана. Для этого необходимо принять новое постановление правительства, которое оформило бы создание Межведомственной комиссии и технического секретариата и определило бы роль каждого из учреждений, представленных в этих органах, которые функционируют уже с 2004 </w:t>
      </w:r>
      <w:r>
        <w:rPr>
          <w:bCs/>
          <w:lang w:val="ru-RU"/>
        </w:rPr>
        <w:t>года</w:t>
      </w:r>
      <w:r>
        <w:rPr>
          <w:lang w:val="ru-RU"/>
        </w:rPr>
        <w:t>.</w:t>
      </w:r>
    </w:p>
    <w:p w:rsidR="000875B4" w:rsidRDefault="000875B4">
      <w:pPr>
        <w:pStyle w:val="SingleTxt"/>
        <w:spacing w:after="60"/>
        <w:ind w:left="1264" w:right="1264"/>
      </w:pPr>
      <w:r>
        <w:t>175.</w:t>
      </w:r>
      <w:r>
        <w:tab/>
        <w:t>Равным образом, учреждения, входящие в Межведомственную комиссию, взяли на себя обязательство включить предусмотренные Национальным планом мероприятия в свои ежегодные оперативные планы, с тем чтобы Министерство экономики и финансов предусмотрело выделение средств на реализацию этой приоритетной программы и можно было бы гарантировать ее полное осуществление в 2007 году.</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lang w:val="ru-RU"/>
        </w:rPr>
        <w:t>Защита жертв сексуального насилия</w:t>
      </w:r>
    </w:p>
    <w:p w:rsidR="000875B4" w:rsidRDefault="000875B4">
      <w:pPr>
        <w:pStyle w:val="SingleTxt"/>
        <w:spacing w:after="0" w:line="120" w:lineRule="exact"/>
        <w:rPr>
          <w:sz w:val="10"/>
        </w:rPr>
      </w:pPr>
    </w:p>
    <w:p w:rsidR="000875B4" w:rsidRDefault="000875B4">
      <w:pPr>
        <w:pStyle w:val="SingleTxt"/>
      </w:pPr>
      <w:r>
        <w:t>176.</w:t>
      </w:r>
      <w:r>
        <w:tab/>
        <w:t xml:space="preserve">В апреле 2006 года в фонде "Промухерес" была </w:t>
      </w:r>
      <w:r>
        <w:rPr>
          <w:lang w:val="ru-RU"/>
        </w:rPr>
        <w:t xml:space="preserve">создана </w:t>
      </w:r>
      <w:r>
        <w:t xml:space="preserve">официальная Программа защиты жертв сексуального насилия, которая позволяет финансировать разного рода программы и проекты, такие как создание приютов, проведение исследований, организация информационно-просветительских кампаний и обучения, разработка новых законов и проектов по внесению изменений и дополнений </w:t>
      </w:r>
      <w:r>
        <w:rPr>
          <w:lang w:val="ru-RU"/>
        </w:rPr>
        <w:br/>
      </w:r>
      <w:r>
        <w:t>в действующие законы, осуществление программ по защите потерпевших и свидетелей. В мае того же года началась кампания по сбору средств в фонд "Взросление без гендерного насилия".</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lang w:val="ru-RU"/>
        </w:rPr>
        <w:t>Искоренение насилия на местном уровне</w:t>
      </w:r>
    </w:p>
    <w:p w:rsidR="000875B4" w:rsidRDefault="000875B4">
      <w:pPr>
        <w:pStyle w:val="SingleTxt"/>
        <w:spacing w:after="0" w:line="120" w:lineRule="exact"/>
        <w:rPr>
          <w:sz w:val="10"/>
        </w:rPr>
      </w:pPr>
    </w:p>
    <w:p w:rsidR="000875B4" w:rsidRDefault="000875B4">
      <w:pPr>
        <w:pStyle w:val="SingleTxt"/>
        <w:rPr>
          <w:lang w:val="ru-RU"/>
        </w:rPr>
      </w:pPr>
      <w:r>
        <w:rPr>
          <w:lang w:val="ru-RU"/>
        </w:rPr>
        <w:t>177.</w:t>
      </w:r>
      <w:r>
        <w:rPr>
          <w:lang w:val="ru-RU"/>
        </w:rPr>
        <w:tab/>
        <w:t xml:space="preserve">Искоренение гендерного насилия стало одним из основных направлений деятельности местных органов власти. Удалось укрепить потенциал межведомственных сетей по оказанию помощи жертвам сексуального насилия, а в Лаго-Агрио и Манте были разработаны кантональные планы по искоренению сексуальной эксплуатации. </w:t>
      </w:r>
    </w:p>
    <w:p w:rsidR="000875B4" w:rsidRDefault="000875B4">
      <w:pPr>
        <w:pStyle w:val="SingleTxt"/>
        <w:rPr>
          <w:lang w:val="ru-RU"/>
        </w:rPr>
      </w:pPr>
      <w:r>
        <w:rPr>
          <w:lang w:val="ru-RU"/>
        </w:rPr>
        <w:t>178.</w:t>
      </w:r>
      <w:r>
        <w:rPr>
          <w:lang w:val="ru-RU"/>
        </w:rPr>
        <w:tab/>
        <w:t xml:space="preserve">В рамках кантонального плана по искоренению насилия в Гуаякиле при технической помощи со стороны НПО "Народный центр помощи женщинам" была открыта "горячая линия" для подачи заявлений о случаях сексуального насилия в отношении детей и подростков, собрана информация о наиболее типичных случаях и систематизирован опыт сетей по оказанию помощи. </w:t>
      </w:r>
    </w:p>
    <w:p w:rsidR="000875B4" w:rsidRDefault="000875B4">
      <w:pPr>
        <w:pStyle w:val="SingleTxt"/>
      </w:pPr>
      <w:r>
        <w:t>179.</w:t>
      </w:r>
      <w:r>
        <w:tab/>
        <w:t>В муниципалитете Кито с 2000 года успешно проходит работа по оказанию помощи жертвам насилия. Начало этой работе положило принятие Ассамблеей женщин кантона оперативного плана, ставшего составной частью Плана развития Кито на XXI век. Позднее было принято постановление муниципалитета № 042, в котором насилие признавалось социальной проблемой и проблемой здравоохранения. На основании этого документа были созданы группы по предупреждению насилия в семье во всех восьми административных районах муниципалитета Кито. Эти группы в совокупности образуют Отдел по предупреждению гендерного насилия и жестокого обращения с детьми и помощи пострадавшим при Управлении гражданской безопасности. То, что данный Отдел работает в рамках Управления гражданской безопасности, обеспечивает экономическую устойчивость системы оказания соответствующих услуг, поскольку за счет налога на безопасность, который граждане платят муниципалитету, появляется возможность финансировать эти услуги и предоставлять их бесплатно.</w:t>
      </w:r>
    </w:p>
    <w:p w:rsidR="000875B4" w:rsidRDefault="000875B4">
      <w:pPr>
        <w:pStyle w:val="SingleTxt"/>
      </w:pPr>
      <w:r>
        <w:t>180.</w:t>
      </w:r>
      <w:r>
        <w:tab/>
        <w:t xml:space="preserve">В дополнение к системе помощи жертвам и чтобы не допустить повторной виктимизации женщин, подавших жалобы, были созданы центры равноправия и правосудия, которые оказывают услуги различным учреждениям, занимающимся данной проблематикой, – Прокуратуре, Судебной полиции, Комиссариату по делам женщин, Управлению Национальной полиции по защите прав женщин и Национальному управлению специализированной полиции для детей и подростков. Эти центры предоставляют услуги по урегулированию конфликтов (кроме дел </w:t>
      </w:r>
      <w:r>
        <w:rPr>
          <w:lang w:val="ru-RU"/>
        </w:rPr>
        <w:br/>
      </w:r>
      <w:r>
        <w:t xml:space="preserve">о гендерном насилии и сексуальных надругательствах), а также помощь другого рода. Сотрудники центров являются специалистами в разных областях. Ассоциация женщин муниципалитетов Эквадора многое делает для пропаганды этого опыта </w:t>
      </w:r>
      <w:r>
        <w:rPr>
          <w:lang w:val="ru-RU"/>
        </w:rPr>
        <w:br/>
      </w:r>
      <w:r>
        <w:t>в других муниципалитетах, с тем чтобы они могли внедрить его у себя.</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rPr>
        <w:t>Информация о гендерном насилии</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181.</w:t>
      </w:r>
      <w:r>
        <w:rPr>
          <w:color w:val="000000"/>
          <w:lang w:val="ru-RU"/>
        </w:rPr>
        <w:tab/>
        <w:t xml:space="preserve">Необходимо отметить, что Эквадор затрачивает много усилий и средств на обработку и распространение статистической информации по проблемам гендерного насилия. </w:t>
      </w:r>
    </w:p>
    <w:p w:rsidR="000875B4" w:rsidRDefault="000875B4">
      <w:pPr>
        <w:pStyle w:val="SingleTxt"/>
        <w:rPr>
          <w:color w:val="000000"/>
          <w:lang w:val="ru-RU"/>
        </w:rPr>
      </w:pPr>
      <w:r>
        <w:rPr>
          <w:color w:val="000000"/>
          <w:lang w:val="ru-RU"/>
        </w:rPr>
        <w:t>182.</w:t>
      </w:r>
      <w:r>
        <w:rPr>
          <w:color w:val="000000"/>
          <w:lang w:val="ru-RU"/>
        </w:rPr>
        <w:tab/>
        <w:t>По просьбе КОНАМУ Исследовательский центр по вопросам народонаселения и социального развития (СЕПАР) включил в проводившийся в 2004 </w:t>
      </w:r>
      <w:r>
        <w:rPr>
          <w:bCs/>
          <w:lang w:val="ru-RU"/>
        </w:rPr>
        <w:t>году</w:t>
      </w:r>
      <w:r>
        <w:rPr>
          <w:color w:val="000000"/>
          <w:lang w:val="ru-RU"/>
        </w:rPr>
        <w:t xml:space="preserve"> пятый демографический опрос по вопросу охраны здоровья матери и ребенка (ЭНДЕМАИН) пункт о насилии в отношении женщин с учетом предоставленных специализированными НПО данных и рекомендаций.</w:t>
      </w:r>
    </w:p>
    <w:p w:rsidR="000875B4" w:rsidRDefault="000875B4">
      <w:pPr>
        <w:pStyle w:val="SingleTxt"/>
        <w:rPr>
          <w:color w:val="000000"/>
          <w:lang w:val="ru-RU"/>
        </w:rPr>
      </w:pPr>
      <w:r>
        <w:rPr>
          <w:color w:val="000000"/>
          <w:lang w:val="ru-RU"/>
        </w:rPr>
        <w:t>183.</w:t>
      </w:r>
      <w:r>
        <w:rPr>
          <w:color w:val="000000"/>
          <w:lang w:val="ru-RU"/>
        </w:rPr>
        <w:tab/>
        <w:t>СЕПАР совместно с ЮНФПА, ЮНИФЕМ и КОНАМУ опубликовал в мае 2006 </w:t>
      </w:r>
      <w:r>
        <w:rPr>
          <w:bCs/>
          <w:lang w:val="ru-RU"/>
        </w:rPr>
        <w:t>года</w:t>
      </w:r>
      <w:r>
        <w:rPr>
          <w:color w:val="000000"/>
          <w:lang w:val="ru-RU"/>
        </w:rPr>
        <w:t xml:space="preserve"> документ под названием "Насилие в отношении женщин", в котором обобщены данные о насилии на основе ответов на соответствующий пункт опроса ЭНДЕМАИН-2004, а также о действующих в стране законах, защищающих права женщин.</w:t>
      </w:r>
    </w:p>
    <w:p w:rsidR="000875B4" w:rsidRDefault="000875B4">
      <w:pPr>
        <w:pStyle w:val="SingleTxt"/>
        <w:rPr>
          <w:color w:val="000000"/>
          <w:lang w:val="ru-RU"/>
        </w:rPr>
      </w:pPr>
      <w:r>
        <w:rPr>
          <w:color w:val="000000"/>
          <w:lang w:val="ru-RU"/>
        </w:rPr>
        <w:t>184.</w:t>
      </w:r>
      <w:r>
        <w:rPr>
          <w:color w:val="000000"/>
          <w:lang w:val="ru-RU"/>
        </w:rPr>
        <w:tab/>
        <w:t xml:space="preserve">В рамках этого сотрудничества в трех крупнейших городах страны – Кито, Гуаякиле и Куэнке – были проведены семинары, участников которых знакомили </w:t>
      </w:r>
      <w:r>
        <w:rPr>
          <w:color w:val="000000"/>
          <w:lang w:val="ru-RU"/>
        </w:rPr>
        <w:br/>
        <w:t>с результатами вышеупомянутого опроса.</w:t>
      </w:r>
    </w:p>
    <w:p w:rsidR="000875B4" w:rsidRDefault="000875B4">
      <w:pPr>
        <w:pStyle w:val="SingleTxt"/>
      </w:pPr>
      <w:r>
        <w:t>185.</w:t>
      </w:r>
      <w:r>
        <w:tab/>
        <w:t>В городе Кито муниципальный наблюдательный совет гражданской безопасности собирает информацию о насилии в семье и гендерном насилии. После определения проблем в сфере сбора информации о насилии были разработаны стратегии действий на местном уровне, в том числе механизмы подачи жалоб, меры по защите пострадавших и по учету этих проблем в деятельности государства по</w:t>
      </w:r>
      <w:r>
        <w:rPr>
          <w:lang w:val="ru-RU"/>
        </w:rPr>
        <w:t> </w:t>
      </w:r>
      <w:r>
        <w:t>обеспечению гражданской безопасности.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Статья 4</w:t>
      </w:r>
      <w:r>
        <w:br/>
      </w:r>
      <w:r>
        <w:rPr>
          <w:bCs/>
          <w:iCs/>
          <w:lang w:val="ru-RU"/>
        </w:rPr>
        <w:t>Временные специальные меры</w:t>
      </w:r>
    </w:p>
    <w:p w:rsidR="000875B4" w:rsidRDefault="000875B4">
      <w:pPr>
        <w:pStyle w:val="SingleTxt"/>
        <w:spacing w:after="0" w:line="120" w:lineRule="exact"/>
        <w:rPr>
          <w:sz w:val="10"/>
        </w:rPr>
      </w:pPr>
    </w:p>
    <w:p w:rsidR="000875B4" w:rsidRDefault="000875B4">
      <w:pPr>
        <w:pStyle w:val="SingleTxt"/>
        <w:spacing w:after="100"/>
        <w:ind w:left="1264" w:right="1264"/>
        <w:rPr>
          <w:color w:val="000000"/>
          <w:lang w:val="ru-RU"/>
        </w:rPr>
      </w:pPr>
      <w:r>
        <w:rPr>
          <w:color w:val="000000"/>
          <w:lang w:val="ru-RU"/>
        </w:rPr>
        <w:t>186.</w:t>
      </w:r>
      <w:r>
        <w:rPr>
          <w:color w:val="000000"/>
          <w:lang w:val="ru-RU"/>
        </w:rPr>
        <w:tab/>
        <w:t>Как отмечалось выше, План равенства возможностей представляет собой государственную политику, цель которой – ускорить достижение фактического равенства женщин. Осуществление Плана должно стать основным средством для решения этой задачи, по крайней мере, в основных аспектах.</w:t>
      </w:r>
    </w:p>
    <w:p w:rsidR="000875B4" w:rsidRDefault="000875B4">
      <w:pPr>
        <w:pStyle w:val="SingleTxt"/>
        <w:spacing w:after="100"/>
        <w:ind w:left="1264" w:right="1264"/>
        <w:rPr>
          <w:color w:val="000000"/>
          <w:lang w:val="ru-RU"/>
        </w:rPr>
      </w:pPr>
      <w:r>
        <w:rPr>
          <w:color w:val="000000"/>
          <w:lang w:val="ru-RU"/>
        </w:rPr>
        <w:t>187.</w:t>
      </w:r>
      <w:r>
        <w:rPr>
          <w:color w:val="000000"/>
          <w:lang w:val="ru-RU"/>
        </w:rPr>
        <w:tab/>
        <w:t>Для обеспечения участия женщин в государственных выборах и в качестве меры позитивного действия был принят Закон о праве на труд (1996 год), а затем – Закон о квотах (2000 год). В соответствии с последним законом внесены дополнения и изменения в Закон о выборах, и в частности предусмотрены минимальные процентные нормы обязательного включения женщин в списки кандидатов при соблюдении принципов чередования и ротации имен кандидатов в списках с целью расширения участия женщин. Реформой предусматривается, что среди работников судебных органов и в избирательных списках доля женщин должна составлять не менее 20 процентов.</w:t>
      </w:r>
    </w:p>
    <w:p w:rsidR="000875B4" w:rsidRDefault="000875B4">
      <w:pPr>
        <w:pStyle w:val="SingleTxt"/>
        <w:spacing w:after="100"/>
        <w:ind w:left="1264" w:right="1264"/>
        <w:rPr>
          <w:color w:val="000000"/>
          <w:lang w:val="ru-RU"/>
        </w:rPr>
      </w:pPr>
      <w:r>
        <w:rPr>
          <w:color w:val="000000"/>
          <w:lang w:val="ru-RU"/>
        </w:rPr>
        <w:t>188.</w:t>
      </w:r>
      <w:r>
        <w:rPr>
          <w:color w:val="000000"/>
          <w:lang w:val="ru-RU"/>
        </w:rPr>
        <w:tab/>
        <w:t xml:space="preserve">Реформой также предусматривается, что начиная с 2000 </w:t>
      </w:r>
      <w:r>
        <w:rPr>
          <w:bCs/>
          <w:lang w:val="ru-RU"/>
        </w:rPr>
        <w:t>года</w:t>
      </w:r>
      <w:r>
        <w:rPr>
          <w:color w:val="000000"/>
          <w:lang w:val="ru-RU"/>
        </w:rPr>
        <w:t xml:space="preserve"> в ходе каждых выборов доля женщин среди кандидатов должна увеличиваться на 5 процентов, пока не будет достигнут паритет с мужчинами. В ходе выборов 2002 </w:t>
      </w:r>
      <w:r>
        <w:rPr>
          <w:bCs/>
          <w:lang w:val="ru-RU"/>
        </w:rPr>
        <w:t>года</w:t>
      </w:r>
      <w:r>
        <w:rPr>
          <w:color w:val="000000"/>
          <w:lang w:val="ru-RU"/>
        </w:rPr>
        <w:t xml:space="preserve"> этот закон не был выполнен, поскольку Верховный избирательный суд принял постановление, в статье 40 которого давалось толкование реформы и предусматривалось применение норм действовавшего ранее закона. Женские организации поставили вопрос об отстранении от должности председателя Верховного избирательного суда, однако успеха не добились. Тем не менее запрос о признании данного постановления не соответствующим Конституции принят к рассмотрению Конституционным судом.</w:t>
      </w:r>
    </w:p>
    <w:p w:rsidR="000875B4" w:rsidRDefault="000875B4">
      <w:pPr>
        <w:pStyle w:val="SingleTxt"/>
        <w:spacing w:after="100"/>
        <w:ind w:left="1264" w:right="1264"/>
        <w:rPr>
          <w:color w:val="000000"/>
          <w:lang w:val="ru-RU"/>
        </w:rPr>
      </w:pPr>
      <w:r>
        <w:rPr>
          <w:color w:val="000000"/>
          <w:lang w:val="ru-RU"/>
        </w:rPr>
        <w:t>189.</w:t>
      </w:r>
      <w:r>
        <w:rPr>
          <w:color w:val="000000"/>
          <w:lang w:val="ru-RU"/>
        </w:rPr>
        <w:tab/>
        <w:t xml:space="preserve">В ходе избирательной кампании 2004 </w:t>
      </w:r>
      <w:r>
        <w:rPr>
          <w:bCs/>
          <w:lang w:val="ru-RU"/>
        </w:rPr>
        <w:t>года</w:t>
      </w:r>
      <w:r>
        <w:rPr>
          <w:color w:val="000000"/>
          <w:lang w:val="ru-RU"/>
        </w:rPr>
        <w:t xml:space="preserve"> Верховный избирательный суд принял новое положение, противоположное по смыслу положениям о ротации и чередовании кандидатур, которые были предусмотрены Законом о квотах. Тем не менее на практике увеличилось число женщин-кандидатов и, соответственно, число избранных женщин. Однако Избирательный суд не принял никаких санкций в отношении партий и политических движений, которые не выполнили требования Закона о квотах. Результаты применения Закона о квотах в ходе последней избирательной кампании (октябрь 2006</w:t>
      </w:r>
      <w:r>
        <w:rPr>
          <w:bCs/>
          <w:lang w:val="ru-RU"/>
        </w:rPr>
        <w:t> года</w:t>
      </w:r>
      <w:r>
        <w:rPr>
          <w:color w:val="000000"/>
          <w:lang w:val="ru-RU"/>
        </w:rPr>
        <w:t>) приводятся в настоящем докладе в разделе, посвященном статье 7 Конвенции.</w:t>
      </w:r>
    </w:p>
    <w:p w:rsidR="000875B4" w:rsidRDefault="000875B4">
      <w:pPr>
        <w:pStyle w:val="SingleTxt"/>
        <w:rPr>
          <w:color w:val="000000"/>
          <w:lang w:val="ru-RU"/>
        </w:rPr>
      </w:pPr>
      <w:r>
        <w:rPr>
          <w:color w:val="000000"/>
          <w:lang w:val="ru-RU"/>
        </w:rPr>
        <w:t>190.</w:t>
      </w:r>
      <w:r>
        <w:rPr>
          <w:color w:val="000000"/>
          <w:lang w:val="ru-RU"/>
        </w:rPr>
        <w:tab/>
        <w:t>Как указывалось выше, Закон о праве на труд предусматривает также, что среди работников судебных органов женщины должны составлять не менее 20 процентов. Эти минимальные нормы не соблюдаются ни в одном судебном органе.</w:t>
      </w:r>
    </w:p>
    <w:p w:rsidR="000875B4" w:rsidRDefault="000875B4">
      <w:pPr>
        <w:pStyle w:val="SingleTxt"/>
      </w:pPr>
      <w:r>
        <w:t>191.</w:t>
      </w:r>
      <w:r>
        <w:tab/>
        <w:t>Хотя международные организации оценили недавние выборы членов нового Верховного суда как успешные и прозрачные</w:t>
      </w:r>
      <w:r>
        <w:rPr>
          <w:rStyle w:val="FootnoteReference"/>
        </w:rPr>
        <w:footnoteReference w:id="29"/>
      </w:r>
      <w:r>
        <w:t xml:space="preserve">, отмечались определенные проблемы в отношении некоторых мер позитивного действия в интересах женщин. Так, несмотря на то что Квалификационный комитет, специальный механизм по отбору кандидатов, высказался за применение мер позитивного действия, среди 31 избранного члена оказались только 2 женщины. Кроме того, трудности в связи </w:t>
      </w:r>
      <w:r>
        <w:rPr>
          <w:lang w:val="ru-RU"/>
        </w:rPr>
        <w:br/>
      </w:r>
      <w:r>
        <w:t>с этим возникали в дальнейшем при формировании Конституционного суда и Национального совета судебных органов.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lang w:val="ru-RU"/>
        </w:rPr>
        <w:t>5</w:t>
      </w:r>
      <w:r>
        <w:br/>
        <w:t>Изменение гендерных ролей и стереотипов</w:t>
      </w:r>
    </w:p>
    <w:p w:rsidR="000875B4" w:rsidRDefault="000875B4">
      <w:pPr>
        <w:pStyle w:val="SingleTxt"/>
        <w:spacing w:after="0" w:line="120" w:lineRule="exact"/>
        <w:rPr>
          <w:sz w:val="10"/>
        </w:rPr>
      </w:pPr>
    </w:p>
    <w:p w:rsidR="000875B4" w:rsidRDefault="000875B4">
      <w:pPr>
        <w:pStyle w:val="SingleTxt"/>
      </w:pPr>
      <w:r>
        <w:t>192.</w:t>
      </w:r>
      <w:r>
        <w:tab/>
        <w:t>В ответ на обеспокоенность Комитета, выраженную в пунктах 32 и 33 его Заключительных замечаний, далее будет представлена информация о программах государства по искоренению гендерных стереотипов.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Обучение работников СМИ в области гендерной проблематики</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193.</w:t>
      </w:r>
      <w:r>
        <w:rPr>
          <w:bCs/>
          <w:lang w:val="ru-RU"/>
        </w:rPr>
        <w:tab/>
        <w:t xml:space="preserve">Средства массовой информации играют важнейшую роль в формировании социокультурных представлений. В целях содействия изменению утвердившихся </w:t>
      </w:r>
      <w:r>
        <w:rPr>
          <w:bCs/>
          <w:lang w:val="ru-RU"/>
        </w:rPr>
        <w:br/>
        <w:t xml:space="preserve">в обществе воззрений на женщин, насилие и дискриминацию государство через КОНАМУ начало работу со средствами массовой информации, проведя семинар по гендерным проблемам для работников СМИ Кито и Гуаякиля. </w:t>
      </w:r>
    </w:p>
    <w:p w:rsidR="000875B4" w:rsidRDefault="000875B4">
      <w:pPr>
        <w:pStyle w:val="SingleTxt"/>
        <w:rPr>
          <w:bCs/>
          <w:lang w:val="ru-RU"/>
        </w:rPr>
      </w:pPr>
      <w:r>
        <w:rPr>
          <w:bCs/>
          <w:lang w:val="ru-RU"/>
        </w:rPr>
        <w:t>194.</w:t>
      </w:r>
      <w:r>
        <w:rPr>
          <w:bCs/>
          <w:lang w:val="ru-RU"/>
        </w:rPr>
        <w:tab/>
        <w:t xml:space="preserve">На семинаре участников обучали тому, как избегать сексизма в материалах СМИ, выявлять случаи дискриминации в отношении женщин и действовать </w:t>
      </w:r>
      <w:r>
        <w:rPr>
          <w:bCs/>
          <w:lang w:val="ru-RU"/>
        </w:rPr>
        <w:br/>
        <w:t xml:space="preserve">с большей ответственностью, публикуя информацию в отношении женщин. Аналогичный семинар будет проведен в 2007 году для журналистов других городов страны, а в перспективе планируется создать сеть работников СМИ, учитывающих </w:t>
      </w:r>
      <w:r>
        <w:rPr>
          <w:bCs/>
          <w:lang w:val="ru-RU"/>
        </w:rPr>
        <w:br/>
        <w:t>в своей работе гендерный фактор.</w:t>
      </w:r>
    </w:p>
    <w:p w:rsidR="000875B4" w:rsidRDefault="000875B4">
      <w:pPr>
        <w:pStyle w:val="SingleTxt"/>
        <w:rPr>
          <w:bCs/>
          <w:lang w:val="ru-RU"/>
        </w:rPr>
      </w:pPr>
      <w:r>
        <w:rPr>
          <w:bCs/>
          <w:lang w:val="ru-RU"/>
        </w:rPr>
        <w:t>195.</w:t>
      </w:r>
      <w:r>
        <w:rPr>
          <w:bCs/>
          <w:lang w:val="ru-RU"/>
        </w:rPr>
        <w:tab/>
        <w:t xml:space="preserve">Кроме того, на местах (в провинциях Эль-Оро, Чимборасо и Сукумбиос) была создана сеть радиовещателей, задача которой – обеспечить гражданский контроль </w:t>
      </w:r>
      <w:r>
        <w:rPr>
          <w:bCs/>
          <w:lang w:val="ru-RU"/>
        </w:rPr>
        <w:br/>
        <w:t xml:space="preserve">за рекламной информацией сексистского характера, и подписан договор с </w:t>
      </w:r>
      <w:r>
        <w:rPr>
          <w:color w:val="000000"/>
          <w:lang w:val="ru-RU"/>
        </w:rPr>
        <w:t>Народным центром помощи женщинам Гуаякиля в целях формирования общественного мнения по проблематике сексуального насилия.</w:t>
      </w:r>
    </w:p>
    <w:p w:rsidR="000875B4" w:rsidRDefault="000875B4">
      <w:pPr>
        <w:pStyle w:val="SingleTxt"/>
      </w:pPr>
      <w:r>
        <w:t>196.</w:t>
      </w:r>
      <w:r>
        <w:tab/>
        <w:t>Интересный опыт работы в этой сфере накопили и другие организации гражданского общества, такие как СЕПЛАЭС и СЕСИМ (Эквадорский комитет сотрудничества со службой информации по делам женщин) в Кито и фонд ГАММА (Группа поддержки женщин Асуая) в Куэнке.</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lang w:val="ru-RU"/>
        </w:rPr>
        <w:t>Гражданский контроль над средствами массовой информации</w:t>
      </w:r>
      <w:r>
        <w:rPr>
          <w:rStyle w:val="FootnoteReference"/>
          <w:b w:val="0"/>
        </w:rPr>
        <w:t xml:space="preserve"> </w:t>
      </w:r>
      <w:r>
        <w:rPr>
          <w:rStyle w:val="FootnoteReference"/>
          <w:b w:val="0"/>
        </w:rPr>
        <w:footnoteReference w:id="30"/>
      </w:r>
    </w:p>
    <w:p w:rsidR="000875B4" w:rsidRDefault="000875B4">
      <w:pPr>
        <w:pStyle w:val="SingleTxt"/>
        <w:spacing w:after="0" w:line="120" w:lineRule="exact"/>
        <w:rPr>
          <w:sz w:val="10"/>
        </w:rPr>
      </w:pPr>
    </w:p>
    <w:p w:rsidR="000875B4" w:rsidRDefault="000875B4">
      <w:pPr>
        <w:pStyle w:val="SingleTxt"/>
        <w:rPr>
          <w:lang w:val="ru-RU"/>
        </w:rPr>
      </w:pPr>
      <w:r>
        <w:rPr>
          <w:lang w:val="ru-RU"/>
        </w:rPr>
        <w:t>197.</w:t>
      </w:r>
      <w:r>
        <w:rPr>
          <w:lang w:val="ru-RU"/>
        </w:rPr>
        <w:tab/>
      </w:r>
      <w:r>
        <w:rPr>
          <w:bCs/>
          <w:lang w:val="ru-RU"/>
        </w:rPr>
        <w:t>На местном уровне накоплен успешный опыт</w:t>
      </w:r>
      <w:r>
        <w:rPr>
          <w:lang w:val="ru-RU"/>
        </w:rPr>
        <w:t xml:space="preserve"> в отношении </w:t>
      </w:r>
      <w:r>
        <w:rPr>
          <w:bCs/>
          <w:lang w:val="ru-RU"/>
        </w:rPr>
        <w:t>гражданского контроля над средствами массовой информации как инструментом, воспроизводящим стереотипы и модели дискриминационного характера. 23 июня 2004 года по инициативе первого Плана равенства возможностей в Куэнке был создан Гражданский наблюдательный совет за средствами массовой информации.</w:t>
      </w:r>
    </w:p>
    <w:p w:rsidR="000875B4" w:rsidRDefault="000875B4">
      <w:pPr>
        <w:pStyle w:val="SingleTxt"/>
        <w:rPr>
          <w:lang w:val="ru-RU"/>
        </w:rPr>
      </w:pPr>
      <w:r>
        <w:rPr>
          <w:lang w:val="ru-RU"/>
        </w:rPr>
        <w:t>198.</w:t>
      </w:r>
      <w:r>
        <w:rPr>
          <w:lang w:val="ru-RU"/>
        </w:rPr>
        <w:tab/>
        <w:t>ПРВ для Куэнки был разработан совместными усилиями муниципалитета Куэнки и представителями гражданского общества под руководством и при активном участии женского движения. Результатом этой работы стало создание Наблюдательного совета в рамках стратегии по обеспечению равных возможностей для женщин и мужчин, что должно способствовать не только реализации прав женщин, но и развитию кантона Куэнка.</w:t>
      </w:r>
    </w:p>
    <w:p w:rsidR="000875B4" w:rsidRDefault="000875B4">
      <w:pPr>
        <w:pStyle w:val="SingleTxt"/>
        <w:rPr>
          <w:lang w:val="ru-RU"/>
        </w:rPr>
      </w:pPr>
      <w:r>
        <w:rPr>
          <w:lang w:val="ru-RU"/>
        </w:rPr>
        <w:t>199.</w:t>
      </w:r>
      <w:r>
        <w:rPr>
          <w:lang w:val="ru-RU"/>
        </w:rPr>
        <w:tab/>
        <w:t xml:space="preserve">Деятельность Наблюдательного совета координирует техническая группа женской организации </w:t>
      </w:r>
      <w:r>
        <w:rPr>
          <w:color w:val="000000"/>
          <w:lang w:val="ru-RU"/>
        </w:rPr>
        <w:t>ГАММА (Группа поддержки женщин Асуая)</w:t>
      </w:r>
      <w:r>
        <w:rPr>
          <w:lang w:val="ru-RU"/>
        </w:rPr>
        <w:t xml:space="preserve"> Куэнки. Совет создавался как гражданский форум, в работе которого могут принимать участие все граждане, считающие, что средства массовой информации должны вносить вклад в развитие равноправного и солидарного общества, и содействующие решению этой задачи путем воздействия на проводимую СМИ политику. Для этого используются такие средства, как привлечение внимания общественности, проведение акций и оказание давления со стороны гражданского общества. При этом ставится цель обеспечения высокого качества и конструктивного содержания материалов СМИ.</w:t>
      </w:r>
    </w:p>
    <w:p w:rsidR="000875B4" w:rsidRDefault="000875B4">
      <w:pPr>
        <w:pStyle w:val="SingleTxt"/>
        <w:rPr>
          <w:lang w:val="ru-RU"/>
        </w:rPr>
      </w:pPr>
      <w:r>
        <w:rPr>
          <w:lang w:val="ru-RU"/>
        </w:rPr>
        <w:t>200.</w:t>
      </w:r>
      <w:r>
        <w:rPr>
          <w:lang w:val="ru-RU"/>
        </w:rPr>
        <w:tab/>
        <w:t>Наблюдательный совет создавался с целью противостоять тому влиянию, которое приобретают в эпоху глобализации средства массовой информации, выявляя материалы, нарушающие права человека, нормы демократического сосуществования и принцип равноправия.</w:t>
      </w:r>
    </w:p>
    <w:p w:rsidR="000875B4" w:rsidRDefault="000875B4">
      <w:pPr>
        <w:pStyle w:val="SingleTxt"/>
        <w:rPr>
          <w:lang w:val="ru-RU"/>
        </w:rPr>
      </w:pPr>
      <w:r>
        <w:rPr>
          <w:lang w:val="ru-RU"/>
        </w:rPr>
        <w:t>201.</w:t>
      </w:r>
      <w:r>
        <w:rPr>
          <w:lang w:val="ru-RU"/>
        </w:rPr>
        <w:tab/>
        <w:t xml:space="preserve">В Наблюдательный совет поступают заявления о материалах, воспроизводящих и усугубляющих гендерное неравноправие. Граждане могут обратиться в любой из пунктов Совета по связи с гражданами и изложить свое мнение по данным вопросам. В этих пунктах принимаются сообщения о материалах, которые могут рассматриваться как сексистские и/или агрессивные по своему содержанию, равно как и слова благодарности граждан в отношении материалов, способствующих утверждению социального и гендерного равенства. </w:t>
      </w:r>
    </w:p>
    <w:p w:rsidR="000875B4" w:rsidRDefault="000875B4">
      <w:pPr>
        <w:pStyle w:val="SingleTxt"/>
        <w:rPr>
          <w:lang w:val="ru-RU"/>
        </w:rPr>
      </w:pPr>
      <w:r>
        <w:rPr>
          <w:lang w:val="ru-RU"/>
        </w:rPr>
        <w:t>202.</w:t>
      </w:r>
      <w:r>
        <w:rPr>
          <w:lang w:val="ru-RU"/>
        </w:rPr>
        <w:tab/>
        <w:t>В рамках решения поставленных перед ним задач Наблюдательный совет ежегодно публично выражает признательность или порицание в отношении материалов, публикуемых в средствах массовой информации (в частности, рекламных), в зависимости от того, способствуют или препятствуют они формированию общества гендерного равноправия.</w:t>
      </w:r>
    </w:p>
    <w:p w:rsidR="000875B4" w:rsidRDefault="000875B4">
      <w:pPr>
        <w:pStyle w:val="SingleTxt"/>
      </w:pPr>
      <w:r>
        <w:t>203.</w:t>
      </w:r>
      <w:r>
        <w:tab/>
        <w:t xml:space="preserve">Заслуживает внимания еще один пример работы на местах – опыт проведения </w:t>
      </w:r>
      <w:r>
        <w:rPr>
          <w:lang w:val="ru-RU"/>
        </w:rPr>
        <w:br/>
      </w:r>
      <w:r>
        <w:t>с 1994 года группой женских организаций юга страны конкурса "Женщина: образ и факты". До 1999 года этот конкурс был общенациональным, а с 2000 года вышел на региональный уровень. В нем принимают участие писатели и фотографы стран Андского региона (Перу, Боливии, Колумбии и Эквадора).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color w:val="000000"/>
          <w:lang w:val="ru-RU"/>
        </w:rPr>
        <w:t>Пропаганда прав женщин</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204.</w:t>
      </w:r>
      <w:r>
        <w:rPr>
          <w:bCs/>
          <w:lang w:val="ru-RU"/>
        </w:rPr>
        <w:tab/>
        <w:t xml:space="preserve">В рамках информационно-пропагандистской деятельности и ознакомления общественности Центр грантов и Центр документации и информации Национального совета по делам женщин распространяют материалы о правах женщин. Эти материалы направляются, в числе прочего, в школы, университеты, неправительственные организации и средства массовой информации. </w:t>
      </w:r>
    </w:p>
    <w:p w:rsidR="000875B4" w:rsidRDefault="000875B4">
      <w:pPr>
        <w:pStyle w:val="SingleTxt"/>
        <w:rPr>
          <w:bCs/>
          <w:lang w:val="ru-RU"/>
        </w:rPr>
      </w:pPr>
      <w:r>
        <w:rPr>
          <w:bCs/>
          <w:lang w:val="ru-RU"/>
        </w:rPr>
        <w:t>205.</w:t>
      </w:r>
      <w:r>
        <w:rPr>
          <w:bCs/>
          <w:lang w:val="ru-RU"/>
        </w:rPr>
        <w:tab/>
        <w:t xml:space="preserve">В 2006 году тиражом примерно 10 тыс. экземпляров были изданы международные и региональные конвенции о правах женщин, такие как Конвенция об искоренении всех форм дискриминации в отношении женщин, Факультативный протокол к Конвенции, Венская декларация и Программа действий и </w:t>
      </w:r>
      <w:r>
        <w:rPr>
          <w:lang w:val="ru-RU"/>
        </w:rPr>
        <w:t>Межамериканская конвенция о предупреждении, наказании и искоренении насилия в отношении женщин (Конвенция Белем-ду-Пара).</w:t>
      </w:r>
    </w:p>
    <w:p w:rsidR="000875B4" w:rsidRDefault="000875B4">
      <w:pPr>
        <w:pStyle w:val="SingleTxt"/>
      </w:pPr>
      <w:r>
        <w:t>206.</w:t>
      </w:r>
      <w:r>
        <w:tab/>
        <w:t xml:space="preserve">Кроме того, бесплатно распространяются тексты Закона о борьбе с насилием </w:t>
      </w:r>
      <w:r>
        <w:rPr>
          <w:lang w:val="ru-RU"/>
        </w:rPr>
        <w:br/>
      </w:r>
      <w:r>
        <w:t xml:space="preserve">в отношении женщин и семьи (Закона № 103), Руководство по применению Закона </w:t>
      </w:r>
      <w:r>
        <w:rPr>
          <w:lang w:val="ru-RU"/>
        </w:rPr>
        <w:br/>
      </w:r>
      <w:r>
        <w:t>о борьбе с насилием в отношении женщин и семьи и Общие регламентирующие положения, брошюры о положении и конституционных правах женщин Эквадора, буклеты о Совете и предоставляемых им услугах (правовая помощь, Центр грантов, справочная библиотека), а также материалы различных ведомств.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lang w:val="ru-RU"/>
        </w:rPr>
        <w:t>6</w:t>
      </w:r>
      <w:r>
        <w:br/>
        <w:t>Искоренение сексуальной эксплуатации и проституции</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207.</w:t>
      </w:r>
      <w:r>
        <w:rPr>
          <w:color w:val="000000"/>
          <w:lang w:val="ru-RU"/>
        </w:rPr>
        <w:tab/>
        <w:t>Как указывалось в разделе, посвященном статье 2 Конвенции, в июне 2005 </w:t>
      </w:r>
      <w:r>
        <w:rPr>
          <w:bCs/>
          <w:lang w:val="ru-RU"/>
        </w:rPr>
        <w:t>года</w:t>
      </w:r>
      <w:r>
        <w:rPr>
          <w:color w:val="000000"/>
          <w:lang w:val="ru-RU"/>
        </w:rPr>
        <w:t xml:space="preserve"> были приняты поправки к Уголовному кодексу, предусматривавшие квалификацию, среди прочего, таких видов преступлений, как сексуальная эксплуатация несовершеннолетних, детская порнография, торговля людьми, незаконный провоз мигрантов и торговля человеческими органами.</w:t>
      </w:r>
    </w:p>
    <w:p w:rsidR="000875B4" w:rsidRDefault="000875B4">
      <w:pPr>
        <w:pStyle w:val="SingleTxt"/>
        <w:rPr>
          <w:color w:val="000000"/>
          <w:lang w:val="ru-RU"/>
        </w:rPr>
      </w:pPr>
      <w:r>
        <w:rPr>
          <w:color w:val="000000"/>
          <w:lang w:val="ru-RU"/>
        </w:rPr>
        <w:t>208.</w:t>
      </w:r>
      <w:r>
        <w:rPr>
          <w:color w:val="000000"/>
          <w:lang w:val="ru-RU"/>
        </w:rPr>
        <w:tab/>
        <w:t xml:space="preserve">В августе 2006 </w:t>
      </w:r>
      <w:r>
        <w:rPr>
          <w:bCs/>
          <w:lang w:val="ru-RU"/>
        </w:rPr>
        <w:t>года</w:t>
      </w:r>
      <w:r>
        <w:rPr>
          <w:color w:val="000000"/>
          <w:lang w:val="ru-RU"/>
        </w:rPr>
        <w:t xml:space="preserve"> Национальный конгресс единодушно принял Закон </w:t>
      </w:r>
      <w:r>
        <w:rPr>
          <w:color w:val="000000"/>
          <w:lang w:val="ru-RU"/>
        </w:rPr>
        <w:br/>
        <w:t xml:space="preserve">о толковании, разъясняющий суть внесенных изменений. В Законе указывалось, что изменения, внесенные в Уголовный кодекс в июне 2005 </w:t>
      </w:r>
      <w:r>
        <w:rPr>
          <w:bCs/>
          <w:lang w:val="ru-RU"/>
        </w:rPr>
        <w:t>года</w:t>
      </w:r>
      <w:r>
        <w:rPr>
          <w:color w:val="000000"/>
          <w:lang w:val="ru-RU"/>
        </w:rPr>
        <w:t>, не означали, что покушение на целомудрие более не считается преступлением и не подлежит наказанию</w:t>
      </w:r>
      <w:r>
        <w:rPr>
          <w:rStyle w:val="FootnoteReference"/>
          <w:color w:val="000000"/>
        </w:rPr>
        <w:footnoteReference w:id="31"/>
      </w:r>
      <w:r>
        <w:rPr>
          <w:color w:val="000000"/>
          <w:lang w:val="ru-RU"/>
        </w:rPr>
        <w:t>.</w:t>
      </w:r>
    </w:p>
    <w:p w:rsidR="000875B4" w:rsidRDefault="000875B4">
      <w:pPr>
        <w:pStyle w:val="SingleTxt"/>
        <w:rPr>
          <w:color w:val="000000"/>
          <w:lang w:val="ru-RU"/>
        </w:rPr>
      </w:pPr>
      <w:r>
        <w:rPr>
          <w:color w:val="000000"/>
          <w:lang w:val="ru-RU"/>
        </w:rPr>
        <w:t>209.</w:t>
      </w:r>
      <w:r>
        <w:rPr>
          <w:color w:val="000000"/>
          <w:lang w:val="ru-RU"/>
        </w:rPr>
        <w:tab/>
        <w:t>Принятие данного Закона позволяет судьям и прокурорам, действуя в правовых рамках, наказывать тех, кто совершает преступления на сексуальной почве в отношении детей и подростков.</w:t>
      </w:r>
    </w:p>
    <w:p w:rsidR="000875B4" w:rsidRDefault="000875B4">
      <w:pPr>
        <w:pStyle w:val="SingleTxt"/>
        <w:rPr>
          <w:color w:val="000000"/>
          <w:lang w:val="ru-RU"/>
        </w:rPr>
      </w:pPr>
      <w:r>
        <w:rPr>
          <w:color w:val="000000"/>
          <w:lang w:val="ru-RU"/>
        </w:rPr>
        <w:t>210.</w:t>
      </w:r>
      <w:r>
        <w:rPr>
          <w:color w:val="000000"/>
          <w:lang w:val="ru-RU"/>
        </w:rPr>
        <w:tab/>
        <w:t>В Законе о толковании говорится: "Деяния, содержащие в себе состав преступления, которое до 22 июня 2005 </w:t>
      </w:r>
      <w:r>
        <w:rPr>
          <w:bCs/>
          <w:lang w:val="ru-RU"/>
        </w:rPr>
        <w:t>года</w:t>
      </w:r>
      <w:r>
        <w:rPr>
          <w:color w:val="000000"/>
          <w:lang w:val="ru-RU"/>
        </w:rPr>
        <w:t xml:space="preserve"> квалифицировалось согласно статьям 505, 506 и 507 Уголовного кодекса, предусматривавшим наказание </w:t>
      </w:r>
      <w:r>
        <w:rPr>
          <w:color w:val="000000"/>
          <w:lang w:val="ru-RU"/>
        </w:rPr>
        <w:br/>
        <w:t>за посягательства на сексуальную целостность несовершеннолетних без вступления с ними в половые сношения, как покушение на целомудрие, не были исключены из числа уголовно наказуемых и подпадают под действие рассматриваемой статьи с момента вступления ее в силу".</w:t>
      </w:r>
    </w:p>
    <w:p w:rsidR="000875B4" w:rsidRDefault="000875B4">
      <w:pPr>
        <w:pStyle w:val="SingleTxt"/>
        <w:rPr>
          <w:color w:val="000000"/>
          <w:lang w:val="ru-RU"/>
        </w:rPr>
      </w:pPr>
      <w:r>
        <w:rPr>
          <w:color w:val="000000"/>
          <w:lang w:val="ru-RU"/>
        </w:rPr>
        <w:t>211.</w:t>
      </w:r>
      <w:r>
        <w:rPr>
          <w:color w:val="000000"/>
          <w:lang w:val="ru-RU"/>
        </w:rPr>
        <w:tab/>
        <w:t>Кроме того, в Законе о толковании указывается, что выражения "принуждает" и "вынудить ее" в данной статье следует понимать как имеющие отношение к однократным или постоянным действиям, совершаемым с целью подавления воли жертвы, и/или к действиям, направленным на создание или создающим ситуацию, когда в результате применения физического насилия, угроз или любой другой формы принуждения лицо, не достигшее 18 лет, или инвалид допускает совершение актов сексуального характера без полового сношения, будь то в отношении тела жертвы, тела третьего лица или тела преступника, соглашается на их совершение или совершает их.</w:t>
      </w:r>
    </w:p>
    <w:p w:rsidR="000875B4" w:rsidRDefault="000875B4">
      <w:pPr>
        <w:pStyle w:val="SingleTxt"/>
      </w:pPr>
      <w:r>
        <w:t>212.</w:t>
      </w:r>
      <w:r>
        <w:tab/>
        <w:t xml:space="preserve">Лица, принуждающие несовершеннолетнего, не достигшего 18 лет, или инвалида к совершению действий сексуального характера без полового сношения, подлежат наказанию в виде лишения свободы на срок от четырех до восьми лет. </w:t>
      </w:r>
      <w:r>
        <w:rPr>
          <w:lang w:val="ru-RU"/>
        </w:rPr>
        <w:br/>
      </w:r>
      <w:r>
        <w:t>С июня 2005 года в интересах защиты жертв эта мера наказания была ужесточена.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color w:val="000000"/>
          <w:lang w:val="ru-RU"/>
        </w:rPr>
        <w:t>Сексуальная эксплуатация женщин, детей и подростков и порнография с использованием их образов</w:t>
      </w:r>
    </w:p>
    <w:p w:rsidR="000875B4" w:rsidRDefault="000875B4">
      <w:pPr>
        <w:pStyle w:val="SingleTxt"/>
        <w:spacing w:after="0" w:line="120" w:lineRule="exact"/>
        <w:rPr>
          <w:sz w:val="10"/>
        </w:rPr>
      </w:pPr>
    </w:p>
    <w:p w:rsidR="000875B4" w:rsidRDefault="000875B4">
      <w:pPr>
        <w:pStyle w:val="SingleTxt"/>
      </w:pPr>
      <w:r>
        <w:t>213.</w:t>
      </w:r>
      <w:r>
        <w:tab/>
        <w:t>В последние годы в Эквадоре было зарегистрировано большое число случаев детской порнографии, прежде всего в интернете.</w:t>
      </w:r>
    </w:p>
    <w:p w:rsidR="000875B4" w:rsidRDefault="000875B4">
      <w:pPr>
        <w:pStyle w:val="SingleTxt"/>
        <w:rPr>
          <w:iCs/>
        </w:rPr>
      </w:pPr>
      <w:r>
        <w:t>214.</w:t>
      </w:r>
      <w:r>
        <w:tab/>
        <w:t>Наиболее вопиющим случаем, ставшим достоянием гласности, стало дело школы "Мастер" в Кито. В феврале 2006 года, после того как двое сотрудников школы сделали видеозаписи учениц в возрасте от 12 до 19 лет, были проведены аресты. Расследованием этого дела занимаются прокурор</w:t>
      </w:r>
      <w:r>
        <w:rPr>
          <w:iCs/>
        </w:rPr>
        <w:t>, представляющий Отдел по расследованию преступлений на сексуальной почве, и Комитет национального контроля</w:t>
      </w:r>
      <w:r>
        <w:rPr>
          <w:rStyle w:val="FootnoteReference"/>
        </w:rPr>
        <w:footnoteReference w:id="32"/>
      </w:r>
      <w:r>
        <w:t>.</w:t>
      </w:r>
    </w:p>
    <w:p w:rsidR="000875B4" w:rsidRDefault="000875B4">
      <w:pPr>
        <w:pStyle w:val="SingleTxt"/>
        <w:rPr>
          <w:lang w:val="ru-RU"/>
        </w:rPr>
      </w:pPr>
      <w:r>
        <w:t>215.</w:t>
      </w:r>
      <w:r>
        <w:tab/>
        <w:t>Комитет национального контроля совместно с Кантональным советом по делам детей и Советом по защите прав провинции Пичинча приступили к проведению мероприятий разъяснительного характера, расследованию и контролю в отношении дела школы "Мастер". Кроме того, пострадавшим помогли перейти в другие школы, а их семьям – сменить место жительства. Защита и комплексная помощь пострадавшим от сексуальных надругательств в рамках этого дела были предоставлены и в рамках Программы Генеральной прокуратуры по защите жертв и свидетелей. В соответствии с реализуемой Министерством образования Национальной программой сексуального воспитания и любви в школе "Мастер" ведется разъяснительная работа с учащимися, администрацией, родителями и преподавателями.</w:t>
      </w:r>
    </w:p>
    <w:p w:rsidR="000875B4" w:rsidRDefault="000875B4">
      <w:pPr>
        <w:pStyle w:val="SingleTxt"/>
      </w:pPr>
      <w:r>
        <w:t>216.</w:t>
      </w:r>
      <w:r>
        <w:tab/>
        <w:t>Министерство образования совместно с КОНАМУ и Национальным советом по делам детей и подростков инициировали создание в ряде кантонов контрольных комитетов. Это было сделано в рамках пилотного проекта, осуществляемого в Котакачи, Куэнке и Манте, с целью создания в среднесрочной перспективе комплексной системы выявления и искоренения преступлений на сексуальной почве в учебных заведениях всех кантонов страны и реализации положений Плана равенства возможностей на 2005–2009 годы в отношении надзора за соблюдением прав детей и подростков.</w:t>
      </w:r>
    </w:p>
    <w:p w:rsidR="000875B4" w:rsidRDefault="000875B4">
      <w:pPr>
        <w:pStyle w:val="SingleTxt"/>
        <w:rPr>
          <w:lang w:val="ru-RU"/>
        </w:rPr>
      </w:pPr>
      <w:r>
        <w:rPr>
          <w:lang w:val="ru-RU"/>
        </w:rPr>
        <w:t>217.</w:t>
      </w:r>
      <w:r>
        <w:rPr>
          <w:lang w:val="ru-RU"/>
        </w:rPr>
        <w:tab/>
        <w:t xml:space="preserve">Что касается обеспокоенности Комитета, выраженной в пунктах 16 и 17 его Заключительных замечаний, важно упомянуть о сотрудничестве между Эквадором и ЮНИСЕФ в осуществлении на севере страны проекта, цель которого – смягчить последствия массовых переселений, происходящих в результате вооруженного конфликта в Колумбии, прежде всего в отношении сексуальной эксплуатации женщин и детей, живущих в провинциях этой части страны. Для решения этой задачи КОНАМУ и ЮНИСЕФ подписали соглашение о мерах стратегического характера, охватываемых Национальным планом по борьбе с похищениями людей, незаконным провозом мигрантов, сексуальной и трудовой эксплуатацией, а также другими видами эксплуатации и проституции женщин, детей и подростков, детской порнографией и растлением малолетних. </w:t>
      </w:r>
    </w:p>
    <w:p w:rsidR="000875B4" w:rsidRDefault="000875B4">
      <w:pPr>
        <w:pStyle w:val="SingleTxt"/>
        <w:rPr>
          <w:lang w:val="ru-RU"/>
        </w:rPr>
      </w:pPr>
      <w:r>
        <w:rPr>
          <w:lang w:val="ru-RU"/>
        </w:rPr>
        <w:t>218.</w:t>
      </w:r>
      <w:r>
        <w:rPr>
          <w:lang w:val="ru-RU"/>
        </w:rPr>
        <w:tab/>
        <w:t>Это сотрудничество началось в 2005 </w:t>
      </w:r>
      <w:r>
        <w:rPr>
          <w:bCs/>
          <w:lang w:val="ru-RU"/>
        </w:rPr>
        <w:t>году</w:t>
      </w:r>
      <w:r>
        <w:rPr>
          <w:lang w:val="ru-RU"/>
        </w:rPr>
        <w:t xml:space="preserve">, и в соответствии с Оперативным планом осуществляется координация мер по информированию гражданского общества и СМИ, чтобы тем самым способствовать изменению социокультурных стереотипов, увековечивающих сексуальную эксплуатацию. Кроме того, совместно с местными органами власти и другими заинтересованными сторонами проводятся исследования и ведется просветительская работа с населением. Учебные мероприятия по таким вопросам, как оказание комплексной помощи детям и подросткам, пострадавшим от сексуальной эксплуатации, в восстановлении и реализации их прав и возвращении к нормальной жизни, позволили укрепить потенциал местных органов власти и сетей социальной помощи. </w:t>
      </w:r>
    </w:p>
    <w:p w:rsidR="000875B4" w:rsidRDefault="000875B4">
      <w:pPr>
        <w:pStyle w:val="SingleTxt"/>
        <w:rPr>
          <w:lang w:val="ru-RU"/>
        </w:rPr>
      </w:pPr>
      <w:r>
        <w:rPr>
          <w:lang w:val="ru-RU"/>
        </w:rPr>
        <w:t>219.</w:t>
      </w:r>
      <w:r>
        <w:rPr>
          <w:lang w:val="ru-RU"/>
        </w:rPr>
        <w:tab/>
        <w:t>Все эти мероприятия проводятся в кантонах Эллой-Альфаро и Сан-Лоренсо приграничной провинции Эсмеральдас и в кантоне Лаго-Агрио приграничной провинции Сукумбиос.</w:t>
      </w:r>
    </w:p>
    <w:p w:rsidR="000875B4" w:rsidRDefault="000875B4">
      <w:pPr>
        <w:pStyle w:val="SingleTxt"/>
        <w:rPr>
          <w:lang w:val="ru-RU"/>
        </w:rPr>
      </w:pPr>
      <w:r>
        <w:rPr>
          <w:bCs/>
          <w:lang w:val="ru-RU"/>
        </w:rPr>
        <w:t>220.</w:t>
      </w:r>
      <w:r>
        <w:rPr>
          <w:bCs/>
          <w:lang w:val="ru-RU"/>
        </w:rPr>
        <w:tab/>
        <w:t xml:space="preserve">Следует также отметить, что в 2005 году удалось внести поправку в статью 1 </w:t>
      </w:r>
      <w:r>
        <w:rPr>
          <w:color w:val="000000"/>
          <w:lang w:val="ru-RU"/>
        </w:rPr>
        <w:t xml:space="preserve">Закона о бесплатной охране здоровья матери и уходе за новорожденными, сняв слово "эквадорская", и в результате действие этого закона было распространено </w:t>
      </w:r>
      <w:r>
        <w:rPr>
          <w:color w:val="000000"/>
          <w:lang w:val="ru-RU"/>
        </w:rPr>
        <w:br/>
        <w:t>на женщин-мигрантов, беженцев и перемещенных лиц</w:t>
      </w:r>
      <w:r>
        <w:rPr>
          <w:rStyle w:val="FootnoteReference"/>
          <w:bCs/>
        </w:rPr>
        <w:footnoteReference w:id="33"/>
      </w:r>
      <w:r>
        <w:rPr>
          <w:bCs/>
          <w:lang w:val="ru-RU"/>
        </w:rPr>
        <w:t>, что гарантирует им доступ к медицинской помощи по вопросам сексуального и репродуктивного здоровья на протяжении всей жизни.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lang w:val="ru-RU"/>
        </w:rPr>
        <w:t>7</w:t>
      </w:r>
      <w:r>
        <w:br/>
      </w:r>
      <w:r>
        <w:rPr>
          <w:lang w:val="ru-RU"/>
        </w:rPr>
        <w:t>Участие женщин в политической жизни</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221.</w:t>
      </w:r>
      <w:r>
        <w:rPr>
          <w:bCs/>
          <w:lang w:val="ru-RU"/>
        </w:rPr>
        <w:tab/>
        <w:t xml:space="preserve">В ответ на обеспокоенность Комитета, выраженную в пунктах 34 и 35 его Заключительных замечаний, государство информирует, что с 2000 года вступил </w:t>
      </w:r>
      <w:r>
        <w:rPr>
          <w:bCs/>
          <w:lang w:val="ru-RU"/>
        </w:rPr>
        <w:br/>
        <w:t xml:space="preserve">в силу важный правовой инструмент, стимулирующий участие женщин в политической жизни. Речь идет о Законе о квотах, являющемся мерой позитивного действия, гарантирующей женщинам доступ к участию в политической жизни. </w:t>
      </w:r>
    </w:p>
    <w:p w:rsidR="000875B4" w:rsidRDefault="000875B4">
      <w:pPr>
        <w:pStyle w:val="SingleTxt"/>
        <w:rPr>
          <w:bCs/>
          <w:lang w:val="ru-RU"/>
        </w:rPr>
      </w:pPr>
      <w:r>
        <w:rPr>
          <w:bCs/>
          <w:lang w:val="ru-RU"/>
        </w:rPr>
        <w:t>222.</w:t>
      </w:r>
      <w:r>
        <w:rPr>
          <w:bCs/>
          <w:lang w:val="ru-RU"/>
        </w:rPr>
        <w:tab/>
        <w:t>В статье 58 Закона о квотах прямо устанавливается, что "в предвыборных списках кандидатов, в том числе запасных, женщины должны составлять не менее 30 процентов, причем их имена включаются в списки на основе принципов чередования и ротации. В ходе каждых следующих общенациональных выборов этот показатель увеличивается на 5 процентов, пока доли мужчин и женщин в списках кандидатов не будут равными".</w:t>
      </w:r>
    </w:p>
    <w:p w:rsidR="000875B4" w:rsidRDefault="000875B4">
      <w:pPr>
        <w:pStyle w:val="SingleTxt"/>
        <w:rPr>
          <w:bCs/>
          <w:lang w:val="ru-RU"/>
        </w:rPr>
      </w:pPr>
      <w:r>
        <w:rPr>
          <w:bCs/>
          <w:lang w:val="ru-RU"/>
        </w:rPr>
        <w:t>223.</w:t>
      </w:r>
      <w:r>
        <w:rPr>
          <w:bCs/>
          <w:lang w:val="ru-RU"/>
        </w:rPr>
        <w:tab/>
        <w:t xml:space="preserve">Статья 102 Конституции гласит: "Государство обеспечивает и гарантирует равное представительство женщин и мужчин в списках кандидатов на выборах, </w:t>
      </w:r>
      <w:r>
        <w:rPr>
          <w:bCs/>
          <w:lang w:val="ru-RU"/>
        </w:rPr>
        <w:br/>
        <w:t>в руководящих и административных органах государственных учреждений, в судебных органах, в органах контроля и в политических партиях". Однако пока достичь предусмотренных показателей участия женщин в политической жизни не удалось.</w:t>
      </w:r>
    </w:p>
    <w:p w:rsidR="000875B4" w:rsidRDefault="000875B4">
      <w:pPr>
        <w:pStyle w:val="SingleTxt"/>
        <w:rPr>
          <w:bCs/>
          <w:lang w:val="ru-RU"/>
        </w:rPr>
      </w:pPr>
      <w:r>
        <w:rPr>
          <w:bCs/>
          <w:lang w:val="ru-RU"/>
        </w:rPr>
        <w:t>224.</w:t>
      </w:r>
      <w:r>
        <w:rPr>
          <w:bCs/>
          <w:lang w:val="ru-RU"/>
        </w:rPr>
        <w:tab/>
        <w:t>Верховный избирательный суд принял инструкции, правила и положения, которые, по мнению женских организаций, нарушают принципы равенства, прямо предусмотренные Конституцией и принятыми на ее основании законами.</w:t>
      </w:r>
    </w:p>
    <w:p w:rsidR="000875B4" w:rsidRDefault="000875B4">
      <w:pPr>
        <w:pStyle w:val="SingleTxt"/>
        <w:rPr>
          <w:bCs/>
          <w:lang w:val="ru-RU"/>
        </w:rPr>
      </w:pPr>
      <w:r>
        <w:rPr>
          <w:bCs/>
          <w:lang w:val="ru-RU"/>
        </w:rPr>
        <w:t>225.</w:t>
      </w:r>
      <w:r>
        <w:rPr>
          <w:bCs/>
          <w:lang w:val="ru-RU"/>
        </w:rPr>
        <w:tab/>
        <w:t>В ходе нынешней (2006 года) избирательной кампании женские организации и другие НПО, занимающиеся проблемой участия граждан в политической жизни, проделали огромную работу, добиваясь надлежащей реализации права женщин быть избранными и требуя соблюдения минимальных норм представленности женщин в списках кандидатов на основе принципов чередования и ротации имен кандидатов – мужчин и женщин.</w:t>
      </w:r>
    </w:p>
    <w:p w:rsidR="000875B4" w:rsidRDefault="000875B4">
      <w:pPr>
        <w:pStyle w:val="SingleTxt"/>
        <w:rPr>
          <w:bCs/>
        </w:rPr>
      </w:pPr>
      <w:r>
        <w:rPr>
          <w:bCs/>
        </w:rPr>
        <w:t>226.</w:t>
      </w:r>
      <w:r>
        <w:rPr>
          <w:bCs/>
        </w:rPr>
        <w:tab/>
        <w:t xml:space="preserve">Однако 5 июля 2006 года Верховный избирательный </w:t>
      </w:r>
      <w:r>
        <w:rPr>
          <w:bCs/>
          <w:lang w:val="ru-RU"/>
        </w:rPr>
        <w:t>суд</w:t>
      </w:r>
      <w:r>
        <w:rPr>
          <w:bCs/>
        </w:rPr>
        <w:t xml:space="preserve"> принял решение, отдающее на усмотрение партий и политических движений вопрос о чередовании и ротации кандидатов – мужчин и женщин </w:t>
      </w:r>
      <w:r>
        <w:rPr>
          <w:bCs/>
          <w:lang w:val="ru-RU"/>
        </w:rPr>
        <w:t xml:space="preserve">– </w:t>
      </w:r>
      <w:r>
        <w:rPr>
          <w:bCs/>
        </w:rPr>
        <w:t xml:space="preserve">в списках кандидатов, что противоречит Органическому закону о выборах. </w:t>
      </w:r>
    </w:p>
    <w:p w:rsidR="000875B4" w:rsidRDefault="000875B4">
      <w:pPr>
        <w:pStyle w:val="SingleTxt"/>
        <w:rPr>
          <w:bCs/>
        </w:rPr>
      </w:pPr>
      <w:r>
        <w:rPr>
          <w:bCs/>
        </w:rPr>
        <w:t>227.</w:t>
      </w:r>
      <w:r>
        <w:rPr>
          <w:bCs/>
        </w:rPr>
        <w:tab/>
        <w:t xml:space="preserve">В связи с этим КОНАМУ при поддержке женских движений обратился </w:t>
      </w:r>
      <w:r>
        <w:rPr>
          <w:bCs/>
          <w:lang w:val="ru-RU"/>
        </w:rPr>
        <w:br/>
      </w:r>
      <w:r>
        <w:rPr>
          <w:bCs/>
        </w:rPr>
        <w:t xml:space="preserve">в </w:t>
      </w:r>
      <w:r>
        <w:rPr>
          <w:bCs/>
          <w:lang w:val="ru-RU"/>
        </w:rPr>
        <w:t>Избирательный суд</w:t>
      </w:r>
      <w:r>
        <w:rPr>
          <w:bCs/>
        </w:rPr>
        <w:t xml:space="preserve"> с просьбой пересмотреть принятое решение и выдвинул проект Общих регламентирующих положений к Закону о выборах, согласно которому, </w:t>
      </w:r>
      <w:r>
        <w:rPr>
          <w:bCs/>
          <w:lang w:val="ru-RU"/>
        </w:rPr>
        <w:br/>
      </w:r>
      <w:r>
        <w:rPr>
          <w:bCs/>
        </w:rPr>
        <w:t xml:space="preserve">в целях соблюдения принципов чередования и ротации, имена кандидатов – женщин и мужчин </w:t>
      </w:r>
      <w:r>
        <w:rPr>
          <w:bCs/>
          <w:lang w:val="ru-RU"/>
        </w:rPr>
        <w:t xml:space="preserve">– </w:t>
      </w:r>
      <w:r>
        <w:rPr>
          <w:bCs/>
        </w:rPr>
        <w:t xml:space="preserve">должны быть представлены в предвыборных списках попеременно, </w:t>
      </w:r>
      <w:r>
        <w:rPr>
          <w:bCs/>
          <w:lang w:val="ru-RU"/>
        </w:rPr>
        <w:br/>
      </w:r>
      <w:r>
        <w:rPr>
          <w:bCs/>
        </w:rPr>
        <w:t>с самого начала списка и до исчерпания квоты.</w:t>
      </w:r>
    </w:p>
    <w:p w:rsidR="000875B4" w:rsidRDefault="000875B4">
      <w:pPr>
        <w:pStyle w:val="SingleTxt"/>
        <w:rPr>
          <w:bCs/>
        </w:rPr>
      </w:pPr>
      <w:r>
        <w:rPr>
          <w:bCs/>
        </w:rPr>
        <w:t>228.</w:t>
      </w:r>
      <w:r>
        <w:rPr>
          <w:bCs/>
        </w:rPr>
        <w:tab/>
        <w:t xml:space="preserve">Неправительственная организация "Гражданское участие", со своей стороны, потребовала от </w:t>
      </w:r>
      <w:r>
        <w:rPr>
          <w:bCs/>
          <w:lang w:val="ru-RU"/>
        </w:rPr>
        <w:t>Верховного избирательного суда</w:t>
      </w:r>
      <w:r>
        <w:rPr>
          <w:bCs/>
        </w:rPr>
        <w:t xml:space="preserve"> немедленно пересмотреть принятое решение и упорядочить регламентарные нормы. С аналогичным требованием выступили и другие организации, в том числе Ассамблея женщин Кито, Женский форум и др. Кроме того, решение верховного избирательного органа осудило и политическое движение "Сеть за этику и демократию".</w:t>
      </w:r>
    </w:p>
    <w:p w:rsidR="000875B4" w:rsidRDefault="000875B4">
      <w:pPr>
        <w:pStyle w:val="SingleTxt"/>
        <w:rPr>
          <w:bCs/>
        </w:rPr>
      </w:pPr>
      <w:r>
        <w:rPr>
          <w:bCs/>
        </w:rPr>
        <w:t>229.</w:t>
      </w:r>
      <w:r>
        <w:rPr>
          <w:bCs/>
        </w:rPr>
        <w:tab/>
        <w:t xml:space="preserve">По просьбе женских организаций Конституционный суд 9 августа обязал Верховный избирательный </w:t>
      </w:r>
      <w:r>
        <w:rPr>
          <w:bCs/>
          <w:lang w:val="ru-RU"/>
        </w:rPr>
        <w:t>суд</w:t>
      </w:r>
      <w:r>
        <w:rPr>
          <w:bCs/>
        </w:rPr>
        <w:t xml:space="preserve"> выполнить резолюцию, принятую пленумом Суда 22</w:t>
      </w:r>
      <w:r>
        <w:rPr>
          <w:bCs/>
          <w:lang w:val="ru-RU"/>
        </w:rPr>
        <w:t> </w:t>
      </w:r>
      <w:r>
        <w:rPr>
          <w:bCs/>
        </w:rPr>
        <w:t>ноября 2002 года и требующую строгого соблюдения Закона о квотах, и постановил принять соответствующие меры в течение 72 часов.</w:t>
      </w:r>
    </w:p>
    <w:p w:rsidR="000875B4" w:rsidRDefault="000875B4">
      <w:pPr>
        <w:pStyle w:val="SingleTxt"/>
      </w:pPr>
      <w:r>
        <w:t>230.</w:t>
      </w:r>
      <w:r>
        <w:tab/>
        <w:t xml:space="preserve">После того как работа по составлению списков кандидатов была завершена, женские организации потребовали от Избирательного </w:t>
      </w:r>
      <w:r>
        <w:rPr>
          <w:bCs/>
          <w:lang w:val="ru-RU"/>
        </w:rPr>
        <w:t>суд</w:t>
      </w:r>
      <w:r>
        <w:t>а провинции Пичинча предоставить списки кандидатов на все выборные должности в провинции, чтобы проверить соблюдение принципов чередования и ротации. Было установлено, что эти принципы не соблюдались. То же имело место и в других провинциях страны. Но вместе с тем было установлено, что в ряде списков кандидатов-женщин стало больше, чем в предыдущих избирательных кампаниях, и что им удалось в ходе этих выборов заручиться поддержкой избирателей.</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lang w:val="ru-RU"/>
        </w:rPr>
        <w:t>Женщины в Верховном суде</w:t>
      </w:r>
      <w:r>
        <w:rPr>
          <w:rStyle w:val="FootnoteReference"/>
          <w:b w:val="0"/>
          <w:bCs/>
        </w:rPr>
        <w:footnoteReference w:id="34"/>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231.</w:t>
      </w:r>
      <w:r>
        <w:rPr>
          <w:bCs/>
          <w:lang w:val="ru-RU"/>
        </w:rPr>
        <w:tab/>
        <w:t>Основной проблемой в деле восстановления социального мира и доверия граждан к государственным институтам было формирование Верховного суда. Исходя из того, что этот орган является высшей инстанцией в судебной системе страны, и понимая, что имеются конституционные и правовые основания для представленности женщин в его составе, КОНАМУ совместно с различными женскими организациями разработали стратегию, направленную на то, чтобы посредством мер позитивного действия заявить и реализовать права женщин на представительство.</w:t>
      </w:r>
    </w:p>
    <w:p w:rsidR="000875B4" w:rsidRDefault="000875B4">
      <w:pPr>
        <w:pStyle w:val="SingleTxt"/>
        <w:rPr>
          <w:bCs/>
          <w:lang w:val="ru-RU"/>
        </w:rPr>
      </w:pPr>
      <w:r>
        <w:rPr>
          <w:bCs/>
          <w:lang w:val="ru-RU"/>
        </w:rPr>
        <w:t>232.</w:t>
      </w:r>
      <w:r>
        <w:rPr>
          <w:bCs/>
          <w:lang w:val="ru-RU"/>
        </w:rPr>
        <w:tab/>
        <w:t>Были разработаны стратегии борьбы со скрытой дискриминацией в системе, где открытое предпочтение "меритократии", оказываемое Квалификационным комитетом при рассмотрении им списков претендентов, усугубляло дискриминацию женщин и, таким образом, преграждало им доступ в состав Суда.</w:t>
      </w:r>
    </w:p>
    <w:p w:rsidR="000875B4" w:rsidRDefault="000875B4">
      <w:pPr>
        <w:pStyle w:val="SingleTxt"/>
        <w:rPr>
          <w:bCs/>
          <w:lang w:val="ru-RU"/>
        </w:rPr>
      </w:pPr>
      <w:r>
        <w:rPr>
          <w:bCs/>
          <w:lang w:val="ru-RU"/>
        </w:rPr>
        <w:t>233.</w:t>
      </w:r>
      <w:r>
        <w:rPr>
          <w:bCs/>
          <w:lang w:val="ru-RU"/>
        </w:rPr>
        <w:tab/>
        <w:t>Благодаря настойчивости женских организаций и помощи со стороны КОНАМУ удалось добиться согласия на применение 20-процентной квоты для женщин при формировании Верховного суда. Однако бывший председатель Квалификационного комитета при поддержке его членов-мужчин и вопреки соглашениям и собственным постановлениям принял решение вернуться к первоначальной схеме отбора по количеству набранных баллов, так что в результате членами Суда были назначены только две женщины.</w:t>
      </w:r>
    </w:p>
    <w:p w:rsidR="000875B4" w:rsidRDefault="000875B4">
      <w:pPr>
        <w:pStyle w:val="SingleTxt"/>
        <w:rPr>
          <w:bCs/>
          <w:lang w:val="ru-RU"/>
        </w:rPr>
      </w:pPr>
      <w:r>
        <w:rPr>
          <w:bCs/>
          <w:lang w:val="ru-RU"/>
        </w:rPr>
        <w:t>234.</w:t>
      </w:r>
      <w:r>
        <w:rPr>
          <w:bCs/>
          <w:lang w:val="ru-RU"/>
        </w:rPr>
        <w:tab/>
        <w:t xml:space="preserve">Активное участие в этом процессе приняли Ассамблея женщин Кито, Женский форум Гуаякиля за правовую безопасность, Ассоциация женщин-судей Эквадора, Ассоциация женщин-адвокатов Эквадора, </w:t>
      </w:r>
      <w:r>
        <w:rPr>
          <w:color w:val="000000"/>
          <w:lang w:val="ru-RU"/>
        </w:rPr>
        <w:t xml:space="preserve">Политический координационный совет по делам женщин, Постоянный национальный женский форум Эквадора, СЕСИМ и другие организации. Технико-политическое содействие оказывали фонд "Равноправие и развитие" и КОНАМУ как национальный механизм по гендерным вопросам. </w:t>
      </w:r>
    </w:p>
    <w:p w:rsidR="000875B4" w:rsidRDefault="000875B4">
      <w:pPr>
        <w:pStyle w:val="SingleTxt"/>
        <w:rPr>
          <w:bCs/>
          <w:lang w:val="ru-RU"/>
        </w:rPr>
      </w:pPr>
      <w:r>
        <w:rPr>
          <w:bCs/>
          <w:lang w:val="ru-RU"/>
        </w:rPr>
        <w:t>235.</w:t>
      </w:r>
      <w:r>
        <w:rPr>
          <w:bCs/>
          <w:lang w:val="ru-RU"/>
        </w:rPr>
        <w:tab/>
      </w:r>
      <w:r>
        <w:rPr>
          <w:lang w:val="ru-RU"/>
        </w:rPr>
        <w:t>Крайне важную роль в борьбе за изменение подходов Квалификационного комитета Верховного суда</w:t>
      </w:r>
      <w:r>
        <w:rPr>
          <w:bCs/>
          <w:lang w:val="ru-RU"/>
        </w:rPr>
        <w:t xml:space="preserve"> сыграла решительная поддержка таких международных организаций, как Организация американских государств, Организация Объединенных Наций и </w:t>
      </w:r>
      <w:r>
        <w:rPr>
          <w:lang w:val="ru-RU"/>
        </w:rPr>
        <w:t>Андское сообщество. В ходе этой борьбы основной упор делался на защищаемые Конституцией права женщин и на соблюдение международных конвенций и договоров.</w:t>
      </w:r>
    </w:p>
    <w:p w:rsidR="000875B4" w:rsidRDefault="000875B4">
      <w:pPr>
        <w:pStyle w:val="SingleTxt"/>
      </w:pPr>
      <w:r>
        <w:t>236.</w:t>
      </w:r>
      <w:r>
        <w:tab/>
        <w:t>Несомненно, этот опыт станет прецедентом при осуществлении мер позитивного действия и применения минимальных квот в процессе отбора и назначения членов Совета по судебной службе, Конституционного суда, заполнения вакантных мест членов верховных и других судов. Тем не менее успех этой работы зависит от того, насколько судебной системе в целом удастся добиться независимости от политических партий, уважения принципов прозрачности, беспристрастности и равенства.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Cs/>
          <w:lang w:val="ru-RU"/>
        </w:rPr>
        <w:t>Другие сферы принятия решений</w:t>
      </w:r>
    </w:p>
    <w:p w:rsidR="000875B4" w:rsidRDefault="000875B4">
      <w:pPr>
        <w:pStyle w:val="SingleTxt"/>
        <w:spacing w:after="0" w:line="120" w:lineRule="exact"/>
        <w:rPr>
          <w:sz w:val="10"/>
        </w:rPr>
      </w:pPr>
    </w:p>
    <w:p w:rsidR="000875B4" w:rsidRDefault="000875B4">
      <w:pPr>
        <w:pStyle w:val="SingleTxt"/>
        <w:rPr>
          <w:bCs/>
          <w:lang w:val="ru-RU"/>
        </w:rPr>
      </w:pPr>
      <w:r>
        <w:t>23</w:t>
      </w:r>
      <w:r>
        <w:rPr>
          <w:lang w:val="ru-RU"/>
        </w:rPr>
        <w:t>7</w:t>
      </w:r>
      <w:r>
        <w:t>.</w:t>
      </w:r>
      <w:r>
        <w:tab/>
      </w:r>
      <w:r>
        <w:rPr>
          <w:bCs/>
          <w:lang w:val="ru-RU"/>
        </w:rPr>
        <w:t>Участие женщин в руководящих политических и экономических органах руководства непрерывно растет. В состав созданной в соответствии с законом в 1998 году Комиссии по гражданскому контролю над коррупцией входит одна женщина, представляющая женские организации страны. Кроме того, в течение ряда лет женщина возглавляла Внутреннюю налоговую службу. Аналогичным образом, несколько женщин руководили деятельностью Агентства по гарантии депозитов – учреждения, созданного для развития процесса оздоровления банковской системы. В последние годы несколько женщин сменили друг друга на посту Генерального прокурора страны.</w:t>
      </w:r>
    </w:p>
    <w:p w:rsidR="000875B4" w:rsidRDefault="000875B4">
      <w:pPr>
        <w:pStyle w:val="SingleTxt"/>
      </w:pPr>
      <w:r>
        <w:t>238.</w:t>
      </w:r>
      <w:r>
        <w:tab/>
        <w:t xml:space="preserve">Можно говорить о постепенном увеличении числа женщин на разных должностях во всех трех родах Вооруженных сил и в Национальной полиции, однако высоких постов здесь они пока не занимают. Так, в Вооруженных силах женщины распределены следующим образом: в сухопутных войсках служат 56 офицеров-женщин в званиях капитана, лейтенанта и младшего лейтенанта; </w:t>
      </w:r>
      <w:r>
        <w:rPr>
          <w:lang w:val="ru-RU"/>
        </w:rPr>
        <w:br/>
      </w:r>
      <w:r>
        <w:t xml:space="preserve">в Военно-морском флоте несут службу 79 женщин, 50 на офицерских должностях, </w:t>
      </w:r>
      <w:r>
        <w:rPr>
          <w:lang w:val="ru-RU"/>
        </w:rPr>
        <w:br/>
      </w:r>
      <w:r>
        <w:t xml:space="preserve">а 29 – в качестве рядовых сержантов; в Военно-воздушных силах 30 офицеров-женщин. В Национальной полиции служат 2115 женщин, 225 в качестве офицеров, </w:t>
      </w:r>
      <w:r>
        <w:rPr>
          <w:lang w:val="ru-RU"/>
        </w:rPr>
        <w:br/>
      </w:r>
      <w:r>
        <w:t>а 1890 – на должностях рядового и сержантского состава</w:t>
      </w:r>
      <w:r>
        <w:rPr>
          <w:rStyle w:val="FootnoteReference"/>
          <w:lang w:val="es-EC"/>
        </w:rPr>
        <w:footnoteReference w:id="35"/>
      </w:r>
      <w:r>
        <w:t>.</w:t>
      </w:r>
    </w:p>
    <w:p w:rsidR="000875B4" w:rsidRDefault="000875B4">
      <w:pPr>
        <w:pStyle w:val="SingleTxt"/>
        <w:rPr>
          <w:bCs/>
          <w:lang w:val="ru-RU"/>
        </w:rPr>
      </w:pPr>
      <w:r>
        <w:rPr>
          <w:bCs/>
          <w:lang w:val="ru-RU"/>
        </w:rPr>
        <w:t>239.</w:t>
      </w:r>
      <w:r>
        <w:rPr>
          <w:bCs/>
          <w:lang w:val="ru-RU"/>
        </w:rPr>
        <w:tab/>
        <w:t>Что же касается исполнительной власти, то за отчетный период несколько женщин были назначены на должности государственных министров в нескольких кабинетах. В кабинете, приступившем к исполнению своих обязанностей в 2007 году, 8 из 18 министерских постов, в том числе посты министров национальной обороны и иностранных дел, занимают женщины.</w:t>
      </w:r>
    </w:p>
    <w:p w:rsidR="000875B4" w:rsidRDefault="000875B4">
      <w:pPr>
        <w:pStyle w:val="SingleTxt"/>
      </w:pPr>
      <w:r>
        <w:t>240.</w:t>
      </w:r>
      <w:r>
        <w:tab/>
        <w:t>Однако женщины пока недостаточно представлены в руководящем составе других контролирующих органов, таких как Конституционный суд, Генеральная прокуратура и Генеральная счетная палата, – учреждений, члены которых избираются Национальным конгрессом.</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lang w:val="ru-RU"/>
        </w:rPr>
        <w:t>Проблемы разных групп женщин</w:t>
      </w:r>
    </w:p>
    <w:p w:rsidR="000875B4" w:rsidRDefault="000875B4">
      <w:pPr>
        <w:pStyle w:val="SingleTxt"/>
        <w:spacing w:after="0" w:line="120" w:lineRule="exact"/>
        <w:rPr>
          <w:sz w:val="10"/>
        </w:rPr>
      </w:pPr>
    </w:p>
    <w:p w:rsidR="000875B4" w:rsidRDefault="000875B4">
      <w:pPr>
        <w:pStyle w:val="SingleTxt"/>
        <w:rPr>
          <w:lang w:val="ru-RU"/>
        </w:rPr>
      </w:pPr>
      <w:r>
        <w:rPr>
          <w:lang w:val="ru-RU"/>
        </w:rPr>
        <w:t>241.</w:t>
      </w:r>
      <w:r>
        <w:rPr>
          <w:lang w:val="ru-RU"/>
        </w:rPr>
        <w:tab/>
        <w:t>Для утверждения и укрепления прав человека женщин в Эквадоре необходимо разработать конструктивные предложения по наиболее важным проблемам, а женскому движению следует обсуждать свои приоритетные задачи и добиваться одобрения общества в этом отношении.</w:t>
      </w:r>
    </w:p>
    <w:p w:rsidR="000875B4" w:rsidRDefault="000875B4">
      <w:pPr>
        <w:pStyle w:val="SingleTxt"/>
        <w:rPr>
          <w:lang w:val="ru-RU"/>
        </w:rPr>
      </w:pPr>
      <w:r>
        <w:rPr>
          <w:lang w:val="ru-RU"/>
        </w:rPr>
        <w:t>242.</w:t>
      </w:r>
      <w:r>
        <w:rPr>
          <w:lang w:val="ru-RU"/>
        </w:rPr>
        <w:tab/>
        <w:t>В этих целях государство при посредничестве КОНАМУ выделяло финансовые средства и необходимую технику в поддержку разработки разными женскими организациями их политических программ. В этих программах, разрабатываемых при активном участии членов организаций, учитывались потребности на соответствующем уровне (национальном, региональном и местном), а также специфика соответствующих групп женщин (женщины из числа коренных народов, потомки выходцев из Африки, молодежь, мигранты, лесбиянки, работницы сферы сексуальных услуг).</w:t>
      </w:r>
    </w:p>
    <w:p w:rsidR="000875B4" w:rsidRDefault="000875B4">
      <w:pPr>
        <w:pStyle w:val="SingleTxt"/>
        <w:rPr>
          <w:color w:val="000000"/>
          <w:lang w:val="ru-RU"/>
        </w:rPr>
      </w:pPr>
      <w:r>
        <w:rPr>
          <w:lang w:val="ru-RU"/>
        </w:rPr>
        <w:t>243.</w:t>
      </w:r>
      <w:r>
        <w:rPr>
          <w:lang w:val="ru-RU"/>
        </w:rPr>
        <w:tab/>
        <w:t xml:space="preserve">В августе прошлого года в ходе встречи, в которой приняли участие около 100 женщин – лидеров организаций из разных мест страны, была подготовлена Программа действий в интересах различных групп женщин Эквадора. В Программе определены 12 приоритетных задач, сгруппированных по четырем основным сферам прав, которые обозначены в Плане равенства возможностей на 2005–2009 годы. Помощь в этой работе оказывал </w:t>
      </w:r>
      <w:r>
        <w:rPr>
          <w:color w:val="000000"/>
          <w:lang w:val="ru-RU"/>
        </w:rPr>
        <w:t>Латиноамериканский институт социальных исследований.</w:t>
      </w:r>
    </w:p>
    <w:p w:rsidR="000875B4" w:rsidRDefault="000875B4">
      <w:pPr>
        <w:pStyle w:val="SingleTxt"/>
      </w:pPr>
      <w:r>
        <w:t>244.</w:t>
      </w:r>
      <w:r>
        <w:tab/>
        <w:t>Программа взята на вооружение женскими организациями национального и местного уровня и в среднесрочном плане станет той основой, ориентируясь на которую, после того как в 2007 году начнет функционировать новая администрация страны, женское движение сможет контролировать, насколько в государственных и политических программах учитываются интересы</w:t>
      </w:r>
      <w:r>
        <w:rPr>
          <w:lang w:val="ru-RU"/>
        </w:rPr>
        <w:t xml:space="preserve"> женщин</w:t>
      </w:r>
      <w:r>
        <w:t>.</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w:t>
      </w:r>
      <w:r>
        <w:rPr>
          <w:lang w:val="ru-RU"/>
        </w:rPr>
        <w:t>8</w:t>
      </w:r>
      <w:r>
        <w:br/>
        <w:t>Представленность женщин на международном уровне</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245.</w:t>
      </w:r>
      <w:r>
        <w:rPr>
          <w:color w:val="000000"/>
          <w:lang w:val="ru-RU"/>
        </w:rPr>
        <w:tab/>
        <w:t>Эквадор гарантирует женщинам равные с мужчинами права представлять правительство на международном уровне, а также занимать должности в международных организациях. Согласно Органическому закону о дипломатической службе, не существует дискриминации ни при принятии на дипломатическую службу, ни в отношении работы в Министерстве иностранных дел.</w:t>
      </w:r>
    </w:p>
    <w:p w:rsidR="000875B4" w:rsidRDefault="000875B4">
      <w:pPr>
        <w:pStyle w:val="SingleTxt"/>
        <w:rPr>
          <w:color w:val="000000"/>
          <w:lang w:val="ru-RU"/>
        </w:rPr>
      </w:pPr>
      <w:r>
        <w:rPr>
          <w:color w:val="000000"/>
          <w:lang w:val="ru-RU"/>
        </w:rPr>
        <w:t>246.</w:t>
      </w:r>
      <w:r>
        <w:rPr>
          <w:color w:val="000000"/>
          <w:lang w:val="ru-RU"/>
        </w:rPr>
        <w:tab/>
        <w:t xml:space="preserve">Дипломатическая академия каждые два года проводит открытый и публичный конкурс для желающих поступить на дипломатическую службу. Три последних таких конкурса проводились в разных городах и регионах страны: Кито, Гуаякиле, Куэнке, Манте, Лохе и в Восточном регионе. С 1998 </w:t>
      </w:r>
      <w:r>
        <w:rPr>
          <w:bCs/>
          <w:lang w:val="ru-RU"/>
        </w:rPr>
        <w:t>года</w:t>
      </w:r>
      <w:r>
        <w:rPr>
          <w:color w:val="000000"/>
          <w:lang w:val="ru-RU"/>
        </w:rPr>
        <w:t xml:space="preserve"> в числе поступающих на дипломатическую службу доля женщин и мужчин постепенно уравнивается. Так, </w:t>
      </w:r>
      <w:r>
        <w:rPr>
          <w:color w:val="000000"/>
          <w:lang w:val="ru-RU"/>
        </w:rPr>
        <w:br/>
        <w:t xml:space="preserve">в 1998 </w:t>
      </w:r>
      <w:r>
        <w:rPr>
          <w:bCs/>
          <w:lang w:val="ru-RU"/>
        </w:rPr>
        <w:t>году</w:t>
      </w:r>
      <w:r>
        <w:rPr>
          <w:color w:val="000000"/>
          <w:lang w:val="ru-RU"/>
        </w:rPr>
        <w:t xml:space="preserve"> на дипломатическую службу были приняты 6 женщин и 5 мужчин, </w:t>
      </w:r>
      <w:r>
        <w:rPr>
          <w:color w:val="000000"/>
          <w:lang w:val="ru-RU"/>
        </w:rPr>
        <w:br/>
        <w:t xml:space="preserve">в 2000 </w:t>
      </w:r>
      <w:r>
        <w:rPr>
          <w:bCs/>
          <w:lang w:val="ru-RU"/>
        </w:rPr>
        <w:t>году</w:t>
      </w:r>
      <w:r>
        <w:rPr>
          <w:lang w:val="ru-RU"/>
        </w:rPr>
        <w:t xml:space="preserve"> – </w:t>
      </w:r>
      <w:r>
        <w:rPr>
          <w:color w:val="000000"/>
          <w:lang w:val="ru-RU"/>
        </w:rPr>
        <w:t>5 женщин и 7 мужчин, в 2002 </w:t>
      </w:r>
      <w:r>
        <w:rPr>
          <w:bCs/>
          <w:lang w:val="ru-RU"/>
        </w:rPr>
        <w:t>году</w:t>
      </w:r>
      <w:r>
        <w:rPr>
          <w:color w:val="000000"/>
          <w:lang w:val="ru-RU"/>
        </w:rPr>
        <w:t xml:space="preserve"> – 8 женщин и 8 мужчин, </w:t>
      </w:r>
      <w:r>
        <w:rPr>
          <w:color w:val="000000"/>
          <w:lang w:val="ru-RU"/>
        </w:rPr>
        <w:br/>
        <w:t>в 2004 </w:t>
      </w:r>
      <w:r>
        <w:rPr>
          <w:bCs/>
          <w:lang w:val="ru-RU"/>
        </w:rPr>
        <w:t>году</w:t>
      </w:r>
      <w:r>
        <w:rPr>
          <w:color w:val="000000"/>
          <w:lang w:val="ru-RU"/>
        </w:rPr>
        <w:t xml:space="preserve"> – 17 женщин и 21 мужчина, в 2006 </w:t>
      </w:r>
      <w:r>
        <w:rPr>
          <w:bCs/>
          <w:lang w:val="ru-RU"/>
        </w:rPr>
        <w:t>году</w:t>
      </w:r>
      <w:r>
        <w:rPr>
          <w:color w:val="000000"/>
          <w:lang w:val="ru-RU"/>
        </w:rPr>
        <w:t xml:space="preserve"> – 16 женщин и 20 мужчин. </w:t>
      </w:r>
    </w:p>
    <w:p w:rsidR="000875B4" w:rsidRDefault="000875B4">
      <w:pPr>
        <w:pStyle w:val="SingleTxt"/>
        <w:rPr>
          <w:color w:val="000000"/>
          <w:lang w:val="ru-RU"/>
        </w:rPr>
      </w:pPr>
      <w:r>
        <w:rPr>
          <w:color w:val="000000"/>
          <w:lang w:val="ru-RU"/>
        </w:rPr>
        <w:t>247.</w:t>
      </w:r>
      <w:r>
        <w:rPr>
          <w:color w:val="000000"/>
          <w:lang w:val="ru-RU"/>
        </w:rPr>
        <w:tab/>
        <w:t>Благодаря внесенным Национальным конгрессом 12 июля 2006 </w:t>
      </w:r>
      <w:r>
        <w:rPr>
          <w:bCs/>
          <w:lang w:val="ru-RU"/>
        </w:rPr>
        <w:t>года поправкам в законодательство</w:t>
      </w:r>
      <w:r>
        <w:rPr>
          <w:color w:val="000000"/>
          <w:lang w:val="ru-RU"/>
        </w:rPr>
        <w:t xml:space="preserve"> были устранены некоторые дискриминационные нормы и внесены существенные изменения. Например, была отменена норма, согласно которой лицо, вступившее в брак с профессиональным дипломатом, должно принять гражданство страны супруга/супруги. Кроме того, предусматривалась возможность продолжения работы для профессиональных дипломатов, заключивших брак между собой, а если один из них направляется на работу за границу, то за вторым сохраняется его рабочее место и ему предоставляется отпуск без сохранения содержания, чтобы супруги могли выехать вместе. Эта норма действует </w:t>
      </w:r>
      <w:r>
        <w:rPr>
          <w:color w:val="000000"/>
          <w:lang w:val="ru-RU"/>
        </w:rPr>
        <w:br/>
        <w:t>в отношении как дипломатических сотрудников, так и вспомогательного персонала.</w:t>
      </w:r>
    </w:p>
    <w:p w:rsidR="000875B4" w:rsidRDefault="000875B4">
      <w:pPr>
        <w:pStyle w:val="SingleTxt"/>
        <w:rPr>
          <w:color w:val="000000"/>
          <w:lang w:val="ru-RU"/>
        </w:rPr>
      </w:pPr>
      <w:r>
        <w:rPr>
          <w:color w:val="000000"/>
          <w:lang w:val="ru-RU"/>
        </w:rPr>
        <w:t>248.</w:t>
      </w:r>
      <w:r>
        <w:rPr>
          <w:color w:val="000000"/>
          <w:lang w:val="ru-RU"/>
        </w:rPr>
        <w:tab/>
        <w:t>В поправках, внесенных в законодательство, предусматривается также, что каждый новый кабинет может по политическим соображениям назначать на дипломатические посты до 20 процентов новых сотрудников, то есть на эти должности могут быть назначены женщины – высококвалифицированные специалисты, даже если они не являются профессиональными дипломатами. Фактически на этих условиях две женщины были назначены министрами иностранных дел: д-р Нина Пакари в 2003 </w:t>
      </w:r>
      <w:r>
        <w:rPr>
          <w:bCs/>
          <w:lang w:val="ru-RU"/>
        </w:rPr>
        <w:t>году</w:t>
      </w:r>
      <w:r>
        <w:rPr>
          <w:color w:val="000000"/>
          <w:lang w:val="ru-RU"/>
        </w:rPr>
        <w:t xml:space="preserve"> и д-р Мария Фернанда Эспиноса </w:t>
      </w:r>
      <w:r>
        <w:rPr>
          <w:color w:val="000000"/>
          <w:lang w:val="ru-RU"/>
        </w:rPr>
        <w:br/>
        <w:t>в 2007 </w:t>
      </w:r>
      <w:r>
        <w:rPr>
          <w:bCs/>
          <w:lang w:val="ru-RU"/>
        </w:rPr>
        <w:t>году</w:t>
      </w:r>
      <w:r>
        <w:rPr>
          <w:color w:val="000000"/>
          <w:lang w:val="ru-RU"/>
        </w:rPr>
        <w:t xml:space="preserve">. Кроме того, женщины назначались на должности глав дипломатических миссий, консулов, заместителей региональных секретарей и руководителей административных подразделений. </w:t>
      </w:r>
    </w:p>
    <w:p w:rsidR="000875B4" w:rsidRDefault="000875B4">
      <w:pPr>
        <w:pStyle w:val="SingleTxt"/>
        <w:rPr>
          <w:color w:val="000000"/>
          <w:lang w:val="ru-RU"/>
        </w:rPr>
      </w:pPr>
      <w:r>
        <w:rPr>
          <w:color w:val="000000"/>
          <w:lang w:val="ru-RU"/>
        </w:rPr>
        <w:t>249.</w:t>
      </w:r>
      <w:r>
        <w:rPr>
          <w:color w:val="000000"/>
          <w:lang w:val="ru-RU"/>
        </w:rPr>
        <w:tab/>
        <w:t>По-прежнему женщины, стремящиеся сочетать профессиональную дипломатическую службу и личную жизнь, сталкиваются с трудностями. Однако, несмотря на это, с момента создания Академии в 1987 </w:t>
      </w:r>
      <w:r>
        <w:rPr>
          <w:bCs/>
          <w:lang w:val="ru-RU"/>
        </w:rPr>
        <w:t>году</w:t>
      </w:r>
      <w:r>
        <w:rPr>
          <w:color w:val="000000"/>
          <w:lang w:val="ru-RU"/>
        </w:rPr>
        <w:t xml:space="preserve"> и по 2006 </w:t>
      </w:r>
      <w:r>
        <w:rPr>
          <w:lang w:val="ru-RU" w:eastAsia="ko-KR"/>
        </w:rPr>
        <w:t>год</w:t>
      </w:r>
      <w:r>
        <w:rPr>
          <w:color w:val="000000"/>
          <w:lang w:val="ru-RU"/>
        </w:rPr>
        <w:t xml:space="preserve"> (то есть почти за двадцать лет) лишь четыре женщины покинули дипломатическую службу по личным или семейным обстоятельствам, а большинство, напротив, продвинулось по карьерной лестнице и работает в стране или за рубежом. </w:t>
      </w:r>
    </w:p>
    <w:p w:rsidR="000875B4" w:rsidRDefault="000875B4">
      <w:pPr>
        <w:pStyle w:val="SingleTxt"/>
        <w:rPr>
          <w:color w:val="000000"/>
          <w:lang w:val="ru-RU"/>
        </w:rPr>
      </w:pPr>
      <w:r>
        <w:rPr>
          <w:color w:val="000000"/>
          <w:lang w:val="ru-RU"/>
        </w:rPr>
        <w:t>250.</w:t>
      </w:r>
      <w:r>
        <w:rPr>
          <w:color w:val="000000"/>
          <w:lang w:val="ru-RU"/>
        </w:rPr>
        <w:tab/>
        <w:t xml:space="preserve">В период с 1998 по 2006 </w:t>
      </w:r>
      <w:r>
        <w:rPr>
          <w:lang w:val="ru-RU" w:eastAsia="ko-KR"/>
        </w:rPr>
        <w:t>год</w:t>
      </w:r>
      <w:r>
        <w:rPr>
          <w:color w:val="000000"/>
          <w:lang w:val="ru-RU"/>
        </w:rPr>
        <w:t xml:space="preserve"> на должности послов были назначены 55 мужчин и 5 женщин. Две из них ранее работали секретарями посольств, а три – послами за рубежом. Согласно предоставленным дипломатическим ведомством статистическим данным, 15 женщин и 39 мужчин работают в ранге посланников, то есть имеют вторую квалификационную категорию. Большинство из них являются поверенными в делах, консулами и руководителями административных подразделений. 16 женщин и 27 мужчин имеют ранг советников, 12 женщин и 17 мужчин – первых секретарей, 15 женщин и 18 мужчин – вторых секретарей, 21 женщина и 18 мужчин – третьих секретарей.</w:t>
      </w:r>
    </w:p>
    <w:p w:rsidR="000875B4" w:rsidRDefault="000875B4">
      <w:pPr>
        <w:pStyle w:val="SingleTxt"/>
        <w:rPr>
          <w:color w:val="000000"/>
          <w:lang w:val="ru-RU"/>
        </w:rPr>
      </w:pPr>
      <w:r>
        <w:rPr>
          <w:color w:val="000000"/>
          <w:lang w:val="ru-RU"/>
        </w:rPr>
        <w:t>251.</w:t>
      </w:r>
      <w:r>
        <w:rPr>
          <w:color w:val="000000"/>
          <w:lang w:val="ru-RU"/>
        </w:rPr>
        <w:tab/>
        <w:t>Приведенные статистические данные свидетельствуют о том, что за последние десять лет число женщин, работающих в системе Министерства иностранных дел Эквадора, значительно возросло и что среди вновь назначенных в последнее время сотрудников женщин оказалось почти столько же, сколько и мужчин, особенно на должностях нижнего и среднего уровней. Иное положение в отношении должностей высшего уровня. Это обусловлено тем, что больше двадцати лет назад, и особенно до создания Дипломатической академии, мало женщин отваживались начать работу в системе Министерства иностранных дел, и поэтому крайне невелико число женщин, занимающих должности послов и, в меньшей степени, посланников.</w:t>
      </w:r>
    </w:p>
    <w:p w:rsidR="000875B4" w:rsidRDefault="000875B4">
      <w:pPr>
        <w:pStyle w:val="SingleTxt"/>
        <w:rPr>
          <w:color w:val="000000"/>
          <w:lang w:val="ru-RU"/>
        </w:rPr>
      </w:pPr>
      <w:r>
        <w:rPr>
          <w:color w:val="000000"/>
          <w:lang w:val="ru-RU"/>
        </w:rPr>
        <w:t>252.</w:t>
      </w:r>
      <w:r>
        <w:rPr>
          <w:color w:val="000000"/>
          <w:lang w:val="ru-RU"/>
        </w:rPr>
        <w:tab/>
        <w:t xml:space="preserve">Следует учитывать также, что в действовавшем ранее законодательстве для каждой категории сотрудников устанавливался разный возраст выхода на пенсию, что противоречило положениям Конституции и законам о гражданской службе. Эти нормы, действовавшие до внесения в законодательство поправок, стали причиной того, что некоторые женщины и мужчины выходили на пенсию, не достигнув 65 лет. С принятием поправок ожидается, что и те и другие, независимо от квалификационной категории, будут выходить на пенсию лишь по достижении 65 лет и что больше женщин смогут дослужиться до ранга посла или посланника. </w:t>
      </w:r>
    </w:p>
    <w:p w:rsidR="000875B4" w:rsidRDefault="000875B4">
      <w:pPr>
        <w:pStyle w:val="SingleTxt"/>
      </w:pPr>
      <w:r>
        <w:t>253.</w:t>
      </w:r>
      <w:r>
        <w:tab/>
        <w:t>Все больше эквадорок представляют страну на международных встречах и конференциях, входят в состав делегаций страны, участвующих в этих мероприятиях, представляя в них государственные учреждения или неправительственные организации. Аналогичным образом, в последние годы увеличилось число женщин, занявших различные должности в международных организациях, как, например, Йоланда Какабатсе – специалист по проблемам экологии, Росалия Артеага, занимающаяся региональными организациями, Нина Пакари – член Постоянного форума Организации Объединенных Наций по вопросам коренных народов, Хуана Сотомайор, работающая в Управлении Верховного комиссара Организации Объединенных Наций по правам человека, и Сара Овьедо, занимавшая место председателя на последней сессии Межамериканского института ребенка.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Статья </w:t>
      </w:r>
      <w:r>
        <w:rPr>
          <w:lang w:val="ru-RU"/>
        </w:rPr>
        <w:t>9</w:t>
      </w:r>
      <w:r>
        <w:br/>
        <w:t>Гражданство</w:t>
      </w:r>
    </w:p>
    <w:p w:rsidR="000875B4" w:rsidRDefault="000875B4">
      <w:pPr>
        <w:pStyle w:val="SingleTxt"/>
        <w:spacing w:after="0" w:line="120" w:lineRule="exact"/>
        <w:rPr>
          <w:sz w:val="10"/>
        </w:rPr>
      </w:pPr>
    </w:p>
    <w:p w:rsidR="000875B4" w:rsidRDefault="000875B4">
      <w:pPr>
        <w:pStyle w:val="SingleTxt"/>
      </w:pPr>
      <w:r>
        <w:t>254.</w:t>
      </w:r>
      <w:r>
        <w:tab/>
        <w:t>В Конституции закреплено равноправие женщин и мужчин в вопросах приобретения и сохранения гражданства или отказа от него. В ней говорится, что гражданство не утрачивается при вступлении в брак или при его расторжении и что лица, получающие гражданство Эквадора, могут по своему желанию и при наличии допускающего это двустороннего договора сохранить свое первоначальное гражданство (статьи 9 и 10). Эти правовые принципы подтверждаются в Гражданском кодексе и в Законе о натурализации, согласно которым предусматривается равноправие супругов на сохранение или изменение гражданства и на выбор местожительства.</w:t>
      </w:r>
    </w:p>
    <w:p w:rsidR="000875B4" w:rsidRDefault="000875B4">
      <w:pPr>
        <w:pStyle w:val="SingleTxt"/>
      </w:pPr>
      <w:r>
        <w:t>255.</w:t>
      </w:r>
      <w:r>
        <w:tab/>
        <w:t>В отношении миграции следует отметить, что для выезда несовершеннолетних граждан Эквадора из страны необходимо разрешение родителей даже в том случае, если они выезжают с одним из них. При наличии взаимного согласия родителей разрешение на выезд с указанием конкретных сроков и места назначения заверяется государственным нотариусом, а затем регистрируется в органах власти, занимающихся вопросами миграции. В случае если один из родителей не дает своего согласия, разрешение на выезд ребенка может дать только судья по делам детей. Эти положения закона гарантируют равные права отца и матери на выдачу разрешения на выезд детей и подростков за рубеж.</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w:t>
      </w:r>
      <w:r>
        <w:rPr>
          <w:lang w:val="ru-RU"/>
        </w:rPr>
        <w:t>10</w:t>
      </w:r>
      <w:r>
        <w:br/>
        <w:t>Право на образование</w:t>
      </w:r>
    </w:p>
    <w:p w:rsidR="000875B4" w:rsidRDefault="000875B4">
      <w:pPr>
        <w:pStyle w:val="SingleTxt"/>
        <w:spacing w:after="0" w:line="120" w:lineRule="exact"/>
        <w:rPr>
          <w:sz w:val="10"/>
        </w:rPr>
      </w:pPr>
    </w:p>
    <w:p w:rsidR="000875B4" w:rsidRDefault="000875B4">
      <w:pPr>
        <w:pStyle w:val="SingleTxt"/>
      </w:pPr>
      <w:r>
        <w:t>256.</w:t>
      </w:r>
      <w:r>
        <w:tab/>
        <w:t>Согласно Конституции, каждое лицо имеет право на образование, а государство призвано рассматривать образование как приоритетную сферу государственных расходов и должно выделять на нужды образования и ликвидацию неграмотности не менее 30 процентов бюджетных средств. В Конституции гарантируется также предоставление межкультурного двуязычного образования (статья 66 и последующие). Несмотря на эти положения Конституции, государство испытывает трудности с выделением минимально необходимых бюджетных ассигнований.</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lang w:val="ru-RU"/>
        </w:rPr>
        <w:t>Ликвидация неграмотности</w:t>
      </w:r>
    </w:p>
    <w:p w:rsidR="000875B4" w:rsidRDefault="000875B4">
      <w:pPr>
        <w:pStyle w:val="SingleTxt"/>
        <w:spacing w:after="0" w:line="120" w:lineRule="exact"/>
        <w:rPr>
          <w:sz w:val="10"/>
        </w:rPr>
      </w:pPr>
    </w:p>
    <w:p w:rsidR="000875B4" w:rsidRDefault="000875B4">
      <w:pPr>
        <w:pStyle w:val="SingleTxt"/>
        <w:rPr>
          <w:lang w:val="ru-RU"/>
        </w:rPr>
      </w:pPr>
      <w:r>
        <w:rPr>
          <w:lang w:val="ru-RU"/>
        </w:rPr>
        <w:t>257.</w:t>
      </w:r>
      <w:r>
        <w:rPr>
          <w:lang w:val="ru-RU"/>
        </w:rPr>
        <w:tab/>
        <w:t xml:space="preserve">В целях реализации рекомендаций Комитета относительно права на образование, содержащихся в пунктах 26 и 27 его Заключительных замечаний, государство оказывает активную поддержку реализуемой Министерством образования и культуры и местными органами власти стратегии ликвидации неграмотности женщин, в первую очередь из числа коренного населения и проживающих в сельских районах. В этих целях КОНАМУ совместно с местными органами власти Котакачи и муниципального округа Кито, а также с органами власти других провинций реализует программу ликвидации неграмотности женщин и их последующего обучения под названием "Я могу". В настоящее время эта программа осуществляется в 68 кантонах 18 провинций, и в ее рамках читать и писать научились 31 528 человек, из которых 21 249 – женщины, то есть женщины активнее использовали предоставляемые программой возможности. </w:t>
      </w:r>
    </w:p>
    <w:p w:rsidR="000875B4" w:rsidRDefault="000875B4">
      <w:pPr>
        <w:pStyle w:val="SingleTxt"/>
        <w:rPr>
          <w:lang w:val="ru-RU"/>
        </w:rPr>
      </w:pPr>
      <w:r>
        <w:rPr>
          <w:lang w:val="ru-RU"/>
        </w:rPr>
        <w:t>258.</w:t>
      </w:r>
      <w:r>
        <w:rPr>
          <w:lang w:val="ru-RU"/>
        </w:rPr>
        <w:tab/>
        <w:t>В отдельных случаях техническое содействие в реализации программы "Я могу" оказывают кубинские преподаватели. В рамках программы в 2005 </w:t>
      </w:r>
      <w:r>
        <w:rPr>
          <w:bCs/>
          <w:lang w:val="ru-RU"/>
        </w:rPr>
        <w:t>году</w:t>
      </w:r>
      <w:r>
        <w:rPr>
          <w:lang w:val="ru-RU"/>
        </w:rPr>
        <w:t xml:space="preserve"> удалось обучить грамоте более 680 женщин в кантоне Котакачи провинции Имбабура, и, таким образом, Котакачи стал "Территорией, свободной от неграмотности-2005". Дальнейшее обучение в 2006 </w:t>
      </w:r>
      <w:r>
        <w:rPr>
          <w:bCs/>
          <w:lang w:val="ru-RU"/>
        </w:rPr>
        <w:t>году</w:t>
      </w:r>
      <w:r>
        <w:rPr>
          <w:lang w:val="ru-RU"/>
        </w:rPr>
        <w:t xml:space="preserve"> проходили 580 женщин. В беднейших городских районах кантона Кито грамоте обучались 380 женщин. </w:t>
      </w:r>
    </w:p>
    <w:p w:rsidR="000875B4" w:rsidRDefault="000875B4">
      <w:pPr>
        <w:pStyle w:val="SingleTxt"/>
      </w:pPr>
      <w:r>
        <w:t>259.</w:t>
      </w:r>
      <w:r>
        <w:tab/>
        <w:t>Кроме того, КОНАМУ совместно с Национальным управлением народного постоянного образования Министерства образования и культуры занимается разработкой и осуществлением национальной политики ликвидации неграмотности среди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lang w:val="ru-RU"/>
        </w:rPr>
        <w:t>Подход Министерства образования к решению гендерных проблем</w:t>
      </w:r>
    </w:p>
    <w:p w:rsidR="000875B4" w:rsidRDefault="000875B4">
      <w:pPr>
        <w:pStyle w:val="SingleTxt"/>
        <w:spacing w:after="0" w:line="120" w:lineRule="exact"/>
        <w:rPr>
          <w:sz w:val="10"/>
        </w:rPr>
      </w:pPr>
    </w:p>
    <w:p w:rsidR="000875B4" w:rsidRDefault="000875B4">
      <w:pPr>
        <w:pStyle w:val="SingleTxt"/>
        <w:rPr>
          <w:lang w:val="ru-RU"/>
        </w:rPr>
      </w:pPr>
      <w:r>
        <w:rPr>
          <w:lang w:val="ru-RU"/>
        </w:rPr>
        <w:t>260.</w:t>
      </w:r>
      <w:r>
        <w:rPr>
          <w:lang w:val="ru-RU"/>
        </w:rPr>
        <w:tab/>
        <w:t>Министерство образования и культуры инициировало создание сети "Проэкидад", объединившей технические подразделения этого ведомства. Гендерные аспекты включены во все учебные программы, школьные учебники, систему подготовки студентов высших педагогических учебных заведений, в систему предупреждения сексуального насилия в учебных заведениях и наказания за него. Кроме того, возросло количество государственных и муниципальных учебных заведений со смешанным обучением, то есть открытых и для мужчин, и для женщин.</w:t>
      </w:r>
    </w:p>
    <w:p w:rsidR="000875B4" w:rsidRDefault="000875B4">
      <w:pPr>
        <w:pStyle w:val="SingleTxt"/>
      </w:pPr>
      <w:r>
        <w:t>261.</w:t>
      </w:r>
      <w:r>
        <w:tab/>
        <w:t xml:space="preserve">Государственная политика в сфере образования уделяет приоритетное внимание Программе обеспечения гендерного равенства в школе. В 2005 году был проведен первый семинар по разработке Плана оценки гендерных факторов, </w:t>
      </w:r>
      <w:r>
        <w:rPr>
          <w:lang w:val="ru-RU"/>
        </w:rPr>
        <w:br/>
      </w:r>
      <w:r>
        <w:t xml:space="preserve">в котором участвовали представители управлений образования районов Литораль, Аустро и Амазонии. В 2005 году было подписано Соглашение о сотрудничестве, </w:t>
      </w:r>
      <w:r>
        <w:rPr>
          <w:lang w:val="ru-RU"/>
        </w:rPr>
        <w:br/>
      </w:r>
      <w:r>
        <w:t>в рамках которого ставится задача сделать разработку Плана оценки гендерных факторов составной частью образовательной политики в этих районах, и прежде всего в провинциях Гуаяс, Лос-Риос, Эль-Оро, Манаби, Галапагосские острова и Боливар.</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lang w:val="ru-RU"/>
        </w:rPr>
        <w:t>Подготовка преподавателей на основе гендерного подхода</w:t>
      </w:r>
    </w:p>
    <w:p w:rsidR="000875B4" w:rsidRDefault="000875B4">
      <w:pPr>
        <w:pStyle w:val="SingleTxt"/>
        <w:spacing w:after="0" w:line="120" w:lineRule="exact"/>
        <w:rPr>
          <w:sz w:val="10"/>
        </w:rPr>
      </w:pPr>
    </w:p>
    <w:p w:rsidR="000875B4" w:rsidRDefault="000875B4">
      <w:pPr>
        <w:pStyle w:val="SingleTxt"/>
        <w:rPr>
          <w:lang w:val="ru-RU"/>
        </w:rPr>
      </w:pPr>
      <w:r>
        <w:rPr>
          <w:lang w:val="ru-RU"/>
        </w:rPr>
        <w:t>262.</w:t>
      </w:r>
      <w:r>
        <w:rPr>
          <w:lang w:val="ru-RU"/>
        </w:rPr>
        <w:tab/>
        <w:t xml:space="preserve">В отношении обеспокоенности Комитета, выраженной в пунктах 28 и 29 его Заключительных замечаний, следует отметить, что на национальном уровне государство оказывает активную поддержку гендерному подходу при подготовке преподавателей в системе Министерства образования и культуры, используя для этого программу "К гендерному равенству в образовании". </w:t>
      </w:r>
    </w:p>
    <w:p w:rsidR="000875B4" w:rsidRDefault="000875B4">
      <w:pPr>
        <w:pStyle w:val="SingleTxt"/>
        <w:rPr>
          <w:lang w:val="ru-RU"/>
        </w:rPr>
      </w:pPr>
      <w:r>
        <w:rPr>
          <w:lang w:val="ru-RU"/>
        </w:rPr>
        <w:t>263.</w:t>
      </w:r>
      <w:r>
        <w:rPr>
          <w:lang w:val="ru-RU"/>
        </w:rPr>
        <w:tab/>
        <w:t xml:space="preserve">С этой целью в декабре 2005 </w:t>
      </w:r>
      <w:r>
        <w:rPr>
          <w:bCs/>
          <w:lang w:val="ru-RU"/>
        </w:rPr>
        <w:t>года</w:t>
      </w:r>
      <w:r>
        <w:rPr>
          <w:lang w:val="ru-RU"/>
        </w:rPr>
        <w:t xml:space="preserve"> было подписано рассчитанное на 5 лет соглашение с Управлением образования Министерства. Гендерная проблематика, и прежде всего вопросы защиты прав и насилия, были включены в образовательные программы, с тем чтобы они изучались на курсах повышения квалификации преподавателей. Программой предусматривается также пересмотр учебных текстов с учетом гендерного подхода, чтобы исключить элементы сексизма и стереотипы, увековечивающие дискриминацию в отношении женщин.</w:t>
      </w:r>
    </w:p>
    <w:p w:rsidR="000875B4" w:rsidRDefault="000875B4">
      <w:pPr>
        <w:pStyle w:val="SingleTxt"/>
      </w:pPr>
      <w:r>
        <w:t>264.</w:t>
      </w:r>
      <w:r>
        <w:tab/>
        <w:t>С января 2006 года Национальное управление по вопросам повышения квалификации ДИНАМЕП Министерства образования и культуры при поддержке трех региональных управлений Министерства (Литораль – 5 провинций, Аустро – 5 провинций и Амазония – 5 провинций) приступило к обучению работников образования этих трех районов методам работы по этой программе. К настоящему времени проведены соответствующие мероприятия в районах, а 60 технических сотрудников ДИНАМЕП прошли обучение методам осуществления проекта на уровне провинций и на национальном уровне.</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lang w:val="ru-RU"/>
        </w:rPr>
        <w:t>Гендерный подход в профессиональном и высшем образовании</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265.</w:t>
      </w:r>
      <w:r>
        <w:rPr>
          <w:color w:val="000000"/>
          <w:lang w:val="ru-RU"/>
        </w:rPr>
        <w:tab/>
        <w:t>Состав студентов высших учебных заведений в разбивке по полу отражает основные тенденции в распределении гендерных предпочтений: женщины в основном изучают общественные дисциплины, а мужчины – технические. Среди студентов, изучающих медицину и педагогику, большинство составляют женщины. Крайне актуален вопрос о разработке стратегии изменения учебных программ высшего образования таким образом, чтобы подготовленные в высшей школе специалисты имели широкое представление о гендерных проблемах в стране и о тех реальных различиях, с которыми сталкиваются мужчины и женщины.</w:t>
      </w:r>
    </w:p>
    <w:p w:rsidR="000875B4" w:rsidRDefault="000875B4">
      <w:pPr>
        <w:pStyle w:val="SingleTxt"/>
        <w:rPr>
          <w:lang w:val="ru-RU"/>
        </w:rPr>
      </w:pPr>
      <w:r>
        <w:rPr>
          <w:lang w:val="ru-RU"/>
        </w:rPr>
        <w:t>266.</w:t>
      </w:r>
      <w:r>
        <w:rPr>
          <w:lang w:val="ru-RU"/>
        </w:rPr>
        <w:tab/>
        <w:t xml:space="preserve">КОНАМУ совместно с эквадорской Службой </w:t>
      </w:r>
      <w:r>
        <w:rPr>
          <w:color w:val="000000"/>
          <w:lang w:val="ru-RU"/>
        </w:rPr>
        <w:t xml:space="preserve">профессиональной подготовки (СЕКАП), Министерством труда и занятости и Фондом Организации Объединенных Наций в области народонаселения разработали в 2006 </w:t>
      </w:r>
      <w:r>
        <w:rPr>
          <w:bCs/>
          <w:lang w:val="ru-RU"/>
        </w:rPr>
        <w:t>году</w:t>
      </w:r>
      <w:r>
        <w:rPr>
          <w:color w:val="000000"/>
          <w:lang w:val="ru-RU"/>
        </w:rPr>
        <w:t xml:space="preserve"> План работы по учету гендерного подхода в учебных программах СЕКАП. </w:t>
      </w:r>
    </w:p>
    <w:p w:rsidR="000875B4" w:rsidRDefault="000875B4">
      <w:pPr>
        <w:pStyle w:val="SingleTxt"/>
        <w:rPr>
          <w:lang w:val="ru-RU"/>
        </w:rPr>
      </w:pPr>
      <w:r>
        <w:rPr>
          <w:lang w:val="ru-RU"/>
        </w:rPr>
        <w:t>267.</w:t>
      </w:r>
      <w:r>
        <w:rPr>
          <w:lang w:val="ru-RU"/>
        </w:rPr>
        <w:tab/>
        <w:t xml:space="preserve">В рамках этого плана работы группы инструкторов и технических сотрудников СЕКАП, а также руководящие работники Министерства труда прошли подготовку по вопросам работы с рассчитанным на 40 учебных часов образовательным модулем по гендерным вопросам, правам женщин, проблемам насилия и образования. </w:t>
      </w:r>
      <w:r>
        <w:rPr>
          <w:lang w:val="ru-RU"/>
        </w:rPr>
        <w:br/>
        <w:t xml:space="preserve">С марта 2007 </w:t>
      </w:r>
      <w:r>
        <w:rPr>
          <w:bCs/>
          <w:lang w:val="ru-RU"/>
        </w:rPr>
        <w:t>года</w:t>
      </w:r>
      <w:r>
        <w:rPr>
          <w:lang w:val="ru-RU"/>
        </w:rPr>
        <w:t xml:space="preserve"> этот модуль будет внедряться в 22 провинциальных центрах СЕКАП.</w:t>
      </w:r>
    </w:p>
    <w:p w:rsidR="000875B4" w:rsidRDefault="000875B4">
      <w:pPr>
        <w:pStyle w:val="SingleTxt"/>
        <w:rPr>
          <w:lang w:val="ru-RU"/>
        </w:rPr>
      </w:pPr>
      <w:r>
        <w:rPr>
          <w:lang w:val="ru-RU"/>
        </w:rPr>
        <w:t>268.</w:t>
      </w:r>
      <w:r>
        <w:rPr>
          <w:lang w:val="ru-RU"/>
        </w:rPr>
        <w:tab/>
        <w:t>Представляется важным также упомянуть различные инициативы по изучению гендерных проблем и проблем государственной политики, реализуемые в рамках высшего образования. Эти инициативы рассчитаны на женщин и мужчин – специалистов в разных областях, прежде всего на государственных служащих.</w:t>
      </w:r>
    </w:p>
    <w:p w:rsidR="000875B4" w:rsidRDefault="000875B4">
      <w:pPr>
        <w:pStyle w:val="SingleTxt"/>
        <w:rPr>
          <w:lang w:val="ru-RU"/>
        </w:rPr>
      </w:pPr>
      <w:r>
        <w:rPr>
          <w:lang w:val="ru-RU"/>
        </w:rPr>
        <w:t>269.</w:t>
      </w:r>
      <w:r>
        <w:rPr>
          <w:lang w:val="ru-RU"/>
        </w:rPr>
        <w:tab/>
        <w:t xml:space="preserve">Центральный университет Эквадора, государственное высшее учебное заведение, стал пионером в разработке программ подготовки по гендерным вопросам для системы высшего образования страны. С 1995 </w:t>
      </w:r>
      <w:r>
        <w:rPr>
          <w:bCs/>
          <w:lang w:val="ru-RU"/>
        </w:rPr>
        <w:t>года</w:t>
      </w:r>
      <w:r>
        <w:rPr>
          <w:lang w:val="ru-RU"/>
        </w:rPr>
        <w:t xml:space="preserve"> здесь ведется работа по университетской программе изучения гендерных вопросов, разработанной в рамках проекта "Альтернативное образование на основе гендерного подхода". Университетские преподаватели проводят учебные занятия, исследования и внедряют гендерный подход в учебные программы. Основной составляющей этой работы является вовлечение женщин – сотрудниц университета во все направления учебной и политической работы этого учебного заведения. Одним из главных результатов этой деятельности стало участие координаторов Программы в работе Сети программ по изучению проблем женщин и гендерных проблем в странах Латинской Америки и Карибского бассейна.</w:t>
      </w:r>
    </w:p>
    <w:p w:rsidR="000875B4" w:rsidRDefault="000875B4">
      <w:pPr>
        <w:pStyle w:val="SingleTxt"/>
        <w:rPr>
          <w:lang w:val="ru-RU"/>
        </w:rPr>
      </w:pPr>
      <w:r>
        <w:rPr>
          <w:lang w:val="ru-RU"/>
        </w:rPr>
        <w:t>270.</w:t>
      </w:r>
      <w:r>
        <w:rPr>
          <w:lang w:val="ru-RU"/>
        </w:rPr>
        <w:tab/>
        <w:t xml:space="preserve">Многое было сделано для учета гендерного фактора в учебных программах различных факультетов, например медицинского, где эти вопросы изучаются в рамках курса подготовки медицинских сестер и акушерок. На факультетах психологии, а также социальных коммуникаций и социологии имеются кафедры изучения гендерных проблем. На философском факультете гендерные проблемы изучаются в рамках курса подготовки по десяти изучаемым здесь специальностям. </w:t>
      </w:r>
      <w:r>
        <w:rPr>
          <w:lang w:val="ru-RU"/>
        </w:rPr>
        <w:br/>
        <w:t xml:space="preserve">В настоящее время в ходе подготовки второго выпуска студентов магистратуры </w:t>
      </w:r>
      <w:r>
        <w:rPr>
          <w:lang w:val="ru-RU"/>
        </w:rPr>
        <w:br/>
        <w:t xml:space="preserve">по специальности "Высшее образование и гендерные проблемы" реализуется Программа четвертого уровня. </w:t>
      </w:r>
    </w:p>
    <w:p w:rsidR="000875B4" w:rsidRDefault="000875B4">
      <w:pPr>
        <w:pStyle w:val="SingleTxt"/>
        <w:rPr>
          <w:lang w:val="ru-RU"/>
        </w:rPr>
      </w:pPr>
      <w:r>
        <w:rPr>
          <w:lang w:val="ru-RU"/>
        </w:rPr>
        <w:t>271.</w:t>
      </w:r>
      <w:r>
        <w:rPr>
          <w:lang w:val="ru-RU"/>
        </w:rPr>
        <w:tab/>
        <w:t xml:space="preserve">Аналогичным образом, </w:t>
      </w:r>
      <w:r>
        <w:rPr>
          <w:color w:val="000000"/>
          <w:lang w:val="ru-RU"/>
        </w:rPr>
        <w:t xml:space="preserve">Латиноамериканский факультет общественных наук предлагает курс подготовки по гендерным вопросам и проблемам государственной политики. Этот курс рассчитан, в частности, на сотрудников и руководителей Министерства здравоохранения и специалистов-медиков широкого профиля, которые по окончании обучения получают дипломы специалистов по гендерным вопросам и политике. </w:t>
      </w:r>
    </w:p>
    <w:p w:rsidR="000875B4" w:rsidRDefault="000875B4">
      <w:pPr>
        <w:pStyle w:val="SingleTxt"/>
      </w:pPr>
      <w:r>
        <w:t>272.</w:t>
      </w:r>
      <w:r>
        <w:tab/>
        <w:t>Политехнический университет Кито, Университет "Каса Гранде" в Гуаякиле и Университет Куэнки осуществляют стратегическое партнерство в разработке и внедрении учебных курсов по гендерным проблемам и проблемам государственной политики, решая тем самым задачу повышения профессионализма и специализации сотрудников государственных учреждений, что способствует укреплению потенциала органов как центральной, так и местной власти.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w:t>
      </w:r>
      <w:r>
        <w:rPr>
          <w:bCs/>
          <w:iCs/>
          <w:lang w:val="ru-RU"/>
        </w:rPr>
        <w:t>11</w:t>
      </w:r>
      <w:r>
        <w:br/>
        <w:t>Право на труд</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273.</w:t>
      </w:r>
      <w:r>
        <w:rPr>
          <w:color w:val="000000"/>
          <w:lang w:val="ru-RU"/>
        </w:rPr>
        <w:tab/>
        <w:t xml:space="preserve">Согласно Конституции, государство гарантирует женщинам равные с мужчинами возможности трудоустройства и равную плату за равноценный труд. Кроме того, неоплачиваемая работа по дому признается в Конституции производительным трудом. </w:t>
      </w:r>
    </w:p>
    <w:p w:rsidR="000875B4" w:rsidRDefault="000875B4">
      <w:pPr>
        <w:pStyle w:val="SingleTxt"/>
        <w:rPr>
          <w:color w:val="000000"/>
          <w:lang w:val="ru-RU"/>
        </w:rPr>
      </w:pPr>
      <w:r>
        <w:rPr>
          <w:color w:val="000000"/>
          <w:lang w:val="ru-RU"/>
        </w:rPr>
        <w:t>274.</w:t>
      </w:r>
      <w:r>
        <w:rPr>
          <w:color w:val="000000"/>
          <w:lang w:val="ru-RU"/>
        </w:rPr>
        <w:tab/>
        <w:t xml:space="preserve">Эквадор подписал принятые Международной организацией труда международные конвенции о трудовых правах и об обязательном социальном страховании, такие как, например, Конвенция № 103 об охране материнства. Однако пока не ратифицирована Конвенция № 183, в которой, в числе прочих, рассматриваются такие важные вопросы, поднятые в Конвенции № 103, как отпуск по беременности и родам, отпуск в случае заболевания или осложненного течения беременности, льготы, занятость и недопущение дискриминации беременных. </w:t>
      </w:r>
    </w:p>
    <w:p w:rsidR="000875B4" w:rsidRDefault="000875B4">
      <w:pPr>
        <w:pStyle w:val="SingleTxt"/>
      </w:pPr>
      <w:r>
        <w:t>275.</w:t>
      </w:r>
      <w:r>
        <w:tab/>
        <w:t>Трудовым кодексом предусмотрены компенсации беременным женщинам, уволенным по причине беременности, а также предоставление дородового и послеродового отпуска продолжительностью две и десять недель соответственно.</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lang w:val="ru-RU"/>
        </w:rPr>
        <w:t>Гендерный подход при осуществлении политики в области труда</w:t>
      </w:r>
    </w:p>
    <w:p w:rsidR="000875B4" w:rsidRDefault="000875B4">
      <w:pPr>
        <w:pStyle w:val="SingleTxt"/>
        <w:spacing w:after="0" w:line="120" w:lineRule="exact"/>
        <w:rPr>
          <w:sz w:val="10"/>
        </w:rPr>
      </w:pPr>
    </w:p>
    <w:p w:rsidR="000875B4" w:rsidRDefault="000875B4">
      <w:pPr>
        <w:pStyle w:val="SingleTxt"/>
        <w:rPr>
          <w:lang w:val="ru-RU"/>
        </w:rPr>
      </w:pPr>
      <w:r>
        <w:rPr>
          <w:lang w:val="ru-RU"/>
        </w:rPr>
        <w:t>276.</w:t>
      </w:r>
      <w:r>
        <w:rPr>
          <w:lang w:val="ru-RU"/>
        </w:rPr>
        <w:tab/>
        <w:t>В рамках обеспечения повсеместного учета гендерного подхода при осуществлении политики в области труда Министерство труда и занятости и КОНАМУ подписали в июле 2005 </w:t>
      </w:r>
      <w:r>
        <w:rPr>
          <w:bCs/>
          <w:lang w:val="ru-RU"/>
        </w:rPr>
        <w:t>года</w:t>
      </w:r>
      <w:r>
        <w:rPr>
          <w:lang w:val="ru-RU"/>
        </w:rPr>
        <w:t xml:space="preserve"> соглашение о сотрудничестве, главная цель которого – обеспечить включение гендерного подхода в Оперативный план Министерства, и прежде всего в План первоочередных мероприятий в сферах занятости, трехстороннего социального диалога, профессиональной подготовки и помощи микропредприятиям.</w:t>
      </w:r>
    </w:p>
    <w:p w:rsidR="000875B4" w:rsidRDefault="000875B4">
      <w:pPr>
        <w:pStyle w:val="SingleTxt"/>
        <w:rPr>
          <w:lang w:val="ru-RU"/>
        </w:rPr>
      </w:pPr>
      <w:r>
        <w:rPr>
          <w:lang w:val="ru-RU"/>
        </w:rPr>
        <w:t>277.</w:t>
      </w:r>
      <w:r>
        <w:rPr>
          <w:lang w:val="ru-RU"/>
        </w:rPr>
        <w:tab/>
        <w:t>В рамках этого сотрудничества удалось создать в Министерстве Группу по обеспечению гендерного равенства и по вопросам молодежи</w:t>
      </w:r>
      <w:r>
        <w:rPr>
          <w:rStyle w:val="FootnoteReference"/>
        </w:rPr>
        <w:footnoteReference w:id="36"/>
      </w:r>
      <w:r>
        <w:rPr>
          <w:lang w:val="ru-RU"/>
        </w:rPr>
        <w:t>, чтобы таким образом реализовать на практике положения нескольких статей Конституции, в том числе статьи 23, в которой говорится об искоренении дискриминации и обеспечении равных возможностей в соответствии с международными обязательствами в отношении прав женщин.</w:t>
      </w:r>
    </w:p>
    <w:p w:rsidR="000875B4" w:rsidRDefault="000875B4">
      <w:pPr>
        <w:pStyle w:val="SingleTxt"/>
        <w:rPr>
          <w:lang w:val="ru-RU"/>
        </w:rPr>
      </w:pPr>
      <w:r>
        <w:rPr>
          <w:lang w:val="ru-RU"/>
        </w:rPr>
        <w:t>278.</w:t>
      </w:r>
      <w:r>
        <w:rPr>
          <w:lang w:val="ru-RU"/>
        </w:rPr>
        <w:tab/>
        <w:t>Задачей Группы является "создание и укрепление механизмов, которые способствовали бы тому, чтобы учитывающая гендерный подход политика в сфере труда, будь то вопросы профессиональной подготовки или трудоустройства, была реально взята на вооружение Министерством труда и занятости и соответствующим образом осуществлялась государственными учреждениями и частными компаниями страны"</w:t>
      </w:r>
      <w:r>
        <w:rPr>
          <w:rStyle w:val="FootnoteReference"/>
        </w:rPr>
        <w:footnoteReference w:id="37"/>
      </w:r>
      <w:r>
        <w:rPr>
          <w:lang w:val="ru-RU"/>
        </w:rPr>
        <w:t>.</w:t>
      </w:r>
    </w:p>
    <w:p w:rsidR="000875B4" w:rsidRDefault="000875B4">
      <w:pPr>
        <w:pStyle w:val="SingleTxt"/>
        <w:rPr>
          <w:lang w:val="ru-RU"/>
        </w:rPr>
      </w:pPr>
      <w:r>
        <w:rPr>
          <w:lang w:val="ru-RU"/>
        </w:rPr>
        <w:t>279.</w:t>
      </w:r>
      <w:r>
        <w:rPr>
          <w:lang w:val="ru-RU"/>
        </w:rPr>
        <w:tab/>
        <w:t>В рамках сотрудничества между Министерством труда и КОНАМУ оказывается техническое содействие процессу пересмотра Трудового кодекса путем консультирования в отношении гендерного подхода, а также пропаганды и защиты прав женщин. Прилагаются усилия к тому, чтобы выявить в ныне действующем Трудовом кодексе положения, открывающие возможности для дискриминации женщин, условия, благоприятствующие эксплуатации труда детей и подростков, и, соответственно, разработать правовые нормы, подлежащие включению в Трудовой кодекс, с тем чтобы гарантировать гендерное равенство на рабочих местах и тем самым учесть рекомендации Комитета, содержащиеся в пункте 31 его Заключительных замечаний.</w:t>
      </w:r>
    </w:p>
    <w:p w:rsidR="000875B4" w:rsidRDefault="000875B4">
      <w:pPr>
        <w:pStyle w:val="SingleTxt"/>
        <w:rPr>
          <w:lang w:val="ru-RU"/>
        </w:rPr>
      </w:pPr>
      <w:r>
        <w:rPr>
          <w:lang w:val="ru-RU"/>
        </w:rPr>
        <w:t>280.</w:t>
      </w:r>
      <w:r>
        <w:rPr>
          <w:lang w:val="ru-RU"/>
        </w:rPr>
        <w:tab/>
        <w:t xml:space="preserve">Министерство труда регулярно организует посещения предприятий, чтобы обеспечить соблюдение норм относительно предоставления отпуска по беременности и родам и перерывов на кормление ребенка для работающих матерей, а также недопущения сексуальных домогательств на рабочих местах. В Трудовую инспекцию Министерства труда в период 2005–2006 годов поступило около 1 тыс. жалоб по поводу несоблюдения трудовых прав беременных женщин или требования предъявлять справки об отсутствии беременности. В ходе расследования этих жалоб будет сделана попытка урегулировать соответствующие вопросы во внесудебном порядке. </w:t>
      </w:r>
    </w:p>
    <w:p w:rsidR="000875B4" w:rsidRDefault="000875B4">
      <w:pPr>
        <w:pStyle w:val="SingleTxt"/>
        <w:rPr>
          <w:lang w:val="ru-RU"/>
        </w:rPr>
      </w:pPr>
      <w:r>
        <w:rPr>
          <w:lang w:val="ru-RU"/>
        </w:rPr>
        <w:t>281.</w:t>
      </w:r>
      <w:r>
        <w:rPr>
          <w:lang w:val="ru-RU"/>
        </w:rPr>
        <w:tab/>
        <w:t xml:space="preserve">В отношении механизмов подачи жалоб по поводу нарушения трудовых прав женщин следует отметить, что Министерство труда многое сделало в этой области. Женщины могут обращаться с жалобами в отделения Трудовой инспекции по месту жительства; инспектор обязан помочь им в оформлении жалобы в соответствии </w:t>
      </w:r>
      <w:r>
        <w:rPr>
          <w:lang w:val="ru-RU"/>
        </w:rPr>
        <w:br/>
        <w:t>с определенной формой. Плата за подачу жалобы не взимается. Министерство считает, что для урегулирования конфликта прежде всего следует попытаться достичь договоренности с работодателем, однако, если это не удается, инспектор изучит дело и попытается найти решение, которое в наибольшей степени благоприятствовало бы работнице.</w:t>
      </w:r>
    </w:p>
    <w:p w:rsidR="000875B4" w:rsidRDefault="000875B4">
      <w:pPr>
        <w:pStyle w:val="SingleTxt"/>
        <w:suppressAutoHyphens/>
      </w:pPr>
      <w:r>
        <w:rPr>
          <w:lang w:val="ru-RU"/>
        </w:rPr>
        <w:t>282.</w:t>
      </w:r>
      <w:r>
        <w:rPr>
          <w:lang w:val="ru-RU"/>
        </w:rPr>
        <w:tab/>
        <w:t xml:space="preserve">Другим важным достижением в сфере труда является постановление № 261 Министерства труда и занятости от сентября 2005 года, запрещающее упоминание </w:t>
      </w:r>
      <w:r>
        <w:rPr>
          <w:lang w:val="ru-RU"/>
        </w:rPr>
        <w:br/>
        <w:t>в объявлениях о приеме на работу как государственных, так и частных компаний дискриминационных условий в отношении возраста, пола, этнической или расовой принадлежности, наличия инвалидности и др.</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lang w:val="ru-RU"/>
        </w:rPr>
        <w:t>Оценка неоплачиваемой работы женщин по дому</w:t>
      </w:r>
    </w:p>
    <w:p w:rsidR="000875B4" w:rsidRDefault="000875B4">
      <w:pPr>
        <w:pStyle w:val="SingleTxt"/>
        <w:spacing w:after="0" w:line="120" w:lineRule="exact"/>
        <w:rPr>
          <w:sz w:val="10"/>
        </w:rPr>
      </w:pPr>
    </w:p>
    <w:p w:rsidR="000875B4" w:rsidRDefault="000875B4">
      <w:pPr>
        <w:pStyle w:val="SingleTxt"/>
        <w:rPr>
          <w:lang w:val="ru-RU"/>
        </w:rPr>
      </w:pPr>
      <w:r>
        <w:rPr>
          <w:lang w:val="ru-RU"/>
        </w:rPr>
        <w:t>283.</w:t>
      </w:r>
      <w:r>
        <w:rPr>
          <w:lang w:val="ru-RU"/>
        </w:rPr>
        <w:tab/>
        <w:t xml:space="preserve">Важной вехой в институционализации гендерного подхода в политике в области труда стало проведение первого в Эквадоре </w:t>
      </w:r>
      <w:r>
        <w:rPr>
          <w:color w:val="000000"/>
          <w:lang w:val="ru-RU"/>
        </w:rPr>
        <w:t>опроса об использовании времени. Вопрос об оценке неоплачиваемой работы женщин по дому еще недостаточно изучен, хотя и существуют государственные программы и проекты, направленные на расширение доступа женщин на рынок труда на равных с мужчинами условиях и в контексте распределения домашних обязанностей между членами семьи. Для проведения этого важного опроса ряд учреждений подписали соответствующее соглашение</w:t>
      </w:r>
      <w:r>
        <w:rPr>
          <w:rStyle w:val="FootnoteReference"/>
        </w:rPr>
        <w:footnoteReference w:id="38"/>
      </w:r>
      <w:r>
        <w:rPr>
          <w:lang w:val="ru-RU"/>
        </w:rPr>
        <w:t>.</w:t>
      </w:r>
    </w:p>
    <w:p w:rsidR="000875B4" w:rsidRDefault="000875B4">
      <w:pPr>
        <w:pStyle w:val="SingleTxt"/>
        <w:rPr>
          <w:lang w:val="ru-RU"/>
        </w:rPr>
      </w:pPr>
      <w:r>
        <w:rPr>
          <w:lang w:val="ru-RU"/>
        </w:rPr>
        <w:t>284.</w:t>
      </w:r>
      <w:r>
        <w:rPr>
          <w:lang w:val="ru-RU"/>
        </w:rPr>
        <w:tab/>
        <w:t xml:space="preserve">Цель опроса об </w:t>
      </w:r>
      <w:r>
        <w:rPr>
          <w:color w:val="000000"/>
          <w:lang w:val="ru-RU"/>
        </w:rPr>
        <w:t>использовании времени – сбор данных о роли производительного домашнего труда в социальном и экономическом развитии страны, с тем чтобы использовать эти данные при формулировании направлений политики, основывающейся на правах человека. Такой источник информации позволяет выявлять случаи неравноправия, лучше узнать условия жизни, виды занятий и образ жизни жителей страны, распределение времени, а также наглядно представить социальную динамику и сочетание производственной деятельности и личной жизни.</w:t>
      </w:r>
    </w:p>
    <w:p w:rsidR="000875B4" w:rsidRDefault="000875B4">
      <w:pPr>
        <w:pStyle w:val="SingleTxt"/>
        <w:rPr>
          <w:lang w:val="ru-RU"/>
        </w:rPr>
      </w:pPr>
      <w:r>
        <w:rPr>
          <w:lang w:val="ru-RU"/>
        </w:rPr>
        <w:t>285.</w:t>
      </w:r>
      <w:r>
        <w:rPr>
          <w:lang w:val="ru-RU"/>
        </w:rPr>
        <w:tab/>
        <w:t xml:space="preserve">Данный опрос представлял собой элемент опроса </w:t>
      </w:r>
      <w:r>
        <w:rPr>
          <w:color w:val="000000"/>
          <w:lang w:val="ru-RU"/>
        </w:rPr>
        <w:t>по вопросам занятости, неполной занятости и безработицы, периодически проводимого ИНЕК. Он проводился в трех сферах: среди сельского населения провинции Чимборасо, среди потомков выходцев из Африки в провинции Эсмеральдас и среди городского населения Кито. Критерии такого отбора определялись необходимостью получения показателей, отражающих обусловленные этнической принадлежностью различия.</w:t>
      </w:r>
    </w:p>
    <w:p w:rsidR="000875B4" w:rsidRDefault="000875B4">
      <w:pPr>
        <w:pStyle w:val="SingleTxt"/>
        <w:rPr>
          <w:lang w:val="ru-RU"/>
        </w:rPr>
      </w:pPr>
      <w:r>
        <w:rPr>
          <w:lang w:val="ru-RU"/>
        </w:rPr>
        <w:t>286.</w:t>
      </w:r>
      <w:r>
        <w:rPr>
          <w:lang w:val="ru-RU"/>
        </w:rPr>
        <w:tab/>
        <w:t>В настоящее время готовится к публикации документ с изложением основных выводов относительно различий в формах использования времени женщинами и мужчинами и данных о том времени, которое у тех и других занимает работа по дому и вне дома.</w:t>
      </w:r>
    </w:p>
    <w:p w:rsidR="000875B4" w:rsidRDefault="000875B4">
      <w:pPr>
        <w:pStyle w:val="SingleTxt"/>
        <w:suppressAutoHyphens/>
      </w:pPr>
      <w:r>
        <w:rPr>
          <w:lang w:val="ru-RU"/>
        </w:rPr>
        <w:t>287.</w:t>
      </w:r>
      <w:r>
        <w:rPr>
          <w:lang w:val="ru-RU"/>
        </w:rPr>
        <w:tab/>
        <w:t>Этот первый опыт дает основу для проведения аналогичного опроса репрезентативной выборки городского и сельского населения в масштабах всей страны. ИНЕК намерен провести такой опрос в 2007 </w:t>
      </w:r>
      <w:r>
        <w:rPr>
          <w:bCs/>
          <w:lang w:val="ru-RU"/>
        </w:rPr>
        <w:t>году</w:t>
      </w:r>
      <w:r>
        <w:rPr>
          <w:lang w:val="ru-RU"/>
        </w:rPr>
        <w:t>.</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lang w:val="ru-RU"/>
        </w:rPr>
        <w:t>Наблюдательный совет по проблемам труда с учетом гендерного подхода</w:t>
      </w:r>
    </w:p>
    <w:p w:rsidR="000875B4" w:rsidRDefault="000875B4">
      <w:pPr>
        <w:pStyle w:val="SingleTxt"/>
        <w:spacing w:after="0" w:line="120" w:lineRule="exact"/>
        <w:rPr>
          <w:sz w:val="10"/>
        </w:rPr>
      </w:pPr>
    </w:p>
    <w:p w:rsidR="000875B4" w:rsidRDefault="000875B4">
      <w:pPr>
        <w:pStyle w:val="SingleTxt"/>
        <w:suppressAutoHyphens/>
        <w:rPr>
          <w:bCs/>
        </w:rPr>
      </w:pPr>
      <w:r>
        <w:rPr>
          <w:bCs/>
          <w:lang w:val="ru-RU" w:eastAsia="ko-KR"/>
        </w:rPr>
        <w:t>288.</w:t>
      </w:r>
      <w:r>
        <w:rPr>
          <w:bCs/>
          <w:lang w:val="ru-RU" w:eastAsia="ko-KR"/>
        </w:rPr>
        <w:tab/>
        <w:t>Министерство труда и занятости предложило создать и институциализировать Наблюдательный совет, который занимался бы сбором сведений технического характера и статистической информации, необходимых для разработки государственной политики в области занятости, в которой учитывались бы гендерный подход и особенности разных районов, а также для модернизации государственной службы трудоустройства и анализа рынка труда</w:t>
      </w:r>
      <w:r>
        <w:rPr>
          <w:bCs/>
          <w:vertAlign w:val="superscript"/>
          <w:lang w:eastAsia="ko-KR"/>
        </w:rPr>
        <w:footnoteReference w:id="39"/>
      </w:r>
      <w:r>
        <w:rPr>
          <w:bCs/>
          <w:lang w:val="ru-RU" w:eastAsia="ko-KR"/>
        </w:rPr>
        <w:t>. В последнем квартале 2006 </w:t>
      </w:r>
      <w:r>
        <w:rPr>
          <w:bCs/>
          <w:lang w:val="ru-RU"/>
        </w:rPr>
        <w:t>года</w:t>
      </w:r>
      <w:r>
        <w:rPr>
          <w:bCs/>
          <w:lang w:val="ru-RU" w:eastAsia="ko-KR"/>
        </w:rPr>
        <w:t xml:space="preserve"> был подписан контракт с группой консультантов – специалистов по различным вопросам, в том числе по профессиональной подготовке, трудовой миграции, социальному обеспечению, а также с координатором по проблемам занятости. Они займутся разработкой общих положений, на базе которых с 2007 </w:t>
      </w:r>
      <w:r>
        <w:rPr>
          <w:bCs/>
          <w:lang w:val="ru-RU"/>
        </w:rPr>
        <w:t>года</w:t>
      </w:r>
      <w:r>
        <w:rPr>
          <w:bCs/>
          <w:lang w:val="ru-RU" w:eastAsia="ko-KR"/>
        </w:rPr>
        <w:t xml:space="preserve"> будет создаваться Наблюдательный совет.</w:t>
      </w:r>
    </w:p>
    <w:p w:rsidR="000875B4" w:rsidRDefault="000875B4">
      <w:pPr>
        <w:pStyle w:val="SingleTxt"/>
        <w:rPr>
          <w:lang w:val="ru-RU"/>
        </w:rPr>
      </w:pPr>
      <w:r>
        <w:rPr>
          <w:lang w:val="ru-RU"/>
        </w:rPr>
        <w:t>289.</w:t>
      </w:r>
      <w:r>
        <w:rPr>
          <w:lang w:val="ru-RU"/>
        </w:rPr>
        <w:tab/>
        <w:t xml:space="preserve">Наблюдательный совет и Система трудовой статистики позволят получать комплексную и своевременную информацию об уровне и структуре занятости, о рынке труда, профессиональной подготовке, социальном обеспечении, трудовой миграции, а также данные о работе трудовых инспекций с учетом гендерного подхода, подхода на основе прав человека и в разбивке по различным критериям. </w:t>
      </w:r>
    </w:p>
    <w:p w:rsidR="000875B4" w:rsidRDefault="000875B4">
      <w:pPr>
        <w:pStyle w:val="SingleTxt"/>
        <w:rPr>
          <w:lang w:val="ru-RU"/>
        </w:rPr>
      </w:pPr>
      <w:r>
        <w:rPr>
          <w:lang w:val="ru-RU"/>
        </w:rPr>
        <w:t>290.</w:t>
      </w:r>
      <w:r>
        <w:rPr>
          <w:lang w:val="ru-RU"/>
        </w:rPr>
        <w:tab/>
        <w:t>Изыскиваются способы отслеживать и контролировать показатели, касающиеся конъюнктуры рынка труда, и оценивать результативность политики и программ, направленных на повышение уровня занятости, расширение возможностей трудоустройства и улучшение условий трудовых договоров, с тем чтобы вносить коррективы в осуществляемые ныне политику и программы и разрабатывать новые предложения. Этим будут заниматься региональные отделения Министерства (27 Трудовых инспекций) в различных провинциях.</w:t>
      </w:r>
    </w:p>
    <w:p w:rsidR="000875B4" w:rsidRDefault="000875B4">
      <w:pPr>
        <w:pStyle w:val="SingleTxt"/>
        <w:suppressAutoHyphens/>
      </w:pPr>
      <w:r>
        <w:rPr>
          <w:bCs/>
          <w:lang w:val="ru-RU" w:eastAsia="ko-KR"/>
        </w:rPr>
        <w:t>291.</w:t>
      </w:r>
      <w:r>
        <w:rPr>
          <w:bCs/>
          <w:lang w:val="ru-RU" w:eastAsia="ko-KR"/>
        </w:rPr>
        <w:tab/>
        <w:t>Кроме того, будет проводиться мониторинг законодательства, регулирующего трудовые отношения, чтобы оценить его эффективность и результативность. Вся эта работа будет полезна для разработки, реализации и мониторинга политики в сфере труда, а также для оценки ее социального воздействия.</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lang w:val="ru-RU"/>
        </w:rPr>
        <w:t>Миграция, право на убежище и права женщин</w:t>
      </w:r>
    </w:p>
    <w:p w:rsidR="000875B4" w:rsidRDefault="000875B4">
      <w:pPr>
        <w:pStyle w:val="SingleTxt"/>
        <w:spacing w:after="0" w:line="120" w:lineRule="exact"/>
        <w:rPr>
          <w:sz w:val="10"/>
        </w:rPr>
      </w:pPr>
    </w:p>
    <w:p w:rsidR="000875B4" w:rsidRDefault="000875B4">
      <w:pPr>
        <w:pStyle w:val="SingleTxt"/>
        <w:rPr>
          <w:rFonts w:ascii="TimesNewRoman" w:hAnsi="TimesNewRoman" w:cs="TimesNewRoman"/>
          <w:lang w:val="ru-RU" w:eastAsia="ru-RU"/>
        </w:rPr>
      </w:pPr>
      <w:r>
        <w:rPr>
          <w:lang w:val="ru-RU"/>
        </w:rPr>
        <w:t>292.</w:t>
      </w:r>
      <w:r>
        <w:rPr>
          <w:lang w:val="ru-RU"/>
        </w:rPr>
        <w:tab/>
      </w:r>
      <w:r>
        <w:rPr>
          <w:rFonts w:ascii="TimesNewRoman" w:hAnsi="TimesNewRoman" w:cs="TimesNewRoman"/>
          <w:lang w:val="ru-RU" w:eastAsia="ru-RU"/>
        </w:rPr>
        <w:t xml:space="preserve">Эквадор входит в небольшое число стран, являющихся одновременно странами происхождения и странами назначения мигрантов. Кроме того, Эквадор принимает перемещенных лиц из других стран – а это явление хотя и отличается от миграции, но дополняет ее, – что делает его страной с наибольшим числом беженцев </w:t>
      </w:r>
      <w:r>
        <w:rPr>
          <w:rFonts w:ascii="TimesNewRoman" w:hAnsi="TimesNewRoman" w:cs="TimesNewRoman"/>
          <w:lang w:val="ru-RU" w:eastAsia="ru-RU"/>
        </w:rPr>
        <w:br/>
        <w:t xml:space="preserve">в Латинской Америке. Это вызвало необходимость в выработке новой политики и </w:t>
      </w:r>
      <w:r>
        <w:rPr>
          <w:rFonts w:ascii="TimesNewRoman" w:hAnsi="TimesNewRoman" w:cs="TimesNewRoman"/>
          <w:lang w:val="ru-RU" w:eastAsia="ru-RU"/>
        </w:rPr>
        <w:br/>
        <w:t xml:space="preserve">в масштабных экономических усилиях, которые без сотрудничества со стороны международного сообщества – пока все еще недостаточного – не могут привести </w:t>
      </w:r>
      <w:r>
        <w:rPr>
          <w:rFonts w:ascii="TimesNewRoman" w:hAnsi="TimesNewRoman" w:cs="TimesNewRoman"/>
          <w:lang w:val="ru-RU" w:eastAsia="ru-RU"/>
        </w:rPr>
        <w:br/>
        <w:t>к успеху</w:t>
      </w:r>
      <w:r>
        <w:rPr>
          <w:lang w:val="ru-RU"/>
        </w:rPr>
        <w:t>.</w:t>
      </w:r>
    </w:p>
    <w:p w:rsidR="000875B4" w:rsidRDefault="000875B4">
      <w:pPr>
        <w:pStyle w:val="SingleTxt"/>
        <w:rPr>
          <w:rFonts w:ascii="TimesNewRoman" w:hAnsi="TimesNewRoman" w:cs="TimesNewRoman"/>
          <w:lang w:val="ru-RU" w:eastAsia="ru-RU"/>
        </w:rPr>
      </w:pPr>
      <w:r>
        <w:rPr>
          <w:lang w:val="ru-RU"/>
        </w:rPr>
        <w:t>293.</w:t>
      </w:r>
      <w:r>
        <w:rPr>
          <w:lang w:val="ru-RU"/>
        </w:rPr>
        <w:tab/>
      </w:r>
      <w:r>
        <w:rPr>
          <w:rFonts w:ascii="TimesNewRoman" w:hAnsi="TimesNewRoman" w:cs="TimesNewRoman"/>
          <w:lang w:val="ru-RU" w:eastAsia="ru-RU"/>
        </w:rPr>
        <w:t xml:space="preserve">Эквадор совместно с дружественными странами, международными организациями, гражданским обществом и частным сектором занимается такими направлениями, как программы добровольного возвращения, осуществляемые </w:t>
      </w:r>
      <w:r>
        <w:rPr>
          <w:rFonts w:ascii="TimesNewRoman" w:hAnsi="TimesNewRoman" w:cs="TimesNewRoman"/>
          <w:lang w:val="ru-RU" w:eastAsia="ru-RU"/>
        </w:rPr>
        <w:br/>
        <w:t xml:space="preserve">в сотрудничестве с Международной организацией по миграции (МОМ), и заключением соглашений, таких как подписанное совместно с Испанией соглашение о регулировании миграционных потоков и управлении ими. Это двусторонняя экспериментальная программа, гарантирующая надежные трудовые контракты </w:t>
      </w:r>
      <w:r>
        <w:rPr>
          <w:rFonts w:ascii="TimesNewRoman" w:hAnsi="TimesNewRoman" w:cs="TimesNewRoman"/>
          <w:lang w:val="ru-RU" w:eastAsia="ru-RU"/>
        </w:rPr>
        <w:br/>
        <w:t>на равных для граждан обеих подписавших соглашение стран условиях, без вмешательства третьих сторон и в соответствии с нормами трудового законодательства.</w:t>
      </w:r>
    </w:p>
    <w:p w:rsidR="000875B4" w:rsidRDefault="000875B4">
      <w:pPr>
        <w:pStyle w:val="SingleTxt"/>
        <w:rPr>
          <w:rFonts w:ascii="TimesNewRoman" w:hAnsi="TimesNewRoman" w:cs="TimesNewRoman"/>
          <w:lang w:val="ru-RU" w:eastAsia="ru-RU"/>
        </w:rPr>
      </w:pPr>
      <w:r>
        <w:rPr>
          <w:lang w:val="ru-RU"/>
        </w:rPr>
        <w:t>294.</w:t>
      </w:r>
      <w:r>
        <w:rPr>
          <w:lang w:val="ru-RU"/>
        </w:rPr>
        <w:tab/>
        <w:t>Внутри страны государство занимается осуществлением нескольких программ. В их числе – Национальный план для эквадорцев, проживающих за рубежом, который служит основой для комплексного решения миграционных проблем; принятый 30 августа 2006 </w:t>
      </w:r>
      <w:r>
        <w:rPr>
          <w:bCs/>
          <w:lang w:val="ru-RU"/>
        </w:rPr>
        <w:t>года</w:t>
      </w:r>
      <w:r>
        <w:rPr>
          <w:lang w:val="ru-RU"/>
        </w:rPr>
        <w:t xml:space="preserve"> Национальный план действий по борьбе с похищениями людей, незаконным оборотом мигрантов, сексуальной, трудовой и иной эксплуатацией и женской, детской и подростковой проституцией; упоминавшийся выше Оперативный план в отношении прав человека мигрантов, который был принят в 2003 </w:t>
      </w:r>
      <w:r>
        <w:rPr>
          <w:bCs/>
          <w:lang w:val="ru-RU"/>
        </w:rPr>
        <w:t>году</w:t>
      </w:r>
      <w:r>
        <w:rPr>
          <w:lang w:val="ru-RU"/>
        </w:rPr>
        <w:t xml:space="preserve"> и в котором содержатся меры борьбы с расизмом, ксенофобией и другими противоречащими международному праву явлениями.</w:t>
      </w:r>
    </w:p>
    <w:p w:rsidR="000875B4" w:rsidRDefault="000875B4">
      <w:pPr>
        <w:pStyle w:val="SingleTxt"/>
        <w:rPr>
          <w:lang w:val="ru-RU"/>
        </w:rPr>
      </w:pPr>
      <w:r>
        <w:rPr>
          <w:lang w:val="ru-RU"/>
        </w:rPr>
        <w:t>295.</w:t>
      </w:r>
      <w:r>
        <w:rPr>
          <w:lang w:val="ru-RU"/>
        </w:rPr>
        <w:tab/>
        <w:t>Для принятия соответствующих мер в ответ на обеспокоенность Комитета, выраженную в пунктах 16 и 17 его Заключительных замечаний, в сентябре 2005 г</w:t>
      </w:r>
      <w:r>
        <w:rPr>
          <w:bCs/>
          <w:lang w:val="ru-RU"/>
        </w:rPr>
        <w:t>ода</w:t>
      </w:r>
      <w:r>
        <w:rPr>
          <w:lang w:val="ru-RU"/>
        </w:rPr>
        <w:t xml:space="preserve"> был создан Совет по трудовой миграции с участием государственных учреждений и неправительственных организаций. Работой Совета руководит Министерство труда. Одним из главных результатов работы Совета стала подготовка проекта постановления правительства о создании Национального совета по трудовой миграции.</w:t>
      </w:r>
    </w:p>
    <w:p w:rsidR="000875B4" w:rsidRDefault="000875B4">
      <w:pPr>
        <w:pStyle w:val="SingleTxt"/>
        <w:rPr>
          <w:lang w:val="ru-RU"/>
        </w:rPr>
      </w:pPr>
      <w:r>
        <w:rPr>
          <w:lang w:val="ru-RU"/>
        </w:rPr>
        <w:t>296.</w:t>
      </w:r>
      <w:r>
        <w:rPr>
          <w:lang w:val="ru-RU"/>
        </w:rPr>
        <w:tab/>
        <w:t xml:space="preserve">Совет по миграции разработал и запланировал провести в 2006 </w:t>
      </w:r>
      <w:r>
        <w:rPr>
          <w:bCs/>
          <w:lang w:val="ru-RU"/>
        </w:rPr>
        <w:t>году</w:t>
      </w:r>
      <w:r>
        <w:rPr>
          <w:lang w:val="ru-RU"/>
        </w:rPr>
        <w:t xml:space="preserve"> мероприятия с целью решения трудовых проблем женщин-мигрантов и усиления внимания к гендерным проблемам трудовой миграции. В сентябре 2006 </w:t>
      </w:r>
      <w:r>
        <w:rPr>
          <w:bCs/>
          <w:lang w:val="ru-RU"/>
        </w:rPr>
        <w:t>года</w:t>
      </w:r>
      <w:r>
        <w:rPr>
          <w:lang w:val="ru-RU"/>
        </w:rPr>
        <w:t xml:space="preserve"> Министерство труда, КОНАМУ и ФЛАКСО-Эквадор провели семинар на тему "Женщины-мигранты и государственная политика". В задачи семинара входило подготовить предложения для разработки правового, социального, культурного </w:t>
      </w:r>
      <w:r>
        <w:rPr>
          <w:lang w:val="ru-RU"/>
        </w:rPr>
        <w:br/>
        <w:t>и экономического аспектов политики по защите женщин-мигрантов и их семей и собрать вместе представителей государственных учреждений и общественных организаций, занимающихся этими вопросами, чтобы укрепить взаимопонимание и сотрудничество между ними. На семинаре было представлено исследование на тему "Миграция, ситуация в гендерной сфере и занятость в Эквадоре" и при содействии всех участников подготовлен первый проект государственной политики в сфере трудовой миграции на основе гендерного подхода.</w:t>
      </w:r>
    </w:p>
    <w:p w:rsidR="000875B4" w:rsidRDefault="000875B4">
      <w:pPr>
        <w:pStyle w:val="SingleTxt"/>
        <w:rPr>
          <w:lang w:val="ru-RU"/>
        </w:rPr>
      </w:pPr>
      <w:r>
        <w:rPr>
          <w:lang w:val="ru-RU"/>
        </w:rPr>
        <w:t>297.</w:t>
      </w:r>
      <w:r>
        <w:rPr>
          <w:lang w:val="ru-RU"/>
        </w:rPr>
        <w:tab/>
        <w:t xml:space="preserve">Кроме того, государство оказывает поддержку Технико-юридической комиссии, созданной для внесения предложений относительно проекта закона </w:t>
      </w:r>
      <w:r>
        <w:rPr>
          <w:lang w:val="ru-RU"/>
        </w:rPr>
        <w:br/>
        <w:t xml:space="preserve">о комплексной защите эквадорских мигрантов и их семей. В состав комиссии входят представители Комиссии иезуитов по вопросам миграции, Постоянного юридического секретариата Плана сотрудничества между Испанией и Эквадором </w:t>
      </w:r>
      <w:r>
        <w:rPr>
          <w:lang w:val="ru-RU"/>
        </w:rPr>
        <w:br/>
        <w:t>по вопросам миграции, коммуникации и развития, Столичного дома мигранта и КОНАМУ.</w:t>
      </w:r>
    </w:p>
    <w:p w:rsidR="000875B4" w:rsidRDefault="000875B4">
      <w:pPr>
        <w:pStyle w:val="SingleTxt"/>
        <w:rPr>
          <w:lang w:val="ru-RU"/>
        </w:rPr>
      </w:pPr>
      <w:r>
        <w:rPr>
          <w:lang w:val="ru-RU"/>
        </w:rPr>
        <w:br w:type="page"/>
        <w:t>298.</w:t>
      </w:r>
      <w:r>
        <w:rPr>
          <w:lang w:val="ru-RU"/>
        </w:rPr>
        <w:tab/>
        <w:t xml:space="preserve">В ходе работы над данным законопроектом члены Технико-юридической комиссии встречались с семьями мигрантов, работающих в Эквадоре и </w:t>
      </w:r>
      <w:r>
        <w:rPr>
          <w:lang w:val="ru-RU"/>
        </w:rPr>
        <w:br/>
        <w:t xml:space="preserve">в зарубежных странах, с тем чтобы учесть в методологии своей работы различия </w:t>
      </w:r>
      <w:r>
        <w:rPr>
          <w:lang w:val="ru-RU"/>
        </w:rPr>
        <w:br/>
        <w:t>в положении женщин и мужчин и гендерные показатели. На основании этих данных будет разработан проект закона.</w:t>
      </w:r>
    </w:p>
    <w:p w:rsidR="000875B4" w:rsidRDefault="000875B4">
      <w:pPr>
        <w:pStyle w:val="SingleTxt"/>
        <w:rPr>
          <w:color w:val="000000"/>
          <w:lang w:val="ru-RU" w:eastAsia="ru-RU"/>
        </w:rPr>
      </w:pPr>
      <w:r>
        <w:rPr>
          <w:lang w:val="ru-RU"/>
        </w:rPr>
        <w:t>299.</w:t>
      </w:r>
      <w:r>
        <w:rPr>
          <w:lang w:val="ru-RU"/>
        </w:rPr>
        <w:tab/>
        <w:t>С другой стороны, КОНАМУ вместе с Иезуитской службой помощи мигрантам (</w:t>
      </w:r>
      <w:r>
        <w:t>SJRM</w:t>
      </w:r>
      <w:r>
        <w:rPr>
          <w:lang w:val="ru-RU"/>
        </w:rPr>
        <w:t xml:space="preserve">) и с представителями других организаций гражданского общества, в частности с членами Совета по трудовой миграции, внесли в Министерство иностранных дел Эквадора предложение для проводившегося в сентябре 2006 </w:t>
      </w:r>
      <w:r>
        <w:rPr>
          <w:bCs/>
          <w:lang w:val="ru-RU"/>
        </w:rPr>
        <w:t>года</w:t>
      </w:r>
      <w:r>
        <w:rPr>
          <w:lang w:val="ru-RU"/>
        </w:rPr>
        <w:t xml:space="preserve"> в рамках сессии Генеральной Ассамблеи Организации Объединенных Наций </w:t>
      </w:r>
      <w:r>
        <w:rPr>
          <w:color w:val="000000"/>
          <w:lang w:val="ru-RU" w:eastAsia="ru-RU"/>
        </w:rPr>
        <w:t xml:space="preserve">Диалога на высоком уровне на тему "Миграция и развитие". В этом документе, приобщенном к материалам Диалога, государствам предлагалось принять необходимые и согласованные меры  в таких областях, как права мигрантов, вклад мигрантов в развитие бедных стран, а также гарантировать соблюдение гуманитарных норм при регулировании миграции. В предложении также настойчиво проводилась мысль </w:t>
      </w:r>
      <w:r>
        <w:rPr>
          <w:color w:val="000000"/>
          <w:lang w:val="ru-RU" w:eastAsia="ru-RU"/>
        </w:rPr>
        <w:br/>
        <w:t>о том, что УВКБ ООН необходимо усиливать меры защиты, социальной интеграции и помощи тем, кто в результате насилия, в том числе гендерного, оказался вынужденным переселенцем внутри своей страны или уехал за границу.</w:t>
      </w:r>
    </w:p>
    <w:p w:rsidR="000875B4" w:rsidRDefault="000875B4">
      <w:pPr>
        <w:pStyle w:val="SingleTxt"/>
        <w:rPr>
          <w:lang w:val="ru-RU"/>
        </w:rPr>
      </w:pPr>
      <w:r>
        <w:rPr>
          <w:color w:val="000000"/>
          <w:lang w:val="ru-RU" w:eastAsia="ru-RU"/>
        </w:rPr>
        <w:t>300.</w:t>
      </w:r>
      <w:r>
        <w:rPr>
          <w:color w:val="000000"/>
          <w:lang w:val="ru-RU" w:eastAsia="ru-RU"/>
        </w:rPr>
        <w:tab/>
        <w:t>В ходе Диалога представитель делегации Эквадора отметил: "В рамках совместной ответственности стран происхождения и стран назначения в поисках решений миграционных проблем нельзя игнорировать роль стран транзита. Это также позволит усилить борьбу с незаконной перевозкой людей, в которой задействованы более значительные ресурсы, чем в обороте наркотиков, и поможет нам в решении проблемы усугубляющей это явление коррупции и в устранении пагубных последствий торговли людьми, от которой в наибольшей степени страдают женщины и дети"</w:t>
      </w:r>
      <w:r>
        <w:rPr>
          <w:rStyle w:val="FootnoteReference"/>
          <w:color w:val="000000"/>
          <w:lang w:val="ru-RU" w:eastAsia="ru-RU"/>
        </w:rPr>
        <w:footnoteReference w:id="40"/>
      </w:r>
      <w:r>
        <w:rPr>
          <w:color w:val="000000"/>
          <w:lang w:val="ru-RU" w:eastAsia="ru-RU"/>
        </w:rPr>
        <w:t>.</w:t>
      </w:r>
    </w:p>
    <w:p w:rsidR="000875B4" w:rsidRDefault="000875B4">
      <w:pPr>
        <w:pStyle w:val="SingleTxt"/>
        <w:rPr>
          <w:color w:val="000000"/>
          <w:lang w:val="ru-RU" w:eastAsia="ru-RU"/>
        </w:rPr>
      </w:pPr>
      <w:r>
        <w:rPr>
          <w:color w:val="000000"/>
          <w:lang w:val="ru-RU" w:eastAsia="ru-RU"/>
        </w:rPr>
        <w:t>301.</w:t>
      </w:r>
      <w:r>
        <w:rPr>
          <w:color w:val="000000"/>
          <w:lang w:val="ru-RU" w:eastAsia="ru-RU"/>
        </w:rPr>
        <w:tab/>
        <w:t>При содействии Международной организации труда были проведены два важных исследования. Одно из них, на тему "Занятость в неформальном секторе экономики и неоплачиваемая работа по дому", содержит материалы, позволяющие совместно с Ассоциацией работников домашнего хозяйства страны начать работу над соответствующими предложениями, а в другом – "Миграция, гендерные проблемы и занятость в Эквадоре"</w:t>
      </w:r>
      <w:r>
        <w:rPr>
          <w:rStyle w:val="FootnoteReference"/>
          <w:color w:val="000000"/>
          <w:lang w:val="ru-RU" w:eastAsia="ru-RU"/>
        </w:rPr>
        <w:footnoteReference w:id="41"/>
      </w:r>
      <w:r>
        <w:rPr>
          <w:color w:val="000000"/>
          <w:lang w:val="ru-RU" w:eastAsia="ru-RU"/>
        </w:rPr>
        <w:t xml:space="preserve"> – выдвигаются идеи и предложения для обсуждения на Совете по проблемам трудовой миграции Министерства труда.</w:t>
      </w:r>
    </w:p>
    <w:p w:rsidR="000875B4" w:rsidRDefault="000875B4">
      <w:pPr>
        <w:pStyle w:val="SingleTxt"/>
        <w:rPr>
          <w:color w:val="000000"/>
          <w:lang w:val="ru-RU" w:eastAsia="ru-RU"/>
        </w:rPr>
      </w:pPr>
      <w:r>
        <w:rPr>
          <w:color w:val="000000"/>
          <w:lang w:val="ru-RU" w:eastAsia="ru-RU"/>
        </w:rPr>
        <w:t>302.</w:t>
      </w:r>
      <w:r>
        <w:rPr>
          <w:color w:val="000000"/>
          <w:lang w:val="ru-RU" w:eastAsia="ru-RU"/>
        </w:rPr>
        <w:tab/>
        <w:t xml:space="preserve">8 марта 2006 года в рамках празднования Международного женского дня Министерство труда и занятости совместно с ЮНИФЕМ и Региональным фондом содействия правам человека представили </w:t>
      </w:r>
      <w:r>
        <w:rPr>
          <w:iCs/>
          <w:color w:val="000000"/>
          <w:lang w:val="ru-RU" w:eastAsia="ru-RU"/>
        </w:rPr>
        <w:t xml:space="preserve">"Пособие в помощь женщинам, обратившимся с просьбой о предоставлении убежища: право на труд", публикация </w:t>
      </w:r>
      <w:r>
        <w:rPr>
          <w:color w:val="000000"/>
          <w:lang w:val="ru-RU" w:eastAsia="ru-RU"/>
        </w:rPr>
        <w:t>которого стала завершающим этапом реализации проекта, в ходе которого в Кито, Лаго-Агрио и Ибарре проводились семинары для сотрудников учреждений, занимающихся проблемами беженцев, в частности женщин, обратившихся с просьбой о предоставлении убежища или уже получивших статус беженца.</w:t>
      </w:r>
    </w:p>
    <w:p w:rsidR="000875B4" w:rsidRDefault="000875B4">
      <w:pPr>
        <w:pStyle w:val="SingleTxt"/>
        <w:suppressAutoHyphens/>
      </w:pPr>
      <w:r>
        <w:rPr>
          <w:color w:val="000000"/>
          <w:lang w:val="ru-RU" w:eastAsia="ru-RU"/>
        </w:rPr>
        <w:t>303.</w:t>
      </w:r>
      <w:r>
        <w:rPr>
          <w:color w:val="000000"/>
          <w:lang w:val="ru-RU" w:eastAsia="ru-RU"/>
        </w:rPr>
        <w:tab/>
        <w:t>Министерство труда и занятости и Министерство иностранных дел с помощью своих отделений в Гуаякиле и Куэнке создали в этих городах технические группы по отбору работников-мигрантов. Задача этих органов – повысить уровень защиты интересов работающих в Испании эквадорцев – трудовых мигрантов и совместно с организациями, занимающимися защитой прав мигрантов, помочь в налаживании контактов между испанскими работодателями и работниками из Эквадора. Благодаря этому улучшится защита прав женщин как наиболее уязвимой категории мигрантов.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Равенство в оплате труда и оценка труда женщин</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304.</w:t>
      </w:r>
      <w:r>
        <w:rPr>
          <w:color w:val="000000"/>
          <w:lang w:val="ru-RU" w:eastAsia="ru-RU"/>
        </w:rPr>
        <w:tab/>
        <w:t>С целью искоренения дискриминации в системах оплаты труда и условиях занятости женщин Национальный секретариат по вопросам оплаты труда, КОНАМУ, Международное объединение работников общественного обслуживания и Латиноамериканский институт социальных исследований 8 сентября 2006 </w:t>
      </w:r>
      <w:r>
        <w:rPr>
          <w:bCs/>
          <w:lang w:val="ru-RU"/>
        </w:rPr>
        <w:t>года</w:t>
      </w:r>
      <w:r>
        <w:rPr>
          <w:color w:val="000000"/>
          <w:lang w:val="ru-RU" w:eastAsia="ru-RU"/>
        </w:rPr>
        <w:t xml:space="preserve"> подписали договор о межучрежденческом сотрудничестве с целью "содействия </w:t>
      </w:r>
      <w:r>
        <w:rPr>
          <w:color w:val="000000"/>
          <w:lang w:val="ru-RU" w:eastAsia="ru-RU"/>
        </w:rPr>
        <w:br/>
        <w:t>в обеспечении принципов равноправия мужчин и женщин в процессах институциональной модернизации и пересмотра размеров оплаты труда в государственных учреждениях Эквадора".</w:t>
      </w:r>
    </w:p>
    <w:p w:rsidR="000875B4" w:rsidRDefault="000875B4">
      <w:pPr>
        <w:pStyle w:val="SingleTxt"/>
        <w:suppressAutoHyphens/>
      </w:pPr>
      <w:r>
        <w:rPr>
          <w:color w:val="000000"/>
          <w:lang w:val="ru-RU" w:eastAsia="ru-RU"/>
        </w:rPr>
        <w:t>305.</w:t>
      </w:r>
      <w:r>
        <w:rPr>
          <w:color w:val="000000"/>
          <w:lang w:val="ru-RU" w:eastAsia="ru-RU"/>
        </w:rPr>
        <w:tab/>
        <w:t>Цель данного проекта – разработать предложения по внедрению гендерного подхода как в Комплексную систему управления людскими ресурсами, так и в собственно деятельность Секретариата по вопросам оплаты труда и всех учреждений государственного сектора.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Детский труд</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306.</w:t>
      </w:r>
      <w:r>
        <w:rPr>
          <w:color w:val="000000"/>
          <w:lang w:val="ru-RU" w:eastAsia="ru-RU"/>
        </w:rPr>
        <w:tab/>
        <w:t xml:space="preserve">В принятом в январе 2003 </w:t>
      </w:r>
      <w:r>
        <w:rPr>
          <w:bCs/>
          <w:lang w:val="ru-RU"/>
        </w:rPr>
        <w:t>года</w:t>
      </w:r>
      <w:r>
        <w:rPr>
          <w:color w:val="000000"/>
          <w:lang w:val="ru-RU" w:eastAsia="ru-RU"/>
        </w:rPr>
        <w:t xml:space="preserve"> Кодексе законов о защите прав детей </w:t>
      </w:r>
      <w:r>
        <w:rPr>
          <w:color w:val="000000"/>
          <w:lang w:val="ru-RU" w:eastAsia="ru-RU"/>
        </w:rPr>
        <w:br/>
        <w:t>и подростков провозглашается право детей и подростков на защиту от трудовой и экономической эксплуатации, равно как и от любых препятствующих всесторонней реализации их прав форм рабства, порабощения, принудительного или вредного для здоровья и развития личности труда (статья 81). С учетом этого минимальный возраст приема на любую работу, в том числе в качестве домашней прислуги, установлен в 15 лет, за исключением труда в форме практики в рамках учебного процесса.</w:t>
      </w:r>
    </w:p>
    <w:p w:rsidR="000875B4" w:rsidRDefault="000875B4">
      <w:pPr>
        <w:pStyle w:val="SingleTxt"/>
        <w:rPr>
          <w:color w:val="000000"/>
          <w:lang w:val="ru-RU" w:eastAsia="ru-RU"/>
        </w:rPr>
      </w:pPr>
      <w:r>
        <w:rPr>
          <w:color w:val="000000"/>
          <w:lang w:val="ru-RU" w:eastAsia="ru-RU"/>
        </w:rPr>
        <w:t>307.</w:t>
      </w:r>
      <w:r>
        <w:rPr>
          <w:color w:val="000000"/>
          <w:lang w:val="ru-RU" w:eastAsia="ru-RU"/>
        </w:rPr>
        <w:tab/>
        <w:t xml:space="preserve">Принимая во внимание обеспокоенность Комитета, выраженную в пунктах 30 и 31 его заключительных замечаний, и в соответствии с Кодексом законов о защите прав детей и подростков 2 февраля 2006 </w:t>
      </w:r>
      <w:r>
        <w:rPr>
          <w:bCs/>
          <w:lang w:val="ru-RU"/>
        </w:rPr>
        <w:t>года</w:t>
      </w:r>
      <w:r>
        <w:rPr>
          <w:color w:val="000000"/>
          <w:lang w:val="ru-RU" w:eastAsia="ru-RU"/>
        </w:rPr>
        <w:t xml:space="preserve"> Национальный конгресс принял Закон о реформировании Трудового кодекса. Данным Законом прямо запрещается труд детей и подростков, не достигших 15 лет, и предусматриваются суровые наказания в отношении предприятий, нарушающих этот запрет (статья 134 с поправками). Кроме того, подростки, достигшие 15 лет, не должны начинать работать, не закончив курс обучения в основной школе (статья 135 с поправками). Для подростков, которым исполнилось 15 лет, Законом устанавливается 6-часовой рабочий день и 30-часовая рабочая неделя (статья 136 с поправками). На Министерство труда возлагается обязанность составлять списки работающих подростков по кантонам и передавать эту информацию в кантональные советы по делам детей и подростков (статья 147 с поправками).</w:t>
      </w:r>
    </w:p>
    <w:p w:rsidR="000875B4" w:rsidRDefault="000875B4">
      <w:pPr>
        <w:pStyle w:val="SingleTxt"/>
        <w:rPr>
          <w:color w:val="000000"/>
          <w:lang w:val="ru-RU" w:eastAsia="ru-RU"/>
        </w:rPr>
      </w:pPr>
      <w:r>
        <w:rPr>
          <w:color w:val="000000"/>
          <w:lang w:val="ru-RU" w:eastAsia="ru-RU"/>
        </w:rPr>
        <w:t>308.</w:t>
      </w:r>
      <w:r>
        <w:rPr>
          <w:color w:val="000000"/>
          <w:lang w:val="ru-RU" w:eastAsia="ru-RU"/>
        </w:rPr>
        <w:tab/>
        <w:t>Законом запрещены любые формы рабства или аналогичная практика, а также опасные, вредные или нездоровые виды работ для несовершеннолетних, не достигших 18 лет, купля-продажа детей, принудительный труд, вербовка или вовлечение детей в занятия проституцией и порнографию, равно как и привлечение детей к производству или продаже наркотических веществ (статья 138 с поправками). Кроме того, согласно Закону, достигший 15 лет подросток получает все юридические права, как, например, право без разрешения своего представителя подписывать договоры, право самому получать заработную плату и подавать административные или судебные иски в случае нарушения его трудовых прав (статьи 35 и 616 с поправками).</w:t>
      </w:r>
    </w:p>
    <w:p w:rsidR="000875B4" w:rsidRDefault="000875B4">
      <w:pPr>
        <w:pStyle w:val="SingleTxt"/>
        <w:rPr>
          <w:color w:val="000000"/>
          <w:lang w:val="ru-RU" w:eastAsia="ru-RU"/>
        </w:rPr>
      </w:pPr>
      <w:r>
        <w:rPr>
          <w:color w:val="000000"/>
          <w:lang w:val="ru-RU" w:eastAsia="ru-RU"/>
        </w:rPr>
        <w:t>309.</w:t>
      </w:r>
      <w:r>
        <w:rPr>
          <w:color w:val="000000"/>
          <w:lang w:val="ru-RU" w:eastAsia="ru-RU"/>
        </w:rPr>
        <w:tab/>
        <w:t xml:space="preserve">По данным Опроса городского и сельского населения по вопросам занятости и безработицы 2001 года, в стране работают 789 070 мальчиков и девочек в возрасте до 18 лет, 298 421 из них – девочки, 93 процента которых заняты неоплачиваемой работой по дому. Министерство труда совместно с Национальным институтом по проблемам детства и семьи и Национальным управлением специализированной полиции для детей осуществляют программы по мониторингу детского труда и проводят пропагандистские кампании. </w:t>
      </w:r>
    </w:p>
    <w:p w:rsidR="000875B4" w:rsidRDefault="000875B4">
      <w:pPr>
        <w:pStyle w:val="SingleTxt"/>
        <w:rPr>
          <w:color w:val="000000"/>
          <w:lang w:val="ru-RU" w:eastAsia="ru-RU"/>
        </w:rPr>
      </w:pPr>
      <w:r>
        <w:rPr>
          <w:color w:val="000000"/>
          <w:lang w:val="ru-RU" w:eastAsia="ru-RU"/>
        </w:rPr>
        <w:t>310.</w:t>
      </w:r>
      <w:r>
        <w:rPr>
          <w:color w:val="000000"/>
          <w:lang w:val="ru-RU" w:eastAsia="ru-RU"/>
        </w:rPr>
        <w:tab/>
        <w:t xml:space="preserve">По данным Отдела по упразднению детского труда Министерства труда, специальных исследований о неоплачиваемой работе детей по дому и других формах их работы в качестве прислуги не проводилось. Не имеется и соответствующих статистических данных в разбивке по полу. Однако Министерство приложило много усилий для содействия проведению Кампании по искоренению детского труда в рамках Плана действий по упразднению детского труда. Одним </w:t>
      </w:r>
      <w:r>
        <w:rPr>
          <w:color w:val="000000"/>
          <w:lang w:val="ru-RU" w:eastAsia="ru-RU"/>
        </w:rPr>
        <w:br/>
        <w:t>из мероприятий этой кампании стало создание 35 новых инспекций по детскому труду во всех провинциях страны.</w:t>
      </w:r>
    </w:p>
    <w:p w:rsidR="000875B4" w:rsidRDefault="000875B4">
      <w:pPr>
        <w:pStyle w:val="SingleTxt"/>
        <w:suppressAutoHyphens/>
      </w:pPr>
      <w:r>
        <w:rPr>
          <w:color w:val="000000"/>
          <w:lang w:val="ru-RU" w:eastAsia="ru-RU"/>
        </w:rPr>
        <w:t>311.</w:t>
      </w:r>
      <w:r>
        <w:rPr>
          <w:color w:val="000000"/>
          <w:lang w:val="ru-RU" w:eastAsia="ru-RU"/>
        </w:rPr>
        <w:tab/>
        <w:t>Частью межведомственной работы по упразднению детского труда стало подписание Министерством труда договоров с Национальным институтом по проблемам детства и семьи и Национальным институтом статистики и переписи населения с целью проведения переписи, которая позволила бы определить результаты проводившейся в Эквадоре в 2001–2006 </w:t>
      </w:r>
      <w:r>
        <w:rPr>
          <w:bCs/>
          <w:lang w:val="ru-RU"/>
        </w:rPr>
        <w:t xml:space="preserve">годах </w:t>
      </w:r>
      <w:r>
        <w:rPr>
          <w:color w:val="000000"/>
          <w:lang w:val="ru-RU" w:eastAsia="ru-RU"/>
        </w:rPr>
        <w:t>работы в этой области.</w:t>
      </w:r>
    </w:p>
    <w:p w:rsidR="000875B4" w:rsidRDefault="000875B4">
      <w:pPr>
        <w:pStyle w:val="SingleTxt"/>
        <w:suppressAutoHyphens/>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Пропаганда трудовых прав женщин</w:t>
      </w:r>
    </w:p>
    <w:p w:rsidR="000875B4" w:rsidRDefault="000875B4">
      <w:pPr>
        <w:pStyle w:val="SingleTxt"/>
        <w:spacing w:after="0" w:line="120" w:lineRule="exact"/>
        <w:rPr>
          <w:sz w:val="10"/>
        </w:rPr>
      </w:pPr>
    </w:p>
    <w:p w:rsidR="000875B4" w:rsidRDefault="000875B4">
      <w:pPr>
        <w:pStyle w:val="SingleTxt"/>
        <w:suppressAutoHyphens/>
      </w:pPr>
      <w:r>
        <w:rPr>
          <w:color w:val="000000"/>
          <w:lang w:val="ru-RU" w:eastAsia="ru-RU"/>
        </w:rPr>
        <w:t>312.</w:t>
      </w:r>
      <w:r>
        <w:rPr>
          <w:color w:val="000000"/>
          <w:lang w:val="ru-RU" w:eastAsia="ru-RU"/>
        </w:rPr>
        <w:tab/>
        <w:t xml:space="preserve">В целях содействия обеспечению и пропаганде трудовых прав женщин в Международный женский день состоялась виртуальная презентация "Справочника по трудовому законодательству с гендерных позиций", в котором собраны положения национального и международного законодательства по вопросу </w:t>
      </w:r>
      <w:r>
        <w:rPr>
          <w:color w:val="000000"/>
          <w:lang w:val="ru-RU" w:eastAsia="ru-RU"/>
        </w:rPr>
        <w:br/>
        <w:t xml:space="preserve">о трудовых правах женщин, а также сведения о принятом в стране и на международном уровне порядке действий в случае нарушения этих прав. Официальная презентация печатной и цифровой версий этого справочника состоялась 24 ноября 2006 </w:t>
      </w:r>
      <w:r>
        <w:rPr>
          <w:bCs/>
          <w:lang w:val="ru-RU"/>
        </w:rPr>
        <w:t>года</w:t>
      </w:r>
      <w:r>
        <w:rPr>
          <w:color w:val="000000"/>
          <w:lang w:val="ru-RU" w:eastAsia="ru-RU"/>
        </w:rPr>
        <w:t xml:space="preserve"> в рамках организованной ЮНИФЕМ кампании под названием "16 дней действий против нарушения прав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bCs/>
          <w:iCs/>
          <w:color w:val="000000"/>
          <w:lang w:val="ru-RU" w:eastAsia="ru-RU"/>
        </w:rPr>
        <w:t>12</w:t>
      </w:r>
      <w:r>
        <w:br/>
      </w:r>
      <w:r>
        <w:rPr>
          <w:lang w:eastAsia="ru-RU"/>
        </w:rPr>
        <w:t>Здравоохранение</w:t>
      </w:r>
    </w:p>
    <w:p w:rsidR="000875B4" w:rsidRDefault="000875B4">
      <w:pPr>
        <w:pStyle w:val="SingleTxt"/>
        <w:spacing w:after="0" w:line="120" w:lineRule="exact"/>
        <w:rPr>
          <w:sz w:val="10"/>
        </w:rPr>
      </w:pPr>
    </w:p>
    <w:p w:rsidR="000875B4" w:rsidRDefault="000875B4">
      <w:pPr>
        <w:pStyle w:val="SingleTxt"/>
        <w:suppressAutoHyphens/>
      </w:pPr>
      <w:r>
        <w:rPr>
          <w:color w:val="000000"/>
          <w:lang w:val="ru-RU" w:eastAsia="ru-RU"/>
        </w:rPr>
        <w:t>313.</w:t>
      </w:r>
      <w:r>
        <w:rPr>
          <w:color w:val="000000"/>
          <w:lang w:val="ru-RU" w:eastAsia="ru-RU"/>
        </w:rPr>
        <w:tab/>
        <w:t>Согласно Конституции, средства на финансирование государственных учреждений здравоохранения должны выделяться из государственного бюджета своевременно и в достаточном размере, при этом сокращение бюджетных ассигнований не допускается. Тем не менее пока из государственного бюджета выделяется недостаточно средств на функционирование учреждений здравоохранения; в последние три года эти ассигнования в среднем составляли 6 процентов бюджета.</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Закон о бесплатной охране здоровья матери и уходе за новорожденными</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314.</w:t>
      </w:r>
      <w:r>
        <w:rPr>
          <w:color w:val="000000"/>
          <w:lang w:val="ru-RU" w:eastAsia="ru-RU"/>
        </w:rPr>
        <w:tab/>
        <w:t>Закон о бесплатной охране здоровья матери и уходе за новорожденными</w:t>
      </w:r>
      <w:r>
        <w:rPr>
          <w:rStyle w:val="FootnoteReference"/>
          <w:color w:val="000000"/>
          <w:lang w:val="ru-RU" w:eastAsia="ru-RU"/>
        </w:rPr>
        <w:footnoteReference w:id="42"/>
      </w:r>
      <w:r>
        <w:rPr>
          <w:color w:val="000000"/>
          <w:lang w:val="ru-RU" w:eastAsia="ru-RU"/>
        </w:rPr>
        <w:t xml:space="preserve"> </w:t>
      </w:r>
      <w:r>
        <w:rPr>
          <w:color w:val="000000"/>
          <w:lang w:val="ru-RU" w:eastAsia="ru-RU"/>
        </w:rPr>
        <w:br/>
        <w:t>с внесенными в него в 2005 году дополнениями и изменениями, кодифицированный в 2006 году, является одной из мер, имеющей целью увеличить доступность медицинского обслуживания для женщин и детей в возрасте до 5 лет, для которых такой доступ затруднен в силу экономических причин.</w:t>
      </w:r>
    </w:p>
    <w:p w:rsidR="000875B4" w:rsidRDefault="000875B4">
      <w:pPr>
        <w:pStyle w:val="SingleTxt"/>
        <w:rPr>
          <w:color w:val="000000"/>
          <w:lang w:val="ru-RU" w:eastAsia="ru-RU"/>
        </w:rPr>
      </w:pPr>
      <w:r>
        <w:rPr>
          <w:color w:val="000000"/>
          <w:lang w:val="ru-RU" w:eastAsia="ru-RU"/>
        </w:rPr>
        <w:t>315.</w:t>
      </w:r>
      <w:r>
        <w:rPr>
          <w:color w:val="000000"/>
          <w:lang w:val="ru-RU" w:eastAsia="ru-RU"/>
        </w:rPr>
        <w:tab/>
        <w:t xml:space="preserve">Для управления предусмотренными в законе фондами в соответствии </w:t>
      </w:r>
      <w:r>
        <w:rPr>
          <w:color w:val="000000"/>
          <w:lang w:val="ru-RU" w:eastAsia="ru-RU"/>
        </w:rPr>
        <w:br/>
        <w:t>с недавно принятыми поправками, опубликованными 31 октября 2005 </w:t>
      </w:r>
      <w:r>
        <w:rPr>
          <w:bCs/>
          <w:lang w:val="ru-RU"/>
        </w:rPr>
        <w:t>года</w:t>
      </w:r>
      <w:r>
        <w:rPr>
          <w:color w:val="000000"/>
          <w:lang w:val="ru-RU" w:eastAsia="ru-RU"/>
        </w:rPr>
        <w:t xml:space="preserve"> в "Рехистро офисиаль", № 136, при Министерстве здравоохранения было создано Управление по осуществлению Закона о бесплатной охране здоровья матери и уходе за новорожденными. Управление работает на принципах административной и финансовой автономии. </w:t>
      </w:r>
    </w:p>
    <w:p w:rsidR="000875B4" w:rsidRDefault="000875B4">
      <w:pPr>
        <w:pStyle w:val="SingleTxt"/>
        <w:rPr>
          <w:color w:val="000000"/>
          <w:lang w:val="ru-RU" w:eastAsia="ru-RU"/>
        </w:rPr>
      </w:pPr>
      <w:r>
        <w:rPr>
          <w:color w:val="000000"/>
          <w:lang w:val="ru-RU" w:eastAsia="ru-RU"/>
        </w:rPr>
        <w:t>316.</w:t>
      </w:r>
      <w:r>
        <w:rPr>
          <w:color w:val="000000"/>
          <w:lang w:val="ru-RU" w:eastAsia="ru-RU"/>
        </w:rPr>
        <w:tab/>
        <w:t>Благодаря этим мерам находящиеся в ведении Министерства здравоохранения больницы обеспечиваются медикаментами, расходными материалами, лабораторными реактивами, кровью и ее компонентами для переливания, заменителями грудного молока, то есть всем необходимым для оказания бесплатной медицинской помощи женщинам на всех этапах материнства, равно как и для поддержки программ защиты сексуального и репродуктивного здоровья, а также детям младше 5 лет. Вся такая помощь оказывается бесплатно. 210 медицинских учреждений Министерства, осуществляющих данную программу (местные лечебные учреждения и больницы) и 50 управляющих комитетов получают средства из местных солидарных фондов здравоохранения – местных органов, занимающихся управлением этими фондами на уровне кантонов. Данные органы работают под председательством алькальдов соответствующих кантонов.</w:t>
      </w:r>
    </w:p>
    <w:p w:rsidR="000875B4" w:rsidRDefault="000875B4">
      <w:pPr>
        <w:pStyle w:val="SingleTxt"/>
        <w:rPr>
          <w:color w:val="000000"/>
          <w:lang w:val="ru-RU" w:eastAsia="ru-RU"/>
        </w:rPr>
      </w:pPr>
      <w:r>
        <w:rPr>
          <w:color w:val="000000"/>
          <w:lang w:val="ru-RU" w:eastAsia="ru-RU"/>
        </w:rPr>
        <w:t>317.</w:t>
      </w:r>
      <w:r>
        <w:rPr>
          <w:color w:val="000000"/>
          <w:lang w:val="ru-RU" w:eastAsia="ru-RU"/>
        </w:rPr>
        <w:tab/>
        <w:t xml:space="preserve">Измененный закон обязывает медицинские учреждения и больницы предоставлять 55 видов услуг в области охраны сексуального и репродуктивного здоровья, в том числе услуги по наблюдению за ходом беременности, родовспоможению, послеродовому патронажу, планированию размера семьи, выявлению случаев рака шейки матки и груди, выявлению ВИЧ-инфицированных и больных СПИДом женщин, помощь жертвам насилия в семье, срочную акушерскую помощь, лечение заболеваний, передаваемых половым путем, а также лечение наиболее распространенных детских болезней, включая, в случае необходимости, госпитализацию. В течение 2005 </w:t>
      </w:r>
      <w:r>
        <w:rPr>
          <w:bCs/>
          <w:lang w:val="ru-RU"/>
        </w:rPr>
        <w:t>года</w:t>
      </w:r>
      <w:r>
        <w:rPr>
          <w:color w:val="000000"/>
          <w:lang w:val="ru-RU" w:eastAsia="ru-RU"/>
        </w:rPr>
        <w:t xml:space="preserve"> возможностями, открываемыми благодаря этому Закону, воспользовались 2 733 608 человек, в том числе 1 281 177 женщин и 1 452 431 ребенок в возрасте до 5 лет</w:t>
      </w:r>
      <w:r>
        <w:rPr>
          <w:rStyle w:val="FootnoteReference"/>
          <w:color w:val="000000"/>
          <w:lang w:val="ru-RU" w:eastAsia="ru-RU"/>
        </w:rPr>
        <w:footnoteReference w:id="43"/>
      </w:r>
      <w:r>
        <w:rPr>
          <w:color w:val="000000"/>
          <w:lang w:val="ru-RU" w:eastAsia="ru-RU"/>
        </w:rPr>
        <w:t>.</w:t>
      </w:r>
    </w:p>
    <w:p w:rsidR="000875B4" w:rsidRDefault="000875B4">
      <w:pPr>
        <w:pStyle w:val="SingleTxt"/>
        <w:suppressAutoHyphens/>
      </w:pPr>
      <w:r>
        <w:rPr>
          <w:color w:val="000000"/>
          <w:lang w:val="ru-RU" w:eastAsia="ru-RU"/>
        </w:rPr>
        <w:t>318.</w:t>
      </w:r>
      <w:r>
        <w:rPr>
          <w:color w:val="000000"/>
          <w:lang w:val="ru-RU" w:eastAsia="ru-RU"/>
        </w:rPr>
        <w:tab/>
        <w:t>Солидарный фонд здравоохранения финансирует на общенациональном уровне оказание бесплатной медицинской помощи и перечисляет средства в 210 медицинских учреждений Министерства здравоохранения, осуществляющих данную программу, и в 50 управляющих комитетов местных солидарных фондов здравоохранения, созданных на уровне кантонов.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color w:val="000000"/>
          <w:lang w:val="ru-RU" w:eastAsia="ru-RU"/>
        </w:rPr>
        <w:t>Группы пользователей услуг, предусмотренных Законом о бесплатной охране здоровья матери и уходе за новорожденными</w:t>
      </w:r>
    </w:p>
    <w:p w:rsidR="000875B4" w:rsidRDefault="000875B4">
      <w:pPr>
        <w:pStyle w:val="SingleTxt"/>
        <w:spacing w:after="0" w:line="120" w:lineRule="exact"/>
        <w:rPr>
          <w:sz w:val="10"/>
        </w:rPr>
      </w:pPr>
    </w:p>
    <w:p w:rsidR="000875B4" w:rsidRDefault="000875B4">
      <w:pPr>
        <w:pStyle w:val="SingleTxt"/>
        <w:suppressAutoHyphens/>
      </w:pPr>
      <w:r>
        <w:t>319.</w:t>
      </w:r>
      <w:r>
        <w:tab/>
      </w:r>
      <w:r>
        <w:rPr>
          <w:color w:val="000000"/>
          <w:lang w:val="ru-RU" w:eastAsia="ru-RU"/>
        </w:rPr>
        <w:t xml:space="preserve">В целях надлежащего применения данного Закона на уровне кантонов созданы группы пользователей предусмотренных в Законе услуг. Эти механизмы гражданского участия пользуются поддержкой со стороны государства и гражданского общества, поскольку благодаря им осуществляются общественный надзор и контроль, в том числе за перечислением и расходованием средств. </w:t>
      </w:r>
      <w:r>
        <w:rPr>
          <w:color w:val="000000"/>
          <w:lang w:val="ru-RU" w:eastAsia="ru-RU"/>
        </w:rPr>
        <w:br/>
        <w:t>К настоящему времени по всей стране зарегистрировано 73 таких группы кантонального уровня (их нет только в провинциях Галапагосские острова и Сукумбиос). На уровне церковных приходов, по некоторым оценкам, действуют около 400 таких групп.</w:t>
      </w:r>
    </w:p>
    <w:p w:rsidR="000875B4" w:rsidRDefault="000875B4">
      <w:pPr>
        <w:pStyle w:val="SingleTxt"/>
        <w:rPr>
          <w:color w:val="000000"/>
          <w:lang w:val="ru-RU" w:eastAsia="ru-RU"/>
        </w:rPr>
      </w:pPr>
      <w:r>
        <w:rPr>
          <w:color w:val="000000"/>
          <w:lang w:val="ru-RU" w:eastAsia="ru-RU"/>
        </w:rPr>
        <w:t>320.</w:t>
      </w:r>
      <w:r>
        <w:rPr>
          <w:color w:val="000000"/>
          <w:lang w:val="ru-RU" w:eastAsia="ru-RU"/>
        </w:rPr>
        <w:tab/>
        <w:t xml:space="preserve">С конца августа 2006 </w:t>
      </w:r>
      <w:r>
        <w:rPr>
          <w:bCs/>
          <w:lang w:val="ru-RU"/>
        </w:rPr>
        <w:t>года</w:t>
      </w:r>
      <w:r>
        <w:rPr>
          <w:color w:val="000000"/>
          <w:lang w:val="ru-RU" w:eastAsia="ru-RU"/>
        </w:rPr>
        <w:t xml:space="preserve"> ведется разработка конкретных программ действий для таких групп по всей стране, чтобы тем самым повысить их роль как органов надзора и реализации прав. С этой целью была создана Национальная сеть групп пользователей услуг, предусмотренных данным Законом.</w:t>
      </w:r>
    </w:p>
    <w:p w:rsidR="000875B4" w:rsidRDefault="000875B4">
      <w:pPr>
        <w:pStyle w:val="SingleTxt"/>
        <w:suppressAutoHyphens/>
      </w:pPr>
      <w:r>
        <w:rPr>
          <w:color w:val="000000"/>
          <w:lang w:val="ru-RU" w:eastAsia="ru-RU"/>
        </w:rPr>
        <w:t>321.</w:t>
      </w:r>
      <w:r>
        <w:rPr>
          <w:color w:val="000000"/>
          <w:lang w:val="ru-RU" w:eastAsia="ru-RU"/>
        </w:rPr>
        <w:tab/>
        <w:t>Прошли подготовку в области гендерных проблем и реализации Закона 15 тыс. женщин. Были разработаны и апробированы Рекомендации по созданию групп пользователей, и ведется работа по созданию электронного реестра таких групп, что упростит контакты между ними и позволит опубликовать документ о порядке подачи жалоб по поводу нарушения прав.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Национальная политика в области сексуального и репродуктивного здоровья</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322.</w:t>
      </w:r>
      <w:r>
        <w:rPr>
          <w:color w:val="000000"/>
          <w:lang w:val="ru-RU" w:eastAsia="ru-RU"/>
        </w:rPr>
        <w:tab/>
        <w:t xml:space="preserve">В ответ на выраженную в пунктах 24 и 25 Заключительных замечаний Комитета озабоченность относительно распространения и укрепления программ здравоохранения, в том числе в области сексуального и репродуктивного здоровья, государство помимо мер, о которых шла речь выше, в разделе о Законе о бесплатной охране здоровья матери и уходе за новорожденными, принимает и другие меры в этой сфере. С 2002 </w:t>
      </w:r>
      <w:r>
        <w:rPr>
          <w:bCs/>
          <w:lang w:val="ru-RU"/>
        </w:rPr>
        <w:t>года</w:t>
      </w:r>
      <w:r>
        <w:rPr>
          <w:color w:val="000000"/>
          <w:lang w:val="ru-RU" w:eastAsia="ru-RU"/>
        </w:rPr>
        <w:t xml:space="preserve"> в стране действует Органический закон о национальной системе здравоохранения. Координатором осуществления этого Закона является Национальный совет по здравоохранению, задачей которого являются разработка </w:t>
      </w:r>
      <w:r>
        <w:rPr>
          <w:color w:val="000000"/>
          <w:lang w:val="ru-RU" w:eastAsia="ru-RU"/>
        </w:rPr>
        <w:br/>
        <w:t>и реализация политики, секторальных планов и программ, направленных на выполнение положений Политической конституции государства.</w:t>
      </w:r>
    </w:p>
    <w:p w:rsidR="000875B4" w:rsidRDefault="000875B4">
      <w:pPr>
        <w:pStyle w:val="SingleTxt"/>
        <w:rPr>
          <w:color w:val="000000"/>
          <w:lang w:val="ru-RU" w:eastAsia="ru-RU"/>
        </w:rPr>
      </w:pPr>
      <w:r>
        <w:rPr>
          <w:color w:val="000000"/>
          <w:lang w:val="ru-RU" w:eastAsia="ru-RU"/>
        </w:rPr>
        <w:t>323.</w:t>
      </w:r>
      <w:r>
        <w:rPr>
          <w:color w:val="000000"/>
          <w:lang w:val="ru-RU" w:eastAsia="ru-RU"/>
        </w:rPr>
        <w:tab/>
        <w:t>В Органическом законе о национальной системе здравоохранения, Кодексе законов о здравоохранении, Кодексе законов о защите прав детей и подростков, Законе о борьбе с насилием в отношении женщин и семьи, Законе о сексуальном воспитании, Законе о ВИЧ/СПИДе, Законе о правах пациентов и защите их прав и в недавно принятом Органическом законе о здравоохранении содержатся конкретные положения в отношении сексуальных и репродуктивных прав, составившие законодательную основу для разработки Национального плана защиты здоровья и сексуальных и репродуктивных прав.</w:t>
      </w:r>
    </w:p>
    <w:p w:rsidR="000875B4" w:rsidRDefault="000875B4">
      <w:pPr>
        <w:pStyle w:val="SingleTxt"/>
        <w:rPr>
          <w:color w:val="000000"/>
          <w:lang w:val="ru-RU" w:eastAsia="ru-RU"/>
        </w:rPr>
      </w:pPr>
      <w:r>
        <w:rPr>
          <w:color w:val="000000"/>
          <w:lang w:val="ru-RU" w:eastAsia="ru-RU"/>
        </w:rPr>
        <w:t>324.</w:t>
      </w:r>
      <w:r>
        <w:rPr>
          <w:color w:val="000000"/>
          <w:lang w:val="ru-RU" w:eastAsia="ru-RU"/>
        </w:rPr>
        <w:tab/>
        <w:t xml:space="preserve">В ноябре 1998 </w:t>
      </w:r>
      <w:r>
        <w:rPr>
          <w:bCs/>
          <w:lang w:val="ru-RU"/>
        </w:rPr>
        <w:t>года</w:t>
      </w:r>
      <w:r>
        <w:rPr>
          <w:color w:val="000000"/>
          <w:lang w:val="ru-RU" w:eastAsia="ru-RU"/>
        </w:rPr>
        <w:t xml:space="preserve"> постановлением № 00987 Министерства здравоохранения были утверждены Нормы и правила оказания медицинской помощи в сфере репродуктивного здоровья. В апреле 2005 </w:t>
      </w:r>
      <w:r>
        <w:rPr>
          <w:bCs/>
          <w:lang w:val="ru-RU"/>
        </w:rPr>
        <w:t>года</w:t>
      </w:r>
      <w:r>
        <w:rPr>
          <w:color w:val="000000"/>
          <w:lang w:val="ru-RU" w:eastAsia="ru-RU"/>
        </w:rPr>
        <w:t xml:space="preserve"> правительственным декретом № 2717 была одобрена Политика в области здравоохранения и защиты сексуальных и репродуктивных прав. Предусмотренные этим документом меры обсуждались в ходе семинаров на национальном и региональном уровнях, завершающим этапом которых стал II конгресс "За здоровье и жизнь" в сентябре 2005 </w:t>
      </w:r>
      <w:r>
        <w:rPr>
          <w:bCs/>
          <w:lang w:val="ru-RU"/>
        </w:rPr>
        <w:t>года</w:t>
      </w:r>
      <w:r>
        <w:rPr>
          <w:color w:val="000000"/>
          <w:lang w:val="ru-RU" w:eastAsia="ru-RU"/>
        </w:rPr>
        <w:t xml:space="preserve"> в Гуаякиле. </w:t>
      </w:r>
      <w:r>
        <w:rPr>
          <w:color w:val="000000"/>
          <w:lang w:val="ru-RU" w:eastAsia="ru-RU"/>
        </w:rPr>
        <w:br/>
        <w:t xml:space="preserve">Эта политика стала составной частью разработанной и утвержденной Конгрессом Программы действий. </w:t>
      </w:r>
    </w:p>
    <w:p w:rsidR="000875B4" w:rsidRDefault="000875B4">
      <w:pPr>
        <w:pStyle w:val="SingleTxt"/>
        <w:rPr>
          <w:color w:val="000000"/>
          <w:lang w:val="ru-RU" w:eastAsia="ru-RU"/>
        </w:rPr>
      </w:pPr>
      <w:r>
        <w:rPr>
          <w:color w:val="000000"/>
          <w:lang w:val="ru-RU" w:eastAsia="ru-RU"/>
        </w:rPr>
        <w:t>325.</w:t>
      </w:r>
      <w:r>
        <w:rPr>
          <w:color w:val="000000"/>
          <w:lang w:val="ru-RU" w:eastAsia="ru-RU"/>
        </w:rPr>
        <w:tab/>
        <w:t xml:space="preserve">В 2005 </w:t>
      </w:r>
      <w:r>
        <w:rPr>
          <w:bCs/>
          <w:lang w:val="ru-RU"/>
        </w:rPr>
        <w:t>году</w:t>
      </w:r>
      <w:r>
        <w:rPr>
          <w:color w:val="000000"/>
          <w:lang w:val="ru-RU" w:eastAsia="ru-RU"/>
        </w:rPr>
        <w:t xml:space="preserve"> совместными усилиями Министерства здравоохранения и других ведомств, играющих ключевую роль в сфере здравоохранения, был принят Национальный план защиты здоровья и сексуальных и репродуктивных прав, задача которого – "гарантировать осуществление предусмотренной этим планом национальной политики, являющейся составной частью обеспечения прав человека и всесторонней охраны здоровья, обеспечивающей полное развитие мужчин и женщин Эквадора и улучшение качества их жизни, в том числе возможность вести нормальную сексуальную жизнь и свободно принимать решения относительно того, иметь или не иметь детей, когда и через какие промежутки времени". </w:t>
      </w:r>
    </w:p>
    <w:p w:rsidR="000875B4" w:rsidRDefault="000875B4">
      <w:pPr>
        <w:pStyle w:val="SingleTxt"/>
        <w:suppressAutoHyphens/>
      </w:pPr>
      <w:r>
        <w:rPr>
          <w:color w:val="000000"/>
          <w:lang w:val="ru-RU" w:eastAsia="ru-RU"/>
        </w:rPr>
        <w:t>326.</w:t>
      </w:r>
      <w:r>
        <w:rPr>
          <w:color w:val="000000"/>
          <w:lang w:val="ru-RU" w:eastAsia="ru-RU"/>
        </w:rPr>
        <w:tab/>
        <w:t xml:space="preserve">Кроме того, КОНАМУ транслирует по национальному радио материалы </w:t>
      </w:r>
      <w:r>
        <w:rPr>
          <w:color w:val="000000"/>
          <w:lang w:val="ru-RU" w:eastAsia="ru-RU"/>
        </w:rPr>
        <w:br/>
        <w:t>о сексуальных и репродуктивных правах женщин, в том числе о предупреждении ВИЧ/СПИДа. Также организуются встречи с известными учеными – специалистами в этой области и с представителями Национального комитета по здравоохранению, пленума Конституционного суда, Эквадорской федерации обществ гинекологов и акушерок, женских организаций и др.</w:t>
      </w:r>
    </w:p>
    <w:p w:rsidR="000875B4" w:rsidRDefault="000875B4">
      <w:pPr>
        <w:pStyle w:val="SingleTxt"/>
        <w:tabs>
          <w:tab w:val="clear" w:pos="1742"/>
        </w:tabs>
        <w:suppressAutoHyphens/>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Реформирование Кодекса здравоохранения</w:t>
      </w:r>
      <w:r>
        <w:rPr>
          <w:rStyle w:val="FootnoteReference"/>
          <w:b w:val="0"/>
          <w:bCs/>
        </w:rPr>
        <w:footnoteReference w:id="44"/>
      </w:r>
      <w:r>
        <w:t xml:space="preserve"> </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327.</w:t>
      </w:r>
      <w:r>
        <w:rPr>
          <w:color w:val="000000"/>
          <w:lang w:val="ru-RU" w:eastAsia="ru-RU"/>
        </w:rPr>
        <w:tab/>
        <w:t>Ныне действующий Кодекс здравоохранения был принят в феврале 1971 </w:t>
      </w:r>
      <w:r>
        <w:rPr>
          <w:bCs/>
          <w:lang w:val="ru-RU"/>
        </w:rPr>
        <w:t>года</w:t>
      </w:r>
      <w:r>
        <w:rPr>
          <w:color w:val="000000"/>
          <w:lang w:val="ru-RU" w:eastAsia="ru-RU"/>
        </w:rPr>
        <w:t>. В нем содержатся положения о защите индивидуального и коллективного здоровья и предусмотрены меры в области укрепления и защиты здоровья с уделением особого внимания профилактике и восстановлению; также определяются сфера ведения, компетенция различных органов, процедуры и санкции. Один из законов Кодекса направлен на защиту здоровья населения путем регулирования деятельности всех участников и определения механизмов надзора и контроля.</w:t>
      </w:r>
    </w:p>
    <w:p w:rsidR="000875B4" w:rsidRDefault="000875B4">
      <w:pPr>
        <w:pStyle w:val="SingleTxt"/>
        <w:rPr>
          <w:bCs/>
          <w:lang w:eastAsia="ru-RU"/>
        </w:rPr>
      </w:pPr>
      <w:r>
        <w:rPr>
          <w:bCs/>
          <w:lang w:eastAsia="ru-RU"/>
        </w:rPr>
        <w:t>328.</w:t>
      </w:r>
      <w:r>
        <w:rPr>
          <w:bCs/>
          <w:lang w:eastAsia="ru-RU"/>
        </w:rPr>
        <w:tab/>
        <w:t xml:space="preserve">Кодекс здравоохранения, вступивший в силу 35 лет назад, нуждался </w:t>
      </w:r>
      <w:r>
        <w:rPr>
          <w:bCs/>
          <w:lang w:val="ru-RU" w:eastAsia="ru-RU"/>
        </w:rPr>
        <w:br/>
      </w:r>
      <w:r>
        <w:rPr>
          <w:bCs/>
          <w:lang w:eastAsia="ru-RU"/>
        </w:rPr>
        <w:t>в модернизации и приведении в соответствие с положениями действующей Конституции, с современными подходами, применяемыми в системе государственного здравоохранения, в гендерной сфере, в сфере охраны здоровья различных возрастных групп, с межкультурными подходами и с новыми положениями в сфере защиты прав человека, в том числе коллективных, сексуальных и репродуктивных прав, особенно в свете достижений в области биоэтики, биобезопасности и биотехнологий. Необходимо было расширить трактовку понятия "здравоохранение", повысить эффективность лечебных и профилактических мероприятий, усилить потенциал в сфере прогнозирования и анализа рисков при оказании медицинских услуг.</w:t>
      </w:r>
    </w:p>
    <w:p w:rsidR="000875B4" w:rsidRDefault="000875B4">
      <w:pPr>
        <w:pStyle w:val="SingleTxt"/>
        <w:rPr>
          <w:color w:val="000000"/>
          <w:lang w:val="ru-RU" w:eastAsia="ru-RU"/>
        </w:rPr>
      </w:pPr>
      <w:r>
        <w:rPr>
          <w:color w:val="000000"/>
          <w:lang w:val="ru-RU" w:eastAsia="ru-RU"/>
        </w:rPr>
        <w:t>329.</w:t>
      </w:r>
      <w:r>
        <w:rPr>
          <w:color w:val="000000"/>
          <w:lang w:val="ru-RU" w:eastAsia="ru-RU"/>
        </w:rPr>
        <w:tab/>
        <w:t>Исходя из этого, Специальная постоянная комиссия по здравоохранению, окружающей среде и экологической безопасности Национального конгресса в сотрудничестве с Министерством здравоохранения приступила в феврале 2003 </w:t>
      </w:r>
      <w:r>
        <w:rPr>
          <w:bCs/>
          <w:lang w:val="ru-RU"/>
        </w:rPr>
        <w:t>года</w:t>
      </w:r>
      <w:r>
        <w:rPr>
          <w:color w:val="000000"/>
          <w:lang w:val="ru-RU" w:eastAsia="ru-RU"/>
        </w:rPr>
        <w:t xml:space="preserve"> к разработке проекта закона о внесении изменений и дополнений в Кодекс здравоохранения. Техническое содействие в этой работе оказывала Панамериканская организация здравоохранения. Данный законопроект был утвержден Законом № 67 – Органическим законом о здравоохранении, опубликованном 22 декабря 2006 </w:t>
      </w:r>
      <w:r>
        <w:rPr>
          <w:bCs/>
          <w:lang w:val="ru-RU"/>
        </w:rPr>
        <w:t xml:space="preserve">года </w:t>
      </w:r>
      <w:r>
        <w:rPr>
          <w:color w:val="000000"/>
          <w:lang w:val="ru-RU" w:eastAsia="ru-RU"/>
        </w:rPr>
        <w:t>в Приложении к "Рехистро офисиаль", № 423.</w:t>
      </w:r>
    </w:p>
    <w:p w:rsidR="000875B4" w:rsidRDefault="000875B4">
      <w:pPr>
        <w:pStyle w:val="SingleTxt"/>
        <w:rPr>
          <w:color w:val="000000"/>
          <w:lang w:val="ru-RU" w:eastAsia="ru-RU"/>
        </w:rPr>
      </w:pPr>
      <w:r>
        <w:rPr>
          <w:color w:val="000000"/>
          <w:lang w:val="ru-RU" w:eastAsia="ru-RU"/>
        </w:rPr>
        <w:t>330.</w:t>
      </w:r>
      <w:r>
        <w:rPr>
          <w:color w:val="000000"/>
          <w:lang w:val="ru-RU" w:eastAsia="ru-RU"/>
        </w:rPr>
        <w:tab/>
        <w:t xml:space="preserve">В данном Органическом законе право на здоровье четко определяется как основополагающее право человека, и в силу этого на государство возлагается ответственность за его обеспечение и защиту, а также рассматриваются проблемы здравоохранения, связанные с обстоятельствами социального, культурного, этнического, возрастного и гендерного характера, с экономической и экологической ситуацией, сложившейся в стране. Один из разделов Закона посвящен вопросам сексуального и репродуктивного здоровья. Здесь, в числе прочего, провозглашается право женщин и мужчин принимать решение о своем желании иметь или не иметь детей, а также о времени деторождения, гарантируется возможность пользоваться методами контрацепции, содержится требование о реализации мер профилактического и лечебного характера в области сексуального и репродуктивного здоровья для всего населения с уделением особого внимания подросткам обоего пола. Кроме того, Законом предусматривается разработка образовательной политики и программ по вопросам сексуального и репродуктивного здоровья, предупреждения подростковой беременности, ВИЧ/СПИДа и других заболеваний, передаваемых половым путем, воспитания ответственного отцовства и материнства и искоренения сексуальной эксплуатации. </w:t>
      </w:r>
    </w:p>
    <w:p w:rsidR="000875B4" w:rsidRDefault="000875B4">
      <w:pPr>
        <w:pStyle w:val="SingleTxt"/>
        <w:rPr>
          <w:color w:val="000000"/>
          <w:lang w:val="ru-RU" w:eastAsia="ru-RU"/>
        </w:rPr>
      </w:pPr>
      <w:r>
        <w:rPr>
          <w:color w:val="000000"/>
          <w:lang w:val="ru-RU" w:eastAsia="ru-RU"/>
        </w:rPr>
        <w:t>331.</w:t>
      </w:r>
      <w:r>
        <w:rPr>
          <w:color w:val="000000"/>
          <w:lang w:val="ru-RU" w:eastAsia="ru-RU"/>
        </w:rPr>
        <w:tab/>
        <w:t xml:space="preserve">По мнению Национального совета по делам женщин и движения женских организаций, в процессе принятия Органического закона "имели место активные действия консервативных течений и групп как внутри Национального конгресса, так и вне его, направленные на существенное изменение статей по вопросам сексуального и репродуктивного здоровья. Под влиянием этих групп, выступавших против принятия данного Закона, 24 ноября 2006 </w:t>
      </w:r>
      <w:r>
        <w:rPr>
          <w:bCs/>
          <w:color w:val="000000"/>
          <w:lang w:val="ru-RU" w:eastAsia="ru-RU"/>
        </w:rPr>
        <w:t>года</w:t>
      </w:r>
      <w:r>
        <w:rPr>
          <w:color w:val="000000"/>
          <w:lang w:val="ru-RU" w:eastAsia="ru-RU"/>
        </w:rPr>
        <w:t xml:space="preserve"> президент республики наложил частичное вето на Органический закон о здравоохранении"</w:t>
      </w:r>
      <w:r>
        <w:rPr>
          <w:rStyle w:val="FootnoteReference"/>
          <w:color w:val="000000"/>
          <w:lang w:val="ru-RU" w:eastAsia="ru-RU"/>
        </w:rPr>
        <w:footnoteReference w:id="45"/>
      </w:r>
      <w:r>
        <w:rPr>
          <w:color w:val="000000"/>
          <w:lang w:val="ru-RU" w:eastAsia="ru-RU"/>
        </w:rPr>
        <w:t>. Многие женские и правозащитные организации, профильные НПО, а также КОНАМУ выступили против президентского вето</w:t>
      </w:r>
      <w:r>
        <w:rPr>
          <w:rStyle w:val="FootnoteReference"/>
          <w:color w:val="000000"/>
          <w:lang w:val="ru-RU" w:eastAsia="ru-RU"/>
        </w:rPr>
        <w:footnoteReference w:id="46"/>
      </w:r>
      <w:r>
        <w:rPr>
          <w:color w:val="000000"/>
          <w:lang w:val="ru-RU" w:eastAsia="ru-RU"/>
        </w:rPr>
        <w:t>. По мнению КОНАМУ, вето в отношении сексуальных и репродуктивных прав противоречит Конституции. Совет заявил об этом публично, поскольку считает, что оно "отказывает женщине, подвергшейся изнасилованию, в возможности прибегнуть к чрезвычайным мерам (экстренная контрацепция) для предупреждения беременности, что нарушает права человека жертв изнасилования, не соответствует положениям Конвенции о ликвидации всех форм дискриминации в отношении женщин и прежде всего Общим рекомендациям по вопросам сексуального и репродуктивного здоровья и насилия"</w:t>
      </w:r>
      <w:r>
        <w:rPr>
          <w:rStyle w:val="FootnoteReference"/>
          <w:color w:val="000000"/>
          <w:lang w:val="ru-RU" w:eastAsia="ru-RU"/>
        </w:rPr>
        <w:footnoteReference w:id="47"/>
      </w:r>
      <w:r>
        <w:rPr>
          <w:color w:val="000000"/>
          <w:lang w:val="ru-RU" w:eastAsia="ru-RU"/>
        </w:rPr>
        <w:t>.</w:t>
      </w:r>
    </w:p>
    <w:p w:rsidR="000875B4" w:rsidRDefault="000875B4">
      <w:pPr>
        <w:pStyle w:val="SingleTxt"/>
        <w:rPr>
          <w:color w:val="000000"/>
          <w:lang w:val="ru-RU" w:eastAsia="ru-RU"/>
        </w:rPr>
      </w:pPr>
      <w:r>
        <w:rPr>
          <w:color w:val="000000"/>
          <w:lang w:val="ru-RU" w:eastAsia="ru-RU"/>
        </w:rPr>
        <w:t>332.</w:t>
      </w:r>
      <w:r>
        <w:rPr>
          <w:color w:val="000000"/>
          <w:lang w:val="ru-RU" w:eastAsia="ru-RU"/>
        </w:rPr>
        <w:tab/>
        <w:t>Президентским вето предусматривается "возможность прерывания беременности только и исключительно в случаях, предусмотренных статьей 447 Уголовного кодекса", а не в любом случае, когда беременность стала результатом изнасилования. Это сделано в соответствии с конституционным принципом, провозгласившим право на жизнь с момента зачатия. Однако при этом "медицинские работники обязаны оказывать медицинскую помощь женщинам, у которых уже начался самопроизвольный аборт или у которых он неизбежен, что установлено в ходе надлежащего медицинского обследования" (статья 30).</w:t>
      </w:r>
    </w:p>
    <w:p w:rsidR="000875B4" w:rsidRDefault="000875B4">
      <w:pPr>
        <w:pStyle w:val="SingleTxt"/>
      </w:pPr>
      <w:r>
        <w:t>333.</w:t>
      </w:r>
      <w:r>
        <w:tab/>
        <w:t>В то же время другие организации гражданского общества и движения в защиту жизни выступили в поддержку президентского вето, чтобы не допустить легализации абортов в случаях, не предусмотренных Уголовным кодексом. Это свидетельствует о наличии в стране больших расхождений во мнениях по этому вопросу.</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Предупреждение подростковой беременности</w:t>
      </w:r>
    </w:p>
    <w:p w:rsidR="000875B4" w:rsidRDefault="000875B4">
      <w:pPr>
        <w:pStyle w:val="SingleTxt"/>
        <w:spacing w:after="0" w:line="120" w:lineRule="exact"/>
        <w:rPr>
          <w:sz w:val="10"/>
        </w:rPr>
      </w:pPr>
    </w:p>
    <w:p w:rsidR="000875B4" w:rsidRDefault="000875B4">
      <w:pPr>
        <w:pStyle w:val="SingleTxt"/>
      </w:pPr>
      <w:r>
        <w:t>334.</w:t>
      </w:r>
      <w:r>
        <w:tab/>
        <w:t>С учетом обеспокоенности Комитета, выраженной в пунктах 24 и 25 его Заключительных замечаний, государство усилило внимание к программам сексуального и репродуктивного воспитания с целью предупреждения подростковой беременности.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Закон о сексуальном воспитании</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335.</w:t>
      </w:r>
      <w:r>
        <w:rPr>
          <w:color w:val="000000"/>
          <w:lang w:val="ru-RU" w:eastAsia="ru-RU"/>
        </w:rPr>
        <w:tab/>
        <w:t>В целях стимулирования образовательной работы в Эквадоре по проблемам сексуальных и репродуктивных прав в 1998 </w:t>
      </w:r>
      <w:r>
        <w:rPr>
          <w:bCs/>
          <w:lang w:val="ru-RU"/>
        </w:rPr>
        <w:t>году</w:t>
      </w:r>
      <w:r>
        <w:rPr>
          <w:color w:val="000000"/>
          <w:lang w:val="ru-RU" w:eastAsia="ru-RU"/>
        </w:rPr>
        <w:t xml:space="preserve"> был принят Закон о сексуальном воспитании</w:t>
      </w:r>
      <w:r>
        <w:rPr>
          <w:rStyle w:val="FootnoteReference"/>
          <w:color w:val="000000"/>
          <w:lang w:val="ru-RU" w:eastAsia="ru-RU"/>
        </w:rPr>
        <w:footnoteReference w:id="48"/>
      </w:r>
      <w:r>
        <w:rPr>
          <w:color w:val="000000"/>
          <w:lang w:val="ru-RU" w:eastAsia="ru-RU"/>
        </w:rPr>
        <w:t xml:space="preserve">. Для эффективного осуществления этого закона с 2000 </w:t>
      </w:r>
      <w:r>
        <w:rPr>
          <w:bCs/>
          <w:lang w:val="ru-RU"/>
        </w:rPr>
        <w:t>года</w:t>
      </w:r>
      <w:r>
        <w:rPr>
          <w:color w:val="000000"/>
          <w:lang w:val="ru-RU" w:eastAsia="ru-RU"/>
        </w:rPr>
        <w:t xml:space="preserve"> было принято несколько важных соглашений и решений.</w:t>
      </w:r>
    </w:p>
    <w:p w:rsidR="000875B4" w:rsidRDefault="000875B4">
      <w:pPr>
        <w:pStyle w:val="SingleTxt"/>
        <w:rPr>
          <w:color w:val="000000"/>
          <w:lang w:val="ru-RU" w:eastAsia="ru-RU"/>
        </w:rPr>
      </w:pPr>
      <w:r>
        <w:rPr>
          <w:color w:val="000000"/>
          <w:lang w:val="ru-RU" w:eastAsia="ru-RU"/>
        </w:rPr>
        <w:t>336.</w:t>
      </w:r>
      <w:r>
        <w:rPr>
          <w:color w:val="000000"/>
          <w:lang w:val="ru-RU" w:eastAsia="ru-RU"/>
        </w:rPr>
        <w:tab/>
        <w:t>Министерство образования в своем постановлении № 910 от 28 мая 2000 </w:t>
      </w:r>
      <w:r>
        <w:rPr>
          <w:bCs/>
          <w:lang w:val="ru-RU"/>
        </w:rPr>
        <w:t>года</w:t>
      </w:r>
      <w:r>
        <w:rPr>
          <w:color w:val="000000"/>
          <w:lang w:val="ru-RU" w:eastAsia="ru-RU"/>
        </w:rPr>
        <w:t xml:space="preserve"> утвердило Национальный план сексуального воспитания (ПЛАНЕСА) и меры по его осуществлению в образовательных учреждениях всех уровней, в государственных учреждениях, неправительственных организациях и средствах массовой информации. В целях осуществления Плана постановлением Министерства № 3152 от 16 декабря 2003 </w:t>
      </w:r>
      <w:r>
        <w:rPr>
          <w:bCs/>
          <w:lang w:val="ru-RU"/>
        </w:rPr>
        <w:t>года</w:t>
      </w:r>
      <w:r>
        <w:rPr>
          <w:color w:val="000000"/>
          <w:lang w:val="ru-RU" w:eastAsia="ru-RU"/>
        </w:rPr>
        <w:t xml:space="preserve"> была утверждена Национальная программа сексуального воспитания (ПРОНЕСА). В рамках этого процесса постановлением Министерства № 3393 было принято специальное законодательство, определяющее порядок и процедуру выявления и расследования преступлений на сексуальной почве в системе образования. </w:t>
      </w:r>
    </w:p>
    <w:p w:rsidR="000875B4" w:rsidRDefault="000875B4">
      <w:pPr>
        <w:pStyle w:val="SingleTxt"/>
        <w:rPr>
          <w:color w:val="000000"/>
          <w:lang w:val="ru-RU" w:eastAsia="ru-RU"/>
        </w:rPr>
      </w:pPr>
      <w:r>
        <w:rPr>
          <w:color w:val="000000"/>
          <w:lang w:val="ru-RU" w:eastAsia="ru-RU"/>
        </w:rPr>
        <w:t>337.</w:t>
      </w:r>
      <w:r>
        <w:rPr>
          <w:color w:val="000000"/>
          <w:lang w:val="ru-RU" w:eastAsia="ru-RU"/>
        </w:rPr>
        <w:tab/>
        <w:t>В рамках ПРОНЕСА был образован Комитет межведомственной поддержки (КАИ)</w:t>
      </w:r>
      <w:r>
        <w:rPr>
          <w:rStyle w:val="FootnoteReference"/>
          <w:color w:val="000000"/>
          <w:lang w:val="ru-RU" w:eastAsia="ru-RU"/>
        </w:rPr>
        <w:footnoteReference w:id="49"/>
      </w:r>
      <w:r>
        <w:rPr>
          <w:color w:val="000000"/>
          <w:lang w:val="ru-RU" w:eastAsia="ru-RU"/>
        </w:rPr>
        <w:t xml:space="preserve">. В июне 2006 </w:t>
      </w:r>
      <w:r>
        <w:rPr>
          <w:bCs/>
          <w:lang w:val="ru-RU"/>
        </w:rPr>
        <w:t>года</w:t>
      </w:r>
      <w:r>
        <w:rPr>
          <w:color w:val="000000"/>
          <w:lang w:val="ru-RU" w:eastAsia="ru-RU"/>
        </w:rPr>
        <w:t xml:space="preserve"> Комитет подписал рассчитанный на 5 лет Меморандум </w:t>
      </w:r>
      <w:r>
        <w:rPr>
          <w:color w:val="000000"/>
          <w:lang w:val="ru-RU" w:eastAsia="ru-RU"/>
        </w:rPr>
        <w:br/>
        <w:t xml:space="preserve">о взаимопонимании в отношении разработки и институционализации мер в области сексуального воспитания и искоренения преступлений на сексуальной почве в сфере образования. Эта мера была поддержана в постановлении Министерства № 403, </w:t>
      </w:r>
      <w:r>
        <w:rPr>
          <w:color w:val="000000"/>
          <w:lang w:val="ru-RU" w:eastAsia="ru-RU"/>
        </w:rPr>
        <w:br/>
        <w:t xml:space="preserve">в котором был сформулирован Национальный план искоренения преступлений </w:t>
      </w:r>
      <w:r>
        <w:rPr>
          <w:color w:val="000000"/>
          <w:lang w:val="ru-RU" w:eastAsia="ru-RU"/>
        </w:rPr>
        <w:br/>
        <w:t xml:space="preserve">на сексуальной почве в сфере образования. В данном Плане предусмотрены меры </w:t>
      </w:r>
      <w:r>
        <w:rPr>
          <w:color w:val="000000"/>
          <w:lang w:val="ru-RU" w:eastAsia="ru-RU"/>
        </w:rPr>
        <w:br/>
        <w:t xml:space="preserve">по предупреждению, восстановление прав пострадавших, проведение расследований и наказание виновных в совершении преступлений на сексуальной почве, а также меры по предупреждению ВИЧ/СПИДа. В 2007 </w:t>
      </w:r>
      <w:r>
        <w:rPr>
          <w:bCs/>
          <w:lang w:val="ru-RU"/>
        </w:rPr>
        <w:t>году</w:t>
      </w:r>
      <w:r>
        <w:rPr>
          <w:lang w:val="ru-RU"/>
        </w:rPr>
        <w:t xml:space="preserve"> </w:t>
      </w:r>
      <w:r>
        <w:rPr>
          <w:color w:val="000000"/>
          <w:lang w:val="ru-RU" w:eastAsia="ru-RU"/>
        </w:rPr>
        <w:t xml:space="preserve">Министерство образования и Комитет межведомственной поддержки приступят к реализации этого Плана. Как уже говорилось, в новый Органический закон о здравоохранении включены раздел </w:t>
      </w:r>
      <w:r>
        <w:rPr>
          <w:color w:val="000000"/>
          <w:lang w:val="ru-RU" w:eastAsia="ru-RU"/>
        </w:rPr>
        <w:br/>
        <w:t>о сексуальных и репродуктивных правах и положение об обязательном сексуальном воспитании на основе гендерного подхода и прав человека женщин, как это предусмотрено в постановлении Министерства № 403.</w:t>
      </w:r>
    </w:p>
    <w:p w:rsidR="000875B4" w:rsidRDefault="000875B4">
      <w:pPr>
        <w:pStyle w:val="SingleTxt"/>
      </w:pPr>
      <w:r>
        <w:t>338.</w:t>
      </w:r>
      <w:r>
        <w:tab/>
        <w:t>Кроме того, КОНАМУ, будучи членом Национального руководящего совета по сексуальному воспитанию, содействовал привлечению широкой общественности к работе над новым Законом о сексуальном воспитании, который учитывал бы права человека женщин, принцип гендерного равенства и сексуальные и репродуктивные права. Закон был принят в первом чтении. Министерство образования планирует провести в рамках ПРОНЕСА массовое обучение учителей методам сексуального воспитания, обращая при этом особое внимание на профилактику ВИЧ/СПИДа. Все эти меры приняты в ответ на обеспокоенность Комитета в отношении осуществления Национального плана сексуального воспитания, выраженную в пунктах 24 и 25 его Заключительных замечаний.</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Проект "Подростки Эквадора"</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339.</w:t>
      </w:r>
      <w:r>
        <w:rPr>
          <w:color w:val="000000"/>
          <w:lang w:val="ru-RU" w:eastAsia="ru-RU"/>
        </w:rPr>
        <w:tab/>
        <w:t xml:space="preserve">В рамках работы по обеспечению сексуальных и репродуктивных прав молодежи КОНАМУ с 2004 </w:t>
      </w:r>
      <w:r>
        <w:rPr>
          <w:bCs/>
          <w:lang w:val="ru-RU"/>
        </w:rPr>
        <w:t>года</w:t>
      </w:r>
      <w:r>
        <w:rPr>
          <w:color w:val="000000"/>
          <w:lang w:val="ru-RU" w:eastAsia="ru-RU"/>
        </w:rPr>
        <w:t xml:space="preserve"> совместно с Национальным институтом по проблемам детства и семьи и при технической и финансовой поддержке со стороны бельгийского Агентства по техническому сотрудничеству оказывает помощь </w:t>
      </w:r>
      <w:r>
        <w:rPr>
          <w:color w:val="000000"/>
          <w:lang w:val="ru-RU" w:eastAsia="ru-RU"/>
        </w:rPr>
        <w:br/>
        <w:t xml:space="preserve">в реализации проекта "Подростки Эквадора". Данная программа осуществляется </w:t>
      </w:r>
      <w:r>
        <w:rPr>
          <w:color w:val="000000"/>
          <w:lang w:val="ru-RU" w:eastAsia="ru-RU"/>
        </w:rPr>
        <w:br/>
        <w:t xml:space="preserve">в 12 городах страны и имеет целью пропаганду и обеспечение сексуальных и репродуктивных прав подростков и молодежи на основе гендерного подхода и воспитания ответственного отношения к этим правам, чтобы тем самым способствовать предупреждению подростковых беременностей и абортов. </w:t>
      </w:r>
      <w:r>
        <w:rPr>
          <w:color w:val="000000"/>
          <w:lang w:val="ru-RU" w:eastAsia="ru-RU"/>
        </w:rPr>
        <w:br/>
        <w:t>В 2006 </w:t>
      </w:r>
      <w:r>
        <w:rPr>
          <w:bCs/>
          <w:lang w:val="ru-RU"/>
        </w:rPr>
        <w:t>году</w:t>
      </w:r>
      <w:r>
        <w:rPr>
          <w:color w:val="000000"/>
          <w:lang w:val="ru-RU" w:eastAsia="ru-RU"/>
        </w:rPr>
        <w:t xml:space="preserve"> велась работа по созданию и укреплению на местах ассоциаций </w:t>
      </w:r>
      <w:r>
        <w:rPr>
          <w:color w:val="000000"/>
          <w:lang w:val="ru-RU" w:eastAsia="ru-RU"/>
        </w:rPr>
        <w:br/>
        <w:t xml:space="preserve">с участием государственных органов и гражданского общества, главную роль </w:t>
      </w:r>
      <w:r>
        <w:rPr>
          <w:color w:val="000000"/>
          <w:lang w:val="ru-RU" w:eastAsia="ru-RU"/>
        </w:rPr>
        <w:br/>
        <w:t xml:space="preserve">в которых играют сами подростки. Основу этой стратегии составляет координация усилий различных организаций и учреждений, в том числе Национального совета по делам детей и подростков, Национального института по проблемам детства и семьи, секторов образования и здравоохранения. </w:t>
      </w:r>
    </w:p>
    <w:p w:rsidR="000875B4" w:rsidRDefault="000875B4">
      <w:pPr>
        <w:pStyle w:val="SingleTxt"/>
        <w:rPr>
          <w:color w:val="000000"/>
          <w:lang w:val="ru-RU" w:eastAsia="ru-RU"/>
        </w:rPr>
      </w:pPr>
      <w:r>
        <w:rPr>
          <w:color w:val="000000"/>
          <w:lang w:val="ru-RU" w:eastAsia="ru-RU"/>
        </w:rPr>
        <w:t>340.</w:t>
      </w:r>
      <w:r>
        <w:rPr>
          <w:color w:val="000000"/>
          <w:lang w:val="ru-RU" w:eastAsia="ru-RU"/>
        </w:rPr>
        <w:tab/>
        <w:t>Одним из главных достижений в рамках этого проекта является то, что удалось повысить степень социальной активности молодежи и разработать в 12 городах, где осуществлялся проект, программы действий по проблемам молодежи, в рамках которых были проведены пропагандистские кампании по проблемам сексуальных и репродуктивных прав с акцентом на необходимость искоренения сексуального насилия. Благодаря данному проекту оказалось возможным воздействовать на образовательные и медицинские услуги, а также на формулирование на местах политики в отношении подростков и молодежи на основе гендерного подхода.</w:t>
      </w:r>
    </w:p>
    <w:p w:rsidR="000875B4" w:rsidRDefault="000875B4">
      <w:pPr>
        <w:pStyle w:val="SingleTxt"/>
      </w:pPr>
      <w:r>
        <w:t>341.</w:t>
      </w:r>
      <w:r>
        <w:tab/>
        <w:t>Кроме того, КОНАМУ совместно с латиноамериканским центром "Здоровье и женщина", Министерством здравоохранения, Министерством образования и Национальным советом по делам детей и подростков начал важную работу, цель которой – распространение информации о предупреждении подростковой беременности. Одним из совместных мероприятий в рамках этой работы стало проведение 26 сентября 2006 года Дня предупреждения подростковой беременности. В этот день в ряде школ Кито прошли учебные мероприятия. При этом применялись нетрадиционные методы: информация доводилась до подростков в художественной форме, а затем учащимся предлагалось принять участие в обсуждении увиденного.</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color w:val="000000"/>
          <w:lang w:val="ru-RU" w:eastAsia="ru-RU"/>
        </w:rPr>
        <w:t>Доступ к методам экстренной контрацепции</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342.</w:t>
      </w:r>
      <w:r>
        <w:rPr>
          <w:color w:val="000000"/>
          <w:lang w:val="ru-RU" w:eastAsia="ru-RU"/>
        </w:rPr>
        <w:tab/>
        <w:t>В последние годы, и особенно с принятием Конституции 1998 </w:t>
      </w:r>
      <w:r>
        <w:rPr>
          <w:bCs/>
          <w:lang w:val="ru-RU"/>
        </w:rPr>
        <w:t>года,</w:t>
      </w:r>
      <w:r>
        <w:rPr>
          <w:color w:val="000000"/>
          <w:lang w:val="ru-RU" w:eastAsia="ru-RU"/>
        </w:rPr>
        <w:t xml:space="preserve"> в Эквадоре прилагались значительные усилия для пропаганды и соблюдения прав человека женщин. Однако, как отмечает КОНАМУ, "в сфере сексуальных и репродуктивных прав еще многое предстоит сделать". Далее приводится данная КОНАМУ оценка положения в этой области.</w:t>
      </w:r>
    </w:p>
    <w:p w:rsidR="000875B4" w:rsidRDefault="000875B4">
      <w:pPr>
        <w:pStyle w:val="SingleTxt"/>
        <w:rPr>
          <w:iCs/>
          <w:color w:val="000000"/>
          <w:lang w:val="ru-RU" w:eastAsia="ru-RU"/>
        </w:rPr>
      </w:pPr>
      <w:r>
        <w:rPr>
          <w:color w:val="000000"/>
          <w:lang w:val="ru-RU" w:eastAsia="ru-RU"/>
        </w:rPr>
        <w:t>343.</w:t>
      </w:r>
      <w:r>
        <w:rPr>
          <w:color w:val="000000"/>
          <w:lang w:val="ru-RU" w:eastAsia="ru-RU"/>
        </w:rPr>
        <w:tab/>
      </w:r>
      <w:r>
        <w:rPr>
          <w:iCs/>
          <w:color w:val="000000"/>
          <w:lang w:val="ru-RU" w:eastAsia="ru-RU"/>
        </w:rPr>
        <w:t>«Шагом назад в этой сфере стал иск против Министерства здравоохранения и Института "Искьета Перес", с которым группа адвокатов по собственной инициативе обратилась в 2004</w:t>
      </w:r>
      <w:r>
        <w:rPr>
          <w:iCs/>
          <w:lang w:val="ru-RU"/>
        </w:rPr>
        <w:t xml:space="preserve"> </w:t>
      </w:r>
      <w:r>
        <w:rPr>
          <w:iCs/>
          <w:color w:val="000000"/>
          <w:lang w:val="ru-RU" w:eastAsia="ru-RU"/>
        </w:rPr>
        <w:t>году в суд. Истцы потребовали, ссылаясь на Конституцию, наложить запрет на решение включить в перечень разрешенных к использованию средств разработанную этим Институтом так называемую "таблетку следующего утра", которую истцы считали абортивным средством, а не средством контрацепции. Судья Третьей судебной палаты по гражданским делам округа Гуаяс принял соответствующее решение, на которое ответчики подали апелляцию. Тот же судья удовлетворил апелляцию и принял решение о передаче дела на рассмотрение Конституционного суда для принятия решения.</w:t>
      </w:r>
    </w:p>
    <w:p w:rsidR="000875B4" w:rsidRDefault="000875B4">
      <w:pPr>
        <w:pStyle w:val="SingleTxt"/>
        <w:rPr>
          <w:iCs/>
          <w:color w:val="000000"/>
          <w:lang w:val="ru-RU" w:eastAsia="ru-RU"/>
        </w:rPr>
      </w:pPr>
      <w:r>
        <w:rPr>
          <w:iCs/>
          <w:color w:val="000000"/>
          <w:lang w:val="ru-RU" w:eastAsia="ru-RU"/>
        </w:rPr>
        <w:t>344.</w:t>
      </w:r>
      <w:r>
        <w:rPr>
          <w:iCs/>
          <w:color w:val="000000"/>
          <w:lang w:val="ru-RU" w:eastAsia="ru-RU"/>
        </w:rPr>
        <w:tab/>
        <w:t>В мае 2006 года Третья палата Конституционного суда рассмотрела вопрос о наложении запрета на основании Конституции</w:t>
      </w:r>
      <w:r>
        <w:rPr>
          <w:rStyle w:val="FootnoteReference"/>
          <w:iCs/>
          <w:color w:val="000000"/>
          <w:lang w:val="ru-RU" w:eastAsia="ru-RU"/>
        </w:rPr>
        <w:footnoteReference w:id="50"/>
      </w:r>
      <w:r>
        <w:rPr>
          <w:iCs/>
          <w:color w:val="000000"/>
          <w:lang w:val="ru-RU" w:eastAsia="ru-RU"/>
        </w:rPr>
        <w:t>, и в итоге было принято решение отозвать разрешение на использование продукта под названием ПОСТИНОР-2 и сертификат о его регистрации в качестве лекарственного средства. Это решение идет вразрез с положениями Конституции о защите прав человека женщин (пункты 2, 20, 25 статьи 23), с предусмотренными Конституцией гарантиями права на жизнь без насилия, на качество жизни (право пользоваться плодами научно-технического прогресса), права свободно принимать решения в отношении своей сексуальной жизни и желаемого числа детей, ухода за ними и их воспитания (статья 39). Решение о наложении на основании Конституции судебного запрета, которое было принято Конституционным судом в 2006 году по иску группы адвокатов, выступавших против включения в список допущенных к использованию лечебных средств так называемой "таблетки следующего утра", повлекло за собой изъятие этого продукта из списка зарегистрированных лечебных средств, и реакция общественного мнения, особенно различных женских организаций, на это решение была неоднозначной».</w:t>
      </w:r>
    </w:p>
    <w:p w:rsidR="000875B4" w:rsidRDefault="000875B4">
      <w:pPr>
        <w:pStyle w:val="SingleTxt"/>
        <w:rPr>
          <w:iCs/>
          <w:color w:val="000000"/>
          <w:lang w:val="ru-RU" w:eastAsia="ru-RU"/>
        </w:rPr>
      </w:pPr>
      <w:r>
        <w:rPr>
          <w:iCs/>
          <w:color w:val="000000"/>
          <w:lang w:val="ru-RU" w:eastAsia="ru-RU"/>
        </w:rPr>
        <w:t>345.</w:t>
      </w:r>
      <w:r>
        <w:rPr>
          <w:iCs/>
          <w:color w:val="000000"/>
          <w:lang w:val="ru-RU" w:eastAsia="ru-RU"/>
        </w:rPr>
        <w:tab/>
        <w:t>"КОНАМУ, как и большинство женских организаций страны, считает данное решение неконституционным, поскольку оно игнорирует основанное на научных данных заключение Всемирной организации здравоохранения о том, что таблетки для экстренной контрацепции не являются абортивным средством"</w:t>
      </w:r>
      <w:r>
        <w:rPr>
          <w:rStyle w:val="FootnoteReference"/>
          <w:iCs/>
          <w:color w:val="000000"/>
          <w:lang w:val="ru-RU" w:eastAsia="ru-RU"/>
        </w:rPr>
        <w:footnoteReference w:id="51"/>
      </w:r>
      <w:r>
        <w:rPr>
          <w:iCs/>
          <w:color w:val="000000"/>
          <w:lang w:val="ru-RU" w:eastAsia="ru-RU"/>
        </w:rPr>
        <w:t>.</w:t>
      </w:r>
    </w:p>
    <w:p w:rsidR="000875B4" w:rsidRDefault="000875B4">
      <w:pPr>
        <w:pStyle w:val="SingleTxt"/>
      </w:pPr>
      <w:r>
        <w:t>346.</w:t>
      </w:r>
      <w:r>
        <w:tab/>
        <w:t xml:space="preserve">Государство осведомлено о происходящих в стране дискуссиях по поводу доступа к некоторым средствам </w:t>
      </w:r>
      <w:r>
        <w:rPr>
          <w:iCs/>
          <w:color w:val="000000"/>
          <w:lang w:val="ru-RU" w:eastAsia="ru-RU"/>
        </w:rPr>
        <w:t xml:space="preserve">экстренной </w:t>
      </w:r>
      <w:r>
        <w:t xml:space="preserve">контрацепции. Однако существуют и другие проверенные и широко используемые методы контрацепции, применимые и </w:t>
      </w:r>
      <w:r>
        <w:br/>
        <w:t>в экстренных ситуациях, например препарат гланик. Кроме того, эквадорские женщины имеют свободный доступ и к другим лекарственным средствам и методам контрацепции. Поэтому первоочередной задачей для государства является усиление просветительской работы по пропаганде этих методов, что позволяет строить сексуальные отношения на принципах свободы, добровольности и ответственности, как это предусмотрено в Конституции страны. Первым шагом к достижению этой цели является осуществление Национального плана и Национальной программы сексуального воспитания, которые, как уже говорилось, вступили в силу в 2000 и 2003 году соответственно.</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ВИЧ/СПИД и женщины</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347.</w:t>
      </w:r>
      <w:r>
        <w:rPr>
          <w:color w:val="000000"/>
          <w:lang w:val="ru-RU" w:eastAsia="ru-RU"/>
        </w:rPr>
        <w:tab/>
        <w:t>Министерство здравоохранения путем осуществления Национальной программы борьбы со СПИДом проводит кампанию по предупреждению передачи ВИЧ-инфекции от матери ребенку. Для этого беременным женщинам предлагается пройти бесплатный тест на ВИЧ-инфекцию. Средства на такое тестирование предоставляет Отдел по осуществлению Закона о бесплатной охране здоровья матери и уходе за новорожденными. Кроме того, из того же источника поступают средства и на проведение в Гуаякиле пилотной программы помощи матерям, имеющим грудных детей: в рамках этой программы бесплатным женским молоком обеспечиваются дети в возрасте до полугода, чьи матери являются носителями ВИЧ-инфекции.</w:t>
      </w:r>
    </w:p>
    <w:p w:rsidR="000875B4" w:rsidRDefault="000875B4">
      <w:pPr>
        <w:pStyle w:val="SingleTxt"/>
        <w:rPr>
          <w:color w:val="000000"/>
          <w:lang w:val="ru-RU" w:eastAsia="ru-RU"/>
        </w:rPr>
      </w:pPr>
      <w:r>
        <w:rPr>
          <w:color w:val="000000"/>
          <w:lang w:val="ru-RU" w:eastAsia="ru-RU"/>
        </w:rPr>
        <w:t>348.</w:t>
      </w:r>
      <w:r>
        <w:rPr>
          <w:color w:val="000000"/>
          <w:lang w:val="ru-RU" w:eastAsia="ru-RU"/>
        </w:rPr>
        <w:tab/>
        <w:t>В 2006 </w:t>
      </w:r>
      <w:r>
        <w:rPr>
          <w:bCs/>
          <w:lang w:val="ru-RU"/>
        </w:rPr>
        <w:t>году</w:t>
      </w:r>
      <w:r>
        <w:rPr>
          <w:color w:val="000000"/>
          <w:lang w:val="ru-RU" w:eastAsia="ru-RU"/>
        </w:rPr>
        <w:t xml:space="preserve"> КОНАМУ внес данную тему в свою программу действий и начал соответствующую просветительскую работу, адресованную главным образом женщинам, молодым людям и подросткам, инфицированным ВИЧ/СПИДом. С этой целью проводятся мероприятия культурного характера, например театрализованные караваны, в ходе которых артисты разыгрывают сценки на эту тему</w:t>
      </w:r>
      <w:r>
        <w:rPr>
          <w:rStyle w:val="FootnoteReference"/>
          <w:color w:val="000000"/>
          <w:lang w:val="ru-RU" w:eastAsia="ru-RU"/>
        </w:rPr>
        <w:footnoteReference w:id="52"/>
      </w:r>
      <w:r>
        <w:rPr>
          <w:color w:val="000000"/>
          <w:lang w:val="ru-RU" w:eastAsia="ru-RU"/>
        </w:rPr>
        <w:t>. В целях сбора информации, которая помогала бы в решении данной проблемы, планируется провести исследование по гендерным проблемам и проблемам ВИЧ/СПИДа, что позволит прояснить ситуацию в стране в этой области.</w:t>
      </w:r>
    </w:p>
    <w:p w:rsidR="000875B4" w:rsidRDefault="000875B4">
      <w:pPr>
        <w:pStyle w:val="SingleTxt"/>
        <w:rPr>
          <w:color w:val="000000"/>
          <w:lang w:val="ru-RU" w:eastAsia="ru-RU"/>
        </w:rPr>
      </w:pPr>
      <w:r>
        <w:rPr>
          <w:color w:val="000000"/>
          <w:lang w:val="ru-RU" w:eastAsia="ru-RU"/>
        </w:rPr>
        <w:t>349.</w:t>
      </w:r>
      <w:r>
        <w:rPr>
          <w:color w:val="000000"/>
          <w:lang w:val="ru-RU" w:eastAsia="ru-RU"/>
        </w:rPr>
        <w:tab/>
        <w:t xml:space="preserve">В свою очередь, Министерство труда и занятости Эквадора принимало меры по недопущению дискриминации в отношении лиц, живущих с ВИЧ/СПИДом. Согласно принятому 13 июля 2006 </w:t>
      </w:r>
      <w:r>
        <w:rPr>
          <w:bCs/>
          <w:lang w:val="ru-RU"/>
        </w:rPr>
        <w:t>года</w:t>
      </w:r>
      <w:r>
        <w:rPr>
          <w:color w:val="000000"/>
          <w:lang w:val="ru-RU" w:eastAsia="ru-RU"/>
        </w:rPr>
        <w:t xml:space="preserve"> постановлению Министерства № 00398, государственным и частным предприятиям и всем государственным учреждениям запрещается проводить обязательное тестирование на ВИЧ поступающих на работу или работающих, а также необоснованно увольнять работников по этой причине. </w:t>
      </w:r>
      <w:r>
        <w:rPr>
          <w:color w:val="000000"/>
          <w:lang w:val="ru-RU" w:eastAsia="ru-RU"/>
        </w:rPr>
        <w:br/>
        <w:t xml:space="preserve">В данном постановлении предусматриваются меры профилактического, информационного и учебного характера на рабочих местах, а также методы, стимулирующие работников проходить тестирование на ВИЧ добровольно и при наличии информированного согласия. </w:t>
      </w:r>
    </w:p>
    <w:p w:rsidR="000875B4" w:rsidRDefault="000875B4">
      <w:pPr>
        <w:pStyle w:val="SingleTxt"/>
        <w:rPr>
          <w:color w:val="000000"/>
          <w:lang w:val="ru-RU" w:eastAsia="ru-RU"/>
        </w:rPr>
      </w:pPr>
      <w:r>
        <w:rPr>
          <w:color w:val="000000"/>
          <w:lang w:val="ru-RU" w:eastAsia="ru-RU"/>
        </w:rPr>
        <w:t>350.</w:t>
      </w:r>
      <w:r>
        <w:rPr>
          <w:color w:val="000000"/>
          <w:lang w:val="ru-RU" w:eastAsia="ru-RU"/>
        </w:rPr>
        <w:tab/>
        <w:t>В самом Министерстве труда также организовано обучение сотрудников методам работы по проблематике ВИЧ/СПИДа. В 2006 году такое обучение прошли 120 сотрудников Министерства, и в течение одной недели 99 из них добровольно и на условиях конфиденциальности прошли бесплатное тестирование.</w:t>
      </w:r>
    </w:p>
    <w:p w:rsidR="000875B4" w:rsidRDefault="000875B4">
      <w:pPr>
        <w:pStyle w:val="SingleTxt"/>
        <w:rPr>
          <w:color w:val="000000"/>
          <w:lang w:val="ru-RU" w:eastAsia="ru-RU"/>
        </w:rPr>
      </w:pPr>
      <w:r>
        <w:rPr>
          <w:color w:val="000000"/>
          <w:lang w:val="ru-RU" w:eastAsia="ru-RU"/>
        </w:rPr>
        <w:br w:type="page"/>
        <w:t>351.</w:t>
      </w:r>
      <w:r>
        <w:rPr>
          <w:color w:val="000000"/>
          <w:lang w:val="ru-RU" w:eastAsia="ru-RU"/>
        </w:rPr>
        <w:tab/>
        <w:t xml:space="preserve">Еще одним важным правовым инструментом государственной политики </w:t>
      </w:r>
      <w:r>
        <w:rPr>
          <w:color w:val="000000"/>
          <w:lang w:val="ru-RU" w:eastAsia="ru-RU"/>
        </w:rPr>
        <w:br/>
        <w:t xml:space="preserve">в отношении ВИЧ/СПИДа стал законопроект о внесении изменений и дополнений </w:t>
      </w:r>
      <w:r>
        <w:rPr>
          <w:color w:val="000000"/>
          <w:lang w:val="ru-RU" w:eastAsia="ru-RU"/>
        </w:rPr>
        <w:br/>
        <w:t>в Закон о предупреждении и мерах по комплексному лечению ВИЧ/СПИДа</w:t>
      </w:r>
      <w:r>
        <w:rPr>
          <w:rStyle w:val="FootnoteReference"/>
          <w:color w:val="000000"/>
          <w:lang w:val="ru-RU" w:eastAsia="ru-RU"/>
        </w:rPr>
        <w:footnoteReference w:id="53"/>
      </w:r>
      <w:r>
        <w:rPr>
          <w:color w:val="000000"/>
          <w:lang w:val="ru-RU" w:eastAsia="ru-RU"/>
        </w:rPr>
        <w:t>. Данный законопроект был разработан в ходе общенационального семинара и будет передан на обсуждение в Комиссию по здравоохранению Национального конгресса с целью внесения необходимых поправок в ныне действующий Закон, в котором имеются многочисленные пробелы, нет четко определенного бюджета, а к проблеме ВИЧ/СПИДа применен чисто эпидемиологический подход.</w:t>
      </w:r>
    </w:p>
    <w:p w:rsidR="000875B4" w:rsidRDefault="000875B4">
      <w:pPr>
        <w:pStyle w:val="SingleTxt"/>
        <w:rPr>
          <w:color w:val="000000"/>
          <w:lang w:val="ru-RU" w:eastAsia="ru-RU"/>
        </w:rPr>
      </w:pPr>
      <w:r>
        <w:rPr>
          <w:color w:val="000000"/>
          <w:lang w:val="ru-RU" w:eastAsia="ru-RU"/>
        </w:rPr>
        <w:t>352.</w:t>
      </w:r>
      <w:r>
        <w:rPr>
          <w:color w:val="000000"/>
          <w:lang w:val="ru-RU" w:eastAsia="ru-RU"/>
        </w:rPr>
        <w:tab/>
        <w:t xml:space="preserve">Проект поправок к данному Закону основан на правах человека, то есть выходит за рамки чисто медицинских проблем. В отношении гендерного подхода </w:t>
      </w:r>
      <w:r>
        <w:rPr>
          <w:color w:val="000000"/>
          <w:lang w:val="ru-RU" w:eastAsia="ru-RU"/>
        </w:rPr>
        <w:br/>
        <w:t xml:space="preserve">в проекте предусмотрено, что беременные женщины получают доступ к услугам по лечению ВИЧ/СПИДа бесплатно и в приоритетном порядке. Кроме того, в проекте предусматривается создание при президенте республики Национального совета </w:t>
      </w:r>
      <w:r>
        <w:rPr>
          <w:color w:val="000000"/>
          <w:lang w:val="ru-RU" w:eastAsia="ru-RU"/>
        </w:rPr>
        <w:br/>
        <w:t>по ВИЧ/СПИДу, в состав которого войдет ряд государственных учреждений, в том числе Национальный совет по делам женщин.</w:t>
      </w:r>
    </w:p>
    <w:p w:rsidR="000875B4" w:rsidRDefault="000875B4">
      <w:pPr>
        <w:pStyle w:val="SingleTxt"/>
        <w:rPr>
          <w:color w:val="000000"/>
          <w:lang w:val="ru-RU" w:eastAsia="ru-RU"/>
        </w:rPr>
      </w:pPr>
      <w:r>
        <w:rPr>
          <w:color w:val="000000"/>
          <w:lang w:val="ru-RU" w:eastAsia="ru-RU"/>
        </w:rPr>
        <w:t>353.</w:t>
      </w:r>
      <w:r>
        <w:rPr>
          <w:color w:val="000000"/>
          <w:lang w:val="ru-RU" w:eastAsia="ru-RU"/>
        </w:rPr>
        <w:tab/>
        <w:t xml:space="preserve">В рамках принятого Министерством образования и культуры Национального плана сексуального воспитания, о котором шла речь выше, прилагаются большие усилия к практической реализации в образовательных учреждениях новой концепции сексуального воспитания, в том числе по проблемам ВИЧ/СПИДа. </w:t>
      </w:r>
    </w:p>
    <w:p w:rsidR="000875B4" w:rsidRDefault="000875B4">
      <w:pPr>
        <w:pStyle w:val="SingleTxt"/>
      </w:pPr>
      <w:r>
        <w:t>354.</w:t>
      </w:r>
      <w:r>
        <w:tab/>
        <w:t>В упоминавшемся выше Национальном плане защиты здоровья и сексуальных и репродуктивных прав на 2006–2008 годы</w:t>
      </w:r>
      <w:r>
        <w:rPr>
          <w:rStyle w:val="FootnoteReference"/>
          <w:vertAlign w:val="baseline"/>
        </w:rPr>
        <w:footnoteReference w:id="54"/>
      </w:r>
      <w:r>
        <w:t xml:space="preserve"> предусмотрены конкретные задачи </w:t>
      </w:r>
      <w:r>
        <w:rPr>
          <w:lang w:val="ru-RU"/>
        </w:rPr>
        <w:br/>
      </w:r>
      <w:r>
        <w:t>в отношении ВИЧ/СПИДа: а) предотвращение ранней беременности, инфекций, передаваемых половым путем, и ВИЧ/СПИДа; и b) обеспечение медицинской помощи подросткам, инфицированным ВИЧ/СПИДом.</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bCs/>
          <w:iCs/>
          <w:color w:val="000000"/>
          <w:lang w:val="ru-RU" w:eastAsia="ru-RU"/>
        </w:rPr>
        <w:t>13</w:t>
      </w:r>
      <w:r>
        <w:br/>
      </w:r>
      <w:r>
        <w:rPr>
          <w:bCs/>
          <w:color w:val="000000"/>
          <w:lang w:val="ru-RU" w:eastAsia="ru-RU"/>
        </w:rPr>
        <w:t>Социально-экономические привилегии</w:t>
      </w:r>
      <w:r>
        <w:br/>
      </w:r>
      <w:r>
        <w:rPr>
          <w:bCs/>
          <w:color w:val="000000"/>
          <w:lang w:val="ru-RU" w:eastAsia="ru-RU"/>
        </w:rPr>
        <w:t>Доступ к основным услугам</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355.</w:t>
      </w:r>
      <w:r>
        <w:rPr>
          <w:color w:val="000000"/>
          <w:lang w:val="ru-RU" w:eastAsia="ru-RU"/>
        </w:rPr>
        <w:tab/>
        <w:t xml:space="preserve">В рамках осуществляемой Национальным советом по модернизации и Национальным управлением регистрации актов гражданского состояния Программы модернизации Национальной системы регистрации актов гражданского состояния и личности граждан в апреле 2006 </w:t>
      </w:r>
      <w:r>
        <w:rPr>
          <w:bCs/>
          <w:lang w:val="ru-RU"/>
        </w:rPr>
        <w:t>года</w:t>
      </w:r>
      <w:r>
        <w:rPr>
          <w:color w:val="000000"/>
          <w:lang w:val="ru-RU" w:eastAsia="ru-RU"/>
        </w:rPr>
        <w:t xml:space="preserve"> был подписан договор о сотрудничестве между КОНАМУ, Национальным советом по делам детей и подростков, Национальным институтом по проблемам детства и семьи, Национальным управлением межкультурного двуязычного образования, Советом по развитию народностей </w:t>
      </w:r>
      <w:r>
        <w:rPr>
          <w:color w:val="000000"/>
          <w:lang w:val="ru-RU" w:eastAsia="ru-RU"/>
        </w:rPr>
        <w:br/>
        <w:t>и народов Эквадора, Детским фондом Организации Объединенных Наций и Управлением Верховного комиссара Организации Объединенных Наций по делам беженцев. Целью данного договора является приведение в действие Национального плана бесплатной регистрации граждан, выдачи удостоверений личности и свидетельств о рождении. Этот план получил название "Вместе – за право быть собой"</w:t>
      </w:r>
      <w:r>
        <w:rPr>
          <w:rStyle w:val="FootnoteReference"/>
          <w:color w:val="000000"/>
          <w:lang w:val="ru-RU" w:eastAsia="ru-RU"/>
        </w:rPr>
        <w:footnoteReference w:id="55"/>
      </w:r>
      <w:r>
        <w:rPr>
          <w:color w:val="000000"/>
          <w:lang w:val="ru-RU" w:eastAsia="ru-RU"/>
        </w:rPr>
        <w:t>.</w:t>
      </w:r>
    </w:p>
    <w:p w:rsidR="000875B4" w:rsidRDefault="000875B4">
      <w:pPr>
        <w:pStyle w:val="SingleTxt"/>
        <w:rPr>
          <w:color w:val="000000"/>
          <w:lang w:val="ru-RU" w:eastAsia="ru-RU"/>
        </w:rPr>
      </w:pPr>
      <w:r>
        <w:rPr>
          <w:color w:val="000000"/>
          <w:lang w:val="ru-RU" w:eastAsia="ru-RU"/>
        </w:rPr>
        <w:t>356.</w:t>
      </w:r>
      <w:r>
        <w:rPr>
          <w:color w:val="000000"/>
          <w:lang w:val="ru-RU" w:eastAsia="ru-RU"/>
        </w:rPr>
        <w:tab/>
        <w:t>Первый компонент этого плана призван обеспечить всех граждан страны удостоверяющими личность документами и гарантировать всем эквадорцам любого возраста данное фундаментальное право. С этой целью были созданы мобильные бригады по регистрации граждан и выдаче удостоверяющих личность документов. Эти бригады работают в тех районах Эквадора, жители которых не имели доступа к таким услугам.</w:t>
      </w:r>
    </w:p>
    <w:p w:rsidR="000875B4" w:rsidRDefault="000875B4">
      <w:pPr>
        <w:pStyle w:val="SingleTxt"/>
        <w:rPr>
          <w:color w:val="000000"/>
          <w:lang w:val="ru-RU" w:eastAsia="ru-RU"/>
        </w:rPr>
      </w:pPr>
      <w:r>
        <w:rPr>
          <w:color w:val="000000"/>
          <w:lang w:val="ru-RU" w:eastAsia="ru-RU"/>
        </w:rPr>
        <w:t>357.</w:t>
      </w:r>
      <w:r>
        <w:rPr>
          <w:color w:val="000000"/>
          <w:lang w:val="ru-RU" w:eastAsia="ru-RU"/>
        </w:rPr>
        <w:tab/>
        <w:t xml:space="preserve">Через мобильные бригады планируется оказать помощь более чем 1,5 млн. граждан Эквадора, которые не были зарегистрированы и, не имея удостоверений личности, не могут получить доступа к основным услугам, в том числе в сфере здравоохранения и образования. Свыше 600 тыс. из них – дети. </w:t>
      </w:r>
    </w:p>
    <w:p w:rsidR="000875B4" w:rsidRDefault="000875B4">
      <w:pPr>
        <w:pStyle w:val="SingleTxt"/>
      </w:pPr>
      <w:r>
        <w:t>358.</w:t>
      </w:r>
      <w:r>
        <w:tab/>
        <w:t xml:space="preserve">План обеспечения удостоверяющими личность документами позволил начать осуществление в 8 кантонах, относящихся к числу самых бедных в стране, пилотного проекта, в ходе которого оформляются права на владение землей. </w:t>
      </w:r>
      <w:r>
        <w:rPr>
          <w:lang w:val="ru-RU"/>
        </w:rPr>
        <w:br/>
      </w:r>
      <w:r>
        <w:t>Этот проект, реализуемый совместно Программой регулирования земель сельскохозяйственного назначения и управления ими (ПРАТ) и Министерством охраны окружающей среды, преследует цель обеспечить женщинам доступ к</w:t>
      </w:r>
      <w:r>
        <w:rPr>
          <w:lang w:val="ru-RU"/>
        </w:rPr>
        <w:t> </w:t>
      </w:r>
      <w:r>
        <w:t>производительным ресурсам.</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Политика в сфере социальной защиты</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359.</w:t>
      </w:r>
      <w:r>
        <w:rPr>
          <w:color w:val="000000"/>
          <w:lang w:val="ru-RU" w:eastAsia="ru-RU"/>
        </w:rPr>
        <w:tab/>
        <w:t xml:space="preserve">В отношении обеспокоенности Комитета, выраженной в пунктах 14 и 15 его Заключительных замечаний, необходимо отметить, что из всех программ, адресованных бедному и беднейшему населению, наибольший охват и наибольший объем средств, которые вкладываются в социальную сферу, предусматриваются Программой инвестиций в развитие человека, включая женщин из числа коренного населения и сельских женщин. Программой, охватывающей более 2 млн. эквадорских домохозяйств, предусматривается предоставление на определенных условиях возможностей для защиты людского капитала с помощью здравоохранения и образования. Основными участниками программы являются женщины, поскольку именно им перечисляются средства, предназначенные для обеспечения благополучия их детей. </w:t>
      </w:r>
    </w:p>
    <w:p w:rsidR="000875B4" w:rsidRDefault="000875B4">
      <w:pPr>
        <w:pStyle w:val="SingleTxt"/>
        <w:rPr>
          <w:color w:val="000000"/>
          <w:lang w:val="ru-RU" w:eastAsia="ru-RU"/>
        </w:rPr>
      </w:pPr>
      <w:r>
        <w:rPr>
          <w:color w:val="000000"/>
          <w:lang w:val="ru-RU" w:eastAsia="ru-RU"/>
        </w:rPr>
        <w:t>360.</w:t>
      </w:r>
      <w:r>
        <w:rPr>
          <w:color w:val="000000"/>
          <w:lang w:val="ru-RU" w:eastAsia="ru-RU"/>
        </w:rPr>
        <w:tab/>
        <w:t xml:space="preserve">Для оценки результатов реализации Программы КОНАМУ при поддержке Экономической комиссии для Латинской Америки и Карибского бассейна (ЭКЛАК) провел в 2003 </w:t>
      </w:r>
      <w:r>
        <w:rPr>
          <w:bCs/>
          <w:lang w:val="ru-RU"/>
        </w:rPr>
        <w:t>году</w:t>
      </w:r>
      <w:r>
        <w:rPr>
          <w:color w:val="000000"/>
          <w:lang w:val="ru-RU" w:eastAsia="ru-RU"/>
        </w:rPr>
        <w:t xml:space="preserve"> гендерное исследование относительно инвестиций в развитие человека. Выводы по итогам этого исследования позволили разработать предложение о создании пилотных сетей по предоставлению услуг женщинам – адресатам инвестиций в развитие человека в шести кантонах страны. Целью этого пилотного проекта является "определение основных направлений политики в сфере социальной защиты и борьбы с бедностью в стране на основе прав женщин и обеспечения доступности базовых социальных услуг путем осуществления стратегии, предусматривающей расширение потенциальных возможностей, предоставляемых Программой инвестиций в развитие человека, и их надлежащее использование". </w:t>
      </w:r>
    </w:p>
    <w:p w:rsidR="000875B4" w:rsidRDefault="000875B4">
      <w:pPr>
        <w:pStyle w:val="SingleTxt"/>
        <w:spacing w:after="80"/>
        <w:ind w:left="1264" w:right="1264"/>
      </w:pPr>
      <w:r>
        <w:t>361.</w:t>
      </w:r>
      <w:r>
        <w:tab/>
        <w:t>В 2005 году с органами власти Риобамбы и Портовьехо были подписаны соглашения об осуществлении данного пилотного проекта. Планируется создание, совместно с Программой социальной защиты, в ведении которой находятся инвестиции в развитие человека, пилотных сетей по оказанию таких услуг и в</w:t>
      </w:r>
      <w:r>
        <w:rPr>
          <w:lang w:val="ru-RU"/>
        </w:rPr>
        <w:t> </w:t>
      </w:r>
      <w:r>
        <w:t>других кантонах страны.</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Обеспечение женщин материальными ресурсами</w:t>
      </w:r>
    </w:p>
    <w:p w:rsidR="000875B4" w:rsidRDefault="000875B4">
      <w:pPr>
        <w:pStyle w:val="SingleTxt"/>
        <w:spacing w:after="0" w:line="120" w:lineRule="exact"/>
        <w:rPr>
          <w:sz w:val="10"/>
        </w:rPr>
      </w:pPr>
    </w:p>
    <w:p w:rsidR="000875B4" w:rsidRDefault="000875B4">
      <w:pPr>
        <w:pStyle w:val="SingleTxt"/>
        <w:spacing w:after="100"/>
        <w:ind w:left="1264" w:right="1264"/>
        <w:rPr>
          <w:color w:val="000000"/>
          <w:lang w:val="ru-RU" w:eastAsia="ru-RU"/>
        </w:rPr>
      </w:pPr>
      <w:r>
        <w:rPr>
          <w:color w:val="000000"/>
          <w:lang w:val="ru-RU" w:eastAsia="ru-RU"/>
        </w:rPr>
        <w:t>362.</w:t>
      </w:r>
      <w:r>
        <w:rPr>
          <w:color w:val="000000"/>
          <w:lang w:val="ru-RU" w:eastAsia="ru-RU"/>
        </w:rPr>
        <w:tab/>
        <w:t xml:space="preserve">Учитывая бедность эквадорских женщин, государство подготовило предложения по распределению материальных ресурсов на основе гендерного подхода. Это предложение получило конкретное воплощение в создании в 2003 </w:t>
      </w:r>
      <w:r>
        <w:rPr>
          <w:bCs/>
          <w:lang w:val="ru-RU"/>
        </w:rPr>
        <w:t>году</w:t>
      </w:r>
      <w:r>
        <w:rPr>
          <w:lang w:val="ru-RU"/>
        </w:rPr>
        <w:t xml:space="preserve"> </w:t>
      </w:r>
      <w:r>
        <w:rPr>
          <w:color w:val="000000"/>
          <w:lang w:val="ru-RU" w:eastAsia="ru-RU"/>
        </w:rPr>
        <w:t xml:space="preserve">доверительного фонда ПРОМУХЕРЕС, которым управляет Национальная финансовая корпорация. </w:t>
      </w:r>
    </w:p>
    <w:p w:rsidR="000875B4" w:rsidRDefault="000875B4">
      <w:pPr>
        <w:pStyle w:val="SingleTxt"/>
        <w:spacing w:after="100"/>
        <w:ind w:left="1264" w:right="1264"/>
        <w:rPr>
          <w:color w:val="000000"/>
          <w:lang w:val="ru-RU" w:eastAsia="ru-RU"/>
        </w:rPr>
      </w:pPr>
      <w:r>
        <w:rPr>
          <w:color w:val="000000"/>
          <w:lang w:val="ru-RU" w:eastAsia="ru-RU"/>
        </w:rPr>
        <w:t>363.</w:t>
      </w:r>
      <w:r>
        <w:rPr>
          <w:color w:val="000000"/>
          <w:lang w:val="ru-RU" w:eastAsia="ru-RU"/>
        </w:rPr>
        <w:tab/>
        <w:t xml:space="preserve">Фонд ПРОМУХЕРЕС начал свою деятельность в ноябре 2005 </w:t>
      </w:r>
      <w:r>
        <w:rPr>
          <w:bCs/>
          <w:lang w:val="ru-RU"/>
        </w:rPr>
        <w:t>года</w:t>
      </w:r>
      <w:r>
        <w:rPr>
          <w:color w:val="000000"/>
          <w:lang w:val="ru-RU" w:eastAsia="ru-RU"/>
        </w:rPr>
        <w:t xml:space="preserve"> с реализации Программы возмездного микрофинансирования с помощью шести учреждений-исполнителей, которым поручалось создание возможностей для реализации экономических прав малообеспеченных женщин</w:t>
      </w:r>
      <w:r>
        <w:rPr>
          <w:rStyle w:val="FootnoteReference"/>
          <w:color w:val="000000"/>
          <w:lang w:val="ru-RU" w:eastAsia="ru-RU"/>
        </w:rPr>
        <w:footnoteReference w:id="56"/>
      </w:r>
      <w:r>
        <w:rPr>
          <w:color w:val="000000"/>
          <w:lang w:val="ru-RU" w:eastAsia="ru-RU"/>
        </w:rPr>
        <w:t xml:space="preserve">. Благодаря разработанным для обеспечения функционирования Фонда политике и инструментам он стал механизмом, предоставляющим для живущих в условиях крайней нищеты доступ к ресурсам и возможности укрепления самостоятельности и улучшения качества жизни. </w:t>
      </w:r>
    </w:p>
    <w:p w:rsidR="000875B4" w:rsidRDefault="000875B4">
      <w:pPr>
        <w:pStyle w:val="SingleTxt"/>
        <w:spacing w:after="100"/>
        <w:ind w:left="1264" w:right="1264"/>
        <w:rPr>
          <w:color w:val="000000"/>
          <w:lang w:val="ru-RU" w:eastAsia="ru-RU"/>
        </w:rPr>
      </w:pPr>
      <w:r>
        <w:rPr>
          <w:color w:val="000000"/>
          <w:lang w:val="ru-RU" w:eastAsia="ru-RU"/>
        </w:rPr>
        <w:t>364.</w:t>
      </w:r>
      <w:r>
        <w:rPr>
          <w:color w:val="000000"/>
          <w:lang w:val="ru-RU" w:eastAsia="ru-RU"/>
        </w:rPr>
        <w:tab/>
        <w:t xml:space="preserve">Для распределения средств и реализации намеченной стратегии было налажено сотрудничество с женскими организациями и учреждениями-исполнителями, разделяющими философию Фонда. Оказывается содействие созданию женских ассоциаций, кооперативов и организаций. </w:t>
      </w:r>
    </w:p>
    <w:p w:rsidR="000875B4" w:rsidRDefault="000875B4">
      <w:pPr>
        <w:pStyle w:val="SingleTxt"/>
        <w:spacing w:after="100"/>
        <w:ind w:left="1264" w:right="1264"/>
        <w:rPr>
          <w:color w:val="000000"/>
          <w:lang w:val="ru-RU" w:eastAsia="ru-RU"/>
        </w:rPr>
      </w:pPr>
      <w:r>
        <w:rPr>
          <w:color w:val="000000"/>
          <w:lang w:val="ru-RU" w:eastAsia="ru-RU"/>
        </w:rPr>
        <w:t>365.</w:t>
      </w:r>
      <w:r>
        <w:rPr>
          <w:color w:val="000000"/>
          <w:lang w:val="ru-RU" w:eastAsia="ru-RU"/>
        </w:rPr>
        <w:tab/>
        <w:t xml:space="preserve">В течение 2006 </w:t>
      </w:r>
      <w:r>
        <w:rPr>
          <w:bCs/>
          <w:lang w:val="ru-RU"/>
        </w:rPr>
        <w:t>года</w:t>
      </w:r>
      <w:r>
        <w:rPr>
          <w:color w:val="000000"/>
          <w:lang w:val="ru-RU" w:eastAsia="ru-RU"/>
        </w:rPr>
        <w:t xml:space="preserve"> право участвовать в работе Фонда получили около 80 учреждений-исполнителей, в том числе финансовые учреждения, сберегательные и кредитные кооперативы и неправительственные организации, специализирующиеся на микрофинансировании. Все они изъявили желание участвовать в работе Доверительного фонда и выделять из собственных средств ресурсы на кредитование женщин-бенефициаров в общенациональном масштабе.</w:t>
      </w:r>
    </w:p>
    <w:p w:rsidR="000875B4" w:rsidRDefault="000875B4">
      <w:pPr>
        <w:pStyle w:val="SingleTxt"/>
        <w:spacing w:after="100"/>
        <w:ind w:left="1264" w:right="1264"/>
        <w:rPr>
          <w:color w:val="000000"/>
          <w:lang w:val="ru-RU" w:eastAsia="ru-RU"/>
        </w:rPr>
      </w:pPr>
      <w:r>
        <w:rPr>
          <w:color w:val="000000"/>
          <w:lang w:val="ru-RU" w:eastAsia="ru-RU"/>
        </w:rPr>
        <w:t>366.</w:t>
      </w:r>
      <w:r>
        <w:rPr>
          <w:color w:val="000000"/>
          <w:lang w:val="ru-RU" w:eastAsia="ru-RU"/>
        </w:rPr>
        <w:tab/>
        <w:t xml:space="preserve">В настоящее время предполагается предоставить кредиты 850 женщинам. Деятельностью Доверительного фонда заинтересовались и другие учреждения, заявившие о своем желании вступить в него в качестве соучредителей. </w:t>
      </w:r>
    </w:p>
    <w:p w:rsidR="000875B4" w:rsidRDefault="000875B4">
      <w:pPr>
        <w:pStyle w:val="SingleTxt"/>
        <w:spacing w:after="100"/>
        <w:ind w:left="1264" w:right="1264"/>
        <w:rPr>
          <w:color w:val="000000"/>
          <w:lang w:val="ru-RU" w:eastAsia="ru-RU"/>
        </w:rPr>
      </w:pPr>
      <w:r>
        <w:rPr>
          <w:color w:val="000000"/>
          <w:lang w:val="ru-RU" w:eastAsia="ru-RU"/>
        </w:rPr>
        <w:t>367.</w:t>
      </w:r>
      <w:r>
        <w:rPr>
          <w:color w:val="000000"/>
          <w:lang w:val="ru-RU" w:eastAsia="ru-RU"/>
        </w:rPr>
        <w:tab/>
        <w:t xml:space="preserve">Одним из таких учреждений является Совет по развитию народностей и народов Эквадора, разработавший в рамках Фонда развития коренных народов программу кредитования под названием "Льянкари Варми" с целью финансирования производительной деятельности женщин из числа коренных народов путем предоставления микрокредитов, укрепляющих потенциал общинных сберегательных касс и банков. </w:t>
      </w:r>
    </w:p>
    <w:p w:rsidR="000875B4" w:rsidRDefault="000875B4">
      <w:pPr>
        <w:pStyle w:val="SingleTxt"/>
      </w:pPr>
      <w:r>
        <w:t>368.</w:t>
      </w:r>
      <w:r>
        <w:tab/>
        <w:t>Фонд ПРОМУХЕРЕС осуществляет также программу безвозвратных ссуд под названием "Гендерное равенство". Цель программы – оказание поддержки инициативам организаций гражданского общества, направленным на реализацию составных элементов Плана равенства возможностей с использованием предоставляемых на конкурсной основе государственных средств.</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eastAsia="ru-RU"/>
        </w:rPr>
        <w:t>Женщины с инвалидностью</w:t>
      </w:r>
    </w:p>
    <w:p w:rsidR="000875B4" w:rsidRDefault="000875B4">
      <w:pPr>
        <w:pStyle w:val="SingleTxt"/>
        <w:spacing w:after="0" w:line="120" w:lineRule="exact"/>
        <w:rPr>
          <w:sz w:val="10"/>
        </w:rPr>
      </w:pPr>
    </w:p>
    <w:p w:rsidR="000875B4" w:rsidRDefault="000875B4">
      <w:pPr>
        <w:pStyle w:val="SingleTxt"/>
        <w:rPr>
          <w:color w:val="000000"/>
          <w:lang w:val="ru-RU" w:eastAsia="ru-RU"/>
        </w:rPr>
      </w:pPr>
      <w:r>
        <w:rPr>
          <w:color w:val="000000"/>
          <w:lang w:val="ru-RU" w:eastAsia="ru-RU"/>
        </w:rPr>
        <w:t>369.</w:t>
      </w:r>
      <w:r>
        <w:rPr>
          <w:color w:val="000000"/>
          <w:lang w:val="ru-RU" w:eastAsia="ru-RU"/>
        </w:rPr>
        <w:tab/>
        <w:t xml:space="preserve">По данным проведенного ИНЕК в 2004 </w:t>
      </w:r>
      <w:r>
        <w:rPr>
          <w:bCs/>
          <w:lang w:val="ru-RU"/>
        </w:rPr>
        <w:t>году</w:t>
      </w:r>
      <w:r>
        <w:rPr>
          <w:color w:val="000000"/>
          <w:lang w:val="ru-RU" w:eastAsia="ru-RU"/>
        </w:rPr>
        <w:t xml:space="preserve"> Обследования домохозяйств, включавшего и такой важный компонент, как инвалидность, 12,14 процента всех жителей Эквадора, или 1 608 334 человека, имеют ту или иную степень инвалидности, из них 829 739 – женщины. Среди лиц с инвалидностью старше 41 года женщины составляют 54 процента, а мужчины – 46 процентов.</w:t>
      </w:r>
    </w:p>
    <w:p w:rsidR="000875B4" w:rsidRDefault="000875B4">
      <w:pPr>
        <w:pStyle w:val="SingleTxt"/>
        <w:rPr>
          <w:color w:val="000000"/>
          <w:lang w:val="ru-RU" w:eastAsia="ru-RU"/>
        </w:rPr>
      </w:pPr>
      <w:r>
        <w:rPr>
          <w:color w:val="000000"/>
          <w:lang w:val="ru-RU" w:eastAsia="ru-RU"/>
        </w:rPr>
        <w:t>370.</w:t>
      </w:r>
      <w:r>
        <w:rPr>
          <w:color w:val="000000"/>
          <w:lang w:val="ru-RU" w:eastAsia="ru-RU"/>
        </w:rPr>
        <w:tab/>
        <w:t>Национальный совет по делам инвалидов включил вопрос о женщинах с инвалидностью в свой план деятельности на 2007 </w:t>
      </w:r>
      <w:r>
        <w:rPr>
          <w:lang w:val="ru-RU" w:eastAsia="ko-KR"/>
        </w:rPr>
        <w:t>год</w:t>
      </w:r>
      <w:r>
        <w:rPr>
          <w:color w:val="000000"/>
          <w:lang w:val="ru-RU" w:eastAsia="ru-RU"/>
        </w:rPr>
        <w:t>. В течение трех последних лет Совет, применяя гендерный подход, финансировал проекты по обучению и развитию организационных способностей женщин с инвалидностью вследствие соматических нарушений. При этом ставилась задача шире информировать о положении женщин с инвалидностью и укреплять их лидерские способности, чтобы таким образом бороться с двойной дискриминацией.</w:t>
      </w:r>
    </w:p>
    <w:p w:rsidR="000875B4" w:rsidRDefault="000875B4">
      <w:pPr>
        <w:pStyle w:val="SingleTxt"/>
        <w:rPr>
          <w:color w:val="000000"/>
          <w:lang w:val="ru-RU" w:eastAsia="ru-RU"/>
        </w:rPr>
      </w:pPr>
      <w:r>
        <w:rPr>
          <w:color w:val="000000"/>
          <w:lang w:val="ru-RU" w:eastAsia="ru-RU"/>
        </w:rPr>
        <w:t>371.</w:t>
      </w:r>
      <w:r>
        <w:rPr>
          <w:color w:val="000000"/>
          <w:lang w:val="ru-RU" w:eastAsia="ru-RU"/>
        </w:rPr>
        <w:tab/>
        <w:t>Совет создал Сеть защиты прав лиц с инвалидностью, в состав которой вошли провинциальные управления Уполномоченного по правам человека, бесплатные юридические консультации при юридических факультетах разных университетов страны и некоторые коллегии адвокатов.</w:t>
      </w:r>
    </w:p>
    <w:p w:rsidR="000875B4" w:rsidRDefault="000875B4">
      <w:pPr>
        <w:pStyle w:val="SingleTxt"/>
        <w:rPr>
          <w:color w:val="000000"/>
          <w:lang w:val="ru-RU" w:eastAsia="ru-RU"/>
        </w:rPr>
      </w:pPr>
      <w:r>
        <w:rPr>
          <w:color w:val="000000"/>
          <w:lang w:val="ru-RU" w:eastAsia="ru-RU"/>
        </w:rPr>
        <w:t>372.</w:t>
      </w:r>
      <w:r>
        <w:rPr>
          <w:color w:val="000000"/>
          <w:lang w:val="ru-RU" w:eastAsia="ru-RU"/>
        </w:rPr>
        <w:tab/>
        <w:t xml:space="preserve">Кроме того, разработан проект поправок к ныне действующему Закону </w:t>
      </w:r>
      <w:r>
        <w:rPr>
          <w:color w:val="000000"/>
          <w:lang w:val="ru-RU" w:eastAsia="ru-RU"/>
        </w:rPr>
        <w:br/>
        <w:t>о нетрудоспособности, предусматривающих меры наказания в отношении нарушителей этого Закона в виде штрафа от 250 до 5 тыс. долл. США.</w:t>
      </w:r>
    </w:p>
    <w:p w:rsidR="000875B4" w:rsidRDefault="000875B4">
      <w:pPr>
        <w:pStyle w:val="SingleTxt"/>
      </w:pPr>
      <w:r>
        <w:t>373.</w:t>
      </w:r>
      <w:r>
        <w:tab/>
        <w:t xml:space="preserve">Аналогичным образом, принятый в январе 2006 года Закон об изменениях и дополнениях к Трудовому кодексу предусматривает, что на государственных или частных предприятиях с численностью работающих более 25 человек в обязательном порядке должны быть выделены рабочие места для инвалидов. Доля инвалидов среди работников этих предприятий должна увеличиться с 1 процента </w:t>
      </w:r>
      <w:r>
        <w:rPr>
          <w:lang w:val="ru-RU"/>
        </w:rPr>
        <w:br/>
      </w:r>
      <w:r>
        <w:t>в течение первого года до 4 процентов по прошествии пяти лет при соблюдении принципа гендерного равенства. Министерство труда намерено на постоянной основе инспектировать предприятия и применять санкции к работодателям, не выполняющим этот Закон</w:t>
      </w:r>
      <w:r>
        <w:rPr>
          <w:rStyle w:val="FootnoteReference"/>
        </w:rPr>
        <w:footnoteReference w:id="57"/>
      </w:r>
      <w:r>
        <w:t>.</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Статья </w:t>
      </w:r>
      <w:r>
        <w:rPr>
          <w:bCs/>
          <w:iCs/>
          <w:lang w:val="ru-RU"/>
        </w:rPr>
        <w:t>14</w:t>
      </w:r>
      <w:r>
        <w:br/>
        <w:t>Сельские женщины</w:t>
      </w:r>
    </w:p>
    <w:p w:rsidR="000875B4" w:rsidRDefault="000875B4">
      <w:pPr>
        <w:pStyle w:val="SingleTxt"/>
        <w:spacing w:after="0" w:line="120" w:lineRule="exact"/>
        <w:rPr>
          <w:sz w:val="10"/>
        </w:rPr>
      </w:pPr>
    </w:p>
    <w:p w:rsidR="000875B4" w:rsidRDefault="000875B4">
      <w:pPr>
        <w:pStyle w:val="SingleTxt"/>
      </w:pPr>
      <w:r>
        <w:t>374.</w:t>
      </w:r>
      <w:r>
        <w:tab/>
        <w:t>В связи с обеспокоенностью Комитета, выраженной в пунктах 14 и 15 его Заключительных замечаний</w:t>
      </w:r>
      <w:r>
        <w:rPr>
          <w:lang w:val="ru-RU"/>
        </w:rPr>
        <w:t>,</w:t>
      </w:r>
      <w:r>
        <w:t xml:space="preserve"> следует отметить, что государство принимает серьезные меры к сокращению бедности сельских женщин, женщин из числа коренного населения и афроэквадорок.</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rPr>
        <w:t>Кредитование женщин, занятых в сельском хозяйстве</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375.</w:t>
      </w:r>
      <w:r>
        <w:rPr>
          <w:color w:val="000000"/>
          <w:lang w:val="ru-RU"/>
        </w:rPr>
        <w:tab/>
        <w:t>В целях улучшения качества жизни крестьянских общин путем создания женских организаций и распространения практики сбережений и кредитования, что способствует упрочению материальных позиций семьи и общины, в рамках Проекта развития коренных и темнокожих народностей Эквадора ведется работа по развитию частного инвестирования в сельских районах с помощью проекта под названием "Программа в отношении касс солидарности", в которой участвуют 626 касс солидарности по всей стране. Их членами являются 15 158 женщин, представляющих 27 коренных народностей и афроэквадорок.</w:t>
      </w:r>
    </w:p>
    <w:p w:rsidR="000875B4" w:rsidRDefault="000875B4">
      <w:pPr>
        <w:pStyle w:val="SingleTxt"/>
        <w:rPr>
          <w:color w:val="000000"/>
          <w:lang w:val="ru-RU"/>
        </w:rPr>
      </w:pPr>
      <w:r>
        <w:rPr>
          <w:color w:val="000000"/>
          <w:lang w:val="ru-RU"/>
        </w:rPr>
        <w:t>376.</w:t>
      </w:r>
      <w:r>
        <w:rPr>
          <w:color w:val="000000"/>
          <w:lang w:val="ru-RU"/>
        </w:rPr>
        <w:tab/>
        <w:t>При содействии касс солидарности их участники получили возможность приобрести навыки самоуправления и распоряжения средствами группы, созданной на базе их собственных семей. Это стало большим шагом вперед для семей, общин и социального развития, поскольку развивает у женщин дух микропредпринимательства и создает стимулы для развития общинных финансовых предприятий, которые будут на протяжении долгого времени работать в интересах этих общин. 10 процентов из общего числа этих касс солидарности являются членами Национальной финансовой системы, находящейся в ведении Управления кооперативов, а 15 процентов находятся в процессе присоединения к Системе.</w:t>
      </w:r>
    </w:p>
    <w:p w:rsidR="000875B4" w:rsidRDefault="000875B4">
      <w:pPr>
        <w:pStyle w:val="SingleTxt"/>
      </w:pPr>
      <w:r>
        <w:t>377.</w:t>
      </w:r>
      <w:r>
        <w:tab/>
        <w:t>Аналогичным образом, были созданы такие микропредприятия, как общинные магазины, пекарни, центры ремесел, небольшие питомники по разведению домашних животных, и другие предприятия. Удалось привлечь женщин из числа коренных народов и афроэквадорок к принятию решений на уровне их общин и организаций, сделав их активными, а не пассивными участницами жизни своих общин. Кроме того, удалось начать процесс создания новых касс солидарности в сельских районах, где отсутствуют системы предоставления финансовых услуг, что способствовало развитию различных видов производительной деятельности крестьянских и сельских семей. Группы женщин, участвующих в управлении кассами солидарности, приобретают навыки финансового управления и административной работы.</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rPr>
        <w:t>Женщины из числа коренных народов и здравоохранение</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378.</w:t>
      </w:r>
      <w:r>
        <w:rPr>
          <w:color w:val="000000"/>
          <w:lang w:val="ru-RU"/>
        </w:rPr>
        <w:tab/>
        <w:t xml:space="preserve">Важные успехи достигнуты в сфере здравоохранения. Одним из них стало создание в районах с большой численностью сельского и, в частности, коренного населения групп пользователей услуг, предусмотренных </w:t>
      </w:r>
      <w:r>
        <w:rPr>
          <w:caps/>
          <w:lang w:val="ru-RU"/>
        </w:rPr>
        <w:t>з</w:t>
      </w:r>
      <w:r>
        <w:rPr>
          <w:lang w:val="ru-RU"/>
        </w:rPr>
        <w:t>аконом о бесплатной охране здоровья матери и уходе за новорожденным</w:t>
      </w:r>
      <w:r>
        <w:rPr>
          <w:bCs/>
          <w:lang w:val="ru-RU"/>
        </w:rPr>
        <w:t>и.</w:t>
      </w:r>
    </w:p>
    <w:p w:rsidR="000875B4" w:rsidRDefault="000875B4">
      <w:pPr>
        <w:pStyle w:val="SingleTxt"/>
      </w:pPr>
      <w:r>
        <w:t>379.</w:t>
      </w:r>
      <w:r>
        <w:tab/>
        <w:t>Кроме того, были предприняты усилия по внесению в перечень услуг, предусмотренных этим Законом, род</w:t>
      </w:r>
      <w:r>
        <w:rPr>
          <w:lang w:val="ru-RU"/>
        </w:rPr>
        <w:t>ов</w:t>
      </w:r>
      <w:r>
        <w:t xml:space="preserve"> в вертикальном положении, возрождающих традиционную практику коренных народов. Это предложение пока обсуждается, </w:t>
      </w:r>
      <w:r>
        <w:rPr>
          <w:lang w:val="ru-RU"/>
        </w:rPr>
        <w:br/>
      </w:r>
      <w:r>
        <w:t>и для его принятия необходимо изыскать средства.</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rPr>
        <w:t>Доступ женщин из числа коренных народов к образованию</w:t>
      </w:r>
    </w:p>
    <w:p w:rsidR="000875B4" w:rsidRDefault="000875B4">
      <w:pPr>
        <w:pStyle w:val="SingleTxt"/>
        <w:spacing w:after="0" w:line="120" w:lineRule="exact"/>
        <w:rPr>
          <w:sz w:val="10"/>
        </w:rPr>
      </w:pPr>
    </w:p>
    <w:p w:rsidR="000875B4" w:rsidRDefault="000875B4">
      <w:pPr>
        <w:pStyle w:val="SingleTxt"/>
        <w:rPr>
          <w:color w:val="000000"/>
          <w:lang w:val="ru-RU"/>
        </w:rPr>
      </w:pPr>
      <w:r>
        <w:rPr>
          <w:color w:val="000000"/>
          <w:lang w:val="ru-RU"/>
        </w:rPr>
        <w:t>380.</w:t>
      </w:r>
      <w:r>
        <w:rPr>
          <w:color w:val="000000"/>
          <w:lang w:val="ru-RU"/>
        </w:rPr>
        <w:tab/>
        <w:t xml:space="preserve">В сельских районах на каждых 100 учащихся средних школ – мальчиков приходится 88 учащихся-девочек. В сельских районах велика доля школ, в которых имеется только один учитель. Инфраструктура и оборудование этих школ не соответствуют современным требованиям. </w:t>
      </w:r>
    </w:p>
    <w:p w:rsidR="000875B4" w:rsidRDefault="000875B4">
      <w:pPr>
        <w:pStyle w:val="SingleTxt"/>
      </w:pPr>
      <w:r>
        <w:rPr>
          <w:lang w:val="ru-RU"/>
        </w:rPr>
        <w:t>381.</w:t>
      </w:r>
      <w:r>
        <w:rPr>
          <w:lang w:val="ru-RU"/>
        </w:rPr>
        <w:tab/>
        <w:t xml:space="preserve">Главными целями программы </w:t>
      </w:r>
      <w:r>
        <w:t>двуязычного образования, которую осуществляет Министерство образования, являются ликвидация неграмотности и сохранение контингента учащихся в школе. Программа рассчитана прежде всего на сельских женщин и женщин из числа коренных народов. По данным Национального управления межкультурного двуязычного образования, по программе обучения грамоте занимаются 56 110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iCs/>
          <w:lang w:val="ru-RU"/>
        </w:rPr>
        <w:t>Статьи 15 и 16</w:t>
      </w:r>
      <w:r>
        <w:br/>
        <w:t>Равенство перед законом, в браке и семейных отношениях</w:t>
      </w:r>
    </w:p>
    <w:p w:rsidR="000875B4" w:rsidRDefault="000875B4">
      <w:pPr>
        <w:pStyle w:val="SingleTxt"/>
        <w:spacing w:after="0" w:line="120" w:lineRule="exact"/>
        <w:rPr>
          <w:sz w:val="10"/>
        </w:rPr>
      </w:pPr>
    </w:p>
    <w:p w:rsidR="000875B4" w:rsidRDefault="000875B4">
      <w:pPr>
        <w:pStyle w:val="SingleTxt"/>
        <w:rPr>
          <w:rFonts w:eastAsia="Times New Roman"/>
          <w:lang w:val="ru-RU"/>
        </w:rPr>
      </w:pPr>
      <w:r>
        <w:rPr>
          <w:rFonts w:eastAsia="Times New Roman"/>
        </w:rPr>
        <w:t>382.</w:t>
      </w:r>
      <w:r>
        <w:rPr>
          <w:rFonts w:eastAsia="Times New Roman"/>
        </w:rPr>
        <w:tab/>
        <w:t xml:space="preserve">В действующей Конституции провозглашается принцип равенства женщин и мужчин перед законом. Ряд вытекающих из этого норм эквадорского законодательства последовательно укрепляют этот принцип. В настоящее время женщины в полной мере обладают гражданской правоспособностью, свободой распоряжения собственным имуществом, правом заключать договоры, правом на труд, правом заниматься коммерческой или производственной деятельностью. </w:t>
      </w:r>
      <w:r>
        <w:rPr>
          <w:rFonts w:eastAsia="Times New Roman"/>
          <w:lang w:val="ru-RU"/>
        </w:rPr>
        <w:br/>
      </w:r>
      <w:r>
        <w:rPr>
          <w:rFonts w:eastAsia="Times New Roman"/>
        </w:rPr>
        <w:t>В соответствии с гражданским правом женщины могут представлять интересы других физических или юридических лиц и свободно заниматься профессиональной деятельностью. Таким образом, эквадорская правовая система юридически гарантирует равенство женщин и мужчин.</w:t>
      </w:r>
    </w:p>
    <w:p w:rsidR="000875B4" w:rsidRDefault="000875B4">
      <w:pPr>
        <w:pStyle w:val="SingleTxt"/>
        <w:rPr>
          <w:rFonts w:eastAsia="Times New Roman"/>
        </w:rPr>
      </w:pPr>
      <w:r>
        <w:rPr>
          <w:rFonts w:eastAsia="Times New Roman"/>
        </w:rPr>
        <w:t>383.</w:t>
      </w:r>
      <w:r>
        <w:rPr>
          <w:rFonts w:eastAsia="Times New Roman"/>
        </w:rPr>
        <w:tab/>
        <w:t xml:space="preserve">Поскольку малообеспеченные граждане испытывают трудности с доступом к правосудию, прежде всего по гражданским делам, особенно связанным с семейными проблемами, первоочередное внимание в стране уделяется Национальной программе обеспечения доступа к правосудию для женщин различных категорий. В связи </w:t>
      </w:r>
      <w:r>
        <w:rPr>
          <w:rFonts w:eastAsia="Times New Roman"/>
          <w:lang w:val="ru-RU"/>
        </w:rPr>
        <w:br/>
      </w:r>
      <w:r>
        <w:rPr>
          <w:rFonts w:eastAsia="Times New Roman"/>
        </w:rPr>
        <w:t>с этим КОНАМУ проводит переговоры с учреждениями, на которые возложена ответственность за осуществление реформ в правовой сфере, проводимых при поддержке Всемирного банка в рамках проекта ПРОХУСТИСИА-</w:t>
      </w:r>
      <w:r>
        <w:rPr>
          <w:rFonts w:eastAsia="Times New Roman"/>
          <w:lang w:val="es-ES_tradnl"/>
        </w:rPr>
        <w:t>II</w:t>
      </w:r>
      <w:r>
        <w:rPr>
          <w:rFonts w:eastAsia="Times New Roman"/>
        </w:rPr>
        <w:t>.</w:t>
      </w:r>
    </w:p>
    <w:p w:rsidR="000875B4" w:rsidRDefault="000875B4">
      <w:pPr>
        <w:pStyle w:val="SingleTxt"/>
        <w:rPr>
          <w:color w:val="000000"/>
          <w:lang w:val="ru-RU"/>
        </w:rPr>
      </w:pPr>
      <w:r>
        <w:rPr>
          <w:color w:val="000000"/>
          <w:lang w:val="ru-RU"/>
        </w:rPr>
        <w:t>384.</w:t>
      </w:r>
      <w:r>
        <w:rPr>
          <w:color w:val="000000"/>
          <w:lang w:val="ru-RU"/>
        </w:rPr>
        <w:tab/>
        <w:t xml:space="preserve">В Политической конституции Эквадора говорится, что семья образуется </w:t>
      </w:r>
      <w:r>
        <w:rPr>
          <w:color w:val="000000"/>
          <w:lang w:val="ru-RU"/>
        </w:rPr>
        <w:br/>
      </w:r>
      <w:r>
        <w:rPr>
          <w:lang w:val="ru-RU"/>
        </w:rPr>
        <w:t>в результате юридически зарегистрированного или фактического брака и основывается на равенстве прав и возможностей ее членов. Тот же принцип действует в отношении браков и фактических союзов. В тексте Конституции указывается также, что государство придерживается принципа совместной ответственности отца и матери за воспитание детей и обязуется оказывать помощь женщинам – главам домохозяйств.</w:t>
      </w:r>
    </w:p>
    <w:p w:rsidR="000875B4" w:rsidRDefault="000875B4">
      <w:pPr>
        <w:pStyle w:val="SingleTxt"/>
        <w:rPr>
          <w:rFonts w:eastAsia="Arial Unicode MS"/>
          <w:color w:val="000000"/>
          <w:lang w:val="ru-RU"/>
        </w:rPr>
      </w:pPr>
      <w:r>
        <w:rPr>
          <w:rFonts w:eastAsia="Arial Unicode MS"/>
          <w:color w:val="000000"/>
          <w:lang w:val="ru-RU"/>
        </w:rPr>
        <w:t>385.</w:t>
      </w:r>
      <w:r>
        <w:rPr>
          <w:rFonts w:eastAsia="Arial Unicode MS"/>
          <w:color w:val="000000"/>
          <w:lang w:val="ru-RU"/>
        </w:rPr>
        <w:tab/>
        <w:t xml:space="preserve">После внесения в 1989 </w:t>
      </w:r>
      <w:r>
        <w:rPr>
          <w:bCs/>
          <w:lang w:val="ru-RU"/>
        </w:rPr>
        <w:t>году</w:t>
      </w:r>
      <w:r>
        <w:rPr>
          <w:lang w:val="ru-RU"/>
        </w:rPr>
        <w:t xml:space="preserve"> </w:t>
      </w:r>
      <w:r>
        <w:rPr>
          <w:rFonts w:eastAsia="Arial Unicode MS"/>
          <w:color w:val="000000"/>
          <w:lang w:val="ru-RU"/>
        </w:rPr>
        <w:t xml:space="preserve">изменений и дополнений в Гражданский кодекс в законодательстве утвердился принцип равенства, хотя в некоторых положениях мужу отводится главенствующая роль в семье, если при вступлении в брак супруги прямо не оговорили иное. Фактически при гражданской регистрации брака власти исходят из предположения, что главой семьи будет мужчина, если прямо не оговаривается иное. </w:t>
      </w:r>
    </w:p>
    <w:p w:rsidR="000875B4" w:rsidRDefault="000875B4">
      <w:pPr>
        <w:pStyle w:val="SingleTxt"/>
        <w:rPr>
          <w:color w:val="000000"/>
          <w:lang w:val="ru-RU"/>
        </w:rPr>
      </w:pPr>
      <w:r>
        <w:rPr>
          <w:color w:val="000000"/>
          <w:lang w:val="ru-RU"/>
        </w:rPr>
        <w:t>386.</w:t>
      </w:r>
      <w:r>
        <w:rPr>
          <w:color w:val="000000"/>
          <w:lang w:val="ru-RU"/>
        </w:rPr>
        <w:tab/>
        <w:t xml:space="preserve">Что касается проблем семьи, то при активном участии граждан были подготовлены проекты Кодекса законов о детях и подростках и Семейного кодекса. Тексты этих двух кодексов были гармонизированы во избежание противоречий при их применении. Оба документа стали важными шагами вперед в правовой сфере, отразившими современные социальные реалии страны. В мае 2002 </w:t>
      </w:r>
      <w:r>
        <w:rPr>
          <w:bCs/>
          <w:lang w:val="ru-RU"/>
        </w:rPr>
        <w:t>года</w:t>
      </w:r>
      <w:r>
        <w:rPr>
          <w:color w:val="000000"/>
          <w:lang w:val="ru-RU"/>
        </w:rPr>
        <w:t xml:space="preserve"> состоялось первое обсуждение проекта Семейного кодекса, но позднее работа над ним была приостановлена. В апреле 2003 </w:t>
      </w:r>
      <w:r>
        <w:rPr>
          <w:bCs/>
          <w:lang w:val="ru-RU"/>
        </w:rPr>
        <w:t>года</w:t>
      </w:r>
      <w:r>
        <w:rPr>
          <w:color w:val="000000"/>
          <w:lang w:val="ru-RU"/>
        </w:rPr>
        <w:t xml:space="preserve"> был принят новый Кодекс законов о детях и подростках, позволивший усовершенствовать принципы отправления правосудия </w:t>
      </w:r>
      <w:r>
        <w:rPr>
          <w:color w:val="000000"/>
          <w:lang w:val="ru-RU"/>
        </w:rPr>
        <w:br/>
        <w:t xml:space="preserve">по делам, входящим в сферу компетенции специализированных судов. </w:t>
      </w:r>
    </w:p>
    <w:p w:rsidR="000875B4" w:rsidRDefault="000875B4">
      <w:pPr>
        <w:pStyle w:val="SingleTxt"/>
        <w:rPr>
          <w:color w:val="000000"/>
          <w:lang w:val="ru-RU"/>
        </w:rPr>
      </w:pPr>
      <w:r>
        <w:rPr>
          <w:color w:val="000000"/>
          <w:lang w:val="ru-RU"/>
        </w:rPr>
        <w:t>387.</w:t>
      </w:r>
      <w:r>
        <w:rPr>
          <w:color w:val="000000"/>
          <w:lang w:val="ru-RU"/>
        </w:rPr>
        <w:tab/>
        <w:t xml:space="preserve">Минимальный возраст для вступления в брак составляет 18 лет, однако </w:t>
      </w:r>
      <w:r>
        <w:rPr>
          <w:color w:val="000000"/>
          <w:lang w:val="ru-RU"/>
        </w:rPr>
        <w:br/>
        <w:t>с согласия родителей или судьи подросток может вступить в брак и раньше.</w:t>
      </w:r>
    </w:p>
    <w:p w:rsidR="000875B4" w:rsidRDefault="000875B4">
      <w:pPr>
        <w:pStyle w:val="SingleTxt"/>
      </w:pPr>
      <w:r>
        <w:t>388.</w:t>
      </w:r>
      <w:r>
        <w:tab/>
        <w:t>Статья 23 Конституции разрешает использование методов планирования размера семьи. Тем самым формально отменено требование о получении разрешения мужа – норма, предусмотренная действующим гражданским законодательством.</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color w:val="000000"/>
          <w:lang w:val="ru-RU"/>
        </w:rPr>
        <w:t>Другие проблемы, требующие первоочередного внимания</w:t>
      </w:r>
      <w:r>
        <w:br/>
      </w:r>
      <w:r>
        <w:rPr>
          <w:bCs/>
          <w:lang w:val="ru-RU"/>
        </w:rPr>
        <w:t>Население приграничных районов</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389.</w:t>
      </w:r>
      <w:r>
        <w:rPr>
          <w:bCs/>
          <w:lang w:val="ru-RU"/>
        </w:rPr>
        <w:tab/>
        <w:t xml:space="preserve">Управление по проблемам национального суверенитета и развития приграничных районов при Министерстве иностранных дел, созданное в мае 2004 года, занимается вопросами защиты суверенитета и территориальной целостности страны, реализацией политики и проведением мероприятий по укреплению границ и улучшению жизни населения приграничных районов и районов Амазонии, укреплением интеграционных связей страны со странами Южной Америки и устойчивым развитием Амазонии. </w:t>
      </w:r>
    </w:p>
    <w:p w:rsidR="000875B4" w:rsidRDefault="000875B4">
      <w:pPr>
        <w:pStyle w:val="SingleTxt"/>
        <w:rPr>
          <w:bCs/>
          <w:lang w:val="ru-RU"/>
        </w:rPr>
      </w:pPr>
      <w:r>
        <w:rPr>
          <w:bCs/>
          <w:lang w:val="ru-RU"/>
        </w:rPr>
        <w:t>390.</w:t>
      </w:r>
      <w:r>
        <w:rPr>
          <w:bCs/>
          <w:lang w:val="ru-RU"/>
        </w:rPr>
        <w:tab/>
        <w:t>В рамках интеграции и во исполнение подписанной в июне 1989 года Президентской декларации № 20 была создана Комиссия по добрососедству и сотрудничеству между Эквадором и Колумбией, которая была реорганизована в ноябре 2002 года.</w:t>
      </w:r>
    </w:p>
    <w:p w:rsidR="000875B4" w:rsidRDefault="000875B4">
      <w:pPr>
        <w:pStyle w:val="SingleTxt"/>
        <w:rPr>
          <w:bCs/>
          <w:lang w:val="ru-RU"/>
        </w:rPr>
      </w:pPr>
      <w:r>
        <w:rPr>
          <w:bCs/>
          <w:lang w:val="ru-RU"/>
        </w:rPr>
        <w:t>391.</w:t>
      </w:r>
      <w:r>
        <w:rPr>
          <w:bCs/>
          <w:lang w:val="ru-RU"/>
        </w:rPr>
        <w:tab/>
        <w:t xml:space="preserve">Комиссия по добрососедству представляет собой двусторонний политический и представительный орган, на который возложены задачи по содействию интеграции, сотрудничеству и развитию двух стран, особенно Приграничной зоны. Гендерные проблемы в работе Комиссии особо не выделяются, однако Министерство иностранных дел предложило КОНАМУ принять участие в подготовке предложений по некоторым аспектам сотрудничества.  </w:t>
      </w:r>
    </w:p>
    <w:p w:rsidR="000875B4" w:rsidRDefault="000875B4">
      <w:pPr>
        <w:pStyle w:val="SingleTxt"/>
        <w:rPr>
          <w:lang w:val="ru-RU"/>
        </w:rPr>
      </w:pPr>
      <w:r>
        <w:rPr>
          <w:lang w:val="ru-RU"/>
        </w:rPr>
        <w:t>392.</w:t>
      </w:r>
      <w:r>
        <w:rPr>
          <w:lang w:val="ru-RU"/>
        </w:rPr>
        <w:tab/>
        <w:t xml:space="preserve">КОНАМУ совместно с </w:t>
      </w:r>
      <w:r>
        <w:rPr>
          <w:bCs/>
          <w:lang w:val="ru-RU"/>
        </w:rPr>
        <w:t>Комиссией по добрососедству Министерства иностранных дел в сентябре 2006 года установил контакты с колумбийским Управлением по делам женщин в связи с осуществлением проекта в области технического сотрудничества между Эквадором и Колумбией по вопросу о специальных мерах политического характера по защите женщин, находящихся в угрожаемом положении: женщин, девочек и подростков из числа перемещенных лиц и беженцев.</w:t>
      </w:r>
    </w:p>
    <w:p w:rsidR="000875B4" w:rsidRDefault="000875B4">
      <w:pPr>
        <w:pStyle w:val="SingleTxt"/>
        <w:rPr>
          <w:lang w:val="ru-RU"/>
        </w:rPr>
      </w:pPr>
      <w:r>
        <w:rPr>
          <w:lang w:val="ru-RU"/>
        </w:rPr>
        <w:t>393.</w:t>
      </w:r>
      <w:r>
        <w:rPr>
          <w:lang w:val="ru-RU"/>
        </w:rPr>
        <w:tab/>
        <w:t xml:space="preserve">Цель данного проекта состоит в том, чтобы внедрить гендерный подход </w:t>
      </w:r>
      <w:r>
        <w:rPr>
          <w:lang w:val="ru-RU"/>
        </w:rPr>
        <w:br/>
        <w:t xml:space="preserve">в осуществляемые политические меры, программы и проекты, направленные </w:t>
      </w:r>
      <w:r>
        <w:rPr>
          <w:lang w:val="ru-RU"/>
        </w:rPr>
        <w:br/>
        <w:t xml:space="preserve">на предоставление помощи и защиты перемещенным лицам и беженцам в приграничных районах и обеспечение всесторонней реализации прав эквадорских и колумбийских женщин, детей и подростков, пострадавших от последствий вооруженного конфликта в Колумбии. </w:t>
      </w:r>
    </w:p>
    <w:p w:rsidR="000875B4" w:rsidRDefault="000875B4">
      <w:pPr>
        <w:pStyle w:val="SingleTxt"/>
        <w:rPr>
          <w:bCs/>
          <w:lang w:val="ru-RU"/>
        </w:rPr>
      </w:pPr>
      <w:r>
        <w:rPr>
          <w:bCs/>
          <w:lang w:val="ru-RU"/>
        </w:rPr>
        <w:t>394.</w:t>
      </w:r>
      <w:r>
        <w:rPr>
          <w:bCs/>
          <w:lang w:val="ru-RU"/>
        </w:rPr>
        <w:tab/>
        <w:t>На основании правительственного декрета от августа 2000 года был создан Отдел по развитию северных районов (УДЕНОР). В его задачи входит, прежде всего, содействие экономическому и социальному развитию провинций Эсмеральдас, Карчи, Имбабура, Сукумбиос, Орельяна и Напо, расположенных в северном приграничном районе.</w:t>
      </w:r>
    </w:p>
    <w:p w:rsidR="000875B4" w:rsidRDefault="000875B4">
      <w:pPr>
        <w:pStyle w:val="SingleTxt"/>
        <w:rPr>
          <w:bCs/>
          <w:lang w:val="ru-RU"/>
        </w:rPr>
      </w:pPr>
      <w:r>
        <w:rPr>
          <w:bCs/>
          <w:lang w:val="ru-RU"/>
        </w:rPr>
        <w:t>395.</w:t>
      </w:r>
      <w:r>
        <w:rPr>
          <w:bCs/>
          <w:lang w:val="ru-RU"/>
        </w:rPr>
        <w:tab/>
        <w:t xml:space="preserve">Деятельность УДЕНОР по развитию северного приграничного региона строится на принципах альтернативности, предупреждения, комплексности и устойчивости. Она включает содействие в создании социальной и производственной инфраструктуры, развитии производительной деятельности, защите окружающей среды, экономическом развитии и развитии местного управления. </w:t>
      </w:r>
    </w:p>
    <w:p w:rsidR="000875B4" w:rsidRDefault="000875B4">
      <w:pPr>
        <w:pStyle w:val="SingleTxt"/>
      </w:pPr>
      <w:r>
        <w:t>396.</w:t>
      </w:r>
      <w:r>
        <w:tab/>
        <w:t>Государство проводит в жизнь эти важные меры в ответ на обеспокоенность Комитета, выраженную в пунктах 16 и 17 его Заключительных замечаний.</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Cs/>
          <w:lang w:val="ru-RU"/>
        </w:rPr>
        <w:t>Окружающая среда и гендерные проблемы</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397.</w:t>
      </w:r>
      <w:r>
        <w:rPr>
          <w:bCs/>
          <w:lang w:val="ru-RU"/>
        </w:rPr>
        <w:tab/>
        <w:t>Государство через КОНАМУ приступило к важному процессу институционализации гендерного подхода в политике в области охраны окружающей среды. Начав с проведения исследования, позволившего выявить значимость гендерного равенства и прав женщин в экологической политике, КОНАМУ работает над проблемой положения женщин в экосистемах.</w:t>
      </w:r>
    </w:p>
    <w:p w:rsidR="000875B4" w:rsidRDefault="000875B4">
      <w:pPr>
        <w:pStyle w:val="SingleTxt"/>
        <w:rPr>
          <w:bCs/>
          <w:lang w:val="ru-RU"/>
        </w:rPr>
      </w:pPr>
      <w:r>
        <w:rPr>
          <w:bCs/>
          <w:lang w:val="ru-RU"/>
        </w:rPr>
        <w:t>398.</w:t>
      </w:r>
      <w:r>
        <w:rPr>
          <w:bCs/>
          <w:lang w:val="ru-RU"/>
        </w:rPr>
        <w:tab/>
        <w:t>Деятельность КОНАМУ по направлению "Женщина и окружающая среда"</w:t>
      </w:r>
      <w:r>
        <w:rPr>
          <w:bCs/>
          <w:lang w:val="ru-RU"/>
        </w:rPr>
        <w:br/>
        <w:t>в рамках решения экологических проблем включает просветительскую работу с женщинами по вопросам прямого и косвенного воздействии экологических факторов и обеспечение их участия в предотвращении экологических проблем и преодолении их последствий. Так, сельским женщинам помогают осознать взаимосвязь между гендерными и экологическими проблемами, подчеркивая при этом, что человек является частью экосистемы, и обеспечивая гендерное равенство при проведении в жизнь подписанной Эквадором Конвенции о биологическом разнообразии.</w:t>
      </w:r>
    </w:p>
    <w:p w:rsidR="000875B4" w:rsidRDefault="000875B4">
      <w:pPr>
        <w:pStyle w:val="SingleTxt"/>
        <w:rPr>
          <w:bCs/>
          <w:lang w:val="ru-RU"/>
        </w:rPr>
      </w:pPr>
      <w:r>
        <w:rPr>
          <w:bCs/>
          <w:lang w:val="ru-RU"/>
        </w:rPr>
        <w:t>399.</w:t>
      </w:r>
      <w:r>
        <w:rPr>
          <w:bCs/>
          <w:lang w:val="ru-RU"/>
        </w:rPr>
        <w:tab/>
        <w:t xml:space="preserve">На уровне страны определяются принципы включения гендерных аспектов </w:t>
      </w:r>
      <w:r>
        <w:rPr>
          <w:bCs/>
          <w:lang w:val="ru-RU"/>
        </w:rPr>
        <w:br/>
        <w:t xml:space="preserve">в работу по охране окружающей среды, ведущуюся по линии отделения ПРООН </w:t>
      </w:r>
      <w:r>
        <w:rPr>
          <w:bCs/>
          <w:lang w:val="ru-RU"/>
        </w:rPr>
        <w:br/>
        <w:t>в Эквадоре и Глобального экологического фонда, а также благодаря пожертвованиям, предоставляемым НПО, которые занимаются экологическими проблемами, а также общинными организациями. В рамках этих инициатив реализуется гендерный подход, предусматривающий активное привлечение женщин к использованию ресурсов экосистем, к принятию решений об их устойчивом использовании и о распределении экологических выгод.</w:t>
      </w:r>
    </w:p>
    <w:p w:rsidR="000875B4" w:rsidRDefault="000875B4">
      <w:pPr>
        <w:pStyle w:val="SingleTxt"/>
        <w:rPr>
          <w:bCs/>
          <w:lang w:val="ru-RU"/>
        </w:rPr>
      </w:pPr>
      <w:r>
        <w:rPr>
          <w:bCs/>
          <w:lang w:val="ru-RU"/>
        </w:rPr>
        <w:t>400.</w:t>
      </w:r>
      <w:r>
        <w:rPr>
          <w:bCs/>
          <w:lang w:val="ru-RU"/>
        </w:rPr>
        <w:tab/>
        <w:t xml:space="preserve">В последние годы повышался уровень экологического сознания граждан, особенно в районах нефтедобычи (на северо-востоке страны); возникли организации, которые борются за отказ от практики неустойчивой разработки этого невозобновляемого природного ресурса. Роль лидеров в этих процессах играют женщины, занимающие важные политические должности. Группы женщин – биологов и экологов проводят на местах пропагандистскую работу с целью привлечь население к активным выступлениям против подобной практики разработки нефтяных месторождений.  </w:t>
      </w:r>
    </w:p>
    <w:p w:rsidR="000875B4" w:rsidRDefault="000875B4">
      <w:pPr>
        <w:pStyle w:val="SingleTxt"/>
      </w:pPr>
      <w:r>
        <w:t>401.</w:t>
      </w:r>
      <w:r>
        <w:tab/>
        <w:t>На местном уровне существуют организации, объединяющие женщин-крестьянок, представительниц коренного населения, метисов, потомков выходцев из Африки и жительниц прибрежных районов, занимающихся устойчивой добычей и переработкой продуктов экосистем в разных районах страны. Некоторые местные органы власти, имеющие в своей структуре подразделения по охране окружающей среды, оказывают помощь женщинам как важным участникам работы по сохранению биоразнообразия на местном уровне.</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64" w:hanging="1264"/>
        <w:rPr>
          <w:spacing w:val="0"/>
          <w:w w:val="100"/>
          <w:kern w:val="0"/>
          <w:sz w:val="28"/>
        </w:rPr>
      </w:pPr>
      <w:r>
        <w:rPr>
          <w:spacing w:val="0"/>
          <w:w w:val="100"/>
          <w:kern w:val="0"/>
        </w:rPr>
        <w:br w:type="page"/>
      </w:r>
      <w:r>
        <w:rPr>
          <w:spacing w:val="0"/>
          <w:w w:val="100"/>
          <w:kern w:val="0"/>
          <w:sz w:val="28"/>
        </w:rPr>
        <w:tab/>
      </w:r>
      <w:r>
        <w:rPr>
          <w:spacing w:val="0"/>
          <w:w w:val="100"/>
          <w:kern w:val="0"/>
          <w:sz w:val="28"/>
        </w:rPr>
        <w:tab/>
        <w:t>Часть III</w:t>
      </w: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hanging="1264"/>
        <w:rPr>
          <w:sz w:val="28"/>
        </w:rPr>
      </w:pPr>
      <w:r>
        <w:rPr>
          <w:sz w:val="28"/>
        </w:rPr>
        <w:tab/>
      </w:r>
      <w:r>
        <w:rPr>
          <w:sz w:val="28"/>
        </w:rPr>
        <w:tab/>
      </w:r>
      <w:r>
        <w:rPr>
          <w:bCs/>
          <w:sz w:val="28"/>
          <w:lang w:val="ru-RU"/>
        </w:rPr>
        <w:t>Актуальные проблемы</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lang w:val="ru-RU"/>
        </w:rPr>
        <w:t>Женщина и экономика</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402.</w:t>
      </w:r>
      <w:r>
        <w:rPr>
          <w:bCs/>
          <w:lang w:val="ru-RU"/>
        </w:rPr>
        <w:tab/>
        <w:t>Правительство развивало сотрудничество с Социальным фронтом, однако по</w:t>
      </w:r>
      <w:r>
        <w:rPr>
          <w:bCs/>
          <w:lang w:val="ru-RU"/>
        </w:rPr>
        <w:noBreakHyphen/>
        <w:t>прежнему не решена задача по разработке действенной экономической и социальной политики, которая строилась бы с учетом прав и утверждала модель развития на основе принципов социальной справедливости, равенства и социокультурного многообразия.</w:t>
      </w:r>
    </w:p>
    <w:p w:rsidR="000875B4" w:rsidRDefault="000875B4">
      <w:pPr>
        <w:pStyle w:val="SingleTxt"/>
        <w:rPr>
          <w:bCs/>
          <w:lang w:val="ru-RU"/>
        </w:rPr>
      </w:pPr>
      <w:r>
        <w:rPr>
          <w:bCs/>
          <w:lang w:val="ru-RU"/>
        </w:rPr>
        <w:t>403.</w:t>
      </w:r>
      <w:r>
        <w:rPr>
          <w:bCs/>
          <w:lang w:val="ru-RU"/>
        </w:rPr>
        <w:tab/>
        <w:t xml:space="preserve">Крайне важно и далее вкладывать людские и финансовые ресурсы в совершенствование процессов планирования государственной политики, в частности государственного бюджета, чтобы в результате государственные ассигнования распределялись с учетом конкретных потребностей наименее социально защищенных групп населения, в том числе женщин. </w:t>
      </w:r>
    </w:p>
    <w:p w:rsidR="000875B4" w:rsidRDefault="000875B4">
      <w:pPr>
        <w:pStyle w:val="SingleTxt"/>
        <w:rPr>
          <w:bCs/>
          <w:lang w:val="ru-RU"/>
        </w:rPr>
      </w:pPr>
      <w:r>
        <w:rPr>
          <w:bCs/>
          <w:lang w:val="ru-RU"/>
        </w:rPr>
        <w:t>404.</w:t>
      </w:r>
      <w:r>
        <w:rPr>
          <w:bCs/>
          <w:lang w:val="ru-RU"/>
        </w:rPr>
        <w:tab/>
        <w:t xml:space="preserve">Говоря конкретнее, необходимо добиться увеличения бюджетных ассигнований на деятельность фонда ПРОМУХЕРЕС, поскольку это – эффективный способ направить финансовые средства на стимулирование экономической инициативы малообеспеченных женщин и способствовать в долгосрочной перспективе ликвидации бедности.  </w:t>
      </w:r>
    </w:p>
    <w:p w:rsidR="000875B4" w:rsidRDefault="000875B4">
      <w:pPr>
        <w:pStyle w:val="SingleTxt"/>
        <w:rPr>
          <w:bCs/>
          <w:lang w:val="ru-RU"/>
        </w:rPr>
      </w:pPr>
      <w:r>
        <w:rPr>
          <w:bCs/>
          <w:lang w:val="ru-RU"/>
        </w:rPr>
        <w:t>405.</w:t>
      </w:r>
      <w:r>
        <w:rPr>
          <w:bCs/>
          <w:lang w:val="ru-RU"/>
        </w:rPr>
        <w:tab/>
        <w:t xml:space="preserve">Для решения этой задачи требуются совершенствование системы социальных показателей в стране и включение в нее новых показателей, которые позволили бы получить наглядное представление о феминизации бедности в стране и на основании этой информации принимать меры к улучшению условий жизни эквадорских женщин и их семей. </w:t>
      </w:r>
    </w:p>
    <w:p w:rsidR="000875B4" w:rsidRDefault="000875B4">
      <w:pPr>
        <w:pStyle w:val="SingleTxt"/>
        <w:rPr>
          <w:bCs/>
          <w:lang w:val="ru-RU"/>
        </w:rPr>
      </w:pPr>
      <w:r>
        <w:rPr>
          <w:bCs/>
          <w:lang w:val="ru-RU"/>
        </w:rPr>
        <w:t>406.</w:t>
      </w:r>
      <w:r>
        <w:rPr>
          <w:bCs/>
          <w:lang w:val="ru-RU"/>
        </w:rPr>
        <w:tab/>
        <w:t xml:space="preserve">Не вызывает никаких сомнений и необходимость ускорить процессы реформирования важных законодательных актов, таких как Закон о коммерческой деятельности, законы, регламентирующие функционирование банковской системы, </w:t>
      </w:r>
      <w:r>
        <w:rPr>
          <w:bCs/>
          <w:lang w:val="ru-RU"/>
        </w:rPr>
        <w:br/>
        <w:t xml:space="preserve">а также Закон о сельскохозяйственном развитии и о режиме землевладения </w:t>
      </w:r>
      <w:r>
        <w:rPr>
          <w:bCs/>
          <w:lang w:val="ru-RU"/>
        </w:rPr>
        <w:br/>
        <w:t xml:space="preserve">в Эквадоре. </w:t>
      </w:r>
    </w:p>
    <w:p w:rsidR="000875B4" w:rsidRDefault="000875B4">
      <w:pPr>
        <w:pStyle w:val="SingleTxt"/>
        <w:rPr>
          <w:bCs/>
          <w:lang w:val="ru-RU"/>
        </w:rPr>
      </w:pPr>
      <w:r>
        <w:rPr>
          <w:bCs/>
          <w:lang w:val="ru-RU"/>
        </w:rPr>
        <w:t>407.</w:t>
      </w:r>
      <w:r>
        <w:rPr>
          <w:bCs/>
          <w:lang w:val="ru-RU"/>
        </w:rPr>
        <w:tab/>
        <w:t>Необходимо также располагать количественной и качественной информацией о положении сельских женщин, чтобы на ее основе обеспечить включение гендерного подхода в сельскохозяйственную политику Эквадора на 2006–2016 </w:t>
      </w:r>
      <w:r>
        <w:rPr>
          <w:lang w:val="ru-RU"/>
        </w:rPr>
        <w:t>годы</w:t>
      </w:r>
      <w:r>
        <w:rPr>
          <w:bCs/>
          <w:lang w:val="ru-RU"/>
        </w:rPr>
        <w:t xml:space="preserve"> и вовлечь организации женщин-производителей в осуществление этой политики на разных ее этапах. </w:t>
      </w:r>
    </w:p>
    <w:p w:rsidR="000875B4" w:rsidRDefault="000875B4">
      <w:pPr>
        <w:pStyle w:val="SingleTxt"/>
        <w:rPr>
          <w:color w:val="000000"/>
          <w:lang w:val="ru-RU"/>
        </w:rPr>
      </w:pPr>
      <w:r>
        <w:rPr>
          <w:color w:val="000000"/>
          <w:lang w:val="ru-RU"/>
        </w:rPr>
        <w:t>408.</w:t>
      </w:r>
      <w:r>
        <w:rPr>
          <w:color w:val="000000"/>
          <w:lang w:val="ru-RU"/>
        </w:rPr>
        <w:tab/>
        <w:t xml:space="preserve">В отношении темы "Окружающая среда и гендерные проблемы" следует отметить, что прежде всего необходимо провести исследования, которые позволят получить информацию и накопить знания по вопросам доступа к природным ресурсам, их использования и контроля над ними с учетом гендерного фактора. </w:t>
      </w:r>
    </w:p>
    <w:p w:rsidR="000875B4" w:rsidRDefault="000875B4">
      <w:pPr>
        <w:pStyle w:val="SingleTxt"/>
      </w:pPr>
      <w:r>
        <w:t>409.</w:t>
      </w:r>
      <w:r>
        <w:tab/>
        <w:t>Одним из актуальных вопросов в программе действий в гендерной сфере является количественная оценка вклада женщин в национальную экономику. Здесь государству необходимо прежде всего выделить средства на проведение общенационального опроса об использовании времени.</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lang w:val="ru-RU"/>
        </w:rPr>
        <w:t>Образование и профессиональное обучение</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410.</w:t>
      </w:r>
      <w:r>
        <w:rPr>
          <w:bCs/>
          <w:lang w:val="ru-RU"/>
        </w:rPr>
        <w:tab/>
        <w:t xml:space="preserve">Одна из главных задач в сфере образования – увеличение тиражей качественных и недорогих учебников и учебных пособий, содержание которых способствовало бы пропаганде равенства и прав детей и подростков, а также развитию их способностей. </w:t>
      </w:r>
    </w:p>
    <w:p w:rsidR="000875B4" w:rsidRDefault="000875B4">
      <w:pPr>
        <w:pStyle w:val="SingleTxt"/>
        <w:rPr>
          <w:bCs/>
          <w:lang w:val="ru-RU"/>
        </w:rPr>
      </w:pPr>
      <w:r>
        <w:rPr>
          <w:bCs/>
          <w:lang w:val="ru-RU"/>
        </w:rPr>
        <w:t>411.</w:t>
      </w:r>
      <w:r>
        <w:rPr>
          <w:bCs/>
          <w:lang w:val="ru-RU"/>
        </w:rPr>
        <w:tab/>
        <w:t>Национальному совету по делам женщин и Национальному совету по делам детей и подростков  следует разрабатывать институциональные механизмы, необходимые для укрепления децентрализованной системы комплексной защиты прав детей (в частности, советов по защите прав детей). В задачу этих органов должен входить контроль за соблюдением принципов недопущения дискриминации в образовании, особенно когда речь идет об исключении из школы или отказе в обучении из-за беременности, а также о сексуальном насилии.</w:t>
      </w:r>
    </w:p>
    <w:p w:rsidR="000875B4" w:rsidRDefault="000875B4">
      <w:pPr>
        <w:pStyle w:val="SingleTxt"/>
        <w:rPr>
          <w:bCs/>
          <w:lang w:val="ru-RU"/>
        </w:rPr>
      </w:pPr>
      <w:r>
        <w:rPr>
          <w:bCs/>
          <w:lang w:val="ru-RU"/>
        </w:rPr>
        <w:t>412.</w:t>
      </w:r>
      <w:r>
        <w:rPr>
          <w:bCs/>
          <w:lang w:val="ru-RU"/>
        </w:rPr>
        <w:tab/>
        <w:t xml:space="preserve">Представляет интерес разработка новых методов обучения, использующих выразительные средства разных видов искусства и наглядно демонстрирующих роль женщин, а также использование возможностей спорта и альтернативных видов деятельности в таких программах, как, например, программа сексуального воспитания. </w:t>
      </w:r>
    </w:p>
    <w:p w:rsidR="000875B4" w:rsidRDefault="000875B4">
      <w:pPr>
        <w:pStyle w:val="SingleTxt"/>
        <w:rPr>
          <w:bCs/>
          <w:lang w:val="ru-RU"/>
        </w:rPr>
      </w:pPr>
      <w:r>
        <w:rPr>
          <w:bCs/>
          <w:lang w:val="ru-RU"/>
        </w:rPr>
        <w:t>413.</w:t>
      </w:r>
      <w:r>
        <w:rPr>
          <w:bCs/>
          <w:lang w:val="ru-RU"/>
        </w:rPr>
        <w:tab/>
        <w:t xml:space="preserve">В реализуемых в стране инициативах в сфере образования на всех уровнях настоятельной необходимостью является применение подхода с учетом многокультурности. </w:t>
      </w:r>
    </w:p>
    <w:p w:rsidR="000875B4" w:rsidRDefault="000875B4">
      <w:pPr>
        <w:pStyle w:val="SingleTxt"/>
      </w:pPr>
      <w:r>
        <w:t>414.</w:t>
      </w:r>
      <w:r>
        <w:tab/>
        <w:t>Кроме того, следует расширять доступ женщин к высшему образованию, создав для этого стипендиальный фонд, что позволит женщинам – главам домохозяйств в приоритетном порядке пройти обучение по различным программам.</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Женщина и здоровье</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415.</w:t>
      </w:r>
      <w:r>
        <w:rPr>
          <w:bCs/>
          <w:lang w:val="ru-RU"/>
        </w:rPr>
        <w:tab/>
        <w:t xml:space="preserve">При оказании услуг в области здравоохранения важной задачей является подход с учетом традиций разных культур, в частности полезной многовековой практики коренного населения, как, например, роды в вертикальном положении, и включении ее в пакет услуг, предусмотренных </w:t>
      </w:r>
      <w:r>
        <w:rPr>
          <w:caps/>
          <w:lang w:val="ru-RU"/>
        </w:rPr>
        <w:t>з</w:t>
      </w:r>
      <w:r>
        <w:rPr>
          <w:lang w:val="ru-RU"/>
        </w:rPr>
        <w:t>аконом о бесплатной охране здоровья матери и уходе за новорожденным</w:t>
      </w:r>
      <w:r>
        <w:rPr>
          <w:bCs/>
          <w:lang w:val="ru-RU"/>
        </w:rPr>
        <w:t xml:space="preserve">и. Необходимо также разрабатывать программы использования в здравоохранении опыта народной медицины, в особенности повитух, которых следует вовлекать в систему медицинского обслуживания. </w:t>
      </w:r>
    </w:p>
    <w:p w:rsidR="000875B4" w:rsidRDefault="000875B4">
      <w:pPr>
        <w:pStyle w:val="SingleTxt"/>
        <w:rPr>
          <w:bCs/>
          <w:lang w:val="ru-RU"/>
        </w:rPr>
      </w:pPr>
      <w:r>
        <w:rPr>
          <w:bCs/>
          <w:lang w:val="ru-RU"/>
        </w:rPr>
        <w:t>416.</w:t>
      </w:r>
      <w:r>
        <w:rPr>
          <w:bCs/>
          <w:lang w:val="ru-RU"/>
        </w:rPr>
        <w:tab/>
        <w:t xml:space="preserve">Актуальным остается и вопрос об усилении роли местных органов власти </w:t>
      </w:r>
      <w:r>
        <w:rPr>
          <w:bCs/>
          <w:lang w:val="ru-RU"/>
        </w:rPr>
        <w:br/>
        <w:t>в предоставлении, в рамках национальных соглашений, услуг в сфере здравоохранения с учетом гендерных аспектов и прав человека.</w:t>
      </w:r>
    </w:p>
    <w:p w:rsidR="000875B4" w:rsidRDefault="000875B4">
      <w:pPr>
        <w:pStyle w:val="SingleTxt"/>
      </w:pPr>
      <w:r>
        <w:t>417.</w:t>
      </w:r>
      <w:r>
        <w:tab/>
        <w:t>Первостепенное значение имеет упрочение достижений в сфере сексуальных и репродуктивных прав путем укрепления программ и проектов, призванных обеспечивать доступ к методам контрацепции и ответственное их применение при полном уважении соответствующих прав.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lang w:val="ru-RU"/>
        </w:rPr>
        <w:t>Насилие в семье</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418.</w:t>
      </w:r>
      <w:r>
        <w:rPr>
          <w:bCs/>
          <w:lang w:val="ru-RU"/>
        </w:rPr>
        <w:tab/>
        <w:t xml:space="preserve">Одной из приоритетных задач в правовой сфере является реализация в системе судебной власти модели семейных судов и судов по делам о насилии. </w:t>
      </w:r>
    </w:p>
    <w:p w:rsidR="000875B4" w:rsidRDefault="000875B4">
      <w:pPr>
        <w:pStyle w:val="SingleTxt"/>
        <w:rPr>
          <w:bCs/>
          <w:lang w:val="ru-RU"/>
        </w:rPr>
      </w:pPr>
      <w:r>
        <w:rPr>
          <w:bCs/>
          <w:lang w:val="ru-RU"/>
        </w:rPr>
        <w:t>419.</w:t>
      </w:r>
      <w:r>
        <w:rPr>
          <w:bCs/>
          <w:lang w:val="ru-RU"/>
        </w:rPr>
        <w:tab/>
        <w:t xml:space="preserve">Назрела необходимость вкладывать средства в разработку при активном участии общественности Национального плана по предотвращению и искоренению гендерного насилия и наказанию за него. Такой план даст возможность реализовать на всех уровнях, начиная с местного, программы и проекты по поддержке и защите жертв насилия, восстановлению их прав и приведению в действие механизмов наказания агрессоров. </w:t>
      </w:r>
    </w:p>
    <w:p w:rsidR="000875B4" w:rsidRDefault="000875B4">
      <w:pPr>
        <w:pStyle w:val="SingleTxt"/>
        <w:rPr>
          <w:bCs/>
          <w:lang w:val="ru-RU"/>
        </w:rPr>
      </w:pPr>
      <w:r>
        <w:rPr>
          <w:bCs/>
          <w:lang w:val="ru-RU"/>
        </w:rPr>
        <w:t>420.</w:t>
      </w:r>
      <w:r>
        <w:rPr>
          <w:bCs/>
          <w:lang w:val="ru-RU"/>
        </w:rPr>
        <w:tab/>
        <w:t>В рамках этого плана необходимо будет обеспечить своевременное выделение из государственного бюджета необходимых средств на осуществление политики, программ и проектов, направленных, в числе прочего, на предупреждение и искоренение гендерного насилия и наказание за него, совершенствование действующих и создание новых приютов для потерпевших, а также оказание им правовой и психологической помощи.</w:t>
      </w:r>
    </w:p>
    <w:p w:rsidR="000875B4" w:rsidRDefault="000875B4">
      <w:pPr>
        <w:pStyle w:val="SingleTxt"/>
        <w:rPr>
          <w:bCs/>
          <w:lang w:val="ru-RU"/>
        </w:rPr>
      </w:pPr>
      <w:r>
        <w:rPr>
          <w:bCs/>
          <w:lang w:val="ru-RU"/>
        </w:rPr>
        <w:t>421.</w:t>
      </w:r>
      <w:r>
        <w:rPr>
          <w:bCs/>
          <w:lang w:val="ru-RU"/>
        </w:rPr>
        <w:tab/>
        <w:t xml:space="preserve">Что касается выделения ресурсов, то обязательной для выполнения задачей является предоставление средств на осуществление Национального плана борьбы с похищениями людей и торговлей людьми и сексуальной эксплуатацией. Разработанный для решения этой задачи проект Бюджетной политики на основе гендерного подхода представляет собой ключевую стратегию, призванную убедить руководство Министерства экономики и финансов в необходимости вкладывать средства в разработку и осуществление государственной политики по недопущению сексуальной эксплуатации детей, подростков и женщин и наказанию виновных </w:t>
      </w:r>
      <w:r>
        <w:rPr>
          <w:bCs/>
          <w:lang w:val="ru-RU"/>
        </w:rPr>
        <w:br/>
        <w:t xml:space="preserve">в таком деянии. </w:t>
      </w:r>
    </w:p>
    <w:p w:rsidR="000875B4" w:rsidRDefault="000875B4">
      <w:pPr>
        <w:pStyle w:val="SingleTxt"/>
        <w:rPr>
          <w:bCs/>
          <w:lang w:val="ru-RU"/>
        </w:rPr>
      </w:pPr>
      <w:r>
        <w:rPr>
          <w:bCs/>
          <w:lang w:val="ru-RU"/>
        </w:rPr>
        <w:t>422.</w:t>
      </w:r>
      <w:r>
        <w:rPr>
          <w:bCs/>
          <w:lang w:val="ru-RU"/>
        </w:rPr>
        <w:tab/>
        <w:t xml:space="preserve">Актуальной остается и задача добиться того, чтобы в Уголовном кодексе насилие в отношении женщин квалифицировалось как преступление. Государство приложит все усилия к тому, чтобы в период новой легислатуры были приняты соответствующие решения.  </w:t>
      </w:r>
    </w:p>
    <w:p w:rsidR="000875B4" w:rsidRDefault="000875B4">
      <w:pPr>
        <w:pStyle w:val="SingleTxt"/>
      </w:pPr>
      <w:r>
        <w:t>423.</w:t>
      </w:r>
      <w:r>
        <w:tab/>
        <w:t>Сложная ситуация, сложившаяся в северном приграничном регионе вследствие вооруженного конфликта в Колумбии, наглядно демонстрирует, как уже говорилось в настоящем докладе, необходимость дальнейшей разработки программ защиты прав эквадорских и колумбийских женщин, девочек и подростков, оказавшихся на положении перемещенных лиц и/или беженцев.</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Женщины в органах власти</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424.</w:t>
      </w:r>
      <w:r>
        <w:rPr>
          <w:bCs/>
          <w:lang w:val="ru-RU"/>
        </w:rPr>
        <w:tab/>
        <w:t xml:space="preserve">В отношении участия женщин в политической жизни следует отметить, что государство должно взять на себя решение задачи по подготовке женщин – политических лидеров. Хотя масштабы участия женщин в избирательных процессах и в работе различных директивных органов постоянно растут, необходимо вкладывать средства в обучение и подготовку женщин к участию в политической жизни с учетом гендерного подхода и на основе прав человека. </w:t>
      </w:r>
    </w:p>
    <w:p w:rsidR="000875B4" w:rsidRDefault="000875B4">
      <w:pPr>
        <w:pStyle w:val="SingleTxt"/>
      </w:pPr>
      <w:r>
        <w:t>425.</w:t>
      </w:r>
      <w:r>
        <w:tab/>
        <w:t>Несомненно, укрепление лидирующих позиций эквадорских женщин в политической жизни представляет собой важнейший шаг на пути демократизации управления и существенный вклад в построение равноправного демократического общества для всех.</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Институциональные и правовые гендерные механизмы</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426.</w:t>
      </w:r>
      <w:r>
        <w:rPr>
          <w:bCs/>
          <w:lang w:val="ru-RU"/>
        </w:rPr>
        <w:tab/>
        <w:t>В отношении усиления гендерного фактора в деятельности государственных учреждений приоритетной задачей является широкая дискуссия с участием различных женских организаций страны, которая должна предшествовать внесению в Национальный конгресс проекта Закона о равенстве возможностей. Необходимо в срочном порядке обсудить и принять этот Закон, имеющий огромное значение для разработки государственной гендерной политики страны.</w:t>
      </w:r>
    </w:p>
    <w:p w:rsidR="000875B4" w:rsidRDefault="000875B4">
      <w:pPr>
        <w:pStyle w:val="SingleTxt"/>
      </w:pPr>
      <w:r>
        <w:t>427.</w:t>
      </w:r>
      <w:r>
        <w:tab/>
        <w:t>Крайне важно принять необходимые политические меры по восстановлению статуса прежнего Управления по делам женщин при Управлении уполномоченного по правам человека, чтобы укрепить роль этого органа в защите прав человека женщин.</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lang w:val="ru-RU"/>
        </w:rPr>
        <w:t>Пропаганда прав человека женщин</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428.</w:t>
      </w:r>
      <w:r>
        <w:rPr>
          <w:bCs/>
          <w:lang w:val="ru-RU"/>
        </w:rPr>
        <w:tab/>
        <w:t xml:space="preserve">Важно, чтобы все государственные учреждения выделяли средства на расширение масштабов пропаганды Конвенции и, в частности, Факультативного протокола к ней, поскольку эти документы содержат требование обеспечить защиту прав женщин. Важным шагом в этом направлении стала, как уже говорилось, работа </w:t>
      </w:r>
      <w:r>
        <w:rPr>
          <w:lang w:val="ru-RU"/>
        </w:rPr>
        <w:t>Государственной комиссии по координации в области прав человека</w:t>
      </w:r>
      <w:r>
        <w:rPr>
          <w:bCs/>
          <w:lang w:val="ru-RU"/>
        </w:rPr>
        <w:t xml:space="preserve"> при Министерстве иностранных дел и КОНАМУ. Эти органы широко пропагандируют вышеуказанные документы, а также Заключительные замечания Комитета </w:t>
      </w:r>
      <w:r>
        <w:rPr>
          <w:bCs/>
          <w:lang w:val="ru-RU"/>
        </w:rPr>
        <w:br/>
        <w:t>в отношении докладов, представленных государством, сами эти доклады и другие документы по гендерным проблемам, используя для этого печатные издания и интернет.</w:t>
      </w:r>
    </w:p>
    <w:p w:rsidR="000875B4" w:rsidRDefault="000875B4">
      <w:pPr>
        <w:pStyle w:val="SingleTxt"/>
      </w:pPr>
      <w:r>
        <w:t>429.</w:t>
      </w:r>
      <w:r>
        <w:tab/>
        <w:t>Необходимо также, чтобы средства массовой информации вели пропаганду прав человека женщин на языках разных народностей, населяющих Эквадор.</w:t>
      </w:r>
    </w:p>
    <w:p w:rsidR="000875B4" w:rsidRDefault="000875B4">
      <w:pPr>
        <w:pStyle w:val="SingleTxt"/>
        <w:spacing w:after="0" w:line="120" w:lineRule="exact"/>
        <w:rPr>
          <w:sz w:val="10"/>
        </w:rPr>
      </w:pPr>
    </w:p>
    <w:p w:rsidR="000875B4" w:rsidRDefault="00087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Cs/>
          <w:lang w:val="ru-RU"/>
        </w:rPr>
        <w:t>Окружающая среда и гендерные проблемы</w:t>
      </w:r>
    </w:p>
    <w:p w:rsidR="000875B4" w:rsidRDefault="000875B4">
      <w:pPr>
        <w:pStyle w:val="SingleTxt"/>
        <w:spacing w:after="0" w:line="120" w:lineRule="exact"/>
        <w:rPr>
          <w:sz w:val="10"/>
        </w:rPr>
      </w:pPr>
    </w:p>
    <w:p w:rsidR="000875B4" w:rsidRDefault="000875B4">
      <w:pPr>
        <w:pStyle w:val="SingleTxt"/>
        <w:rPr>
          <w:bCs/>
          <w:lang w:val="ru-RU"/>
        </w:rPr>
      </w:pPr>
      <w:r>
        <w:rPr>
          <w:bCs/>
          <w:lang w:val="ru-RU"/>
        </w:rPr>
        <w:t>430.</w:t>
      </w:r>
      <w:r>
        <w:rPr>
          <w:bCs/>
          <w:lang w:val="ru-RU"/>
        </w:rPr>
        <w:tab/>
        <w:t xml:space="preserve">К числу важнейших задач в этой области относятся проведение специализированных исследований, которые дали бы представление о тех проблемах, с которыми сталкиваются городские и сельские женщины вследствие загрязнения окружающей среды, и в частности деградации почв, а также расширение масштабов просветительской работы по проблемам стойких органических загрязнителей и включение принципа многокультурности для активизации формирования у женщин умения управлять природными ресурсами. </w:t>
      </w:r>
    </w:p>
    <w:p w:rsidR="000875B4" w:rsidRDefault="000875B4">
      <w:pPr>
        <w:pStyle w:val="SingleTxt"/>
      </w:pPr>
      <w:r>
        <w:t>431.</w:t>
      </w:r>
      <w:r>
        <w:tab/>
        <w:t>Другой ключевой аспект в сфере экологии – это проблемы профессиональных заболеваний и заболеваний, вызванных экологическими факторами. Речь здесь идет о медицинских сестрах, подвергающихся воздействию радиации, о работницах цветочных плантаций, о женщинах, занимающихся ловом креветок, и о женщинах, занятых на других опасных для жизни работах.</w:t>
      </w: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kern w:val="0"/>
        </w:rPr>
      </w:pPr>
      <w:r>
        <w:rPr>
          <w:spacing w:val="0"/>
          <w:w w:val="100"/>
          <w:kern w:val="0"/>
        </w:rPr>
        <w:br w:type="page"/>
      </w:r>
      <w:r>
        <w:rPr>
          <w:spacing w:val="0"/>
          <w:w w:val="100"/>
          <w:kern w:val="0"/>
        </w:rPr>
        <w:tab/>
      </w:r>
      <w:r>
        <w:rPr>
          <w:spacing w:val="0"/>
          <w:w w:val="100"/>
          <w:kern w:val="0"/>
        </w:rPr>
        <w:tab/>
      </w:r>
      <w:r>
        <w:rPr>
          <w:bCs/>
          <w:color w:val="000000"/>
          <w:spacing w:val="0"/>
          <w:w w:val="100"/>
          <w:kern w:val="0"/>
          <w:lang w:val="ru-RU"/>
        </w:rPr>
        <w:t>Библиография</w:t>
      </w:r>
    </w:p>
    <w:p w:rsidR="000875B4" w:rsidRDefault="000875B4">
      <w:pPr>
        <w:pStyle w:val="SingleTxt"/>
        <w:spacing w:after="0" w:line="120" w:lineRule="exact"/>
        <w:rPr>
          <w:sz w:val="10"/>
        </w:rPr>
      </w:pPr>
    </w:p>
    <w:p w:rsidR="000875B4" w:rsidRDefault="000875B4">
      <w:pPr>
        <w:pStyle w:val="SingleTxt"/>
        <w:spacing w:after="0" w:line="120" w:lineRule="exact"/>
        <w:rPr>
          <w:sz w:val="10"/>
        </w:rPr>
      </w:pPr>
    </w:p>
    <w:p w:rsidR="000875B4" w:rsidRDefault="000875B4">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92"/>
        <w:ind w:left="1267" w:right="1260"/>
      </w:pPr>
      <w:r>
        <w:t>Boletín de Indicadores Básicos de Salud del Ecuador, 2005, Ministerio de Salud Pública del Ecuador, OPS, UNICEF, UNIFEM, PNUD, UNFPA.</w:t>
      </w:r>
    </w:p>
    <w:p w:rsidR="000875B4" w:rsidRDefault="000875B4">
      <w:pPr>
        <w:pStyle w:val="SingleTxt"/>
        <w:numPr>
          <w:ilvl w:val="0"/>
          <w:numId w:val="21"/>
        </w:numPr>
        <w:tabs>
          <w:tab w:val="clear" w:pos="475"/>
          <w:tab w:val="num" w:pos="1742"/>
        </w:tabs>
        <w:spacing w:after="92"/>
        <w:ind w:left="1267"/>
      </w:pPr>
      <w:r>
        <w:t>Boletín Informativo “El CONAMU ante la resolución del Tribunal Constitucional”. Quito, mayo 2006.</w:t>
      </w:r>
    </w:p>
    <w:p w:rsidR="000875B4" w:rsidRDefault="000875B4">
      <w:pPr>
        <w:pStyle w:val="SingleTxt"/>
        <w:numPr>
          <w:ilvl w:val="0"/>
          <w:numId w:val="21"/>
        </w:numPr>
        <w:tabs>
          <w:tab w:val="clear" w:pos="475"/>
          <w:tab w:val="num" w:pos="1742"/>
        </w:tabs>
        <w:spacing w:after="92"/>
        <w:ind w:left="1267"/>
      </w:pPr>
      <w:r>
        <w:t>Camacho Zambrano, Gloria, Mujeres al borde. Refugiadas colombianas en el Ecuador, UNIFEM. Quito, febrero 2005.</w:t>
      </w:r>
    </w:p>
    <w:p w:rsidR="000875B4" w:rsidRDefault="000875B4">
      <w:pPr>
        <w:pStyle w:val="SingleTxt"/>
        <w:numPr>
          <w:ilvl w:val="0"/>
          <w:numId w:val="21"/>
        </w:numPr>
        <w:tabs>
          <w:tab w:val="clear" w:pos="475"/>
          <w:tab w:val="num" w:pos="1742"/>
        </w:tabs>
        <w:spacing w:after="92"/>
        <w:ind w:left="1267"/>
      </w:pPr>
      <w:r>
        <w:t>CONAMU, Informe de Rendición de Cuentas 2005-2006. Quito, mayo 2005.</w:t>
      </w:r>
    </w:p>
    <w:p w:rsidR="000875B4" w:rsidRDefault="000875B4">
      <w:pPr>
        <w:pStyle w:val="SingleTxt"/>
        <w:numPr>
          <w:ilvl w:val="0"/>
          <w:numId w:val="21"/>
        </w:numPr>
        <w:tabs>
          <w:tab w:val="clear" w:pos="475"/>
          <w:tab w:val="num" w:pos="1742"/>
        </w:tabs>
        <w:spacing w:after="92"/>
        <w:ind w:left="1267"/>
      </w:pPr>
      <w:r>
        <w:t>CONAMU, Cuestionario para la evaluación de la implementación de las disposiciones de la Convención Interamericana para Prevenir, Sancionar y Erradicar la Violencia Contra la Mujer, Convención De Belém Do Pará. Quito, diciembre 2005.</w:t>
      </w:r>
    </w:p>
    <w:p w:rsidR="000875B4" w:rsidRDefault="000875B4">
      <w:pPr>
        <w:pStyle w:val="SingleTxt"/>
        <w:numPr>
          <w:ilvl w:val="0"/>
          <w:numId w:val="21"/>
        </w:numPr>
        <w:tabs>
          <w:tab w:val="clear" w:pos="475"/>
          <w:tab w:val="num" w:pos="1742"/>
        </w:tabs>
        <w:spacing w:after="92"/>
        <w:ind w:left="1267"/>
      </w:pPr>
      <w:r>
        <w:t>CONAMU, Documento “Argumentos de respaldo para los derechos sexuales y reproductivos contenidos en el Proyecto de Ley Orgánica de Salud”. Quito, agosto 2006.</w:t>
      </w:r>
    </w:p>
    <w:p w:rsidR="000875B4" w:rsidRDefault="000875B4">
      <w:pPr>
        <w:pStyle w:val="SingleTxt"/>
        <w:numPr>
          <w:ilvl w:val="0"/>
          <w:numId w:val="21"/>
        </w:numPr>
        <w:tabs>
          <w:tab w:val="clear" w:pos="475"/>
          <w:tab w:val="num" w:pos="1742"/>
        </w:tabs>
        <w:spacing w:after="92"/>
        <w:ind w:left="1267"/>
      </w:pPr>
      <w:r>
        <w:t>CONAMU, Documento de propuesta de elaboración de la Ley para la Igualdad de Oportunidades. Quito, septiembre 2006.</w:t>
      </w:r>
    </w:p>
    <w:p w:rsidR="000875B4" w:rsidRDefault="000875B4">
      <w:pPr>
        <w:pStyle w:val="SingleTxt"/>
        <w:numPr>
          <w:ilvl w:val="0"/>
          <w:numId w:val="21"/>
        </w:numPr>
        <w:tabs>
          <w:tab w:val="clear" w:pos="475"/>
          <w:tab w:val="num" w:pos="1742"/>
        </w:tabs>
        <w:spacing w:after="92"/>
        <w:ind w:left="1267"/>
      </w:pPr>
      <w:r>
        <w:t>CONAMU, Ficha técnica Proyecto Bono Desarrollo Humano. Quito, 2004.</w:t>
      </w:r>
    </w:p>
    <w:p w:rsidR="000875B4" w:rsidRDefault="000875B4">
      <w:pPr>
        <w:pStyle w:val="SingleTxt"/>
        <w:numPr>
          <w:ilvl w:val="0"/>
          <w:numId w:val="21"/>
        </w:numPr>
        <w:tabs>
          <w:tab w:val="clear" w:pos="475"/>
          <w:tab w:val="num" w:pos="1742"/>
        </w:tabs>
        <w:spacing w:after="92"/>
        <w:ind w:left="1267"/>
      </w:pPr>
      <w:r>
        <w:t>CONAMU, Informe de Rendición de Cuentas de 2004, Quito, 2005.</w:t>
      </w:r>
    </w:p>
    <w:p w:rsidR="000875B4" w:rsidRDefault="000875B4">
      <w:pPr>
        <w:pStyle w:val="SingleTxt"/>
        <w:numPr>
          <w:ilvl w:val="0"/>
          <w:numId w:val="21"/>
        </w:numPr>
        <w:tabs>
          <w:tab w:val="clear" w:pos="475"/>
          <w:tab w:val="num" w:pos="1742"/>
        </w:tabs>
        <w:spacing w:after="92"/>
        <w:ind w:left="1267"/>
      </w:pPr>
      <w:r>
        <w:t>CONAMU, Plan de Igualdad de Oportunidades 2005-2009. Quito, marzo 2005.</w:t>
      </w:r>
    </w:p>
    <w:p w:rsidR="000875B4" w:rsidRDefault="000875B4">
      <w:pPr>
        <w:pStyle w:val="SingleTxt"/>
        <w:numPr>
          <w:ilvl w:val="0"/>
          <w:numId w:val="21"/>
        </w:numPr>
        <w:tabs>
          <w:tab w:val="clear" w:pos="475"/>
          <w:tab w:val="num" w:pos="1742"/>
        </w:tabs>
        <w:spacing w:after="92"/>
        <w:ind w:left="1267"/>
      </w:pPr>
      <w:r>
        <w:t xml:space="preserve">CONAMU-INEC-UNIFEM, Mujeres y hombres del Ecuador en cifras. Serie Información Estratégica. Información del Sistema Integrado de Indicadores del Ecuador SIISE y su subsistema SIMUJERES. Autores: Alba Pérez y Claudio Gallardo. Quito, noviembre 2005. </w:t>
      </w:r>
    </w:p>
    <w:p w:rsidR="000875B4" w:rsidRDefault="000875B4">
      <w:pPr>
        <w:pStyle w:val="SingleTxt"/>
        <w:numPr>
          <w:ilvl w:val="0"/>
          <w:numId w:val="21"/>
        </w:numPr>
        <w:tabs>
          <w:tab w:val="clear" w:pos="475"/>
          <w:tab w:val="num" w:pos="1742"/>
        </w:tabs>
        <w:spacing w:after="92"/>
        <w:ind w:left="1267"/>
      </w:pPr>
      <w:r>
        <w:t xml:space="preserve">Constitución Política de la República del Ecuador, 1998. </w:t>
      </w:r>
    </w:p>
    <w:p w:rsidR="000875B4" w:rsidRDefault="000875B4">
      <w:pPr>
        <w:pStyle w:val="SingleTxt"/>
        <w:numPr>
          <w:ilvl w:val="0"/>
          <w:numId w:val="21"/>
        </w:numPr>
        <w:tabs>
          <w:tab w:val="clear" w:pos="475"/>
          <w:tab w:val="num" w:pos="1742"/>
        </w:tabs>
        <w:spacing w:after="92"/>
        <w:ind w:left="1267"/>
      </w:pPr>
      <w:r>
        <w:t>Facio, Alda, Comentarios acerca de la implementación de las Recomendaciones del Comité de la CEDAW a los Estados de la Región Andina y su grado de implementación, período 200-2005, UNIFEM Región Andina, 2006.</w:t>
      </w:r>
    </w:p>
    <w:p w:rsidR="000875B4" w:rsidRDefault="000875B4">
      <w:pPr>
        <w:pStyle w:val="SingleTxt"/>
        <w:numPr>
          <w:ilvl w:val="0"/>
          <w:numId w:val="21"/>
        </w:numPr>
        <w:tabs>
          <w:tab w:val="clear" w:pos="475"/>
          <w:tab w:val="num" w:pos="1742"/>
        </w:tabs>
        <w:spacing w:after="92"/>
        <w:ind w:left="1267"/>
      </w:pPr>
      <w:r>
        <w:t>Frente Social del Ecuador, Sistema Integrado de Indicadores Sociales SIISE, Versión 3.5/ Subsistema SIMUJERES.</w:t>
      </w:r>
    </w:p>
    <w:p w:rsidR="000875B4" w:rsidRDefault="000875B4">
      <w:pPr>
        <w:pStyle w:val="SingleTxt"/>
        <w:numPr>
          <w:ilvl w:val="0"/>
          <w:numId w:val="21"/>
        </w:numPr>
        <w:tabs>
          <w:tab w:val="clear" w:pos="475"/>
          <w:tab w:val="num" w:pos="1742"/>
        </w:tabs>
        <w:spacing w:after="92"/>
        <w:ind w:left="1267"/>
      </w:pPr>
      <w:r>
        <w:t>Fundación Equidad y Desarrollo, Informes sobre Veeduría Corte Suprema de Justicia, 2006.</w:t>
      </w:r>
    </w:p>
    <w:p w:rsidR="000875B4" w:rsidRDefault="000875B4">
      <w:pPr>
        <w:pStyle w:val="SingleTxt"/>
        <w:numPr>
          <w:ilvl w:val="0"/>
          <w:numId w:val="21"/>
        </w:numPr>
        <w:tabs>
          <w:tab w:val="clear" w:pos="475"/>
          <w:tab w:val="num" w:pos="1742"/>
        </w:tabs>
        <w:spacing w:after="92"/>
        <w:ind w:left="1267"/>
      </w:pPr>
      <w:r>
        <w:t>García, Elizabeth, Cuadro de sistematización. Informe CEDAW Consolidado 1998-2006. Versión preliminar. Quito, marzo 2006.</w:t>
      </w:r>
    </w:p>
    <w:p w:rsidR="000875B4" w:rsidRDefault="000875B4">
      <w:pPr>
        <w:pStyle w:val="SingleTxt"/>
        <w:numPr>
          <w:ilvl w:val="0"/>
          <w:numId w:val="21"/>
        </w:numPr>
        <w:tabs>
          <w:tab w:val="clear" w:pos="475"/>
          <w:tab w:val="num" w:pos="1742"/>
        </w:tabs>
        <w:spacing w:after="92"/>
        <w:ind w:left="1267"/>
      </w:pPr>
      <w:r>
        <w:t xml:space="preserve">Larrea Maldonado Carlos, Dolarización, Crisis y Pobreza en el Ecuador, Instituto de Estudios Ecuatorianos, CLACSO, FLACSO Ecuador, ILDIS, PUCE, U. Andina, Quito, 2005. </w:t>
      </w:r>
    </w:p>
    <w:p w:rsidR="000875B4" w:rsidRDefault="000875B4">
      <w:pPr>
        <w:pStyle w:val="SingleTxt"/>
        <w:numPr>
          <w:ilvl w:val="0"/>
          <w:numId w:val="21"/>
        </w:numPr>
        <w:tabs>
          <w:tab w:val="clear" w:pos="475"/>
          <w:tab w:val="num" w:pos="1742"/>
        </w:tabs>
        <w:spacing w:after="92"/>
        <w:ind w:left="1267"/>
      </w:pPr>
      <w:r>
        <w:t>Luna Tamayo, Milton, El Contrato Social de la Educación.</w:t>
      </w:r>
    </w:p>
    <w:p w:rsidR="000875B4" w:rsidRDefault="000875B4">
      <w:pPr>
        <w:pStyle w:val="SingleTxt"/>
        <w:numPr>
          <w:ilvl w:val="0"/>
          <w:numId w:val="21"/>
        </w:numPr>
        <w:tabs>
          <w:tab w:val="clear" w:pos="475"/>
          <w:tab w:val="num" w:pos="1742"/>
        </w:tabs>
        <w:spacing w:after="92"/>
        <w:ind w:left="1267"/>
      </w:pPr>
      <w:r>
        <w:t>Ministerio de Bienestar Social, Programa de Protección Social, Memorias de las Primeras Jornadas de Protección Social e Interculturalidad, Quito-Ecuador, 2002.</w:t>
      </w:r>
    </w:p>
    <w:p w:rsidR="000875B4" w:rsidRDefault="000875B4">
      <w:pPr>
        <w:pStyle w:val="SingleTxt"/>
        <w:numPr>
          <w:ilvl w:val="0"/>
          <w:numId w:val="21"/>
        </w:numPr>
        <w:tabs>
          <w:tab w:val="clear" w:pos="475"/>
          <w:tab w:val="num" w:pos="1742"/>
        </w:tabs>
        <w:spacing w:after="92"/>
        <w:ind w:left="1267"/>
      </w:pPr>
      <w:r>
        <w:t>ODEPLAN (Presidencia de la República)/ UNFPA, Estudio de Población del Ecuador, 2000.</w:t>
      </w:r>
    </w:p>
    <w:p w:rsidR="000875B4" w:rsidRDefault="000875B4">
      <w:pPr>
        <w:pStyle w:val="SingleTxt"/>
        <w:numPr>
          <w:ilvl w:val="0"/>
          <w:numId w:val="21"/>
        </w:numPr>
        <w:tabs>
          <w:tab w:val="clear" w:pos="475"/>
          <w:tab w:val="num" w:pos="1742"/>
        </w:tabs>
        <w:spacing w:after="92"/>
        <w:ind w:left="1267"/>
      </w:pPr>
      <w:r>
        <w:t>Universidad Andina Simón Bolívar, Documento de Conclusiones, Comisión Ocupaciones de mujeres migrantes y refugiadas. Quito, septiembre 1, 2 y 3 de 2004.</w:t>
      </w:r>
    </w:p>
    <w:p w:rsidR="000875B4" w:rsidRDefault="00087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spacing w:val="0"/>
          <w:w w:val="100"/>
          <w:kern w:val="0"/>
        </w:rPr>
      </w:pPr>
      <w:r>
        <w:rPr>
          <w:spacing w:val="0"/>
          <w:w w:val="100"/>
          <w:kern w:val="0"/>
        </w:rPr>
        <w:br w:type="page"/>
      </w:r>
      <w:r>
        <w:rPr>
          <w:spacing w:val="0"/>
          <w:w w:val="100"/>
          <w:kern w:val="0"/>
        </w:rPr>
        <w:tab/>
      </w:r>
      <w:r>
        <w:rPr>
          <w:bCs/>
          <w:spacing w:val="0"/>
          <w:w w:val="100"/>
          <w:kern w:val="0"/>
        </w:rPr>
        <w:tab/>
      </w:r>
      <w:r>
        <w:rPr>
          <w:bCs/>
          <w:spacing w:val="0"/>
          <w:w w:val="100"/>
          <w:kern w:val="0"/>
          <w:lang w:val="ru-RU"/>
        </w:rPr>
        <w:t>Сокращения</w:t>
      </w:r>
    </w:p>
    <w:p w:rsidR="000875B4" w:rsidRDefault="000875B4">
      <w:pPr>
        <w:pStyle w:val="SingleTxt"/>
        <w:spacing w:after="0" w:line="120" w:lineRule="exact"/>
        <w:rPr>
          <w:sz w:val="10"/>
        </w:rPr>
      </w:pP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ВВП</w:t>
      </w:r>
      <w:r>
        <w:rPr>
          <w:lang w:val="ru-RU"/>
        </w:rPr>
        <w:tab/>
        <w:t>валовой внутренний продукт</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color w:val="000000"/>
          <w:lang w:val="ru-RU"/>
        </w:rPr>
      </w:pPr>
      <w:r>
        <w:rPr>
          <w:lang w:val="ru-RU"/>
        </w:rPr>
        <w:t>ГАММА</w:t>
      </w:r>
      <w:r>
        <w:rPr>
          <w:lang w:val="ru-RU"/>
        </w:rPr>
        <w:tab/>
      </w:r>
      <w:r>
        <w:rPr>
          <w:color w:val="000000"/>
          <w:lang w:val="ru-RU"/>
        </w:rPr>
        <w:t>Группа поддержки женщин Асуая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ДИНАМУ</w:t>
      </w:r>
      <w:r>
        <w:rPr>
          <w:lang w:val="ru-RU"/>
        </w:rPr>
        <w:tab/>
        <w:t>Национальное управление по делам женщин</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ИИКА</w:t>
      </w:r>
      <w:r>
        <w:rPr>
          <w:lang w:val="ru-RU"/>
        </w:rPr>
        <w:tab/>
        <w:t>Межамериканский институт по вопросам сотрудничества в области сельского хозяйства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 xml:space="preserve">ИЛДИС </w:t>
      </w:r>
      <w:r>
        <w:rPr>
          <w:lang w:val="ru-RU"/>
        </w:rPr>
        <w:tab/>
        <w:t>Латиноамериканский институт социальных исследований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szCs w:val="22"/>
          <w:lang w:val="ru-RU"/>
        </w:rPr>
      </w:pPr>
      <w:r>
        <w:rPr>
          <w:lang w:val="ru-RU"/>
        </w:rPr>
        <w:t>ИНЕК</w:t>
      </w:r>
      <w:r>
        <w:rPr>
          <w:lang w:val="ru-RU"/>
        </w:rPr>
        <w:tab/>
        <w:t>Национальный институт статистики и переписи населения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ИННФА</w:t>
      </w:r>
      <w:r>
        <w:rPr>
          <w:lang w:val="ru-RU"/>
        </w:rPr>
        <w:tab/>
        <w:t>Национальный институт по проблемам детства и семьи</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pPr>
      <w:r>
        <w:rPr>
          <w:lang w:val="ru-RU"/>
        </w:rPr>
        <w:t>ИЭСС</w:t>
      </w:r>
      <w:r>
        <w:tab/>
      </w:r>
      <w:r>
        <w:rPr>
          <w:lang w:val="ru-RU"/>
        </w:rPr>
        <w:t>Эквадорский институт социального страхования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color w:val="000000"/>
          <w:lang w:val="ru-RU"/>
        </w:rPr>
        <w:t>КОДАЭ</w:t>
      </w:r>
      <w:r>
        <w:rPr>
          <w:lang w:val="ru-RU"/>
        </w:rPr>
        <w:tab/>
      </w:r>
      <w:r>
        <w:rPr>
          <w:color w:val="000000"/>
          <w:lang w:val="ru-RU"/>
        </w:rPr>
        <w:t>Совет по развитию афроэквадорцев</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КОДЕНПЭ</w:t>
      </w:r>
      <w:r>
        <w:rPr>
          <w:lang w:val="ru-RU"/>
        </w:rPr>
        <w:tab/>
        <w:t>Совет по развитию народностей и народов Эквадора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КОНАДЕ</w:t>
      </w:r>
      <w:r>
        <w:rPr>
          <w:lang w:val="ru-RU"/>
        </w:rPr>
        <w:tab/>
        <w:t>Национальный совет по развитию</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КОНАДИС</w:t>
      </w:r>
      <w:r>
        <w:rPr>
          <w:lang w:val="ru-RU"/>
        </w:rPr>
        <w:tab/>
        <w:t>Национальный совет по делам инвалидов</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КОНАМУ</w:t>
      </w:r>
      <w:r>
        <w:rPr>
          <w:lang w:val="ru-RU"/>
        </w:rPr>
        <w:tab/>
        <w:t>Национальный совет по делам женщин</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КОНАСИДА</w:t>
      </w:r>
      <w:r>
        <w:rPr>
          <w:lang w:val="ru-RU"/>
        </w:rPr>
        <w:tab/>
        <w:t>Национальный совет по предупреждению, контролю и помощи при ВИЧ/СПИДе/ЗППП</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caps/>
          <w:lang w:val="ru-RU"/>
        </w:rPr>
        <w:t>кпмэ</w:t>
      </w:r>
      <w:r>
        <w:rPr>
          <w:lang w:val="ru-RU"/>
        </w:rPr>
        <w:tab/>
        <w:t>Политический координационный совет по делам женщин Эквадора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КТЭ</w:t>
      </w:r>
      <w:r>
        <w:rPr>
          <w:lang w:val="ru-RU"/>
        </w:rPr>
        <w:tab/>
        <w:t>Конфедерация трудящихся Эквадора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МОМЕП</w:t>
      </w:r>
      <w:r>
        <w:rPr>
          <w:lang w:val="ru-RU"/>
        </w:rPr>
        <w:tab/>
        <w:t xml:space="preserve">Эквадоро-перуанская миссия военных наблюдателей </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МОТ</w:t>
      </w:r>
      <w:r>
        <w:rPr>
          <w:lang w:val="ru-RU"/>
        </w:rPr>
        <w:tab/>
        <w:t>Международная организация труда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МОК</w:t>
      </w:r>
      <w:r>
        <w:rPr>
          <w:lang w:val="ru-RU"/>
        </w:rPr>
        <w:tab/>
        <w:t>Министерство образования и культуры</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bCs/>
          <w:lang w:val="ru-RU"/>
        </w:rPr>
      </w:pPr>
      <w:r>
        <w:rPr>
          <w:lang w:val="ru-RU"/>
        </w:rPr>
        <w:t>МСО</w:t>
      </w:r>
      <w:r>
        <w:rPr>
          <w:lang w:val="ru-RU"/>
        </w:rPr>
        <w:tab/>
      </w:r>
      <w:r>
        <w:rPr>
          <w:bCs/>
          <w:lang w:val="ru-RU"/>
        </w:rPr>
        <w:t>Министерство социального обеспечения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МСХЖ</w:t>
      </w:r>
      <w:r>
        <w:rPr>
          <w:lang w:val="ru-RU"/>
        </w:rPr>
        <w:tab/>
      </w:r>
      <w:r>
        <w:rPr>
          <w:bCs/>
          <w:lang w:val="ru-RU"/>
        </w:rPr>
        <w:t>Министерство</w:t>
      </w:r>
      <w:r>
        <w:rPr>
          <w:lang w:val="ru-RU"/>
        </w:rPr>
        <w:t xml:space="preserve"> сельского хозяйства и животноводства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МТЗ</w:t>
      </w:r>
      <w:r>
        <w:rPr>
          <w:lang w:val="ru-RU"/>
        </w:rPr>
        <w:tab/>
        <w:t>Министерство труда и занятости</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МЭФ</w:t>
      </w:r>
      <w:r>
        <w:rPr>
          <w:lang w:val="ru-RU"/>
        </w:rPr>
        <w:tab/>
        <w:t>Министерство экономики и финансов</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es-MX"/>
        </w:rPr>
      </w:pPr>
      <w:r>
        <w:rPr>
          <w:lang w:val="ru-RU"/>
        </w:rPr>
        <w:t>НПО</w:t>
      </w:r>
      <w:r>
        <w:rPr>
          <w:lang w:val="es-MX"/>
        </w:rPr>
        <w:tab/>
      </w:r>
      <w:r>
        <w:rPr>
          <w:lang w:val="ru-RU"/>
        </w:rPr>
        <w:t>неправительственная</w:t>
      </w:r>
      <w:r>
        <w:rPr>
          <w:lang w:val="es-MX"/>
        </w:rPr>
        <w:t xml:space="preserve"> </w:t>
      </w:r>
      <w:r>
        <w:rPr>
          <w:lang w:val="ru-RU"/>
        </w:rPr>
        <w:t>организация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ОДМУ</w:t>
      </w:r>
      <w:r>
        <w:rPr>
          <w:lang w:val="ru-RU"/>
        </w:rPr>
        <w:tab/>
        <w:t>Управление Национальной полиции по защите прав женщин</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ОРИ</w:t>
      </w:r>
      <w:r>
        <w:rPr>
          <w:lang w:val="ru-RU"/>
        </w:rPr>
        <w:tab/>
        <w:t>Оперативно-исполнительный отдел спасения детей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ПРВ</w:t>
      </w:r>
      <w:r>
        <w:rPr>
          <w:lang w:val="ru-RU"/>
        </w:rPr>
        <w:tab/>
        <w:t>План равенства возможностей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ПРОКАЛМУК</w:t>
      </w:r>
      <w:r>
        <w:rPr>
          <w:lang w:val="ru-RU"/>
        </w:rPr>
        <w:tab/>
        <w:t>Программа ликвидации неграмотности в целях повышения качества жизни крестьянок</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ПРОЛОКАЛ</w:t>
      </w:r>
      <w:r>
        <w:rPr>
          <w:lang w:val="ru-RU"/>
        </w:rPr>
        <w:tab/>
      </w:r>
      <w:r>
        <w:rPr>
          <w:color w:val="000000"/>
          <w:lang w:val="ru-RU"/>
        </w:rPr>
        <w:t>Программа устойчивого развития на местном уровне</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СЕНРЕС</w:t>
      </w:r>
      <w:r>
        <w:rPr>
          <w:lang w:val="ru-RU"/>
        </w:rPr>
        <w:tab/>
        <w:t xml:space="preserve">Национальный секретариат по вопросам оплаты труда </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СЕПАМ</w:t>
      </w:r>
      <w:r>
        <w:rPr>
          <w:lang w:val="ru-RU"/>
        </w:rPr>
        <w:tab/>
      </w:r>
      <w:r>
        <w:rPr>
          <w:color w:val="000000"/>
          <w:lang w:val="ru-RU"/>
        </w:rPr>
        <w:t>Народный центр помощи женщинам</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color w:val="000000"/>
          <w:lang w:val="ru-RU"/>
        </w:rPr>
        <w:t>СЕПАР</w:t>
      </w:r>
      <w:r>
        <w:rPr>
          <w:lang w:val="ru-RU"/>
        </w:rPr>
        <w:tab/>
      </w:r>
      <w:r>
        <w:rPr>
          <w:color w:val="000000"/>
          <w:lang w:val="ru-RU"/>
        </w:rPr>
        <w:t xml:space="preserve">Исследовательский центр проблем народонаселения и социального развития </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СИИСЕ</w:t>
      </w:r>
      <w:r>
        <w:rPr>
          <w:lang w:val="ru-RU"/>
        </w:rPr>
        <w:tab/>
        <w:t>Комплексная система социальных показателей Эквадора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СИМУХЕРЕС</w:t>
      </w:r>
      <w:r>
        <w:rPr>
          <w:lang w:val="ru-RU"/>
        </w:rPr>
        <w:tab/>
        <w:t>Комплексная система социальных показателей положения женщин</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СИНЕК</w:t>
      </w:r>
      <w:r>
        <w:rPr>
          <w:lang w:val="ru-RU"/>
        </w:rPr>
        <w:tab/>
        <w:t>Национальная система социальных показателей в области образования и культуры</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СИНИНЬЕС</w:t>
      </w:r>
      <w:r>
        <w:rPr>
          <w:lang w:val="ru-RU"/>
        </w:rPr>
        <w:tab/>
        <w:t>Комплексная система социальных показателей положения детей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СИПИ</w:t>
      </w:r>
      <w:r>
        <w:rPr>
          <w:lang w:val="ru-RU"/>
        </w:rPr>
        <w:tab/>
        <w:t>Система информации по вопросам детства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СТФС</w:t>
      </w:r>
      <w:r>
        <w:rPr>
          <w:lang w:val="ru-RU"/>
        </w:rPr>
        <w:tab/>
        <w:t>Технический секретариат Социального фронта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УВКБ ООН</w:t>
      </w:r>
      <w:r>
        <w:rPr>
          <w:lang w:val="ru-RU"/>
        </w:rPr>
        <w:tab/>
        <w:t>Управление Верховного комиссара Организации Объединенных Наций по делам беженцев</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ФАО</w:t>
      </w:r>
      <w:r>
        <w:rPr>
          <w:lang w:val="ru-RU"/>
        </w:rPr>
        <w:tab/>
        <w:t>Продовольственная и сельскохозяйственная организация Объединенных Наций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ФЛАКСО</w:t>
      </w:r>
      <w:r>
        <w:rPr>
          <w:lang w:val="ru-RU"/>
        </w:rPr>
        <w:tab/>
        <w:t>Латиноамериканский факультет общественных наук</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ФОДЕКО</w:t>
      </w:r>
      <w:r>
        <w:rPr>
          <w:lang w:val="ru-RU"/>
        </w:rPr>
        <w:tab/>
        <w:t xml:space="preserve">Фонд общинного развития </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ФЭДАЕПС</w:t>
      </w:r>
      <w:r>
        <w:rPr>
          <w:lang w:val="ru-RU"/>
        </w:rPr>
        <w:tab/>
        <w:t xml:space="preserve">Эквадорская федерация поддержки здравоохранения </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ЦБЭ</w:t>
      </w:r>
      <w:r>
        <w:rPr>
          <w:lang w:val="ru-RU"/>
        </w:rPr>
        <w:tab/>
        <w:t>Центральный банк Эквадора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b/>
          <w:color w:val="000000"/>
          <w:lang w:val="ru-RU"/>
        </w:rPr>
      </w:pPr>
      <w:r>
        <w:rPr>
          <w:lang w:val="ru-RU" w:eastAsia="ko-KR"/>
        </w:rPr>
        <w:t>ЭНДЕМАИН</w:t>
      </w:r>
      <w:r>
        <w:tab/>
      </w:r>
      <w:r>
        <w:rPr>
          <w:lang w:val="ru-RU" w:eastAsia="ko-KR"/>
        </w:rPr>
        <w:t>Демографический опрос по вопросу охраны здоровья матери и ребенка</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rPr>
          <w:lang w:val="ru-RU"/>
        </w:rPr>
      </w:pPr>
      <w:r>
        <w:rPr>
          <w:lang w:val="ru-RU"/>
        </w:rPr>
        <w:t>ЮНФПА</w:t>
      </w:r>
      <w:r>
        <w:tab/>
      </w:r>
      <w:r>
        <w:rPr>
          <w:lang w:val="ru-RU"/>
        </w:rPr>
        <w:t>Фонд Организации Объединенных Наций в области народонаселения</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s>
        <w:spacing w:before="40" w:after="20"/>
        <w:ind w:left="2716" w:right="1264" w:hanging="1452"/>
        <w:jc w:val="left"/>
      </w:pPr>
      <w:r>
        <w:rPr>
          <w:lang w:val="ru-RU"/>
        </w:rPr>
        <w:t>ЮНИСЕФ</w:t>
      </w:r>
      <w:r>
        <w:tab/>
      </w:r>
      <w:r>
        <w:rPr>
          <w:lang w:val="ru-RU"/>
        </w:rPr>
        <w:t>Детский фонд Организации Объединенных Наций</w:t>
      </w:r>
    </w:p>
    <w:p w:rsidR="000875B4" w:rsidRDefault="000875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717"/>
          <w:tab w:val="left" w:pos="2817"/>
        </w:tabs>
        <w:suppressAutoHyphens/>
        <w:spacing w:before="40" w:after="20"/>
        <w:ind w:left="2716" w:right="1264" w:hanging="1452"/>
        <w:jc w:val="left"/>
        <w:rPr>
          <w:lang w:val="ru-RU"/>
        </w:rPr>
      </w:pPr>
      <w:r>
        <w:rPr>
          <w:lang w:val="ru-RU"/>
        </w:rPr>
        <w:t>ЮНИФЕМ</w:t>
      </w:r>
      <w:r>
        <w:tab/>
      </w:r>
      <w:r>
        <w:rPr>
          <w:lang w:val="ru-RU"/>
        </w:rPr>
        <w:t>Фонд Организации Объединенных Наций для развития в интересах женщин</w:t>
      </w:r>
    </w:p>
    <w:p w:rsidR="000875B4" w:rsidRDefault="000875B4">
      <w:pPr>
        <w:pStyle w:val="SingleTxt"/>
        <w:tabs>
          <w:tab w:val="clear" w:pos="1742"/>
          <w:tab w:val="clear" w:pos="2218"/>
          <w:tab w:val="clear" w:pos="2693"/>
          <w:tab w:val="left" w:pos="2817"/>
        </w:tabs>
        <w:suppressAutoHyphens/>
        <w:ind w:left="2817" w:hanging="1550"/>
        <w:jc w:val="left"/>
      </w:pPr>
      <w:r>
        <w:rPr>
          <w:noProof/>
        </w:rPr>
        <w:pict>
          <v:line id="_x0000_s1029" style="position:absolute;left:0;text-align:left;z-index:1" from="210.2pt,24pt" to="282.2pt,24pt" strokeweight=".25pt"/>
        </w:pict>
      </w:r>
    </w:p>
    <w:sectPr w:rsidR="000875B4">
      <w:endnotePr>
        <w:numFmt w:val="decimal"/>
      </w:endnotePr>
      <w:type w:val="continuous"/>
      <w:pgSz w:w="12240" w:h="15840" w:code="1"/>
      <w:pgMar w:top="1741" w:right="1196" w:bottom="1900"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1T22:11:00Z" w:initials="Start">
    <w:p w:rsidR="008C3F32" w:rsidRDefault="008C3F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NO&gt;&gt;N0726504R&lt;&lt;ODS JOB NO&gt;&gt;</w:t>
      </w:r>
    </w:p>
    <w:p w:rsidR="008C3F32" w:rsidRDefault="008C3F32">
      <w:pPr>
        <w:pStyle w:val="CommentText"/>
      </w:pPr>
      <w:r>
        <w:t>&lt;&lt;ODS DOC SYMBOL1&gt;&gt;CEDAW/C/ECU/7&lt;&lt;ODS DOC SYMBOL1&gt;&gt;</w:t>
      </w:r>
    </w:p>
    <w:p w:rsidR="008C3F32" w:rsidRDefault="008C3F3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3D0" w:rsidRDefault="00CC23D0">
      <w:r>
        <w:separator/>
      </w:r>
    </w:p>
  </w:endnote>
  <w:endnote w:type="continuationSeparator" w:id="0">
    <w:p w:rsidR="00CC23D0" w:rsidRDefault="00CC2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C3F32">
      <w:tblPrEx>
        <w:tblCellMar>
          <w:top w:w="0" w:type="dxa"/>
          <w:bottom w:w="0" w:type="dxa"/>
        </w:tblCellMar>
      </w:tblPrEx>
      <w:tc>
        <w:tcPr>
          <w:tcW w:w="4995" w:type="dxa"/>
        </w:tcPr>
        <w:p w:rsidR="008C3F32" w:rsidRDefault="008C3F32">
          <w:pPr>
            <w:pStyle w:val="Footer"/>
            <w:jc w:val="right"/>
            <w:rPr>
              <w:b w:val="0"/>
              <w:w w:val="103"/>
              <w:sz w:val="14"/>
            </w:rPr>
          </w:pPr>
          <w:r>
            <w:rPr>
              <w:b w:val="0"/>
              <w:w w:val="103"/>
              <w:sz w:val="14"/>
            </w:rPr>
            <w:t>07-26504</w:t>
          </w:r>
        </w:p>
      </w:tc>
      <w:tc>
        <w:tcPr>
          <w:tcW w:w="4995" w:type="dxa"/>
        </w:tcPr>
        <w:p w:rsidR="008C3F32" w:rsidRDefault="008C3F32">
          <w:pPr>
            <w:pStyle w:val="Footer"/>
            <w:rPr>
              <w:w w:val="103"/>
            </w:rPr>
          </w:pPr>
          <w:r>
            <w:rPr>
              <w:w w:val="103"/>
            </w:rPr>
            <w:fldChar w:fldCharType="begin"/>
          </w:r>
          <w:r>
            <w:rPr>
              <w:w w:val="103"/>
            </w:rPr>
            <w:instrText xml:space="preserve"> PAGE  \* MERGEFORMAT </w:instrText>
          </w:r>
          <w:r>
            <w:rPr>
              <w:w w:val="103"/>
            </w:rPr>
            <w:fldChar w:fldCharType="separate"/>
          </w:r>
          <w:r w:rsidR="009472B3">
            <w:rPr>
              <w:w w:val="103"/>
            </w:rPr>
            <w:t>2</w:t>
          </w:r>
          <w:r>
            <w:rPr>
              <w:w w:val="103"/>
            </w:rPr>
            <w:fldChar w:fldCharType="end"/>
          </w:r>
        </w:p>
      </w:tc>
    </w:tr>
  </w:tbl>
  <w:p w:rsidR="008C3F32" w:rsidRDefault="008C3F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C3F32">
      <w:tblPrEx>
        <w:tblCellMar>
          <w:top w:w="0" w:type="dxa"/>
          <w:bottom w:w="0" w:type="dxa"/>
        </w:tblCellMar>
      </w:tblPrEx>
      <w:tc>
        <w:tcPr>
          <w:tcW w:w="4995" w:type="dxa"/>
        </w:tcPr>
        <w:p w:rsidR="008C3F32" w:rsidRDefault="008C3F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83</w:t>
          </w:r>
          <w:r>
            <w:rPr>
              <w:w w:val="103"/>
            </w:rPr>
            <w:fldChar w:fldCharType="end"/>
          </w:r>
        </w:p>
      </w:tc>
      <w:tc>
        <w:tcPr>
          <w:tcW w:w="4995" w:type="dxa"/>
        </w:tcPr>
        <w:p w:rsidR="008C3F32" w:rsidRDefault="008C3F32">
          <w:pPr>
            <w:pStyle w:val="Footer"/>
            <w:rPr>
              <w:b w:val="0"/>
              <w:w w:val="103"/>
              <w:sz w:val="14"/>
            </w:rPr>
          </w:pPr>
          <w:r>
            <w:rPr>
              <w:b w:val="0"/>
              <w:w w:val="103"/>
              <w:sz w:val="14"/>
            </w:rPr>
            <w:t>07-26504</w:t>
          </w:r>
        </w:p>
      </w:tc>
    </w:tr>
  </w:tbl>
  <w:p w:rsidR="008C3F32" w:rsidRDefault="008C3F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F32" w:rsidRDefault="008C3F32">
    <w:pPr>
      <w:pStyle w:val="Footer"/>
      <w:rPr>
        <w:b w:val="0"/>
        <w:sz w:val="20"/>
      </w:rPr>
    </w:pPr>
    <w:r>
      <w:rPr>
        <w:b w:val="0"/>
        <w:sz w:val="20"/>
      </w:rPr>
      <w:t>07-26504 (R)</w:t>
    </w:r>
  </w:p>
  <w:p w:rsidR="008C3F32" w:rsidRPr="00B53DD5" w:rsidRDefault="008C3F32">
    <w:pPr>
      <w:pStyle w:val="Footer"/>
      <w:rPr>
        <w:rFonts w:ascii="Barcode 3 of 9 by request" w:hAnsi="Barcode 3 of 9 by request"/>
        <w:b w:val="0"/>
        <w:sz w:val="24"/>
      </w:rPr>
    </w:pPr>
    <w:r w:rsidRPr="00B53DD5">
      <w:rPr>
        <w:rFonts w:ascii="Barcode 3 of 9 by request" w:hAnsi="Barcode 3 of 9 by request"/>
        <w:b w:val="0"/>
        <w:sz w:val="24"/>
      </w:rPr>
      <w:t>*0726504*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3D0" w:rsidRDefault="00CC23D0">
      <w:pPr>
        <w:pStyle w:val="Footer"/>
        <w:spacing w:after="80"/>
        <w:ind w:left="792"/>
        <w:rPr>
          <w:sz w:val="16"/>
        </w:rPr>
      </w:pPr>
      <w:r>
        <w:rPr>
          <w:sz w:val="16"/>
        </w:rPr>
        <w:t>__________________</w:t>
      </w:r>
    </w:p>
  </w:footnote>
  <w:footnote w:type="continuationSeparator" w:id="0">
    <w:p w:rsidR="00CC23D0" w:rsidRDefault="00CC23D0">
      <w:pPr>
        <w:pStyle w:val="Footer"/>
        <w:spacing w:after="80"/>
        <w:ind w:left="792"/>
        <w:rPr>
          <w:sz w:val="16"/>
        </w:rPr>
      </w:pPr>
      <w:r>
        <w:rPr>
          <w:sz w:val="16"/>
        </w:rPr>
        <w:t>__________________</w:t>
      </w:r>
    </w:p>
  </w:footnote>
  <w:footnote w:id="1">
    <w:p w:rsidR="008C3F32" w:rsidRDefault="008C3F32">
      <w:pPr>
        <w:tabs>
          <w:tab w:val="right" w:pos="1191"/>
          <w:tab w:val="left" w:pos="1264"/>
        </w:tabs>
        <w:spacing w:line="240" w:lineRule="auto"/>
        <w:ind w:left="1264" w:right="1264" w:hanging="1264"/>
        <w:rPr>
          <w:bCs/>
          <w:spacing w:val="0"/>
          <w:w w:val="100"/>
          <w:kern w:val="0"/>
          <w:sz w:val="17"/>
          <w:lang w:val="ru-RU"/>
        </w:rPr>
      </w:pPr>
      <w:r>
        <w:rPr>
          <w:spacing w:val="0"/>
          <w:w w:val="100"/>
          <w:kern w:val="0"/>
          <w:sz w:val="17"/>
        </w:rPr>
        <w:tab/>
      </w:r>
      <w:r>
        <w:rPr>
          <w:rStyle w:val="FootnoteReference"/>
        </w:rPr>
        <w:t>*</w:t>
      </w:r>
      <w:r>
        <w:rPr>
          <w:spacing w:val="0"/>
          <w:w w:val="100"/>
          <w:kern w:val="0"/>
          <w:sz w:val="17"/>
        </w:rPr>
        <w:tab/>
      </w:r>
      <w:r>
        <w:rPr>
          <w:bCs/>
          <w:spacing w:val="0"/>
          <w:w w:val="100"/>
          <w:kern w:val="0"/>
          <w:sz w:val="17"/>
          <w:lang w:val="ru-RU"/>
        </w:rPr>
        <w:t>Настоящий доклад издается без официального редактирования.</w:t>
      </w:r>
    </w:p>
    <w:p w:rsidR="008C3F32" w:rsidRDefault="008C3F32">
      <w:pPr>
        <w:pStyle w:val="FootnoteText"/>
        <w:spacing w:before="80"/>
      </w:pPr>
      <w:r>
        <w:tab/>
      </w:r>
      <w:r>
        <w:tab/>
      </w:r>
      <w:r>
        <w:rPr>
          <w:szCs w:val="24"/>
        </w:rPr>
        <w:t xml:space="preserve">Первоначальный доклад, представленный правительством Эквадора, см. в документе CEDAW/C/5/Add.23, рассмотренном Комитетом на его пятой сессии. Второй периодический доклад см. в документе CEDAW/C/13/Add.3, рассмотренном Комитетом на его тринадцатой сессии. </w:t>
      </w:r>
      <w:r>
        <w:rPr>
          <w:szCs w:val="24"/>
        </w:rPr>
        <w:br/>
        <w:t xml:space="preserve">Третий периодический доклад см. в документе CEDAW/C/ECU/3, рассмотренном Комитетом </w:t>
      </w:r>
      <w:r>
        <w:rPr>
          <w:szCs w:val="24"/>
        </w:rPr>
        <w:br/>
        <w:t xml:space="preserve">на его тринадцатой сессии. Объединенные четвертый и пятый периодические доклады см. </w:t>
      </w:r>
      <w:r>
        <w:rPr>
          <w:szCs w:val="24"/>
          <w:lang w:val="ru-RU"/>
        </w:rPr>
        <w:t>в</w:t>
      </w:r>
      <w:r>
        <w:rPr>
          <w:szCs w:val="24"/>
        </w:rPr>
        <w:t> документе CEDAW/C/ECU/4-5</w:t>
      </w:r>
      <w:r>
        <w:rPr>
          <w:szCs w:val="24"/>
          <w:lang w:val="ru-RU"/>
        </w:rPr>
        <w:t>,</w:t>
      </w:r>
      <w:r>
        <w:rPr>
          <w:szCs w:val="24"/>
        </w:rPr>
        <w:t xml:space="preserve"> рассмотренном Комитетом на его двадцать девятой сессии.</w:t>
      </w:r>
    </w:p>
  </w:footnote>
  <w:footnote w:id="2">
    <w:p w:rsidR="008C3F32" w:rsidRDefault="008C3F32">
      <w:pPr>
        <w:pStyle w:val="FootnoteText"/>
        <w:tabs>
          <w:tab w:val="clear" w:pos="1191"/>
          <w:tab w:val="clear" w:pos="1264"/>
          <w:tab w:val="right" w:pos="1195"/>
          <w:tab w:val="left" w:pos="1267"/>
          <w:tab w:val="left" w:pos="1742"/>
          <w:tab w:val="left" w:pos="2218"/>
          <w:tab w:val="left" w:pos="2693"/>
        </w:tabs>
        <w:ind w:left="1267" w:right="1267" w:hanging="432"/>
      </w:pPr>
      <w:r>
        <w:tab/>
      </w:r>
      <w:r>
        <w:rPr>
          <w:rStyle w:val="FootnoteReference"/>
          <w:sz w:val="17"/>
        </w:rPr>
        <w:footnoteRef/>
      </w:r>
      <w:r>
        <w:tab/>
      </w:r>
      <w:r>
        <w:rPr>
          <w:lang w:val="ru-RU"/>
        </w:rPr>
        <w:t>Доклады подготовлены Рабочей группой по правам женщин, созданной в рамках Государственной координационной комиссии Эквадора по правам человека. Собранная Рабочей группой информация была обработана и систематизирована д-ром Элизабет Гарсия, а окончательный вариант доклада подготовлен Сесилией Вальдивьесо Вега, специалистом по вопросам сотрудничества и международных отношений КОНАМУ (Национального совета по делам женщин).</w:t>
      </w:r>
    </w:p>
  </w:footnote>
  <w:footnote w:id="3">
    <w:p w:rsidR="008C3F32" w:rsidRDefault="008C3F32">
      <w:pPr>
        <w:pStyle w:val="FootnoteText"/>
      </w:pPr>
      <w:r>
        <w:rPr>
          <w:lang w:val="ru-RU"/>
        </w:rPr>
        <w:tab/>
      </w:r>
      <w:r>
        <w:rPr>
          <w:rStyle w:val="FootnoteReference"/>
          <w:sz w:val="17"/>
        </w:rPr>
        <w:footnoteRef/>
      </w:r>
      <w:r>
        <w:t xml:space="preserve"> </w:t>
      </w:r>
      <w:r>
        <w:rPr>
          <w:lang w:val="en-US"/>
        </w:rPr>
        <w:tab/>
      </w:r>
      <w:r>
        <w:t xml:space="preserve">Secretaría Técnica del Frente Social, Sistema de indicadores sociales del pueblo Afroecuatoriano, Racismo y discriminación racial en Ecuador 2005. Quito, octubre de 2005. </w:t>
      </w:r>
    </w:p>
  </w:footnote>
  <w:footnote w:id="4">
    <w:p w:rsidR="008C3F32" w:rsidRDefault="008C3F32">
      <w:pPr>
        <w:pStyle w:val="FootnoteText"/>
        <w:rPr>
          <w:lang w:val="ru-RU"/>
        </w:rPr>
      </w:pPr>
      <w:r>
        <w:rPr>
          <w:lang w:val="en-US"/>
        </w:rPr>
        <w:tab/>
      </w:r>
      <w:r>
        <w:rPr>
          <w:rStyle w:val="FootnoteReference"/>
          <w:sz w:val="17"/>
          <w:lang w:val="ru-RU"/>
        </w:rPr>
        <w:footnoteRef/>
      </w:r>
      <w:r>
        <w:rPr>
          <w:lang w:val="ru-RU"/>
        </w:rPr>
        <w:t xml:space="preserve"> </w:t>
      </w:r>
      <w:r>
        <w:rPr>
          <w:lang w:val="ru-RU"/>
        </w:rPr>
        <w:tab/>
      </w:r>
      <w:r>
        <w:t>Данные Национального управления по вопросам миграции.</w:t>
      </w:r>
    </w:p>
  </w:footnote>
  <w:footnote w:id="5">
    <w:p w:rsidR="008C3F32" w:rsidRDefault="008C3F32">
      <w:pPr>
        <w:pStyle w:val="FootnoteText"/>
        <w:rPr>
          <w:lang w:val="en-US"/>
        </w:rPr>
      </w:pPr>
      <w:r>
        <w:rPr>
          <w:lang w:val="ru-RU"/>
        </w:rPr>
        <w:tab/>
      </w:r>
      <w:r>
        <w:rPr>
          <w:rStyle w:val="FootnoteReference"/>
          <w:sz w:val="17"/>
          <w:lang w:val="ru-RU"/>
        </w:rPr>
        <w:footnoteRef/>
      </w:r>
      <w:r>
        <w:rPr>
          <w:lang w:val="en-US"/>
        </w:rPr>
        <w:tab/>
      </w:r>
      <w:r>
        <w:t>Sistema Integrado de Encuestas de Hogares, 2000.</w:t>
      </w:r>
    </w:p>
  </w:footnote>
  <w:footnote w:id="6">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ab/>
      </w:r>
      <w:r>
        <w:rPr>
          <w:bCs/>
          <w:lang w:val="ru-RU"/>
        </w:rPr>
        <w:t>Взято</w:t>
      </w:r>
      <w:r>
        <w:rPr>
          <w:bCs/>
        </w:rPr>
        <w:t xml:space="preserve"> </w:t>
      </w:r>
      <w:r>
        <w:rPr>
          <w:bCs/>
          <w:lang w:val="ru-RU"/>
        </w:rPr>
        <w:t>из</w:t>
      </w:r>
      <w:r>
        <w:rPr>
          <w:bCs/>
        </w:rPr>
        <w:t xml:space="preserve"> </w:t>
      </w:r>
      <w:r>
        <w:rPr>
          <w:bCs/>
          <w:lang w:val="ru-RU"/>
        </w:rPr>
        <w:t>публикации</w:t>
      </w:r>
      <w:r>
        <w:rPr>
          <w:bCs/>
        </w:rPr>
        <w:t xml:space="preserve"> CONAMU-INEC-UNIFEM, Mujeres y hombres del Ecuador en Cifras II. </w:t>
      </w:r>
      <w:r>
        <w:rPr>
          <w:color w:val="000000"/>
          <w:lang w:val="en-US"/>
        </w:rPr>
        <w:t xml:space="preserve">Serie Información Estratégica. Información </w:t>
      </w:r>
      <w:smartTag w:uri="urn:schemas-microsoft-com:office:smarttags" w:element="State">
        <w:r>
          <w:rPr>
            <w:color w:val="000000"/>
            <w:lang w:val="en-US"/>
          </w:rPr>
          <w:t>del</w:t>
        </w:r>
      </w:smartTag>
      <w:r>
        <w:rPr>
          <w:color w:val="000000"/>
          <w:lang w:val="en-US"/>
        </w:rPr>
        <w:t xml:space="preserve"> S</w:t>
      </w:r>
      <w:r>
        <w:rPr>
          <w:bCs/>
          <w:lang w:val="en-US"/>
        </w:rPr>
        <w:t xml:space="preserve">istema Integrado de Indicadores </w:t>
      </w:r>
      <w:smartTag w:uri="urn:schemas-microsoft-com:office:smarttags" w:element="State">
        <w:smartTag w:uri="urn:schemas-microsoft-com:office:smarttags" w:element="place">
          <w:r>
            <w:rPr>
              <w:bCs/>
              <w:lang w:val="en-US"/>
            </w:rPr>
            <w:t>del</w:t>
          </w:r>
        </w:smartTag>
      </w:smartTag>
      <w:r>
        <w:rPr>
          <w:bCs/>
          <w:lang w:val="en-US"/>
        </w:rPr>
        <w:t xml:space="preserve"> Ecuador SIISE y su subsistema SIMUJERES. </w:t>
      </w:r>
      <w:r>
        <w:rPr>
          <w:bCs/>
          <w:lang w:val="ru-RU"/>
        </w:rPr>
        <w:t>Авторы</w:t>
      </w:r>
      <w:r>
        <w:rPr>
          <w:bCs/>
          <w:lang w:val="en-US"/>
        </w:rPr>
        <w:t xml:space="preserve">: Alba Pérez y Claudio Gallardo. </w:t>
      </w:r>
      <w:r>
        <w:rPr>
          <w:bCs/>
          <w:lang w:val="ru-RU"/>
        </w:rPr>
        <w:t>Quito, noviembre 2005. Этот раздел доклада был подготовлен при поддержке со стороны Моники Камачо, специалиста по вопросам стратегической информации КОНАМУ.</w:t>
      </w:r>
    </w:p>
  </w:footnote>
  <w:footnote w:id="7">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ab/>
      </w:r>
      <w:r>
        <w:rPr>
          <w:lang w:val="ru-RU"/>
        </w:rPr>
        <w:t xml:space="preserve">По данным доклада </w:t>
      </w:r>
      <w:r>
        <w:rPr>
          <w:bCs/>
          <w:lang w:val="ru-RU"/>
        </w:rPr>
        <w:t>Национального совета по делам женщин</w:t>
      </w:r>
      <w:r>
        <w:rPr>
          <w:lang w:val="ru-RU"/>
        </w:rPr>
        <w:t xml:space="preserve"> в отношении реализации Цели 3 ЦРДТ: "</w:t>
      </w:r>
      <w:r>
        <w:rPr>
          <w:bCs/>
          <w:lang w:val="ru-RU"/>
        </w:rPr>
        <w:t>Обеспечение гендерного равенства и расширение прав и возможностей женщин"</w:t>
      </w:r>
      <w:r>
        <w:rPr>
          <w:lang w:val="ru-RU"/>
        </w:rPr>
        <w:t>. Кито, январь 2005 года.</w:t>
      </w:r>
    </w:p>
  </w:footnote>
  <w:footnote w:id="8">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rPr>
          <w:lang w:val="ru-RU"/>
        </w:rPr>
      </w:pPr>
      <w:r>
        <w:rPr>
          <w:lang w:val="ru-RU"/>
        </w:rPr>
        <w:tab/>
      </w:r>
      <w:r>
        <w:rPr>
          <w:vertAlign w:val="superscript"/>
          <w:lang w:val="ru-RU"/>
        </w:rPr>
        <w:footnoteRef/>
      </w:r>
      <w:r>
        <w:rPr>
          <w:lang w:val="ru-RU"/>
        </w:rPr>
        <w:t xml:space="preserve"> </w:t>
      </w:r>
      <w:r>
        <w:rPr>
          <w:lang w:val="ru-RU"/>
        </w:rPr>
        <w:tab/>
        <w:t xml:space="preserve">СИИСЕ–ИНЕК, Комплексная система обследований домохозяйств. </w:t>
      </w:r>
    </w:p>
  </w:footnote>
  <w:footnote w:id="9">
    <w:p w:rsidR="008C3F32" w:rsidRDefault="008C3F32">
      <w:pPr>
        <w:pStyle w:val="FootnoteText"/>
        <w:rPr>
          <w:lang w:val="ru-RU"/>
        </w:rPr>
      </w:pPr>
      <w:r>
        <w:rPr>
          <w:lang w:val="ru-RU"/>
        </w:rPr>
        <w:tab/>
      </w:r>
      <w:r>
        <w:rPr>
          <w:vertAlign w:val="superscript"/>
          <w:lang w:val="ru-RU"/>
        </w:rPr>
        <w:footnoteRef/>
      </w:r>
      <w:r>
        <w:rPr>
          <w:lang w:val="ru-RU"/>
        </w:rPr>
        <w:t xml:space="preserve"> </w:t>
      </w:r>
      <w:r>
        <w:rPr>
          <w:lang w:val="ru-RU"/>
        </w:rPr>
        <w:tab/>
        <w:t xml:space="preserve">Эти данные соответствуют тенденциям, выявленным в ходе прошедшей в 2001 году переписи населения и жилого фонда. </w:t>
      </w:r>
    </w:p>
  </w:footnote>
  <w:footnote w:id="10">
    <w:p w:rsidR="008C3F32" w:rsidRDefault="008C3F32">
      <w:pPr>
        <w:pStyle w:val="FootnoteText"/>
        <w:rPr>
          <w:lang w:val="en-US"/>
        </w:rPr>
      </w:pPr>
      <w:r>
        <w:rPr>
          <w:lang w:val="ru-RU" w:eastAsia="es-ES"/>
        </w:rPr>
        <w:tab/>
      </w:r>
      <w:r>
        <w:rPr>
          <w:vertAlign w:val="superscript"/>
          <w:lang w:val="ru-RU" w:eastAsia="es-ES"/>
        </w:rPr>
        <w:footnoteRef/>
      </w:r>
      <w:r>
        <w:rPr>
          <w:lang w:val="en-US" w:eastAsia="es-ES"/>
        </w:rPr>
        <w:t xml:space="preserve"> </w:t>
      </w:r>
      <w:r>
        <w:rPr>
          <w:lang w:val="en-US" w:eastAsia="es-ES"/>
        </w:rPr>
        <w:tab/>
        <w:t xml:space="preserve">CEPAL y BID, Población indígena y afroecuatoriana en </w:t>
      </w:r>
      <w:smartTag w:uri="urn:schemas-microsoft-com:office:smarttags" w:element="country-region">
        <w:smartTag w:uri="urn:schemas-microsoft-com:office:smarttags" w:element="place">
          <w:r>
            <w:rPr>
              <w:lang w:val="en-US" w:eastAsia="es-ES"/>
            </w:rPr>
            <w:t>Ecuador</w:t>
          </w:r>
        </w:smartTag>
      </w:smartTag>
      <w:r>
        <w:rPr>
          <w:lang w:val="en-US" w:eastAsia="es-ES"/>
        </w:rPr>
        <w:t>: Diagnóstico sociodemográfico a partir del Censo de 2001. Documento de proyecto. Santiago de Chile, abril de 2005.</w:t>
      </w:r>
    </w:p>
  </w:footnote>
  <w:footnote w:id="11">
    <w:p w:rsidR="008C3F32" w:rsidRDefault="008C3F32">
      <w:pPr>
        <w:pStyle w:val="FootnoteText"/>
        <w:rPr>
          <w:lang w:val="en-US"/>
        </w:rPr>
      </w:pPr>
      <w:r>
        <w:rPr>
          <w:lang w:val="ru-RU"/>
        </w:rPr>
        <w:tab/>
      </w:r>
      <w:r>
        <w:rPr>
          <w:rStyle w:val="FootnoteReference"/>
          <w:sz w:val="17"/>
          <w:lang w:val="ru-RU"/>
        </w:rPr>
        <w:footnoteRef/>
      </w:r>
      <w:r>
        <w:rPr>
          <w:lang w:val="en-US"/>
        </w:rPr>
        <w:t xml:space="preserve"> </w:t>
      </w:r>
      <w:r>
        <w:rPr>
          <w:lang w:val="en-US"/>
        </w:rPr>
        <w:tab/>
      </w:r>
      <w:r>
        <w:rPr>
          <w:lang w:val="en-US" w:eastAsia="es-ES"/>
        </w:rPr>
        <w:t xml:space="preserve">Servicio de Género y Desarrollo, Dirección de Género y Población y FAO, Mujeres Rurales y Seguridad Alimentaria: situación actual y perspectivas. Santiago de Chile, 2002. </w:t>
      </w:r>
    </w:p>
  </w:footnote>
  <w:footnote w:id="12">
    <w:p w:rsidR="008C3F32" w:rsidRDefault="008C3F32">
      <w:pPr>
        <w:pStyle w:val="FootnoteText"/>
        <w:jc w:val="both"/>
        <w:rPr>
          <w:lang w:val="en-US"/>
        </w:rPr>
      </w:pPr>
      <w:r>
        <w:rPr>
          <w:lang w:val="ru-RU"/>
        </w:rPr>
        <w:tab/>
      </w:r>
      <w:r>
        <w:rPr>
          <w:rStyle w:val="FootnoteReference"/>
          <w:sz w:val="17"/>
          <w:lang w:val="ru-RU"/>
        </w:rPr>
        <w:footnoteRef/>
      </w:r>
      <w:r>
        <w:rPr>
          <w:lang w:val="en-US"/>
        </w:rPr>
        <w:t xml:space="preserve"> </w:t>
      </w:r>
      <w:r>
        <w:rPr>
          <w:lang w:val="en-US"/>
        </w:rPr>
        <w:tab/>
      </w:r>
      <w:r>
        <w:rPr>
          <w:rFonts w:eastAsia="Batang"/>
          <w:lang w:val="en-US"/>
        </w:rPr>
        <w:t>MSP, Boletín Indicadores Básicos de Salud 2005.</w:t>
      </w:r>
    </w:p>
  </w:footnote>
  <w:footnote w:id="13">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 xml:space="preserve"> </w:t>
      </w:r>
      <w:r>
        <w:tab/>
      </w:r>
      <w:r>
        <w:rPr>
          <w:lang w:eastAsia="es-ES"/>
        </w:rPr>
        <w:t>Выводы Специальной комиссии по проблемам занятости женщин-мигрантов и беженцев. Андский университет имени Симона Боливара. Кито, 1, 2, 3 сентября 2004 года.</w:t>
      </w:r>
    </w:p>
  </w:footnote>
  <w:footnote w:id="14">
    <w:p w:rsidR="008C3F32" w:rsidRDefault="008C3F32">
      <w:pPr>
        <w:pStyle w:val="FootnoteText"/>
        <w:rPr>
          <w:lang w:val="ru-RU"/>
        </w:rPr>
      </w:pPr>
      <w:r>
        <w:rPr>
          <w:lang w:val="en-US"/>
        </w:rPr>
        <w:tab/>
      </w:r>
      <w:r>
        <w:rPr>
          <w:vertAlign w:val="superscript"/>
          <w:lang w:val="ru-RU"/>
        </w:rPr>
        <w:footnoteRef/>
      </w:r>
      <w:r>
        <w:rPr>
          <w:lang w:val="en-US"/>
        </w:rPr>
        <w:tab/>
        <w:t xml:space="preserve">Camacho Zambrano, Gloria, Mujeres al borde. Refugiadas colombianas en el </w:t>
      </w:r>
      <w:smartTag w:uri="urn:schemas-microsoft-com:office:smarttags" w:element="country-region">
        <w:smartTag w:uri="urn:schemas-microsoft-com:office:smarttags" w:element="place">
          <w:r>
            <w:rPr>
              <w:lang w:val="en-US"/>
            </w:rPr>
            <w:t>Ecuador</w:t>
          </w:r>
        </w:smartTag>
      </w:smartTag>
      <w:r>
        <w:rPr>
          <w:lang w:val="en-US"/>
        </w:rPr>
        <w:t xml:space="preserve">, UNIFEM. </w:t>
      </w:r>
      <w:r>
        <w:rPr>
          <w:lang w:val="ru-RU"/>
        </w:rPr>
        <w:t>Quito, Febrero 2005.</w:t>
      </w:r>
    </w:p>
  </w:footnote>
  <w:footnote w:id="15">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 xml:space="preserve"> </w:t>
      </w:r>
      <w:r>
        <w:tab/>
      </w:r>
      <w:r>
        <w:rPr>
          <w:lang w:val="ru-RU"/>
        </w:rPr>
        <w:t>КОНАМУ, документ подготовлен Альбой Перес.</w:t>
      </w:r>
    </w:p>
  </w:footnote>
  <w:footnote w:id="16">
    <w:p w:rsidR="008C3F32" w:rsidRDefault="008C3F32">
      <w:pPr>
        <w:pStyle w:val="FootnoteText"/>
        <w:rPr>
          <w:lang w:val="ru-RU"/>
        </w:rPr>
      </w:pPr>
      <w:r>
        <w:rPr>
          <w:lang w:val="ru-RU"/>
        </w:rPr>
        <w:tab/>
      </w:r>
      <w:r>
        <w:rPr>
          <w:rStyle w:val="FootnoteReference"/>
          <w:sz w:val="17"/>
          <w:lang w:val="ru-RU"/>
        </w:rPr>
        <w:footnoteRef/>
      </w:r>
      <w:r>
        <w:rPr>
          <w:lang w:val="ru-RU"/>
        </w:rPr>
        <w:t xml:space="preserve"> </w:t>
      </w:r>
      <w:r>
        <w:rPr>
          <w:lang w:val="ru-RU"/>
        </w:rPr>
        <w:tab/>
        <w:t xml:space="preserve">Под термином "распространенность" понимается группа населения, которая затронута этим явлением. </w:t>
      </w:r>
    </w:p>
  </w:footnote>
  <w:footnote w:id="17">
    <w:p w:rsidR="008C3F32" w:rsidRDefault="008C3F32">
      <w:pPr>
        <w:pStyle w:val="FootnoteText"/>
        <w:rPr>
          <w:lang w:val="ru-RU"/>
        </w:rPr>
      </w:pPr>
      <w:r>
        <w:rPr>
          <w:lang w:val="ru-RU"/>
        </w:rPr>
        <w:tab/>
      </w:r>
      <w:r>
        <w:rPr>
          <w:rStyle w:val="FootnoteReference"/>
          <w:sz w:val="17"/>
          <w:lang w:val="ru-RU"/>
        </w:rPr>
        <w:footnoteRef/>
      </w:r>
      <w:r>
        <w:rPr>
          <w:lang w:val="ru-RU"/>
        </w:rPr>
        <w:t xml:space="preserve"> </w:t>
      </w:r>
      <w:r>
        <w:rPr>
          <w:lang w:val="ru-RU"/>
        </w:rPr>
        <w:tab/>
        <w:t xml:space="preserve">Фонд "Равноправие и развитие". Всеобщие выборы 2004 года. Документ подготовлен Соландой Гойес. Кито, 2004 год. </w:t>
      </w:r>
    </w:p>
  </w:footnote>
  <w:footnote w:id="18">
    <w:p w:rsidR="008C3F32" w:rsidRDefault="008C3F32">
      <w:pPr>
        <w:pStyle w:val="FootnoteText"/>
        <w:rPr>
          <w:lang w:val="ru-RU"/>
        </w:rPr>
      </w:pPr>
      <w:r>
        <w:rPr>
          <w:lang w:val="ru-RU"/>
        </w:rPr>
        <w:tab/>
      </w:r>
      <w:r>
        <w:rPr>
          <w:rStyle w:val="FootnoteReference"/>
          <w:sz w:val="17"/>
          <w:lang w:val="ru-RU"/>
        </w:rPr>
        <w:footnoteRef/>
      </w:r>
      <w:r>
        <w:rPr>
          <w:lang w:val="ru-RU"/>
        </w:rPr>
        <w:t xml:space="preserve"> </w:t>
      </w:r>
      <w:r>
        <w:rPr>
          <w:lang w:val="ru-RU"/>
        </w:rPr>
        <w:tab/>
        <w:t>С организациями системы Организации Объединенных Наций, прежде всего с Фондом ООН в интересах женщин (ЮНИФЕМ) и Фондом ООН для деятельности в области народонаселения (ЮНФПА), а также с учреждениями в области двустороннего сотрудничества, такими как Испанское агентство по международному сотрудничеству, Шведская кооперативная ассоциация и Германское агентство по техническому сотрудничеству.</w:t>
      </w:r>
    </w:p>
  </w:footnote>
  <w:footnote w:id="19">
    <w:p w:rsidR="008C3F32" w:rsidRDefault="008C3F32">
      <w:pPr>
        <w:pStyle w:val="FootnoteText"/>
        <w:jc w:val="both"/>
      </w:pPr>
      <w:r>
        <w:rPr>
          <w:lang w:val="ru-RU"/>
        </w:rPr>
        <w:tab/>
      </w:r>
      <w:r>
        <w:rPr>
          <w:rStyle w:val="FootnoteReference"/>
          <w:sz w:val="17"/>
        </w:rPr>
        <w:footnoteRef/>
      </w:r>
      <w:r>
        <w:rPr>
          <w:lang w:val="ru-RU"/>
        </w:rPr>
        <w:t xml:space="preserve"> </w:t>
      </w:r>
      <w:r>
        <w:rPr>
          <w:lang w:val="ru-RU"/>
        </w:rPr>
        <w:tab/>
        <w:t>К основным механизмам, созданным в этот период, относятся Национальное управление по гендерным вопросам при Министерстве внутренних дел и полиции и Группа по обеспечению гендерного равенства и по вопросам молодежи при Министерстве труда и занятости.</w:t>
      </w:r>
    </w:p>
  </w:footnote>
  <w:footnote w:id="20">
    <w:p w:rsidR="008C3F32" w:rsidRDefault="008C3F32">
      <w:pPr>
        <w:tabs>
          <w:tab w:val="right" w:pos="1191"/>
          <w:tab w:val="left" w:pos="1264"/>
        </w:tabs>
        <w:spacing w:line="210" w:lineRule="exact"/>
        <w:ind w:left="1264" w:right="1264" w:hanging="788"/>
        <w:jc w:val="both"/>
        <w:rPr>
          <w:b/>
          <w:spacing w:val="0"/>
          <w:w w:val="100"/>
          <w:kern w:val="0"/>
          <w:sz w:val="17"/>
        </w:rPr>
      </w:pPr>
      <w:r>
        <w:rPr>
          <w:lang w:val="ru-RU" w:eastAsia="es-ES"/>
        </w:rPr>
        <w:tab/>
      </w:r>
      <w:r>
        <w:rPr>
          <w:rStyle w:val="FootnoteReference"/>
          <w:sz w:val="17"/>
          <w:lang w:eastAsia="es-ES"/>
        </w:rPr>
        <w:footnoteRef/>
      </w:r>
      <w:r>
        <w:rPr>
          <w:lang w:val="ru-RU" w:eastAsia="es-ES"/>
        </w:rPr>
        <w:t xml:space="preserve"> </w:t>
      </w:r>
      <w:r>
        <w:rPr>
          <w:lang w:val="ru-RU" w:eastAsia="es-ES"/>
        </w:rPr>
        <w:tab/>
      </w:r>
      <w:r>
        <w:rPr>
          <w:spacing w:val="0"/>
          <w:w w:val="100"/>
          <w:kern w:val="0"/>
          <w:sz w:val="17"/>
        </w:rPr>
        <w:t>Действующие в стране механизмы по гендерным вопросам или по делам женщин носят разные названия</w:t>
      </w:r>
      <w:r>
        <w:rPr>
          <w:spacing w:val="0"/>
          <w:w w:val="100"/>
          <w:kern w:val="0"/>
          <w:sz w:val="17"/>
          <w:lang w:val="ru-RU"/>
        </w:rPr>
        <w:t xml:space="preserve"> </w:t>
      </w:r>
      <w:r>
        <w:rPr>
          <w:spacing w:val="0"/>
          <w:w w:val="100"/>
          <w:kern w:val="0"/>
          <w:sz w:val="17"/>
        </w:rPr>
        <w:t>–</w:t>
      </w:r>
      <w:r>
        <w:rPr>
          <w:spacing w:val="0"/>
          <w:w w:val="100"/>
          <w:kern w:val="0"/>
          <w:sz w:val="17"/>
          <w:lang w:val="ru-RU"/>
        </w:rPr>
        <w:t xml:space="preserve"> </w:t>
      </w:r>
      <w:r>
        <w:rPr>
          <w:spacing w:val="0"/>
          <w:w w:val="100"/>
          <w:kern w:val="0"/>
          <w:sz w:val="17"/>
        </w:rPr>
        <w:t xml:space="preserve">бюро, комиссии, дирекции или советы. При помощи КОНАМУ эти органы созданы </w:t>
      </w:r>
      <w:r>
        <w:rPr>
          <w:spacing w:val="0"/>
          <w:w w:val="100"/>
          <w:kern w:val="0"/>
          <w:sz w:val="17"/>
          <w:lang w:val="ru-RU"/>
        </w:rPr>
        <w:br/>
      </w:r>
      <w:r>
        <w:rPr>
          <w:spacing w:val="0"/>
          <w:w w:val="100"/>
          <w:kern w:val="0"/>
          <w:sz w:val="17"/>
        </w:rPr>
        <w:t>в муниципалитетах следующих кантонов: Сальседо, Риобамба, Кольта, Чунчи, Салинас, Санта-Элена, Либертад, Котакачи, Отавало, Чоне, Хипихапа, Манта, Сукре, Сантьяго, Тена, Кито, Лаго</w:t>
      </w:r>
      <w:r>
        <w:rPr>
          <w:spacing w:val="0"/>
          <w:w w:val="100"/>
          <w:kern w:val="0"/>
          <w:sz w:val="17"/>
          <w:lang w:val="ru-RU"/>
        </w:rPr>
        <w:t>-</w:t>
      </w:r>
      <w:r>
        <w:rPr>
          <w:spacing w:val="0"/>
          <w:w w:val="100"/>
          <w:kern w:val="0"/>
          <w:sz w:val="17"/>
        </w:rPr>
        <w:t>Агрио, Орельяна и Хойа де лос Сачас.</w:t>
      </w:r>
    </w:p>
  </w:footnote>
  <w:footnote w:id="21">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ab/>
        <w:t>CONAMU, Plan de Igualdad de Oportunidades 2005-2009. Quito, marzo 2005.</w:t>
      </w:r>
    </w:p>
  </w:footnote>
  <w:footnote w:id="22">
    <w:p w:rsidR="008C3F32" w:rsidRDefault="008C3F32">
      <w:pPr>
        <w:pStyle w:val="FootnoteText"/>
        <w:jc w:val="both"/>
      </w:pPr>
      <w:r>
        <w:rPr>
          <w:lang w:val="ru-RU"/>
        </w:rPr>
        <w:tab/>
      </w:r>
      <w:r>
        <w:rPr>
          <w:rStyle w:val="FootnoteReference"/>
          <w:sz w:val="17"/>
        </w:rPr>
        <w:footnoteRef/>
      </w:r>
      <w:r>
        <w:t xml:space="preserve"> </w:t>
      </w:r>
      <w:r>
        <w:rPr>
          <w:lang w:val="en-US"/>
        </w:rPr>
        <w:tab/>
      </w:r>
      <w:r>
        <w:t>CONAMU, Documento de propuesta de elaboración de la Ley para la Igualdad de Oportunidades. Quito, septiembre 2006.</w:t>
      </w:r>
    </w:p>
  </w:footnote>
  <w:footnote w:id="23">
    <w:p w:rsidR="008C3F32" w:rsidRDefault="008C3F32">
      <w:pPr>
        <w:pStyle w:val="FootnoteText"/>
      </w:pPr>
      <w:r>
        <w:rPr>
          <w:lang w:val="ru-RU" w:eastAsia="es-ES"/>
        </w:rPr>
        <w:tab/>
      </w:r>
      <w:r>
        <w:rPr>
          <w:rStyle w:val="FootnoteReference"/>
          <w:sz w:val="17"/>
          <w:lang w:eastAsia="es-ES"/>
        </w:rPr>
        <w:footnoteRef/>
      </w:r>
      <w:r>
        <w:rPr>
          <w:lang w:val="ru-RU" w:eastAsia="es-ES"/>
        </w:rPr>
        <w:t xml:space="preserve"> </w:t>
      </w:r>
      <w:r>
        <w:rPr>
          <w:lang w:val="ru-RU" w:eastAsia="es-ES"/>
        </w:rPr>
        <w:tab/>
        <w:t>В пункте 11 своих Заключительных замечаний Комитет призывает государство Эквадор укреплять "направляющую и нормотворческую роль Национального совета по делам женщин, приняв закон, который наделял бы Национальный совет по делам женщин законным статусом и регулировал его деятельность, отводя ему более активную роль в контроле за применением норм, направленных на содействие гендерному равенству, с выделением необходимых финансовых ресурсов для его деятельности и осуществления своих функций".</w:t>
      </w:r>
    </w:p>
  </w:footnote>
  <w:footnote w:id="24">
    <w:p w:rsidR="008C3F32" w:rsidRDefault="008C3F32">
      <w:pPr>
        <w:pStyle w:val="FootnoteText"/>
        <w:jc w:val="both"/>
        <w:rPr>
          <w:lang w:val="ru-RU"/>
        </w:rPr>
      </w:pPr>
      <w:r>
        <w:rPr>
          <w:lang w:val="ru-RU"/>
        </w:rPr>
        <w:tab/>
      </w:r>
      <w:r>
        <w:rPr>
          <w:rStyle w:val="FootnoteReference"/>
          <w:sz w:val="17"/>
        </w:rPr>
        <w:footnoteRef/>
      </w:r>
      <w:r>
        <w:rPr>
          <w:rStyle w:val="FootnoteReference"/>
          <w:sz w:val="17"/>
          <w:lang w:val="ru-RU"/>
        </w:rPr>
        <w:t xml:space="preserve"> </w:t>
      </w:r>
      <w:r>
        <w:rPr>
          <w:lang w:val="ru-RU"/>
        </w:rPr>
        <w:tab/>
        <w:t>Создано Распоряжением Министерства № 1187 от 21 марта 2000 года и опубликовано в "Рехистро офисиаль", № 47, 30 марта 2000 года.</w:t>
      </w:r>
    </w:p>
  </w:footnote>
  <w:footnote w:id="25">
    <w:p w:rsidR="008C3F32" w:rsidRDefault="008C3F32">
      <w:pPr>
        <w:pStyle w:val="FootnoteText"/>
        <w:jc w:val="both"/>
        <w:rPr>
          <w:lang w:val="ru-RU"/>
        </w:rPr>
      </w:pPr>
      <w:r>
        <w:rPr>
          <w:lang w:val="ru-RU"/>
        </w:rPr>
        <w:tab/>
      </w:r>
      <w:r>
        <w:rPr>
          <w:rStyle w:val="FootnoteReference"/>
          <w:sz w:val="17"/>
        </w:rPr>
        <w:footnoteRef/>
      </w:r>
      <w:r>
        <w:rPr>
          <w:rStyle w:val="FootnoteReference"/>
          <w:lang w:val="ru-RU"/>
        </w:rPr>
        <w:t xml:space="preserve"> </w:t>
      </w:r>
      <w:r>
        <w:rPr>
          <w:lang w:val="ru-RU"/>
        </w:rPr>
        <w:tab/>
        <w:t>Распоряжение Министерства № 0244-</w:t>
      </w:r>
      <w:r>
        <w:t>A</w:t>
      </w:r>
      <w:r>
        <w:rPr>
          <w:lang w:val="ru-RU"/>
        </w:rPr>
        <w:t>24, опубликовано в "Рехистро офисиаль", № 645, 21 августа 2002 года.</w:t>
      </w:r>
    </w:p>
  </w:footnote>
  <w:footnote w:id="26">
    <w:p w:rsidR="008C3F32" w:rsidRDefault="008C3F32">
      <w:pPr>
        <w:pStyle w:val="FootnoteText"/>
        <w:rPr>
          <w:lang w:val="ru-RU"/>
        </w:rPr>
      </w:pPr>
      <w:r>
        <w:rPr>
          <w:lang w:val="ru-RU"/>
        </w:rPr>
        <w:tab/>
      </w:r>
      <w:r>
        <w:rPr>
          <w:rStyle w:val="FootnoteReference"/>
          <w:sz w:val="17"/>
          <w:lang w:eastAsia="es-ES"/>
        </w:rPr>
        <w:footnoteRef/>
      </w:r>
      <w:r>
        <w:rPr>
          <w:lang w:val="ru-RU"/>
        </w:rPr>
        <w:tab/>
      </w:r>
      <w:r>
        <w:t>В работе Технического совета принимают участие около 25 государственных и частных организаций, занимающихся оказанием помощи жертвам насилия, в том числе Форум женщин провинции Эсмеральдас, Бюро по делам женщин провинции Манта, Сеть против насилия провинции Манта, Сеть против насилия города Лаго-Агрио, СЕПАМ Кито и СЕПАМ Гуаякиля, объединение "Женщины для женщин" (Куэнка), Дом Марии Амор (Куэнка), Женское движение провинции Эль-Оро, Фонд Кимера (Эль-Оро), Генеральная прокуратура страны, Национальный совет по делам детей и подростков. Координатором является КОНАМУ.</w:t>
      </w:r>
    </w:p>
  </w:footnote>
  <w:footnote w:id="27">
    <w:p w:rsidR="008C3F32" w:rsidRDefault="008C3F32">
      <w:pPr>
        <w:pStyle w:val="FootnoteText"/>
      </w:pPr>
      <w:r>
        <w:rPr>
          <w:rFonts w:eastAsia="Batang"/>
          <w:lang w:val="ru-RU"/>
        </w:rPr>
        <w:tab/>
      </w:r>
      <w:r>
        <w:rPr>
          <w:rStyle w:val="FootnoteReference"/>
          <w:rFonts w:eastAsia="Batang"/>
          <w:sz w:val="17"/>
        </w:rPr>
        <w:footnoteRef/>
      </w:r>
      <w:r>
        <w:rPr>
          <w:rStyle w:val="FootnoteReference"/>
          <w:rFonts w:eastAsia="Batang"/>
        </w:rPr>
        <w:t xml:space="preserve"> </w:t>
      </w:r>
      <w:r>
        <w:rPr>
          <w:rFonts w:eastAsia="Batang"/>
          <w:lang w:val="en-US"/>
        </w:rPr>
        <w:tab/>
      </w:r>
      <w:r>
        <w:rPr>
          <w:rFonts w:eastAsia="Batang"/>
        </w:rPr>
        <w:t xml:space="preserve">CONAMU, </w:t>
      </w:r>
      <w:r>
        <w:t>Informe de Rendición de Cuentas. Quito, marzo 2005.</w:t>
      </w:r>
    </w:p>
  </w:footnote>
  <w:footnote w:id="28">
    <w:p w:rsidR="008C3F32" w:rsidRDefault="008C3F32">
      <w:pPr>
        <w:pStyle w:val="FootnoteText"/>
      </w:pPr>
      <w:r>
        <w:rPr>
          <w:lang w:val="ru-RU" w:eastAsia="es-ES"/>
        </w:rPr>
        <w:tab/>
      </w:r>
      <w:r>
        <w:rPr>
          <w:rStyle w:val="FootnoteReference"/>
          <w:sz w:val="17"/>
          <w:lang w:eastAsia="es-ES"/>
        </w:rPr>
        <w:footnoteRef/>
      </w:r>
      <w:r>
        <w:rPr>
          <w:lang w:eastAsia="es-ES"/>
        </w:rPr>
        <w:t xml:space="preserve"> </w:t>
      </w:r>
      <w:r>
        <w:rPr>
          <w:lang w:val="en-US" w:eastAsia="es-ES"/>
        </w:rPr>
        <w:tab/>
      </w:r>
      <w:r>
        <w:rPr>
          <w:lang w:eastAsia="es-ES"/>
        </w:rPr>
        <w:t>CONAMU, Cuestionario para la evaluación de la implementación de las disposiciones de la Convención Interamericana para Prevenir, Sancionar y Erradicar la Violencia Contra la Mujer, Convención de Belém do Pará. Diciembre, 2005.</w:t>
      </w:r>
    </w:p>
  </w:footnote>
  <w:footnote w:id="29">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 xml:space="preserve">См. доклады г-на Леандро Деспуй, Специального докладчика по вопросу о независимости судей и адвокатов Организации Объединенных Наций, по итогам его двух официальных визитов в Эквадор, документы </w:t>
      </w:r>
      <w:r>
        <w:rPr>
          <w:lang w:val="es-EC"/>
        </w:rPr>
        <w:t>E</w:t>
      </w:r>
      <w:r>
        <w:rPr>
          <w:lang w:val="ru-RU"/>
        </w:rPr>
        <w:t>/</w:t>
      </w:r>
      <w:r>
        <w:rPr>
          <w:lang w:val="es-EC"/>
        </w:rPr>
        <w:t>CN</w:t>
      </w:r>
      <w:r>
        <w:rPr>
          <w:lang w:val="ru-RU"/>
        </w:rPr>
        <w:t>.4/2005/60/</w:t>
      </w:r>
      <w:r>
        <w:rPr>
          <w:lang w:val="es-EC"/>
        </w:rPr>
        <w:t>Add</w:t>
      </w:r>
      <w:r>
        <w:rPr>
          <w:lang w:val="ru-RU"/>
        </w:rPr>
        <w:t xml:space="preserve">. 4 и </w:t>
      </w:r>
      <w:r>
        <w:rPr>
          <w:lang w:val="es-EC"/>
        </w:rPr>
        <w:t>E</w:t>
      </w:r>
      <w:r>
        <w:rPr>
          <w:lang w:val="ru-RU"/>
        </w:rPr>
        <w:t>/</w:t>
      </w:r>
      <w:r>
        <w:rPr>
          <w:lang w:val="es-EC"/>
        </w:rPr>
        <w:t>CN</w:t>
      </w:r>
      <w:r>
        <w:rPr>
          <w:lang w:val="ru-RU"/>
        </w:rPr>
        <w:t>.4/2006/52/</w:t>
      </w:r>
      <w:r>
        <w:rPr>
          <w:lang w:val="es-EC"/>
        </w:rPr>
        <w:t>Add</w:t>
      </w:r>
      <w:r>
        <w:rPr>
          <w:lang w:val="ru-RU"/>
        </w:rPr>
        <w:t>. 2.</w:t>
      </w:r>
    </w:p>
  </w:footnote>
  <w:footnote w:id="30">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 xml:space="preserve"> </w:t>
      </w:r>
      <w:r>
        <w:tab/>
      </w:r>
      <w:r>
        <w:rPr>
          <w:iCs/>
        </w:rPr>
        <w:t>www.gammaecuador.org/.</w:t>
      </w:r>
    </w:p>
  </w:footnote>
  <w:footnote w:id="31">
    <w:p w:rsidR="008C3F32" w:rsidRDefault="008C3F32">
      <w:pPr>
        <w:pStyle w:val="FootnoteText"/>
        <w:jc w:val="both"/>
        <w:rPr>
          <w:lang w:val="ru-RU"/>
        </w:rPr>
      </w:pPr>
      <w:r>
        <w:rPr>
          <w:lang w:val="ru-RU"/>
        </w:rPr>
        <w:tab/>
      </w:r>
      <w:r>
        <w:rPr>
          <w:rStyle w:val="FootnoteReference"/>
          <w:sz w:val="17"/>
        </w:rPr>
        <w:footnoteRef/>
      </w:r>
      <w:r>
        <w:rPr>
          <w:lang w:val="ru-RU"/>
        </w:rPr>
        <w:t xml:space="preserve"> </w:t>
      </w:r>
      <w:r>
        <w:rPr>
          <w:lang w:val="ru-RU"/>
        </w:rPr>
        <w:tab/>
        <w:t>Информационный циркуляр Национального конгресса, август 2006 года.</w:t>
      </w:r>
    </w:p>
  </w:footnote>
  <w:footnote w:id="32">
    <w:p w:rsidR="008C3F32" w:rsidRDefault="008C3F32">
      <w:pPr>
        <w:pStyle w:val="FootnoteText"/>
        <w:jc w:val="both"/>
        <w:rPr>
          <w:lang w:val="ru-RU"/>
        </w:rPr>
      </w:pPr>
      <w:r>
        <w:rPr>
          <w:lang w:val="ru-RU"/>
        </w:rPr>
        <w:tab/>
      </w:r>
      <w:r>
        <w:rPr>
          <w:rStyle w:val="FootnoteReference"/>
          <w:sz w:val="17"/>
        </w:rPr>
        <w:footnoteRef/>
      </w:r>
      <w:r>
        <w:rPr>
          <w:lang w:val="ru-RU"/>
        </w:rPr>
        <w:t xml:space="preserve"> </w:t>
      </w:r>
      <w:r>
        <w:rPr>
          <w:lang w:val="ru-RU"/>
        </w:rPr>
        <w:tab/>
        <w:t>Создан в 2004 году в соответствии с Постановлением № 3393 Министерства образования. В состав входят Национальный совет по делам детей и подростков, КОНАМУ, представитель провинции Пичинча, Союз работников просвещения страны, Генеральная прокуратура, Управление уполномоченного по правам человека и представитель Детского форума.</w:t>
      </w:r>
    </w:p>
  </w:footnote>
  <w:footnote w:id="33">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Закон № 2005-14, опубликован в "Рехистро офисиаль", № 136, 31 октября 2005 года.</w:t>
      </w:r>
    </w:p>
  </w:footnote>
  <w:footnote w:id="34">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 xml:space="preserve"> </w:t>
      </w:r>
      <w:r>
        <w:tab/>
        <w:t>CONAMU, Informe de Rendición de cuentas 2005-2006, Quito, mayo 2006.</w:t>
      </w:r>
    </w:p>
  </w:footnote>
  <w:footnote w:id="35">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Данные по состоянию на декабрь 2006 года предоставлены Вооруженными силами и Национальной полицией.</w:t>
      </w:r>
    </w:p>
  </w:footnote>
  <w:footnote w:id="36">
    <w:p w:rsidR="008C3F32" w:rsidRDefault="008C3F32">
      <w:pPr>
        <w:pStyle w:val="FootnoteText"/>
        <w:rPr>
          <w:lang w:val="ru-RU"/>
        </w:rPr>
      </w:pPr>
      <w:r>
        <w:rPr>
          <w:lang w:val="ru-RU"/>
        </w:rPr>
        <w:tab/>
      </w:r>
      <w:r>
        <w:rPr>
          <w:rStyle w:val="FootnoteReference"/>
          <w:sz w:val="17"/>
        </w:rPr>
        <w:footnoteRef/>
      </w:r>
      <w:r>
        <w:rPr>
          <w:rStyle w:val="FootnoteReference"/>
          <w:lang w:val="ru-RU"/>
        </w:rPr>
        <w:t xml:space="preserve"> </w:t>
      </w:r>
      <w:r>
        <w:rPr>
          <w:lang w:val="ru-RU"/>
        </w:rPr>
        <w:tab/>
        <w:t>Помощь в этой работе оказывает ряд учреждений общенационального уровня, таких как Национальный технический секретариат по развитию ресурсов, Институт проблем здравоохранения, Латиноамериканский институт социальных исследований, Национальный институт статистики и переписи населения, Служба профессиональной подготовки, а также организации по оказанию помощи, такие как Испанское агентство по вопросам международного сотрудничества/Министерство труда Испании, Международная организация труда, Фонд Организации Объединенных Наций для развития в интересах женщин, Фонд Организации Объединенных Наций в области народонаселения.</w:t>
      </w:r>
    </w:p>
  </w:footnote>
  <w:footnote w:id="37">
    <w:p w:rsidR="008C3F32" w:rsidRDefault="008C3F32">
      <w:pPr>
        <w:pStyle w:val="FootnoteText"/>
        <w:rPr>
          <w:lang w:val="ru-RU"/>
        </w:rPr>
      </w:pPr>
      <w:r>
        <w:rPr>
          <w:lang w:val="ru-RU"/>
        </w:rPr>
        <w:tab/>
      </w:r>
      <w:r>
        <w:rPr>
          <w:rStyle w:val="FootnoteReference"/>
          <w:rFonts w:eastAsia="Batang"/>
          <w:sz w:val="17"/>
          <w:lang w:eastAsia="ko-KR"/>
        </w:rPr>
        <w:footnoteRef/>
      </w:r>
      <w:r>
        <w:t xml:space="preserve"> </w:t>
      </w:r>
      <w:r>
        <w:rPr>
          <w:lang w:val="ru-RU"/>
        </w:rPr>
        <w:tab/>
      </w:r>
      <w:r>
        <w:t>www.mintrab.gov.ec</w:t>
      </w:r>
      <w:r>
        <w:rPr>
          <w:lang w:val="ru-RU"/>
        </w:rPr>
        <w:t>.</w:t>
      </w:r>
    </w:p>
  </w:footnote>
  <w:footnote w:id="38">
    <w:p w:rsidR="008C3F32" w:rsidRDefault="008C3F32">
      <w:pPr>
        <w:pStyle w:val="FootnoteText"/>
        <w:rPr>
          <w:lang w:val="ru-RU"/>
        </w:rPr>
      </w:pPr>
      <w:r>
        <w:rPr>
          <w:lang w:val="ru-RU"/>
        </w:rPr>
        <w:tab/>
      </w:r>
      <w:r>
        <w:rPr>
          <w:rStyle w:val="FootnoteReference"/>
          <w:sz w:val="17"/>
        </w:rPr>
        <w:footnoteRef/>
      </w:r>
      <w:r>
        <w:rPr>
          <w:rStyle w:val="FootnoteReference"/>
          <w:lang w:val="ru-RU"/>
        </w:rPr>
        <w:t xml:space="preserve"> </w:t>
      </w:r>
      <w:r>
        <w:rPr>
          <w:lang w:val="ru-RU"/>
        </w:rPr>
        <w:tab/>
        <w:t xml:space="preserve">Соглашение о проведении пилотного опроса в декабре 2005 года подписали Национальный совет по делам женщин, </w:t>
      </w:r>
      <w:r>
        <w:rPr>
          <w:color w:val="000000"/>
          <w:lang w:val="ru-RU"/>
        </w:rPr>
        <w:t xml:space="preserve">Национальный институт статистики и переписи населения, </w:t>
      </w:r>
      <w:r>
        <w:rPr>
          <w:lang w:val="ru-RU"/>
        </w:rPr>
        <w:t>Фонд Организации Объединенных Наций для развития в интересах женщин</w:t>
      </w:r>
      <w:r>
        <w:rPr>
          <w:color w:val="000000"/>
          <w:lang w:val="ru-RU"/>
        </w:rPr>
        <w:t xml:space="preserve">, </w:t>
      </w:r>
      <w:r>
        <w:rPr>
          <w:lang w:val="ru-RU"/>
        </w:rPr>
        <w:t>Панамериканская организация здравоохранения, Комиссия по гендерным вопросам и равенству в оплате труда и Секретариат социального развития столичного округа Кито.</w:t>
      </w:r>
    </w:p>
  </w:footnote>
  <w:footnote w:id="39">
    <w:p w:rsidR="008C3F32" w:rsidRDefault="008C3F32">
      <w:pPr>
        <w:pStyle w:val="FootnoteText"/>
        <w:rPr>
          <w:lang w:val="ru-RU" w:eastAsia="es-ES"/>
        </w:rPr>
      </w:pPr>
      <w:r>
        <w:rPr>
          <w:lang w:val="ru-RU"/>
        </w:rPr>
        <w:tab/>
      </w:r>
      <w:r>
        <w:rPr>
          <w:rStyle w:val="FootnoteReference"/>
          <w:sz w:val="17"/>
        </w:rPr>
        <w:footnoteRef/>
      </w:r>
      <w:r>
        <w:rPr>
          <w:rStyle w:val="FootnoteReference"/>
          <w:sz w:val="17"/>
          <w:lang w:val="ru-RU"/>
        </w:rPr>
        <w:t xml:space="preserve"> </w:t>
      </w:r>
      <w:r>
        <w:rPr>
          <w:lang w:val="ru-RU"/>
        </w:rPr>
        <w:tab/>
        <w:t xml:space="preserve">Соглашение о межведомственном сотрудничестве было подписано в мае 2006 года между </w:t>
      </w:r>
      <w:r>
        <w:rPr>
          <w:lang w:val="ru-RU" w:eastAsia="es-ES"/>
        </w:rPr>
        <w:t xml:space="preserve">Министерством труда и занятости, </w:t>
      </w:r>
      <w:r>
        <w:rPr>
          <w:color w:val="000000"/>
          <w:lang w:val="ru-RU"/>
        </w:rPr>
        <w:t>Национальным институтом статистики и переписи населения</w:t>
      </w:r>
      <w:r>
        <w:rPr>
          <w:lang w:val="ru-RU" w:eastAsia="es-ES"/>
        </w:rPr>
        <w:t xml:space="preserve">, Центральным банком Эквадора, Техническим секретариатом социального фронта, Национальным советом по делам женщин, Программой развития Организации Объединенных Наций, </w:t>
      </w:r>
      <w:r>
        <w:rPr>
          <w:lang w:val="ru-RU"/>
        </w:rPr>
        <w:t>Детским фондом Организации Объединенных Наций</w:t>
      </w:r>
      <w:r>
        <w:rPr>
          <w:lang w:val="ru-RU" w:eastAsia="es-ES"/>
        </w:rPr>
        <w:t xml:space="preserve">, </w:t>
      </w:r>
      <w:r>
        <w:rPr>
          <w:lang w:val="ru-RU"/>
        </w:rPr>
        <w:t>Фондом Организации Объединенных Наций для развития в интересах женщин</w:t>
      </w:r>
      <w:r>
        <w:rPr>
          <w:lang w:val="ru-RU" w:eastAsia="es-ES"/>
        </w:rPr>
        <w:t xml:space="preserve">, Фондом </w:t>
      </w:r>
      <w:r>
        <w:rPr>
          <w:lang w:val="ru-RU"/>
        </w:rPr>
        <w:t>Организации Объединенных Наций</w:t>
      </w:r>
      <w:r>
        <w:rPr>
          <w:lang w:val="ru-RU" w:eastAsia="es-ES"/>
        </w:rPr>
        <w:t xml:space="preserve"> в области народонаселения</w:t>
      </w:r>
      <w:r>
        <w:rPr>
          <w:lang w:eastAsia="es-ES"/>
        </w:rPr>
        <w:t xml:space="preserve"> </w:t>
      </w:r>
      <w:r>
        <w:rPr>
          <w:lang w:val="ru-RU" w:eastAsia="es-ES"/>
        </w:rPr>
        <w:t>и Субрегиональным бюро Международной организации труда по странам Андской группы.</w:t>
      </w:r>
    </w:p>
  </w:footnote>
  <w:footnote w:id="40">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 xml:space="preserve">Выступление посла Карлоса Лопеса Дамма, заместителя министра иностранных дел Эквадора по вопросам миграции, в ходе </w:t>
      </w:r>
      <w:r>
        <w:rPr>
          <w:bCs/>
          <w:lang w:val="ru-RU" w:eastAsia="ru-RU"/>
        </w:rPr>
        <w:t>Диалога на высоком уровне по вопросу о международной миграции и развитии в рамках Генеральной Ассамблеи, 15 сентября 2006 года.</w:t>
      </w:r>
    </w:p>
  </w:footnote>
  <w:footnote w:id="41">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Исследование проведено исполнительным директором Центра планирования и социальных исследований Глорией Камачо Самбрано.</w:t>
      </w:r>
    </w:p>
  </w:footnote>
  <w:footnote w:id="42">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r>
      <w:r>
        <w:rPr>
          <w:caps/>
          <w:lang w:val="ru-RU"/>
        </w:rPr>
        <w:t>з</w:t>
      </w:r>
      <w:r>
        <w:rPr>
          <w:lang w:val="ru-RU"/>
        </w:rPr>
        <w:t>акон о бесплатной охране здоровья матери и уходе за новорожденным</w:t>
      </w:r>
      <w:r>
        <w:rPr>
          <w:bCs/>
          <w:lang w:val="ru-RU"/>
        </w:rPr>
        <w:t xml:space="preserve">и </w:t>
      </w:r>
      <w:r>
        <w:rPr>
          <w:lang w:val="ru-RU"/>
        </w:rPr>
        <w:t>был обнародован 9 сентября 1994 года.</w:t>
      </w:r>
    </w:p>
  </w:footnote>
  <w:footnote w:id="43">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Официальные данные Министерства здравоохранения на декабрь 2005 года.</w:t>
      </w:r>
    </w:p>
  </w:footnote>
  <w:footnote w:id="44">
    <w:p w:rsidR="008C3F32" w:rsidRDefault="008C3F32">
      <w:pPr>
        <w:pStyle w:val="FootnoteText"/>
        <w:tabs>
          <w:tab w:val="clear" w:pos="1191"/>
          <w:tab w:val="clear" w:pos="1264"/>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sz w:val="17"/>
        </w:rPr>
        <w:footnoteRef/>
      </w:r>
      <w:r>
        <w:t xml:space="preserve"> </w:t>
      </w:r>
      <w:r>
        <w:tab/>
        <w:t xml:space="preserve">Документ “Argumentos de respaldo para los derechos sexuales y reproductivos contenidos en el Proyecto de Ley Orgánica de Salud”. </w:t>
      </w:r>
      <w:r>
        <w:rPr>
          <w:lang w:val="ru-RU"/>
        </w:rPr>
        <w:t>Кито, август</w:t>
      </w:r>
      <w:r>
        <w:t xml:space="preserve"> 2006</w:t>
      </w:r>
      <w:r>
        <w:rPr>
          <w:lang w:val="ru-RU"/>
        </w:rPr>
        <w:t xml:space="preserve"> года</w:t>
      </w:r>
      <w:r>
        <w:t>.</w:t>
      </w:r>
    </w:p>
  </w:footnote>
  <w:footnote w:id="45">
    <w:p w:rsidR="008C3F32" w:rsidRDefault="008C3F32">
      <w:pPr>
        <w:pStyle w:val="FootnoteText"/>
      </w:pPr>
      <w:r>
        <w:rPr>
          <w:lang w:val="ru-RU"/>
        </w:rPr>
        <w:tab/>
      </w:r>
      <w:r>
        <w:rPr>
          <w:rStyle w:val="FootnoteReference"/>
          <w:sz w:val="17"/>
        </w:rPr>
        <w:footnoteRef/>
      </w:r>
      <w:r>
        <w:t xml:space="preserve"> </w:t>
      </w:r>
      <w:r>
        <w:rPr>
          <w:lang w:val="en-US"/>
        </w:rPr>
        <w:tab/>
      </w:r>
      <w:r>
        <w:rPr>
          <w:lang w:val="ru-RU"/>
        </w:rPr>
        <w:t>Документ</w:t>
      </w:r>
      <w:r>
        <w:rPr>
          <w:lang w:val="es-EC"/>
        </w:rPr>
        <w:t xml:space="preserve"> “Argumentos a favor de los derechos sexuales y reproductivos”, </w:t>
      </w:r>
      <w:r>
        <w:rPr>
          <w:lang w:val="ru-RU"/>
        </w:rPr>
        <w:t>КОНАМУ</w:t>
      </w:r>
      <w:r>
        <w:rPr>
          <w:lang w:val="es-EC"/>
        </w:rPr>
        <w:t xml:space="preserve">, </w:t>
      </w:r>
      <w:r>
        <w:rPr>
          <w:lang w:val="ru-RU"/>
        </w:rPr>
        <w:t>август</w:t>
      </w:r>
      <w:r>
        <w:rPr>
          <w:lang w:val="es-EC"/>
        </w:rPr>
        <w:t xml:space="preserve"> 2006</w:t>
      </w:r>
      <w:r>
        <w:rPr>
          <w:lang w:val="en-US"/>
        </w:rPr>
        <w:t xml:space="preserve"> </w:t>
      </w:r>
      <w:r>
        <w:rPr>
          <w:lang w:val="ru-RU"/>
        </w:rPr>
        <w:t>года</w:t>
      </w:r>
      <w:r>
        <w:rPr>
          <w:lang w:val="es-EC"/>
        </w:rPr>
        <w:t>.</w:t>
      </w:r>
    </w:p>
  </w:footnote>
  <w:footnote w:id="46">
    <w:p w:rsidR="008C3F32" w:rsidRDefault="008C3F32">
      <w:pPr>
        <w:pStyle w:val="FootnoteText"/>
        <w:rPr>
          <w:lang w:val="ru-RU"/>
        </w:rPr>
      </w:pPr>
      <w:r>
        <w:rPr>
          <w:lang w:val="en-US"/>
        </w:rPr>
        <w:tab/>
      </w:r>
      <w:r>
        <w:rPr>
          <w:rStyle w:val="FootnoteReference"/>
          <w:sz w:val="17"/>
        </w:rPr>
        <w:footnoteRef/>
      </w:r>
      <w:r>
        <w:rPr>
          <w:lang w:val="ru-RU"/>
        </w:rPr>
        <w:t xml:space="preserve"> </w:t>
      </w:r>
      <w:r>
        <w:rPr>
          <w:lang w:val="ru-RU"/>
        </w:rPr>
        <w:tab/>
        <w:t>В Кито этот протест поддержали, в числе прочих, Координационный совет по проблемам молодежной политики, Национальный женский форум Эквадора, движение "Женщины за жизнь", СЕПАМ, СЕПАР, Ассоциация молодых христиан, организация "Руптура де лос 25", Ассамблея женщин Кито. В других городах активное участие в мероприятиях в поддержку Органического закона о здравоохранении приняли ГАММА (Куэнка), СЕПАМ (Гуаякиль), Движение женщин Эль</w:t>
      </w:r>
      <w:r>
        <w:rPr>
          <w:lang w:val="ru-RU"/>
        </w:rPr>
        <w:noBreakHyphen/>
        <w:t>Оро.</w:t>
      </w:r>
    </w:p>
  </w:footnote>
  <w:footnote w:id="47">
    <w:p w:rsidR="008C3F32" w:rsidRDefault="008C3F32">
      <w:pPr>
        <w:pStyle w:val="FootnoteText"/>
      </w:pPr>
      <w:r>
        <w:rPr>
          <w:lang w:val="ru-RU"/>
        </w:rPr>
        <w:tab/>
      </w:r>
      <w:r>
        <w:rPr>
          <w:rStyle w:val="FootnoteReference"/>
          <w:sz w:val="17"/>
        </w:rPr>
        <w:footnoteRef/>
      </w:r>
      <w:r>
        <w:t xml:space="preserve"> </w:t>
      </w:r>
      <w:r>
        <w:rPr>
          <w:lang w:val="en-US"/>
        </w:rPr>
        <w:tab/>
      </w:r>
      <w:r>
        <w:rPr>
          <w:lang w:val="ru-RU"/>
        </w:rPr>
        <w:t>Документ</w:t>
      </w:r>
      <w:r>
        <w:rPr>
          <w:lang w:val="es-EC"/>
        </w:rPr>
        <w:t xml:space="preserve"> “Argumentos a favor de los derechos sexuales y reproductivos”, </w:t>
      </w:r>
      <w:r>
        <w:rPr>
          <w:lang w:val="ru-RU"/>
        </w:rPr>
        <w:t>КОНАМУ</w:t>
      </w:r>
      <w:r>
        <w:rPr>
          <w:lang w:val="es-EC"/>
        </w:rPr>
        <w:t xml:space="preserve">, </w:t>
      </w:r>
      <w:r>
        <w:rPr>
          <w:lang w:val="ru-RU"/>
        </w:rPr>
        <w:t>август</w:t>
      </w:r>
      <w:r>
        <w:rPr>
          <w:lang w:val="es-EC"/>
        </w:rPr>
        <w:t xml:space="preserve"> 2006</w:t>
      </w:r>
      <w:r>
        <w:rPr>
          <w:lang w:val="en-US"/>
        </w:rPr>
        <w:t xml:space="preserve"> </w:t>
      </w:r>
      <w:r>
        <w:rPr>
          <w:lang w:val="ru-RU"/>
        </w:rPr>
        <w:t>года</w:t>
      </w:r>
      <w:r>
        <w:rPr>
          <w:lang w:val="es-EC"/>
        </w:rPr>
        <w:t>.</w:t>
      </w:r>
    </w:p>
  </w:footnote>
  <w:footnote w:id="48">
    <w:p w:rsidR="008C3F32" w:rsidRDefault="008C3F32">
      <w:pPr>
        <w:pStyle w:val="FootnoteText"/>
        <w:rPr>
          <w:lang w:val="ru-RU"/>
        </w:rPr>
      </w:pPr>
      <w:r>
        <w:rPr>
          <w:lang w:val="en-US"/>
        </w:rPr>
        <w:tab/>
      </w:r>
      <w:r>
        <w:rPr>
          <w:rStyle w:val="FootnoteReference"/>
          <w:sz w:val="17"/>
        </w:rPr>
        <w:footnoteRef/>
      </w:r>
      <w:r>
        <w:rPr>
          <w:lang w:val="ru-RU"/>
        </w:rPr>
        <w:t xml:space="preserve"> </w:t>
      </w:r>
      <w:r>
        <w:rPr>
          <w:lang w:val="ru-RU"/>
        </w:rPr>
        <w:tab/>
        <w:t xml:space="preserve">Опубликован в "Рехистро офисиаль", № 285, 27 марта 1998 </w:t>
      </w:r>
      <w:r>
        <w:rPr>
          <w:bCs/>
          <w:lang w:val="ru-RU"/>
        </w:rPr>
        <w:t>года</w:t>
      </w:r>
      <w:r>
        <w:rPr>
          <w:lang w:val="ru-RU"/>
        </w:rPr>
        <w:t>.</w:t>
      </w:r>
    </w:p>
  </w:footnote>
  <w:footnote w:id="49">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 xml:space="preserve">В состав КАИ входят КОНАМУ, Национальный совет по делам детей и подростков, ЮНФПА, </w:t>
      </w:r>
      <w:r>
        <w:t>CARE</w:t>
      </w:r>
      <w:r>
        <w:rPr>
          <w:lang w:val="ru-RU"/>
        </w:rPr>
        <w:t xml:space="preserve"> </w:t>
      </w:r>
      <w:r>
        <w:t>Internacional</w:t>
      </w:r>
      <w:r>
        <w:rPr>
          <w:lang w:val="ru-RU"/>
        </w:rPr>
        <w:t xml:space="preserve">, </w:t>
      </w:r>
      <w:r>
        <w:t>Plan Internacional, MAP Internacional</w:t>
      </w:r>
      <w:r>
        <w:rPr>
          <w:lang w:val="ru-RU"/>
        </w:rPr>
        <w:t>, "Подростки Эквадора" и Министерство здравоохранения. Руководит работой Комитета Министерство образования и культуры через ПРОНЕСА.</w:t>
      </w:r>
    </w:p>
  </w:footnote>
  <w:footnote w:id="50">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Дело о наложении судебного запрета на основании Конституции № 0014-2005-</w:t>
      </w:r>
      <w:r>
        <w:t>RA</w:t>
      </w:r>
      <w:r>
        <w:rPr>
          <w:lang w:val="ru-RU"/>
        </w:rPr>
        <w:t>.</w:t>
      </w:r>
    </w:p>
  </w:footnote>
  <w:footnote w:id="51">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r>
      <w:r>
        <w:rPr>
          <w:lang w:val="ru-RU" w:eastAsia="es-ES"/>
        </w:rPr>
        <w:t>Согласно приводимым в докладе ВОЗ данным, таблетки, "содержащие левоноргестрел, предупреждают овуляцию, а будучи принятыми после овуляции, не оказывают поддающегося определению воздействия на эндометрий (внутреннюю поверхность матки) или на уровень прогестерона. Таблетки для срочной контрацепции не действуют, если процесс имплантации уже начался, и не вызывают аборта". Информационный бюллетень "КОНАМУ по поводу решения Конституционного суда" (“</w:t>
      </w:r>
      <w:r>
        <w:rPr>
          <w:lang w:eastAsia="es-ES"/>
        </w:rPr>
        <w:t>El</w:t>
      </w:r>
      <w:r>
        <w:rPr>
          <w:lang w:val="ru-RU" w:eastAsia="es-ES"/>
        </w:rPr>
        <w:t xml:space="preserve"> </w:t>
      </w:r>
      <w:r>
        <w:rPr>
          <w:lang w:eastAsia="es-ES"/>
        </w:rPr>
        <w:t>CONAMU</w:t>
      </w:r>
      <w:r>
        <w:rPr>
          <w:lang w:val="ru-RU" w:eastAsia="es-ES"/>
        </w:rPr>
        <w:t xml:space="preserve"> </w:t>
      </w:r>
      <w:r>
        <w:rPr>
          <w:lang w:eastAsia="es-ES"/>
        </w:rPr>
        <w:t>ante</w:t>
      </w:r>
      <w:r>
        <w:rPr>
          <w:lang w:val="ru-RU" w:eastAsia="es-ES"/>
        </w:rPr>
        <w:t xml:space="preserve"> </w:t>
      </w:r>
      <w:r>
        <w:rPr>
          <w:lang w:eastAsia="es-ES"/>
        </w:rPr>
        <w:t>la</w:t>
      </w:r>
      <w:r>
        <w:rPr>
          <w:lang w:val="ru-RU" w:eastAsia="es-ES"/>
        </w:rPr>
        <w:t xml:space="preserve"> </w:t>
      </w:r>
      <w:r>
        <w:rPr>
          <w:lang w:eastAsia="es-ES"/>
        </w:rPr>
        <w:t>resoluci</w:t>
      </w:r>
      <w:r>
        <w:rPr>
          <w:lang w:val="ru-RU" w:eastAsia="es-ES"/>
        </w:rPr>
        <w:t>ó</w:t>
      </w:r>
      <w:r>
        <w:rPr>
          <w:lang w:eastAsia="es-ES"/>
        </w:rPr>
        <w:t>n</w:t>
      </w:r>
      <w:r>
        <w:rPr>
          <w:lang w:val="ru-RU" w:eastAsia="es-ES"/>
        </w:rPr>
        <w:t xml:space="preserve"> </w:t>
      </w:r>
      <w:r>
        <w:rPr>
          <w:lang w:eastAsia="es-ES"/>
        </w:rPr>
        <w:t>del</w:t>
      </w:r>
      <w:r>
        <w:rPr>
          <w:lang w:val="ru-RU" w:eastAsia="es-ES"/>
        </w:rPr>
        <w:t xml:space="preserve"> </w:t>
      </w:r>
      <w:r>
        <w:rPr>
          <w:lang w:eastAsia="es-ES"/>
        </w:rPr>
        <w:t>Tribunal</w:t>
      </w:r>
      <w:r>
        <w:rPr>
          <w:lang w:val="ru-RU" w:eastAsia="es-ES"/>
        </w:rPr>
        <w:t xml:space="preserve"> </w:t>
      </w:r>
      <w:r>
        <w:rPr>
          <w:lang w:eastAsia="es-ES"/>
        </w:rPr>
        <w:t>Constitucional</w:t>
      </w:r>
      <w:r>
        <w:rPr>
          <w:lang w:val="ru-RU" w:eastAsia="es-ES"/>
        </w:rPr>
        <w:t>”). Май 2006 года.</w:t>
      </w:r>
    </w:p>
  </w:footnote>
  <w:footnote w:id="52">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 xml:space="preserve">Кампании по пропаганде сексуальных и репродуктивных прав и предупреждению инфицирования ВИЧ/СПИДом и заболеваниями, передаваемыми половым путем, планируется провести в школах Гуаякиля, </w:t>
      </w:r>
      <w:r>
        <w:rPr>
          <w:lang w:val="ru-RU" w:eastAsia="es-ES"/>
        </w:rPr>
        <w:t>Мачалы, Куэнки и Кито. Эти города были определены в качестве зон возможного распространения ВИЧ/СПИДа среди подростков.</w:t>
      </w:r>
    </w:p>
  </w:footnote>
  <w:footnote w:id="53">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Опубликован в "Рехистро офисиаль", № 58, 14 апреля 2000 года.</w:t>
      </w:r>
    </w:p>
  </w:footnote>
  <w:footnote w:id="54">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 xml:space="preserve">Отдел по осуществлению </w:t>
      </w:r>
      <w:r>
        <w:rPr>
          <w:caps/>
          <w:lang w:val="ru-RU"/>
        </w:rPr>
        <w:t>з</w:t>
      </w:r>
      <w:r>
        <w:rPr>
          <w:lang w:val="ru-RU"/>
        </w:rPr>
        <w:t>акона о бесплатной охране здоровья матери и уходе за новорожденными, КОНАСА, Министерство здравоохранения, КОНАМУ, Система социального страхования крестьян, ассоциация "За благополучие эквадорских семей" и Исследовательский центр по вопросам народонаселения и социального развития, Проект по контролю качества/Университетская исследовательская корпорация (США), НПО "</w:t>
      </w:r>
      <w:r>
        <w:t>Plan Internacional</w:t>
      </w:r>
      <w:r>
        <w:rPr>
          <w:lang w:val="ru-RU"/>
        </w:rPr>
        <w:t>", приют Народный центр помощи женщинам, организация "Фэмили кэр интернэшнл" и такие международные организации, как ЮНФПА и Управление по обслуживанию проектов.</w:t>
      </w:r>
    </w:p>
  </w:footnote>
  <w:footnote w:id="55">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r>
      <w:r>
        <w:t>www</w:t>
      </w:r>
      <w:r>
        <w:rPr>
          <w:lang w:val="ru-RU"/>
        </w:rPr>
        <w:t>.</w:t>
      </w:r>
      <w:r>
        <w:t>conam</w:t>
      </w:r>
      <w:r>
        <w:rPr>
          <w:lang w:val="ru-RU"/>
        </w:rPr>
        <w:t>.</w:t>
      </w:r>
      <w:r>
        <w:t>gov</w:t>
      </w:r>
      <w:r>
        <w:rPr>
          <w:lang w:val="ru-RU"/>
        </w:rPr>
        <w:t>.</w:t>
      </w:r>
      <w:r>
        <w:t>ec</w:t>
      </w:r>
      <w:r>
        <w:rPr>
          <w:lang w:val="ru-RU"/>
        </w:rPr>
        <w:t>.</w:t>
      </w:r>
    </w:p>
  </w:footnote>
  <w:footnote w:id="56">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До августа 2006 года действовали соглашения с семью кредитными учреждениями о предоставлении микрокредитов малообеспеченным женщинам в пяти кантонах страны: Санта</w:t>
      </w:r>
      <w:r>
        <w:rPr>
          <w:lang w:val="ru-RU"/>
        </w:rPr>
        <w:noBreakHyphen/>
        <w:t>Элене, Гуаякиле, Мачале, Коке и Гуамоте.</w:t>
      </w:r>
    </w:p>
  </w:footnote>
  <w:footnote w:id="57">
    <w:p w:rsidR="008C3F32" w:rsidRDefault="008C3F32">
      <w:pPr>
        <w:pStyle w:val="FootnoteText"/>
        <w:rPr>
          <w:lang w:val="ru-RU"/>
        </w:rPr>
      </w:pPr>
      <w:r>
        <w:rPr>
          <w:lang w:val="ru-RU"/>
        </w:rPr>
        <w:tab/>
      </w:r>
      <w:r>
        <w:rPr>
          <w:rStyle w:val="FootnoteReference"/>
          <w:sz w:val="17"/>
        </w:rPr>
        <w:footnoteRef/>
      </w:r>
      <w:r>
        <w:rPr>
          <w:lang w:val="ru-RU"/>
        </w:rPr>
        <w:t xml:space="preserve"> </w:t>
      </w:r>
      <w:r>
        <w:rPr>
          <w:lang w:val="ru-RU"/>
        </w:rPr>
        <w:tab/>
        <w:t>Первые инспекторские проверки, проведенные в октябре 2006 года в провинции Каньяр, показали, что на 9 обследованных предприятиях работали 12 мужчин с инвалидностью и ни одной женщины.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8C3F32">
      <w:tblPrEx>
        <w:tblCellMar>
          <w:top w:w="0" w:type="dxa"/>
          <w:bottom w:w="0" w:type="dxa"/>
        </w:tblCellMar>
      </w:tblPrEx>
      <w:trPr>
        <w:trHeight w:hRule="exact" w:val="864"/>
      </w:trPr>
      <w:tc>
        <w:tcPr>
          <w:tcW w:w="4838" w:type="dxa"/>
          <w:vAlign w:val="bottom"/>
        </w:tcPr>
        <w:p w:rsidR="008C3F32" w:rsidRDefault="008C3F32">
          <w:pPr>
            <w:pStyle w:val="Header"/>
            <w:spacing w:after="80"/>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c>
        <w:tcPr>
          <w:tcW w:w="4995" w:type="dxa"/>
          <w:vAlign w:val="bottom"/>
        </w:tcPr>
        <w:p w:rsidR="008C3F32" w:rsidRDefault="008C3F32">
          <w:pPr>
            <w:pStyle w:val="Header"/>
          </w:pPr>
        </w:p>
      </w:tc>
    </w:tr>
  </w:tbl>
  <w:p w:rsidR="008C3F32" w:rsidRDefault="008C3F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8C3F32">
      <w:tblPrEx>
        <w:tblCellMar>
          <w:top w:w="0" w:type="dxa"/>
          <w:bottom w:w="0" w:type="dxa"/>
        </w:tblCellMar>
      </w:tblPrEx>
      <w:trPr>
        <w:trHeight w:hRule="exact" w:val="864"/>
      </w:trPr>
      <w:tc>
        <w:tcPr>
          <w:tcW w:w="4838" w:type="dxa"/>
          <w:vAlign w:val="bottom"/>
        </w:tcPr>
        <w:p w:rsidR="008C3F32" w:rsidRDefault="008C3F32">
          <w:pPr>
            <w:pStyle w:val="Header"/>
          </w:pPr>
        </w:p>
      </w:tc>
      <w:tc>
        <w:tcPr>
          <w:tcW w:w="4995" w:type="dxa"/>
          <w:vAlign w:val="bottom"/>
        </w:tcPr>
        <w:p w:rsidR="008C3F32" w:rsidRDefault="008C3F3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r>
  </w:tbl>
  <w:p w:rsidR="008C3F32" w:rsidRDefault="008C3F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4694"/>
      <w:gridCol w:w="1286"/>
      <w:gridCol w:w="210"/>
      <w:gridCol w:w="2415"/>
    </w:tblGrid>
    <w:tr w:rsidR="008C3F32">
      <w:tblPrEx>
        <w:tblCellMar>
          <w:top w:w="0" w:type="dxa"/>
          <w:left w:w="0" w:type="dxa"/>
          <w:bottom w:w="0" w:type="dxa"/>
          <w:right w:w="0" w:type="dxa"/>
        </w:tblCellMar>
      </w:tblPrEx>
      <w:trPr>
        <w:cantSplit/>
        <w:trHeight w:hRule="exact" w:val="864"/>
      </w:trPr>
      <w:tc>
        <w:tcPr>
          <w:tcW w:w="7245" w:type="dxa"/>
          <w:gridSpan w:val="3"/>
          <w:tcBorders>
            <w:top w:val="nil"/>
            <w:left w:val="nil"/>
            <w:bottom w:val="single" w:sz="6" w:space="0" w:color="auto"/>
            <w:right w:val="nil"/>
          </w:tcBorders>
          <w:vAlign w:val="bottom"/>
        </w:tcPr>
        <w:p w:rsidR="008C3F32" w:rsidRDefault="008C3F32">
          <w:pPr>
            <w:pStyle w:val="HCh"/>
            <w:spacing w:after="80"/>
            <w:ind w:left="1260"/>
            <w:rPr>
              <w:b w:val="0"/>
              <w:spacing w:val="0"/>
              <w:w w:val="100"/>
              <w:kern w:val="0"/>
              <w:lang w:val="ru-RU"/>
            </w:rPr>
          </w:pPr>
          <w:r>
            <w:rPr>
              <w:b w:val="0"/>
              <w:spacing w:val="0"/>
              <w:w w:val="100"/>
              <w:kern w:val="0"/>
              <w:lang w:val="ru-RU"/>
            </w:rPr>
            <w:t>Организация Объединенных Наций</w:t>
          </w:r>
        </w:p>
      </w:tc>
      <w:tc>
        <w:tcPr>
          <w:tcW w:w="210" w:type="dxa"/>
          <w:tcBorders>
            <w:top w:val="nil"/>
            <w:left w:val="nil"/>
            <w:bottom w:val="single" w:sz="6" w:space="0" w:color="auto"/>
            <w:right w:val="nil"/>
          </w:tcBorders>
          <w:vAlign w:val="bottom"/>
        </w:tcPr>
        <w:p w:rsidR="008C3F32" w:rsidRDefault="008C3F32">
          <w:pPr>
            <w:pStyle w:val="Header"/>
            <w:spacing w:after="120"/>
            <w:rPr>
              <w:lang w:val="ru-RU"/>
            </w:rPr>
          </w:pPr>
        </w:p>
      </w:tc>
      <w:tc>
        <w:tcPr>
          <w:tcW w:w="2415" w:type="dxa"/>
          <w:tcBorders>
            <w:top w:val="nil"/>
            <w:left w:val="nil"/>
            <w:bottom w:val="single" w:sz="6" w:space="0" w:color="auto"/>
            <w:right w:val="nil"/>
          </w:tcBorders>
          <w:vAlign w:val="bottom"/>
        </w:tcPr>
        <w:p w:rsidR="008C3F32" w:rsidRDefault="008C3F32">
          <w:pPr>
            <w:pStyle w:val="Header"/>
            <w:spacing w:after="20"/>
            <w:jc w:val="right"/>
            <w:rPr>
              <w:sz w:val="20"/>
            </w:rPr>
          </w:pPr>
          <w:r>
            <w:rPr>
              <w:sz w:val="40"/>
            </w:rPr>
            <w:t>CEDAW</w:t>
          </w:r>
          <w:r>
            <w:rPr>
              <w:sz w:val="20"/>
            </w:rPr>
            <w:t>/C/ECU/7</w:t>
          </w:r>
        </w:p>
      </w:tc>
    </w:tr>
    <w:tr w:rsidR="008C3F32">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8C3F32" w:rsidRDefault="008C3F32">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C3F32" w:rsidRDefault="008C3F32">
          <w:pPr>
            <w:pStyle w:val="Header"/>
            <w:spacing w:before="109"/>
            <w:rPr>
              <w:lang w:val="ru-RU"/>
            </w:rPr>
          </w:pPr>
        </w:p>
      </w:tc>
      <w:tc>
        <w:tcPr>
          <w:tcW w:w="4694" w:type="dxa"/>
          <w:tcBorders>
            <w:top w:val="single" w:sz="6" w:space="0" w:color="auto"/>
            <w:left w:val="nil"/>
            <w:bottom w:val="single" w:sz="12" w:space="0" w:color="auto"/>
            <w:right w:val="nil"/>
          </w:tcBorders>
        </w:tcPr>
        <w:p w:rsidR="008C3F32" w:rsidRDefault="008C3F32">
          <w:pPr>
            <w:pStyle w:val="XLarge"/>
            <w:spacing w:before="240" w:line="330" w:lineRule="exact"/>
            <w:rPr>
              <w:spacing w:val="0"/>
              <w:w w:val="100"/>
              <w:kern w:val="0"/>
              <w:sz w:val="32"/>
              <w:lang w:val="ru-RU"/>
            </w:rPr>
          </w:pPr>
          <w:r>
            <w:rPr>
              <w:spacing w:val="0"/>
              <w:w w:val="100"/>
              <w:kern w:val="0"/>
              <w:sz w:val="32"/>
              <w:lang w:val="ru-RU"/>
            </w:rPr>
            <w:t xml:space="preserve">Конвенция о ликвидации </w:t>
          </w:r>
          <w:r>
            <w:rPr>
              <w:spacing w:val="0"/>
              <w:w w:val="100"/>
              <w:kern w:val="0"/>
              <w:sz w:val="32"/>
              <w:lang w:val="ru-RU"/>
            </w:rPr>
            <w:br/>
            <w:t xml:space="preserve">всех форм дискриминации </w:t>
          </w:r>
          <w:r>
            <w:rPr>
              <w:spacing w:val="0"/>
              <w:w w:val="100"/>
              <w:kern w:val="0"/>
              <w:sz w:val="32"/>
              <w:lang w:val="ru-RU"/>
            </w:rPr>
            <w:br/>
            <w:t>в отношении женщин</w:t>
          </w:r>
        </w:p>
      </w:tc>
      <w:tc>
        <w:tcPr>
          <w:tcW w:w="1496" w:type="dxa"/>
          <w:gridSpan w:val="2"/>
          <w:tcBorders>
            <w:top w:val="single" w:sz="6" w:space="0" w:color="auto"/>
            <w:left w:val="nil"/>
            <w:bottom w:val="single" w:sz="12" w:space="0" w:color="auto"/>
            <w:right w:val="nil"/>
          </w:tcBorders>
        </w:tcPr>
        <w:p w:rsidR="008C3F32" w:rsidRDefault="008C3F32">
          <w:pPr>
            <w:pStyle w:val="Header"/>
            <w:spacing w:before="109"/>
            <w:rPr>
              <w:lang w:val="ru-RU"/>
            </w:rPr>
          </w:pPr>
        </w:p>
      </w:tc>
      <w:tc>
        <w:tcPr>
          <w:tcW w:w="2415" w:type="dxa"/>
          <w:tcBorders>
            <w:top w:val="single" w:sz="6" w:space="0" w:color="auto"/>
            <w:left w:val="nil"/>
            <w:bottom w:val="single" w:sz="12" w:space="0" w:color="auto"/>
            <w:right w:val="nil"/>
          </w:tcBorders>
        </w:tcPr>
        <w:p w:rsidR="008C3F32" w:rsidRDefault="008C3F32">
          <w:pPr>
            <w:spacing w:before="240"/>
            <w:rPr>
              <w:spacing w:val="0"/>
              <w:w w:val="100"/>
              <w:kern w:val="0"/>
              <w:lang w:val="en-US"/>
            </w:rPr>
          </w:pPr>
          <w:r>
            <w:rPr>
              <w:spacing w:val="0"/>
              <w:w w:val="100"/>
              <w:kern w:val="0"/>
              <w:lang w:val="en-US"/>
            </w:rPr>
            <w:t>Distr.: General</w:t>
          </w:r>
        </w:p>
        <w:p w:rsidR="008C3F32" w:rsidRDefault="008C3F32">
          <w:pPr>
            <w:pStyle w:val="H56"/>
            <w:keepNext w:val="0"/>
            <w:keepLines w:val="0"/>
            <w:tabs>
              <w:tab w:val="clear" w:pos="360"/>
            </w:tabs>
            <w:suppressAutoHyphens w:val="0"/>
            <w:spacing w:line="240" w:lineRule="auto"/>
            <w:outlineLvl w:val="9"/>
            <w:rPr>
              <w:spacing w:val="0"/>
              <w:w w:val="100"/>
              <w:kern w:val="0"/>
              <w:lang w:val="en-US"/>
            </w:rPr>
          </w:pPr>
          <w:r>
            <w:rPr>
              <w:spacing w:val="0"/>
              <w:w w:val="100"/>
              <w:kern w:val="0"/>
              <w:lang w:val="en-US"/>
            </w:rPr>
            <w:t>2 March 2007</w:t>
          </w:r>
        </w:p>
        <w:p w:rsidR="008C3F32" w:rsidRDefault="008C3F32">
          <w:pPr>
            <w:rPr>
              <w:spacing w:val="0"/>
              <w:w w:val="100"/>
              <w:kern w:val="0"/>
              <w:lang w:val="en-US"/>
            </w:rPr>
          </w:pPr>
        </w:p>
        <w:p w:rsidR="008C3F32" w:rsidRDefault="008C3F32">
          <w:pPr>
            <w:rPr>
              <w:spacing w:val="0"/>
              <w:w w:val="100"/>
              <w:kern w:val="0"/>
              <w:lang w:val="en-US"/>
            </w:rPr>
          </w:pPr>
          <w:r>
            <w:rPr>
              <w:spacing w:val="0"/>
              <w:w w:val="100"/>
              <w:kern w:val="0"/>
              <w:lang w:val="en-US"/>
            </w:rPr>
            <w:t>Russian</w:t>
          </w:r>
        </w:p>
        <w:p w:rsidR="008C3F32" w:rsidRDefault="008C3F32">
          <w:pPr>
            <w:pStyle w:val="H56"/>
            <w:keepNext w:val="0"/>
            <w:keepLines w:val="0"/>
            <w:tabs>
              <w:tab w:val="clear" w:pos="360"/>
            </w:tabs>
            <w:suppressAutoHyphens w:val="0"/>
            <w:outlineLvl w:val="9"/>
            <w:rPr>
              <w:spacing w:val="0"/>
              <w:w w:val="100"/>
              <w:kern w:val="0"/>
              <w:lang w:val="en-US"/>
            </w:rPr>
          </w:pPr>
          <w:r>
            <w:rPr>
              <w:spacing w:val="0"/>
              <w:w w:val="100"/>
              <w:kern w:val="0"/>
              <w:lang w:val="en-US"/>
            </w:rPr>
            <w:t>Original: Spanish</w:t>
          </w:r>
        </w:p>
      </w:tc>
    </w:tr>
  </w:tbl>
  <w:p w:rsidR="008C3F32" w:rsidRDefault="008C3F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9242C"/>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
    <w:nsid w:val="135E25AB"/>
    <w:multiLevelType w:val="hybridMultilevel"/>
    <w:tmpl w:val="0FA22B12"/>
    <w:lvl w:ilvl="0" w:tplc="93489C5C">
      <w:start w:val="1"/>
      <w:numFmt w:val="decimal"/>
      <w:lvlText w:val="%1."/>
      <w:lvlJc w:val="left"/>
      <w:pPr>
        <w:tabs>
          <w:tab w:val="num" w:pos="1747"/>
        </w:tabs>
        <w:ind w:left="1747" w:hanging="480"/>
      </w:pPr>
      <w:rPr>
        <w:rFonts w:hint="default"/>
      </w:rPr>
    </w:lvl>
    <w:lvl w:ilvl="1" w:tplc="0C0A0019" w:tentative="1">
      <w:start w:val="1"/>
      <w:numFmt w:val="lowerLetter"/>
      <w:lvlText w:val="%2."/>
      <w:lvlJc w:val="left"/>
      <w:pPr>
        <w:tabs>
          <w:tab w:val="num" w:pos="2347"/>
        </w:tabs>
        <w:ind w:left="2347" w:hanging="360"/>
      </w:pPr>
    </w:lvl>
    <w:lvl w:ilvl="2" w:tplc="0C0A001B" w:tentative="1">
      <w:start w:val="1"/>
      <w:numFmt w:val="lowerRoman"/>
      <w:lvlText w:val="%3."/>
      <w:lvlJc w:val="right"/>
      <w:pPr>
        <w:tabs>
          <w:tab w:val="num" w:pos="3067"/>
        </w:tabs>
        <w:ind w:left="3067" w:hanging="180"/>
      </w:pPr>
    </w:lvl>
    <w:lvl w:ilvl="3" w:tplc="0C0A000F" w:tentative="1">
      <w:start w:val="1"/>
      <w:numFmt w:val="decimal"/>
      <w:lvlText w:val="%4."/>
      <w:lvlJc w:val="left"/>
      <w:pPr>
        <w:tabs>
          <w:tab w:val="num" w:pos="3787"/>
        </w:tabs>
        <w:ind w:left="3787" w:hanging="360"/>
      </w:pPr>
    </w:lvl>
    <w:lvl w:ilvl="4" w:tplc="0C0A0019" w:tentative="1">
      <w:start w:val="1"/>
      <w:numFmt w:val="lowerLetter"/>
      <w:lvlText w:val="%5."/>
      <w:lvlJc w:val="left"/>
      <w:pPr>
        <w:tabs>
          <w:tab w:val="num" w:pos="4507"/>
        </w:tabs>
        <w:ind w:left="4507" w:hanging="360"/>
      </w:pPr>
    </w:lvl>
    <w:lvl w:ilvl="5" w:tplc="0C0A001B" w:tentative="1">
      <w:start w:val="1"/>
      <w:numFmt w:val="lowerRoman"/>
      <w:lvlText w:val="%6."/>
      <w:lvlJc w:val="right"/>
      <w:pPr>
        <w:tabs>
          <w:tab w:val="num" w:pos="5227"/>
        </w:tabs>
        <w:ind w:left="5227" w:hanging="180"/>
      </w:pPr>
    </w:lvl>
    <w:lvl w:ilvl="6" w:tplc="0C0A000F" w:tentative="1">
      <w:start w:val="1"/>
      <w:numFmt w:val="decimal"/>
      <w:lvlText w:val="%7."/>
      <w:lvlJc w:val="left"/>
      <w:pPr>
        <w:tabs>
          <w:tab w:val="num" w:pos="5947"/>
        </w:tabs>
        <w:ind w:left="5947" w:hanging="360"/>
      </w:pPr>
    </w:lvl>
    <w:lvl w:ilvl="7" w:tplc="0C0A0019" w:tentative="1">
      <w:start w:val="1"/>
      <w:numFmt w:val="lowerLetter"/>
      <w:lvlText w:val="%8."/>
      <w:lvlJc w:val="left"/>
      <w:pPr>
        <w:tabs>
          <w:tab w:val="num" w:pos="6667"/>
        </w:tabs>
        <w:ind w:left="6667" w:hanging="360"/>
      </w:pPr>
    </w:lvl>
    <w:lvl w:ilvl="8" w:tplc="0C0A001B" w:tentative="1">
      <w:start w:val="1"/>
      <w:numFmt w:val="lowerRoman"/>
      <w:lvlText w:val="%9."/>
      <w:lvlJc w:val="right"/>
      <w:pPr>
        <w:tabs>
          <w:tab w:val="num" w:pos="7387"/>
        </w:tabs>
        <w:ind w:left="7387" w:hanging="180"/>
      </w:pPr>
    </w:lvl>
  </w:abstractNum>
  <w:abstractNum w:abstractNumId="2">
    <w:nsid w:val="1C5942F9"/>
    <w:multiLevelType w:val="singleLevel"/>
    <w:tmpl w:val="811A2A04"/>
    <w:lvl w:ilvl="0">
      <w:start w:val="327"/>
      <w:numFmt w:val="decimal"/>
      <w:lvlRestart w:val="0"/>
      <w:lvlText w:val="%1."/>
      <w:lvlJc w:val="left"/>
      <w:pPr>
        <w:tabs>
          <w:tab w:val="num" w:pos="475"/>
        </w:tabs>
        <w:ind w:left="0" w:firstLine="0"/>
      </w:pPr>
      <w:rPr>
        <w:spacing w:val="0"/>
        <w:w w:val="100"/>
      </w:rPr>
    </w:lvl>
  </w:abstractNum>
  <w:abstractNum w:abstractNumId="3">
    <w:nsid w:val="220B26F7"/>
    <w:multiLevelType w:val="hybridMultilevel"/>
    <w:tmpl w:val="0652F5E0"/>
    <w:lvl w:ilvl="0" w:tplc="E7006780">
      <w:start w:val="1"/>
      <w:numFmt w:val="decimal"/>
      <w:lvlText w:val="%1."/>
      <w:lvlJc w:val="left"/>
      <w:pPr>
        <w:tabs>
          <w:tab w:val="num" w:pos="1627"/>
        </w:tabs>
        <w:ind w:left="1627" w:hanging="360"/>
      </w:pPr>
      <w:rPr>
        <w:rFonts w:hint="default"/>
      </w:rPr>
    </w:lvl>
    <w:lvl w:ilvl="1" w:tplc="0C0A0019" w:tentative="1">
      <w:start w:val="1"/>
      <w:numFmt w:val="lowerLetter"/>
      <w:lvlText w:val="%2."/>
      <w:lvlJc w:val="left"/>
      <w:pPr>
        <w:tabs>
          <w:tab w:val="num" w:pos="2347"/>
        </w:tabs>
        <w:ind w:left="2347" w:hanging="360"/>
      </w:pPr>
    </w:lvl>
    <w:lvl w:ilvl="2" w:tplc="0C0A001B" w:tentative="1">
      <w:start w:val="1"/>
      <w:numFmt w:val="lowerRoman"/>
      <w:lvlText w:val="%3."/>
      <w:lvlJc w:val="right"/>
      <w:pPr>
        <w:tabs>
          <w:tab w:val="num" w:pos="3067"/>
        </w:tabs>
        <w:ind w:left="3067" w:hanging="180"/>
      </w:pPr>
    </w:lvl>
    <w:lvl w:ilvl="3" w:tplc="0C0A000F" w:tentative="1">
      <w:start w:val="1"/>
      <w:numFmt w:val="decimal"/>
      <w:lvlText w:val="%4."/>
      <w:lvlJc w:val="left"/>
      <w:pPr>
        <w:tabs>
          <w:tab w:val="num" w:pos="3787"/>
        </w:tabs>
        <w:ind w:left="3787" w:hanging="360"/>
      </w:pPr>
    </w:lvl>
    <w:lvl w:ilvl="4" w:tplc="0C0A0019" w:tentative="1">
      <w:start w:val="1"/>
      <w:numFmt w:val="lowerLetter"/>
      <w:lvlText w:val="%5."/>
      <w:lvlJc w:val="left"/>
      <w:pPr>
        <w:tabs>
          <w:tab w:val="num" w:pos="4507"/>
        </w:tabs>
        <w:ind w:left="4507" w:hanging="360"/>
      </w:pPr>
    </w:lvl>
    <w:lvl w:ilvl="5" w:tplc="0C0A001B" w:tentative="1">
      <w:start w:val="1"/>
      <w:numFmt w:val="lowerRoman"/>
      <w:lvlText w:val="%6."/>
      <w:lvlJc w:val="right"/>
      <w:pPr>
        <w:tabs>
          <w:tab w:val="num" w:pos="5227"/>
        </w:tabs>
        <w:ind w:left="5227" w:hanging="180"/>
      </w:pPr>
    </w:lvl>
    <w:lvl w:ilvl="6" w:tplc="0C0A000F" w:tentative="1">
      <w:start w:val="1"/>
      <w:numFmt w:val="decimal"/>
      <w:lvlText w:val="%7."/>
      <w:lvlJc w:val="left"/>
      <w:pPr>
        <w:tabs>
          <w:tab w:val="num" w:pos="5947"/>
        </w:tabs>
        <w:ind w:left="5947" w:hanging="360"/>
      </w:pPr>
    </w:lvl>
    <w:lvl w:ilvl="7" w:tplc="0C0A0019" w:tentative="1">
      <w:start w:val="1"/>
      <w:numFmt w:val="lowerLetter"/>
      <w:lvlText w:val="%8."/>
      <w:lvlJc w:val="left"/>
      <w:pPr>
        <w:tabs>
          <w:tab w:val="num" w:pos="6667"/>
        </w:tabs>
        <w:ind w:left="6667" w:hanging="360"/>
      </w:pPr>
    </w:lvl>
    <w:lvl w:ilvl="8" w:tplc="0C0A001B" w:tentative="1">
      <w:start w:val="1"/>
      <w:numFmt w:val="lowerRoman"/>
      <w:lvlText w:val="%9."/>
      <w:lvlJc w:val="right"/>
      <w:pPr>
        <w:tabs>
          <w:tab w:val="num" w:pos="7387"/>
        </w:tabs>
        <w:ind w:left="7387" w:hanging="180"/>
      </w:pPr>
    </w:lvl>
  </w:abstractNum>
  <w:abstractNum w:abstractNumId="4">
    <w:nsid w:val="24B26C2F"/>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5">
    <w:nsid w:val="290150CD"/>
    <w:multiLevelType w:val="singleLevel"/>
    <w:tmpl w:val="E0D258BA"/>
    <w:lvl w:ilvl="0">
      <w:start w:val="156"/>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6">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352049C6"/>
    <w:multiLevelType w:val="singleLevel"/>
    <w:tmpl w:val="5F6638A4"/>
    <w:lvl w:ilvl="0">
      <w:start w:val="32"/>
      <w:numFmt w:val="decimal"/>
      <w:lvlRestart w:val="0"/>
      <w:lvlText w:val="%1."/>
      <w:lvlJc w:val="left"/>
      <w:pPr>
        <w:tabs>
          <w:tab w:val="num" w:pos="475"/>
        </w:tabs>
        <w:ind w:left="0" w:firstLine="0"/>
      </w:pPr>
      <w:rPr>
        <w:spacing w:val="0"/>
        <w:w w:val="100"/>
      </w:rPr>
    </w:lvl>
  </w:abstractNum>
  <w:abstractNum w:abstractNumId="9">
    <w:nsid w:val="421437D8"/>
    <w:multiLevelType w:val="singleLevel"/>
    <w:tmpl w:val="FF82B360"/>
    <w:lvl w:ilvl="0">
      <w:start w:val="25"/>
      <w:numFmt w:val="decimal"/>
      <w:lvlRestart w:val="0"/>
      <w:lvlText w:val="%1."/>
      <w:lvlJc w:val="left"/>
      <w:pPr>
        <w:tabs>
          <w:tab w:val="num" w:pos="475"/>
        </w:tabs>
        <w:ind w:left="0" w:firstLine="0"/>
      </w:pPr>
      <w:rPr>
        <w:spacing w:val="0"/>
        <w:w w:val="100"/>
      </w:rPr>
    </w:lvl>
  </w:abstractNum>
  <w:abstractNum w:abstractNumId="10">
    <w:nsid w:val="49A05603"/>
    <w:multiLevelType w:val="singleLevel"/>
    <w:tmpl w:val="F5FA18D2"/>
    <w:lvl w:ilvl="0">
      <w:start w:val="1"/>
      <w:numFmt w:val="decimal"/>
      <w:lvlRestart w:val="0"/>
      <w:lvlText w:val="%1."/>
      <w:lvlJc w:val="left"/>
      <w:pPr>
        <w:tabs>
          <w:tab w:val="num" w:pos="475"/>
        </w:tabs>
        <w:ind w:left="0" w:firstLine="0"/>
      </w:pPr>
      <w:rPr>
        <w:spacing w:val="0"/>
        <w:w w:val="100"/>
      </w:rPr>
    </w:lvl>
  </w:abstractNum>
  <w:abstractNum w:abstractNumId="11">
    <w:nsid w:val="52303FF0"/>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2">
    <w:nsid w:val="52C33C5D"/>
    <w:multiLevelType w:val="singleLevel"/>
    <w:tmpl w:val="7B76D5E8"/>
    <w:lvl w:ilvl="0">
      <w:start w:val="110"/>
      <w:numFmt w:val="decimal"/>
      <w:lvlRestart w:val="0"/>
      <w:lvlText w:val="%1."/>
      <w:lvlJc w:val="left"/>
      <w:pPr>
        <w:tabs>
          <w:tab w:val="num" w:pos="475"/>
        </w:tabs>
        <w:ind w:left="0" w:firstLine="0"/>
      </w:pPr>
      <w:rPr>
        <w:spacing w:val="0"/>
        <w:w w:val="100"/>
      </w:rPr>
    </w:lvl>
  </w:abstractNum>
  <w:abstractNum w:abstractNumId="13">
    <w:nsid w:val="57080BC8"/>
    <w:multiLevelType w:val="singleLevel"/>
    <w:tmpl w:val="BEDA607A"/>
    <w:lvl w:ilvl="0">
      <w:start w:val="230"/>
      <w:numFmt w:val="decimal"/>
      <w:lvlRestart w:val="0"/>
      <w:lvlText w:val="%1."/>
      <w:lvlJc w:val="left"/>
      <w:pPr>
        <w:tabs>
          <w:tab w:val="num" w:pos="475"/>
        </w:tabs>
        <w:ind w:left="0" w:firstLine="0"/>
      </w:pPr>
      <w:rPr>
        <w:spacing w:val="0"/>
        <w:w w:val="100"/>
      </w:rPr>
    </w:lvl>
  </w:abstractNum>
  <w:abstractNum w:abstractNumId="14">
    <w:nsid w:val="6A545AD5"/>
    <w:multiLevelType w:val="singleLevel"/>
    <w:tmpl w:val="EC1814A4"/>
    <w:lvl w:ilvl="0">
      <w:start w:val="1"/>
      <w:numFmt w:val="decimal"/>
      <w:lvlRestart w:val="0"/>
      <w:lvlText w:val="%1."/>
      <w:lvlJc w:val="left"/>
      <w:pPr>
        <w:tabs>
          <w:tab w:val="num" w:pos="475"/>
        </w:tabs>
        <w:ind w:left="0" w:firstLine="0"/>
      </w:pPr>
      <w:rPr>
        <w:spacing w:val="0"/>
        <w:w w:val="100"/>
      </w:rPr>
    </w:lvl>
  </w:abstractNum>
  <w:abstractNum w:abstractNumId="15">
    <w:nsid w:val="6BA85ABE"/>
    <w:multiLevelType w:val="singleLevel"/>
    <w:tmpl w:val="81087700"/>
    <w:lvl w:ilvl="0">
      <w:start w:val="64"/>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16">
    <w:nsid w:val="7812287D"/>
    <w:multiLevelType w:val="singleLevel"/>
    <w:tmpl w:val="58DEAAE8"/>
    <w:lvl w:ilvl="0">
      <w:start w:val="120"/>
      <w:numFmt w:val="decimal"/>
      <w:lvlRestart w:val="0"/>
      <w:lvlText w:val="%1."/>
      <w:lvlJc w:val="left"/>
      <w:pPr>
        <w:tabs>
          <w:tab w:val="num" w:pos="475"/>
        </w:tabs>
        <w:ind w:left="0" w:firstLine="0"/>
      </w:pPr>
      <w:rPr>
        <w:spacing w:val="0"/>
        <w:w w:val="100"/>
      </w:rPr>
    </w:lvl>
  </w:abstractNum>
  <w:num w:numId="1">
    <w:abstractNumId w:val="11"/>
  </w:num>
  <w:num w:numId="2">
    <w:abstractNumId w:val="3"/>
  </w:num>
  <w:num w:numId="3">
    <w:abstractNumId w:val="0"/>
  </w:num>
  <w:num w:numId="4">
    <w:abstractNumId w:val="7"/>
  </w:num>
  <w:num w:numId="5">
    <w:abstractNumId w:val="6"/>
  </w:num>
  <w:num w:numId="6">
    <w:abstractNumId w:val="4"/>
  </w:num>
  <w:num w:numId="7">
    <w:abstractNumId w:val="1"/>
  </w:num>
  <w:num w:numId="8">
    <w:abstractNumId w:val="14"/>
  </w:num>
  <w:num w:numId="9">
    <w:abstractNumId w:val="14"/>
    <w:lvlOverride w:ilvl="0">
      <w:lvl w:ilvl="0">
        <w:start w:val="1"/>
        <w:numFmt w:val="decimal"/>
        <w:lvlRestart w:val="0"/>
        <w:lvlText w:val="%1."/>
        <w:lvlJc w:val="left"/>
        <w:pPr>
          <w:tabs>
            <w:tab w:val="num" w:pos="475"/>
          </w:tabs>
          <w:ind w:left="0" w:firstLine="0"/>
        </w:pPr>
        <w:rPr>
          <w:spacing w:val="0"/>
          <w:w w:val="100"/>
        </w:rPr>
      </w:lvl>
    </w:lvlOverride>
  </w:num>
  <w:num w:numId="10">
    <w:abstractNumId w:val="14"/>
    <w:lvlOverride w:ilvl="0">
      <w:lvl w:ilvl="0">
        <w:start w:val="1"/>
        <w:numFmt w:val="decimal"/>
        <w:lvlRestart w:val="0"/>
        <w:lvlText w:val="%1."/>
        <w:lvlJc w:val="left"/>
        <w:pPr>
          <w:tabs>
            <w:tab w:val="num" w:pos="475"/>
          </w:tabs>
          <w:ind w:left="0" w:firstLine="0"/>
        </w:pPr>
        <w:rPr>
          <w:spacing w:val="0"/>
          <w:w w:val="100"/>
        </w:rPr>
      </w:lvl>
    </w:lvlOverride>
  </w:num>
  <w:num w:numId="11">
    <w:abstractNumId w:val="14"/>
    <w:lvlOverride w:ilvl="0">
      <w:lvl w:ilvl="0">
        <w:start w:val="1"/>
        <w:numFmt w:val="decimal"/>
        <w:lvlRestart w:val="0"/>
        <w:lvlText w:val="%1."/>
        <w:lvlJc w:val="left"/>
        <w:pPr>
          <w:tabs>
            <w:tab w:val="num" w:pos="475"/>
          </w:tabs>
          <w:ind w:left="0" w:firstLine="0"/>
        </w:pPr>
        <w:rPr>
          <w:spacing w:val="0"/>
          <w:w w:val="100"/>
        </w:rPr>
      </w:lvl>
    </w:lvlOverride>
  </w:num>
  <w:num w:numId="12">
    <w:abstractNumId w:val="14"/>
    <w:lvlOverride w:ilvl="0">
      <w:lvl w:ilvl="0">
        <w:start w:val="1"/>
        <w:numFmt w:val="decimal"/>
        <w:lvlRestart w:val="0"/>
        <w:lvlText w:val="%1."/>
        <w:lvlJc w:val="left"/>
        <w:pPr>
          <w:tabs>
            <w:tab w:val="num" w:pos="475"/>
          </w:tabs>
          <w:ind w:left="0" w:firstLine="0"/>
        </w:pPr>
        <w:rPr>
          <w:spacing w:val="0"/>
          <w:w w:val="100"/>
        </w:rPr>
      </w:lvl>
    </w:lvlOverride>
  </w:num>
  <w:num w:numId="13">
    <w:abstractNumId w:val="9"/>
  </w:num>
  <w:num w:numId="14">
    <w:abstractNumId w:val="8"/>
  </w:num>
  <w:num w:numId="15">
    <w:abstractNumId w:val="15"/>
  </w:num>
  <w:num w:numId="16">
    <w:abstractNumId w:val="12"/>
  </w:num>
  <w:num w:numId="17">
    <w:abstractNumId w:val="16"/>
  </w:num>
  <w:num w:numId="18">
    <w:abstractNumId w:val="5"/>
  </w:num>
  <w:num w:numId="19">
    <w:abstractNumId w:val="13"/>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0875B4"/>
    <w:rsid w:val="000875B4"/>
    <w:rsid w:val="00455974"/>
    <w:rsid w:val="008C3F32"/>
    <w:rsid w:val="009472B3"/>
    <w:rsid w:val="00B53DD5"/>
    <w:rsid w:val="00BB6A8E"/>
    <w:rsid w:val="00CC2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4"/>
      </w:numPr>
      <w:spacing w:before="240" w:after="60"/>
      <w:outlineLvl w:val="3"/>
    </w:pPr>
    <w:rPr>
      <w:b/>
      <w:bCs/>
      <w:sz w:val="28"/>
      <w:szCs w:val="28"/>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sz w:val="22"/>
      <w:szCs w:val="22"/>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ind w:left="1264" w:right="1264"/>
      <w:outlineLvl w:val="1"/>
    </w:pPr>
    <w:rPr>
      <w:spacing w:val="0"/>
      <w:w w:val="100"/>
      <w:kern w:val="0"/>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a">
    <w:name w:val="Текст выноски"/>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semiHidden/>
    <w:rPr>
      <w:rFonts w:ascii="Times New Roman" w:hAnsi="Times New Roman"/>
      <w:dstrike w:val="0"/>
      <w:color w:val="auto"/>
      <w:spacing w:val="0"/>
      <w:w w:val="100"/>
      <w:kern w:val="0"/>
      <w:position w:val="0"/>
      <w:sz w:val="20"/>
      <w:vertAlign w:val="superscript"/>
    </w:rPr>
  </w:style>
  <w:style w:type="paragraph" w:styleId="FootnoteText">
    <w:name w:val="footnote text"/>
    <w:basedOn w:val="Normal"/>
    <w:semiHidden/>
    <w:pPr>
      <w:tabs>
        <w:tab w:val="right" w:pos="1191"/>
        <w:tab w:val="left" w:pos="1264"/>
      </w:tabs>
      <w:spacing w:line="210" w:lineRule="exact"/>
      <w:ind w:left="1264" w:right="1264" w:hanging="1264"/>
    </w:pPr>
    <w:rPr>
      <w:spacing w:val="0"/>
      <w:w w:val="100"/>
      <w:kern w:val="0"/>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0">
    <w:name w:val="Тема примечания"/>
    <w:basedOn w:val="CommentText"/>
    <w:next w:val="CommentText"/>
    <w:semiHidden/>
    <w:rPr>
      <w:b/>
      <w:bCs/>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right" w:pos="1685"/>
      </w:tabs>
      <w:suppressAutoHyphens/>
      <w:ind w:left="1742" w:hanging="475"/>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alloonText">
    <w:name w:val="Balloon Text"/>
    <w:basedOn w:val="Normal"/>
    <w:semiHidden/>
    <w:rsid w:val="00B53DD5"/>
    <w:rPr>
      <w:rFonts w:ascii="Tahoma" w:hAnsi="Tahoma" w:cs="Tahoma"/>
      <w:sz w:val="16"/>
      <w:szCs w:val="16"/>
    </w:rPr>
  </w:style>
  <w:style w:type="paragraph" w:styleId="CommentSubject">
    <w:name w:val="annotation subject"/>
    <w:basedOn w:val="CommentText"/>
    <w:next w:val="CommentText"/>
    <w:semiHidden/>
    <w:rsid w:val="00B53D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onamu.gov.e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33646</Words>
  <Characters>191783</Characters>
  <Application>Microsoft Office Word</Application>
  <DocSecurity>4</DocSecurity>
  <Lines>1598</Lines>
  <Paragraphs>449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224980</CharactersWithSpaces>
  <SharedDoc>false</SharedDoc>
  <HLinks>
    <vt:vector size="6" baseType="variant">
      <vt:variant>
        <vt:i4>4653151</vt:i4>
      </vt:variant>
      <vt:variant>
        <vt:i4>0</vt:i4>
      </vt:variant>
      <vt:variant>
        <vt:i4>0</vt:i4>
      </vt:variant>
      <vt:variant>
        <vt:i4>5</vt:i4>
      </vt:variant>
      <vt:variant>
        <vt:lpwstr>http://www.conamu.gov.ec/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Maria.Griaznova_2</cp:lastModifiedBy>
  <cp:revision>6</cp:revision>
  <cp:lastPrinted>2007-05-31T21:13:00Z</cp:lastPrinted>
  <dcterms:created xsi:type="dcterms:W3CDTF">2007-05-31T21:10:00Z</dcterms:created>
  <dcterms:modified xsi:type="dcterms:W3CDTF">2007-05-31T21:26:00Z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0726505</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83</vt:lpwstr>
  </property>
  <property fmtid="{D5CDD505-2E9C-101B-9397-08002B2CF9AE}" pid="8" name="Operator">
    <vt:lpwstr>Panichkina</vt:lpwstr>
  </property>
</Properties>
</file>