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40573</w:t>
                  </w:r>
                  <w:r>
                    <w:rPr>
                      <w:lang w:val="en-US"/>
                    </w:rPr>
                    <w:fldChar w:fldCharType="end"/>
                  </w:r>
                  <w:r>
                    <w:rPr>
                      <w:lang w:val="en-US"/>
                    </w:rPr>
                    <w:t xml:space="preserve">   (R)    140206    </w:t>
                  </w:r>
                  <w:r>
                    <w:t>20</w:t>
                  </w:r>
                  <w:r>
                    <w:rPr>
                      <w:lang w:val="en-US"/>
                    </w:rPr>
                    <w:t>0206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953"/>
        <w:gridCol w:w="2268"/>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364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953"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268"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CAT/C/55/Add.12</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28 February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2"/>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pacing w:line="216" w:lineRule="auto"/>
      </w:pPr>
    </w:p>
    <w:p w:rsidR="00000000" w:rsidRDefault="00000000">
      <w:r>
        <w:t>КОМИТЕТ ПРОТИВ ПЫТОК</w:t>
      </w:r>
    </w:p>
    <w:p w:rsidR="00000000" w:rsidRDefault="00000000"/>
    <w:p w:rsidR="00000000" w:rsidRDefault="00000000"/>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pPr>
    </w:p>
    <w:p w:rsidR="00000000" w:rsidRDefault="00000000">
      <w:pPr>
        <w:jc w:val="center"/>
        <w:rPr>
          <w:b/>
          <w:bCs/>
        </w:rPr>
      </w:pPr>
      <w:r>
        <w:rPr>
          <w:b/>
          <w:bCs/>
        </w:rPr>
        <w:t>Четвертые периодические доклады государств, которые</w:t>
      </w:r>
    </w:p>
    <w:p w:rsidR="00000000" w:rsidRDefault="00000000">
      <w:pPr>
        <w:jc w:val="center"/>
        <w:rPr>
          <w:b/>
          <w:bCs/>
        </w:rPr>
      </w:pPr>
      <w:r>
        <w:rPr>
          <w:b/>
          <w:bCs/>
        </w:rPr>
        <w:t>должны были быть представлены в 2000 году</w:t>
      </w:r>
    </w:p>
    <w:p w:rsidR="00000000" w:rsidRDefault="00000000">
      <w:pPr>
        <w:jc w:val="center"/>
      </w:pPr>
    </w:p>
    <w:p w:rsidR="00000000" w:rsidRDefault="00000000">
      <w:pPr>
        <w:jc w:val="center"/>
        <w:rPr>
          <w:b/>
          <w:bCs/>
        </w:rPr>
      </w:pPr>
      <w:r>
        <w:rPr>
          <w:b/>
          <w:bCs/>
        </w:rPr>
        <w:t>Добавление</w:t>
      </w:r>
    </w:p>
    <w:p w:rsidR="00000000" w:rsidRDefault="00000000">
      <w:pPr>
        <w:jc w:val="center"/>
      </w:pPr>
    </w:p>
    <w:p w:rsidR="00000000" w:rsidRDefault="00000000">
      <w:pPr>
        <w:jc w:val="center"/>
        <w:rPr>
          <w:bCs/>
        </w:rPr>
      </w:pPr>
      <w:r>
        <w:rPr>
          <w:b/>
          <w:bCs/>
        </w:rPr>
        <w:t>МЕКСИКА</w:t>
      </w:r>
      <w:r>
        <w:rPr>
          <w:lang w:val="en-US"/>
        </w:rPr>
        <w:t xml:space="preserve">* </w:t>
      </w:r>
      <w:r>
        <w:t xml:space="preserve"> </w:t>
      </w:r>
      <w:r>
        <w:rPr>
          <w:lang w:val="en-US"/>
        </w:rPr>
        <w:t>**</w:t>
      </w:r>
    </w:p>
    <w:p w:rsidR="00000000" w:rsidRDefault="00000000">
      <w:pPr>
        <w:jc w:val="center"/>
        <w:rPr>
          <w:bCs/>
        </w:rPr>
      </w:pPr>
    </w:p>
    <w:p w:rsidR="00000000" w:rsidRDefault="00000000">
      <w:pPr>
        <w:jc w:val="right"/>
        <w:rPr>
          <w:bCs/>
          <w:lang w:val="en-US"/>
        </w:rPr>
      </w:pPr>
      <w:r>
        <w:rPr>
          <w:bCs/>
        </w:rPr>
        <w:t>[20 декабря 2004 года]</w:t>
      </w:r>
    </w:p>
    <w:p w:rsidR="00000000" w:rsidRDefault="00000000">
      <w:pPr>
        <w:spacing w:line="240" w:lineRule="auto"/>
        <w:rPr>
          <w:bCs/>
        </w:rPr>
      </w:pPr>
    </w:p>
    <w:p w:rsidR="00000000" w:rsidRDefault="00000000">
      <w:pPr>
        <w:spacing w:line="240" w:lineRule="auto"/>
        <w:rPr>
          <w:bCs/>
        </w:rPr>
      </w:pPr>
    </w:p>
    <w:p w:rsidR="00000000" w:rsidRDefault="00000000">
      <w:pPr>
        <w:spacing w:line="240" w:lineRule="auto"/>
        <w:rPr>
          <w:bCs/>
        </w:rPr>
      </w:pPr>
      <w:r>
        <w:rPr>
          <w:bCs/>
        </w:rPr>
        <w:t>_____________________</w:t>
      </w:r>
    </w:p>
    <w:p w:rsidR="00000000" w:rsidRDefault="00000000">
      <w:pPr>
        <w:spacing w:line="120" w:lineRule="auto"/>
        <w:rPr>
          <w:bCs/>
        </w:rPr>
      </w:pPr>
    </w:p>
    <w:p w:rsidR="00000000" w:rsidRDefault="00000000">
      <w:pPr>
        <w:spacing w:line="240" w:lineRule="auto"/>
      </w:pPr>
      <w:r>
        <w:rPr>
          <w:bCs/>
        </w:rPr>
        <w:t>*</w:t>
      </w:r>
      <w:r>
        <w:rPr>
          <w:bCs/>
        </w:rPr>
        <w:tab/>
      </w:r>
      <w:r>
        <w:t xml:space="preserve">Первоначальный доклад, представленный Мексикой, см. в документе CAT/C/5/Add.7;  о его рассмотрении в Комитете см. документы СAT/C/SR.16 и 17 и </w:t>
      </w:r>
      <w:r>
        <w:rPr>
          <w:i/>
          <w:iCs/>
        </w:rPr>
        <w:t>Официальные отчеты Генеральной Ассамблеи, сорок четвертая сессия, Дополнение № 44 (</w:t>
      </w:r>
      <w:r>
        <w:t xml:space="preserve">A/44/46), пункты 170-201.  Второй периодический доклад см. в документе CAT/C/17/Add.3;  о его рассмотрении в Комитете см. документы CAT/C/SR.130, CAT/C/SR.131/Add.1 и CAT/C/SR.131/Add.2 и </w:t>
      </w:r>
      <w:r>
        <w:rPr>
          <w:i/>
          <w:iCs/>
        </w:rPr>
        <w:t>Официальные отчеты Генеральной Ассамблеи, сорок восьмая сессия, Дополнение № 44</w:t>
      </w:r>
      <w:r>
        <w:t xml:space="preserve"> (А/48/44), пункты 208-229.  Третий периодический доклад см. в документе CAT/C/34/Add.2;  о его рассмотрении в Комитете см. документы CAT/C/SR.285 и СAT/C/SR.286/Add.1 и </w:t>
      </w:r>
      <w:r>
        <w:rPr>
          <w:i/>
          <w:iCs/>
        </w:rPr>
        <w:t xml:space="preserve">Официальные отчеты Генеральной Ассамблеи, пятьдесят вторая сессия, Дополнение № 52 </w:t>
      </w:r>
      <w:r>
        <w:t>(А/52/44), пункты 153-170.  Приложения к этому докладу находятся в секретариате Комитета.</w:t>
      </w:r>
    </w:p>
    <w:p w:rsidR="00000000" w:rsidRDefault="00000000">
      <w:pPr>
        <w:spacing w:line="240" w:lineRule="auto"/>
      </w:pPr>
    </w:p>
    <w:p w:rsidR="00000000" w:rsidRDefault="00000000">
      <w:pPr>
        <w:spacing w:line="240" w:lineRule="auto"/>
        <w:rPr>
          <w:bCs/>
        </w:rPr>
      </w:pPr>
      <w:r>
        <w:t>**</w:t>
      </w:r>
      <w:r>
        <w:tab/>
        <w:t>В соответствии с информацией, представленной государствами-участниками в отношении оформления их докладов, настоящий доклад не был официально отредактирован до его передачи в переводческие службы Организации Объединенных Наций.</w:t>
      </w:r>
    </w:p>
    <w:p w:rsidR="00000000" w:rsidRDefault="00000000">
      <w:pPr>
        <w:tabs>
          <w:tab w:val="clear" w:pos="6237"/>
          <w:tab w:val="left" w:pos="567"/>
          <w:tab w:val="left" w:pos="1134"/>
          <w:tab w:val="left" w:pos="1701"/>
          <w:tab w:val="left" w:pos="2268"/>
          <w:tab w:val="center" w:pos="8039"/>
          <w:tab w:val="center" w:pos="9122"/>
        </w:tabs>
        <w:jc w:val="center"/>
        <w:rPr>
          <w:b/>
          <w:bCs/>
        </w:rPr>
      </w:pPr>
      <w:r>
        <w:rPr>
          <w:b/>
          <w:bCs/>
        </w:rPr>
        <w:br w:type="page"/>
        <w:t>СОДЕРЖАНИЕ</w:t>
      </w:r>
    </w:p>
    <w:p w:rsidR="00000000" w:rsidRDefault="00000000">
      <w:pPr>
        <w:tabs>
          <w:tab w:val="clear" w:pos="6237"/>
          <w:tab w:val="left" w:pos="567"/>
          <w:tab w:val="left" w:pos="1134"/>
          <w:tab w:val="left" w:pos="1701"/>
          <w:tab w:val="left" w:pos="2268"/>
          <w:tab w:val="center" w:pos="8039"/>
          <w:tab w:val="center" w:pos="9122"/>
        </w:tabs>
        <w:jc w:val="center"/>
        <w:rPr>
          <w:b/>
          <w:bCs/>
        </w:rPr>
      </w:pPr>
    </w:p>
    <w:p w:rsidR="00000000" w:rsidRDefault="00000000">
      <w:pPr>
        <w:tabs>
          <w:tab w:val="clear" w:pos="6237"/>
          <w:tab w:val="left" w:pos="567"/>
          <w:tab w:val="left" w:pos="1134"/>
          <w:tab w:val="left" w:pos="1701"/>
          <w:tab w:val="left" w:pos="2268"/>
          <w:tab w:val="center" w:pos="8039"/>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decimal" w:pos="567"/>
          <w:tab w:val="right" w:leader="dot" w:pos="7172"/>
          <w:tab w:val="center" w:pos="8039"/>
          <w:tab w:val="center" w:pos="9122"/>
        </w:tabs>
      </w:pPr>
      <w:r>
        <w:t xml:space="preserve">Введение </w:t>
      </w:r>
      <w:r>
        <w:tab/>
      </w:r>
      <w:r>
        <w:tab/>
        <w:t xml:space="preserve">  1 - 23</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right" w:leader="dot" w:pos="7172"/>
          <w:tab w:val="center" w:pos="8039"/>
          <w:tab w:val="center" w:pos="9122"/>
        </w:tabs>
      </w:pPr>
      <w:r>
        <w:tab/>
        <w:t>I.</w:t>
      </w:r>
      <w:r>
        <w:tab/>
        <w:t>МЕРЫ, ПРИНЯТЫЕ В 1997-2004 ГОДАХ ДЛЯ</w:t>
      </w:r>
    </w:p>
    <w:p w:rsidR="00000000" w:rsidRDefault="00000000">
      <w:pPr>
        <w:tabs>
          <w:tab w:val="clear" w:pos="567"/>
          <w:tab w:val="clear" w:pos="1134"/>
          <w:tab w:val="clear" w:pos="1701"/>
          <w:tab w:val="clear" w:pos="2268"/>
          <w:tab w:val="clear" w:pos="6237"/>
          <w:tab w:val="decimal" w:pos="426"/>
          <w:tab w:val="left" w:pos="709"/>
          <w:tab w:val="left" w:pos="1946"/>
          <w:tab w:val="right" w:leader="dot" w:pos="7172"/>
          <w:tab w:val="center" w:pos="8039"/>
          <w:tab w:val="center" w:pos="9122"/>
        </w:tabs>
      </w:pPr>
      <w:r>
        <w:tab/>
      </w:r>
      <w:r>
        <w:tab/>
        <w:t>ВЫПОЛНЕНИЯ ОБЯЗАТЕЛЬСТВ,</w:t>
      </w:r>
    </w:p>
    <w:p w:rsidR="00000000" w:rsidRDefault="00000000">
      <w:pPr>
        <w:tabs>
          <w:tab w:val="clear" w:pos="567"/>
          <w:tab w:val="clear" w:pos="1134"/>
          <w:tab w:val="clear" w:pos="1701"/>
          <w:tab w:val="clear" w:pos="2268"/>
          <w:tab w:val="clear" w:pos="6237"/>
          <w:tab w:val="decimal" w:pos="426"/>
          <w:tab w:val="left" w:pos="709"/>
          <w:tab w:val="left" w:pos="1946"/>
          <w:tab w:val="right" w:leader="dot" w:pos="7172"/>
          <w:tab w:val="center" w:pos="8039"/>
          <w:tab w:val="center" w:pos="9122"/>
        </w:tabs>
      </w:pPr>
      <w:r>
        <w:tab/>
      </w:r>
      <w:r>
        <w:tab/>
        <w:t xml:space="preserve">ПРЕДУСМОТРЕННЫХ В КОНВЕНЦИИ </w:t>
      </w:r>
      <w:r>
        <w:tab/>
      </w:r>
      <w:r>
        <w:tab/>
        <w:t xml:space="preserve">  24 - 286</w:t>
      </w:r>
      <w:r>
        <w:tab/>
        <w:t>7</w:t>
      </w:r>
    </w:p>
    <w:p w:rsidR="00000000" w:rsidRDefault="00000000">
      <w:pPr>
        <w:tabs>
          <w:tab w:val="clear" w:pos="567"/>
          <w:tab w:val="clear" w:pos="1134"/>
          <w:tab w:val="clear" w:pos="1701"/>
          <w:tab w:val="clear" w:pos="2268"/>
          <w:tab w:val="clear" w:pos="6237"/>
          <w:tab w:val="decimal" w:pos="426"/>
          <w:tab w:val="left" w:pos="709"/>
          <w:tab w:val="left" w:pos="1946"/>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1.</w:t>
      </w:r>
      <w:r>
        <w:tab/>
        <w:t xml:space="preserve">Определение пытки </w:t>
      </w:r>
      <w:r>
        <w:tab/>
      </w:r>
      <w:r>
        <w:tab/>
        <w:t>24 - 34</w:t>
      </w:r>
      <w:r>
        <w:tab/>
        <w:t>7</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2.</w:t>
      </w:r>
      <w:r>
        <w:tab/>
        <w:t>Законодательные, административные и</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судебные меры для предотвращения пыток </w:t>
      </w:r>
      <w:r>
        <w:tab/>
      </w:r>
      <w:r>
        <w:tab/>
        <w:t xml:space="preserve">  35 - 115</w:t>
      </w:r>
      <w:r>
        <w:tab/>
        <w:t>10</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3.</w:t>
      </w:r>
      <w:r>
        <w:tab/>
        <w:t>Запрещение высылать, возвращать или выдавать</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какое-либо лицо другому государству, когда ему</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может угрожать там применение пыток </w:t>
      </w:r>
      <w:r>
        <w:tab/>
      </w:r>
      <w:r>
        <w:tab/>
        <w:t>116 - 127</w:t>
      </w:r>
      <w:r>
        <w:tab/>
        <w:t>31</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4.</w:t>
      </w:r>
      <w:r>
        <w:tab/>
        <w:t>Пытка как преступление в уголовном</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законодательстве и соответствующие наказания</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за пытки </w:t>
      </w:r>
      <w:r>
        <w:tab/>
      </w:r>
      <w:r>
        <w:tab/>
        <w:t>128 - 148</w:t>
      </w:r>
      <w:r>
        <w:tab/>
        <w:t>34</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5.</w:t>
      </w:r>
      <w:r>
        <w:tab/>
        <w:t xml:space="preserve">Юрисдикция Мексиканского Государства </w:t>
      </w:r>
      <w:r>
        <w:tab/>
      </w:r>
      <w:r>
        <w:tab/>
        <w:t>149 - 154</w:t>
      </w:r>
      <w:r>
        <w:tab/>
        <w:t>43</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6.</w:t>
      </w:r>
      <w:r>
        <w:tab/>
        <w:t>Заключение под стражу на национальной</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территории лица, подозреваемого в применении</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пыток с целью его выдачи </w:t>
      </w:r>
      <w:r>
        <w:tab/>
      </w:r>
      <w:r>
        <w:tab/>
        <w:t>155 - 166</w:t>
      </w:r>
      <w:r>
        <w:tab/>
        <w:t>44</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7.</w:t>
      </w:r>
      <w:r>
        <w:tab/>
        <w:t>Уголовное преследование в Мексике лиц,</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подозреваемых в совершении преступлений </w:t>
      </w:r>
      <w:r>
        <w:tab/>
      </w:r>
      <w:r>
        <w:tab/>
        <w:t>167 - 172</w:t>
      </w:r>
      <w:r>
        <w:tab/>
        <w:t>47</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8.</w:t>
      </w:r>
      <w:r>
        <w:tab/>
        <w:t>Пытки дают основание для выдачи на основании</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всех договоров </w:t>
      </w:r>
      <w:r>
        <w:tab/>
      </w:r>
      <w:r>
        <w:tab/>
        <w:t>173 - 175</w:t>
      </w:r>
      <w:r>
        <w:tab/>
        <w:t>48</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9.</w:t>
      </w:r>
      <w:r>
        <w:tab/>
        <w:t>Сотрудничество в осуществлении уголовно-</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процессуальных действий </w:t>
      </w:r>
      <w:r>
        <w:tab/>
      </w:r>
      <w:r>
        <w:tab/>
        <w:t>176 - 181</w:t>
      </w:r>
      <w:r>
        <w:tab/>
        <w:t>49</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jc w:val="center"/>
        <w:rPr>
          <w:b/>
          <w:bCs/>
          <w:i/>
          <w:iCs/>
        </w:rPr>
      </w:pPr>
      <w:r>
        <w:br w:type="page"/>
      </w:r>
      <w:r>
        <w:rPr>
          <w:b/>
          <w:bCs/>
        </w:rPr>
        <w:t>СОДЕРЖАНИЕ (</w:t>
      </w:r>
      <w:r>
        <w:rPr>
          <w:b/>
          <w:bCs/>
          <w:i/>
          <w:iCs/>
        </w:rPr>
        <w:t>продолжение)</w:t>
      </w:r>
    </w:p>
    <w:p w:rsidR="00000000" w:rsidRDefault="00000000">
      <w:pPr>
        <w:tabs>
          <w:tab w:val="clear" w:pos="6237"/>
          <w:tab w:val="left" w:pos="567"/>
          <w:tab w:val="left" w:pos="1134"/>
          <w:tab w:val="left" w:pos="1701"/>
          <w:tab w:val="left" w:pos="2268"/>
          <w:tab w:val="center" w:pos="8039"/>
          <w:tab w:val="center" w:pos="9122"/>
        </w:tabs>
        <w:jc w:val="center"/>
        <w:rPr>
          <w:b/>
          <w:bCs/>
        </w:rPr>
      </w:pPr>
    </w:p>
    <w:p w:rsidR="00000000" w:rsidRDefault="00000000">
      <w:pPr>
        <w:tabs>
          <w:tab w:val="clear" w:pos="6237"/>
          <w:tab w:val="left" w:pos="567"/>
          <w:tab w:val="left" w:pos="1134"/>
          <w:tab w:val="left" w:pos="1701"/>
          <w:tab w:val="left" w:pos="2268"/>
          <w:tab w:val="center" w:pos="8039"/>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10.</w:t>
      </w:r>
      <w:r>
        <w:tab/>
        <w:t>Обучение и подготовка персонала в целях</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борьбы против пыток </w:t>
      </w:r>
      <w:r>
        <w:tab/>
      </w:r>
      <w:r>
        <w:tab/>
        <w:t>182 - 208</w:t>
      </w:r>
      <w:r>
        <w:tab/>
        <w:t>50</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11.</w:t>
      </w:r>
      <w:r>
        <w:tab/>
        <w:t>Нормы и процедуры для предотвращения</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актов пыток;  проведение допросов и условия</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содержания под стражей лиц, подвергнутых</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аресту, задержанию или тюремному</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заключению </w:t>
      </w:r>
      <w:r>
        <w:tab/>
      </w:r>
      <w:r>
        <w:tab/>
        <w:t>209 - 234</w:t>
      </w:r>
      <w:r>
        <w:tab/>
        <w:t>58</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12.</w:t>
      </w:r>
      <w:r>
        <w:tab/>
        <w:t xml:space="preserve">Быстрое и беспристрастное расследование </w:t>
      </w:r>
      <w:r>
        <w:tab/>
      </w:r>
      <w:r>
        <w:tab/>
        <w:t>235 - 240</w:t>
      </w:r>
      <w:r>
        <w:tab/>
        <w:t>65</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13.</w:t>
      </w:r>
      <w:r>
        <w:tab/>
        <w:t>Право на предъявление жалоб и юридическую</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защиту жертв пыток </w:t>
      </w:r>
      <w:r>
        <w:tab/>
      </w:r>
      <w:r>
        <w:tab/>
        <w:t>241 - 257</w:t>
      </w:r>
      <w:r>
        <w:tab/>
        <w:t>66</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14.</w:t>
      </w:r>
      <w:r>
        <w:tab/>
        <w:t>Возмещение и компенсация за нанесенный</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ущерб </w:t>
      </w:r>
      <w:r>
        <w:tab/>
      </w:r>
      <w:r>
        <w:tab/>
        <w:t>258 - 268</w:t>
      </w:r>
      <w:r>
        <w:tab/>
        <w:t>73</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15.</w:t>
      </w:r>
      <w:r>
        <w:tab/>
        <w:t>Признание заявлений, сделанных под пыткой,</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не имеющими доказательной силы </w:t>
      </w:r>
      <w:r>
        <w:tab/>
      </w:r>
      <w:r>
        <w:tab/>
        <w:t>269 - 279</w:t>
      </w:r>
      <w:r>
        <w:tab/>
        <w:t>77</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16.</w:t>
      </w:r>
      <w:r>
        <w:tab/>
        <w:t>Запрещение жестоких, бесчеловечных или</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унижающих достоинство видов обращения и</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наказания </w:t>
      </w:r>
      <w:r>
        <w:tab/>
      </w:r>
      <w:r>
        <w:tab/>
        <w:t>280 - 285</w:t>
      </w:r>
      <w:r>
        <w:tab/>
        <w:t>79</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t>Статья 22.</w:t>
      </w:r>
      <w:r>
        <w:tab/>
        <w:t>Согласие с компетенцией комитета получать</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tab/>
      </w:r>
      <w:r>
        <w:tab/>
        <w:t xml:space="preserve">индивидуальные сообщения </w:t>
      </w:r>
      <w:r>
        <w:tab/>
      </w:r>
      <w:r>
        <w:tab/>
        <w:t>286</w:t>
      </w:r>
      <w:r>
        <w:tab/>
        <w:t>81</w:t>
      </w: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left" w:pos="1946"/>
          <w:tab w:val="left" w:pos="2352"/>
          <w:tab w:val="right" w:leader="dot" w:pos="7172"/>
          <w:tab w:val="center" w:pos="8039"/>
          <w:tab w:val="center" w:pos="9122"/>
        </w:tabs>
      </w:pPr>
      <w:r>
        <w:tab/>
      </w:r>
      <w:r>
        <w:rPr>
          <w:lang w:val="en-US"/>
        </w:rPr>
        <w:t>II</w:t>
      </w:r>
      <w:r>
        <w:t>.</w:t>
      </w:r>
      <w:r>
        <w:tab/>
        <w:t>ДОПОЛНИТЕЛЬНАЯ ИНФОРМАЦИЯ, ЗАПРОШЕННАЯ</w:t>
      </w:r>
    </w:p>
    <w:p w:rsidR="00000000" w:rsidRDefault="00000000">
      <w:pPr>
        <w:tabs>
          <w:tab w:val="clear" w:pos="567"/>
          <w:tab w:val="clear" w:pos="1134"/>
          <w:tab w:val="clear" w:pos="1701"/>
          <w:tab w:val="clear" w:pos="2268"/>
          <w:tab w:val="clear" w:pos="6237"/>
          <w:tab w:val="decimal" w:pos="426"/>
          <w:tab w:val="left" w:pos="709"/>
          <w:tab w:val="right" w:leader="dot" w:pos="7172"/>
          <w:tab w:val="center" w:pos="8039"/>
          <w:tab w:val="center" w:pos="9122"/>
        </w:tabs>
      </w:pPr>
      <w:r>
        <w:tab/>
      </w:r>
      <w:r>
        <w:tab/>
        <w:t xml:space="preserve">КОМИТЕТОМ </w:t>
      </w:r>
      <w:r>
        <w:tab/>
      </w:r>
      <w:r>
        <w:tab/>
        <w:t>287 - 290</w:t>
      </w:r>
      <w:r>
        <w:tab/>
        <w:t>81</w:t>
      </w:r>
    </w:p>
    <w:p w:rsidR="00000000" w:rsidRDefault="00000000">
      <w:pPr>
        <w:tabs>
          <w:tab w:val="clear" w:pos="567"/>
          <w:tab w:val="clear" w:pos="1134"/>
          <w:tab w:val="clear" w:pos="1701"/>
          <w:tab w:val="clear" w:pos="2268"/>
          <w:tab w:val="clear" w:pos="6237"/>
          <w:tab w:val="decimal" w:pos="426"/>
          <w:tab w:val="left" w:pos="709"/>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right" w:leader="dot" w:pos="7172"/>
          <w:tab w:val="center" w:pos="8039"/>
          <w:tab w:val="center" w:pos="9122"/>
        </w:tabs>
      </w:pPr>
      <w:r>
        <w:tab/>
      </w:r>
      <w:r>
        <w:rPr>
          <w:lang w:val="en-US"/>
        </w:rPr>
        <w:t>III</w:t>
      </w:r>
      <w:r>
        <w:t>.</w:t>
      </w:r>
      <w:r>
        <w:tab/>
        <w:t xml:space="preserve">ВЫПОЛНЕНИЕ РЕКОМЕНДАЦИЙ КОМИТЕТА </w:t>
      </w:r>
      <w:r>
        <w:tab/>
      </w:r>
      <w:r>
        <w:tab/>
        <w:t>291 - 298</w:t>
      </w:r>
      <w:r>
        <w:tab/>
        <w:t>82</w:t>
      </w:r>
    </w:p>
    <w:p w:rsidR="00000000" w:rsidRDefault="00000000">
      <w:pPr>
        <w:tabs>
          <w:tab w:val="clear" w:pos="567"/>
          <w:tab w:val="clear" w:pos="1134"/>
          <w:tab w:val="clear" w:pos="1701"/>
          <w:tab w:val="clear" w:pos="2268"/>
          <w:tab w:val="clear" w:pos="6237"/>
          <w:tab w:val="decimal" w:pos="426"/>
          <w:tab w:val="left" w:pos="709"/>
          <w:tab w:val="right" w:leader="dot" w:pos="7172"/>
          <w:tab w:val="center" w:pos="8039"/>
          <w:tab w:val="center" w:pos="9122"/>
        </w:tabs>
      </w:pPr>
    </w:p>
    <w:p w:rsidR="00000000" w:rsidRDefault="00000000">
      <w:pPr>
        <w:tabs>
          <w:tab w:val="clear" w:pos="567"/>
          <w:tab w:val="clear" w:pos="1134"/>
          <w:tab w:val="clear" w:pos="1701"/>
          <w:tab w:val="clear" w:pos="2268"/>
          <w:tab w:val="clear" w:pos="6237"/>
          <w:tab w:val="decimal" w:pos="426"/>
          <w:tab w:val="left" w:pos="709"/>
          <w:tab w:val="right" w:leader="dot" w:pos="7172"/>
          <w:tab w:val="center" w:pos="8039"/>
          <w:tab w:val="center" w:pos="9122"/>
        </w:tabs>
      </w:pPr>
      <w:r>
        <w:tab/>
        <w:t>IV.</w:t>
      </w:r>
      <w:r>
        <w:tab/>
        <w:t xml:space="preserve">ВЫВОДЫ </w:t>
      </w:r>
      <w:r>
        <w:tab/>
      </w:r>
      <w:r>
        <w:tab/>
        <w:t>299 - 304</w:t>
      </w:r>
      <w:r>
        <w:tab/>
        <w:t>85</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r>
        <w:br w:type="page"/>
      </w:r>
      <w:r>
        <w:rPr>
          <w:b/>
          <w:bCs/>
        </w:rPr>
        <w:t>Введение</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w:t>
      </w:r>
      <w:r>
        <w:tab/>
        <w:t>Мексика ратифицировала Конвенцию против пыток и других жестоких, бесчеловечных или унижающих достоинство видов обращения и наказания 23 января 1986 года.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w:t>
      </w:r>
      <w:r>
        <w:tab/>
        <w:t>В соответствии с пунктом 1 статьи 19 Конвенции правительство Мексики представило три периодических доклада.  Третий доклад был рассмотрен Комитетом в 1997 году.</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3.</w:t>
      </w:r>
      <w:r>
        <w:tab/>
        <w:t>С целью выполнения своих международных обязательств в полном объеме правительство Мексики представляет свой четвертый периодический доклад за период с 1997 по 2004 год.</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4.</w:t>
      </w:r>
      <w:r>
        <w:tab/>
        <w:t>Доклад был подготовлен с учетом критериев, установленных Комитетом против пыток.  В связи с этим некоторые организации гражданского общества указали, что при существующем формате в докладе не сделан анализ структурных аспектов, которые позволяют применять пытки</w:t>
      </w:r>
      <w:r>
        <w:rPr>
          <w:rStyle w:val="EndnoteReference"/>
        </w:rPr>
        <w:endnoteReference w:id="1"/>
      </w:r>
      <w:r>
        <w:t>.</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5.</w:t>
      </w:r>
      <w:r>
        <w:tab/>
        <w:t>В соответствии с установленными в Конвенции сроками представления докладов Мексика должна была представить четвертый периодический доклад в июне 2000 года.  Задержка с представлением этого доклада объясняется главным образом стремлением правительства Мексики изложить в нем осуществляемые в настоящее время меры для интегрирования государственной политики в области прав человека и в связи с этим представить общую картину развития в этой области, которая сложилась в последние годы, включая заключение соглашения о техническом сотрудничестве с Управлением Верховного комиссара по правам человека.  Это соглашение позволило завершить в декабре 2003 года исследование о положении в области прав человека в стране и разработать осуществляемую в настоящее время Национальную программу по правам человека.</w:t>
      </w:r>
    </w:p>
    <w:p w:rsidR="00000000" w:rsidRDefault="00000000">
      <w:pPr>
        <w:tabs>
          <w:tab w:val="left" w:pos="0"/>
        </w:tabs>
      </w:pPr>
    </w:p>
    <w:p w:rsidR="00000000" w:rsidRDefault="00000000">
      <w:r>
        <w:t>6.</w:t>
      </w:r>
      <w:r>
        <w:tab/>
        <w:t>Проводимая политика открытости и прозрачности позволяет правительству Мексики расширять каналы диалога и связей с международными механизмами и комитетами, занимающимися правами человека, в том числе с Комитетом против пыток.</w:t>
      </w:r>
    </w:p>
    <w:p w:rsidR="00000000" w:rsidRDefault="00000000"/>
    <w:p w:rsidR="00000000" w:rsidRDefault="00000000">
      <w:r>
        <w:t>7.</w:t>
      </w:r>
      <w:r>
        <w:tab/>
        <w:t>Одно из основных направлений деятельности правительства Мексики состоит в содействии деятельности международных механизмов, которые оказывают влияние на деятельность национальных учреждений и, как следствие, способствуют осуществлению структурных изменений, в которых нуждается страна.</w:t>
      </w:r>
    </w:p>
    <w:p w:rsidR="00000000" w:rsidRDefault="00000000"/>
    <w:p w:rsidR="00000000" w:rsidRDefault="00000000">
      <w:r>
        <w:t>8.</w:t>
      </w:r>
      <w:r>
        <w:tab/>
        <w:t>В марте 2001 года Мексика направила представителям международных учреждений, занимающихся правами человека, приглашение посетить страну.  В результате Мексику посетило 15 различных делегаций, представляющих международные органы.</w:t>
      </w:r>
    </w:p>
    <w:p w:rsidR="00000000" w:rsidRDefault="00000000"/>
    <w:p w:rsidR="00000000" w:rsidRDefault="00000000">
      <w:r>
        <w:t>9.</w:t>
      </w:r>
      <w:r>
        <w:tab/>
        <w:t>Благодаря вышеуказанным мерам был подготовлен ряд докладов и рекомендаций, которые используются для разработки комплексной политики в области прав человека в соответствии с международными стандартами.</w:t>
      </w:r>
    </w:p>
    <w:p w:rsidR="00000000" w:rsidRDefault="00000000"/>
    <w:p w:rsidR="00000000" w:rsidRDefault="00000000">
      <w:r>
        <w:t>10.</w:t>
      </w:r>
      <w:r>
        <w:tab/>
        <w:t>Следует указать на визит представителей Комитета против пыток, который был осуществлен в августе-сентябре 2001 года.  В результате этого визита был подготовлен доклад САТ/С/75, опубликованный в мае 2002 года.  В этом докладе содержатся 11 рекомендаций, адресованных Мексике.  Кроме того, Мексика принимала Специального докладчика о независимости судей и адвокатов, а также представителей Рабочей группы по произвольному задержанию.  Оба эти механизма тесно связаны со структурами и практикой, которые занимаются вопросом о пытках.</w:t>
      </w:r>
    </w:p>
    <w:p w:rsidR="00000000" w:rsidRDefault="00000000"/>
    <w:p w:rsidR="00000000" w:rsidRDefault="00000000">
      <w:r>
        <w:t>11.</w:t>
      </w:r>
      <w:r>
        <w:tab/>
        <w:t>Среди рекомендаций, в отношении которых принимаются меры, следует подчеркнуть рекомендации, которые были даны Специальным докладчиком по вопросу пыток сэром Найджелом Родли.  Эти рекомендации были подготовлены в Мексике в 1997 году.  Многие из них до сих пор являются актуальными.</w:t>
      </w:r>
    </w:p>
    <w:p w:rsidR="00000000" w:rsidRDefault="00000000"/>
    <w:p w:rsidR="00000000" w:rsidRDefault="00000000">
      <w:r>
        <w:t>12.</w:t>
      </w:r>
      <w:r>
        <w:tab/>
        <w:t>Президент Республики 28 августа 2002 года опубликовал доклад "Прогресс и задачи федерального правительства в области прав человека".  В этом докладе ставится четыре первоочередных задачи:  а)  искоренить пытки, дискриминацию и физическое и психологическое воздействие;  b)  разработать комплексную политику в области прав человека, которая позволила бы предотвращать нарушения прав человека;  выполнять рекомендации Комиссии по правам человека;  компенсировать ущерб жертвам;  и обучать сотрудников и государственных должностных лиц по вопросам защиты прав человека и предотвращения их нарушений;  с)  создать межведомственную комиссию по вопросам правительственной политики в области прав человека;  и  d)  поддерживать национальный диалог по вопросу о правах человека.</w:t>
      </w:r>
    </w:p>
    <w:p w:rsidR="00000000" w:rsidRDefault="00000000"/>
    <w:p w:rsidR="00000000" w:rsidRDefault="00000000">
      <w:r>
        <w:t>13.</w:t>
      </w:r>
      <w:r>
        <w:tab/>
        <w:t>В соответствии с постановлением президента от 17 октября 1997 года была создана Межведомственная комиссия по контролю за выполнением международных обязательств Мексики в области прав человека</w:t>
      </w:r>
      <w:r>
        <w:rPr>
          <w:rStyle w:val="EndnoteReference"/>
        </w:rPr>
        <w:endnoteReference w:id="2"/>
      </w:r>
      <w:r>
        <w:t>.</w:t>
      </w:r>
    </w:p>
    <w:p w:rsidR="00000000" w:rsidRDefault="00000000"/>
    <w:p w:rsidR="00000000" w:rsidRDefault="00000000">
      <w:r>
        <w:t>14.</w:t>
      </w:r>
      <w:r>
        <w:tab/>
        <w:t>После прихода к власти нынешнего правительства указанная Комиссия создала механизм поддержания диалога, в работе которого на паритетных началах принимают участие представители федерального правительства, общественных правозащитных организаций и организаций гражданского общества для обсуждения международных обязательств Мексики и принятия в стране мер по этому вопросу.</w:t>
      </w:r>
    </w:p>
    <w:p w:rsidR="00000000" w:rsidRDefault="00000000"/>
    <w:p w:rsidR="00000000" w:rsidRDefault="00000000">
      <w:r>
        <w:t>15.</w:t>
      </w:r>
      <w:r>
        <w:tab/>
        <w:t>В "Официальных ведомостях Федерации" 11 марта 2003 года было опубликовано постановление президента, в соответствии с которым была создана постоянная Комиссия по вопросам правительственной политики в области прав человека, которая заменила ранее существовавшую аналогичную комиссию</w:t>
      </w:r>
      <w:r>
        <w:rPr>
          <w:rStyle w:val="EndnoteReference"/>
        </w:rPr>
        <w:endnoteReference w:id="3"/>
      </w:r>
      <w:r>
        <w:t>.  В результате диалога между организациями гражданского общества, правозащитными организациями, научными кругами и правительственными учреждениями были совместно разработаны политика и мероприятия правительства в области прав человека и пути их проведения.</w:t>
      </w:r>
    </w:p>
    <w:p w:rsidR="00000000" w:rsidRDefault="00000000">
      <w:pPr>
        <w:tabs>
          <w:tab w:val="left" w:pos="0"/>
        </w:tabs>
        <w:rPr>
          <w:lang w:val="en-US"/>
        </w:rPr>
      </w:pPr>
    </w:p>
    <w:p w:rsidR="00000000" w:rsidRDefault="00000000">
      <w:r>
        <w:t>16.</w:t>
      </w:r>
      <w:r>
        <w:tab/>
        <w:t>В рамках Подкомиссии по гражданским и политическим правам указанной Комиссии правительство и организации гражданского общества рассматривают, в частности, меры борьбы с пытками.  Подкомиссия  на основе консенсуса одобрила мероприятия, направленные на выполнение положений документа, озаглавленного "Двадцать пять мер борьбы с пытками", который был подготовлен Межведомственной комиссией по контролю за выполнением международных обязательств Мексики в области прав человека.  Положительным аспектом этих мер является то, что они разрабатываются совместно государственными должностными лицами и представительной группой правозащитных организаций гражданского общества на основе конкретного анализа рекомендаций, сделанных международными комитетами и механизмами по правам человека.</w:t>
      </w:r>
    </w:p>
    <w:p w:rsidR="00000000" w:rsidRDefault="00000000"/>
    <w:p w:rsidR="00000000" w:rsidRDefault="00000000">
      <w:r>
        <w:t>17.</w:t>
      </w:r>
      <w:r>
        <w:tab/>
        <w:t>В принципе достигнуто согласие в отношении того, что эти меры станут отправной точкой для поощрения политики борьбы с пытками.  В этой связи следует признать, что указанные меры являются всего лишь первоначальным шагом, который не охватывает данную проблему в целом.</w:t>
      </w:r>
    </w:p>
    <w:p w:rsidR="00000000" w:rsidRDefault="00000000"/>
    <w:p w:rsidR="00000000" w:rsidRDefault="00000000">
      <w:r>
        <w:t>18.</w:t>
      </w:r>
      <w:r>
        <w:tab/>
        <w:t>При рассмотрении прогресса в осуществлении "Двадцати пяти мер борьбы с пытками"</w:t>
      </w:r>
      <w:r>
        <w:rPr>
          <w:rStyle w:val="EndnoteReference"/>
        </w:rPr>
        <w:endnoteReference w:id="4"/>
      </w:r>
      <w:r>
        <w:t>, которые содержатся в виде приложения к данному докладу, периодически осуществлялась их оценка.  Продолжается также совместное рассмотрение рекомендаций международных механизмов по правам человека для разработки еще более активных мер по эффективной борьбе с пытками.</w:t>
      </w:r>
    </w:p>
    <w:p w:rsidR="00000000" w:rsidRDefault="00000000"/>
    <w:p w:rsidR="00000000" w:rsidRDefault="00000000">
      <w:r>
        <w:t>19.</w:t>
      </w:r>
      <w:r>
        <w:tab/>
        <w:t>При подготовке настоящего доклада осуществлялось сотрудничество с органами федеральной исполнительной власти, в частности с Комиссией по вопросам  правительственной политики в области прав человека, а также с общественными организациями по правам человека.  Кроме того, в доклад включена информация, представленная различными государственными учреждениями, компиляция которой была осуществлена Национальной конференцией прокуроров</w:t>
      </w:r>
      <w:r>
        <w:rPr>
          <w:rStyle w:val="EndnoteReference"/>
        </w:rPr>
        <w:endnoteReference w:id="5"/>
      </w:r>
      <w:r>
        <w:t>.</w:t>
      </w:r>
    </w:p>
    <w:p w:rsidR="00000000" w:rsidRDefault="00000000"/>
    <w:p w:rsidR="00000000" w:rsidRDefault="00000000">
      <w:r>
        <w:t>20.</w:t>
      </w:r>
      <w:r>
        <w:tab/>
        <w:t>В качестве важного элемента следует указать на проведение консультаций с неправительственными организациями, занимающимися правами человека, с целью рассмотрения настоящего доклада, прежде чем направлять его Комитету, для учета сделанных этими организациями замечаний.  Однако некоторые организации гражданского общества сослались на недостаток времени для представления своих замечаний</w:t>
      </w:r>
      <w:r>
        <w:rPr>
          <w:rStyle w:val="EndnoteReference"/>
        </w:rPr>
        <w:endnoteReference w:id="6"/>
      </w:r>
      <w:r>
        <w:t>.</w:t>
      </w:r>
    </w:p>
    <w:p w:rsidR="00000000" w:rsidRDefault="00000000">
      <w:pPr>
        <w:spacing w:line="216" w:lineRule="auto"/>
      </w:pPr>
    </w:p>
    <w:p w:rsidR="00000000" w:rsidRDefault="00000000">
      <w:r>
        <w:t>21.</w:t>
      </w:r>
      <w:r>
        <w:tab/>
        <w:t>В связи с этим Комитет уведомляется о решении правительства вовлекать неправительственные организации в процесс подготовки, представления и контроля за выполнением положений периодических докладов о применении международных механизмов по правам человека, участником которых является Мексика.  Эта практика установилась в рамках всестороннего расширения совместной работы правительства с организациями гражданского общества в целях поощрения и защиты прав человека в Мексике, а также в целях выполнения взятых ею международных обязательств.</w:t>
      </w:r>
    </w:p>
    <w:p w:rsidR="00000000" w:rsidRDefault="00000000">
      <w:pPr>
        <w:spacing w:line="216" w:lineRule="auto"/>
      </w:pPr>
    </w:p>
    <w:p w:rsidR="00000000" w:rsidRDefault="00000000">
      <w:r>
        <w:t>22.</w:t>
      </w:r>
      <w:r>
        <w:tab/>
        <w:t>В результате радикального изменения политики Мексики после президентских выборов 2 июля 2000 года создалась благоприятная обстановка для активного проведения политики и расширения мер, направленных на оказание содействия и защиту прав человека, в частности для борьбы с пытками.</w:t>
      </w:r>
    </w:p>
    <w:p w:rsidR="00000000" w:rsidRDefault="00000000">
      <w:pPr>
        <w:spacing w:line="216" w:lineRule="auto"/>
      </w:pPr>
    </w:p>
    <w:p w:rsidR="00000000" w:rsidRDefault="00000000">
      <w:r>
        <w:t>23.</w:t>
      </w:r>
      <w:r>
        <w:tab/>
        <w:t>В представленной Комитету информации признается, что принятые меры оказались недостаточными.  Одной из наиболее настоятельных требований мексиканского общества к правительству является создание гарантий для соблюдения в полном объеме прав человека, в частности ведение эффективной борьбы против пыток и безнаказанности на уровне штатов и федеральном уровне.</w:t>
      </w:r>
    </w:p>
    <w:p w:rsidR="00000000" w:rsidRDefault="00000000"/>
    <w:p w:rsidR="00000000" w:rsidRDefault="00000000">
      <w:pPr>
        <w:rPr>
          <w:b/>
          <w:bCs/>
        </w:rPr>
      </w:pPr>
      <w:r>
        <w:rPr>
          <w:b/>
          <w:bCs/>
        </w:rPr>
        <w:tab/>
        <w:t>I.</w:t>
      </w:r>
      <w:r>
        <w:rPr>
          <w:b/>
          <w:bCs/>
        </w:rPr>
        <w:tab/>
        <w:t>МЕРЫ, ПРИНЯТЫЕ В 1997-2004 ГОДАХ ДЛЯ ВЫПОЛНЕНИЯ</w:t>
      </w:r>
    </w:p>
    <w:p w:rsidR="00000000" w:rsidRDefault="00000000">
      <w:pPr>
        <w:rPr>
          <w:b/>
          <w:bCs/>
        </w:rPr>
      </w:pPr>
      <w:r>
        <w:rPr>
          <w:b/>
          <w:bCs/>
        </w:rPr>
        <w:tab/>
      </w:r>
      <w:r>
        <w:rPr>
          <w:b/>
          <w:bCs/>
        </w:rPr>
        <w:tab/>
        <w:t xml:space="preserve"> ОБЯЗАТЕЛЬСТВ, ПРЕДУСМОТРЕННЫХ В КОНВЕНЦИИ</w:t>
      </w:r>
    </w:p>
    <w:p w:rsidR="00000000" w:rsidRDefault="00000000">
      <w:pPr>
        <w:spacing w:line="240" w:lineRule="auto"/>
        <w:jc w:val="center"/>
        <w:rPr>
          <w:b/>
          <w:bCs/>
        </w:rPr>
      </w:pPr>
    </w:p>
    <w:p w:rsidR="00000000" w:rsidRDefault="00000000">
      <w:pPr>
        <w:spacing w:line="240" w:lineRule="auto"/>
        <w:jc w:val="center"/>
        <w:rPr>
          <w:b/>
          <w:bCs/>
        </w:rPr>
      </w:pPr>
      <w:r>
        <w:rPr>
          <w:b/>
          <w:bCs/>
        </w:rPr>
        <w:t>Статья 1.  Определение пытки</w:t>
      </w:r>
    </w:p>
    <w:p w:rsidR="00000000" w:rsidRDefault="00000000">
      <w:pPr>
        <w:spacing w:line="240" w:lineRule="auto"/>
        <w:jc w:val="center"/>
        <w:rPr>
          <w:b/>
          <w:bCs/>
        </w:rPr>
      </w:pPr>
    </w:p>
    <w:p w:rsidR="00000000" w:rsidRDefault="00000000">
      <w:pPr>
        <w:ind w:left="567" w:hanging="567"/>
        <w:jc w:val="center"/>
        <w:rPr>
          <w:b/>
          <w:bCs/>
        </w:rPr>
      </w:pPr>
      <w:r>
        <w:rPr>
          <w:b/>
          <w:bCs/>
        </w:rPr>
        <w:t>А.</w:t>
      </w:r>
      <w:r>
        <w:rPr>
          <w:b/>
          <w:bCs/>
        </w:rPr>
        <w:tab/>
        <w:t>Вопрос о пытках в Политической конституции</w:t>
      </w:r>
    </w:p>
    <w:p w:rsidR="00000000" w:rsidRDefault="00000000">
      <w:pPr>
        <w:ind w:left="567" w:hanging="567"/>
        <w:jc w:val="center"/>
        <w:rPr>
          <w:b/>
          <w:bCs/>
        </w:rPr>
      </w:pPr>
      <w:r>
        <w:rPr>
          <w:b/>
          <w:bCs/>
        </w:rPr>
        <w:t>Мексиканских Соединенных Штатов</w:t>
      </w:r>
    </w:p>
    <w:p w:rsidR="00000000" w:rsidRDefault="00000000">
      <w:pPr>
        <w:spacing w:line="216" w:lineRule="auto"/>
        <w:rPr>
          <w:b/>
          <w:bCs/>
        </w:rPr>
      </w:pPr>
    </w:p>
    <w:p w:rsidR="00000000" w:rsidRDefault="00000000">
      <w:r>
        <w:t>24.</w:t>
      </w:r>
      <w:r>
        <w:tab/>
        <w:t>Пытки и другие виды жестокого обращения запрещены на основании статьи 20</w:t>
      </w:r>
      <w:r>
        <w:rPr>
          <w:rStyle w:val="EndnoteReference"/>
        </w:rPr>
        <w:endnoteReference w:id="7"/>
      </w:r>
      <w:r>
        <w:t xml:space="preserve"> и статьи 22</w:t>
      </w:r>
      <w:r>
        <w:rPr>
          <w:rStyle w:val="EndnoteReference"/>
        </w:rPr>
        <w:endnoteReference w:id="8"/>
      </w:r>
      <w:r>
        <w:t xml:space="preserve"> Политической конституции Мексиканских Соединенных Штатов.</w:t>
      </w:r>
    </w:p>
    <w:p w:rsidR="00000000" w:rsidRDefault="00000000"/>
    <w:p w:rsidR="00000000" w:rsidRDefault="00000000">
      <w:pPr>
        <w:keepNext/>
        <w:jc w:val="center"/>
        <w:rPr>
          <w:b/>
          <w:bCs/>
        </w:rPr>
      </w:pPr>
      <w:r>
        <w:rPr>
          <w:b/>
          <w:bCs/>
        </w:rPr>
        <w:t>В.</w:t>
      </w:r>
      <w:r>
        <w:rPr>
          <w:b/>
          <w:bCs/>
        </w:rPr>
        <w:tab/>
        <w:t>Определение пытки в федеральном законодательстве</w:t>
      </w:r>
    </w:p>
    <w:p w:rsidR="00000000" w:rsidRDefault="00000000">
      <w:pPr>
        <w:tabs>
          <w:tab w:val="left" w:pos="0"/>
        </w:tabs>
      </w:pPr>
    </w:p>
    <w:p w:rsidR="00000000" w:rsidRDefault="00000000">
      <w:r>
        <w:t>25.</w:t>
      </w:r>
      <w:r>
        <w:tab/>
        <w:t>В Федеральном законе о предотвращении пыток и наказании за них применение пытки определяется следующим образом:  "Государственное должностное лицо, которое при исполнении своих служебных обязанностей причиняет тому или иному лицу сильную физическую боль или нравственные страдания с целью получения от него или от третьего лица информации или признания либо с целью наказания указанного лица за совершенный акт или действие, в котором оно подозревается, или с целью принуждения указанного лица к выполнению или отказу от выполнения определенного действия, совершает преступление, квалифицируемое в качестве пытки".  Этот закон применяется на территории страны при совершении преступлений, предусмотренных федеральными законами</w:t>
      </w:r>
      <w:r>
        <w:rPr>
          <w:rStyle w:val="EndnoteReference"/>
        </w:rPr>
        <w:endnoteReference w:id="9"/>
      </w:r>
      <w:r>
        <w:t>.</w:t>
      </w:r>
    </w:p>
    <w:p w:rsidR="00000000" w:rsidRDefault="00000000"/>
    <w:p w:rsidR="00000000" w:rsidRDefault="00000000">
      <w:r>
        <w:t>26.</w:t>
      </w:r>
      <w:r>
        <w:tab/>
        <w:t>В статье 5 этого же закона предусматриваются возможности совершения преступления, если "гражданское должностное лицо, которое при исполнении своих обязанностей, по каким-либо причинам, указанным в статье 3, побуждает, заставляет или дает санкцию третьему лицу или использует его для причинения какому-либо лицу физической боли или нравственных страданий;  или не принимает мер против причинения физической боли и страданий лицом, находящимся у него в подчинении… или третьим лицом, которое государственное должностное лицо по каким-либо причинам, прямо или косвенно, побуждает, заставляет или уполномочивает причинять задержанному физическую боль или нравственные страдания"</w:t>
      </w:r>
      <w:r>
        <w:rPr>
          <w:rStyle w:val="EndnoteReference"/>
        </w:rPr>
        <w:endnoteReference w:id="10"/>
      </w:r>
      <w:r>
        <w:t>.</w:t>
      </w:r>
    </w:p>
    <w:p w:rsidR="00000000" w:rsidRDefault="00000000"/>
    <w:p w:rsidR="00000000" w:rsidRDefault="00000000">
      <w:r>
        <w:t>27.</w:t>
      </w:r>
      <w:r>
        <w:tab/>
        <w:t>С принятием этого закона Мексика выполнила взятое на себя международное обязательство рассматривать в рамках своего уголовного законодательства пытки как преступление в соответствии с международными стандартами.</w:t>
      </w:r>
    </w:p>
    <w:p w:rsidR="00000000" w:rsidRDefault="00000000"/>
    <w:p w:rsidR="00000000" w:rsidRDefault="00000000">
      <w:pPr>
        <w:keepNext/>
        <w:jc w:val="center"/>
        <w:rPr>
          <w:b/>
          <w:bCs/>
        </w:rPr>
      </w:pPr>
      <w:r>
        <w:rPr>
          <w:b/>
          <w:bCs/>
        </w:rPr>
        <w:t>С.</w:t>
      </w:r>
      <w:r>
        <w:rPr>
          <w:b/>
          <w:bCs/>
        </w:rPr>
        <w:tab/>
        <w:t>Определение пытки в законодательстве штатов</w:t>
      </w:r>
    </w:p>
    <w:p w:rsidR="00000000" w:rsidRDefault="00000000">
      <w:pPr>
        <w:keepNext/>
      </w:pPr>
    </w:p>
    <w:p w:rsidR="00000000" w:rsidRDefault="00000000">
      <w:r>
        <w:t>28.</w:t>
      </w:r>
      <w:r>
        <w:tab/>
        <w:t>В "Двадцати пяти мерах борьбы с пытками", одобренных Подкомиссией по гражданским и политическим правам Комиссии по вопросам правительственной политики, штатам предлагается в ближайшее время дать определение понятию "пытка" в соответствии с имеющими в Мексике силу международными нормами</w:t>
      </w:r>
      <w:r>
        <w:rPr>
          <w:rStyle w:val="EndnoteReference"/>
        </w:rPr>
        <w:endnoteReference w:id="11"/>
      </w:r>
      <w:r>
        <w:t>.</w:t>
      </w:r>
    </w:p>
    <w:p w:rsidR="00000000" w:rsidRDefault="00000000"/>
    <w:p w:rsidR="00000000" w:rsidRDefault="00000000">
      <w:r>
        <w:t>29.</w:t>
      </w:r>
      <w:r>
        <w:tab/>
        <w:t>С учетом федеральной структуры мексиканского государства 2 декабря 2003 года вступил в силу Закон о предотвращении пыток и наказании за них штата Юкатан, в котором пытка определяется следующим образом:</w:t>
      </w:r>
    </w:p>
    <w:p w:rsidR="00000000" w:rsidRDefault="00000000"/>
    <w:p w:rsidR="00000000" w:rsidRDefault="00000000">
      <w:pPr>
        <w:ind w:left="567"/>
      </w:pPr>
      <w:r>
        <w:tab/>
        <w:t>"Статья 4.  Государственное должностное лицо совершает преступление, если в силу своего положения или используя его, в ходе проведения расследования или следственных действий в отношении правонарушений или преступных деяний оно лично или через третье лицо умышленно причиняет лицу, которому предъявлено обвинение, которое находится под следствием или которому вынесен приговор, или любому другому лицу, телесные повреждения с целью получения информации или признания от лица, в отношении которого применяются пытки, или третьего лица, а также в целях запугивания, наказания за совершенное деяние или за непринятие мер для предотвращения совершенного или подозреваемого деяния, за соучастие в каком-либо определенном деянии или за попустительство при его совершении".</w:t>
      </w:r>
    </w:p>
    <w:p w:rsidR="00000000" w:rsidRDefault="00000000"/>
    <w:p w:rsidR="00000000" w:rsidRDefault="00000000">
      <w:r>
        <w:t>30.</w:t>
      </w:r>
      <w:r>
        <w:tab/>
        <w:t>После принятия этого закона 31 федеративная территория и Федеральный округ приняли нормативные акты, направленные на предотвращение пыток, наказание за них и их искоренение.  Однако, судя по этому примеру, а также по информации, изложенной в нижеуказанном приложении, в большинстве случаев включенные в уголовные кодексы положения не унифицированы в рамках Федерации точно так же, как и положение о том, в каких случаях лица, совершившие подобное уголовное деяние, подлежат тюремному заключению, а в каких случаях должно предусматриваться финансовое возмещение ущерба.  Все это указывает на необходимость полного пересмотра характера данного преступления и мер наказания для лиц, которые его совершают</w:t>
      </w:r>
      <w:r>
        <w:rPr>
          <w:rStyle w:val="EndnoteReference"/>
        </w:rPr>
        <w:endnoteReference w:id="12"/>
      </w:r>
      <w:r>
        <w:t>.</w:t>
      </w:r>
    </w:p>
    <w:p w:rsidR="00000000" w:rsidRDefault="00000000"/>
    <w:p w:rsidR="00000000" w:rsidRDefault="00000000">
      <w:r>
        <w:t>31.</w:t>
      </w:r>
      <w:r>
        <w:tab/>
        <w:t>Одной из важных мер в этой области явилось включение нового положения в Уголовный кодекс Федерального округа, о чем было объявлено 30 октября 2002 года.  В статье 294 главы </w:t>
      </w:r>
      <w:r>
        <w:rPr>
          <w:lang w:val="en-US"/>
        </w:rPr>
        <w:t>III</w:t>
      </w:r>
      <w:r>
        <w:t xml:space="preserve"> Кодекса предусматривается наказание любого государственного должного лица, которое, при исполнении своих обязанностей или используя их, причиняет боль или страдание лицу с целью:  </w:t>
      </w:r>
      <w:r>
        <w:rPr>
          <w:lang w:val="en-US"/>
        </w:rPr>
        <w:t>i</w:t>
      </w:r>
      <w:r>
        <w:t xml:space="preserve">)  получения от него или от третьего лица информации или признания;  </w:t>
      </w:r>
      <w:r>
        <w:rPr>
          <w:lang w:val="en-US"/>
        </w:rPr>
        <w:t>ii</w:t>
      </w:r>
      <w:r>
        <w:t xml:space="preserve">)  наказания его за совершенное деяние или за деяние, которое, как предполагается, он совершил;  </w:t>
      </w:r>
      <w:r>
        <w:rPr>
          <w:lang w:val="en-US"/>
        </w:rPr>
        <w:t>iii</w:t>
      </w:r>
      <w:r>
        <w:t>)  принуждение его к совершению определенного деяния.  Государственное должностное лицо наказывается в том случае, когда оно побуждает другое лицо применять пытки, санкционирует их применение или не препятствует их применению.</w:t>
      </w:r>
    </w:p>
    <w:p w:rsidR="00000000" w:rsidRDefault="00000000"/>
    <w:p w:rsidR="00000000" w:rsidRDefault="00000000">
      <w:r>
        <w:t>32.</w:t>
      </w:r>
      <w:r>
        <w:tab/>
        <w:t>Кроме того, в качестве пытки классифицируется также и применение методов, направленных на уничтожение жертвы как личности или снижение ее физических и умственных способностей, даже в тех случаях когда указанные методы не предполагают применение физической боли или психологических страданий (статья 295).</w:t>
      </w:r>
    </w:p>
    <w:p w:rsidR="00000000" w:rsidRDefault="00000000"/>
    <w:p w:rsidR="00000000" w:rsidRDefault="00000000">
      <w:r>
        <w:t>33.</w:t>
      </w:r>
      <w:r>
        <w:tab/>
        <w:t>Указанное определение пытки как преступления представляет собой важный шаг в законодательстве, поскольку устраняет элемент "серьезного характера" боли и страданий, что позволяет включать подобные деяния в разряд преступлений, предусматриваемых в Межамериканской конвенции о предупреждении пыток и наказании за них, государством-участником которой является Мексика.</w:t>
      </w:r>
    </w:p>
    <w:p w:rsidR="00000000" w:rsidRDefault="00000000"/>
    <w:p w:rsidR="00000000" w:rsidRDefault="00000000">
      <w:r>
        <w:t>34.</w:t>
      </w:r>
      <w:r>
        <w:tab/>
        <w:t>Внесение изменений в законодательство по вопросу о пытках преследует цель установить самые высокие стандарты защиты против преступлений подобного рода и выполнить международные обязательства, которые Мексика взяла на себя в этой области.</w:t>
      </w:r>
    </w:p>
    <w:p w:rsidR="00000000" w:rsidRDefault="00000000"/>
    <w:p w:rsidR="00000000" w:rsidRDefault="00000000">
      <w:pPr>
        <w:keepNext/>
        <w:jc w:val="center"/>
        <w:rPr>
          <w:b/>
          <w:bCs/>
        </w:rPr>
      </w:pPr>
      <w:r>
        <w:rPr>
          <w:b/>
          <w:bCs/>
        </w:rPr>
        <w:t>Статья 2.  Законодательные, административные и судебные меры для предотвращения пыток</w:t>
      </w:r>
    </w:p>
    <w:p w:rsidR="00000000" w:rsidRDefault="00000000">
      <w:pPr>
        <w:keepNext/>
        <w:jc w:val="center"/>
        <w:rPr>
          <w:b/>
          <w:bCs/>
        </w:rPr>
      </w:pPr>
    </w:p>
    <w:p w:rsidR="00000000" w:rsidRDefault="00000000">
      <w:pPr>
        <w:keepNext/>
        <w:jc w:val="center"/>
        <w:rPr>
          <w:b/>
          <w:bCs/>
        </w:rPr>
      </w:pPr>
      <w:r>
        <w:rPr>
          <w:b/>
          <w:bCs/>
        </w:rPr>
        <w:t>А.</w:t>
      </w:r>
      <w:r>
        <w:rPr>
          <w:b/>
          <w:bCs/>
        </w:rPr>
        <w:tab/>
        <w:t>Административные меры</w:t>
      </w:r>
    </w:p>
    <w:p w:rsidR="00000000" w:rsidRDefault="00000000">
      <w:pPr>
        <w:keepNext/>
        <w:rPr>
          <w:b/>
          <w:bCs/>
        </w:rPr>
      </w:pPr>
    </w:p>
    <w:p w:rsidR="00000000" w:rsidRDefault="00000000">
      <w:pPr>
        <w:keepNext/>
        <w:ind w:left="567" w:hanging="567"/>
        <w:rPr>
          <w:b/>
          <w:bCs/>
          <w:i/>
          <w:iCs/>
        </w:rPr>
      </w:pPr>
      <w:r>
        <w:rPr>
          <w:b/>
          <w:bCs/>
          <w:i/>
          <w:iCs/>
        </w:rPr>
        <w:t>1.</w:t>
      </w:r>
      <w:r>
        <w:rPr>
          <w:b/>
          <w:bCs/>
          <w:i/>
          <w:iCs/>
        </w:rPr>
        <w:tab/>
        <w:t>Соглашение о техническом сотрудничестве с Управлением Верховного комиссара Организации Объединенных Наций по правам человека</w:t>
      </w:r>
    </w:p>
    <w:p w:rsidR="00000000" w:rsidRDefault="00000000">
      <w:pPr>
        <w:keepNext/>
        <w:ind w:left="1134" w:hanging="1134"/>
        <w:rPr>
          <w:b/>
          <w:bCs/>
        </w:rPr>
      </w:pPr>
    </w:p>
    <w:p w:rsidR="00000000" w:rsidRDefault="00000000">
      <w:r>
        <w:t>35.</w:t>
      </w:r>
      <w:r>
        <w:tab/>
        <w:t>В декабре 2000 года в городе Оахака президент Мексики Висенте Фокс и г-жа Мэри Робинсон, исполнявшая в то время обязанности Верховного комиссара Организации Объединенных Наций по правам человека, подписали Программу технического сотрудничества, в соответствии с которой одной из трех основных целей является разработка типовой процедуры, которой могли бы руководствоваться федеральные органы власти и органы штатов при проведении медицинского осмотра для установления случаев применения пыток.</w:t>
      </w:r>
    </w:p>
    <w:p w:rsidR="00000000" w:rsidRDefault="00000000"/>
    <w:p w:rsidR="00000000" w:rsidRDefault="00000000">
      <w:pPr>
        <w:keepNext/>
        <w:ind w:left="567" w:hanging="567"/>
        <w:rPr>
          <w:i/>
          <w:iCs/>
        </w:rPr>
      </w:pPr>
      <w:r>
        <w:rPr>
          <w:b/>
          <w:bCs/>
          <w:i/>
          <w:iCs/>
        </w:rPr>
        <w:t>2.</w:t>
      </w:r>
      <w:r>
        <w:rPr>
          <w:b/>
          <w:bCs/>
          <w:i/>
          <w:iCs/>
        </w:rPr>
        <w:tab/>
        <w:t>Заключение о проведении медицинского осмотра для установления случаев применения пыток</w:t>
      </w:r>
    </w:p>
    <w:p w:rsidR="00000000" w:rsidRDefault="00000000">
      <w:pPr>
        <w:keepNext/>
        <w:ind w:left="1134" w:hanging="1134"/>
      </w:pPr>
    </w:p>
    <w:p w:rsidR="00000000" w:rsidRDefault="00000000">
      <w:r>
        <w:t>36.</w:t>
      </w:r>
      <w:r>
        <w:tab/>
        <w:t xml:space="preserve">В период с 28 мая по 1 июня 2001 года группа международных и национальных экспертов провела совещание для разработки предложения в отношении Заключения о проведении медицинского осмотра для установления случаев применения пыток и другого физического воздействия.  В работе совещания приняли участие эксперты </w:t>
      </w:r>
      <w:r>
        <w:rPr>
          <w:i/>
          <w:iCs/>
        </w:rPr>
        <w:t xml:space="preserve">Международного реабилитационного совета для жертв пыток </w:t>
      </w:r>
      <w:r>
        <w:t>(МРСЖП), сотрудники министерства иностранных дел, общественной безопасности, национальной обороны, социального развития, а также Генеральной прокуратуры Республики, Национальной комиссии по правам человека и Института федеральной судебной власти.</w:t>
      </w:r>
    </w:p>
    <w:p w:rsidR="00000000" w:rsidRDefault="00000000"/>
    <w:p w:rsidR="00000000" w:rsidRDefault="00000000">
      <w:pPr>
        <w:keepNext/>
        <w:ind w:left="567" w:hanging="567"/>
        <w:rPr>
          <w:b/>
          <w:bCs/>
          <w:i/>
          <w:iCs/>
        </w:rPr>
      </w:pPr>
      <w:r>
        <w:rPr>
          <w:b/>
          <w:bCs/>
          <w:i/>
          <w:iCs/>
        </w:rPr>
        <w:t>3.</w:t>
      </w:r>
      <w:r>
        <w:rPr>
          <w:b/>
          <w:bCs/>
          <w:i/>
          <w:iCs/>
        </w:rPr>
        <w:tab/>
        <w:t>Заключение медицинского осмотра/психологического анализа для установления случаев применения пыток и/или жестокого обращения</w:t>
      </w:r>
    </w:p>
    <w:p w:rsidR="00000000" w:rsidRDefault="00000000">
      <w:pPr>
        <w:keepNext/>
        <w:rPr>
          <w:b/>
          <w:bCs/>
          <w:u w:val="single"/>
        </w:rPr>
      </w:pPr>
    </w:p>
    <w:p w:rsidR="00000000" w:rsidRDefault="00000000">
      <w:pPr>
        <w:rPr>
          <w:i/>
          <w:iCs/>
        </w:rPr>
      </w:pPr>
      <w:r>
        <w:rPr>
          <w:i/>
          <w:iCs/>
        </w:rPr>
        <w:t>3.1</w:t>
      </w:r>
      <w:r>
        <w:rPr>
          <w:i/>
          <w:iCs/>
        </w:rPr>
        <w:tab/>
        <w:t>Рекомендации в адрес Мексики</w:t>
      </w:r>
    </w:p>
    <w:p w:rsidR="00000000" w:rsidRDefault="00000000">
      <w:pPr>
        <w:rPr>
          <w:b/>
          <w:bCs/>
        </w:rPr>
      </w:pPr>
    </w:p>
    <w:p w:rsidR="00000000" w:rsidRDefault="00000000">
      <w:r>
        <w:t>37.</w:t>
      </w:r>
      <w:r>
        <w:tab/>
        <w:t>Среди рекомендаций, включенных в доклад, подготовленный Комитетом против пыток в мае 2002 года, в связи с посещением им Мексики, содержится предложение об изменении бланков, используемых медицинскими экспертами, с тем чтобы в них могла вноситься информация о том, как, когда и кем лицу были нанесены телесные повреждения.  Рекомендуется также включать в эти бланки заключение эксперта о соответствии установленных повреждений тому, что заявляет осматриваемое лицо о причинах их появления.  Кроме того, в заключительной рекомендации (k) Комитет против пыток указывает, что всякий раз, когда какое-либо лицо заявляет о том, что оно было подвергнуто пыткам, компетентные органы власти должны возбуждать экстренное и беспрепятственное расследование, предусматривающее проведение медицинского осмотра в соответствии со Стамбульским протоколом</w:t>
      </w:r>
      <w:r>
        <w:rPr>
          <w:rStyle w:val="EndnoteReference"/>
        </w:rPr>
        <w:endnoteReference w:id="13"/>
      </w:r>
      <w:r>
        <w:t>.</w:t>
      </w:r>
    </w:p>
    <w:p w:rsidR="00000000" w:rsidRDefault="00000000"/>
    <w:p w:rsidR="00000000" w:rsidRDefault="00000000">
      <w:r>
        <w:t>38.</w:t>
      </w:r>
      <w:r>
        <w:tab/>
        <w:t>Со своей стороны Докладчик Организации Объединенных Наций по вопросу о пытках заявил, что во многих случаях медицинские осмотры, проводимые с целью установления случаев пыток, осуществляются без соблюдения необходимых процедур, которые позволяли бы осуществлять глубокий анализ</w:t>
      </w:r>
      <w:r>
        <w:rPr>
          <w:rStyle w:val="EndnoteReference"/>
        </w:rPr>
        <w:endnoteReference w:id="14"/>
      </w:r>
      <w:r>
        <w:t>.</w:t>
      </w:r>
    </w:p>
    <w:p w:rsidR="00000000" w:rsidRDefault="00000000"/>
    <w:p w:rsidR="00000000" w:rsidRDefault="00000000">
      <w:pPr>
        <w:rPr>
          <w:i/>
          <w:iCs/>
        </w:rPr>
      </w:pPr>
      <w:r>
        <w:rPr>
          <w:i/>
          <w:iCs/>
        </w:rPr>
        <w:t>3.2</w:t>
      </w:r>
      <w:r>
        <w:rPr>
          <w:i/>
          <w:iCs/>
        </w:rPr>
        <w:tab/>
        <w:t>Меры, принятые Мексикой</w:t>
      </w:r>
    </w:p>
    <w:p w:rsidR="00000000" w:rsidRDefault="00000000"/>
    <w:p w:rsidR="00000000" w:rsidRDefault="00000000">
      <w:r>
        <w:t>39.</w:t>
      </w:r>
      <w:r>
        <w:tab/>
        <w:t>Во исполнение этих рекомендаций Генеральная прокуратура Республики запросила техническую помощь у международных организаций, занимающихся вопросами пыток.  С этой целью она обратилась также к МРСЖП и к организации "Врачи за права человека" (ВПЧ) с просьбой изложить свое мнение по этому вопросу.  Обе эти организации внесли большой вклад в разработку Генеральной прокуратурой Республики заключения медицинского осмотра/психологического анализа для установления случаев применения пыток и/или жестокого обращения.  При разработке указанной типовой процедуры использовались положения Стамбульского протокола.  Ее цель состоит в согласовании медицинских принципов эффективного проведения медицинского осмотра и подготовки документации с юридическими нормами, которые регулируют подход к преступлению, каковым являются пытки, как на этапе проведения расследования министерством юстиции, так и на этапе передачи его для предварительного слушания в суде.  Указанные действия являются выполнением четвертой меры, содержащейся в "Двадцати пяти мерах для борьбы с пытками", которые были предложены ранее упомянутой Подкомиссией по гражданским и политическим правам.</w:t>
      </w:r>
    </w:p>
    <w:p w:rsidR="00000000" w:rsidRDefault="00000000"/>
    <w:p w:rsidR="00000000" w:rsidRDefault="00000000">
      <w:r>
        <w:t>40.</w:t>
      </w:r>
      <w:r>
        <w:tab/>
        <w:t>В "Официальных ведомостях Федерации" 18 августа 2003 года было опубликовано Постановление А/057/2003 Генеральной прокуратуры Республики</w:t>
      </w:r>
      <w:r>
        <w:rPr>
          <w:rStyle w:val="EndnoteReference"/>
        </w:rPr>
        <w:endnoteReference w:id="15"/>
      </w:r>
      <w:r>
        <w:t>, содержащее руководящие указания прокуратуры, которые должны соблюдаться сотрудниками, медиками-юристами и/или судебно-медицинскими экспертами, а также всеми сотрудниками Генеральной прокуратуры Республики в целях применения на практике заключения о медицинском осмотре/психологическом анализе для установления случаев применения пыток и/или жестокого обращения с целью наказания лиц, виновных в совершении преступных деяний.</w:t>
      </w:r>
    </w:p>
    <w:p w:rsidR="00000000" w:rsidRDefault="00000000"/>
    <w:p w:rsidR="00000000" w:rsidRDefault="00000000">
      <w:r>
        <w:t>41.</w:t>
      </w:r>
      <w:r>
        <w:tab/>
        <w:t>Заключение о проведении медицинского осмотра/психологического анализа для установления случаев применения пыток и/или жестокого обращения является документом, который должен использоваться и подписываться медиками-юристами и/или судебно-медицинскими экспертами Генеральной прокуратуры Республики и с помощью которого прокуратура Федерации информируется о результатах медицинских осмотров/психологических анализов, которые были осуществлены в отношении любого лица, утверждающего, что он был подвергнут пыткам и/или жестокому обращению с целью установления или опровержения указанных злоупотреблений.</w:t>
      </w:r>
    </w:p>
    <w:p w:rsidR="00000000" w:rsidRDefault="00000000"/>
    <w:p w:rsidR="00000000" w:rsidRDefault="00000000">
      <w:r>
        <w:t>42.</w:t>
      </w:r>
      <w:r>
        <w:tab/>
        <w:t>Прокуратура обязывает медиков-юристов и/или судебно-медицинских экспертов использовать бланк заключения о проведении медицинского осмотра/психологического анализа для установления случаев применения пыток и/или плохого обращения в следующих случаях:</w:t>
      </w:r>
    </w:p>
    <w:p w:rsidR="00000000" w:rsidRDefault="00000000"/>
    <w:p w:rsidR="00000000" w:rsidRDefault="00000000">
      <w:pPr>
        <w:numPr>
          <w:ilvl w:val="0"/>
          <w:numId w:val="4"/>
        </w:numPr>
        <w:tabs>
          <w:tab w:val="clear" w:pos="567"/>
          <w:tab w:val="clear" w:pos="927"/>
        </w:tabs>
        <w:ind w:left="1134" w:hanging="567"/>
      </w:pPr>
      <w:r>
        <w:t>когда какое</w:t>
      </w:r>
      <w:r>
        <w:noBreakHyphen/>
        <w:t>либо лицо, его адвокат или третье лицо утверждает, что указанное лицо подверглось пыткам и/или жестокому обращению;</w:t>
      </w:r>
    </w:p>
    <w:p w:rsidR="00000000" w:rsidRDefault="00000000">
      <w:pPr>
        <w:ind w:hanging="567"/>
      </w:pPr>
    </w:p>
    <w:p w:rsidR="00000000" w:rsidRDefault="00000000">
      <w:pPr>
        <w:numPr>
          <w:ilvl w:val="0"/>
          <w:numId w:val="4"/>
        </w:numPr>
        <w:tabs>
          <w:tab w:val="clear" w:pos="567"/>
          <w:tab w:val="clear" w:pos="927"/>
        </w:tabs>
        <w:ind w:left="1134" w:hanging="567"/>
      </w:pPr>
      <w:r>
        <w:t>когда, по мнению медика-юриста и/или судебно-медицинского эксперта, проводившего осмотр задержанного лица, были обнаружены признаки или следы возможных пыток и/или жестокого обращения;</w:t>
      </w:r>
    </w:p>
    <w:p w:rsidR="00000000" w:rsidRDefault="00000000">
      <w:pPr>
        <w:ind w:hanging="567"/>
      </w:pPr>
    </w:p>
    <w:p w:rsidR="00000000" w:rsidRDefault="00000000">
      <w:pPr>
        <w:numPr>
          <w:ilvl w:val="0"/>
          <w:numId w:val="4"/>
        </w:numPr>
        <w:tabs>
          <w:tab w:val="clear" w:pos="567"/>
          <w:tab w:val="clear" w:pos="927"/>
        </w:tabs>
        <w:ind w:left="1134" w:hanging="567"/>
      </w:pPr>
      <w:r>
        <w:t>когда указание об этом дает Генеральный прокурор Республики.</w:t>
      </w:r>
    </w:p>
    <w:p w:rsidR="00000000" w:rsidRDefault="00000000"/>
    <w:p w:rsidR="00000000" w:rsidRDefault="00000000">
      <w:r>
        <w:t>43.</w:t>
      </w:r>
      <w:r>
        <w:tab/>
        <w:t>Медицинский осмотр проводится с явно выраженного согласия осведомленного обо всех его аспектах лица, в отношении которого, возможно, применялись пытки и/или жестокое обращение, и его целью является установление психического и физического состояния пострадавшего.  В случае отказа этого лица от проведения медицинского осмотра, в медицинском бланке имеется пункт, в котором регистрируется такой отказ.  Осмотр, проводимый в соответствии с типовой процедурой, осуществляемся в индивидуальном порядке и при условии сохранения конфиденциальности информации, к которой не могут иметь доступа ни полицейские органы, ни сотрудники министерств, за исключением тех случаев, когда указанная информация может создавать угрозу для медицинского эксперта.</w:t>
      </w:r>
    </w:p>
    <w:p w:rsidR="00000000" w:rsidRDefault="00000000"/>
    <w:p w:rsidR="00000000" w:rsidRDefault="00000000">
      <w:r>
        <w:t>44.</w:t>
      </w:r>
      <w:r>
        <w:tab/>
        <w:t>Проведение медицинского осмотра осуществляется в соответствии со статьей 7 Федерального закона о предупреждении пыток и наказании за них</w:t>
      </w:r>
      <w:r>
        <w:rPr>
          <w:rStyle w:val="EndnoteReference"/>
        </w:rPr>
        <w:endnoteReference w:id="16"/>
      </w:r>
      <w:r>
        <w:t>.  Это правовое положение предоставляет право как жертве пыток или жестокого обращения, так и любому другому лицу, которому известно о случае пыток, обратиться к соответствующим властям с просьбой о проведении медицинского осмотра тюремным врачом или, при его отсутствии, по дополнительной просьбе, врачом по выбору жертвы, независимо от правового положения, в котором находится жертва предполагаемых пыток.  В том случае, если тюремный врач и/или судебно-медицинский эксперт установят, что осмотренному им лицу была причинена боль или серьезные страдания, об этом немедленно должны уведомляться компетентные органы власти, иными словами, органы прокуратуры</w:t>
      </w:r>
      <w:r>
        <w:rPr>
          <w:rStyle w:val="EndnoteReference"/>
        </w:rPr>
        <w:endnoteReference w:id="17"/>
      </w:r>
      <w:r>
        <w:t>.</w:t>
      </w:r>
    </w:p>
    <w:p w:rsidR="00000000" w:rsidRDefault="00000000"/>
    <w:p w:rsidR="00000000" w:rsidRDefault="00000000">
      <w:r>
        <w:t>45.</w:t>
      </w:r>
      <w:r>
        <w:tab/>
        <w:t>С целью избежания фальсификации и подделок результатов медицинского осмотра/психологического анализа для установления случаев применения пыток и/или жестокого обращения применяются следующие меры безопасности:</w:t>
      </w:r>
    </w:p>
    <w:p w:rsidR="00000000" w:rsidRDefault="00000000"/>
    <w:p w:rsidR="00000000" w:rsidRDefault="00000000">
      <w:pPr>
        <w:numPr>
          <w:ilvl w:val="0"/>
          <w:numId w:val="4"/>
        </w:numPr>
        <w:tabs>
          <w:tab w:val="clear" w:pos="567"/>
          <w:tab w:val="clear" w:pos="927"/>
        </w:tabs>
        <w:ind w:left="1134" w:hanging="567"/>
      </w:pPr>
      <w:r>
        <w:t>печатание результатов освидетельствования на защищенной бумаге;</w:t>
      </w:r>
    </w:p>
    <w:p w:rsidR="00000000" w:rsidRDefault="00000000">
      <w:pPr>
        <w:ind w:hanging="567"/>
      </w:pPr>
    </w:p>
    <w:p w:rsidR="00000000" w:rsidRDefault="00000000">
      <w:pPr>
        <w:numPr>
          <w:ilvl w:val="0"/>
          <w:numId w:val="4"/>
        </w:numPr>
        <w:tabs>
          <w:tab w:val="clear" w:pos="567"/>
          <w:tab w:val="clear" w:pos="927"/>
        </w:tabs>
        <w:ind w:left="1134" w:hanging="567"/>
      </w:pPr>
      <w:r>
        <w:t>печатание результатов освидетельствования устойчивыми к воде чернилами;</w:t>
      </w:r>
    </w:p>
    <w:p w:rsidR="00000000" w:rsidRDefault="00000000">
      <w:pPr>
        <w:ind w:hanging="567"/>
      </w:pPr>
    </w:p>
    <w:p w:rsidR="00000000" w:rsidRDefault="00000000">
      <w:pPr>
        <w:numPr>
          <w:ilvl w:val="0"/>
          <w:numId w:val="4"/>
        </w:numPr>
        <w:tabs>
          <w:tab w:val="clear" w:pos="567"/>
          <w:tab w:val="clear" w:pos="927"/>
        </w:tabs>
        <w:ind w:left="1134" w:hanging="567"/>
      </w:pPr>
      <w:r>
        <w:t>оформление каждого освидетельствования в виде отдельного дела;</w:t>
      </w:r>
    </w:p>
    <w:p w:rsidR="00000000" w:rsidRDefault="00000000">
      <w:pPr>
        <w:ind w:hanging="567"/>
      </w:pPr>
    </w:p>
    <w:p w:rsidR="00000000" w:rsidRDefault="00000000">
      <w:pPr>
        <w:numPr>
          <w:ilvl w:val="0"/>
          <w:numId w:val="4"/>
        </w:numPr>
        <w:tabs>
          <w:tab w:val="clear" w:pos="567"/>
          <w:tab w:val="clear" w:pos="927"/>
        </w:tabs>
        <w:ind w:left="1134" w:hanging="567"/>
      </w:pPr>
      <w:r>
        <w:t>использование трехмерной голограммы;</w:t>
      </w:r>
    </w:p>
    <w:p w:rsidR="00000000" w:rsidRDefault="00000000"/>
    <w:p w:rsidR="00000000" w:rsidRDefault="00000000">
      <w:pPr>
        <w:numPr>
          <w:ilvl w:val="0"/>
          <w:numId w:val="4"/>
        </w:numPr>
        <w:tabs>
          <w:tab w:val="clear" w:pos="567"/>
          <w:tab w:val="clear" w:pos="927"/>
        </w:tabs>
        <w:ind w:left="1134" w:hanging="567"/>
      </w:pPr>
      <w:r>
        <w:t>помещение результатов освидетельствования в отдельную папку, скрепленную голограммой</w:t>
      </w:r>
      <w:r>
        <w:rPr>
          <w:rStyle w:val="EndnoteReference"/>
        </w:rPr>
        <w:endnoteReference w:id="18"/>
      </w:r>
      <w:r>
        <w:t>.</w:t>
      </w:r>
    </w:p>
    <w:p w:rsidR="00000000" w:rsidRDefault="00000000"/>
    <w:p w:rsidR="00000000" w:rsidRDefault="00000000">
      <w:r>
        <w:t>46.</w:t>
      </w:r>
      <w:r>
        <w:tab/>
        <w:t>После создания 17 сентября 2003 года Комитета по мониторингу и оценке типовой процедуры проведения медицинского осмотра/психологического анализа для установления случаев возможного применения пыток и/или плохого обращения вступило в силу постановление Генеральной прокуратуры Республики об обязательности применения указанной типовой процедуры.  Начиная с указанной даты, сотрудники Генеральной прокуратуры Республики обязаны в полной мере применять основополагающие принципы Стамбульского протокола</w:t>
      </w:r>
      <w:r>
        <w:rPr>
          <w:rStyle w:val="EndnoteReference"/>
        </w:rPr>
        <w:endnoteReference w:id="19"/>
      </w:r>
      <w:r>
        <w:t>.</w:t>
      </w:r>
    </w:p>
    <w:p w:rsidR="00000000" w:rsidRDefault="00000000"/>
    <w:p w:rsidR="00000000" w:rsidRDefault="00000000">
      <w:r>
        <w:t>47.</w:t>
      </w:r>
      <w:r>
        <w:tab/>
        <w:t>Комитет по мониторингу и оценке типовой процедуры проведения медицинских осмотров/психологических анализов для установления случаев возможного применения пыток и/или плохого обращения был создан в качестве органа, регулирующего применение и осуществляющего наблюдение, контроль и оценку типовой процедуры.  В состав указанного комитета входят Генеральный прокурор Республики, главы отделений прокуратуры, главы органов контроля и надзора Института федеральной судебной власти, генеральный директор, осуществляющий координацию контролирующих органов, представитель Совета гражданского участия Генеральной прокуратуры Республики и представитель Мексиканского совета юридической и судебной медицины, осуществляющего свою деятельность под эгидой Национальной медицинской академии</w:t>
      </w:r>
      <w:r>
        <w:rPr>
          <w:rStyle w:val="EndnoteReference"/>
        </w:rPr>
        <w:endnoteReference w:id="20"/>
      </w:r>
      <w:r>
        <w:t>.  Кроме того, в работе Комитета принимают участие международные неправительственные организации и, в качестве наблюдателя, представитель Верховного комиссара Организации Объединенных Наций по правам человека</w:t>
      </w:r>
      <w:r>
        <w:rPr>
          <w:rStyle w:val="EndnoteReference"/>
        </w:rPr>
        <w:endnoteReference w:id="21"/>
      </w:r>
      <w:r>
        <w:t>.</w:t>
      </w:r>
    </w:p>
    <w:p w:rsidR="00000000" w:rsidRDefault="00000000"/>
    <w:p w:rsidR="00000000" w:rsidRDefault="00000000">
      <w:r>
        <w:t>48.</w:t>
      </w:r>
      <w:r>
        <w:tab/>
        <w:t>Кроме того, создана Консультативная группа Комитета по мониторингу, в состав которой в основном входят судебные медики академических институтов, государственных институтов судебно-медицинской экспертизы и представители организаций гражданского общества.  Эта Группа является вспомогательным техническим органом, который должен осуществлять оценку правильности применения типовой процедуры в каждом отдельном случае, руководствуясь параметрами Стамбульского протокола и руководящими указаниями и принципами, содержащимися в постановлении Генеральной прокуратуры Республики</w:t>
      </w:r>
      <w:r>
        <w:rPr>
          <w:rStyle w:val="EndnoteReference"/>
        </w:rPr>
        <w:endnoteReference w:id="22"/>
      </w:r>
      <w:r>
        <w:t>.</w:t>
      </w:r>
    </w:p>
    <w:p w:rsidR="00000000" w:rsidRDefault="00000000"/>
    <w:p w:rsidR="00000000" w:rsidRDefault="00000000">
      <w:r>
        <w:t>49.</w:t>
      </w:r>
      <w:r>
        <w:tab/>
        <w:t>С целью выполнения Постановления А/057/2003 Комитет по мониторингу провел два заседания - 17 сентября 2003 года, когда он был учрежден, и 11 августа 2004 года, после представления ежегодного доклада, посвященных обсуждению 23 случаев проведения медицинских осмотров/психологических анализов для установления случаев возможного применения пыток и/или жестокого обращения.</w:t>
      </w:r>
    </w:p>
    <w:p w:rsidR="00000000" w:rsidRDefault="00000000"/>
    <w:p w:rsidR="00000000" w:rsidRDefault="00000000">
      <w:r>
        <w:t>50.</w:t>
      </w:r>
      <w:r>
        <w:tab/>
        <w:t>Консультативная группа провела три заседания.  Первое заседание 18 сентября 2003 года было посвящено созданию этого коллегиального органа.  На втором и третьем заседаниях, проведенных соответственно 12 февраля и 18 мая 2004 года, рассматривались случаи проведения медицинских осмотров/психологических анализов для установления случаев возможного применения пыток и/или жестокого обращения.</w:t>
      </w:r>
    </w:p>
    <w:p w:rsidR="00000000" w:rsidRDefault="00000000"/>
    <w:p w:rsidR="00000000" w:rsidRDefault="00000000">
      <w:r>
        <w:t>51.</w:t>
      </w:r>
      <w:r>
        <w:tab/>
        <w:t>После принятия медицинскими специалистами Генеральной прокуратуры Республики положений Стамбульского протокола в качестве обязательных норм Мексика выполнила взятые на себя международные обязательства в области прав человека, предусмотренные, в частности, в таких постановлениях, как:</w:t>
      </w:r>
    </w:p>
    <w:p w:rsidR="00000000" w:rsidRDefault="00000000"/>
    <w:p w:rsidR="00000000" w:rsidRDefault="00000000">
      <w:pPr>
        <w:numPr>
          <w:ilvl w:val="0"/>
          <w:numId w:val="5"/>
        </w:numPr>
        <w:tabs>
          <w:tab w:val="clear" w:pos="567"/>
          <w:tab w:val="clear" w:pos="927"/>
        </w:tabs>
        <w:ind w:left="1134" w:hanging="567"/>
      </w:pPr>
      <w:r>
        <w:t>резолюции 2000/32, 2000/43 и 2003/33 Комиссии Организации Объединенных Наций по правам человека;</w:t>
      </w:r>
    </w:p>
    <w:p w:rsidR="00000000" w:rsidRDefault="00000000">
      <w:pPr>
        <w:ind w:left="207" w:hanging="567"/>
      </w:pPr>
    </w:p>
    <w:p w:rsidR="00000000" w:rsidRDefault="00000000">
      <w:pPr>
        <w:numPr>
          <w:ilvl w:val="0"/>
          <w:numId w:val="5"/>
        </w:numPr>
        <w:tabs>
          <w:tab w:val="clear" w:pos="567"/>
          <w:tab w:val="clear" w:pos="927"/>
        </w:tabs>
        <w:ind w:left="1134" w:hanging="567"/>
      </w:pPr>
      <w:r>
        <w:t xml:space="preserve">рекомендации </w:t>
      </w:r>
      <w:r>
        <w:rPr>
          <w:lang w:val="en-US"/>
        </w:rPr>
        <w:t>j</w:t>
      </w:r>
      <w:r>
        <w:t>)-</w:t>
      </w:r>
      <w:r>
        <w:rPr>
          <w:lang w:val="en-US"/>
        </w:rPr>
        <w:t>k</w:t>
      </w:r>
      <w:r>
        <w:t>) доклада, подготовленного после посещения Мексики Комитетом Организации Объединенных Наций против пыток.</w:t>
      </w:r>
    </w:p>
    <w:p w:rsidR="00000000" w:rsidRDefault="00000000">
      <w:pPr>
        <w:ind w:left="207"/>
      </w:pPr>
    </w:p>
    <w:p w:rsidR="00000000" w:rsidRDefault="00000000">
      <w:r>
        <w:t>52.</w:t>
      </w:r>
      <w:r>
        <w:tab/>
        <w:t>Спустя год после начала применения принципов Стамбульского протокола Департамент по правам человека, оказанию помощи потерпевшим в результате преступлений лицам и предоставлению услуг населению Генеральной прокуратуры Республики сообщил о значительном сокращении числа жалоб на пытки.  Однако Департамент признает факты жестокого обращения с задержанными в отдельных полицейских подразделениях и местных судебных органах</w:t>
      </w:r>
      <w:r>
        <w:rPr>
          <w:rStyle w:val="EndnoteReference"/>
        </w:rPr>
        <w:endnoteReference w:id="23"/>
      </w:r>
      <w:r>
        <w:t>.</w:t>
      </w:r>
    </w:p>
    <w:p w:rsidR="00000000" w:rsidRDefault="00000000"/>
    <w:p w:rsidR="00000000" w:rsidRDefault="00000000">
      <w:pPr>
        <w:keepNext/>
        <w:rPr>
          <w:i/>
          <w:iCs/>
        </w:rPr>
      </w:pPr>
      <w:r>
        <w:rPr>
          <w:i/>
          <w:iCs/>
        </w:rPr>
        <w:t>3.3</w:t>
      </w:r>
      <w:r>
        <w:rPr>
          <w:i/>
          <w:iCs/>
        </w:rPr>
        <w:tab/>
        <w:t>Замечания, планы и задачи</w:t>
      </w:r>
    </w:p>
    <w:p w:rsidR="00000000" w:rsidRDefault="00000000">
      <w:pPr>
        <w:rPr>
          <w:b/>
          <w:bCs/>
        </w:rPr>
      </w:pPr>
    </w:p>
    <w:p w:rsidR="00000000" w:rsidRDefault="00000000">
      <w:r>
        <w:t>53.</w:t>
      </w:r>
      <w:r>
        <w:tab/>
        <w:t>Хотя принятие международных стандартов благодаря использованию типовой процедуры проведения психологических анализов представляет собой важный шаг вперед, главной задачей является установление официальной правовой нормы</w:t>
      </w:r>
      <w:r>
        <w:rPr>
          <w:rStyle w:val="EndnoteReference"/>
        </w:rPr>
        <w:endnoteReference w:id="24"/>
      </w:r>
      <w:r>
        <w:t>, которая делала бы обязательной применение этой правовой процедуры на всей территории страны в рамках общего права, поскольку из 70 обвинений в пытках, выдвинутых против Мексики в докладе Специального докладчика о пытках и других жестоких, бесчеловечных или унижающих достоинство видов обращения, большинство касается действий судебной полиции штатов Республики</w:t>
      </w:r>
      <w:r>
        <w:rPr>
          <w:rStyle w:val="EndnoteReference"/>
        </w:rPr>
        <w:endnoteReference w:id="25"/>
      </w:r>
      <w:r>
        <w:t>.</w:t>
      </w:r>
    </w:p>
    <w:p w:rsidR="00000000" w:rsidRDefault="00000000"/>
    <w:p w:rsidR="00000000" w:rsidRDefault="00000000">
      <w:pPr>
        <w:rPr>
          <w:b/>
          <w:bCs/>
          <w:i/>
          <w:iCs/>
          <w:u w:val="single"/>
        </w:rPr>
      </w:pPr>
      <w:r>
        <w:rPr>
          <w:b/>
          <w:bCs/>
          <w:i/>
          <w:iCs/>
        </w:rPr>
        <w:t>4.</w:t>
      </w:r>
      <w:r>
        <w:rPr>
          <w:b/>
          <w:bCs/>
          <w:i/>
          <w:iCs/>
        </w:rPr>
        <w:tab/>
        <w:t>Подготовка медицинских работников</w:t>
      </w:r>
    </w:p>
    <w:p w:rsidR="00000000" w:rsidRDefault="00000000">
      <w:pPr>
        <w:rPr>
          <w:b/>
          <w:bCs/>
          <w:u w:val="single"/>
        </w:rPr>
      </w:pPr>
    </w:p>
    <w:p w:rsidR="00000000" w:rsidRDefault="00000000">
      <w:pPr>
        <w:rPr>
          <w:i/>
          <w:iCs/>
        </w:rPr>
      </w:pPr>
      <w:r>
        <w:rPr>
          <w:i/>
          <w:iCs/>
        </w:rPr>
        <w:t>4.1</w:t>
      </w:r>
      <w:r>
        <w:rPr>
          <w:i/>
          <w:iCs/>
        </w:rPr>
        <w:tab/>
        <w:t>Рекомендации, сделанные Мексике</w:t>
      </w:r>
    </w:p>
    <w:p w:rsidR="00000000" w:rsidRDefault="00000000">
      <w:pPr>
        <w:rPr>
          <w:b/>
          <w:bCs/>
        </w:rPr>
      </w:pPr>
    </w:p>
    <w:p w:rsidR="00000000" w:rsidRDefault="00000000">
      <w:r>
        <w:t>54.</w:t>
      </w:r>
      <w:r>
        <w:tab/>
        <w:t>Среди рекомендаций, вынесенных в адрес Мексики Докладчиком Найджелом Родли, содержится предложение о том, чтобы врачи, выполняющие функции защиты, ухода и лечения лиц, лишенных свободы, были ознакомлены с соответствующими международными стандартами, в том числе с Принципами медицинской этики, относящимися к роли работников здравоохранения, особенно врачей, в области защиты заключенных или задержанных лиц от пыток и других жестоких, бесчеловечных или унижающих достоинство видов обращения.</w:t>
      </w:r>
    </w:p>
    <w:p w:rsidR="00000000" w:rsidRDefault="00000000"/>
    <w:p w:rsidR="00000000" w:rsidRDefault="00000000">
      <w:pPr>
        <w:keepNext/>
        <w:rPr>
          <w:i/>
          <w:iCs/>
        </w:rPr>
      </w:pPr>
      <w:r>
        <w:rPr>
          <w:i/>
          <w:iCs/>
        </w:rPr>
        <w:t>4.2</w:t>
      </w:r>
      <w:r>
        <w:rPr>
          <w:i/>
          <w:iCs/>
        </w:rPr>
        <w:tab/>
        <w:t>Меры, принятые Мексикой</w:t>
      </w:r>
    </w:p>
    <w:p w:rsidR="00000000" w:rsidRDefault="00000000">
      <w:pPr>
        <w:keepNext/>
        <w:rPr>
          <w:b/>
          <w:bCs/>
        </w:rPr>
      </w:pPr>
    </w:p>
    <w:p w:rsidR="00000000" w:rsidRDefault="00000000">
      <w:r>
        <w:t>55.</w:t>
      </w:r>
      <w:r>
        <w:tab/>
        <w:t>В связи с этим для подготовки квалифицированных специалистов и применения международных стандартов на всей территории страны в рамках Программы технического сотрудничества с Управлением Верховного комиссара Организации Объединенных Наций предусматривается создание Национального института экспертных услуг, в задачу которого входила бы подготовка специалистов во всех областях, связанных с криминалистикой.</w:t>
      </w:r>
    </w:p>
    <w:p w:rsidR="00000000" w:rsidRDefault="00000000"/>
    <w:p w:rsidR="00000000" w:rsidRDefault="00000000">
      <w:pPr>
        <w:rPr>
          <w:b/>
          <w:bCs/>
          <w:i/>
          <w:iCs/>
        </w:rPr>
      </w:pPr>
      <w:r>
        <w:rPr>
          <w:b/>
          <w:bCs/>
          <w:i/>
          <w:iCs/>
        </w:rPr>
        <w:t>5.</w:t>
      </w:r>
      <w:r>
        <w:rPr>
          <w:b/>
          <w:bCs/>
          <w:i/>
          <w:iCs/>
        </w:rPr>
        <w:tab/>
        <w:t>Циркуляр против незаконных задержаний</w:t>
      </w:r>
    </w:p>
    <w:p w:rsidR="00000000" w:rsidRDefault="00000000">
      <w:pPr>
        <w:rPr>
          <w:b/>
          <w:bCs/>
        </w:rPr>
      </w:pPr>
    </w:p>
    <w:p w:rsidR="00000000" w:rsidRDefault="00000000">
      <w:pPr>
        <w:rPr>
          <w:i/>
          <w:iCs/>
        </w:rPr>
      </w:pPr>
      <w:r>
        <w:rPr>
          <w:i/>
          <w:iCs/>
        </w:rPr>
        <w:t>5.1</w:t>
      </w:r>
      <w:r>
        <w:rPr>
          <w:i/>
          <w:iCs/>
        </w:rPr>
        <w:tab/>
        <w:t>Рекомендации, вынесенные в адрес Мексики</w:t>
      </w:r>
    </w:p>
    <w:p w:rsidR="00000000" w:rsidRDefault="00000000">
      <w:pPr>
        <w:rPr>
          <w:b/>
          <w:bCs/>
        </w:rPr>
      </w:pPr>
    </w:p>
    <w:p w:rsidR="00000000" w:rsidRDefault="00000000">
      <w:r>
        <w:t>56.</w:t>
      </w:r>
      <w:r>
        <w:tab/>
        <w:t>Специальный докладчик по вопросу о пытках рекомендовал Мексике продолжать усилия по повышению уровня информированности сотрудников прокуратур и судебных органов о том, что пытки должны рассматриваться как нетерпимая практика и что лица, виновные в таких преступлениях, должны нести наказания</w:t>
      </w:r>
      <w:r>
        <w:rPr>
          <w:rStyle w:val="EndnoteReference"/>
        </w:rPr>
        <w:endnoteReference w:id="26"/>
      </w:r>
      <w:r>
        <w:t>.</w:t>
      </w:r>
    </w:p>
    <w:p w:rsidR="00000000" w:rsidRDefault="00000000"/>
    <w:p w:rsidR="00000000" w:rsidRDefault="00000000">
      <w:pPr>
        <w:rPr>
          <w:i/>
          <w:iCs/>
        </w:rPr>
      </w:pPr>
      <w:r>
        <w:rPr>
          <w:i/>
          <w:iCs/>
        </w:rPr>
        <w:t>5.2</w:t>
      </w:r>
      <w:r>
        <w:rPr>
          <w:i/>
          <w:iCs/>
        </w:rPr>
        <w:tab/>
        <w:t>Меры, принятые Мексикой</w:t>
      </w:r>
    </w:p>
    <w:p w:rsidR="00000000" w:rsidRDefault="00000000">
      <w:pPr>
        <w:rPr>
          <w:b/>
          <w:bCs/>
        </w:rPr>
      </w:pPr>
    </w:p>
    <w:p w:rsidR="00000000" w:rsidRDefault="00000000">
      <w:r>
        <w:t>57.</w:t>
      </w:r>
      <w:r>
        <w:tab/>
        <w:t>Национальная комиссия по правам человека 19 июня 2001 года опубликовала Рекомендацию общего характера № 2 о практике незаконных задержаний, которую она направила генеральным прокурорам Федеральной юстиции и Генеральному прокурору Республики, федеральному министерству общественной безопасности и главам общественной безопасности федеративных территорий и в которой Национальная комиссия заявила, что произвольное задержание, как правило, порождает и создает возможности для совершения других нарушений прав человека (содержание в условиях изоляции и физическое и/или психологическое принуждение).  Поэтому Комиссия рекомендовала дать четкие инструкции сотрудникам судебной полиции и полицейским органам немедленно положить конец подобной практике, а сотрудникам министерства юстиции - обратить внимание компетентных органов внутреннего контроля на указанные административные нарушения, а также в тех случаях, когда это необходимо, проводить предварительные расследования, связанные с такими нарушениями.</w:t>
      </w:r>
    </w:p>
    <w:p w:rsidR="00000000" w:rsidRDefault="00000000"/>
    <w:p w:rsidR="00000000" w:rsidRDefault="00000000">
      <w:r>
        <w:t>58.</w:t>
      </w:r>
      <w:r>
        <w:tab/>
        <w:t>Во исполнение рекомендации Специального докладчика и рекомендаций Национальной комиссии по правам человека</w:t>
      </w:r>
      <w:r>
        <w:rPr>
          <w:rStyle w:val="EndnoteReference"/>
        </w:rPr>
        <w:endnoteReference w:id="27"/>
      </w:r>
      <w:r>
        <w:t xml:space="preserve"> "Официальные ведомости Федерации" 24 декабря 2001 года опубликовали Циркуляр </w:t>
      </w:r>
      <w:r>
        <w:rPr>
          <w:lang w:val="en-US"/>
        </w:rPr>
        <w:t>C</w:t>
      </w:r>
      <w:r>
        <w:t>/0003/01 Генерального прокурора Республики</w:t>
      </w:r>
      <w:r>
        <w:rPr>
          <w:rStyle w:val="EndnoteReference"/>
        </w:rPr>
        <w:endnoteReference w:id="28"/>
      </w:r>
      <w:r>
        <w:t>, в котором сотрудникам прокуратуры Федерации и Федерального агентства расследований предлагается на применять никаких незаконных мер в ходе задержания и не допускать незаконного задержания</w:t>
      </w:r>
      <w:r>
        <w:rPr>
          <w:rStyle w:val="EndnoteReference"/>
        </w:rPr>
        <w:endnoteReference w:id="29"/>
      </w:r>
      <w:r>
        <w:t>.</w:t>
      </w:r>
    </w:p>
    <w:p w:rsidR="00000000" w:rsidRDefault="00000000"/>
    <w:p w:rsidR="00000000" w:rsidRDefault="00000000">
      <w:r>
        <w:t>59.</w:t>
      </w:r>
      <w:r>
        <w:tab/>
        <w:t>В этом циркуляре сотрудникам Федерального агентства расследований предписывается при задержании воздерживаться от применения физического насилия, оказания морального давления или жестокого обращения с задерживаемыми лицами, за исключением случаев, когда это необходимо для недопущения или противодействия нападениям на лиц, осуществляющих задержание.  В циркуляре также указывается, что, если у лица, представшего перед органом прокуратуры Федерации, обнаруживаются следы телесных повреждений или насилия или следы того, что это лицо стало жертвой такого насилия или жестокого обращения, это должно быть зафиксировано в ходе предварительного расследования, результаты которого должны дополняться предоставлением медицинских справок о физическом состоянии лица, независимо от преступления или преступлений, которые были совершены.</w:t>
      </w:r>
    </w:p>
    <w:p w:rsidR="00000000" w:rsidRDefault="00000000"/>
    <w:p w:rsidR="00000000" w:rsidRDefault="00000000">
      <w:r>
        <w:t>60.</w:t>
      </w:r>
      <w:r>
        <w:tab/>
        <w:t>Цель данного циркуляра и вытекающих из него обязанностей состоит в том, чтобы:</w:t>
      </w:r>
    </w:p>
    <w:p w:rsidR="00000000" w:rsidRDefault="00000000"/>
    <w:p w:rsidR="00000000" w:rsidRDefault="00000000">
      <w:pPr>
        <w:numPr>
          <w:ilvl w:val="0"/>
          <w:numId w:val="6"/>
        </w:numPr>
        <w:tabs>
          <w:tab w:val="clear" w:pos="567"/>
          <w:tab w:val="clear" w:pos="927"/>
        </w:tabs>
        <w:ind w:left="1134" w:hanging="567"/>
      </w:pPr>
      <w:r>
        <w:t>сократив число незаконных задержаний, тем самым добиться также снижения числа жалоб на жестокое физическое и/или психологическое обращение с задерживаемыми лицами;</w:t>
      </w:r>
    </w:p>
    <w:p w:rsidR="00000000" w:rsidRDefault="00000000">
      <w:pPr>
        <w:ind w:left="1134" w:hanging="567"/>
      </w:pPr>
    </w:p>
    <w:p w:rsidR="00000000" w:rsidRDefault="00000000">
      <w:pPr>
        <w:numPr>
          <w:ilvl w:val="0"/>
          <w:numId w:val="6"/>
        </w:numPr>
        <w:tabs>
          <w:tab w:val="clear" w:pos="567"/>
          <w:tab w:val="clear" w:pos="927"/>
        </w:tabs>
        <w:ind w:left="1134" w:hanging="567"/>
      </w:pPr>
      <w:r>
        <w:t>обязать федеральных сотрудников следственных органов применять методы и формы расследования преступлений с учетом научных стандартов получения доказательств, которые позволили бы им успешно проводить расследования;</w:t>
      </w:r>
    </w:p>
    <w:p w:rsidR="00000000" w:rsidRDefault="00000000"/>
    <w:p w:rsidR="00000000" w:rsidRDefault="00000000">
      <w:pPr>
        <w:numPr>
          <w:ilvl w:val="0"/>
          <w:numId w:val="6"/>
        </w:numPr>
        <w:tabs>
          <w:tab w:val="clear" w:pos="567"/>
          <w:tab w:val="clear" w:pos="927"/>
        </w:tabs>
        <w:ind w:left="1134" w:hanging="567"/>
      </w:pPr>
      <w:r>
        <w:t>содействовать воспитанию у сотрудников министерства юстиции и Федерации и федеральных сотрудников следственных органов культуры соблюдения прав человека.</w:t>
      </w:r>
    </w:p>
    <w:p w:rsidR="00000000" w:rsidRDefault="00000000"/>
    <w:p w:rsidR="00000000" w:rsidRDefault="00000000">
      <w:pPr>
        <w:rPr>
          <w:b/>
          <w:bCs/>
          <w:i/>
          <w:iCs/>
        </w:rPr>
      </w:pPr>
      <w:r>
        <w:rPr>
          <w:b/>
          <w:bCs/>
          <w:i/>
          <w:iCs/>
        </w:rPr>
        <w:t>6.</w:t>
      </w:r>
      <w:r>
        <w:rPr>
          <w:b/>
          <w:bCs/>
          <w:i/>
          <w:iCs/>
        </w:rPr>
        <w:tab/>
        <w:t>Реформа Генеральной прокуратуры Республики</w:t>
      </w:r>
    </w:p>
    <w:p w:rsidR="00000000" w:rsidRDefault="00000000">
      <w:pPr>
        <w:rPr>
          <w:b/>
          <w:bCs/>
          <w:u w:val="single"/>
        </w:rPr>
      </w:pPr>
    </w:p>
    <w:p w:rsidR="00000000" w:rsidRDefault="00000000">
      <w:r>
        <w:t>61.</w:t>
      </w:r>
      <w:r>
        <w:tab/>
        <w:t>В "Официальном вестнике Федерации" 30 июля 2002 года было опубликовано Постановление А/068/02 Генерального прокурора Республики, в котором сообщалось о создании в различных подразделениях ГПР служб защиты прав человека и излагались методы проведения проверок в области соблюдения прав человека</w:t>
      </w:r>
      <w:r>
        <w:rPr>
          <w:rStyle w:val="EndnoteReference"/>
        </w:rPr>
        <w:endnoteReference w:id="30"/>
      </w:r>
      <w:r>
        <w:t>.  С помощью создаваемых служб защиты прав человека принимаются меры для воспитания культуры соблюдения указанных прав.  Кроме того, с их помощью будут осуществляться проверки с целью подтверждения соответствия поведения государственных служащих предусмотренным в законодательстве нормам и уважения ими основных прав человека.  Предусматривается также, что они будут способствовать принятию необходимых мер для наказания, в соответствии с законом, любых нарушений или злоупотреблений</w:t>
      </w:r>
      <w:r>
        <w:rPr>
          <w:rStyle w:val="EndnoteReference"/>
        </w:rPr>
        <w:endnoteReference w:id="31"/>
      </w:r>
      <w:r>
        <w:t>.</w:t>
      </w:r>
    </w:p>
    <w:p w:rsidR="00000000" w:rsidRDefault="00000000"/>
    <w:p w:rsidR="00000000" w:rsidRDefault="00000000">
      <w:r>
        <w:t>62.</w:t>
      </w:r>
      <w:r>
        <w:tab/>
        <w:t>В "Официальных ведомостях Федерации" от 25 июля 2003 года было опубликовано новое Положение о Генеральной прокуратуре Республики</w:t>
      </w:r>
      <w:r>
        <w:rPr>
          <w:rStyle w:val="EndnoteReference"/>
        </w:rPr>
        <w:endnoteReference w:id="32"/>
      </w:r>
      <w:r>
        <w:t>, в котором заложены основы для реформы Генеральной прокуратуры с целью введения новой модели отправления правосудия с уделением особого внимания правам человека.  В этой связи статус Генерального управления по вопросам защиты прав человека был поднят до Управления Генеральной прокуратуры по правам человека, рассмотрению жалоб жертв и оказанию услуг населению.</w:t>
      </w:r>
    </w:p>
    <w:p w:rsidR="00000000" w:rsidRDefault="00000000"/>
    <w:p w:rsidR="00000000" w:rsidRDefault="00000000">
      <w:pPr>
        <w:ind w:left="567" w:hanging="567"/>
        <w:rPr>
          <w:b/>
          <w:bCs/>
          <w:i/>
          <w:iCs/>
        </w:rPr>
      </w:pPr>
      <w:r>
        <w:rPr>
          <w:b/>
          <w:bCs/>
          <w:i/>
          <w:iCs/>
        </w:rPr>
        <w:t>7.</w:t>
      </w:r>
      <w:r>
        <w:rPr>
          <w:b/>
          <w:bCs/>
          <w:i/>
          <w:iCs/>
        </w:rPr>
        <w:tab/>
        <w:t xml:space="preserve">Подписание Факультативного протокола к Конвенции против пыток и других жестоких, бесчеловечных или унижающих достоинство видов обращения </w:t>
      </w:r>
    </w:p>
    <w:p w:rsidR="00000000" w:rsidRDefault="00000000">
      <w:pPr>
        <w:ind w:left="567" w:hanging="567"/>
        <w:rPr>
          <w:b/>
          <w:bCs/>
          <w:u w:val="single"/>
        </w:rPr>
      </w:pPr>
    </w:p>
    <w:p w:rsidR="00000000" w:rsidRDefault="00000000">
      <w:r>
        <w:t>63.</w:t>
      </w:r>
      <w:r>
        <w:tab/>
        <w:t>Президент Висенте Факс 23 сентября 2003 года подписал в Нью-Йорке Факультативный протокол к Конвенции против пыток и других жестоких, бесчеловечных или унижающих достоинство видов обращения.  17 марта 2004 года федеральная исполнительная власть направила Протокол в конгресс союза для его одобрения и последующей ратификации.  В настоящее время вопрос о ратификации данного документа рассматривается в палате депутатов.</w:t>
      </w:r>
    </w:p>
    <w:p w:rsidR="00000000" w:rsidRDefault="00000000"/>
    <w:p w:rsidR="00000000" w:rsidRDefault="00000000">
      <w:r>
        <w:t>64.</w:t>
      </w:r>
      <w:r>
        <w:tab/>
        <w:t>Что касается Мексики, то принятие этого Протокола не потребует осуществления каких-либо правовых реформ и тем более внесения каких-либо поправок в Конституцию</w:t>
      </w:r>
      <w:r>
        <w:rPr>
          <w:rStyle w:val="EndnoteReference"/>
        </w:rPr>
        <w:endnoteReference w:id="33"/>
      </w:r>
      <w:r>
        <w:t>, поскольку в Конституции предусмотрено существование Национальной комиссии по правам человека как независимого общественного органа для защиты прав человека, в том числе права на физическую и психологическую неприкосновенность личности, а также существование аналогичных органов на уровне штатов</w:t>
      </w:r>
      <w:r>
        <w:rPr>
          <w:rStyle w:val="EndnoteReference"/>
        </w:rPr>
        <w:endnoteReference w:id="34"/>
      </w:r>
      <w:r>
        <w:t>.  Эти органы осуществляют функции контроля за национальными и международными нормами, касающимися прав человека, включая право посещения и инспектирования учреждений пенитенциарной системы и центров социальной реадаптации страны.  Поэтому с подписанием и ратификацией Мексикой Протокола расширяются указанные функции, а также контроль за выполнением Конвенции против пыток и других жестоких, бесчеловечных или унижающих достоинство видов обращения.</w:t>
      </w:r>
    </w:p>
    <w:p w:rsidR="00000000" w:rsidRDefault="00000000"/>
    <w:p w:rsidR="00000000" w:rsidRDefault="00000000">
      <w:pPr>
        <w:rPr>
          <w:i/>
          <w:iCs/>
        </w:rPr>
      </w:pPr>
      <w:r>
        <w:rPr>
          <w:i/>
          <w:iCs/>
        </w:rPr>
        <w:t>7.1</w:t>
      </w:r>
      <w:r>
        <w:rPr>
          <w:i/>
          <w:iCs/>
        </w:rPr>
        <w:tab/>
        <w:t>Замечания, планы и задачи</w:t>
      </w:r>
    </w:p>
    <w:p w:rsidR="00000000" w:rsidRDefault="00000000">
      <w:pPr>
        <w:rPr>
          <w:b/>
          <w:bCs/>
        </w:rPr>
      </w:pPr>
    </w:p>
    <w:p w:rsidR="00000000" w:rsidRDefault="00000000">
      <w:r>
        <w:t>65.</w:t>
      </w:r>
      <w:r>
        <w:tab/>
        <w:t>Однако некоторые организации гражданского общества предложили создать другую структуру для применения Факультативного протокола.  Одно из предложений состоит в создании национального механизма с участием представителей гражданского общества, а не только из представителей государственных органов по правам человека Федерации и штатов</w:t>
      </w:r>
      <w:r>
        <w:rPr>
          <w:rStyle w:val="EndnoteReference"/>
        </w:rPr>
        <w:endnoteReference w:id="35"/>
      </w:r>
      <w:r>
        <w:t>.</w:t>
      </w:r>
    </w:p>
    <w:p w:rsidR="00000000" w:rsidRDefault="00000000"/>
    <w:p w:rsidR="00000000" w:rsidRDefault="00000000">
      <w:r>
        <w:t>66.</w:t>
      </w:r>
      <w:r>
        <w:tab/>
        <w:t>В связи с необходимостью пропаганды положений Протокола в мексиканском обществе рассматривается вопрос о проведении информационной кампании и организации семинаров</w:t>
      </w:r>
      <w:r>
        <w:rPr>
          <w:rStyle w:val="EndnoteReference"/>
        </w:rPr>
        <w:endnoteReference w:id="36"/>
      </w:r>
      <w:r>
        <w:t xml:space="preserve"> под эгидой Управления Верховного комиссара Организации Объединенных Наций по правам человека и Европейской комиссии.  В настоящее время рассматривается вопрос о проведении четырех национальных семинаров по вопросам, связанным с Факультативным протоколом.</w:t>
      </w:r>
    </w:p>
    <w:p w:rsidR="00000000" w:rsidRDefault="00000000"/>
    <w:p w:rsidR="00000000" w:rsidRDefault="00000000">
      <w:pPr>
        <w:ind w:left="567" w:hanging="567"/>
        <w:rPr>
          <w:i/>
          <w:iCs/>
        </w:rPr>
      </w:pPr>
      <w:r>
        <w:rPr>
          <w:b/>
          <w:bCs/>
          <w:i/>
          <w:iCs/>
        </w:rPr>
        <w:t>8.</w:t>
      </w:r>
      <w:r>
        <w:rPr>
          <w:b/>
          <w:bCs/>
          <w:i/>
          <w:iCs/>
        </w:rPr>
        <w:tab/>
        <w:t>Широкое ознакомление с рекомендациями, которые международные механизмы по правам человека вынесли в адрес Мексики</w:t>
      </w:r>
      <w:r>
        <w:rPr>
          <w:rStyle w:val="EndnoteReference"/>
        </w:rPr>
        <w:endnoteReference w:id="37"/>
      </w:r>
    </w:p>
    <w:p w:rsidR="00000000" w:rsidRDefault="00000000">
      <w:pPr>
        <w:ind w:left="567" w:hanging="567"/>
      </w:pPr>
    </w:p>
    <w:p w:rsidR="00000000" w:rsidRDefault="00000000">
      <w:r>
        <w:t>67.</w:t>
      </w:r>
      <w:r>
        <w:tab/>
        <w:t>В сентябре 2003 года министерство иностранных дел опубликовало сборник рекомендаций, вынесенных в адрес Мексики международными механизмами по правам человека, в том числе рекомендаций, подготовленных Комитетом против пыток, с целью распространения этих рекомендаций среди органов, занимающихся данным вопросом, а также среди всех заинтересованных сторон.  Указанный сборник был распространен в подкомитетах Комиссии по вопросам правительственной политики в области прав человека в качестве руководства в их деятельности, а также деятельности многочисленных правительственных учреждений и организаций гражданского общества</w:t>
      </w:r>
      <w:r>
        <w:rPr>
          <w:rStyle w:val="EndnoteReference"/>
        </w:rPr>
        <w:endnoteReference w:id="38"/>
      </w:r>
      <w:r>
        <w:t>.</w:t>
      </w:r>
    </w:p>
    <w:p w:rsidR="00000000" w:rsidRDefault="00000000"/>
    <w:p w:rsidR="00000000" w:rsidRDefault="00000000">
      <w:pPr>
        <w:rPr>
          <w:b/>
          <w:bCs/>
          <w:i/>
          <w:iCs/>
          <w:u w:val="single"/>
        </w:rPr>
      </w:pPr>
      <w:r>
        <w:rPr>
          <w:b/>
          <w:bCs/>
          <w:i/>
          <w:iCs/>
        </w:rPr>
        <w:t>9.</w:t>
      </w:r>
      <w:r>
        <w:rPr>
          <w:b/>
          <w:bCs/>
          <w:i/>
          <w:iCs/>
        </w:rPr>
        <w:tab/>
        <w:t>Разработка Национальной программы по правам человека</w:t>
      </w:r>
      <w:r>
        <w:rPr>
          <w:rStyle w:val="EndnoteReference"/>
        </w:rPr>
        <w:endnoteReference w:id="39"/>
      </w:r>
    </w:p>
    <w:p w:rsidR="00000000" w:rsidRDefault="00000000">
      <w:pPr>
        <w:rPr>
          <w:b/>
          <w:bCs/>
          <w:u w:val="single"/>
        </w:rPr>
      </w:pPr>
    </w:p>
    <w:p w:rsidR="00000000" w:rsidRDefault="00000000">
      <w:r>
        <w:t>68.</w:t>
      </w:r>
      <w:r>
        <w:tab/>
        <w:t>8 декабря 2003 года были опубликованы результаты исследования по вопросу о положении с правами человека в Мексике, проведенного Управлением Верховного комиссара Организации Объединенных Наций по правам человека.  Рекомендации, которые были сделаны Мексике на основе этого исследования, а также рекомендации других международных органов и механизмов были использованы для подготовки национальной программы по правам человека.  Одним из вопросов, которому уделено первоочередное внимание в указанной программе, является борьба с пытками.</w:t>
      </w:r>
    </w:p>
    <w:p w:rsidR="00000000" w:rsidRDefault="00000000"/>
    <w:p w:rsidR="00000000" w:rsidRDefault="00000000">
      <w:r>
        <w:t>69.</w:t>
      </w:r>
      <w:r>
        <w:tab/>
        <w:t>В настоящее время осуществляется разработка этой программы.  Министерство внутренних дел совместно с министерством иностранных дел и Управлением Верховного комиссара Организации Объединенных Наций по правам человека подготавливают план работы с целью координации мероприятий, которые будут осуществляться органами законодательной, исполнительной и судебной власти, а также государственными органами по правам человека с целью разработки комплексной политики в данной области.</w:t>
      </w:r>
    </w:p>
    <w:p w:rsidR="00000000" w:rsidRDefault="00000000"/>
    <w:p w:rsidR="00000000" w:rsidRDefault="00000000">
      <w:r>
        <w:t>70.</w:t>
      </w:r>
      <w:r>
        <w:tab/>
        <w:t>Разработка национальной программы по правам человека согласуется с целями, поставленными в принятых в Вене Декларации и Плане действий, а также со сферой компетенции Программы технического сотрудничества в Латинской Америке и Карибском бассейне, разработанной в Кито, Эквадор, в 1999 году.</w:t>
      </w:r>
    </w:p>
    <w:p w:rsidR="00000000" w:rsidRDefault="00000000"/>
    <w:p w:rsidR="00000000" w:rsidRDefault="00000000">
      <w:pPr>
        <w:rPr>
          <w:i/>
          <w:iCs/>
        </w:rPr>
      </w:pPr>
      <w:r>
        <w:rPr>
          <w:b/>
          <w:bCs/>
          <w:i/>
          <w:iCs/>
        </w:rPr>
        <w:t>10.</w:t>
      </w:r>
      <w:r>
        <w:rPr>
          <w:b/>
          <w:bCs/>
          <w:i/>
          <w:iCs/>
        </w:rPr>
        <w:tab/>
        <w:t>Меры, принятые министерством национальной обороны</w:t>
      </w:r>
    </w:p>
    <w:p w:rsidR="00000000" w:rsidRDefault="00000000"/>
    <w:p w:rsidR="00000000" w:rsidRDefault="00000000">
      <w:r>
        <w:t>71.</w:t>
      </w:r>
      <w:r>
        <w:tab/>
        <w:t>Министерство национальной обороны (СЕДЕНА) прилагает большие усилия для расследования дел, связанных с ответственностью военнослужащих за нарушение прав человека.  Органы военной юстиции продемонстрировали эффективность в возбуждении соответствующих уголовных дел и вынесении наказаний без умаления процедур, обеспечивающих эффективное возмещение ущерба.</w:t>
      </w:r>
    </w:p>
    <w:p w:rsidR="00000000" w:rsidRDefault="00000000"/>
    <w:p w:rsidR="00000000" w:rsidRDefault="00000000">
      <w:r>
        <w:t>72.</w:t>
      </w:r>
      <w:r>
        <w:tab/>
        <w:t>Генеральная прокуратура военной юстиции имеет в своем распоряжении сотрудников Управления военной юстиции, работающих в следующих инстанциях:</w:t>
      </w:r>
    </w:p>
    <w:p w:rsidR="00000000" w:rsidRDefault="00000000"/>
    <w:p w:rsidR="00000000" w:rsidRDefault="00000000">
      <w:pPr>
        <w:ind w:left="1134" w:hanging="567"/>
      </w:pPr>
      <w:r>
        <w:t>-</w:t>
      </w:r>
      <w:r>
        <w:tab/>
        <w:t>военные судьи;</w:t>
      </w:r>
    </w:p>
    <w:p w:rsidR="00000000" w:rsidRDefault="00000000">
      <w:pPr>
        <w:ind w:left="1134" w:hanging="567"/>
      </w:pPr>
      <w:r>
        <w:t>-</w:t>
      </w:r>
      <w:r>
        <w:tab/>
        <w:t>Главный департамент по проведению расследований;</w:t>
      </w:r>
    </w:p>
    <w:p w:rsidR="00000000" w:rsidRDefault="00000000">
      <w:pPr>
        <w:ind w:left="1134" w:hanging="567"/>
      </w:pPr>
      <w:r>
        <w:t>-</w:t>
      </w:r>
      <w:r>
        <w:tab/>
        <w:t>12 военных округов, 44 военные зоны и 25 военных гарнизонов.</w:t>
      </w:r>
    </w:p>
    <w:p w:rsidR="00000000" w:rsidRDefault="00000000">
      <w:pPr>
        <w:ind w:left="1134" w:hanging="567"/>
      </w:pPr>
    </w:p>
    <w:p w:rsidR="00000000" w:rsidRDefault="00000000">
      <w:r>
        <w:t>При выполнении своих обязанностей эти сотрудники оказывают помощь органам военно-судебной полиции и научной лаборатории расследований.</w:t>
      </w:r>
    </w:p>
    <w:p w:rsidR="00000000" w:rsidRDefault="00000000"/>
    <w:p w:rsidR="00000000" w:rsidRDefault="00000000">
      <w:r>
        <w:t>73.</w:t>
      </w:r>
      <w:r>
        <w:tab/>
        <w:t>В их обязанность входит возбуждение уголовных дел, связанных с совершенными преступлениями, и предъявление обвинений в военных трибуналах, получение жалоб, сбор доказательств для оформления обвинений в совершенном преступлении или возможной ответственности за их совершение, осуществление контроля за проведением судебных разбирательств при соблюдении норм права и осуществление надзора за исполнением наказаний.</w:t>
      </w:r>
    </w:p>
    <w:p w:rsidR="00000000" w:rsidRDefault="00000000"/>
    <w:p w:rsidR="00000000" w:rsidRDefault="00000000">
      <w:r>
        <w:t>74.</w:t>
      </w:r>
      <w:r>
        <w:tab/>
        <w:t>Министерство национальной обороны не вмешивается в отправление правосудия органами военной юстиции;  оно осуществляет свои полномочия лишь в вопросах поддержания военной дисциплины.</w:t>
      </w:r>
    </w:p>
    <w:p w:rsidR="00000000" w:rsidRDefault="00000000"/>
    <w:p w:rsidR="00000000" w:rsidRDefault="00000000">
      <w:r>
        <w:t>75.</w:t>
      </w:r>
      <w:r>
        <w:tab/>
        <w:t xml:space="preserve">Генеральная прокуратура военной юстиции принимает различные меры для решения проблем, связанных с жалобами, поданными в Национальную комиссию по правам человека на военнослужащих за якобы совершенные ими нарушения прав человека.  К этим мерам относится применение более мягких требований, предъявляемых в отношении приема жалоб, и тщательное рассмотрение жалоб до полного решения вопроса.  </w:t>
      </w:r>
    </w:p>
    <w:p w:rsidR="00000000" w:rsidRDefault="00000000"/>
    <w:p w:rsidR="00000000" w:rsidRDefault="00000000">
      <w:r>
        <w:t>76.</w:t>
      </w:r>
      <w:r>
        <w:tab/>
        <w:t>При подтверждении случаев участия военнослужащих в нарушении прав человека принимаются дополнительные меры для недопущения повторения подобных действий, независимо от мер, принятых судебными органами для наказания виновных лиц в строгом соответствии с законом.</w:t>
      </w:r>
    </w:p>
    <w:p w:rsidR="00000000" w:rsidRDefault="00000000"/>
    <w:p w:rsidR="00000000" w:rsidRDefault="00000000">
      <w:r>
        <w:t>77.</w:t>
      </w:r>
      <w:r>
        <w:tab/>
        <w:t>При совершении нарушения прав человека, которые носят серьезный характер, органы военной юстиции, как показывает опыт, принимают своевременные и эффективные меры для наказания правонарушителей, предусматривая при этом одновременно выплату компенсации жертве или членам ее семьи.  Эти меры позволили решать все проблемы, связанные с поданными жалобами, и, таким образом, отпала необходимость в вынесении каких-либо рекомендаций.</w:t>
      </w:r>
    </w:p>
    <w:p w:rsidR="00000000" w:rsidRDefault="00000000"/>
    <w:p w:rsidR="00000000" w:rsidRDefault="00000000">
      <w:r>
        <w:t>78.</w:t>
      </w:r>
      <w:r>
        <w:tab/>
        <w:t>Опыт, приобретенный министерством национальной безопасности, позволил создать информационную систему, включающую надежные статистические данные, которые позволяют на основе архивных данных получить подлинную картину состояния дел в той или иной области, а также постоянно изучать, осуществлять оценку и анализ проблем, связанных с правами человека, в сухопутных войсках и военно-воздушных силах, а также характер нарушений и их динамику по регионам.  Использование этой системы позволяет устанавливать роль социальных факторов в областях, в которых наблюдается критическое положение.</w:t>
      </w:r>
    </w:p>
    <w:p w:rsidR="00000000" w:rsidRDefault="00000000"/>
    <w:p w:rsidR="00000000" w:rsidRDefault="00000000">
      <w:r>
        <w:t>79.</w:t>
      </w:r>
      <w:r>
        <w:tab/>
        <w:t>Что касается дел, направленных международным органам, то министерство национальной безопасности в сотрудничестве с министерством иностранных дел внимательно рассматривает их, используя для этой цели военных юристов, которые принимают участие во встречах и рабочих совещаниях, проводимых в ходе различных международных форумов.  Эти меры позволяют непосредственно заниматься указанными делами с целью скорейшего принятия необходимых законных мер.</w:t>
      </w:r>
    </w:p>
    <w:p w:rsidR="00000000" w:rsidRDefault="00000000"/>
    <w:p w:rsidR="00000000" w:rsidRDefault="00000000">
      <w:pPr>
        <w:rPr>
          <w:b/>
          <w:bCs/>
          <w:i/>
          <w:iCs/>
        </w:rPr>
      </w:pPr>
      <w:r>
        <w:rPr>
          <w:b/>
          <w:bCs/>
          <w:i/>
          <w:iCs/>
        </w:rPr>
        <w:t>11.</w:t>
      </w:r>
      <w:r>
        <w:rPr>
          <w:b/>
          <w:bCs/>
          <w:i/>
          <w:iCs/>
        </w:rPr>
        <w:tab/>
        <w:t>Меры, принятые министерством внутренних дел</w:t>
      </w:r>
    </w:p>
    <w:p w:rsidR="00000000" w:rsidRDefault="00000000">
      <w:pPr>
        <w:rPr>
          <w:b/>
          <w:bCs/>
          <w:u w:val="single"/>
        </w:rPr>
      </w:pPr>
    </w:p>
    <w:p w:rsidR="00000000" w:rsidRDefault="00000000">
      <w:r>
        <w:t>80.</w:t>
      </w:r>
      <w:r>
        <w:tab/>
        <w:t>В статье 7 Генерального закона о народонаселении предусматривается наделение министерства внутренних дел полномочиями в вопросах, касающихся миграции.  Министерство обязано осуществлять контроль за соблюдением прав человека, особенно в вопросах, связанных с сохранением семей.</w:t>
      </w:r>
    </w:p>
    <w:p w:rsidR="00000000" w:rsidRDefault="00000000"/>
    <w:p w:rsidR="00000000" w:rsidRDefault="00000000">
      <w:r>
        <w:t>81.</w:t>
      </w:r>
      <w:r>
        <w:tab/>
        <w:t>Федеральное правительство через министерство внутренних дел в рамках постоянной и решительной борьбы против пыток и других жестоких, бесчеловечных или унижающих достоинство видов обращения, которые могут совершаться в отношении иностранцев, независимо от их статуса, подписало с исполнительными органами различных федеративных образований соглашение о создании, интеграции и функционировании групп защиты мигрантов (группы "Бета").  Существует 15 таких групп, которые осуществляют свою деятельность в приграничных зонах на юге и севере страны.  Их цель состоит в создании механизмов координации между тремя ветвями власти с целью осуществления мероприятий, направленных на предотвращение и борьбу с незаконными и антисоциальными действиями в отношении мигрантов и на обеспечение защиты достоинства, физического, морального и имущественного состояния мигрантов, независимо от их статуса и гражданства</w:t>
      </w:r>
      <w:r>
        <w:rPr>
          <w:rStyle w:val="EndnoteReference"/>
        </w:rPr>
        <w:endnoteReference w:id="40"/>
      </w:r>
      <w:r>
        <w:t>.</w:t>
      </w:r>
    </w:p>
    <w:p w:rsidR="00000000" w:rsidRDefault="00000000"/>
    <w:p w:rsidR="00000000" w:rsidRDefault="00000000">
      <w:r>
        <w:t>82.</w:t>
      </w:r>
      <w:r>
        <w:tab/>
        <w:t>В этой связи министерство внутренних дел, Национальный институт миграции (НИМ), НКПЧ, ранее существовавшая Национальная комиссия по вопросам женщин (НКЖ) и Верховный комиссар Организации Объединенных Наций по делам беженцев (ВКДБ) подготовили "Инструкцию по правам человека для мигрантов", которая была опубликована на английском, испанском и французском языках, для того чтобы ознакомить мигрантов с их правами и обязанностями, а также проинформировать их об учреждениях, в которые они могут обратиться за получением необходимой помощи, а также представить свои жалобы и заявления.</w:t>
      </w:r>
    </w:p>
    <w:p w:rsidR="00000000" w:rsidRDefault="00000000"/>
    <w:p w:rsidR="00000000" w:rsidRDefault="00000000">
      <w:r>
        <w:t>83.</w:t>
      </w:r>
      <w:r>
        <w:tab/>
        <w:t>НИМ осуществляет также программу безопасной и упорядоченной репатриации мексиканцев, не допуская при этом злоупотреблений и нарушений прав человека.  Институт осуществляет также различные мероприятия в так называемых "центрах интернирования", о которых речь пойдет ниже</w:t>
      </w:r>
      <w:r>
        <w:rPr>
          <w:rStyle w:val="EndnoteReference"/>
        </w:rPr>
        <w:endnoteReference w:id="41"/>
      </w:r>
      <w:r>
        <w:t>.</w:t>
      </w:r>
    </w:p>
    <w:p w:rsidR="00000000" w:rsidRDefault="00000000"/>
    <w:p w:rsidR="00000000" w:rsidRDefault="00000000">
      <w:r>
        <w:t>84.</w:t>
      </w:r>
      <w:r>
        <w:tab/>
        <w:t>Что касается сотрудничества в возвращении граждан в свои страны, то 20 февраля 2004 года Мексика и Соединенные Штаты подписали Меморандум о взаимопонимании о безопасной и упорядоченной репатриации в условиях сохранения человеческого достоинства мексиканских граждан.  Этот меморандум носит комплексный характер.  Его цель состоит в том, чтобы гарантировать безопасное и упорядоченное возвращение лиц в условиях сохранения их чувства собственного достоинства на основе принципа взаимной ответственности и при полном соблюдении прав человека мигрантов, избегая при этом односторонних действий.  В течение 2003 года была осуществлена репатриация 559 949 лиц, а с января по июнь 2004 года - 319 558 лиц.</w:t>
      </w:r>
    </w:p>
    <w:p w:rsidR="00000000" w:rsidRDefault="00000000"/>
    <w:p w:rsidR="00000000" w:rsidRDefault="00000000">
      <w:r>
        <w:t>85.</w:t>
      </w:r>
      <w:r>
        <w:tab/>
        <w:t xml:space="preserve">Между Генеральным управлением миграции Республики Гватемала и Национальным институтом миграции Мексики 12 и 13 июня 2002 года было подписано соглашение о безопасной и упорядоченной репатриации граждан центральноамериканских государств на границе между Мексикой и Гватемалой, которое предусматривает процедуру, места и конкретное время репатриации граждан Гватемалы и стран Центральной Америки.  2 июля 2004 года было подписано новое соглашение, в соответствии с которым в процедуры и сроки обмена, установленные в ранее подписанном соглашении, вносились изменения с целью учета нового положения в этой области. </w:t>
      </w:r>
    </w:p>
    <w:p w:rsidR="00000000" w:rsidRDefault="00000000"/>
    <w:p w:rsidR="00000000" w:rsidRDefault="00000000">
      <w:pPr>
        <w:rPr>
          <w:b/>
          <w:bCs/>
          <w:i/>
          <w:iCs/>
          <w:u w:val="single"/>
        </w:rPr>
      </w:pPr>
      <w:r>
        <w:rPr>
          <w:b/>
          <w:bCs/>
          <w:i/>
          <w:iCs/>
        </w:rPr>
        <w:t>12.</w:t>
      </w:r>
      <w:r>
        <w:rPr>
          <w:b/>
          <w:bCs/>
          <w:i/>
          <w:iCs/>
        </w:rPr>
        <w:tab/>
        <w:t>Меры, принятые Генеральной прокуратурой Республики</w:t>
      </w:r>
    </w:p>
    <w:p w:rsidR="00000000" w:rsidRDefault="00000000">
      <w:pPr>
        <w:rPr>
          <w:b/>
          <w:bCs/>
          <w:u w:val="single"/>
        </w:rPr>
      </w:pPr>
    </w:p>
    <w:p w:rsidR="00000000" w:rsidRDefault="00000000">
      <w:r>
        <w:t>86.</w:t>
      </w:r>
      <w:r>
        <w:tab/>
        <w:t>В результате реформы Генеральной прокуратурой создан Департамент прокуратуры по правам человека, оказанию помощи потерпевшим от преступлений лиц и предоставлению услуг населению, который состоит из следующих четырех основных управлений:</w:t>
      </w:r>
    </w:p>
    <w:p w:rsidR="00000000" w:rsidRDefault="00000000">
      <w:pPr>
        <w:spacing w:after="240"/>
      </w:pPr>
    </w:p>
    <w:p w:rsidR="00000000" w:rsidRDefault="00000000">
      <w:pPr>
        <w:numPr>
          <w:ilvl w:val="0"/>
          <w:numId w:val="7"/>
        </w:numPr>
        <w:tabs>
          <w:tab w:val="clear" w:pos="567"/>
        </w:tabs>
        <w:spacing w:after="240"/>
      </w:pPr>
      <w:r>
        <w:t>Главное управление по оказанию содействия воспитанию культуры в области прав человека, рассмотрению жалоб и осуществлению контроля, в задачу которого входит, в частности, подготовка предложений и разработка институциональной политики, направленной на оказание содействия правам человека и подготовку специалистов в этой области, а также участие, в соответствии с существующими правовыми нормами, в изучении жалоб, решении излагаемых в них вопросов и осуществлении контроля за выполнением рекомендаций, касающихся жалоб, поступающих в Главное управление Национальной комиссии по правам человека, а также получаемых в ходе посещений Национальной комиссии представителями Главного управления.</w:t>
      </w:r>
    </w:p>
    <w:p w:rsidR="00000000" w:rsidRDefault="00000000">
      <w:pPr>
        <w:numPr>
          <w:ilvl w:val="0"/>
          <w:numId w:val="7"/>
        </w:numPr>
        <w:tabs>
          <w:tab w:val="clear" w:pos="567"/>
        </w:tabs>
        <w:spacing w:after="240"/>
        <w:rPr>
          <w:u w:val="single"/>
        </w:rPr>
      </w:pPr>
      <w:r>
        <w:t>Главное управление по рассмотрению рекомендации и выработке примирительных решений вопросов, касающихся прав человека.  Функции этого Главного управления, в частности, включают:  участие в соответствие с существующими правовыми нормами в разработке предложений по примирению и рекомендаций, направляемых Национальной комиссией по правам человека;  контроль за выполнением решений, принимаемых координационными органами для выполнения, при участии остальных компетентных административных подразделений Главного управления, международно-правовых документов в области прав человека, участником которых является Мексика;  и оказание содействия, в координации с соответствующими органами, выполнению требований, осуществлению визитов, принятию профилактических мер и выполнению рекомендаций международных органов по правам человека в отношении вопросов, на которые распространяется компетенция Генеральной прокуратуры Республики.</w:t>
      </w:r>
    </w:p>
    <w:p w:rsidR="00000000" w:rsidRDefault="00000000">
      <w:pPr>
        <w:numPr>
          <w:ilvl w:val="0"/>
          <w:numId w:val="7"/>
        </w:numPr>
        <w:tabs>
          <w:tab w:val="clear" w:pos="567"/>
        </w:tabs>
        <w:spacing w:after="240"/>
        <w:rPr>
          <w:u w:val="single"/>
        </w:rPr>
      </w:pPr>
      <w:r>
        <w:t>Главное управление помощи потерпевшим от преступлений лиц, в функции которого, в частности, входит предоставление информации и оказание юридической консультативной помощи жертвам и потерпевшим в результате нарушений, допущенных федеральными органами власти, а также координация деятельности с компетентными органами Генеральной прокуратуры в обеспечении гарантий и выплате компенсации жертвам и потерпевшим за нанесенный ущерб или потери в результате нарушений, совершенных федеральными органами власти.</w:t>
      </w:r>
    </w:p>
    <w:p w:rsidR="00000000" w:rsidRDefault="00000000">
      <w:pPr>
        <w:tabs>
          <w:tab w:val="clear" w:pos="1134"/>
        </w:tabs>
      </w:pPr>
    </w:p>
    <w:p w:rsidR="00000000" w:rsidRDefault="00000000">
      <w:pPr>
        <w:numPr>
          <w:ilvl w:val="0"/>
          <w:numId w:val="8"/>
        </w:numPr>
        <w:tabs>
          <w:tab w:val="clear" w:pos="567"/>
          <w:tab w:val="clear" w:pos="927"/>
        </w:tabs>
        <w:ind w:left="1134" w:hanging="567"/>
      </w:pPr>
      <w:r>
        <w:t>Главное управление по предотвращению преступлений и оказанию услуг населению, одна из функций которого состоит в том, чтобы разрабатывать программы и постоянно проводить кампании с целью предотвращения противоправных действий на федеральном уровне, а также периодически проводить в сотрудничестве с компетентными административными органами оценку осуществляемых мероприятий.</w:t>
      </w:r>
    </w:p>
    <w:p w:rsidR="00000000" w:rsidRDefault="00000000">
      <w:pPr>
        <w:ind w:left="207"/>
      </w:pPr>
    </w:p>
    <w:p w:rsidR="00000000" w:rsidRDefault="00000000">
      <w:r>
        <w:t>87.</w:t>
      </w:r>
      <w:r>
        <w:tab/>
        <w:t>В рамках Генеральной прокуратуры Республики существует служба, занимающаяся вопросами отправления правосудия, которая в соответствии с положениями статей 30</w:t>
      </w:r>
      <w:r>
        <w:noBreakHyphen/>
        <w:t>33 Органического закона о Генеральной прокуратуре Республики осуществляет надзор за деятельностью сотрудников Федеральной прокуратуры, сотрудников Федеральной полиции расследования, а также профессиональных и технических специалистов</w:t>
      </w:r>
      <w:r>
        <w:rPr>
          <w:rStyle w:val="EndnoteReference"/>
        </w:rPr>
        <w:endnoteReference w:id="42"/>
      </w:r>
      <w:r>
        <w:t>.</w:t>
      </w:r>
    </w:p>
    <w:p w:rsidR="00000000" w:rsidRDefault="00000000"/>
    <w:p w:rsidR="00000000" w:rsidRDefault="00000000">
      <w:pPr>
        <w:ind w:left="567" w:hanging="567"/>
        <w:rPr>
          <w:b/>
          <w:bCs/>
          <w:i/>
          <w:iCs/>
        </w:rPr>
      </w:pPr>
      <w:r>
        <w:rPr>
          <w:b/>
          <w:bCs/>
          <w:i/>
          <w:iCs/>
        </w:rPr>
        <w:t>13.</w:t>
      </w:r>
      <w:r>
        <w:rPr>
          <w:b/>
          <w:bCs/>
          <w:i/>
          <w:iCs/>
        </w:rPr>
        <w:tab/>
        <w:t>Меры, принятые Генеральной прокуратурой Федерального округа</w:t>
      </w:r>
    </w:p>
    <w:p w:rsidR="00000000" w:rsidRDefault="00000000">
      <w:pPr>
        <w:ind w:left="567" w:hanging="567"/>
        <w:rPr>
          <w:b/>
          <w:bCs/>
          <w:u w:val="single"/>
        </w:rPr>
      </w:pPr>
    </w:p>
    <w:p w:rsidR="00000000" w:rsidRDefault="00000000">
      <w:r>
        <w:t>88.</w:t>
      </w:r>
      <w:r>
        <w:tab/>
        <w:t>Начиная с 1997 года, Прокуратура Федерального округа осуществила многочисленные реформы для обеспечения защиты прав человека жителей Федерального округа.</w:t>
      </w:r>
    </w:p>
    <w:p w:rsidR="00000000" w:rsidRDefault="00000000"/>
    <w:p w:rsidR="00000000" w:rsidRDefault="00000000">
      <w:r>
        <w:t>89.</w:t>
      </w:r>
      <w:r>
        <w:tab/>
        <w:t>В соответствии со статьей 122 Политической Конституции законодательная ассамблея Федерального округа обладает исключительными полномочиями в отношении уголовного законодательства Федерального округа.  Это является результатом передачи территориям полномочий, предусмотренных в Федеральном уголовном кодексе.  В результате этой передачи полномочий в настоящее время имеется Уголовный кодекс Федерального округа.  В него внесены некоторые поправки, касающиеся выплаты потерпевшим от преступлений компенсации за нанесенный ущерб, защиты семьи, детства, человеческого достоинства, а также борьбы против организованной преступности, коррупции в государственных органах власти, преступлений сексуального характера и экологических преступлений.  При этом пытки в этом кодексе конкретно квалифицируются как уголовно наказуемое деяние.</w:t>
      </w:r>
    </w:p>
    <w:p w:rsidR="00000000" w:rsidRDefault="00000000"/>
    <w:p w:rsidR="00000000" w:rsidRDefault="00000000">
      <w:r>
        <w:t>90.</w:t>
      </w:r>
      <w:r>
        <w:tab/>
        <w:t>Кроме того, внесен ряд поправок в Уголовно-процессуальный кодекс с целью устранения существующих различий в тех процедурах, которые касаются потерпевших от преступлений и вероятного виновника.</w:t>
      </w:r>
    </w:p>
    <w:p w:rsidR="00000000" w:rsidRDefault="00000000"/>
    <w:p w:rsidR="00000000" w:rsidRDefault="00000000">
      <w:r>
        <w:t>91.</w:t>
      </w:r>
      <w:r>
        <w:tab/>
        <w:t xml:space="preserve">С целью установления должной процедуры подачи апелляции против решений, принимаемых судьями первой инстанции в ходе предварительного следствия, было предложено внести поправку в пункт </w:t>
      </w:r>
      <w:r>
        <w:rPr>
          <w:lang w:val="en-US"/>
        </w:rPr>
        <w:t>I</w:t>
      </w:r>
      <w:r>
        <w:t xml:space="preserve"> статьи 418 Уголовно-процессуального кодекса.  Предлагаемая поправка соответствует положениям Всеобщей декларации прав человека и Пакта Сан-Хосе, в котором в качестве судебной гарантии предусматривается право всех лиц подавать жалобы судьям или в суды более высокой инстанции.  Предлагалось также внести поправку в пункт </w:t>
      </w:r>
      <w:r>
        <w:rPr>
          <w:lang w:val="en-US"/>
        </w:rPr>
        <w:t>IV</w:t>
      </w:r>
      <w:r>
        <w:t xml:space="preserve"> указанной статьи, в которой предусматривалась возможность подачи апелляций министерству юстиции в отношении постановлений судов, в которых не содержится приказа о задержании или явке лиц в суд.  Предлагаемые меры отвечают критерию справедливости, согласно которому защита общественных интересов должна предполагать возможность обжалования принципов, которые наносят ущерб общественным интересам.</w:t>
      </w:r>
    </w:p>
    <w:p w:rsidR="00000000" w:rsidRDefault="00000000"/>
    <w:p w:rsidR="00000000" w:rsidRDefault="00000000">
      <w:r>
        <w:t>92.</w:t>
      </w:r>
      <w:r>
        <w:tab/>
        <w:t>Кроме того, опубликованы различные правовые нормы, призванные улучшить работу Генеральной прокуратуры Федеративного округа, создать профессиональную государственную службу, осуществлять контроль за деятельностью должностных лиц, предоставлять им стимулы и льготы, а также, в случае необходимости, применять по отношению к ним меры наказания.  При этом предусматривается также повышение их уровня квалификации, ознакомление с существующими проблемами, воспитание чувства долга перед населением и обязанности оказывать ему услуги.</w:t>
      </w:r>
    </w:p>
    <w:p w:rsidR="00000000" w:rsidRDefault="00000000"/>
    <w:p w:rsidR="00000000" w:rsidRDefault="00000000">
      <w:r>
        <w:t>93.</w:t>
      </w:r>
      <w:r>
        <w:tab/>
        <w:t>В ходе реформы службы оказания помощи потерпевшим были объединены со службами по предотвращению преступлений.  Кроме того, по мере происходящей децентрализации эти службы становятся частью административной структуры местных органов.</w:t>
      </w:r>
    </w:p>
    <w:p w:rsidR="00000000" w:rsidRDefault="00000000"/>
    <w:p w:rsidR="00000000" w:rsidRDefault="00000000">
      <w:pPr>
        <w:keepNext/>
        <w:rPr>
          <w:b/>
          <w:bCs/>
          <w:i/>
          <w:iCs/>
        </w:rPr>
      </w:pPr>
      <w:r>
        <w:rPr>
          <w:b/>
          <w:bCs/>
          <w:i/>
          <w:iCs/>
        </w:rPr>
        <w:t>14.</w:t>
      </w:r>
      <w:r>
        <w:rPr>
          <w:b/>
          <w:bCs/>
          <w:i/>
          <w:iCs/>
        </w:rPr>
        <w:tab/>
        <w:t>Меры, принятые прокуратурами штатов</w:t>
      </w:r>
    </w:p>
    <w:p w:rsidR="00000000" w:rsidRDefault="00000000">
      <w:pPr>
        <w:keepNext/>
        <w:rPr>
          <w:b/>
          <w:bCs/>
          <w:u w:val="single"/>
        </w:rPr>
      </w:pPr>
    </w:p>
    <w:p w:rsidR="00000000" w:rsidRDefault="00000000">
      <w:r>
        <w:t>94.</w:t>
      </w:r>
      <w:r>
        <w:tab/>
        <w:t>Во исполнение одной из рекомендаций Докладчика по вопросу о пытках в различных прокуратурах штатов были установлены видеокамеры, которые позволяют убедительно подтверждать, что доставляемые в отделения прокуратуры лица и задержанные лица не подвергаются жестокому обращению.</w:t>
      </w:r>
    </w:p>
    <w:p w:rsidR="00000000" w:rsidRDefault="00000000"/>
    <w:p w:rsidR="00000000" w:rsidRDefault="00000000">
      <w:r>
        <w:t>95.</w:t>
      </w:r>
      <w:r>
        <w:tab/>
        <w:t>В прокуратурах штатов на досках объявлений вывешены для общего обозрения фотографии лиц, которые находятся в камерах содержания полицейских участков, с указанием общих данных о них.</w:t>
      </w:r>
    </w:p>
    <w:p w:rsidR="00000000" w:rsidRDefault="00000000"/>
    <w:p w:rsidR="00000000" w:rsidRDefault="00000000">
      <w:r>
        <w:t>96.</w:t>
      </w:r>
      <w:r>
        <w:tab/>
        <w:t>Во всех генеральных прокуратурах штатов существуют отделы или должностные лица, которые на постоянной основе рассматривают все сообщения, жалобы, предложения и рекомендации, которые поступают от национальных общественных организаций или организаций штатов и которые касаются предполагаемых нарушений прав человека должностными сотрудниками генеральных прокуратур.  Кому подчиняются эти должностные лица, каковы их конкретные функции, какую должность они занимают, каков их статус в структуре генпрокуратуры, каковы относящиеся к ним статистические данные и какие рекомендации, например, были ими приняты?</w:t>
      </w:r>
    </w:p>
    <w:p w:rsidR="00000000" w:rsidRDefault="00000000"/>
    <w:p w:rsidR="00000000" w:rsidRDefault="00000000">
      <w:pPr>
        <w:jc w:val="center"/>
        <w:rPr>
          <w:b/>
          <w:bCs/>
        </w:rPr>
      </w:pPr>
      <w:r>
        <w:rPr>
          <w:b/>
          <w:bCs/>
        </w:rPr>
        <w:t>В.</w:t>
      </w:r>
      <w:r>
        <w:rPr>
          <w:b/>
          <w:bCs/>
        </w:rPr>
        <w:tab/>
        <w:t>Законодательные меры</w:t>
      </w:r>
    </w:p>
    <w:p w:rsidR="00000000" w:rsidRDefault="00000000">
      <w:pPr>
        <w:rPr>
          <w:b/>
          <w:bCs/>
          <w:u w:val="single"/>
        </w:rPr>
      </w:pPr>
    </w:p>
    <w:p w:rsidR="00000000" w:rsidRDefault="00000000">
      <w:r>
        <w:t>97.</w:t>
      </w:r>
      <w:r>
        <w:tab/>
        <w:t>В течение периода, за который предоставляются данные в этом докладе, усилены законодательные положения, направленные на повышение эффективности положений Конвенции с целью установления правовых рамок, которые исключали бы пытки в Мексике и позволяли бы наказывать за их применение.</w:t>
      </w:r>
    </w:p>
    <w:p w:rsidR="00000000" w:rsidRDefault="00000000"/>
    <w:p w:rsidR="00000000" w:rsidRDefault="00000000">
      <w:r>
        <w:t>98.</w:t>
      </w:r>
      <w:r>
        <w:tab/>
        <w:t>В разделе, посвященном применению статей 1-4 Конвенции, излагаются национальные законодательства по данному вопросу, включая определение пыток в законодательных актах большинства штатов Республики.</w:t>
      </w:r>
    </w:p>
    <w:p w:rsidR="00000000" w:rsidRDefault="00000000"/>
    <w:p w:rsidR="00000000" w:rsidRDefault="00000000">
      <w:pPr>
        <w:ind w:left="567" w:hanging="567"/>
        <w:rPr>
          <w:b/>
          <w:bCs/>
          <w:i/>
          <w:iCs/>
        </w:rPr>
      </w:pPr>
      <w:r>
        <w:rPr>
          <w:b/>
          <w:bCs/>
          <w:i/>
          <w:iCs/>
        </w:rPr>
        <w:t>1.</w:t>
      </w:r>
      <w:r>
        <w:rPr>
          <w:b/>
          <w:bCs/>
          <w:i/>
          <w:iCs/>
        </w:rPr>
        <w:tab/>
        <w:t>Внесение поправок в Политическую конституцию Мексиканских Соединенных Штатов</w:t>
      </w:r>
    </w:p>
    <w:p w:rsidR="00000000" w:rsidRDefault="00000000">
      <w:pPr>
        <w:ind w:left="1134" w:hanging="1134"/>
        <w:rPr>
          <w:b/>
          <w:bCs/>
          <w:u w:val="single"/>
        </w:rPr>
      </w:pPr>
    </w:p>
    <w:p w:rsidR="00000000" w:rsidRDefault="00000000">
      <w:r>
        <w:t>99.</w:t>
      </w:r>
      <w:r>
        <w:tab/>
        <w:t>В раздел В статьи 102 Конституции 13 сентября 1999</w:t>
      </w:r>
      <w:r>
        <w:rPr>
          <w:lang w:val="en-US"/>
        </w:rPr>
        <w:t> </w:t>
      </w:r>
      <w:r>
        <w:t>года была внесена поправка, в которой говорится, что Национальная комиссия по правам человека является самостоятельным органом, располагающим собственными ресурсами и имеющим статус юридического лица и имущественные права.  В соответствии с этой поправкой законодательная власть, конкретно палата депутатов, наделила Национальную комиссию соответствующими полномочиями, что полностью делает ее независимой от исполнительной власти</w:t>
      </w:r>
    </w:p>
    <w:p w:rsidR="00000000" w:rsidRDefault="00000000"/>
    <w:p w:rsidR="00000000" w:rsidRDefault="00000000">
      <w:r>
        <w:t>100.</w:t>
      </w:r>
      <w:r>
        <w:tab/>
        <w:t>В "Официальном вестнике Федерации" от 14 августа 2001 года было опубликовано дополнение к статье 18 Конституции, в котором предусматривается, что осужденные лица должны содержаться в исправительных учреждениях, наиболее близко расположенных к местам их прежнего проживания, и в условиях, установленных законом, с тем чтобы содействовать их реинтеграции в жизнь общества, что является одной из форм социальной реабилитации.</w:t>
      </w:r>
    </w:p>
    <w:p w:rsidR="00000000" w:rsidRDefault="00000000"/>
    <w:p w:rsidR="00000000" w:rsidRDefault="00000000">
      <w:pPr>
        <w:rPr>
          <w:b/>
          <w:bCs/>
          <w:i/>
          <w:iCs/>
        </w:rPr>
      </w:pPr>
      <w:r>
        <w:rPr>
          <w:b/>
          <w:bCs/>
          <w:i/>
          <w:iCs/>
        </w:rPr>
        <w:t>2.</w:t>
      </w:r>
      <w:r>
        <w:rPr>
          <w:b/>
          <w:bCs/>
          <w:i/>
          <w:iCs/>
        </w:rPr>
        <w:tab/>
        <w:t>Реформы местных законодательств</w:t>
      </w:r>
    </w:p>
    <w:p w:rsidR="00000000" w:rsidRDefault="00000000">
      <w:pPr>
        <w:rPr>
          <w:b/>
          <w:bCs/>
          <w:u w:val="single"/>
        </w:rPr>
      </w:pPr>
    </w:p>
    <w:p w:rsidR="00000000" w:rsidRDefault="00000000">
      <w:r>
        <w:t>101.</w:t>
      </w:r>
      <w:r>
        <w:tab/>
        <w:t>Все территориальные объединения Мексиканской Республики внесли поправки в свое законодательство, создав, с одной стороны, комиссии штатов по правам человека и, с другой стороны, объявив пытки уголовно наказуемым деянием.</w:t>
      </w:r>
    </w:p>
    <w:p w:rsidR="00000000" w:rsidRDefault="00000000"/>
    <w:p w:rsidR="00000000" w:rsidRDefault="00000000">
      <w:r>
        <w:t>102.</w:t>
      </w:r>
      <w:r>
        <w:tab/>
        <w:t>Кроме того, в различных прокуратурах страны на уровне департаментов или управлений, в зависимости от территории, существуют административные подразделения, которые обязаны осуществлять надзор за тем, чтобы органы прокуратуры и их сотрудники при осуществлении своих функций строго соблюдали права человека населения.  (В качестве примера можно было бы указать на прокуратуры штатов, которые наиболее эффективно осуществляют свои функции, или по крайней мере указать, кому они подчинены, их состав, их уровень в административной структуре и каким меры они принимают для подготовки персонала.)</w:t>
      </w:r>
    </w:p>
    <w:p w:rsidR="00000000" w:rsidRDefault="00000000"/>
    <w:p w:rsidR="00000000" w:rsidRDefault="00000000">
      <w:r>
        <w:t>103.</w:t>
      </w:r>
      <w:r>
        <w:tab/>
        <w:t>2 декабря 2003 года вступил в силу Закон о предотвращении пыток и наказании за них в штате Юкатан, который стал последним штатом, включившим в свое законодательство закон по данному вопросу</w:t>
      </w:r>
      <w:r>
        <w:rPr>
          <w:rStyle w:val="EndnoteReference"/>
        </w:rPr>
        <w:endnoteReference w:id="43"/>
      </w:r>
      <w:r>
        <w:t>.</w:t>
      </w:r>
    </w:p>
    <w:p w:rsidR="00000000" w:rsidRDefault="00000000"/>
    <w:p w:rsidR="00000000" w:rsidRDefault="00000000">
      <w:pPr>
        <w:rPr>
          <w:i/>
          <w:iCs/>
        </w:rPr>
      </w:pPr>
      <w:r>
        <w:rPr>
          <w:i/>
          <w:iCs/>
        </w:rPr>
        <w:t>2.1</w:t>
      </w:r>
      <w:r>
        <w:rPr>
          <w:i/>
          <w:iCs/>
        </w:rPr>
        <w:tab/>
        <w:t>Замечания, планы и цели</w:t>
      </w:r>
    </w:p>
    <w:p w:rsidR="00000000" w:rsidRDefault="00000000">
      <w:pPr>
        <w:rPr>
          <w:b/>
          <w:bCs/>
        </w:rPr>
      </w:pPr>
    </w:p>
    <w:p w:rsidR="00000000" w:rsidRDefault="00000000">
      <w:r>
        <w:t>104.</w:t>
      </w:r>
      <w:r>
        <w:tab/>
        <w:t>Необходимо также принять дополнительные меры для обеспечения единообразия в отношении квалификации пыток как уголовного преступления, поскольку существуют различия в степени защиты охраняемых законом прав.  Кроме того, существуют значительные различия в мерах наказания как в отношении лишения свободы, так и выплаты компенсации:  при этом разница в величине достигает 45%</w:t>
      </w:r>
      <w:r>
        <w:rPr>
          <w:rStyle w:val="EndnoteReference"/>
        </w:rPr>
        <w:endnoteReference w:id="44"/>
      </w:r>
      <w:r>
        <w:t>.</w:t>
      </w:r>
    </w:p>
    <w:p w:rsidR="00000000" w:rsidRDefault="00000000"/>
    <w:p w:rsidR="00000000" w:rsidRDefault="00000000">
      <w:pPr>
        <w:keepNext/>
        <w:rPr>
          <w:b/>
          <w:bCs/>
          <w:i/>
          <w:iCs/>
        </w:rPr>
      </w:pPr>
      <w:r>
        <w:rPr>
          <w:b/>
          <w:bCs/>
          <w:i/>
          <w:iCs/>
        </w:rPr>
        <w:t>3.</w:t>
      </w:r>
      <w:r>
        <w:rPr>
          <w:b/>
          <w:bCs/>
          <w:i/>
          <w:iCs/>
        </w:rPr>
        <w:tab/>
        <w:t>Проекты законодательной реформы</w:t>
      </w:r>
    </w:p>
    <w:p w:rsidR="00000000" w:rsidRDefault="00000000">
      <w:pPr>
        <w:keepNext/>
        <w:rPr>
          <w:b/>
          <w:bCs/>
        </w:rPr>
      </w:pPr>
    </w:p>
    <w:p w:rsidR="00000000" w:rsidRDefault="00000000">
      <w:pPr>
        <w:ind w:left="567" w:hanging="567"/>
        <w:rPr>
          <w:i/>
          <w:iCs/>
        </w:rPr>
      </w:pPr>
      <w:r>
        <w:rPr>
          <w:i/>
          <w:iCs/>
        </w:rPr>
        <w:t>3.1</w:t>
      </w:r>
      <w:r>
        <w:rPr>
          <w:i/>
          <w:iCs/>
        </w:rPr>
        <w:tab/>
        <w:t>Инициатива реформы системы общественной безопасности и уголовного правосудия</w:t>
      </w:r>
    </w:p>
    <w:p w:rsidR="00000000" w:rsidRDefault="00000000">
      <w:pPr>
        <w:ind w:left="1134" w:hanging="1134"/>
        <w:rPr>
          <w:b/>
          <w:bCs/>
        </w:rPr>
      </w:pPr>
    </w:p>
    <w:p w:rsidR="00000000" w:rsidRDefault="00000000">
      <w:r>
        <w:t>105.</w:t>
      </w:r>
      <w:r>
        <w:tab/>
        <w:t>Глава федеральной исполнительной власти 30 марта 2004 года подписал предложение о реформе системы общественной безопасности и уголовного правосудия, которое в тот же день было направлено в сенат Республики для анализа, обсуждения и принятия в будущем.</w:t>
      </w:r>
    </w:p>
    <w:p w:rsidR="00000000" w:rsidRDefault="00000000"/>
    <w:p w:rsidR="00000000" w:rsidRDefault="00000000">
      <w:r>
        <w:t>106.</w:t>
      </w:r>
      <w:r>
        <w:tab/>
        <w:t>Цель структурной реформы состоит в том, чтобы учесть обеспокоенность общества и международных организаций.  В рамках реформы предлагается прежде всего:</w:t>
      </w:r>
    </w:p>
    <w:p w:rsidR="00000000" w:rsidRDefault="00000000"/>
    <w:p w:rsidR="00000000" w:rsidRDefault="00000000">
      <w:pPr>
        <w:ind w:left="1134" w:hanging="1134"/>
      </w:pPr>
      <w:r>
        <w:tab/>
        <w:t>1)</w:t>
      </w:r>
      <w:r>
        <w:tab/>
        <w:t>преобразовать Генеральную прокуратуру Республики в Генеральное управление прокуратуры Федерации, сделав это управление автономным органом с собственным бюджетом и правом самостоятельно осуществлять свою деятельность, иметь юридическое лицо и имущественные права.  При этом предусматривается, что назначение главы Генерального управления будет осуществляться по согласованию с сенатом Республики;</w:t>
      </w:r>
    </w:p>
    <w:p w:rsidR="00000000" w:rsidRDefault="00000000"/>
    <w:p w:rsidR="00000000" w:rsidRDefault="00000000">
      <w:pPr>
        <w:ind w:left="1134" w:hanging="1134"/>
      </w:pPr>
      <w:r>
        <w:tab/>
        <w:t>2)</w:t>
      </w:r>
      <w:r>
        <w:tab/>
        <w:t>преобразовать министерство федеральной общественной безопасности в министерство внутренних дел, объединив все федеральные полицейские силы страны;</w:t>
      </w:r>
    </w:p>
    <w:p w:rsidR="00000000" w:rsidRDefault="00000000">
      <w:pPr>
        <w:ind w:left="1134" w:hanging="1134"/>
      </w:pPr>
    </w:p>
    <w:p w:rsidR="00000000" w:rsidRDefault="00000000">
      <w:pPr>
        <w:ind w:left="1134" w:hanging="1134"/>
      </w:pPr>
      <w:r>
        <w:tab/>
        <w:t>3)</w:t>
      </w:r>
      <w:r>
        <w:tab/>
        <w:t>наделить муниципальные и федеральные органы полиции, а также полицейские органы штатов полномочиями проводить расследования;</w:t>
      </w:r>
    </w:p>
    <w:p w:rsidR="00000000" w:rsidRDefault="00000000">
      <w:pPr>
        <w:ind w:left="1134" w:hanging="1134"/>
      </w:pPr>
    </w:p>
    <w:p w:rsidR="00000000" w:rsidRDefault="00000000">
      <w:pPr>
        <w:ind w:left="1134" w:hanging="1134"/>
      </w:pPr>
      <w:r>
        <w:tab/>
        <w:t>4)</w:t>
      </w:r>
      <w:r>
        <w:tab/>
        <w:t>проводить судебные разбирательства по уголовным делам в открытом заседании с изложением позиции сторон в устной форме, признав недействительными заявления, сделанные обвиняемыми каким-либо иным лицам, помимо судьи;</w:t>
      </w:r>
    </w:p>
    <w:p w:rsidR="00000000" w:rsidRDefault="00000000">
      <w:pPr>
        <w:ind w:left="1134" w:hanging="1134"/>
      </w:pPr>
    </w:p>
    <w:p w:rsidR="00000000" w:rsidRDefault="00000000">
      <w:pPr>
        <w:ind w:left="1134" w:hanging="1134"/>
      </w:pPr>
      <w:r>
        <w:tab/>
        <w:t>5)</w:t>
      </w:r>
      <w:r>
        <w:tab/>
        <w:t>осуществлять процедуру судебного разбирательства по уголовным делам на основе доказывания предъявленной вины, с тем чтобы установить принцип презумпции невиновности в отношении всех обвиняемых лиц.</w:t>
      </w:r>
    </w:p>
    <w:p w:rsidR="00000000" w:rsidRDefault="00000000">
      <w:pPr>
        <w:ind w:left="1134" w:hanging="1134"/>
      </w:pPr>
    </w:p>
    <w:p w:rsidR="00000000" w:rsidRDefault="00000000">
      <w:r>
        <w:t>107.</w:t>
      </w:r>
      <w:r>
        <w:tab/>
        <w:t>Реформа системы общественной безопасности и уголовной юстиции предполагает внесение поправок в различные статьи Конституции, принятие шести новых законов и внесение поправок в восемь других законов</w:t>
      </w:r>
      <w:r>
        <w:rPr>
          <w:rStyle w:val="EndnoteReference"/>
        </w:rPr>
        <w:endnoteReference w:id="45"/>
      </w:r>
      <w:r>
        <w:t>.</w:t>
      </w:r>
    </w:p>
    <w:p w:rsidR="00000000" w:rsidRDefault="00000000"/>
    <w:p w:rsidR="00000000" w:rsidRDefault="00000000">
      <w:r>
        <w:t>108.</w:t>
      </w:r>
      <w:r>
        <w:tab/>
        <w:t>После осуществления вышеуказанных изменений данная реформа окажет важное влияние на предотвращение пыток и борьбу с ними.  Более подробно данная реформа будет изложена в настоящем документе ниже.</w:t>
      </w:r>
    </w:p>
    <w:p w:rsidR="00000000" w:rsidRDefault="00000000"/>
    <w:p w:rsidR="00000000" w:rsidRDefault="00000000">
      <w:pPr>
        <w:rPr>
          <w:i/>
          <w:iCs/>
        </w:rPr>
      </w:pPr>
      <w:r>
        <w:rPr>
          <w:i/>
          <w:iCs/>
        </w:rPr>
        <w:t>3.2</w:t>
      </w:r>
      <w:r>
        <w:rPr>
          <w:i/>
          <w:iCs/>
        </w:rPr>
        <w:tab/>
        <w:t>Предложение в отношении проведения реформы в области прав человека</w:t>
      </w:r>
    </w:p>
    <w:p w:rsidR="00000000" w:rsidRDefault="00000000">
      <w:pPr>
        <w:rPr>
          <w:b/>
          <w:bCs/>
        </w:rPr>
      </w:pPr>
    </w:p>
    <w:p w:rsidR="00000000" w:rsidRDefault="00000000">
      <w:r>
        <w:t>109.</w:t>
      </w:r>
      <w:r>
        <w:tab/>
        <w:t>Президент Висенте Фокс 26 апреля 2004 года подписал предложение о проведении конституционной реформы в области прав человека.  Это предложение было представлено Постоянной комиссии конгресса Союза 5 мая 2004 года.  Данная комиссия в тот же день направила это предложение в сенат Республики.  В данном предложении предусматривается четко признать в Конституции права человека и подчеркивается обязанность органов власти обеспечивать их защиту.</w:t>
      </w:r>
    </w:p>
    <w:p w:rsidR="00000000" w:rsidRDefault="00000000"/>
    <w:p w:rsidR="00000000" w:rsidRDefault="00000000">
      <w:pPr>
        <w:jc w:val="center"/>
        <w:rPr>
          <w:b/>
          <w:bCs/>
        </w:rPr>
      </w:pPr>
      <w:r>
        <w:rPr>
          <w:b/>
          <w:bCs/>
        </w:rPr>
        <w:t>С.</w:t>
      </w:r>
      <w:r>
        <w:rPr>
          <w:b/>
          <w:bCs/>
        </w:rPr>
        <w:tab/>
        <w:t>Судебные меры</w:t>
      </w:r>
    </w:p>
    <w:p w:rsidR="00000000" w:rsidRDefault="00000000">
      <w:pPr>
        <w:rPr>
          <w:b/>
          <w:bCs/>
          <w:u w:val="single"/>
        </w:rPr>
      </w:pPr>
    </w:p>
    <w:p w:rsidR="00000000" w:rsidRDefault="00000000">
      <w:pPr>
        <w:rPr>
          <w:b/>
          <w:bCs/>
          <w:i/>
          <w:iCs/>
          <w:u w:val="single"/>
        </w:rPr>
      </w:pPr>
      <w:r>
        <w:rPr>
          <w:b/>
          <w:bCs/>
          <w:i/>
          <w:iCs/>
        </w:rPr>
        <w:t>1.</w:t>
      </w:r>
      <w:r>
        <w:rPr>
          <w:b/>
          <w:bCs/>
          <w:i/>
          <w:iCs/>
        </w:rPr>
        <w:tab/>
        <w:t>Замечания организаций гражданского общества</w:t>
      </w:r>
    </w:p>
    <w:p w:rsidR="00000000" w:rsidRDefault="00000000"/>
    <w:p w:rsidR="00000000" w:rsidRDefault="00000000">
      <w:r>
        <w:t>110.</w:t>
      </w:r>
      <w:r>
        <w:tab/>
        <w:t>Организация "Международная амнистия" указала на наличие нарушений на всех этапах проведения судебных разбирательств, что оказывает влияние на процедуры справедливого рассмотрения дел, предусмотренных международными нормами, которые были признаны правительством Мексики.  Эта организация заявила, что подобные недостатки в судебной системе способствуют продолжению применения пыток</w:t>
      </w:r>
      <w:r>
        <w:rPr>
          <w:rStyle w:val="EndnoteReference"/>
        </w:rPr>
        <w:endnoteReference w:id="46"/>
      </w:r>
      <w:r>
        <w:t xml:space="preserve">.  </w:t>
      </w:r>
    </w:p>
    <w:p w:rsidR="00000000" w:rsidRDefault="00000000"/>
    <w:p w:rsidR="00000000" w:rsidRDefault="00000000">
      <w:r>
        <w:t>111.</w:t>
      </w:r>
      <w:r>
        <w:tab/>
        <w:t>Что касается мер судебной защиты, то Международная амнистия предложила осуществить реформы, направленные на обеспечение возможности обжаловать законность судебных разбирательств и признаний виновности при наличии убедительных причин полагать, что представленное в виде доказательства признание было получено под давлением</w:t>
      </w:r>
      <w:r>
        <w:rPr>
          <w:rStyle w:val="EndnoteReference"/>
        </w:rPr>
        <w:endnoteReference w:id="47"/>
      </w:r>
      <w:r>
        <w:t>.</w:t>
      </w:r>
    </w:p>
    <w:p w:rsidR="00000000" w:rsidRDefault="00000000"/>
    <w:p w:rsidR="00000000" w:rsidRDefault="00000000">
      <w:pPr>
        <w:rPr>
          <w:b/>
          <w:bCs/>
          <w:i/>
          <w:iCs/>
          <w:u w:val="single"/>
        </w:rPr>
      </w:pPr>
      <w:r>
        <w:rPr>
          <w:b/>
          <w:bCs/>
          <w:i/>
          <w:iCs/>
        </w:rPr>
        <w:t>2.</w:t>
      </w:r>
      <w:r>
        <w:rPr>
          <w:b/>
          <w:bCs/>
          <w:i/>
          <w:iCs/>
        </w:rPr>
        <w:tab/>
        <w:t>Меры, принятые государством</w:t>
      </w:r>
    </w:p>
    <w:p w:rsidR="00000000" w:rsidRDefault="00000000">
      <w:pPr>
        <w:rPr>
          <w:b/>
          <w:bCs/>
          <w:u w:val="single"/>
        </w:rPr>
      </w:pPr>
    </w:p>
    <w:p w:rsidR="00000000" w:rsidRDefault="00000000">
      <w:pPr>
        <w:ind w:left="567" w:hanging="567"/>
        <w:rPr>
          <w:i/>
          <w:iCs/>
        </w:rPr>
      </w:pPr>
      <w:r>
        <w:rPr>
          <w:i/>
          <w:iCs/>
        </w:rPr>
        <w:t>2.1</w:t>
      </w:r>
      <w:r>
        <w:rPr>
          <w:i/>
          <w:iCs/>
        </w:rPr>
        <w:tab/>
        <w:t>Национальный "круглый стол" по вопросу о комплексной и последовательной реформе системы отправления правосудия в Мексике</w:t>
      </w:r>
    </w:p>
    <w:p w:rsidR="00000000" w:rsidRDefault="00000000">
      <w:pPr>
        <w:rPr>
          <w:b/>
          <w:bCs/>
        </w:rPr>
      </w:pPr>
    </w:p>
    <w:p w:rsidR="00000000" w:rsidRDefault="00000000">
      <w:r>
        <w:t>112.</w:t>
      </w:r>
      <w:r>
        <w:tab/>
        <w:t>Верховный суд Мексики в марте 2004 года приступил к проведению общенационального "круглого стола" с целью разработки критериев, стратегии и основных мер, которые могли бы привести к совершенствованию отправления правосудия в стране.</w:t>
      </w:r>
    </w:p>
    <w:p w:rsidR="00000000" w:rsidRDefault="00000000"/>
    <w:p w:rsidR="00000000" w:rsidRDefault="00000000">
      <w:r>
        <w:t>113.</w:t>
      </w:r>
      <w:r>
        <w:tab/>
        <w:t>Проведение "круглого стола" осуществлялось посредством организации различных форумов на территории всей страны, на которых юристами, а также представителями различных общественных и частных кругов мексиканского общества было сделано более 4 300 предложений, главным образом в отношении уголовного правосудия, отправления правосудия, предусматриваемого в Конституции, закона об ампаро и улучшения деятельности органов судебной власти.  Проведение "круглого стола" завершилось в сентябре 2004 года.</w:t>
      </w:r>
    </w:p>
    <w:p w:rsidR="00000000" w:rsidRDefault="00000000"/>
    <w:p w:rsidR="00000000" w:rsidRDefault="00000000">
      <w:pPr>
        <w:ind w:left="567" w:hanging="567"/>
        <w:rPr>
          <w:i/>
          <w:iCs/>
        </w:rPr>
      </w:pPr>
      <w:r>
        <w:rPr>
          <w:i/>
          <w:iCs/>
        </w:rPr>
        <w:t>2.2</w:t>
      </w:r>
      <w:r>
        <w:rPr>
          <w:i/>
          <w:iCs/>
        </w:rPr>
        <w:tab/>
        <w:t>Инициатива в отношении проведения реформы исполнительной власти применительно к системе отправления правосудия</w:t>
      </w:r>
    </w:p>
    <w:p w:rsidR="00000000" w:rsidRDefault="00000000">
      <w:pPr>
        <w:rPr>
          <w:b/>
          <w:bCs/>
        </w:rPr>
      </w:pPr>
    </w:p>
    <w:p w:rsidR="00000000" w:rsidRDefault="00000000">
      <w:r>
        <w:t>114.</w:t>
      </w:r>
      <w:r>
        <w:tab/>
        <w:t>Упомянутая выше инициатива федеральной исполнительной власти в отношении проведения реформы в случае ее одобрения окажет важное влияние на систему отправления правосудия, поскольку она повысит стандарты защиты права на справедливое судебное разбирательство и обеспечение должного процесса.  В этой связи предлагается осуществить следующие основные меры:</w:t>
      </w:r>
    </w:p>
    <w:p w:rsidR="00000000" w:rsidRDefault="00000000"/>
    <w:p w:rsidR="00000000" w:rsidRDefault="00000000">
      <w:pPr>
        <w:numPr>
          <w:ilvl w:val="0"/>
          <w:numId w:val="9"/>
        </w:numPr>
        <w:tabs>
          <w:tab w:val="clear" w:pos="567"/>
          <w:tab w:val="clear" w:pos="720"/>
        </w:tabs>
        <w:ind w:left="1122" w:hanging="561"/>
      </w:pPr>
      <w:r>
        <w:t>заменить существующий следственно-обвинительный процесс, проводимый в письменной форме, на устное состязательное судебное разбирательство, что позволит закрепить принципы должного судопроизводства как для потерпевшего, так и лица, подозреваемого в совершении преступления, обеспечить прозрачность, равенство сторон, оперативность в рассмотрении дел и гласность;</w:t>
      </w:r>
    </w:p>
    <w:p w:rsidR="00000000" w:rsidRDefault="00000000">
      <w:pPr>
        <w:ind w:left="201"/>
      </w:pPr>
    </w:p>
    <w:p w:rsidR="00000000" w:rsidRDefault="00000000">
      <w:pPr>
        <w:numPr>
          <w:ilvl w:val="0"/>
          <w:numId w:val="9"/>
        </w:numPr>
        <w:tabs>
          <w:tab w:val="clear" w:pos="567"/>
          <w:tab w:val="clear" w:pos="720"/>
        </w:tabs>
        <w:ind w:left="1122" w:hanging="561"/>
      </w:pPr>
      <w:r>
        <w:t>четко включить принцип презумпции невиновности в Конституцию;</w:t>
      </w:r>
    </w:p>
    <w:p w:rsidR="00000000" w:rsidRDefault="00000000">
      <w:pPr>
        <w:ind w:left="201"/>
      </w:pPr>
    </w:p>
    <w:p w:rsidR="00000000" w:rsidRDefault="00000000">
      <w:pPr>
        <w:numPr>
          <w:ilvl w:val="0"/>
          <w:numId w:val="9"/>
        </w:numPr>
        <w:tabs>
          <w:tab w:val="clear" w:pos="567"/>
          <w:tab w:val="clear" w:pos="720"/>
        </w:tabs>
        <w:ind w:left="1122" w:hanging="561"/>
      </w:pPr>
      <w:r>
        <w:t>повысить качество защиты, исключив возможность представительства обвиняемого лицом, которое не имеет юридического образования;  и в связи с этим ликвидировать такой институт как доверенное лицо;</w:t>
      </w:r>
    </w:p>
    <w:p w:rsidR="00000000" w:rsidRDefault="00000000">
      <w:pPr>
        <w:ind w:left="201"/>
      </w:pPr>
    </w:p>
    <w:p w:rsidR="00000000" w:rsidRDefault="00000000">
      <w:pPr>
        <w:numPr>
          <w:ilvl w:val="0"/>
          <w:numId w:val="9"/>
        </w:numPr>
        <w:tabs>
          <w:tab w:val="clear" w:pos="567"/>
          <w:tab w:val="clear" w:pos="720"/>
        </w:tabs>
        <w:ind w:left="1122" w:hanging="561"/>
      </w:pPr>
      <w:r>
        <w:t xml:space="preserve">гарантировать, чтобы все заявления обвиняемого делались в суде в присутствии его защитника; </w:t>
      </w:r>
    </w:p>
    <w:p w:rsidR="00000000" w:rsidRDefault="00000000">
      <w:pPr>
        <w:ind w:left="201"/>
      </w:pPr>
    </w:p>
    <w:p w:rsidR="00000000" w:rsidRDefault="00000000">
      <w:pPr>
        <w:numPr>
          <w:ilvl w:val="0"/>
          <w:numId w:val="9"/>
        </w:numPr>
        <w:tabs>
          <w:tab w:val="clear" w:pos="567"/>
          <w:tab w:val="clear" w:pos="720"/>
        </w:tabs>
        <w:ind w:left="1122" w:hanging="561"/>
      </w:pPr>
      <w:r>
        <w:t>создать альтернативные формы решения судебных дел, связанных с уголовными преступлениями;</w:t>
      </w:r>
    </w:p>
    <w:p w:rsidR="00000000" w:rsidRDefault="00000000">
      <w:pPr>
        <w:ind w:left="201"/>
      </w:pPr>
    </w:p>
    <w:p w:rsidR="00000000" w:rsidRDefault="00000000">
      <w:pPr>
        <w:numPr>
          <w:ilvl w:val="0"/>
          <w:numId w:val="9"/>
        </w:numPr>
        <w:tabs>
          <w:tab w:val="clear" w:pos="567"/>
          <w:tab w:val="clear" w:pos="720"/>
        </w:tabs>
        <w:ind w:left="1122" w:hanging="561"/>
      </w:pPr>
      <w:r>
        <w:t>предусмотреть процесс ускоренного рассмотрения дел (когда между защитником и прокурором существует соглашение о мере наказания);</w:t>
      </w:r>
    </w:p>
    <w:p w:rsidR="00000000" w:rsidRDefault="00000000">
      <w:pPr>
        <w:ind w:left="201"/>
      </w:pPr>
    </w:p>
    <w:p w:rsidR="00000000" w:rsidRDefault="00000000">
      <w:pPr>
        <w:numPr>
          <w:ilvl w:val="0"/>
          <w:numId w:val="9"/>
        </w:numPr>
        <w:tabs>
          <w:tab w:val="clear" w:pos="567"/>
          <w:tab w:val="clear" w:pos="720"/>
        </w:tabs>
        <w:ind w:left="1122" w:hanging="561"/>
      </w:pPr>
      <w:r>
        <w:t>создать систему уголовного судопроизводства для несовершеннолетних.  Обеспечить гарантии осуществления должного судебного процесса для несовершеннолетних и выполнение взятых на себя Мексикой международных обязательств;</w:t>
      </w:r>
    </w:p>
    <w:p w:rsidR="00000000" w:rsidRDefault="00000000">
      <w:pPr>
        <w:ind w:left="201"/>
      </w:pPr>
    </w:p>
    <w:p w:rsidR="00000000" w:rsidRDefault="00000000">
      <w:pPr>
        <w:numPr>
          <w:ilvl w:val="0"/>
          <w:numId w:val="9"/>
        </w:numPr>
        <w:tabs>
          <w:tab w:val="clear" w:pos="567"/>
          <w:tab w:val="clear" w:pos="720"/>
        </w:tabs>
        <w:ind w:left="1122" w:hanging="561"/>
      </w:pPr>
      <w:r>
        <w:t>создать должность судьи, который осуществлял бы контроль за судебным разбирательством начиная от этапа предварительного следствия до рассмотрения дела в суде с целью обеспечения гарантий должного процесса и равенства сторон.</w:t>
      </w:r>
    </w:p>
    <w:p w:rsidR="00000000" w:rsidRDefault="00000000">
      <w:pPr>
        <w:ind w:left="201"/>
      </w:pPr>
    </w:p>
    <w:p w:rsidR="00000000" w:rsidRDefault="00000000">
      <w:pPr>
        <w:jc w:val="center"/>
      </w:pPr>
      <w:r>
        <w:rPr>
          <w:b/>
          <w:bCs/>
          <w:lang w:val="en-US"/>
        </w:rPr>
        <w:t>D</w:t>
      </w:r>
      <w:r>
        <w:rPr>
          <w:b/>
          <w:bCs/>
        </w:rPr>
        <w:t>.</w:t>
      </w:r>
      <w:r>
        <w:rPr>
          <w:b/>
          <w:bCs/>
        </w:rPr>
        <w:tab/>
        <w:t>Замечания, задачи и планы</w:t>
      </w:r>
    </w:p>
    <w:p w:rsidR="00000000" w:rsidRDefault="00000000"/>
    <w:p w:rsidR="00000000" w:rsidRDefault="00000000">
      <w:r>
        <w:t>115.</w:t>
      </w:r>
      <w:r>
        <w:tab/>
        <w:t>В период между 1990 и 2001 годами обвинения в применении пыток были предъявлены 57 должностным лицам;  федеральные судьи выдали 39 ордеров на арест, из которых 24 были выполнены.  Лишь в восьми случаях обвиненные понесли наказание</w:t>
      </w:r>
      <w:r>
        <w:rPr>
          <w:rStyle w:val="EndnoteReference"/>
        </w:rPr>
        <w:endnoteReference w:id="48"/>
      </w:r>
      <w:r>
        <w:t>.  В этой связи "Международная амнистия" выразила беспокойство по поводу того, что наказание за применение пыток выносятся в отношении лишь незначительной части предъявленных обвинений, что свидетельствует о безнаказанности</w:t>
      </w:r>
      <w:r>
        <w:rPr>
          <w:rStyle w:val="EndnoteReference"/>
        </w:rPr>
        <w:endnoteReference w:id="49"/>
      </w:r>
      <w:r>
        <w:t xml:space="preserve">.  В этой связи следует признать существование серьезных недостатков в законодательной области, а также на всех этапах проведения судебных разбирательств.  Однако не все жалобы на применение пыток подтверждаются, поскольку в некоторых случаях их невозможно подтвердить.  Поэтому невозможность вынесения наказания не всегда является проявлением безнаказанности.  </w:t>
      </w:r>
    </w:p>
    <w:p w:rsidR="00000000" w:rsidRDefault="00000000"/>
    <w:p w:rsidR="00000000" w:rsidRDefault="00000000">
      <w:pPr>
        <w:jc w:val="center"/>
        <w:rPr>
          <w:b/>
          <w:bCs/>
        </w:rPr>
      </w:pPr>
      <w:r>
        <w:rPr>
          <w:b/>
          <w:bCs/>
        </w:rPr>
        <w:t>Статья 3.  Запрещение высылать, возвращать или выдавать какое-либо лицо другому государству, когда ему может угрожать</w:t>
      </w:r>
    </w:p>
    <w:p w:rsidR="00000000" w:rsidRDefault="00000000">
      <w:pPr>
        <w:jc w:val="center"/>
        <w:rPr>
          <w:b/>
          <w:bCs/>
        </w:rPr>
      </w:pPr>
      <w:r>
        <w:rPr>
          <w:b/>
          <w:bCs/>
        </w:rPr>
        <w:t>там применение пыток</w:t>
      </w:r>
    </w:p>
    <w:p w:rsidR="00000000" w:rsidRDefault="00000000">
      <w:pPr>
        <w:jc w:val="center"/>
        <w:rPr>
          <w:b/>
          <w:bCs/>
        </w:rPr>
      </w:pPr>
    </w:p>
    <w:p w:rsidR="00000000" w:rsidRDefault="00000000">
      <w:pPr>
        <w:jc w:val="center"/>
        <w:rPr>
          <w:b/>
          <w:bCs/>
        </w:rPr>
      </w:pPr>
      <w:r>
        <w:rPr>
          <w:b/>
          <w:bCs/>
        </w:rPr>
        <w:t>А.</w:t>
      </w:r>
      <w:r>
        <w:rPr>
          <w:b/>
          <w:bCs/>
        </w:rPr>
        <w:tab/>
        <w:t>Выдача</w:t>
      </w:r>
    </w:p>
    <w:p w:rsidR="00000000" w:rsidRDefault="00000000">
      <w:pPr>
        <w:rPr>
          <w:b/>
          <w:bCs/>
          <w:u w:val="single"/>
        </w:rPr>
      </w:pPr>
    </w:p>
    <w:p w:rsidR="00000000" w:rsidRDefault="00000000">
      <w:r>
        <w:t>116.</w:t>
      </w:r>
      <w:r>
        <w:tab/>
        <w:t>Как указывалось ранее, одной из мер для предотвращения пыток является применение положений Политической конституции Мексики, в которой в статьях 20-22 запрещается применение пыток и жестокого обращения.</w:t>
      </w:r>
    </w:p>
    <w:p w:rsidR="00000000" w:rsidRDefault="00000000"/>
    <w:p w:rsidR="00000000" w:rsidRDefault="00000000">
      <w:r>
        <w:t>117.</w:t>
      </w:r>
      <w:r>
        <w:tab/>
        <w:t>В статье 15 Политической конституции Мексиканских Соединенных Штатов устанавливается, что "не допускается заключение договоров о выдаче политических преступников, включая уголовных преступников, которые находились в подневольном состоянии в стране, где совершили преступление, а также заключение соглашений или договоров, ограничивающих гарантии и права, установленные Конституцией для человека и гражданина".</w:t>
      </w:r>
    </w:p>
    <w:p w:rsidR="00000000" w:rsidRDefault="00000000"/>
    <w:p w:rsidR="00000000" w:rsidRDefault="00000000">
      <w:r>
        <w:t>118.</w:t>
      </w:r>
      <w:r>
        <w:tab/>
        <w:t>На основании вышесказанного правительство Мексики запретило подписание каких</w:t>
      </w:r>
      <w:r>
        <w:noBreakHyphen/>
        <w:t>либо договоров, соглашений и принятие законов, которые санкционировали бы применение пыток, поскольку данное деяние противоречило бы Конституции.  В силу этого правительство Мексики не выдает, не высылает и не возвращает каких-либо лиц в страну, в которой они могут быть подвергнуты пыткам.</w:t>
      </w:r>
    </w:p>
    <w:p w:rsidR="00000000" w:rsidRDefault="00000000"/>
    <w:p w:rsidR="00000000" w:rsidRDefault="00000000">
      <w:r>
        <w:t>119.</w:t>
      </w:r>
      <w:r>
        <w:tab/>
        <w:t>В статьях 8 и 9 Закона о международной экстрадиции также говорится, что ни в коем случае не допускается выдача лиц, которые могут подвергнуться политическому преследованию со стороны запрашивающего государства, или если это лицо находилось в подневольном состоянии в стране, в которой совершило преступление.  Никакое лицо не может выдаваться в том случае, если преступление, в связи с которым подается просьба о выдаче, относится к сфере военное юрисдикции.</w:t>
      </w:r>
    </w:p>
    <w:p w:rsidR="00000000" w:rsidRDefault="00000000"/>
    <w:p w:rsidR="00000000" w:rsidRDefault="00000000">
      <w:r>
        <w:t>120.</w:t>
      </w:r>
      <w:r>
        <w:tab/>
        <w:t xml:space="preserve">В случае подписания между двумя государствами соглашения о выдаче, в статье 10 раздела </w:t>
      </w:r>
      <w:r>
        <w:rPr>
          <w:lang w:val="en-US"/>
        </w:rPr>
        <w:t>V</w:t>
      </w:r>
      <w:r>
        <w:t xml:space="preserve"> указанного закона предусматривается, что Мексика должна потребовать от подающего просьбу государства взять на себя обязательство о том, что если за вменяемое лицу обвинение в преступлении согласно законодательству этого государства полагается наказание вплоть до смертной казни или другие наказания, перечисленные в статье 22 Конституции Мексики, то этому лицу будет назначено наказание в виде лишения свободы или любое другое менее суровое наказание, которое предусмотрено законодательством этой страны для данного преступления, будь то непосредственным образом либо в порядке замены или смягчения наказания.  Поэтому прежде чем Мексика санкционирует выдачу какого-либо лица, запрашиваемое государство должно сначала взять на себя обязательства не применять пытки.</w:t>
      </w:r>
    </w:p>
    <w:p w:rsidR="00000000" w:rsidRDefault="00000000"/>
    <w:p w:rsidR="00000000" w:rsidRDefault="00000000">
      <w:pPr>
        <w:jc w:val="center"/>
        <w:rPr>
          <w:b/>
          <w:bCs/>
        </w:rPr>
      </w:pPr>
      <w:r>
        <w:rPr>
          <w:b/>
          <w:bCs/>
          <w:lang w:val="en-US"/>
        </w:rPr>
        <w:t>B</w:t>
      </w:r>
      <w:r>
        <w:rPr>
          <w:b/>
          <w:bCs/>
        </w:rPr>
        <w:t>.</w:t>
      </w:r>
      <w:r>
        <w:rPr>
          <w:b/>
          <w:bCs/>
        </w:rPr>
        <w:tab/>
        <w:t>Положение беженцев</w:t>
      </w:r>
    </w:p>
    <w:p w:rsidR="00000000" w:rsidRDefault="00000000">
      <w:pPr>
        <w:rPr>
          <w:b/>
          <w:bCs/>
          <w:u w:val="single"/>
        </w:rPr>
      </w:pPr>
    </w:p>
    <w:p w:rsidR="00000000" w:rsidRDefault="00000000">
      <w:r>
        <w:t>121.</w:t>
      </w:r>
      <w:r>
        <w:tab/>
        <w:t>Мексика 7 июня 2000 года ратифицировала Конвенцию о статусе беженцев 1951 года и Протокол к этой Конвенции 1967 года.  Будучи одним из государств-участников этих соглашений, Мексика приняла на себя новые обязательства в отношении прав беженцев.  В этой связи одной из основных обязанностей Мексики является обеспечение принципа отказа в выдаче, обеспечение добровольного возвращения беженцев или интеграция их в жизнь мексиканского общества.</w:t>
      </w:r>
    </w:p>
    <w:p w:rsidR="00000000" w:rsidRDefault="00000000"/>
    <w:p w:rsidR="00000000" w:rsidRDefault="00000000">
      <w:r>
        <w:t>122.</w:t>
      </w:r>
      <w:r>
        <w:tab/>
        <w:t>Для достижения этих целей в марте 2002 года правительство Мексики создало Комитет по вопросам статуса беженцев и Рабочую группу по вопросам беженцев.  В соответствии с процедурой предоставления статуса беженца правительство Мексики совместно с Верховным комиссаром Организации Объединенных Наций по делам беженцев и одной из организаций гражданского общества рассматривает поданные просьбы о предоставлении убежища.  Для определения статуса беженца лиц, обратившихся с такой просьбой, оба занимающиеся этим вопросом органа руководствуются положениями Конвенции 1951 года о статусе беженцев и Протоколом 1967 года, а также определением беженца, содержащимся в Картахенской декларации о беженцах 1984 года, которое включено в национальное законодательство</w:t>
      </w:r>
      <w:r>
        <w:rPr>
          <w:rStyle w:val="EndnoteReference"/>
        </w:rPr>
        <w:endnoteReference w:id="50"/>
      </w:r>
      <w:r>
        <w:t>.</w:t>
      </w:r>
    </w:p>
    <w:p w:rsidR="00000000" w:rsidRDefault="00000000"/>
    <w:p w:rsidR="00000000" w:rsidRDefault="00000000">
      <w:r>
        <w:t>123.</w:t>
      </w:r>
      <w:r>
        <w:tab/>
        <w:t>Если лицо, обратившееся с просьбой о предоставлении убежища, не может быть признано таковым в силу несоответствия критериям, содержащимся в Конвенции, Протоколе и соответствующем национальном законодательстве, но при этом имеются основания полагать, что после возвращения в свою страну его жизнь, свобода и безопасность могут подвергнуться угрозе в результате применения пыток, то в этом случае применяется принцип отказа от возвращения этого лица и в соответствии со статьей 3 Конвенции против пыток этому лицу разрешается остаться в Мексике.</w:t>
      </w:r>
    </w:p>
    <w:p w:rsidR="00000000" w:rsidRDefault="00000000"/>
    <w:p w:rsidR="00000000" w:rsidRDefault="00000000">
      <w:r>
        <w:t>124.</w:t>
      </w:r>
      <w:r>
        <w:tab/>
        <w:t xml:space="preserve">Кроме того, в разделе </w:t>
      </w:r>
      <w:r>
        <w:rPr>
          <w:lang w:val="en-US"/>
        </w:rPr>
        <w:t>VI</w:t>
      </w:r>
      <w:r>
        <w:t xml:space="preserve"> статьи 42 Общего закона о народонаселении предусматривается, что беженцы не могут быть возвращены в страну своего происхождения или высланы в любую другую страну, где существует угроза их жизни, свободе и безопасности.  Это положение соответствует также статье 3 Конвенции против пыток.</w:t>
      </w:r>
    </w:p>
    <w:p w:rsidR="00000000" w:rsidRDefault="00000000"/>
    <w:p w:rsidR="00000000" w:rsidRDefault="00000000">
      <w:pPr>
        <w:jc w:val="center"/>
      </w:pPr>
      <w:r>
        <w:rPr>
          <w:b/>
          <w:bCs/>
        </w:rPr>
        <w:t>С.</w:t>
      </w:r>
      <w:r>
        <w:rPr>
          <w:b/>
          <w:bCs/>
        </w:rPr>
        <w:tab/>
        <w:t>Высылка иностранцев</w:t>
      </w:r>
    </w:p>
    <w:p w:rsidR="00000000" w:rsidRDefault="00000000"/>
    <w:p w:rsidR="00000000" w:rsidRDefault="00000000">
      <w:r>
        <w:t>125.</w:t>
      </w:r>
      <w:r>
        <w:tab/>
        <w:t>На основании статьи 33 Конституции президенту Республики предоставляется право без предупреждения и без судебной процедуры высылать за пределы Республики любого иностранца, чье пребывание в стране является нежелательным.  Это положение не позволяет иностранцу, которого коснулось это распоряжение, приводить доводы, которые исключали бы его высылку, или передавать его дело на рассмотрение компетентных органов и самому представлять себя в них.</w:t>
      </w:r>
    </w:p>
    <w:p w:rsidR="00000000" w:rsidRDefault="00000000"/>
    <w:p w:rsidR="00000000" w:rsidRDefault="00000000">
      <w:r>
        <w:t>126.</w:t>
      </w:r>
      <w:r>
        <w:tab/>
        <w:t>Хотя иностранец может направить ходатайство в порядке ампаро, оно не имеет силы, поскольку в этом случае просьба о приостановлении исполнения решения не влияет на его выполнение.  Однако после осуществления высылки компетентный судебный орган, если он имеет возможность определять, являлись ли основания, на которых принималось решение при подаче требования судебной защиты в порядке ампаро оправданными и имелись ли для этого убедительные причины, может четко указать на отсутствие таких оснований и причин для принятия указанного решения.</w:t>
      </w:r>
    </w:p>
    <w:p w:rsidR="00000000" w:rsidRDefault="00000000"/>
    <w:p w:rsidR="00000000" w:rsidRDefault="00000000">
      <w:r>
        <w:t>127.</w:t>
      </w:r>
      <w:r>
        <w:tab/>
        <w:t>Учитывая существующее положение и гарантии, предусмотренные в Конституции Мексики и международных документах, которые подписала Мексика, например Международный пакт об экономических, социальных и культурных правах, Американская конвенция о правах человека и Конвенция против пыток, в поправках к Конституции касающихся прав человека, которые исполнительная власть представила на рассмотрение Конгресса в апреле 2004 года, предусматривается внесение поправки в статью 33 Конституции.  Указанная поправка предусматривает изменение первого пункта указанной статьи, с тем чтобы предоставить иностранцу право на слушание его дела в процессе высылки.  Высылка иностранца с территории Мексики без предупреждения и без судебной процедуры может быть осуществлена только при условии существования угрозы для национальной безопасности.  Поэтому в случае одобрения указанной поправки она позволит избежать возвращения иностранца в страну, где он может подвергнуться пыткам.</w:t>
      </w:r>
    </w:p>
    <w:p w:rsidR="00000000" w:rsidRDefault="00000000"/>
    <w:p w:rsidR="00000000" w:rsidRDefault="00000000">
      <w:pPr>
        <w:jc w:val="center"/>
        <w:rPr>
          <w:b/>
          <w:bCs/>
        </w:rPr>
      </w:pPr>
      <w:r>
        <w:rPr>
          <w:b/>
          <w:bCs/>
        </w:rPr>
        <w:t>Статья 4.  Пытка как преступление в уголовном законодательстве и соответствующие наказания за пытки</w:t>
      </w:r>
    </w:p>
    <w:p w:rsidR="00000000" w:rsidRDefault="00000000">
      <w:pPr>
        <w:jc w:val="center"/>
        <w:rPr>
          <w:b/>
          <w:bCs/>
        </w:rPr>
      </w:pPr>
    </w:p>
    <w:p w:rsidR="00000000" w:rsidRDefault="00000000">
      <w:pPr>
        <w:jc w:val="center"/>
        <w:rPr>
          <w:b/>
          <w:bCs/>
          <w:u w:val="single"/>
        </w:rPr>
      </w:pPr>
      <w:r>
        <w:rPr>
          <w:b/>
          <w:bCs/>
        </w:rPr>
        <w:t>А.</w:t>
      </w:r>
      <w:r>
        <w:rPr>
          <w:b/>
          <w:bCs/>
        </w:rPr>
        <w:tab/>
        <w:t>Замечания организаций гражданского общества</w:t>
      </w:r>
    </w:p>
    <w:p w:rsidR="00000000" w:rsidRDefault="00000000">
      <w:pPr>
        <w:rPr>
          <w:u w:val="single"/>
        </w:rPr>
      </w:pPr>
    </w:p>
    <w:p w:rsidR="00000000" w:rsidRDefault="00000000">
      <w:r>
        <w:t>128.</w:t>
      </w:r>
      <w:r>
        <w:tab/>
        <w:t>Организация "Международная амнистия" выразила беспокойство в связи с тем, что на практике "случаи пыток и жестокого обращения регистрируются не в соответствии с общепринятыми международными нормами, а классифицируются как менее серьезные правонарушения, такие, как злоупотребление властью или нанесение телесных повреждений".  Эта организация, как и организация "РЕДРЕСС"</w:t>
      </w:r>
      <w:r>
        <w:rPr>
          <w:rStyle w:val="EndnoteReference"/>
        </w:rPr>
        <w:endnoteReference w:id="51"/>
      </w:r>
      <w:r>
        <w:t>, указывает, что ввиду вышеуказанной практики прокуратура проводит расследование подобных дел лишь как правонарушений, имеющих менее серьезный характер, и ограничивается проведением служебных расследований.  В результате лица, виновные в применении пыток, не преследуются в судебном порядке, а суды отказываются признать, что состав подобных преступлений может оказывать влияние на принятие признаний в качестве доказательства</w:t>
      </w:r>
      <w:r>
        <w:rPr>
          <w:rStyle w:val="EndnoteReference"/>
        </w:rPr>
        <w:endnoteReference w:id="52"/>
      </w:r>
      <w:r>
        <w:t>.</w:t>
      </w:r>
    </w:p>
    <w:p w:rsidR="00000000" w:rsidRDefault="00000000"/>
    <w:p w:rsidR="00000000" w:rsidRDefault="00000000">
      <w:r>
        <w:t>129.</w:t>
      </w:r>
      <w:r>
        <w:tab/>
        <w:t>"Международная амнистия" указала на то, что федеральное законодательство и законодательство штатов Мексики не в полной мере отражают концепцию пыток, признанную в существующих международных документах.  Это приводит к тому, что ни полицейские органы, ни сотрудники прокуратуры, ни государственные комиссии, занимающиеся правами человека, не классифицируют случаи пыток с учетом соответствующих критериев и не проводят по ним расследований</w:t>
      </w:r>
      <w:r>
        <w:rPr>
          <w:rStyle w:val="EndnoteReference"/>
        </w:rPr>
        <w:t xml:space="preserve"> </w:t>
      </w:r>
      <w:r>
        <w:rPr>
          <w:rStyle w:val="EndnoteReference"/>
        </w:rPr>
        <w:endnoteReference w:id="53"/>
      </w:r>
      <w:r>
        <w:t>.</w:t>
      </w:r>
    </w:p>
    <w:p w:rsidR="00000000" w:rsidRDefault="00000000"/>
    <w:p w:rsidR="00000000" w:rsidRDefault="00000000">
      <w:pPr>
        <w:jc w:val="center"/>
        <w:rPr>
          <w:b/>
          <w:bCs/>
          <w:u w:val="single"/>
        </w:rPr>
      </w:pPr>
      <w:r>
        <w:rPr>
          <w:b/>
          <w:bCs/>
        </w:rPr>
        <w:t>В.</w:t>
      </w:r>
      <w:r>
        <w:rPr>
          <w:b/>
          <w:bCs/>
        </w:rPr>
        <w:tab/>
        <w:t>Меры, принятые Мексикой</w:t>
      </w:r>
    </w:p>
    <w:p w:rsidR="00000000" w:rsidRDefault="00000000">
      <w:pPr>
        <w:spacing w:line="240" w:lineRule="auto"/>
        <w:rPr>
          <w:b/>
          <w:bCs/>
          <w:u w:val="single"/>
        </w:rPr>
      </w:pPr>
    </w:p>
    <w:p w:rsidR="00000000" w:rsidRDefault="00000000">
      <w:pPr>
        <w:rPr>
          <w:b/>
          <w:bCs/>
          <w:i/>
          <w:iCs/>
          <w:u w:val="single"/>
        </w:rPr>
      </w:pPr>
      <w:r>
        <w:rPr>
          <w:b/>
          <w:bCs/>
          <w:i/>
          <w:iCs/>
        </w:rPr>
        <w:t>1.</w:t>
      </w:r>
      <w:r>
        <w:rPr>
          <w:b/>
          <w:bCs/>
          <w:i/>
          <w:iCs/>
        </w:rPr>
        <w:tab/>
        <w:t>Меры в законодательной области на федеральном уровне</w:t>
      </w:r>
    </w:p>
    <w:p w:rsidR="00000000" w:rsidRDefault="00000000">
      <w:pPr>
        <w:spacing w:line="240" w:lineRule="auto"/>
        <w:rPr>
          <w:b/>
          <w:bCs/>
          <w:u w:val="single"/>
        </w:rPr>
      </w:pPr>
    </w:p>
    <w:p w:rsidR="00000000" w:rsidRDefault="00000000">
      <w:r>
        <w:t>130.</w:t>
      </w:r>
      <w:r>
        <w:tab/>
        <w:t>В мексиканском законодательстве, особенно в статье 64 Федерального уголовного кодекса, в который внесены поправки, опубликованные в "Официальных ведомостях Федерации" 17 мая 1999</w:t>
      </w:r>
      <w:r>
        <w:rPr>
          <w:lang w:val="en-US"/>
        </w:rPr>
        <w:t> </w:t>
      </w:r>
      <w:r>
        <w:t>года, предусматривается, что при совершении идеальной совокупности преступлений (когда в ходе одного деяния совершается несколько преступлений) применяется максимальное наказание, предусмотренное за совершение одного из этих преступлений, которое может быть увеличено еще наполовину максимального срока тюремного заключения.  При совершении реальной совокупности преступлений (когда в ходе нескольких деяний совершается несколько преступлений) применяется наказание, предусмотренное за каждое совершенное преступление без превышения максимальных наказаний, указанных в Кодексе.</w:t>
      </w:r>
    </w:p>
    <w:p w:rsidR="00000000" w:rsidRDefault="00000000"/>
    <w:p w:rsidR="00000000" w:rsidRDefault="00000000">
      <w:r>
        <w:t>131.</w:t>
      </w:r>
      <w:r>
        <w:tab/>
        <w:t>Это положение позволяет привлекать государственных должностных лиц, совершающих преступление пыток, к ответственности в соответствии с упомянутыми нормами и применять к ним наказание не только за преступление пытки.</w:t>
      </w:r>
    </w:p>
    <w:p w:rsidR="00000000" w:rsidRDefault="00000000"/>
    <w:p w:rsidR="00000000" w:rsidRDefault="00000000">
      <w:r>
        <w:t>132.</w:t>
      </w:r>
      <w:r>
        <w:tab/>
        <w:t>В 1994 году в Федеральный уголовно-процессуальный кодекс была внесена поправка, на основании которой пытки были включены в число тяжких преступлений</w:t>
      </w:r>
      <w:r>
        <w:rPr>
          <w:rStyle w:val="EndnoteReference"/>
        </w:rPr>
        <w:endnoteReference w:id="54"/>
      </w:r>
      <w:r>
        <w:t>.  Кроме того, в этой статье говорится, что "ни в каком случае и ни по какой причине сотрудники государственных органов не могут применять изоляцию, запугивание или пытки обвиняемых в интересах получения у них признаний или для других целей" (статья 289).</w:t>
      </w:r>
    </w:p>
    <w:p w:rsidR="00000000" w:rsidRDefault="00000000"/>
    <w:p w:rsidR="00000000" w:rsidRDefault="00000000">
      <w:r>
        <w:t>133.</w:t>
      </w:r>
      <w:r>
        <w:tab/>
        <w:t>В Федеральном законе о юридической помощи, опубликованном в "Официальных ведомостях Федерации" 28 мая 1998 года, предусматривается возможность предъявления обвинения за преступление, связанное с пытками, применяемыми государственными должностными лицами в центрах содержания под стражей:</w:t>
      </w:r>
    </w:p>
    <w:p w:rsidR="00000000" w:rsidRDefault="00000000"/>
    <w:p w:rsidR="00000000" w:rsidRDefault="00000000">
      <w:pPr>
        <w:ind w:left="567"/>
      </w:pPr>
      <w:r>
        <w:t>"Статья 13.  Жалобы, поданные общественными защитниками, задержанными лицами или лицами, содержащимися в местах предварительного заключения или тюрьмах, о неоказании медицинской помощи, о пытках, жестоком, бесчеловечном и унижающем достоинство обращении, об избиениях и о любых других формах нарушения их прав человека, совершенных каким-либо государственным должностным лицом, направляются соответственно в прокуратуру или в орган, в ведении которого находятся центры заключения и социальной реабилитации, а также в органы, занимающиеся защитой прав человека.  На основании этих жалоб власти должны принимать меры, которые пресекают совершение таких нарушений, исключают возможность их повторения и, в случае необходимости, в соответствии с применимыми законами наказывают лиц, совершивших эти нарушения".</w:t>
      </w:r>
    </w:p>
    <w:p w:rsidR="00000000" w:rsidRDefault="00000000">
      <w:pPr>
        <w:spacing w:line="240" w:lineRule="auto"/>
        <w:ind w:left="567"/>
        <w:rPr>
          <w:i/>
          <w:iCs/>
        </w:rPr>
      </w:pPr>
    </w:p>
    <w:p w:rsidR="00000000" w:rsidRDefault="00000000">
      <w:r>
        <w:t>134.</w:t>
      </w:r>
      <w:r>
        <w:tab/>
        <w:t>Что касается административного права, то в Федеральном законе об ответственности государственных должностных лиц предусматривается привлечение их к ответственности, которая может иметь форму административного наказания государственного должностного лица за деяния, представляющие собой правонарушения, если речь идет о "злоупотреблениях или неоправданном использовании своего положения, полномочий или выполнении поручений</w:t>
      </w:r>
      <w:r>
        <w:rPr>
          <w:rStyle w:val="EndnoteReference"/>
        </w:rPr>
        <w:endnoteReference w:id="55"/>
      </w:r>
      <w:r>
        <w:t>, не исключая при этом возбуждения против них уголовных дел</w:t>
      </w:r>
      <w:r>
        <w:rPr>
          <w:rStyle w:val="EndnoteReference"/>
        </w:rPr>
        <w:endnoteReference w:id="56"/>
      </w:r>
      <w:r>
        <w:t>.  Кроме того, в этом законе предусматриваются наказания государственных должностных лиц, которые несут ответственность за административные упущения.  Эти наказания могут включать общественное или частное порицание, временное отстранение от выполнения обязанностей, снятие с должности и запрещение временно занимать другие должности на государственной службе</w:t>
      </w:r>
      <w:r>
        <w:rPr>
          <w:rStyle w:val="EndnoteReference"/>
        </w:rPr>
        <w:endnoteReference w:id="57"/>
      </w:r>
      <w:r>
        <w:t>.</w:t>
      </w:r>
    </w:p>
    <w:p w:rsidR="00000000" w:rsidRDefault="00000000">
      <w:pPr>
        <w:spacing w:line="240" w:lineRule="auto"/>
      </w:pPr>
    </w:p>
    <w:p w:rsidR="00000000" w:rsidRDefault="00000000">
      <w:pPr>
        <w:rPr>
          <w:b/>
          <w:bCs/>
          <w:i/>
          <w:iCs/>
        </w:rPr>
      </w:pPr>
      <w:r>
        <w:rPr>
          <w:b/>
          <w:bCs/>
          <w:i/>
          <w:iCs/>
        </w:rPr>
        <w:t>2.</w:t>
      </w:r>
      <w:r>
        <w:rPr>
          <w:b/>
          <w:bCs/>
          <w:i/>
          <w:iCs/>
        </w:rPr>
        <w:tab/>
        <w:t>Меры в законодательной области на местном уровне</w:t>
      </w:r>
    </w:p>
    <w:p w:rsidR="00000000" w:rsidRDefault="00000000">
      <w:pPr>
        <w:spacing w:line="240" w:lineRule="auto"/>
        <w:rPr>
          <w:b/>
          <w:bCs/>
        </w:rPr>
      </w:pPr>
    </w:p>
    <w:p w:rsidR="00000000" w:rsidRDefault="00000000">
      <w:r>
        <w:t>135.</w:t>
      </w:r>
      <w:r>
        <w:tab/>
        <w:t>Достигнут прогресс в законодательной области на уровне штатов.  Так, в Законе о Комиссии по правам человека штата Пуэбла, опубликованном в "Официальных ведомостях" 24 марта 2000 года, предусматривается специальная процедура подачи просьбы о встрече с лицами, находящимися под стражей.  В соответствии с этой процедурой инспекторы Комиссии могут посещать места заключения и требовать от их руководства предоставления встречи с лицами, находящимися под стражей, сообщения оснований для их задержания, а также обеспечения их физической и психической безопасности.  Специальные инспекторы Комиссии посещают места заключения, с тем чтобы удостовериться в физическом и психическом состоянии содержащихся под стражей лиц.  При этом не исключается подача просьбы о предоставлении соответствующего доклада, который должен быть подготовлен в течение не более чем 48 часов, и просьбы о принятии соответствующих мер защиты.</w:t>
      </w:r>
    </w:p>
    <w:p w:rsidR="00000000" w:rsidRDefault="00000000">
      <w:pPr>
        <w:spacing w:line="240" w:lineRule="auto"/>
      </w:pPr>
    </w:p>
    <w:p w:rsidR="00000000" w:rsidRDefault="00000000">
      <w:pPr>
        <w:keepNext/>
        <w:ind w:left="567" w:hanging="567"/>
        <w:rPr>
          <w:b/>
          <w:bCs/>
          <w:i/>
          <w:iCs/>
        </w:rPr>
      </w:pPr>
      <w:r>
        <w:rPr>
          <w:b/>
          <w:bCs/>
          <w:i/>
          <w:iCs/>
        </w:rPr>
        <w:t>3.</w:t>
      </w:r>
      <w:r>
        <w:rPr>
          <w:b/>
          <w:bCs/>
          <w:i/>
          <w:iCs/>
        </w:rPr>
        <w:tab/>
        <w:t>Меры в отношении лиц, ответственных за совершение преступлений, связанных с пытками и другими жестокими, бесчеловечными или унижающими достоинство видами обращения</w:t>
      </w:r>
    </w:p>
    <w:p w:rsidR="00000000" w:rsidRDefault="00000000">
      <w:pPr>
        <w:keepNext/>
        <w:spacing w:line="240" w:lineRule="auto"/>
      </w:pPr>
    </w:p>
    <w:p w:rsidR="00000000" w:rsidRDefault="00000000">
      <w:pPr>
        <w:rPr>
          <w:lang w:val="es-MX"/>
        </w:rPr>
      </w:pPr>
      <w:r>
        <w:t>136.</w:t>
      </w:r>
      <w:r>
        <w:tab/>
        <w:t>В нижеследующей таблице указаны основные органы власти, в которые направляются ходатайства и которые получили наибольшее количество рекомендаций со стороны Национальной комиссии по правам человека в связи с пытками.  Среди них выделяется Генеральная прокуратура Республики, которая получила 48% всех рекомендаций, направленных в связи с нарушениями прав человека с момента создания Национальной комиссии до 30 июня 2003 года</w:t>
      </w:r>
      <w:r>
        <w:rPr>
          <w:rStyle w:val="EndnoteReference"/>
          <w:lang w:val="es-MX"/>
        </w:rPr>
        <w:endnoteReference w:id="58"/>
      </w:r>
      <w:r>
        <w:t>.</w:t>
      </w:r>
    </w:p>
    <w:p w:rsidR="00000000" w:rsidRDefault="00000000">
      <w:pPr>
        <w:jc w:val="center"/>
        <w:rPr>
          <w:b/>
        </w:rPr>
      </w:pPr>
      <w:r>
        <w:rPr>
          <w:b/>
        </w:rPr>
        <w:t>Основные органы власти, в которые были направлены рекомендации</w:t>
      </w:r>
    </w:p>
    <w:p w:rsidR="00000000" w:rsidRDefault="00000000">
      <w:pPr>
        <w:jc w:val="center"/>
        <w:rPr>
          <w:b/>
        </w:rPr>
      </w:pPr>
      <w:r>
        <w:rPr>
          <w:b/>
        </w:rPr>
        <w:t>в связи с применением пыток</w:t>
      </w:r>
      <w:r>
        <w:rPr>
          <w:rStyle w:val="EndnoteReference"/>
          <w:bCs/>
          <w:lang w:val="es-MX"/>
        </w:rPr>
        <w:endnoteReference w:id="59"/>
      </w:r>
    </w:p>
    <w:p w:rsidR="00000000" w:rsidRDefault="00000000">
      <w:pPr>
        <w:rPr>
          <w:b/>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548"/>
        <w:gridCol w:w="2296"/>
        <w:gridCol w:w="1567"/>
        <w:gridCol w:w="1932"/>
        <w:gridCol w:w="1068"/>
      </w:tblGrid>
      <w:tr w:rsidR="00000000">
        <w:trPr>
          <w:cantSplit/>
          <w:tblHeader/>
        </w:trPr>
        <w:tc>
          <w:tcPr>
            <w:tcW w:w="2548" w:type="dxa"/>
          </w:tcPr>
          <w:p w:rsidR="00000000" w:rsidRDefault="00000000">
            <w:pPr>
              <w:autoSpaceDE w:val="0"/>
              <w:autoSpaceDN w:val="0"/>
              <w:adjustRightInd w:val="0"/>
              <w:spacing w:line="240" w:lineRule="auto"/>
              <w:jc w:val="center"/>
              <w:rPr>
                <w:bCs/>
                <w:sz w:val="20"/>
              </w:rPr>
            </w:pPr>
          </w:p>
          <w:p w:rsidR="00000000" w:rsidRDefault="00000000">
            <w:pPr>
              <w:autoSpaceDE w:val="0"/>
              <w:autoSpaceDN w:val="0"/>
              <w:adjustRightInd w:val="0"/>
              <w:spacing w:line="240" w:lineRule="auto"/>
              <w:jc w:val="center"/>
              <w:rPr>
                <w:bCs/>
                <w:sz w:val="20"/>
              </w:rPr>
            </w:pPr>
            <w:r>
              <w:rPr>
                <w:bCs/>
                <w:iCs/>
                <w:sz w:val="20"/>
              </w:rPr>
              <w:t>Сроки</w:t>
            </w:r>
          </w:p>
          <w:p w:rsidR="00000000" w:rsidRDefault="00000000">
            <w:pPr>
              <w:autoSpaceDE w:val="0"/>
              <w:autoSpaceDN w:val="0"/>
              <w:adjustRightInd w:val="0"/>
              <w:spacing w:line="240" w:lineRule="auto"/>
              <w:jc w:val="center"/>
              <w:rPr>
                <w:bCs/>
                <w:sz w:val="20"/>
              </w:rPr>
            </w:pPr>
          </w:p>
        </w:tc>
        <w:tc>
          <w:tcPr>
            <w:tcW w:w="2296" w:type="dxa"/>
          </w:tcPr>
          <w:p w:rsidR="00000000" w:rsidRDefault="00000000">
            <w:pPr>
              <w:autoSpaceDE w:val="0"/>
              <w:autoSpaceDN w:val="0"/>
              <w:adjustRightInd w:val="0"/>
              <w:spacing w:line="240" w:lineRule="auto"/>
              <w:jc w:val="center"/>
              <w:rPr>
                <w:bCs/>
                <w:sz w:val="20"/>
              </w:rPr>
            </w:pPr>
            <w:r>
              <w:rPr>
                <w:bCs/>
                <w:iCs/>
                <w:sz w:val="20"/>
              </w:rPr>
              <w:t>Генеральная прокуратура Республики</w:t>
            </w:r>
          </w:p>
        </w:tc>
        <w:tc>
          <w:tcPr>
            <w:tcW w:w="1567" w:type="dxa"/>
          </w:tcPr>
          <w:p w:rsidR="00000000" w:rsidRDefault="00000000">
            <w:pPr>
              <w:autoSpaceDE w:val="0"/>
              <w:autoSpaceDN w:val="0"/>
              <w:adjustRightInd w:val="0"/>
              <w:spacing w:line="240" w:lineRule="auto"/>
              <w:jc w:val="center"/>
              <w:rPr>
                <w:bCs/>
                <w:sz w:val="20"/>
              </w:rPr>
            </w:pPr>
            <w:r>
              <w:rPr>
                <w:bCs/>
                <w:iCs/>
                <w:sz w:val="20"/>
              </w:rPr>
              <w:t>Генеральная прокуратура военной юстиции</w:t>
            </w:r>
          </w:p>
        </w:tc>
        <w:tc>
          <w:tcPr>
            <w:tcW w:w="1932" w:type="dxa"/>
          </w:tcPr>
          <w:p w:rsidR="00000000" w:rsidRDefault="00000000">
            <w:pPr>
              <w:autoSpaceDE w:val="0"/>
              <w:autoSpaceDN w:val="0"/>
              <w:adjustRightInd w:val="0"/>
              <w:spacing w:line="240" w:lineRule="auto"/>
              <w:jc w:val="center"/>
              <w:rPr>
                <w:bCs/>
                <w:sz w:val="20"/>
              </w:rPr>
            </w:pPr>
            <w:r>
              <w:rPr>
                <w:bCs/>
                <w:iCs/>
                <w:sz w:val="20"/>
              </w:rPr>
              <w:t>Генеральная прокуратура Федерального округа</w:t>
            </w:r>
          </w:p>
        </w:tc>
        <w:tc>
          <w:tcPr>
            <w:tcW w:w="1068" w:type="dxa"/>
          </w:tcPr>
          <w:p w:rsidR="00000000" w:rsidRDefault="00000000">
            <w:pPr>
              <w:autoSpaceDE w:val="0"/>
              <w:autoSpaceDN w:val="0"/>
              <w:adjustRightInd w:val="0"/>
              <w:spacing w:line="240" w:lineRule="auto"/>
              <w:jc w:val="center"/>
              <w:rPr>
                <w:bCs/>
                <w:sz w:val="20"/>
              </w:rPr>
            </w:pPr>
            <w:r>
              <w:rPr>
                <w:bCs/>
                <w:iCs/>
                <w:sz w:val="20"/>
              </w:rPr>
              <w:t>Губернатор штата Мехико</w:t>
            </w: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Июнь-декабрь 1990 года</w:t>
            </w:r>
          </w:p>
        </w:tc>
        <w:tc>
          <w:tcPr>
            <w:tcW w:w="2296" w:type="dxa"/>
          </w:tcPr>
          <w:p w:rsidR="00000000" w:rsidRDefault="00000000">
            <w:pPr>
              <w:autoSpaceDE w:val="0"/>
              <w:autoSpaceDN w:val="0"/>
              <w:adjustRightInd w:val="0"/>
              <w:spacing w:line="240" w:lineRule="auto"/>
              <w:rPr>
                <w:sz w:val="20"/>
              </w:rPr>
            </w:pPr>
            <w:r>
              <w:rPr>
                <w:sz w:val="20"/>
              </w:rPr>
              <w:t>1/90, 3/90, 11/90, 29/90</w:t>
            </w:r>
          </w:p>
        </w:tc>
        <w:tc>
          <w:tcPr>
            <w:tcW w:w="1567" w:type="dxa"/>
          </w:tcPr>
          <w:p w:rsidR="00000000" w:rsidRDefault="00000000">
            <w:pPr>
              <w:autoSpaceDE w:val="0"/>
              <w:autoSpaceDN w:val="0"/>
              <w:adjustRightInd w:val="0"/>
              <w:spacing w:line="240" w:lineRule="auto"/>
              <w:rPr>
                <w:sz w:val="20"/>
              </w:rPr>
            </w:pPr>
          </w:p>
        </w:tc>
        <w:tc>
          <w:tcPr>
            <w:tcW w:w="1932" w:type="dxa"/>
          </w:tcPr>
          <w:p w:rsidR="00000000" w:rsidRDefault="00000000">
            <w:pPr>
              <w:autoSpaceDE w:val="0"/>
              <w:autoSpaceDN w:val="0"/>
              <w:adjustRightInd w:val="0"/>
              <w:spacing w:line="240" w:lineRule="auto"/>
              <w:rPr>
                <w:sz w:val="20"/>
              </w:rPr>
            </w:pPr>
          </w:p>
        </w:tc>
        <w:tc>
          <w:tcPr>
            <w:tcW w:w="1068" w:type="dxa"/>
          </w:tcPr>
          <w:p w:rsidR="00000000" w:rsidRDefault="00000000">
            <w:pPr>
              <w:autoSpaceDE w:val="0"/>
              <w:autoSpaceDN w:val="0"/>
              <w:adjustRightInd w:val="0"/>
              <w:spacing w:line="240" w:lineRule="auto"/>
              <w:rPr>
                <w:sz w:val="20"/>
              </w:rPr>
            </w:pP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Декабрь 1990 года -</w:t>
            </w:r>
          </w:p>
          <w:p w:rsidR="00000000" w:rsidRDefault="00000000">
            <w:pPr>
              <w:autoSpaceDE w:val="0"/>
              <w:autoSpaceDN w:val="0"/>
              <w:adjustRightInd w:val="0"/>
              <w:spacing w:line="240" w:lineRule="auto"/>
              <w:rPr>
                <w:sz w:val="20"/>
              </w:rPr>
            </w:pPr>
            <w:r>
              <w:rPr>
                <w:sz w:val="20"/>
              </w:rPr>
              <w:t>июнь 1991 года</w:t>
            </w:r>
          </w:p>
        </w:tc>
        <w:tc>
          <w:tcPr>
            <w:tcW w:w="2296" w:type="dxa"/>
          </w:tcPr>
          <w:p w:rsidR="00000000" w:rsidRDefault="00000000">
            <w:pPr>
              <w:autoSpaceDE w:val="0"/>
              <w:autoSpaceDN w:val="0"/>
              <w:adjustRightInd w:val="0"/>
              <w:spacing w:line="240" w:lineRule="auto"/>
              <w:rPr>
                <w:sz w:val="20"/>
              </w:rPr>
            </w:pPr>
            <w:r>
              <w:rPr>
                <w:sz w:val="20"/>
              </w:rPr>
              <w:t>34/90-</w:t>
            </w:r>
            <w:r>
              <w:rPr>
                <w:sz w:val="20"/>
                <w:lang w:val="fr-FR"/>
              </w:rPr>
              <w:t>A</w:t>
            </w:r>
            <w:r>
              <w:rPr>
                <w:sz w:val="20"/>
              </w:rPr>
              <w:t>, 1/91, 17/91, 24/91</w:t>
            </w:r>
          </w:p>
        </w:tc>
        <w:tc>
          <w:tcPr>
            <w:tcW w:w="1567" w:type="dxa"/>
          </w:tcPr>
          <w:p w:rsidR="00000000" w:rsidRDefault="00000000">
            <w:pPr>
              <w:autoSpaceDE w:val="0"/>
              <w:autoSpaceDN w:val="0"/>
              <w:adjustRightInd w:val="0"/>
              <w:spacing w:line="240" w:lineRule="auto"/>
              <w:rPr>
                <w:sz w:val="20"/>
              </w:rPr>
            </w:pPr>
          </w:p>
        </w:tc>
        <w:tc>
          <w:tcPr>
            <w:tcW w:w="1932" w:type="dxa"/>
          </w:tcPr>
          <w:p w:rsidR="00000000" w:rsidRDefault="00000000">
            <w:pPr>
              <w:autoSpaceDE w:val="0"/>
              <w:autoSpaceDN w:val="0"/>
              <w:adjustRightInd w:val="0"/>
              <w:spacing w:line="240" w:lineRule="auto"/>
              <w:rPr>
                <w:sz w:val="20"/>
                <w:lang w:val="fr-FR"/>
              </w:rPr>
            </w:pPr>
            <w:r>
              <w:rPr>
                <w:sz w:val="20"/>
                <w:lang w:val="fr-FR"/>
              </w:rPr>
              <w:t>15/91, 23/91</w:t>
            </w:r>
          </w:p>
        </w:tc>
        <w:tc>
          <w:tcPr>
            <w:tcW w:w="1068" w:type="dxa"/>
          </w:tcPr>
          <w:p w:rsidR="00000000" w:rsidRDefault="00000000">
            <w:pPr>
              <w:autoSpaceDE w:val="0"/>
              <w:autoSpaceDN w:val="0"/>
              <w:adjustRightInd w:val="0"/>
              <w:spacing w:line="240" w:lineRule="auto"/>
              <w:rPr>
                <w:sz w:val="20"/>
                <w:lang w:val="fr-FR"/>
              </w:rPr>
            </w:pPr>
            <w:r>
              <w:rPr>
                <w:sz w:val="20"/>
                <w:lang w:val="fr-FR"/>
              </w:rPr>
              <w:t>34/90-B</w:t>
            </w: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Июнь-декабрь 1991 года</w:t>
            </w:r>
          </w:p>
        </w:tc>
        <w:tc>
          <w:tcPr>
            <w:tcW w:w="2296" w:type="dxa"/>
          </w:tcPr>
          <w:p w:rsidR="00000000" w:rsidRDefault="00000000">
            <w:pPr>
              <w:autoSpaceDE w:val="0"/>
              <w:autoSpaceDN w:val="0"/>
              <w:adjustRightInd w:val="0"/>
              <w:spacing w:line="240" w:lineRule="auto"/>
              <w:rPr>
                <w:sz w:val="20"/>
              </w:rPr>
            </w:pPr>
            <w:r>
              <w:rPr>
                <w:sz w:val="20"/>
              </w:rPr>
              <w:t>59/91, 60/91, 64/91-</w:t>
            </w:r>
            <w:r>
              <w:rPr>
                <w:sz w:val="20"/>
                <w:lang w:val="en-US"/>
              </w:rPr>
              <w:t>A</w:t>
            </w:r>
            <w:r>
              <w:rPr>
                <w:sz w:val="20"/>
              </w:rPr>
              <w:t>, 65/91, 68/91, 73/91, 79/91, 94/91, 98/91-</w:t>
            </w:r>
            <w:r>
              <w:rPr>
                <w:sz w:val="20"/>
                <w:lang w:val="en-US"/>
              </w:rPr>
              <w:t>A</w:t>
            </w:r>
            <w:r>
              <w:rPr>
                <w:sz w:val="20"/>
              </w:rPr>
              <w:t>, 105/91, 111/91, 119/91, 122/91</w:t>
            </w:r>
          </w:p>
        </w:tc>
        <w:tc>
          <w:tcPr>
            <w:tcW w:w="1567" w:type="dxa"/>
          </w:tcPr>
          <w:p w:rsidR="00000000" w:rsidRDefault="00000000">
            <w:pPr>
              <w:autoSpaceDE w:val="0"/>
              <w:autoSpaceDN w:val="0"/>
              <w:adjustRightInd w:val="0"/>
              <w:spacing w:line="240" w:lineRule="auto"/>
              <w:rPr>
                <w:sz w:val="20"/>
                <w:lang w:val="en-US"/>
              </w:rPr>
            </w:pPr>
            <w:r>
              <w:rPr>
                <w:sz w:val="20"/>
                <w:lang w:val="en-US"/>
              </w:rPr>
              <w:t>70/91, 98/91-B</w:t>
            </w:r>
          </w:p>
          <w:p w:rsidR="00000000" w:rsidRDefault="00000000">
            <w:pPr>
              <w:autoSpaceDE w:val="0"/>
              <w:autoSpaceDN w:val="0"/>
              <w:adjustRightInd w:val="0"/>
              <w:spacing w:line="240" w:lineRule="auto"/>
              <w:rPr>
                <w:sz w:val="20"/>
                <w:lang w:val="en-US"/>
              </w:rPr>
            </w:pPr>
          </w:p>
        </w:tc>
        <w:tc>
          <w:tcPr>
            <w:tcW w:w="1932" w:type="dxa"/>
          </w:tcPr>
          <w:p w:rsidR="00000000" w:rsidRDefault="00000000">
            <w:pPr>
              <w:autoSpaceDE w:val="0"/>
              <w:autoSpaceDN w:val="0"/>
              <w:adjustRightInd w:val="0"/>
              <w:spacing w:line="240" w:lineRule="auto"/>
              <w:rPr>
                <w:sz w:val="20"/>
                <w:lang w:val="en-US"/>
              </w:rPr>
            </w:pPr>
            <w:r>
              <w:rPr>
                <w:sz w:val="20"/>
                <w:lang w:val="en-US"/>
              </w:rPr>
              <w:t>89/91-A</w:t>
            </w:r>
          </w:p>
        </w:tc>
        <w:tc>
          <w:tcPr>
            <w:tcW w:w="1068" w:type="dxa"/>
          </w:tcPr>
          <w:p w:rsidR="00000000" w:rsidRDefault="00000000">
            <w:pPr>
              <w:autoSpaceDE w:val="0"/>
              <w:autoSpaceDN w:val="0"/>
              <w:adjustRightInd w:val="0"/>
              <w:spacing w:line="240" w:lineRule="auto"/>
              <w:rPr>
                <w:sz w:val="20"/>
                <w:lang w:val="fr-FR"/>
              </w:rPr>
            </w:pPr>
            <w:r>
              <w:rPr>
                <w:sz w:val="20"/>
                <w:lang w:val="fr-FR"/>
              </w:rPr>
              <w:t>106/91, 124/91-A</w:t>
            </w: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Декабрь 1991 года - июнь 1992 года</w:t>
            </w:r>
          </w:p>
        </w:tc>
        <w:tc>
          <w:tcPr>
            <w:tcW w:w="2296" w:type="dxa"/>
          </w:tcPr>
          <w:p w:rsidR="00000000" w:rsidRDefault="00000000">
            <w:pPr>
              <w:autoSpaceDE w:val="0"/>
              <w:autoSpaceDN w:val="0"/>
              <w:adjustRightInd w:val="0"/>
              <w:spacing w:line="240" w:lineRule="auto"/>
              <w:rPr>
                <w:sz w:val="20"/>
                <w:lang w:val="en-US"/>
              </w:rPr>
            </w:pPr>
            <w:r>
              <w:rPr>
                <w:sz w:val="20"/>
                <w:lang w:val="en-US"/>
              </w:rPr>
              <w:t>130/91, 2/92, 27/92, 28/92</w:t>
            </w:r>
            <w:r>
              <w:rPr>
                <w:sz w:val="20"/>
                <w:lang w:val="en-US"/>
              </w:rPr>
              <w:noBreakHyphen/>
              <w:t>B, 32/92-A, 35/92, 42/92,48/92, 57/92-A, 67/92, 72/92, 78/92, 87/92, 91/92</w:t>
            </w:r>
          </w:p>
        </w:tc>
        <w:tc>
          <w:tcPr>
            <w:tcW w:w="1567" w:type="dxa"/>
          </w:tcPr>
          <w:p w:rsidR="00000000" w:rsidRDefault="00000000">
            <w:pPr>
              <w:autoSpaceDE w:val="0"/>
              <w:autoSpaceDN w:val="0"/>
              <w:adjustRightInd w:val="0"/>
              <w:spacing w:line="240" w:lineRule="auto"/>
              <w:rPr>
                <w:sz w:val="20"/>
                <w:lang w:val="en-US"/>
              </w:rPr>
            </w:pPr>
          </w:p>
        </w:tc>
        <w:tc>
          <w:tcPr>
            <w:tcW w:w="1932" w:type="dxa"/>
          </w:tcPr>
          <w:p w:rsidR="00000000" w:rsidRDefault="00000000">
            <w:pPr>
              <w:autoSpaceDE w:val="0"/>
              <w:autoSpaceDN w:val="0"/>
              <w:adjustRightInd w:val="0"/>
              <w:spacing w:line="240" w:lineRule="auto"/>
              <w:rPr>
                <w:sz w:val="20"/>
                <w:lang w:val="fr-FR"/>
              </w:rPr>
            </w:pPr>
            <w:r>
              <w:rPr>
                <w:sz w:val="20"/>
                <w:lang w:val="fr-FR"/>
              </w:rPr>
              <w:t>12/92, 28/92-C</w:t>
            </w:r>
          </w:p>
        </w:tc>
        <w:tc>
          <w:tcPr>
            <w:tcW w:w="1068" w:type="dxa"/>
          </w:tcPr>
          <w:p w:rsidR="00000000" w:rsidRDefault="00000000">
            <w:pPr>
              <w:autoSpaceDE w:val="0"/>
              <w:autoSpaceDN w:val="0"/>
              <w:adjustRightInd w:val="0"/>
              <w:spacing w:line="240" w:lineRule="auto"/>
              <w:rPr>
                <w:sz w:val="20"/>
                <w:lang w:val="fr-FR"/>
              </w:rPr>
            </w:pPr>
            <w:r>
              <w:rPr>
                <w:sz w:val="20"/>
                <w:lang w:val="fr-FR"/>
              </w:rPr>
              <w:t>15/92, 32/92</w:t>
            </w:r>
            <w:r>
              <w:rPr>
                <w:sz w:val="20"/>
              </w:rPr>
              <w:noBreakHyphen/>
            </w:r>
            <w:r>
              <w:rPr>
                <w:sz w:val="20"/>
                <w:lang w:val="fr-FR"/>
              </w:rPr>
              <w:t>B</w:t>
            </w: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Май 1992 года - май 1993 года</w:t>
            </w:r>
          </w:p>
        </w:tc>
        <w:tc>
          <w:tcPr>
            <w:tcW w:w="2296" w:type="dxa"/>
          </w:tcPr>
          <w:p w:rsidR="00000000" w:rsidRDefault="00000000">
            <w:pPr>
              <w:autoSpaceDE w:val="0"/>
              <w:autoSpaceDN w:val="0"/>
              <w:adjustRightInd w:val="0"/>
              <w:spacing w:line="240" w:lineRule="auto"/>
              <w:rPr>
                <w:sz w:val="20"/>
              </w:rPr>
            </w:pPr>
            <w:r>
              <w:rPr>
                <w:sz w:val="20"/>
              </w:rPr>
              <w:t>161/92, 173/92, 177/92, 183/92, 205/92, 209/92, 212/92, 225/92, 226/92, 251/92, 2/93, 11/93, 23/93</w:t>
            </w:r>
          </w:p>
        </w:tc>
        <w:tc>
          <w:tcPr>
            <w:tcW w:w="1567" w:type="dxa"/>
          </w:tcPr>
          <w:p w:rsidR="00000000" w:rsidRDefault="00000000">
            <w:pPr>
              <w:autoSpaceDE w:val="0"/>
              <w:autoSpaceDN w:val="0"/>
              <w:adjustRightInd w:val="0"/>
              <w:spacing w:line="240" w:lineRule="auto"/>
              <w:rPr>
                <w:sz w:val="20"/>
              </w:rPr>
            </w:pPr>
          </w:p>
        </w:tc>
        <w:tc>
          <w:tcPr>
            <w:tcW w:w="1932" w:type="dxa"/>
          </w:tcPr>
          <w:p w:rsidR="00000000" w:rsidRDefault="00000000">
            <w:pPr>
              <w:autoSpaceDE w:val="0"/>
              <w:autoSpaceDN w:val="0"/>
              <w:adjustRightInd w:val="0"/>
              <w:spacing w:line="240" w:lineRule="auto"/>
              <w:rPr>
                <w:sz w:val="20"/>
              </w:rPr>
            </w:pPr>
          </w:p>
        </w:tc>
        <w:tc>
          <w:tcPr>
            <w:tcW w:w="1068" w:type="dxa"/>
          </w:tcPr>
          <w:p w:rsidR="00000000" w:rsidRDefault="00000000">
            <w:pPr>
              <w:autoSpaceDE w:val="0"/>
              <w:autoSpaceDN w:val="0"/>
              <w:adjustRightInd w:val="0"/>
              <w:spacing w:line="240" w:lineRule="auto"/>
              <w:rPr>
                <w:sz w:val="20"/>
                <w:lang w:val="fr-FR"/>
              </w:rPr>
            </w:pPr>
            <w:r>
              <w:rPr>
                <w:sz w:val="20"/>
                <w:lang w:val="fr-FR"/>
              </w:rPr>
              <w:t>109/92, 116/92, 148/92,</w:t>
            </w: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Май 1993 год  -</w:t>
            </w:r>
          </w:p>
          <w:p w:rsidR="00000000" w:rsidRDefault="00000000">
            <w:pPr>
              <w:autoSpaceDE w:val="0"/>
              <w:autoSpaceDN w:val="0"/>
              <w:adjustRightInd w:val="0"/>
              <w:spacing w:line="240" w:lineRule="auto"/>
              <w:rPr>
                <w:sz w:val="20"/>
              </w:rPr>
            </w:pPr>
            <w:r>
              <w:rPr>
                <w:sz w:val="20"/>
              </w:rPr>
              <w:t>май 1994 года</w:t>
            </w:r>
          </w:p>
        </w:tc>
        <w:tc>
          <w:tcPr>
            <w:tcW w:w="2296" w:type="dxa"/>
          </w:tcPr>
          <w:p w:rsidR="00000000" w:rsidRDefault="00000000">
            <w:pPr>
              <w:autoSpaceDE w:val="0"/>
              <w:autoSpaceDN w:val="0"/>
              <w:adjustRightInd w:val="0"/>
              <w:spacing w:line="240" w:lineRule="auto"/>
              <w:rPr>
                <w:sz w:val="20"/>
              </w:rPr>
            </w:pPr>
            <w:r>
              <w:rPr>
                <w:sz w:val="20"/>
              </w:rPr>
              <w:t>123/93, 124/93, 176/93-</w:t>
            </w:r>
            <w:r>
              <w:rPr>
                <w:sz w:val="20"/>
                <w:lang w:val="en-US"/>
              </w:rPr>
              <w:t>B</w:t>
            </w:r>
            <w:r>
              <w:rPr>
                <w:sz w:val="20"/>
              </w:rPr>
              <w:t>, 178/93, 190/93, 4/94, 5/94, 14/94, 18/94, 19/94-</w:t>
            </w:r>
            <w:r>
              <w:rPr>
                <w:sz w:val="20"/>
                <w:lang w:val="en-US"/>
              </w:rPr>
              <w:t>B</w:t>
            </w:r>
            <w:r>
              <w:rPr>
                <w:sz w:val="20"/>
              </w:rPr>
              <w:t>, 20/94, 26/94, 27/94, 35/94</w:t>
            </w:r>
            <w:r>
              <w:rPr>
                <w:sz w:val="20"/>
              </w:rPr>
              <w:noBreakHyphen/>
            </w:r>
            <w:r>
              <w:rPr>
                <w:sz w:val="20"/>
                <w:lang w:val="en-US"/>
              </w:rPr>
              <w:t>A</w:t>
            </w:r>
            <w:r>
              <w:rPr>
                <w:sz w:val="20"/>
              </w:rPr>
              <w:t>, 40/94, 41/94, 74/94, 74/95-</w:t>
            </w:r>
            <w:r>
              <w:rPr>
                <w:sz w:val="20"/>
                <w:lang w:val="en-US"/>
              </w:rPr>
              <w:t>A</w:t>
            </w:r>
          </w:p>
        </w:tc>
        <w:tc>
          <w:tcPr>
            <w:tcW w:w="1567" w:type="dxa"/>
          </w:tcPr>
          <w:p w:rsidR="00000000" w:rsidRDefault="00000000">
            <w:pPr>
              <w:autoSpaceDE w:val="0"/>
              <w:autoSpaceDN w:val="0"/>
              <w:adjustRightInd w:val="0"/>
              <w:spacing w:line="240" w:lineRule="auto"/>
              <w:rPr>
                <w:sz w:val="20"/>
                <w:lang w:val="en-US"/>
              </w:rPr>
            </w:pPr>
            <w:r>
              <w:rPr>
                <w:sz w:val="20"/>
                <w:lang w:val="en-US"/>
              </w:rPr>
              <w:t>143/93, 185/93</w:t>
            </w:r>
          </w:p>
        </w:tc>
        <w:tc>
          <w:tcPr>
            <w:tcW w:w="1932" w:type="dxa"/>
          </w:tcPr>
          <w:p w:rsidR="00000000" w:rsidRDefault="00000000">
            <w:pPr>
              <w:autoSpaceDE w:val="0"/>
              <w:autoSpaceDN w:val="0"/>
              <w:adjustRightInd w:val="0"/>
              <w:spacing w:line="240" w:lineRule="auto"/>
              <w:rPr>
                <w:sz w:val="20"/>
                <w:lang w:val="fr-FR"/>
              </w:rPr>
            </w:pPr>
            <w:r>
              <w:rPr>
                <w:sz w:val="20"/>
                <w:lang w:val="fr-FR"/>
              </w:rPr>
              <w:t>18/93, 28/94, 32/94, 35/94-B,</w:t>
            </w:r>
            <w:r>
              <w:rPr>
                <w:sz w:val="20"/>
              </w:rPr>
              <w:t xml:space="preserve"> </w:t>
            </w:r>
            <w:r>
              <w:rPr>
                <w:sz w:val="20"/>
                <w:lang w:val="fr-FR"/>
              </w:rPr>
              <w:t>68/94</w:t>
            </w:r>
          </w:p>
        </w:tc>
        <w:tc>
          <w:tcPr>
            <w:tcW w:w="1068" w:type="dxa"/>
          </w:tcPr>
          <w:p w:rsidR="00000000" w:rsidRDefault="00000000">
            <w:pPr>
              <w:autoSpaceDE w:val="0"/>
              <w:autoSpaceDN w:val="0"/>
              <w:adjustRightInd w:val="0"/>
              <w:spacing w:line="240" w:lineRule="auto"/>
              <w:rPr>
                <w:sz w:val="20"/>
                <w:lang w:val="fr-FR"/>
              </w:rPr>
            </w:pP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Май 1994 года -</w:t>
            </w:r>
          </w:p>
          <w:p w:rsidR="00000000" w:rsidRDefault="00000000">
            <w:pPr>
              <w:autoSpaceDE w:val="0"/>
              <w:autoSpaceDN w:val="0"/>
              <w:adjustRightInd w:val="0"/>
              <w:spacing w:line="240" w:lineRule="auto"/>
              <w:rPr>
                <w:sz w:val="20"/>
              </w:rPr>
            </w:pPr>
            <w:r>
              <w:rPr>
                <w:sz w:val="20"/>
              </w:rPr>
              <w:t>май 1995 года</w:t>
            </w:r>
          </w:p>
        </w:tc>
        <w:tc>
          <w:tcPr>
            <w:tcW w:w="2296" w:type="dxa"/>
          </w:tcPr>
          <w:p w:rsidR="00000000" w:rsidRDefault="00000000">
            <w:pPr>
              <w:autoSpaceDE w:val="0"/>
              <w:autoSpaceDN w:val="0"/>
              <w:adjustRightInd w:val="0"/>
              <w:spacing w:line="240" w:lineRule="auto"/>
              <w:rPr>
                <w:sz w:val="20"/>
              </w:rPr>
            </w:pPr>
          </w:p>
        </w:tc>
        <w:tc>
          <w:tcPr>
            <w:tcW w:w="1567" w:type="dxa"/>
          </w:tcPr>
          <w:p w:rsidR="00000000" w:rsidRDefault="00000000">
            <w:pPr>
              <w:autoSpaceDE w:val="0"/>
              <w:autoSpaceDN w:val="0"/>
              <w:adjustRightInd w:val="0"/>
              <w:spacing w:line="240" w:lineRule="auto"/>
              <w:rPr>
                <w:sz w:val="20"/>
              </w:rPr>
            </w:pPr>
          </w:p>
        </w:tc>
        <w:tc>
          <w:tcPr>
            <w:tcW w:w="1932" w:type="dxa"/>
          </w:tcPr>
          <w:p w:rsidR="00000000" w:rsidRDefault="00000000">
            <w:pPr>
              <w:autoSpaceDE w:val="0"/>
              <w:autoSpaceDN w:val="0"/>
              <w:adjustRightInd w:val="0"/>
              <w:spacing w:line="240" w:lineRule="auto"/>
              <w:rPr>
                <w:sz w:val="20"/>
                <w:lang w:val="fr-FR"/>
              </w:rPr>
            </w:pPr>
            <w:r>
              <w:rPr>
                <w:sz w:val="20"/>
                <w:lang w:val="fr-FR"/>
              </w:rPr>
              <w:t>94/94</w:t>
            </w:r>
          </w:p>
        </w:tc>
        <w:tc>
          <w:tcPr>
            <w:tcW w:w="1068" w:type="dxa"/>
          </w:tcPr>
          <w:p w:rsidR="00000000" w:rsidRDefault="00000000">
            <w:pPr>
              <w:autoSpaceDE w:val="0"/>
              <w:autoSpaceDN w:val="0"/>
              <w:adjustRightInd w:val="0"/>
              <w:spacing w:line="240" w:lineRule="auto"/>
              <w:rPr>
                <w:sz w:val="20"/>
                <w:lang w:val="fr-FR"/>
              </w:rPr>
            </w:pP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Май 1995 года -</w:t>
            </w:r>
          </w:p>
          <w:p w:rsidR="00000000" w:rsidRDefault="00000000">
            <w:pPr>
              <w:autoSpaceDE w:val="0"/>
              <w:autoSpaceDN w:val="0"/>
              <w:adjustRightInd w:val="0"/>
              <w:spacing w:line="240" w:lineRule="auto"/>
              <w:rPr>
                <w:sz w:val="20"/>
              </w:rPr>
            </w:pPr>
            <w:r>
              <w:rPr>
                <w:sz w:val="20"/>
              </w:rPr>
              <w:t>май 1996 года</w:t>
            </w:r>
          </w:p>
        </w:tc>
        <w:tc>
          <w:tcPr>
            <w:tcW w:w="2296" w:type="dxa"/>
          </w:tcPr>
          <w:p w:rsidR="00000000" w:rsidRDefault="00000000">
            <w:pPr>
              <w:autoSpaceDE w:val="0"/>
              <w:autoSpaceDN w:val="0"/>
              <w:adjustRightInd w:val="0"/>
              <w:spacing w:line="240" w:lineRule="auto"/>
              <w:rPr>
                <w:sz w:val="20"/>
              </w:rPr>
            </w:pPr>
            <w:r>
              <w:rPr>
                <w:sz w:val="20"/>
              </w:rPr>
              <w:t>95/95, 121/95-</w:t>
            </w:r>
            <w:r>
              <w:rPr>
                <w:sz w:val="20"/>
                <w:lang w:val="fr-FR"/>
              </w:rPr>
              <w:t>C</w:t>
            </w:r>
            <w:r>
              <w:rPr>
                <w:sz w:val="20"/>
              </w:rPr>
              <w:t>, 13/96-</w:t>
            </w:r>
            <w:r>
              <w:rPr>
                <w:sz w:val="20"/>
                <w:lang w:val="fr-FR"/>
              </w:rPr>
              <w:t>B</w:t>
            </w:r>
          </w:p>
        </w:tc>
        <w:tc>
          <w:tcPr>
            <w:tcW w:w="1567" w:type="dxa"/>
          </w:tcPr>
          <w:p w:rsidR="00000000" w:rsidRDefault="00000000">
            <w:pPr>
              <w:autoSpaceDE w:val="0"/>
              <w:autoSpaceDN w:val="0"/>
              <w:adjustRightInd w:val="0"/>
              <w:spacing w:line="240" w:lineRule="auto"/>
              <w:rPr>
                <w:sz w:val="20"/>
                <w:lang w:val="en-US"/>
              </w:rPr>
            </w:pPr>
            <w:r>
              <w:rPr>
                <w:sz w:val="20"/>
                <w:lang w:val="en-US"/>
              </w:rPr>
              <w:t>97/94-B, 122/94, 9/95-B, 15/95, 33/95, 50/95-A, 53/95, 57/95</w:t>
            </w:r>
          </w:p>
        </w:tc>
        <w:tc>
          <w:tcPr>
            <w:tcW w:w="1932" w:type="dxa"/>
          </w:tcPr>
          <w:p w:rsidR="00000000" w:rsidRDefault="00000000">
            <w:pPr>
              <w:autoSpaceDE w:val="0"/>
              <w:autoSpaceDN w:val="0"/>
              <w:adjustRightInd w:val="0"/>
              <w:spacing w:line="240" w:lineRule="auto"/>
              <w:rPr>
                <w:sz w:val="20"/>
                <w:lang w:val="en-US"/>
              </w:rPr>
            </w:pPr>
          </w:p>
        </w:tc>
        <w:tc>
          <w:tcPr>
            <w:tcW w:w="1068" w:type="dxa"/>
          </w:tcPr>
          <w:p w:rsidR="00000000" w:rsidRDefault="00000000">
            <w:pPr>
              <w:autoSpaceDE w:val="0"/>
              <w:autoSpaceDN w:val="0"/>
              <w:adjustRightInd w:val="0"/>
              <w:spacing w:line="240" w:lineRule="auto"/>
              <w:rPr>
                <w:sz w:val="20"/>
                <w:lang w:val="fr-FR"/>
              </w:rPr>
            </w:pPr>
            <w:r>
              <w:rPr>
                <w:sz w:val="20"/>
                <w:lang w:val="fr-FR"/>
              </w:rPr>
              <w:t>13/96-A</w:t>
            </w: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Май 1996 года - май 1997 года</w:t>
            </w:r>
          </w:p>
        </w:tc>
        <w:tc>
          <w:tcPr>
            <w:tcW w:w="2296" w:type="dxa"/>
          </w:tcPr>
          <w:p w:rsidR="00000000" w:rsidRDefault="00000000">
            <w:pPr>
              <w:autoSpaceDE w:val="0"/>
              <w:autoSpaceDN w:val="0"/>
              <w:adjustRightInd w:val="0"/>
              <w:spacing w:line="240" w:lineRule="auto"/>
              <w:rPr>
                <w:sz w:val="20"/>
                <w:lang w:val="fr-FR"/>
              </w:rPr>
            </w:pPr>
            <w:r>
              <w:rPr>
                <w:sz w:val="20"/>
                <w:lang w:val="fr-FR"/>
              </w:rPr>
              <w:t>106/96-B, 4/97</w:t>
            </w:r>
          </w:p>
        </w:tc>
        <w:tc>
          <w:tcPr>
            <w:tcW w:w="1567" w:type="dxa"/>
          </w:tcPr>
          <w:p w:rsidR="00000000" w:rsidRDefault="00000000">
            <w:pPr>
              <w:autoSpaceDE w:val="0"/>
              <w:autoSpaceDN w:val="0"/>
              <w:adjustRightInd w:val="0"/>
              <w:spacing w:line="240" w:lineRule="auto"/>
              <w:rPr>
                <w:sz w:val="20"/>
                <w:lang w:val="fr-FR"/>
              </w:rPr>
            </w:pPr>
            <w:r>
              <w:rPr>
                <w:sz w:val="20"/>
                <w:lang w:val="fr-FR"/>
              </w:rPr>
              <w:t>31/97, 32/97</w:t>
            </w:r>
          </w:p>
        </w:tc>
        <w:tc>
          <w:tcPr>
            <w:tcW w:w="1932" w:type="dxa"/>
          </w:tcPr>
          <w:p w:rsidR="00000000" w:rsidRDefault="00000000">
            <w:pPr>
              <w:autoSpaceDE w:val="0"/>
              <w:autoSpaceDN w:val="0"/>
              <w:adjustRightInd w:val="0"/>
              <w:spacing w:line="240" w:lineRule="auto"/>
              <w:rPr>
                <w:sz w:val="20"/>
                <w:lang w:val="fr-FR"/>
              </w:rPr>
            </w:pPr>
          </w:p>
        </w:tc>
        <w:tc>
          <w:tcPr>
            <w:tcW w:w="1068" w:type="dxa"/>
          </w:tcPr>
          <w:p w:rsidR="00000000" w:rsidRDefault="00000000">
            <w:pPr>
              <w:autoSpaceDE w:val="0"/>
              <w:autoSpaceDN w:val="0"/>
              <w:adjustRightInd w:val="0"/>
              <w:spacing w:line="240" w:lineRule="auto"/>
              <w:rPr>
                <w:sz w:val="20"/>
                <w:lang w:val="fr-FR"/>
              </w:rPr>
            </w:pP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Май-декабрь 1997 года</w:t>
            </w:r>
          </w:p>
        </w:tc>
        <w:tc>
          <w:tcPr>
            <w:tcW w:w="2296" w:type="dxa"/>
          </w:tcPr>
          <w:p w:rsidR="00000000" w:rsidRDefault="00000000">
            <w:pPr>
              <w:autoSpaceDE w:val="0"/>
              <w:autoSpaceDN w:val="0"/>
              <w:adjustRightInd w:val="0"/>
              <w:spacing w:line="240" w:lineRule="auto"/>
              <w:rPr>
                <w:sz w:val="20"/>
              </w:rPr>
            </w:pPr>
            <w:r>
              <w:rPr>
                <w:sz w:val="20"/>
              </w:rPr>
              <w:t>69/97</w:t>
            </w:r>
          </w:p>
        </w:tc>
        <w:tc>
          <w:tcPr>
            <w:tcW w:w="1567" w:type="dxa"/>
          </w:tcPr>
          <w:p w:rsidR="00000000" w:rsidRDefault="00000000">
            <w:pPr>
              <w:autoSpaceDE w:val="0"/>
              <w:autoSpaceDN w:val="0"/>
              <w:adjustRightInd w:val="0"/>
              <w:spacing w:line="240" w:lineRule="auto"/>
              <w:rPr>
                <w:sz w:val="20"/>
                <w:lang w:val="fr-FR"/>
              </w:rPr>
            </w:pPr>
            <w:r>
              <w:rPr>
                <w:sz w:val="20"/>
                <w:lang w:val="fr-FR"/>
              </w:rPr>
              <w:t>85/97, 86/97,</w:t>
            </w:r>
            <w:r>
              <w:rPr>
                <w:sz w:val="20"/>
              </w:rPr>
              <w:t xml:space="preserve"> </w:t>
            </w:r>
            <w:r>
              <w:rPr>
                <w:sz w:val="20"/>
                <w:lang w:val="fr-FR"/>
              </w:rPr>
              <w:t>96/97, 100/97</w:t>
            </w:r>
          </w:p>
        </w:tc>
        <w:tc>
          <w:tcPr>
            <w:tcW w:w="1932" w:type="dxa"/>
          </w:tcPr>
          <w:p w:rsidR="00000000" w:rsidRDefault="00000000">
            <w:pPr>
              <w:autoSpaceDE w:val="0"/>
              <w:autoSpaceDN w:val="0"/>
              <w:adjustRightInd w:val="0"/>
              <w:spacing w:line="240" w:lineRule="auto"/>
              <w:rPr>
                <w:sz w:val="20"/>
                <w:lang w:val="fr-FR"/>
              </w:rPr>
            </w:pPr>
          </w:p>
        </w:tc>
        <w:tc>
          <w:tcPr>
            <w:tcW w:w="1068" w:type="dxa"/>
          </w:tcPr>
          <w:p w:rsidR="00000000" w:rsidRDefault="00000000">
            <w:pPr>
              <w:autoSpaceDE w:val="0"/>
              <w:autoSpaceDN w:val="0"/>
              <w:adjustRightInd w:val="0"/>
              <w:spacing w:line="240" w:lineRule="auto"/>
              <w:rPr>
                <w:sz w:val="20"/>
                <w:lang w:val="fr-FR"/>
              </w:rPr>
            </w:pP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Январь 1998 года -</w:t>
            </w:r>
          </w:p>
          <w:p w:rsidR="00000000" w:rsidRDefault="00000000">
            <w:pPr>
              <w:autoSpaceDE w:val="0"/>
              <w:autoSpaceDN w:val="0"/>
              <w:adjustRightInd w:val="0"/>
              <w:spacing w:line="240" w:lineRule="auto"/>
              <w:rPr>
                <w:sz w:val="20"/>
              </w:rPr>
            </w:pPr>
            <w:r>
              <w:rPr>
                <w:sz w:val="20"/>
              </w:rPr>
              <w:t>декабрь 1998 года</w:t>
            </w:r>
          </w:p>
        </w:tc>
        <w:tc>
          <w:tcPr>
            <w:tcW w:w="2296" w:type="dxa"/>
          </w:tcPr>
          <w:p w:rsidR="00000000" w:rsidRDefault="00000000">
            <w:pPr>
              <w:autoSpaceDE w:val="0"/>
              <w:autoSpaceDN w:val="0"/>
              <w:adjustRightInd w:val="0"/>
              <w:spacing w:line="240" w:lineRule="auto"/>
              <w:rPr>
                <w:sz w:val="20"/>
              </w:rPr>
            </w:pPr>
            <w:r>
              <w:rPr>
                <w:sz w:val="20"/>
              </w:rPr>
              <w:t>17/98 и 88/98</w:t>
            </w:r>
          </w:p>
        </w:tc>
        <w:tc>
          <w:tcPr>
            <w:tcW w:w="1567" w:type="dxa"/>
          </w:tcPr>
          <w:p w:rsidR="00000000" w:rsidRDefault="00000000">
            <w:pPr>
              <w:autoSpaceDE w:val="0"/>
              <w:autoSpaceDN w:val="0"/>
              <w:adjustRightInd w:val="0"/>
              <w:spacing w:line="240" w:lineRule="auto"/>
              <w:rPr>
                <w:sz w:val="20"/>
              </w:rPr>
            </w:pPr>
          </w:p>
        </w:tc>
        <w:tc>
          <w:tcPr>
            <w:tcW w:w="1932" w:type="dxa"/>
          </w:tcPr>
          <w:p w:rsidR="00000000" w:rsidRDefault="00000000">
            <w:pPr>
              <w:autoSpaceDE w:val="0"/>
              <w:autoSpaceDN w:val="0"/>
              <w:adjustRightInd w:val="0"/>
              <w:spacing w:line="240" w:lineRule="auto"/>
              <w:rPr>
                <w:sz w:val="20"/>
              </w:rPr>
            </w:pPr>
          </w:p>
        </w:tc>
        <w:tc>
          <w:tcPr>
            <w:tcW w:w="1068" w:type="dxa"/>
          </w:tcPr>
          <w:p w:rsidR="00000000" w:rsidRDefault="00000000">
            <w:pPr>
              <w:autoSpaceDE w:val="0"/>
              <w:autoSpaceDN w:val="0"/>
              <w:adjustRightInd w:val="0"/>
              <w:spacing w:line="240" w:lineRule="auto"/>
              <w:rPr>
                <w:sz w:val="20"/>
              </w:rPr>
            </w:pP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 xml:space="preserve">Январь - </w:t>
            </w:r>
          </w:p>
          <w:p w:rsidR="00000000" w:rsidRDefault="00000000">
            <w:pPr>
              <w:autoSpaceDE w:val="0"/>
              <w:autoSpaceDN w:val="0"/>
              <w:adjustRightInd w:val="0"/>
              <w:spacing w:line="240" w:lineRule="auto"/>
              <w:rPr>
                <w:sz w:val="20"/>
              </w:rPr>
            </w:pPr>
            <w:r>
              <w:rPr>
                <w:sz w:val="20"/>
              </w:rPr>
              <w:t>15 ноября 1999</w:t>
            </w:r>
            <w:r>
              <w:rPr>
                <w:sz w:val="20"/>
                <w:lang w:val="en-US"/>
              </w:rPr>
              <w:t> </w:t>
            </w:r>
            <w:r>
              <w:rPr>
                <w:sz w:val="20"/>
              </w:rPr>
              <w:t>года</w:t>
            </w:r>
          </w:p>
        </w:tc>
        <w:tc>
          <w:tcPr>
            <w:tcW w:w="2296" w:type="dxa"/>
          </w:tcPr>
          <w:p w:rsidR="00000000" w:rsidRDefault="00000000">
            <w:pPr>
              <w:autoSpaceDE w:val="0"/>
              <w:autoSpaceDN w:val="0"/>
              <w:adjustRightInd w:val="0"/>
              <w:spacing w:line="240" w:lineRule="auto"/>
              <w:rPr>
                <w:sz w:val="20"/>
              </w:rPr>
            </w:pPr>
          </w:p>
        </w:tc>
        <w:tc>
          <w:tcPr>
            <w:tcW w:w="1567" w:type="dxa"/>
          </w:tcPr>
          <w:p w:rsidR="00000000" w:rsidRDefault="00000000">
            <w:pPr>
              <w:autoSpaceDE w:val="0"/>
              <w:autoSpaceDN w:val="0"/>
              <w:adjustRightInd w:val="0"/>
              <w:spacing w:line="240" w:lineRule="auto"/>
              <w:rPr>
                <w:sz w:val="20"/>
                <w:lang w:val="fr-FR"/>
              </w:rPr>
            </w:pPr>
            <w:r>
              <w:rPr>
                <w:sz w:val="20"/>
                <w:lang w:val="fr-FR"/>
              </w:rPr>
              <w:t>87/99</w:t>
            </w:r>
          </w:p>
          <w:p w:rsidR="00000000" w:rsidRDefault="00000000">
            <w:pPr>
              <w:autoSpaceDE w:val="0"/>
              <w:autoSpaceDN w:val="0"/>
              <w:adjustRightInd w:val="0"/>
              <w:spacing w:line="240" w:lineRule="auto"/>
              <w:rPr>
                <w:sz w:val="20"/>
                <w:lang w:val="fr-FR"/>
              </w:rPr>
            </w:pPr>
          </w:p>
        </w:tc>
        <w:tc>
          <w:tcPr>
            <w:tcW w:w="1932" w:type="dxa"/>
          </w:tcPr>
          <w:p w:rsidR="00000000" w:rsidRDefault="00000000">
            <w:pPr>
              <w:autoSpaceDE w:val="0"/>
              <w:autoSpaceDN w:val="0"/>
              <w:adjustRightInd w:val="0"/>
              <w:spacing w:line="240" w:lineRule="auto"/>
              <w:rPr>
                <w:sz w:val="20"/>
                <w:lang w:val="fr-FR"/>
              </w:rPr>
            </w:pPr>
          </w:p>
        </w:tc>
        <w:tc>
          <w:tcPr>
            <w:tcW w:w="1068" w:type="dxa"/>
          </w:tcPr>
          <w:p w:rsidR="00000000" w:rsidRDefault="00000000">
            <w:pPr>
              <w:autoSpaceDE w:val="0"/>
              <w:autoSpaceDN w:val="0"/>
              <w:adjustRightInd w:val="0"/>
              <w:spacing w:line="240" w:lineRule="auto"/>
              <w:rPr>
                <w:sz w:val="20"/>
                <w:lang w:val="fr-FR"/>
              </w:rPr>
            </w:pP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16 ноября 1999</w:t>
            </w:r>
            <w:r>
              <w:rPr>
                <w:sz w:val="20"/>
                <w:lang w:val="en-US"/>
              </w:rPr>
              <w:t> </w:t>
            </w:r>
            <w:r>
              <w:rPr>
                <w:sz w:val="20"/>
              </w:rPr>
              <w:t>года - 15 ноября 2000 года</w:t>
            </w:r>
          </w:p>
        </w:tc>
        <w:tc>
          <w:tcPr>
            <w:tcW w:w="2296" w:type="dxa"/>
          </w:tcPr>
          <w:p w:rsidR="00000000" w:rsidRDefault="00000000">
            <w:pPr>
              <w:autoSpaceDE w:val="0"/>
              <w:autoSpaceDN w:val="0"/>
              <w:adjustRightInd w:val="0"/>
              <w:spacing w:line="240" w:lineRule="auto"/>
              <w:rPr>
                <w:sz w:val="20"/>
              </w:rPr>
            </w:pPr>
            <w:r>
              <w:rPr>
                <w:sz w:val="20"/>
              </w:rPr>
              <w:t>19/00</w:t>
            </w:r>
          </w:p>
        </w:tc>
        <w:tc>
          <w:tcPr>
            <w:tcW w:w="1567" w:type="dxa"/>
          </w:tcPr>
          <w:p w:rsidR="00000000" w:rsidRDefault="00000000">
            <w:pPr>
              <w:autoSpaceDE w:val="0"/>
              <w:autoSpaceDN w:val="0"/>
              <w:adjustRightInd w:val="0"/>
              <w:spacing w:line="240" w:lineRule="auto"/>
              <w:rPr>
                <w:sz w:val="20"/>
              </w:rPr>
            </w:pPr>
          </w:p>
        </w:tc>
        <w:tc>
          <w:tcPr>
            <w:tcW w:w="1932" w:type="dxa"/>
          </w:tcPr>
          <w:p w:rsidR="00000000" w:rsidRDefault="00000000">
            <w:pPr>
              <w:autoSpaceDE w:val="0"/>
              <w:autoSpaceDN w:val="0"/>
              <w:adjustRightInd w:val="0"/>
              <w:spacing w:line="240" w:lineRule="auto"/>
              <w:rPr>
                <w:sz w:val="20"/>
              </w:rPr>
            </w:pPr>
          </w:p>
        </w:tc>
        <w:tc>
          <w:tcPr>
            <w:tcW w:w="1068" w:type="dxa"/>
          </w:tcPr>
          <w:p w:rsidR="00000000" w:rsidRDefault="00000000">
            <w:pPr>
              <w:autoSpaceDE w:val="0"/>
              <w:autoSpaceDN w:val="0"/>
              <w:adjustRightInd w:val="0"/>
              <w:spacing w:line="240" w:lineRule="auto"/>
              <w:rPr>
                <w:sz w:val="20"/>
              </w:rPr>
            </w:pP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 xml:space="preserve">16 ноября 2000 года - </w:t>
            </w:r>
          </w:p>
          <w:p w:rsidR="00000000" w:rsidRDefault="00000000">
            <w:pPr>
              <w:autoSpaceDE w:val="0"/>
              <w:autoSpaceDN w:val="0"/>
              <w:adjustRightInd w:val="0"/>
              <w:spacing w:line="240" w:lineRule="auto"/>
              <w:rPr>
                <w:sz w:val="20"/>
              </w:rPr>
            </w:pPr>
            <w:r>
              <w:rPr>
                <w:sz w:val="20"/>
              </w:rPr>
              <w:t>31 декабря 2001 года</w:t>
            </w:r>
          </w:p>
        </w:tc>
        <w:tc>
          <w:tcPr>
            <w:tcW w:w="2296" w:type="dxa"/>
          </w:tcPr>
          <w:p w:rsidR="00000000" w:rsidRDefault="00000000">
            <w:pPr>
              <w:autoSpaceDE w:val="0"/>
              <w:autoSpaceDN w:val="0"/>
              <w:adjustRightInd w:val="0"/>
              <w:spacing w:line="240" w:lineRule="auto"/>
              <w:rPr>
                <w:sz w:val="20"/>
              </w:rPr>
            </w:pPr>
          </w:p>
        </w:tc>
        <w:tc>
          <w:tcPr>
            <w:tcW w:w="1567" w:type="dxa"/>
          </w:tcPr>
          <w:p w:rsidR="00000000" w:rsidRDefault="00000000">
            <w:pPr>
              <w:autoSpaceDE w:val="0"/>
              <w:autoSpaceDN w:val="0"/>
              <w:adjustRightInd w:val="0"/>
              <w:spacing w:line="240" w:lineRule="auto"/>
              <w:rPr>
                <w:sz w:val="20"/>
              </w:rPr>
            </w:pPr>
          </w:p>
        </w:tc>
        <w:tc>
          <w:tcPr>
            <w:tcW w:w="1932" w:type="dxa"/>
          </w:tcPr>
          <w:p w:rsidR="00000000" w:rsidRDefault="00000000">
            <w:pPr>
              <w:autoSpaceDE w:val="0"/>
              <w:autoSpaceDN w:val="0"/>
              <w:adjustRightInd w:val="0"/>
              <w:spacing w:line="240" w:lineRule="auto"/>
              <w:rPr>
                <w:sz w:val="20"/>
              </w:rPr>
            </w:pPr>
          </w:p>
        </w:tc>
        <w:tc>
          <w:tcPr>
            <w:tcW w:w="1068" w:type="dxa"/>
          </w:tcPr>
          <w:p w:rsidR="00000000" w:rsidRDefault="00000000">
            <w:pPr>
              <w:autoSpaceDE w:val="0"/>
              <w:autoSpaceDN w:val="0"/>
              <w:adjustRightInd w:val="0"/>
              <w:spacing w:line="240" w:lineRule="auto"/>
              <w:rPr>
                <w:sz w:val="20"/>
              </w:rPr>
            </w:pP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Январь - декабрь 2002 года</w:t>
            </w:r>
          </w:p>
        </w:tc>
        <w:tc>
          <w:tcPr>
            <w:tcW w:w="2296" w:type="dxa"/>
          </w:tcPr>
          <w:p w:rsidR="00000000" w:rsidRDefault="00000000">
            <w:pPr>
              <w:autoSpaceDE w:val="0"/>
              <w:autoSpaceDN w:val="0"/>
              <w:adjustRightInd w:val="0"/>
              <w:spacing w:line="240" w:lineRule="auto"/>
              <w:rPr>
                <w:sz w:val="20"/>
              </w:rPr>
            </w:pPr>
          </w:p>
        </w:tc>
        <w:tc>
          <w:tcPr>
            <w:tcW w:w="1567" w:type="dxa"/>
          </w:tcPr>
          <w:p w:rsidR="00000000" w:rsidRDefault="00000000">
            <w:pPr>
              <w:autoSpaceDE w:val="0"/>
              <w:autoSpaceDN w:val="0"/>
              <w:adjustRightInd w:val="0"/>
              <w:spacing w:line="240" w:lineRule="auto"/>
              <w:rPr>
                <w:sz w:val="20"/>
              </w:rPr>
            </w:pPr>
          </w:p>
        </w:tc>
        <w:tc>
          <w:tcPr>
            <w:tcW w:w="1932" w:type="dxa"/>
          </w:tcPr>
          <w:p w:rsidR="00000000" w:rsidRDefault="00000000">
            <w:pPr>
              <w:autoSpaceDE w:val="0"/>
              <w:autoSpaceDN w:val="0"/>
              <w:adjustRightInd w:val="0"/>
              <w:spacing w:line="240" w:lineRule="auto"/>
              <w:rPr>
                <w:sz w:val="20"/>
              </w:rPr>
            </w:pPr>
          </w:p>
        </w:tc>
        <w:tc>
          <w:tcPr>
            <w:tcW w:w="1068" w:type="dxa"/>
          </w:tcPr>
          <w:p w:rsidR="00000000" w:rsidRDefault="00000000">
            <w:pPr>
              <w:autoSpaceDE w:val="0"/>
              <w:autoSpaceDN w:val="0"/>
              <w:adjustRightInd w:val="0"/>
              <w:spacing w:line="240" w:lineRule="auto"/>
              <w:rPr>
                <w:sz w:val="20"/>
              </w:rPr>
            </w:pP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1 января - 30 июня 2003 года</w:t>
            </w:r>
          </w:p>
        </w:tc>
        <w:tc>
          <w:tcPr>
            <w:tcW w:w="2296" w:type="dxa"/>
          </w:tcPr>
          <w:p w:rsidR="00000000" w:rsidRDefault="00000000">
            <w:pPr>
              <w:autoSpaceDE w:val="0"/>
              <w:autoSpaceDN w:val="0"/>
              <w:adjustRightInd w:val="0"/>
              <w:spacing w:line="240" w:lineRule="auto"/>
              <w:rPr>
                <w:sz w:val="20"/>
              </w:rPr>
            </w:pPr>
          </w:p>
        </w:tc>
        <w:tc>
          <w:tcPr>
            <w:tcW w:w="1567" w:type="dxa"/>
          </w:tcPr>
          <w:p w:rsidR="00000000" w:rsidRDefault="00000000">
            <w:pPr>
              <w:autoSpaceDE w:val="0"/>
              <w:autoSpaceDN w:val="0"/>
              <w:adjustRightInd w:val="0"/>
              <w:spacing w:line="240" w:lineRule="auto"/>
              <w:rPr>
                <w:sz w:val="20"/>
                <w:lang w:val="fr-FR"/>
              </w:rPr>
            </w:pPr>
            <w:r>
              <w:rPr>
                <w:sz w:val="20"/>
                <w:lang w:val="fr-FR"/>
              </w:rPr>
              <w:t>16/03</w:t>
            </w:r>
          </w:p>
        </w:tc>
        <w:tc>
          <w:tcPr>
            <w:tcW w:w="1932" w:type="dxa"/>
          </w:tcPr>
          <w:p w:rsidR="00000000" w:rsidRDefault="00000000">
            <w:pPr>
              <w:autoSpaceDE w:val="0"/>
              <w:autoSpaceDN w:val="0"/>
              <w:adjustRightInd w:val="0"/>
              <w:spacing w:line="240" w:lineRule="auto"/>
              <w:rPr>
                <w:sz w:val="20"/>
                <w:lang w:val="fr-FR"/>
              </w:rPr>
            </w:pPr>
          </w:p>
        </w:tc>
        <w:tc>
          <w:tcPr>
            <w:tcW w:w="1068" w:type="dxa"/>
          </w:tcPr>
          <w:p w:rsidR="00000000" w:rsidRDefault="00000000">
            <w:pPr>
              <w:autoSpaceDE w:val="0"/>
              <w:autoSpaceDN w:val="0"/>
              <w:adjustRightInd w:val="0"/>
              <w:spacing w:line="240" w:lineRule="auto"/>
              <w:rPr>
                <w:sz w:val="20"/>
                <w:lang w:val="fr-FR"/>
              </w:rPr>
            </w:pP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1 января - 30 июня 2003 года</w:t>
            </w:r>
          </w:p>
        </w:tc>
        <w:tc>
          <w:tcPr>
            <w:tcW w:w="2296" w:type="dxa"/>
          </w:tcPr>
          <w:p w:rsidR="00000000" w:rsidRDefault="00000000">
            <w:pPr>
              <w:autoSpaceDE w:val="0"/>
              <w:autoSpaceDN w:val="0"/>
              <w:adjustRightInd w:val="0"/>
              <w:spacing w:line="240" w:lineRule="auto"/>
              <w:rPr>
                <w:sz w:val="20"/>
              </w:rPr>
            </w:pPr>
          </w:p>
        </w:tc>
        <w:tc>
          <w:tcPr>
            <w:tcW w:w="1567" w:type="dxa"/>
          </w:tcPr>
          <w:p w:rsidR="00000000" w:rsidRDefault="00000000">
            <w:pPr>
              <w:autoSpaceDE w:val="0"/>
              <w:autoSpaceDN w:val="0"/>
              <w:adjustRightInd w:val="0"/>
              <w:spacing w:line="240" w:lineRule="auto"/>
              <w:rPr>
                <w:sz w:val="20"/>
              </w:rPr>
            </w:pPr>
          </w:p>
        </w:tc>
        <w:tc>
          <w:tcPr>
            <w:tcW w:w="1932" w:type="dxa"/>
          </w:tcPr>
          <w:p w:rsidR="00000000" w:rsidRDefault="00000000">
            <w:pPr>
              <w:autoSpaceDE w:val="0"/>
              <w:autoSpaceDN w:val="0"/>
              <w:adjustRightInd w:val="0"/>
              <w:spacing w:line="240" w:lineRule="auto"/>
              <w:rPr>
                <w:sz w:val="20"/>
              </w:rPr>
            </w:pPr>
          </w:p>
        </w:tc>
        <w:tc>
          <w:tcPr>
            <w:tcW w:w="1068" w:type="dxa"/>
          </w:tcPr>
          <w:p w:rsidR="00000000" w:rsidRDefault="00000000">
            <w:pPr>
              <w:autoSpaceDE w:val="0"/>
              <w:autoSpaceDN w:val="0"/>
              <w:adjustRightInd w:val="0"/>
              <w:spacing w:line="240" w:lineRule="auto"/>
              <w:rPr>
                <w:sz w:val="20"/>
              </w:rPr>
            </w:pP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Июль-декабрь 2003 года</w:t>
            </w:r>
          </w:p>
        </w:tc>
        <w:tc>
          <w:tcPr>
            <w:tcW w:w="2296" w:type="dxa"/>
          </w:tcPr>
          <w:p w:rsidR="00000000" w:rsidRDefault="00000000">
            <w:pPr>
              <w:autoSpaceDE w:val="0"/>
              <w:autoSpaceDN w:val="0"/>
              <w:adjustRightInd w:val="0"/>
              <w:spacing w:line="240" w:lineRule="auto"/>
              <w:rPr>
                <w:sz w:val="20"/>
              </w:rPr>
            </w:pPr>
          </w:p>
        </w:tc>
        <w:tc>
          <w:tcPr>
            <w:tcW w:w="1567" w:type="dxa"/>
          </w:tcPr>
          <w:p w:rsidR="00000000" w:rsidRDefault="00000000">
            <w:pPr>
              <w:autoSpaceDE w:val="0"/>
              <w:autoSpaceDN w:val="0"/>
              <w:adjustRightInd w:val="0"/>
              <w:spacing w:line="240" w:lineRule="auto"/>
              <w:rPr>
                <w:sz w:val="20"/>
              </w:rPr>
            </w:pPr>
          </w:p>
        </w:tc>
        <w:tc>
          <w:tcPr>
            <w:tcW w:w="1932" w:type="dxa"/>
          </w:tcPr>
          <w:p w:rsidR="00000000" w:rsidRDefault="00000000">
            <w:pPr>
              <w:autoSpaceDE w:val="0"/>
              <w:autoSpaceDN w:val="0"/>
              <w:adjustRightInd w:val="0"/>
              <w:spacing w:line="240" w:lineRule="auto"/>
              <w:rPr>
                <w:sz w:val="20"/>
              </w:rPr>
            </w:pPr>
          </w:p>
        </w:tc>
        <w:tc>
          <w:tcPr>
            <w:tcW w:w="1068" w:type="dxa"/>
          </w:tcPr>
          <w:p w:rsidR="00000000" w:rsidRDefault="00000000">
            <w:pPr>
              <w:autoSpaceDE w:val="0"/>
              <w:autoSpaceDN w:val="0"/>
              <w:adjustRightInd w:val="0"/>
              <w:spacing w:line="240" w:lineRule="auto"/>
              <w:rPr>
                <w:sz w:val="20"/>
              </w:rPr>
            </w:pPr>
          </w:p>
        </w:tc>
      </w:tr>
      <w:tr w:rsidR="00000000">
        <w:trPr>
          <w:cantSplit/>
        </w:trPr>
        <w:tc>
          <w:tcPr>
            <w:tcW w:w="2548" w:type="dxa"/>
          </w:tcPr>
          <w:p w:rsidR="00000000" w:rsidRDefault="00000000">
            <w:pPr>
              <w:autoSpaceDE w:val="0"/>
              <w:autoSpaceDN w:val="0"/>
              <w:adjustRightInd w:val="0"/>
              <w:spacing w:line="240" w:lineRule="auto"/>
              <w:rPr>
                <w:sz w:val="20"/>
              </w:rPr>
            </w:pPr>
            <w:r>
              <w:rPr>
                <w:sz w:val="20"/>
              </w:rPr>
              <w:t>Январь-сентябрь 2004 года</w:t>
            </w:r>
          </w:p>
        </w:tc>
        <w:tc>
          <w:tcPr>
            <w:tcW w:w="2296" w:type="dxa"/>
          </w:tcPr>
          <w:p w:rsidR="00000000" w:rsidRDefault="00000000">
            <w:pPr>
              <w:autoSpaceDE w:val="0"/>
              <w:autoSpaceDN w:val="0"/>
              <w:adjustRightInd w:val="0"/>
              <w:spacing w:line="240" w:lineRule="auto"/>
              <w:rPr>
                <w:sz w:val="20"/>
              </w:rPr>
            </w:pPr>
          </w:p>
        </w:tc>
        <w:tc>
          <w:tcPr>
            <w:tcW w:w="1567" w:type="dxa"/>
          </w:tcPr>
          <w:p w:rsidR="00000000" w:rsidRDefault="00000000">
            <w:pPr>
              <w:autoSpaceDE w:val="0"/>
              <w:autoSpaceDN w:val="0"/>
              <w:adjustRightInd w:val="0"/>
              <w:spacing w:line="240" w:lineRule="auto"/>
              <w:rPr>
                <w:sz w:val="20"/>
                <w:lang w:val="fr-FR"/>
              </w:rPr>
            </w:pPr>
            <w:r>
              <w:rPr>
                <w:sz w:val="20"/>
                <w:lang w:val="fr-FR"/>
              </w:rPr>
              <w:t>8/04</w:t>
            </w:r>
          </w:p>
        </w:tc>
        <w:tc>
          <w:tcPr>
            <w:tcW w:w="1932" w:type="dxa"/>
          </w:tcPr>
          <w:p w:rsidR="00000000" w:rsidRDefault="00000000">
            <w:pPr>
              <w:autoSpaceDE w:val="0"/>
              <w:autoSpaceDN w:val="0"/>
              <w:adjustRightInd w:val="0"/>
              <w:spacing w:line="240" w:lineRule="auto"/>
              <w:rPr>
                <w:sz w:val="20"/>
                <w:lang w:val="fr-FR"/>
              </w:rPr>
            </w:pPr>
          </w:p>
        </w:tc>
        <w:tc>
          <w:tcPr>
            <w:tcW w:w="1068" w:type="dxa"/>
          </w:tcPr>
          <w:p w:rsidR="00000000" w:rsidRDefault="00000000">
            <w:pPr>
              <w:autoSpaceDE w:val="0"/>
              <w:autoSpaceDN w:val="0"/>
              <w:adjustRightInd w:val="0"/>
              <w:spacing w:line="240" w:lineRule="auto"/>
              <w:rPr>
                <w:sz w:val="20"/>
                <w:lang w:val="fr-FR"/>
              </w:rPr>
            </w:pPr>
          </w:p>
        </w:tc>
      </w:tr>
      <w:tr w:rsidR="00000000">
        <w:trPr>
          <w:cantSplit/>
        </w:trPr>
        <w:tc>
          <w:tcPr>
            <w:tcW w:w="2548" w:type="dxa"/>
          </w:tcPr>
          <w:p w:rsidR="00000000" w:rsidRDefault="00000000">
            <w:pPr>
              <w:autoSpaceDE w:val="0"/>
              <w:autoSpaceDN w:val="0"/>
              <w:adjustRightInd w:val="0"/>
              <w:spacing w:line="240" w:lineRule="auto"/>
              <w:rPr>
                <w:sz w:val="20"/>
                <w:lang w:val="fr-FR"/>
              </w:rPr>
            </w:pPr>
            <w:r>
              <w:rPr>
                <w:sz w:val="20"/>
              </w:rPr>
              <w:t>Всего</w:t>
            </w:r>
          </w:p>
        </w:tc>
        <w:tc>
          <w:tcPr>
            <w:tcW w:w="2296" w:type="dxa"/>
          </w:tcPr>
          <w:p w:rsidR="00000000" w:rsidRDefault="00000000">
            <w:pPr>
              <w:autoSpaceDE w:val="0"/>
              <w:autoSpaceDN w:val="0"/>
              <w:adjustRightInd w:val="0"/>
              <w:spacing w:line="240" w:lineRule="auto"/>
              <w:rPr>
                <w:sz w:val="20"/>
                <w:lang w:val="fr-FR"/>
              </w:rPr>
            </w:pPr>
            <w:r>
              <w:rPr>
                <w:sz w:val="20"/>
                <w:lang w:val="fr-FR"/>
              </w:rPr>
              <w:t>85</w:t>
            </w:r>
          </w:p>
        </w:tc>
        <w:tc>
          <w:tcPr>
            <w:tcW w:w="1567" w:type="dxa"/>
          </w:tcPr>
          <w:p w:rsidR="00000000" w:rsidRDefault="00000000">
            <w:pPr>
              <w:autoSpaceDE w:val="0"/>
              <w:autoSpaceDN w:val="0"/>
              <w:adjustRightInd w:val="0"/>
              <w:spacing w:line="240" w:lineRule="auto"/>
              <w:rPr>
                <w:sz w:val="20"/>
                <w:lang w:val="fr-FR"/>
              </w:rPr>
            </w:pPr>
            <w:r>
              <w:rPr>
                <w:sz w:val="20"/>
                <w:lang w:val="fr-FR"/>
              </w:rPr>
              <w:t>13</w:t>
            </w:r>
          </w:p>
        </w:tc>
        <w:tc>
          <w:tcPr>
            <w:tcW w:w="1932" w:type="dxa"/>
          </w:tcPr>
          <w:p w:rsidR="00000000" w:rsidRDefault="00000000">
            <w:pPr>
              <w:autoSpaceDE w:val="0"/>
              <w:autoSpaceDN w:val="0"/>
              <w:adjustRightInd w:val="0"/>
              <w:spacing w:line="240" w:lineRule="auto"/>
              <w:rPr>
                <w:sz w:val="20"/>
                <w:lang w:val="fr-FR"/>
              </w:rPr>
            </w:pPr>
            <w:r>
              <w:rPr>
                <w:sz w:val="20"/>
                <w:lang w:val="fr-FR"/>
              </w:rPr>
              <w:t>11</w:t>
            </w:r>
          </w:p>
        </w:tc>
        <w:tc>
          <w:tcPr>
            <w:tcW w:w="1068" w:type="dxa"/>
          </w:tcPr>
          <w:p w:rsidR="00000000" w:rsidRDefault="00000000">
            <w:pPr>
              <w:autoSpaceDE w:val="0"/>
              <w:autoSpaceDN w:val="0"/>
              <w:adjustRightInd w:val="0"/>
              <w:spacing w:line="240" w:lineRule="auto"/>
              <w:rPr>
                <w:sz w:val="20"/>
                <w:lang w:val="fr-FR"/>
              </w:rPr>
            </w:pPr>
            <w:r>
              <w:rPr>
                <w:sz w:val="20"/>
                <w:lang w:val="fr-FR"/>
              </w:rPr>
              <w:t>9</w:t>
            </w:r>
          </w:p>
        </w:tc>
      </w:tr>
    </w:tbl>
    <w:p w:rsidR="00000000" w:rsidRDefault="00000000"/>
    <w:p w:rsidR="00000000" w:rsidRDefault="00000000">
      <w:r>
        <w:t>137.</w:t>
      </w:r>
      <w:r>
        <w:tab/>
        <w:t>Существует также еще 33 других органа власти и инстанций, 20 из которых являются местными органами власти.  В основном, как это видно из следующего перечня, они входят в структуры исполнительной власти, а четыре из них - в структуры федеральной власти.  Ниже приводятся данные о числе рекомендаций, полученных другими органами власти в отношении применения пыток</w:t>
      </w:r>
      <w:r>
        <w:rPr>
          <w:rStyle w:val="EndnoteReference"/>
        </w:rPr>
        <w:endnoteReference w:id="60"/>
      </w:r>
      <w:r>
        <w:t>:</w:t>
      </w:r>
    </w:p>
    <w:p w:rsidR="00000000" w:rsidRDefault="00000000"/>
    <w:p w:rsidR="00000000" w:rsidRDefault="00000000">
      <w:pPr>
        <w:pStyle w:val="BodyText"/>
        <w:numPr>
          <w:ilvl w:val="0"/>
          <w:numId w:val="10"/>
        </w:numPr>
        <w:jc w:val="left"/>
        <w:rPr>
          <w:u w:val="none"/>
        </w:rPr>
      </w:pPr>
      <w:r>
        <w:rPr>
          <w:u w:val="none"/>
          <w:lang w:val="ru-RU"/>
        </w:rPr>
        <w:t>п</w:t>
      </w:r>
      <w:r>
        <w:rPr>
          <w:u w:val="none"/>
        </w:rPr>
        <w:t>ять, губернатор штата Веракрус</w:t>
      </w:r>
      <w:r>
        <w:rPr>
          <w:u w:val="none"/>
          <w:lang w:val="ru-RU"/>
        </w:rPr>
        <w:t xml:space="preserve"> (</w:t>
      </w:r>
      <w:r>
        <w:rPr>
          <w:u w:val="none"/>
        </w:rPr>
        <w:t>30/90-A, 19/92, 84/92-A,</w:t>
      </w:r>
      <w:r>
        <w:rPr>
          <w:u w:val="none"/>
          <w:lang w:val="ru-RU"/>
        </w:rPr>
        <w:t xml:space="preserve"> </w:t>
      </w:r>
      <w:r>
        <w:rPr>
          <w:u w:val="none"/>
        </w:rPr>
        <w:t>50/95-B y 112/98-A)</w:t>
      </w:r>
    </w:p>
    <w:p w:rsidR="00000000" w:rsidRDefault="00000000">
      <w:pPr>
        <w:pStyle w:val="BodyText"/>
        <w:jc w:val="left"/>
        <w:rPr>
          <w:u w:val="none"/>
        </w:rPr>
      </w:pPr>
    </w:p>
    <w:p w:rsidR="00000000" w:rsidRDefault="00000000">
      <w:pPr>
        <w:pStyle w:val="BodyText"/>
        <w:numPr>
          <w:ilvl w:val="0"/>
          <w:numId w:val="10"/>
        </w:numPr>
        <w:jc w:val="left"/>
        <w:rPr>
          <w:u w:val="none"/>
        </w:rPr>
      </w:pPr>
      <w:r>
        <w:rPr>
          <w:u w:val="none"/>
          <w:lang w:val="ru-RU"/>
        </w:rPr>
        <w:t>п</w:t>
      </w:r>
      <w:r>
        <w:rPr>
          <w:u w:val="none"/>
        </w:rPr>
        <w:t>ять, губернатор штата Пуэбл</w:t>
      </w:r>
      <w:r>
        <w:rPr>
          <w:u w:val="none"/>
          <w:lang w:val="ru-RU"/>
        </w:rPr>
        <w:t>а</w:t>
      </w:r>
      <w:r>
        <w:rPr>
          <w:u w:val="none"/>
        </w:rPr>
        <w:t xml:space="preserve"> (102/91, 145/92, 219/93, 267/93 y 14/98)</w:t>
      </w:r>
    </w:p>
    <w:p w:rsidR="00000000" w:rsidRDefault="00000000">
      <w:pPr>
        <w:pStyle w:val="BodyText"/>
        <w:jc w:val="left"/>
        <w:rPr>
          <w:u w:val="none"/>
        </w:rPr>
      </w:pPr>
    </w:p>
    <w:p w:rsidR="00000000" w:rsidRDefault="00000000">
      <w:pPr>
        <w:pStyle w:val="BodyText"/>
        <w:numPr>
          <w:ilvl w:val="0"/>
          <w:numId w:val="10"/>
        </w:numPr>
        <w:jc w:val="left"/>
        <w:rPr>
          <w:u w:val="none"/>
        </w:rPr>
      </w:pPr>
      <w:r>
        <w:rPr>
          <w:u w:val="none"/>
          <w:lang w:val="ru-RU"/>
        </w:rPr>
        <w:t>ч</w:t>
      </w:r>
      <w:r>
        <w:rPr>
          <w:u w:val="none"/>
        </w:rPr>
        <w:t>етыре, губернатор штата Чьяпас (58/91, 73/92, 75/94-B y 86/96)</w:t>
      </w:r>
    </w:p>
    <w:p w:rsidR="00000000" w:rsidRDefault="00000000">
      <w:pPr>
        <w:pStyle w:val="BodyText"/>
        <w:jc w:val="left"/>
        <w:rPr>
          <w:u w:val="none"/>
        </w:rPr>
      </w:pPr>
    </w:p>
    <w:p w:rsidR="00000000" w:rsidRDefault="00000000">
      <w:pPr>
        <w:pStyle w:val="BodyText"/>
        <w:numPr>
          <w:ilvl w:val="0"/>
          <w:numId w:val="10"/>
        </w:numPr>
        <w:jc w:val="left"/>
        <w:rPr>
          <w:u w:val="none"/>
        </w:rPr>
      </w:pPr>
      <w:r>
        <w:rPr>
          <w:u w:val="none"/>
          <w:lang w:val="ru-RU"/>
        </w:rPr>
        <w:t>четыре, губернатор штата Морелос</w:t>
      </w:r>
      <w:r>
        <w:rPr>
          <w:u w:val="none"/>
        </w:rPr>
        <w:t xml:space="preserve"> (6/92, 71/92, 162/92 y 181/92)</w:t>
      </w:r>
    </w:p>
    <w:p w:rsidR="00000000" w:rsidRDefault="00000000">
      <w:pPr>
        <w:pStyle w:val="BodyText"/>
        <w:jc w:val="left"/>
        <w:rPr>
          <w:u w:val="none"/>
        </w:rPr>
      </w:pPr>
    </w:p>
    <w:p w:rsidR="00000000" w:rsidRDefault="00000000">
      <w:pPr>
        <w:pStyle w:val="BodyText"/>
        <w:numPr>
          <w:ilvl w:val="0"/>
          <w:numId w:val="10"/>
        </w:numPr>
        <w:jc w:val="left"/>
        <w:rPr>
          <w:u w:val="none"/>
        </w:rPr>
      </w:pPr>
      <w:r>
        <w:rPr>
          <w:u w:val="none"/>
          <w:lang w:val="ru-RU"/>
        </w:rPr>
        <w:t>ч</w:t>
      </w:r>
      <w:r>
        <w:rPr>
          <w:u w:val="none"/>
        </w:rPr>
        <w:t xml:space="preserve">етыре, губернатор штата </w:t>
      </w:r>
      <w:r>
        <w:rPr>
          <w:u w:val="none"/>
          <w:lang w:val="ru-RU"/>
        </w:rPr>
        <w:t>О</w:t>
      </w:r>
      <w:r>
        <w:rPr>
          <w:u w:val="none"/>
        </w:rPr>
        <w:t>ахака (64/93, 172/93, 121/95-A y</w:t>
      </w:r>
      <w:r>
        <w:rPr>
          <w:u w:val="none"/>
          <w:lang w:val="ru-RU"/>
        </w:rPr>
        <w:t xml:space="preserve"> </w:t>
      </w:r>
      <w:r>
        <w:rPr>
          <w:u w:val="none"/>
        </w:rPr>
        <w:t>106/96-A).</w:t>
      </w:r>
    </w:p>
    <w:p w:rsidR="00000000" w:rsidRDefault="00000000">
      <w:pPr>
        <w:spacing w:line="240" w:lineRule="auto"/>
      </w:pPr>
    </w:p>
    <w:p w:rsidR="00000000" w:rsidRDefault="00000000">
      <w:pPr>
        <w:pStyle w:val="BodyText"/>
        <w:numPr>
          <w:ilvl w:val="0"/>
          <w:numId w:val="11"/>
        </w:numPr>
        <w:jc w:val="left"/>
        <w:rPr>
          <w:u w:val="none"/>
          <w:lang w:val="ru-RU"/>
        </w:rPr>
      </w:pPr>
      <w:r>
        <w:rPr>
          <w:u w:val="none"/>
          <w:lang w:val="ru-RU"/>
        </w:rPr>
        <w:t>две, министерство национальной обороны (4/90 и 8/00),</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две, председатель Верховного суда штата Веракрус (30/90-B и 84/92-B),</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две, губернатор штата Чиуауа (57/92-B и 176/93-A),</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две, губернатор штата Наярит (19/94-A и 151/95),</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две, министерство связи и транспорта (9/95-A и 121/95-B),</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две, губернатор штата Дуранго (68/97 и 75/97),</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две, губернатор штата Герреро (124/91-B и 33/2002),</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губернатор штата Нижняя Калифорния (3/2002),</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губернатор штата Табаско (14/90),</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губернатор штата Тамаулипас (2/91),</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губернатор штата Нижняя Калифорния (32/91),</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губернатор штата Гуанахуато (64/91-B),</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судья по уголовным делам Федерального округа (89/91-B),</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генеральный директор юстиции военно-морских сил (98/91-C),</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председатель Верховного суда штата Герреро (124/91-C),</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губернатор штата Халиско (28/92-A),</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губернатор штата Сакатекас (29/92),</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губернатор штата Мичоакан (54/92),</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председатель муниципио Паррал Чиуауа (57/92-C),</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губернатор штата Синалоа (230/93-A),</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председатель Верховного суда штата Синалоа (230/93-B),</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председатель Верховного суда штата Наярит (97/94-A),</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глава департамента Федерального округа (42/97),</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заместитель министра по вопросам защиты гражданских прав, предупреждения преступлений и социальной реадаптации министерства внутренних дел (50/97),</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губернатор штата Сонора (29/98-A),</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председатель Комиссии по правам человека штата Сонора (29/98-B),</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муниципальный совет муниципии Хесус Карранса, Веракрус (112/98-B),</w:t>
      </w:r>
    </w:p>
    <w:p w:rsidR="00000000" w:rsidRDefault="00000000">
      <w:pPr>
        <w:pStyle w:val="BodyText"/>
        <w:jc w:val="left"/>
        <w:rPr>
          <w:u w:val="none"/>
          <w:lang w:val="ru-RU"/>
        </w:rPr>
      </w:pPr>
    </w:p>
    <w:p w:rsidR="00000000" w:rsidRDefault="00000000">
      <w:pPr>
        <w:pStyle w:val="BodyText"/>
        <w:numPr>
          <w:ilvl w:val="0"/>
          <w:numId w:val="11"/>
        </w:numPr>
        <w:jc w:val="left"/>
        <w:rPr>
          <w:u w:val="none"/>
          <w:lang w:val="ru-RU"/>
        </w:rPr>
      </w:pPr>
      <w:r>
        <w:rPr>
          <w:u w:val="none"/>
          <w:lang w:val="ru-RU"/>
        </w:rPr>
        <w:t>одна, губернатор штата Нуево-Леон (42/99).</w:t>
      </w:r>
    </w:p>
    <w:p w:rsidR="00000000" w:rsidRDefault="00000000">
      <w:pPr>
        <w:pStyle w:val="BodyText"/>
        <w:spacing w:line="288" w:lineRule="auto"/>
        <w:jc w:val="left"/>
        <w:rPr>
          <w:u w:val="none"/>
          <w:lang w:val="ru-RU"/>
        </w:rPr>
      </w:pPr>
    </w:p>
    <w:p w:rsidR="00000000" w:rsidRDefault="00000000">
      <w:pPr>
        <w:tabs>
          <w:tab w:val="clear" w:pos="567"/>
          <w:tab w:val="left" w:pos="561"/>
        </w:tabs>
      </w:pPr>
      <w:r>
        <w:t>138.</w:t>
      </w:r>
      <w:r>
        <w:tab/>
        <w:t xml:space="preserve">Рекомендации с разбивкой по состоянию их выполнения указаны в следующей таблице: </w:t>
      </w:r>
    </w:p>
    <w:p w:rsidR="00000000" w:rsidRDefault="00000000">
      <w:pPr>
        <w:pStyle w:val="BodyText"/>
        <w:spacing w:line="288" w:lineRule="auto"/>
        <w:jc w:val="left"/>
        <w:rPr>
          <w:u w:val="none"/>
          <w:lang w:val="ru-RU"/>
        </w:rPr>
      </w:pPr>
    </w:p>
    <w:p w:rsidR="00000000" w:rsidRDefault="00000000">
      <w:pPr>
        <w:pStyle w:val="BodyText"/>
        <w:spacing w:line="288" w:lineRule="auto"/>
        <w:jc w:val="center"/>
        <w:rPr>
          <w:b/>
          <w:u w:val="none"/>
          <w:lang w:val="ru-RU"/>
        </w:rPr>
      </w:pPr>
      <w:r>
        <w:rPr>
          <w:b/>
          <w:u w:val="none"/>
          <w:lang w:val="ru-RU"/>
        </w:rPr>
        <w:t>Выполнение рекомендаций, касающихся пыток, с разбивкой по числу органов власти, которым они были направлены</w:t>
      </w:r>
    </w:p>
    <w:p w:rsidR="00000000" w:rsidRDefault="00000000">
      <w:pPr>
        <w:pStyle w:val="BodyText"/>
        <w:spacing w:line="288" w:lineRule="auto"/>
        <w:jc w:val="left"/>
        <w:rPr>
          <w:b/>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7"/>
        <w:gridCol w:w="1811"/>
        <w:gridCol w:w="1807"/>
        <w:gridCol w:w="2476"/>
        <w:gridCol w:w="1659"/>
      </w:tblGrid>
      <w:tr w:rsidR="00000000">
        <w:tblPrEx>
          <w:tblCellMar>
            <w:top w:w="0" w:type="dxa"/>
            <w:bottom w:w="0" w:type="dxa"/>
          </w:tblCellMar>
        </w:tblPrEx>
        <w:tc>
          <w:tcPr>
            <w:tcW w:w="1597" w:type="dxa"/>
          </w:tcPr>
          <w:p w:rsidR="00000000" w:rsidRDefault="00000000">
            <w:pPr>
              <w:pStyle w:val="BodyText"/>
              <w:jc w:val="center"/>
              <w:rPr>
                <w:u w:val="none"/>
                <w:lang w:val="ru-RU"/>
              </w:rPr>
            </w:pPr>
            <w:r>
              <w:rPr>
                <w:u w:val="none"/>
                <w:lang w:val="ru-RU"/>
              </w:rPr>
              <w:t>Всего</w:t>
            </w:r>
          </w:p>
        </w:tc>
        <w:tc>
          <w:tcPr>
            <w:tcW w:w="1811" w:type="dxa"/>
          </w:tcPr>
          <w:p w:rsidR="00000000" w:rsidRDefault="00000000">
            <w:pPr>
              <w:pStyle w:val="BodyText"/>
              <w:jc w:val="center"/>
              <w:rPr>
                <w:u w:val="none"/>
                <w:lang w:val="ru-RU"/>
              </w:rPr>
            </w:pPr>
            <w:r>
              <w:rPr>
                <w:u w:val="none"/>
                <w:lang w:val="ru-RU"/>
              </w:rPr>
              <w:t>Выполнено полностью</w:t>
            </w:r>
          </w:p>
        </w:tc>
        <w:tc>
          <w:tcPr>
            <w:tcW w:w="1807" w:type="dxa"/>
          </w:tcPr>
          <w:p w:rsidR="00000000" w:rsidRDefault="00000000">
            <w:pPr>
              <w:pStyle w:val="BodyText"/>
              <w:jc w:val="center"/>
              <w:rPr>
                <w:u w:val="none"/>
                <w:lang w:val="ru-RU"/>
              </w:rPr>
            </w:pPr>
            <w:r>
              <w:rPr>
                <w:u w:val="none"/>
                <w:lang w:val="ru-RU"/>
              </w:rPr>
              <w:t>Выполнено частично</w:t>
            </w:r>
          </w:p>
        </w:tc>
        <w:tc>
          <w:tcPr>
            <w:tcW w:w="2476" w:type="dxa"/>
          </w:tcPr>
          <w:p w:rsidR="00000000" w:rsidRDefault="00000000">
            <w:pPr>
              <w:pStyle w:val="BodyText"/>
              <w:jc w:val="center"/>
              <w:rPr>
                <w:u w:val="none"/>
                <w:lang w:val="ru-RU"/>
              </w:rPr>
            </w:pPr>
            <w:r>
              <w:rPr>
                <w:u w:val="none"/>
                <w:lang w:val="ru-RU"/>
              </w:rPr>
              <w:t>Выполнено неудовлетворительно</w:t>
            </w:r>
          </w:p>
        </w:tc>
        <w:tc>
          <w:tcPr>
            <w:tcW w:w="1659" w:type="dxa"/>
          </w:tcPr>
          <w:p w:rsidR="00000000" w:rsidRDefault="00000000">
            <w:pPr>
              <w:pStyle w:val="BodyText"/>
              <w:jc w:val="center"/>
              <w:rPr>
                <w:u w:val="none"/>
                <w:lang w:val="ru-RU"/>
              </w:rPr>
            </w:pPr>
            <w:r>
              <w:rPr>
                <w:u w:val="none"/>
                <w:lang w:val="ru-RU"/>
              </w:rPr>
              <w:t>Не приняты</w:t>
            </w:r>
          </w:p>
        </w:tc>
      </w:tr>
      <w:tr w:rsidR="00000000">
        <w:tblPrEx>
          <w:tblCellMar>
            <w:top w:w="0" w:type="dxa"/>
            <w:bottom w:w="0" w:type="dxa"/>
          </w:tblCellMar>
        </w:tblPrEx>
        <w:tc>
          <w:tcPr>
            <w:tcW w:w="1597" w:type="dxa"/>
            <w:vAlign w:val="bottom"/>
          </w:tcPr>
          <w:p w:rsidR="00000000" w:rsidRDefault="00000000">
            <w:pPr>
              <w:pStyle w:val="BodyText"/>
              <w:jc w:val="center"/>
              <w:rPr>
                <w:u w:val="none"/>
                <w:lang w:val="ru-RU"/>
              </w:rPr>
            </w:pPr>
            <w:r>
              <w:rPr>
                <w:u w:val="none"/>
                <w:lang w:val="ru-RU"/>
              </w:rPr>
              <w:t>170</w:t>
            </w:r>
          </w:p>
        </w:tc>
        <w:tc>
          <w:tcPr>
            <w:tcW w:w="1811" w:type="dxa"/>
            <w:vAlign w:val="center"/>
          </w:tcPr>
          <w:p w:rsidR="00000000" w:rsidRDefault="00000000">
            <w:pPr>
              <w:pStyle w:val="BodyText"/>
              <w:jc w:val="center"/>
              <w:rPr>
                <w:u w:val="none"/>
                <w:lang w:val="ru-RU"/>
              </w:rPr>
            </w:pPr>
            <w:r>
              <w:rPr>
                <w:u w:val="none"/>
                <w:lang w:val="ru-RU"/>
              </w:rPr>
              <w:t>151</w:t>
            </w:r>
          </w:p>
        </w:tc>
        <w:tc>
          <w:tcPr>
            <w:tcW w:w="1807" w:type="dxa"/>
            <w:vAlign w:val="center"/>
          </w:tcPr>
          <w:p w:rsidR="00000000" w:rsidRDefault="00000000">
            <w:pPr>
              <w:pStyle w:val="BodyText"/>
              <w:jc w:val="center"/>
              <w:rPr>
                <w:u w:val="none"/>
                <w:lang w:val="ru-RU"/>
              </w:rPr>
            </w:pPr>
            <w:r>
              <w:rPr>
                <w:u w:val="none"/>
                <w:lang w:val="ru-RU"/>
              </w:rPr>
              <w:t>2</w:t>
            </w:r>
          </w:p>
        </w:tc>
        <w:tc>
          <w:tcPr>
            <w:tcW w:w="2476" w:type="dxa"/>
            <w:vAlign w:val="center"/>
          </w:tcPr>
          <w:p w:rsidR="00000000" w:rsidRDefault="00000000">
            <w:pPr>
              <w:pStyle w:val="BodyText"/>
              <w:jc w:val="center"/>
              <w:rPr>
                <w:u w:val="none"/>
                <w:lang w:val="ru-RU"/>
              </w:rPr>
            </w:pPr>
            <w:r>
              <w:rPr>
                <w:u w:val="none"/>
                <w:lang w:val="ru-RU"/>
              </w:rPr>
              <w:t>15</w:t>
            </w:r>
          </w:p>
        </w:tc>
        <w:tc>
          <w:tcPr>
            <w:tcW w:w="1659" w:type="dxa"/>
            <w:vAlign w:val="center"/>
          </w:tcPr>
          <w:p w:rsidR="00000000" w:rsidRDefault="00000000">
            <w:pPr>
              <w:pStyle w:val="BodyText"/>
              <w:jc w:val="center"/>
              <w:rPr>
                <w:u w:val="none"/>
                <w:lang w:val="ru-RU"/>
              </w:rPr>
            </w:pPr>
            <w:r>
              <w:rPr>
                <w:u w:val="none"/>
                <w:lang w:val="ru-RU"/>
              </w:rPr>
              <w:t>2</w:t>
            </w:r>
          </w:p>
        </w:tc>
      </w:tr>
    </w:tbl>
    <w:p w:rsidR="00000000" w:rsidRDefault="00000000">
      <w:pPr>
        <w:tabs>
          <w:tab w:val="clear" w:pos="567"/>
        </w:tabs>
        <w:spacing w:line="240" w:lineRule="auto"/>
        <w:ind w:firstLine="14"/>
      </w:pPr>
    </w:p>
    <w:p w:rsidR="00000000" w:rsidRDefault="00000000">
      <w:pPr>
        <w:tabs>
          <w:tab w:val="clear" w:pos="567"/>
        </w:tabs>
        <w:spacing w:line="240" w:lineRule="auto"/>
        <w:ind w:firstLine="14"/>
      </w:pPr>
    </w:p>
    <w:p w:rsidR="00000000" w:rsidRDefault="00000000">
      <w:pPr>
        <w:tabs>
          <w:tab w:val="clear" w:pos="567"/>
          <w:tab w:val="left" w:pos="561"/>
        </w:tabs>
        <w:ind w:firstLine="14"/>
      </w:pPr>
      <w:r>
        <w:t>139.</w:t>
      </w:r>
      <w:r>
        <w:tab/>
        <w:t>Было вынесено 143 рекомендации, касающиеся пыток.  Общее число, указанное в таблице, равняется 170, поскольку указанные рекомендации были направлены 170 органам власти.</w:t>
      </w:r>
    </w:p>
    <w:p w:rsidR="00000000" w:rsidRDefault="00000000">
      <w:pPr>
        <w:ind w:firstLine="14"/>
      </w:pPr>
    </w:p>
    <w:p w:rsidR="00000000" w:rsidRDefault="00000000">
      <w:pPr>
        <w:tabs>
          <w:tab w:val="clear" w:pos="567"/>
          <w:tab w:val="left" w:pos="561"/>
        </w:tabs>
        <w:ind w:firstLine="14"/>
      </w:pPr>
      <w:r>
        <w:t>140.</w:t>
      </w:r>
      <w:r>
        <w:tab/>
        <w:t>В отношении 143 рекомендаций поступило 116 сообщений о принимаемых мерах.  В 35 случаях органы власти, которым были направлены рекомендации, дали указание провести административное расследование с целью установления ответственности различных государственных должностных лиц и вынесения наказаний.  Было наказано 141 государственное должностное лицо.  В таблице ниже указываются наказания с разбивкой по их характеру</w:t>
      </w:r>
      <w:r>
        <w:rPr>
          <w:rStyle w:val="EndnoteReference"/>
        </w:rPr>
        <w:endnoteReference w:id="61"/>
      </w:r>
      <w:r>
        <w:t>.</w:t>
      </w:r>
    </w:p>
    <w:p w:rsidR="00000000" w:rsidRDefault="00000000">
      <w:pPr>
        <w:tabs>
          <w:tab w:val="clear" w:pos="567"/>
          <w:tab w:val="left" w:pos="561"/>
        </w:tabs>
        <w:ind w:firstLine="14"/>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36"/>
        <w:gridCol w:w="1402"/>
        <w:gridCol w:w="1160"/>
        <w:gridCol w:w="1134"/>
        <w:gridCol w:w="1175"/>
        <w:gridCol w:w="686"/>
        <w:gridCol w:w="1134"/>
        <w:gridCol w:w="1092"/>
        <w:gridCol w:w="592"/>
      </w:tblGrid>
      <w:tr w:rsidR="00000000">
        <w:tblPrEx>
          <w:tblCellMar>
            <w:top w:w="0" w:type="dxa"/>
            <w:bottom w:w="0" w:type="dxa"/>
          </w:tblCellMar>
        </w:tblPrEx>
        <w:trPr>
          <w:cantSplit/>
        </w:trPr>
        <w:tc>
          <w:tcPr>
            <w:tcW w:w="1036" w:type="dxa"/>
            <w:vAlign w:val="center"/>
          </w:tcPr>
          <w:p w:rsidR="00000000" w:rsidRDefault="00000000">
            <w:pPr>
              <w:tabs>
                <w:tab w:val="clear" w:pos="567"/>
                <w:tab w:val="left" w:pos="561"/>
              </w:tabs>
              <w:jc w:val="center"/>
              <w:rPr>
                <w:sz w:val="20"/>
              </w:rPr>
            </w:pPr>
            <w:r>
              <w:rPr>
                <w:sz w:val="20"/>
              </w:rPr>
              <w:t>Порицание</w:t>
            </w:r>
          </w:p>
        </w:tc>
        <w:tc>
          <w:tcPr>
            <w:tcW w:w="1402" w:type="dxa"/>
            <w:vAlign w:val="center"/>
          </w:tcPr>
          <w:p w:rsidR="00000000" w:rsidRDefault="00000000">
            <w:pPr>
              <w:tabs>
                <w:tab w:val="clear" w:pos="567"/>
                <w:tab w:val="left" w:pos="561"/>
              </w:tabs>
              <w:jc w:val="center"/>
              <w:rPr>
                <w:sz w:val="20"/>
              </w:rPr>
            </w:pPr>
            <w:r>
              <w:rPr>
                <w:sz w:val="20"/>
              </w:rPr>
              <w:t>Временное отстранение от выполнения обязанностей</w:t>
            </w:r>
          </w:p>
        </w:tc>
        <w:tc>
          <w:tcPr>
            <w:tcW w:w="1160" w:type="dxa"/>
            <w:vAlign w:val="center"/>
          </w:tcPr>
          <w:p w:rsidR="00000000" w:rsidRDefault="00000000">
            <w:pPr>
              <w:tabs>
                <w:tab w:val="clear" w:pos="567"/>
                <w:tab w:val="left" w:pos="561"/>
              </w:tabs>
              <w:jc w:val="center"/>
              <w:rPr>
                <w:sz w:val="20"/>
              </w:rPr>
            </w:pPr>
            <w:r>
              <w:rPr>
                <w:sz w:val="20"/>
              </w:rPr>
              <w:t>Увольнение</w:t>
            </w:r>
          </w:p>
        </w:tc>
        <w:tc>
          <w:tcPr>
            <w:tcW w:w="1134" w:type="dxa"/>
            <w:vAlign w:val="center"/>
          </w:tcPr>
          <w:p w:rsidR="00000000" w:rsidRDefault="00000000">
            <w:pPr>
              <w:tabs>
                <w:tab w:val="clear" w:pos="567"/>
                <w:tab w:val="left" w:pos="561"/>
              </w:tabs>
              <w:jc w:val="center"/>
              <w:rPr>
                <w:sz w:val="20"/>
              </w:rPr>
            </w:pPr>
            <w:r>
              <w:rPr>
                <w:sz w:val="20"/>
              </w:rPr>
              <w:t>Увольнение с указанием причин</w:t>
            </w:r>
          </w:p>
        </w:tc>
        <w:tc>
          <w:tcPr>
            <w:tcW w:w="1175" w:type="dxa"/>
            <w:vAlign w:val="center"/>
          </w:tcPr>
          <w:p w:rsidR="00000000" w:rsidRDefault="00000000">
            <w:pPr>
              <w:tabs>
                <w:tab w:val="clear" w:pos="567"/>
                <w:tab w:val="left" w:pos="561"/>
              </w:tabs>
              <w:jc w:val="center"/>
              <w:rPr>
                <w:sz w:val="20"/>
              </w:rPr>
            </w:pPr>
            <w:r>
              <w:rPr>
                <w:sz w:val="20"/>
              </w:rPr>
              <w:t>Ограничение в правах</w:t>
            </w:r>
          </w:p>
        </w:tc>
        <w:tc>
          <w:tcPr>
            <w:tcW w:w="686" w:type="dxa"/>
            <w:vAlign w:val="center"/>
          </w:tcPr>
          <w:p w:rsidR="00000000" w:rsidRDefault="00000000">
            <w:pPr>
              <w:tabs>
                <w:tab w:val="clear" w:pos="567"/>
                <w:tab w:val="left" w:pos="561"/>
              </w:tabs>
              <w:jc w:val="center"/>
              <w:rPr>
                <w:sz w:val="20"/>
              </w:rPr>
            </w:pPr>
            <w:r>
              <w:rPr>
                <w:sz w:val="20"/>
              </w:rPr>
              <w:t>Штраф</w:t>
            </w:r>
          </w:p>
        </w:tc>
        <w:tc>
          <w:tcPr>
            <w:tcW w:w="1134" w:type="dxa"/>
            <w:vAlign w:val="center"/>
          </w:tcPr>
          <w:p w:rsidR="00000000" w:rsidRDefault="00000000">
            <w:pPr>
              <w:tabs>
                <w:tab w:val="clear" w:pos="567"/>
                <w:tab w:val="left" w:pos="561"/>
              </w:tabs>
              <w:jc w:val="center"/>
              <w:rPr>
                <w:sz w:val="20"/>
              </w:rPr>
            </w:pPr>
            <w:r>
              <w:rPr>
                <w:sz w:val="20"/>
              </w:rPr>
              <w:t>Понижение в должности</w:t>
            </w:r>
          </w:p>
        </w:tc>
        <w:tc>
          <w:tcPr>
            <w:tcW w:w="1092" w:type="dxa"/>
            <w:vAlign w:val="center"/>
          </w:tcPr>
          <w:p w:rsidR="00000000" w:rsidRDefault="00000000">
            <w:pPr>
              <w:tabs>
                <w:tab w:val="clear" w:pos="567"/>
                <w:tab w:val="left" w:pos="561"/>
              </w:tabs>
              <w:jc w:val="center"/>
              <w:rPr>
                <w:sz w:val="20"/>
              </w:rPr>
            </w:pPr>
            <w:r>
              <w:rPr>
                <w:sz w:val="20"/>
              </w:rPr>
              <w:t>Увольнение в отставку</w:t>
            </w:r>
          </w:p>
        </w:tc>
        <w:tc>
          <w:tcPr>
            <w:tcW w:w="592" w:type="dxa"/>
            <w:vAlign w:val="center"/>
          </w:tcPr>
          <w:p w:rsidR="00000000" w:rsidRDefault="00000000">
            <w:pPr>
              <w:tabs>
                <w:tab w:val="clear" w:pos="567"/>
                <w:tab w:val="left" w:pos="561"/>
              </w:tabs>
              <w:jc w:val="center"/>
              <w:rPr>
                <w:sz w:val="20"/>
              </w:rPr>
            </w:pPr>
            <w:r>
              <w:rPr>
                <w:sz w:val="20"/>
              </w:rPr>
              <w:t>Всего</w:t>
            </w:r>
          </w:p>
        </w:tc>
      </w:tr>
      <w:tr w:rsidR="00000000">
        <w:tblPrEx>
          <w:tblCellMar>
            <w:top w:w="0" w:type="dxa"/>
            <w:bottom w:w="0" w:type="dxa"/>
          </w:tblCellMar>
        </w:tblPrEx>
        <w:trPr>
          <w:cantSplit/>
        </w:trPr>
        <w:tc>
          <w:tcPr>
            <w:tcW w:w="1036" w:type="dxa"/>
            <w:vAlign w:val="center"/>
          </w:tcPr>
          <w:p w:rsidR="00000000" w:rsidRDefault="00000000">
            <w:pPr>
              <w:tabs>
                <w:tab w:val="clear" w:pos="567"/>
                <w:tab w:val="left" w:pos="561"/>
              </w:tabs>
              <w:jc w:val="center"/>
              <w:rPr>
                <w:sz w:val="20"/>
              </w:rPr>
            </w:pPr>
            <w:r>
              <w:rPr>
                <w:sz w:val="20"/>
              </w:rPr>
              <w:t>8</w:t>
            </w:r>
          </w:p>
        </w:tc>
        <w:tc>
          <w:tcPr>
            <w:tcW w:w="1402" w:type="dxa"/>
            <w:vAlign w:val="center"/>
          </w:tcPr>
          <w:p w:rsidR="00000000" w:rsidRDefault="00000000">
            <w:pPr>
              <w:tabs>
                <w:tab w:val="clear" w:pos="567"/>
                <w:tab w:val="left" w:pos="561"/>
              </w:tabs>
              <w:jc w:val="center"/>
              <w:rPr>
                <w:sz w:val="20"/>
              </w:rPr>
            </w:pPr>
            <w:r>
              <w:rPr>
                <w:sz w:val="20"/>
              </w:rPr>
              <w:t>22</w:t>
            </w:r>
          </w:p>
        </w:tc>
        <w:tc>
          <w:tcPr>
            <w:tcW w:w="1160" w:type="dxa"/>
            <w:vAlign w:val="center"/>
          </w:tcPr>
          <w:p w:rsidR="00000000" w:rsidRDefault="00000000">
            <w:pPr>
              <w:tabs>
                <w:tab w:val="clear" w:pos="567"/>
                <w:tab w:val="left" w:pos="561"/>
              </w:tabs>
              <w:jc w:val="center"/>
              <w:rPr>
                <w:sz w:val="20"/>
              </w:rPr>
            </w:pPr>
            <w:r>
              <w:rPr>
                <w:sz w:val="20"/>
              </w:rPr>
              <w:t>47</w:t>
            </w:r>
          </w:p>
        </w:tc>
        <w:tc>
          <w:tcPr>
            <w:tcW w:w="1134" w:type="dxa"/>
            <w:vAlign w:val="center"/>
          </w:tcPr>
          <w:p w:rsidR="00000000" w:rsidRDefault="00000000">
            <w:pPr>
              <w:tabs>
                <w:tab w:val="clear" w:pos="567"/>
                <w:tab w:val="left" w:pos="561"/>
              </w:tabs>
              <w:jc w:val="center"/>
              <w:rPr>
                <w:sz w:val="20"/>
              </w:rPr>
            </w:pPr>
            <w:r>
              <w:rPr>
                <w:sz w:val="20"/>
              </w:rPr>
              <w:t>5</w:t>
            </w:r>
          </w:p>
        </w:tc>
        <w:tc>
          <w:tcPr>
            <w:tcW w:w="1175" w:type="dxa"/>
            <w:vAlign w:val="center"/>
          </w:tcPr>
          <w:p w:rsidR="00000000" w:rsidRDefault="00000000">
            <w:pPr>
              <w:tabs>
                <w:tab w:val="clear" w:pos="567"/>
                <w:tab w:val="left" w:pos="561"/>
              </w:tabs>
              <w:jc w:val="center"/>
              <w:rPr>
                <w:sz w:val="20"/>
              </w:rPr>
            </w:pPr>
            <w:r>
              <w:rPr>
                <w:sz w:val="20"/>
              </w:rPr>
              <w:t>33</w:t>
            </w:r>
          </w:p>
        </w:tc>
        <w:tc>
          <w:tcPr>
            <w:tcW w:w="686" w:type="dxa"/>
            <w:vAlign w:val="center"/>
          </w:tcPr>
          <w:p w:rsidR="00000000" w:rsidRDefault="00000000">
            <w:pPr>
              <w:tabs>
                <w:tab w:val="clear" w:pos="567"/>
                <w:tab w:val="left" w:pos="561"/>
              </w:tabs>
              <w:jc w:val="center"/>
              <w:rPr>
                <w:sz w:val="20"/>
              </w:rPr>
            </w:pPr>
            <w:r>
              <w:rPr>
                <w:sz w:val="20"/>
              </w:rPr>
              <w:t>5</w:t>
            </w:r>
          </w:p>
        </w:tc>
        <w:tc>
          <w:tcPr>
            <w:tcW w:w="1134" w:type="dxa"/>
            <w:vAlign w:val="center"/>
          </w:tcPr>
          <w:p w:rsidR="00000000" w:rsidRDefault="00000000">
            <w:pPr>
              <w:tabs>
                <w:tab w:val="clear" w:pos="567"/>
                <w:tab w:val="left" w:pos="561"/>
              </w:tabs>
              <w:jc w:val="center"/>
              <w:rPr>
                <w:sz w:val="20"/>
              </w:rPr>
            </w:pPr>
            <w:r>
              <w:rPr>
                <w:sz w:val="20"/>
              </w:rPr>
              <w:t>20</w:t>
            </w:r>
          </w:p>
        </w:tc>
        <w:tc>
          <w:tcPr>
            <w:tcW w:w="1092" w:type="dxa"/>
            <w:vAlign w:val="center"/>
          </w:tcPr>
          <w:p w:rsidR="00000000" w:rsidRDefault="00000000">
            <w:pPr>
              <w:tabs>
                <w:tab w:val="clear" w:pos="567"/>
                <w:tab w:val="left" w:pos="561"/>
              </w:tabs>
              <w:jc w:val="center"/>
              <w:rPr>
                <w:sz w:val="20"/>
              </w:rPr>
            </w:pPr>
            <w:r>
              <w:rPr>
                <w:sz w:val="20"/>
              </w:rPr>
              <w:t>1</w:t>
            </w:r>
          </w:p>
        </w:tc>
        <w:tc>
          <w:tcPr>
            <w:tcW w:w="592" w:type="dxa"/>
            <w:vAlign w:val="center"/>
          </w:tcPr>
          <w:p w:rsidR="00000000" w:rsidRDefault="00000000">
            <w:pPr>
              <w:tabs>
                <w:tab w:val="clear" w:pos="567"/>
                <w:tab w:val="left" w:pos="561"/>
              </w:tabs>
              <w:jc w:val="center"/>
              <w:rPr>
                <w:sz w:val="20"/>
              </w:rPr>
            </w:pPr>
            <w:r>
              <w:rPr>
                <w:sz w:val="20"/>
              </w:rPr>
              <w:t>141</w:t>
            </w:r>
          </w:p>
        </w:tc>
      </w:tr>
    </w:tbl>
    <w:p w:rsidR="00000000" w:rsidRDefault="00000000">
      <w:pPr>
        <w:tabs>
          <w:tab w:val="clear" w:pos="567"/>
          <w:tab w:val="left" w:pos="561"/>
        </w:tabs>
        <w:spacing w:line="240" w:lineRule="auto"/>
        <w:ind w:firstLine="14"/>
      </w:pPr>
    </w:p>
    <w:p w:rsidR="00000000" w:rsidRDefault="00000000">
      <w:pPr>
        <w:tabs>
          <w:tab w:val="clear" w:pos="567"/>
          <w:tab w:val="left" w:pos="561"/>
        </w:tabs>
        <w:spacing w:line="240" w:lineRule="auto"/>
        <w:ind w:firstLine="14"/>
      </w:pPr>
    </w:p>
    <w:p w:rsidR="00000000" w:rsidRDefault="00000000">
      <w:pPr>
        <w:tabs>
          <w:tab w:val="clear" w:pos="567"/>
          <w:tab w:val="left" w:pos="561"/>
        </w:tabs>
        <w:ind w:firstLine="14"/>
      </w:pPr>
      <w:r>
        <w:t>141.</w:t>
      </w:r>
      <w:r>
        <w:tab/>
        <w:t>В период между 1997 и 2004 годами (сентябрь) НКПЧ направил Генеральной прокуратуре Республики четыре рекомендации в отношении пыток.  В связи с двумя рекомендациями были возбуждены уголовные дела (4/97 и 69/97) в отношении пяти лиц.  Одно из этих лиц было наказано за злоупотребление полномочиями.  В результате расследования, проведенного в связи с двумя другими рекомендациями, было принято решение уголовные дела не возбуждать</w:t>
      </w:r>
      <w:r>
        <w:rPr>
          <w:rStyle w:val="EndnoteReference"/>
        </w:rPr>
        <w:endnoteReference w:id="62"/>
      </w:r>
      <w:r>
        <w:t>.</w:t>
      </w:r>
    </w:p>
    <w:p w:rsidR="00000000" w:rsidRDefault="00000000"/>
    <w:p w:rsidR="00000000" w:rsidRDefault="00000000">
      <w:r>
        <w:t>142.</w:t>
      </w:r>
      <w:r>
        <w:tab/>
        <w:t>Из этих четырех рекомендаций две касались пыток и порядка отправления правосудия, третья рекомендация касалась пыток, а последняя - нанесения телесных повреждений, отправления правосудия и применения пыток.</w:t>
      </w:r>
    </w:p>
    <w:p w:rsidR="00000000" w:rsidRDefault="00000000"/>
    <w:p w:rsidR="00000000" w:rsidRDefault="00000000">
      <w:r>
        <w:t>143.</w:t>
      </w:r>
      <w:r>
        <w:tab/>
        <w:t>Что касается судебного разбирательства в отношении пяти государственных должностных лиц, то они находились в следующем состоянии:</w:t>
      </w:r>
    </w:p>
    <w:p w:rsidR="00000000" w:rsidRDefault="00000000"/>
    <w:p w:rsidR="00000000" w:rsidRDefault="00000000">
      <w:r>
        <w:tab/>
        <w:t>a)</w:t>
      </w:r>
      <w:r>
        <w:tab/>
        <w:t>в одном случае постановление о тюремном заключении было отменено;</w:t>
      </w:r>
    </w:p>
    <w:p w:rsidR="00000000" w:rsidRDefault="00000000"/>
    <w:p w:rsidR="00000000" w:rsidRDefault="00000000">
      <w:r>
        <w:tab/>
        <w:t>b)</w:t>
      </w:r>
      <w:r>
        <w:tab/>
        <w:t>в двух случаях лица были освобождены по причине установленного завышения тяжести предъявленных им уголовных обвинений;</w:t>
      </w:r>
    </w:p>
    <w:p w:rsidR="00000000" w:rsidRDefault="00000000"/>
    <w:p w:rsidR="00000000" w:rsidRDefault="00000000">
      <w:r>
        <w:tab/>
        <w:t>c)</w:t>
      </w:r>
      <w:r>
        <w:tab/>
        <w:t>в одном случае было принято постановление об освобождении лица из-под стражи;</w:t>
      </w:r>
    </w:p>
    <w:p w:rsidR="00000000" w:rsidRDefault="00000000"/>
    <w:p w:rsidR="00000000" w:rsidRDefault="00000000">
      <w:r>
        <w:tab/>
        <w:t>d)</w:t>
      </w:r>
      <w:r>
        <w:tab/>
        <w:t>в одном случае был вынесен обвинительный приговор.</w:t>
      </w:r>
    </w:p>
    <w:p w:rsidR="00000000" w:rsidRDefault="00000000"/>
    <w:p w:rsidR="00000000" w:rsidRDefault="00000000">
      <w:r>
        <w:t>144.</w:t>
      </w:r>
      <w:r>
        <w:tab/>
        <w:t>Что касается административной ответственности, то 11 государственным должностным лицам были вынесены следующие наказания:  a)  снятие с должности и ограничение в правах в течение пяти лет;  b)  снятие с должности и ограничение в правах в течение десяти лет;  c)  снятие с должности;  d)  ограничение в правах в течение трех лет;  и  e)  отстранение от исполнения обязанностей в течение 90 дней;  f)  отстранение от исполнения обязанностей в течение 90 дней;  g)  ограничение в правах в течение трех лет;  h)  общественное порицание;  i)  ограничение в правах в течение двух лет;  j)  снятие с должности и ограничение в правах в течение двух лет и  k)  ограничение в правах в течение двух лет.</w:t>
      </w:r>
    </w:p>
    <w:p w:rsidR="00000000" w:rsidRDefault="00000000"/>
    <w:p w:rsidR="00000000" w:rsidRDefault="00000000">
      <w:r>
        <w:t>145.</w:t>
      </w:r>
      <w:r>
        <w:tab/>
        <w:t>Что касается четырех полученных рекомендаций, то по ним проводится предварительное следствие.  В первом случае речь идет о возможном совершении преступлений, связанных с пытками, злоупотреблением полномочиями и сокрытием фактов.  По решению министерства юстиции было возбуждено уголовное дело, и на время проведения следственных действий соответствующие государственные должностные лица были освобождены из-под стражи.  Что касается второго обвинения, то после проведения расследований, связанных со злоупотреблением полномочиями, один государственный служащий был освобожден из-под стражи, а второй был приговорен к трем годам условно с обязательным отбыванием тюремного заключения в течение шести месяцев.  Что же касается расследования третьего и четвертого дел, то в их ходе не было обнаружено оснований для возбуждения уголовных дел.</w:t>
      </w:r>
    </w:p>
    <w:p w:rsidR="00000000" w:rsidRDefault="00000000"/>
    <w:p w:rsidR="00000000" w:rsidRDefault="00000000">
      <w:r>
        <w:t>146.</w:t>
      </w:r>
      <w:r>
        <w:tab/>
        <w:t>В течение 1997-2003 годов из различных прокуратур штатов была получена следующая информация:</w:t>
      </w:r>
    </w:p>
    <w:p w:rsidR="00000000" w:rsidRDefault="00000000">
      <w:pPr>
        <w:pStyle w:val="BodyText"/>
        <w:spacing w:line="360" w:lineRule="auto"/>
        <w:rPr>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68"/>
        <w:gridCol w:w="1342"/>
        <w:gridCol w:w="1260"/>
        <w:gridCol w:w="1190"/>
        <w:gridCol w:w="1329"/>
        <w:gridCol w:w="2622"/>
      </w:tblGrid>
      <w:tr w:rsidR="00000000">
        <w:trPr>
          <w:cantSplit/>
          <w:tblHeader/>
        </w:trPr>
        <w:tc>
          <w:tcPr>
            <w:tcW w:w="1668" w:type="dxa"/>
            <w:vAlign w:val="center"/>
          </w:tcPr>
          <w:p w:rsidR="00000000" w:rsidRDefault="00000000">
            <w:pPr>
              <w:spacing w:line="240" w:lineRule="auto"/>
              <w:jc w:val="center"/>
              <w:rPr>
                <w:sz w:val="22"/>
              </w:rPr>
            </w:pPr>
            <w:r>
              <w:rPr>
                <w:sz w:val="22"/>
              </w:rPr>
              <w:t>Штат</w:t>
            </w:r>
          </w:p>
        </w:tc>
        <w:tc>
          <w:tcPr>
            <w:tcW w:w="1342" w:type="dxa"/>
            <w:vAlign w:val="center"/>
          </w:tcPr>
          <w:p w:rsidR="00000000" w:rsidRDefault="00000000">
            <w:pPr>
              <w:spacing w:line="240" w:lineRule="auto"/>
              <w:jc w:val="center"/>
              <w:rPr>
                <w:sz w:val="22"/>
              </w:rPr>
            </w:pPr>
            <w:r>
              <w:rPr>
                <w:sz w:val="22"/>
              </w:rPr>
              <w:t>Жалобы на применение пыток,</w:t>
            </w:r>
          </w:p>
          <w:p w:rsidR="00000000" w:rsidRDefault="00000000">
            <w:pPr>
              <w:spacing w:line="240" w:lineRule="auto"/>
              <w:jc w:val="center"/>
              <w:rPr>
                <w:sz w:val="22"/>
              </w:rPr>
            </w:pPr>
            <w:r>
              <w:rPr>
                <w:sz w:val="22"/>
              </w:rPr>
              <w:t>1997-</w:t>
            </w:r>
          </w:p>
          <w:p w:rsidR="00000000" w:rsidRDefault="00000000">
            <w:pPr>
              <w:spacing w:line="240" w:lineRule="auto"/>
              <w:jc w:val="center"/>
              <w:rPr>
                <w:sz w:val="22"/>
              </w:rPr>
            </w:pPr>
            <w:r>
              <w:rPr>
                <w:sz w:val="22"/>
              </w:rPr>
              <w:t>2003 годы</w:t>
            </w:r>
          </w:p>
        </w:tc>
        <w:tc>
          <w:tcPr>
            <w:tcW w:w="1260" w:type="dxa"/>
            <w:vAlign w:val="center"/>
          </w:tcPr>
          <w:p w:rsidR="00000000" w:rsidRDefault="00000000">
            <w:pPr>
              <w:spacing w:line="240" w:lineRule="auto"/>
              <w:jc w:val="center"/>
              <w:rPr>
                <w:sz w:val="22"/>
              </w:rPr>
            </w:pPr>
            <w:r>
              <w:rPr>
                <w:sz w:val="22"/>
              </w:rPr>
              <w:t>Возбуж-дение админист-ративного дела</w:t>
            </w:r>
          </w:p>
        </w:tc>
        <w:tc>
          <w:tcPr>
            <w:tcW w:w="1190" w:type="dxa"/>
            <w:vAlign w:val="center"/>
          </w:tcPr>
          <w:p w:rsidR="00000000" w:rsidRDefault="00000000">
            <w:pPr>
              <w:spacing w:line="240" w:lineRule="auto"/>
              <w:jc w:val="center"/>
              <w:rPr>
                <w:sz w:val="22"/>
              </w:rPr>
            </w:pPr>
            <w:r>
              <w:rPr>
                <w:sz w:val="22"/>
              </w:rPr>
              <w:t>Предвари-тельное следствие</w:t>
            </w:r>
          </w:p>
        </w:tc>
        <w:tc>
          <w:tcPr>
            <w:tcW w:w="1329" w:type="dxa"/>
            <w:vAlign w:val="center"/>
          </w:tcPr>
          <w:p w:rsidR="00000000" w:rsidRDefault="00000000">
            <w:pPr>
              <w:spacing w:line="240" w:lineRule="auto"/>
              <w:jc w:val="center"/>
              <w:rPr>
                <w:sz w:val="22"/>
              </w:rPr>
            </w:pPr>
            <w:r>
              <w:rPr>
                <w:sz w:val="22"/>
              </w:rPr>
              <w:t>Возбуждение уголовного дела</w:t>
            </w:r>
          </w:p>
        </w:tc>
        <w:tc>
          <w:tcPr>
            <w:tcW w:w="2622" w:type="dxa"/>
            <w:vAlign w:val="center"/>
          </w:tcPr>
          <w:p w:rsidR="00000000" w:rsidRDefault="00000000">
            <w:pPr>
              <w:spacing w:line="240" w:lineRule="auto"/>
              <w:jc w:val="center"/>
              <w:rPr>
                <w:sz w:val="22"/>
              </w:rPr>
            </w:pPr>
            <w:r>
              <w:rPr>
                <w:sz w:val="22"/>
              </w:rPr>
              <w:t>Решение</w:t>
            </w:r>
          </w:p>
        </w:tc>
      </w:tr>
      <w:tr w:rsidR="00000000">
        <w:trPr>
          <w:cantSplit/>
        </w:trPr>
        <w:tc>
          <w:tcPr>
            <w:tcW w:w="1668" w:type="dxa"/>
          </w:tcPr>
          <w:p w:rsidR="00000000" w:rsidRDefault="00000000">
            <w:pPr>
              <w:spacing w:line="240" w:lineRule="auto"/>
              <w:jc w:val="both"/>
              <w:rPr>
                <w:sz w:val="22"/>
              </w:rPr>
            </w:pPr>
            <w:r>
              <w:rPr>
                <w:sz w:val="22"/>
              </w:rPr>
              <w:t>Агуаскальентес</w:t>
            </w:r>
          </w:p>
        </w:tc>
        <w:tc>
          <w:tcPr>
            <w:tcW w:w="1342" w:type="dxa"/>
          </w:tcPr>
          <w:p w:rsidR="00000000" w:rsidRDefault="00000000">
            <w:pPr>
              <w:spacing w:line="240" w:lineRule="auto"/>
              <w:jc w:val="center"/>
              <w:rPr>
                <w:sz w:val="22"/>
                <w:lang w:val="fr-FR"/>
              </w:rPr>
            </w:pPr>
            <w:r>
              <w:rPr>
                <w:sz w:val="22"/>
                <w:lang w:val="fr-FR"/>
              </w:rPr>
              <w:t>1</w:t>
            </w:r>
          </w:p>
        </w:tc>
        <w:tc>
          <w:tcPr>
            <w:tcW w:w="1260" w:type="dxa"/>
          </w:tcPr>
          <w:p w:rsidR="00000000" w:rsidRDefault="00000000">
            <w:pPr>
              <w:spacing w:line="240" w:lineRule="auto"/>
              <w:jc w:val="center"/>
              <w:rPr>
                <w:sz w:val="22"/>
                <w:lang w:val="fr-FR"/>
              </w:rPr>
            </w:pPr>
            <w:r>
              <w:rPr>
                <w:sz w:val="22"/>
                <w:lang w:val="fr-FR"/>
              </w:rPr>
              <w:t>-</w:t>
            </w:r>
          </w:p>
        </w:tc>
        <w:tc>
          <w:tcPr>
            <w:tcW w:w="1190" w:type="dxa"/>
          </w:tcPr>
          <w:p w:rsidR="00000000" w:rsidRDefault="00000000">
            <w:pPr>
              <w:spacing w:line="240" w:lineRule="auto"/>
              <w:jc w:val="center"/>
              <w:rPr>
                <w:sz w:val="22"/>
                <w:lang w:val="fr-FR"/>
              </w:rPr>
            </w:pPr>
            <w:r>
              <w:rPr>
                <w:sz w:val="22"/>
                <w:lang w:val="fr-FR"/>
              </w:rPr>
              <w:t>1</w:t>
            </w:r>
          </w:p>
        </w:tc>
        <w:tc>
          <w:tcPr>
            <w:tcW w:w="1329" w:type="dxa"/>
          </w:tcPr>
          <w:p w:rsidR="00000000" w:rsidRDefault="00000000">
            <w:pPr>
              <w:spacing w:line="240" w:lineRule="auto"/>
              <w:jc w:val="center"/>
              <w:rPr>
                <w:sz w:val="22"/>
                <w:lang w:val="fr-FR"/>
              </w:rPr>
            </w:pPr>
            <w:r>
              <w:rPr>
                <w:sz w:val="22"/>
                <w:lang w:val="fr-FR"/>
              </w:rPr>
              <w:t>-</w:t>
            </w:r>
          </w:p>
        </w:tc>
        <w:tc>
          <w:tcPr>
            <w:tcW w:w="2622" w:type="dxa"/>
          </w:tcPr>
          <w:p w:rsidR="00000000" w:rsidRDefault="00000000">
            <w:pPr>
              <w:spacing w:line="240" w:lineRule="auto"/>
              <w:rPr>
                <w:sz w:val="22"/>
              </w:rPr>
            </w:pPr>
            <w:r>
              <w:rPr>
                <w:sz w:val="22"/>
              </w:rPr>
              <w:t>решение не принято</w:t>
            </w:r>
          </w:p>
        </w:tc>
      </w:tr>
      <w:tr w:rsidR="00000000">
        <w:trPr>
          <w:cantSplit/>
        </w:trPr>
        <w:tc>
          <w:tcPr>
            <w:tcW w:w="1668" w:type="dxa"/>
          </w:tcPr>
          <w:p w:rsidR="00000000" w:rsidRDefault="00000000">
            <w:pPr>
              <w:spacing w:line="240" w:lineRule="auto"/>
              <w:jc w:val="both"/>
              <w:rPr>
                <w:sz w:val="22"/>
              </w:rPr>
            </w:pPr>
            <w:r>
              <w:rPr>
                <w:sz w:val="22"/>
              </w:rPr>
              <w:t>Кампече</w:t>
            </w:r>
          </w:p>
        </w:tc>
        <w:tc>
          <w:tcPr>
            <w:tcW w:w="1342" w:type="dxa"/>
          </w:tcPr>
          <w:p w:rsidR="00000000" w:rsidRDefault="00000000">
            <w:pPr>
              <w:spacing w:line="240" w:lineRule="auto"/>
              <w:jc w:val="center"/>
              <w:rPr>
                <w:sz w:val="22"/>
                <w:lang w:val="fr-FR"/>
              </w:rPr>
            </w:pPr>
            <w:r>
              <w:rPr>
                <w:sz w:val="22"/>
                <w:lang w:val="fr-FR"/>
              </w:rPr>
              <w:t>0</w:t>
            </w:r>
          </w:p>
        </w:tc>
        <w:tc>
          <w:tcPr>
            <w:tcW w:w="1260" w:type="dxa"/>
          </w:tcPr>
          <w:p w:rsidR="00000000" w:rsidRDefault="00000000">
            <w:pPr>
              <w:spacing w:line="240" w:lineRule="auto"/>
              <w:jc w:val="center"/>
              <w:rPr>
                <w:sz w:val="22"/>
                <w:lang w:val="fr-FR"/>
              </w:rPr>
            </w:pPr>
            <w:r>
              <w:rPr>
                <w:sz w:val="22"/>
                <w:lang w:val="fr-FR"/>
              </w:rPr>
              <w:t>0</w:t>
            </w:r>
          </w:p>
        </w:tc>
        <w:tc>
          <w:tcPr>
            <w:tcW w:w="1190" w:type="dxa"/>
          </w:tcPr>
          <w:p w:rsidR="00000000" w:rsidRDefault="00000000">
            <w:pPr>
              <w:spacing w:line="240" w:lineRule="auto"/>
              <w:jc w:val="center"/>
              <w:rPr>
                <w:sz w:val="22"/>
                <w:lang w:val="fr-FR"/>
              </w:rPr>
            </w:pPr>
            <w:r>
              <w:rPr>
                <w:sz w:val="22"/>
                <w:lang w:val="fr-FR"/>
              </w:rPr>
              <w:t>0</w:t>
            </w:r>
          </w:p>
        </w:tc>
        <w:tc>
          <w:tcPr>
            <w:tcW w:w="1329" w:type="dxa"/>
          </w:tcPr>
          <w:p w:rsidR="00000000" w:rsidRDefault="00000000">
            <w:pPr>
              <w:spacing w:line="240" w:lineRule="auto"/>
              <w:jc w:val="center"/>
              <w:rPr>
                <w:sz w:val="22"/>
                <w:lang w:val="fr-FR"/>
              </w:rPr>
            </w:pPr>
            <w:r>
              <w:rPr>
                <w:sz w:val="22"/>
                <w:lang w:val="fr-FR"/>
              </w:rPr>
              <w:t>0</w:t>
            </w:r>
          </w:p>
        </w:tc>
        <w:tc>
          <w:tcPr>
            <w:tcW w:w="2622" w:type="dxa"/>
          </w:tcPr>
          <w:p w:rsidR="00000000" w:rsidRDefault="00000000">
            <w:pPr>
              <w:spacing w:line="240" w:lineRule="auto"/>
              <w:rPr>
                <w:sz w:val="22"/>
              </w:rPr>
            </w:pPr>
            <w:r>
              <w:rPr>
                <w:sz w:val="22"/>
              </w:rPr>
              <w:t>решение не принято</w:t>
            </w:r>
          </w:p>
        </w:tc>
      </w:tr>
      <w:tr w:rsidR="00000000">
        <w:trPr>
          <w:cantSplit/>
        </w:trPr>
        <w:tc>
          <w:tcPr>
            <w:tcW w:w="1668" w:type="dxa"/>
          </w:tcPr>
          <w:p w:rsidR="00000000" w:rsidRDefault="00000000">
            <w:pPr>
              <w:spacing w:line="240" w:lineRule="auto"/>
              <w:jc w:val="both"/>
              <w:rPr>
                <w:sz w:val="22"/>
              </w:rPr>
            </w:pPr>
            <w:r>
              <w:rPr>
                <w:sz w:val="22"/>
              </w:rPr>
              <w:t>Колима</w:t>
            </w:r>
          </w:p>
        </w:tc>
        <w:tc>
          <w:tcPr>
            <w:tcW w:w="1342" w:type="dxa"/>
          </w:tcPr>
          <w:p w:rsidR="00000000" w:rsidRDefault="00000000">
            <w:pPr>
              <w:spacing w:line="240" w:lineRule="auto"/>
              <w:jc w:val="center"/>
              <w:rPr>
                <w:sz w:val="22"/>
                <w:lang w:val="fr-FR"/>
              </w:rPr>
            </w:pPr>
            <w:r>
              <w:rPr>
                <w:sz w:val="22"/>
                <w:lang w:val="fr-FR"/>
              </w:rPr>
              <w:t>0</w:t>
            </w:r>
          </w:p>
        </w:tc>
        <w:tc>
          <w:tcPr>
            <w:tcW w:w="1260" w:type="dxa"/>
          </w:tcPr>
          <w:p w:rsidR="00000000" w:rsidRDefault="00000000">
            <w:pPr>
              <w:spacing w:line="240" w:lineRule="auto"/>
              <w:jc w:val="center"/>
              <w:rPr>
                <w:sz w:val="22"/>
                <w:lang w:val="fr-FR"/>
              </w:rPr>
            </w:pPr>
            <w:r>
              <w:rPr>
                <w:sz w:val="22"/>
                <w:lang w:val="fr-FR"/>
              </w:rPr>
              <w:t>0</w:t>
            </w:r>
          </w:p>
        </w:tc>
        <w:tc>
          <w:tcPr>
            <w:tcW w:w="1190" w:type="dxa"/>
          </w:tcPr>
          <w:p w:rsidR="00000000" w:rsidRDefault="00000000">
            <w:pPr>
              <w:spacing w:line="240" w:lineRule="auto"/>
              <w:jc w:val="center"/>
              <w:rPr>
                <w:sz w:val="22"/>
                <w:lang w:val="fr-FR"/>
              </w:rPr>
            </w:pPr>
            <w:r>
              <w:rPr>
                <w:sz w:val="22"/>
                <w:lang w:val="fr-FR"/>
              </w:rPr>
              <w:t>0</w:t>
            </w:r>
          </w:p>
        </w:tc>
        <w:tc>
          <w:tcPr>
            <w:tcW w:w="1329" w:type="dxa"/>
          </w:tcPr>
          <w:p w:rsidR="00000000" w:rsidRDefault="00000000">
            <w:pPr>
              <w:spacing w:line="240" w:lineRule="auto"/>
              <w:jc w:val="center"/>
              <w:rPr>
                <w:sz w:val="22"/>
                <w:lang w:val="fr-FR"/>
              </w:rPr>
            </w:pPr>
            <w:r>
              <w:rPr>
                <w:sz w:val="22"/>
                <w:lang w:val="fr-FR"/>
              </w:rPr>
              <w:t>0</w:t>
            </w:r>
          </w:p>
        </w:tc>
        <w:tc>
          <w:tcPr>
            <w:tcW w:w="2622" w:type="dxa"/>
          </w:tcPr>
          <w:p w:rsidR="00000000" w:rsidRDefault="00000000">
            <w:pPr>
              <w:spacing w:line="240" w:lineRule="auto"/>
              <w:rPr>
                <w:sz w:val="22"/>
              </w:rPr>
            </w:pPr>
            <w:r>
              <w:rPr>
                <w:sz w:val="22"/>
              </w:rPr>
              <w:t>решение не принято</w:t>
            </w:r>
          </w:p>
        </w:tc>
      </w:tr>
      <w:tr w:rsidR="00000000">
        <w:trPr>
          <w:cantSplit/>
        </w:trPr>
        <w:tc>
          <w:tcPr>
            <w:tcW w:w="1668" w:type="dxa"/>
          </w:tcPr>
          <w:p w:rsidR="00000000" w:rsidRDefault="00000000">
            <w:pPr>
              <w:spacing w:line="240" w:lineRule="auto"/>
              <w:jc w:val="both"/>
              <w:rPr>
                <w:sz w:val="22"/>
              </w:rPr>
            </w:pPr>
            <w:r>
              <w:rPr>
                <w:sz w:val="22"/>
              </w:rPr>
              <w:t>Дуранго</w:t>
            </w:r>
          </w:p>
        </w:tc>
        <w:tc>
          <w:tcPr>
            <w:tcW w:w="1342" w:type="dxa"/>
          </w:tcPr>
          <w:p w:rsidR="00000000" w:rsidRDefault="00000000">
            <w:pPr>
              <w:spacing w:line="240" w:lineRule="auto"/>
              <w:jc w:val="center"/>
              <w:rPr>
                <w:sz w:val="22"/>
                <w:lang w:val="fr-FR"/>
              </w:rPr>
            </w:pPr>
            <w:r>
              <w:rPr>
                <w:sz w:val="22"/>
                <w:lang w:val="fr-FR"/>
              </w:rPr>
              <w:t>11</w:t>
            </w:r>
          </w:p>
        </w:tc>
        <w:tc>
          <w:tcPr>
            <w:tcW w:w="1260" w:type="dxa"/>
          </w:tcPr>
          <w:p w:rsidR="00000000" w:rsidRDefault="00000000">
            <w:pPr>
              <w:spacing w:line="240" w:lineRule="auto"/>
              <w:jc w:val="center"/>
              <w:rPr>
                <w:sz w:val="22"/>
                <w:lang w:val="fr-FR"/>
              </w:rPr>
            </w:pPr>
            <w:r>
              <w:rPr>
                <w:sz w:val="22"/>
                <w:lang w:val="fr-FR"/>
              </w:rPr>
              <w:t>0</w:t>
            </w:r>
          </w:p>
        </w:tc>
        <w:tc>
          <w:tcPr>
            <w:tcW w:w="1190" w:type="dxa"/>
          </w:tcPr>
          <w:p w:rsidR="00000000" w:rsidRDefault="00000000">
            <w:pPr>
              <w:spacing w:line="240" w:lineRule="auto"/>
              <w:jc w:val="center"/>
              <w:rPr>
                <w:sz w:val="22"/>
                <w:lang w:val="fr-FR"/>
              </w:rPr>
            </w:pPr>
            <w:r>
              <w:rPr>
                <w:sz w:val="22"/>
                <w:lang w:val="fr-FR"/>
              </w:rPr>
              <w:t>0</w:t>
            </w:r>
          </w:p>
        </w:tc>
        <w:tc>
          <w:tcPr>
            <w:tcW w:w="1329" w:type="dxa"/>
          </w:tcPr>
          <w:p w:rsidR="00000000" w:rsidRDefault="00000000">
            <w:pPr>
              <w:spacing w:line="240" w:lineRule="auto"/>
              <w:jc w:val="center"/>
              <w:rPr>
                <w:sz w:val="22"/>
                <w:lang w:val="fr-FR"/>
              </w:rPr>
            </w:pPr>
            <w:r>
              <w:rPr>
                <w:sz w:val="22"/>
                <w:lang w:val="fr-FR"/>
              </w:rPr>
              <w:t>0</w:t>
            </w:r>
          </w:p>
        </w:tc>
        <w:tc>
          <w:tcPr>
            <w:tcW w:w="2622" w:type="dxa"/>
          </w:tcPr>
          <w:p w:rsidR="00000000" w:rsidRDefault="00000000">
            <w:pPr>
              <w:spacing w:line="240" w:lineRule="auto"/>
              <w:rPr>
                <w:sz w:val="22"/>
              </w:rPr>
            </w:pPr>
            <w:r>
              <w:rPr>
                <w:sz w:val="22"/>
              </w:rPr>
              <w:t>решение не принято</w:t>
            </w:r>
          </w:p>
        </w:tc>
      </w:tr>
      <w:tr w:rsidR="00000000">
        <w:trPr>
          <w:cantSplit/>
        </w:trPr>
        <w:tc>
          <w:tcPr>
            <w:tcW w:w="1668" w:type="dxa"/>
          </w:tcPr>
          <w:p w:rsidR="00000000" w:rsidRDefault="00000000">
            <w:pPr>
              <w:spacing w:line="240" w:lineRule="auto"/>
              <w:jc w:val="both"/>
              <w:rPr>
                <w:sz w:val="22"/>
              </w:rPr>
            </w:pPr>
            <w:r>
              <w:rPr>
                <w:sz w:val="22"/>
              </w:rPr>
              <w:t>Гуанахуато</w:t>
            </w:r>
          </w:p>
        </w:tc>
        <w:tc>
          <w:tcPr>
            <w:tcW w:w="1342" w:type="dxa"/>
          </w:tcPr>
          <w:p w:rsidR="00000000" w:rsidRDefault="00000000">
            <w:pPr>
              <w:spacing w:line="240" w:lineRule="auto"/>
              <w:jc w:val="center"/>
              <w:rPr>
                <w:sz w:val="22"/>
                <w:lang w:val="fr-FR"/>
              </w:rPr>
            </w:pPr>
            <w:r>
              <w:rPr>
                <w:sz w:val="22"/>
                <w:lang w:val="fr-FR"/>
              </w:rPr>
              <w:t>1</w:t>
            </w:r>
          </w:p>
        </w:tc>
        <w:tc>
          <w:tcPr>
            <w:tcW w:w="1260" w:type="dxa"/>
          </w:tcPr>
          <w:p w:rsidR="00000000" w:rsidRDefault="00000000">
            <w:pPr>
              <w:spacing w:line="240" w:lineRule="auto"/>
              <w:jc w:val="center"/>
              <w:rPr>
                <w:sz w:val="22"/>
                <w:lang w:val="fr-FR"/>
              </w:rPr>
            </w:pPr>
            <w:r>
              <w:rPr>
                <w:sz w:val="22"/>
                <w:lang w:val="fr-FR"/>
              </w:rPr>
              <w:t>0</w:t>
            </w:r>
          </w:p>
        </w:tc>
        <w:tc>
          <w:tcPr>
            <w:tcW w:w="1190" w:type="dxa"/>
          </w:tcPr>
          <w:p w:rsidR="00000000" w:rsidRDefault="00000000">
            <w:pPr>
              <w:spacing w:line="240" w:lineRule="auto"/>
              <w:jc w:val="center"/>
              <w:rPr>
                <w:sz w:val="22"/>
                <w:lang w:val="fr-FR"/>
              </w:rPr>
            </w:pPr>
            <w:r>
              <w:rPr>
                <w:sz w:val="22"/>
                <w:lang w:val="fr-FR"/>
              </w:rPr>
              <w:t>1</w:t>
            </w:r>
          </w:p>
        </w:tc>
        <w:tc>
          <w:tcPr>
            <w:tcW w:w="1329" w:type="dxa"/>
          </w:tcPr>
          <w:p w:rsidR="00000000" w:rsidRDefault="00000000">
            <w:pPr>
              <w:spacing w:line="240" w:lineRule="auto"/>
              <w:jc w:val="center"/>
              <w:rPr>
                <w:sz w:val="22"/>
                <w:lang w:val="fr-FR"/>
              </w:rPr>
            </w:pPr>
            <w:r>
              <w:rPr>
                <w:sz w:val="22"/>
                <w:lang w:val="fr-FR"/>
              </w:rPr>
              <w:t>0</w:t>
            </w:r>
          </w:p>
        </w:tc>
        <w:tc>
          <w:tcPr>
            <w:tcW w:w="2622" w:type="dxa"/>
          </w:tcPr>
          <w:p w:rsidR="00000000" w:rsidRDefault="00000000">
            <w:pPr>
              <w:spacing w:line="240" w:lineRule="auto"/>
              <w:rPr>
                <w:sz w:val="22"/>
              </w:rPr>
            </w:pPr>
            <w:r>
              <w:rPr>
                <w:sz w:val="22"/>
              </w:rPr>
              <w:t>решение не принято</w:t>
            </w:r>
          </w:p>
        </w:tc>
      </w:tr>
      <w:tr w:rsidR="00000000">
        <w:trPr>
          <w:cantSplit/>
        </w:trPr>
        <w:tc>
          <w:tcPr>
            <w:tcW w:w="1668" w:type="dxa"/>
          </w:tcPr>
          <w:p w:rsidR="00000000" w:rsidRDefault="00000000">
            <w:pPr>
              <w:spacing w:line="240" w:lineRule="auto"/>
              <w:jc w:val="both"/>
              <w:rPr>
                <w:sz w:val="22"/>
              </w:rPr>
            </w:pPr>
            <w:r>
              <w:rPr>
                <w:sz w:val="22"/>
              </w:rPr>
              <w:t>Герреро</w:t>
            </w:r>
          </w:p>
        </w:tc>
        <w:tc>
          <w:tcPr>
            <w:tcW w:w="1342" w:type="dxa"/>
          </w:tcPr>
          <w:p w:rsidR="00000000" w:rsidRDefault="00000000">
            <w:pPr>
              <w:spacing w:line="240" w:lineRule="auto"/>
              <w:jc w:val="center"/>
              <w:rPr>
                <w:sz w:val="22"/>
                <w:lang w:val="fr-FR"/>
              </w:rPr>
            </w:pPr>
            <w:r>
              <w:rPr>
                <w:sz w:val="22"/>
                <w:lang w:val="fr-FR"/>
              </w:rPr>
              <w:t>1</w:t>
            </w:r>
          </w:p>
        </w:tc>
        <w:tc>
          <w:tcPr>
            <w:tcW w:w="1260" w:type="dxa"/>
          </w:tcPr>
          <w:p w:rsidR="00000000" w:rsidRDefault="00000000">
            <w:pPr>
              <w:spacing w:line="240" w:lineRule="auto"/>
              <w:jc w:val="center"/>
              <w:rPr>
                <w:sz w:val="22"/>
                <w:lang w:val="fr-FR"/>
              </w:rPr>
            </w:pPr>
            <w:r>
              <w:rPr>
                <w:sz w:val="22"/>
                <w:lang w:val="fr-FR"/>
              </w:rPr>
              <w:t>0</w:t>
            </w:r>
          </w:p>
        </w:tc>
        <w:tc>
          <w:tcPr>
            <w:tcW w:w="1190" w:type="dxa"/>
          </w:tcPr>
          <w:p w:rsidR="00000000" w:rsidRDefault="00000000">
            <w:pPr>
              <w:spacing w:line="240" w:lineRule="auto"/>
              <w:jc w:val="center"/>
              <w:rPr>
                <w:sz w:val="22"/>
                <w:lang w:val="fr-FR"/>
              </w:rPr>
            </w:pPr>
            <w:r>
              <w:rPr>
                <w:sz w:val="22"/>
                <w:lang w:val="fr-FR"/>
              </w:rPr>
              <w:t>1</w:t>
            </w:r>
          </w:p>
        </w:tc>
        <w:tc>
          <w:tcPr>
            <w:tcW w:w="1329" w:type="dxa"/>
          </w:tcPr>
          <w:p w:rsidR="00000000" w:rsidRDefault="00000000">
            <w:pPr>
              <w:spacing w:line="240" w:lineRule="auto"/>
              <w:jc w:val="center"/>
              <w:rPr>
                <w:sz w:val="22"/>
                <w:lang w:val="fr-FR"/>
              </w:rPr>
            </w:pPr>
            <w:r>
              <w:rPr>
                <w:sz w:val="22"/>
                <w:lang w:val="fr-FR"/>
              </w:rPr>
              <w:t>1</w:t>
            </w:r>
          </w:p>
        </w:tc>
        <w:tc>
          <w:tcPr>
            <w:tcW w:w="2622" w:type="dxa"/>
          </w:tcPr>
          <w:p w:rsidR="00000000" w:rsidRDefault="00000000">
            <w:pPr>
              <w:spacing w:line="240" w:lineRule="auto"/>
              <w:rPr>
                <w:sz w:val="22"/>
              </w:rPr>
            </w:pPr>
            <w:r>
              <w:rPr>
                <w:sz w:val="22"/>
              </w:rPr>
              <w:t>решение не принято</w:t>
            </w:r>
          </w:p>
        </w:tc>
      </w:tr>
      <w:tr w:rsidR="00000000">
        <w:trPr>
          <w:cantSplit/>
        </w:trPr>
        <w:tc>
          <w:tcPr>
            <w:tcW w:w="1668" w:type="dxa"/>
          </w:tcPr>
          <w:p w:rsidR="00000000" w:rsidRDefault="00000000">
            <w:pPr>
              <w:spacing w:line="240" w:lineRule="auto"/>
              <w:jc w:val="both"/>
              <w:rPr>
                <w:sz w:val="22"/>
              </w:rPr>
            </w:pPr>
            <w:r>
              <w:rPr>
                <w:sz w:val="22"/>
              </w:rPr>
              <w:t>Мичоакан</w:t>
            </w:r>
          </w:p>
        </w:tc>
        <w:tc>
          <w:tcPr>
            <w:tcW w:w="1342" w:type="dxa"/>
          </w:tcPr>
          <w:p w:rsidR="00000000" w:rsidRDefault="00000000">
            <w:pPr>
              <w:spacing w:line="240" w:lineRule="auto"/>
              <w:jc w:val="center"/>
              <w:rPr>
                <w:sz w:val="22"/>
                <w:lang w:val="fr-FR"/>
              </w:rPr>
            </w:pPr>
            <w:r>
              <w:rPr>
                <w:sz w:val="22"/>
                <w:lang w:val="fr-FR"/>
              </w:rPr>
              <w:t>67</w:t>
            </w:r>
          </w:p>
        </w:tc>
        <w:tc>
          <w:tcPr>
            <w:tcW w:w="1260" w:type="dxa"/>
          </w:tcPr>
          <w:p w:rsidR="00000000" w:rsidRDefault="00000000">
            <w:pPr>
              <w:spacing w:line="240" w:lineRule="auto"/>
              <w:jc w:val="center"/>
              <w:rPr>
                <w:sz w:val="22"/>
                <w:lang w:val="fr-FR"/>
              </w:rPr>
            </w:pPr>
            <w:r>
              <w:rPr>
                <w:sz w:val="22"/>
                <w:lang w:val="fr-FR"/>
              </w:rPr>
              <w:t>32</w:t>
            </w:r>
          </w:p>
        </w:tc>
        <w:tc>
          <w:tcPr>
            <w:tcW w:w="1190" w:type="dxa"/>
          </w:tcPr>
          <w:p w:rsidR="00000000" w:rsidRDefault="00000000">
            <w:pPr>
              <w:spacing w:line="240" w:lineRule="auto"/>
              <w:jc w:val="center"/>
              <w:rPr>
                <w:sz w:val="22"/>
                <w:lang w:val="fr-FR"/>
              </w:rPr>
            </w:pPr>
            <w:r>
              <w:rPr>
                <w:sz w:val="22"/>
                <w:lang w:val="fr-FR"/>
              </w:rPr>
              <w:t>9</w:t>
            </w:r>
          </w:p>
        </w:tc>
        <w:tc>
          <w:tcPr>
            <w:tcW w:w="1329" w:type="dxa"/>
          </w:tcPr>
          <w:p w:rsidR="00000000" w:rsidRDefault="00000000">
            <w:pPr>
              <w:spacing w:line="240" w:lineRule="auto"/>
              <w:jc w:val="center"/>
              <w:rPr>
                <w:sz w:val="22"/>
                <w:lang w:val="fr-FR"/>
              </w:rPr>
            </w:pPr>
            <w:r>
              <w:rPr>
                <w:sz w:val="22"/>
                <w:lang w:val="fr-FR"/>
              </w:rPr>
              <w:t>0</w:t>
            </w:r>
          </w:p>
        </w:tc>
        <w:tc>
          <w:tcPr>
            <w:tcW w:w="2622" w:type="dxa"/>
          </w:tcPr>
          <w:p w:rsidR="00000000" w:rsidRDefault="00000000">
            <w:pPr>
              <w:spacing w:line="240" w:lineRule="auto"/>
              <w:rPr>
                <w:sz w:val="22"/>
              </w:rPr>
            </w:pPr>
            <w:r>
              <w:rPr>
                <w:sz w:val="22"/>
              </w:rPr>
              <w:t>решение не принято</w:t>
            </w:r>
          </w:p>
        </w:tc>
      </w:tr>
      <w:tr w:rsidR="00000000">
        <w:trPr>
          <w:cantSplit/>
        </w:trPr>
        <w:tc>
          <w:tcPr>
            <w:tcW w:w="1668" w:type="dxa"/>
          </w:tcPr>
          <w:p w:rsidR="00000000" w:rsidRDefault="00000000">
            <w:pPr>
              <w:spacing w:line="240" w:lineRule="auto"/>
              <w:jc w:val="both"/>
              <w:rPr>
                <w:sz w:val="22"/>
              </w:rPr>
            </w:pPr>
            <w:r>
              <w:rPr>
                <w:sz w:val="22"/>
              </w:rPr>
              <w:t>Наярит</w:t>
            </w:r>
          </w:p>
        </w:tc>
        <w:tc>
          <w:tcPr>
            <w:tcW w:w="1342" w:type="dxa"/>
          </w:tcPr>
          <w:p w:rsidR="00000000" w:rsidRDefault="00000000">
            <w:pPr>
              <w:spacing w:line="240" w:lineRule="auto"/>
              <w:jc w:val="center"/>
              <w:rPr>
                <w:sz w:val="22"/>
                <w:lang w:val="fr-FR"/>
              </w:rPr>
            </w:pPr>
            <w:r>
              <w:rPr>
                <w:sz w:val="22"/>
                <w:lang w:val="fr-FR"/>
              </w:rPr>
              <w:t>18</w:t>
            </w:r>
          </w:p>
        </w:tc>
        <w:tc>
          <w:tcPr>
            <w:tcW w:w="1260" w:type="dxa"/>
          </w:tcPr>
          <w:p w:rsidR="00000000" w:rsidRDefault="00000000">
            <w:pPr>
              <w:spacing w:line="240" w:lineRule="auto"/>
              <w:jc w:val="center"/>
              <w:rPr>
                <w:sz w:val="22"/>
                <w:lang w:val="fr-FR"/>
              </w:rPr>
            </w:pPr>
            <w:r>
              <w:rPr>
                <w:sz w:val="22"/>
                <w:lang w:val="fr-FR"/>
              </w:rPr>
              <w:t>10</w:t>
            </w:r>
          </w:p>
        </w:tc>
        <w:tc>
          <w:tcPr>
            <w:tcW w:w="1190" w:type="dxa"/>
          </w:tcPr>
          <w:p w:rsidR="00000000" w:rsidRDefault="00000000">
            <w:pPr>
              <w:spacing w:line="240" w:lineRule="auto"/>
              <w:jc w:val="center"/>
              <w:rPr>
                <w:sz w:val="22"/>
                <w:lang w:val="fr-FR"/>
              </w:rPr>
            </w:pPr>
            <w:r>
              <w:rPr>
                <w:sz w:val="22"/>
                <w:lang w:val="fr-FR"/>
              </w:rPr>
              <w:t>8</w:t>
            </w:r>
          </w:p>
        </w:tc>
        <w:tc>
          <w:tcPr>
            <w:tcW w:w="1329" w:type="dxa"/>
          </w:tcPr>
          <w:p w:rsidR="00000000" w:rsidRDefault="00000000">
            <w:pPr>
              <w:spacing w:line="240" w:lineRule="auto"/>
              <w:jc w:val="center"/>
              <w:rPr>
                <w:sz w:val="22"/>
                <w:lang w:val="fr-FR"/>
              </w:rPr>
            </w:pPr>
            <w:r>
              <w:rPr>
                <w:sz w:val="22"/>
                <w:lang w:val="fr-FR"/>
              </w:rPr>
              <w:t>0</w:t>
            </w:r>
            <w:r>
              <w:rPr>
                <w:rStyle w:val="EndnoteReference"/>
                <w:sz w:val="22"/>
              </w:rPr>
              <w:endnoteReference w:id="63"/>
            </w:r>
          </w:p>
        </w:tc>
        <w:tc>
          <w:tcPr>
            <w:tcW w:w="2622" w:type="dxa"/>
          </w:tcPr>
          <w:p w:rsidR="00000000" w:rsidRDefault="00000000">
            <w:pPr>
              <w:spacing w:line="240" w:lineRule="auto"/>
              <w:rPr>
                <w:sz w:val="22"/>
              </w:rPr>
            </w:pPr>
            <w:r>
              <w:rPr>
                <w:sz w:val="22"/>
              </w:rPr>
              <w:t>решение не принято</w:t>
            </w:r>
          </w:p>
        </w:tc>
      </w:tr>
      <w:tr w:rsidR="00000000">
        <w:trPr>
          <w:cantSplit/>
        </w:trPr>
        <w:tc>
          <w:tcPr>
            <w:tcW w:w="1668" w:type="dxa"/>
            <w:vAlign w:val="center"/>
          </w:tcPr>
          <w:p w:rsidR="00000000" w:rsidRDefault="00000000">
            <w:pPr>
              <w:spacing w:line="240" w:lineRule="auto"/>
              <w:rPr>
                <w:sz w:val="22"/>
              </w:rPr>
            </w:pPr>
            <w:r>
              <w:rPr>
                <w:sz w:val="22"/>
              </w:rPr>
              <w:t>Охака</w:t>
            </w:r>
          </w:p>
        </w:tc>
        <w:tc>
          <w:tcPr>
            <w:tcW w:w="1342" w:type="dxa"/>
            <w:vAlign w:val="center"/>
          </w:tcPr>
          <w:p w:rsidR="00000000" w:rsidRDefault="00000000">
            <w:pPr>
              <w:spacing w:line="240" w:lineRule="auto"/>
              <w:jc w:val="center"/>
              <w:rPr>
                <w:sz w:val="22"/>
                <w:lang w:val="fr-FR"/>
              </w:rPr>
            </w:pPr>
            <w:r>
              <w:rPr>
                <w:sz w:val="22"/>
                <w:lang w:val="fr-FR"/>
              </w:rPr>
              <w:t>62</w:t>
            </w:r>
          </w:p>
        </w:tc>
        <w:tc>
          <w:tcPr>
            <w:tcW w:w="1260" w:type="dxa"/>
            <w:vAlign w:val="center"/>
          </w:tcPr>
          <w:p w:rsidR="00000000" w:rsidRDefault="00000000">
            <w:pPr>
              <w:spacing w:line="240" w:lineRule="auto"/>
              <w:jc w:val="center"/>
              <w:rPr>
                <w:sz w:val="22"/>
                <w:lang w:val="fr-FR"/>
              </w:rPr>
            </w:pPr>
            <w:r>
              <w:rPr>
                <w:sz w:val="22"/>
                <w:lang w:val="fr-FR"/>
              </w:rPr>
              <w:t>4</w:t>
            </w:r>
          </w:p>
        </w:tc>
        <w:tc>
          <w:tcPr>
            <w:tcW w:w="1190" w:type="dxa"/>
            <w:vAlign w:val="center"/>
          </w:tcPr>
          <w:p w:rsidR="00000000" w:rsidRDefault="00000000">
            <w:pPr>
              <w:spacing w:line="240" w:lineRule="auto"/>
              <w:jc w:val="center"/>
              <w:rPr>
                <w:sz w:val="22"/>
                <w:lang w:val="fr-FR"/>
              </w:rPr>
            </w:pPr>
            <w:r>
              <w:rPr>
                <w:sz w:val="22"/>
                <w:lang w:val="fr-FR"/>
              </w:rPr>
              <w:t>57</w:t>
            </w:r>
          </w:p>
        </w:tc>
        <w:tc>
          <w:tcPr>
            <w:tcW w:w="1329" w:type="dxa"/>
            <w:vAlign w:val="center"/>
          </w:tcPr>
          <w:p w:rsidR="00000000" w:rsidRDefault="00000000">
            <w:pPr>
              <w:spacing w:line="240" w:lineRule="auto"/>
              <w:jc w:val="center"/>
              <w:rPr>
                <w:sz w:val="22"/>
                <w:lang w:val="fr-FR"/>
              </w:rPr>
            </w:pPr>
            <w:r>
              <w:rPr>
                <w:sz w:val="22"/>
                <w:lang w:val="fr-FR"/>
              </w:rPr>
              <w:t>1</w:t>
            </w:r>
          </w:p>
        </w:tc>
        <w:tc>
          <w:tcPr>
            <w:tcW w:w="2622" w:type="dxa"/>
          </w:tcPr>
          <w:p w:rsidR="00000000" w:rsidRDefault="00000000">
            <w:pPr>
              <w:spacing w:line="240" w:lineRule="auto"/>
              <w:rPr>
                <w:sz w:val="22"/>
              </w:rPr>
            </w:pPr>
            <w:r>
              <w:rPr>
                <w:sz w:val="22"/>
              </w:rPr>
              <w:t>вынесен один приговор за преступление, связанное с нанесением телесных повреждений</w:t>
            </w:r>
          </w:p>
        </w:tc>
      </w:tr>
      <w:tr w:rsidR="00000000">
        <w:trPr>
          <w:cantSplit/>
        </w:trPr>
        <w:tc>
          <w:tcPr>
            <w:tcW w:w="1668" w:type="dxa"/>
          </w:tcPr>
          <w:p w:rsidR="00000000" w:rsidRDefault="00000000">
            <w:pPr>
              <w:spacing w:line="240" w:lineRule="auto"/>
              <w:jc w:val="both"/>
              <w:rPr>
                <w:sz w:val="22"/>
              </w:rPr>
            </w:pPr>
            <w:r>
              <w:rPr>
                <w:sz w:val="22"/>
              </w:rPr>
              <w:t>Пуэбла</w:t>
            </w:r>
          </w:p>
        </w:tc>
        <w:tc>
          <w:tcPr>
            <w:tcW w:w="1342" w:type="dxa"/>
          </w:tcPr>
          <w:p w:rsidR="00000000" w:rsidRDefault="00000000">
            <w:pPr>
              <w:spacing w:line="240" w:lineRule="auto"/>
              <w:jc w:val="center"/>
              <w:rPr>
                <w:sz w:val="22"/>
                <w:lang w:val="fr-FR"/>
              </w:rPr>
            </w:pPr>
            <w:r>
              <w:rPr>
                <w:sz w:val="22"/>
                <w:lang w:val="fr-FR"/>
              </w:rPr>
              <w:t>6</w:t>
            </w:r>
          </w:p>
        </w:tc>
        <w:tc>
          <w:tcPr>
            <w:tcW w:w="1260" w:type="dxa"/>
          </w:tcPr>
          <w:p w:rsidR="00000000" w:rsidRDefault="00000000">
            <w:pPr>
              <w:spacing w:line="240" w:lineRule="auto"/>
              <w:jc w:val="center"/>
              <w:rPr>
                <w:sz w:val="22"/>
                <w:lang w:val="fr-FR"/>
              </w:rPr>
            </w:pPr>
            <w:r>
              <w:rPr>
                <w:sz w:val="22"/>
                <w:lang w:val="fr-FR"/>
              </w:rPr>
              <w:t>0</w:t>
            </w:r>
          </w:p>
        </w:tc>
        <w:tc>
          <w:tcPr>
            <w:tcW w:w="1190" w:type="dxa"/>
          </w:tcPr>
          <w:p w:rsidR="00000000" w:rsidRDefault="00000000">
            <w:pPr>
              <w:spacing w:line="240" w:lineRule="auto"/>
              <w:jc w:val="center"/>
              <w:rPr>
                <w:sz w:val="22"/>
                <w:lang w:val="fr-FR"/>
              </w:rPr>
            </w:pPr>
            <w:r>
              <w:rPr>
                <w:sz w:val="22"/>
                <w:lang w:val="fr-FR"/>
              </w:rPr>
              <w:t>6</w:t>
            </w:r>
          </w:p>
        </w:tc>
        <w:tc>
          <w:tcPr>
            <w:tcW w:w="1329" w:type="dxa"/>
          </w:tcPr>
          <w:p w:rsidR="00000000" w:rsidRDefault="00000000">
            <w:pPr>
              <w:spacing w:line="240" w:lineRule="auto"/>
              <w:jc w:val="center"/>
              <w:rPr>
                <w:sz w:val="22"/>
                <w:lang w:val="fr-FR"/>
              </w:rPr>
            </w:pPr>
            <w:r>
              <w:rPr>
                <w:sz w:val="22"/>
                <w:lang w:val="fr-FR"/>
              </w:rPr>
              <w:t>1</w:t>
            </w:r>
          </w:p>
        </w:tc>
        <w:tc>
          <w:tcPr>
            <w:tcW w:w="2622" w:type="dxa"/>
          </w:tcPr>
          <w:p w:rsidR="00000000" w:rsidRDefault="00000000">
            <w:pPr>
              <w:spacing w:line="240" w:lineRule="auto"/>
              <w:rPr>
                <w:sz w:val="22"/>
              </w:rPr>
            </w:pPr>
            <w:r>
              <w:rPr>
                <w:sz w:val="22"/>
              </w:rPr>
              <w:t>решение не принято</w:t>
            </w:r>
          </w:p>
        </w:tc>
      </w:tr>
      <w:tr w:rsidR="00000000">
        <w:trPr>
          <w:cantSplit/>
        </w:trPr>
        <w:tc>
          <w:tcPr>
            <w:tcW w:w="1668" w:type="dxa"/>
          </w:tcPr>
          <w:p w:rsidR="00000000" w:rsidRDefault="00000000">
            <w:pPr>
              <w:spacing w:line="240" w:lineRule="auto"/>
              <w:jc w:val="both"/>
              <w:rPr>
                <w:sz w:val="22"/>
              </w:rPr>
            </w:pPr>
            <w:r>
              <w:rPr>
                <w:sz w:val="22"/>
              </w:rPr>
              <w:t>Кинтана-Роо</w:t>
            </w:r>
            <w:r>
              <w:rPr>
                <w:rStyle w:val="EndnoteReference"/>
                <w:sz w:val="22"/>
              </w:rPr>
              <w:endnoteReference w:id="64"/>
            </w:r>
          </w:p>
        </w:tc>
        <w:tc>
          <w:tcPr>
            <w:tcW w:w="1342" w:type="dxa"/>
            <w:vAlign w:val="center"/>
          </w:tcPr>
          <w:p w:rsidR="00000000" w:rsidRDefault="00000000">
            <w:pPr>
              <w:spacing w:line="240" w:lineRule="auto"/>
              <w:jc w:val="center"/>
              <w:rPr>
                <w:sz w:val="22"/>
                <w:lang w:val="fr-FR"/>
              </w:rPr>
            </w:pPr>
            <w:r>
              <w:rPr>
                <w:sz w:val="22"/>
                <w:lang w:val="fr-FR"/>
              </w:rPr>
              <w:t>5</w:t>
            </w:r>
          </w:p>
        </w:tc>
        <w:tc>
          <w:tcPr>
            <w:tcW w:w="1260" w:type="dxa"/>
            <w:vAlign w:val="center"/>
          </w:tcPr>
          <w:p w:rsidR="00000000" w:rsidRDefault="00000000">
            <w:pPr>
              <w:spacing w:line="240" w:lineRule="auto"/>
              <w:jc w:val="center"/>
              <w:rPr>
                <w:sz w:val="22"/>
                <w:lang w:val="fr-FR"/>
              </w:rPr>
            </w:pPr>
            <w:r>
              <w:rPr>
                <w:sz w:val="22"/>
                <w:lang w:val="fr-FR"/>
              </w:rPr>
              <w:t>1</w:t>
            </w:r>
          </w:p>
        </w:tc>
        <w:tc>
          <w:tcPr>
            <w:tcW w:w="1190" w:type="dxa"/>
            <w:vAlign w:val="center"/>
          </w:tcPr>
          <w:p w:rsidR="00000000" w:rsidRDefault="00000000">
            <w:pPr>
              <w:spacing w:line="240" w:lineRule="auto"/>
              <w:jc w:val="center"/>
              <w:rPr>
                <w:sz w:val="22"/>
                <w:lang w:val="fr-FR"/>
              </w:rPr>
            </w:pPr>
            <w:r>
              <w:rPr>
                <w:sz w:val="22"/>
                <w:lang w:val="fr-FR"/>
              </w:rPr>
              <w:t>1</w:t>
            </w:r>
          </w:p>
        </w:tc>
        <w:tc>
          <w:tcPr>
            <w:tcW w:w="1329" w:type="dxa"/>
            <w:vAlign w:val="center"/>
          </w:tcPr>
          <w:p w:rsidR="00000000" w:rsidRDefault="00000000">
            <w:pPr>
              <w:spacing w:line="240" w:lineRule="auto"/>
              <w:jc w:val="center"/>
              <w:rPr>
                <w:sz w:val="22"/>
                <w:lang w:val="fr-FR"/>
              </w:rPr>
            </w:pPr>
            <w:r>
              <w:rPr>
                <w:sz w:val="22"/>
                <w:lang w:val="fr-FR"/>
              </w:rPr>
              <w:t>0</w:t>
            </w:r>
          </w:p>
        </w:tc>
        <w:tc>
          <w:tcPr>
            <w:tcW w:w="2622" w:type="dxa"/>
            <w:vAlign w:val="center"/>
          </w:tcPr>
          <w:p w:rsidR="00000000" w:rsidRDefault="00000000">
            <w:pPr>
              <w:spacing w:line="240" w:lineRule="auto"/>
              <w:rPr>
                <w:sz w:val="22"/>
              </w:rPr>
            </w:pPr>
            <w:r>
              <w:rPr>
                <w:sz w:val="22"/>
              </w:rPr>
              <w:t>решение не принято</w:t>
            </w:r>
          </w:p>
        </w:tc>
      </w:tr>
      <w:tr w:rsidR="00000000">
        <w:trPr>
          <w:cantSplit/>
        </w:trPr>
        <w:tc>
          <w:tcPr>
            <w:tcW w:w="1668" w:type="dxa"/>
            <w:vAlign w:val="center"/>
          </w:tcPr>
          <w:p w:rsidR="00000000" w:rsidRDefault="00000000">
            <w:pPr>
              <w:spacing w:line="240" w:lineRule="auto"/>
              <w:rPr>
                <w:sz w:val="22"/>
              </w:rPr>
            </w:pPr>
            <w:r>
              <w:rPr>
                <w:sz w:val="22"/>
              </w:rPr>
              <w:t>Синалоа</w:t>
            </w:r>
          </w:p>
        </w:tc>
        <w:tc>
          <w:tcPr>
            <w:tcW w:w="1342" w:type="dxa"/>
            <w:vAlign w:val="center"/>
          </w:tcPr>
          <w:p w:rsidR="00000000" w:rsidRDefault="00000000">
            <w:pPr>
              <w:spacing w:line="240" w:lineRule="auto"/>
              <w:jc w:val="center"/>
              <w:rPr>
                <w:sz w:val="22"/>
                <w:lang w:val="fr-FR"/>
              </w:rPr>
            </w:pPr>
            <w:r>
              <w:rPr>
                <w:sz w:val="22"/>
                <w:lang w:val="fr-FR"/>
              </w:rPr>
              <w:t>54</w:t>
            </w:r>
          </w:p>
        </w:tc>
        <w:tc>
          <w:tcPr>
            <w:tcW w:w="1260" w:type="dxa"/>
            <w:vAlign w:val="center"/>
          </w:tcPr>
          <w:p w:rsidR="00000000" w:rsidRDefault="00000000">
            <w:pPr>
              <w:spacing w:line="240" w:lineRule="auto"/>
              <w:jc w:val="center"/>
              <w:rPr>
                <w:sz w:val="22"/>
                <w:lang w:val="fr-FR"/>
              </w:rPr>
            </w:pPr>
            <w:r>
              <w:rPr>
                <w:sz w:val="22"/>
                <w:lang w:val="fr-FR"/>
              </w:rPr>
              <w:t>29</w:t>
            </w:r>
          </w:p>
        </w:tc>
        <w:tc>
          <w:tcPr>
            <w:tcW w:w="1190" w:type="dxa"/>
            <w:vAlign w:val="center"/>
          </w:tcPr>
          <w:p w:rsidR="00000000" w:rsidRDefault="00000000">
            <w:pPr>
              <w:spacing w:line="240" w:lineRule="auto"/>
              <w:jc w:val="center"/>
              <w:rPr>
                <w:sz w:val="22"/>
                <w:lang w:val="fr-FR"/>
              </w:rPr>
            </w:pPr>
            <w:r>
              <w:rPr>
                <w:sz w:val="22"/>
                <w:lang w:val="fr-FR"/>
              </w:rPr>
              <w:t>56</w:t>
            </w:r>
          </w:p>
        </w:tc>
        <w:tc>
          <w:tcPr>
            <w:tcW w:w="1329" w:type="dxa"/>
            <w:vAlign w:val="center"/>
          </w:tcPr>
          <w:p w:rsidR="00000000" w:rsidRDefault="00000000">
            <w:pPr>
              <w:spacing w:line="240" w:lineRule="auto"/>
              <w:jc w:val="center"/>
              <w:rPr>
                <w:sz w:val="22"/>
                <w:lang w:val="fr-FR"/>
              </w:rPr>
            </w:pPr>
            <w:r>
              <w:rPr>
                <w:sz w:val="22"/>
                <w:lang w:val="fr-FR"/>
              </w:rPr>
              <w:t>2</w:t>
            </w:r>
          </w:p>
        </w:tc>
        <w:tc>
          <w:tcPr>
            <w:tcW w:w="2622" w:type="dxa"/>
          </w:tcPr>
          <w:p w:rsidR="00000000" w:rsidRDefault="00000000">
            <w:pPr>
              <w:spacing w:line="240" w:lineRule="auto"/>
              <w:rPr>
                <w:sz w:val="22"/>
              </w:rPr>
            </w:pPr>
            <w:r>
              <w:rPr>
                <w:sz w:val="22"/>
              </w:rPr>
              <w:t>11 человек получили публичные выговоры;  25 человек признаны невиновными;  4 получили публичное порицание;</w:t>
            </w:r>
          </w:p>
          <w:p w:rsidR="00000000" w:rsidRDefault="00000000">
            <w:pPr>
              <w:spacing w:line="240" w:lineRule="auto"/>
              <w:rPr>
                <w:sz w:val="22"/>
              </w:rPr>
            </w:pPr>
            <w:r>
              <w:rPr>
                <w:sz w:val="22"/>
              </w:rPr>
              <w:t>18 человек временно отстранены от исполнения обязанностей;  5 человек сняты с должности и одному человеку вынесен выговор в частном порядке</w:t>
            </w:r>
          </w:p>
        </w:tc>
      </w:tr>
      <w:tr w:rsidR="00000000">
        <w:trPr>
          <w:cantSplit/>
        </w:trPr>
        <w:tc>
          <w:tcPr>
            <w:tcW w:w="1668" w:type="dxa"/>
            <w:vAlign w:val="center"/>
          </w:tcPr>
          <w:p w:rsidR="00000000" w:rsidRDefault="00000000">
            <w:pPr>
              <w:spacing w:line="240" w:lineRule="auto"/>
              <w:rPr>
                <w:sz w:val="22"/>
              </w:rPr>
            </w:pPr>
            <w:r>
              <w:rPr>
                <w:sz w:val="22"/>
              </w:rPr>
              <w:t>Сонора</w:t>
            </w:r>
          </w:p>
        </w:tc>
        <w:tc>
          <w:tcPr>
            <w:tcW w:w="1342" w:type="dxa"/>
            <w:vAlign w:val="center"/>
          </w:tcPr>
          <w:p w:rsidR="00000000" w:rsidRDefault="00000000">
            <w:pPr>
              <w:spacing w:line="240" w:lineRule="auto"/>
              <w:jc w:val="center"/>
              <w:rPr>
                <w:sz w:val="22"/>
                <w:lang w:val="fr-FR"/>
              </w:rPr>
            </w:pPr>
            <w:r>
              <w:rPr>
                <w:sz w:val="22"/>
                <w:lang w:val="fr-FR"/>
              </w:rPr>
              <w:t>12</w:t>
            </w:r>
          </w:p>
        </w:tc>
        <w:tc>
          <w:tcPr>
            <w:tcW w:w="1260" w:type="dxa"/>
            <w:vAlign w:val="center"/>
          </w:tcPr>
          <w:p w:rsidR="00000000" w:rsidRDefault="00000000">
            <w:pPr>
              <w:spacing w:line="240" w:lineRule="auto"/>
              <w:jc w:val="center"/>
              <w:rPr>
                <w:sz w:val="22"/>
                <w:lang w:val="fr-FR"/>
              </w:rPr>
            </w:pPr>
            <w:r>
              <w:rPr>
                <w:sz w:val="22"/>
                <w:lang w:val="fr-FR"/>
              </w:rPr>
              <w:t>4</w:t>
            </w:r>
          </w:p>
        </w:tc>
        <w:tc>
          <w:tcPr>
            <w:tcW w:w="1190" w:type="dxa"/>
            <w:vAlign w:val="center"/>
          </w:tcPr>
          <w:p w:rsidR="00000000" w:rsidRDefault="00000000">
            <w:pPr>
              <w:spacing w:line="240" w:lineRule="auto"/>
              <w:jc w:val="center"/>
              <w:rPr>
                <w:sz w:val="22"/>
                <w:lang w:val="fr-FR"/>
              </w:rPr>
            </w:pPr>
            <w:r>
              <w:rPr>
                <w:sz w:val="22"/>
                <w:lang w:val="fr-FR"/>
              </w:rPr>
              <w:t>12</w:t>
            </w:r>
          </w:p>
        </w:tc>
        <w:tc>
          <w:tcPr>
            <w:tcW w:w="1329" w:type="dxa"/>
            <w:vAlign w:val="center"/>
          </w:tcPr>
          <w:p w:rsidR="00000000" w:rsidRDefault="00000000">
            <w:pPr>
              <w:spacing w:line="240" w:lineRule="auto"/>
              <w:jc w:val="center"/>
              <w:rPr>
                <w:sz w:val="22"/>
                <w:lang w:val="fr-FR"/>
              </w:rPr>
            </w:pPr>
            <w:r>
              <w:rPr>
                <w:sz w:val="22"/>
                <w:lang w:val="fr-FR"/>
              </w:rPr>
              <w:t>2</w:t>
            </w:r>
          </w:p>
        </w:tc>
        <w:tc>
          <w:tcPr>
            <w:tcW w:w="2622" w:type="dxa"/>
          </w:tcPr>
          <w:p w:rsidR="00000000" w:rsidRDefault="00000000">
            <w:pPr>
              <w:spacing w:line="240" w:lineRule="auto"/>
              <w:rPr>
                <w:sz w:val="22"/>
              </w:rPr>
            </w:pPr>
            <w:r>
              <w:rPr>
                <w:sz w:val="22"/>
              </w:rPr>
              <w:t>1 человек снят с должности;  1 человек был приговорен к полутора годам тюрьмы и ограничению в правах</w:t>
            </w:r>
          </w:p>
        </w:tc>
      </w:tr>
      <w:tr w:rsidR="00000000">
        <w:trPr>
          <w:cantSplit/>
        </w:trPr>
        <w:tc>
          <w:tcPr>
            <w:tcW w:w="1668" w:type="dxa"/>
          </w:tcPr>
          <w:p w:rsidR="00000000" w:rsidRDefault="00000000">
            <w:pPr>
              <w:spacing w:line="240" w:lineRule="auto"/>
              <w:jc w:val="both"/>
              <w:rPr>
                <w:sz w:val="22"/>
              </w:rPr>
            </w:pPr>
            <w:r>
              <w:rPr>
                <w:sz w:val="22"/>
              </w:rPr>
              <w:t>Тласкала</w:t>
            </w:r>
          </w:p>
        </w:tc>
        <w:tc>
          <w:tcPr>
            <w:tcW w:w="1342" w:type="dxa"/>
          </w:tcPr>
          <w:p w:rsidR="00000000" w:rsidRDefault="00000000">
            <w:pPr>
              <w:spacing w:line="240" w:lineRule="auto"/>
              <w:jc w:val="center"/>
              <w:rPr>
                <w:sz w:val="22"/>
                <w:lang w:val="fr-FR"/>
              </w:rPr>
            </w:pPr>
            <w:r>
              <w:rPr>
                <w:sz w:val="22"/>
                <w:lang w:val="fr-FR"/>
              </w:rPr>
              <w:t>0</w:t>
            </w:r>
          </w:p>
        </w:tc>
        <w:tc>
          <w:tcPr>
            <w:tcW w:w="1260" w:type="dxa"/>
          </w:tcPr>
          <w:p w:rsidR="00000000" w:rsidRDefault="00000000">
            <w:pPr>
              <w:spacing w:line="240" w:lineRule="auto"/>
              <w:jc w:val="center"/>
              <w:rPr>
                <w:sz w:val="22"/>
                <w:lang w:val="fr-FR"/>
              </w:rPr>
            </w:pPr>
            <w:r>
              <w:rPr>
                <w:sz w:val="22"/>
                <w:lang w:val="fr-FR"/>
              </w:rPr>
              <w:t>0</w:t>
            </w:r>
          </w:p>
        </w:tc>
        <w:tc>
          <w:tcPr>
            <w:tcW w:w="1190" w:type="dxa"/>
          </w:tcPr>
          <w:p w:rsidR="00000000" w:rsidRDefault="00000000">
            <w:pPr>
              <w:spacing w:line="240" w:lineRule="auto"/>
              <w:jc w:val="center"/>
              <w:rPr>
                <w:sz w:val="22"/>
                <w:lang w:val="fr-FR"/>
              </w:rPr>
            </w:pPr>
            <w:r>
              <w:rPr>
                <w:sz w:val="22"/>
                <w:lang w:val="fr-FR"/>
              </w:rPr>
              <w:t>0</w:t>
            </w:r>
          </w:p>
        </w:tc>
        <w:tc>
          <w:tcPr>
            <w:tcW w:w="1329" w:type="dxa"/>
          </w:tcPr>
          <w:p w:rsidR="00000000" w:rsidRDefault="00000000">
            <w:pPr>
              <w:spacing w:line="240" w:lineRule="auto"/>
              <w:jc w:val="center"/>
              <w:rPr>
                <w:sz w:val="22"/>
                <w:lang w:val="fr-FR"/>
              </w:rPr>
            </w:pPr>
            <w:r>
              <w:rPr>
                <w:sz w:val="22"/>
                <w:lang w:val="fr-FR"/>
              </w:rPr>
              <w:t>0</w:t>
            </w:r>
          </w:p>
        </w:tc>
        <w:tc>
          <w:tcPr>
            <w:tcW w:w="2622" w:type="dxa"/>
          </w:tcPr>
          <w:p w:rsidR="00000000" w:rsidRDefault="00000000">
            <w:pPr>
              <w:tabs>
                <w:tab w:val="clear" w:pos="567"/>
                <w:tab w:val="left" w:pos="0"/>
              </w:tabs>
              <w:spacing w:line="240" w:lineRule="auto"/>
              <w:rPr>
                <w:sz w:val="22"/>
              </w:rPr>
            </w:pPr>
            <w:r>
              <w:rPr>
                <w:sz w:val="22"/>
              </w:rPr>
              <w:t>решение не принято</w:t>
            </w:r>
          </w:p>
        </w:tc>
      </w:tr>
      <w:tr w:rsidR="00000000">
        <w:trPr>
          <w:cantSplit/>
        </w:trPr>
        <w:tc>
          <w:tcPr>
            <w:tcW w:w="1668" w:type="dxa"/>
          </w:tcPr>
          <w:p w:rsidR="00000000" w:rsidRDefault="00000000">
            <w:pPr>
              <w:spacing w:line="240" w:lineRule="auto"/>
              <w:jc w:val="both"/>
              <w:rPr>
                <w:sz w:val="22"/>
              </w:rPr>
            </w:pPr>
            <w:r>
              <w:rPr>
                <w:sz w:val="22"/>
              </w:rPr>
              <w:t>Веракрус</w:t>
            </w:r>
          </w:p>
        </w:tc>
        <w:tc>
          <w:tcPr>
            <w:tcW w:w="1342" w:type="dxa"/>
          </w:tcPr>
          <w:p w:rsidR="00000000" w:rsidRDefault="00000000">
            <w:pPr>
              <w:spacing w:line="240" w:lineRule="auto"/>
              <w:jc w:val="center"/>
              <w:rPr>
                <w:sz w:val="22"/>
                <w:lang w:val="fr-FR"/>
              </w:rPr>
            </w:pPr>
            <w:r>
              <w:rPr>
                <w:sz w:val="22"/>
                <w:lang w:val="fr-FR"/>
              </w:rPr>
              <w:t>17</w:t>
            </w:r>
          </w:p>
        </w:tc>
        <w:tc>
          <w:tcPr>
            <w:tcW w:w="1260" w:type="dxa"/>
          </w:tcPr>
          <w:p w:rsidR="00000000" w:rsidRDefault="00000000">
            <w:pPr>
              <w:spacing w:line="240" w:lineRule="auto"/>
              <w:jc w:val="center"/>
              <w:rPr>
                <w:sz w:val="22"/>
                <w:lang w:val="fr-FR"/>
              </w:rPr>
            </w:pPr>
          </w:p>
        </w:tc>
        <w:tc>
          <w:tcPr>
            <w:tcW w:w="1190" w:type="dxa"/>
          </w:tcPr>
          <w:p w:rsidR="00000000" w:rsidRDefault="00000000">
            <w:pPr>
              <w:spacing w:line="240" w:lineRule="auto"/>
              <w:jc w:val="center"/>
              <w:rPr>
                <w:sz w:val="22"/>
                <w:lang w:val="fr-FR"/>
              </w:rPr>
            </w:pPr>
            <w:r>
              <w:rPr>
                <w:sz w:val="22"/>
                <w:lang w:val="fr-FR"/>
              </w:rPr>
              <w:t>17</w:t>
            </w:r>
          </w:p>
        </w:tc>
        <w:tc>
          <w:tcPr>
            <w:tcW w:w="1329" w:type="dxa"/>
          </w:tcPr>
          <w:p w:rsidR="00000000" w:rsidRDefault="00000000">
            <w:pPr>
              <w:spacing w:line="240" w:lineRule="auto"/>
              <w:jc w:val="center"/>
              <w:rPr>
                <w:sz w:val="22"/>
                <w:lang w:val="fr-FR"/>
              </w:rPr>
            </w:pPr>
            <w:r>
              <w:rPr>
                <w:sz w:val="22"/>
                <w:lang w:val="fr-FR"/>
              </w:rPr>
              <w:t>0</w:t>
            </w:r>
          </w:p>
        </w:tc>
        <w:tc>
          <w:tcPr>
            <w:tcW w:w="2622" w:type="dxa"/>
          </w:tcPr>
          <w:p w:rsidR="00000000" w:rsidRDefault="00000000">
            <w:pPr>
              <w:spacing w:line="240" w:lineRule="auto"/>
              <w:rPr>
                <w:sz w:val="22"/>
              </w:rPr>
            </w:pPr>
            <w:r>
              <w:rPr>
                <w:sz w:val="22"/>
              </w:rPr>
              <w:t>решение не принято</w:t>
            </w:r>
          </w:p>
        </w:tc>
      </w:tr>
      <w:tr w:rsidR="00000000">
        <w:trPr>
          <w:cantSplit/>
        </w:trPr>
        <w:tc>
          <w:tcPr>
            <w:tcW w:w="1668" w:type="dxa"/>
          </w:tcPr>
          <w:p w:rsidR="00000000" w:rsidRDefault="00000000">
            <w:pPr>
              <w:spacing w:line="240" w:lineRule="auto"/>
              <w:jc w:val="both"/>
              <w:rPr>
                <w:sz w:val="22"/>
              </w:rPr>
            </w:pPr>
            <w:r>
              <w:rPr>
                <w:sz w:val="22"/>
              </w:rPr>
              <w:t>Юкатан</w:t>
            </w:r>
          </w:p>
        </w:tc>
        <w:tc>
          <w:tcPr>
            <w:tcW w:w="1342" w:type="dxa"/>
          </w:tcPr>
          <w:p w:rsidR="00000000" w:rsidRDefault="00000000">
            <w:pPr>
              <w:spacing w:line="240" w:lineRule="auto"/>
              <w:jc w:val="center"/>
              <w:rPr>
                <w:sz w:val="22"/>
                <w:lang w:val="fr-FR"/>
              </w:rPr>
            </w:pPr>
            <w:r>
              <w:rPr>
                <w:sz w:val="22"/>
                <w:lang w:val="fr-FR"/>
              </w:rPr>
              <w:t>0</w:t>
            </w:r>
          </w:p>
        </w:tc>
        <w:tc>
          <w:tcPr>
            <w:tcW w:w="1260" w:type="dxa"/>
          </w:tcPr>
          <w:p w:rsidR="00000000" w:rsidRDefault="00000000">
            <w:pPr>
              <w:spacing w:line="240" w:lineRule="auto"/>
              <w:jc w:val="center"/>
              <w:rPr>
                <w:sz w:val="22"/>
                <w:lang w:val="fr-FR"/>
              </w:rPr>
            </w:pPr>
            <w:r>
              <w:rPr>
                <w:sz w:val="22"/>
                <w:lang w:val="fr-FR"/>
              </w:rPr>
              <w:t>2</w:t>
            </w:r>
          </w:p>
        </w:tc>
        <w:tc>
          <w:tcPr>
            <w:tcW w:w="1190" w:type="dxa"/>
          </w:tcPr>
          <w:p w:rsidR="00000000" w:rsidRDefault="00000000">
            <w:pPr>
              <w:spacing w:line="240" w:lineRule="auto"/>
              <w:jc w:val="center"/>
              <w:rPr>
                <w:sz w:val="22"/>
                <w:lang w:val="fr-FR"/>
              </w:rPr>
            </w:pPr>
            <w:r>
              <w:rPr>
                <w:sz w:val="22"/>
                <w:lang w:val="fr-FR"/>
              </w:rPr>
              <w:t>2</w:t>
            </w:r>
          </w:p>
        </w:tc>
        <w:tc>
          <w:tcPr>
            <w:tcW w:w="1329" w:type="dxa"/>
          </w:tcPr>
          <w:p w:rsidR="00000000" w:rsidRDefault="00000000">
            <w:pPr>
              <w:spacing w:line="240" w:lineRule="auto"/>
              <w:jc w:val="center"/>
              <w:rPr>
                <w:sz w:val="22"/>
                <w:lang w:val="fr-FR"/>
              </w:rPr>
            </w:pPr>
            <w:r>
              <w:rPr>
                <w:sz w:val="22"/>
                <w:lang w:val="fr-FR"/>
              </w:rPr>
              <w:t>2</w:t>
            </w:r>
          </w:p>
        </w:tc>
        <w:tc>
          <w:tcPr>
            <w:tcW w:w="2622" w:type="dxa"/>
          </w:tcPr>
          <w:p w:rsidR="00000000" w:rsidRDefault="00000000">
            <w:pPr>
              <w:spacing w:line="240" w:lineRule="auto"/>
              <w:rPr>
                <w:sz w:val="22"/>
              </w:rPr>
            </w:pPr>
            <w:r>
              <w:rPr>
                <w:sz w:val="22"/>
              </w:rPr>
              <w:t>2 человека осуждены</w:t>
            </w:r>
          </w:p>
        </w:tc>
      </w:tr>
    </w:tbl>
    <w:p w:rsidR="00000000" w:rsidRDefault="00000000"/>
    <w:p w:rsidR="00000000" w:rsidRDefault="00000000">
      <w:r>
        <w:tab/>
      </w:r>
      <w:r>
        <w:rPr>
          <w:i/>
          <w:iCs/>
        </w:rPr>
        <w:t>Примечание:</w:t>
      </w:r>
      <w:r>
        <w:t xml:space="preserve">  Из десяти административных дел, возбужденных на основании рекомендаций Комиссии по правам человека штата Наярит в начале 2000 года:</w:t>
      </w:r>
    </w:p>
    <w:p w:rsidR="00000000" w:rsidRDefault="00000000"/>
    <w:p w:rsidR="00000000" w:rsidRDefault="00000000">
      <w:pPr>
        <w:numPr>
          <w:ilvl w:val="0"/>
          <w:numId w:val="12"/>
        </w:numPr>
        <w:tabs>
          <w:tab w:val="clear" w:pos="720"/>
        </w:tabs>
        <w:ind w:left="1134" w:hanging="567"/>
      </w:pPr>
      <w:r>
        <w:t>три сотрудника судебной полиции были освобождены от выполнения обязанностей в течение четырех дней с вычетом из зарплаты вознаграждения за эти дни;</w:t>
      </w:r>
    </w:p>
    <w:p w:rsidR="00000000" w:rsidRDefault="00000000">
      <w:pPr>
        <w:ind w:left="1134" w:hanging="567"/>
      </w:pPr>
    </w:p>
    <w:p w:rsidR="00000000" w:rsidRDefault="00000000">
      <w:pPr>
        <w:numPr>
          <w:ilvl w:val="0"/>
          <w:numId w:val="12"/>
        </w:numPr>
        <w:tabs>
          <w:tab w:val="clear" w:pos="720"/>
        </w:tabs>
        <w:ind w:left="1134" w:hanging="567"/>
      </w:pPr>
      <w:r>
        <w:t>четыре человека были оправданны от предъявленных им обвинений;</w:t>
      </w:r>
    </w:p>
    <w:p w:rsidR="00000000" w:rsidRDefault="00000000">
      <w:pPr>
        <w:ind w:left="1134" w:hanging="567"/>
      </w:pPr>
    </w:p>
    <w:p w:rsidR="00000000" w:rsidRDefault="00000000">
      <w:pPr>
        <w:numPr>
          <w:ilvl w:val="0"/>
          <w:numId w:val="12"/>
        </w:numPr>
        <w:tabs>
          <w:tab w:val="clear" w:pos="720"/>
        </w:tabs>
        <w:ind w:left="1134" w:hanging="567"/>
      </w:pPr>
      <w:r>
        <w:t>дело одного сотрудника рассматривается;</w:t>
      </w:r>
    </w:p>
    <w:p w:rsidR="00000000" w:rsidRDefault="00000000">
      <w:pPr>
        <w:ind w:left="1134" w:hanging="567"/>
      </w:pPr>
    </w:p>
    <w:p w:rsidR="00000000" w:rsidRDefault="00000000">
      <w:pPr>
        <w:numPr>
          <w:ilvl w:val="0"/>
          <w:numId w:val="12"/>
        </w:numPr>
        <w:tabs>
          <w:tab w:val="clear" w:pos="720"/>
        </w:tabs>
        <w:ind w:left="1134" w:hanging="567"/>
      </w:pPr>
      <w:r>
        <w:t>две рекомендации Комиссии по правам человека штата не были приняты ввиду отказа от поддержки выдвинутых в них обвинений.</w:t>
      </w:r>
    </w:p>
    <w:p w:rsidR="00000000" w:rsidRDefault="00000000">
      <w:pPr>
        <w:ind w:left="1122" w:hanging="1122"/>
      </w:pPr>
    </w:p>
    <w:p w:rsidR="00000000" w:rsidRDefault="00000000">
      <w:pPr>
        <w:rPr>
          <w:b/>
          <w:bCs/>
        </w:rPr>
      </w:pPr>
      <w:r>
        <w:rPr>
          <w:b/>
          <w:bCs/>
        </w:rPr>
        <w:t>Замечания, задачи и планы</w:t>
      </w:r>
    </w:p>
    <w:p w:rsidR="00000000" w:rsidRDefault="00000000">
      <w:pPr>
        <w:rPr>
          <w:b/>
          <w:bCs/>
        </w:rPr>
      </w:pPr>
    </w:p>
    <w:p w:rsidR="00000000" w:rsidRDefault="00000000">
      <w:r>
        <w:t>147.</w:t>
      </w:r>
      <w:r>
        <w:tab/>
        <w:t>Следует отметить, что в исследовании, посвященном изучению положения в области прав человека в Мексике, проведенном Верховным комиссаром, указывается на отказ населения подавать жалобы в отношении большого числа преступлений из</w:t>
      </w:r>
      <w:r>
        <w:noBreakHyphen/>
        <w:t>за скептицизма, который испытывает мексиканское общество в отношении полиции и судей.  Такое положение привело к появлению так называемой "черной статистики" преступлений, т.е. преступлений, о которых не известно, расследования в отношении которых не проводятся и виновные в совершении которых не устанавливаются и не наказываются</w:t>
      </w:r>
      <w:r>
        <w:rPr>
          <w:rStyle w:val="EndnoteReference"/>
        </w:rPr>
        <w:endnoteReference w:id="65"/>
      </w:r>
      <w:r>
        <w:t>.</w:t>
      </w:r>
    </w:p>
    <w:p w:rsidR="00000000" w:rsidRDefault="00000000"/>
    <w:p w:rsidR="00000000" w:rsidRDefault="00000000">
      <w:r>
        <w:t>148.</w:t>
      </w:r>
      <w:r>
        <w:tab/>
        <w:t>Неправительственная организация АКАТ за период с 1996 года до момента подготовки настоящего доклада в ходе проведенных ею расследований зарегистрировала 171 случай применения пыток, из которых в 16 случаях государственные органы несут ответственность за преступления, предусмотренные федеральными законами, и в 155 случаях - за преступления по обычному праву</w:t>
      </w:r>
      <w:r>
        <w:rPr>
          <w:rStyle w:val="EndnoteReference"/>
        </w:rPr>
        <w:endnoteReference w:id="66"/>
      </w:r>
      <w:r>
        <w:t>.</w:t>
      </w:r>
    </w:p>
    <w:p w:rsidR="00000000" w:rsidRDefault="00000000"/>
    <w:p w:rsidR="00000000" w:rsidRDefault="00000000">
      <w:pPr>
        <w:jc w:val="center"/>
        <w:rPr>
          <w:b/>
          <w:bCs/>
        </w:rPr>
      </w:pPr>
      <w:r>
        <w:rPr>
          <w:b/>
          <w:bCs/>
        </w:rPr>
        <w:t>Статья 5.  Юрисдикция Мексиканского Государства</w:t>
      </w:r>
    </w:p>
    <w:p w:rsidR="00000000" w:rsidRDefault="00000000"/>
    <w:p w:rsidR="00000000" w:rsidRDefault="00000000">
      <w:r>
        <w:t>149.</w:t>
      </w:r>
      <w:r>
        <w:tab/>
        <w:t>В статье 1 Федерального закона о предотвращении пыток и наказании за них предусматривается, что он применяется на территории всей страны в области федеральной юрисдикции и в Федеральном округе в области общей юрисдикции.  Понятие национальной территории определяется в статье 42 Мексиканской конституции.</w:t>
      </w:r>
    </w:p>
    <w:p w:rsidR="00000000" w:rsidRDefault="00000000"/>
    <w:p w:rsidR="00000000" w:rsidRDefault="00000000">
      <w:r>
        <w:t>150.</w:t>
      </w:r>
      <w:r>
        <w:tab/>
        <w:t>Так, действия федеральных должностных лиц, которые представляют собой пытку в том виде, как она определяется в Конвенции, должным образом квалифицируются и подлежат наказанию в любом месте территории, на которую распространяется суверенитет мексиканского государства.  В частности, в статьях 2, 3, 4, 5, 6, 7, 8, 9, 10, 11 и 12 упомянутого закона указываются наказания, которым могут быть подвергнуты должностные лица, применяющие пытки при осуществлении своих функций или являющиеся соучастниками их применения.</w:t>
      </w:r>
    </w:p>
    <w:p w:rsidR="00000000" w:rsidRDefault="00000000"/>
    <w:p w:rsidR="00000000" w:rsidRDefault="00000000">
      <w:r>
        <w:t>151.</w:t>
      </w:r>
      <w:r>
        <w:tab/>
        <w:t>В статьях 2-5 Федерального уголовного кодекса предусматриваются случаи, когда мексиканское государство может осуществлять свои полномочия в отношении преступлений, совершенных на территории Республики, за границей, на борту мексиканского или иностранного судна и даже на борту мексиканских и иностранных воздушных судов, которые находятся на национальной территории, а также в мексиканских посольствах и других дипломатических представительствах.  Кроме того, оно имеет право принимать к производству дела, связанные с общей юрисдикцией</w:t>
      </w:r>
      <w:r>
        <w:rPr>
          <w:rStyle w:val="EndnoteReference"/>
        </w:rPr>
        <w:endnoteReference w:id="67"/>
      </w:r>
      <w:r>
        <w:t>.</w:t>
      </w:r>
    </w:p>
    <w:p w:rsidR="00000000" w:rsidRDefault="00000000"/>
    <w:p w:rsidR="00000000" w:rsidRDefault="00000000">
      <w:r>
        <w:t>152.</w:t>
      </w:r>
      <w:r>
        <w:tab/>
        <w:t>В статье 4 Федерального уголовного кодекса Мексики предусматривается, что преступления, совершенные на территории иностранного государства мексиканцем против других мексиканцев и иностранцев либо иностранцем против мексиканцев, наказываются в Мексике в соответствии с федеральными законами, если при этом соблюдаются следующие условия:</w:t>
      </w:r>
    </w:p>
    <w:p w:rsidR="00000000" w:rsidRDefault="00000000"/>
    <w:p w:rsidR="00000000" w:rsidRDefault="00000000">
      <w:pPr>
        <w:tabs>
          <w:tab w:val="left" w:pos="567"/>
        </w:tabs>
      </w:pPr>
      <w:r>
        <w:tab/>
        <w:t>а)</w:t>
      </w:r>
      <w:r>
        <w:tab/>
        <w:t>обвиняемый находится на территории Мексики;</w:t>
      </w:r>
    </w:p>
    <w:p w:rsidR="00000000" w:rsidRDefault="00000000">
      <w:pPr>
        <w:tabs>
          <w:tab w:val="left" w:pos="567"/>
        </w:tabs>
      </w:pPr>
    </w:p>
    <w:p w:rsidR="00000000" w:rsidRDefault="00000000">
      <w:pPr>
        <w:tabs>
          <w:tab w:val="left" w:pos="567"/>
        </w:tabs>
      </w:pPr>
      <w:r>
        <w:tab/>
      </w:r>
      <w:r>
        <w:rPr>
          <w:lang w:val="en-US"/>
        </w:rPr>
        <w:t>b</w:t>
      </w:r>
      <w:r>
        <w:t>)</w:t>
      </w:r>
      <w:r>
        <w:tab/>
        <w:t>в отношении обвиняемого не вынесено окончательного судебного приговора в стране, где было совершено преступление;  и</w:t>
      </w:r>
    </w:p>
    <w:p w:rsidR="00000000" w:rsidRDefault="00000000">
      <w:pPr>
        <w:tabs>
          <w:tab w:val="left" w:pos="567"/>
        </w:tabs>
        <w:ind w:left="1134" w:hanging="1134"/>
      </w:pPr>
    </w:p>
    <w:p w:rsidR="00000000" w:rsidRDefault="00000000">
      <w:pPr>
        <w:tabs>
          <w:tab w:val="left" w:pos="567"/>
        </w:tabs>
      </w:pPr>
      <w:r>
        <w:tab/>
        <w:t>с)</w:t>
      </w:r>
      <w:r>
        <w:tab/>
        <w:t>правонарушение, которое вменяется в вину этому лицу, квалифицируется в качестве преступления как в стране его совершения, так и в Мексике.</w:t>
      </w:r>
    </w:p>
    <w:p w:rsidR="00000000" w:rsidRDefault="00000000">
      <w:pPr>
        <w:tabs>
          <w:tab w:val="clear" w:pos="567"/>
          <w:tab w:val="right" w:pos="561"/>
        </w:tabs>
        <w:ind w:left="1134" w:hanging="1134"/>
      </w:pPr>
    </w:p>
    <w:p w:rsidR="00000000" w:rsidRDefault="00000000">
      <w:r>
        <w:t>153.</w:t>
      </w:r>
      <w:r>
        <w:tab/>
        <w:t>В этой связи можно утверждать, что Федеральный уголовный кодекс предоставляет мексиканскому государству полномочия привлекать к ответственности за совершение преступлений, связанных с пытками, во всех случаях, которые предусматриваются в статье 5.1 Конвенции против пыток.</w:t>
      </w:r>
    </w:p>
    <w:p w:rsidR="00000000" w:rsidRDefault="00000000"/>
    <w:p w:rsidR="00000000" w:rsidRDefault="00000000">
      <w:r>
        <w:t>154.</w:t>
      </w:r>
      <w:r>
        <w:tab/>
        <w:t>Кроме того, в статье 6 Федерального уголовного кодекса говорится, что при совершении преступления, не предусмотренного в Кодексе, но предусмотренного в каком-либо законе (например, в Федеральном законе о предотвращении пыток и наказании за них) или в международном договоре, имеющем обязательную силу для Мексики (например, Конвенция против пыток), применяются эти законы и договоры с учетом положений Уголовного кодекса.  Когда принятие решения по какому-либо делу регулируется различными положениями, специальные законы имеют преимущество перед общими.</w:t>
      </w:r>
    </w:p>
    <w:p w:rsidR="00000000" w:rsidRDefault="00000000"/>
    <w:p w:rsidR="00000000" w:rsidRDefault="00000000">
      <w:pPr>
        <w:jc w:val="center"/>
      </w:pPr>
      <w:r>
        <w:rPr>
          <w:b/>
          <w:bCs/>
        </w:rPr>
        <w:t>Статья 6.  Заключение под стражу на национальной территории лица, подозреваемого в применении пыток с целью его выдачи</w:t>
      </w:r>
    </w:p>
    <w:p w:rsidR="00000000" w:rsidRDefault="00000000">
      <w:pPr>
        <w:jc w:val="center"/>
      </w:pPr>
    </w:p>
    <w:p w:rsidR="00000000" w:rsidRDefault="00000000">
      <w:pPr>
        <w:jc w:val="center"/>
      </w:pPr>
      <w:r>
        <w:rPr>
          <w:b/>
          <w:bCs/>
        </w:rPr>
        <w:t>А.</w:t>
      </w:r>
      <w:r>
        <w:rPr>
          <w:b/>
          <w:bCs/>
        </w:rPr>
        <w:tab/>
        <w:t>Дело Рикардо Мигеля Кавальо</w:t>
      </w:r>
    </w:p>
    <w:p w:rsidR="00000000" w:rsidRDefault="00000000"/>
    <w:p w:rsidR="00000000" w:rsidRDefault="00000000">
      <w:r>
        <w:t>155.</w:t>
      </w:r>
      <w:r>
        <w:tab/>
        <w:t>Мексиканская газета "Реформа" 24 августа 2000 года опубликовала результаты расследования по делу Рикардо Мигеля Кавальо или Мигеля Анхеле Кавальо, который возглавлял в Мексику компанию "Рехистро-насьональ де Беикулос" (РЕНАВЕ)</w:t>
      </w:r>
      <w:r>
        <w:rPr>
          <w:rStyle w:val="EndnoteReference"/>
        </w:rPr>
        <w:endnoteReference w:id="68"/>
      </w:r>
      <w:r>
        <w:t>.  В указанной статье сообщалось о прошлом Кавальо, который во время правления военной диктатуры в Аргентине с 1976 по 1983 год принимал участие в расправах и актах терроризма, совершенных государством</w:t>
      </w:r>
      <w:r>
        <w:rPr>
          <w:rStyle w:val="EndnoteReference"/>
        </w:rPr>
        <w:endnoteReference w:id="69"/>
      </w:r>
      <w:r>
        <w:t>.</w:t>
      </w:r>
    </w:p>
    <w:p w:rsidR="00000000" w:rsidRDefault="00000000"/>
    <w:p w:rsidR="00000000" w:rsidRDefault="00000000">
      <w:r>
        <w:t>156.</w:t>
      </w:r>
      <w:r>
        <w:tab/>
        <w:t>На следующий день после опубликования этой статьи Кавальо планировал вылететь в Аргентину.  Во время посадки на самолет в Канкуне он был задержан сотрудниками мексиканской миграционной службы.  Таким образом, правительство Мексики приняло необходимые меры для установления присутствия на территории страны лица, которое подозревалось в совершении преступления, связанного с пытками, как это предусматривается в статье 6.1 Конвенции.</w:t>
      </w:r>
    </w:p>
    <w:p w:rsidR="00000000" w:rsidRDefault="00000000"/>
    <w:p w:rsidR="00000000" w:rsidRDefault="00000000">
      <w:r>
        <w:t>157.</w:t>
      </w:r>
      <w:r>
        <w:tab/>
        <w:t>Генеральная прокуратура Республики 25 августа 2000 года получила сообщение от правительства Испании, в котором говорилось, что один из испанских судей в тот же день выдал ордер на арест Рикардо Мигеля Кавальо в связи с его возможным участием в преступлениях геноцида, терроризма и пыток, совершенных во время правления в Аргентине диктатуры в период 1976-1982 годов.</w:t>
      </w:r>
    </w:p>
    <w:p w:rsidR="00000000" w:rsidRDefault="00000000"/>
    <w:p w:rsidR="00000000" w:rsidRDefault="00000000">
      <w:r>
        <w:t>158.</w:t>
      </w:r>
      <w:r>
        <w:tab/>
        <w:t>Районный судья по уголовным делам 11 января 2001 года постановил рекомендовать выдачу Рикардо Мигеля Кавальо в Испанию за преступления, связанные с геноцидом и терроризмом, но не за применение пыток, поскольку, по его словам, обвинение в этом преступление было с Кавальо снято в соответствии с положениями национального законодательства</w:t>
      </w:r>
      <w:r>
        <w:rPr>
          <w:rStyle w:val="EndnoteReference"/>
        </w:rPr>
        <w:endnoteReference w:id="70"/>
      </w:r>
      <w:r>
        <w:t>.</w:t>
      </w:r>
    </w:p>
    <w:p w:rsidR="00000000" w:rsidRDefault="00000000"/>
    <w:p w:rsidR="00000000" w:rsidRDefault="00000000">
      <w:r>
        <w:t>159.</w:t>
      </w:r>
      <w:r>
        <w:tab/>
        <w:t>Министерство иностранных дел 2 февраля 2001 года постановило экстрадировать Кавальо за совершение им трех видов преступлений, на основании которых Испания обратилась к Мексике о его выдаче</w:t>
      </w:r>
      <w:r>
        <w:rPr>
          <w:rStyle w:val="EndnoteReference"/>
        </w:rPr>
        <w:endnoteReference w:id="71"/>
      </w:r>
      <w:r>
        <w:t>.</w:t>
      </w:r>
    </w:p>
    <w:p w:rsidR="00000000" w:rsidRDefault="00000000"/>
    <w:p w:rsidR="00000000" w:rsidRDefault="00000000">
      <w:r>
        <w:t>160.</w:t>
      </w:r>
      <w:r>
        <w:tab/>
        <w:t>В связи с этим решением защитник г-на Кавальо подал судебным властям Федерации ходатайство в порядке ампаро, ссылаясь на несоответствие соглашений о выдаче требованиям, установленным в мексиканской Конституции.  Кроме того, защитник г</w:t>
      </w:r>
      <w:r>
        <w:noBreakHyphen/>
        <w:t>на Кавальо указывал на невозможность Мексики судить его за совершенные преступления, учитывая их политический характер и прекращение привлечения за них к ответственности в соответствии с существующим законодательством</w:t>
      </w:r>
      <w:r>
        <w:rPr>
          <w:rStyle w:val="EndnoteReference"/>
        </w:rPr>
        <w:endnoteReference w:id="72"/>
      </w:r>
      <w:r>
        <w:t>.</w:t>
      </w:r>
    </w:p>
    <w:p w:rsidR="00000000" w:rsidRDefault="00000000"/>
    <w:p w:rsidR="00000000" w:rsidRDefault="00000000">
      <w:r>
        <w:t>161.</w:t>
      </w:r>
      <w:r>
        <w:tab/>
        <w:t>На своем пленарном заседании 11 июня 2003 года Верховный суд Республики (ВСР) подтвердил решение об экстрадиции в Испанию бывшего аргентинского военнослужащего Рикардо Мигеля Кавальо за преступления геноцида и терроризма, но не за преступление, связанное с применением пыток, которое суд счел с него снятым.  Следует подчеркнуть, что в своем решении Верховный суд не ставил под сомнение законность юрисдикции Испании.</w:t>
      </w:r>
    </w:p>
    <w:p w:rsidR="00000000" w:rsidRDefault="00000000"/>
    <w:p w:rsidR="00000000" w:rsidRDefault="00000000">
      <w:r>
        <w:t>162.</w:t>
      </w:r>
      <w:r>
        <w:tab/>
        <w:t>Министерство иностранных дел 26 июня 2003 года передало Рикардо Мигеля Кавальо в распоряжение Генеральной прокуратуры Республики с целью доставки его в Испанию.  В тот же день министерство иностранных дел получило от районного судебного исполнителя по уголовным делам, в отношении которых поступили ходатайства в порядке ампаро в Федеральном округе, постановление, в котором сообщалось о выполнении в полном объеме решения Верховного суда Республики.  В указанном постановлении министерству предлагалось внести изменение в первоначальное решение и осуществить экстрадицию г-на Кавальо за преступления геноцида и терроризма, исключив при этом обвинение в пытках ввиду снятия с него ранее этого обвинения</w:t>
      </w:r>
      <w:r>
        <w:rPr>
          <w:rStyle w:val="EndnoteReference"/>
        </w:rPr>
        <w:endnoteReference w:id="73"/>
      </w:r>
      <w:r>
        <w:t>.</w:t>
      </w:r>
    </w:p>
    <w:p w:rsidR="00000000" w:rsidRDefault="00000000"/>
    <w:p w:rsidR="00000000" w:rsidRDefault="00000000">
      <w:pPr>
        <w:keepNext/>
        <w:jc w:val="center"/>
        <w:rPr>
          <w:b/>
          <w:bCs/>
        </w:rPr>
      </w:pPr>
      <w:r>
        <w:rPr>
          <w:b/>
          <w:bCs/>
        </w:rPr>
        <w:t>В.</w:t>
      </w:r>
      <w:r>
        <w:rPr>
          <w:b/>
          <w:bCs/>
        </w:rPr>
        <w:tab/>
        <w:t>Замечания организаций гражданского общества</w:t>
      </w:r>
    </w:p>
    <w:p w:rsidR="00000000" w:rsidRDefault="00000000">
      <w:pPr>
        <w:keepNext/>
        <w:rPr>
          <w:b/>
          <w:bCs/>
        </w:rPr>
      </w:pPr>
    </w:p>
    <w:p w:rsidR="00000000" w:rsidRDefault="00000000">
      <w:r>
        <w:t>163.</w:t>
      </w:r>
      <w:r>
        <w:tab/>
        <w:t>Различные организации гражданского общества заявили, что любое толкование или применение норм мексиканского законодательства, позволяющих прекращать возбуждение уголовных дел, которые повлекли бы за собой исключение возможности возбуждать уголовные дела и наказывать за преступления, связанные с применением пыток, означают невыполнение Мексикой своих международных обязательств в вопросах, в связи с которыми можно было бы возбуждать уголовные дела на основании других принятых положений.  Кроме того, организации гражданского общества указали, что любая интерпретация норм в уголовном законодательстве, позволяющая прекращать возбуждение дел за преступления, связанные с пытками, является незаконной в соответствии с юридическим толкованием Верховного суда Республики, в котором говорится, что действие договоров имеет приоритет над федеральным законодательством, частью которого является Федеральный уголовный кодекс</w:t>
      </w:r>
      <w:r>
        <w:rPr>
          <w:rStyle w:val="EndnoteReference"/>
        </w:rPr>
        <w:endnoteReference w:id="74"/>
      </w:r>
      <w:r>
        <w:t>.</w:t>
      </w:r>
    </w:p>
    <w:p w:rsidR="00000000" w:rsidRDefault="00000000"/>
    <w:p w:rsidR="00000000" w:rsidRDefault="00000000">
      <w:r>
        <w:t>164.</w:t>
      </w:r>
      <w:r>
        <w:tab/>
        <w:t>Мексика 15 марта 2002 года ратифицировала Конвенцию о неприменимости срока давности к военным преступлениям и преступлениям против человечества.  При передаче на хранение соответствующих ратификационных документов Мексика сделала разъясняющее заявление, в соответствии с которым, сославшись на статью 14 Конституции, она "[…] считает срок давности неприменимым только к предусмотренным в Конвенции преступлениям, совершенным после вступления ее в силу для Мексики".</w:t>
      </w:r>
    </w:p>
    <w:p w:rsidR="00000000" w:rsidRDefault="00000000"/>
    <w:p w:rsidR="00000000" w:rsidRDefault="00000000">
      <w:r>
        <w:t>165.</w:t>
      </w:r>
      <w:r>
        <w:tab/>
        <w:t>В статье 14 Политической конституции Мексиканских Соединенных Штатов говорится, что "никакой закон не имеет обратной силы во вред какому-либо лицу".  Для избежания проблем, связанных с законностью и обратным действием, закрытия всех лазеек для безнаказанности и невыполнения Мексикой международных обязательств Подкомиссия по согласованию законодательства</w:t>
      </w:r>
      <w:r>
        <w:rPr>
          <w:rStyle w:val="EndnoteReference"/>
        </w:rPr>
        <w:endnoteReference w:id="75"/>
      </w:r>
      <w:r>
        <w:t xml:space="preserve"> разработала предложение о внесении поправки в статью 14 Конституции, с тем чтобы включить в нее положения, касающиеся  неприменимости срока давности к военным преступлениям, преступлениям против человечества и серьезным нарушениям прав человека, независимо от времени их совершения.</w:t>
      </w:r>
    </w:p>
    <w:p w:rsidR="00000000" w:rsidRDefault="00000000"/>
    <w:p w:rsidR="00000000" w:rsidRDefault="00000000"/>
    <w:p w:rsidR="00000000" w:rsidRDefault="00000000">
      <w:r>
        <w:t>166.</w:t>
      </w:r>
      <w:r>
        <w:tab/>
        <w:t>Кроме того, предлагается внести поправку в Федеральный уголовный кодекс, в соответствии с которой исключается возможность прекращения привлечения к уголовной ответственности и наказания за такие преступления против человечности, прав человека и международного гуманитарного права, как пытки, насильственное исчезновение, геноцид, убийства при отягчающих обстоятельствах, похищения, преступления против личности, предусмотренные в статье 194 Федерального уголовно-процессуального кодекса.</w:t>
      </w:r>
    </w:p>
    <w:p w:rsidR="00000000" w:rsidRDefault="00000000"/>
    <w:p w:rsidR="00000000" w:rsidRDefault="00000000">
      <w:pPr>
        <w:jc w:val="center"/>
        <w:rPr>
          <w:b/>
          <w:bCs/>
        </w:rPr>
      </w:pPr>
      <w:r>
        <w:rPr>
          <w:b/>
          <w:bCs/>
        </w:rPr>
        <w:t>Статья 7.  Уголовное преследование в Мексике лиц, подозреваемых</w:t>
      </w:r>
    </w:p>
    <w:p w:rsidR="00000000" w:rsidRDefault="00000000">
      <w:pPr>
        <w:jc w:val="center"/>
        <w:rPr>
          <w:b/>
          <w:bCs/>
        </w:rPr>
      </w:pPr>
      <w:r>
        <w:rPr>
          <w:b/>
          <w:bCs/>
        </w:rPr>
        <w:t>в совершении преступлений</w:t>
      </w:r>
    </w:p>
    <w:p w:rsidR="00000000" w:rsidRDefault="00000000">
      <w:pPr>
        <w:jc w:val="center"/>
        <w:rPr>
          <w:b/>
          <w:bCs/>
        </w:rPr>
      </w:pPr>
    </w:p>
    <w:p w:rsidR="00000000" w:rsidRDefault="00000000">
      <w:r>
        <w:t>167.</w:t>
      </w:r>
      <w:r>
        <w:tab/>
        <w:t>В том случае, если мексиканское правительство отказывается выдать лицо за совершение преступлений, связанных с пытками, Мексика имеет полномочия для уголовного преследования обвиняемого в соответствии с положениями статьи 4 Федерального уголовного кодекса.  В данной статье говорится о выдаче мексиканцев или иностранцев и о возможности уголовного преследования их на территории Мексики в случае выполнения трех условий, а именно:  если обвиняемый находится на территории Мексики;  если в отношении обвиняемого не вынесено окончательного судебного приговора в стране, где было совершено преступление;  и если правонарушение, которое вменяется в вину этому лицу, квалифицируется в качестве преступления как в стране его совершения, так и в Мексике.  Кроме того, в этой статье указывается, что преступления, совершенные на территории другого государства мексиканцем против других мексиканцев или иностранцев, или иностранцем против мексиканцев, наказываются в Мексике в соответствии в Мексике с федеральными законами.</w:t>
      </w:r>
    </w:p>
    <w:p w:rsidR="00000000" w:rsidRDefault="00000000"/>
    <w:p w:rsidR="00000000" w:rsidRDefault="00000000">
      <w:r>
        <w:t>168.</w:t>
      </w:r>
      <w:r>
        <w:tab/>
        <w:t>В статье 6 указанного Кодекса говорится также, что в случае совершения преступления, не предусмотренного в Кодексе, но предусмотренного в каком-либо специальном законе или в международном договоре, выполнение которого является обязательным для Мексики, применяются эти специальные законы и договоры.  В тех случаях, когда применение наказания в отношении преступлений, связанных с пытками, регулируются различными положениями, специальные законы имеют приоритет над общими.</w:t>
      </w:r>
    </w:p>
    <w:p w:rsidR="00000000" w:rsidRDefault="00000000"/>
    <w:p w:rsidR="00000000" w:rsidRDefault="00000000">
      <w:r>
        <w:t>169.</w:t>
      </w:r>
      <w:r>
        <w:tab/>
        <w:t>Верховный суд Республики 18 января 2001 года принял правовое положение, согласно которому при принятии решений об экстрадиции мексиканцев и иностранцев признаются дискреционные полномочия исполнительной власти:</w:t>
      </w:r>
    </w:p>
    <w:p w:rsidR="00000000" w:rsidRDefault="00000000"/>
    <w:p w:rsidR="00000000" w:rsidRDefault="00000000">
      <w:pPr>
        <w:ind w:left="567"/>
      </w:pPr>
      <w:r>
        <w:t>"Экстрадиция:  возможность судебного преследования мексиканца в Мексике в соответствии со статьей 4 Федерального уголовного кодекса не препятствует исполнительной власти использовать дискреционные полномочия, которые предоставляются ей на основании соглашения об экстрадиции между Мексиканскими Соединенными Штатами и Соединенными Штатами Америки".</w:t>
      </w:r>
    </w:p>
    <w:p w:rsidR="00000000" w:rsidRDefault="00000000">
      <w:pPr>
        <w:ind w:left="567"/>
      </w:pPr>
    </w:p>
    <w:p w:rsidR="00000000" w:rsidRDefault="00000000">
      <w:r>
        <w:t>170.</w:t>
      </w:r>
      <w:r>
        <w:tab/>
        <w:t>Согласно статье 9.1 указанного соглашения, "ни одна из двух Договаривающихся сторон не обязана выдавать своих граждан, но исполнительная власть Стороны, к которой обращаются с просьбой о выдаче, может, когда ей не препятствуют законы ее страны, выдавать то или иное лицо, если на основе своих дискреционных полномочий она считает это необходимым".</w:t>
      </w:r>
    </w:p>
    <w:p w:rsidR="00000000" w:rsidRDefault="00000000"/>
    <w:p w:rsidR="00000000" w:rsidRDefault="00000000">
      <w:r>
        <w:t>171.</w:t>
      </w:r>
      <w:r>
        <w:tab/>
        <w:t>Из этого следует, что исполнительная власть Мексики располагает дискреционными полномочиями выдавать Соединенным Штатам Америки, по просьбе правительства США, мексиканцев, которые совершили преступления в США, "если этому не препятствуют законы Мексики".  Это условие следует понимать в том смысле, что оно разрешает исполнительной власти выполнять просьбы о выдаче только в тех случаях, когда это предусмотрено положениями Политической конституции Мексиканских Соединенных Штатов или какого-либо федерального закона.</w:t>
      </w:r>
    </w:p>
    <w:p w:rsidR="00000000" w:rsidRDefault="00000000"/>
    <w:p w:rsidR="00000000" w:rsidRDefault="00000000">
      <w:r>
        <w:t>172.</w:t>
      </w:r>
      <w:r>
        <w:tab/>
        <w:t>Хотя анализ статьи 4 Федерального уголовного кодекса с точки зрения грамматики и содержания позволяет сделать вывод о том, что в ней не содержится никакого запрета или препятствия для выдачи, включение в нее слов "лица подлежат наказанию в Мексике в соответствии с федеральными законами" фактически устанавливает применимую в данном случае норму права.  Это означает, что, если мексиканец будет судим в Мексике за преступление, совершенное в другой стране, ему будет вынесено наказание в соответствии с федеральными мексиканскими законами, а не в соответствии с законами иностранного государства, в котором ему предъявлено обвинение в совершении преступления.  При этом эти положения запрета на его выдачу не предусматривают.</w:t>
      </w:r>
    </w:p>
    <w:p w:rsidR="00000000" w:rsidRDefault="00000000"/>
    <w:p w:rsidR="00000000" w:rsidRDefault="00000000">
      <w:pPr>
        <w:jc w:val="center"/>
        <w:rPr>
          <w:b/>
          <w:bCs/>
        </w:rPr>
      </w:pPr>
      <w:r>
        <w:rPr>
          <w:b/>
          <w:bCs/>
        </w:rPr>
        <w:t>Статья 8.  Пытки дают основание для выдачи на основании всех договоров</w:t>
      </w:r>
    </w:p>
    <w:p w:rsidR="00000000" w:rsidRDefault="00000000"/>
    <w:p w:rsidR="00000000" w:rsidRDefault="00000000">
      <w:r>
        <w:t>173.</w:t>
      </w:r>
      <w:r>
        <w:tab/>
        <w:t>В статье 6 Закона о международной экстрадиции предусматривается выдача лиц, виновных в совершении уголовных преступлений, которые в соответствии с указанным Законом считаются тяжкими и за которые совершившие их лица подлежат в соответствии с мексиканскими законами и законами обратившегося с просьбой государства наказанию в виде тюремного заключения.  Указанное выше положение относится к преступлениям, связанным с пытками, покушению на применение пытки, оказанию содействия применению пыток и соучастию в них.</w:t>
      </w:r>
    </w:p>
    <w:p w:rsidR="00000000" w:rsidRDefault="00000000"/>
    <w:p w:rsidR="00000000" w:rsidRDefault="00000000">
      <w:r>
        <w:t>174.</w:t>
      </w:r>
      <w:r>
        <w:tab/>
        <w:t>В качестве приложения</w:t>
      </w:r>
      <w:r>
        <w:rPr>
          <w:rStyle w:val="EndnoteReference"/>
        </w:rPr>
        <w:endnoteReference w:id="76"/>
      </w:r>
      <w:r>
        <w:t xml:space="preserve"> к настоящему докладу включена таблица договоров об экстрадиции, которые Мексика подписала после 1997 года, и в текстовой части этой таблицы рассматриваются деяния, связанные с пытками.  Следует подчеркнуть, что в Мексике пытки квалифицируются как тяжкое преступление.  Если какие-либо деяния четко не указаны в тексте какого-либо договора и если они рассматриваются как жестокие, бесчеловечные или унижающие достоинство виды обращения, то они наказуемы тюремным заключением сроком не менее чем на один год.</w:t>
      </w:r>
    </w:p>
    <w:p w:rsidR="00000000" w:rsidRDefault="00000000"/>
    <w:p w:rsidR="00000000" w:rsidRDefault="00000000">
      <w:r>
        <w:t>175.</w:t>
      </w:r>
      <w:r>
        <w:tab/>
        <w:t>Следует подчеркнуть, что при отсутствии договора об экстрадиции и при получении Мексикой от государства - участника Конвенции против пыток просьбы о выдаче какого-либо лица Конвенция будет рассматриваться в качестве необходимого правового основания для выдачи за такие преступления, как это предусматривается в статье 8.2.  Таким образом, учитывая вышесказанное, в соответствии со статьей 133, в которой Конституция, международные договоры и федеральные законы признаются в качестве "высшего закона Союза", преступления, связанные с пытками, служат юридическим основанием для экстрадиции при получении просьбы об этом от какого-либо государства - участника Конвенции против пыток.</w:t>
      </w:r>
    </w:p>
    <w:p w:rsidR="00000000" w:rsidRDefault="00000000"/>
    <w:p w:rsidR="00000000" w:rsidRDefault="00000000">
      <w:pPr>
        <w:jc w:val="center"/>
        <w:rPr>
          <w:b/>
          <w:bCs/>
        </w:rPr>
      </w:pPr>
      <w:r>
        <w:rPr>
          <w:b/>
          <w:bCs/>
        </w:rPr>
        <w:t>Статья 9.  Сотрудничество в осуществлении уголовно-процессуальных действий</w:t>
      </w:r>
    </w:p>
    <w:p w:rsidR="00000000" w:rsidRDefault="00000000">
      <w:pPr>
        <w:jc w:val="center"/>
        <w:rPr>
          <w:b/>
          <w:bCs/>
        </w:rPr>
      </w:pPr>
    </w:p>
    <w:p w:rsidR="00000000" w:rsidRDefault="00000000">
      <w:pPr>
        <w:jc w:val="center"/>
        <w:rPr>
          <w:b/>
          <w:bCs/>
        </w:rPr>
      </w:pPr>
      <w:r>
        <w:rPr>
          <w:b/>
          <w:bCs/>
        </w:rPr>
        <w:t>A.</w:t>
      </w:r>
      <w:r>
        <w:rPr>
          <w:b/>
          <w:bCs/>
        </w:rPr>
        <w:tab/>
        <w:t>Сотрудничество в судебной области в рамках</w:t>
      </w:r>
    </w:p>
    <w:p w:rsidR="00000000" w:rsidRDefault="00000000">
      <w:pPr>
        <w:jc w:val="center"/>
        <w:rPr>
          <w:b/>
          <w:bCs/>
        </w:rPr>
      </w:pPr>
      <w:r>
        <w:rPr>
          <w:b/>
          <w:bCs/>
        </w:rPr>
        <w:t>федерального законодательства</w:t>
      </w:r>
    </w:p>
    <w:p w:rsidR="00000000" w:rsidRDefault="00000000">
      <w:pPr>
        <w:rPr>
          <w:b/>
          <w:bCs/>
          <w:u w:val="single"/>
        </w:rPr>
      </w:pPr>
    </w:p>
    <w:p w:rsidR="00000000" w:rsidRDefault="00000000">
      <w:r>
        <w:t>176.</w:t>
      </w:r>
      <w:r>
        <w:tab/>
        <w:t>В четвертом томе Федерального гражданско-процессуального кодекса предусматривается, что при рассмотрении дел, связанных с преступлениями, на которые распространяется компетенция федеральных властей, международное сотрудничество в судебной области регулируется положениями указанного Кодекса и другими относящимися к этому законами, если на них не распространяются положения договоров и конвенций, стороной которых является Мексика (статья 543).</w:t>
      </w:r>
    </w:p>
    <w:p w:rsidR="00000000" w:rsidRDefault="00000000"/>
    <w:p w:rsidR="00000000" w:rsidRDefault="00000000">
      <w:r>
        <w:t>177.</w:t>
      </w:r>
      <w:r>
        <w:tab/>
        <w:t xml:space="preserve">В указанном томе Федерального гражданско-процессуального кодекса регулируется вопрос, связанный с международными обращениями и ходатайствами (глава II), компетенцией при осуществлении процессуальных действий (глава III), принятием доказательств (глава IV), компетенцией в области исполнения наказаний (глава V) и исполнением наказаний (глава VI).  </w:t>
      </w:r>
    </w:p>
    <w:p w:rsidR="00000000" w:rsidRDefault="00000000"/>
    <w:p w:rsidR="00000000" w:rsidRDefault="00000000">
      <w:r>
        <w:t>178.</w:t>
      </w:r>
      <w:r>
        <w:tab/>
        <w:t>В соответствии с положениями указанного Кодекса приговоры и другие судебные решения, принятые в иностранных государствах, будут признаваться и иметь силу в Мексике при условии, что они не ведут к нарушению внутреннего общественного порядка, предусмотренного в этом Кодексе и в остальных соответствующих законах, если иное не предусмотрено в договорах и соглашениях, участником которых является Мексика (статья 569).</w:t>
      </w:r>
    </w:p>
    <w:p w:rsidR="00000000" w:rsidRDefault="00000000"/>
    <w:p w:rsidR="00000000" w:rsidRDefault="00000000">
      <w:r>
        <w:t>179.</w:t>
      </w:r>
      <w:r>
        <w:tab/>
        <w:t>В Мексике приговоры и другие судебные решения, принятые в иностранных государствах, исполняются в обязательном порядке посредством согласования их с положениями Федерального гражданско-процессуального кодекса и остальными соответствующими законами, если иное не предусмотрено в договорах и соглашениях, участником которых является Мексика</w:t>
      </w:r>
      <w:r>
        <w:rPr>
          <w:rStyle w:val="EndnoteReference"/>
        </w:rPr>
        <w:endnoteReference w:id="77"/>
      </w:r>
      <w:r>
        <w:t>.</w:t>
      </w:r>
    </w:p>
    <w:p w:rsidR="00000000" w:rsidRDefault="00000000"/>
    <w:p w:rsidR="00000000" w:rsidRDefault="00000000">
      <w:r>
        <w:t>180.</w:t>
      </w:r>
      <w:r>
        <w:tab/>
        <w:t>Согласно федеральному законодательству компетентный суд уполномочен обеспечивать исполнение наказания, выносить судебные решения или постановления, вытекающие из приговора, вынесенного судом иностранного государства с учетом места проживания приговоренного лица, а при его отсутствии - с учетом местонахождения его собственности в Мексике</w:t>
      </w:r>
      <w:r>
        <w:rPr>
          <w:rStyle w:val="EndnoteReference"/>
        </w:rPr>
        <w:endnoteReference w:id="78"/>
      </w:r>
      <w:r>
        <w:t>.</w:t>
      </w:r>
    </w:p>
    <w:p w:rsidR="00000000" w:rsidRDefault="00000000"/>
    <w:p w:rsidR="00000000" w:rsidRDefault="00000000">
      <w:r>
        <w:t>181.</w:t>
      </w:r>
      <w:r>
        <w:tab/>
        <w:t>Мексика подписала отдельные договоры с различными государствами об оказании судебной помощи.  Цель данных договоров состоит в том, чтобы предотвращать преступления, проводить в отношении их расследования и осуществлять наказания за них, а также проводить любые другие уголовно-процессуальные действия и исполнять решения по уголовным делам, принятые на территории других государств.  Кроме того, существуют договоры о выдаче, которые включают положения, предусматривающие осуществление международного сотрудничества в судебной области.</w:t>
      </w:r>
    </w:p>
    <w:p w:rsidR="00000000" w:rsidRDefault="00000000"/>
    <w:p w:rsidR="00000000" w:rsidRDefault="00000000">
      <w:pPr>
        <w:jc w:val="center"/>
        <w:rPr>
          <w:b/>
          <w:bCs/>
        </w:rPr>
      </w:pPr>
      <w:r>
        <w:rPr>
          <w:b/>
          <w:bCs/>
        </w:rPr>
        <w:t>Статья 10.  Обучение и подготовка персонала в целях борьбы против пыток</w:t>
      </w:r>
    </w:p>
    <w:p w:rsidR="00000000" w:rsidRDefault="00000000">
      <w:pPr>
        <w:jc w:val="center"/>
        <w:rPr>
          <w:b/>
          <w:bCs/>
        </w:rPr>
      </w:pPr>
    </w:p>
    <w:p w:rsidR="00000000" w:rsidRDefault="00000000">
      <w:pPr>
        <w:jc w:val="center"/>
        <w:rPr>
          <w:b/>
          <w:bCs/>
        </w:rPr>
      </w:pPr>
      <w:r>
        <w:rPr>
          <w:b/>
          <w:bCs/>
        </w:rPr>
        <w:t>А.</w:t>
      </w:r>
      <w:r>
        <w:rPr>
          <w:b/>
          <w:bCs/>
        </w:rPr>
        <w:tab/>
        <w:t>Рекомендации, вынесенные в адрес Мексики</w:t>
      </w:r>
    </w:p>
    <w:p w:rsidR="00000000" w:rsidRDefault="00000000"/>
    <w:p w:rsidR="00000000" w:rsidRDefault="00000000">
      <w:r>
        <w:t>182.</w:t>
      </w:r>
      <w:r>
        <w:tab/>
        <w:t xml:space="preserve">Комитет против пыток рекомендовал Мексике активизировать осуществление учебных программ и распространение информации, предназначенных, в частности, для государственных должностных лиц, которые отвечают за исполнение законов правоохранительными организациями и органами правосудия, а также включить в эти программы вопросы, связанные с запрещением пыток.  </w:t>
      </w:r>
    </w:p>
    <w:p w:rsidR="00000000" w:rsidRDefault="00000000"/>
    <w:p w:rsidR="00000000" w:rsidRDefault="00000000">
      <w:pPr>
        <w:jc w:val="center"/>
        <w:rPr>
          <w:b/>
          <w:bCs/>
        </w:rPr>
      </w:pPr>
      <w:r>
        <w:rPr>
          <w:b/>
          <w:bCs/>
        </w:rPr>
        <w:t>В.</w:t>
      </w:r>
      <w:r>
        <w:rPr>
          <w:b/>
          <w:bCs/>
        </w:rPr>
        <w:tab/>
        <w:t>Меры, принятые Мексикой</w:t>
      </w:r>
    </w:p>
    <w:p w:rsidR="00000000" w:rsidRDefault="00000000">
      <w:pPr>
        <w:rPr>
          <w:b/>
          <w:bCs/>
        </w:rPr>
      </w:pPr>
    </w:p>
    <w:p w:rsidR="00000000" w:rsidRDefault="00000000">
      <w:r>
        <w:t>183.</w:t>
      </w:r>
      <w:r>
        <w:tab/>
        <w:t>Во исполнение этой рекомендации национальные учреждения проделали большую работу для ознакомления своих сотрудников с правами человека и разработали новые стратегии, учитывающие возможные требования Национальной комиссии по правам человека, что значительно сократило число рекомендаций, сделанных этим учреждениям.</w:t>
      </w:r>
    </w:p>
    <w:p w:rsidR="00000000" w:rsidRDefault="00000000"/>
    <w:p w:rsidR="00000000" w:rsidRDefault="00000000">
      <w:pPr>
        <w:rPr>
          <w:b/>
          <w:bCs/>
          <w:i/>
          <w:iCs/>
          <w:u w:val="single"/>
        </w:rPr>
      </w:pPr>
      <w:r>
        <w:rPr>
          <w:b/>
          <w:bCs/>
          <w:i/>
          <w:iCs/>
        </w:rPr>
        <w:t>1.</w:t>
      </w:r>
      <w:r>
        <w:rPr>
          <w:b/>
          <w:bCs/>
          <w:i/>
          <w:iCs/>
        </w:rPr>
        <w:tab/>
        <w:t>Меры, принятые Генеральной прокуратурой Республики</w:t>
      </w:r>
    </w:p>
    <w:p w:rsidR="00000000" w:rsidRDefault="00000000">
      <w:pPr>
        <w:rPr>
          <w:u w:val="single"/>
        </w:rPr>
      </w:pPr>
    </w:p>
    <w:p w:rsidR="00000000" w:rsidRDefault="00000000">
      <w:r>
        <w:t>184.</w:t>
      </w:r>
      <w:r>
        <w:tab/>
        <w:t>С октября 2002 года по сентябрь 2004 года Генеральная прокуратура Республики организовала 17 курсов по юридическим аспектам и методам осуществления экспертиз в связи с применением типовой процедуры проведения медицинских осмотров и/или психологических анализов для установления случаев возможного применения пыток и/или жестокого обращения:</w:t>
      </w:r>
    </w:p>
    <w:p w:rsidR="00000000" w:rsidRDefault="00000000"/>
    <w:tbl>
      <w:tblPr>
        <w:tblW w:w="9411"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580"/>
        <w:gridCol w:w="1559"/>
        <w:gridCol w:w="2552"/>
        <w:gridCol w:w="2720"/>
      </w:tblGrid>
      <w:tr w:rsidR="00000000">
        <w:trPr>
          <w:cantSplit/>
        </w:trPr>
        <w:tc>
          <w:tcPr>
            <w:tcW w:w="2580"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lang w:val="ru-RU"/>
              </w:rPr>
            </w:pPr>
            <w:r>
              <w:rPr>
                <w:rFonts w:ascii="Times New Roman" w:hAnsi="Times New Roman"/>
                <w:sz w:val="22"/>
                <w:szCs w:val="24"/>
                <w:lang w:val="ru-RU"/>
              </w:rPr>
              <w:t>Сроки проведения</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lang w:val="ru-RU"/>
              </w:rPr>
            </w:pPr>
            <w:r>
              <w:rPr>
                <w:rFonts w:ascii="Times New Roman" w:hAnsi="Times New Roman"/>
                <w:sz w:val="22"/>
                <w:szCs w:val="24"/>
                <w:lang w:val="ru-RU"/>
              </w:rPr>
              <w:t>Число курсов</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lang w:val="ru-RU"/>
              </w:rPr>
            </w:pPr>
            <w:r>
              <w:rPr>
                <w:rFonts w:ascii="Times New Roman" w:hAnsi="Times New Roman"/>
                <w:sz w:val="22"/>
                <w:szCs w:val="24"/>
                <w:lang w:val="ru-RU"/>
              </w:rPr>
              <w:t>Количество слушателей</w:t>
            </w:r>
          </w:p>
        </w:tc>
        <w:tc>
          <w:tcPr>
            <w:tcW w:w="2720"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lang w:val="ru-RU"/>
              </w:rPr>
            </w:pPr>
            <w:r>
              <w:rPr>
                <w:rFonts w:ascii="Times New Roman" w:hAnsi="Times New Roman"/>
                <w:sz w:val="22"/>
                <w:szCs w:val="24"/>
                <w:lang w:val="ru-RU"/>
              </w:rPr>
              <w:t>Количество учебных часов</w:t>
            </w:r>
          </w:p>
        </w:tc>
      </w:tr>
      <w:tr w:rsidR="00000000">
        <w:trPr>
          <w:cantSplit/>
        </w:trPr>
        <w:tc>
          <w:tcPr>
            <w:tcW w:w="2580"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left"/>
              <w:rPr>
                <w:rFonts w:ascii="Times New Roman" w:hAnsi="Times New Roman"/>
                <w:sz w:val="22"/>
                <w:szCs w:val="24"/>
                <w:lang w:val="ru-RU"/>
              </w:rPr>
            </w:pPr>
            <w:r>
              <w:rPr>
                <w:rFonts w:ascii="Times New Roman" w:hAnsi="Times New Roman"/>
                <w:sz w:val="22"/>
                <w:szCs w:val="24"/>
                <w:lang w:val="ru-RU"/>
              </w:rPr>
              <w:t>Октябрь 2002 года</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770"/>
              <w:jc w:val="right"/>
              <w:rPr>
                <w:rFonts w:ascii="Times New Roman" w:hAnsi="Times New Roman"/>
                <w:sz w:val="22"/>
                <w:szCs w:val="24"/>
              </w:rPr>
            </w:pPr>
            <w:r>
              <w:rPr>
                <w:rFonts w:ascii="Times New Roman" w:hAnsi="Times New Roman"/>
                <w:sz w:val="22"/>
                <w:szCs w:val="24"/>
              </w:rPr>
              <w:t>1</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750"/>
              <w:jc w:val="right"/>
              <w:rPr>
                <w:rFonts w:ascii="Times New Roman" w:hAnsi="Times New Roman"/>
                <w:sz w:val="22"/>
                <w:szCs w:val="24"/>
              </w:rPr>
            </w:pPr>
            <w:r>
              <w:rPr>
                <w:rFonts w:ascii="Times New Roman" w:hAnsi="Times New Roman"/>
                <w:sz w:val="22"/>
                <w:szCs w:val="24"/>
              </w:rPr>
              <w:t>56</w:t>
            </w:r>
          </w:p>
        </w:tc>
        <w:tc>
          <w:tcPr>
            <w:tcW w:w="2720"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1166"/>
              <w:jc w:val="right"/>
              <w:rPr>
                <w:rFonts w:ascii="Times New Roman" w:hAnsi="Times New Roman"/>
                <w:sz w:val="22"/>
                <w:szCs w:val="24"/>
              </w:rPr>
            </w:pPr>
            <w:r>
              <w:rPr>
                <w:rFonts w:ascii="Times New Roman" w:hAnsi="Times New Roman"/>
                <w:sz w:val="22"/>
                <w:szCs w:val="24"/>
              </w:rPr>
              <w:t>20</w:t>
            </w:r>
          </w:p>
        </w:tc>
      </w:tr>
      <w:tr w:rsidR="00000000">
        <w:trPr>
          <w:cantSplit/>
        </w:trPr>
        <w:tc>
          <w:tcPr>
            <w:tcW w:w="2580"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left"/>
              <w:rPr>
                <w:rFonts w:ascii="Times New Roman" w:hAnsi="Times New Roman"/>
                <w:sz w:val="22"/>
                <w:szCs w:val="24"/>
                <w:lang w:val="ru-RU"/>
              </w:rPr>
            </w:pPr>
            <w:r>
              <w:rPr>
                <w:rFonts w:ascii="Times New Roman" w:hAnsi="Times New Roman"/>
                <w:sz w:val="22"/>
                <w:szCs w:val="24"/>
              </w:rPr>
              <w:t>2003</w:t>
            </w:r>
            <w:r>
              <w:rPr>
                <w:rFonts w:ascii="Times New Roman" w:hAnsi="Times New Roman"/>
                <w:sz w:val="22"/>
                <w:szCs w:val="24"/>
                <w:lang w:val="ru-RU"/>
              </w:rPr>
              <w:t xml:space="preserve"> год</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770"/>
              <w:jc w:val="right"/>
              <w:rPr>
                <w:rFonts w:ascii="Times New Roman" w:hAnsi="Times New Roman"/>
                <w:sz w:val="22"/>
                <w:szCs w:val="24"/>
              </w:rPr>
            </w:pPr>
            <w:r>
              <w:rPr>
                <w:rFonts w:ascii="Times New Roman" w:hAnsi="Times New Roman"/>
                <w:sz w:val="22"/>
                <w:szCs w:val="24"/>
              </w:rPr>
              <w:t>8</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750"/>
              <w:jc w:val="right"/>
              <w:rPr>
                <w:rFonts w:ascii="Times New Roman" w:hAnsi="Times New Roman"/>
                <w:sz w:val="22"/>
                <w:szCs w:val="24"/>
              </w:rPr>
            </w:pPr>
            <w:r>
              <w:rPr>
                <w:rFonts w:ascii="Times New Roman" w:hAnsi="Times New Roman"/>
                <w:sz w:val="22"/>
                <w:szCs w:val="24"/>
              </w:rPr>
              <w:t>377</w:t>
            </w:r>
          </w:p>
        </w:tc>
        <w:tc>
          <w:tcPr>
            <w:tcW w:w="2720"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1166"/>
              <w:jc w:val="right"/>
              <w:rPr>
                <w:rFonts w:ascii="Times New Roman" w:hAnsi="Times New Roman"/>
                <w:sz w:val="22"/>
                <w:szCs w:val="24"/>
              </w:rPr>
            </w:pPr>
            <w:r>
              <w:rPr>
                <w:rFonts w:ascii="Times New Roman" w:hAnsi="Times New Roman"/>
                <w:sz w:val="22"/>
                <w:szCs w:val="24"/>
              </w:rPr>
              <w:t>74</w:t>
            </w:r>
          </w:p>
        </w:tc>
      </w:tr>
      <w:tr w:rsidR="00000000">
        <w:trPr>
          <w:cantSplit/>
        </w:trPr>
        <w:tc>
          <w:tcPr>
            <w:tcW w:w="2580"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left"/>
              <w:rPr>
                <w:rFonts w:ascii="Times New Roman" w:hAnsi="Times New Roman"/>
                <w:sz w:val="22"/>
                <w:szCs w:val="24"/>
                <w:lang w:val="ru-RU"/>
              </w:rPr>
            </w:pPr>
            <w:r>
              <w:rPr>
                <w:rFonts w:ascii="Times New Roman" w:hAnsi="Times New Roman"/>
                <w:sz w:val="22"/>
                <w:szCs w:val="24"/>
                <w:lang w:val="ru-RU"/>
              </w:rPr>
              <w:t>До 30 сентября 2004 года</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770"/>
              <w:jc w:val="right"/>
              <w:rPr>
                <w:rFonts w:ascii="Times New Roman" w:hAnsi="Times New Roman"/>
                <w:sz w:val="22"/>
                <w:szCs w:val="24"/>
              </w:rPr>
            </w:pPr>
            <w:r>
              <w:rPr>
                <w:rFonts w:ascii="Times New Roman" w:hAnsi="Times New Roman"/>
                <w:sz w:val="22"/>
                <w:szCs w:val="24"/>
              </w:rPr>
              <w:t>8</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750"/>
              <w:jc w:val="right"/>
              <w:rPr>
                <w:rFonts w:ascii="Times New Roman" w:hAnsi="Times New Roman"/>
                <w:sz w:val="22"/>
                <w:szCs w:val="24"/>
              </w:rPr>
            </w:pPr>
            <w:r>
              <w:rPr>
                <w:rFonts w:ascii="Times New Roman" w:hAnsi="Times New Roman"/>
                <w:sz w:val="22"/>
                <w:szCs w:val="24"/>
              </w:rPr>
              <w:t>326</w:t>
            </w:r>
          </w:p>
        </w:tc>
        <w:tc>
          <w:tcPr>
            <w:tcW w:w="2720"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1166"/>
              <w:jc w:val="right"/>
              <w:rPr>
                <w:rFonts w:ascii="Times New Roman" w:hAnsi="Times New Roman"/>
                <w:sz w:val="22"/>
                <w:szCs w:val="24"/>
              </w:rPr>
            </w:pPr>
            <w:r>
              <w:rPr>
                <w:rFonts w:ascii="Times New Roman" w:hAnsi="Times New Roman"/>
                <w:sz w:val="22"/>
                <w:szCs w:val="24"/>
              </w:rPr>
              <w:t>76</w:t>
            </w:r>
          </w:p>
        </w:tc>
      </w:tr>
      <w:tr w:rsidR="00000000">
        <w:trPr>
          <w:cantSplit/>
        </w:trPr>
        <w:tc>
          <w:tcPr>
            <w:tcW w:w="2580" w:type="dxa"/>
            <w:tcBorders>
              <w:top w:val="single" w:sz="4" w:space="0" w:color="auto"/>
              <w:left w:val="single" w:sz="4" w:space="0" w:color="auto"/>
              <w:bottom w:val="single" w:sz="4" w:space="0" w:color="auto"/>
              <w:right w:val="single" w:sz="4" w:space="0" w:color="auto"/>
            </w:tcBorders>
          </w:tcPr>
          <w:p w:rsidR="00000000" w:rsidRDefault="00000000">
            <w:pPr>
              <w:pStyle w:val="BodyTextIndent"/>
              <w:tabs>
                <w:tab w:val="left" w:pos="567"/>
              </w:tabs>
              <w:ind w:left="0"/>
              <w:jc w:val="left"/>
              <w:rPr>
                <w:rFonts w:ascii="Times New Roman" w:hAnsi="Times New Roman"/>
                <w:sz w:val="22"/>
                <w:szCs w:val="24"/>
                <w:lang w:val="ru-RU"/>
              </w:rPr>
            </w:pPr>
            <w:r>
              <w:rPr>
                <w:rFonts w:ascii="Times New Roman" w:hAnsi="Times New Roman"/>
                <w:sz w:val="22"/>
                <w:szCs w:val="24"/>
                <w:lang w:val="ru-RU"/>
              </w:rPr>
              <w:tab/>
              <w:t>Всего</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770"/>
              <w:jc w:val="right"/>
              <w:rPr>
                <w:rFonts w:ascii="Times New Roman" w:hAnsi="Times New Roman"/>
                <w:sz w:val="22"/>
                <w:szCs w:val="24"/>
              </w:rPr>
            </w:pPr>
            <w:r>
              <w:rPr>
                <w:rFonts w:ascii="Times New Roman" w:hAnsi="Times New Roman"/>
                <w:sz w:val="22"/>
                <w:szCs w:val="24"/>
              </w:rPr>
              <w:t>17</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750"/>
              <w:jc w:val="right"/>
              <w:rPr>
                <w:rFonts w:ascii="Times New Roman" w:hAnsi="Times New Roman"/>
                <w:sz w:val="22"/>
                <w:szCs w:val="24"/>
              </w:rPr>
            </w:pPr>
            <w:r>
              <w:rPr>
                <w:rFonts w:ascii="Times New Roman" w:hAnsi="Times New Roman"/>
                <w:sz w:val="22"/>
                <w:szCs w:val="24"/>
              </w:rPr>
              <w:t>759</w:t>
            </w:r>
          </w:p>
        </w:tc>
        <w:tc>
          <w:tcPr>
            <w:tcW w:w="2720"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1166"/>
              <w:jc w:val="right"/>
              <w:rPr>
                <w:rFonts w:ascii="Times New Roman" w:hAnsi="Times New Roman"/>
                <w:sz w:val="22"/>
                <w:szCs w:val="24"/>
              </w:rPr>
            </w:pPr>
            <w:r>
              <w:rPr>
                <w:rFonts w:ascii="Times New Roman" w:hAnsi="Times New Roman"/>
                <w:sz w:val="22"/>
                <w:szCs w:val="24"/>
              </w:rPr>
              <w:t>170</w:t>
            </w:r>
          </w:p>
        </w:tc>
      </w:tr>
    </w:tbl>
    <w:p w:rsidR="00000000" w:rsidRDefault="00000000"/>
    <w:tbl>
      <w:tblPr>
        <w:tblW w:w="9411"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820"/>
        <w:gridCol w:w="1442"/>
        <w:gridCol w:w="1456"/>
        <w:gridCol w:w="1581"/>
        <w:gridCol w:w="2093"/>
        <w:gridCol w:w="1019"/>
      </w:tblGrid>
      <w:tr w:rsidR="00000000">
        <w:trPr>
          <w:cantSplit/>
        </w:trPr>
        <w:tc>
          <w:tcPr>
            <w:tcW w:w="1820" w:type="dxa"/>
            <w:vMerge w:val="restart"/>
            <w:tcBorders>
              <w:top w:val="single" w:sz="4" w:space="0" w:color="auto"/>
              <w:left w:val="single" w:sz="4" w:space="0" w:color="auto"/>
              <w:right w:val="single" w:sz="4" w:space="0" w:color="auto"/>
            </w:tcBorders>
          </w:tcPr>
          <w:p w:rsidR="00000000" w:rsidRDefault="00000000">
            <w:pPr>
              <w:pStyle w:val="BodyTextIndent"/>
              <w:ind w:left="0"/>
              <w:jc w:val="center"/>
              <w:rPr>
                <w:rFonts w:ascii="Times New Roman" w:hAnsi="Times New Roman"/>
                <w:sz w:val="22"/>
                <w:szCs w:val="24"/>
                <w:lang w:val="ru-RU"/>
              </w:rPr>
            </w:pPr>
          </w:p>
        </w:tc>
        <w:tc>
          <w:tcPr>
            <w:tcW w:w="7591" w:type="dxa"/>
            <w:gridSpan w:val="5"/>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lang w:val="ru-RU"/>
              </w:rPr>
            </w:pPr>
            <w:r>
              <w:rPr>
                <w:rFonts w:ascii="Times New Roman" w:hAnsi="Times New Roman"/>
                <w:sz w:val="22"/>
                <w:szCs w:val="24"/>
                <w:lang w:val="ru-RU"/>
              </w:rPr>
              <w:t>Контингент слушателей</w:t>
            </w:r>
          </w:p>
        </w:tc>
      </w:tr>
      <w:tr w:rsidR="00000000">
        <w:trPr>
          <w:cantSplit/>
        </w:trPr>
        <w:tc>
          <w:tcPr>
            <w:tcW w:w="1820" w:type="dxa"/>
            <w:vMerge/>
            <w:tcBorders>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lang w:val="ru-RU"/>
              </w:rPr>
            </w:pP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lang w:val="ru-RU"/>
              </w:rPr>
            </w:pPr>
            <w:r>
              <w:rPr>
                <w:rFonts w:ascii="Times New Roman" w:hAnsi="Times New Roman"/>
                <w:sz w:val="22"/>
                <w:szCs w:val="24"/>
                <w:lang w:val="ru-RU"/>
              </w:rPr>
              <w:t>Сотрудники министерства юстиции</w:t>
            </w:r>
          </w:p>
          <w:p w:rsidR="00000000" w:rsidRDefault="00000000">
            <w:pPr>
              <w:pStyle w:val="BodyTextIndent"/>
              <w:ind w:left="0"/>
              <w:jc w:val="center"/>
              <w:rPr>
                <w:rFonts w:ascii="Times New Roman" w:hAnsi="Times New Roman"/>
                <w:sz w:val="22"/>
                <w:szCs w:val="24"/>
                <w:lang w:val="ru-RU"/>
              </w:rPr>
            </w:pP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lang w:val="ru-RU"/>
              </w:rPr>
            </w:pPr>
            <w:r>
              <w:rPr>
                <w:rFonts w:ascii="Times New Roman" w:hAnsi="Times New Roman"/>
                <w:sz w:val="22"/>
                <w:szCs w:val="24"/>
                <w:lang w:val="ru-RU"/>
              </w:rPr>
              <w:t>Специалисты</w:t>
            </w:r>
          </w:p>
        </w:tc>
        <w:tc>
          <w:tcPr>
            <w:tcW w:w="1581"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lang w:val="ru-RU"/>
              </w:rPr>
            </w:pPr>
            <w:r>
              <w:rPr>
                <w:rFonts w:ascii="Times New Roman" w:hAnsi="Times New Roman"/>
                <w:sz w:val="22"/>
                <w:szCs w:val="24"/>
              </w:rPr>
              <w:t>Сотру</w:t>
            </w:r>
            <w:r>
              <w:rPr>
                <w:rFonts w:ascii="Times New Roman" w:hAnsi="Times New Roman"/>
                <w:sz w:val="22"/>
                <w:szCs w:val="24"/>
                <w:lang w:val="ru-RU"/>
              </w:rPr>
              <w:t>дники Федерального агентства расследований</w:t>
            </w:r>
          </w:p>
        </w:tc>
        <w:tc>
          <w:tcPr>
            <w:tcW w:w="2093"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lang w:val="ru-RU"/>
              </w:rPr>
            </w:pPr>
            <w:r>
              <w:rPr>
                <w:rFonts w:ascii="Times New Roman" w:hAnsi="Times New Roman"/>
                <w:sz w:val="22"/>
                <w:szCs w:val="24"/>
                <w:lang w:val="ru-RU"/>
              </w:rPr>
              <w:t>Сотрудники административных учреждений</w:t>
            </w:r>
          </w:p>
        </w:tc>
        <w:tc>
          <w:tcPr>
            <w:tcW w:w="1019"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lang w:val="ru-RU"/>
              </w:rPr>
            </w:pPr>
            <w:r>
              <w:rPr>
                <w:rFonts w:ascii="Times New Roman" w:hAnsi="Times New Roman"/>
                <w:sz w:val="22"/>
                <w:szCs w:val="24"/>
                <w:lang w:val="ru-RU"/>
              </w:rPr>
              <w:t>Всего</w:t>
            </w:r>
          </w:p>
        </w:tc>
      </w:tr>
      <w:tr w:rsidR="00000000">
        <w:trPr>
          <w:cantSplit/>
        </w:trPr>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left"/>
              <w:rPr>
                <w:rFonts w:ascii="Times New Roman" w:hAnsi="Times New Roman"/>
                <w:sz w:val="22"/>
                <w:szCs w:val="24"/>
                <w:lang w:val="ru-RU"/>
              </w:rPr>
            </w:pPr>
            <w:r>
              <w:rPr>
                <w:rFonts w:ascii="Times New Roman" w:hAnsi="Times New Roman"/>
                <w:sz w:val="22"/>
                <w:szCs w:val="24"/>
              </w:rPr>
              <w:t>2002</w:t>
            </w:r>
            <w:r>
              <w:rPr>
                <w:rFonts w:ascii="Times New Roman" w:hAnsi="Times New Roman"/>
                <w:sz w:val="22"/>
                <w:szCs w:val="24"/>
                <w:lang w:val="ru-RU"/>
              </w:rPr>
              <w:t xml:space="preserve"> год</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right"/>
              <w:rPr>
                <w:rFonts w:ascii="Times New Roman" w:hAnsi="Times New Roman"/>
                <w:sz w:val="22"/>
                <w:szCs w:val="24"/>
              </w:rPr>
            </w:pP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16"/>
              <w:jc w:val="center"/>
              <w:rPr>
                <w:rFonts w:ascii="Times New Roman" w:hAnsi="Times New Roman"/>
                <w:sz w:val="22"/>
                <w:szCs w:val="24"/>
              </w:rPr>
            </w:pPr>
            <w:r>
              <w:rPr>
                <w:rFonts w:ascii="Times New Roman" w:hAnsi="Times New Roman"/>
                <w:sz w:val="22"/>
                <w:szCs w:val="24"/>
                <w:lang w:val="ru-RU"/>
              </w:rPr>
              <w:t xml:space="preserve">  </w:t>
            </w:r>
            <w:r>
              <w:rPr>
                <w:rFonts w:ascii="Times New Roman" w:hAnsi="Times New Roman"/>
                <w:sz w:val="22"/>
                <w:szCs w:val="24"/>
              </w:rPr>
              <w:t>56</w:t>
            </w:r>
          </w:p>
        </w:tc>
        <w:tc>
          <w:tcPr>
            <w:tcW w:w="1581"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rPr>
            </w:pPr>
          </w:p>
        </w:tc>
        <w:tc>
          <w:tcPr>
            <w:tcW w:w="2093"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rPr>
            </w:pPr>
          </w:p>
        </w:tc>
        <w:tc>
          <w:tcPr>
            <w:tcW w:w="1019" w:type="dxa"/>
            <w:tcBorders>
              <w:top w:val="single" w:sz="4" w:space="0" w:color="auto"/>
              <w:left w:val="single" w:sz="4" w:space="0" w:color="auto"/>
              <w:bottom w:val="single" w:sz="4" w:space="0" w:color="auto"/>
              <w:right w:val="single" w:sz="4" w:space="0" w:color="auto"/>
            </w:tcBorders>
          </w:tcPr>
          <w:p w:rsidR="00000000" w:rsidRDefault="00000000">
            <w:pPr>
              <w:pStyle w:val="BodyTextIndent"/>
              <w:tabs>
                <w:tab w:val="left" w:pos="964"/>
              </w:tabs>
              <w:ind w:left="0" w:right="-1"/>
              <w:jc w:val="center"/>
              <w:rPr>
                <w:rFonts w:ascii="Times New Roman" w:hAnsi="Times New Roman"/>
                <w:sz w:val="22"/>
                <w:szCs w:val="24"/>
              </w:rPr>
            </w:pPr>
            <w:r>
              <w:rPr>
                <w:rFonts w:ascii="Times New Roman" w:hAnsi="Times New Roman"/>
                <w:sz w:val="22"/>
                <w:szCs w:val="24"/>
                <w:lang w:val="ru-RU"/>
              </w:rPr>
              <w:t xml:space="preserve">  </w:t>
            </w:r>
            <w:r>
              <w:rPr>
                <w:rFonts w:ascii="Times New Roman" w:hAnsi="Times New Roman"/>
                <w:sz w:val="22"/>
                <w:szCs w:val="24"/>
              </w:rPr>
              <w:t>56</w:t>
            </w:r>
          </w:p>
        </w:tc>
      </w:tr>
      <w:tr w:rsidR="00000000">
        <w:trPr>
          <w:cantSplit/>
        </w:trPr>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left"/>
              <w:rPr>
                <w:rFonts w:ascii="Times New Roman" w:hAnsi="Times New Roman"/>
                <w:sz w:val="22"/>
                <w:szCs w:val="24"/>
                <w:lang w:val="ru-RU"/>
              </w:rPr>
            </w:pPr>
            <w:r>
              <w:rPr>
                <w:rFonts w:ascii="Times New Roman" w:hAnsi="Times New Roman"/>
                <w:sz w:val="22"/>
                <w:szCs w:val="24"/>
              </w:rPr>
              <w:t>2003</w:t>
            </w:r>
            <w:r>
              <w:rPr>
                <w:rFonts w:ascii="Times New Roman" w:hAnsi="Times New Roman"/>
                <w:sz w:val="22"/>
                <w:szCs w:val="24"/>
                <w:lang w:val="ru-RU"/>
              </w:rPr>
              <w:t xml:space="preserve"> год</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550"/>
              <w:jc w:val="right"/>
              <w:rPr>
                <w:rFonts w:ascii="Times New Roman" w:hAnsi="Times New Roman"/>
                <w:sz w:val="22"/>
                <w:szCs w:val="24"/>
              </w:rPr>
            </w:pPr>
            <w:r>
              <w:rPr>
                <w:rFonts w:ascii="Times New Roman" w:hAnsi="Times New Roman"/>
                <w:sz w:val="22"/>
                <w:szCs w:val="24"/>
              </w:rPr>
              <w:t>195</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16"/>
              <w:jc w:val="center"/>
              <w:rPr>
                <w:rFonts w:ascii="Times New Roman" w:hAnsi="Times New Roman"/>
                <w:sz w:val="22"/>
                <w:szCs w:val="24"/>
              </w:rPr>
            </w:pPr>
            <w:r>
              <w:rPr>
                <w:rFonts w:ascii="Times New Roman" w:hAnsi="Times New Roman"/>
                <w:sz w:val="22"/>
                <w:szCs w:val="24"/>
              </w:rPr>
              <w:t>125</w:t>
            </w:r>
          </w:p>
        </w:tc>
        <w:tc>
          <w:tcPr>
            <w:tcW w:w="1581"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6"/>
              <w:jc w:val="center"/>
              <w:rPr>
                <w:rFonts w:ascii="Times New Roman" w:hAnsi="Times New Roman"/>
                <w:sz w:val="22"/>
                <w:szCs w:val="24"/>
              </w:rPr>
            </w:pPr>
            <w:r>
              <w:rPr>
                <w:rFonts w:ascii="Times New Roman" w:hAnsi="Times New Roman"/>
                <w:sz w:val="22"/>
                <w:szCs w:val="24"/>
                <w:lang w:val="ru-RU"/>
              </w:rPr>
              <w:t xml:space="preserve">  </w:t>
            </w:r>
            <w:r>
              <w:rPr>
                <w:rFonts w:ascii="Times New Roman" w:hAnsi="Times New Roman"/>
                <w:sz w:val="22"/>
                <w:szCs w:val="24"/>
              </w:rPr>
              <w:t>32</w:t>
            </w:r>
          </w:p>
        </w:tc>
        <w:tc>
          <w:tcPr>
            <w:tcW w:w="2093"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rPr>
            </w:pPr>
            <w:r>
              <w:rPr>
                <w:rFonts w:ascii="Times New Roman" w:hAnsi="Times New Roman"/>
                <w:sz w:val="22"/>
                <w:szCs w:val="24"/>
              </w:rPr>
              <w:t>25</w:t>
            </w:r>
          </w:p>
        </w:tc>
        <w:tc>
          <w:tcPr>
            <w:tcW w:w="1019" w:type="dxa"/>
            <w:tcBorders>
              <w:top w:val="single" w:sz="4" w:space="0" w:color="auto"/>
              <w:left w:val="single" w:sz="4" w:space="0" w:color="auto"/>
              <w:bottom w:val="single" w:sz="4" w:space="0" w:color="auto"/>
              <w:right w:val="single" w:sz="4" w:space="0" w:color="auto"/>
            </w:tcBorders>
          </w:tcPr>
          <w:p w:rsidR="00000000" w:rsidRDefault="00000000">
            <w:pPr>
              <w:pStyle w:val="BodyTextIndent"/>
              <w:tabs>
                <w:tab w:val="left" w:pos="964"/>
              </w:tabs>
              <w:ind w:left="0" w:right="-1"/>
              <w:jc w:val="center"/>
              <w:rPr>
                <w:rFonts w:ascii="Times New Roman" w:hAnsi="Times New Roman"/>
                <w:sz w:val="22"/>
                <w:szCs w:val="24"/>
              </w:rPr>
            </w:pPr>
            <w:r>
              <w:rPr>
                <w:rFonts w:ascii="Times New Roman" w:hAnsi="Times New Roman"/>
                <w:sz w:val="22"/>
                <w:szCs w:val="24"/>
              </w:rPr>
              <w:t>377</w:t>
            </w:r>
          </w:p>
        </w:tc>
      </w:tr>
      <w:tr w:rsidR="00000000">
        <w:trPr>
          <w:cantSplit/>
        </w:trPr>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left"/>
              <w:rPr>
                <w:rFonts w:ascii="Times New Roman" w:hAnsi="Times New Roman"/>
                <w:sz w:val="22"/>
                <w:szCs w:val="24"/>
              </w:rPr>
            </w:pPr>
            <w:r>
              <w:rPr>
                <w:rFonts w:ascii="Times New Roman" w:hAnsi="Times New Roman"/>
                <w:sz w:val="22"/>
                <w:szCs w:val="24"/>
                <w:lang w:val="ru-RU"/>
              </w:rPr>
              <w:t>До 30 сентября 2004 года</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550"/>
              <w:jc w:val="right"/>
              <w:rPr>
                <w:rFonts w:ascii="Times New Roman" w:hAnsi="Times New Roman"/>
                <w:sz w:val="22"/>
                <w:szCs w:val="24"/>
              </w:rPr>
            </w:pPr>
            <w:r>
              <w:rPr>
                <w:rFonts w:ascii="Times New Roman" w:hAnsi="Times New Roman"/>
                <w:sz w:val="22"/>
                <w:szCs w:val="24"/>
              </w:rPr>
              <w:t>112</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16"/>
              <w:jc w:val="center"/>
              <w:rPr>
                <w:rFonts w:ascii="Times New Roman" w:hAnsi="Times New Roman"/>
                <w:sz w:val="22"/>
                <w:szCs w:val="24"/>
              </w:rPr>
            </w:pPr>
            <w:r>
              <w:rPr>
                <w:rFonts w:ascii="Times New Roman" w:hAnsi="Times New Roman"/>
                <w:sz w:val="22"/>
                <w:szCs w:val="24"/>
              </w:rPr>
              <w:t>100</w:t>
            </w:r>
          </w:p>
        </w:tc>
        <w:tc>
          <w:tcPr>
            <w:tcW w:w="1581"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6"/>
              <w:jc w:val="center"/>
              <w:rPr>
                <w:rFonts w:ascii="Times New Roman" w:hAnsi="Times New Roman"/>
                <w:sz w:val="22"/>
                <w:szCs w:val="24"/>
              </w:rPr>
            </w:pPr>
            <w:r>
              <w:rPr>
                <w:rFonts w:ascii="Times New Roman" w:hAnsi="Times New Roman"/>
                <w:sz w:val="22"/>
                <w:szCs w:val="24"/>
                <w:lang w:val="ru-RU"/>
              </w:rPr>
              <w:t xml:space="preserve">  </w:t>
            </w:r>
            <w:r>
              <w:rPr>
                <w:rFonts w:ascii="Times New Roman" w:hAnsi="Times New Roman"/>
                <w:sz w:val="22"/>
                <w:szCs w:val="24"/>
              </w:rPr>
              <w:t>69</w:t>
            </w:r>
          </w:p>
        </w:tc>
        <w:tc>
          <w:tcPr>
            <w:tcW w:w="2093"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rPr>
            </w:pPr>
            <w:r>
              <w:rPr>
                <w:rFonts w:ascii="Times New Roman" w:hAnsi="Times New Roman"/>
                <w:sz w:val="22"/>
                <w:szCs w:val="24"/>
              </w:rPr>
              <w:t>24</w:t>
            </w:r>
          </w:p>
        </w:tc>
        <w:tc>
          <w:tcPr>
            <w:tcW w:w="1019" w:type="dxa"/>
            <w:tcBorders>
              <w:top w:val="single" w:sz="4" w:space="0" w:color="auto"/>
              <w:left w:val="single" w:sz="4" w:space="0" w:color="auto"/>
              <w:bottom w:val="single" w:sz="4" w:space="0" w:color="auto"/>
              <w:right w:val="single" w:sz="4" w:space="0" w:color="auto"/>
            </w:tcBorders>
          </w:tcPr>
          <w:p w:rsidR="00000000" w:rsidRDefault="00000000">
            <w:pPr>
              <w:pStyle w:val="BodyTextIndent"/>
              <w:tabs>
                <w:tab w:val="left" w:pos="964"/>
              </w:tabs>
              <w:ind w:left="0" w:right="-1"/>
              <w:jc w:val="center"/>
              <w:rPr>
                <w:rFonts w:ascii="Times New Roman" w:hAnsi="Times New Roman"/>
                <w:sz w:val="22"/>
                <w:szCs w:val="24"/>
              </w:rPr>
            </w:pPr>
            <w:r>
              <w:rPr>
                <w:rFonts w:ascii="Times New Roman" w:hAnsi="Times New Roman"/>
                <w:sz w:val="22"/>
                <w:szCs w:val="24"/>
              </w:rPr>
              <w:t>305</w:t>
            </w:r>
          </w:p>
        </w:tc>
      </w:tr>
      <w:tr w:rsidR="00000000">
        <w:trPr>
          <w:cantSplit/>
        </w:trPr>
        <w:tc>
          <w:tcPr>
            <w:tcW w:w="1820" w:type="dxa"/>
            <w:tcBorders>
              <w:top w:val="single" w:sz="4" w:space="0" w:color="auto"/>
              <w:left w:val="single" w:sz="4" w:space="0" w:color="auto"/>
              <w:bottom w:val="single" w:sz="4" w:space="0" w:color="auto"/>
              <w:right w:val="single" w:sz="4" w:space="0" w:color="auto"/>
            </w:tcBorders>
          </w:tcPr>
          <w:p w:rsidR="00000000" w:rsidRDefault="00000000">
            <w:pPr>
              <w:pStyle w:val="BodyTextIndent"/>
              <w:tabs>
                <w:tab w:val="left" w:pos="567"/>
              </w:tabs>
              <w:ind w:left="0"/>
              <w:rPr>
                <w:rFonts w:ascii="Times New Roman" w:hAnsi="Times New Roman"/>
                <w:sz w:val="22"/>
                <w:szCs w:val="24"/>
                <w:lang w:val="ru-RU"/>
              </w:rPr>
            </w:pPr>
            <w:r>
              <w:rPr>
                <w:rFonts w:ascii="Times New Roman" w:hAnsi="Times New Roman"/>
                <w:sz w:val="22"/>
                <w:szCs w:val="24"/>
                <w:lang w:val="ru-RU"/>
              </w:rPr>
              <w:tab/>
              <w:t>Всего</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550"/>
              <w:jc w:val="right"/>
              <w:rPr>
                <w:rFonts w:ascii="Times New Roman" w:hAnsi="Times New Roman"/>
                <w:sz w:val="22"/>
                <w:szCs w:val="24"/>
              </w:rPr>
            </w:pPr>
            <w:r>
              <w:rPr>
                <w:rFonts w:ascii="Times New Roman" w:hAnsi="Times New Roman"/>
                <w:sz w:val="22"/>
                <w:szCs w:val="24"/>
              </w:rPr>
              <w:t>307</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16"/>
              <w:jc w:val="center"/>
              <w:rPr>
                <w:rFonts w:ascii="Times New Roman" w:hAnsi="Times New Roman"/>
                <w:sz w:val="22"/>
                <w:szCs w:val="24"/>
              </w:rPr>
            </w:pPr>
            <w:r>
              <w:rPr>
                <w:rFonts w:ascii="Times New Roman" w:hAnsi="Times New Roman"/>
                <w:sz w:val="22"/>
                <w:szCs w:val="24"/>
              </w:rPr>
              <w:t>281</w:t>
            </w:r>
          </w:p>
        </w:tc>
        <w:tc>
          <w:tcPr>
            <w:tcW w:w="1581"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right="6"/>
              <w:jc w:val="center"/>
              <w:rPr>
                <w:rFonts w:ascii="Times New Roman" w:hAnsi="Times New Roman"/>
                <w:sz w:val="22"/>
                <w:szCs w:val="24"/>
              </w:rPr>
            </w:pPr>
            <w:r>
              <w:rPr>
                <w:rFonts w:ascii="Times New Roman" w:hAnsi="Times New Roman"/>
                <w:sz w:val="22"/>
                <w:szCs w:val="24"/>
              </w:rPr>
              <w:t>101</w:t>
            </w:r>
          </w:p>
        </w:tc>
        <w:tc>
          <w:tcPr>
            <w:tcW w:w="2093" w:type="dxa"/>
            <w:tcBorders>
              <w:top w:val="single" w:sz="4" w:space="0" w:color="auto"/>
              <w:left w:val="single" w:sz="4" w:space="0" w:color="auto"/>
              <w:bottom w:val="single" w:sz="4" w:space="0" w:color="auto"/>
              <w:right w:val="single" w:sz="4" w:space="0" w:color="auto"/>
            </w:tcBorders>
          </w:tcPr>
          <w:p w:rsidR="00000000" w:rsidRDefault="00000000">
            <w:pPr>
              <w:pStyle w:val="BodyTextIndent"/>
              <w:ind w:left="0"/>
              <w:jc w:val="center"/>
              <w:rPr>
                <w:rFonts w:ascii="Times New Roman" w:hAnsi="Times New Roman"/>
                <w:sz w:val="22"/>
                <w:szCs w:val="24"/>
              </w:rPr>
            </w:pPr>
            <w:r>
              <w:rPr>
                <w:rFonts w:ascii="Times New Roman" w:hAnsi="Times New Roman"/>
                <w:sz w:val="22"/>
                <w:szCs w:val="24"/>
              </w:rPr>
              <w:t>49</w:t>
            </w:r>
          </w:p>
        </w:tc>
        <w:tc>
          <w:tcPr>
            <w:tcW w:w="1019" w:type="dxa"/>
            <w:tcBorders>
              <w:top w:val="single" w:sz="4" w:space="0" w:color="auto"/>
              <w:left w:val="single" w:sz="4" w:space="0" w:color="auto"/>
              <w:bottom w:val="single" w:sz="4" w:space="0" w:color="auto"/>
              <w:right w:val="single" w:sz="4" w:space="0" w:color="auto"/>
            </w:tcBorders>
          </w:tcPr>
          <w:p w:rsidR="00000000" w:rsidRDefault="00000000">
            <w:pPr>
              <w:pStyle w:val="BodyTextIndent"/>
              <w:tabs>
                <w:tab w:val="left" w:pos="964"/>
              </w:tabs>
              <w:ind w:left="0" w:right="-1"/>
              <w:jc w:val="center"/>
              <w:rPr>
                <w:rFonts w:ascii="Times New Roman" w:hAnsi="Times New Roman"/>
                <w:sz w:val="22"/>
                <w:szCs w:val="24"/>
              </w:rPr>
            </w:pPr>
            <w:r>
              <w:rPr>
                <w:rFonts w:ascii="Times New Roman" w:hAnsi="Times New Roman"/>
                <w:sz w:val="22"/>
                <w:szCs w:val="24"/>
              </w:rPr>
              <w:t>759</w:t>
            </w:r>
          </w:p>
        </w:tc>
      </w:tr>
    </w:tbl>
    <w:p w:rsidR="00000000" w:rsidRDefault="00000000">
      <w:pPr>
        <w:pStyle w:val="BodyTextIndent"/>
        <w:ind w:left="0"/>
        <w:rPr>
          <w:rFonts w:ascii="Times New Roman" w:hAnsi="Times New Roman"/>
          <w:szCs w:val="24"/>
        </w:rPr>
      </w:pPr>
    </w:p>
    <w:p w:rsidR="00000000" w:rsidRDefault="00000000">
      <w:pPr>
        <w:pStyle w:val="BodyTextIndent"/>
        <w:ind w:left="0"/>
        <w:rPr>
          <w:rFonts w:ascii="Times New Roman" w:hAnsi="Times New Roman"/>
          <w:szCs w:val="24"/>
        </w:rPr>
      </w:pPr>
    </w:p>
    <w:p w:rsidR="00000000" w:rsidRDefault="00000000">
      <w:r>
        <w:t>185.</w:t>
      </w:r>
      <w:r>
        <w:tab/>
        <w:t>Кроме того, с 24 по 27 октября 2002 года Генеральная прокуратура Республики организовала в городе Мехико совещание под названием "Учебная программа по проведению эффективных расследований и регистрации преступлений, связанных с пытками".</w:t>
      </w:r>
    </w:p>
    <w:p w:rsidR="00000000" w:rsidRDefault="00000000"/>
    <w:p w:rsidR="00000000" w:rsidRDefault="00000000">
      <w:r>
        <w:t>186.</w:t>
      </w:r>
      <w:r>
        <w:tab/>
        <w:t>В рамках этой программы в сотрудничестве с неправительственной организацией "Врачи за права человека" и видными международными и национальными деятелями в области предотвращения пыток был проведен "первый типовой учебный курс по эффективной регистрации пыток и/или жестокого обращения в Мексике".  Этот курс был предназначен для 48 судебно-медицинских экспертов Генеральной прокуратуры Республики, сотрудников семи других правительственных учреждений (среди них Генеральная прокуратура Федерального округа), сотрудников Национальной комиссии по правам человека и организаций гражданского общества, занимающихся правами человека.  В 2003 году было организовано еще восемь аналогичных типовых курсов, в работе которых приняли участие 377 должностных лиц Генеральной прокуратуры Республики.</w:t>
      </w:r>
    </w:p>
    <w:p w:rsidR="00000000" w:rsidRDefault="00000000"/>
    <w:p w:rsidR="00000000" w:rsidRDefault="00000000">
      <w:r>
        <w:t>187.</w:t>
      </w:r>
      <w:r>
        <w:tab/>
        <w:t>"Курс по правовым аспектам и проведению экспертиз для эффективной регистрации пыток и/или жестокого обращения" включает следующие дисциплины:  1)  теоретические аспекты:  исторические данные общего характера;  понятие "пытки и жестокого, бесчеловечного и унижающего достоинство обращения";  2)  национальные нормативные рамки:  правовое регулирование вопроса в Мексике;  классификация преступлений, связанных с пытками;  Федеральный закон о предотвращении пыток и наказании за них и Постановление А/057/03 Генерального прокурора Республики;  3)  международные нормативные рамки:  основные принципы Стамбульского протокола;  международная программа технического сотрудничества;  25 мер для борьбы с пытками и статистические данные, касающиеся применения пыток;  4)  аспекты, связанные с проведением экспертиз:  установление факта применения пыток;  технический анализ с целью подтверждения их применения;  изучение и анализ конкретных случаев применения пыток;  фактические доказательства применения пыток и жестокого обращения;  психологические доказательства применения пыток и жестокого обращения и изучение и применение типовой процедуры проведения медицинских осмотров и психологического анализа для установления случаев применения пыток и/или жестокого обращения.</w:t>
      </w:r>
    </w:p>
    <w:p w:rsidR="00000000" w:rsidRDefault="00000000"/>
    <w:p w:rsidR="00000000" w:rsidRDefault="00000000">
      <w:r>
        <w:t>188.</w:t>
      </w:r>
      <w:r>
        <w:tab/>
        <w:t>Генеральная прокуратура Республики организовала также курсы/семинары по вопросам борьбы с пытками и другими жестокими, бесчеловечными или унижающими достоинство видами обращения для сотрудников прокуратуры, судебно-медицинских экспертов и сотрудников федеральных следственных органов Генеральной прокуратуры Республики.</w:t>
      </w:r>
    </w:p>
    <w:p w:rsidR="00000000" w:rsidRDefault="00000000"/>
    <w:p w:rsidR="00000000" w:rsidRDefault="00000000">
      <w:r>
        <w:t>189.</w:t>
      </w:r>
      <w:r>
        <w:tab/>
        <w:t>В рамках институциональной программы подготовки кадров, повышения уровня профессиональных знаний сотрудников и обучения по вопросам прав человека Генеральная прокуратура осуществляла различные мероприятия, организовала курсы и семинары с целью повышения уровня знаний государственных должностных лиц в области борьбы с пытками и другими жестокими, бесчеловечными и/или унижающими достоинство видами обращения.  В период с 2001 по 2003 год был организован 21 курс, в котором приняли участие 730 слушателей.</w:t>
      </w:r>
    </w:p>
    <w:p w:rsidR="00000000" w:rsidRDefault="00000000"/>
    <w:p w:rsidR="00000000" w:rsidRDefault="00000000">
      <w:r>
        <w:t>190.</w:t>
      </w:r>
      <w:r>
        <w:tab/>
        <w:t>Кроме того, Генеральная прокуратура Республики подписала соглашение о сотрудничестве с Национальной комиссией по правам человека (НКПЧ), целями которого является координация деятельности, а также использование материальной инфраструктуры и человеческих ресурсов обоих учреждений для осуществления мер по предотвращению и искоренению пыток.  В соответствии с этим соглашением Генеральная прокуратура Республики обязалась предоставлять НКПЧ информацию о принятии, например, мер в отношении дел по обвинению государственных должностных лиц или бывших сотрудников госучреждений в совершении преступлений, связанных с пытками.</w:t>
      </w:r>
    </w:p>
    <w:p w:rsidR="00000000" w:rsidRDefault="00000000"/>
    <w:p w:rsidR="00000000" w:rsidRDefault="00000000">
      <w:r>
        <w:t>191.</w:t>
      </w:r>
      <w:r>
        <w:tab/>
        <w:t>В настоящее время Генеральная прокуратура Республики осуществляет предварительную работу, связанную с подписанием соответствующих соглашений с генеральными прокуратурами четырех федеративных территорий, с целью оказания им консультативных услуг в применении положений Стамбульского протокола при рассмотрении уголовных дел и в разработке ими собственных положений, касающихся проведения экспертиз для борьбы с пытками и другими жестокими, бесчеловечными и унижающими достоинство видами обращения.</w:t>
      </w:r>
    </w:p>
    <w:p w:rsidR="00000000" w:rsidRDefault="00000000"/>
    <w:p w:rsidR="00000000" w:rsidRDefault="00000000">
      <w:pPr>
        <w:rPr>
          <w:b/>
          <w:bCs/>
          <w:i/>
          <w:iCs/>
          <w:u w:val="single"/>
        </w:rPr>
      </w:pPr>
      <w:r>
        <w:rPr>
          <w:b/>
          <w:bCs/>
          <w:i/>
          <w:iCs/>
        </w:rPr>
        <w:t>2.</w:t>
      </w:r>
      <w:r>
        <w:rPr>
          <w:b/>
          <w:bCs/>
          <w:i/>
          <w:iCs/>
        </w:rPr>
        <w:tab/>
        <w:t>Меры, принятые министерством общественной безопасности</w:t>
      </w:r>
    </w:p>
    <w:p w:rsidR="00000000" w:rsidRDefault="00000000">
      <w:pPr>
        <w:rPr>
          <w:b/>
          <w:bCs/>
          <w:u w:val="single"/>
        </w:rPr>
      </w:pPr>
    </w:p>
    <w:p w:rsidR="00000000" w:rsidRDefault="00000000">
      <w:r>
        <w:t>192.</w:t>
      </w:r>
      <w:r>
        <w:tab/>
        <w:t>Министерство общественной безопасности включило вопросы, связанные с предупреждением и искоренением пыток, в учебную программу Института подготовки сотрудников полиции и в программы различных курсов и семинаров.  Среди них следует особо отметить семинары на тему "Защита прав человека при осуществлении полицией своих функций" и "Права человека в рамках министерства общественной безопасности и его отделений", межведомственную программу "Обучение правам человека и пропаганда прав человека среди государственных должностных лиц административных органов, занимающихся предупреждением преступности и социальной реадаптацией", а также курсы по правам человека для сотрудников пенитенциарных учреждений и подготовку преподавателей по вопросам прав человека и международного гуманитарного права.</w:t>
      </w:r>
    </w:p>
    <w:p w:rsidR="00000000" w:rsidRDefault="00000000"/>
    <w:p w:rsidR="00000000" w:rsidRDefault="00000000">
      <w:r>
        <w:t>193.</w:t>
      </w:r>
      <w:r>
        <w:tab/>
        <w:t>Разработана "Межучрежденческая программа поощрения и пропаганды прав человека" для повышения знаний государственных должностных лиц в области предупреждения преступлений и социальной реадаптации применительно к вопросу о правах человека.  Обучение специалистов осуществляется Национальной комиссией по правам человека.  Кроме того, следует указать, что благодаря совместным мероприятиям федеральных центров и поддержке различных институтов в рамках осуществления программы повышения квалификации государственных должностных лиц были организованы курсы по таким темам, как качество жизни, трудовая деятельность, развитие людских ресурсов и всеобщая безопасность</w:t>
      </w:r>
      <w:r>
        <w:rPr>
          <w:rStyle w:val="EndnoteReference"/>
        </w:rPr>
        <w:endnoteReference w:id="79"/>
      </w:r>
      <w:r>
        <w:t>.</w:t>
      </w:r>
    </w:p>
    <w:p w:rsidR="00000000" w:rsidRDefault="00000000"/>
    <w:p w:rsidR="00000000" w:rsidRDefault="00000000">
      <w:pPr>
        <w:rPr>
          <w:b/>
          <w:bCs/>
          <w:i/>
          <w:iCs/>
          <w:u w:val="single"/>
        </w:rPr>
      </w:pPr>
      <w:r>
        <w:rPr>
          <w:b/>
          <w:bCs/>
          <w:i/>
          <w:iCs/>
        </w:rPr>
        <w:t>3.</w:t>
      </w:r>
      <w:r>
        <w:rPr>
          <w:b/>
          <w:bCs/>
          <w:i/>
          <w:iCs/>
        </w:rPr>
        <w:tab/>
        <w:t>Меры, принятые министерством национальной обороны</w:t>
      </w:r>
    </w:p>
    <w:p w:rsidR="00000000" w:rsidRDefault="00000000">
      <w:pPr>
        <w:rPr>
          <w:b/>
          <w:bCs/>
          <w:u w:val="single"/>
        </w:rPr>
      </w:pPr>
    </w:p>
    <w:p w:rsidR="00000000" w:rsidRDefault="00000000">
      <w:r>
        <w:t>194.</w:t>
      </w:r>
      <w:r>
        <w:tab/>
        <w:t>Президент Мексиканских Соединенных Штатов поставил в Национальном плане развития на 2001</w:t>
      </w:r>
      <w:r>
        <w:noBreakHyphen/>
        <w:t>2006 годы задачу модернизации структуры, методов обучения, материального обеспечения и административного управления сухопутных и военно-воздушных сил с целью повышения качества, эффективности, расширения возможностей, обеспечения равенства, прозрачности и соблюдения прав человека, а также улучшения структуры судебных органов вооруженных сил в рамках подчиненных им учреждений с уделением особого внимания административным структурам и соблюдению основных прав человека.</w:t>
      </w:r>
    </w:p>
    <w:p w:rsidR="00000000" w:rsidRDefault="00000000"/>
    <w:p w:rsidR="00000000" w:rsidRDefault="00000000">
      <w:r>
        <w:t>195.</w:t>
      </w:r>
      <w:r>
        <w:tab/>
        <w:t>Министерство национальной обороны осуществило Национальную программу поощрения и укрепления прав человека.  Ее осуществление началось в 2000 году.  Цель программы состоит в воспитании и распространении среди военнослужащих культуры соблюдения прав человека, с тем чтобы при выполнении ими предусмотренных в Конституции функций их действия неукоснительно соответствовали законам правового государства, а также в обеспечении прав человека в вооруженных силах.</w:t>
      </w:r>
    </w:p>
    <w:p w:rsidR="00000000" w:rsidRDefault="00000000"/>
    <w:p w:rsidR="00000000" w:rsidRDefault="00000000">
      <w:r>
        <w:t>196.</w:t>
      </w:r>
      <w:r>
        <w:tab/>
        <w:t>Программа предусматривает:</w:t>
      </w:r>
    </w:p>
    <w:p w:rsidR="00000000" w:rsidRDefault="00000000"/>
    <w:p w:rsidR="00000000" w:rsidRDefault="00000000">
      <w:r>
        <w:tab/>
        <w:t>а)</w:t>
      </w:r>
      <w:r>
        <w:tab/>
        <w:t>содействие выполнению международных обязательств в области прав человека, взятых на себя Мексикой;</w:t>
      </w:r>
    </w:p>
    <w:p w:rsidR="00000000" w:rsidRDefault="00000000"/>
    <w:p w:rsidR="00000000" w:rsidRDefault="00000000">
      <w:r>
        <w:tab/>
        <w:t>b)</w:t>
      </w:r>
      <w:r>
        <w:tab/>
        <w:t>осуществление функций в рамках закона с целью обеспечения более широкого взаимодействия с гражданским обществом;</w:t>
      </w:r>
    </w:p>
    <w:p w:rsidR="00000000" w:rsidRDefault="00000000"/>
    <w:p w:rsidR="00000000" w:rsidRDefault="00000000">
      <w:r>
        <w:tab/>
        <w:t>с)</w:t>
      </w:r>
      <w:r>
        <w:tab/>
        <w:t>содействие пропаганде положений о правах человека через органы распространения информации министерства национальной обороны (СЕДЕНА);</w:t>
      </w:r>
    </w:p>
    <w:p w:rsidR="00000000" w:rsidRDefault="00000000"/>
    <w:p w:rsidR="00000000" w:rsidRDefault="00000000">
      <w:r>
        <w:tab/>
        <w:t xml:space="preserve">d) </w:t>
      </w:r>
      <w:r>
        <w:tab/>
        <w:t>содействие сотрудничеству между правительственными и неправительственными организациями в деятельности, направленной на более строгое соблюдение гарантий прав личности;</w:t>
      </w:r>
    </w:p>
    <w:p w:rsidR="00000000" w:rsidRDefault="00000000"/>
    <w:p w:rsidR="00000000" w:rsidRDefault="00000000">
      <w:r>
        <w:tab/>
        <w:t>е)</w:t>
      </w:r>
      <w:r>
        <w:tab/>
        <w:t>налаживание сотрудничества с Национальной комиссией по правам человека и с комиссиями штатов, а также с представительством Международного комитета Красного Креста в Мексике в целях обеспечения более широкого участия военнослужащих сухопутных и военно-воздушных сил в различных видах деятельности, направленных на расширение знаний в области прав человека (в работе курсов, форумов, семинаров и конференций по правам человека и международному гуманитарному праву).</w:t>
      </w:r>
    </w:p>
    <w:p w:rsidR="00000000" w:rsidRDefault="00000000"/>
    <w:p w:rsidR="00000000" w:rsidRDefault="00000000">
      <w:r>
        <w:t>197.</w:t>
      </w:r>
      <w:r>
        <w:tab/>
        <w:t>СЕДЕНА организует для своих сотрудников следующие курсы повышения квалификации в целях борьбы с пытками:</w:t>
      </w:r>
    </w:p>
    <w:p w:rsidR="00000000" w:rsidRDefault="00000000"/>
    <w:p w:rsidR="00000000" w:rsidRDefault="00000000">
      <w:r>
        <w:tab/>
        <w:t>а)</w:t>
      </w:r>
      <w:r>
        <w:tab/>
        <w:t>Подготовка преподавателей по правам человека:  подготовка осуществляется в Учебном центре сухопутных и военно-воздушных сил.  Общая цель этой программы состоит в повышении уровня знаний офицеров и старших офицеров, с тем чтобы они могли выступать в роли преподавателей и советников по вопросам прав человека в подчиненных им центрах, учреждениях и воинских подразделениях.  С 2001 по 2004 год было организовано семь курсов повышения квалификации, в которых приняли участие 9 старших офицеров и 93 офицера сухопутных и военно-воздушных сил Мексики.</w:t>
      </w:r>
    </w:p>
    <w:p w:rsidR="00000000" w:rsidRDefault="00000000"/>
    <w:p w:rsidR="00000000" w:rsidRDefault="00000000">
      <w:r>
        <w:tab/>
        <w:t>b)</w:t>
      </w:r>
      <w:r>
        <w:tab/>
        <w:t>Международное гуманитарное право:  этот курс был организован в Учебном центре сухопутных и военно-воздушных сил.  Его общая цель состоит в повышении уровня знаний офицеров и старших офицеров, с тем чтобы они могли выступать в роли преподавателей и советников по вопросам прав человека в подчиненных им центрах, учреждениях и военных подразделениях.  На этих курсах прошли обучение три старших офицера и 15 офицеров сухопутных и военно-воздушных сил Мексики.</w:t>
      </w:r>
    </w:p>
    <w:p w:rsidR="00000000" w:rsidRDefault="00000000"/>
    <w:p w:rsidR="00000000" w:rsidRDefault="00000000">
      <w:r>
        <w:rPr>
          <w:lang w:val="en-US"/>
        </w:rPr>
        <w:tab/>
      </w:r>
      <w:r>
        <w:t>c)</w:t>
      </w:r>
      <w:r>
        <w:tab/>
        <w:t>Курс по международному гуманитарному праву:  курс организован Международным комитетом Красного Креста в 2002 году.  До настоящего времени было организовано 10 курсов, в которых приняли участие 304 слушателя.</w:t>
      </w:r>
    </w:p>
    <w:p w:rsidR="00000000" w:rsidRDefault="00000000">
      <w:pPr>
        <w:ind w:left="1134" w:hanging="1134"/>
      </w:pPr>
    </w:p>
    <w:p w:rsidR="00000000" w:rsidRDefault="00000000">
      <w:r>
        <w:tab/>
        <w:t>d)</w:t>
      </w:r>
      <w:r>
        <w:tab/>
        <w:t>Семинар по вопросам медицинского осмотра и регистрации случаев пыток и судебной экспертизы в случаях смерти, в отношении которых существует подозрение, что они наступили в результате нарушения прав человека:  семинары проводились в период с 2001 по 2004 год.  До настоящего времени было организовано 14 семинаров, в которых приняли участие 96 военных юристов, 330 хирургов, 79 хирургов-дантистов и 15 психологов, или в общей сложности 520 военнослужащих сухопутных и военно-воздушных сил Мексики.</w:t>
      </w:r>
    </w:p>
    <w:p w:rsidR="00000000" w:rsidRDefault="00000000">
      <w:pPr>
        <w:ind w:left="1134" w:hanging="1134"/>
      </w:pPr>
    </w:p>
    <w:p w:rsidR="00000000" w:rsidRDefault="00000000">
      <w:r>
        <w:tab/>
        <w:t>e)</w:t>
      </w:r>
      <w:r>
        <w:tab/>
        <w:t>С 16 по 18 марта 2004 года СЕДЕНА, представленное одним из руководителей армии и двумя офицерами, приняло участие в работе семинара на тему "Политика в гуманитарных вопросах и защиты гражданских лиц в периоды военных конфликтов:  задача в гуманитарной области в Латинской Америке".  Данный семинар был проведен в городе Мехико.</w:t>
      </w:r>
    </w:p>
    <w:p w:rsidR="00000000" w:rsidRDefault="00000000">
      <w:pPr>
        <w:ind w:left="1134" w:hanging="1134"/>
      </w:pPr>
    </w:p>
    <w:p w:rsidR="00000000" w:rsidRDefault="00000000">
      <w:r>
        <w:t>198.</w:t>
      </w:r>
      <w:r>
        <w:tab/>
        <w:t>В период с 2001 по 2004 год один генерал, десять старших офицеров и один офицер приняли участие в восьми курсах по вопросу о международном гуманитарном праве, которые были организованы за границей.</w:t>
      </w:r>
    </w:p>
    <w:p w:rsidR="00000000" w:rsidRDefault="00000000"/>
    <w:p w:rsidR="00000000" w:rsidRDefault="00000000">
      <w:r>
        <w:t>199.</w:t>
      </w:r>
      <w:r>
        <w:tab/>
        <w:t>В рамках национального цикла проведения конференций в 2001-2004 годах было проведено 49 конференций на высоком уровне, в работе которых приняло участие 6 657 военнослужащих, среди которых были генералы и старшие офицеры, и 49 конференций низового уровня, в работе которых приняло участие 23 430 военнослужащих.  В этих конференциях, которые были проведены в 12 военных округах, принимали участие представители Национальной комиссии по правам человека и Генеральной прокуратуры военной юстиции.</w:t>
      </w:r>
    </w:p>
    <w:p w:rsidR="00000000" w:rsidRDefault="00000000"/>
    <w:p w:rsidR="00000000" w:rsidRDefault="00000000">
      <w:r>
        <w:t>200.</w:t>
      </w:r>
      <w:r>
        <w:tab/>
        <w:t>В течение 2003-2004 годов сотрудники Национальной комиссии по правам человека, комиссий штатов по правам человека, а также Генеральной прокуратуры военной юстиции организовали шесть учебных конференций, в работе которых приняло участие 4 798 военнослужащих сухопутных и военно-воздушных сил Мексики.  В числе этих военнослужащих были руководители, преподаватели и слушатели военных учебных заведений.</w:t>
      </w:r>
    </w:p>
    <w:p w:rsidR="00000000" w:rsidRDefault="00000000"/>
    <w:p w:rsidR="00000000" w:rsidRDefault="00000000">
      <w:r>
        <w:t>201.</w:t>
      </w:r>
      <w:r>
        <w:tab/>
        <w:t>В 2003-2004 годах Международный комитет Красного Креста организовал 13 крупных конференций, в работе которых принял участие 3 561 военнослужащий сухопутных и военно-воздушных сил Мексики, среди которых были руководители, преподаватели и слушатели военных учебных заведений.</w:t>
      </w:r>
    </w:p>
    <w:p w:rsidR="00000000" w:rsidRDefault="00000000"/>
    <w:p w:rsidR="00000000" w:rsidRDefault="00000000">
      <w:r>
        <w:t>202.</w:t>
      </w:r>
      <w:r>
        <w:tab/>
        <w:t>На всех уровнях обучения в системе военных учебных заведений, начиная от учебных заведений высшего уровня (аспирантуры и курсов повышения квалификации) и кончая офицерскими училищами, школами подготовки сержантского состава, системой подготовки военнослужащих в строевых частях, а также специализированными курсами и центрами, изучаются дисциплины, связанные с правами человека и международного гуманитарного права.  В процессе обучения рассматриваются такие вопросы, как Стамбульский протокол, Женевские конвенции 1949 года, правила ведения войны, международная защита прав человека, международные правовые документы в области прав человека, правовые документы в области защиты прав человека, права человека в ходе военных действий, а также правовые аспекты, которые регулируют поведение военнослужащих.</w:t>
      </w:r>
    </w:p>
    <w:p w:rsidR="00000000" w:rsidRDefault="00000000"/>
    <w:p w:rsidR="00000000" w:rsidRDefault="00000000">
      <w:r>
        <w:t>203.</w:t>
      </w:r>
      <w:r>
        <w:tab/>
        <w:t>В рамках осуществляемой СЕДЕНА Национальной программы поощрения и укрепления прав человека планируется проведение учебных конференций по правам человека и международному гуманитарному праву.  Организаторами этих конференций являются председатель Национальной комиссии по правам человека и региональный представитель Международного комитета Красного Креста в Мексике.</w:t>
      </w:r>
    </w:p>
    <w:p w:rsidR="00000000" w:rsidRDefault="00000000"/>
    <w:p w:rsidR="00000000" w:rsidRDefault="00000000">
      <w:pPr>
        <w:keepNext/>
        <w:rPr>
          <w:b/>
          <w:bCs/>
          <w:i/>
          <w:iCs/>
          <w:u w:val="single"/>
        </w:rPr>
      </w:pPr>
      <w:r>
        <w:rPr>
          <w:b/>
          <w:bCs/>
          <w:i/>
          <w:iCs/>
        </w:rPr>
        <w:t>4.</w:t>
      </w:r>
      <w:r>
        <w:rPr>
          <w:b/>
          <w:bCs/>
          <w:i/>
          <w:iCs/>
        </w:rPr>
        <w:tab/>
        <w:t>Меры правительств штатов</w:t>
      </w:r>
    </w:p>
    <w:p w:rsidR="00000000" w:rsidRDefault="00000000">
      <w:pPr>
        <w:keepNext/>
        <w:rPr>
          <w:b/>
          <w:bCs/>
          <w:u w:val="single"/>
        </w:rPr>
      </w:pPr>
    </w:p>
    <w:p w:rsidR="00000000" w:rsidRDefault="00000000">
      <w:r>
        <w:t>204.</w:t>
      </w:r>
      <w:r>
        <w:tab/>
        <w:t>Штаты Кампече, Колима, Дуранго, Гуанахуато, Герреро, Наярит</w:t>
      </w:r>
      <w:r>
        <w:rPr>
          <w:rStyle w:val="EndnoteReference"/>
        </w:rPr>
        <w:endnoteReference w:id="80"/>
      </w:r>
      <w:r>
        <w:t>, Оахака, Пуэбла, Тласкала и Веракрус осуществляют мероприятия по повышению уровня знаний среди должностных лиц органов штатов в вопросах предупреждения и искоренения пыток.</w:t>
      </w:r>
    </w:p>
    <w:p w:rsidR="00000000" w:rsidRDefault="00000000"/>
    <w:p w:rsidR="00000000" w:rsidRDefault="00000000">
      <w:r>
        <w:t>205.</w:t>
      </w:r>
      <w:r>
        <w:tab/>
        <w:t>Так, например, в штате Пуэбла были организованы следующие курсы:  курсы для специалистов в области конституционного права;  курсы по праву ампаро и семинары по криминалистике;  курсы начальной подготовки сотрудников судебной полиции, которые изучают такие дисциплины, как конституционное право и права человека;  курсы по изучению методов проведения бесед и ведения допросов;  региональные начальные курсы для младших сотрудников прокуратуры;  курсы по изучению конституционных прав, рассчитанные на 72 часа;  курсы по изучению методов контроля агрессивного поведения;  и курсы по правовым нормам поведения полиции.</w:t>
      </w:r>
    </w:p>
    <w:p w:rsidR="00000000" w:rsidRDefault="00000000"/>
    <w:p w:rsidR="00000000" w:rsidRDefault="00000000">
      <w:pPr>
        <w:jc w:val="center"/>
        <w:rPr>
          <w:b/>
          <w:bCs/>
        </w:rPr>
      </w:pPr>
      <w:r>
        <w:rPr>
          <w:b/>
          <w:bCs/>
        </w:rPr>
        <w:t>С.</w:t>
      </w:r>
      <w:r>
        <w:rPr>
          <w:b/>
          <w:bCs/>
        </w:rPr>
        <w:tab/>
        <w:t>Планы и задачи</w:t>
      </w:r>
    </w:p>
    <w:p w:rsidR="00000000" w:rsidRDefault="00000000"/>
    <w:p w:rsidR="00000000" w:rsidRDefault="00000000">
      <w:r>
        <w:t>206.</w:t>
      </w:r>
      <w:r>
        <w:tab/>
        <w:t>В связи с подписанием между Мексикой и Европейской комиссией соглашения планируется проведение серии мероприятий, направленных на подготовку специалистов и распространение информации.  Их цель состоит также в согласовании юридических рамок и административной практики с международным правом.  Одним из планируемых мероприятий является разработка программы подготовки специалистов и распространения информации по вопросу о борьбе с пытками, в частности оказание содействия выполнению Протокола к Конвенции против пыток, типовой процедуры проведения медицинских осмотров, разработанной Генеральной прокуратурой Республики на основе положений Стамбульского протокола, а также согласование национального законодательства с Конвенцией Организации Объединенных Наций против пыток.  Для совместного осуществления этих мероприятий планируется проведение встречи с представителями Генеральной прокуратуры Республики.</w:t>
      </w:r>
    </w:p>
    <w:p w:rsidR="00000000" w:rsidRDefault="00000000"/>
    <w:p w:rsidR="00000000" w:rsidRDefault="00000000">
      <w:r>
        <w:t>207.</w:t>
      </w:r>
      <w:r>
        <w:tab/>
        <w:t>В ноябре 2004 года был проведен международный семинар по вопросу о пытках, организованный Программой сотрудничества по правам человека Мексики и Европейской комиссии.  Цель этого семинара состояла в том, чтобы комплексно рассмотреть все аспекты, которые влияют на практику пыток, их причины и условия, а также провести поиск комплексных альтернативных методов для искоренения этого явления.  Министерство иностранных дел обратилось к 31 государству и Федеральному округу с предложением принять участие в работе этого семинара.</w:t>
      </w:r>
    </w:p>
    <w:p w:rsidR="00000000" w:rsidRDefault="00000000"/>
    <w:p w:rsidR="00000000" w:rsidRDefault="00000000">
      <w:r>
        <w:t>208.</w:t>
      </w:r>
      <w:r>
        <w:tab/>
        <w:t>Различные организации гражданского общества заявили о необходимости признания ответственности государственных учреждений за пытки и отказа от практики рассмотрения их лишь в качестве ответственности отдельных лиц или как отдельные случаи</w:t>
      </w:r>
      <w:r>
        <w:rPr>
          <w:rStyle w:val="EndnoteReference"/>
        </w:rPr>
        <w:endnoteReference w:id="81"/>
      </w:r>
      <w:r>
        <w:t>.</w:t>
      </w:r>
    </w:p>
    <w:p w:rsidR="00000000" w:rsidRDefault="00000000"/>
    <w:p w:rsidR="00000000" w:rsidRDefault="00000000">
      <w:pPr>
        <w:tabs>
          <w:tab w:val="clear" w:pos="567"/>
          <w:tab w:val="clear" w:pos="2268"/>
          <w:tab w:val="left" w:pos="426"/>
        </w:tabs>
        <w:rPr>
          <w:b/>
          <w:bCs/>
        </w:rPr>
      </w:pPr>
      <w:r>
        <w:rPr>
          <w:b/>
          <w:bCs/>
        </w:rPr>
        <w:tab/>
        <w:t>Статья 11.</w:t>
      </w:r>
      <w:r>
        <w:rPr>
          <w:b/>
          <w:bCs/>
        </w:rPr>
        <w:tab/>
        <w:t>Нормы и процедуры для предотвращения актов пыток;  проведение</w:t>
      </w:r>
    </w:p>
    <w:p w:rsidR="00000000" w:rsidRDefault="00000000">
      <w:pPr>
        <w:tabs>
          <w:tab w:val="clear" w:pos="567"/>
          <w:tab w:val="clear" w:pos="2268"/>
          <w:tab w:val="left" w:pos="426"/>
        </w:tabs>
        <w:rPr>
          <w:b/>
          <w:bCs/>
        </w:rPr>
      </w:pPr>
      <w:r>
        <w:rPr>
          <w:b/>
          <w:bCs/>
        </w:rPr>
        <w:tab/>
      </w:r>
      <w:r>
        <w:rPr>
          <w:b/>
          <w:bCs/>
        </w:rPr>
        <w:tab/>
      </w:r>
      <w:r>
        <w:rPr>
          <w:b/>
          <w:bCs/>
        </w:rPr>
        <w:tab/>
        <w:t>допросов и условия содержания под стражей лиц, подвергнутых</w:t>
      </w:r>
    </w:p>
    <w:p w:rsidR="00000000" w:rsidRDefault="00000000">
      <w:pPr>
        <w:tabs>
          <w:tab w:val="clear" w:pos="567"/>
          <w:tab w:val="clear" w:pos="2268"/>
          <w:tab w:val="left" w:pos="426"/>
        </w:tabs>
        <w:rPr>
          <w:b/>
          <w:bCs/>
        </w:rPr>
      </w:pPr>
      <w:r>
        <w:rPr>
          <w:b/>
          <w:bCs/>
        </w:rPr>
        <w:tab/>
      </w:r>
      <w:r>
        <w:rPr>
          <w:b/>
          <w:bCs/>
        </w:rPr>
        <w:tab/>
      </w:r>
      <w:r>
        <w:rPr>
          <w:b/>
          <w:bCs/>
        </w:rPr>
        <w:tab/>
        <w:t>аресту, задержанию или тюремному заключению</w:t>
      </w:r>
    </w:p>
    <w:p w:rsidR="00000000" w:rsidRDefault="00000000">
      <w:pPr>
        <w:jc w:val="center"/>
        <w:rPr>
          <w:b/>
          <w:bCs/>
        </w:rPr>
      </w:pPr>
    </w:p>
    <w:p w:rsidR="00000000" w:rsidRDefault="00000000">
      <w:pPr>
        <w:jc w:val="center"/>
        <w:rPr>
          <w:b/>
          <w:bCs/>
        </w:rPr>
      </w:pPr>
      <w:r>
        <w:rPr>
          <w:b/>
          <w:bCs/>
        </w:rPr>
        <w:t>А.</w:t>
      </w:r>
      <w:r>
        <w:rPr>
          <w:b/>
          <w:bCs/>
        </w:rPr>
        <w:tab/>
        <w:t>Меры, принятые прокуратурами штатов</w:t>
      </w:r>
    </w:p>
    <w:p w:rsidR="00000000" w:rsidRDefault="00000000">
      <w:pPr>
        <w:rPr>
          <w:b/>
          <w:bCs/>
        </w:rPr>
      </w:pPr>
    </w:p>
    <w:p w:rsidR="00000000" w:rsidRDefault="00000000">
      <w:r>
        <w:t>209.</w:t>
      </w:r>
      <w:r>
        <w:tab/>
        <w:t>Прокуратуры штатов имеют два постоянных механизма для рассмотрения правил, инструкций и методов проведения допросов:  один является внутренним, а другой - внешним.  Что касается внутреннего механизма, то административное подразделение, которому поручено осуществлять контроль за соблюдением прав человека, наблюдает за выполнением сотрудниками прокуратуры и остальными должностными лицами данных им этим подразделением указаний, посредством проведения официальных расследований поступивших заявлений или жалоб.  Что касается внешнего механизма, то местные комиссии по правам человека проводят контроль за обеспечением гарантий прав личности, осуществляют наблюдение и производят оценку деятельности органов, занимающихся отправлением правосудия.</w:t>
      </w:r>
    </w:p>
    <w:p w:rsidR="00000000" w:rsidRDefault="00000000"/>
    <w:p w:rsidR="00000000" w:rsidRDefault="00000000">
      <w:r>
        <w:t>210.</w:t>
      </w:r>
      <w:r>
        <w:tab/>
        <w:t>С точки зрения уголовного права, пострадавшие от преступлений имеют гарантии, предусмотренные в статье 20 Конституции.  В административных структурах всех федеративных территорий, Федерации и Федерального округа существует контролирующий орган для рассмотрения всех заявлений и жалоб, поданных против государственных должностных лиц.  Кроме того, эти органы наделены полномочиями возбуждать уголовные дела за совершение правонарушений.</w:t>
      </w:r>
    </w:p>
    <w:p w:rsidR="00000000" w:rsidRDefault="00000000"/>
    <w:p w:rsidR="00000000" w:rsidRDefault="00000000">
      <w:r>
        <w:t>211.</w:t>
      </w:r>
      <w:r>
        <w:tab/>
        <w:t>В федеративных территориях имеются государственные защитники, подчиняющиеся органам исполнительной власти, которые принимают участие в рассмотрении дел, начиная с этапа начала следственных действий или уголовного процесса.  Правительства штатов должны учитывать это, с тем чтобы обеспечить защиту предполагаемых виновников в ходе предварительного следствия.  Кроме того, в прокуратурах всех штатов имеются контролирующие органы, а в некоторых штатах - ведомства по осуществлению надзора и инспекции.</w:t>
      </w:r>
    </w:p>
    <w:p w:rsidR="00000000" w:rsidRDefault="00000000"/>
    <w:p w:rsidR="00000000" w:rsidRDefault="00000000">
      <w:pPr>
        <w:keepNext/>
        <w:jc w:val="center"/>
        <w:rPr>
          <w:b/>
          <w:bCs/>
        </w:rPr>
      </w:pPr>
      <w:r>
        <w:rPr>
          <w:b/>
          <w:bCs/>
        </w:rPr>
        <w:t>В.</w:t>
      </w:r>
      <w:r>
        <w:rPr>
          <w:b/>
          <w:bCs/>
        </w:rPr>
        <w:tab/>
        <w:t>Знание задержанными лицами своих прав</w:t>
      </w:r>
    </w:p>
    <w:p w:rsidR="00000000" w:rsidRDefault="00000000">
      <w:pPr>
        <w:keepNext/>
        <w:rPr>
          <w:b/>
          <w:bCs/>
        </w:rPr>
      </w:pPr>
    </w:p>
    <w:p w:rsidR="00000000" w:rsidRDefault="00000000">
      <w:pPr>
        <w:rPr>
          <w:b/>
          <w:bCs/>
          <w:i/>
          <w:iCs/>
        </w:rPr>
      </w:pPr>
      <w:r>
        <w:rPr>
          <w:b/>
          <w:bCs/>
          <w:i/>
          <w:iCs/>
        </w:rPr>
        <w:t>1.</w:t>
      </w:r>
      <w:r>
        <w:rPr>
          <w:b/>
          <w:bCs/>
          <w:i/>
          <w:iCs/>
        </w:rPr>
        <w:tab/>
        <w:t>Рекомендации, вынесенные в адрес Мексики</w:t>
      </w:r>
    </w:p>
    <w:p w:rsidR="00000000" w:rsidRDefault="00000000">
      <w:pPr>
        <w:rPr>
          <w:b/>
          <w:bCs/>
        </w:rPr>
      </w:pPr>
    </w:p>
    <w:p w:rsidR="00000000" w:rsidRDefault="00000000">
      <w:r>
        <w:t>212.</w:t>
      </w:r>
      <w:r>
        <w:tab/>
        <w:t>Комитет против пыток рекомендовал Мексике предусмотреть в законе обязанность сообщать каждому задержанному в момент его ареста о его правах, а также разработать процедуры информирования задержанных об их правах.</w:t>
      </w:r>
    </w:p>
    <w:p w:rsidR="00000000" w:rsidRDefault="00000000"/>
    <w:p w:rsidR="00000000" w:rsidRDefault="00000000">
      <w:pPr>
        <w:rPr>
          <w:b/>
          <w:bCs/>
          <w:i/>
          <w:iCs/>
        </w:rPr>
      </w:pPr>
      <w:r>
        <w:rPr>
          <w:b/>
          <w:bCs/>
          <w:i/>
          <w:iCs/>
        </w:rPr>
        <w:t>2.</w:t>
      </w:r>
      <w:r>
        <w:rPr>
          <w:b/>
          <w:bCs/>
        </w:rPr>
        <w:tab/>
      </w:r>
      <w:r>
        <w:rPr>
          <w:b/>
          <w:bCs/>
          <w:i/>
          <w:iCs/>
        </w:rPr>
        <w:t>Меры, принятые Мексикой</w:t>
      </w:r>
    </w:p>
    <w:p w:rsidR="00000000" w:rsidRDefault="00000000">
      <w:pPr>
        <w:rPr>
          <w:b/>
          <w:bCs/>
        </w:rPr>
      </w:pPr>
    </w:p>
    <w:p w:rsidR="00000000" w:rsidRDefault="00000000">
      <w:r>
        <w:t>213.</w:t>
      </w:r>
      <w:r>
        <w:tab/>
        <w:t xml:space="preserve">В этой связи различные федеральные и местные органы установили нормы и процедуры для информирования лиц, заключенных под стражу, об их правах, не допускающих применения пыток и других жестоких, бесчеловечных и унижающих достоинство видов обращения.  Так, например, во внутреннем распорядке мест заключения и центров социальной реадаптации министерства внутренних дел, опубликованном в "Официальном вестнике Федерации" 30 августа 1991 года, предусматривается обязанность вручать каждому заключенному экземпляр внутреннего распорядка и инструкций, в которых подробно излагаются его права и обязанности.  </w:t>
      </w:r>
    </w:p>
    <w:p w:rsidR="00000000" w:rsidRDefault="00000000"/>
    <w:p w:rsidR="00000000" w:rsidRDefault="00000000">
      <w:r>
        <w:t>214.</w:t>
      </w:r>
      <w:r>
        <w:tab/>
        <w:t>В свою очередь различные федеративные территории сообщили о том, что лица, задержанные органами прокуратуры, информируются о своих правах непосредственно путем зачтения им конституционных прав или гарантирования присутствия адвоката или доверенного лица во время совершения следственных действий, в ходе дачи показаний, при предъявлении им обвинений, в момент добровольной явки в суд или во время помещения их в федеральные центры социальной реабилитации.  Об этом сообщили власти штатов Агуаскальентес, Кампече, Колима, Дуранго, Гауанахуато, Герреро, Мичоакан, Наярит, Оахака, Пуэбла, Кинтана-Роо, Синалоа, Сонора, Тласкала, Веракрус и Юкатан.</w:t>
      </w:r>
    </w:p>
    <w:p w:rsidR="00000000" w:rsidRDefault="00000000"/>
    <w:p w:rsidR="00000000" w:rsidRDefault="00000000">
      <w:pPr>
        <w:rPr>
          <w:b/>
          <w:bCs/>
          <w:i/>
          <w:iCs/>
        </w:rPr>
      </w:pPr>
      <w:r>
        <w:rPr>
          <w:b/>
          <w:bCs/>
          <w:i/>
          <w:iCs/>
        </w:rPr>
        <w:t>3.</w:t>
      </w:r>
      <w:r>
        <w:rPr>
          <w:b/>
          <w:bCs/>
          <w:i/>
          <w:iCs/>
        </w:rPr>
        <w:tab/>
        <w:t>Замечания, планы и задачи</w:t>
      </w:r>
    </w:p>
    <w:p w:rsidR="00000000" w:rsidRDefault="00000000">
      <w:pPr>
        <w:rPr>
          <w:b/>
          <w:bCs/>
          <w:u w:val="single"/>
        </w:rPr>
      </w:pPr>
    </w:p>
    <w:p w:rsidR="00000000" w:rsidRDefault="00000000">
      <w:r>
        <w:t>215.</w:t>
      </w:r>
      <w:r>
        <w:tab/>
        <w:t>Однако "Международная амнистия" подчеркнула необходимость получения всеми задержанными разъяснений, в устной и письменной форме на понятном им языке, в отношении конкретных причин их задержания, имеющихся у них прав, а также предоставление им безотлагательного доступа к адвокату (а также к услугам переводчика, если это необходимо) на любом этапе проведения полицией допроса</w:t>
      </w:r>
      <w:r>
        <w:rPr>
          <w:rStyle w:val="EndnoteReference"/>
        </w:rPr>
        <w:endnoteReference w:id="82"/>
      </w:r>
      <w:r>
        <w:t>.</w:t>
      </w:r>
    </w:p>
    <w:p w:rsidR="00000000" w:rsidRDefault="00000000"/>
    <w:p w:rsidR="00000000" w:rsidRDefault="00000000">
      <w:r>
        <w:t>216.</w:t>
      </w:r>
      <w:r>
        <w:tab/>
        <w:t>Национальная неправительственная юридическая организация "Барсон" указала на необходимость распространения во всех судах и трибуналах брошюры, в которой содержалась бы основная информация о правах преданных суду лиц, обязанностях властей и положениях Стамбульского протокола.</w:t>
      </w:r>
    </w:p>
    <w:p w:rsidR="00000000" w:rsidRDefault="00000000"/>
    <w:p w:rsidR="00000000" w:rsidRDefault="00000000">
      <w:pPr>
        <w:jc w:val="center"/>
        <w:rPr>
          <w:b/>
          <w:bCs/>
        </w:rPr>
      </w:pPr>
      <w:r>
        <w:rPr>
          <w:b/>
          <w:bCs/>
        </w:rPr>
        <w:t>C.</w:t>
      </w:r>
      <w:r>
        <w:rPr>
          <w:b/>
          <w:bCs/>
        </w:rPr>
        <w:tab/>
        <w:t>Право на защиту</w:t>
      </w:r>
    </w:p>
    <w:p w:rsidR="00000000" w:rsidRDefault="00000000">
      <w:pPr>
        <w:rPr>
          <w:b/>
          <w:bCs/>
          <w:u w:val="single"/>
        </w:rPr>
      </w:pPr>
    </w:p>
    <w:p w:rsidR="00000000" w:rsidRDefault="00000000">
      <w:r>
        <w:t>217.</w:t>
      </w:r>
      <w:r>
        <w:tab/>
        <w:t>Право обвиняемого на бесплатную защиту гарантируется Политической конституцией страны.  Для обеспечения этого права в 1998 году Департамент юридической защиты по делам федеральных преступлений был заменен Институтом юридической защиты.  Основная цель Института, являющегося вспомогательным органом Федерального судейского совета в вопросах проведения расследований, подготовки сотрудников судебных органов Федерации и повышения их квалификации, а также подготовки лиц, которые стремятся поступить в судебные органы, состоит в повышении профессионального уровня государственных защитников и юрисконсультов, с тем чтобы гарантировать соблюдение принципов честности, добросовестности и высокого профессионализма при оказании услуг государственными органами юридической защиты.</w:t>
      </w:r>
    </w:p>
    <w:p w:rsidR="00000000" w:rsidRDefault="00000000"/>
    <w:p w:rsidR="00000000" w:rsidRDefault="00000000">
      <w:r>
        <w:t>218.</w:t>
      </w:r>
      <w:r>
        <w:tab/>
        <w:t>По состоянию на 31 мая 2000 года Институт юридической защиты имел 436 федеральных государственных защитников, работающих в следственных органах в 161 городе страны.  С 1 июня 1999</w:t>
      </w:r>
      <w:r>
        <w:rPr>
          <w:lang w:val="en-US"/>
        </w:rPr>
        <w:t> </w:t>
      </w:r>
      <w:r>
        <w:t>года по 31 мая 2000 года эти защитники приняли участие в рассмотрении 123 067 дел, из которых в 31 065 делах они выступили в качестве защитников и в 38 226 случаях принимали участие в следственных действиях и оказании юридической помощи свидетелям.  Кроме того, указанные защитники осуществили 61 554 посещения задержанных лиц с целью оказания им консультативной помощи в юридических вопросах.</w:t>
      </w:r>
    </w:p>
    <w:p w:rsidR="00000000" w:rsidRDefault="00000000"/>
    <w:p w:rsidR="00000000" w:rsidRDefault="00000000">
      <w:r>
        <w:t>219.</w:t>
      </w:r>
      <w:r>
        <w:tab/>
        <w:t>Следует указать, что для решения вопросов, которые не носят уголовного характера, в 1998 году была создана служба юридической помощи, консультаций и представительства для решения административных, финансовых и гражданских вопросов на федеральном уровне.  По состоянию на 31 мая 2000 года в 42 городах страны работали 88 федеральных юрисконсультов.</w:t>
      </w:r>
    </w:p>
    <w:p w:rsidR="00000000" w:rsidRDefault="00000000"/>
    <w:p w:rsidR="00000000" w:rsidRDefault="00000000">
      <w:r>
        <w:t>220.</w:t>
      </w:r>
      <w:r>
        <w:tab/>
        <w:t>Во второй половине 1999</w:t>
      </w:r>
      <w:r>
        <w:rPr>
          <w:lang w:val="en-US"/>
        </w:rPr>
        <w:t> </w:t>
      </w:r>
      <w:r>
        <w:t>года была создана группа наблюдателей, которая приступила к осуществлению инспекционных поездок для непосредственного ознакомления с работой государственных защитников и юрисконсультов.  Члены этой группы наблюдателей хорошо знакомы с характером деятельности вышеуказанных должностных лиц и ее административными аспектами.  Цель этих поездок состоит в том, чтобы познакомиться как с методами внутреннего контроля и применения существующих правовых норм, так и с осуществлением государственными защитниками и юрисконсультами своих функций, имеющимися возможностями и качеством предоставляемых услуг.</w:t>
      </w:r>
    </w:p>
    <w:p w:rsidR="00000000" w:rsidRDefault="00000000"/>
    <w:p w:rsidR="00000000" w:rsidRDefault="00000000">
      <w:pPr>
        <w:keepNext/>
        <w:rPr>
          <w:b/>
          <w:bCs/>
          <w:i/>
          <w:iCs/>
        </w:rPr>
      </w:pPr>
      <w:r>
        <w:rPr>
          <w:b/>
          <w:bCs/>
          <w:i/>
          <w:iCs/>
        </w:rPr>
        <w:t>1.</w:t>
      </w:r>
      <w:r>
        <w:rPr>
          <w:b/>
          <w:bCs/>
          <w:i/>
          <w:iCs/>
        </w:rPr>
        <w:tab/>
        <w:t>Замечания, планы и задачи</w:t>
      </w:r>
    </w:p>
    <w:p w:rsidR="00000000" w:rsidRDefault="00000000">
      <w:pPr>
        <w:keepNext/>
      </w:pPr>
    </w:p>
    <w:p w:rsidR="00000000" w:rsidRDefault="00000000">
      <w:r>
        <w:t>221.</w:t>
      </w:r>
      <w:r>
        <w:tab/>
        <w:t>Хотя начиная с 1997 года в этой области проделана большая работа, "Международная амнистия"</w:t>
      </w:r>
      <w:r>
        <w:rPr>
          <w:rStyle w:val="EndnoteReference"/>
        </w:rPr>
        <w:endnoteReference w:id="83"/>
      </w:r>
      <w:r>
        <w:t xml:space="preserve"> считает, что необходимо продолжать усилия в этом направлении с целью обеспечения соответствующей квалификации адвокатов, официально назначенных судами, а также соответствующей подготовки для работы в жертвами пыток и составления заявлений, касающихся пыток.  В связи с этим "Международная амнистия" предложила периодически инспектировать работу назначенных адвокатов с целью обеспечения знания ими своих обязанностей и, следовательно, выполнения ими своей работы, прежде всего с жертвами пыток.</w:t>
      </w:r>
    </w:p>
    <w:p w:rsidR="00000000" w:rsidRDefault="00000000"/>
    <w:p w:rsidR="00000000" w:rsidRDefault="00000000">
      <w:r>
        <w:t>222.</w:t>
      </w:r>
      <w:r>
        <w:tab/>
        <w:t>Исполнительная власть, сознавая существование недостатков в этой области, предложила, в рамках осуществления ранее упомянутой реформы в области отправления правосудия, организовать повышение квалификации юристов, выступающих в роли адвокатов при судебном разбирательстве уголовных дел</w:t>
      </w:r>
      <w:r>
        <w:rPr>
          <w:rStyle w:val="EndnoteReference"/>
        </w:rPr>
        <w:endnoteReference w:id="84"/>
      </w:r>
      <w:r>
        <w:t>.</w:t>
      </w:r>
    </w:p>
    <w:p w:rsidR="00000000" w:rsidRDefault="00000000"/>
    <w:p w:rsidR="00000000" w:rsidRDefault="00000000">
      <w:r>
        <w:t>223.</w:t>
      </w:r>
      <w:r>
        <w:tab/>
        <w:t>Согласно положению Конституции лица, задержанные правоохранительными органами, могут содержаться под стражей не более 48 часов.  Как указывается в ранее упомянутом докладе Докладчика Организации Объединенных Наций по вопросам о пытках, в течение этого времени задержанным не разрешается общаться с адвокатом или с доверенным лицом.  Кроме того, продолжают поступать сообщения о том, что задержанные лица содержатся в изоляции в течение более продолжительного времени, чем это предусматривается.  После того как им наконец назначается адвокат или удается установить контакт с каким</w:t>
      </w:r>
      <w:r>
        <w:noBreakHyphen/>
        <w:t>либо из доверенных лиц, задержанные практически не имеют времени для того, чтобы встретиться с ними до того, как они сделают свое первое заявление</w:t>
      </w:r>
      <w:r>
        <w:rPr>
          <w:rStyle w:val="EndnoteReference"/>
        </w:rPr>
        <w:endnoteReference w:id="85"/>
      </w:r>
      <w:r>
        <w:t>.</w:t>
      </w:r>
    </w:p>
    <w:p w:rsidR="00000000" w:rsidRDefault="00000000"/>
    <w:p w:rsidR="00000000" w:rsidRDefault="00000000">
      <w:pPr>
        <w:keepNext/>
        <w:jc w:val="center"/>
        <w:rPr>
          <w:b/>
          <w:bCs/>
        </w:rPr>
      </w:pPr>
      <w:r>
        <w:rPr>
          <w:b/>
          <w:bCs/>
          <w:lang w:val="en-US"/>
        </w:rPr>
        <w:t>D</w:t>
      </w:r>
      <w:r>
        <w:rPr>
          <w:b/>
          <w:bCs/>
        </w:rPr>
        <w:t>.</w:t>
      </w:r>
      <w:r>
        <w:rPr>
          <w:b/>
          <w:bCs/>
        </w:rPr>
        <w:tab/>
        <w:t>Длительное содержание под стражей</w:t>
      </w:r>
    </w:p>
    <w:p w:rsidR="00000000" w:rsidRDefault="00000000">
      <w:pPr>
        <w:keepNext/>
        <w:rPr>
          <w:u w:val="single"/>
        </w:rPr>
      </w:pPr>
    </w:p>
    <w:p w:rsidR="00000000" w:rsidRDefault="00000000">
      <w:r>
        <w:t>224.</w:t>
      </w:r>
      <w:r>
        <w:tab/>
        <w:t>Хотя в национальном законодательстве четко указан максимальный срок содержания под стражей</w:t>
      </w:r>
      <w:r>
        <w:rPr>
          <w:rStyle w:val="EndnoteReference"/>
        </w:rPr>
        <w:endnoteReference w:id="86"/>
      </w:r>
      <w:r>
        <w:t>, установлено много случаев, когда задержанные содержались под стражей в течение более длительного срока, чем это предусмотрено в законе.  Наиболее показательными случаями, подтверждающими такое положение, является задержание миграционными властями иностранцев, незаконно въезжающих на территорию страны.</w:t>
      </w:r>
    </w:p>
    <w:p w:rsidR="00000000" w:rsidRDefault="00000000"/>
    <w:p w:rsidR="00000000" w:rsidRDefault="00000000">
      <w:r>
        <w:t>225.</w:t>
      </w:r>
      <w:r>
        <w:tab/>
        <w:t>В статье 94 Регламента Общего закона о народонаселении указывается, что министерство внутренних дел может создавать или давать распоряжение на создание в районах, которые оно считает подходящими, миграционные центры для временного проживания иностранцев или иностранцев, которые не имеют статуса эмигрантов или положение которых не отвечает требованиям, позволяющими продлить срок действия имеющихся у них документов, а также для помещения в эти центры, в качестве меры безопасности, иностранцев, подлежащих высылке из страны.  В районах, в которых министерство внутренних дел не создало миграционные центры, предусматривается создание местных центров временного задержания для помещения в них иностранцев, которые должны быть высланы из страны.</w:t>
      </w:r>
    </w:p>
    <w:p w:rsidR="00000000" w:rsidRDefault="00000000">
      <w:pPr>
        <w:spacing w:line="240" w:lineRule="auto"/>
      </w:pPr>
    </w:p>
    <w:p w:rsidR="00000000" w:rsidRDefault="00000000">
      <w:r>
        <w:t>226.</w:t>
      </w:r>
      <w:r>
        <w:tab/>
        <w:t>Однако правительство Мексики никоим образом не считает мигрантов нарушителями законов.  Национальный институт по миграции является административным органом и в качестве такого принимает меры обеспечения безопасности для выяснения статуса мигрантов, а не для их задержания.</w:t>
      </w:r>
    </w:p>
    <w:p w:rsidR="00000000" w:rsidRDefault="00000000">
      <w:pPr>
        <w:spacing w:line="240" w:lineRule="auto"/>
      </w:pPr>
    </w:p>
    <w:p w:rsidR="00000000" w:rsidRDefault="00000000">
      <w:r>
        <w:t>227.</w:t>
      </w:r>
      <w:r>
        <w:tab/>
        <w:t>По словам Специального докладчика по правам человека мигрантов Комиссии по правам человека г-жи Габриэлы Родригес Писарро, задержанные в Мексике граждане центральноамериканских стран помещаются в самые ближайшие центры Национального института по миграции, где они находятся в течение периода рассмотрения их дел или принятия мер для их высылки.  Эта процедура, в зависимости от наличия транспортных средств, может продолжаться в течение двух дней.  Мигранты, высылка которых осложняется трудностями их доставки в страны происхождения или статус которых как мигрантов находится на стадии рассмотрения, переводятся в центр содержания в городе Мехико (главный центр содержания мигрантов, специально созданный для этой цели) или в миграционный центр в Чампотоне, где они находятся до окончательного решения их дел.  Эта категория мигрантов может находиться в указанных центрах в течение нескольких месяцев</w:t>
      </w:r>
      <w:r>
        <w:rPr>
          <w:rStyle w:val="EndnoteReference"/>
        </w:rPr>
        <w:endnoteReference w:id="87"/>
      </w:r>
      <w:r>
        <w:t>.</w:t>
      </w:r>
    </w:p>
    <w:p w:rsidR="00000000" w:rsidRDefault="00000000">
      <w:pPr>
        <w:spacing w:line="240" w:lineRule="auto"/>
      </w:pPr>
    </w:p>
    <w:p w:rsidR="00000000" w:rsidRDefault="00000000">
      <w:pPr>
        <w:keepNext/>
        <w:rPr>
          <w:b/>
          <w:bCs/>
          <w:i/>
          <w:iCs/>
        </w:rPr>
      </w:pPr>
      <w:r>
        <w:rPr>
          <w:b/>
          <w:bCs/>
          <w:i/>
          <w:iCs/>
        </w:rPr>
        <w:t>1.</w:t>
      </w:r>
      <w:r>
        <w:rPr>
          <w:b/>
          <w:bCs/>
          <w:i/>
          <w:iCs/>
        </w:rPr>
        <w:tab/>
        <w:t>Меры, принятые правительством Мексики</w:t>
      </w:r>
    </w:p>
    <w:p w:rsidR="00000000" w:rsidRDefault="00000000">
      <w:pPr>
        <w:keepNext/>
        <w:spacing w:line="240" w:lineRule="auto"/>
      </w:pPr>
    </w:p>
    <w:p w:rsidR="00000000" w:rsidRDefault="00000000">
      <w:r>
        <w:t>228.</w:t>
      </w:r>
      <w:r>
        <w:tab/>
        <w:t>Министерство внутренних дел 9 августа 2004 года подписало Меморандум о взаимопонимании с Международной организацией по миграции (МОМ), в соответствии с которым указанная международная организация будет оказывать правительству Мексики помощь в приобретении необходимых проездных документов для высылки мигрантов в страны, которые расположены за пределами Американского континента и которые не имеют дипломатических или консульских представительств в Мексике.  Это соглашение позволит Национальному институту по миграции экономить при приобретении авиационных билетов для этих целей примерно 50%, расходуемых на эти цели средств, или 12 млн. песо в год.</w:t>
      </w:r>
    </w:p>
    <w:p w:rsidR="00000000" w:rsidRDefault="00000000">
      <w:pPr>
        <w:rPr>
          <w:i/>
          <w:iCs/>
        </w:rPr>
      </w:pPr>
      <w:r>
        <w:br w:type="page"/>
      </w:r>
      <w:r>
        <w:rPr>
          <w:i/>
          <w:iCs/>
        </w:rPr>
        <w:t>1.1</w:t>
      </w:r>
      <w:r>
        <w:rPr>
          <w:i/>
          <w:iCs/>
        </w:rPr>
        <w:tab/>
        <w:t>Консульская помощь</w:t>
      </w:r>
    </w:p>
    <w:p w:rsidR="00000000" w:rsidRDefault="00000000">
      <w:pPr>
        <w:rPr>
          <w:b/>
          <w:bCs/>
        </w:rPr>
      </w:pPr>
    </w:p>
    <w:p w:rsidR="00000000" w:rsidRDefault="00000000">
      <w:r>
        <w:t>229.</w:t>
      </w:r>
      <w:r>
        <w:tab/>
        <w:t>В соответствии с Общим законом о народонаселении задержанное лицо не должно содержаться в миграционном центре в течение более 90 дней.  Однако отмечаются случаи, когда задержанные лица находятся в этих центрах в течение более длительного периода, поскольку они не получают соответствующей помощи со стороны консульских представительств своих стран или просто в силу того, что таких представительств в Мексике нет.</w:t>
      </w:r>
    </w:p>
    <w:p w:rsidR="00000000" w:rsidRDefault="00000000"/>
    <w:p w:rsidR="00000000" w:rsidRDefault="00000000">
      <w:r>
        <w:t>230.</w:t>
      </w:r>
      <w:r>
        <w:tab/>
        <w:t>Поскольку Мексика является членом Международной организации по миграции (МОМ), эта организация в 2004 году предоставила Национальному институту по миграции оборудование для проведения видеоконференций.  Это позволяет консульским представительствам, аккредитованным в Вашингтоне, которые одновременно выполняют аналогичные функции в Мексике, проводить беседы с гражданами своих стран, содержащимися в миграционном центре Национального института по миграции в Федеральном округе и в Тапачуле, штат Чьяпас.</w:t>
      </w:r>
    </w:p>
    <w:p w:rsidR="00000000" w:rsidRDefault="00000000"/>
    <w:p w:rsidR="00000000" w:rsidRDefault="00000000">
      <w:r>
        <w:t>231.</w:t>
      </w:r>
      <w:r>
        <w:tab/>
        <w:t>Одной из мер правительства Мексики, направленных на укрепление связи с консульскими представительствами в стране, явились усилия Национального института по миграции в целях более глубокого ознакомления консульств центральноамериканских стран с проблемами в этой области и установлению с ними диалога для расширения консульских услуг, оказываемых этими учреждениями своим гражданам.</w:t>
      </w:r>
    </w:p>
    <w:p w:rsidR="00000000" w:rsidRDefault="00000000"/>
    <w:p w:rsidR="00000000" w:rsidRDefault="00000000">
      <w:pPr>
        <w:ind w:left="567" w:hanging="567"/>
        <w:jc w:val="center"/>
        <w:rPr>
          <w:b/>
          <w:bCs/>
        </w:rPr>
      </w:pPr>
      <w:r>
        <w:rPr>
          <w:b/>
          <w:bCs/>
        </w:rPr>
        <w:t>Е.</w:t>
      </w:r>
      <w:r>
        <w:rPr>
          <w:b/>
          <w:bCs/>
        </w:rPr>
        <w:tab/>
        <w:t>Меры для изучения условий содержания под стражей лиц, подвергнутых</w:t>
      </w:r>
    </w:p>
    <w:p w:rsidR="00000000" w:rsidRDefault="00000000">
      <w:pPr>
        <w:ind w:left="567" w:hanging="567"/>
        <w:jc w:val="center"/>
        <w:rPr>
          <w:b/>
          <w:bCs/>
          <w:u w:val="single"/>
        </w:rPr>
      </w:pPr>
      <w:r>
        <w:rPr>
          <w:b/>
          <w:bCs/>
        </w:rPr>
        <w:t>любой форме ареста, задержания или тюремного заключения</w:t>
      </w:r>
    </w:p>
    <w:p w:rsidR="00000000" w:rsidRDefault="00000000">
      <w:pPr>
        <w:ind w:left="567" w:hanging="567"/>
        <w:rPr>
          <w:b/>
          <w:bCs/>
          <w:u w:val="single"/>
        </w:rPr>
      </w:pPr>
    </w:p>
    <w:p w:rsidR="00000000" w:rsidRDefault="00000000">
      <w:r>
        <w:t>232.</w:t>
      </w:r>
      <w:r>
        <w:tab/>
        <w:t>После принятия Национального плана развития на 2001-2006 годы на основе Национальной программы обеспечения общественной безопасности на 2001-2006 годы предусматривается комплексная перестройка пенитенциарной системы.  Указанная перестройка направлена на решение ряда проблем, которые препятствуют должному функционированию исправительных учреждений и соответствующей реадаптации заключенных и включения их в социальную жизнь общества.  К таким проблемам относятся:  перенаселенность исправительных учреждений, которая по состоянию на июль 2003 года на 27,9% превышала рассчитанную вместимость, скученность содержания заключенных в исправительных учреждениях, коррупция, нехватка средств и квалифицированного персонала, а также медлительность в решении вопросов, связанных с правовым положением заключенных:  42,3% заключенным от общего числа лиц, содержащихся в тюрьмах, не вынесено приговора</w:t>
      </w:r>
      <w:r>
        <w:rPr>
          <w:rStyle w:val="EndnoteReference"/>
        </w:rPr>
        <w:endnoteReference w:id="88"/>
      </w:r>
      <w:r>
        <w:t>.</w:t>
      </w:r>
    </w:p>
    <w:p w:rsidR="00000000" w:rsidRDefault="00000000"/>
    <w:p w:rsidR="00000000" w:rsidRDefault="00000000">
      <w:r>
        <w:t>233.</w:t>
      </w:r>
      <w:r>
        <w:tab/>
        <w:t>Правительство Мексики осуществило важные меры для улучшения функционирования миграционных центров:</w:t>
      </w:r>
    </w:p>
    <w:p w:rsidR="00000000" w:rsidRDefault="00000000"/>
    <w:p w:rsidR="00000000" w:rsidRDefault="00000000">
      <w:pPr>
        <w:numPr>
          <w:ilvl w:val="0"/>
          <w:numId w:val="14"/>
        </w:numPr>
        <w:tabs>
          <w:tab w:val="clear" w:pos="567"/>
        </w:tabs>
      </w:pPr>
      <w:r>
        <w:t>Национальный институт по миграции осуществляет руководство функционированием миграционных центров на основе Постановления о правилах функционирования миграционных центров Национального института по миграции (ПФМЦ), содержащего правовые рамки, гарантирующие гуманное обращение с мигрантами, которые задержаны иммиграционными властями;</w:t>
      </w:r>
    </w:p>
    <w:p w:rsidR="00000000" w:rsidRDefault="00000000">
      <w:pPr>
        <w:tabs>
          <w:tab w:val="clear" w:pos="1134"/>
        </w:tabs>
      </w:pPr>
    </w:p>
    <w:p w:rsidR="00000000" w:rsidRDefault="00000000">
      <w:pPr>
        <w:numPr>
          <w:ilvl w:val="0"/>
          <w:numId w:val="14"/>
        </w:numPr>
        <w:tabs>
          <w:tab w:val="clear" w:pos="567"/>
        </w:tabs>
      </w:pPr>
      <w:r>
        <w:t>однако, учитывая, что одна из главных целей, связанных с содержанием мигрантов в миграционных центрах, состоит в том, чтобы эти центры не рассматривались как тюрьмы и чтобы решить проблему перенаселенности, поскольку имеющиеся возможности для содержания мигрантов в настоящее время ниже потребностей, которые возникают в связи с масштабами такого явления, как миграция, в 2002 году Национальный институт по миграции после комплексного обследования 45 центров, которыми он руководит, разрабатывал программу улучшения условий в этих центрах;</w:t>
      </w:r>
    </w:p>
    <w:p w:rsidR="00000000" w:rsidRDefault="00000000">
      <w:pPr>
        <w:tabs>
          <w:tab w:val="clear" w:pos="1134"/>
        </w:tabs>
      </w:pPr>
    </w:p>
    <w:p w:rsidR="00000000" w:rsidRDefault="00000000">
      <w:pPr>
        <w:numPr>
          <w:ilvl w:val="0"/>
          <w:numId w:val="14"/>
        </w:numPr>
        <w:tabs>
          <w:tab w:val="clear" w:pos="567"/>
        </w:tabs>
      </w:pPr>
      <w:r>
        <w:t>в 2003 году Национальный институт по миграции завершил работы по улучшению условий в 23 центрах, которые находятся в штатах Нижняя Калифорния, Кинтана-Роо, Тамаулипас, Чиуауа, Чьяпас, Табаско, Оахака, Веракрус, Санора, Герреро и Кампече, а в 2004 году произвел работы по модернизации 22 остальных центров, расположенных в штатах Синалоа, Кинтана-Роо, Оахака, Тамаулипас, Чьяпас, Веракрус, Сакатекас и Кампече;</w:t>
      </w:r>
    </w:p>
    <w:p w:rsidR="00000000" w:rsidRDefault="00000000">
      <w:pPr>
        <w:tabs>
          <w:tab w:val="clear" w:pos="1134"/>
        </w:tabs>
      </w:pPr>
    </w:p>
    <w:p w:rsidR="00000000" w:rsidRDefault="00000000">
      <w:pPr>
        <w:numPr>
          <w:ilvl w:val="0"/>
          <w:numId w:val="14"/>
        </w:numPr>
        <w:tabs>
          <w:tab w:val="clear" w:pos="567"/>
        </w:tabs>
      </w:pPr>
      <w:r>
        <w:t>программа модернизации предусматривает создание новых миграционных центров с целью замены существующих, которые не отвечают предъявляемым требованиям, а также создание центров в тех территориях, в которых их нет.  Одновременно с этим предусматривается модернизация существующих миграционных центров;</w:t>
      </w:r>
    </w:p>
    <w:p w:rsidR="00000000" w:rsidRDefault="00000000"/>
    <w:p w:rsidR="00000000" w:rsidRDefault="00000000">
      <w:pPr>
        <w:numPr>
          <w:ilvl w:val="1"/>
          <w:numId w:val="14"/>
        </w:numPr>
        <w:tabs>
          <w:tab w:val="clear" w:pos="1440"/>
        </w:tabs>
        <w:ind w:left="1134" w:hanging="567"/>
      </w:pPr>
      <w:r>
        <w:t>в качестве составной части указанной программы в мае 2004 года по инициативе правительства Мексики Национальному институту по миграции была оказана техническая помощь со стороны МОМ в разработке типового миграционного центра (ТМЦ), который будет создан в Тапачуле, штат Чьяпас.  Он будет отвечать международным стандартам и самой лучшей практике в области прав человека.  Проект этого центра послужит в качестве модели для сооружения новых центров с высокой вместимостью в остальных районах страны.  Данный центр сможет принимать для содержания в течение нескольких дней 490 человек и для временного проживания - 960 человек.</w:t>
      </w:r>
    </w:p>
    <w:p w:rsidR="00000000" w:rsidRDefault="00000000">
      <w:pPr>
        <w:ind w:left="1134" w:hanging="1134"/>
      </w:pPr>
    </w:p>
    <w:p w:rsidR="00000000" w:rsidRDefault="00000000">
      <w:pPr>
        <w:jc w:val="center"/>
      </w:pPr>
      <w:r>
        <w:rPr>
          <w:b/>
          <w:bCs/>
          <w:lang w:val="en-US"/>
        </w:rPr>
        <w:t>F</w:t>
      </w:r>
      <w:r>
        <w:rPr>
          <w:b/>
          <w:bCs/>
        </w:rPr>
        <w:t>.</w:t>
      </w:r>
      <w:r>
        <w:rPr>
          <w:b/>
          <w:bCs/>
        </w:rPr>
        <w:tab/>
        <w:t>Замечания, планы и задачи</w:t>
      </w:r>
    </w:p>
    <w:p w:rsidR="00000000" w:rsidRDefault="00000000"/>
    <w:p w:rsidR="00000000" w:rsidRDefault="00000000">
      <w:r>
        <w:t>234.</w:t>
      </w:r>
      <w:r>
        <w:tab/>
        <w:t>Исследование, проведенное организацией "Врачи за права человека" посредством изучения на месте положения в имеющихся в стране центрах содержания, результаты которого были опубликованы в апреле 2003 года, свидетельствует о том, что в последние пять лет масштабы пыток лиц, содержащихся под стражей в Мексике, уменьшились.  Однако все еще отмечаются частые случаи пыток</w:t>
      </w:r>
      <w:r>
        <w:rPr>
          <w:rStyle w:val="EndnoteReference"/>
        </w:rPr>
        <w:endnoteReference w:id="89"/>
      </w:r>
      <w:r>
        <w:t>.</w:t>
      </w:r>
    </w:p>
    <w:p w:rsidR="00000000" w:rsidRDefault="00000000"/>
    <w:p w:rsidR="00000000" w:rsidRDefault="00000000">
      <w:pPr>
        <w:jc w:val="center"/>
      </w:pPr>
      <w:r>
        <w:rPr>
          <w:b/>
          <w:bCs/>
        </w:rPr>
        <w:t>Статья 12.  Быстрое и беспристрастное расследование</w:t>
      </w:r>
    </w:p>
    <w:p w:rsidR="00000000" w:rsidRDefault="00000000">
      <w:pPr>
        <w:jc w:val="center"/>
      </w:pPr>
    </w:p>
    <w:p w:rsidR="00000000" w:rsidRDefault="00000000">
      <w:r>
        <w:t>235.</w:t>
      </w:r>
      <w:r>
        <w:tab/>
        <w:t>В соответствии со статьей 21 Политической конституции в рамках юридической системы Мексики проведение расследования в отношении преступления и назначения наказания входит исключительно в компетенцию судебных властей, которые обладают монопольными полномочиями в возбуждении уголовных дел.</w:t>
      </w:r>
    </w:p>
    <w:p w:rsidR="00000000" w:rsidRDefault="00000000"/>
    <w:p w:rsidR="00000000" w:rsidRDefault="00000000">
      <w:r>
        <w:t>236.</w:t>
      </w:r>
      <w:r>
        <w:tab/>
        <w:t>Возбуждение дела начинается с момента получения сообщения от следственного органа, который должен немедленно начать необходимые следственные действия для подтверждения совершенного преступления и возможной ответственности подозреваемого лица.  Основные элементы для возбуждения дела, для того чтобы соответствующие органы могли принять окончательное решение о возбуждении или отказе от возбуждения уголовного дела, содержатся в уголовно-процессуальных кодексах каждой территории, в Федеральном уголовно-процессуальном кодексе и в Уголовно-процессуальном кодексе Федерального округа.</w:t>
      </w:r>
    </w:p>
    <w:p w:rsidR="00000000" w:rsidRDefault="00000000"/>
    <w:p w:rsidR="00000000" w:rsidRDefault="00000000">
      <w:r>
        <w:t>237.</w:t>
      </w:r>
      <w:r>
        <w:tab/>
        <w:t>Каждый человек не только имеет право, но и обязан ставить в известность органы власти о деяниях, которые могут рассматриваться в качестве преступлений и расследование которых должно проводиться официально.  Пытка является преступлением, которое рассматривается официально, независимо от воли потерпевшего или бездействия субъекта преступления.</w:t>
      </w:r>
    </w:p>
    <w:p w:rsidR="00000000" w:rsidRDefault="00000000"/>
    <w:p w:rsidR="00000000" w:rsidRDefault="00000000">
      <w:r>
        <w:t>238.</w:t>
      </w:r>
      <w:r>
        <w:tab/>
        <w:t>Для того чтобы прокуратура могла быстро и беспристрастно возбудить уголовное дело, потерпевший имеет право, в случае задержки в отправлении правосудия, обратиться к судье с требованием о судебной защите в порядке ампаро (альтернативно или одновременно он может также обратиться в Комиссию по правам человека), или опротестовать решение о невозбуждении уголовного дела.</w:t>
      </w:r>
    </w:p>
    <w:p w:rsidR="00000000" w:rsidRDefault="00000000"/>
    <w:p w:rsidR="00000000" w:rsidRDefault="00000000">
      <w:pPr>
        <w:jc w:val="center"/>
        <w:rPr>
          <w:b/>
          <w:bCs/>
          <w:u w:val="single"/>
        </w:rPr>
      </w:pPr>
      <w:r>
        <w:rPr>
          <w:b/>
          <w:bCs/>
        </w:rPr>
        <w:t>А.</w:t>
      </w:r>
      <w:r>
        <w:rPr>
          <w:b/>
          <w:bCs/>
        </w:rPr>
        <w:tab/>
        <w:t>Замечания, планы и задачи</w:t>
      </w:r>
    </w:p>
    <w:p w:rsidR="00000000" w:rsidRDefault="00000000">
      <w:pPr>
        <w:spacing w:line="240" w:lineRule="auto"/>
        <w:rPr>
          <w:b/>
          <w:bCs/>
          <w:u w:val="single"/>
        </w:rPr>
      </w:pPr>
    </w:p>
    <w:p w:rsidR="00000000" w:rsidRDefault="00000000">
      <w:r>
        <w:t>239.</w:t>
      </w:r>
      <w:r>
        <w:tab/>
        <w:t>Некоторые международные органы и неправительственные организации</w:t>
      </w:r>
      <w:r>
        <w:rPr>
          <w:rStyle w:val="EndnoteReference"/>
        </w:rPr>
        <w:endnoteReference w:id="90"/>
      </w:r>
      <w:r>
        <w:t xml:space="preserve"> ставят под сомнение возможность проведения быстрого и беспристрастного расследования ввиду характерных для данной процедуры свойств и практики, применяемой органами, которым поручено проводить расследования преступлений</w:t>
      </w:r>
      <w:r>
        <w:rPr>
          <w:rStyle w:val="EndnoteReference"/>
        </w:rPr>
        <w:endnoteReference w:id="91"/>
      </w:r>
      <w:r>
        <w:t>.  Главная озабоченность, высказываемая этими организациями, заключается в том, что в отношении жалоб на применение пыток должны проводиться расследования.  Возбуждение уголовных дел осуществляется прокуратурами.  По мнению некоторых организаций гражданского общества, такое положение может поставить под сомнение независимость и беспристрастность проведения расследования следственными органами, поскольку органу, осуществившему задержание пострадавшего, поручается проведение расследования его жалобы</w:t>
      </w:r>
      <w:r>
        <w:rPr>
          <w:rStyle w:val="EndnoteReference"/>
        </w:rPr>
        <w:endnoteReference w:id="92"/>
      </w:r>
      <w:r>
        <w:t>.</w:t>
      </w:r>
    </w:p>
    <w:p w:rsidR="00000000" w:rsidRDefault="00000000">
      <w:pPr>
        <w:spacing w:line="240" w:lineRule="auto"/>
      </w:pPr>
    </w:p>
    <w:p w:rsidR="00000000" w:rsidRDefault="00000000">
      <w:r>
        <w:t>240.</w:t>
      </w:r>
      <w:r>
        <w:tab/>
        <w:t>В связи с конституционной реформой в области отправления правосудия, которая предлагается исполнительной властью, прокуратура уже не будет осуществлять функции полицейских следственных органов, а ее прокуроры будут выступать лишь в качестве специалистов по праву.  Преобразование Генеральной прокуратуры Республики в Генеральное управление прокуратуры Федерации, которое в соответствии с Конституцией станет независимым органом, позволит повысить степень законности проводимых расследований, а также обеспечит независимость медицинских экспертов от прокуратуры, как это было рекомендовано Мексике Комитетом против пыток (рекомендация </w:t>
      </w:r>
      <w:r>
        <w:rPr>
          <w:lang w:val="en-US"/>
        </w:rPr>
        <w:t>J</w:t>
      </w:r>
      <w:r>
        <w:t>).</w:t>
      </w:r>
    </w:p>
    <w:p w:rsidR="00000000" w:rsidRDefault="00000000">
      <w:pPr>
        <w:spacing w:line="240" w:lineRule="auto"/>
      </w:pPr>
    </w:p>
    <w:p w:rsidR="00000000" w:rsidRDefault="00000000">
      <w:pPr>
        <w:jc w:val="center"/>
        <w:rPr>
          <w:b/>
          <w:bCs/>
        </w:rPr>
      </w:pPr>
      <w:r>
        <w:rPr>
          <w:b/>
          <w:bCs/>
        </w:rPr>
        <w:t>Статья 13.  Право на предъявление жалоб и юридическую защиту жертв пыток</w:t>
      </w:r>
    </w:p>
    <w:p w:rsidR="00000000" w:rsidRDefault="00000000">
      <w:pPr>
        <w:spacing w:line="240" w:lineRule="auto"/>
        <w:rPr>
          <w:b/>
          <w:bCs/>
        </w:rPr>
      </w:pPr>
    </w:p>
    <w:p w:rsidR="00000000" w:rsidRDefault="00000000">
      <w:pPr>
        <w:jc w:val="center"/>
      </w:pPr>
      <w:r>
        <w:rPr>
          <w:b/>
          <w:bCs/>
        </w:rPr>
        <w:t>А.</w:t>
      </w:r>
      <w:r>
        <w:rPr>
          <w:b/>
          <w:bCs/>
        </w:rPr>
        <w:tab/>
        <w:t>Законодательство по данному вопросу</w:t>
      </w:r>
    </w:p>
    <w:p w:rsidR="00000000" w:rsidRDefault="00000000">
      <w:pPr>
        <w:spacing w:line="240" w:lineRule="auto"/>
      </w:pPr>
    </w:p>
    <w:p w:rsidR="00000000" w:rsidRDefault="00000000">
      <w:r>
        <w:t>241.</w:t>
      </w:r>
      <w:r>
        <w:tab/>
        <w:t>В соответствии с федеральным законодательством по данному вопросу в случае совершения преступления любое лицо, являющееся жертвой пытки, члены его семьи, его адвокат, доверенное лицо или любое третье лицо, которому известно о совершенном деянии</w:t>
      </w:r>
      <w:r>
        <w:rPr>
          <w:rStyle w:val="EndnoteReference"/>
        </w:rPr>
        <w:endnoteReference w:id="93"/>
      </w:r>
      <w:r>
        <w:t>, имеют право подать жалобу или обратиться за юридической помощью к компетентным органам</w:t>
      </w:r>
      <w:r>
        <w:rPr>
          <w:rStyle w:val="EndnoteReference"/>
        </w:rPr>
        <w:endnoteReference w:id="94"/>
      </w:r>
      <w:r>
        <w:t>.  Кроме того, в соответствии со статьей 11 Федерального закона о предотвращении пыток и наказании за них государственное должностное лицо, которому стало известно о деянии, представляющем собой пытку, обязано представить соответствующую жалобу.</w:t>
      </w:r>
    </w:p>
    <w:p w:rsidR="00000000" w:rsidRDefault="00000000">
      <w:pPr>
        <w:spacing w:line="240" w:lineRule="auto"/>
      </w:pPr>
    </w:p>
    <w:p w:rsidR="00000000" w:rsidRDefault="00000000">
      <w:r>
        <w:t>242.</w:t>
      </w:r>
      <w:r>
        <w:tab/>
        <w:t>Помимо права направлять жалобы в отношении преступлений уголовного характера</w:t>
      </w:r>
      <w:r>
        <w:rPr>
          <w:rStyle w:val="EndnoteReference"/>
        </w:rPr>
        <w:endnoteReference w:id="95"/>
      </w:r>
      <w:r>
        <w:t xml:space="preserve"> в прокуратуру, жертвы пыток могут, в зависимости от обстоятельств, подавать жалобы в Национальную комиссию по правам человека или в комиссии по правам человека штатов.  Однако в Мексике эти комиссии не обладают компетенцией вмешиваться в проведение следствий по уголовным делам.  В то же время они обладают полномочиями вносить рекомендации, осуществлять наблюдение за их выполнением и подтверждать их выполнение.</w:t>
      </w:r>
    </w:p>
    <w:p w:rsidR="00000000" w:rsidRDefault="00000000">
      <w:pPr>
        <w:spacing w:line="240" w:lineRule="auto"/>
      </w:pPr>
    </w:p>
    <w:p w:rsidR="00000000" w:rsidRDefault="00000000">
      <w:pPr>
        <w:jc w:val="center"/>
        <w:rPr>
          <w:b/>
          <w:bCs/>
        </w:rPr>
      </w:pPr>
      <w:r>
        <w:rPr>
          <w:b/>
          <w:bCs/>
        </w:rPr>
        <w:t>В.</w:t>
      </w:r>
      <w:r>
        <w:rPr>
          <w:b/>
          <w:bCs/>
        </w:rPr>
        <w:tab/>
        <w:t>Жалобы, направляемые Национальной комиссии по правам человека</w:t>
      </w:r>
    </w:p>
    <w:p w:rsidR="00000000" w:rsidRDefault="00000000">
      <w:pPr>
        <w:spacing w:line="240" w:lineRule="auto"/>
      </w:pPr>
    </w:p>
    <w:p w:rsidR="00000000" w:rsidRDefault="00000000">
      <w:r>
        <w:t>243.</w:t>
      </w:r>
      <w:r>
        <w:tab/>
        <w:t>Национальная комиссия по правам человека заявила, что с января 1997 по 18 ноября 2003 года было подано 35 356 жалоб, из которых 104 касались предполагаемых нарушений прав человека в результате пыток и 1 457 - жестокого и/или унижающего достоинство обращения.</w:t>
      </w:r>
    </w:p>
    <w:p w:rsidR="00000000" w:rsidRDefault="00000000">
      <w:pPr>
        <w:spacing w:line="240" w:lineRule="auto"/>
      </w:pPr>
    </w:p>
    <w:p w:rsidR="00000000" w:rsidRDefault="00000000">
      <w:r>
        <w:t>244.</w:t>
      </w:r>
      <w:r>
        <w:tab/>
        <w:t>По данным Генеральной прокуратуры Республики, МКПЧ указала на следующие жалобы, которые были ею рассмотрены:</w:t>
      </w:r>
    </w:p>
    <w:p w:rsidR="00000000" w:rsidRDefault="00000000">
      <w:pPr>
        <w:spacing w:line="240" w:lineRule="auto"/>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bottom w:w="142" w:type="dxa"/>
          <w:right w:w="28" w:type="dxa"/>
        </w:tblCellMar>
        <w:tblLook w:val="0000" w:firstRow="0" w:lastRow="0" w:firstColumn="0" w:lastColumn="0" w:noHBand="0" w:noVBand="0"/>
      </w:tblPr>
      <w:tblGrid>
        <w:gridCol w:w="2072"/>
        <w:gridCol w:w="1358"/>
        <w:gridCol w:w="5981"/>
      </w:tblGrid>
      <w:tr w:rsidR="00000000">
        <w:tblPrEx>
          <w:tblCellMar>
            <w:top w:w="0" w:type="dxa"/>
          </w:tblCellMar>
        </w:tblPrEx>
        <w:trPr>
          <w:cantSplit/>
        </w:trPr>
        <w:tc>
          <w:tcPr>
            <w:tcW w:w="2072" w:type="dxa"/>
          </w:tcPr>
          <w:p w:rsidR="00000000" w:rsidRDefault="00000000">
            <w:pPr>
              <w:spacing w:line="240" w:lineRule="auto"/>
              <w:jc w:val="center"/>
            </w:pPr>
            <w:r>
              <w:t>Год</w:t>
            </w:r>
          </w:p>
        </w:tc>
        <w:tc>
          <w:tcPr>
            <w:tcW w:w="1358" w:type="dxa"/>
          </w:tcPr>
          <w:p w:rsidR="00000000" w:rsidRDefault="00000000">
            <w:pPr>
              <w:spacing w:line="240" w:lineRule="auto"/>
              <w:jc w:val="center"/>
            </w:pPr>
            <w:r>
              <w:t>Количество жалоб</w:t>
            </w:r>
          </w:p>
        </w:tc>
        <w:tc>
          <w:tcPr>
            <w:tcW w:w="5981" w:type="dxa"/>
          </w:tcPr>
          <w:p w:rsidR="00000000" w:rsidRDefault="00000000">
            <w:pPr>
              <w:spacing w:line="240" w:lineRule="auto"/>
              <w:jc w:val="center"/>
            </w:pPr>
            <w:r>
              <w:t>Решения</w:t>
            </w:r>
          </w:p>
        </w:tc>
      </w:tr>
      <w:tr w:rsidR="00000000">
        <w:tblPrEx>
          <w:tblCellMar>
            <w:top w:w="0" w:type="dxa"/>
          </w:tblCellMar>
        </w:tblPrEx>
        <w:trPr>
          <w:cantSplit/>
        </w:trPr>
        <w:tc>
          <w:tcPr>
            <w:tcW w:w="2072" w:type="dxa"/>
            <w:tcBorders>
              <w:bottom w:val="nil"/>
            </w:tcBorders>
          </w:tcPr>
          <w:p w:rsidR="00000000" w:rsidRDefault="00000000">
            <w:pPr>
              <w:spacing w:line="240" w:lineRule="auto"/>
            </w:pPr>
            <w:r>
              <w:t>2000 год (декабрь)</w:t>
            </w:r>
          </w:p>
        </w:tc>
        <w:tc>
          <w:tcPr>
            <w:tcW w:w="1358" w:type="dxa"/>
            <w:tcBorders>
              <w:bottom w:val="nil"/>
            </w:tcBorders>
          </w:tcPr>
          <w:p w:rsidR="00000000" w:rsidRDefault="00000000">
            <w:pPr>
              <w:spacing w:line="240" w:lineRule="auto"/>
              <w:jc w:val="center"/>
            </w:pPr>
            <w:r>
              <w:t xml:space="preserve">  6</w:t>
            </w:r>
          </w:p>
        </w:tc>
        <w:tc>
          <w:tcPr>
            <w:tcW w:w="5981" w:type="dxa"/>
            <w:tcBorders>
              <w:bottom w:val="nil"/>
            </w:tcBorders>
          </w:tcPr>
          <w:p w:rsidR="00000000" w:rsidRDefault="00000000">
            <w:pPr>
              <w:spacing w:line="240" w:lineRule="auto"/>
            </w:pPr>
            <w:r>
              <w:t>5 жалоб были удовлетворены в результате оказания консультативной помощи.  1 жалоба была разрешена в результате предложения о примирении.</w:t>
            </w:r>
          </w:p>
        </w:tc>
      </w:tr>
      <w:tr w:rsidR="00000000">
        <w:tblPrEx>
          <w:tblCellMar>
            <w:top w:w="0" w:type="dxa"/>
          </w:tblCellMar>
        </w:tblPrEx>
        <w:trPr>
          <w:cantSplit/>
        </w:trPr>
        <w:tc>
          <w:tcPr>
            <w:tcW w:w="2072" w:type="dxa"/>
            <w:tcBorders>
              <w:top w:val="nil"/>
              <w:bottom w:val="nil"/>
            </w:tcBorders>
          </w:tcPr>
          <w:p w:rsidR="00000000" w:rsidRDefault="00000000">
            <w:pPr>
              <w:spacing w:line="240" w:lineRule="auto"/>
            </w:pPr>
            <w:r>
              <w:t>2001 год</w:t>
            </w:r>
          </w:p>
        </w:tc>
        <w:tc>
          <w:tcPr>
            <w:tcW w:w="1358" w:type="dxa"/>
            <w:tcBorders>
              <w:top w:val="nil"/>
              <w:bottom w:val="nil"/>
            </w:tcBorders>
          </w:tcPr>
          <w:p w:rsidR="00000000" w:rsidRDefault="00000000">
            <w:pPr>
              <w:spacing w:line="240" w:lineRule="auto"/>
              <w:jc w:val="center"/>
            </w:pPr>
            <w:r>
              <w:t>32</w:t>
            </w:r>
          </w:p>
        </w:tc>
        <w:tc>
          <w:tcPr>
            <w:tcW w:w="5981" w:type="dxa"/>
            <w:tcBorders>
              <w:top w:val="nil"/>
              <w:bottom w:val="nil"/>
            </w:tcBorders>
          </w:tcPr>
          <w:p w:rsidR="00000000" w:rsidRDefault="00000000">
            <w:pPr>
              <w:spacing w:line="240" w:lineRule="auto"/>
            </w:pPr>
            <w:r>
              <w:t>18 жалоб были решены в результате оказания консультативной помощи;  2 жалобы в результате сделанных рекомендаций;  8 жалоб - в ходе разбирательства;  1 жалоба - в результате предложения о перемирии;  1 жалоба - в результате утраты заинтересованности подавшего жалобу лица;  1 жалоба - в результате отзыва жалобы и 1 жалоба была объединена в одно производство с другим делом.</w:t>
            </w:r>
          </w:p>
        </w:tc>
      </w:tr>
      <w:tr w:rsidR="00000000">
        <w:tblPrEx>
          <w:tblCellMar>
            <w:top w:w="0" w:type="dxa"/>
          </w:tblCellMar>
        </w:tblPrEx>
        <w:trPr>
          <w:cantSplit/>
        </w:trPr>
        <w:tc>
          <w:tcPr>
            <w:tcW w:w="2072" w:type="dxa"/>
            <w:tcBorders>
              <w:top w:val="nil"/>
              <w:bottom w:val="nil"/>
            </w:tcBorders>
          </w:tcPr>
          <w:p w:rsidR="00000000" w:rsidRDefault="00000000">
            <w:pPr>
              <w:spacing w:line="240" w:lineRule="auto"/>
            </w:pPr>
            <w:r>
              <w:t>2002 год</w:t>
            </w:r>
          </w:p>
        </w:tc>
        <w:tc>
          <w:tcPr>
            <w:tcW w:w="1358" w:type="dxa"/>
            <w:tcBorders>
              <w:top w:val="nil"/>
              <w:bottom w:val="nil"/>
            </w:tcBorders>
          </w:tcPr>
          <w:p w:rsidR="00000000" w:rsidRDefault="00000000">
            <w:pPr>
              <w:spacing w:line="240" w:lineRule="auto"/>
              <w:jc w:val="center"/>
            </w:pPr>
            <w:r>
              <w:t>24</w:t>
            </w:r>
          </w:p>
        </w:tc>
        <w:tc>
          <w:tcPr>
            <w:tcW w:w="5981" w:type="dxa"/>
            <w:tcBorders>
              <w:top w:val="nil"/>
              <w:bottom w:val="nil"/>
            </w:tcBorders>
          </w:tcPr>
          <w:p w:rsidR="00000000" w:rsidRDefault="00000000">
            <w:pPr>
              <w:spacing w:line="240" w:lineRule="auto"/>
            </w:pPr>
            <w:r>
              <w:t>2 жалобы были разрешены в результате утраты заинтересованности в них лиц, подавших жалобу;  6 жалоб были разрешены в ходе разбирательства;  15 - в результате оказания консультативной помощи;  и 1 жалоба - в результате сделанной рекомендации.  Однако следует указать, что, хотя последняя жалоба касалась убийства и жестокого обращения, она была подана в связи с применением пыток.</w:t>
            </w:r>
          </w:p>
        </w:tc>
      </w:tr>
      <w:tr w:rsidR="00000000">
        <w:tblPrEx>
          <w:tblCellMar>
            <w:top w:w="0" w:type="dxa"/>
          </w:tblCellMar>
        </w:tblPrEx>
        <w:trPr>
          <w:cantSplit/>
        </w:trPr>
        <w:tc>
          <w:tcPr>
            <w:tcW w:w="2072" w:type="dxa"/>
            <w:tcBorders>
              <w:top w:val="nil"/>
              <w:bottom w:val="nil"/>
            </w:tcBorders>
          </w:tcPr>
          <w:p w:rsidR="00000000" w:rsidRDefault="00000000">
            <w:pPr>
              <w:spacing w:line="240" w:lineRule="auto"/>
            </w:pPr>
            <w:r>
              <w:t>2003 год</w:t>
            </w:r>
          </w:p>
        </w:tc>
        <w:tc>
          <w:tcPr>
            <w:tcW w:w="1358" w:type="dxa"/>
            <w:tcBorders>
              <w:top w:val="nil"/>
              <w:bottom w:val="nil"/>
            </w:tcBorders>
          </w:tcPr>
          <w:p w:rsidR="00000000" w:rsidRDefault="00000000">
            <w:pPr>
              <w:spacing w:line="240" w:lineRule="auto"/>
              <w:jc w:val="center"/>
            </w:pPr>
            <w:r>
              <w:t xml:space="preserve">  6</w:t>
            </w:r>
          </w:p>
        </w:tc>
        <w:tc>
          <w:tcPr>
            <w:tcW w:w="5981" w:type="dxa"/>
            <w:tcBorders>
              <w:top w:val="nil"/>
              <w:bottom w:val="nil"/>
            </w:tcBorders>
          </w:tcPr>
          <w:p w:rsidR="00000000" w:rsidRDefault="00000000">
            <w:pPr>
              <w:spacing w:line="240" w:lineRule="auto"/>
            </w:pPr>
            <w:r>
              <w:t>Решение по одной жалобе было сделано в ходе произведенного разбирательства, а остальные жалобы - в результате оказания консультативной помощи.</w:t>
            </w:r>
          </w:p>
        </w:tc>
      </w:tr>
      <w:tr w:rsidR="00000000">
        <w:tblPrEx>
          <w:tblCellMar>
            <w:top w:w="0" w:type="dxa"/>
          </w:tblCellMar>
        </w:tblPrEx>
        <w:trPr>
          <w:cantSplit/>
        </w:trPr>
        <w:tc>
          <w:tcPr>
            <w:tcW w:w="2072" w:type="dxa"/>
            <w:tcBorders>
              <w:top w:val="nil"/>
            </w:tcBorders>
          </w:tcPr>
          <w:p w:rsidR="00000000" w:rsidRDefault="00000000">
            <w:pPr>
              <w:spacing w:line="240" w:lineRule="auto"/>
            </w:pPr>
            <w:r>
              <w:t>2004 год (сентябрь)</w:t>
            </w:r>
          </w:p>
        </w:tc>
        <w:tc>
          <w:tcPr>
            <w:tcW w:w="1358" w:type="dxa"/>
            <w:tcBorders>
              <w:top w:val="nil"/>
            </w:tcBorders>
          </w:tcPr>
          <w:p w:rsidR="00000000" w:rsidRDefault="00000000">
            <w:pPr>
              <w:spacing w:line="240" w:lineRule="auto"/>
              <w:jc w:val="center"/>
            </w:pPr>
            <w:r>
              <w:t>14</w:t>
            </w:r>
          </w:p>
        </w:tc>
        <w:tc>
          <w:tcPr>
            <w:tcW w:w="5981" w:type="dxa"/>
            <w:tcBorders>
              <w:top w:val="nil"/>
            </w:tcBorders>
          </w:tcPr>
          <w:p w:rsidR="00000000" w:rsidRDefault="00000000">
            <w:pPr>
              <w:spacing w:line="240" w:lineRule="auto"/>
            </w:pPr>
            <w:r>
              <w:t>8 жалоб были разрешены в результате оказания консультативной помощи;  3 были объединены в одно производство и в отношении еще 3 жалоб проводится разбирательство.</w:t>
            </w:r>
          </w:p>
        </w:tc>
      </w:tr>
    </w:tbl>
    <w:p w:rsidR="00000000" w:rsidRDefault="00000000">
      <w:r>
        <w:t>245.</w:t>
      </w:r>
      <w:r>
        <w:tab/>
        <w:t>Национальная комиссия по правам человека сообщила, что в течение 2003 года генеральные инспекторы квалифицировали 13 жалоб как дела, связанные с применением пыток, виновными в которых, вероятно, являются государственные должностные лица, которые являются сотрудниками следующих ведомств</w:t>
      </w:r>
      <w:r>
        <w:rPr>
          <w:rStyle w:val="EndnoteReference"/>
        </w:rPr>
        <w:endnoteReference w:id="96"/>
      </w:r>
      <w:r>
        <w:t>:</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bottom w:w="170" w:type="dxa"/>
          <w:right w:w="28" w:type="dxa"/>
        </w:tblCellMar>
        <w:tblLook w:val="0000" w:firstRow="0" w:lastRow="0" w:firstColumn="0" w:lastColumn="0" w:noHBand="0" w:noVBand="0"/>
      </w:tblPr>
      <w:tblGrid>
        <w:gridCol w:w="7502"/>
        <w:gridCol w:w="1908"/>
      </w:tblGrid>
      <w:tr w:rsidR="00000000">
        <w:tblPrEx>
          <w:tblCellMar>
            <w:top w:w="0" w:type="dxa"/>
          </w:tblCellMar>
        </w:tblPrEx>
        <w:trPr>
          <w:cantSplit/>
        </w:trPr>
        <w:tc>
          <w:tcPr>
            <w:tcW w:w="7502" w:type="dxa"/>
            <w:tcBorders>
              <w:left w:val="single" w:sz="4" w:space="0" w:color="auto"/>
              <w:bottom w:val="single" w:sz="4" w:space="0" w:color="auto"/>
            </w:tcBorders>
          </w:tcPr>
          <w:p w:rsidR="00000000" w:rsidRDefault="00000000">
            <w:pPr>
              <w:spacing w:line="240" w:lineRule="auto"/>
              <w:jc w:val="center"/>
            </w:pPr>
            <w:r>
              <w:t>Учреждение</w:t>
            </w:r>
          </w:p>
        </w:tc>
        <w:tc>
          <w:tcPr>
            <w:tcW w:w="1908" w:type="dxa"/>
            <w:tcBorders>
              <w:bottom w:val="single" w:sz="4" w:space="0" w:color="auto"/>
              <w:right w:val="single" w:sz="4" w:space="0" w:color="auto"/>
            </w:tcBorders>
          </w:tcPr>
          <w:p w:rsidR="00000000" w:rsidRDefault="00000000">
            <w:pPr>
              <w:spacing w:line="240" w:lineRule="auto"/>
              <w:jc w:val="center"/>
            </w:pPr>
            <w:r>
              <w:t>Число указанных случаев</w:t>
            </w:r>
          </w:p>
        </w:tc>
      </w:tr>
      <w:tr w:rsidR="00000000">
        <w:tblPrEx>
          <w:tblCellMar>
            <w:top w:w="0" w:type="dxa"/>
          </w:tblCellMar>
        </w:tblPrEx>
        <w:trPr>
          <w:cantSplit/>
        </w:trPr>
        <w:tc>
          <w:tcPr>
            <w:tcW w:w="7502" w:type="dxa"/>
            <w:tcBorders>
              <w:left w:val="single" w:sz="4" w:space="0" w:color="auto"/>
              <w:bottom w:val="nil"/>
            </w:tcBorders>
          </w:tcPr>
          <w:p w:rsidR="00000000" w:rsidRDefault="00000000">
            <w:pPr>
              <w:spacing w:line="240" w:lineRule="auto"/>
            </w:pPr>
            <w:r>
              <w:t>Генеральная прокуратура Республики</w:t>
            </w:r>
          </w:p>
        </w:tc>
        <w:tc>
          <w:tcPr>
            <w:tcW w:w="1908" w:type="dxa"/>
            <w:tcBorders>
              <w:bottom w:val="nil"/>
              <w:right w:val="single" w:sz="4" w:space="0" w:color="auto"/>
            </w:tcBorders>
          </w:tcPr>
          <w:p w:rsidR="00000000" w:rsidRDefault="00000000">
            <w:pPr>
              <w:tabs>
                <w:tab w:val="clear" w:pos="567"/>
                <w:tab w:val="right" w:pos="1003"/>
              </w:tabs>
              <w:spacing w:line="240" w:lineRule="auto"/>
            </w:pPr>
            <w:r>
              <w:tab/>
              <w:t>10</w:t>
            </w:r>
          </w:p>
        </w:tc>
      </w:tr>
      <w:tr w:rsidR="00000000">
        <w:tblPrEx>
          <w:tblCellMar>
            <w:top w:w="0" w:type="dxa"/>
          </w:tblCellMar>
        </w:tblPrEx>
        <w:trPr>
          <w:cantSplit/>
        </w:trPr>
        <w:tc>
          <w:tcPr>
            <w:tcW w:w="7502" w:type="dxa"/>
            <w:tcBorders>
              <w:top w:val="nil"/>
              <w:left w:val="single" w:sz="4" w:space="0" w:color="auto"/>
              <w:bottom w:val="nil"/>
            </w:tcBorders>
          </w:tcPr>
          <w:p w:rsidR="00000000" w:rsidRDefault="00000000">
            <w:pPr>
              <w:spacing w:line="240" w:lineRule="auto"/>
            </w:pPr>
            <w:r>
              <w:t>Министерство национальной обороны</w:t>
            </w:r>
          </w:p>
        </w:tc>
        <w:tc>
          <w:tcPr>
            <w:tcW w:w="1908" w:type="dxa"/>
            <w:tcBorders>
              <w:top w:val="nil"/>
              <w:bottom w:val="nil"/>
              <w:right w:val="single" w:sz="4" w:space="0" w:color="auto"/>
            </w:tcBorders>
          </w:tcPr>
          <w:p w:rsidR="00000000" w:rsidRDefault="00000000">
            <w:pPr>
              <w:tabs>
                <w:tab w:val="clear" w:pos="567"/>
                <w:tab w:val="right" w:pos="1003"/>
              </w:tabs>
              <w:spacing w:line="240" w:lineRule="auto"/>
              <w:jc w:val="center"/>
            </w:pPr>
            <w:r>
              <w:t>5</w:t>
            </w:r>
          </w:p>
        </w:tc>
      </w:tr>
      <w:tr w:rsidR="00000000">
        <w:tblPrEx>
          <w:tblCellMar>
            <w:top w:w="0" w:type="dxa"/>
          </w:tblCellMar>
        </w:tblPrEx>
        <w:trPr>
          <w:cantSplit/>
        </w:trPr>
        <w:tc>
          <w:tcPr>
            <w:tcW w:w="7502" w:type="dxa"/>
            <w:tcBorders>
              <w:top w:val="nil"/>
              <w:left w:val="single" w:sz="4" w:space="0" w:color="auto"/>
              <w:bottom w:val="nil"/>
            </w:tcBorders>
          </w:tcPr>
          <w:p w:rsidR="00000000" w:rsidRDefault="00000000">
            <w:pPr>
              <w:spacing w:line="240" w:lineRule="auto"/>
            </w:pPr>
            <w:r>
              <w:t>Генеральная прокуратура штата Чиуауа</w:t>
            </w:r>
          </w:p>
        </w:tc>
        <w:tc>
          <w:tcPr>
            <w:tcW w:w="1908" w:type="dxa"/>
            <w:tcBorders>
              <w:top w:val="nil"/>
              <w:bottom w:val="nil"/>
              <w:right w:val="single" w:sz="4" w:space="0" w:color="auto"/>
            </w:tcBorders>
          </w:tcPr>
          <w:p w:rsidR="00000000" w:rsidRDefault="00000000">
            <w:pPr>
              <w:tabs>
                <w:tab w:val="clear" w:pos="567"/>
                <w:tab w:val="right" w:pos="1003"/>
              </w:tabs>
              <w:spacing w:line="240" w:lineRule="auto"/>
              <w:jc w:val="center"/>
            </w:pPr>
            <w:r>
              <w:t>2</w:t>
            </w:r>
          </w:p>
        </w:tc>
      </w:tr>
      <w:tr w:rsidR="00000000">
        <w:tblPrEx>
          <w:tblCellMar>
            <w:top w:w="0" w:type="dxa"/>
          </w:tblCellMar>
        </w:tblPrEx>
        <w:trPr>
          <w:cantSplit/>
        </w:trPr>
        <w:tc>
          <w:tcPr>
            <w:tcW w:w="7502" w:type="dxa"/>
            <w:tcBorders>
              <w:top w:val="nil"/>
              <w:left w:val="single" w:sz="4" w:space="0" w:color="auto"/>
              <w:bottom w:val="nil"/>
            </w:tcBorders>
          </w:tcPr>
          <w:p w:rsidR="00000000" w:rsidRDefault="00000000">
            <w:pPr>
              <w:spacing w:line="240" w:lineRule="auto"/>
            </w:pPr>
            <w:r>
              <w:t>Национальный институт по миграции министерства внутренних дел</w:t>
            </w:r>
          </w:p>
        </w:tc>
        <w:tc>
          <w:tcPr>
            <w:tcW w:w="1908" w:type="dxa"/>
            <w:tcBorders>
              <w:top w:val="nil"/>
              <w:bottom w:val="nil"/>
              <w:right w:val="single" w:sz="4" w:space="0" w:color="auto"/>
            </w:tcBorders>
          </w:tcPr>
          <w:p w:rsidR="00000000" w:rsidRDefault="00000000">
            <w:pPr>
              <w:tabs>
                <w:tab w:val="clear" w:pos="567"/>
                <w:tab w:val="right" w:pos="1003"/>
              </w:tabs>
              <w:spacing w:line="240" w:lineRule="auto"/>
              <w:jc w:val="center"/>
              <w:rPr>
                <w:lang w:val="fr-FR"/>
              </w:rPr>
            </w:pPr>
            <w:r>
              <w:rPr>
                <w:lang w:val="fr-FR"/>
              </w:rPr>
              <w:t>2</w:t>
            </w:r>
          </w:p>
        </w:tc>
      </w:tr>
      <w:tr w:rsidR="00000000">
        <w:tblPrEx>
          <w:tblCellMar>
            <w:top w:w="0" w:type="dxa"/>
          </w:tblCellMar>
        </w:tblPrEx>
        <w:trPr>
          <w:cantSplit/>
        </w:trPr>
        <w:tc>
          <w:tcPr>
            <w:tcW w:w="7502" w:type="dxa"/>
            <w:tcBorders>
              <w:top w:val="nil"/>
              <w:left w:val="single" w:sz="4" w:space="0" w:color="auto"/>
              <w:bottom w:val="nil"/>
            </w:tcBorders>
          </w:tcPr>
          <w:p w:rsidR="00000000" w:rsidRDefault="00000000">
            <w:pPr>
              <w:spacing w:line="240" w:lineRule="auto"/>
            </w:pPr>
            <w:r>
              <w:t>Муниципальный совет г. Хуареса, Чиуауа</w:t>
            </w:r>
          </w:p>
        </w:tc>
        <w:tc>
          <w:tcPr>
            <w:tcW w:w="1908" w:type="dxa"/>
            <w:tcBorders>
              <w:top w:val="nil"/>
              <w:bottom w:val="nil"/>
              <w:right w:val="single" w:sz="4" w:space="0" w:color="auto"/>
            </w:tcBorders>
          </w:tcPr>
          <w:p w:rsidR="00000000" w:rsidRDefault="00000000">
            <w:pPr>
              <w:tabs>
                <w:tab w:val="clear" w:pos="567"/>
                <w:tab w:val="right" w:pos="825"/>
              </w:tabs>
              <w:spacing w:line="240" w:lineRule="auto"/>
              <w:jc w:val="center"/>
            </w:pPr>
            <w:r>
              <w:t>1</w:t>
            </w:r>
          </w:p>
        </w:tc>
      </w:tr>
      <w:tr w:rsidR="00000000">
        <w:tblPrEx>
          <w:tblCellMar>
            <w:top w:w="0" w:type="dxa"/>
          </w:tblCellMar>
        </w:tblPrEx>
        <w:trPr>
          <w:cantSplit/>
        </w:trPr>
        <w:tc>
          <w:tcPr>
            <w:tcW w:w="7502" w:type="dxa"/>
            <w:tcBorders>
              <w:top w:val="nil"/>
              <w:left w:val="single" w:sz="4" w:space="0" w:color="auto"/>
              <w:bottom w:val="nil"/>
            </w:tcBorders>
          </w:tcPr>
          <w:p w:rsidR="00000000" w:rsidRDefault="00000000">
            <w:pPr>
              <w:spacing w:line="240" w:lineRule="auto"/>
            </w:pPr>
            <w:r>
              <w:t>Муниципальный совет г. Тихуаны, Н. К.</w:t>
            </w:r>
          </w:p>
        </w:tc>
        <w:tc>
          <w:tcPr>
            <w:tcW w:w="1908" w:type="dxa"/>
            <w:tcBorders>
              <w:top w:val="nil"/>
              <w:bottom w:val="nil"/>
              <w:right w:val="single" w:sz="4" w:space="0" w:color="auto"/>
            </w:tcBorders>
          </w:tcPr>
          <w:p w:rsidR="00000000" w:rsidRDefault="00000000">
            <w:pPr>
              <w:tabs>
                <w:tab w:val="clear" w:pos="567"/>
                <w:tab w:val="right" w:pos="825"/>
              </w:tabs>
              <w:spacing w:line="240" w:lineRule="auto"/>
              <w:jc w:val="center"/>
              <w:rPr>
                <w:lang w:val="fr-FR"/>
              </w:rPr>
            </w:pPr>
            <w:r>
              <w:rPr>
                <w:lang w:val="fr-FR"/>
              </w:rPr>
              <w:t>1</w:t>
            </w:r>
          </w:p>
        </w:tc>
      </w:tr>
      <w:tr w:rsidR="00000000">
        <w:tblPrEx>
          <w:tblCellMar>
            <w:top w:w="0" w:type="dxa"/>
          </w:tblCellMar>
        </w:tblPrEx>
        <w:trPr>
          <w:cantSplit/>
        </w:trPr>
        <w:tc>
          <w:tcPr>
            <w:tcW w:w="7502" w:type="dxa"/>
            <w:tcBorders>
              <w:top w:val="nil"/>
              <w:left w:val="single" w:sz="4" w:space="0" w:color="auto"/>
              <w:bottom w:val="nil"/>
            </w:tcBorders>
          </w:tcPr>
          <w:p w:rsidR="00000000" w:rsidRDefault="00000000">
            <w:pPr>
              <w:spacing w:line="240" w:lineRule="auto"/>
            </w:pPr>
            <w:r>
              <w:t>Федеральная судебная полиция</w:t>
            </w:r>
          </w:p>
        </w:tc>
        <w:tc>
          <w:tcPr>
            <w:tcW w:w="1908" w:type="dxa"/>
            <w:tcBorders>
              <w:top w:val="nil"/>
              <w:bottom w:val="nil"/>
              <w:right w:val="single" w:sz="4" w:space="0" w:color="auto"/>
            </w:tcBorders>
          </w:tcPr>
          <w:p w:rsidR="00000000" w:rsidRDefault="00000000">
            <w:pPr>
              <w:tabs>
                <w:tab w:val="clear" w:pos="567"/>
                <w:tab w:val="right" w:pos="825"/>
              </w:tabs>
              <w:spacing w:line="240" w:lineRule="auto"/>
              <w:jc w:val="center"/>
            </w:pPr>
            <w:r>
              <w:t>1</w:t>
            </w:r>
          </w:p>
        </w:tc>
      </w:tr>
      <w:tr w:rsidR="00000000">
        <w:tblPrEx>
          <w:tblCellMar>
            <w:top w:w="0" w:type="dxa"/>
          </w:tblCellMar>
        </w:tblPrEx>
        <w:trPr>
          <w:cantSplit/>
        </w:trPr>
        <w:tc>
          <w:tcPr>
            <w:tcW w:w="7502" w:type="dxa"/>
            <w:tcBorders>
              <w:top w:val="nil"/>
              <w:left w:val="single" w:sz="4" w:space="0" w:color="auto"/>
              <w:bottom w:val="single" w:sz="4" w:space="0" w:color="auto"/>
            </w:tcBorders>
          </w:tcPr>
          <w:p w:rsidR="00000000" w:rsidRDefault="00000000">
            <w:pPr>
              <w:spacing w:line="240" w:lineRule="auto"/>
            </w:pPr>
            <w:r>
              <w:t>Генеральная прокуратура штата Нижняя Калифорния</w:t>
            </w:r>
          </w:p>
        </w:tc>
        <w:tc>
          <w:tcPr>
            <w:tcW w:w="1908" w:type="dxa"/>
            <w:tcBorders>
              <w:top w:val="nil"/>
              <w:bottom w:val="single" w:sz="4" w:space="0" w:color="auto"/>
              <w:right w:val="single" w:sz="4" w:space="0" w:color="auto"/>
            </w:tcBorders>
          </w:tcPr>
          <w:p w:rsidR="00000000" w:rsidRDefault="00000000">
            <w:pPr>
              <w:tabs>
                <w:tab w:val="clear" w:pos="567"/>
                <w:tab w:val="right" w:pos="825"/>
              </w:tabs>
              <w:spacing w:line="240" w:lineRule="auto"/>
              <w:jc w:val="center"/>
              <w:rPr>
                <w:lang w:val="fr-FR"/>
              </w:rPr>
            </w:pPr>
            <w:r>
              <w:rPr>
                <w:lang w:val="fr-FR"/>
              </w:rPr>
              <w:t>1</w:t>
            </w:r>
          </w:p>
        </w:tc>
      </w:tr>
      <w:tr w:rsidR="00000000">
        <w:tblPrEx>
          <w:tblCellMar>
            <w:top w:w="0" w:type="dxa"/>
          </w:tblCellMar>
        </w:tblPrEx>
        <w:trPr>
          <w:cantSplit/>
        </w:trPr>
        <w:tc>
          <w:tcPr>
            <w:tcW w:w="7502" w:type="dxa"/>
            <w:tcBorders>
              <w:top w:val="single" w:sz="4" w:space="0" w:color="auto"/>
              <w:left w:val="single" w:sz="4" w:space="0" w:color="auto"/>
              <w:bottom w:val="single" w:sz="4" w:space="0" w:color="auto"/>
            </w:tcBorders>
          </w:tcPr>
          <w:p w:rsidR="00000000" w:rsidRDefault="00000000">
            <w:pPr>
              <w:spacing w:line="240" w:lineRule="auto"/>
              <w:rPr>
                <w:b/>
                <w:bCs/>
                <w:lang w:val="fr-FR"/>
              </w:rPr>
            </w:pPr>
            <w:r>
              <w:rPr>
                <w:b/>
                <w:bCs/>
              </w:rPr>
              <w:tab/>
              <w:t>Всего</w:t>
            </w:r>
          </w:p>
        </w:tc>
        <w:tc>
          <w:tcPr>
            <w:tcW w:w="1908" w:type="dxa"/>
            <w:tcBorders>
              <w:top w:val="single" w:sz="4" w:space="0" w:color="auto"/>
              <w:bottom w:val="single" w:sz="4" w:space="0" w:color="auto"/>
              <w:right w:val="single" w:sz="4" w:space="0" w:color="auto"/>
            </w:tcBorders>
          </w:tcPr>
          <w:p w:rsidR="00000000" w:rsidRDefault="00000000">
            <w:pPr>
              <w:tabs>
                <w:tab w:val="clear" w:pos="567"/>
                <w:tab w:val="right" w:pos="1003"/>
              </w:tabs>
              <w:spacing w:line="240" w:lineRule="auto"/>
              <w:rPr>
                <w:lang w:val="fr-FR"/>
              </w:rPr>
            </w:pPr>
            <w:r>
              <w:tab/>
            </w:r>
            <w:r>
              <w:rPr>
                <w:lang w:val="fr-FR"/>
              </w:rPr>
              <w:t>23</w:t>
            </w:r>
          </w:p>
        </w:tc>
      </w:tr>
    </w:tbl>
    <w:p w:rsidR="00000000" w:rsidRDefault="00000000">
      <w:pPr>
        <w:rPr>
          <w:lang w:val="fr-FR"/>
        </w:rPr>
      </w:pPr>
    </w:p>
    <w:p w:rsidR="00000000" w:rsidRDefault="00000000">
      <w:pPr>
        <w:jc w:val="both"/>
      </w:pPr>
      <w:r>
        <w:t>246.</w:t>
      </w:r>
      <w:r>
        <w:tab/>
        <w:t>Ниже в таблице указано, как были урегулированы жалобы, которые были получены с 1997 по 2003 год:</w:t>
      </w:r>
    </w:p>
    <w:p w:rsidR="00000000" w:rsidRDefault="00000000">
      <w:pPr>
        <w:spacing w:line="240" w:lineRule="auto"/>
        <w:jc w:val="both"/>
        <w:rPr>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778"/>
        <w:gridCol w:w="1330"/>
        <w:gridCol w:w="6302"/>
      </w:tblGrid>
      <w:tr w:rsidR="00000000">
        <w:trPr>
          <w:tblHeader/>
        </w:trPr>
        <w:tc>
          <w:tcPr>
            <w:tcW w:w="1778" w:type="dxa"/>
          </w:tcPr>
          <w:p w:rsidR="00000000" w:rsidRDefault="00000000">
            <w:pPr>
              <w:spacing w:line="240" w:lineRule="auto"/>
              <w:jc w:val="center"/>
              <w:rPr>
                <w:bCs/>
                <w:lang w:val="es-MX"/>
              </w:rPr>
            </w:pPr>
            <w:r>
              <w:rPr>
                <w:lang w:val="es-MX"/>
              </w:rPr>
              <w:br w:type="page"/>
            </w:r>
            <w:r>
              <w:rPr>
                <w:bCs/>
                <w:lang w:val="es-MX"/>
              </w:rPr>
              <w:t>Комиссия</w:t>
            </w:r>
          </w:p>
        </w:tc>
        <w:tc>
          <w:tcPr>
            <w:tcW w:w="1330" w:type="dxa"/>
          </w:tcPr>
          <w:p w:rsidR="00000000" w:rsidRDefault="00000000">
            <w:pPr>
              <w:spacing w:line="240" w:lineRule="auto"/>
              <w:jc w:val="center"/>
              <w:rPr>
                <w:bCs/>
                <w:lang w:val="es-MX"/>
              </w:rPr>
            </w:pPr>
            <w:r>
              <w:rPr>
                <w:bCs/>
                <w:lang w:val="es-MX"/>
              </w:rPr>
              <w:t>Число полученных жалоб</w:t>
            </w:r>
            <w:r>
              <w:rPr>
                <w:rStyle w:val="EndnoteReference"/>
                <w:bCs/>
                <w:lang w:val="es-MX"/>
              </w:rPr>
              <w:endnoteReference w:id="97"/>
            </w:r>
          </w:p>
        </w:tc>
        <w:tc>
          <w:tcPr>
            <w:tcW w:w="6302" w:type="dxa"/>
          </w:tcPr>
          <w:p w:rsidR="00000000" w:rsidRDefault="00000000">
            <w:pPr>
              <w:spacing w:line="240" w:lineRule="auto"/>
              <w:jc w:val="center"/>
              <w:rPr>
                <w:bCs/>
                <w:lang w:val="es-MX"/>
              </w:rPr>
            </w:pPr>
            <w:r>
              <w:rPr>
                <w:bCs/>
              </w:rPr>
              <w:t>Решение</w:t>
            </w:r>
          </w:p>
        </w:tc>
      </w:tr>
      <w:tr w:rsidR="00000000">
        <w:tc>
          <w:tcPr>
            <w:tcW w:w="1778" w:type="dxa"/>
            <w:tcBorders>
              <w:bottom w:val="nil"/>
            </w:tcBorders>
          </w:tcPr>
          <w:p w:rsidR="00000000" w:rsidRDefault="00000000">
            <w:pPr>
              <w:spacing w:line="240" w:lineRule="auto"/>
              <w:rPr>
                <w:lang w:val="es-MX"/>
              </w:rPr>
            </w:pPr>
            <w:r>
              <w:t>Национальная комиссия по правам человека</w:t>
            </w:r>
          </w:p>
        </w:tc>
        <w:tc>
          <w:tcPr>
            <w:tcW w:w="1330" w:type="dxa"/>
            <w:tcBorders>
              <w:bottom w:val="nil"/>
            </w:tcBorders>
          </w:tcPr>
          <w:p w:rsidR="00000000" w:rsidRDefault="00000000">
            <w:pPr>
              <w:spacing w:line="240" w:lineRule="auto"/>
              <w:jc w:val="center"/>
              <w:rPr>
                <w:lang w:val="es-MX"/>
              </w:rPr>
            </w:pPr>
            <w:r>
              <w:rPr>
                <w:lang w:val="es-MX"/>
              </w:rPr>
              <w:t>104</w:t>
            </w:r>
          </w:p>
        </w:tc>
        <w:tc>
          <w:tcPr>
            <w:tcW w:w="6302" w:type="dxa"/>
            <w:vAlign w:val="center"/>
          </w:tcPr>
          <w:p w:rsidR="00000000" w:rsidRDefault="00000000">
            <w:pPr>
              <w:spacing w:line="240" w:lineRule="auto"/>
            </w:pPr>
            <w:r>
              <w:rPr>
                <w:lang w:val="es-MX"/>
              </w:rPr>
              <w:t xml:space="preserve">30 </w:t>
            </w:r>
            <w:r>
              <w:t>дел разрешены в результате объединения их в одно производство с другими жалобами</w:t>
            </w:r>
          </w:p>
          <w:p w:rsidR="00000000" w:rsidRDefault="00000000">
            <w:pPr>
              <w:spacing w:line="120" w:lineRule="auto"/>
            </w:pPr>
          </w:p>
          <w:p w:rsidR="00000000" w:rsidRDefault="00000000">
            <w:pPr>
              <w:spacing w:line="240" w:lineRule="auto"/>
              <w:rPr>
                <w:lang w:val="es-MX"/>
              </w:rPr>
            </w:pPr>
            <w:r>
              <w:t>18 - в результате оказания консультативной помощи</w:t>
            </w:r>
          </w:p>
          <w:p w:rsidR="00000000" w:rsidRDefault="00000000">
            <w:pPr>
              <w:spacing w:line="120" w:lineRule="auto"/>
            </w:pPr>
          </w:p>
          <w:p w:rsidR="00000000" w:rsidRDefault="00000000">
            <w:pPr>
              <w:spacing w:line="240" w:lineRule="auto"/>
              <w:rPr>
                <w:lang w:val="es-MX"/>
              </w:rPr>
            </w:pPr>
            <w:r>
              <w:rPr>
                <w:lang w:val="es-MX"/>
              </w:rPr>
              <w:t xml:space="preserve">15 </w:t>
            </w:r>
            <w:r>
              <w:t>- в результате проведения разбирательства</w:t>
            </w:r>
          </w:p>
          <w:p w:rsidR="00000000" w:rsidRDefault="00000000">
            <w:pPr>
              <w:spacing w:line="120" w:lineRule="auto"/>
            </w:pPr>
          </w:p>
          <w:p w:rsidR="00000000" w:rsidRDefault="00000000">
            <w:pPr>
              <w:spacing w:line="240" w:lineRule="auto"/>
              <w:rPr>
                <w:lang w:val="es-MX"/>
              </w:rPr>
            </w:pPr>
            <w:r>
              <w:rPr>
                <w:lang w:val="es-MX"/>
              </w:rPr>
              <w:t xml:space="preserve">13 </w:t>
            </w:r>
            <w:r>
              <w:t>- в результате данных рекомендаций</w:t>
            </w:r>
          </w:p>
          <w:p w:rsidR="00000000" w:rsidRDefault="00000000">
            <w:pPr>
              <w:spacing w:line="120" w:lineRule="auto"/>
            </w:pPr>
          </w:p>
          <w:p w:rsidR="00000000" w:rsidRDefault="00000000">
            <w:pPr>
              <w:spacing w:line="240" w:lineRule="auto"/>
              <w:rPr>
                <w:lang w:val="es-MX"/>
              </w:rPr>
            </w:pPr>
            <w:r>
              <w:rPr>
                <w:lang w:val="es-MX"/>
              </w:rPr>
              <w:t xml:space="preserve">9 </w:t>
            </w:r>
            <w:r>
              <w:t>- в результате примирения сторон</w:t>
            </w:r>
          </w:p>
          <w:p w:rsidR="00000000" w:rsidRDefault="00000000">
            <w:pPr>
              <w:spacing w:line="120" w:lineRule="auto"/>
            </w:pPr>
          </w:p>
          <w:p w:rsidR="00000000" w:rsidRDefault="00000000">
            <w:pPr>
              <w:spacing w:line="240" w:lineRule="auto"/>
              <w:rPr>
                <w:lang w:val="es-MX"/>
              </w:rPr>
            </w:pPr>
            <w:r>
              <w:rPr>
                <w:lang w:val="es-MX"/>
              </w:rPr>
              <w:t xml:space="preserve">4 </w:t>
            </w:r>
            <w:r>
              <w:t>- в результате передачи на рассмотрение комиссии штата</w:t>
            </w:r>
          </w:p>
          <w:p w:rsidR="00000000" w:rsidRDefault="00000000">
            <w:pPr>
              <w:spacing w:line="120" w:lineRule="auto"/>
            </w:pPr>
          </w:p>
          <w:p w:rsidR="00000000" w:rsidRDefault="00000000">
            <w:pPr>
              <w:spacing w:line="240" w:lineRule="auto"/>
              <w:rPr>
                <w:lang w:val="es-MX"/>
              </w:rPr>
            </w:pPr>
            <w:r>
              <w:rPr>
                <w:lang w:val="es-MX"/>
              </w:rPr>
              <w:t xml:space="preserve">3 </w:t>
            </w:r>
            <w:r>
              <w:t>- в результате отзыва жалобы</w:t>
            </w:r>
          </w:p>
          <w:p w:rsidR="00000000" w:rsidRDefault="00000000">
            <w:pPr>
              <w:spacing w:line="120" w:lineRule="auto"/>
            </w:pPr>
          </w:p>
          <w:p w:rsidR="00000000" w:rsidRDefault="00000000">
            <w:pPr>
              <w:keepNext/>
              <w:spacing w:line="240" w:lineRule="auto"/>
              <w:rPr>
                <w:lang w:val="es-MX"/>
              </w:rPr>
            </w:pPr>
            <w:r>
              <w:rPr>
                <w:lang w:val="es-MX"/>
              </w:rPr>
              <w:t xml:space="preserve">3 </w:t>
            </w:r>
            <w:r>
              <w:t>- в результате утраты заинтересованности подавшего жалобу лица</w:t>
            </w:r>
          </w:p>
          <w:p w:rsidR="00000000" w:rsidRDefault="00000000">
            <w:pPr>
              <w:spacing w:line="120" w:lineRule="auto"/>
            </w:pPr>
          </w:p>
          <w:p w:rsidR="00000000" w:rsidRDefault="00000000">
            <w:pPr>
              <w:spacing w:line="240" w:lineRule="auto"/>
              <w:rPr>
                <w:b/>
                <w:lang w:val="es-MX"/>
              </w:rPr>
            </w:pPr>
            <w:r>
              <w:rPr>
                <w:lang w:val="es-MX"/>
              </w:rPr>
              <w:t xml:space="preserve">1 </w:t>
            </w:r>
            <w:r>
              <w:t>- из-за отсутствия вины органа власти</w:t>
            </w:r>
          </w:p>
        </w:tc>
      </w:tr>
      <w:tr w:rsidR="00000000">
        <w:tc>
          <w:tcPr>
            <w:tcW w:w="1778" w:type="dxa"/>
            <w:tcBorders>
              <w:top w:val="nil"/>
            </w:tcBorders>
            <w:vAlign w:val="center"/>
          </w:tcPr>
          <w:p w:rsidR="00000000" w:rsidRDefault="00000000">
            <w:pPr>
              <w:spacing w:line="240" w:lineRule="auto"/>
              <w:rPr>
                <w:bCs/>
              </w:rPr>
            </w:pPr>
          </w:p>
        </w:tc>
        <w:tc>
          <w:tcPr>
            <w:tcW w:w="1330" w:type="dxa"/>
            <w:tcBorders>
              <w:top w:val="nil"/>
            </w:tcBorders>
            <w:vAlign w:val="center"/>
          </w:tcPr>
          <w:p w:rsidR="00000000" w:rsidRDefault="00000000">
            <w:pPr>
              <w:spacing w:line="240" w:lineRule="auto"/>
              <w:jc w:val="center"/>
              <w:rPr>
                <w:bCs/>
                <w:lang w:val="es-MX"/>
              </w:rPr>
            </w:pPr>
          </w:p>
        </w:tc>
        <w:tc>
          <w:tcPr>
            <w:tcW w:w="6302" w:type="dxa"/>
            <w:vAlign w:val="center"/>
          </w:tcPr>
          <w:p w:rsidR="00000000" w:rsidRDefault="00000000">
            <w:pPr>
              <w:spacing w:line="240" w:lineRule="auto"/>
              <w:rPr>
                <w:bCs/>
                <w:lang w:val="es-MX"/>
              </w:rPr>
            </w:pPr>
            <w:r>
              <w:rPr>
                <w:bCs/>
                <w:lang w:val="es-MX"/>
              </w:rPr>
              <w:t>Всего</w:t>
            </w:r>
            <w:r>
              <w:rPr>
                <w:bCs/>
              </w:rPr>
              <w:t xml:space="preserve">: </w:t>
            </w:r>
            <w:r>
              <w:rPr>
                <w:bCs/>
                <w:lang w:val="es-MX"/>
              </w:rPr>
              <w:t xml:space="preserve"> 96</w:t>
            </w:r>
          </w:p>
        </w:tc>
      </w:tr>
    </w:tbl>
    <w:p w:rsidR="00000000" w:rsidRDefault="00000000"/>
    <w:p w:rsidR="00000000" w:rsidRDefault="00000000">
      <w:r>
        <w:t>247.</w:t>
      </w:r>
      <w:r>
        <w:tab/>
        <w:t>В нижеследующей таблице приводятся данные о жалобах, поданных на жестокое и/или унижающее достоинство человека обращение, которые были получены с 1997 по 2003 год.</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764"/>
        <w:gridCol w:w="1330"/>
        <w:gridCol w:w="6316"/>
      </w:tblGrid>
      <w:tr w:rsidR="00000000">
        <w:trPr>
          <w:cantSplit/>
        </w:trPr>
        <w:tc>
          <w:tcPr>
            <w:tcW w:w="1764" w:type="dxa"/>
          </w:tcPr>
          <w:p w:rsidR="00000000" w:rsidRDefault="00000000">
            <w:pPr>
              <w:spacing w:line="240" w:lineRule="auto"/>
              <w:jc w:val="center"/>
              <w:rPr>
                <w:bCs/>
                <w:lang w:val="es-MX"/>
              </w:rPr>
            </w:pPr>
            <w:r>
              <w:rPr>
                <w:bCs/>
                <w:lang w:val="es-MX"/>
              </w:rPr>
              <w:t>Комиссия</w:t>
            </w:r>
          </w:p>
        </w:tc>
        <w:tc>
          <w:tcPr>
            <w:tcW w:w="1330" w:type="dxa"/>
          </w:tcPr>
          <w:p w:rsidR="00000000" w:rsidRDefault="00000000">
            <w:pPr>
              <w:spacing w:line="240" w:lineRule="auto"/>
              <w:jc w:val="center"/>
              <w:rPr>
                <w:bCs/>
                <w:lang w:val="es-MX"/>
              </w:rPr>
            </w:pPr>
            <w:r>
              <w:rPr>
                <w:bCs/>
                <w:lang w:val="es-MX"/>
              </w:rPr>
              <w:t>Число полученных жалоб</w:t>
            </w:r>
          </w:p>
        </w:tc>
        <w:tc>
          <w:tcPr>
            <w:tcW w:w="6316" w:type="dxa"/>
          </w:tcPr>
          <w:p w:rsidR="00000000" w:rsidRDefault="00000000">
            <w:pPr>
              <w:spacing w:line="240" w:lineRule="auto"/>
              <w:jc w:val="center"/>
              <w:rPr>
                <w:bCs/>
                <w:lang w:val="es-MX"/>
              </w:rPr>
            </w:pPr>
            <w:r>
              <w:rPr>
                <w:bCs/>
              </w:rPr>
              <w:t xml:space="preserve">Решение </w:t>
            </w:r>
          </w:p>
        </w:tc>
      </w:tr>
      <w:tr w:rsidR="00000000">
        <w:trPr>
          <w:cantSplit/>
        </w:trPr>
        <w:tc>
          <w:tcPr>
            <w:tcW w:w="1764" w:type="dxa"/>
            <w:tcBorders>
              <w:bottom w:val="nil"/>
            </w:tcBorders>
          </w:tcPr>
          <w:p w:rsidR="00000000" w:rsidRDefault="00000000">
            <w:pPr>
              <w:spacing w:line="240" w:lineRule="auto"/>
              <w:rPr>
                <w:lang w:val="es-MX"/>
              </w:rPr>
            </w:pPr>
            <w:r>
              <w:t xml:space="preserve">Национальная комиссия по правам человека </w:t>
            </w:r>
          </w:p>
        </w:tc>
        <w:tc>
          <w:tcPr>
            <w:tcW w:w="1330" w:type="dxa"/>
            <w:tcBorders>
              <w:bottom w:val="nil"/>
            </w:tcBorders>
          </w:tcPr>
          <w:p w:rsidR="00000000" w:rsidRDefault="00000000">
            <w:pPr>
              <w:spacing w:line="240" w:lineRule="auto"/>
              <w:jc w:val="center"/>
              <w:rPr>
                <w:lang w:val="es-MX"/>
              </w:rPr>
            </w:pPr>
            <w:r>
              <w:rPr>
                <w:lang w:val="es-MX"/>
              </w:rPr>
              <w:t>1</w:t>
            </w:r>
            <w:r>
              <w:t xml:space="preserve"> 457</w:t>
            </w:r>
          </w:p>
        </w:tc>
        <w:tc>
          <w:tcPr>
            <w:tcW w:w="6316" w:type="dxa"/>
            <w:vAlign w:val="center"/>
          </w:tcPr>
          <w:p w:rsidR="00000000" w:rsidRDefault="00000000">
            <w:pPr>
              <w:spacing w:line="240" w:lineRule="auto"/>
            </w:pPr>
            <w:r>
              <w:t>737</w:t>
            </w:r>
            <w:r>
              <w:rPr>
                <w:lang w:val="es-MX"/>
              </w:rPr>
              <w:t xml:space="preserve"> </w:t>
            </w:r>
            <w:r>
              <w:t xml:space="preserve">жалоб разрешены в результате оказания консультативной помощи </w:t>
            </w:r>
          </w:p>
          <w:p w:rsidR="00000000" w:rsidRDefault="00000000">
            <w:pPr>
              <w:spacing w:line="120" w:lineRule="auto"/>
            </w:pPr>
          </w:p>
          <w:p w:rsidR="00000000" w:rsidRDefault="00000000">
            <w:pPr>
              <w:spacing w:line="240" w:lineRule="auto"/>
              <w:rPr>
                <w:lang w:val="es-MX"/>
              </w:rPr>
            </w:pPr>
            <w:r>
              <w:t xml:space="preserve">202 - в результате проведенного разбирательства </w:t>
            </w:r>
          </w:p>
          <w:p w:rsidR="00000000" w:rsidRDefault="00000000">
            <w:pPr>
              <w:spacing w:line="120" w:lineRule="auto"/>
            </w:pPr>
          </w:p>
          <w:p w:rsidR="00000000" w:rsidRDefault="00000000">
            <w:pPr>
              <w:spacing w:line="240" w:lineRule="auto"/>
            </w:pPr>
            <w:r>
              <w:t>143</w:t>
            </w:r>
            <w:r>
              <w:rPr>
                <w:lang w:val="es-MX"/>
              </w:rPr>
              <w:t xml:space="preserve"> </w:t>
            </w:r>
            <w:r>
              <w:t xml:space="preserve">- в результате примирения сторон </w:t>
            </w:r>
          </w:p>
          <w:p w:rsidR="00000000" w:rsidRDefault="00000000">
            <w:pPr>
              <w:spacing w:line="120" w:lineRule="auto"/>
            </w:pPr>
          </w:p>
          <w:p w:rsidR="00000000" w:rsidRDefault="00000000">
            <w:pPr>
              <w:spacing w:line="240" w:lineRule="auto"/>
              <w:rPr>
                <w:lang w:val="es-MX"/>
              </w:rPr>
            </w:pPr>
            <w:r>
              <w:t>91</w:t>
            </w:r>
            <w:r>
              <w:rPr>
                <w:lang w:val="es-MX"/>
              </w:rPr>
              <w:t xml:space="preserve"> </w:t>
            </w:r>
            <w:r>
              <w:t xml:space="preserve">- в результате утраты заинтересованности в проведении расследования подавшим жалобу лицом </w:t>
            </w:r>
          </w:p>
          <w:p w:rsidR="00000000" w:rsidRDefault="00000000">
            <w:pPr>
              <w:spacing w:line="120" w:lineRule="auto"/>
            </w:pPr>
          </w:p>
          <w:p w:rsidR="00000000" w:rsidRDefault="00000000">
            <w:pPr>
              <w:spacing w:line="240" w:lineRule="auto"/>
              <w:rPr>
                <w:lang w:val="es-MX"/>
              </w:rPr>
            </w:pPr>
            <w:r>
              <w:t>77</w:t>
            </w:r>
            <w:r>
              <w:rPr>
                <w:lang w:val="es-MX"/>
              </w:rPr>
              <w:t xml:space="preserve"> </w:t>
            </w:r>
            <w:r>
              <w:t xml:space="preserve">- в результате передачи на рассмотрение комиссии штата </w:t>
            </w:r>
          </w:p>
          <w:p w:rsidR="00000000" w:rsidRDefault="00000000">
            <w:pPr>
              <w:spacing w:line="120" w:lineRule="auto"/>
            </w:pPr>
          </w:p>
          <w:p w:rsidR="00000000" w:rsidRDefault="00000000">
            <w:pPr>
              <w:spacing w:line="240" w:lineRule="auto"/>
              <w:rPr>
                <w:lang w:val="es-MX"/>
              </w:rPr>
            </w:pPr>
            <w:r>
              <w:rPr>
                <w:lang w:val="es-MX"/>
              </w:rPr>
              <w:t>41</w:t>
            </w:r>
            <w:r>
              <w:t xml:space="preserve">- ввиду отсутствия полномочий на рассмотрение этих жалоб </w:t>
            </w:r>
          </w:p>
          <w:p w:rsidR="00000000" w:rsidRDefault="00000000">
            <w:pPr>
              <w:spacing w:line="120" w:lineRule="auto"/>
            </w:pPr>
          </w:p>
          <w:p w:rsidR="00000000" w:rsidRDefault="00000000">
            <w:pPr>
              <w:spacing w:line="240" w:lineRule="auto"/>
              <w:rPr>
                <w:lang w:val="es-MX"/>
              </w:rPr>
            </w:pPr>
            <w:r>
              <w:rPr>
                <w:lang w:val="es-MX"/>
              </w:rPr>
              <w:t>3</w:t>
            </w:r>
            <w:r>
              <w:t>6</w:t>
            </w:r>
            <w:r>
              <w:rPr>
                <w:lang w:val="es-MX"/>
              </w:rPr>
              <w:t xml:space="preserve"> </w:t>
            </w:r>
            <w:r>
              <w:t>- в результате объединения изложенного в жалобе дела в одно производство с другими</w:t>
            </w:r>
          </w:p>
          <w:p w:rsidR="00000000" w:rsidRDefault="00000000">
            <w:pPr>
              <w:spacing w:line="120" w:lineRule="auto"/>
            </w:pPr>
          </w:p>
          <w:p w:rsidR="00000000" w:rsidRDefault="00000000">
            <w:pPr>
              <w:spacing w:line="240" w:lineRule="auto"/>
              <w:rPr>
                <w:lang w:val="es-MX"/>
              </w:rPr>
            </w:pPr>
            <w:r>
              <w:rPr>
                <w:lang w:val="es-MX"/>
              </w:rPr>
              <w:t>3</w:t>
            </w:r>
            <w:r>
              <w:t>4</w:t>
            </w:r>
            <w:r>
              <w:rPr>
                <w:lang w:val="es-MX"/>
              </w:rPr>
              <w:t xml:space="preserve"> </w:t>
            </w:r>
            <w:r>
              <w:t xml:space="preserve">- в результате отзыва жалобы подавшим ее лицом </w:t>
            </w:r>
          </w:p>
          <w:p w:rsidR="00000000" w:rsidRDefault="00000000">
            <w:pPr>
              <w:spacing w:line="120" w:lineRule="auto"/>
            </w:pPr>
          </w:p>
          <w:p w:rsidR="00000000" w:rsidRDefault="00000000">
            <w:pPr>
              <w:spacing w:line="240" w:lineRule="auto"/>
            </w:pPr>
            <w:r>
              <w:t>25</w:t>
            </w:r>
            <w:r>
              <w:rPr>
                <w:lang w:val="es-MX"/>
              </w:rPr>
              <w:t xml:space="preserve"> </w:t>
            </w:r>
            <w:r>
              <w:t>- в результате сделанной рекомендации</w:t>
            </w:r>
          </w:p>
          <w:p w:rsidR="00000000" w:rsidRDefault="00000000">
            <w:pPr>
              <w:spacing w:line="120" w:lineRule="auto"/>
            </w:pPr>
          </w:p>
          <w:p w:rsidR="00000000" w:rsidRDefault="00000000">
            <w:pPr>
              <w:spacing w:line="240" w:lineRule="auto"/>
              <w:rPr>
                <w:bCs/>
              </w:rPr>
            </w:pPr>
            <w:r>
              <w:t>2 - из-за отсутствия вины указанного органа власти</w:t>
            </w:r>
            <w:r>
              <w:rPr>
                <w:lang w:val="es-MX"/>
              </w:rPr>
              <w:t>.</w:t>
            </w:r>
          </w:p>
        </w:tc>
      </w:tr>
      <w:tr w:rsidR="00000000">
        <w:trPr>
          <w:cantSplit/>
        </w:trPr>
        <w:tc>
          <w:tcPr>
            <w:tcW w:w="1764" w:type="dxa"/>
            <w:tcBorders>
              <w:top w:val="nil"/>
            </w:tcBorders>
            <w:vAlign w:val="center"/>
          </w:tcPr>
          <w:p w:rsidR="00000000" w:rsidRDefault="00000000">
            <w:pPr>
              <w:spacing w:line="240" w:lineRule="auto"/>
            </w:pPr>
          </w:p>
        </w:tc>
        <w:tc>
          <w:tcPr>
            <w:tcW w:w="1330" w:type="dxa"/>
            <w:tcBorders>
              <w:top w:val="nil"/>
            </w:tcBorders>
            <w:vAlign w:val="center"/>
          </w:tcPr>
          <w:p w:rsidR="00000000" w:rsidRDefault="00000000">
            <w:pPr>
              <w:spacing w:line="240" w:lineRule="auto"/>
              <w:jc w:val="center"/>
              <w:rPr>
                <w:lang w:val="es-MX"/>
              </w:rPr>
            </w:pPr>
          </w:p>
        </w:tc>
        <w:tc>
          <w:tcPr>
            <w:tcW w:w="6316" w:type="dxa"/>
            <w:vAlign w:val="center"/>
          </w:tcPr>
          <w:p w:rsidR="00000000" w:rsidRDefault="00000000">
            <w:pPr>
              <w:spacing w:line="240" w:lineRule="auto"/>
            </w:pPr>
            <w:r>
              <w:rPr>
                <w:bCs/>
                <w:lang w:val="es-MX"/>
              </w:rPr>
              <w:t>Всего</w:t>
            </w:r>
            <w:r>
              <w:rPr>
                <w:bCs/>
              </w:rPr>
              <w:t xml:space="preserve">: </w:t>
            </w:r>
            <w:r>
              <w:rPr>
                <w:bCs/>
                <w:lang w:val="es-MX"/>
              </w:rPr>
              <w:t xml:space="preserve"> 1 388</w:t>
            </w:r>
          </w:p>
        </w:tc>
      </w:tr>
    </w:tbl>
    <w:p w:rsidR="00000000" w:rsidRDefault="00000000"/>
    <w:p w:rsidR="00000000" w:rsidRDefault="00000000">
      <w:r>
        <w:t>248.</w:t>
      </w:r>
      <w:r>
        <w:tab/>
        <w:t>Согласно данным Национальной комиссии по правам человека, из общего числа жалоб, полученных этим учреждением, доля жалоб на пытки в течение последних лет значительно сократилась.  В нижеследующей таблице излагается динамика представляемых жалоб о пытках</w:t>
      </w:r>
      <w:r>
        <w:rPr>
          <w:rStyle w:val="EndnoteReference"/>
        </w:rPr>
        <w:endnoteReference w:id="98"/>
      </w:r>
      <w:r>
        <w:t>:</w:t>
      </w:r>
    </w:p>
    <w:p w:rsidR="00000000" w:rsidRDefault="000000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bottom w:w="113" w:type="dxa"/>
          <w:right w:w="28" w:type="dxa"/>
        </w:tblCellMar>
        <w:tblLook w:val="0000" w:firstRow="0" w:lastRow="0" w:firstColumn="0" w:lastColumn="0" w:noHBand="0" w:noVBand="0"/>
      </w:tblPr>
      <w:tblGrid>
        <w:gridCol w:w="2295"/>
        <w:gridCol w:w="1963"/>
        <w:gridCol w:w="1724"/>
        <w:gridCol w:w="1922"/>
        <w:gridCol w:w="1506"/>
      </w:tblGrid>
      <w:tr w:rsidR="00000000">
        <w:tblPrEx>
          <w:tblCellMar>
            <w:top w:w="0" w:type="dxa"/>
          </w:tblCellMar>
        </w:tblPrEx>
        <w:trPr>
          <w:cantSplit/>
          <w:tblHeader/>
        </w:trPr>
        <w:tc>
          <w:tcPr>
            <w:tcW w:w="1220" w:type="pct"/>
            <w:vAlign w:val="center"/>
          </w:tcPr>
          <w:p w:rsidR="00000000" w:rsidRDefault="00000000">
            <w:pPr>
              <w:autoSpaceDE w:val="0"/>
              <w:autoSpaceDN w:val="0"/>
              <w:adjustRightInd w:val="0"/>
              <w:spacing w:line="240" w:lineRule="auto"/>
              <w:jc w:val="center"/>
              <w:rPr>
                <w:sz w:val="20"/>
              </w:rPr>
            </w:pPr>
            <w:r>
              <w:rPr>
                <w:sz w:val="20"/>
              </w:rPr>
              <w:t>Сроки</w:t>
            </w:r>
          </w:p>
        </w:tc>
        <w:tc>
          <w:tcPr>
            <w:tcW w:w="1043" w:type="pct"/>
            <w:vAlign w:val="center"/>
          </w:tcPr>
          <w:p w:rsidR="00000000" w:rsidRDefault="00000000">
            <w:pPr>
              <w:autoSpaceDE w:val="0"/>
              <w:autoSpaceDN w:val="0"/>
              <w:adjustRightInd w:val="0"/>
              <w:spacing w:line="240" w:lineRule="auto"/>
              <w:jc w:val="center"/>
              <w:rPr>
                <w:sz w:val="20"/>
              </w:rPr>
            </w:pPr>
            <w:r>
              <w:rPr>
                <w:sz w:val="20"/>
              </w:rPr>
              <w:t>Количество зарегистрированных жалоб</w:t>
            </w:r>
          </w:p>
        </w:tc>
        <w:tc>
          <w:tcPr>
            <w:tcW w:w="916" w:type="pct"/>
            <w:vAlign w:val="center"/>
          </w:tcPr>
          <w:p w:rsidR="00000000" w:rsidRDefault="00000000">
            <w:pPr>
              <w:autoSpaceDE w:val="0"/>
              <w:autoSpaceDN w:val="0"/>
              <w:adjustRightInd w:val="0"/>
              <w:spacing w:line="240" w:lineRule="auto"/>
              <w:jc w:val="center"/>
              <w:rPr>
                <w:sz w:val="20"/>
              </w:rPr>
            </w:pPr>
            <w:r>
              <w:rPr>
                <w:sz w:val="20"/>
              </w:rPr>
              <w:t>Жалобы на пытки</w:t>
            </w:r>
          </w:p>
        </w:tc>
        <w:tc>
          <w:tcPr>
            <w:tcW w:w="1021" w:type="pct"/>
            <w:vAlign w:val="center"/>
          </w:tcPr>
          <w:p w:rsidR="00000000" w:rsidRDefault="00000000">
            <w:pPr>
              <w:autoSpaceDE w:val="0"/>
              <w:autoSpaceDN w:val="0"/>
              <w:adjustRightInd w:val="0"/>
              <w:spacing w:line="240" w:lineRule="auto"/>
              <w:jc w:val="center"/>
              <w:rPr>
                <w:sz w:val="20"/>
              </w:rPr>
            </w:pPr>
            <w:r>
              <w:rPr>
                <w:sz w:val="20"/>
              </w:rPr>
              <w:t>Зарегистрированные жалобы на пытки,</w:t>
            </w:r>
            <w:r>
              <w:rPr>
                <w:sz w:val="20"/>
              </w:rPr>
              <w:br/>
              <w:t>в процентах</w:t>
            </w:r>
          </w:p>
        </w:tc>
        <w:tc>
          <w:tcPr>
            <w:tcW w:w="800" w:type="pct"/>
            <w:vAlign w:val="center"/>
          </w:tcPr>
          <w:p w:rsidR="00000000" w:rsidRDefault="00000000">
            <w:pPr>
              <w:autoSpaceDE w:val="0"/>
              <w:autoSpaceDN w:val="0"/>
              <w:adjustRightInd w:val="0"/>
              <w:spacing w:line="240" w:lineRule="auto"/>
              <w:jc w:val="center"/>
              <w:rPr>
                <w:sz w:val="20"/>
              </w:rPr>
            </w:pPr>
            <w:r>
              <w:rPr>
                <w:sz w:val="20"/>
              </w:rPr>
              <w:t>Место среди всех правонарушений</w:t>
            </w:r>
          </w:p>
        </w:tc>
      </w:tr>
      <w:tr w:rsidR="00000000">
        <w:tblPrEx>
          <w:tblCellMar>
            <w:top w:w="0" w:type="dxa"/>
          </w:tblCellMar>
        </w:tblPrEx>
        <w:trPr>
          <w:cantSplit/>
        </w:trPr>
        <w:tc>
          <w:tcPr>
            <w:tcW w:w="1220" w:type="pct"/>
            <w:tcBorders>
              <w:bottom w:val="nil"/>
            </w:tcBorders>
          </w:tcPr>
          <w:p w:rsidR="00000000" w:rsidRDefault="00000000">
            <w:pPr>
              <w:autoSpaceDE w:val="0"/>
              <w:autoSpaceDN w:val="0"/>
              <w:adjustRightInd w:val="0"/>
              <w:spacing w:line="240" w:lineRule="auto"/>
              <w:rPr>
                <w:sz w:val="20"/>
              </w:rPr>
            </w:pPr>
            <w:r>
              <w:rPr>
                <w:sz w:val="20"/>
              </w:rPr>
              <w:t>Июнь-декабрь 1990 года</w:t>
            </w:r>
          </w:p>
        </w:tc>
        <w:tc>
          <w:tcPr>
            <w:tcW w:w="1043" w:type="pct"/>
            <w:tcBorders>
              <w:bottom w:val="nil"/>
            </w:tcBorders>
            <w:vAlign w:val="center"/>
          </w:tcPr>
          <w:p w:rsidR="00000000" w:rsidRDefault="00000000">
            <w:pPr>
              <w:autoSpaceDE w:val="0"/>
              <w:autoSpaceDN w:val="0"/>
              <w:adjustRightInd w:val="0"/>
              <w:spacing w:line="240" w:lineRule="auto"/>
              <w:jc w:val="center"/>
              <w:rPr>
                <w:sz w:val="20"/>
              </w:rPr>
            </w:pPr>
            <w:r>
              <w:rPr>
                <w:sz w:val="20"/>
              </w:rPr>
              <w:t>1 343</w:t>
            </w:r>
          </w:p>
        </w:tc>
        <w:tc>
          <w:tcPr>
            <w:tcW w:w="916" w:type="pct"/>
            <w:tcBorders>
              <w:bottom w:val="nil"/>
            </w:tcBorders>
            <w:vAlign w:val="center"/>
          </w:tcPr>
          <w:p w:rsidR="00000000" w:rsidRDefault="00000000">
            <w:pPr>
              <w:autoSpaceDE w:val="0"/>
              <w:autoSpaceDN w:val="0"/>
              <w:adjustRightInd w:val="0"/>
              <w:spacing w:line="240" w:lineRule="auto"/>
              <w:jc w:val="center"/>
              <w:rPr>
                <w:sz w:val="20"/>
              </w:rPr>
            </w:pPr>
            <w:r>
              <w:rPr>
                <w:sz w:val="20"/>
              </w:rPr>
              <w:t>150</w:t>
            </w:r>
          </w:p>
        </w:tc>
        <w:tc>
          <w:tcPr>
            <w:tcW w:w="1021" w:type="pct"/>
            <w:tcBorders>
              <w:bottom w:val="nil"/>
            </w:tcBorders>
            <w:vAlign w:val="center"/>
          </w:tcPr>
          <w:p w:rsidR="00000000" w:rsidRDefault="00000000">
            <w:pPr>
              <w:autoSpaceDE w:val="0"/>
              <w:autoSpaceDN w:val="0"/>
              <w:adjustRightInd w:val="0"/>
              <w:spacing w:line="240" w:lineRule="auto"/>
              <w:jc w:val="center"/>
              <w:rPr>
                <w:sz w:val="20"/>
                <w:lang w:val="en-US"/>
              </w:rPr>
            </w:pPr>
            <w:r>
              <w:rPr>
                <w:sz w:val="20"/>
              </w:rPr>
              <w:t>11,1</w:t>
            </w:r>
          </w:p>
        </w:tc>
        <w:tc>
          <w:tcPr>
            <w:tcW w:w="800" w:type="pct"/>
            <w:tcBorders>
              <w:bottom w:val="nil"/>
            </w:tcBorders>
            <w:vAlign w:val="center"/>
          </w:tcPr>
          <w:p w:rsidR="00000000" w:rsidRDefault="00000000">
            <w:pPr>
              <w:autoSpaceDE w:val="0"/>
              <w:autoSpaceDN w:val="0"/>
              <w:adjustRightInd w:val="0"/>
              <w:spacing w:line="240" w:lineRule="auto"/>
              <w:jc w:val="center"/>
              <w:rPr>
                <w:sz w:val="20"/>
                <w:lang w:val="en-US"/>
              </w:rPr>
            </w:pPr>
            <w:r>
              <w:rPr>
                <w:sz w:val="20"/>
              </w:rPr>
              <w:t xml:space="preserve"> </w:t>
            </w:r>
            <w:r>
              <w:rPr>
                <w:sz w:val="20"/>
                <w:lang w:val="en-US"/>
              </w:rPr>
              <w:t xml:space="preserve"> 20</w:t>
            </w:r>
          </w:p>
        </w:tc>
      </w:tr>
      <w:tr w:rsidR="00000000">
        <w:tblPrEx>
          <w:tblCellMar>
            <w:top w:w="0" w:type="dxa"/>
          </w:tblCellMar>
        </w:tblPrEx>
        <w:trPr>
          <w:cantSplit/>
        </w:trPr>
        <w:tc>
          <w:tcPr>
            <w:tcW w:w="1220" w:type="pct"/>
            <w:tcBorders>
              <w:top w:val="nil"/>
              <w:bottom w:val="nil"/>
            </w:tcBorders>
          </w:tcPr>
          <w:p w:rsidR="00000000" w:rsidRDefault="00000000">
            <w:pPr>
              <w:autoSpaceDE w:val="0"/>
              <w:autoSpaceDN w:val="0"/>
              <w:adjustRightInd w:val="0"/>
              <w:spacing w:line="240" w:lineRule="auto"/>
              <w:rPr>
                <w:sz w:val="20"/>
              </w:rPr>
            </w:pPr>
            <w:r>
              <w:rPr>
                <w:sz w:val="20"/>
              </w:rPr>
              <w:t>Декабрь 1990 года </w:t>
            </w:r>
            <w:r>
              <w:rPr>
                <w:sz w:val="20"/>
              </w:rPr>
              <w:noBreakHyphen/>
              <w:t xml:space="preserve"> июнь 1991 года</w:t>
            </w:r>
          </w:p>
        </w:tc>
        <w:tc>
          <w:tcPr>
            <w:tcW w:w="1043"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rPr>
              <w:t>1 913</w:t>
            </w:r>
          </w:p>
        </w:tc>
        <w:tc>
          <w:tcPr>
            <w:tcW w:w="916"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rPr>
              <w:t>225</w:t>
            </w:r>
          </w:p>
        </w:tc>
        <w:tc>
          <w:tcPr>
            <w:tcW w:w="1021"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11,7</w:t>
            </w:r>
          </w:p>
        </w:tc>
        <w:tc>
          <w:tcPr>
            <w:tcW w:w="800"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rPr>
              <w:t xml:space="preserve"> </w:t>
            </w:r>
            <w:r>
              <w:rPr>
                <w:sz w:val="20"/>
                <w:lang w:val="en-US"/>
              </w:rPr>
              <w:t xml:space="preserve"> 10</w:t>
            </w:r>
          </w:p>
        </w:tc>
      </w:tr>
      <w:tr w:rsidR="00000000">
        <w:tblPrEx>
          <w:tblCellMar>
            <w:top w:w="0" w:type="dxa"/>
          </w:tblCellMar>
        </w:tblPrEx>
        <w:trPr>
          <w:cantSplit/>
        </w:trPr>
        <w:tc>
          <w:tcPr>
            <w:tcW w:w="1220" w:type="pct"/>
            <w:tcBorders>
              <w:top w:val="nil"/>
              <w:bottom w:val="nil"/>
            </w:tcBorders>
          </w:tcPr>
          <w:p w:rsidR="00000000" w:rsidRDefault="00000000">
            <w:pPr>
              <w:autoSpaceDE w:val="0"/>
              <w:autoSpaceDN w:val="0"/>
              <w:adjustRightInd w:val="0"/>
              <w:spacing w:line="240" w:lineRule="auto"/>
              <w:rPr>
                <w:sz w:val="20"/>
              </w:rPr>
            </w:pPr>
            <w:r>
              <w:rPr>
                <w:sz w:val="20"/>
              </w:rPr>
              <w:t>Июнь-декабрь 1991 года</w:t>
            </w:r>
          </w:p>
        </w:tc>
        <w:tc>
          <w:tcPr>
            <w:tcW w:w="1043"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rPr>
              <w:t>2 485</w:t>
            </w:r>
          </w:p>
        </w:tc>
        <w:tc>
          <w:tcPr>
            <w:tcW w:w="916"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rPr>
              <w:t>119</w:t>
            </w:r>
          </w:p>
        </w:tc>
        <w:tc>
          <w:tcPr>
            <w:tcW w:w="1021"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rPr>
              <w:t xml:space="preserve"> </w:t>
            </w:r>
            <w:r>
              <w:rPr>
                <w:sz w:val="20"/>
                <w:lang w:val="en-US"/>
              </w:rPr>
              <w:t xml:space="preserve"> 4,7</w:t>
            </w:r>
          </w:p>
        </w:tc>
        <w:tc>
          <w:tcPr>
            <w:tcW w:w="800"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rPr>
              <w:t xml:space="preserve"> </w:t>
            </w:r>
            <w:r>
              <w:rPr>
                <w:sz w:val="20"/>
                <w:lang w:val="en-US"/>
              </w:rPr>
              <w:t xml:space="preserve"> 30</w:t>
            </w:r>
          </w:p>
        </w:tc>
      </w:tr>
      <w:tr w:rsidR="00000000">
        <w:tblPrEx>
          <w:tblCellMar>
            <w:top w:w="0" w:type="dxa"/>
          </w:tblCellMar>
        </w:tblPrEx>
        <w:trPr>
          <w:cantSplit/>
        </w:trPr>
        <w:tc>
          <w:tcPr>
            <w:tcW w:w="1220" w:type="pct"/>
            <w:tcBorders>
              <w:top w:val="nil"/>
              <w:bottom w:val="single" w:sz="4" w:space="0" w:color="auto"/>
            </w:tcBorders>
          </w:tcPr>
          <w:p w:rsidR="00000000" w:rsidRDefault="00000000">
            <w:pPr>
              <w:autoSpaceDE w:val="0"/>
              <w:autoSpaceDN w:val="0"/>
              <w:adjustRightInd w:val="0"/>
              <w:spacing w:line="240" w:lineRule="auto"/>
              <w:rPr>
                <w:sz w:val="20"/>
              </w:rPr>
            </w:pPr>
            <w:r>
              <w:rPr>
                <w:sz w:val="20"/>
              </w:rPr>
              <w:t>Декабрь 1991 года </w:t>
            </w:r>
            <w:r>
              <w:rPr>
                <w:sz w:val="20"/>
              </w:rPr>
              <w:noBreakHyphen/>
              <w:t xml:space="preserve"> май 1992 года</w:t>
            </w:r>
          </w:p>
        </w:tc>
        <w:tc>
          <w:tcPr>
            <w:tcW w:w="1043" w:type="pct"/>
            <w:tcBorders>
              <w:top w:val="nil"/>
              <w:bottom w:val="single" w:sz="4" w:space="0" w:color="auto"/>
            </w:tcBorders>
            <w:vAlign w:val="center"/>
          </w:tcPr>
          <w:p w:rsidR="00000000" w:rsidRDefault="00000000">
            <w:pPr>
              <w:autoSpaceDE w:val="0"/>
              <w:autoSpaceDN w:val="0"/>
              <w:adjustRightInd w:val="0"/>
              <w:spacing w:line="240" w:lineRule="auto"/>
              <w:jc w:val="center"/>
              <w:rPr>
                <w:sz w:val="20"/>
              </w:rPr>
            </w:pPr>
            <w:r>
              <w:rPr>
                <w:sz w:val="20"/>
              </w:rPr>
              <w:t>4 503</w:t>
            </w:r>
          </w:p>
        </w:tc>
        <w:tc>
          <w:tcPr>
            <w:tcW w:w="916" w:type="pct"/>
            <w:tcBorders>
              <w:top w:val="nil"/>
              <w:bottom w:val="single" w:sz="4" w:space="0" w:color="auto"/>
            </w:tcBorders>
            <w:vAlign w:val="center"/>
          </w:tcPr>
          <w:p w:rsidR="00000000" w:rsidRDefault="00000000">
            <w:pPr>
              <w:autoSpaceDE w:val="0"/>
              <w:autoSpaceDN w:val="0"/>
              <w:adjustRightInd w:val="0"/>
              <w:spacing w:line="240" w:lineRule="auto"/>
              <w:jc w:val="center"/>
              <w:rPr>
                <w:sz w:val="20"/>
                <w:lang w:val="en-US"/>
              </w:rPr>
            </w:pPr>
            <w:r>
              <w:rPr>
                <w:sz w:val="20"/>
                <w:lang w:val="en-US"/>
              </w:rPr>
              <w:t xml:space="preserve"> 52</w:t>
            </w:r>
          </w:p>
        </w:tc>
        <w:tc>
          <w:tcPr>
            <w:tcW w:w="1021" w:type="pct"/>
            <w:tcBorders>
              <w:top w:val="nil"/>
              <w:bottom w:val="single" w:sz="4" w:space="0" w:color="auto"/>
            </w:tcBorders>
            <w:vAlign w:val="center"/>
          </w:tcPr>
          <w:p w:rsidR="00000000" w:rsidRDefault="00000000">
            <w:pPr>
              <w:autoSpaceDE w:val="0"/>
              <w:autoSpaceDN w:val="0"/>
              <w:adjustRightInd w:val="0"/>
              <w:spacing w:line="240" w:lineRule="auto"/>
              <w:jc w:val="center"/>
              <w:rPr>
                <w:sz w:val="20"/>
                <w:lang w:val="en-US"/>
              </w:rPr>
            </w:pPr>
            <w:r>
              <w:rPr>
                <w:sz w:val="20"/>
              </w:rPr>
              <w:t xml:space="preserve"> </w:t>
            </w:r>
            <w:r>
              <w:rPr>
                <w:sz w:val="20"/>
                <w:lang w:val="en-US"/>
              </w:rPr>
              <w:t xml:space="preserve"> 1,2</w:t>
            </w:r>
          </w:p>
        </w:tc>
        <w:tc>
          <w:tcPr>
            <w:tcW w:w="800" w:type="pct"/>
            <w:tcBorders>
              <w:top w:val="nil"/>
              <w:bottom w:val="single" w:sz="4" w:space="0" w:color="auto"/>
            </w:tcBorders>
            <w:vAlign w:val="center"/>
          </w:tcPr>
          <w:p w:rsidR="00000000" w:rsidRDefault="00000000">
            <w:pPr>
              <w:autoSpaceDE w:val="0"/>
              <w:autoSpaceDN w:val="0"/>
              <w:adjustRightInd w:val="0"/>
              <w:spacing w:line="240" w:lineRule="auto"/>
              <w:jc w:val="center"/>
              <w:rPr>
                <w:sz w:val="20"/>
              </w:rPr>
            </w:pPr>
            <w:r>
              <w:rPr>
                <w:sz w:val="20"/>
              </w:rPr>
              <w:t xml:space="preserve"> </w:t>
            </w:r>
            <w:r>
              <w:rPr>
                <w:sz w:val="20"/>
                <w:lang w:val="en-US"/>
              </w:rPr>
              <w:t xml:space="preserve"> 70</w:t>
            </w:r>
          </w:p>
        </w:tc>
      </w:tr>
      <w:tr w:rsidR="00000000">
        <w:tblPrEx>
          <w:tblCellMar>
            <w:top w:w="0" w:type="dxa"/>
          </w:tblCellMar>
        </w:tblPrEx>
        <w:trPr>
          <w:cantSplit/>
        </w:trPr>
        <w:tc>
          <w:tcPr>
            <w:tcW w:w="1220" w:type="pct"/>
            <w:tcBorders>
              <w:bottom w:val="single" w:sz="4" w:space="0" w:color="auto"/>
            </w:tcBorders>
          </w:tcPr>
          <w:p w:rsidR="00000000" w:rsidRDefault="00000000">
            <w:pPr>
              <w:autoSpaceDE w:val="0"/>
              <w:autoSpaceDN w:val="0"/>
              <w:adjustRightInd w:val="0"/>
              <w:spacing w:line="240" w:lineRule="auto"/>
              <w:rPr>
                <w:sz w:val="20"/>
              </w:rPr>
            </w:pPr>
            <w:r>
              <w:rPr>
                <w:sz w:val="20"/>
              </w:rPr>
              <w:t>Май 1992 года </w:t>
            </w:r>
            <w:r>
              <w:rPr>
                <w:sz w:val="20"/>
              </w:rPr>
              <w:noBreakHyphen/>
              <w:t xml:space="preserve"> май 1993 года</w:t>
            </w:r>
          </w:p>
        </w:tc>
        <w:tc>
          <w:tcPr>
            <w:tcW w:w="1043" w:type="pct"/>
            <w:tcBorders>
              <w:bottom w:val="single" w:sz="4" w:space="0" w:color="auto"/>
            </w:tcBorders>
            <w:vAlign w:val="center"/>
          </w:tcPr>
          <w:p w:rsidR="00000000" w:rsidRDefault="00000000">
            <w:pPr>
              <w:autoSpaceDE w:val="0"/>
              <w:autoSpaceDN w:val="0"/>
              <w:adjustRightInd w:val="0"/>
              <w:spacing w:line="240" w:lineRule="auto"/>
              <w:jc w:val="center"/>
              <w:rPr>
                <w:sz w:val="20"/>
                <w:lang w:val="en-US"/>
              </w:rPr>
            </w:pPr>
            <w:r>
              <w:rPr>
                <w:sz w:val="20"/>
                <w:lang w:val="en-US"/>
              </w:rPr>
              <w:t>8 793</w:t>
            </w:r>
          </w:p>
        </w:tc>
        <w:tc>
          <w:tcPr>
            <w:tcW w:w="916" w:type="pct"/>
            <w:tcBorders>
              <w:bottom w:val="single" w:sz="4" w:space="0" w:color="auto"/>
            </w:tcBorders>
            <w:vAlign w:val="center"/>
          </w:tcPr>
          <w:p w:rsidR="00000000" w:rsidRDefault="00000000">
            <w:pPr>
              <w:autoSpaceDE w:val="0"/>
              <w:autoSpaceDN w:val="0"/>
              <w:adjustRightInd w:val="0"/>
              <w:spacing w:line="240" w:lineRule="auto"/>
              <w:jc w:val="center"/>
              <w:rPr>
                <w:sz w:val="20"/>
                <w:lang w:val="en-US"/>
              </w:rPr>
            </w:pPr>
            <w:r>
              <w:rPr>
                <w:sz w:val="20"/>
                <w:lang w:val="en-US"/>
              </w:rPr>
              <w:t>113</w:t>
            </w:r>
          </w:p>
        </w:tc>
        <w:tc>
          <w:tcPr>
            <w:tcW w:w="1021" w:type="pct"/>
            <w:tcBorders>
              <w:bottom w:val="single" w:sz="4" w:space="0" w:color="auto"/>
            </w:tcBorders>
            <w:vAlign w:val="center"/>
          </w:tcPr>
          <w:p w:rsidR="00000000" w:rsidRDefault="00000000">
            <w:pPr>
              <w:autoSpaceDE w:val="0"/>
              <w:autoSpaceDN w:val="0"/>
              <w:adjustRightInd w:val="0"/>
              <w:spacing w:line="240" w:lineRule="auto"/>
              <w:jc w:val="center"/>
              <w:rPr>
                <w:sz w:val="20"/>
                <w:lang w:val="en-US"/>
              </w:rPr>
            </w:pPr>
            <w:r>
              <w:rPr>
                <w:sz w:val="20"/>
              </w:rPr>
              <w:t xml:space="preserve"> </w:t>
            </w:r>
            <w:r>
              <w:rPr>
                <w:sz w:val="20"/>
                <w:lang w:val="en-US"/>
              </w:rPr>
              <w:t xml:space="preserve"> 1,2</w:t>
            </w:r>
          </w:p>
        </w:tc>
        <w:tc>
          <w:tcPr>
            <w:tcW w:w="800" w:type="pct"/>
            <w:tcBorders>
              <w:bottom w:val="single" w:sz="4" w:space="0" w:color="auto"/>
            </w:tcBorders>
            <w:vAlign w:val="center"/>
          </w:tcPr>
          <w:p w:rsidR="00000000" w:rsidRDefault="00000000">
            <w:pPr>
              <w:autoSpaceDE w:val="0"/>
              <w:autoSpaceDN w:val="0"/>
              <w:adjustRightInd w:val="0"/>
              <w:spacing w:line="240" w:lineRule="auto"/>
              <w:jc w:val="center"/>
              <w:rPr>
                <w:sz w:val="20"/>
              </w:rPr>
            </w:pPr>
            <w:r>
              <w:rPr>
                <w:sz w:val="20"/>
              </w:rPr>
              <w:t xml:space="preserve"> </w:t>
            </w:r>
            <w:r>
              <w:rPr>
                <w:sz w:val="20"/>
                <w:lang w:val="en-US"/>
              </w:rPr>
              <w:t xml:space="preserve"> 70</w:t>
            </w:r>
          </w:p>
        </w:tc>
      </w:tr>
      <w:tr w:rsidR="00000000">
        <w:tblPrEx>
          <w:tblCellMar>
            <w:top w:w="0" w:type="dxa"/>
          </w:tblCellMar>
        </w:tblPrEx>
        <w:trPr>
          <w:cantSplit/>
        </w:trPr>
        <w:tc>
          <w:tcPr>
            <w:tcW w:w="1220" w:type="pct"/>
            <w:tcBorders>
              <w:top w:val="single" w:sz="4" w:space="0" w:color="auto"/>
              <w:bottom w:val="nil"/>
            </w:tcBorders>
          </w:tcPr>
          <w:p w:rsidR="00000000" w:rsidRDefault="00000000">
            <w:pPr>
              <w:autoSpaceDE w:val="0"/>
              <w:autoSpaceDN w:val="0"/>
              <w:adjustRightInd w:val="0"/>
              <w:spacing w:line="240" w:lineRule="auto"/>
              <w:rPr>
                <w:sz w:val="20"/>
              </w:rPr>
            </w:pPr>
            <w:r>
              <w:rPr>
                <w:sz w:val="20"/>
              </w:rPr>
              <w:t>Май 1993 года </w:t>
            </w:r>
            <w:r>
              <w:rPr>
                <w:sz w:val="20"/>
              </w:rPr>
              <w:noBreakHyphen/>
              <w:t xml:space="preserve"> май 1994 года</w:t>
            </w:r>
          </w:p>
        </w:tc>
        <w:tc>
          <w:tcPr>
            <w:tcW w:w="1043" w:type="pct"/>
            <w:tcBorders>
              <w:top w:val="single" w:sz="4" w:space="0" w:color="auto"/>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8 804</w:t>
            </w:r>
          </w:p>
        </w:tc>
        <w:tc>
          <w:tcPr>
            <w:tcW w:w="916" w:type="pct"/>
            <w:tcBorders>
              <w:top w:val="single" w:sz="4" w:space="0" w:color="auto"/>
              <w:bottom w:val="nil"/>
            </w:tcBorders>
            <w:vAlign w:val="center"/>
          </w:tcPr>
          <w:p w:rsidR="00000000" w:rsidRDefault="00000000">
            <w:pPr>
              <w:autoSpaceDE w:val="0"/>
              <w:autoSpaceDN w:val="0"/>
              <w:adjustRightInd w:val="0"/>
              <w:spacing w:line="240" w:lineRule="auto"/>
              <w:jc w:val="center"/>
              <w:rPr>
                <w:sz w:val="20"/>
                <w:lang w:val="en-US"/>
              </w:rPr>
            </w:pPr>
            <w:r>
              <w:rPr>
                <w:sz w:val="20"/>
              </w:rPr>
              <w:t xml:space="preserve"> </w:t>
            </w:r>
            <w:r>
              <w:rPr>
                <w:sz w:val="20"/>
                <w:lang w:val="en-US"/>
              </w:rPr>
              <w:t xml:space="preserve"> 79</w:t>
            </w:r>
          </w:p>
        </w:tc>
        <w:tc>
          <w:tcPr>
            <w:tcW w:w="1021" w:type="pct"/>
            <w:tcBorders>
              <w:top w:val="single" w:sz="4" w:space="0" w:color="auto"/>
              <w:bottom w:val="nil"/>
            </w:tcBorders>
            <w:vAlign w:val="center"/>
          </w:tcPr>
          <w:p w:rsidR="00000000" w:rsidRDefault="00000000">
            <w:pPr>
              <w:autoSpaceDE w:val="0"/>
              <w:autoSpaceDN w:val="0"/>
              <w:adjustRightInd w:val="0"/>
              <w:spacing w:line="240" w:lineRule="auto"/>
              <w:jc w:val="center"/>
              <w:rPr>
                <w:sz w:val="20"/>
              </w:rPr>
            </w:pPr>
            <w:r>
              <w:rPr>
                <w:sz w:val="20"/>
              </w:rPr>
              <w:t xml:space="preserve"> </w:t>
            </w:r>
            <w:r>
              <w:rPr>
                <w:sz w:val="20"/>
                <w:lang w:val="en-US"/>
              </w:rPr>
              <w:t xml:space="preserve"> 0,8</w:t>
            </w:r>
          </w:p>
        </w:tc>
        <w:tc>
          <w:tcPr>
            <w:tcW w:w="800" w:type="pct"/>
            <w:tcBorders>
              <w:top w:val="single" w:sz="4" w:space="0" w:color="auto"/>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100</w:t>
            </w:r>
          </w:p>
        </w:tc>
      </w:tr>
      <w:tr w:rsidR="00000000">
        <w:tblPrEx>
          <w:tblCellMar>
            <w:top w:w="0" w:type="dxa"/>
          </w:tblCellMar>
        </w:tblPrEx>
        <w:trPr>
          <w:cantSplit/>
        </w:trPr>
        <w:tc>
          <w:tcPr>
            <w:tcW w:w="1220" w:type="pct"/>
            <w:tcBorders>
              <w:top w:val="nil"/>
              <w:bottom w:val="nil"/>
            </w:tcBorders>
          </w:tcPr>
          <w:p w:rsidR="00000000" w:rsidRDefault="00000000">
            <w:pPr>
              <w:autoSpaceDE w:val="0"/>
              <w:autoSpaceDN w:val="0"/>
              <w:adjustRightInd w:val="0"/>
              <w:spacing w:line="240" w:lineRule="auto"/>
              <w:rPr>
                <w:sz w:val="20"/>
              </w:rPr>
            </w:pPr>
            <w:r>
              <w:rPr>
                <w:sz w:val="20"/>
              </w:rPr>
              <w:t>Май 1994 года </w:t>
            </w:r>
            <w:r>
              <w:rPr>
                <w:sz w:val="20"/>
              </w:rPr>
              <w:noBreakHyphen/>
              <w:t xml:space="preserve"> май 1995 года</w:t>
            </w:r>
          </w:p>
        </w:tc>
        <w:tc>
          <w:tcPr>
            <w:tcW w:w="1043"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8 912</w:t>
            </w:r>
          </w:p>
        </w:tc>
        <w:tc>
          <w:tcPr>
            <w:tcW w:w="916"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 xml:space="preserve"> </w:t>
            </w:r>
            <w:r>
              <w:rPr>
                <w:sz w:val="20"/>
              </w:rPr>
              <w:t xml:space="preserve"> </w:t>
            </w:r>
            <w:r>
              <w:rPr>
                <w:sz w:val="20"/>
                <w:lang w:val="en-US"/>
              </w:rPr>
              <w:t>31</w:t>
            </w:r>
          </w:p>
        </w:tc>
        <w:tc>
          <w:tcPr>
            <w:tcW w:w="1021"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 xml:space="preserve"> </w:t>
            </w:r>
            <w:r>
              <w:rPr>
                <w:sz w:val="20"/>
              </w:rPr>
              <w:t xml:space="preserve"> </w:t>
            </w:r>
            <w:r>
              <w:rPr>
                <w:sz w:val="20"/>
                <w:lang w:val="en-US"/>
              </w:rPr>
              <w:t>0</w:t>
            </w:r>
            <w:r>
              <w:rPr>
                <w:sz w:val="20"/>
              </w:rPr>
              <w:t>,</w:t>
            </w:r>
            <w:r>
              <w:rPr>
                <w:sz w:val="20"/>
                <w:lang w:val="en-US"/>
              </w:rPr>
              <w:t>3</w:t>
            </w:r>
          </w:p>
        </w:tc>
        <w:tc>
          <w:tcPr>
            <w:tcW w:w="800"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150</w:t>
            </w:r>
          </w:p>
        </w:tc>
      </w:tr>
      <w:tr w:rsidR="00000000">
        <w:tblPrEx>
          <w:tblCellMar>
            <w:top w:w="0" w:type="dxa"/>
          </w:tblCellMar>
        </w:tblPrEx>
        <w:trPr>
          <w:cantSplit/>
        </w:trPr>
        <w:tc>
          <w:tcPr>
            <w:tcW w:w="1220" w:type="pct"/>
            <w:tcBorders>
              <w:top w:val="nil"/>
              <w:bottom w:val="nil"/>
            </w:tcBorders>
          </w:tcPr>
          <w:p w:rsidR="00000000" w:rsidRDefault="00000000">
            <w:pPr>
              <w:autoSpaceDE w:val="0"/>
              <w:autoSpaceDN w:val="0"/>
              <w:adjustRightInd w:val="0"/>
              <w:spacing w:line="240" w:lineRule="auto"/>
              <w:rPr>
                <w:sz w:val="20"/>
              </w:rPr>
            </w:pPr>
            <w:r>
              <w:rPr>
                <w:sz w:val="20"/>
              </w:rPr>
              <w:t>Май 1995 года </w:t>
            </w:r>
            <w:r>
              <w:rPr>
                <w:sz w:val="20"/>
              </w:rPr>
              <w:noBreakHyphen/>
              <w:t xml:space="preserve"> май 1996 года</w:t>
            </w:r>
          </w:p>
        </w:tc>
        <w:tc>
          <w:tcPr>
            <w:tcW w:w="1043"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8 357</w:t>
            </w:r>
          </w:p>
        </w:tc>
        <w:tc>
          <w:tcPr>
            <w:tcW w:w="916"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 xml:space="preserve"> </w:t>
            </w:r>
            <w:r>
              <w:rPr>
                <w:sz w:val="20"/>
              </w:rPr>
              <w:t xml:space="preserve"> </w:t>
            </w:r>
            <w:r>
              <w:rPr>
                <w:sz w:val="20"/>
                <w:lang w:val="en-US"/>
              </w:rPr>
              <w:t>40</w:t>
            </w:r>
          </w:p>
        </w:tc>
        <w:tc>
          <w:tcPr>
            <w:tcW w:w="1021"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lang w:val="en-US"/>
              </w:rPr>
              <w:t xml:space="preserve"> </w:t>
            </w:r>
            <w:r>
              <w:rPr>
                <w:sz w:val="20"/>
              </w:rPr>
              <w:t xml:space="preserve"> </w:t>
            </w:r>
            <w:r>
              <w:rPr>
                <w:sz w:val="20"/>
                <w:lang w:val="en-US"/>
              </w:rPr>
              <w:t>0</w:t>
            </w:r>
            <w:r>
              <w:rPr>
                <w:sz w:val="20"/>
              </w:rPr>
              <w:t>,</w:t>
            </w:r>
            <w:r>
              <w:rPr>
                <w:sz w:val="20"/>
                <w:lang w:val="en-US"/>
              </w:rPr>
              <w:t>4</w:t>
            </w:r>
          </w:p>
        </w:tc>
        <w:tc>
          <w:tcPr>
            <w:tcW w:w="800"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170</w:t>
            </w:r>
          </w:p>
        </w:tc>
      </w:tr>
      <w:tr w:rsidR="00000000">
        <w:tblPrEx>
          <w:tblCellMar>
            <w:top w:w="0" w:type="dxa"/>
          </w:tblCellMar>
        </w:tblPrEx>
        <w:trPr>
          <w:cantSplit/>
        </w:trPr>
        <w:tc>
          <w:tcPr>
            <w:tcW w:w="1220" w:type="pct"/>
            <w:tcBorders>
              <w:top w:val="nil"/>
              <w:bottom w:val="nil"/>
            </w:tcBorders>
          </w:tcPr>
          <w:p w:rsidR="00000000" w:rsidRDefault="00000000">
            <w:pPr>
              <w:autoSpaceDE w:val="0"/>
              <w:autoSpaceDN w:val="0"/>
              <w:adjustRightInd w:val="0"/>
              <w:spacing w:line="240" w:lineRule="auto"/>
              <w:rPr>
                <w:sz w:val="20"/>
              </w:rPr>
            </w:pPr>
            <w:r>
              <w:rPr>
                <w:sz w:val="20"/>
              </w:rPr>
              <w:t>Май 1996 года </w:t>
            </w:r>
            <w:r>
              <w:rPr>
                <w:sz w:val="20"/>
              </w:rPr>
              <w:noBreakHyphen/>
              <w:t xml:space="preserve"> май 1997 года</w:t>
            </w:r>
          </w:p>
        </w:tc>
        <w:tc>
          <w:tcPr>
            <w:tcW w:w="1043"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8 509</w:t>
            </w:r>
          </w:p>
        </w:tc>
        <w:tc>
          <w:tcPr>
            <w:tcW w:w="916"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 xml:space="preserve"> </w:t>
            </w:r>
            <w:r>
              <w:rPr>
                <w:sz w:val="20"/>
              </w:rPr>
              <w:t xml:space="preserve"> </w:t>
            </w:r>
            <w:r>
              <w:rPr>
                <w:sz w:val="20"/>
                <w:lang w:val="en-US"/>
              </w:rPr>
              <w:t>35</w:t>
            </w:r>
          </w:p>
        </w:tc>
        <w:tc>
          <w:tcPr>
            <w:tcW w:w="1021"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lang w:val="en-US"/>
              </w:rPr>
              <w:t xml:space="preserve"> </w:t>
            </w:r>
            <w:r>
              <w:rPr>
                <w:sz w:val="20"/>
              </w:rPr>
              <w:t xml:space="preserve"> </w:t>
            </w:r>
            <w:r>
              <w:rPr>
                <w:sz w:val="20"/>
                <w:lang w:val="en-US"/>
              </w:rPr>
              <w:t>0</w:t>
            </w:r>
            <w:r>
              <w:rPr>
                <w:sz w:val="20"/>
              </w:rPr>
              <w:t>,</w:t>
            </w:r>
            <w:r>
              <w:rPr>
                <w:sz w:val="20"/>
                <w:lang w:val="en-US"/>
              </w:rPr>
              <w:t>4</w:t>
            </w:r>
          </w:p>
        </w:tc>
        <w:tc>
          <w:tcPr>
            <w:tcW w:w="800"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240</w:t>
            </w:r>
          </w:p>
        </w:tc>
      </w:tr>
      <w:tr w:rsidR="00000000">
        <w:tblPrEx>
          <w:tblCellMar>
            <w:top w:w="0" w:type="dxa"/>
          </w:tblCellMar>
        </w:tblPrEx>
        <w:trPr>
          <w:cantSplit/>
        </w:trPr>
        <w:tc>
          <w:tcPr>
            <w:tcW w:w="1220" w:type="pct"/>
            <w:tcBorders>
              <w:top w:val="nil"/>
              <w:bottom w:val="nil"/>
            </w:tcBorders>
          </w:tcPr>
          <w:p w:rsidR="00000000" w:rsidRDefault="00000000">
            <w:pPr>
              <w:autoSpaceDE w:val="0"/>
              <w:autoSpaceDN w:val="0"/>
              <w:adjustRightInd w:val="0"/>
              <w:spacing w:line="240" w:lineRule="auto"/>
              <w:rPr>
                <w:sz w:val="20"/>
              </w:rPr>
            </w:pPr>
            <w:r>
              <w:rPr>
                <w:sz w:val="20"/>
              </w:rPr>
              <w:t>Май</w:t>
            </w:r>
            <w:r>
              <w:rPr>
                <w:sz w:val="20"/>
              </w:rPr>
              <w:noBreakHyphen/>
              <w:t>декабрь 1997 года</w:t>
            </w:r>
          </w:p>
        </w:tc>
        <w:tc>
          <w:tcPr>
            <w:tcW w:w="1043"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5 943</w:t>
            </w:r>
          </w:p>
        </w:tc>
        <w:tc>
          <w:tcPr>
            <w:tcW w:w="916"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rPr>
              <w:t xml:space="preserve">  </w:t>
            </w:r>
            <w:r>
              <w:rPr>
                <w:sz w:val="20"/>
                <w:lang w:val="en-US"/>
              </w:rPr>
              <w:t>39</w:t>
            </w:r>
          </w:p>
        </w:tc>
        <w:tc>
          <w:tcPr>
            <w:tcW w:w="1021"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lang w:val="en-US"/>
              </w:rPr>
              <w:t xml:space="preserve"> </w:t>
            </w:r>
            <w:r>
              <w:rPr>
                <w:sz w:val="20"/>
              </w:rPr>
              <w:t xml:space="preserve"> </w:t>
            </w:r>
            <w:r>
              <w:rPr>
                <w:sz w:val="20"/>
                <w:lang w:val="en-US"/>
              </w:rPr>
              <w:t>0</w:t>
            </w:r>
            <w:r>
              <w:rPr>
                <w:sz w:val="20"/>
              </w:rPr>
              <w:t>,</w:t>
            </w:r>
            <w:r>
              <w:rPr>
                <w:sz w:val="20"/>
                <w:lang w:val="en-US"/>
              </w:rPr>
              <w:t>6</w:t>
            </w:r>
          </w:p>
        </w:tc>
        <w:tc>
          <w:tcPr>
            <w:tcW w:w="800"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180</w:t>
            </w:r>
          </w:p>
        </w:tc>
      </w:tr>
      <w:tr w:rsidR="00000000">
        <w:tblPrEx>
          <w:tblCellMar>
            <w:top w:w="0" w:type="dxa"/>
          </w:tblCellMar>
        </w:tblPrEx>
        <w:trPr>
          <w:cantSplit/>
        </w:trPr>
        <w:tc>
          <w:tcPr>
            <w:tcW w:w="1220" w:type="pct"/>
            <w:tcBorders>
              <w:top w:val="nil"/>
              <w:bottom w:val="nil"/>
            </w:tcBorders>
          </w:tcPr>
          <w:p w:rsidR="00000000" w:rsidRDefault="00000000">
            <w:pPr>
              <w:autoSpaceDE w:val="0"/>
              <w:autoSpaceDN w:val="0"/>
              <w:adjustRightInd w:val="0"/>
              <w:spacing w:line="240" w:lineRule="auto"/>
              <w:rPr>
                <w:sz w:val="20"/>
              </w:rPr>
            </w:pPr>
            <w:r>
              <w:rPr>
                <w:sz w:val="20"/>
              </w:rPr>
              <w:t>Январь</w:t>
            </w:r>
            <w:r>
              <w:rPr>
                <w:sz w:val="20"/>
              </w:rPr>
              <w:noBreakHyphen/>
              <w:t>декабрь 1998 года</w:t>
            </w:r>
          </w:p>
        </w:tc>
        <w:tc>
          <w:tcPr>
            <w:tcW w:w="1043"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6 523</w:t>
            </w:r>
          </w:p>
        </w:tc>
        <w:tc>
          <w:tcPr>
            <w:tcW w:w="916"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 xml:space="preserve"> </w:t>
            </w:r>
            <w:r>
              <w:rPr>
                <w:sz w:val="20"/>
              </w:rPr>
              <w:t xml:space="preserve"> </w:t>
            </w:r>
            <w:r>
              <w:rPr>
                <w:sz w:val="20"/>
                <w:lang w:val="en-US"/>
              </w:rPr>
              <w:t>21</w:t>
            </w:r>
          </w:p>
        </w:tc>
        <w:tc>
          <w:tcPr>
            <w:tcW w:w="1021"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lang w:val="en-US"/>
              </w:rPr>
              <w:t xml:space="preserve"> </w:t>
            </w:r>
            <w:r>
              <w:rPr>
                <w:sz w:val="20"/>
              </w:rPr>
              <w:t xml:space="preserve"> </w:t>
            </w:r>
            <w:r>
              <w:rPr>
                <w:sz w:val="20"/>
                <w:lang w:val="en-US"/>
              </w:rPr>
              <w:t>0</w:t>
            </w:r>
            <w:r>
              <w:rPr>
                <w:sz w:val="20"/>
              </w:rPr>
              <w:t>,</w:t>
            </w:r>
            <w:r>
              <w:rPr>
                <w:sz w:val="20"/>
                <w:lang w:val="en-US"/>
              </w:rPr>
              <w:t>3</w:t>
            </w:r>
          </w:p>
        </w:tc>
        <w:tc>
          <w:tcPr>
            <w:tcW w:w="800"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320</w:t>
            </w:r>
          </w:p>
        </w:tc>
      </w:tr>
      <w:tr w:rsidR="00000000">
        <w:tblPrEx>
          <w:tblCellMar>
            <w:top w:w="0" w:type="dxa"/>
          </w:tblCellMar>
        </w:tblPrEx>
        <w:trPr>
          <w:cantSplit/>
        </w:trPr>
        <w:tc>
          <w:tcPr>
            <w:tcW w:w="1220" w:type="pct"/>
            <w:tcBorders>
              <w:top w:val="nil"/>
              <w:bottom w:val="nil"/>
            </w:tcBorders>
          </w:tcPr>
          <w:p w:rsidR="00000000" w:rsidRDefault="00000000">
            <w:pPr>
              <w:autoSpaceDE w:val="0"/>
              <w:autoSpaceDN w:val="0"/>
              <w:adjustRightInd w:val="0"/>
              <w:spacing w:line="240" w:lineRule="auto"/>
              <w:rPr>
                <w:sz w:val="20"/>
              </w:rPr>
            </w:pPr>
            <w:r>
              <w:rPr>
                <w:sz w:val="20"/>
              </w:rPr>
              <w:t xml:space="preserve">Январь </w:t>
            </w:r>
            <w:r>
              <w:rPr>
                <w:sz w:val="20"/>
              </w:rPr>
              <w:noBreakHyphen/>
              <w:t xml:space="preserve"> 15 ноября 1999 года</w:t>
            </w:r>
          </w:p>
        </w:tc>
        <w:tc>
          <w:tcPr>
            <w:tcW w:w="1043"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5 402</w:t>
            </w:r>
          </w:p>
        </w:tc>
        <w:tc>
          <w:tcPr>
            <w:tcW w:w="916"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 xml:space="preserve">  </w:t>
            </w:r>
            <w:r>
              <w:rPr>
                <w:sz w:val="20"/>
              </w:rPr>
              <w:t xml:space="preserve">  </w:t>
            </w:r>
            <w:r>
              <w:rPr>
                <w:sz w:val="20"/>
                <w:lang w:val="en-US"/>
              </w:rPr>
              <w:t>6</w:t>
            </w:r>
          </w:p>
        </w:tc>
        <w:tc>
          <w:tcPr>
            <w:tcW w:w="1021"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lang w:val="en-US"/>
              </w:rPr>
              <w:t xml:space="preserve"> </w:t>
            </w:r>
            <w:r>
              <w:rPr>
                <w:sz w:val="20"/>
              </w:rPr>
              <w:t xml:space="preserve"> </w:t>
            </w:r>
            <w:r>
              <w:rPr>
                <w:sz w:val="20"/>
                <w:lang w:val="en-US"/>
              </w:rPr>
              <w:t>0</w:t>
            </w:r>
            <w:r>
              <w:rPr>
                <w:sz w:val="20"/>
              </w:rPr>
              <w:t>,</w:t>
            </w:r>
            <w:r>
              <w:rPr>
                <w:sz w:val="20"/>
                <w:lang w:val="en-US"/>
              </w:rPr>
              <w:t>1</w:t>
            </w:r>
          </w:p>
        </w:tc>
        <w:tc>
          <w:tcPr>
            <w:tcW w:w="800"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470</w:t>
            </w:r>
          </w:p>
        </w:tc>
      </w:tr>
      <w:tr w:rsidR="00000000">
        <w:tblPrEx>
          <w:tblCellMar>
            <w:top w:w="0" w:type="dxa"/>
          </w:tblCellMar>
        </w:tblPrEx>
        <w:trPr>
          <w:cantSplit/>
        </w:trPr>
        <w:tc>
          <w:tcPr>
            <w:tcW w:w="1220" w:type="pct"/>
            <w:tcBorders>
              <w:top w:val="nil"/>
              <w:bottom w:val="nil"/>
            </w:tcBorders>
          </w:tcPr>
          <w:p w:rsidR="00000000" w:rsidRDefault="00000000">
            <w:pPr>
              <w:autoSpaceDE w:val="0"/>
              <w:autoSpaceDN w:val="0"/>
              <w:adjustRightInd w:val="0"/>
              <w:spacing w:line="240" w:lineRule="auto"/>
              <w:rPr>
                <w:sz w:val="20"/>
              </w:rPr>
            </w:pPr>
            <w:r>
              <w:rPr>
                <w:sz w:val="20"/>
              </w:rPr>
              <w:t>16 ноября 1999</w:t>
            </w:r>
            <w:r>
              <w:rPr>
                <w:sz w:val="20"/>
                <w:lang w:val="en-US"/>
              </w:rPr>
              <w:t> </w:t>
            </w:r>
            <w:r>
              <w:rPr>
                <w:sz w:val="20"/>
              </w:rPr>
              <w:t>года </w:t>
            </w:r>
            <w:r>
              <w:rPr>
                <w:sz w:val="20"/>
              </w:rPr>
              <w:noBreakHyphen/>
              <w:t xml:space="preserve"> 15 ноября 2000</w:t>
            </w:r>
            <w:r>
              <w:rPr>
                <w:sz w:val="20"/>
                <w:lang w:val="en-US"/>
              </w:rPr>
              <w:t> </w:t>
            </w:r>
            <w:r>
              <w:rPr>
                <w:sz w:val="20"/>
              </w:rPr>
              <w:t>года </w:t>
            </w:r>
          </w:p>
        </w:tc>
        <w:tc>
          <w:tcPr>
            <w:tcW w:w="1043"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4 473</w:t>
            </w:r>
          </w:p>
        </w:tc>
        <w:tc>
          <w:tcPr>
            <w:tcW w:w="916"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 xml:space="preserve">  </w:t>
            </w:r>
            <w:r>
              <w:rPr>
                <w:sz w:val="20"/>
              </w:rPr>
              <w:t xml:space="preserve">  </w:t>
            </w:r>
            <w:r>
              <w:rPr>
                <w:sz w:val="20"/>
                <w:lang w:val="en-US"/>
              </w:rPr>
              <w:t>9</w:t>
            </w:r>
          </w:p>
        </w:tc>
        <w:tc>
          <w:tcPr>
            <w:tcW w:w="1021"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lang w:val="en-US"/>
              </w:rPr>
              <w:t xml:space="preserve"> </w:t>
            </w:r>
            <w:r>
              <w:rPr>
                <w:sz w:val="20"/>
              </w:rPr>
              <w:t xml:space="preserve"> </w:t>
            </w:r>
            <w:r>
              <w:rPr>
                <w:sz w:val="20"/>
                <w:lang w:val="en-US"/>
              </w:rPr>
              <w:t>0</w:t>
            </w:r>
            <w:r>
              <w:rPr>
                <w:sz w:val="20"/>
              </w:rPr>
              <w:t>,</w:t>
            </w:r>
            <w:r>
              <w:rPr>
                <w:sz w:val="20"/>
                <w:lang w:val="en-US"/>
              </w:rPr>
              <w:t>2</w:t>
            </w:r>
          </w:p>
        </w:tc>
        <w:tc>
          <w:tcPr>
            <w:tcW w:w="800"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510</w:t>
            </w:r>
          </w:p>
        </w:tc>
      </w:tr>
      <w:tr w:rsidR="00000000">
        <w:tblPrEx>
          <w:tblCellMar>
            <w:top w:w="0" w:type="dxa"/>
          </w:tblCellMar>
        </w:tblPrEx>
        <w:trPr>
          <w:cantSplit/>
        </w:trPr>
        <w:tc>
          <w:tcPr>
            <w:tcW w:w="1220" w:type="pct"/>
            <w:tcBorders>
              <w:top w:val="nil"/>
              <w:bottom w:val="nil"/>
            </w:tcBorders>
          </w:tcPr>
          <w:p w:rsidR="00000000" w:rsidRDefault="00000000">
            <w:pPr>
              <w:autoSpaceDE w:val="0"/>
              <w:autoSpaceDN w:val="0"/>
              <w:adjustRightInd w:val="0"/>
              <w:spacing w:line="240" w:lineRule="auto"/>
              <w:rPr>
                <w:sz w:val="20"/>
              </w:rPr>
            </w:pPr>
            <w:r>
              <w:rPr>
                <w:sz w:val="20"/>
              </w:rPr>
              <w:t>16 ноября 2000</w:t>
            </w:r>
            <w:r>
              <w:rPr>
                <w:sz w:val="20"/>
                <w:lang w:val="en-US"/>
              </w:rPr>
              <w:t> </w:t>
            </w:r>
            <w:r>
              <w:rPr>
                <w:sz w:val="20"/>
              </w:rPr>
              <w:t xml:space="preserve">года </w:t>
            </w:r>
            <w:r>
              <w:rPr>
                <w:sz w:val="20"/>
              </w:rPr>
              <w:noBreakHyphen/>
              <w:t xml:space="preserve"> 31 декабря 2001</w:t>
            </w:r>
            <w:r>
              <w:rPr>
                <w:sz w:val="20"/>
                <w:lang w:val="en-US"/>
              </w:rPr>
              <w:t> </w:t>
            </w:r>
            <w:r>
              <w:rPr>
                <w:sz w:val="20"/>
              </w:rPr>
              <w:t>года</w:t>
            </w:r>
          </w:p>
        </w:tc>
        <w:tc>
          <w:tcPr>
            <w:tcW w:w="1043"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3 626</w:t>
            </w:r>
          </w:p>
        </w:tc>
        <w:tc>
          <w:tcPr>
            <w:tcW w:w="916"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 xml:space="preserve">  </w:t>
            </w:r>
            <w:r>
              <w:rPr>
                <w:sz w:val="20"/>
              </w:rPr>
              <w:t xml:space="preserve">  </w:t>
            </w:r>
            <w:r>
              <w:rPr>
                <w:sz w:val="20"/>
                <w:lang w:val="en-US"/>
              </w:rPr>
              <w:t>9</w:t>
            </w:r>
          </w:p>
        </w:tc>
        <w:tc>
          <w:tcPr>
            <w:tcW w:w="1021"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lang w:val="en-US"/>
              </w:rPr>
              <w:t xml:space="preserve"> </w:t>
            </w:r>
            <w:r>
              <w:rPr>
                <w:sz w:val="20"/>
              </w:rPr>
              <w:t xml:space="preserve"> </w:t>
            </w:r>
            <w:r>
              <w:rPr>
                <w:sz w:val="20"/>
                <w:lang w:val="en-US"/>
              </w:rPr>
              <w:t>0</w:t>
            </w:r>
            <w:r>
              <w:rPr>
                <w:sz w:val="20"/>
              </w:rPr>
              <w:t>,</w:t>
            </w:r>
            <w:r>
              <w:rPr>
                <w:sz w:val="20"/>
                <w:lang w:val="en-US"/>
              </w:rPr>
              <w:t>2</w:t>
            </w:r>
          </w:p>
        </w:tc>
        <w:tc>
          <w:tcPr>
            <w:tcW w:w="800"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490</w:t>
            </w:r>
          </w:p>
        </w:tc>
      </w:tr>
      <w:tr w:rsidR="00000000">
        <w:tblPrEx>
          <w:tblCellMar>
            <w:top w:w="0" w:type="dxa"/>
          </w:tblCellMar>
        </w:tblPrEx>
        <w:trPr>
          <w:cantSplit/>
        </w:trPr>
        <w:tc>
          <w:tcPr>
            <w:tcW w:w="1220" w:type="pct"/>
            <w:tcBorders>
              <w:top w:val="nil"/>
              <w:bottom w:val="nil"/>
            </w:tcBorders>
          </w:tcPr>
          <w:p w:rsidR="00000000" w:rsidRDefault="00000000">
            <w:pPr>
              <w:autoSpaceDE w:val="0"/>
              <w:autoSpaceDN w:val="0"/>
              <w:adjustRightInd w:val="0"/>
              <w:spacing w:line="240" w:lineRule="auto"/>
              <w:rPr>
                <w:sz w:val="20"/>
              </w:rPr>
            </w:pPr>
            <w:r>
              <w:rPr>
                <w:sz w:val="20"/>
              </w:rPr>
              <w:t>Январь</w:t>
            </w:r>
            <w:r>
              <w:rPr>
                <w:sz w:val="20"/>
              </w:rPr>
              <w:noBreakHyphen/>
              <w:t>декабрь 2002</w:t>
            </w:r>
            <w:r>
              <w:rPr>
                <w:sz w:val="20"/>
                <w:lang w:val="en-US"/>
              </w:rPr>
              <w:t> </w:t>
            </w:r>
            <w:r>
              <w:rPr>
                <w:sz w:val="20"/>
              </w:rPr>
              <w:t xml:space="preserve">года </w:t>
            </w:r>
          </w:p>
        </w:tc>
        <w:tc>
          <w:tcPr>
            <w:tcW w:w="1043"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3 184</w:t>
            </w:r>
          </w:p>
        </w:tc>
        <w:tc>
          <w:tcPr>
            <w:tcW w:w="916"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 xml:space="preserve">  19</w:t>
            </w:r>
          </w:p>
        </w:tc>
        <w:tc>
          <w:tcPr>
            <w:tcW w:w="1021" w:type="pct"/>
            <w:tcBorders>
              <w:top w:val="nil"/>
              <w:bottom w:val="nil"/>
            </w:tcBorders>
            <w:vAlign w:val="center"/>
          </w:tcPr>
          <w:p w:rsidR="00000000" w:rsidRDefault="00000000">
            <w:pPr>
              <w:autoSpaceDE w:val="0"/>
              <w:autoSpaceDN w:val="0"/>
              <w:adjustRightInd w:val="0"/>
              <w:spacing w:line="240" w:lineRule="auto"/>
              <w:jc w:val="center"/>
              <w:rPr>
                <w:sz w:val="20"/>
              </w:rPr>
            </w:pPr>
            <w:r>
              <w:rPr>
                <w:sz w:val="20"/>
                <w:lang w:val="en-US"/>
              </w:rPr>
              <w:t xml:space="preserve"> </w:t>
            </w:r>
            <w:r>
              <w:rPr>
                <w:sz w:val="20"/>
              </w:rPr>
              <w:t xml:space="preserve"> </w:t>
            </w:r>
            <w:r>
              <w:rPr>
                <w:sz w:val="20"/>
                <w:lang w:val="en-US"/>
              </w:rPr>
              <w:t>0,6</w:t>
            </w:r>
          </w:p>
        </w:tc>
        <w:tc>
          <w:tcPr>
            <w:tcW w:w="800" w:type="pct"/>
            <w:tcBorders>
              <w:top w:val="nil"/>
              <w:bottom w:val="nil"/>
            </w:tcBorders>
            <w:vAlign w:val="center"/>
          </w:tcPr>
          <w:p w:rsidR="00000000" w:rsidRDefault="00000000">
            <w:pPr>
              <w:autoSpaceDE w:val="0"/>
              <w:autoSpaceDN w:val="0"/>
              <w:adjustRightInd w:val="0"/>
              <w:spacing w:line="240" w:lineRule="auto"/>
              <w:jc w:val="center"/>
              <w:rPr>
                <w:sz w:val="20"/>
                <w:lang w:val="en-US"/>
              </w:rPr>
            </w:pPr>
            <w:r>
              <w:rPr>
                <w:sz w:val="20"/>
                <w:lang w:val="en-US"/>
              </w:rPr>
              <w:t>310</w:t>
            </w:r>
          </w:p>
        </w:tc>
      </w:tr>
      <w:tr w:rsidR="00000000">
        <w:tblPrEx>
          <w:tblCellMar>
            <w:top w:w="0" w:type="dxa"/>
          </w:tblCellMar>
        </w:tblPrEx>
        <w:trPr>
          <w:cantSplit/>
        </w:trPr>
        <w:tc>
          <w:tcPr>
            <w:tcW w:w="1220" w:type="pct"/>
            <w:tcBorders>
              <w:top w:val="nil"/>
            </w:tcBorders>
          </w:tcPr>
          <w:p w:rsidR="00000000" w:rsidRDefault="00000000">
            <w:pPr>
              <w:autoSpaceDE w:val="0"/>
              <w:autoSpaceDN w:val="0"/>
              <w:adjustRightInd w:val="0"/>
              <w:spacing w:line="240" w:lineRule="auto"/>
              <w:rPr>
                <w:sz w:val="20"/>
              </w:rPr>
            </w:pPr>
            <w:r>
              <w:rPr>
                <w:sz w:val="20"/>
              </w:rPr>
              <w:t>Январь</w:t>
            </w:r>
            <w:r>
              <w:rPr>
                <w:sz w:val="20"/>
              </w:rPr>
              <w:noBreakHyphen/>
              <w:t>декабрь 2003</w:t>
            </w:r>
            <w:r>
              <w:rPr>
                <w:sz w:val="20"/>
                <w:lang w:val="en-US"/>
              </w:rPr>
              <w:t> </w:t>
            </w:r>
            <w:r>
              <w:rPr>
                <w:sz w:val="20"/>
              </w:rPr>
              <w:t>года</w:t>
            </w:r>
          </w:p>
        </w:tc>
        <w:tc>
          <w:tcPr>
            <w:tcW w:w="1043" w:type="pct"/>
            <w:tcBorders>
              <w:top w:val="nil"/>
            </w:tcBorders>
            <w:vAlign w:val="center"/>
          </w:tcPr>
          <w:p w:rsidR="00000000" w:rsidRDefault="00000000">
            <w:pPr>
              <w:autoSpaceDE w:val="0"/>
              <w:autoSpaceDN w:val="0"/>
              <w:adjustRightInd w:val="0"/>
              <w:spacing w:line="240" w:lineRule="auto"/>
              <w:jc w:val="center"/>
              <w:rPr>
                <w:sz w:val="20"/>
                <w:lang w:val="en-US"/>
              </w:rPr>
            </w:pPr>
            <w:r>
              <w:rPr>
                <w:sz w:val="20"/>
                <w:lang w:val="en-US"/>
              </w:rPr>
              <w:t>3 518</w:t>
            </w:r>
          </w:p>
        </w:tc>
        <w:tc>
          <w:tcPr>
            <w:tcW w:w="916" w:type="pct"/>
            <w:tcBorders>
              <w:top w:val="nil"/>
            </w:tcBorders>
            <w:vAlign w:val="center"/>
          </w:tcPr>
          <w:p w:rsidR="00000000" w:rsidRDefault="00000000">
            <w:pPr>
              <w:autoSpaceDE w:val="0"/>
              <w:autoSpaceDN w:val="0"/>
              <w:adjustRightInd w:val="0"/>
              <w:spacing w:line="240" w:lineRule="auto"/>
              <w:jc w:val="center"/>
              <w:rPr>
                <w:sz w:val="20"/>
                <w:lang w:val="en-US"/>
              </w:rPr>
            </w:pPr>
            <w:r>
              <w:rPr>
                <w:sz w:val="20"/>
                <w:lang w:val="en-US"/>
              </w:rPr>
              <w:t xml:space="preserve">  13</w:t>
            </w:r>
          </w:p>
        </w:tc>
        <w:tc>
          <w:tcPr>
            <w:tcW w:w="1021" w:type="pct"/>
            <w:tcBorders>
              <w:top w:val="nil"/>
            </w:tcBorders>
            <w:vAlign w:val="center"/>
          </w:tcPr>
          <w:p w:rsidR="00000000" w:rsidRDefault="00000000">
            <w:pPr>
              <w:autoSpaceDE w:val="0"/>
              <w:autoSpaceDN w:val="0"/>
              <w:adjustRightInd w:val="0"/>
              <w:spacing w:line="240" w:lineRule="auto"/>
              <w:jc w:val="center"/>
              <w:rPr>
                <w:sz w:val="20"/>
              </w:rPr>
            </w:pPr>
            <w:r>
              <w:rPr>
                <w:sz w:val="20"/>
                <w:lang w:val="en-US"/>
              </w:rPr>
              <w:t xml:space="preserve"> </w:t>
            </w:r>
            <w:r>
              <w:rPr>
                <w:sz w:val="20"/>
              </w:rPr>
              <w:t xml:space="preserve"> </w:t>
            </w:r>
            <w:r>
              <w:rPr>
                <w:sz w:val="20"/>
                <w:lang w:val="en-US"/>
              </w:rPr>
              <w:t>0</w:t>
            </w:r>
            <w:r>
              <w:rPr>
                <w:sz w:val="20"/>
              </w:rPr>
              <w:t>,</w:t>
            </w:r>
            <w:r>
              <w:rPr>
                <w:sz w:val="20"/>
                <w:lang w:val="en-US"/>
              </w:rPr>
              <w:t>.3</w:t>
            </w:r>
          </w:p>
        </w:tc>
        <w:tc>
          <w:tcPr>
            <w:tcW w:w="800" w:type="pct"/>
            <w:tcBorders>
              <w:top w:val="nil"/>
            </w:tcBorders>
            <w:vAlign w:val="center"/>
          </w:tcPr>
          <w:p w:rsidR="00000000" w:rsidRDefault="00000000">
            <w:pPr>
              <w:autoSpaceDE w:val="0"/>
              <w:autoSpaceDN w:val="0"/>
              <w:adjustRightInd w:val="0"/>
              <w:spacing w:line="240" w:lineRule="auto"/>
              <w:jc w:val="center"/>
              <w:rPr>
                <w:sz w:val="20"/>
                <w:lang w:val="en-US"/>
              </w:rPr>
            </w:pPr>
            <w:r>
              <w:rPr>
                <w:sz w:val="20"/>
                <w:lang w:val="en-US"/>
              </w:rPr>
              <w:t>360</w:t>
            </w:r>
          </w:p>
        </w:tc>
      </w:tr>
    </w:tbl>
    <w:p w:rsidR="00000000" w:rsidRDefault="00000000">
      <w:pPr>
        <w:autoSpaceDE w:val="0"/>
        <w:autoSpaceDN w:val="0"/>
        <w:adjustRightInd w:val="0"/>
        <w:rPr>
          <w:lang w:val="en-US"/>
        </w:rPr>
      </w:pPr>
    </w:p>
    <w:p w:rsidR="00000000" w:rsidRDefault="00000000">
      <w:pPr>
        <w:keepNext/>
        <w:autoSpaceDE w:val="0"/>
        <w:autoSpaceDN w:val="0"/>
        <w:adjustRightInd w:val="0"/>
        <w:jc w:val="center"/>
        <w:rPr>
          <w:b/>
          <w:bCs/>
        </w:rPr>
      </w:pPr>
      <w:r>
        <w:rPr>
          <w:b/>
          <w:bCs/>
        </w:rPr>
        <w:t>С.</w:t>
      </w:r>
      <w:r>
        <w:rPr>
          <w:b/>
          <w:bCs/>
        </w:rPr>
        <w:tab/>
        <w:t>Жалобы, поданные комиссиям штатов по правам человека</w:t>
      </w:r>
    </w:p>
    <w:p w:rsidR="00000000" w:rsidRDefault="00000000">
      <w:pPr>
        <w:keepNext/>
        <w:spacing w:line="240" w:lineRule="auto"/>
        <w:jc w:val="both"/>
      </w:pPr>
    </w:p>
    <w:p w:rsidR="00000000" w:rsidRDefault="00000000">
      <w:pPr>
        <w:keepNext/>
        <w:jc w:val="both"/>
      </w:pPr>
      <w:r>
        <w:t>249.</w:t>
      </w:r>
      <w:r>
        <w:tab/>
        <w:t>Ниже в таблице указано решение жалоб, полученных комиссиями штатов по правам человека в период с 1997 по 2003 год.</w:t>
      </w:r>
    </w:p>
    <w:p w:rsidR="00000000" w:rsidRDefault="00000000">
      <w:pPr>
        <w:keepNext/>
        <w:spacing w:line="240" w:lineRule="auto"/>
        <w:jc w:val="both"/>
      </w:pPr>
    </w:p>
    <w:tbl>
      <w:tblPr>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bottom w:w="170" w:type="dxa"/>
          <w:right w:w="28" w:type="dxa"/>
        </w:tblCellMar>
        <w:tblLook w:val="01E0" w:firstRow="1" w:lastRow="1" w:firstColumn="1" w:lastColumn="1" w:noHBand="0" w:noVBand="0"/>
      </w:tblPr>
      <w:tblGrid>
        <w:gridCol w:w="3178"/>
        <w:gridCol w:w="18"/>
        <w:gridCol w:w="1326"/>
        <w:gridCol w:w="4891"/>
      </w:tblGrid>
      <w:tr w:rsidR="00000000">
        <w:trPr>
          <w:cantSplit/>
          <w:tblHeader/>
        </w:trPr>
        <w:tc>
          <w:tcPr>
            <w:tcW w:w="3178" w:type="dxa"/>
          </w:tcPr>
          <w:p w:rsidR="00000000" w:rsidRDefault="00000000">
            <w:pPr>
              <w:spacing w:line="240" w:lineRule="auto"/>
              <w:jc w:val="center"/>
              <w:rPr>
                <w:bCs/>
                <w:lang w:val="es-MX"/>
              </w:rPr>
            </w:pPr>
          </w:p>
        </w:tc>
        <w:tc>
          <w:tcPr>
            <w:tcW w:w="1344" w:type="dxa"/>
            <w:gridSpan w:val="2"/>
          </w:tcPr>
          <w:p w:rsidR="00000000" w:rsidRDefault="00000000">
            <w:pPr>
              <w:spacing w:line="240" w:lineRule="auto"/>
              <w:jc w:val="center"/>
              <w:rPr>
                <w:bCs/>
                <w:lang w:val="es-MX"/>
              </w:rPr>
            </w:pPr>
            <w:r>
              <w:rPr>
                <w:bCs/>
                <w:lang w:val="es-MX"/>
              </w:rPr>
              <w:t>Число полученных жалоб</w:t>
            </w:r>
          </w:p>
        </w:tc>
        <w:tc>
          <w:tcPr>
            <w:tcW w:w="4891" w:type="dxa"/>
            <w:tcBorders>
              <w:bottom w:val="single" w:sz="4" w:space="0" w:color="auto"/>
            </w:tcBorders>
          </w:tcPr>
          <w:p w:rsidR="00000000" w:rsidRDefault="00000000">
            <w:pPr>
              <w:spacing w:line="240" w:lineRule="auto"/>
              <w:jc w:val="center"/>
              <w:rPr>
                <w:bCs/>
                <w:lang w:val="es-MX"/>
              </w:rPr>
            </w:pPr>
            <w:r>
              <w:rPr>
                <w:bCs/>
              </w:rPr>
              <w:t xml:space="preserve">Решение </w:t>
            </w:r>
          </w:p>
        </w:tc>
      </w:tr>
      <w:tr w:rsidR="00000000">
        <w:tc>
          <w:tcPr>
            <w:tcW w:w="3196" w:type="dxa"/>
            <w:gridSpan w:val="2"/>
            <w:tcBorders>
              <w:bottom w:val="single" w:sz="4" w:space="0" w:color="auto"/>
            </w:tcBorders>
          </w:tcPr>
          <w:p w:rsidR="00000000" w:rsidRDefault="00000000">
            <w:pPr>
              <w:spacing w:line="240" w:lineRule="auto"/>
              <w:rPr>
                <w:lang w:val="es-MX"/>
              </w:rPr>
            </w:pPr>
            <w:r>
              <w:t>Комиссия по правам человека штата Колима</w:t>
            </w:r>
          </w:p>
        </w:tc>
        <w:tc>
          <w:tcPr>
            <w:tcW w:w="1326" w:type="dxa"/>
            <w:tcBorders>
              <w:bottom w:val="single" w:sz="4" w:space="0" w:color="auto"/>
            </w:tcBorders>
          </w:tcPr>
          <w:p w:rsidR="00000000" w:rsidRDefault="00000000">
            <w:pPr>
              <w:spacing w:line="240" w:lineRule="auto"/>
              <w:jc w:val="center"/>
              <w:rPr>
                <w:lang w:val="es-MX"/>
              </w:rPr>
            </w:pPr>
            <w:r>
              <w:t xml:space="preserve">  </w:t>
            </w:r>
            <w:r>
              <w:rPr>
                <w:lang w:val="es-MX"/>
              </w:rPr>
              <w:t>56</w:t>
            </w:r>
          </w:p>
        </w:tc>
        <w:tc>
          <w:tcPr>
            <w:tcW w:w="4891" w:type="dxa"/>
            <w:tcBorders>
              <w:bottom w:val="single" w:sz="4" w:space="0" w:color="auto"/>
            </w:tcBorders>
            <w:vAlign w:val="center"/>
          </w:tcPr>
          <w:p w:rsidR="00000000" w:rsidRDefault="00000000">
            <w:pPr>
              <w:spacing w:line="240" w:lineRule="auto"/>
            </w:pPr>
            <w:r>
              <w:rPr>
                <w:lang w:val="es-MX"/>
              </w:rPr>
              <w:t xml:space="preserve">24 </w:t>
            </w:r>
            <w:r>
              <w:t>жалобы решены в результате отсутствия вины органов власти</w:t>
            </w:r>
          </w:p>
          <w:p w:rsidR="00000000" w:rsidRDefault="00000000">
            <w:pPr>
              <w:spacing w:line="120" w:lineRule="auto"/>
            </w:pPr>
          </w:p>
          <w:p w:rsidR="00000000" w:rsidRDefault="00000000">
            <w:pPr>
              <w:spacing w:line="240" w:lineRule="auto"/>
              <w:rPr>
                <w:lang w:val="es-MX"/>
              </w:rPr>
            </w:pPr>
            <w:r>
              <w:rPr>
                <w:lang w:val="es-MX"/>
              </w:rPr>
              <w:t xml:space="preserve">16 </w:t>
            </w:r>
            <w:r>
              <w:noBreakHyphen/>
              <w:t xml:space="preserve"> в результате вынесенных рекомендаций</w:t>
            </w:r>
            <w:r>
              <w:rPr>
                <w:lang w:val="es-MX"/>
              </w:rPr>
              <w:t xml:space="preserve"> (6</w:t>
            </w:r>
            <w:r>
              <w:t> не были приняты</w:t>
            </w:r>
            <w:r>
              <w:rPr>
                <w:lang w:val="es-MX"/>
              </w:rPr>
              <w:t>)</w:t>
            </w:r>
          </w:p>
          <w:p w:rsidR="00000000" w:rsidRDefault="00000000">
            <w:pPr>
              <w:spacing w:line="120" w:lineRule="auto"/>
            </w:pPr>
          </w:p>
          <w:p w:rsidR="00000000" w:rsidRDefault="00000000">
            <w:pPr>
              <w:spacing w:line="240" w:lineRule="auto"/>
              <w:rPr>
                <w:lang w:val="es-MX"/>
              </w:rPr>
            </w:pPr>
            <w:r>
              <w:rPr>
                <w:lang w:val="es-MX"/>
              </w:rPr>
              <w:t>5</w:t>
            </w:r>
            <w:r>
              <w:t> </w:t>
            </w:r>
            <w:r>
              <w:noBreakHyphen/>
              <w:t xml:space="preserve"> ввиду отсутствия нарушений прав человека</w:t>
            </w:r>
            <w:r>
              <w:rPr>
                <w:lang w:val="es-MX"/>
              </w:rPr>
              <w:t xml:space="preserve"> </w:t>
            </w:r>
          </w:p>
          <w:p w:rsidR="00000000" w:rsidRDefault="00000000">
            <w:pPr>
              <w:spacing w:line="120" w:lineRule="auto"/>
            </w:pPr>
          </w:p>
          <w:p w:rsidR="00000000" w:rsidRDefault="00000000">
            <w:pPr>
              <w:spacing w:line="240" w:lineRule="auto"/>
              <w:rPr>
                <w:lang w:val="es-MX"/>
              </w:rPr>
            </w:pPr>
            <w:r>
              <w:rPr>
                <w:lang w:val="es-MX"/>
              </w:rPr>
              <w:t>4</w:t>
            </w:r>
            <w:r>
              <w:t> </w:t>
            </w:r>
            <w:r>
              <w:noBreakHyphen/>
              <w:t xml:space="preserve"> как не относящиеся к вопросу</w:t>
            </w:r>
            <w:r>
              <w:rPr>
                <w:lang w:val="es-MX"/>
              </w:rPr>
              <w:t xml:space="preserve"> </w:t>
            </w:r>
          </w:p>
          <w:p w:rsidR="00000000" w:rsidRDefault="00000000">
            <w:pPr>
              <w:spacing w:line="120" w:lineRule="auto"/>
            </w:pPr>
          </w:p>
          <w:p w:rsidR="00000000" w:rsidRDefault="00000000">
            <w:pPr>
              <w:spacing w:line="240" w:lineRule="auto"/>
              <w:rPr>
                <w:lang w:val="es-MX"/>
              </w:rPr>
            </w:pPr>
            <w:r>
              <w:rPr>
                <w:lang w:val="es-MX"/>
              </w:rPr>
              <w:t>3</w:t>
            </w:r>
            <w:r>
              <w:rPr>
                <w:lang w:val="fr-FR"/>
              </w:rPr>
              <w:t> </w:t>
            </w:r>
            <w:r>
              <w:noBreakHyphen/>
            </w:r>
            <w:r>
              <w:rPr>
                <w:lang w:val="es-MX"/>
              </w:rPr>
              <w:t xml:space="preserve"> </w:t>
            </w:r>
            <w:r>
              <w:t>ввиду утраты заинтересованности подавшего жалобу лица</w:t>
            </w:r>
          </w:p>
          <w:p w:rsidR="00000000" w:rsidRDefault="00000000">
            <w:pPr>
              <w:spacing w:line="120" w:lineRule="auto"/>
            </w:pPr>
          </w:p>
          <w:p w:rsidR="00000000" w:rsidRDefault="00000000">
            <w:pPr>
              <w:spacing w:line="240" w:lineRule="auto"/>
            </w:pPr>
            <w:r>
              <w:rPr>
                <w:lang w:val="es-MX"/>
              </w:rPr>
              <w:t>2</w:t>
            </w:r>
            <w:r>
              <w:t> </w:t>
            </w:r>
            <w:r>
              <w:noBreakHyphen/>
              <w:t xml:space="preserve"> переданы на рассмотрение Национальной комиссии</w:t>
            </w:r>
          </w:p>
          <w:p w:rsidR="00000000" w:rsidRDefault="00000000">
            <w:pPr>
              <w:spacing w:line="240" w:lineRule="auto"/>
            </w:pPr>
          </w:p>
        </w:tc>
      </w:tr>
      <w:tr w:rsidR="00000000">
        <w:tc>
          <w:tcPr>
            <w:tcW w:w="3196" w:type="dxa"/>
            <w:gridSpan w:val="2"/>
            <w:tcBorders>
              <w:top w:val="single" w:sz="4" w:space="0" w:color="auto"/>
              <w:bottom w:val="nil"/>
            </w:tcBorders>
          </w:tcPr>
          <w:p w:rsidR="00000000" w:rsidRDefault="00000000">
            <w:pPr>
              <w:spacing w:line="240" w:lineRule="auto"/>
            </w:pPr>
          </w:p>
        </w:tc>
        <w:tc>
          <w:tcPr>
            <w:tcW w:w="1326" w:type="dxa"/>
            <w:tcBorders>
              <w:top w:val="nil"/>
              <w:bottom w:val="nil"/>
            </w:tcBorders>
          </w:tcPr>
          <w:p w:rsidR="00000000" w:rsidRDefault="00000000">
            <w:pPr>
              <w:spacing w:line="240" w:lineRule="auto"/>
              <w:jc w:val="center"/>
              <w:rPr>
                <w:lang w:val="es-MX"/>
              </w:rPr>
            </w:pPr>
          </w:p>
        </w:tc>
        <w:tc>
          <w:tcPr>
            <w:tcW w:w="4891" w:type="dxa"/>
            <w:tcBorders>
              <w:top w:val="single" w:sz="4" w:space="0" w:color="auto"/>
              <w:bottom w:val="nil"/>
            </w:tcBorders>
            <w:vAlign w:val="center"/>
          </w:tcPr>
          <w:p w:rsidR="00000000" w:rsidRDefault="00000000">
            <w:pPr>
              <w:spacing w:line="240" w:lineRule="auto"/>
              <w:rPr>
                <w:lang w:val="es-MX"/>
              </w:rPr>
            </w:pPr>
            <w:r>
              <w:t>2 </w:t>
            </w:r>
            <w:r>
              <w:noBreakHyphen/>
              <w:t xml:space="preserve"> как дела, на которые не распространяется компетенция Комиссии</w:t>
            </w:r>
          </w:p>
        </w:tc>
      </w:tr>
      <w:tr w:rsidR="00000000">
        <w:tc>
          <w:tcPr>
            <w:tcW w:w="3196" w:type="dxa"/>
            <w:gridSpan w:val="2"/>
            <w:tcBorders>
              <w:top w:val="nil"/>
              <w:bottom w:val="nil"/>
            </w:tcBorders>
          </w:tcPr>
          <w:p w:rsidR="00000000" w:rsidRDefault="00000000">
            <w:pPr>
              <w:spacing w:line="240" w:lineRule="auto"/>
              <w:rPr>
                <w:lang w:val="es-MX"/>
              </w:rPr>
            </w:pPr>
            <w:r>
              <w:t>Комиссия</w:t>
            </w:r>
            <w:r>
              <w:rPr>
                <w:lang w:val="es-MX"/>
              </w:rPr>
              <w:t xml:space="preserve"> </w:t>
            </w:r>
            <w:r>
              <w:t>по</w:t>
            </w:r>
            <w:r>
              <w:rPr>
                <w:lang w:val="es-MX"/>
              </w:rPr>
              <w:t xml:space="preserve"> </w:t>
            </w:r>
            <w:r>
              <w:t>правам</w:t>
            </w:r>
            <w:r>
              <w:rPr>
                <w:lang w:val="es-MX"/>
              </w:rPr>
              <w:t xml:space="preserve"> </w:t>
            </w:r>
            <w:r>
              <w:t>человека</w:t>
            </w:r>
            <w:r>
              <w:rPr>
                <w:lang w:val="es-MX"/>
              </w:rPr>
              <w:t xml:space="preserve"> </w:t>
            </w:r>
            <w:r>
              <w:t>штата</w:t>
            </w:r>
            <w:r>
              <w:rPr>
                <w:lang w:val="es-MX"/>
              </w:rPr>
              <w:t xml:space="preserve"> </w:t>
            </w:r>
            <w:r>
              <w:t>Гуанахуато</w:t>
            </w:r>
          </w:p>
        </w:tc>
        <w:tc>
          <w:tcPr>
            <w:tcW w:w="1326" w:type="dxa"/>
            <w:tcBorders>
              <w:top w:val="nil"/>
              <w:bottom w:val="nil"/>
            </w:tcBorders>
          </w:tcPr>
          <w:p w:rsidR="00000000" w:rsidRDefault="00000000">
            <w:pPr>
              <w:spacing w:line="240" w:lineRule="auto"/>
              <w:jc w:val="center"/>
              <w:rPr>
                <w:lang w:val="es-MX"/>
              </w:rPr>
            </w:pPr>
            <w:r>
              <w:rPr>
                <w:lang w:val="es-MX"/>
              </w:rPr>
              <w:t>147</w:t>
            </w:r>
          </w:p>
        </w:tc>
        <w:tc>
          <w:tcPr>
            <w:tcW w:w="4891" w:type="dxa"/>
            <w:tcBorders>
              <w:top w:val="nil"/>
            </w:tcBorders>
            <w:vAlign w:val="center"/>
          </w:tcPr>
          <w:p w:rsidR="00000000" w:rsidRDefault="00000000">
            <w:pPr>
              <w:spacing w:line="240" w:lineRule="auto"/>
            </w:pPr>
            <w:r>
              <w:rPr>
                <w:lang w:val="es-MX"/>
              </w:rPr>
              <w:t xml:space="preserve">126 </w:t>
            </w:r>
            <w:r>
              <w:t>жалоб были разрешены различными способами</w:t>
            </w:r>
          </w:p>
          <w:p w:rsidR="00000000" w:rsidRDefault="00000000">
            <w:pPr>
              <w:spacing w:line="120" w:lineRule="auto"/>
            </w:pPr>
          </w:p>
          <w:p w:rsidR="00000000" w:rsidRDefault="00000000">
            <w:pPr>
              <w:spacing w:line="240" w:lineRule="auto"/>
              <w:rPr>
                <w:b/>
                <w:lang w:val="es-MX"/>
              </w:rPr>
            </w:pPr>
            <w:r>
              <w:rPr>
                <w:lang w:val="es-MX"/>
              </w:rPr>
              <w:t>17 </w:t>
            </w:r>
            <w:r>
              <w:rPr>
                <w:lang w:val="es-MX"/>
              </w:rPr>
              <w:noBreakHyphen/>
              <w:t xml:space="preserve"> </w:t>
            </w:r>
            <w:r>
              <w:t>в результате вынесенных рекомендаций</w:t>
            </w:r>
          </w:p>
        </w:tc>
      </w:tr>
      <w:tr w:rsidR="00000000">
        <w:tc>
          <w:tcPr>
            <w:tcW w:w="3196" w:type="dxa"/>
            <w:gridSpan w:val="2"/>
            <w:tcBorders>
              <w:top w:val="nil"/>
              <w:bottom w:val="nil"/>
            </w:tcBorders>
            <w:vAlign w:val="center"/>
          </w:tcPr>
          <w:p w:rsidR="00000000" w:rsidRDefault="00000000">
            <w:pPr>
              <w:spacing w:line="240" w:lineRule="auto"/>
            </w:pPr>
          </w:p>
        </w:tc>
        <w:tc>
          <w:tcPr>
            <w:tcW w:w="1326" w:type="dxa"/>
            <w:tcBorders>
              <w:top w:val="nil"/>
              <w:bottom w:val="nil"/>
            </w:tcBorders>
            <w:vAlign w:val="center"/>
          </w:tcPr>
          <w:p w:rsidR="00000000" w:rsidRDefault="00000000">
            <w:pPr>
              <w:spacing w:line="240" w:lineRule="auto"/>
              <w:jc w:val="center"/>
              <w:rPr>
                <w:lang w:val="es-MX"/>
              </w:rPr>
            </w:pPr>
          </w:p>
        </w:tc>
        <w:tc>
          <w:tcPr>
            <w:tcW w:w="4891" w:type="dxa"/>
            <w:vAlign w:val="center"/>
          </w:tcPr>
          <w:p w:rsidR="00000000" w:rsidRDefault="00000000">
            <w:pPr>
              <w:spacing w:line="240" w:lineRule="auto"/>
            </w:pPr>
            <w:r>
              <w:t>Всего:  143</w:t>
            </w:r>
          </w:p>
        </w:tc>
      </w:tr>
      <w:tr w:rsidR="00000000">
        <w:tc>
          <w:tcPr>
            <w:tcW w:w="3196" w:type="dxa"/>
            <w:gridSpan w:val="2"/>
            <w:tcBorders>
              <w:top w:val="nil"/>
              <w:bottom w:val="nil"/>
            </w:tcBorders>
            <w:vAlign w:val="center"/>
          </w:tcPr>
          <w:p w:rsidR="00000000" w:rsidRDefault="00000000">
            <w:pPr>
              <w:spacing w:line="240" w:lineRule="auto"/>
              <w:rPr>
                <w:lang w:val="es-MX"/>
              </w:rPr>
            </w:pPr>
            <w:r>
              <w:t>Комиссия</w:t>
            </w:r>
            <w:r>
              <w:rPr>
                <w:lang w:val="es-MX"/>
              </w:rPr>
              <w:t xml:space="preserve"> </w:t>
            </w:r>
            <w:r>
              <w:t>по</w:t>
            </w:r>
            <w:r>
              <w:rPr>
                <w:lang w:val="es-MX"/>
              </w:rPr>
              <w:t xml:space="preserve"> </w:t>
            </w:r>
            <w:r>
              <w:t>правам</w:t>
            </w:r>
            <w:r>
              <w:rPr>
                <w:lang w:val="es-MX"/>
              </w:rPr>
              <w:t xml:space="preserve"> </w:t>
            </w:r>
            <w:r>
              <w:t>человека</w:t>
            </w:r>
            <w:r>
              <w:rPr>
                <w:lang w:val="es-MX"/>
              </w:rPr>
              <w:t xml:space="preserve"> </w:t>
            </w:r>
            <w:r>
              <w:t>штата Нуэво-Леон</w:t>
            </w:r>
          </w:p>
        </w:tc>
        <w:tc>
          <w:tcPr>
            <w:tcW w:w="1326" w:type="dxa"/>
            <w:tcBorders>
              <w:top w:val="nil"/>
              <w:bottom w:val="nil"/>
            </w:tcBorders>
            <w:vAlign w:val="center"/>
          </w:tcPr>
          <w:p w:rsidR="00000000" w:rsidRDefault="00000000">
            <w:pPr>
              <w:spacing w:line="240" w:lineRule="auto"/>
              <w:jc w:val="center"/>
              <w:rPr>
                <w:lang w:val="es-MX"/>
              </w:rPr>
            </w:pPr>
            <w:r>
              <w:rPr>
                <w:lang w:val="es-MX"/>
              </w:rPr>
              <w:t>175</w:t>
            </w:r>
          </w:p>
        </w:tc>
        <w:tc>
          <w:tcPr>
            <w:tcW w:w="4891" w:type="dxa"/>
            <w:tcBorders>
              <w:bottom w:val="nil"/>
            </w:tcBorders>
            <w:vAlign w:val="center"/>
          </w:tcPr>
          <w:p w:rsidR="00000000" w:rsidRDefault="00000000">
            <w:pPr>
              <w:spacing w:line="240" w:lineRule="auto"/>
            </w:pPr>
            <w:r>
              <w:t>24 жалобы были разрешены в результате вынесенных рекомендаций</w:t>
            </w:r>
          </w:p>
        </w:tc>
      </w:tr>
      <w:tr w:rsidR="00000000">
        <w:tc>
          <w:tcPr>
            <w:tcW w:w="3196" w:type="dxa"/>
            <w:gridSpan w:val="2"/>
            <w:tcBorders>
              <w:top w:val="nil"/>
              <w:bottom w:val="nil"/>
            </w:tcBorders>
            <w:vAlign w:val="center"/>
          </w:tcPr>
          <w:p w:rsidR="00000000" w:rsidRDefault="00000000">
            <w:pPr>
              <w:spacing w:line="240" w:lineRule="auto"/>
              <w:rPr>
                <w:lang w:val="es-MX"/>
              </w:rPr>
            </w:pPr>
            <w:r>
              <w:t>Комиссия</w:t>
            </w:r>
            <w:r>
              <w:rPr>
                <w:lang w:val="es-MX"/>
              </w:rPr>
              <w:t xml:space="preserve"> </w:t>
            </w:r>
            <w:r>
              <w:t>по</w:t>
            </w:r>
            <w:r>
              <w:rPr>
                <w:lang w:val="es-MX"/>
              </w:rPr>
              <w:t xml:space="preserve"> </w:t>
            </w:r>
            <w:r>
              <w:t>правам</w:t>
            </w:r>
            <w:r>
              <w:rPr>
                <w:lang w:val="es-MX"/>
              </w:rPr>
              <w:t xml:space="preserve"> </w:t>
            </w:r>
            <w:r>
              <w:t>человека</w:t>
            </w:r>
            <w:r>
              <w:rPr>
                <w:lang w:val="es-MX"/>
              </w:rPr>
              <w:t xml:space="preserve"> </w:t>
            </w:r>
            <w:r>
              <w:t>штата Керетаро</w:t>
            </w:r>
          </w:p>
        </w:tc>
        <w:tc>
          <w:tcPr>
            <w:tcW w:w="1326" w:type="dxa"/>
            <w:tcBorders>
              <w:top w:val="nil"/>
              <w:bottom w:val="nil"/>
            </w:tcBorders>
            <w:vAlign w:val="center"/>
          </w:tcPr>
          <w:p w:rsidR="00000000" w:rsidRDefault="00000000">
            <w:pPr>
              <w:spacing w:line="240" w:lineRule="auto"/>
              <w:jc w:val="center"/>
              <w:rPr>
                <w:lang w:val="es-MX"/>
              </w:rPr>
            </w:pPr>
            <w:r>
              <w:rPr>
                <w:lang w:val="es-MX"/>
              </w:rPr>
              <w:t>132</w:t>
            </w:r>
          </w:p>
        </w:tc>
        <w:tc>
          <w:tcPr>
            <w:tcW w:w="4891" w:type="dxa"/>
            <w:tcBorders>
              <w:top w:val="nil"/>
              <w:bottom w:val="nil"/>
            </w:tcBorders>
            <w:vAlign w:val="center"/>
          </w:tcPr>
          <w:p w:rsidR="00000000" w:rsidRDefault="00000000">
            <w:pPr>
              <w:spacing w:line="240" w:lineRule="auto"/>
            </w:pPr>
          </w:p>
        </w:tc>
      </w:tr>
      <w:tr w:rsidR="00000000">
        <w:tc>
          <w:tcPr>
            <w:tcW w:w="3196" w:type="dxa"/>
            <w:gridSpan w:val="2"/>
            <w:tcBorders>
              <w:top w:val="nil"/>
            </w:tcBorders>
            <w:vAlign w:val="center"/>
          </w:tcPr>
          <w:p w:rsidR="00000000" w:rsidRDefault="00000000">
            <w:pPr>
              <w:spacing w:line="240" w:lineRule="auto"/>
              <w:rPr>
                <w:lang w:val="es-MX"/>
              </w:rPr>
            </w:pPr>
            <w:r>
              <w:t>Комиссия</w:t>
            </w:r>
            <w:r>
              <w:rPr>
                <w:lang w:val="es-MX"/>
              </w:rPr>
              <w:t xml:space="preserve"> </w:t>
            </w:r>
            <w:r>
              <w:t>по</w:t>
            </w:r>
            <w:r>
              <w:rPr>
                <w:lang w:val="es-MX"/>
              </w:rPr>
              <w:t xml:space="preserve"> </w:t>
            </w:r>
            <w:r>
              <w:t>правам</w:t>
            </w:r>
            <w:r>
              <w:rPr>
                <w:lang w:val="es-MX"/>
              </w:rPr>
              <w:t xml:space="preserve"> </w:t>
            </w:r>
            <w:r>
              <w:t>человека</w:t>
            </w:r>
            <w:r>
              <w:rPr>
                <w:lang w:val="es-MX"/>
              </w:rPr>
              <w:t xml:space="preserve"> </w:t>
            </w:r>
            <w:r>
              <w:t>штата Юкатан</w:t>
            </w:r>
          </w:p>
        </w:tc>
        <w:tc>
          <w:tcPr>
            <w:tcW w:w="1326" w:type="dxa"/>
            <w:tcBorders>
              <w:top w:val="nil"/>
            </w:tcBorders>
            <w:vAlign w:val="center"/>
          </w:tcPr>
          <w:p w:rsidR="00000000" w:rsidRDefault="00000000">
            <w:pPr>
              <w:spacing w:line="240" w:lineRule="auto"/>
              <w:jc w:val="center"/>
              <w:rPr>
                <w:lang w:val="es-MX"/>
              </w:rPr>
            </w:pPr>
            <w:r>
              <w:t xml:space="preserve">    </w:t>
            </w:r>
            <w:r>
              <w:rPr>
                <w:lang w:val="es-MX"/>
              </w:rPr>
              <w:t>9</w:t>
            </w:r>
          </w:p>
        </w:tc>
        <w:tc>
          <w:tcPr>
            <w:tcW w:w="4891" w:type="dxa"/>
            <w:tcBorders>
              <w:top w:val="nil"/>
            </w:tcBorders>
            <w:vAlign w:val="center"/>
          </w:tcPr>
          <w:p w:rsidR="00000000" w:rsidRDefault="00000000">
            <w:pPr>
              <w:spacing w:line="240" w:lineRule="auto"/>
            </w:pPr>
            <w:r>
              <w:t>9 жалоб были разрешены в результате вынесенных рекомендаций</w:t>
            </w:r>
          </w:p>
        </w:tc>
      </w:tr>
    </w:tbl>
    <w:p w:rsidR="00000000" w:rsidRDefault="00000000">
      <w:pPr>
        <w:spacing w:line="240" w:lineRule="auto"/>
        <w:jc w:val="both"/>
        <w:rPr>
          <w:bCs/>
        </w:rPr>
      </w:pPr>
    </w:p>
    <w:p w:rsidR="00000000" w:rsidRDefault="00000000">
      <w:pPr>
        <w:spacing w:line="240" w:lineRule="auto"/>
        <w:jc w:val="both"/>
        <w:rPr>
          <w:bCs/>
        </w:rPr>
      </w:pPr>
    </w:p>
    <w:p w:rsidR="00000000" w:rsidRDefault="00000000">
      <w:pPr>
        <w:jc w:val="center"/>
        <w:rPr>
          <w:b/>
        </w:rPr>
      </w:pPr>
      <w:r>
        <w:rPr>
          <w:b/>
          <w:lang w:val="fr-FR"/>
        </w:rPr>
        <w:t>D</w:t>
      </w:r>
      <w:r>
        <w:rPr>
          <w:b/>
        </w:rPr>
        <w:t>.</w:t>
      </w:r>
      <w:r>
        <w:rPr>
          <w:b/>
        </w:rPr>
        <w:tab/>
        <w:t>Замечания, планы и задачи</w:t>
      </w:r>
    </w:p>
    <w:p w:rsidR="00000000" w:rsidRDefault="00000000">
      <w:pPr>
        <w:jc w:val="both"/>
        <w:rPr>
          <w:bCs/>
          <w:u w:val="single"/>
        </w:rPr>
      </w:pPr>
    </w:p>
    <w:p w:rsidR="00000000" w:rsidRDefault="00000000">
      <w:r>
        <w:t>250.</w:t>
      </w:r>
      <w:r>
        <w:tab/>
        <w:t>Одно из критических замечаний, высказанных неправительственными организациями во время исследования, проводившегося Верховным комиссаром Организации Объединенных Наций по правам человека, касалось того, что данные, приводимые Национальной комиссией по правам человека, дают неправильное представление о существующем в Мексике положении в вопросах, связанных с пытками, поскольку Национальная комиссия по правам человека рассматривает в качестве отправной точки только количество поданных жалоб, которые были квалифицированы этой Комиссией как жалобы на применение пыток, без углубленного анализа уголовной юрисдикции судов, которые проводили расследования, связанные с этими нарушениями, а также законодательных и административных условий, способствующих применению пыток в масштабах, намного превосходящих те, о которых сообщается.  Кроме того, неправительственные организации считают, что жалобы, поданные в Национальную комиссию по правам человека, не отражают существующего в стране положения, поскольку в их число не включены жалобы, поданные комиссиям на местах.</w:t>
      </w:r>
    </w:p>
    <w:p w:rsidR="00000000" w:rsidRDefault="00000000"/>
    <w:p w:rsidR="00000000" w:rsidRDefault="00000000">
      <w:r>
        <w:t>251.</w:t>
      </w:r>
      <w:r>
        <w:tab/>
        <w:t>Организации гражданского общества указывают на продолжающуюся практику угроз в адрес лиц, которые подают жалобы на применение пыток.  Эти угрозы порождают страх у потенциальных подателей жалоб и жертв пыток из-за опасения возможной мести.  Неправительственная организация "РЕДРЕС" утверждает, что в Мексике нет доверия к властям, поскольку виновниками, как правило, являются сотрудники прокуратуры, которым поручается проводить расследования, связанные с жалобами</w:t>
      </w:r>
      <w:r>
        <w:rPr>
          <w:rStyle w:val="EndnoteReference"/>
        </w:rPr>
        <w:endnoteReference w:id="99"/>
      </w:r>
      <w:r>
        <w:t>.</w:t>
      </w:r>
    </w:p>
    <w:p w:rsidR="00000000" w:rsidRDefault="00000000"/>
    <w:p w:rsidR="00000000" w:rsidRDefault="00000000">
      <w:r>
        <w:t>252.</w:t>
      </w:r>
      <w:r>
        <w:tab/>
        <w:t>В докладе Специального докладчика Родли указывается, что подобное положение порождает нежелание подателей жалоб участвовать в проведении расследований.  Иногда они не желают подтверждать свои заявления и отказываются представлять доказательства в ходе проведения расследований</w:t>
      </w:r>
      <w:r>
        <w:rPr>
          <w:rStyle w:val="EndnoteReference"/>
        </w:rPr>
        <w:endnoteReference w:id="100"/>
      </w:r>
      <w:r>
        <w:t>.</w:t>
      </w:r>
    </w:p>
    <w:p w:rsidR="00000000" w:rsidRDefault="00000000"/>
    <w:p w:rsidR="00000000" w:rsidRDefault="00000000">
      <w:pPr>
        <w:ind w:left="567" w:hanging="567"/>
        <w:jc w:val="center"/>
        <w:rPr>
          <w:b/>
          <w:bCs/>
        </w:rPr>
      </w:pPr>
      <w:r>
        <w:rPr>
          <w:b/>
          <w:bCs/>
        </w:rPr>
        <w:t>Е.</w:t>
      </w:r>
      <w:r>
        <w:rPr>
          <w:b/>
          <w:bCs/>
        </w:rPr>
        <w:tab/>
        <w:t>Меры, принятые в целях предоставления консультаций и</w:t>
      </w:r>
    </w:p>
    <w:p w:rsidR="00000000" w:rsidRDefault="00000000">
      <w:pPr>
        <w:ind w:left="567" w:hanging="567"/>
        <w:jc w:val="center"/>
        <w:rPr>
          <w:b/>
          <w:bCs/>
        </w:rPr>
      </w:pPr>
      <w:r>
        <w:rPr>
          <w:b/>
          <w:bCs/>
        </w:rPr>
        <w:t>помощи жертвам пыток</w:t>
      </w:r>
    </w:p>
    <w:p w:rsidR="00000000" w:rsidRDefault="00000000">
      <w:pPr>
        <w:ind w:left="567" w:hanging="567"/>
        <w:rPr>
          <w:b/>
          <w:bCs/>
          <w:u w:val="single"/>
        </w:rPr>
      </w:pPr>
    </w:p>
    <w:p w:rsidR="00000000" w:rsidRDefault="00000000">
      <w:r>
        <w:t>253.</w:t>
      </w:r>
      <w:r>
        <w:tab/>
        <w:t>В статье 20 Политической конституции Мексиканских Соединенных Штатов признаются вышеуказанные гарантии и говорится, что:  "В течение всего процесса судебного разбирательства потерпевший или жертва какого-либо преступления имеет право на получение юридической консультации…".  Далее в статье 21 Конституции указывается:  "Решения судебных органов в отношении возбуждения или отказа от возбуждения уголовного дела могут быть опротестованы через суд по форме, установленной законом".</w:t>
      </w:r>
    </w:p>
    <w:p w:rsidR="00000000" w:rsidRDefault="00000000"/>
    <w:p w:rsidR="00000000" w:rsidRDefault="00000000">
      <w:r>
        <w:t>254.</w:t>
      </w:r>
      <w:r>
        <w:tab/>
        <w:t>Федеральные органы и органы федеративных территорий приняли меры для обеспечения предоставления консультаций и помощи жертвам пыток.  На федеральном уровне Федеральная прокуратура Республики</w:t>
      </w:r>
      <w:r>
        <w:rPr>
          <w:rStyle w:val="EndnoteReference"/>
        </w:rPr>
        <w:endnoteReference w:id="101"/>
      </w:r>
      <w:r>
        <w:t xml:space="preserve"> обязана:</w:t>
      </w:r>
    </w:p>
    <w:p w:rsidR="00000000" w:rsidRDefault="00000000"/>
    <w:p w:rsidR="00000000" w:rsidRDefault="00000000">
      <w:pPr>
        <w:numPr>
          <w:ilvl w:val="0"/>
          <w:numId w:val="15"/>
        </w:numPr>
        <w:tabs>
          <w:tab w:val="clear" w:pos="567"/>
          <w:tab w:val="clear" w:pos="720"/>
        </w:tabs>
        <w:ind w:left="1134" w:hanging="573"/>
      </w:pPr>
      <w:r>
        <w:t>оказывать пострадавшему юридическую помощь и информировать его о правах, которые он имеет согласно Политической конституции, а также о ходе уголовного процесса;</w:t>
      </w:r>
    </w:p>
    <w:p w:rsidR="00000000" w:rsidRDefault="00000000">
      <w:pPr>
        <w:ind w:left="201"/>
      </w:pPr>
    </w:p>
    <w:p w:rsidR="00000000" w:rsidRDefault="00000000">
      <w:pPr>
        <w:numPr>
          <w:ilvl w:val="0"/>
          <w:numId w:val="15"/>
        </w:numPr>
        <w:tabs>
          <w:tab w:val="clear" w:pos="567"/>
          <w:tab w:val="clear" w:pos="720"/>
        </w:tabs>
        <w:ind w:left="1134" w:hanging="573"/>
      </w:pPr>
      <w:r>
        <w:t>получать все доказательства, которые предоставляет ей пострадавший в осуществление своего права на получение юридической помощи;</w:t>
      </w:r>
    </w:p>
    <w:p w:rsidR="00000000" w:rsidRDefault="00000000">
      <w:pPr>
        <w:ind w:left="201"/>
      </w:pPr>
    </w:p>
    <w:p w:rsidR="00000000" w:rsidRDefault="00000000">
      <w:pPr>
        <w:numPr>
          <w:ilvl w:val="0"/>
          <w:numId w:val="15"/>
        </w:numPr>
        <w:tabs>
          <w:tab w:val="clear" w:pos="567"/>
          <w:tab w:val="clear" w:pos="720"/>
        </w:tabs>
        <w:ind w:left="1134" w:hanging="573"/>
      </w:pPr>
      <w:r>
        <w:t>принимать меры в целях установления возможного виновника и делать все возможное, для того чтобы не подвергать жизнь потерпевшего физической и психологической опасности;</w:t>
      </w:r>
    </w:p>
    <w:p w:rsidR="00000000" w:rsidRDefault="00000000">
      <w:pPr>
        <w:ind w:left="201"/>
      </w:pPr>
    </w:p>
    <w:p w:rsidR="00000000" w:rsidRDefault="00000000">
      <w:pPr>
        <w:numPr>
          <w:ilvl w:val="0"/>
          <w:numId w:val="15"/>
        </w:numPr>
        <w:tabs>
          <w:tab w:val="clear" w:pos="567"/>
          <w:tab w:val="clear" w:pos="720"/>
        </w:tabs>
        <w:ind w:left="1134" w:hanging="573"/>
      </w:pPr>
      <w:r>
        <w:t>принимать необходимые меры в пределах имеющихся возможностей для безотлагательного оказания жертве медицинской и психологической помощи;</w:t>
      </w:r>
    </w:p>
    <w:p w:rsidR="00000000" w:rsidRDefault="00000000">
      <w:pPr>
        <w:ind w:left="201"/>
      </w:pPr>
    </w:p>
    <w:p w:rsidR="00000000" w:rsidRDefault="00000000">
      <w:pPr>
        <w:numPr>
          <w:ilvl w:val="0"/>
          <w:numId w:val="15"/>
        </w:numPr>
        <w:tabs>
          <w:tab w:val="clear" w:pos="567"/>
          <w:tab w:val="clear" w:pos="720"/>
        </w:tabs>
        <w:ind w:left="1134" w:hanging="573"/>
      </w:pPr>
      <w:r>
        <w:t>в случае необходимости обращаться с просьбой к судебным властям о компенсации нанесенного ущерба и информировать потерпевшего о том, что он не обязан вести какие-либо переговоры с обвиняемым.</w:t>
      </w:r>
    </w:p>
    <w:p w:rsidR="00000000" w:rsidRDefault="00000000"/>
    <w:p w:rsidR="00000000" w:rsidRDefault="00000000">
      <w:r>
        <w:t>255.</w:t>
      </w:r>
      <w:r>
        <w:tab/>
        <w:t>На пятнадцатой национальной конференции прокуратур, являющихся самостоятельными управлениями Генеральной прокуратуры Республики, Генеральная прокуратура 29 июля 2004 года представила проект создания национального центра по оказанию помощи жертвам преступлений, связанных с похищениями, с целью выполнения резолюции 40/34 Генеральной Ассамблеи Организации Объединенных Наций от 29 ноября 1985 года, касающейся Декларации основных принципов правосудия для жертв преступлений и злоупотребления властью.</w:t>
      </w:r>
    </w:p>
    <w:p w:rsidR="00000000" w:rsidRDefault="00000000"/>
    <w:p w:rsidR="00000000" w:rsidRDefault="00000000">
      <w:r>
        <w:t>256.</w:t>
      </w:r>
      <w:r>
        <w:tab/>
        <w:t>Цель данного проекта состоит в том, чтобы оказать пострадавшим и жертвам преступлений, связанных с похищениями, необходимую консультативную, юридическую, медицинскую, психологическую и социальную помощь.  Этот проект дополняет содержание раздела В статьи 20 Политической конституции Мексиканских Соединенных Штатов, с тем чтобы обеспечить более быстрый и эффективный доступ жертв преступлений, на которые распространяются федеральные законы, к судебным органам Федерации и упрощение процедур такого доступа.</w:t>
      </w:r>
    </w:p>
    <w:p w:rsidR="00000000" w:rsidRDefault="00000000"/>
    <w:p w:rsidR="00000000" w:rsidRDefault="00000000">
      <w:r>
        <w:t>257.</w:t>
      </w:r>
      <w:r>
        <w:tab/>
        <w:t>Национальная комиссия по правам человека 21 февраля 2000 года приступила к осуществлению Программы оказания помощи жертвам этих преступлений, цель которой состоит в оказании консультативной и юридической помощи потерпевшим и жертвам этих преступлений с целью ознакомления их с правами, соблюдения которых они могут требовать у компетентных органов власти, а также в оказании помощи жертвам и потерпевшим, в том числе лицам, которые были незаконно лишены свободы или подвергались пыткам, в подаче жалоб тем государственным и частным учреждениям страны, которые занимаются оказанием медицинской, психологической и социальной помощи, в целях оказания им помощи вплоть до полного восстановления их здоровья.</w:t>
      </w:r>
    </w:p>
    <w:p w:rsidR="00000000" w:rsidRDefault="00000000"/>
    <w:p w:rsidR="00000000" w:rsidRDefault="00000000">
      <w:pPr>
        <w:keepNext/>
        <w:jc w:val="center"/>
        <w:rPr>
          <w:b/>
          <w:bCs/>
        </w:rPr>
      </w:pPr>
      <w:r>
        <w:rPr>
          <w:b/>
          <w:bCs/>
        </w:rPr>
        <w:t>Статья 14.  Возмещение и компенсация за нанесенный ущерб</w:t>
      </w:r>
      <w:r>
        <w:rPr>
          <w:rStyle w:val="EndnoteReference"/>
        </w:rPr>
        <w:endnoteReference w:id="102"/>
      </w:r>
    </w:p>
    <w:p w:rsidR="00000000" w:rsidRDefault="00000000">
      <w:pPr>
        <w:keepNext/>
        <w:jc w:val="center"/>
        <w:rPr>
          <w:b/>
          <w:bCs/>
        </w:rPr>
      </w:pPr>
    </w:p>
    <w:p w:rsidR="00000000" w:rsidRDefault="00000000">
      <w:pPr>
        <w:keepNext/>
        <w:ind w:left="567" w:hanging="567"/>
        <w:jc w:val="center"/>
        <w:rPr>
          <w:b/>
          <w:bCs/>
        </w:rPr>
      </w:pPr>
      <w:r>
        <w:rPr>
          <w:b/>
          <w:bCs/>
        </w:rPr>
        <w:t>А.</w:t>
      </w:r>
      <w:r>
        <w:rPr>
          <w:b/>
          <w:bCs/>
        </w:rPr>
        <w:tab/>
        <w:t>Внесение поправок в Политическую конституцию</w:t>
      </w:r>
    </w:p>
    <w:p w:rsidR="00000000" w:rsidRDefault="00000000">
      <w:pPr>
        <w:keepNext/>
        <w:ind w:left="567" w:hanging="567"/>
        <w:jc w:val="center"/>
      </w:pPr>
      <w:r>
        <w:rPr>
          <w:b/>
          <w:bCs/>
        </w:rPr>
        <w:t>Мексиканских Соединенных Штатов</w:t>
      </w:r>
    </w:p>
    <w:p w:rsidR="00000000" w:rsidRDefault="00000000"/>
    <w:p w:rsidR="00000000" w:rsidRDefault="00000000">
      <w:r>
        <w:t>258.</w:t>
      </w:r>
      <w:r>
        <w:tab/>
        <w:t>В "Официальном вестнике Федерации" 14 июня 2002 года была опубликована вступившая в силу 1 января 2004 года поправка к статье 113 Конституции.  В этой поправке указывается на обязанность государства возмещать нанесенный ущерб.  В первом пункте статьи 113 до внесения в нее поправки говорилось следующее:</w:t>
      </w:r>
    </w:p>
    <w:p w:rsidR="00000000" w:rsidRDefault="00000000"/>
    <w:p w:rsidR="00000000" w:rsidRDefault="00000000">
      <w:pPr>
        <w:ind w:left="567"/>
      </w:pPr>
      <w:r>
        <w:tab/>
        <w:t>"В законах об ответственности государственных должностных лиц изложены их обязанности с целью обеспечения законности, честности, добросовестности, беспристрастности и эффективности исполнения ими своих функций, должностных обязанностей и поручений, а также предусмотрены наказания за те или иные действия или бездействие, процедуры их применения и органы, которые должны их применять.  Указанные санкции, помимо тех, о которых говорится в законах, предусматривают временное отстранение от исполнения обязанностей, снятие с должности, лишение прав, а также наказания экономического характера.  Эти наказания должны устанавливаться с учетом выгод, полученных виновными, ущерба и вреда, причиненного имуществу их действиями или бездействием, как это предусмотрено в разделе III статьи 109.  Однако размер наказания не должен в три раза превышать полученные выгоды или нанесенный вред или ущерб".</w:t>
      </w:r>
    </w:p>
    <w:p w:rsidR="00000000" w:rsidRDefault="00000000"/>
    <w:p w:rsidR="00000000" w:rsidRDefault="00000000">
      <w:r>
        <w:t>После внесения поправки во втором пункте, вступившем в силу 1 января 2004 года, говорится:</w:t>
      </w:r>
    </w:p>
    <w:p w:rsidR="00000000" w:rsidRDefault="00000000">
      <w:pPr>
        <w:ind w:firstLine="567"/>
      </w:pPr>
    </w:p>
    <w:p w:rsidR="00000000" w:rsidRDefault="00000000">
      <w:pPr>
        <w:ind w:left="567"/>
      </w:pPr>
      <w:r>
        <w:tab/>
        <w:t>"Государство несет прямую материальную ответственность за ущерб имуществу или правам граждан, причиненный неправомерными действиями администрации.  Частные лица имеют право на получение компенсации в соответствии с порядком и условиями, предусмотренными в законах".</w:t>
      </w:r>
    </w:p>
    <w:p w:rsidR="00000000" w:rsidRDefault="00000000"/>
    <w:p w:rsidR="00000000" w:rsidRDefault="00000000">
      <w:r>
        <w:t>259.</w:t>
      </w:r>
      <w:r>
        <w:tab/>
        <w:t>Иными словами, в результате принятой поправки к Конституции предусматривается ответственность государства за действия государственных должностных лиц на основе ущерба, причиненного неправомерными действиями администрации имуществу или правам граждан.  Данная процедура отличается от существующей в настоящее время системы решения спорных вопросов по гражданским делам, которая устанавливает, что ответственность государства зависит от подтверждения неправомерных действий государственных должностных лиц.</w:t>
      </w:r>
    </w:p>
    <w:p w:rsidR="00000000" w:rsidRDefault="00000000"/>
    <w:p w:rsidR="00000000" w:rsidRDefault="00000000">
      <w:r>
        <w:t>260.</w:t>
      </w:r>
      <w:r>
        <w:tab/>
        <w:t>Поправка к Конституции обязывает Федерацию и штаты Республики ускорить принятие законов, регламентирующих применение статьи 113 Политической конституции Мексиканских Соединенных Штатов.</w:t>
      </w:r>
    </w:p>
    <w:p w:rsidR="00000000" w:rsidRDefault="00000000"/>
    <w:p w:rsidR="00000000" w:rsidRDefault="00000000">
      <w:r>
        <w:t>261.</w:t>
      </w:r>
      <w:r>
        <w:tab/>
        <w:t>При этом важно подчеркнуть, что с вступлением в силу этой поправки отменяется положение статьи 1927 Федерального гражданского кодекса, в которой предусматривается ответственность государства за ущерб, нанесенный государственными должностными лицами при исполнении ими служебных обязанностей</w:t>
      </w:r>
      <w:r>
        <w:rPr>
          <w:rStyle w:val="EndnoteReference"/>
        </w:rPr>
        <w:endnoteReference w:id="103"/>
      </w:r>
      <w:r>
        <w:t>.  Поскольку государство (фактически вся нация) является лицом, несущим моральную ответственность, оно должно возмещать ущерб и вред, причиненные его органами.  Но в данном случае его ответственность является субсидиарной</w:t>
      </w:r>
      <w:r>
        <w:rPr>
          <w:rStyle w:val="EndnoteReference"/>
        </w:rPr>
        <w:endnoteReference w:id="104"/>
      </w:r>
      <w:r>
        <w:t>.</w:t>
      </w:r>
    </w:p>
    <w:p w:rsidR="00000000" w:rsidRDefault="00000000"/>
    <w:p w:rsidR="00000000" w:rsidRDefault="00000000">
      <w:pPr>
        <w:jc w:val="center"/>
      </w:pPr>
      <w:r>
        <w:rPr>
          <w:b/>
          <w:bCs/>
        </w:rPr>
        <w:t>В.</w:t>
      </w:r>
      <w:r>
        <w:rPr>
          <w:b/>
          <w:bCs/>
        </w:rPr>
        <w:tab/>
        <w:t>Компенсация ущерба в федеральном законодательстве</w:t>
      </w:r>
    </w:p>
    <w:p w:rsidR="00000000" w:rsidRDefault="00000000"/>
    <w:p w:rsidR="00000000" w:rsidRDefault="00000000">
      <w:r>
        <w:t>262.</w:t>
      </w:r>
      <w:r>
        <w:tab/>
        <w:t>В статье 30 Федерального уголовного кодекса предусматривается, что компенсация означает реституцию собственности, приобретенной во время совершения преступления, а в случае невозможности осуществить такую реституцию - выплату стоимости этого имущества.  Кроме того, в ней предусматривается также возмещение материального и морального ущерба, причиненного в результате преступления, включая оплату лечения, необходимого для восстановления здоровья потерпевшего.  При совершении преступления против свободы или нормального психополового развития личности, а также в случаях насилия в семье предусматривается покрытие расходов, связанных с необходимым психотерапевтическим лечением потерпевшего, а также возмещение причиненного ущерба.</w:t>
      </w:r>
    </w:p>
    <w:p w:rsidR="00000000" w:rsidRDefault="00000000"/>
    <w:p w:rsidR="00000000" w:rsidRDefault="00000000">
      <w:r>
        <w:t>263.</w:t>
      </w:r>
      <w:r>
        <w:tab/>
        <w:t>В статье 31 вышеуказанного кодекса говорится, что в случае совершения непредумышленных правонарушений исполнительные органы власти без ущерба для постановлений судебных органов регулируют принятие административных мер, осуществление которых должно гарантироваться посредством особого страхования на случай указанной компенсации.</w:t>
      </w:r>
    </w:p>
    <w:p w:rsidR="00000000" w:rsidRDefault="00000000"/>
    <w:p w:rsidR="00000000" w:rsidRDefault="00000000">
      <w:r>
        <w:t>264.</w:t>
      </w:r>
      <w:r>
        <w:tab/>
        <w:t>Кроме того, в статье 10 Федерального закона о предотвращении пыток и наказании за них предусматривается, что "лицо, ответственное за совершение любого из преступлений, предусмотренных в настоящем законе, обязано покрыть все расходы на юридическую и медицинскую помощь, на похороны и на восстановление трудоспособности, а также любые другие расходы, которые понес пострадавший или его родственники в результате совершения преступления.  Кроме того, оно обязано возместить ущерб и убытки, понесенные пострадавшим или его иждивенцами, в следующих случаях:</w:t>
      </w:r>
    </w:p>
    <w:p w:rsidR="00000000" w:rsidRDefault="00000000"/>
    <w:p w:rsidR="00000000" w:rsidRDefault="00000000">
      <w:pPr>
        <w:tabs>
          <w:tab w:val="clear" w:pos="567"/>
          <w:tab w:val="right" w:pos="851"/>
          <w:tab w:val="left" w:pos="1134"/>
        </w:tabs>
        <w:spacing w:line="240" w:lineRule="auto"/>
      </w:pPr>
      <w:r>
        <w:tab/>
      </w:r>
      <w:r>
        <w:rPr>
          <w:lang w:val="en-US"/>
        </w:rPr>
        <w:t>I</w:t>
      </w:r>
      <w:r>
        <w:t>.</w:t>
      </w:r>
      <w:r>
        <w:tab/>
        <w:t>смерть;</w:t>
      </w:r>
    </w:p>
    <w:p w:rsidR="00000000" w:rsidRDefault="00000000">
      <w:pPr>
        <w:tabs>
          <w:tab w:val="clear" w:pos="567"/>
          <w:tab w:val="right" w:pos="851"/>
          <w:tab w:val="left" w:pos="1134"/>
        </w:tabs>
        <w:spacing w:line="240" w:lineRule="auto"/>
      </w:pPr>
    </w:p>
    <w:p w:rsidR="00000000" w:rsidRDefault="00000000">
      <w:pPr>
        <w:tabs>
          <w:tab w:val="clear" w:pos="567"/>
          <w:tab w:val="right" w:pos="851"/>
          <w:tab w:val="left" w:pos="1134"/>
        </w:tabs>
        <w:spacing w:line="240" w:lineRule="auto"/>
      </w:pPr>
      <w:r>
        <w:tab/>
      </w:r>
      <w:r>
        <w:rPr>
          <w:lang w:val="en-US"/>
        </w:rPr>
        <w:t>II</w:t>
      </w:r>
      <w:r>
        <w:t>.</w:t>
      </w:r>
      <w:r>
        <w:tab/>
        <w:t>нанесение ущерба здоровью;</w:t>
      </w:r>
    </w:p>
    <w:p w:rsidR="00000000" w:rsidRDefault="00000000">
      <w:pPr>
        <w:tabs>
          <w:tab w:val="clear" w:pos="567"/>
          <w:tab w:val="right" w:pos="851"/>
          <w:tab w:val="left" w:pos="1134"/>
        </w:tabs>
        <w:spacing w:line="240" w:lineRule="auto"/>
      </w:pPr>
    </w:p>
    <w:p w:rsidR="00000000" w:rsidRDefault="00000000">
      <w:pPr>
        <w:tabs>
          <w:tab w:val="clear" w:pos="567"/>
          <w:tab w:val="right" w:pos="851"/>
          <w:tab w:val="left" w:pos="1134"/>
        </w:tabs>
        <w:spacing w:line="240" w:lineRule="auto"/>
      </w:pPr>
      <w:r>
        <w:tab/>
      </w:r>
      <w:r>
        <w:rPr>
          <w:lang w:val="en-US"/>
        </w:rPr>
        <w:t>III</w:t>
      </w:r>
      <w:r>
        <w:t>.</w:t>
      </w:r>
      <w:r>
        <w:tab/>
        <w:t>лишение свободы;</w:t>
      </w:r>
    </w:p>
    <w:p w:rsidR="00000000" w:rsidRDefault="00000000">
      <w:pPr>
        <w:tabs>
          <w:tab w:val="clear" w:pos="567"/>
          <w:tab w:val="right" w:pos="851"/>
          <w:tab w:val="left" w:pos="1134"/>
        </w:tabs>
        <w:spacing w:line="240" w:lineRule="auto"/>
      </w:pPr>
    </w:p>
    <w:p w:rsidR="00000000" w:rsidRDefault="00000000">
      <w:pPr>
        <w:tabs>
          <w:tab w:val="clear" w:pos="567"/>
          <w:tab w:val="right" w:pos="851"/>
          <w:tab w:val="left" w:pos="1134"/>
        </w:tabs>
        <w:spacing w:line="240" w:lineRule="auto"/>
      </w:pPr>
      <w:r>
        <w:tab/>
      </w:r>
      <w:r>
        <w:rPr>
          <w:lang w:val="en-US"/>
        </w:rPr>
        <w:t>IV</w:t>
      </w:r>
      <w:r>
        <w:t>.</w:t>
      </w:r>
      <w:r>
        <w:tab/>
        <w:t>потеря доходов;</w:t>
      </w:r>
    </w:p>
    <w:p w:rsidR="00000000" w:rsidRDefault="00000000">
      <w:pPr>
        <w:tabs>
          <w:tab w:val="clear" w:pos="567"/>
          <w:tab w:val="right" w:pos="851"/>
          <w:tab w:val="left" w:pos="1134"/>
        </w:tabs>
        <w:spacing w:line="240" w:lineRule="auto"/>
      </w:pPr>
    </w:p>
    <w:p w:rsidR="00000000" w:rsidRDefault="00000000">
      <w:pPr>
        <w:tabs>
          <w:tab w:val="clear" w:pos="567"/>
          <w:tab w:val="right" w:pos="851"/>
          <w:tab w:val="left" w:pos="1134"/>
        </w:tabs>
        <w:spacing w:line="240" w:lineRule="auto"/>
      </w:pPr>
      <w:r>
        <w:tab/>
      </w:r>
      <w:r>
        <w:rPr>
          <w:lang w:val="en-US"/>
        </w:rPr>
        <w:t>V</w:t>
      </w:r>
      <w:r>
        <w:t>.</w:t>
      </w:r>
      <w:r>
        <w:tab/>
        <w:t>утрата трудоспособности;</w:t>
      </w:r>
    </w:p>
    <w:p w:rsidR="00000000" w:rsidRDefault="00000000">
      <w:pPr>
        <w:tabs>
          <w:tab w:val="clear" w:pos="1134"/>
          <w:tab w:val="right" w:pos="851"/>
          <w:tab w:val="right" w:pos="1122"/>
        </w:tabs>
      </w:pPr>
    </w:p>
    <w:p w:rsidR="00000000" w:rsidRDefault="00000000">
      <w:pPr>
        <w:tabs>
          <w:tab w:val="clear" w:pos="567"/>
          <w:tab w:val="right" w:pos="851"/>
          <w:tab w:val="left" w:pos="1134"/>
        </w:tabs>
      </w:pPr>
      <w:r>
        <w:tab/>
      </w:r>
      <w:r>
        <w:rPr>
          <w:lang w:val="en-US"/>
        </w:rPr>
        <w:t>VI</w:t>
      </w:r>
      <w:r>
        <w:t>.</w:t>
      </w:r>
      <w:r>
        <w:tab/>
        <w:t>повреждение или утрата имущества;</w:t>
      </w:r>
    </w:p>
    <w:p w:rsidR="00000000" w:rsidRDefault="00000000">
      <w:pPr>
        <w:tabs>
          <w:tab w:val="clear" w:pos="1134"/>
          <w:tab w:val="right" w:pos="851"/>
          <w:tab w:val="right" w:pos="1122"/>
        </w:tabs>
      </w:pPr>
    </w:p>
    <w:p w:rsidR="00000000" w:rsidRDefault="00000000">
      <w:pPr>
        <w:tabs>
          <w:tab w:val="clear" w:pos="567"/>
          <w:tab w:val="right" w:pos="851"/>
          <w:tab w:val="left" w:pos="1134"/>
        </w:tabs>
      </w:pPr>
      <w:r>
        <w:tab/>
      </w:r>
      <w:r>
        <w:rPr>
          <w:lang w:val="en-US"/>
        </w:rPr>
        <w:t>VII</w:t>
      </w:r>
      <w:r>
        <w:t>.</w:t>
      </w:r>
      <w:r>
        <w:tab/>
        <w:t>подрыв репутации…"</w:t>
      </w:r>
    </w:p>
    <w:p w:rsidR="00000000" w:rsidRDefault="00000000">
      <w:pPr>
        <w:tabs>
          <w:tab w:val="clear" w:pos="1134"/>
          <w:tab w:val="right" w:pos="1122"/>
        </w:tabs>
      </w:pPr>
    </w:p>
    <w:p w:rsidR="00000000" w:rsidRDefault="00000000">
      <w:pPr>
        <w:tabs>
          <w:tab w:val="clear" w:pos="1134"/>
          <w:tab w:val="left" w:pos="1122"/>
        </w:tabs>
        <w:jc w:val="center"/>
        <w:rPr>
          <w:b/>
          <w:bCs/>
        </w:rPr>
      </w:pPr>
      <w:r>
        <w:rPr>
          <w:b/>
          <w:bCs/>
        </w:rPr>
        <w:t>С.</w:t>
      </w:r>
      <w:r>
        <w:rPr>
          <w:b/>
          <w:bCs/>
        </w:rPr>
        <w:tab/>
        <w:t>Возмещение ущерба в штатах</w:t>
      </w:r>
    </w:p>
    <w:p w:rsidR="00000000" w:rsidRDefault="00000000">
      <w:pPr>
        <w:tabs>
          <w:tab w:val="clear" w:pos="1134"/>
          <w:tab w:val="left" w:pos="1122"/>
        </w:tabs>
        <w:rPr>
          <w:b/>
          <w:bCs/>
        </w:rPr>
      </w:pPr>
    </w:p>
    <w:p w:rsidR="00000000" w:rsidRDefault="00000000">
      <w:pPr>
        <w:tabs>
          <w:tab w:val="clear" w:pos="1134"/>
          <w:tab w:val="left" w:pos="1122"/>
        </w:tabs>
      </w:pPr>
      <w:r>
        <w:t>265.</w:t>
      </w:r>
      <w:r>
        <w:tab/>
        <w:t>В различных штатах существуют механизмы по оказанию помощи жертвам преступлений.  Среди этих федеративных территорий следует указать на штаты Агуаск Кальентес, Веракрус, Герреро, Гуанахуата, Дуранго, Кинтана-Роо, Оахака, Пуэбла, Синалоа, Сонора и Юкатан.  Указанные механизмы включают предоставление юридической, медицинской, психологической и социальной помощи, а также оказание помощи в получении возмещения за нанесенный ущерб, в физической защите и обеспечении безопасности в тех случаях, когда в этом возникает необходимость, а также помощи в вопросах трудоустройства.</w:t>
      </w:r>
    </w:p>
    <w:p w:rsidR="00000000" w:rsidRDefault="00000000">
      <w:pPr>
        <w:tabs>
          <w:tab w:val="clear" w:pos="1134"/>
          <w:tab w:val="left" w:pos="1122"/>
        </w:tabs>
      </w:pPr>
    </w:p>
    <w:p w:rsidR="00000000" w:rsidRDefault="00000000">
      <w:pPr>
        <w:tabs>
          <w:tab w:val="clear" w:pos="1134"/>
          <w:tab w:val="left" w:pos="1122"/>
        </w:tabs>
      </w:pPr>
      <w:r>
        <w:t>266.</w:t>
      </w:r>
      <w:r>
        <w:tab/>
        <w:t xml:space="preserve">В штате Пуэбла, например в разделах </w:t>
      </w:r>
      <w:r>
        <w:rPr>
          <w:lang w:val="en-US"/>
        </w:rPr>
        <w:t>I</w:t>
      </w:r>
      <w:r>
        <w:t xml:space="preserve"> и </w:t>
      </w:r>
      <w:r>
        <w:rPr>
          <w:lang w:val="en-US"/>
        </w:rPr>
        <w:t>II</w:t>
      </w:r>
      <w:r>
        <w:t xml:space="preserve"> статей 1, 2 и 12 Закона о защите жертв преступлений, генеральная прокуратура штата предусмотрела возможность оказания неотложной медицинской, а также психотерапевтической помощи жертвам и пострадавшим в результате преступлений, связанных с пытками.</w:t>
      </w:r>
    </w:p>
    <w:p w:rsidR="00000000" w:rsidRDefault="00000000">
      <w:pPr>
        <w:tabs>
          <w:tab w:val="clear" w:pos="1134"/>
          <w:tab w:val="left" w:pos="1122"/>
        </w:tabs>
      </w:pPr>
    </w:p>
    <w:p w:rsidR="00000000" w:rsidRDefault="00000000">
      <w:pPr>
        <w:tabs>
          <w:tab w:val="clear" w:pos="1134"/>
          <w:tab w:val="left" w:pos="1122"/>
        </w:tabs>
        <w:jc w:val="center"/>
        <w:rPr>
          <w:b/>
          <w:bCs/>
        </w:rPr>
      </w:pPr>
      <w:r>
        <w:rPr>
          <w:b/>
          <w:bCs/>
          <w:lang w:val="en-US"/>
        </w:rPr>
        <w:t>D</w:t>
      </w:r>
      <w:r>
        <w:rPr>
          <w:b/>
          <w:bCs/>
        </w:rPr>
        <w:t>.</w:t>
      </w:r>
      <w:r>
        <w:rPr>
          <w:b/>
          <w:bCs/>
        </w:rPr>
        <w:tab/>
        <w:t>Замечания, планы и задачи</w:t>
      </w:r>
    </w:p>
    <w:p w:rsidR="00000000" w:rsidRDefault="00000000">
      <w:pPr>
        <w:tabs>
          <w:tab w:val="clear" w:pos="1134"/>
          <w:tab w:val="left" w:pos="1122"/>
        </w:tabs>
        <w:rPr>
          <w:b/>
          <w:bCs/>
        </w:rPr>
      </w:pPr>
    </w:p>
    <w:p w:rsidR="00000000" w:rsidRDefault="00000000">
      <w:pPr>
        <w:tabs>
          <w:tab w:val="clear" w:pos="1134"/>
          <w:tab w:val="left" w:pos="1122"/>
        </w:tabs>
      </w:pPr>
      <w:r>
        <w:t>267.</w:t>
      </w:r>
      <w:r>
        <w:tab/>
        <w:t>Неправительственная организация "Христиане за запрещение пыток" (АКАТ) указывает, что наиболее широко распространенные трудности в области компенсации за нанесенный ущерб в рамках мексиканской судебной системы особенно касаются случаев пыток, поскольку понятие "потерпевший" не включает косвенных потерпевших, которые могут получить компенсацию только в случае кончины непосредственно потерпевшего лица</w:t>
      </w:r>
      <w:r>
        <w:rPr>
          <w:rStyle w:val="EndnoteReference"/>
        </w:rPr>
        <w:endnoteReference w:id="105"/>
      </w:r>
      <w:r>
        <w:t>.</w:t>
      </w:r>
    </w:p>
    <w:p w:rsidR="00000000" w:rsidRDefault="00000000">
      <w:pPr>
        <w:tabs>
          <w:tab w:val="clear" w:pos="1134"/>
          <w:tab w:val="left" w:pos="1122"/>
        </w:tabs>
      </w:pPr>
    </w:p>
    <w:p w:rsidR="00000000" w:rsidRDefault="00000000">
      <w:pPr>
        <w:tabs>
          <w:tab w:val="clear" w:pos="1134"/>
          <w:tab w:val="left" w:pos="1122"/>
        </w:tabs>
      </w:pPr>
      <w:r>
        <w:t>268.</w:t>
      </w:r>
      <w:r>
        <w:tab/>
        <w:t>Как утверждает эта организация, в законодательстве четко не указываются окончательные сроки подачи гражданских исков за нанесенный ущерб.  Размеры компенсации также зависят от применимого в этом случае местного или федерального законодательства.  АКАТ утверждает, что, как правило, компенсация за причиненный ущерб не рассматривается как возмещение</w:t>
      </w:r>
      <w:r>
        <w:rPr>
          <w:rStyle w:val="EndnoteReference"/>
        </w:rPr>
        <w:endnoteReference w:id="106"/>
      </w:r>
      <w:r>
        <w:t>.  Хотя компенсация включает расходы за медицинское лечение и реабилитацию, она не предусматривает другие важные элементы компенсации, такие, как гарантия недопущения повторения правонарушений</w:t>
      </w:r>
      <w:r>
        <w:rPr>
          <w:rStyle w:val="EndnoteReference"/>
        </w:rPr>
        <w:endnoteReference w:id="107"/>
      </w:r>
      <w:r>
        <w:t>.</w:t>
      </w:r>
    </w:p>
    <w:p w:rsidR="00000000" w:rsidRDefault="00000000">
      <w:pPr>
        <w:tabs>
          <w:tab w:val="clear" w:pos="1134"/>
          <w:tab w:val="left" w:pos="1122"/>
        </w:tabs>
      </w:pPr>
    </w:p>
    <w:p w:rsidR="00000000" w:rsidRDefault="00000000">
      <w:pPr>
        <w:keepNext/>
        <w:tabs>
          <w:tab w:val="clear" w:pos="1134"/>
          <w:tab w:val="left" w:pos="1122"/>
        </w:tabs>
        <w:jc w:val="center"/>
        <w:rPr>
          <w:b/>
          <w:bCs/>
        </w:rPr>
      </w:pPr>
      <w:r>
        <w:rPr>
          <w:b/>
          <w:bCs/>
        </w:rPr>
        <w:t>Статья 15.  Признание заявлений, сделанных под пыткой, не имеющими доказательной силы</w:t>
      </w:r>
    </w:p>
    <w:p w:rsidR="00000000" w:rsidRDefault="00000000">
      <w:pPr>
        <w:keepNext/>
        <w:tabs>
          <w:tab w:val="clear" w:pos="1134"/>
          <w:tab w:val="left" w:pos="1122"/>
        </w:tabs>
        <w:rPr>
          <w:b/>
          <w:bCs/>
        </w:rPr>
      </w:pPr>
    </w:p>
    <w:p w:rsidR="00000000" w:rsidRDefault="00000000">
      <w:pPr>
        <w:tabs>
          <w:tab w:val="clear" w:pos="1134"/>
          <w:tab w:val="left" w:pos="1122"/>
        </w:tabs>
        <w:jc w:val="center"/>
        <w:rPr>
          <w:b/>
          <w:bCs/>
        </w:rPr>
      </w:pPr>
      <w:r>
        <w:rPr>
          <w:b/>
          <w:bCs/>
        </w:rPr>
        <w:t>А.</w:t>
      </w:r>
      <w:r>
        <w:rPr>
          <w:b/>
          <w:bCs/>
        </w:rPr>
        <w:tab/>
        <w:t>Нормативные рамки</w:t>
      </w:r>
    </w:p>
    <w:p w:rsidR="00000000" w:rsidRDefault="00000000">
      <w:pPr>
        <w:tabs>
          <w:tab w:val="clear" w:pos="1134"/>
          <w:tab w:val="left" w:pos="1122"/>
        </w:tabs>
        <w:rPr>
          <w:b/>
          <w:bCs/>
        </w:rPr>
      </w:pPr>
    </w:p>
    <w:p w:rsidR="00000000" w:rsidRDefault="00000000">
      <w:pPr>
        <w:tabs>
          <w:tab w:val="clear" w:pos="1134"/>
          <w:tab w:val="left" w:pos="1122"/>
        </w:tabs>
      </w:pPr>
      <w:r>
        <w:t>269.</w:t>
      </w:r>
      <w:r>
        <w:tab/>
        <w:t xml:space="preserve">В главе А раздела </w:t>
      </w:r>
      <w:r>
        <w:rPr>
          <w:lang w:val="en-US"/>
        </w:rPr>
        <w:t>III</w:t>
      </w:r>
      <w:r>
        <w:t xml:space="preserve"> статьи 20 Конституции говорится:</w:t>
      </w:r>
    </w:p>
    <w:p w:rsidR="00000000" w:rsidRDefault="00000000">
      <w:pPr>
        <w:tabs>
          <w:tab w:val="clear" w:pos="1134"/>
          <w:tab w:val="left" w:pos="1122"/>
        </w:tabs>
      </w:pPr>
    </w:p>
    <w:p w:rsidR="00000000" w:rsidRDefault="00000000">
      <w:pPr>
        <w:tabs>
          <w:tab w:val="clear" w:pos="1134"/>
          <w:tab w:val="left" w:pos="1122"/>
        </w:tabs>
        <w:ind w:left="567" w:hanging="567"/>
      </w:pPr>
      <w:r>
        <w:tab/>
      </w:r>
      <w:r>
        <w:tab/>
        <w:t>"При рассмотрении уголовного дела обвиняемому предоставляются следующие гарантии:</w:t>
      </w:r>
    </w:p>
    <w:p w:rsidR="00000000" w:rsidRDefault="00000000">
      <w:pPr>
        <w:tabs>
          <w:tab w:val="clear" w:pos="1134"/>
          <w:tab w:val="left" w:pos="1122"/>
        </w:tabs>
      </w:pPr>
    </w:p>
    <w:p w:rsidR="00000000" w:rsidRDefault="00000000">
      <w:pPr>
        <w:tabs>
          <w:tab w:val="clear" w:pos="1134"/>
          <w:tab w:val="left" w:pos="1122"/>
        </w:tabs>
      </w:pPr>
      <w:r>
        <w:tab/>
      </w:r>
      <w:r>
        <w:tab/>
        <w:t>А.</w:t>
      </w:r>
      <w:r>
        <w:tab/>
        <w:t>Обвиняемый…</w:t>
      </w:r>
    </w:p>
    <w:p w:rsidR="00000000" w:rsidRDefault="00000000">
      <w:pPr>
        <w:tabs>
          <w:tab w:val="clear" w:pos="1134"/>
          <w:tab w:val="left" w:pos="1122"/>
        </w:tabs>
      </w:pPr>
    </w:p>
    <w:p w:rsidR="00000000" w:rsidRDefault="00000000">
      <w:pPr>
        <w:tabs>
          <w:tab w:val="clear" w:pos="1134"/>
          <w:tab w:val="left" w:pos="1122"/>
        </w:tabs>
        <w:ind w:left="2268" w:hanging="2268"/>
      </w:pPr>
      <w:r>
        <w:tab/>
      </w:r>
      <w:r>
        <w:tab/>
      </w:r>
      <w:r>
        <w:tab/>
      </w:r>
      <w:r>
        <w:rPr>
          <w:lang w:val="en-US"/>
        </w:rPr>
        <w:t>II</w:t>
      </w:r>
      <w:r>
        <w:t>.</w:t>
      </w:r>
      <w:r>
        <w:tab/>
        <w:t>Не может быть принужден давать показания.  Запрещаются изоляция, запугивание или использование пыток, применение которых подлежит уголовному преследованию.  Любое признание, полученное не прокурором и не судьей или же в отсутствие адвоката… не имеет доказательной силы".</w:t>
      </w:r>
    </w:p>
    <w:p w:rsidR="00000000" w:rsidRDefault="00000000">
      <w:pPr>
        <w:tabs>
          <w:tab w:val="clear" w:pos="1134"/>
          <w:tab w:val="left" w:pos="1122"/>
        </w:tabs>
      </w:pPr>
    </w:p>
    <w:p w:rsidR="00000000" w:rsidRDefault="00000000">
      <w:r>
        <w:t>270.</w:t>
      </w:r>
      <w:r>
        <w:tab/>
        <w:t>В Федеральном законе о предотвращении пыток и наказаний за них также говорится, что любое признание данному прокурору без присутствия адвоката или доверенного лица подозреваемого лишено какой бы то ни было доказательной ценности</w:t>
      </w:r>
      <w:r>
        <w:rPr>
          <w:rStyle w:val="EndnoteReference"/>
        </w:rPr>
        <w:endnoteReference w:id="108"/>
      </w:r>
      <w:r>
        <w:t>.</w:t>
      </w:r>
    </w:p>
    <w:p w:rsidR="00000000" w:rsidRDefault="00000000"/>
    <w:p w:rsidR="00000000" w:rsidRDefault="00000000">
      <w:pPr>
        <w:jc w:val="center"/>
        <w:rPr>
          <w:b/>
          <w:bCs/>
        </w:rPr>
      </w:pPr>
      <w:r>
        <w:rPr>
          <w:b/>
          <w:bCs/>
        </w:rPr>
        <w:t>В.</w:t>
      </w:r>
      <w:r>
        <w:rPr>
          <w:b/>
          <w:bCs/>
        </w:rPr>
        <w:tab/>
        <w:t>Судебные критерии</w:t>
      </w:r>
    </w:p>
    <w:p w:rsidR="00000000" w:rsidRDefault="00000000">
      <w:pPr>
        <w:rPr>
          <w:b/>
          <w:bCs/>
        </w:rPr>
      </w:pPr>
    </w:p>
    <w:p w:rsidR="00000000" w:rsidRDefault="00000000">
      <w:r>
        <w:t>271.</w:t>
      </w:r>
      <w:r>
        <w:tab/>
        <w:t>Хотя правовые нормы устанавливают высокий уровень защиты обвиняемого с целью объявления не имеющим силы любого признания, полученного под принуждением или в отсутствие адвоката, некоторые судебные критерии такого уровня защиты не предусматривают.  Согласно юриспруденции коллегиальных окружных судов, установленной после вступления в силу Федерального закона о предотвращении пыток и наказании за них, в случае получения признания в результате применения физического или психологического насилия и при подтверждении его другими доказательными средствами судебные органы обязаны считать, что такое признание имеет доказательную ценность</w:t>
      </w:r>
      <w:r>
        <w:rPr>
          <w:rStyle w:val="EndnoteReference"/>
        </w:rPr>
        <w:endnoteReference w:id="109"/>
      </w:r>
      <w:r>
        <w:t>.</w:t>
      </w:r>
    </w:p>
    <w:p w:rsidR="00000000" w:rsidRDefault="00000000"/>
    <w:p w:rsidR="00000000" w:rsidRDefault="00000000">
      <w:r>
        <w:t>272.</w:t>
      </w:r>
      <w:r>
        <w:tab/>
        <w:t>С другой стороны, окружные коллегиальные суды подтвердили принцип первоочередности полученных доказательств, в соответствии с которым первое заявление, сделанное подозреваемым прокурору, имеет более высокую доказательную ценность, чем признание, сделанное судебному органу</w:t>
      </w:r>
      <w:r>
        <w:rPr>
          <w:rStyle w:val="EndnoteReference"/>
        </w:rPr>
        <w:endnoteReference w:id="110"/>
      </w:r>
      <w:r>
        <w:t>.</w:t>
      </w:r>
    </w:p>
    <w:p w:rsidR="00000000" w:rsidRDefault="00000000"/>
    <w:p w:rsidR="00000000" w:rsidRDefault="00000000">
      <w:r>
        <w:t>273.</w:t>
      </w:r>
      <w:r>
        <w:tab/>
        <w:t>Этот критерий приобретает еще более важное значение, если принять во внимание то обстоятельство, что в соответствии с Конституцией задержанные лица могут находиться под стражей по распоряжению сотрудников прокуратуры не более 48 часов.  Как указывалось ранее, одна из обеспокоенностей, высказываемых некоторыми организациями гражданского общества и международными правозащитными органами, заключается в том, что в течение этого времени задержанные не могут общаться с адвокатом или доверенным лицом.  Кроме того, продолжают поступать сообщения о том, что задержанные содержатся в изоляции более продолжительный период, чем это предусматривается законами.  И когда наконец задержанному назначается адвокат или ему удается установить контакт со своим доверенным лицом, у него практически нет времени встретиться с ними до того, как он сделает первое заявление</w:t>
      </w:r>
      <w:r>
        <w:rPr>
          <w:rStyle w:val="EndnoteReference"/>
        </w:rPr>
        <w:endnoteReference w:id="111"/>
      </w:r>
      <w:r>
        <w:t>.  Короче говоря, проблема состоит в том, что обвиняемому во всех случаях не предоставляются необходимые гарантии для его защиты.</w:t>
      </w:r>
    </w:p>
    <w:p w:rsidR="00000000" w:rsidRDefault="00000000"/>
    <w:p w:rsidR="00000000" w:rsidRDefault="00000000">
      <w:pPr>
        <w:ind w:left="567" w:hanging="567"/>
        <w:rPr>
          <w:b/>
          <w:bCs/>
          <w:i/>
          <w:iCs/>
        </w:rPr>
      </w:pPr>
      <w:r>
        <w:rPr>
          <w:b/>
          <w:bCs/>
          <w:i/>
          <w:iCs/>
        </w:rPr>
        <w:t>1.</w:t>
      </w:r>
      <w:r>
        <w:rPr>
          <w:b/>
          <w:bCs/>
          <w:i/>
          <w:iCs/>
        </w:rPr>
        <w:tab/>
        <w:t>Обязательные условия, выполнение которых делает признание имеющим доказательную ценность</w:t>
      </w:r>
    </w:p>
    <w:p w:rsidR="00000000" w:rsidRDefault="00000000">
      <w:pPr>
        <w:ind w:left="567" w:hanging="567"/>
        <w:rPr>
          <w:b/>
          <w:bCs/>
        </w:rPr>
      </w:pPr>
    </w:p>
    <w:p w:rsidR="00000000" w:rsidRDefault="00000000">
      <w:r>
        <w:t>274.</w:t>
      </w:r>
      <w:r>
        <w:tab/>
        <w:t>Судебная власть установила, что для того, чтобы признание в полной мере имело доказательную ценность, оно должно подтверждаться другими доказательствами и быть убедительным.  Поэтому окружные коллегиальные суды считают, что медицинское заключение о наличии телесных повреждений, нанесенных обвиняемому, не является достаточным основанием для подтверждения того, что признание было получено под пытками, если оно не подтверждается другими доказательствами</w:t>
      </w:r>
      <w:r>
        <w:rPr>
          <w:rStyle w:val="EndnoteReference"/>
        </w:rPr>
        <w:endnoteReference w:id="112"/>
      </w:r>
      <w:r>
        <w:t>.</w:t>
      </w:r>
    </w:p>
    <w:p w:rsidR="00000000" w:rsidRDefault="00000000"/>
    <w:p w:rsidR="00000000" w:rsidRDefault="00000000">
      <w:r>
        <w:t>275.</w:t>
      </w:r>
      <w:r>
        <w:tab/>
        <w:t>Из других решений окружных коллегиальных судов вытекает, что признание, сделанное обвиняемым в ходе судебного разбирательства, само по себе не имеет достаточной доказательной силы при разборе уголовных дел, для признания в полной мере ответственности за незаконное деяние, вина за которое ему вменяется.  Поэтому для того, чтобы указанное признание в полной мере имело доказательную ценность, оно должно подтверждаться другими убедительными средствами, которые придавали бы ему силу и делали бы его убедительным</w:t>
      </w:r>
      <w:r>
        <w:rPr>
          <w:rStyle w:val="EndnoteReference"/>
        </w:rPr>
        <w:endnoteReference w:id="113"/>
      </w:r>
      <w:r>
        <w:t>.</w:t>
      </w:r>
    </w:p>
    <w:p w:rsidR="00000000" w:rsidRDefault="00000000"/>
    <w:p w:rsidR="00000000" w:rsidRDefault="00000000">
      <w:pPr>
        <w:jc w:val="center"/>
        <w:rPr>
          <w:b/>
          <w:bCs/>
        </w:rPr>
      </w:pPr>
      <w:r>
        <w:rPr>
          <w:b/>
          <w:bCs/>
          <w:lang w:val="en-US"/>
        </w:rPr>
        <w:t>C</w:t>
      </w:r>
      <w:r>
        <w:rPr>
          <w:b/>
          <w:bCs/>
        </w:rPr>
        <w:t>.</w:t>
      </w:r>
      <w:r>
        <w:rPr>
          <w:b/>
          <w:bCs/>
        </w:rPr>
        <w:tab/>
        <w:t>Замечания, задачи и планы</w:t>
      </w:r>
    </w:p>
    <w:p w:rsidR="00000000" w:rsidRDefault="00000000"/>
    <w:p w:rsidR="00000000" w:rsidRDefault="00000000">
      <w:r>
        <w:t>276.</w:t>
      </w:r>
      <w:r>
        <w:tab/>
        <w:t>Специальный докладчик по вопросу о пытках указывает, что доказательные средства, которые могут подтверждать признание, полученное под пытками, могут включать, в частности, признания сообщников или соучастников, которые также были получены под давлением</w:t>
      </w:r>
      <w:r>
        <w:rPr>
          <w:rStyle w:val="EndnoteReference"/>
        </w:rPr>
        <w:endnoteReference w:id="114"/>
      </w:r>
      <w:r>
        <w:t>.   Кроме того, докладчик утверждает, что в рамках мексиканской уголовной системы бремя доказывания в отношении признания, полученного под пытками, по</w:t>
      </w:r>
      <w:r>
        <w:noBreakHyphen/>
        <w:t>прежнему лежит на подозреваемом, который должен докавать не только применение насилия, жертвой которого он стал, но и представить доказательства, которые опровергали бы улики, представленные сотрудниками прокуратуры, включая в некоторых случаях признания, сделанные другими подозреваемыми</w:t>
      </w:r>
      <w:r>
        <w:rPr>
          <w:rStyle w:val="EndnoteReference"/>
        </w:rPr>
        <w:endnoteReference w:id="115"/>
      </w:r>
      <w:r>
        <w:t>.</w:t>
      </w:r>
    </w:p>
    <w:p w:rsidR="00000000" w:rsidRDefault="00000000"/>
    <w:p w:rsidR="00000000" w:rsidRDefault="00000000">
      <w:r>
        <w:t>277.</w:t>
      </w:r>
      <w:r>
        <w:tab/>
        <w:t>В этой связи неправительственная организация АКАТ указывает, что жертва пыток должна возбуждать отдельное судебное разбирательство, в котором она должна выступать в роли жертвы.  Однако это судебное разбирательство, которое проводится отдельно, не будет оказывать никакого влияния на первое судебное разбирательство, если только не выносится четкое постановление о том, что для получения признания подозреваемого (жертвы в рамках второго судебного разбирательства), применялось принуждение</w:t>
      </w:r>
      <w:r>
        <w:rPr>
          <w:rStyle w:val="EndnoteReference"/>
        </w:rPr>
        <w:endnoteReference w:id="116"/>
      </w:r>
      <w:r>
        <w:t>.</w:t>
      </w:r>
    </w:p>
    <w:p w:rsidR="00000000" w:rsidRDefault="00000000"/>
    <w:p w:rsidR="00000000" w:rsidRDefault="00000000">
      <w:r>
        <w:t>278.</w:t>
      </w:r>
      <w:r>
        <w:tab/>
        <w:t>С другой стороны, Специальный докладчик Организации Объединенных Наций по вопросу о пытках сэр Найджел Родли на основе информации, полученной от неправительственных организаций, заявляет, что на практике судьи применяют субъективные критерии для вынесения решений о том, применялись ли пытки.  По мнению судей, если для излечения телесных повреждений требуется менее 15 дней, то такие повреждения не могут рассматриваться как нанесенные в результате пыток, поскольку нанесение таких телесных повреждений не сопровождалось болями или серьезными страданиями</w:t>
      </w:r>
      <w:r>
        <w:rPr>
          <w:rStyle w:val="EndnoteReference"/>
        </w:rPr>
        <w:endnoteReference w:id="117"/>
      </w:r>
      <w:r>
        <w:t>.</w:t>
      </w:r>
    </w:p>
    <w:p w:rsidR="00000000" w:rsidRDefault="00000000"/>
    <w:p w:rsidR="00000000" w:rsidRDefault="00000000">
      <w:r>
        <w:t>279.</w:t>
      </w:r>
      <w:r>
        <w:tab/>
        <w:t>Во исполнение рекомендации НКПЧ, а также рекомендаций Докладчика по вопросу о пытках и Комитета по правам человека поправка, которую федеральная исполнительная власть предлагает внести в Конституцию, будет предусматривать, что в ходе судебных разбирательств показательную силу имеют только признания, сделанные судье или в присутствии адвоката.  В соответствии с этой поправкой органы прокуратуры лишаются полномочий принимать заявления от обвиняемого без присутствия судьи.</w:t>
      </w:r>
    </w:p>
    <w:p w:rsidR="00000000" w:rsidRDefault="00000000"/>
    <w:p w:rsidR="00000000" w:rsidRDefault="00000000">
      <w:pPr>
        <w:jc w:val="center"/>
        <w:rPr>
          <w:b/>
          <w:bCs/>
        </w:rPr>
      </w:pPr>
      <w:r>
        <w:rPr>
          <w:b/>
          <w:bCs/>
        </w:rPr>
        <w:t>Статья 16.  Запрещение жестоких, бесчеловечных или унижающих достоинство видов обращения и наказания</w:t>
      </w:r>
    </w:p>
    <w:p w:rsidR="00000000" w:rsidRDefault="00000000">
      <w:pPr>
        <w:jc w:val="center"/>
      </w:pPr>
    </w:p>
    <w:p w:rsidR="00000000" w:rsidRDefault="00000000">
      <w:r>
        <w:t>280.</w:t>
      </w:r>
      <w:r>
        <w:tab/>
        <w:t>Как указывалось в информации, относящейся к ранее рассматриваемым статьям, в Мексике приняты различные постановления, защищающие лиц против действий, которые, не являясь пытками, тем не менее являются актами, которые нарушают права человека, унижают его достоинство и наносят ущерб его физическому и психическому здоровью.  Следует отметить, что Комиссия по вопросам правительственной политики после изучения и принятия Подкомиссией по гражданским и политическим правам 25 мер против пыток стремится дать определение понятию "психологическая пытка" и указать ее признаки.</w:t>
      </w:r>
    </w:p>
    <w:p w:rsidR="00000000" w:rsidRDefault="00000000"/>
    <w:p w:rsidR="00000000" w:rsidRDefault="00000000">
      <w:r>
        <w:t>281.</w:t>
      </w:r>
      <w:r>
        <w:tab/>
        <w:t>Что касается правовых положений, касающихся жестокого обращения и жестоких наказаний, которые не являются пытками, то в статьях 328</w:t>
      </w:r>
      <w:r>
        <w:noBreakHyphen/>
        <w:t>330 Кодекса военной юстиции предусматривается преступление, связанное с применением насилия, в результате которого тому или иному лицу были нанесены телесные повреждения или которое повлекло за собой смерть, не исключая при этом применения положений Федерального закона о предотвращении пыток и наказании за них, как это предусматривается в статье 58 вышеуказанного Кодекса военной юстиции.</w:t>
      </w:r>
    </w:p>
    <w:p w:rsidR="00000000" w:rsidRDefault="00000000"/>
    <w:p w:rsidR="00000000" w:rsidRDefault="00000000">
      <w:pPr>
        <w:jc w:val="center"/>
        <w:rPr>
          <w:b/>
          <w:bCs/>
        </w:rPr>
      </w:pPr>
      <w:r>
        <w:rPr>
          <w:b/>
          <w:bCs/>
        </w:rPr>
        <w:t>A.</w:t>
      </w:r>
      <w:r>
        <w:rPr>
          <w:b/>
          <w:bCs/>
        </w:rPr>
        <w:tab/>
        <w:t>Свободно выраженное согласие</w:t>
      </w:r>
    </w:p>
    <w:p w:rsidR="00000000" w:rsidRDefault="00000000">
      <w:pPr>
        <w:rPr>
          <w:b/>
          <w:bCs/>
          <w:u w:val="single"/>
        </w:rPr>
      </w:pPr>
    </w:p>
    <w:p w:rsidR="00000000" w:rsidRDefault="00000000">
      <w:r>
        <w:t>282.</w:t>
      </w:r>
      <w:r>
        <w:tab/>
        <w:t xml:space="preserve">В регламенте применения Общего закона о здоровье свободно выраженное согласие характеризуется как "согласие, данное в письменной форме по собственному выбору и без какого-либо принуждения, посредством которого лицо, являющееся объектом расследования, или его законно уполномоченный представитель дает согласие на его участие в проводимом расследовании, полностью сознавая процедуры, которые будут применимы в отношении его, и риск, которому он подвергается".  Для получения такого согласия это лицо должно быть информировано об обязательности предоставления ему следующих сведений:  i)  причины и цели расследования;  ii)  процедуры, которые будут использоваться в ходе такого разбирательства;  при этом должны быть четко указаны процедуры, которые будут носить экспериментальный характер;  iii)  риск и проблемы, которые могут возникнуть в ходе разбирательства;  </w:t>
      </w:r>
      <w:r>
        <w:rPr>
          <w:lang w:val="en-US"/>
        </w:rPr>
        <w:t>iv</w:t>
      </w:r>
      <w:r>
        <w:t xml:space="preserve">)  ожидаемые выгоды;  </w:t>
      </w:r>
      <w:r>
        <w:rPr>
          <w:lang w:val="en-US"/>
        </w:rPr>
        <w:t>v</w:t>
      </w:r>
      <w:r>
        <w:t xml:space="preserve">)  альтернативные процедуры;  </w:t>
      </w:r>
      <w:r>
        <w:rPr>
          <w:lang w:val="en-US"/>
        </w:rPr>
        <w:t>vi</w:t>
      </w:r>
      <w:r>
        <w:t xml:space="preserve">)  право отказаться от данного согласия в любой момент, а также  </w:t>
      </w:r>
      <w:r>
        <w:rPr>
          <w:lang w:val="en-US"/>
        </w:rPr>
        <w:t>vii</w:t>
      </w:r>
      <w:r>
        <w:t>)  гарантии сохранения в тайне личности этого лица и обеспечения конфиденциальности полученной информации личного характера.</w:t>
      </w:r>
    </w:p>
    <w:p w:rsidR="00000000" w:rsidRDefault="00000000"/>
    <w:p w:rsidR="00000000" w:rsidRDefault="00000000">
      <w:r>
        <w:t>283.</w:t>
      </w:r>
      <w:r>
        <w:tab/>
        <w:t>Несмотря на это положение, Национальная комиссия по вопросам медицинского арбитража продолжает получать жалобы на недостаток информации, предоставляемой пациентам в частных и государственных медицинских учреждениях.  Так, например, в январе и феврале 2004 года было зарегистрировано шесть случаев невыполнения должностными лицами рекомендаций по данному вопросу, что составляет почти 10% жалоб, поданных в течение этого периода</w:t>
      </w:r>
      <w:r>
        <w:rPr>
          <w:rStyle w:val="EndnoteReference"/>
        </w:rPr>
        <w:endnoteReference w:id="118"/>
      </w:r>
      <w:r>
        <w:t>.</w:t>
      </w:r>
    </w:p>
    <w:p w:rsidR="00000000" w:rsidRDefault="00000000"/>
    <w:p w:rsidR="00000000" w:rsidRDefault="00000000">
      <w:r>
        <w:t>284.</w:t>
      </w:r>
      <w:r>
        <w:tab/>
        <w:t>Кроме того, в соответствии с распоряжением, на основании которого изданы руководящие принципы для учреждений в отношении применения упомянутой ранее типовой процедуры проведения медицинских осмотров/психологических анализов для установления случаев возможного применения пыток и/или жестокого обращения, для медицинского освидетельствования в рамках типовой процедуры необходимо получить свободно выраженное согласие предполагаемой жертвы пыток.</w:t>
      </w:r>
    </w:p>
    <w:p w:rsidR="00000000" w:rsidRDefault="00000000"/>
    <w:p w:rsidR="00000000" w:rsidRDefault="00000000">
      <w:pPr>
        <w:jc w:val="center"/>
        <w:rPr>
          <w:b/>
          <w:bCs/>
        </w:rPr>
      </w:pPr>
      <w:r>
        <w:rPr>
          <w:b/>
          <w:bCs/>
        </w:rPr>
        <w:t>B.</w:t>
      </w:r>
      <w:r>
        <w:rPr>
          <w:b/>
          <w:bCs/>
        </w:rPr>
        <w:tab/>
        <w:t>Замечания, планы и задачи</w:t>
      </w:r>
    </w:p>
    <w:p w:rsidR="00000000" w:rsidRDefault="00000000">
      <w:pPr>
        <w:rPr>
          <w:b/>
          <w:bCs/>
          <w:u w:val="single"/>
        </w:rPr>
      </w:pPr>
    </w:p>
    <w:p w:rsidR="00000000" w:rsidRDefault="00000000">
      <w:r>
        <w:t>285.</w:t>
      </w:r>
      <w:r>
        <w:tab/>
        <w:t>В поправке, которую исполнительная власть предлагает в Конституцию, предусматривается изменить формулировку статей 14-22 Конституции, с тем чтобы четко запретить смертную казнь, которая будет рассматриваться как жестокое, бесчеловечное и унижающее достоинство обращение.  После внесения поправки в статью 22 она будет иметь следующую формулировку:</w:t>
      </w:r>
    </w:p>
    <w:p w:rsidR="00000000" w:rsidRDefault="00000000"/>
    <w:p w:rsidR="00000000" w:rsidRDefault="00000000">
      <w:pPr>
        <w:ind w:left="567" w:hanging="567"/>
      </w:pPr>
      <w:r>
        <w:rPr>
          <w:i/>
          <w:iCs/>
        </w:rPr>
        <w:tab/>
      </w:r>
      <w:r>
        <w:t>"Запрещаются такие наказания, как смертная казнь, наказания, наносящие увечья или лишающие чести, а также клеймение, избиение плетьми или палками, пытки всякого рода, чрезмерные штрафы, конфискация имущества и любые другие необычные и выходящие за разумные рамки наказания".</w:t>
      </w:r>
    </w:p>
    <w:p w:rsidR="00000000" w:rsidRDefault="00000000"/>
    <w:p w:rsidR="00000000" w:rsidRDefault="00000000">
      <w:pPr>
        <w:jc w:val="center"/>
        <w:rPr>
          <w:b/>
          <w:bCs/>
        </w:rPr>
      </w:pPr>
      <w:r>
        <w:rPr>
          <w:b/>
          <w:bCs/>
        </w:rPr>
        <w:t>Статья 22.  Согласие с компетенцией комитета получать</w:t>
      </w:r>
    </w:p>
    <w:p w:rsidR="00000000" w:rsidRDefault="00000000">
      <w:pPr>
        <w:jc w:val="center"/>
        <w:rPr>
          <w:b/>
          <w:bCs/>
        </w:rPr>
      </w:pPr>
      <w:r>
        <w:rPr>
          <w:b/>
          <w:bCs/>
        </w:rPr>
        <w:t>индивидуальные сообщения</w:t>
      </w:r>
    </w:p>
    <w:p w:rsidR="00000000" w:rsidRDefault="00000000">
      <w:pPr>
        <w:jc w:val="center"/>
        <w:rPr>
          <w:b/>
          <w:bCs/>
        </w:rPr>
      </w:pPr>
    </w:p>
    <w:p w:rsidR="00000000" w:rsidRDefault="00000000">
      <w:r>
        <w:t>286.</w:t>
      </w:r>
      <w:r>
        <w:tab/>
        <w:t>Во исполнение рекомендаций Комитета против пыток Мексика 15 марта 2002 года сдала на хранение документ, в котором говорится, что в соответствии со статьей 22 Конвенции против пыток Мексика признает компетенцию Комитета получать и рассматривать сообщения лиц, находящихся под юрисдикцией Мексики, которые утверждают, что они являются жертвами нарушения государством-участником положений Конвенции, или сообщения такого рода, поступающие от их имени.  Информация об этом была опубликована в "Официальном вестнике Федерации" 3 мая 2002 года.</w:t>
      </w:r>
    </w:p>
    <w:p w:rsidR="00000000" w:rsidRDefault="00000000"/>
    <w:p w:rsidR="00000000" w:rsidRDefault="00000000">
      <w:pPr>
        <w:jc w:val="center"/>
        <w:rPr>
          <w:b/>
          <w:bCs/>
        </w:rPr>
      </w:pPr>
      <w:r>
        <w:rPr>
          <w:b/>
          <w:bCs/>
          <w:lang w:val="en-US"/>
        </w:rPr>
        <w:t>II</w:t>
      </w:r>
      <w:r>
        <w:rPr>
          <w:b/>
          <w:bCs/>
        </w:rPr>
        <w:t>.</w:t>
      </w:r>
      <w:r>
        <w:rPr>
          <w:b/>
          <w:bCs/>
        </w:rPr>
        <w:tab/>
        <w:t>ДОПОЛНИТЕЛЬНАЯ ИНФОРМАЦИЯ, ЗАПРОШЕННАЯ КОМИТЕТОМ</w:t>
      </w:r>
    </w:p>
    <w:p w:rsidR="00000000" w:rsidRDefault="00000000"/>
    <w:p w:rsidR="00000000" w:rsidRDefault="00000000">
      <w:r>
        <w:t>287.</w:t>
      </w:r>
      <w:r>
        <w:tab/>
        <w:t>Что касается обеспокоенности, выраженной Комитетом во время рассмотрения последнего доклада, представленного Мексикой, то следует указать, что ответы на многочисленные вопросы, заданные Комитетом, содержатся в тексте настоящего доклада.</w:t>
      </w:r>
    </w:p>
    <w:p w:rsidR="00000000" w:rsidRDefault="00000000"/>
    <w:p w:rsidR="00000000" w:rsidRDefault="00000000">
      <w:r>
        <w:t>288.</w:t>
      </w:r>
      <w:r>
        <w:tab/>
        <w:t>При этом следует подчеркнуть, что главным конкретным достижением в областях, на которые указал Комитет в своих вопросах, является признание права на компенсацию ущерба, как это предусматривается в статье 113 Конституции, о чем говорится в разделе, посвященном рассмотрению выполнения статьи 14 Конвенции против пыток.  В соответствии с положениями этой статьи устанавливается конкретная прямая ответственность государства в данном вопросе.  После внесения этой поправки ответственность государства за неправомерные действия государственных должностных лиц подтверждается ущербом, причиненным их неправомерными действиями имуществу или правам граждан.  Данная процедура отличается от существующей в настоящее время системы решения спорных вопросов по гражданским делам, которая устанавливает, что ответственность государства зависит от подтверждения неправомерных действий государственных должностных лиц (пункты 243-246).</w:t>
      </w:r>
    </w:p>
    <w:p w:rsidR="00000000" w:rsidRDefault="00000000"/>
    <w:p w:rsidR="00000000" w:rsidRDefault="00000000">
      <w:r>
        <w:t>289.</w:t>
      </w:r>
      <w:r>
        <w:tab/>
        <w:t>Кроме того, еще одним важным свидетельством достигнутого прогресса является наделение Национальной комиссии по правам человека полномочиями самостоятельно принимать решения, о чем упоминается в разделе, касающемся законодательных мер, при рассмотрении статьи 2 Конвенции.  В опубликованной 13 сентября 1999</w:t>
      </w:r>
      <w:r>
        <w:rPr>
          <w:lang w:val="en-US"/>
        </w:rPr>
        <w:t> </w:t>
      </w:r>
      <w:r>
        <w:t>года в "Официальном вестнике Федерации" поправке, внесенной в раздел В статьи 102 Политической конституции, говорится, что Национальная комиссия по правам человека является органом, который самостоятельно осуществляет свою деятельность, имеет собственный бюджет, является юридическим лицом и обладает имущественными правами.  Его основная цель состоит в обеспечении защиты прав человека, осуществлении наблюдения за соблюдением законов, оказании содействия правам человека, проведении исследований по этому вопросу и в пропаганде этих прав, как это предусмотрено в мексиканской правовой системе  Эта поправка принята по инициативе палаты депутатов, которая назначает руководителя Национальной комиссии по правам человека, что гарантирует ее абсолютную независимость от исполнительной власти.</w:t>
      </w:r>
    </w:p>
    <w:p w:rsidR="00000000" w:rsidRDefault="00000000"/>
    <w:p w:rsidR="00000000" w:rsidRDefault="00000000">
      <w:r>
        <w:t>290.</w:t>
      </w:r>
      <w:r>
        <w:tab/>
        <w:t>С другой стороны, главным инструментом, который позволит решить некоторые проблемы, вызывающие обеспокоенность у Комитета против пыток, является реформа судебной системы, которая была предложена федеральной исполнительной властью и о которой упоминается в пунктах 99</w:t>
      </w:r>
      <w:r>
        <w:noBreakHyphen/>
        <w:t>102 и 108.</w:t>
      </w:r>
    </w:p>
    <w:p w:rsidR="00000000" w:rsidRDefault="00000000"/>
    <w:p w:rsidR="00000000" w:rsidRDefault="00000000">
      <w:pPr>
        <w:jc w:val="center"/>
        <w:rPr>
          <w:b/>
          <w:bCs/>
        </w:rPr>
      </w:pPr>
      <w:r>
        <w:rPr>
          <w:b/>
          <w:bCs/>
          <w:lang w:val="en-US"/>
        </w:rPr>
        <w:t>III</w:t>
      </w:r>
      <w:r>
        <w:rPr>
          <w:b/>
          <w:bCs/>
        </w:rPr>
        <w:t>.</w:t>
      </w:r>
      <w:r>
        <w:rPr>
          <w:b/>
          <w:bCs/>
        </w:rPr>
        <w:tab/>
        <w:t>ВЫПОЛНЕНИЕ РЕКОМЕНДАЦИЙ КОМИТЕТА</w:t>
      </w:r>
    </w:p>
    <w:p w:rsidR="00000000" w:rsidRDefault="00000000">
      <w:pPr>
        <w:jc w:val="center"/>
        <w:rPr>
          <w:b/>
          <w:bCs/>
        </w:rPr>
      </w:pPr>
    </w:p>
    <w:p w:rsidR="00000000" w:rsidRDefault="00000000">
      <w:r>
        <w:t>291.</w:t>
      </w:r>
      <w:r>
        <w:tab/>
        <w:t xml:space="preserve">Правительство Мексики прилагает усилия для выполнения рекомендаций, сделанных Комитетом, что позволило добиться более ощутимых результатов в вопросах предотвращения пыток, борьбы с ними и наказания за них.  В этой связи в настоящем докладе излагаются меры, осуществленные правительством Мексики во исполнение рекомендаций Комитета.  </w:t>
      </w:r>
    </w:p>
    <w:p w:rsidR="00000000" w:rsidRDefault="00000000"/>
    <w:p w:rsidR="00000000" w:rsidRDefault="00000000">
      <w:r>
        <w:t>292.</w:t>
      </w:r>
      <w:r>
        <w:tab/>
        <w:t>После рассмотрения последнего периодического доклада, представленного Мексикой, Комитет сделал следующие рекомендации:</w:t>
      </w:r>
    </w:p>
    <w:p w:rsidR="00000000" w:rsidRDefault="00000000"/>
    <w:p w:rsidR="00000000" w:rsidRDefault="00000000">
      <w:pPr>
        <w:ind w:left="567" w:hanging="567"/>
        <w:rPr>
          <w:b/>
          <w:bCs/>
        </w:rPr>
      </w:pPr>
      <w:r>
        <w:rPr>
          <w:b/>
          <w:bCs/>
        </w:rPr>
        <w:tab/>
        <w:t>Применение эффективных процедур контроля за выполнением обязанностей и соблюдением запретов государственными должностными лицами, учреждениями, которые отвечают за отправление правосудия и применение законов, особенно Генеральной прокуратурой Республики и подчиненными ей судебными органами, для обеспечения применения в полной мере многочисленных правовых средств защиты, существующих в Мексике, с целью искоренения пыток и обеспечения административного и уголовного наказания за них виновных лиц.</w:t>
      </w:r>
    </w:p>
    <w:p w:rsidR="00000000" w:rsidRDefault="00000000">
      <w:pPr>
        <w:rPr>
          <w:b/>
          <w:bCs/>
        </w:rPr>
      </w:pPr>
    </w:p>
    <w:p w:rsidR="00000000" w:rsidRDefault="00000000">
      <w:r>
        <w:t>293.</w:t>
      </w:r>
      <w:r>
        <w:tab/>
        <w:t>См. изложенные в настоящем докладе меры, принятые для выполнения статей 2-4 Конвенции.</w:t>
      </w:r>
    </w:p>
    <w:p w:rsidR="00000000" w:rsidRDefault="00000000"/>
    <w:p w:rsidR="00000000" w:rsidRDefault="00000000">
      <w:pPr>
        <w:ind w:left="567" w:hanging="567"/>
        <w:rPr>
          <w:b/>
          <w:bCs/>
        </w:rPr>
      </w:pPr>
      <w:r>
        <w:rPr>
          <w:b/>
          <w:bCs/>
        </w:rPr>
        <w:tab/>
        <w:t>Предоставить государственным комиссиям, занимающимся правами человека, юридические полномочия для возбуждения уголовных дел в случаях серьезных нарушений прав человека, в том числе при получении жалоб на применение пыток.</w:t>
      </w:r>
    </w:p>
    <w:p w:rsidR="00000000" w:rsidRDefault="00000000">
      <w:pPr>
        <w:rPr>
          <w:b/>
          <w:bCs/>
        </w:rPr>
      </w:pPr>
    </w:p>
    <w:p w:rsidR="00000000" w:rsidRDefault="00000000">
      <w:r>
        <w:t>294.</w:t>
      </w:r>
      <w:r>
        <w:tab/>
        <w:t>Хотя в отношении Национальной комиссии по правам человека и аналогичных комиссий штатов приняты важные меры, направленные на совершенствование их деятельности, эти учреждения не обладают достаточными полномочиями для участия в судебном рассмотрении уголовных дел.  Однако они обладают полномочиями выносить рекомендации, осуществлять наблюдение за их выполнением и контролировать их выполнение (см. рассмотрение мер, принятых для выполнения статьи 13 Конвенции).</w:t>
      </w:r>
    </w:p>
    <w:p w:rsidR="00000000" w:rsidRDefault="00000000"/>
    <w:p w:rsidR="00000000" w:rsidRDefault="00000000">
      <w:pPr>
        <w:ind w:left="567" w:hanging="567"/>
      </w:pPr>
      <w:r>
        <w:rPr>
          <w:b/>
          <w:bCs/>
        </w:rPr>
        <w:tab/>
        <w:t>Активизировать программы подготовки кадров и распространения информации, особенно среди государственных должностных лиц, работающих в учреждениях, отвечающих за отправление правосудия, о необходимости соблюдения законов, а также среди медицинских работников, включив в эти программы вопросы, связанные с запрещением пыток.</w:t>
      </w:r>
    </w:p>
    <w:p w:rsidR="00000000" w:rsidRDefault="00000000">
      <w:pPr>
        <w:ind w:left="567" w:hanging="567"/>
      </w:pPr>
    </w:p>
    <w:p w:rsidR="00000000" w:rsidRDefault="00000000">
      <w:r>
        <w:t>295.</w:t>
      </w:r>
      <w:r>
        <w:tab/>
        <w:t>За отчетный период, охватываемый настоящим докладом, приняты важные меры в этой области (см. рассмотрение мер, принятых для выполнения статьи 10 Конвенции).</w:t>
      </w:r>
    </w:p>
    <w:p w:rsidR="00000000" w:rsidRDefault="00000000"/>
    <w:p w:rsidR="00000000" w:rsidRDefault="00000000">
      <w:pPr>
        <w:ind w:left="567" w:hanging="567"/>
        <w:rPr>
          <w:b/>
          <w:bCs/>
        </w:rPr>
      </w:pPr>
      <w:r>
        <w:rPr>
          <w:b/>
          <w:bCs/>
        </w:rPr>
        <w:tab/>
        <w:t>Разработать процедуру предоставления информации о правах задержанных лиц, которую сотрудники правоохранительных органов должны безотлагательно и непосредственно сообщать в момент осуществления задержания и которая должна быть размещена во всех местах содержания под стражей, в органах прокуратуры и в судебных учреждениях.</w:t>
      </w:r>
    </w:p>
    <w:p w:rsidR="00000000" w:rsidRDefault="00000000"/>
    <w:p w:rsidR="00000000" w:rsidRDefault="00000000">
      <w:r>
        <w:t>296.</w:t>
      </w:r>
      <w:r>
        <w:tab/>
        <w:t>Во исполнение рекомендаций Комитета меры в этой области осуществлены на территории всей страны (см. рассмотрение мер, принятых для выполнения статьи 11 Конвенции).</w:t>
      </w:r>
    </w:p>
    <w:p w:rsidR="00000000" w:rsidRDefault="00000000"/>
    <w:p w:rsidR="00000000" w:rsidRDefault="00000000">
      <w:pPr>
        <w:ind w:left="567" w:hanging="567"/>
        <w:rPr>
          <w:b/>
          <w:bCs/>
        </w:rPr>
      </w:pPr>
      <w:r>
        <w:rPr>
          <w:b/>
          <w:bCs/>
        </w:rPr>
        <w:tab/>
        <w:t>Комитет рекомендует государству-участнику рассмотреть возможность выступления с заявлением, предусмотренным в статьях 21 и 22 Конвенции.</w:t>
      </w:r>
    </w:p>
    <w:p w:rsidR="00000000" w:rsidRDefault="00000000">
      <w:pPr>
        <w:rPr>
          <w:b/>
          <w:bCs/>
        </w:rPr>
      </w:pPr>
    </w:p>
    <w:p w:rsidR="00000000" w:rsidRDefault="00000000">
      <w:pPr>
        <w:rPr>
          <w:b/>
          <w:bCs/>
        </w:rPr>
      </w:pPr>
      <w:r>
        <w:t>297.</w:t>
      </w:r>
      <w:r>
        <w:tab/>
        <w:t>Строго выполняя рекомендации Комитета, Мексика 15 марта 2002 года сдала на хранение документ о признании, в котором в соответствии со статьей 22 Конвенции она признала компетенцию Комитета получать и рассматривать сообщения лиц, находящихся под ее юрисдикцией, которые утверждают, что они являются жертвами нарушения государством-участником положения Конвенции, или сообщения такого рода, поступающие от их имени.</w:t>
      </w:r>
    </w:p>
    <w:p w:rsidR="00000000" w:rsidRDefault="00000000">
      <w:pPr>
        <w:rPr>
          <w:b/>
          <w:bCs/>
        </w:rPr>
      </w:pPr>
    </w:p>
    <w:p w:rsidR="00000000" w:rsidRDefault="00000000">
      <w:pPr>
        <w:ind w:left="567" w:hanging="567"/>
        <w:rPr>
          <w:b/>
          <w:bCs/>
        </w:rPr>
      </w:pPr>
      <w:r>
        <w:rPr>
          <w:b/>
          <w:bCs/>
        </w:rPr>
        <w:tab/>
        <w:t>Комитет полагает, что государству-участнику было бы целесообразно включить в соответствующие разделы своего очередного периодического доклада информацию, касающуюся всей страны, т.е. Федерального округа и штатов.  Комитет особенно хотел бы получить информацию о следующих аспектах данного вопроса:</w:t>
      </w:r>
    </w:p>
    <w:p w:rsidR="00000000" w:rsidRDefault="00000000">
      <w:pPr>
        <w:rPr>
          <w:b/>
          <w:bCs/>
        </w:rPr>
      </w:pPr>
    </w:p>
    <w:p w:rsidR="00000000" w:rsidRDefault="00000000">
      <w:pPr>
        <w:ind w:left="567" w:hanging="567"/>
        <w:rPr>
          <w:b/>
          <w:bCs/>
        </w:rPr>
      </w:pPr>
      <w:r>
        <w:rPr>
          <w:b/>
          <w:bCs/>
        </w:rPr>
        <w:tab/>
      </w:r>
      <w:r>
        <w:rPr>
          <w:b/>
          <w:bCs/>
        </w:rPr>
        <w:tab/>
      </w:r>
      <w:r>
        <w:rPr>
          <w:b/>
          <w:bCs/>
          <w:lang w:val="en-US"/>
        </w:rPr>
        <w:t>a</w:t>
      </w:r>
      <w:r>
        <w:rPr>
          <w:b/>
          <w:bCs/>
        </w:rPr>
        <w:t>)</w:t>
      </w:r>
      <w:r>
        <w:rPr>
          <w:b/>
          <w:bCs/>
        </w:rPr>
        <w:tab/>
        <w:t>общее число жалоб на нарушения прав человека, особенно жалоб, связанных с пытками, полученных государственными комиссиями по правам человека, и рекомендации, вынесенные этими комиссиями в отношении вышеуказанных вопросов [</w:t>
      </w:r>
      <w:r>
        <w:t>см. рассмотрение мер, принятых для выполнения статьи 13 Конвенции];</w:t>
      </w:r>
    </w:p>
    <w:p w:rsidR="00000000" w:rsidRDefault="00000000">
      <w:pPr>
        <w:rPr>
          <w:b/>
          <w:bCs/>
        </w:rPr>
      </w:pPr>
    </w:p>
    <w:p w:rsidR="00000000" w:rsidRDefault="00000000">
      <w:pPr>
        <w:ind w:left="567" w:hanging="567"/>
      </w:pPr>
      <w:r>
        <w:rPr>
          <w:b/>
          <w:bCs/>
        </w:rPr>
        <w:tab/>
      </w:r>
      <w:r>
        <w:rPr>
          <w:b/>
          <w:bCs/>
        </w:rPr>
        <w:tab/>
      </w:r>
      <w:r>
        <w:rPr>
          <w:b/>
          <w:bCs/>
          <w:lang w:val="en-US"/>
        </w:rPr>
        <w:t>b</w:t>
      </w:r>
      <w:r>
        <w:rPr>
          <w:b/>
          <w:bCs/>
        </w:rPr>
        <w:t>)</w:t>
      </w:r>
      <w:r>
        <w:rPr>
          <w:b/>
          <w:bCs/>
        </w:rPr>
        <w:tab/>
        <w:t xml:space="preserve">проведение предварительных исследований для рассмотрения жалоб на пытки, число возбужденных уголовных дел и процессов, в ходе которых были вынесены оправдательные или обвинительные приговоры и, в том что касается последних, меры наказания </w:t>
      </w:r>
      <w:r>
        <w:t>[см. рассмотрение мер, принятых для выполнения статьи 13 Конвенции];</w:t>
      </w:r>
    </w:p>
    <w:p w:rsidR="00000000" w:rsidRDefault="00000000"/>
    <w:p w:rsidR="00000000" w:rsidRDefault="00000000">
      <w:pPr>
        <w:ind w:left="567" w:hanging="567"/>
        <w:rPr>
          <w:b/>
          <w:bCs/>
        </w:rPr>
      </w:pPr>
      <w:r>
        <w:rPr>
          <w:b/>
          <w:bCs/>
        </w:rPr>
        <w:tab/>
      </w:r>
      <w:r>
        <w:rPr>
          <w:b/>
          <w:bCs/>
        </w:rPr>
        <w:tab/>
      </w:r>
      <w:r>
        <w:rPr>
          <w:b/>
          <w:bCs/>
          <w:lang w:val="en-US"/>
        </w:rPr>
        <w:t>c</w:t>
      </w:r>
      <w:r>
        <w:rPr>
          <w:b/>
          <w:bCs/>
        </w:rPr>
        <w:t>)</w:t>
      </w:r>
      <w:r>
        <w:rPr>
          <w:b/>
          <w:bCs/>
        </w:rPr>
        <w:tab/>
        <w:t>дела, в ходе которых была установлена административная ответственность государственных должностных лиц за применение пыток и вынесенные наказания.</w:t>
      </w:r>
    </w:p>
    <w:p w:rsidR="00000000" w:rsidRDefault="00000000">
      <w:pPr>
        <w:rPr>
          <w:b/>
          <w:bCs/>
        </w:rPr>
      </w:pPr>
    </w:p>
    <w:p w:rsidR="00000000" w:rsidRDefault="00000000">
      <w:r>
        <w:t>298.</w:t>
      </w:r>
      <w:r>
        <w:tab/>
        <w:t>См. рассмотрение мер, принятых для выполнения статьи 4 Конвенции.</w:t>
      </w:r>
    </w:p>
    <w:p w:rsidR="00000000" w:rsidRDefault="00000000">
      <w:pPr>
        <w:jc w:val="center"/>
        <w:rPr>
          <w:b/>
          <w:bCs/>
        </w:rPr>
      </w:pPr>
    </w:p>
    <w:p w:rsidR="00000000" w:rsidRDefault="00000000">
      <w:pPr>
        <w:keepNext/>
        <w:jc w:val="center"/>
        <w:rPr>
          <w:b/>
          <w:bCs/>
        </w:rPr>
      </w:pPr>
      <w:r>
        <w:rPr>
          <w:b/>
          <w:bCs/>
        </w:rPr>
        <w:t>IV.</w:t>
      </w:r>
      <w:r>
        <w:rPr>
          <w:b/>
          <w:bCs/>
        </w:rPr>
        <w:tab/>
        <w:t>ВЫВОДЫ</w:t>
      </w:r>
    </w:p>
    <w:p w:rsidR="00000000" w:rsidRDefault="00000000"/>
    <w:p w:rsidR="00000000" w:rsidRDefault="00000000">
      <w:r>
        <w:t>299.</w:t>
      </w:r>
      <w:r>
        <w:tab/>
        <w:t>Правительство Мексики считает, что достигнут значительный прогресс в борьбе с пытками и что созданы благоприятные условия для искоренения этой практики.  Однако оно признает, что в стране продолжает существовать большой разрыв между многочисленными юридическими и административными нормами, призванными положить конец пыткам, и реальным положением дел.  Иными словами, несмотря на существование международных документов, которые подписала Мексика, и правовые и административные меры, которые она приняла для искоренения пыток, подобная практика в Мексике продолжает существовать.</w:t>
      </w:r>
    </w:p>
    <w:p w:rsidR="00000000" w:rsidRDefault="00000000"/>
    <w:p w:rsidR="00000000" w:rsidRDefault="00000000">
      <w:r>
        <w:t>300.</w:t>
      </w:r>
      <w:r>
        <w:tab/>
        <w:t>Действующее в стране законодательство является важным, но не достаточным средством для борьбы с этой проблемой.  По</w:t>
      </w:r>
      <w:r>
        <w:noBreakHyphen/>
        <w:t>прежнему широко признано, и это подтверждает гражданское общество, что в стране существуют значительные масштабы применения пыток и безнаказанности тех, кто их применяет.  Поэтому в начале текущего года было сделано два важных предложения в отношении реформы судебной системы в Мексике и внесения в Конституцию поправок, касающихся прав человека.  Эта инициатива, несомненно, создаст благоприятную правовую атмосферу для более эффективной борьбы с пытками и для более справедливого отправления правосудия.</w:t>
      </w:r>
    </w:p>
    <w:p w:rsidR="00000000" w:rsidRDefault="00000000"/>
    <w:p w:rsidR="00000000" w:rsidRDefault="00000000">
      <w:r>
        <w:t>301.</w:t>
      </w:r>
      <w:r>
        <w:tab/>
        <w:t>Для нынешнего правительства политика открытости, прозрачности и расширения каналов и контактов с международными механизмами и комитетами, занимающимися правами человека, а также визиты международных экспертов в Мексику играют очень важную роль в решении проблем, связанных с правами человека.  Рекомендации и предложения этих механизмов оказывают положительное влияние на деятельность национальных учреждений.  Только таким образом можно осуществить структурную перестройку, в которой так нуждается страна.</w:t>
      </w:r>
    </w:p>
    <w:p w:rsidR="00000000" w:rsidRDefault="00000000"/>
    <w:p w:rsidR="00000000" w:rsidRDefault="00000000">
      <w:r>
        <w:t>302.</w:t>
      </w:r>
      <w:r>
        <w:tab/>
        <w:t>Правительство Мексики будет и далее работать над соответствующим согласованием законодательных и административных мер, а также над созданием условий для искоренения практики пыток.  Оно будет продолжать сотрудничать с международными механизмами системы защиты прав человека, поскольку оно признает важную роль, которую они играют в данном вопросе.</w:t>
      </w:r>
    </w:p>
    <w:p w:rsidR="00000000" w:rsidRDefault="00000000"/>
    <w:p w:rsidR="00000000" w:rsidRDefault="00000000">
      <w:r>
        <w:t>303.</w:t>
      </w:r>
      <w:r>
        <w:tab/>
        <w:t>Различные эксперты едины в том, что существующее в Мексике положение отражает испытываемое населением чувство отсутствия безопасности, вызванное высоким уровнем преступности, которая, как и во многих других странах мира, быстро выросла в связи с экономическими и политическими изменениями.  Страдающие от преступности слои населения требуют принятия жестких мер.  Решение этих проблем является сложной задачей для любого правительства.  Однако любое правовое государство, которое желает оправдать это название, обязано решать свои проблемы, не прибегая к преступным методам, каковыми являются пытки.</w:t>
      </w:r>
    </w:p>
    <w:p w:rsidR="00000000" w:rsidRDefault="00000000"/>
    <w:p w:rsidR="00000000" w:rsidRDefault="00000000">
      <w:r>
        <w:t>304.</w:t>
      </w:r>
      <w:r>
        <w:tab/>
        <w:t>Правительство Мексики сознает, что, только искоренив пытки, можно обеспечить защиту, достоинство и свободу всех граждан.  Защита личности и обеспечение ее всестороннего развития, безусловно, являются целью и задачей правового государства.  Поэтому никакое демократическое государство ни при каких условиях не может допускать применения пыток.</w:t>
      </w:r>
    </w:p>
    <w:p w:rsidR="00000000" w:rsidRDefault="00000000"/>
    <w:p w:rsidR="00000000" w:rsidRDefault="00000000">
      <w:pPr>
        <w:ind w:left="567" w:hanging="567"/>
        <w:jc w:val="center"/>
      </w:pPr>
      <w:r>
        <w:rPr>
          <w:b/>
          <w:bCs/>
        </w:rPr>
        <w:t>Примечания</w:t>
      </w:r>
    </w:p>
    <w:sectPr w:rsidR="00000000">
      <w:headerReference w:type="even" r:id="rId9"/>
      <w:headerReference w:type="default" r:id="rId10"/>
      <w:endnotePr>
        <w:numFmt w:val="decimal"/>
      </w:endnotePr>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line="288" w:lineRule="auto"/>
      </w:pPr>
      <w:r>
        <w:rPr>
          <w:rStyle w:val="EndnoteReference"/>
        </w:rPr>
        <w:endnoteRef/>
      </w:r>
      <w:r>
        <w:t xml:space="preserve"> </w:t>
      </w:r>
      <w:r>
        <w:tab/>
        <w:t>Замечания сделаны Мексиканской комиссией по поощрению и защите прав человека, 20 октября 2004 года.</w:t>
      </w:r>
    </w:p>
    <w:p w:rsidR="00000000" w:rsidRDefault="00000000">
      <w:pPr>
        <w:pStyle w:val="EndnoteText"/>
        <w:spacing w:line="288" w:lineRule="auto"/>
      </w:pPr>
    </w:p>
  </w:endnote>
  <w:endnote w:id="2">
    <w:p w:rsidR="00000000" w:rsidRDefault="00000000">
      <w:pPr>
        <w:pStyle w:val="EndnoteText"/>
        <w:spacing w:line="288" w:lineRule="auto"/>
      </w:pPr>
      <w:r>
        <w:rPr>
          <w:rStyle w:val="EndnoteReference"/>
        </w:rPr>
        <w:endnoteRef/>
      </w:r>
      <w:r>
        <w:t xml:space="preserve"> </w:t>
      </w:r>
      <w:r>
        <w:tab/>
        <w:t>В состав этой Комиссии входят представители министерств иностранных и внутренних дел, национальной обороны, военно-морского флота, социального развития, здравоохранения, общественной безопасности, Генеральной прокуратуры Республики, Национальной комиссии по правам человека, Национального института по делам коренного населения, Национальной системы комплексного развития семьи, Общественной комиссии по ликвидации дискриминации, Управления по делам развития коренных народов, Национального института по делам женщин и Управления по делам развития коренных народов при президенте Республики.</w:t>
      </w:r>
    </w:p>
    <w:p w:rsidR="00000000" w:rsidRDefault="00000000">
      <w:pPr>
        <w:pStyle w:val="EndnoteText"/>
        <w:spacing w:line="288" w:lineRule="auto"/>
      </w:pPr>
    </w:p>
  </w:endnote>
  <w:endnote w:id="3">
    <w:p w:rsidR="00000000" w:rsidRDefault="00000000">
      <w:pPr>
        <w:pStyle w:val="EndnoteText"/>
        <w:spacing w:line="288" w:lineRule="auto"/>
      </w:pPr>
      <w:r>
        <w:rPr>
          <w:rStyle w:val="EndnoteReference"/>
        </w:rPr>
        <w:endnoteRef/>
      </w:r>
      <w:r>
        <w:t xml:space="preserve"> </w:t>
      </w:r>
      <w:r>
        <w:tab/>
        <w:t>См. приложение I о Комиссии по вопросам правительственной политики в области прав человека.</w:t>
      </w:r>
    </w:p>
    <w:p w:rsidR="00000000" w:rsidRDefault="00000000">
      <w:pPr>
        <w:pStyle w:val="EndnoteText"/>
        <w:spacing w:line="288" w:lineRule="auto"/>
      </w:pPr>
    </w:p>
  </w:endnote>
  <w:endnote w:id="4">
    <w:p w:rsidR="00000000" w:rsidRDefault="00000000">
      <w:pPr>
        <w:pStyle w:val="EndnoteText"/>
        <w:spacing w:line="288" w:lineRule="auto"/>
      </w:pPr>
      <w:r>
        <w:rPr>
          <w:rStyle w:val="EndnoteReference"/>
        </w:rPr>
        <w:endnoteRef/>
      </w:r>
      <w:r>
        <w:t xml:space="preserve"> </w:t>
      </w:r>
      <w:r>
        <w:tab/>
        <w:t xml:space="preserve">См. приложение </w:t>
      </w:r>
      <w:r>
        <w:rPr>
          <w:lang w:val="en-US"/>
        </w:rPr>
        <w:t>II</w:t>
      </w:r>
      <w:r>
        <w:t>, касающееся двадцати пяти мер борьбы с пытками.</w:t>
      </w:r>
    </w:p>
    <w:p w:rsidR="00000000" w:rsidRDefault="00000000">
      <w:pPr>
        <w:pStyle w:val="EndnoteText"/>
        <w:spacing w:line="288" w:lineRule="auto"/>
      </w:pPr>
    </w:p>
  </w:endnote>
  <w:endnote w:id="5">
    <w:p w:rsidR="00000000" w:rsidRDefault="00000000">
      <w:pPr>
        <w:pStyle w:val="EndnoteText"/>
        <w:spacing w:line="288" w:lineRule="auto"/>
      </w:pPr>
      <w:r>
        <w:rPr>
          <w:rStyle w:val="EndnoteReference"/>
        </w:rPr>
        <w:endnoteRef/>
      </w:r>
      <w:r>
        <w:t xml:space="preserve"> </w:t>
      </w:r>
      <w:r>
        <w:tab/>
        <w:t>Национальную конференцию прокуроров, которая состоит из прокуроров штатов, возглавляет Генеральный прокурор Республики.</w:t>
      </w:r>
    </w:p>
  </w:endnote>
  <w:endnote w:id="6">
    <w:p w:rsidR="00000000" w:rsidRDefault="00000000">
      <w:pPr>
        <w:pStyle w:val="EndnoteText"/>
        <w:spacing w:line="288" w:lineRule="auto"/>
      </w:pPr>
    </w:p>
    <w:p w:rsidR="00000000" w:rsidRDefault="00000000">
      <w:pPr>
        <w:pStyle w:val="EndnoteText"/>
        <w:spacing w:line="288" w:lineRule="auto"/>
      </w:pPr>
      <w:r>
        <w:rPr>
          <w:rStyle w:val="EndnoteReference"/>
        </w:rPr>
        <w:endnoteRef/>
      </w:r>
      <w:r>
        <w:t xml:space="preserve"> </w:t>
      </w:r>
      <w:r>
        <w:tab/>
        <w:t>Это замечание было сделано Мексиканской комиссией по поощрению и защите прав человека.</w:t>
      </w:r>
    </w:p>
    <w:p w:rsidR="00000000" w:rsidRDefault="00000000">
      <w:pPr>
        <w:pStyle w:val="EndnoteText"/>
        <w:spacing w:line="288" w:lineRule="auto"/>
      </w:pPr>
    </w:p>
  </w:endnote>
  <w:endnote w:id="7">
    <w:p w:rsidR="00000000" w:rsidRDefault="00000000">
      <w:pPr>
        <w:pStyle w:val="EndnoteText"/>
        <w:spacing w:line="288" w:lineRule="auto"/>
      </w:pPr>
      <w:r>
        <w:rPr>
          <w:rStyle w:val="EndnoteReference"/>
        </w:rPr>
        <w:endnoteRef/>
      </w:r>
      <w:r>
        <w:t xml:space="preserve"> </w:t>
      </w:r>
      <w:r>
        <w:tab/>
        <w:t>Статья 20.  При рассмотрении уголовного дела обвиняемому, жертве и пострадавшему предоставляются следующие гарантии:  А.  Обвиняемый не может принуждаться к даче показаний.  Запрещены любые формы изоляции, запугивания, пыток обвиняемого, которые наказуемы в уголовном порядке.  Признание, полученное каким</w:t>
      </w:r>
      <w:r>
        <w:noBreakHyphen/>
        <w:t>либо органом, помимо министерства юстиции или судьи или без присутствия защитника обвиняемого, не может рассматриваться как имеющее доказательственную ценность.</w:t>
      </w:r>
    </w:p>
    <w:p w:rsidR="00000000" w:rsidRDefault="00000000">
      <w:pPr>
        <w:pStyle w:val="EndnoteText"/>
        <w:spacing w:line="288" w:lineRule="auto"/>
      </w:pPr>
    </w:p>
  </w:endnote>
  <w:endnote w:id="8">
    <w:p w:rsidR="00000000" w:rsidRDefault="00000000">
      <w:pPr>
        <w:pStyle w:val="EndnoteText"/>
        <w:spacing w:line="288" w:lineRule="auto"/>
      </w:pPr>
      <w:r>
        <w:rPr>
          <w:rStyle w:val="EndnoteReference"/>
        </w:rPr>
        <w:endnoteRef/>
      </w:r>
      <w:r>
        <w:t xml:space="preserve"> </w:t>
      </w:r>
      <w:r>
        <w:tab/>
        <w:t>Статья 22.  Запрещаются наказания, наносящие увечья или унижающие достоинство, а также клеймение, избиение плетьми или палками, пытки всякого рода, чрезмерные штрафы, конфискация имущества и любые другие необычные или выходящие за разумные пределы наказания.</w:t>
      </w:r>
    </w:p>
    <w:p w:rsidR="00000000" w:rsidRDefault="00000000">
      <w:pPr>
        <w:pStyle w:val="EndnoteText"/>
        <w:spacing w:line="288" w:lineRule="auto"/>
      </w:pPr>
    </w:p>
  </w:endnote>
  <w:endnote w:id="9">
    <w:p w:rsidR="00000000" w:rsidRDefault="00000000">
      <w:pPr>
        <w:pStyle w:val="EndnoteText"/>
        <w:spacing w:line="288" w:lineRule="auto"/>
      </w:pPr>
      <w:r>
        <w:rPr>
          <w:rStyle w:val="EndnoteReference"/>
        </w:rPr>
        <w:endnoteRef/>
      </w:r>
      <w:r>
        <w:t xml:space="preserve"> </w:t>
      </w:r>
      <w:r>
        <w:tab/>
        <w:t>В исследовании, посвященном соблюдению прав человека в Мексике, проведенном Управлением Верховного комиссара Организации Объединенных Наций по правам человека, указывается, что в определении пытки, которое дано в этом законе, "…не делается ссылки на другие жестокие, бесчеловечные или унижающие достоинство виды обращения, которые, не являясь пытками, глубоко унижают достоинство человека".</w:t>
      </w:r>
    </w:p>
    <w:p w:rsidR="00000000" w:rsidRDefault="00000000">
      <w:pPr>
        <w:pStyle w:val="EndnoteText"/>
        <w:spacing w:line="288" w:lineRule="auto"/>
      </w:pPr>
    </w:p>
  </w:endnote>
  <w:endnote w:id="10">
    <w:p w:rsidR="00000000" w:rsidRDefault="00000000">
      <w:pPr>
        <w:pStyle w:val="EndnoteText"/>
        <w:spacing w:line="288" w:lineRule="auto"/>
      </w:pPr>
      <w:r>
        <w:rPr>
          <w:rStyle w:val="EndnoteReference"/>
        </w:rPr>
        <w:endnoteRef/>
      </w:r>
      <w:r>
        <w:t xml:space="preserve"> </w:t>
      </w:r>
      <w:r>
        <w:tab/>
        <w:t>По мнению национальной юридической организации "Барсон", которая занимается рассмотрением вопросов, связанных с жилищным правом, необходимо расширить сферу применения этого закона с тем, чтобы он охватывал процессуальные действия по гражданскому и семейному праву, иными словами, все вопросы, подлежащие судебному разбирательству.  Данная организация считает важным включение в этот закон ссылки на другие формы пыток, например внесудебные требования платежей, которые нарушают права человека членов семьи.  Кроме того, данная организация предложила применять в отношении государственных должностных лиц меры наказания за невыполнение предусмотренных в этом федеральном законе положений, касающихся предотвращения пыток и наказания за них.</w:t>
      </w:r>
    </w:p>
    <w:p w:rsidR="00000000" w:rsidRDefault="00000000">
      <w:pPr>
        <w:pStyle w:val="EndnoteText"/>
        <w:spacing w:line="288" w:lineRule="auto"/>
      </w:pPr>
    </w:p>
  </w:endnote>
  <w:endnote w:id="11">
    <w:p w:rsidR="00000000" w:rsidRDefault="00000000">
      <w:pPr>
        <w:pStyle w:val="EndnoteText"/>
        <w:spacing w:line="288" w:lineRule="auto"/>
      </w:pPr>
      <w:r>
        <w:rPr>
          <w:rStyle w:val="EndnoteReference"/>
        </w:rPr>
        <w:endnoteRef/>
      </w:r>
      <w:r>
        <w:t xml:space="preserve"> </w:t>
      </w:r>
      <w:r>
        <w:tab/>
        <w:t xml:space="preserve">Предлагаемые в документе меры включают:  создание механизмов и проведение политики, направленных на выплату Комиссией по вопросам правительственной политики и министерством финансов компенсации за ущерб, нанесенный в результате нарушения прав человека;  обязательство Генеральной прокуратуры Республики предложить всем органам, занимающимся отправлением правосудия, использовать стандартизованное заключение медицинской экспертизы;  предложить органам системы здравоохранения создать межучрежденческую рабочую группу для определения медицинских симптомов, которые позволяли бы устанавливать синдром психологических пыток;  и постоянное осуществление компетентными органами учебных программ, касающихся прав человека лиц, содержащихся под стражей.  См. приложение </w:t>
      </w:r>
      <w:r>
        <w:rPr>
          <w:lang w:val="en-US"/>
        </w:rPr>
        <w:t>II</w:t>
      </w:r>
      <w:r>
        <w:t xml:space="preserve"> "Двадцать пять мер борьбы с пытками".</w:t>
      </w:r>
    </w:p>
    <w:p w:rsidR="00000000" w:rsidRDefault="00000000">
      <w:pPr>
        <w:pStyle w:val="EndnoteText"/>
        <w:spacing w:line="288" w:lineRule="auto"/>
      </w:pPr>
    </w:p>
  </w:endnote>
  <w:endnote w:id="12">
    <w:p w:rsidR="00000000" w:rsidRDefault="00000000">
      <w:pPr>
        <w:pStyle w:val="EndnoteText"/>
        <w:spacing w:line="288" w:lineRule="auto"/>
      </w:pPr>
      <w:r>
        <w:rPr>
          <w:rStyle w:val="EndnoteReference"/>
        </w:rPr>
        <w:endnoteRef/>
      </w:r>
      <w:r>
        <w:rPr>
          <w:lang w:val="fr-FR"/>
        </w:rPr>
        <w:t xml:space="preserve"> </w:t>
      </w:r>
      <w:r>
        <w:rPr>
          <w:lang w:val="fr-FR"/>
        </w:rPr>
        <w:tab/>
        <w:t>Herna</w:t>
      </w:r>
      <w:r>
        <w:rPr>
          <w:rFonts w:ascii="Tahoma" w:hAnsi="Tahoma" w:cs="Tahoma"/>
          <w:lang w:val="en-US"/>
        </w:rPr>
        <w:t></w:t>
      </w:r>
      <w:r>
        <w:rPr>
          <w:lang w:val="fr-FR"/>
        </w:rPr>
        <w:t xml:space="preserve">ndez Forcada Ricardo, Lugo Garfias Ma. Elena, </w:t>
      </w:r>
      <w:r>
        <w:rPr>
          <w:i/>
          <w:iCs/>
          <w:lang w:val="fr-FR"/>
        </w:rPr>
        <w:t>Algunas notas sobre la tortura en Me</w:t>
      </w:r>
      <w:r>
        <w:rPr>
          <w:rFonts w:ascii="Tahoma" w:hAnsi="Tahoma" w:cs="Tahoma"/>
          <w:i/>
          <w:iCs/>
          <w:lang w:val="fr-FR"/>
        </w:rPr>
        <w:t></w:t>
      </w:r>
      <w:r>
        <w:rPr>
          <w:i/>
          <w:iCs/>
          <w:lang w:val="fr-FR"/>
        </w:rPr>
        <w:t xml:space="preserve">xico, </w:t>
      </w:r>
      <w:r>
        <w:rPr>
          <w:lang w:val="fr-FR"/>
        </w:rPr>
        <w:t>Comisio</w:t>
      </w:r>
      <w:r>
        <w:rPr>
          <w:rFonts w:ascii="Tahoma" w:hAnsi="Tahoma" w:cs="Tahoma"/>
          <w:lang w:val="fr-FR"/>
        </w:rPr>
        <w:t></w:t>
      </w:r>
      <w:r>
        <w:rPr>
          <w:lang w:val="fr-FR"/>
        </w:rPr>
        <w:t>n National de los Derechos Humanos, Primera Edicio</w:t>
      </w:r>
      <w:r>
        <w:rPr>
          <w:rFonts w:ascii="Tahoma" w:hAnsi="Tahoma" w:cs="Tahoma"/>
          <w:lang w:val="fr-FR"/>
        </w:rPr>
        <w:t></w:t>
      </w:r>
      <w:r>
        <w:rPr>
          <w:lang w:val="fr-FR"/>
        </w:rPr>
        <w:t>n, Me</w:t>
      </w:r>
      <w:r>
        <w:rPr>
          <w:rFonts w:ascii="Tahoma" w:hAnsi="Tahoma" w:cs="Tahoma"/>
          <w:lang w:val="fr-FR"/>
        </w:rPr>
        <w:t></w:t>
      </w:r>
      <w:r>
        <w:rPr>
          <w:lang w:val="fr-FR"/>
        </w:rPr>
        <w:t>xico, 2004.</w:t>
      </w:r>
      <w:r>
        <w:rPr>
          <w:lang w:val="fr-FR"/>
        </w:rPr>
        <w:br/>
      </w:r>
      <w:r>
        <w:t>См</w:t>
      </w:r>
      <w:r>
        <w:rPr>
          <w:lang w:val="fr-FR"/>
        </w:rPr>
        <w:t>. </w:t>
      </w:r>
      <w:r>
        <w:t>приложение</w:t>
      </w:r>
      <w:r>
        <w:rPr>
          <w:lang w:val="fr-FR"/>
        </w:rPr>
        <w:t xml:space="preserve"> III, "Tipificatio</w:t>
      </w:r>
      <w:r>
        <w:rPr>
          <w:rFonts w:ascii="Tahoma" w:hAnsi="Tahoma" w:cs="Tahoma"/>
          <w:lang w:val="en-US"/>
        </w:rPr>
        <w:t></w:t>
      </w:r>
      <w:r>
        <w:rPr>
          <w:lang w:val="fr-FR"/>
        </w:rPr>
        <w:t>n de la Tortura et las Legislaciones Locales".</w:t>
      </w:r>
    </w:p>
    <w:p w:rsidR="00000000" w:rsidRDefault="00000000">
      <w:pPr>
        <w:pStyle w:val="EndnoteText"/>
        <w:spacing w:line="288" w:lineRule="auto"/>
      </w:pPr>
    </w:p>
  </w:endnote>
  <w:endnote w:id="13">
    <w:p w:rsidR="00000000" w:rsidRDefault="00000000">
      <w:pPr>
        <w:pStyle w:val="EndnoteText"/>
        <w:spacing w:line="288" w:lineRule="auto"/>
      </w:pPr>
      <w:r>
        <w:rPr>
          <w:rStyle w:val="EndnoteReference"/>
        </w:rPr>
        <w:endnoteRef/>
      </w:r>
      <w:r>
        <w:t xml:space="preserve"> </w:t>
      </w:r>
      <w:r>
        <w:tab/>
        <w:t>Что касается применения Стамбульского протокола, то организация "Международная амнистия" рекомендовала, чтобы медицинские эксперты, которым поручено осматривать содержащихся под стражей лиц, должны быть независимы от Генеральной прокуратуры Республики, должны получать необходимую подготовку и иметь средства для эффективного проведения анализа и подготовки документации относительно любых форм пыток и других нарушений прав человека.  Сеть общественных комиссий по правам человека (в состав которой входят Национальная комиссия по правам человека и комиссии штатов по правам человека) должны обеспечивать средства для подготовки независимых медицинских экспертов, которые проводят медицинский осмотр предполагаемых жертв.  Стамбульский протокол должен служить в качестве основы для подготовки медицинской документации обо всех случаях пыток и жестокого обращения.  Доклад организации "Международная амнистия" "Несправедливые приговоры - пытки в ходе отправления правосудия", 25</w:t>
      </w:r>
      <w:r>
        <w:rPr>
          <w:lang w:val="fr-FR"/>
        </w:rPr>
        <w:t> </w:t>
      </w:r>
      <w:r>
        <w:t>марта 2003</w:t>
      </w:r>
      <w:r>
        <w:rPr>
          <w:lang w:val="fr-FR"/>
        </w:rPr>
        <w:t> </w:t>
      </w:r>
      <w:r>
        <w:t>года.</w:t>
      </w:r>
    </w:p>
    <w:p w:rsidR="00000000" w:rsidRDefault="00000000">
      <w:pPr>
        <w:pStyle w:val="EndnoteText"/>
        <w:spacing w:line="288" w:lineRule="auto"/>
      </w:pPr>
    </w:p>
  </w:endnote>
  <w:endnote w:id="14">
    <w:p w:rsidR="00000000" w:rsidRDefault="00000000">
      <w:pPr>
        <w:pStyle w:val="EndnoteText"/>
        <w:spacing w:line="288" w:lineRule="auto"/>
      </w:pPr>
      <w:r>
        <w:rPr>
          <w:rStyle w:val="EndnoteReference"/>
        </w:rPr>
        <w:endnoteRef/>
      </w:r>
      <w:r>
        <w:t xml:space="preserve"> </w:t>
      </w:r>
      <w:r>
        <w:tab/>
        <w:t>Экономический и Социальный Совет, доклад Специального докладчика сэра Найджела Родли, представленный в соответствии с резолюцией 1997/38, пункты 44</w:t>
      </w:r>
      <w:r>
        <w:noBreakHyphen/>
        <w:t>45.</w:t>
      </w:r>
    </w:p>
    <w:p w:rsidR="00000000" w:rsidRDefault="00000000">
      <w:pPr>
        <w:pStyle w:val="EndnoteText"/>
        <w:spacing w:line="288" w:lineRule="auto"/>
      </w:pPr>
    </w:p>
  </w:endnote>
  <w:endnote w:id="15">
    <w:p w:rsidR="00000000" w:rsidRDefault="00000000">
      <w:pPr>
        <w:pStyle w:val="EndnoteText"/>
        <w:spacing w:line="288" w:lineRule="auto"/>
      </w:pPr>
      <w:r>
        <w:rPr>
          <w:rStyle w:val="EndnoteReference"/>
        </w:rPr>
        <w:endnoteRef/>
      </w:r>
      <w:r>
        <w:t xml:space="preserve"> </w:t>
      </w:r>
      <w:r>
        <w:tab/>
        <w:t xml:space="preserve">См. приложение </w:t>
      </w:r>
      <w:r>
        <w:rPr>
          <w:lang w:val="en-US"/>
        </w:rPr>
        <w:t>IV</w:t>
      </w:r>
      <w:r>
        <w:t>, постановление А/057/2003.</w:t>
      </w:r>
    </w:p>
    <w:p w:rsidR="00000000" w:rsidRDefault="00000000">
      <w:pPr>
        <w:pStyle w:val="EndnoteText"/>
        <w:spacing w:line="288" w:lineRule="auto"/>
      </w:pPr>
    </w:p>
  </w:endnote>
  <w:endnote w:id="16">
    <w:p w:rsidR="00000000" w:rsidRDefault="00000000">
      <w:pPr>
        <w:pStyle w:val="EndnoteText"/>
        <w:spacing w:line="288" w:lineRule="auto"/>
      </w:pPr>
      <w:r>
        <w:rPr>
          <w:rStyle w:val="EndnoteReference"/>
        </w:rPr>
        <w:endnoteRef/>
      </w:r>
      <w:r>
        <w:t xml:space="preserve"> </w:t>
      </w:r>
      <w:r>
        <w:tab/>
        <w:t>Статья 7.  Любой задержанный или обвиняемый по его просьбе должен быть немедленно осмотрен тюремным медиком, а также, по дополнительной просьбе, врачом по выбору задержанного или заключенного.  Врач, проводящий осмотр, должен немедленно составить соответствующий акт и, в случае установления факта причинения боли или страдания заключенному, утверждающему о применении к нему пыток, уведомить соответственно компетентный орган.  Ходатайство о проведении медицинского освидетельствования может быть сделано адвокатом задержанного или заключенного, а</w:t>
      </w:r>
      <w:r>
        <w:rPr>
          <w:lang w:val="en-US"/>
        </w:rPr>
        <w:t> </w:t>
      </w:r>
      <w:r>
        <w:t>также третьим лицом.</w:t>
      </w:r>
    </w:p>
    <w:p w:rsidR="00000000" w:rsidRDefault="00000000">
      <w:pPr>
        <w:pStyle w:val="EndnoteText"/>
        <w:spacing w:line="288" w:lineRule="auto"/>
      </w:pPr>
    </w:p>
  </w:endnote>
  <w:endnote w:id="17">
    <w:p w:rsidR="00000000" w:rsidRDefault="00000000">
      <w:pPr>
        <w:pStyle w:val="EndnoteText"/>
        <w:spacing w:line="288" w:lineRule="auto"/>
      </w:pPr>
      <w:r>
        <w:rPr>
          <w:rStyle w:val="EndnoteReference"/>
        </w:rPr>
        <w:endnoteRef/>
      </w:r>
      <w:r>
        <w:t xml:space="preserve"> </w:t>
      </w:r>
      <w:r>
        <w:tab/>
        <w:t>Национальная неправительственная юридическая организация "Барсон" выразила свою убежденность в возможности установления состояния здоровья до и после предполагаемого применения пыток.</w:t>
      </w:r>
    </w:p>
    <w:p w:rsidR="00000000" w:rsidRDefault="00000000">
      <w:pPr>
        <w:pStyle w:val="EndnoteText"/>
        <w:spacing w:line="288" w:lineRule="auto"/>
      </w:pPr>
    </w:p>
  </w:endnote>
  <w:endnote w:id="18">
    <w:p w:rsidR="00000000" w:rsidRDefault="00000000">
      <w:pPr>
        <w:pStyle w:val="EndnoteText"/>
        <w:spacing w:line="288" w:lineRule="auto"/>
      </w:pPr>
      <w:r>
        <w:rPr>
          <w:rStyle w:val="EndnoteReference"/>
        </w:rPr>
        <w:endnoteRef/>
      </w:r>
      <w:r>
        <w:t xml:space="preserve"> </w:t>
      </w:r>
      <w:r>
        <w:tab/>
        <w:t>См. приложение I</w:t>
      </w:r>
      <w:r>
        <w:rPr>
          <w:lang w:val="en-US"/>
        </w:rPr>
        <w:t>I</w:t>
      </w:r>
      <w:r>
        <w:t xml:space="preserve">, постановление № </w:t>
      </w:r>
      <w:r>
        <w:rPr>
          <w:lang w:val="en-US"/>
        </w:rPr>
        <w:t>A</w:t>
      </w:r>
      <w:r>
        <w:t>/057/2003.</w:t>
      </w:r>
    </w:p>
    <w:p w:rsidR="00000000" w:rsidRDefault="00000000">
      <w:pPr>
        <w:pStyle w:val="EndnoteText"/>
        <w:spacing w:line="288" w:lineRule="auto"/>
      </w:pPr>
    </w:p>
  </w:endnote>
  <w:endnote w:id="19">
    <w:p w:rsidR="00000000" w:rsidRDefault="00000000">
      <w:pPr>
        <w:pStyle w:val="EndnoteText"/>
        <w:spacing w:line="288" w:lineRule="auto"/>
      </w:pPr>
      <w:r>
        <w:rPr>
          <w:rStyle w:val="EndnoteReference"/>
        </w:rPr>
        <w:endnoteRef/>
      </w:r>
      <w:r>
        <w:t xml:space="preserve"> </w:t>
      </w:r>
      <w:r>
        <w:tab/>
        <w:t>Заявление Генеральной прокуратуры Республики, 21 октября 2003 года.</w:t>
      </w:r>
    </w:p>
    <w:p w:rsidR="00000000" w:rsidRDefault="00000000">
      <w:pPr>
        <w:pStyle w:val="EndnoteText"/>
        <w:spacing w:line="288" w:lineRule="auto"/>
      </w:pPr>
    </w:p>
  </w:endnote>
  <w:endnote w:id="20">
    <w:p w:rsidR="00000000" w:rsidRDefault="00000000">
      <w:pPr>
        <w:pStyle w:val="EndnoteText"/>
        <w:spacing w:line="288" w:lineRule="auto"/>
      </w:pPr>
      <w:r>
        <w:rPr>
          <w:rStyle w:val="EndnoteReference"/>
        </w:rPr>
        <w:endnoteRef/>
      </w:r>
      <w:r>
        <w:t xml:space="preserve"> </w:t>
      </w:r>
      <w:r>
        <w:tab/>
        <w:t>Генеральная прокуратура Республики, Постановление Генеральной прокуратуры Республики, утверждающее руководящие указания, которые должны выполнять должностные лица прокуратуры Федерации, тюремные врачи и/или судебно-медицинские эксперты, а также сотрудники Генеральной прокуратуры Республики при применении типовой процедуры проведения медицинских осмотров/психологических анализов для установления случаев возможного применения пыток и/или плохого обращения, пункт 13.</w:t>
      </w:r>
    </w:p>
    <w:p w:rsidR="00000000" w:rsidRDefault="00000000">
      <w:pPr>
        <w:pStyle w:val="EndnoteText"/>
        <w:spacing w:line="288" w:lineRule="auto"/>
      </w:pPr>
    </w:p>
  </w:endnote>
  <w:endnote w:id="21">
    <w:p w:rsidR="00000000" w:rsidRDefault="00000000">
      <w:pPr>
        <w:pStyle w:val="EndnoteText"/>
        <w:spacing w:line="288" w:lineRule="auto"/>
      </w:pPr>
      <w:r>
        <w:rPr>
          <w:rStyle w:val="EndnoteReference"/>
        </w:rPr>
        <w:endnoteRef/>
      </w:r>
      <w:r>
        <w:t xml:space="preserve"> </w:t>
      </w:r>
      <w:r>
        <w:tab/>
        <w:t>Постановление Генерального прокурора Республики от 21 октября 2003 года.</w:t>
      </w:r>
    </w:p>
    <w:p w:rsidR="00000000" w:rsidRDefault="00000000">
      <w:pPr>
        <w:pStyle w:val="EndnoteText"/>
        <w:spacing w:line="288" w:lineRule="auto"/>
      </w:pPr>
    </w:p>
  </w:endnote>
  <w:endnote w:id="22">
    <w:p w:rsidR="00000000" w:rsidRDefault="00000000">
      <w:pPr>
        <w:pStyle w:val="EndnoteText"/>
        <w:spacing w:line="288" w:lineRule="auto"/>
      </w:pPr>
      <w:r>
        <w:rPr>
          <w:rStyle w:val="EndnoteReference"/>
        </w:rPr>
        <w:endnoteRef/>
      </w:r>
      <w:r>
        <w:t xml:space="preserve"> </w:t>
      </w:r>
      <w:r>
        <w:tab/>
        <w:t>Генеральная прокуратура Республики, Постановление Генеральной прокуратуры Республики, содержащее руководящие указания, которыми должны руководствоваться должностные лица прокуратуры Федерации, пункт 14.</w:t>
      </w:r>
    </w:p>
    <w:p w:rsidR="00000000" w:rsidRDefault="00000000">
      <w:pPr>
        <w:pStyle w:val="EndnoteText"/>
        <w:spacing w:line="288" w:lineRule="auto"/>
      </w:pPr>
    </w:p>
  </w:endnote>
  <w:endnote w:id="23">
    <w:p w:rsidR="00000000" w:rsidRDefault="00000000">
      <w:r>
        <w:rPr>
          <w:rStyle w:val="EndnoteReference"/>
        </w:rPr>
        <w:endnoteRef/>
      </w:r>
      <w:r>
        <w:t xml:space="preserve"> </w:t>
      </w:r>
      <w:r>
        <w:tab/>
        <w:t>Заявление Управления по правам человека, рассмотрению жалоб жертв и оказанию услуг населению, опубликованное в газете "Эль-универсаль" 12 августа 2004 года.</w:t>
      </w:r>
    </w:p>
    <w:p w:rsidR="00000000" w:rsidRDefault="00000000"/>
  </w:endnote>
  <w:endnote w:id="24">
    <w:p w:rsidR="00000000" w:rsidRDefault="00000000">
      <w:r>
        <w:rPr>
          <w:rStyle w:val="EndnoteReference"/>
        </w:rPr>
        <w:endnoteRef/>
      </w:r>
      <w:r>
        <w:t xml:space="preserve"> </w:t>
      </w:r>
      <w:r>
        <w:tab/>
        <w:t>Официальной правовой нормой является подзаконный акт, опубликованный в "Официальных ведомостях Федерации".  Положения этого акта являются обязательными для исполнения сотрудниками гражданской службы.</w:t>
      </w:r>
    </w:p>
    <w:p w:rsidR="00000000" w:rsidRDefault="00000000"/>
  </w:endnote>
  <w:endnote w:id="25">
    <w:p w:rsidR="00000000" w:rsidRDefault="00000000">
      <w:r>
        <w:rPr>
          <w:rStyle w:val="EndnoteReference"/>
        </w:rPr>
        <w:endnoteRef/>
      </w:r>
      <w:r>
        <w:t xml:space="preserve"> </w:t>
      </w:r>
      <w:r>
        <w:tab/>
        <w:t>Экономический и Социальный Совет, доклад Специального докладчика сэра Найджела Родли, представленный в соответствии с резолюцией 1997/38, пункты 69</w:t>
      </w:r>
      <w:r>
        <w:noBreakHyphen/>
        <w:t>116.</w:t>
      </w:r>
    </w:p>
    <w:p w:rsidR="00000000" w:rsidRDefault="00000000"/>
  </w:endnote>
  <w:endnote w:id="26">
    <w:p w:rsidR="00000000" w:rsidRDefault="00000000">
      <w:pPr>
        <w:pStyle w:val="EndnoteText"/>
        <w:spacing w:line="288" w:lineRule="auto"/>
      </w:pPr>
      <w:r>
        <w:rPr>
          <w:rStyle w:val="EndnoteReference"/>
        </w:rPr>
        <w:endnoteRef/>
      </w:r>
      <w:r>
        <w:t xml:space="preserve"> </w:t>
      </w:r>
      <w:r>
        <w:tab/>
        <w:t>Экономический и Социальный Совет, доклад Специального докладчика сэра Найджела Родли, представленный в соответствии с резолюцией 1997/38.</w:t>
      </w:r>
    </w:p>
    <w:p w:rsidR="00000000" w:rsidRDefault="00000000">
      <w:pPr>
        <w:pStyle w:val="EndnoteText"/>
        <w:spacing w:line="288" w:lineRule="auto"/>
      </w:pPr>
    </w:p>
  </w:endnote>
  <w:endnote w:id="27">
    <w:p w:rsidR="00000000" w:rsidRDefault="00000000">
      <w:pPr>
        <w:pStyle w:val="EndnoteText"/>
        <w:spacing w:line="288" w:lineRule="auto"/>
      </w:pPr>
      <w:r>
        <w:rPr>
          <w:rStyle w:val="EndnoteReference"/>
        </w:rPr>
        <w:endnoteRef/>
      </w:r>
      <w:r>
        <w:t xml:space="preserve"> </w:t>
      </w:r>
      <w:r>
        <w:tab/>
        <w:t>Национальная комиссия по правам человека (НКПЧ) указала на различные случаи, свидетельствующие о широком применении практики незаконных задержаний, которые допускаются на всех трех уровнях государственной власти на территории всей страны.</w:t>
      </w:r>
    </w:p>
    <w:p w:rsidR="00000000" w:rsidRDefault="00000000">
      <w:pPr>
        <w:pStyle w:val="EndnoteText"/>
        <w:spacing w:line="288" w:lineRule="auto"/>
      </w:pPr>
    </w:p>
  </w:endnote>
  <w:endnote w:id="28">
    <w:p w:rsidR="00000000" w:rsidRDefault="00000000">
      <w:r>
        <w:rPr>
          <w:rStyle w:val="EndnoteReference"/>
        </w:rPr>
        <w:endnoteRef/>
      </w:r>
      <w:r>
        <w:t xml:space="preserve"> </w:t>
      </w:r>
      <w:r>
        <w:tab/>
        <w:t xml:space="preserve">См. приложение </w:t>
      </w:r>
      <w:r>
        <w:rPr>
          <w:lang w:val="en-US"/>
        </w:rPr>
        <w:t>V</w:t>
      </w:r>
      <w:r>
        <w:t xml:space="preserve">, </w:t>
      </w:r>
      <w:r>
        <w:rPr>
          <w:lang w:val="en-US"/>
        </w:rPr>
        <w:t>Circular</w:t>
      </w:r>
      <w:r>
        <w:t xml:space="preserve"> </w:t>
      </w:r>
      <w:r>
        <w:rPr>
          <w:lang w:val="en-US"/>
        </w:rPr>
        <w:t>C</w:t>
      </w:r>
      <w:r>
        <w:t>/0003/01.</w:t>
      </w:r>
    </w:p>
    <w:p w:rsidR="00000000" w:rsidRDefault="00000000">
      <w:pPr>
        <w:pStyle w:val="EndnoteText"/>
        <w:spacing w:line="288" w:lineRule="auto"/>
      </w:pPr>
    </w:p>
  </w:endnote>
  <w:endnote w:id="29">
    <w:p w:rsidR="00000000" w:rsidRDefault="00000000">
      <w:pPr>
        <w:pStyle w:val="EndnoteText"/>
        <w:spacing w:line="288" w:lineRule="auto"/>
      </w:pPr>
      <w:r>
        <w:rPr>
          <w:rStyle w:val="EndnoteReference"/>
        </w:rPr>
        <w:endnoteRef/>
      </w:r>
      <w:r>
        <w:t xml:space="preserve"> </w:t>
      </w:r>
      <w:r>
        <w:tab/>
        <w:t>Что касается наказания за незаконное задержание, то в Федеральном уголовном кодексе предусматривается наказание за преступления, связанные с незаконным лишением свободы (двадцать третий раздел) и злоупотреблением властью (статья 215).</w:t>
      </w:r>
    </w:p>
    <w:p w:rsidR="00000000" w:rsidRDefault="00000000">
      <w:pPr>
        <w:pStyle w:val="EndnoteText"/>
        <w:spacing w:line="288" w:lineRule="auto"/>
      </w:pPr>
    </w:p>
  </w:endnote>
  <w:endnote w:id="30">
    <w:p w:rsidR="00000000" w:rsidRDefault="00000000">
      <w:pPr>
        <w:pStyle w:val="EndnoteText"/>
        <w:spacing w:line="288" w:lineRule="auto"/>
      </w:pPr>
      <w:r>
        <w:rPr>
          <w:rStyle w:val="EndnoteReference"/>
        </w:rPr>
        <w:endnoteRef/>
      </w:r>
      <w:r>
        <w:t xml:space="preserve"> </w:t>
      </w:r>
      <w:r>
        <w:tab/>
        <w:t>См. приложение VI, постановление А/068/02.</w:t>
      </w:r>
    </w:p>
    <w:p w:rsidR="00000000" w:rsidRDefault="00000000">
      <w:pPr>
        <w:pStyle w:val="EndnoteText"/>
        <w:spacing w:line="288" w:lineRule="auto"/>
      </w:pPr>
    </w:p>
  </w:endnote>
  <w:endnote w:id="31">
    <w:p w:rsidR="00000000" w:rsidRDefault="00000000">
      <w:pPr>
        <w:pStyle w:val="EndnoteText"/>
        <w:spacing w:line="288" w:lineRule="auto"/>
      </w:pPr>
      <w:r>
        <w:rPr>
          <w:rStyle w:val="EndnoteReference"/>
        </w:rPr>
        <w:endnoteRef/>
      </w:r>
      <w:r>
        <w:t xml:space="preserve"> </w:t>
      </w:r>
      <w:r>
        <w:tab/>
        <w:t>По мнению организации "Международная амнистия", эти меры Генеральной прокуратуры Республики хотя и имеют важное значение, тем не менее призваны лишь придать еще большую силу внутренним процедурам, оставив нетронутыми главные недостатки системы проведения расследований, предъявления обвинений и судебного надзора, которые порождают применение пыток и ведут к безнаказанности.  Доклад</w:t>
      </w:r>
      <w:r>
        <w:rPr>
          <w:lang w:val="fr-FR"/>
        </w:rPr>
        <w:t xml:space="preserve"> </w:t>
      </w:r>
      <w:r>
        <w:t>Международной</w:t>
      </w:r>
      <w:r>
        <w:rPr>
          <w:lang w:val="fr-FR"/>
        </w:rPr>
        <w:t xml:space="preserve"> </w:t>
      </w:r>
      <w:r>
        <w:t>амнистии</w:t>
      </w:r>
      <w:r>
        <w:rPr>
          <w:lang w:val="fr-FR"/>
        </w:rPr>
        <w:t xml:space="preserve">, Juicios injustos:  tortura en la administraciόn de justicia, 25 </w:t>
      </w:r>
      <w:r>
        <w:t>марта</w:t>
      </w:r>
      <w:r>
        <w:rPr>
          <w:lang w:val="fr-FR"/>
        </w:rPr>
        <w:t xml:space="preserve"> 2003 </w:t>
      </w:r>
      <w:r>
        <w:t>года</w:t>
      </w:r>
      <w:r>
        <w:rPr>
          <w:lang w:val="fr-FR"/>
        </w:rPr>
        <w:t>.</w:t>
      </w:r>
    </w:p>
    <w:p w:rsidR="00000000" w:rsidRDefault="00000000">
      <w:pPr>
        <w:pStyle w:val="EndnoteText"/>
        <w:spacing w:line="288" w:lineRule="auto"/>
      </w:pPr>
    </w:p>
  </w:endnote>
  <w:endnote w:id="32">
    <w:p w:rsidR="00000000" w:rsidRDefault="00000000">
      <w:pPr>
        <w:pStyle w:val="EndnoteText"/>
        <w:spacing w:line="288" w:lineRule="auto"/>
      </w:pPr>
      <w:r>
        <w:rPr>
          <w:rStyle w:val="EndnoteReference"/>
        </w:rPr>
        <w:endnoteRef/>
      </w:r>
      <w:r>
        <w:t xml:space="preserve"> </w:t>
      </w:r>
      <w:r>
        <w:tab/>
        <w:t xml:space="preserve">См. приложение </w:t>
      </w:r>
      <w:r>
        <w:rPr>
          <w:lang w:val="en-US"/>
        </w:rPr>
        <w:t>VII</w:t>
      </w:r>
      <w:r>
        <w:t>, Положение о применении Органического закона о Генеральной прокуратуре Республики.</w:t>
      </w:r>
    </w:p>
    <w:p w:rsidR="00000000" w:rsidRDefault="00000000">
      <w:pPr>
        <w:pStyle w:val="EndnoteText"/>
        <w:spacing w:line="288" w:lineRule="auto"/>
      </w:pPr>
    </w:p>
  </w:endnote>
  <w:endnote w:id="33">
    <w:p w:rsidR="00000000" w:rsidRDefault="00000000">
      <w:pPr>
        <w:pStyle w:val="EndnoteText"/>
        <w:spacing w:line="288" w:lineRule="auto"/>
      </w:pPr>
      <w:r>
        <w:rPr>
          <w:rStyle w:val="EndnoteReference"/>
        </w:rPr>
        <w:endnoteRef/>
      </w:r>
      <w:r>
        <w:t xml:space="preserve"> </w:t>
      </w:r>
      <w:r>
        <w:tab/>
        <w:t>В указанном Факультативном протоколе предусматривается создание системы регулярных посещений представителями независимых международных и национальных органов мест, в которых содержатся лишенные свободы лица (статья 1), с целью уделения первоочередного внимания борьбе против пыток посредством их предупреждения.  В статье 17 Протокола предусматривается, что каждое государство-участник не позднее чем через год после вступления в силу Протокола, или его ратификации, или присоединения к нему поддерживает, назначает или создает один или несколько независимых национальных механизмов для предупреждения пыток на национальном уровне.</w:t>
      </w:r>
    </w:p>
    <w:p w:rsidR="00000000" w:rsidRDefault="00000000">
      <w:pPr>
        <w:pStyle w:val="EndnoteText"/>
        <w:spacing w:line="288" w:lineRule="auto"/>
      </w:pPr>
    </w:p>
  </w:endnote>
  <w:endnote w:id="34">
    <w:p w:rsidR="00000000" w:rsidRDefault="00000000">
      <w:pPr>
        <w:pStyle w:val="EndnoteText"/>
        <w:spacing w:line="288" w:lineRule="auto"/>
      </w:pPr>
      <w:r>
        <w:rPr>
          <w:rStyle w:val="EndnoteReference"/>
        </w:rPr>
        <w:endnoteRef/>
      </w:r>
      <w:r>
        <w:t xml:space="preserve"> </w:t>
      </w:r>
      <w:r>
        <w:tab/>
        <w:t>В статье 6 Закона о Национальной комиссии по правам человека указывается, что данный орган обладает полномочиями осуществлять контроль за соблюдением прав человека в системе пенитенциарных учреждений и центрах социальной реадаптации страны.  В статье 39 предусматривается также, что Генеральный уполномоченный имеет право в соответствии с законом лично посещать и инспектировать места заключения или направлять для осуществления этих функций подчиненных ему технических сотрудников или специалистов.</w:t>
      </w:r>
    </w:p>
    <w:p w:rsidR="00000000" w:rsidRDefault="00000000">
      <w:pPr>
        <w:pStyle w:val="EndnoteText"/>
        <w:spacing w:line="288" w:lineRule="auto"/>
      </w:pPr>
    </w:p>
  </w:endnote>
  <w:endnote w:id="35">
    <w:p w:rsidR="00000000" w:rsidRDefault="00000000">
      <w:r>
        <w:rPr>
          <w:rStyle w:val="EndnoteReference"/>
        </w:rPr>
        <w:endnoteRef/>
      </w:r>
      <w:r>
        <w:t xml:space="preserve"> </w:t>
      </w:r>
      <w:r>
        <w:tab/>
        <w:t>Предложение Мексиканской комиссии по поощрению и защите прав человека.</w:t>
      </w:r>
    </w:p>
    <w:p w:rsidR="00000000" w:rsidRDefault="00000000"/>
  </w:endnote>
  <w:endnote w:id="36">
    <w:p w:rsidR="00000000" w:rsidRDefault="00000000">
      <w:r>
        <w:rPr>
          <w:rStyle w:val="EndnoteReference"/>
        </w:rPr>
        <w:endnoteRef/>
      </w:r>
      <w:r>
        <w:t xml:space="preserve"> </w:t>
      </w:r>
      <w:r>
        <w:tab/>
        <w:t>Эти виды деятельности осуществляются при том понимании, что термин "места содержания под стражей" предполагает любое место, находящееся под юрисдикцией и контролем государства, в котором содержатся или могут содержаться лица, лишенные свободы, согласно постановлению государственных органов власти, по их указанию или с их открытого и четкого согласия.  Иными словами, в Мексике под этим термином понимаются не только следственные изоляторы и тюрьмы, но и административные центры содержания под стражей, такие, как миграционные центры, а также больницы, реабилитационные центры и любые другие учреждения, в которых могут содержаться лица, лишенные свободы временно или на постоянной основе.</w:t>
      </w:r>
    </w:p>
    <w:p w:rsidR="00000000" w:rsidRDefault="00000000"/>
  </w:endnote>
  <w:endnote w:id="37">
    <w:p w:rsidR="00000000" w:rsidRDefault="00000000">
      <w:pPr>
        <w:pStyle w:val="EndnoteText"/>
        <w:spacing w:line="288" w:lineRule="auto"/>
      </w:pPr>
      <w:r>
        <w:rPr>
          <w:rStyle w:val="EndnoteReference"/>
        </w:rPr>
        <w:endnoteRef/>
      </w:r>
      <w:r>
        <w:t xml:space="preserve"> </w:t>
      </w:r>
      <w:r>
        <w:tab/>
        <w:t>См. первоначальный документ.</w:t>
      </w:r>
    </w:p>
    <w:p w:rsidR="00000000" w:rsidRDefault="00000000">
      <w:pPr>
        <w:pStyle w:val="EndnoteText"/>
        <w:spacing w:line="288" w:lineRule="auto"/>
      </w:pPr>
    </w:p>
  </w:endnote>
  <w:endnote w:id="38">
    <w:p w:rsidR="00000000" w:rsidRDefault="00000000">
      <w:r>
        <w:rPr>
          <w:rStyle w:val="EndnoteReference"/>
        </w:rPr>
        <w:endnoteRef/>
      </w:r>
      <w:r>
        <w:t xml:space="preserve"> </w:t>
      </w:r>
      <w:r>
        <w:tab/>
        <w:t>Национальная юридическая организация гражданского общества "Барсон" указала на необходимость направления указанного документа всем органам судебной системы, с тем чтобы они были осведомлены о его содержании.</w:t>
      </w:r>
    </w:p>
    <w:p w:rsidR="00000000" w:rsidRDefault="00000000"/>
  </w:endnote>
  <w:endnote w:id="39">
    <w:p w:rsidR="00000000" w:rsidRDefault="00000000">
      <w:pPr>
        <w:pStyle w:val="EndnoteText"/>
        <w:spacing w:line="288" w:lineRule="auto"/>
      </w:pPr>
      <w:r>
        <w:rPr>
          <w:rStyle w:val="EndnoteReference"/>
        </w:rPr>
        <w:endnoteRef/>
      </w:r>
      <w:r>
        <w:t xml:space="preserve"> </w:t>
      </w:r>
      <w:r>
        <w:tab/>
        <w:t>См. первоначальный документ.</w:t>
      </w:r>
    </w:p>
    <w:p w:rsidR="00000000" w:rsidRDefault="00000000">
      <w:pPr>
        <w:pStyle w:val="EndnoteText"/>
        <w:spacing w:line="288" w:lineRule="auto"/>
      </w:pPr>
    </w:p>
  </w:endnote>
  <w:endnote w:id="40">
    <w:p w:rsidR="00000000" w:rsidRDefault="00000000">
      <w:pPr>
        <w:pStyle w:val="EndnoteText"/>
        <w:spacing w:line="288" w:lineRule="auto"/>
      </w:pPr>
      <w:r>
        <w:rPr>
          <w:rStyle w:val="EndnoteReference"/>
        </w:rPr>
        <w:endnoteRef/>
      </w:r>
      <w:r>
        <w:t xml:space="preserve"> </w:t>
      </w:r>
      <w:r>
        <w:tab/>
        <w:t>В этой связи в июле 2003 года было создано Специализированное управление по проведению расследований, связанных с торговлей несовершеннолетними, лицами, не имеющими документов, и человеческими органами, подчиняющееся Управлению по проведению специальных расследований, связанных с организованной преступностью Генеральной прокуратуры Республики, которому поручено проводить расследования, связанные с мигрантами.</w:t>
      </w:r>
    </w:p>
    <w:p w:rsidR="00000000" w:rsidRDefault="00000000">
      <w:pPr>
        <w:pStyle w:val="EndnoteText"/>
        <w:spacing w:line="288" w:lineRule="auto"/>
      </w:pPr>
    </w:p>
  </w:endnote>
  <w:endnote w:id="41">
    <w:p w:rsidR="00000000" w:rsidRDefault="00000000">
      <w:pPr>
        <w:pStyle w:val="EndnoteText"/>
        <w:spacing w:line="288" w:lineRule="auto"/>
      </w:pPr>
      <w:r>
        <w:rPr>
          <w:rStyle w:val="EndnoteReference"/>
        </w:rPr>
        <w:endnoteRef/>
      </w:r>
      <w:r>
        <w:t xml:space="preserve"> </w:t>
      </w:r>
      <w:r>
        <w:tab/>
        <w:t>См. ниже раздел Е, касающийся выполнения статьи 11 "Меры для улучшения обращения с лицами, подвергшимися наказанию или какой-либо форме задержания, аресту или тюремному заключению".</w:t>
      </w:r>
    </w:p>
    <w:p w:rsidR="00000000" w:rsidRDefault="00000000">
      <w:pPr>
        <w:pStyle w:val="EndnoteText"/>
        <w:spacing w:line="288" w:lineRule="auto"/>
      </w:pPr>
    </w:p>
  </w:endnote>
  <w:endnote w:id="42">
    <w:p w:rsidR="00000000" w:rsidRDefault="00000000">
      <w:pPr>
        <w:pStyle w:val="EndnoteText"/>
        <w:spacing w:line="288" w:lineRule="auto"/>
      </w:pPr>
      <w:r>
        <w:rPr>
          <w:rStyle w:val="EndnoteReference"/>
        </w:rPr>
        <w:endnoteRef/>
      </w:r>
      <w:r>
        <w:t xml:space="preserve"> </w:t>
      </w:r>
      <w:r>
        <w:tab/>
        <w:t xml:space="preserve">См. приложение </w:t>
      </w:r>
      <w:r>
        <w:rPr>
          <w:lang w:val="en-US"/>
        </w:rPr>
        <w:t>VIII</w:t>
      </w:r>
      <w:r>
        <w:t>, Гражданская служба отправления правосудия.</w:t>
      </w:r>
    </w:p>
    <w:p w:rsidR="00000000" w:rsidRDefault="00000000">
      <w:pPr>
        <w:pStyle w:val="EndnoteText"/>
        <w:spacing w:line="288" w:lineRule="auto"/>
      </w:pPr>
    </w:p>
  </w:endnote>
  <w:endnote w:id="43">
    <w:p w:rsidR="00000000" w:rsidRDefault="00000000">
      <w:pPr>
        <w:pStyle w:val="EndnoteText"/>
        <w:spacing w:line="288" w:lineRule="auto"/>
      </w:pPr>
      <w:r>
        <w:rPr>
          <w:rStyle w:val="EndnoteReference"/>
        </w:rPr>
        <w:endnoteRef/>
      </w:r>
      <w:r>
        <w:t xml:space="preserve"> </w:t>
      </w:r>
      <w:r>
        <w:tab/>
        <w:t>См. комментарии выше в отношении данного закона.</w:t>
      </w:r>
    </w:p>
    <w:p w:rsidR="00000000" w:rsidRDefault="00000000">
      <w:pPr>
        <w:pStyle w:val="EndnoteText"/>
        <w:spacing w:line="288" w:lineRule="auto"/>
      </w:pPr>
    </w:p>
  </w:endnote>
  <w:endnote w:id="44">
    <w:p w:rsidR="00000000" w:rsidRDefault="00000000">
      <w:pPr>
        <w:pStyle w:val="EndnoteText"/>
        <w:spacing w:line="288" w:lineRule="auto"/>
      </w:pPr>
      <w:r>
        <w:rPr>
          <w:rStyle w:val="EndnoteReference"/>
        </w:rPr>
        <w:endnoteRef/>
      </w:r>
      <w:r>
        <w:rPr>
          <w:lang w:val="fr-FR"/>
        </w:rPr>
        <w:t xml:space="preserve"> </w:t>
      </w:r>
      <w:r>
        <w:rPr>
          <w:lang w:val="fr-FR"/>
        </w:rPr>
        <w:tab/>
        <w:t xml:space="preserve">Ricardo Harnández Forcada y María Elena Lugo Garfias, </w:t>
      </w:r>
      <w:r>
        <w:rPr>
          <w:i/>
          <w:iCs/>
          <w:lang w:val="fr-FR"/>
        </w:rPr>
        <w:t xml:space="preserve">Algunas notas sobre la tortura en México, </w:t>
      </w:r>
      <w:r>
        <w:rPr>
          <w:lang w:val="fr-FR"/>
        </w:rPr>
        <w:t>México.  Comisión Nacional de los Derechos Humanos, marzo 2004, p. 145.</w:t>
      </w:r>
    </w:p>
    <w:p w:rsidR="00000000" w:rsidRDefault="00000000">
      <w:pPr>
        <w:pStyle w:val="EndnoteText"/>
        <w:spacing w:line="288" w:lineRule="auto"/>
      </w:pPr>
    </w:p>
  </w:endnote>
  <w:endnote w:id="45">
    <w:p w:rsidR="00000000" w:rsidRDefault="00000000">
      <w:pPr>
        <w:pStyle w:val="EndnoteText"/>
        <w:spacing w:line="288" w:lineRule="auto"/>
      </w:pPr>
      <w:r>
        <w:rPr>
          <w:rStyle w:val="EndnoteReference"/>
        </w:rPr>
        <w:endnoteRef/>
      </w:r>
      <w:r>
        <w:tab/>
        <w:t>Новые законы:  Уголовно-процессуальный кодекс Федерации, Федеральный закон об исполнении наказаний за уголовное преступление, Общий закон об уголовном правосудии для несовершеннолетних, Закон о Генеральном управлении прокуратуры Федерации, Органический закон о федеральной полиции, Закон об общественной безопасности, Регламентирующие положения пунктов 7 и 8 статьи 21 Политической конституции Мексиканских Соединенных Штатов.  Законы, в которые будут внесены поправки:  Федеральный закон против организованной преступности.  Органический закон о федеральной гражданской службе, Органический закон о судебной власти Федерации, Федеральный закон об уполномоченном по правам человека, Закон, регламентирующий применение статьи 5 Конституции, касающейся осуществления профессиональной деятельности в Федеральном округе, Уголовный кодекс Федерации, Закон об ампаро, регламентирующий применение статей 103-107 Политической конституции Мексиканских Соединенных Штатов, Закон, регламентирующий применение разделов </w:t>
      </w:r>
      <w:r>
        <w:rPr>
          <w:lang w:val="en-US"/>
        </w:rPr>
        <w:t>I</w:t>
      </w:r>
      <w:r>
        <w:t xml:space="preserve"> и </w:t>
      </w:r>
      <w:r>
        <w:rPr>
          <w:lang w:val="en-US"/>
        </w:rPr>
        <w:t>II</w:t>
      </w:r>
      <w:r>
        <w:t xml:space="preserve"> статьи 105 Политической конституции Мексиканских Соединенных Штатов.</w:t>
      </w:r>
    </w:p>
    <w:p w:rsidR="00000000" w:rsidRDefault="00000000">
      <w:pPr>
        <w:pStyle w:val="EndnoteText"/>
        <w:spacing w:line="288" w:lineRule="auto"/>
      </w:pPr>
    </w:p>
  </w:endnote>
  <w:endnote w:id="46">
    <w:p w:rsidR="00000000" w:rsidRDefault="00000000">
      <w:pPr>
        <w:pStyle w:val="EndnoteText"/>
        <w:spacing w:line="288" w:lineRule="auto"/>
      </w:pPr>
      <w:r>
        <w:rPr>
          <w:rStyle w:val="EndnoteReference"/>
        </w:rPr>
        <w:endnoteRef/>
      </w:r>
      <w:r>
        <w:t xml:space="preserve"> </w:t>
      </w:r>
      <w:r>
        <w:tab/>
        <w:t>Международная амнистия, сообщение для прессы 41/013/2003/</w:t>
      </w:r>
      <w:r>
        <w:rPr>
          <w:lang w:val="en-US"/>
        </w:rPr>
        <w:t>s</w:t>
      </w:r>
      <w:r>
        <w:t xml:space="preserve"> от 25 марта 2004 года.</w:t>
      </w:r>
    </w:p>
    <w:p w:rsidR="00000000" w:rsidRDefault="00000000">
      <w:pPr>
        <w:pStyle w:val="EndnoteText"/>
        <w:spacing w:line="288" w:lineRule="auto"/>
      </w:pPr>
    </w:p>
  </w:endnote>
  <w:endnote w:id="47">
    <w:p w:rsidR="00000000" w:rsidRDefault="00000000">
      <w:pPr>
        <w:pStyle w:val="EndnoteText"/>
        <w:spacing w:line="288" w:lineRule="auto"/>
      </w:pPr>
      <w:r>
        <w:rPr>
          <w:rStyle w:val="EndnoteReference"/>
        </w:rPr>
        <w:endnoteRef/>
      </w:r>
      <w:r>
        <w:t xml:space="preserve"> </w:t>
      </w:r>
      <w:r>
        <w:tab/>
        <w:t xml:space="preserve">Доклад Международной амнистии, </w:t>
      </w:r>
      <w:r>
        <w:rPr>
          <w:lang w:val="fr-FR"/>
        </w:rPr>
        <w:t>Juicios</w:t>
      </w:r>
      <w:r>
        <w:t xml:space="preserve"> </w:t>
      </w:r>
      <w:r>
        <w:rPr>
          <w:lang w:val="fr-FR"/>
        </w:rPr>
        <w:t>injustos</w:t>
      </w:r>
      <w:r>
        <w:t xml:space="preserve">:  </w:t>
      </w:r>
      <w:r>
        <w:rPr>
          <w:lang w:val="fr-FR"/>
        </w:rPr>
        <w:t>tortura</w:t>
      </w:r>
      <w:r>
        <w:t xml:space="preserve"> </w:t>
      </w:r>
      <w:r>
        <w:rPr>
          <w:lang w:val="fr-FR"/>
        </w:rPr>
        <w:t>en</w:t>
      </w:r>
      <w:r>
        <w:t xml:space="preserve"> </w:t>
      </w:r>
      <w:r>
        <w:rPr>
          <w:lang w:val="fr-FR"/>
        </w:rPr>
        <w:t>la</w:t>
      </w:r>
      <w:r>
        <w:t xml:space="preserve"> </w:t>
      </w:r>
      <w:r>
        <w:rPr>
          <w:lang w:val="fr-FR"/>
        </w:rPr>
        <w:t>administracio</w:t>
      </w:r>
      <w:r>
        <w:rPr>
          <w:rFonts w:ascii="Tahoma" w:hAnsi="Tahoma" w:cs="Tahoma"/>
          <w:lang w:val="fr-FR"/>
        </w:rPr>
        <w:t></w:t>
      </w:r>
      <w:r>
        <w:rPr>
          <w:lang w:val="fr-FR"/>
        </w:rPr>
        <w:t>n</w:t>
      </w:r>
      <w:r>
        <w:t xml:space="preserve"> </w:t>
      </w:r>
      <w:r>
        <w:rPr>
          <w:lang w:val="fr-FR"/>
        </w:rPr>
        <w:t>de</w:t>
      </w:r>
      <w:r>
        <w:t xml:space="preserve"> </w:t>
      </w:r>
      <w:r>
        <w:rPr>
          <w:lang w:val="fr-FR"/>
        </w:rPr>
        <w:t>justicia</w:t>
      </w:r>
      <w:r>
        <w:t>, от 25 марта 2003</w:t>
      </w:r>
      <w:r>
        <w:rPr>
          <w:lang w:val="fr-FR"/>
        </w:rPr>
        <w:t> </w:t>
      </w:r>
      <w:r>
        <w:t>года.</w:t>
      </w:r>
    </w:p>
    <w:p w:rsidR="00000000" w:rsidRDefault="00000000">
      <w:pPr>
        <w:pStyle w:val="EndnoteText"/>
        <w:spacing w:line="288" w:lineRule="auto"/>
      </w:pPr>
    </w:p>
  </w:endnote>
  <w:endnote w:id="48">
    <w:p w:rsidR="00000000" w:rsidRDefault="00000000">
      <w:pPr>
        <w:pStyle w:val="EndnoteText"/>
        <w:spacing w:line="288" w:lineRule="auto"/>
      </w:pPr>
      <w:r>
        <w:rPr>
          <w:rStyle w:val="EndnoteReference"/>
        </w:rPr>
        <w:endnoteRef/>
      </w:r>
      <w:r>
        <w:rPr>
          <w:lang w:val="fr-FR"/>
        </w:rPr>
        <w:t xml:space="preserve"> </w:t>
      </w:r>
      <w:r>
        <w:rPr>
          <w:lang w:val="fr-FR"/>
        </w:rPr>
        <w:tab/>
      </w:r>
      <w:r>
        <w:t>Доклад</w:t>
      </w:r>
      <w:r>
        <w:rPr>
          <w:lang w:val="fr-FR"/>
        </w:rPr>
        <w:t xml:space="preserve"> "</w:t>
      </w:r>
      <w:r>
        <w:t>Международной</w:t>
      </w:r>
      <w:r>
        <w:rPr>
          <w:lang w:val="fr-FR"/>
        </w:rPr>
        <w:t xml:space="preserve"> </w:t>
      </w:r>
      <w:r>
        <w:t>амнистии</w:t>
      </w:r>
      <w:r>
        <w:rPr>
          <w:lang w:val="fr-FR"/>
        </w:rPr>
        <w:t xml:space="preserve">", Jucios injustos:  tortura en la administración de justicia, 25 </w:t>
      </w:r>
      <w:r>
        <w:t>марта</w:t>
      </w:r>
      <w:r>
        <w:rPr>
          <w:lang w:val="fr-FR"/>
        </w:rPr>
        <w:t xml:space="preserve"> 2003 </w:t>
      </w:r>
      <w:r>
        <w:t>года</w:t>
      </w:r>
      <w:r>
        <w:rPr>
          <w:lang w:val="fr-FR"/>
        </w:rPr>
        <w:t>.</w:t>
      </w:r>
    </w:p>
    <w:p w:rsidR="00000000" w:rsidRDefault="00000000">
      <w:pPr>
        <w:pStyle w:val="EndnoteText"/>
        <w:spacing w:line="288" w:lineRule="auto"/>
      </w:pPr>
    </w:p>
  </w:endnote>
  <w:endnote w:id="49">
    <w:p w:rsidR="00000000" w:rsidRDefault="00000000">
      <w:pPr>
        <w:pStyle w:val="EndnoteText"/>
        <w:spacing w:line="288" w:lineRule="auto"/>
      </w:pPr>
      <w:r>
        <w:rPr>
          <w:rStyle w:val="EndnoteReference"/>
        </w:rPr>
        <w:endnoteRef/>
      </w:r>
      <w:r>
        <w:t xml:space="preserve"> </w:t>
      </w:r>
      <w:r>
        <w:tab/>
        <w:t>Национальная юридическая организация гражданского общества "Барсон" сделала заявление, аналогичное заявлению "Международной амнистии", указав при этом особо на пытки, которые применялись в ходе насильственных выселений.</w:t>
      </w:r>
    </w:p>
    <w:p w:rsidR="00000000" w:rsidRDefault="00000000">
      <w:pPr>
        <w:pStyle w:val="EndnoteText"/>
        <w:spacing w:line="288" w:lineRule="auto"/>
      </w:pPr>
    </w:p>
  </w:endnote>
  <w:endnote w:id="50">
    <w:p w:rsidR="00000000" w:rsidRDefault="00000000">
      <w:pPr>
        <w:pStyle w:val="EndnoteText"/>
        <w:spacing w:line="288" w:lineRule="auto"/>
      </w:pPr>
      <w:r>
        <w:rPr>
          <w:rStyle w:val="EndnoteReference"/>
        </w:rPr>
        <w:endnoteRef/>
      </w:r>
      <w:r>
        <w:t xml:space="preserve"> </w:t>
      </w:r>
      <w:r>
        <w:tab/>
        <w:t>Статья 42 Общего закона о народонаселении.</w:t>
      </w:r>
    </w:p>
    <w:p w:rsidR="00000000" w:rsidRDefault="00000000">
      <w:pPr>
        <w:pStyle w:val="EndnoteText"/>
        <w:spacing w:line="288" w:lineRule="auto"/>
      </w:pPr>
    </w:p>
  </w:endnote>
  <w:endnote w:id="51">
    <w:p w:rsidR="00000000" w:rsidRDefault="00000000">
      <w:pPr>
        <w:pStyle w:val="EndnoteText"/>
        <w:spacing w:line="288" w:lineRule="auto"/>
        <w:rPr>
          <w:lang w:val="fr-FR"/>
        </w:rPr>
      </w:pPr>
      <w:r>
        <w:rPr>
          <w:rStyle w:val="EndnoteReference"/>
        </w:rPr>
        <w:endnoteRef/>
      </w:r>
      <w:r>
        <w:t xml:space="preserve"> </w:t>
      </w:r>
      <w:r>
        <w:tab/>
        <w:t>"РЕДРЕСС" (компенсация) является неправительственной организацией, созданной лицами, подвергавшимися в прошлом пыткам.  См</w:t>
      </w:r>
      <w:r>
        <w:rPr>
          <w:lang w:val="fr-FR"/>
        </w:rPr>
        <w:t xml:space="preserve">. </w:t>
      </w:r>
      <w:r>
        <w:t>доклад</w:t>
      </w:r>
      <w:r>
        <w:rPr>
          <w:lang w:val="fr-FR"/>
        </w:rPr>
        <w:t xml:space="preserve"> </w:t>
      </w:r>
      <w:r>
        <w:t>по</w:t>
      </w:r>
      <w:r>
        <w:rPr>
          <w:lang w:val="fr-FR"/>
        </w:rPr>
        <w:t xml:space="preserve"> </w:t>
      </w:r>
      <w:r>
        <w:t>Мексике</w:t>
      </w:r>
      <w:r>
        <w:rPr>
          <w:lang w:val="fr-FR"/>
        </w:rPr>
        <w:t xml:space="preserve">, Reparación de la Tortura:  Una Investigación de Derecho y Práctica en 30 Paises Seleccionados, </w:t>
      </w:r>
      <w:r>
        <w:t>май</w:t>
      </w:r>
      <w:r>
        <w:rPr>
          <w:lang w:val="fr-FR"/>
        </w:rPr>
        <w:t xml:space="preserve"> 2003 </w:t>
      </w:r>
      <w:r>
        <w:t>года</w:t>
      </w:r>
      <w:r>
        <w:rPr>
          <w:lang w:val="fr-FR"/>
        </w:rPr>
        <w:t>.</w:t>
      </w:r>
    </w:p>
    <w:p w:rsidR="00000000" w:rsidRDefault="00000000">
      <w:pPr>
        <w:pStyle w:val="EndnoteText"/>
        <w:spacing w:line="288" w:lineRule="auto"/>
        <w:rPr>
          <w:lang w:val="fr-FR"/>
        </w:rPr>
      </w:pPr>
    </w:p>
  </w:endnote>
  <w:endnote w:id="52">
    <w:p w:rsidR="00000000" w:rsidRDefault="00000000">
      <w:pPr>
        <w:pStyle w:val="EndnoteText"/>
        <w:spacing w:line="288" w:lineRule="auto"/>
        <w:rPr>
          <w:lang w:val="fr-FR"/>
        </w:rPr>
      </w:pPr>
      <w:r>
        <w:rPr>
          <w:rStyle w:val="EndnoteReference"/>
        </w:rPr>
        <w:endnoteRef/>
      </w:r>
      <w:r>
        <w:rPr>
          <w:lang w:val="fr-FR"/>
        </w:rPr>
        <w:t xml:space="preserve"> </w:t>
      </w:r>
      <w:r>
        <w:rPr>
          <w:lang w:val="fr-FR"/>
        </w:rPr>
        <w:tab/>
      </w:r>
      <w:r>
        <w:t>Доклад</w:t>
      </w:r>
      <w:r>
        <w:rPr>
          <w:lang w:val="fr-FR"/>
        </w:rPr>
        <w:t xml:space="preserve"> </w:t>
      </w:r>
      <w:r>
        <w:t>организации</w:t>
      </w:r>
      <w:r>
        <w:rPr>
          <w:lang w:val="fr-FR"/>
        </w:rPr>
        <w:t xml:space="preserve"> "</w:t>
      </w:r>
      <w:r>
        <w:t>Международная</w:t>
      </w:r>
      <w:r>
        <w:rPr>
          <w:lang w:val="fr-FR"/>
        </w:rPr>
        <w:t xml:space="preserve"> </w:t>
      </w:r>
      <w:r>
        <w:t>амнистия</w:t>
      </w:r>
      <w:r>
        <w:rPr>
          <w:lang w:val="fr-FR"/>
        </w:rPr>
        <w:t xml:space="preserve">" Juicios injustos:  tortura en la administración de justicia, </w:t>
      </w:r>
      <w:r>
        <w:t>там</w:t>
      </w:r>
      <w:r>
        <w:rPr>
          <w:lang w:val="fr-FR"/>
        </w:rPr>
        <w:t xml:space="preserve"> </w:t>
      </w:r>
      <w:r>
        <w:t>же</w:t>
      </w:r>
      <w:r>
        <w:rPr>
          <w:lang w:val="fr-FR"/>
        </w:rPr>
        <w:t>.</w:t>
      </w:r>
    </w:p>
    <w:p w:rsidR="00000000" w:rsidRDefault="00000000">
      <w:pPr>
        <w:pStyle w:val="EndnoteText"/>
        <w:spacing w:line="288" w:lineRule="auto"/>
        <w:rPr>
          <w:lang w:val="fr-FR"/>
        </w:rPr>
      </w:pPr>
    </w:p>
  </w:endnote>
  <w:endnote w:id="53">
    <w:p w:rsidR="00000000" w:rsidRDefault="00000000">
      <w:pPr>
        <w:pStyle w:val="EndnoteText"/>
        <w:spacing w:line="288" w:lineRule="auto"/>
      </w:pPr>
      <w:r>
        <w:rPr>
          <w:rStyle w:val="EndnoteReference"/>
        </w:rPr>
        <w:endnoteRef/>
      </w:r>
      <w:r>
        <w:tab/>
        <w:t>Там же.</w:t>
      </w:r>
    </w:p>
    <w:p w:rsidR="00000000" w:rsidRDefault="00000000">
      <w:pPr>
        <w:pStyle w:val="EndnoteText"/>
        <w:spacing w:line="288" w:lineRule="auto"/>
      </w:pPr>
    </w:p>
  </w:endnote>
  <w:endnote w:id="54">
    <w:p w:rsidR="00000000" w:rsidRDefault="00000000">
      <w:pPr>
        <w:pStyle w:val="EndnoteText"/>
        <w:spacing w:line="288" w:lineRule="auto"/>
      </w:pPr>
      <w:r>
        <w:rPr>
          <w:rStyle w:val="EndnoteReference"/>
        </w:rPr>
        <w:endnoteRef/>
      </w:r>
      <w:r>
        <w:t xml:space="preserve"> </w:t>
      </w:r>
      <w:r>
        <w:tab/>
        <w:t>Статья 194.  Ввиду оказания важного влияния на основополагающие ценности общества объявляются тяжкими преступлениями со всеми вытекающими правовыми последствиями, следующие деяния, предусмотренные во всех нормативных актах:  (...) </w:t>
      </w:r>
      <w:r>
        <w:rPr>
          <w:lang w:val="en-US"/>
        </w:rPr>
        <w:t>IV</w:t>
      </w:r>
      <w:r>
        <w:t>.  Федеральный закон о предотвращении пыток и наказании за них, преступления, связанные с пытками, статьи 30</w:t>
      </w:r>
      <w:r>
        <w:noBreakHyphen/>
        <w:t>50.</w:t>
      </w:r>
    </w:p>
    <w:p w:rsidR="00000000" w:rsidRDefault="00000000">
      <w:pPr>
        <w:pStyle w:val="EndnoteText"/>
        <w:spacing w:line="288" w:lineRule="auto"/>
      </w:pPr>
    </w:p>
  </w:endnote>
  <w:endnote w:id="55">
    <w:p w:rsidR="00000000" w:rsidRDefault="00000000">
      <w:pPr>
        <w:pStyle w:val="EndnoteText"/>
        <w:spacing w:line="288" w:lineRule="auto"/>
      </w:pPr>
      <w:r>
        <w:rPr>
          <w:rStyle w:val="EndnoteReference"/>
        </w:rPr>
        <w:endnoteRef/>
      </w:r>
      <w:r>
        <w:t xml:space="preserve"> </w:t>
      </w:r>
      <w:r>
        <w:tab/>
        <w:t>См. статью 8 Федерального закона об ответственности государственных должностных лиц.</w:t>
      </w:r>
    </w:p>
    <w:p w:rsidR="00000000" w:rsidRDefault="00000000">
      <w:pPr>
        <w:pStyle w:val="EndnoteText"/>
        <w:spacing w:line="288" w:lineRule="auto"/>
      </w:pPr>
    </w:p>
  </w:endnote>
  <w:endnote w:id="56">
    <w:p w:rsidR="00000000" w:rsidRDefault="00000000">
      <w:pPr>
        <w:pStyle w:val="EndnoteText"/>
        <w:spacing w:line="288" w:lineRule="auto"/>
      </w:pPr>
      <w:r>
        <w:rPr>
          <w:rStyle w:val="EndnoteReference"/>
        </w:rPr>
        <w:endnoteRef/>
      </w:r>
      <w:r>
        <w:t xml:space="preserve"> </w:t>
      </w:r>
      <w:r>
        <w:tab/>
        <w:t xml:space="preserve">Меры, принятые организацией "Христиане за запрещение пыток", </w:t>
      </w:r>
      <w:r>
        <w:rPr>
          <w:lang w:val="en-US"/>
        </w:rPr>
        <w:t>Informe</w:t>
      </w:r>
      <w:r>
        <w:t xml:space="preserve"> </w:t>
      </w:r>
      <w:r>
        <w:rPr>
          <w:lang w:val="en-US"/>
        </w:rPr>
        <w:t>sobre</w:t>
      </w:r>
      <w:r>
        <w:t xml:space="preserve"> </w:t>
      </w:r>
      <w:r>
        <w:rPr>
          <w:lang w:val="en-US"/>
        </w:rPr>
        <w:t>la</w:t>
      </w:r>
      <w:r>
        <w:t xml:space="preserve"> </w:t>
      </w:r>
      <w:r>
        <w:rPr>
          <w:lang w:val="en-US"/>
        </w:rPr>
        <w:t>pra</w:t>
      </w:r>
      <w:r>
        <w:rPr>
          <w:rFonts w:ascii="Tahoma" w:hAnsi="Tahoma" w:cs="Tahoma"/>
          <w:lang w:val="en-US"/>
        </w:rPr>
        <w:t></w:t>
      </w:r>
      <w:r>
        <w:rPr>
          <w:lang w:val="en-US"/>
        </w:rPr>
        <w:t>ctica</w:t>
      </w:r>
      <w:r>
        <w:t xml:space="preserve"> </w:t>
      </w:r>
      <w:r>
        <w:rPr>
          <w:lang w:val="en-US"/>
        </w:rPr>
        <w:t>de</w:t>
      </w:r>
      <w:r>
        <w:t xml:space="preserve"> </w:t>
      </w:r>
      <w:r>
        <w:rPr>
          <w:lang w:val="en-US"/>
        </w:rPr>
        <w:t>la</w:t>
      </w:r>
      <w:r>
        <w:t xml:space="preserve"> </w:t>
      </w:r>
      <w:r>
        <w:rPr>
          <w:lang w:val="en-US"/>
        </w:rPr>
        <w:t>Torture</w:t>
      </w:r>
      <w:r>
        <w:t xml:space="preserve">.., </w:t>
      </w:r>
      <w:r>
        <w:rPr>
          <w:lang w:val="en-US"/>
        </w:rPr>
        <w:t>op</w:t>
      </w:r>
      <w:r>
        <w:t xml:space="preserve">. </w:t>
      </w:r>
      <w:r>
        <w:rPr>
          <w:lang w:val="en-US"/>
        </w:rPr>
        <w:t>cit</w:t>
      </w:r>
      <w:r>
        <w:t xml:space="preserve">., </w:t>
      </w:r>
      <w:r>
        <w:rPr>
          <w:lang w:val="en-US"/>
        </w:rPr>
        <w:t>s</w:t>
      </w:r>
      <w:r>
        <w:t>.</w:t>
      </w:r>
      <w:r>
        <w:rPr>
          <w:lang w:val="en-US"/>
        </w:rPr>
        <w:t>n</w:t>
      </w:r>
      <w:r>
        <w:t>.</w:t>
      </w:r>
      <w:r>
        <w:rPr>
          <w:lang w:val="en-US"/>
        </w:rPr>
        <w:t>p</w:t>
      </w:r>
      <w:r>
        <w:t>.</w:t>
      </w:r>
    </w:p>
    <w:p w:rsidR="00000000" w:rsidRDefault="00000000">
      <w:pPr>
        <w:pStyle w:val="EndnoteText"/>
        <w:spacing w:line="288" w:lineRule="auto"/>
      </w:pPr>
    </w:p>
  </w:endnote>
  <w:endnote w:id="57">
    <w:p w:rsidR="00000000" w:rsidRDefault="00000000">
      <w:pPr>
        <w:pStyle w:val="EndnoteText"/>
        <w:spacing w:line="288" w:lineRule="auto"/>
      </w:pPr>
      <w:r>
        <w:rPr>
          <w:rStyle w:val="EndnoteReference"/>
        </w:rPr>
        <w:endnoteRef/>
      </w:r>
      <w:r>
        <w:t xml:space="preserve"> </w:t>
      </w:r>
      <w:r>
        <w:tab/>
        <w:t>См. статьи 13 и 14 Федерального закона об ответственности государственных должностных лиц.</w:t>
      </w:r>
    </w:p>
    <w:p w:rsidR="00000000" w:rsidRDefault="00000000">
      <w:pPr>
        <w:pStyle w:val="EndnoteText"/>
        <w:spacing w:line="288" w:lineRule="auto"/>
      </w:pPr>
    </w:p>
  </w:endnote>
  <w:endnote w:id="58">
    <w:p w:rsidR="00000000" w:rsidRDefault="00000000">
      <w:r>
        <w:rPr>
          <w:rStyle w:val="EndnoteReference"/>
          <w:szCs w:val="18"/>
        </w:rPr>
        <w:endnoteRef/>
      </w:r>
      <w:r>
        <w:t xml:space="preserve"> </w:t>
      </w:r>
      <w:r>
        <w:tab/>
      </w:r>
      <w:r>
        <w:rPr>
          <w:lang w:val="en-US"/>
        </w:rPr>
        <w:t>Ricardo</w:t>
      </w:r>
      <w:r>
        <w:t xml:space="preserve"> </w:t>
      </w:r>
      <w:r>
        <w:rPr>
          <w:lang w:val="en-US"/>
        </w:rPr>
        <w:t>Hern</w:t>
      </w:r>
      <w:r>
        <w:t>á</w:t>
      </w:r>
      <w:r>
        <w:rPr>
          <w:lang w:val="en-US"/>
        </w:rPr>
        <w:t>ndez</w:t>
      </w:r>
      <w:r>
        <w:t xml:space="preserve"> </w:t>
      </w:r>
      <w:r>
        <w:rPr>
          <w:lang w:val="en-US"/>
        </w:rPr>
        <w:t>Forcada</w:t>
      </w:r>
      <w:r>
        <w:t xml:space="preserve"> </w:t>
      </w:r>
      <w:r>
        <w:rPr>
          <w:lang w:val="en-US"/>
        </w:rPr>
        <w:t>y</w:t>
      </w:r>
      <w:r>
        <w:t xml:space="preserve"> </w:t>
      </w:r>
      <w:r>
        <w:rPr>
          <w:lang w:val="en-US"/>
        </w:rPr>
        <w:t>Mar</w:t>
      </w:r>
      <w:r>
        <w:t>í</w:t>
      </w:r>
      <w:r>
        <w:rPr>
          <w:lang w:val="en-US"/>
        </w:rPr>
        <w:t>z</w:t>
      </w:r>
      <w:r>
        <w:t xml:space="preserve"> </w:t>
      </w:r>
      <w:r>
        <w:rPr>
          <w:lang w:val="en-US"/>
        </w:rPr>
        <w:t>Elena</w:t>
      </w:r>
      <w:r>
        <w:t xml:space="preserve"> </w:t>
      </w:r>
      <w:r>
        <w:rPr>
          <w:lang w:val="en-US"/>
        </w:rPr>
        <w:t>Lugo</w:t>
      </w:r>
      <w:r>
        <w:t xml:space="preserve"> </w:t>
      </w:r>
      <w:r>
        <w:rPr>
          <w:lang w:val="en-US"/>
        </w:rPr>
        <w:t>Garfias</w:t>
      </w:r>
      <w:r>
        <w:t xml:space="preserve">, </w:t>
      </w:r>
      <w:r>
        <w:rPr>
          <w:i/>
          <w:lang w:val="en-US"/>
        </w:rPr>
        <w:t>op</w:t>
      </w:r>
      <w:r>
        <w:rPr>
          <w:i/>
        </w:rPr>
        <w:t xml:space="preserve">. </w:t>
      </w:r>
      <w:r>
        <w:rPr>
          <w:i/>
          <w:lang w:val="en-US"/>
        </w:rPr>
        <w:t>cit</w:t>
      </w:r>
      <w:r>
        <w:rPr>
          <w:i/>
        </w:rPr>
        <w:t>.,</w:t>
      </w:r>
      <w:r>
        <w:t xml:space="preserve"> </w:t>
      </w:r>
      <w:r>
        <w:rPr>
          <w:lang w:val="en-US"/>
        </w:rPr>
        <w:t>p</w:t>
      </w:r>
      <w:r>
        <w:t>. 86.</w:t>
      </w:r>
    </w:p>
    <w:p w:rsidR="00000000" w:rsidRDefault="00000000"/>
  </w:endnote>
  <w:endnote w:id="59">
    <w:p w:rsidR="00000000" w:rsidRDefault="00000000">
      <w:r>
        <w:rPr>
          <w:rStyle w:val="EndnoteReference"/>
          <w:szCs w:val="18"/>
        </w:rPr>
        <w:endnoteRef/>
      </w:r>
      <w:r>
        <w:rPr>
          <w:lang w:val="es-ES"/>
        </w:rPr>
        <w:t xml:space="preserve"> </w:t>
      </w:r>
      <w:r>
        <w:rPr>
          <w:lang w:val="es-ES"/>
        </w:rPr>
        <w:tab/>
      </w:r>
      <w:r>
        <w:t>Таблица</w:t>
      </w:r>
      <w:r>
        <w:rPr>
          <w:lang w:val="es-ES"/>
        </w:rPr>
        <w:t xml:space="preserve"> </w:t>
      </w:r>
      <w:r>
        <w:t>была</w:t>
      </w:r>
      <w:r>
        <w:rPr>
          <w:lang w:val="es-ES"/>
        </w:rPr>
        <w:t xml:space="preserve"> </w:t>
      </w:r>
      <w:r>
        <w:t>получена</w:t>
      </w:r>
      <w:r>
        <w:rPr>
          <w:lang w:val="es-ES"/>
        </w:rPr>
        <w:t xml:space="preserve"> </w:t>
      </w:r>
      <w:r>
        <w:t>от</w:t>
      </w:r>
      <w:r>
        <w:rPr>
          <w:lang w:val="es-ES"/>
        </w:rPr>
        <w:t xml:space="preserve"> </w:t>
      </w:r>
      <w:r>
        <w:t>Рикардо</w:t>
      </w:r>
      <w:r>
        <w:rPr>
          <w:lang w:val="es-ES"/>
        </w:rPr>
        <w:t xml:space="preserve"> </w:t>
      </w:r>
      <w:r>
        <w:t>Эрнандеса</w:t>
      </w:r>
      <w:r>
        <w:rPr>
          <w:lang w:val="es-ES"/>
        </w:rPr>
        <w:t xml:space="preserve"> </w:t>
      </w:r>
      <w:r>
        <w:t>Форкады</w:t>
      </w:r>
      <w:r>
        <w:rPr>
          <w:lang w:val="es-ES"/>
        </w:rPr>
        <w:t xml:space="preserve"> </w:t>
      </w:r>
      <w:r>
        <w:t>и</w:t>
      </w:r>
      <w:r>
        <w:rPr>
          <w:lang w:val="es-ES"/>
        </w:rPr>
        <w:t xml:space="preserve"> </w:t>
      </w:r>
      <w:r>
        <w:t>Марии</w:t>
      </w:r>
      <w:r>
        <w:rPr>
          <w:lang w:val="es-ES"/>
        </w:rPr>
        <w:t xml:space="preserve"> </w:t>
      </w:r>
      <w:r>
        <w:t>Элены</w:t>
      </w:r>
      <w:r>
        <w:rPr>
          <w:lang w:val="es-ES"/>
        </w:rPr>
        <w:t xml:space="preserve"> </w:t>
      </w:r>
      <w:r>
        <w:t>Луго</w:t>
      </w:r>
      <w:r>
        <w:rPr>
          <w:lang w:val="es-ES"/>
        </w:rPr>
        <w:t xml:space="preserve"> </w:t>
      </w:r>
      <w:r>
        <w:t>Гарифас</w:t>
      </w:r>
      <w:r>
        <w:rPr>
          <w:lang w:val="es-ES"/>
        </w:rPr>
        <w:t>, op.</w:t>
      </w:r>
      <w:r>
        <w:t xml:space="preserve"> </w:t>
      </w:r>
      <w:r>
        <w:rPr>
          <w:lang w:val="es-ES"/>
        </w:rPr>
        <w:t>cit., pp. 86-87</w:t>
      </w:r>
      <w:r>
        <w:t>.  Авторы получили содержащиеся в данной таблице данные из базы рекомендаций, которую имеет в своем распоряжении Национальная комиссия по правам человека, а также из издания "Указатель рекомендации",</w:t>
      </w:r>
      <w:r>
        <w:rPr>
          <w:lang w:val="es-ES"/>
        </w:rPr>
        <w:t xml:space="preserve"> </w:t>
      </w:r>
      <w:r>
        <w:t>с разбивкой по форме нарушений прав человека и из полугодовых и годовых докладов, подготовленных Национальной комиссией.  Кроме того, при подготовке настоящего доклада содержащиеся в таблице данные были дополнены информацией, представленной Национальной комиссией по правам человека и Генеральной прокуратурой Республики.</w:t>
      </w:r>
    </w:p>
    <w:p w:rsidR="00000000" w:rsidRDefault="00000000"/>
  </w:endnote>
  <w:endnote w:id="60">
    <w:p w:rsidR="00000000" w:rsidRDefault="00000000">
      <w:pPr>
        <w:pStyle w:val="EndnoteText"/>
        <w:spacing w:line="288" w:lineRule="auto"/>
        <w:jc w:val="both"/>
      </w:pPr>
      <w:r>
        <w:rPr>
          <w:rStyle w:val="EndnoteReference"/>
          <w:szCs w:val="18"/>
        </w:rPr>
        <w:endnoteRef/>
      </w:r>
      <w:r>
        <w:rPr>
          <w:sz w:val="18"/>
          <w:szCs w:val="18"/>
        </w:rPr>
        <w:t xml:space="preserve"> </w:t>
      </w:r>
      <w:r>
        <w:rPr>
          <w:sz w:val="18"/>
          <w:szCs w:val="18"/>
        </w:rPr>
        <w:tab/>
      </w:r>
      <w:r>
        <w:t>Ibid.</w:t>
      </w:r>
    </w:p>
    <w:p w:rsidR="00000000" w:rsidRDefault="00000000">
      <w:pPr>
        <w:pStyle w:val="EndnoteText"/>
        <w:spacing w:line="288" w:lineRule="auto"/>
        <w:jc w:val="both"/>
      </w:pPr>
    </w:p>
  </w:endnote>
  <w:endnote w:id="61">
    <w:p w:rsidR="00000000" w:rsidRDefault="00000000">
      <w:pPr>
        <w:pStyle w:val="EndnoteText"/>
        <w:spacing w:line="288" w:lineRule="auto"/>
        <w:jc w:val="both"/>
        <w:rPr>
          <w:szCs w:val="18"/>
          <w:lang w:val="en-US"/>
        </w:rPr>
      </w:pPr>
      <w:r>
        <w:rPr>
          <w:rStyle w:val="EndnoteReference"/>
          <w:szCs w:val="18"/>
        </w:rPr>
        <w:endnoteRef/>
      </w:r>
      <w:r>
        <w:rPr>
          <w:szCs w:val="18"/>
          <w:lang w:val="fr-FR"/>
        </w:rPr>
        <w:tab/>
        <w:t>Ibid.</w:t>
      </w:r>
    </w:p>
    <w:p w:rsidR="00000000" w:rsidRDefault="00000000">
      <w:pPr>
        <w:pStyle w:val="EndnoteText"/>
        <w:spacing w:line="288" w:lineRule="auto"/>
        <w:jc w:val="both"/>
        <w:rPr>
          <w:szCs w:val="18"/>
          <w:lang w:val="en-US"/>
        </w:rPr>
      </w:pPr>
    </w:p>
  </w:endnote>
  <w:endnote w:id="62">
    <w:p w:rsidR="00000000" w:rsidRDefault="00000000">
      <w:pPr>
        <w:pStyle w:val="EndnoteText"/>
        <w:spacing w:line="288" w:lineRule="auto"/>
      </w:pPr>
      <w:r>
        <w:rPr>
          <w:rStyle w:val="EndnoteReference"/>
        </w:rPr>
        <w:endnoteRef/>
      </w:r>
      <w:r>
        <w:tab/>
        <w:t>Согласно информации, полученной от Национальной комиссии по правам человека, в течение указанного периода она направила в Генеральную прокуратуру Республики шесть рекомендаций в отношении пыток - 4/97, 69/97, 17/98, 88/98, 19/00 н 8/01.</w:t>
      </w:r>
    </w:p>
    <w:p w:rsidR="00000000" w:rsidRDefault="00000000">
      <w:pPr>
        <w:pStyle w:val="EndnoteText"/>
        <w:spacing w:line="288" w:lineRule="auto"/>
      </w:pPr>
    </w:p>
  </w:endnote>
  <w:endnote w:id="63">
    <w:p w:rsidR="00000000" w:rsidRDefault="00000000">
      <w:pPr>
        <w:pStyle w:val="EndnoteText"/>
        <w:spacing w:line="288" w:lineRule="auto"/>
        <w:rPr>
          <w:szCs w:val="18"/>
        </w:rPr>
      </w:pPr>
      <w:r>
        <w:rPr>
          <w:rStyle w:val="EndnoteReference"/>
          <w:szCs w:val="18"/>
        </w:rPr>
        <w:endnoteRef/>
      </w:r>
      <w:r>
        <w:rPr>
          <w:szCs w:val="18"/>
        </w:rPr>
        <w:t xml:space="preserve"> </w:t>
      </w:r>
      <w:r>
        <w:rPr>
          <w:szCs w:val="18"/>
        </w:rPr>
        <w:tab/>
        <w:t>Рассматривается три уголовных дела;  пять других дел приняты к рассмотрению.</w:t>
      </w:r>
    </w:p>
    <w:p w:rsidR="00000000" w:rsidRDefault="00000000">
      <w:pPr>
        <w:pStyle w:val="EndnoteText"/>
        <w:spacing w:line="288" w:lineRule="auto"/>
        <w:jc w:val="both"/>
        <w:rPr>
          <w:szCs w:val="18"/>
        </w:rPr>
      </w:pPr>
    </w:p>
  </w:endnote>
  <w:endnote w:id="64">
    <w:p w:rsidR="00000000" w:rsidRDefault="00000000">
      <w:pPr>
        <w:pStyle w:val="EndnoteText"/>
        <w:spacing w:line="288" w:lineRule="auto"/>
      </w:pPr>
      <w:r>
        <w:rPr>
          <w:rStyle w:val="EndnoteReference"/>
        </w:rPr>
        <w:endnoteRef/>
      </w:r>
      <w:r>
        <w:t xml:space="preserve"> </w:t>
      </w:r>
      <w:r>
        <w:tab/>
        <w:t>Два дела сданы в архив;  в отношении одной жалобы возбуждено административное дело;  одна жалоба направлена в Специальный отдел по выполнению рекомендаций, касающихся прав человека, и одна жалоба рассматривается.</w:t>
      </w:r>
    </w:p>
    <w:p w:rsidR="00000000" w:rsidRDefault="00000000">
      <w:pPr>
        <w:pStyle w:val="EndnoteText"/>
        <w:spacing w:line="288" w:lineRule="auto"/>
      </w:pPr>
    </w:p>
  </w:endnote>
  <w:endnote w:id="65">
    <w:p w:rsidR="00000000" w:rsidRDefault="00000000">
      <w:pPr>
        <w:pStyle w:val="EndnoteText"/>
        <w:spacing w:line="288" w:lineRule="auto"/>
        <w:jc w:val="both"/>
        <w:rPr>
          <w:lang w:val="fr-FR"/>
        </w:rPr>
      </w:pPr>
      <w:r>
        <w:rPr>
          <w:rStyle w:val="EndnoteReference"/>
        </w:rPr>
        <w:endnoteRef/>
      </w:r>
      <w:r>
        <w:rPr>
          <w:lang w:val="fr-FR"/>
        </w:rPr>
        <w:t xml:space="preserve"> </w:t>
      </w:r>
      <w:r>
        <w:rPr>
          <w:lang w:val="fr-FR"/>
        </w:rPr>
        <w:tab/>
        <w:t>Diagnóstico sobre la Situación de los Derechos Humanos en México, pág. 101.</w:t>
      </w:r>
    </w:p>
    <w:p w:rsidR="00000000" w:rsidRDefault="00000000">
      <w:pPr>
        <w:pStyle w:val="EndnoteText"/>
        <w:spacing w:line="288" w:lineRule="auto"/>
        <w:jc w:val="both"/>
        <w:rPr>
          <w:lang w:val="fr-FR"/>
        </w:rPr>
      </w:pPr>
    </w:p>
  </w:endnote>
  <w:endnote w:id="66">
    <w:p w:rsidR="00000000" w:rsidRDefault="00000000">
      <w:pPr>
        <w:pStyle w:val="EndnoteText"/>
        <w:spacing w:line="288" w:lineRule="auto"/>
      </w:pPr>
      <w:r>
        <w:rPr>
          <w:rStyle w:val="EndnoteReference"/>
        </w:rPr>
        <w:endnoteRef/>
      </w:r>
      <w:r>
        <w:t xml:space="preserve"> </w:t>
      </w:r>
      <w:r>
        <w:tab/>
        <w:t>Информация представлена организацией "Христиане за запрещение пыток" 7 сентября 2004 года.</w:t>
      </w:r>
    </w:p>
    <w:p w:rsidR="00000000" w:rsidRDefault="00000000">
      <w:pPr>
        <w:pStyle w:val="EndnoteText"/>
        <w:spacing w:line="288" w:lineRule="auto"/>
      </w:pPr>
    </w:p>
  </w:endnote>
  <w:endnote w:id="67">
    <w:p w:rsidR="00000000" w:rsidRDefault="00000000">
      <w:pPr>
        <w:pStyle w:val="EndnoteText"/>
        <w:spacing w:line="288" w:lineRule="auto"/>
      </w:pPr>
      <w:r>
        <w:rPr>
          <w:rStyle w:val="EndnoteReference"/>
        </w:rPr>
        <w:endnoteRef/>
      </w:r>
      <w:r>
        <w:t xml:space="preserve"> </w:t>
      </w:r>
      <w:r>
        <w:tab/>
        <w:t>См. Федеральный уголовный кодекс.</w:t>
      </w:r>
    </w:p>
    <w:p w:rsidR="00000000" w:rsidRDefault="00000000">
      <w:pPr>
        <w:pStyle w:val="EndnoteText"/>
        <w:spacing w:line="288" w:lineRule="auto"/>
      </w:pPr>
    </w:p>
  </w:endnote>
  <w:endnote w:id="68">
    <w:p w:rsidR="00000000" w:rsidRDefault="00000000">
      <w:pPr>
        <w:pStyle w:val="EndnoteText"/>
        <w:spacing w:line="288" w:lineRule="auto"/>
      </w:pPr>
      <w:r>
        <w:rPr>
          <w:rStyle w:val="EndnoteReference"/>
        </w:rPr>
        <w:endnoteRef/>
      </w:r>
      <w:r>
        <w:tab/>
        <w:t>Газета "Реформа", 24 августа 2000 года, статья «Обвиняется директор "Ренаве"».</w:t>
      </w:r>
    </w:p>
    <w:p w:rsidR="00000000" w:rsidRDefault="00000000">
      <w:pPr>
        <w:pStyle w:val="EndnoteText"/>
        <w:spacing w:line="288" w:lineRule="auto"/>
      </w:pPr>
    </w:p>
  </w:endnote>
  <w:endnote w:id="69">
    <w:p w:rsidR="00000000" w:rsidRDefault="00000000">
      <w:pPr>
        <w:pStyle w:val="EndnoteText"/>
        <w:spacing w:line="288" w:lineRule="auto"/>
      </w:pPr>
      <w:r>
        <w:rPr>
          <w:rStyle w:val="EndnoteReference"/>
        </w:rPr>
        <w:endnoteRef/>
      </w:r>
      <w:r>
        <w:tab/>
        <w:t>В соответствии с иском о проведении судебного расследования, поданного судебным исполнителем Следственного управления Национальной судебной палаты в Мадриде судьей Бальтасаром Гарсоном, капитан военно-морских сил Кавальо служил в Специальной группе 3.3.2 Школы механики вооруженных сил (ЕСМА) в Буэнос-Айресе, Аргентина.  С 1976 до начала 1979 года Карвальо служил в отделе разведки ЕСМА.  В 1980 году он возглавил специальную группу в Париже, деятельность которой осуществлялась под руководством адмирала Массеры и включала выполнение операций психологического характера в Европе:  члены группы вели переговоры с отдельными иммигрантами, которым предлагалось вернуться в Аргентину при условии, что они окажут поддержку Массере в его политической деятельности после восстановления демократии в стране.</w:t>
      </w:r>
    </w:p>
    <w:p w:rsidR="00000000" w:rsidRDefault="00000000">
      <w:pPr>
        <w:pStyle w:val="EndnoteText"/>
        <w:spacing w:line="288" w:lineRule="auto"/>
      </w:pPr>
    </w:p>
  </w:endnote>
  <w:endnote w:id="70">
    <w:p w:rsidR="00000000" w:rsidRDefault="00000000">
      <w:pPr>
        <w:pStyle w:val="EndnoteText"/>
        <w:spacing w:line="288" w:lineRule="auto"/>
      </w:pPr>
      <w:r>
        <w:rPr>
          <w:rStyle w:val="EndnoteReference"/>
        </w:rPr>
        <w:endnoteRef/>
      </w:r>
      <w:r>
        <w:t xml:space="preserve"> </w:t>
      </w:r>
      <w:r>
        <w:tab/>
        <w:t>Районный судья по уголовным делам Первого округа, приговор, решение 5/2000, 11 января 2001 года, Обоснование 6, стр. 110.</w:t>
      </w:r>
    </w:p>
    <w:p w:rsidR="00000000" w:rsidRDefault="00000000">
      <w:pPr>
        <w:pStyle w:val="EndnoteText"/>
        <w:spacing w:line="288" w:lineRule="auto"/>
      </w:pPr>
    </w:p>
  </w:endnote>
  <w:endnote w:id="71">
    <w:p w:rsidR="00000000" w:rsidRDefault="00000000">
      <w:pPr>
        <w:pStyle w:val="EndnoteText"/>
        <w:spacing w:line="288" w:lineRule="auto"/>
      </w:pPr>
      <w:r>
        <w:rPr>
          <w:rStyle w:val="EndnoteReference"/>
        </w:rPr>
        <w:endnoteRef/>
      </w:r>
      <w:r>
        <w:t xml:space="preserve"> </w:t>
      </w:r>
      <w:r>
        <w:tab/>
        <w:t>Министерство иностранных дел, документ № 021/01, 2 февраля 2001 года.</w:t>
      </w:r>
    </w:p>
    <w:p w:rsidR="00000000" w:rsidRDefault="00000000">
      <w:pPr>
        <w:pStyle w:val="EndnoteText"/>
        <w:spacing w:line="288" w:lineRule="auto"/>
      </w:pPr>
    </w:p>
  </w:endnote>
  <w:endnote w:id="72">
    <w:p w:rsidR="00000000" w:rsidRDefault="00000000">
      <w:pPr>
        <w:pStyle w:val="EndnoteText"/>
        <w:spacing w:line="288" w:lineRule="auto"/>
      </w:pPr>
      <w:r>
        <w:rPr>
          <w:rStyle w:val="EndnoteReference"/>
        </w:rPr>
        <w:endnoteRef/>
      </w:r>
      <w:r>
        <w:t xml:space="preserve"> </w:t>
      </w:r>
      <w:r>
        <w:tab/>
        <w:t>"Христиане за запрещение пыток", Ассоциация за предотвращение пыток, Мексиканская комиссия по поощрению и защите прав человека, Центр юстиции и международного права, ЦЮМП, Доклад о пытках в Мексике, который был представлен МКПЧ, Вашингтон, ДК, октябрь 2002 года.</w:t>
      </w:r>
    </w:p>
    <w:p w:rsidR="00000000" w:rsidRDefault="00000000">
      <w:pPr>
        <w:pStyle w:val="EndnoteText"/>
        <w:spacing w:line="288" w:lineRule="auto"/>
      </w:pPr>
    </w:p>
  </w:endnote>
  <w:endnote w:id="73">
    <w:p w:rsidR="00000000" w:rsidRDefault="00000000">
      <w:pPr>
        <w:pStyle w:val="EndnoteText"/>
        <w:spacing w:line="288" w:lineRule="auto"/>
      </w:pPr>
      <w:r>
        <w:rPr>
          <w:rStyle w:val="EndnoteReference"/>
        </w:rPr>
        <w:endnoteRef/>
      </w:r>
      <w:r>
        <w:t xml:space="preserve"> </w:t>
      </w:r>
      <w:r>
        <w:tab/>
        <w:t>Министерство иностранных дел, сообщение для прессы № 139, Мехико, 26 июня 2003 года.</w:t>
      </w:r>
    </w:p>
    <w:p w:rsidR="00000000" w:rsidRDefault="00000000">
      <w:pPr>
        <w:pStyle w:val="EndnoteText"/>
        <w:spacing w:line="288" w:lineRule="auto"/>
      </w:pPr>
    </w:p>
  </w:endnote>
  <w:endnote w:id="74">
    <w:p w:rsidR="00000000" w:rsidRDefault="00000000">
      <w:pPr>
        <w:pStyle w:val="EndnoteText"/>
        <w:spacing w:line="288" w:lineRule="auto"/>
      </w:pPr>
      <w:r>
        <w:rPr>
          <w:rStyle w:val="EndnoteReference"/>
        </w:rPr>
        <w:endnoteRef/>
      </w:r>
      <w:r>
        <w:t xml:space="preserve"> </w:t>
      </w:r>
      <w:r>
        <w:tab/>
        <w:t xml:space="preserve">"Христиане за запрещение пыток", Ассоциация за предотвращение пыток, Мексиканская комиссия по поощрению и защите прав человека, Центр юстиции и международного права, ЦЮМП, Доклад о пытках в Мексике, который был представлен МКПЧ, </w:t>
      </w:r>
      <w:r>
        <w:rPr>
          <w:lang w:val="en-US"/>
        </w:rPr>
        <w:t>op</w:t>
      </w:r>
      <w:r>
        <w:t xml:space="preserve">. </w:t>
      </w:r>
      <w:r>
        <w:rPr>
          <w:lang w:val="en-US"/>
        </w:rPr>
        <w:t>cit</w:t>
      </w:r>
      <w:r>
        <w:t>.</w:t>
      </w:r>
    </w:p>
    <w:p w:rsidR="00000000" w:rsidRDefault="00000000">
      <w:pPr>
        <w:pStyle w:val="EndnoteText"/>
        <w:spacing w:line="288" w:lineRule="auto"/>
      </w:pPr>
    </w:p>
  </w:endnote>
  <w:endnote w:id="75">
    <w:p w:rsidR="00000000" w:rsidRDefault="00000000">
      <w:pPr>
        <w:pStyle w:val="EndnoteText"/>
        <w:spacing w:line="288" w:lineRule="auto"/>
      </w:pPr>
      <w:r>
        <w:rPr>
          <w:rStyle w:val="EndnoteReference"/>
        </w:rPr>
        <w:endnoteRef/>
      </w:r>
      <w:r>
        <w:t xml:space="preserve"> </w:t>
      </w:r>
      <w:r>
        <w:tab/>
        <w:t>См. базовый документ.</w:t>
      </w:r>
    </w:p>
    <w:p w:rsidR="00000000" w:rsidRDefault="00000000">
      <w:pPr>
        <w:pStyle w:val="EndnoteText"/>
        <w:spacing w:line="288" w:lineRule="auto"/>
      </w:pPr>
    </w:p>
  </w:endnote>
  <w:endnote w:id="76">
    <w:p w:rsidR="00000000" w:rsidRDefault="00000000">
      <w:pPr>
        <w:pStyle w:val="EndnoteText"/>
        <w:spacing w:line="288" w:lineRule="auto"/>
      </w:pPr>
      <w:r>
        <w:rPr>
          <w:rStyle w:val="EndnoteReference"/>
        </w:rPr>
        <w:endnoteRef/>
      </w:r>
      <w:r>
        <w:t xml:space="preserve"> </w:t>
      </w:r>
      <w:r>
        <w:tab/>
        <w:t xml:space="preserve">См. приложение </w:t>
      </w:r>
      <w:r>
        <w:rPr>
          <w:lang w:val="en-US"/>
        </w:rPr>
        <w:t>IX</w:t>
      </w:r>
      <w:r>
        <w:t>, касающееся договоров об экстрадиции.</w:t>
      </w:r>
    </w:p>
    <w:p w:rsidR="00000000" w:rsidRDefault="00000000">
      <w:pPr>
        <w:pStyle w:val="EndnoteText"/>
        <w:spacing w:line="288" w:lineRule="auto"/>
      </w:pPr>
    </w:p>
  </w:endnote>
  <w:endnote w:id="77">
    <w:p w:rsidR="00000000" w:rsidRDefault="00000000">
      <w:pPr>
        <w:pStyle w:val="EndnoteText"/>
        <w:spacing w:line="288" w:lineRule="auto"/>
      </w:pPr>
      <w:r>
        <w:rPr>
          <w:rStyle w:val="EndnoteReference"/>
        </w:rPr>
        <w:endnoteRef/>
      </w:r>
      <w:r>
        <w:t xml:space="preserve"> </w:t>
      </w:r>
      <w:r>
        <w:tab/>
        <w:t>Статья 570 Федерального гражданско-процессуального кодекса.</w:t>
      </w:r>
    </w:p>
    <w:p w:rsidR="00000000" w:rsidRDefault="00000000">
      <w:pPr>
        <w:pStyle w:val="EndnoteText"/>
        <w:spacing w:line="288" w:lineRule="auto"/>
      </w:pPr>
    </w:p>
  </w:endnote>
  <w:endnote w:id="78">
    <w:p w:rsidR="00000000" w:rsidRDefault="00000000">
      <w:pPr>
        <w:pStyle w:val="EndnoteText"/>
        <w:spacing w:line="288" w:lineRule="auto"/>
      </w:pPr>
      <w:r>
        <w:rPr>
          <w:rStyle w:val="EndnoteReference"/>
        </w:rPr>
        <w:endnoteRef/>
      </w:r>
      <w:r>
        <w:t xml:space="preserve"> </w:t>
      </w:r>
      <w:r>
        <w:tab/>
        <w:t>Статья 573 Федерального гражданско-процессуального кодекса.</w:t>
      </w:r>
    </w:p>
    <w:p w:rsidR="00000000" w:rsidRDefault="00000000">
      <w:pPr>
        <w:pStyle w:val="EndnoteText"/>
        <w:spacing w:line="288" w:lineRule="auto"/>
      </w:pPr>
    </w:p>
  </w:endnote>
  <w:endnote w:id="79">
    <w:p w:rsidR="00000000" w:rsidRDefault="00000000">
      <w:pPr>
        <w:pStyle w:val="EndnoteText"/>
        <w:spacing w:line="288" w:lineRule="auto"/>
        <w:rPr>
          <w:szCs w:val="18"/>
        </w:rPr>
      </w:pPr>
      <w:r>
        <w:rPr>
          <w:rStyle w:val="EndnoteReference"/>
        </w:rPr>
        <w:endnoteRef/>
      </w:r>
      <w:r>
        <w:t xml:space="preserve"> </w:t>
      </w:r>
      <w:r>
        <w:tab/>
        <w:t>Третий доклад о работе министерства общественной безопасности, 2003 год, стр. 55</w:t>
      </w:r>
      <w:r>
        <w:noBreakHyphen/>
        <w:t xml:space="preserve">91 </w:t>
      </w:r>
      <w:r>
        <w:rPr>
          <w:szCs w:val="18"/>
          <w:lang w:val="en-US"/>
        </w:rPr>
        <w:t>http</w:t>
      </w:r>
      <w:r>
        <w:rPr>
          <w:szCs w:val="18"/>
        </w:rPr>
        <w:t>://</w:t>
      </w:r>
      <w:r>
        <w:rPr>
          <w:szCs w:val="18"/>
          <w:lang w:val="en-US"/>
        </w:rPr>
        <w:t>www</w:t>
      </w:r>
      <w:r>
        <w:rPr>
          <w:szCs w:val="18"/>
        </w:rPr>
        <w:t>.</w:t>
      </w:r>
      <w:r>
        <w:rPr>
          <w:szCs w:val="18"/>
          <w:lang w:val="en-US"/>
        </w:rPr>
        <w:t>ssp</w:t>
      </w:r>
      <w:r>
        <w:rPr>
          <w:szCs w:val="18"/>
        </w:rPr>
        <w:t>.</w:t>
      </w:r>
      <w:r>
        <w:rPr>
          <w:szCs w:val="18"/>
          <w:lang w:val="en-US"/>
        </w:rPr>
        <w:t>gob</w:t>
      </w:r>
      <w:r>
        <w:rPr>
          <w:szCs w:val="18"/>
        </w:rPr>
        <w:t>.</w:t>
      </w:r>
      <w:r>
        <w:rPr>
          <w:szCs w:val="18"/>
          <w:lang w:val="en-US"/>
        </w:rPr>
        <w:t>mx</w:t>
      </w:r>
      <w:r>
        <w:rPr>
          <w:szCs w:val="18"/>
        </w:rPr>
        <w:t>/</w:t>
      </w:r>
      <w:r>
        <w:rPr>
          <w:szCs w:val="18"/>
          <w:lang w:val="en-US"/>
        </w:rPr>
        <w:t>buffer</w:t>
      </w:r>
      <w:r>
        <w:rPr>
          <w:szCs w:val="18"/>
        </w:rPr>
        <w:t>/</w:t>
      </w:r>
      <w:r>
        <w:rPr>
          <w:szCs w:val="18"/>
          <w:lang w:val="en-US"/>
        </w:rPr>
        <w:t>BEA</w:t>
      </w:r>
      <w:r>
        <w:rPr>
          <w:szCs w:val="18"/>
        </w:rPr>
        <w:t>/</w:t>
      </w:r>
      <w:r>
        <w:rPr>
          <w:szCs w:val="18"/>
          <w:lang w:val="en-US"/>
        </w:rPr>
        <w:t>ssp</w:t>
      </w:r>
      <w:r>
        <w:rPr>
          <w:szCs w:val="18"/>
        </w:rPr>
        <w:t>/</w:t>
      </w:r>
      <w:r>
        <w:rPr>
          <w:szCs w:val="18"/>
          <w:lang w:val="en-US"/>
        </w:rPr>
        <w:t>contenido</w:t>
      </w:r>
      <w:r>
        <w:rPr>
          <w:szCs w:val="18"/>
        </w:rPr>
        <w:t>/</w:t>
      </w:r>
      <w:r>
        <w:rPr>
          <w:szCs w:val="18"/>
          <w:lang w:val="en-US"/>
        </w:rPr>
        <w:t>d</w:t>
      </w:r>
      <w:r>
        <w:rPr>
          <w:szCs w:val="18"/>
        </w:rPr>
        <w:t>1231/</w:t>
      </w:r>
      <w:r>
        <w:rPr>
          <w:szCs w:val="18"/>
          <w:lang w:val="en-US"/>
        </w:rPr>
        <w:t>v</w:t>
      </w:r>
      <w:r>
        <w:rPr>
          <w:szCs w:val="18"/>
        </w:rPr>
        <w:t>3/1_</w:t>
      </w:r>
      <w:r>
        <w:rPr>
          <w:szCs w:val="18"/>
          <w:lang w:val="en-US"/>
        </w:rPr>
        <w:t>Introduccion</w:t>
      </w:r>
      <w:r>
        <w:rPr>
          <w:szCs w:val="18"/>
        </w:rPr>
        <w:t>.</w:t>
      </w:r>
      <w:r>
        <w:rPr>
          <w:szCs w:val="18"/>
          <w:lang w:val="en-US"/>
        </w:rPr>
        <w:t>pdf</w:t>
      </w:r>
      <w:r>
        <w:rPr>
          <w:szCs w:val="18"/>
        </w:rPr>
        <w:t xml:space="preserve">, </w:t>
      </w:r>
      <w:r>
        <w:rPr>
          <w:szCs w:val="18"/>
          <w:lang w:val="en-US"/>
        </w:rPr>
        <w:t>secci</w:t>
      </w:r>
      <w:r>
        <w:rPr>
          <w:szCs w:val="18"/>
        </w:rPr>
        <w:t>ó</w:t>
      </w:r>
      <w:r>
        <w:rPr>
          <w:szCs w:val="18"/>
          <w:lang w:val="en-US"/>
        </w:rPr>
        <w:t>n</w:t>
      </w:r>
      <w:r>
        <w:rPr>
          <w:szCs w:val="18"/>
        </w:rPr>
        <w:t xml:space="preserve"> 1.4 "</w:t>
      </w:r>
      <w:r>
        <w:rPr>
          <w:szCs w:val="18"/>
          <w:lang w:val="en-US"/>
        </w:rPr>
        <w:t>Reestructurar</w:t>
      </w:r>
      <w:r>
        <w:rPr>
          <w:szCs w:val="18"/>
        </w:rPr>
        <w:t xml:space="preserve"> </w:t>
      </w:r>
      <w:r>
        <w:rPr>
          <w:szCs w:val="18"/>
          <w:lang w:val="en-US"/>
        </w:rPr>
        <w:t>Integralmente</w:t>
      </w:r>
      <w:r>
        <w:rPr>
          <w:szCs w:val="18"/>
        </w:rPr>
        <w:t xml:space="preserve"> </w:t>
      </w:r>
      <w:r>
        <w:rPr>
          <w:szCs w:val="18"/>
          <w:lang w:val="en-US"/>
        </w:rPr>
        <w:t>el</w:t>
      </w:r>
      <w:r>
        <w:rPr>
          <w:szCs w:val="18"/>
        </w:rPr>
        <w:t xml:space="preserve"> </w:t>
      </w:r>
      <w:r>
        <w:rPr>
          <w:szCs w:val="18"/>
          <w:lang w:val="en-US"/>
        </w:rPr>
        <w:t>Sistema</w:t>
      </w:r>
      <w:r>
        <w:rPr>
          <w:szCs w:val="18"/>
        </w:rPr>
        <w:t xml:space="preserve"> </w:t>
      </w:r>
      <w:r>
        <w:rPr>
          <w:szCs w:val="18"/>
          <w:lang w:val="en-US"/>
        </w:rPr>
        <w:t>Penitenciario</w:t>
      </w:r>
      <w:r>
        <w:rPr>
          <w:szCs w:val="18"/>
        </w:rPr>
        <w:t>".</w:t>
      </w:r>
    </w:p>
    <w:p w:rsidR="00000000" w:rsidRDefault="00000000">
      <w:pPr>
        <w:pStyle w:val="EndnoteText"/>
        <w:spacing w:line="288" w:lineRule="auto"/>
      </w:pPr>
    </w:p>
  </w:endnote>
  <w:endnote w:id="80">
    <w:p w:rsidR="00000000" w:rsidRDefault="00000000">
      <w:pPr>
        <w:pStyle w:val="EndnoteText"/>
        <w:spacing w:line="288" w:lineRule="auto"/>
      </w:pPr>
      <w:r>
        <w:rPr>
          <w:rStyle w:val="EndnoteReference"/>
        </w:rPr>
        <w:endnoteRef/>
      </w:r>
      <w:r>
        <w:t xml:space="preserve"> </w:t>
      </w:r>
      <w:r>
        <w:tab/>
        <w:t>Генеральная прокуратура штата организовала курсы подготовки кадров и курсы повышения квалификации сотрудников муниципальной полиции, осуществляющих профилактическую работу, сотрудников исправительных учреждений, специалистов, сотрудников органов прокуратуры, административных работников и сотрудников судебной полиции.  В общей сложности количество слушателей курсов составило 2 300 сотрудников (540 человек посещали курсы профессиональной подготовки и 1 760 сотрудников - курсы повышения квалификации).  Общее количество учебных часов на курсах подготовки составляло 78 и на курсах повышения квалификации </w:t>
      </w:r>
      <w:r>
        <w:noBreakHyphen/>
        <w:t xml:space="preserve"> 57.</w:t>
      </w:r>
    </w:p>
    <w:p w:rsidR="00000000" w:rsidRDefault="00000000">
      <w:pPr>
        <w:pStyle w:val="EndnoteText"/>
        <w:spacing w:line="288" w:lineRule="auto"/>
      </w:pPr>
    </w:p>
  </w:endnote>
  <w:endnote w:id="81">
    <w:p w:rsidR="00000000" w:rsidRDefault="00000000">
      <w:pPr>
        <w:pStyle w:val="EndnoteText"/>
        <w:spacing w:line="288" w:lineRule="auto"/>
      </w:pPr>
      <w:r>
        <w:rPr>
          <w:rStyle w:val="EndnoteReference"/>
        </w:rPr>
        <w:endnoteRef/>
      </w:r>
      <w:r>
        <w:t xml:space="preserve"> </w:t>
      </w:r>
      <w:r>
        <w:tab/>
        <w:t xml:space="preserve">Международная амнистия, </w:t>
      </w:r>
      <w:r>
        <w:rPr>
          <w:lang w:val="en-US"/>
        </w:rPr>
        <w:t>op</w:t>
      </w:r>
      <w:r>
        <w:t>.</w:t>
      </w:r>
      <w:r>
        <w:rPr>
          <w:lang w:val="en-US"/>
        </w:rPr>
        <w:t>cit</w:t>
      </w:r>
      <w:r>
        <w:t>.</w:t>
      </w:r>
    </w:p>
    <w:p w:rsidR="00000000" w:rsidRDefault="00000000">
      <w:pPr>
        <w:pStyle w:val="EndnoteText"/>
        <w:spacing w:line="288" w:lineRule="auto"/>
      </w:pPr>
    </w:p>
  </w:endnote>
  <w:endnote w:id="82">
    <w:p w:rsidR="00000000" w:rsidRDefault="00000000">
      <w:pPr>
        <w:pStyle w:val="EndnoteText"/>
        <w:spacing w:line="288" w:lineRule="auto"/>
      </w:pPr>
      <w:r>
        <w:rPr>
          <w:rStyle w:val="EndnoteReference"/>
        </w:rPr>
        <w:endnoteRef/>
      </w:r>
      <w:r>
        <w:rPr>
          <w:lang w:val="fr-FR"/>
        </w:rPr>
        <w:t xml:space="preserve"> </w:t>
      </w:r>
      <w:r>
        <w:rPr>
          <w:lang w:val="fr-FR"/>
        </w:rPr>
        <w:tab/>
      </w:r>
      <w:r>
        <w:t>Доклад</w:t>
      </w:r>
      <w:r>
        <w:rPr>
          <w:lang w:val="fr-FR"/>
        </w:rPr>
        <w:t xml:space="preserve"> </w:t>
      </w:r>
      <w:r>
        <w:t>Международной</w:t>
      </w:r>
      <w:r>
        <w:rPr>
          <w:lang w:val="fr-FR"/>
        </w:rPr>
        <w:t xml:space="preserve"> </w:t>
      </w:r>
      <w:r>
        <w:t>амнистии</w:t>
      </w:r>
      <w:r>
        <w:rPr>
          <w:lang w:val="fr-FR"/>
        </w:rPr>
        <w:t xml:space="preserve">, "Juicios injustos:  tortura en la administración de justicia", 25 </w:t>
      </w:r>
      <w:r>
        <w:t>марта</w:t>
      </w:r>
      <w:r>
        <w:rPr>
          <w:lang w:val="fr-FR"/>
        </w:rPr>
        <w:t xml:space="preserve"> 2003 </w:t>
      </w:r>
      <w:r>
        <w:t>года</w:t>
      </w:r>
      <w:r>
        <w:rPr>
          <w:lang w:val="fr-FR"/>
        </w:rPr>
        <w:t xml:space="preserve">.  </w:t>
      </w:r>
      <w:r>
        <w:t xml:space="preserve">В указанном докладе эта организация, в частности, делает следующие рекомендации:  i)  помещать задержанных только в изоляторы временного содержания;  </w:t>
      </w:r>
      <w:r>
        <w:rPr>
          <w:lang w:val="en-US"/>
        </w:rPr>
        <w:t>ii</w:t>
      </w:r>
      <w:r>
        <w:t xml:space="preserve">)  безотлагательно сообщать о месте, в котором содержатся задержанные лица;  </w:t>
      </w:r>
      <w:r>
        <w:rPr>
          <w:lang w:val="en-US"/>
        </w:rPr>
        <w:t>iii</w:t>
      </w:r>
      <w:r>
        <w:t xml:space="preserve">)  положить конец использованию центров содержания, не санкционированных законными властями;  </w:t>
      </w:r>
      <w:r>
        <w:rPr>
          <w:lang w:val="en-US"/>
        </w:rPr>
        <w:t>iv</w:t>
      </w:r>
      <w:r>
        <w:t xml:space="preserve">)  на местах и в центре вести регистры задержаний, которые должны постоянно дополняться новыми данными;  </w:t>
      </w:r>
      <w:r>
        <w:rPr>
          <w:lang w:val="en-US"/>
        </w:rPr>
        <w:t>v</w:t>
      </w:r>
      <w:r>
        <w:t>)  внести изменения в правовые нормы, регулирующие сроки задержания, в течение которых подозреваемое лицо может содержаться под стражей, прежде чем оно предстанет перед судьей.</w:t>
      </w:r>
    </w:p>
    <w:p w:rsidR="00000000" w:rsidRDefault="00000000">
      <w:pPr>
        <w:pStyle w:val="EndnoteText"/>
        <w:spacing w:line="288" w:lineRule="auto"/>
      </w:pPr>
    </w:p>
  </w:endnote>
  <w:endnote w:id="83">
    <w:p w:rsidR="00000000" w:rsidRDefault="00000000">
      <w:pPr>
        <w:pStyle w:val="EndnoteText"/>
        <w:spacing w:line="288" w:lineRule="auto"/>
      </w:pPr>
      <w:r>
        <w:rPr>
          <w:rStyle w:val="EndnoteReference"/>
        </w:rPr>
        <w:endnoteRef/>
      </w:r>
      <w:r>
        <w:rPr>
          <w:lang w:val="fr-FR"/>
        </w:rPr>
        <w:tab/>
      </w:r>
      <w:r>
        <w:t>Доклад</w:t>
      </w:r>
      <w:r>
        <w:rPr>
          <w:lang w:val="fr-FR"/>
        </w:rPr>
        <w:t xml:space="preserve"> "</w:t>
      </w:r>
      <w:r>
        <w:t>Международной</w:t>
      </w:r>
      <w:r>
        <w:rPr>
          <w:lang w:val="fr-FR"/>
        </w:rPr>
        <w:t xml:space="preserve"> </w:t>
      </w:r>
      <w:r>
        <w:t>амнистии</w:t>
      </w:r>
      <w:r>
        <w:rPr>
          <w:lang w:val="fr-FR"/>
        </w:rPr>
        <w:t xml:space="preserve">" "Juicios injustos:  tortura en la administración de justicia".  </w:t>
      </w:r>
      <w:r>
        <w:t>25 марта 2003 года.</w:t>
      </w:r>
    </w:p>
    <w:p w:rsidR="00000000" w:rsidRDefault="00000000">
      <w:pPr>
        <w:pStyle w:val="EndnoteText"/>
        <w:spacing w:line="288" w:lineRule="auto"/>
      </w:pPr>
    </w:p>
  </w:endnote>
  <w:endnote w:id="84">
    <w:p w:rsidR="00000000" w:rsidRDefault="00000000">
      <w:pPr>
        <w:pStyle w:val="EndnoteText"/>
        <w:spacing w:line="288" w:lineRule="auto"/>
      </w:pPr>
      <w:r>
        <w:rPr>
          <w:rStyle w:val="EndnoteReference"/>
        </w:rPr>
        <w:endnoteRef/>
      </w:r>
      <w:r>
        <w:t xml:space="preserve"> </w:t>
      </w:r>
      <w:r>
        <w:tab/>
        <w:t>См. "Законодательные меры".</w:t>
      </w:r>
    </w:p>
    <w:p w:rsidR="00000000" w:rsidRDefault="00000000">
      <w:pPr>
        <w:pStyle w:val="EndnoteText"/>
        <w:spacing w:line="288" w:lineRule="auto"/>
      </w:pPr>
    </w:p>
  </w:endnote>
  <w:endnote w:id="85">
    <w:p w:rsidR="00000000" w:rsidRDefault="00000000">
      <w:pPr>
        <w:pStyle w:val="EndnoteText"/>
        <w:spacing w:line="288" w:lineRule="auto"/>
      </w:pPr>
      <w:r>
        <w:rPr>
          <w:rStyle w:val="EndnoteReference"/>
        </w:rPr>
        <w:endnoteRef/>
      </w:r>
      <w:r>
        <w:t xml:space="preserve"> </w:t>
      </w:r>
      <w:r>
        <w:tab/>
        <w:t>Экономический и Социальный Совет, доклад Специального докладчика сэра Найджела Родли, представленный в соответствии с резолюцией 1997/38, там же, пункт 37.</w:t>
      </w:r>
    </w:p>
    <w:p w:rsidR="00000000" w:rsidRDefault="00000000">
      <w:pPr>
        <w:pStyle w:val="EndnoteText"/>
        <w:spacing w:line="288" w:lineRule="auto"/>
      </w:pPr>
    </w:p>
  </w:endnote>
  <w:endnote w:id="86">
    <w:p w:rsidR="00000000" w:rsidRDefault="00000000">
      <w:pPr>
        <w:pStyle w:val="EndnoteText"/>
        <w:spacing w:line="288" w:lineRule="auto"/>
      </w:pPr>
      <w:r>
        <w:rPr>
          <w:rStyle w:val="EndnoteReference"/>
        </w:rPr>
        <w:endnoteRef/>
      </w:r>
      <w:r>
        <w:t xml:space="preserve"> </w:t>
      </w:r>
      <w:r>
        <w:tab/>
        <w:t>В статье 21 Конституции указывается, что административные власти могут содержать задержанного по стражей не более 36 часов, в то время в статье 19 Конституции указывается, что судебные власти, не принимая официального решения, могут дать указание о содержании задержанного под стражей в течение 72 часов.</w:t>
      </w:r>
      <w:r>
        <w:br/>
      </w:r>
    </w:p>
  </w:endnote>
  <w:endnote w:id="87">
    <w:p w:rsidR="00000000" w:rsidRDefault="00000000">
      <w:pPr>
        <w:pStyle w:val="EndnoteText"/>
        <w:spacing w:line="288" w:lineRule="auto"/>
      </w:pPr>
      <w:r>
        <w:rPr>
          <w:rStyle w:val="EndnoteReference"/>
        </w:rPr>
        <w:endnoteRef/>
      </w:r>
      <w:r>
        <w:tab/>
        <w:t>Доклад Специального докладчика г-жи Габриэлы Родригес Писарро о ее визите в Мексику, представленный в соответствии с резолюцией 2002/62 Комиссии по правам человека.</w:t>
      </w:r>
    </w:p>
    <w:p w:rsidR="00000000" w:rsidRDefault="00000000">
      <w:pPr>
        <w:pStyle w:val="EndnoteText"/>
        <w:spacing w:line="288" w:lineRule="auto"/>
      </w:pPr>
    </w:p>
  </w:endnote>
  <w:endnote w:id="88">
    <w:p w:rsidR="00000000" w:rsidRDefault="00000000">
      <w:pPr>
        <w:pStyle w:val="EndnoteText"/>
        <w:spacing w:line="288" w:lineRule="auto"/>
      </w:pPr>
      <w:r>
        <w:rPr>
          <w:rStyle w:val="EndnoteReference"/>
        </w:rPr>
        <w:endnoteRef/>
      </w:r>
      <w:r>
        <w:t xml:space="preserve"> </w:t>
      </w:r>
      <w:r>
        <w:tab/>
        <w:t>Третий доклад о работе министерства общественной безопасности, раздел 1.4 "Комплексная перестройка пенитенциарной системы".</w:t>
      </w:r>
    </w:p>
    <w:p w:rsidR="00000000" w:rsidRDefault="00000000">
      <w:pPr>
        <w:pStyle w:val="EndnoteText"/>
        <w:spacing w:line="288" w:lineRule="auto"/>
      </w:pPr>
    </w:p>
  </w:endnote>
  <w:endnote w:id="89">
    <w:p w:rsidR="00000000" w:rsidRDefault="00000000">
      <w:pPr>
        <w:pStyle w:val="EndnoteText"/>
        <w:spacing w:line="288" w:lineRule="auto"/>
        <w:rPr>
          <w:lang w:val="fr-FR"/>
        </w:rPr>
      </w:pPr>
      <w:r>
        <w:rPr>
          <w:rStyle w:val="EndnoteReference"/>
        </w:rPr>
        <w:endnoteRef/>
      </w:r>
      <w:r>
        <w:rPr>
          <w:lang w:val="fr-FR"/>
        </w:rPr>
        <w:t xml:space="preserve"> </w:t>
      </w:r>
      <w:r>
        <w:rPr>
          <w:lang w:val="fr-FR"/>
        </w:rPr>
        <w:tab/>
        <w:t>BBC News, UK Edition, 23 de abril de 2003.</w:t>
      </w:r>
    </w:p>
    <w:p w:rsidR="00000000" w:rsidRDefault="00000000">
      <w:pPr>
        <w:pStyle w:val="EndnoteText"/>
        <w:spacing w:line="288" w:lineRule="auto"/>
        <w:rPr>
          <w:lang w:val="fr-FR"/>
        </w:rPr>
      </w:pPr>
    </w:p>
  </w:endnote>
  <w:endnote w:id="90">
    <w:p w:rsidR="00000000" w:rsidRDefault="00000000">
      <w:pPr>
        <w:pStyle w:val="EndnoteText"/>
        <w:spacing w:line="288" w:lineRule="auto"/>
      </w:pPr>
      <w:r>
        <w:rPr>
          <w:rStyle w:val="EndnoteReference"/>
        </w:rPr>
        <w:endnoteRef/>
      </w:r>
      <w:r>
        <w:t xml:space="preserve"> </w:t>
      </w:r>
      <w:r>
        <w:tab/>
        <w:t>Национальная неправительственная юридическая организация "Барсон" указала на необходимость расширения сферы проведения расследований при отправлении правосудия, с тем чтобы положить конец безнаказанности и восстановить у гражданского общества доверие к органам власти.</w:t>
      </w:r>
    </w:p>
    <w:p w:rsidR="00000000" w:rsidRDefault="00000000">
      <w:pPr>
        <w:pStyle w:val="EndnoteText"/>
        <w:spacing w:line="288" w:lineRule="auto"/>
      </w:pPr>
    </w:p>
  </w:endnote>
  <w:endnote w:id="91">
    <w:p w:rsidR="00000000" w:rsidRDefault="00000000">
      <w:pPr>
        <w:pStyle w:val="EndnoteText"/>
        <w:spacing w:line="288" w:lineRule="auto"/>
      </w:pPr>
      <w:r>
        <w:rPr>
          <w:rStyle w:val="EndnoteReference"/>
        </w:rPr>
        <w:endnoteRef/>
      </w:r>
      <w:r>
        <w:t xml:space="preserve"> </w:t>
      </w:r>
      <w:r>
        <w:tab/>
        <w:t>Экономический и Социальный Совет, доклад Специального докладчика сэра Найджела Родли, представленный в соответствии с резолюцией 1997/38, там же, пункт 48.  Кроме того, различные организации гражданского общества указали на то, что лицо, подозреваемое в совершении преступления, представ перед судьей, может утверждать, что оно является лицом, пострадавшим в результате пыток.  Учитывая применение судебными органами принципа первоочередности полученных доказательств, признание, сделанное прокурору, имеет более высокую доказательную ценность, чем признание, сделанное судье.  В этом случае лицо, подозреваемое в совершении преступления, не располагает необходимыми гарантиями для своей защиты.</w:t>
      </w:r>
    </w:p>
    <w:p w:rsidR="00000000" w:rsidRDefault="00000000">
      <w:pPr>
        <w:pStyle w:val="EndnoteText"/>
        <w:spacing w:line="288" w:lineRule="auto"/>
      </w:pPr>
    </w:p>
  </w:endnote>
  <w:endnote w:id="92">
    <w:p w:rsidR="00000000" w:rsidRDefault="00000000">
      <w:pPr>
        <w:pStyle w:val="EndnoteText"/>
        <w:spacing w:line="288" w:lineRule="auto"/>
      </w:pPr>
      <w:r>
        <w:rPr>
          <w:rStyle w:val="EndnoteReference"/>
        </w:rPr>
        <w:endnoteRef/>
      </w:r>
      <w:r>
        <w:t xml:space="preserve"> </w:t>
      </w:r>
      <w:r>
        <w:tab/>
        <w:t xml:space="preserve">"Христиане за запрещение пыток", доклад о пытках в Мексике, </w:t>
      </w:r>
      <w:r>
        <w:rPr>
          <w:i/>
          <w:iCs/>
          <w:lang w:val="en-US"/>
        </w:rPr>
        <w:t>op</w:t>
      </w:r>
      <w:r>
        <w:rPr>
          <w:i/>
          <w:iCs/>
        </w:rPr>
        <w:t xml:space="preserve">. </w:t>
      </w:r>
      <w:r>
        <w:rPr>
          <w:i/>
          <w:iCs/>
          <w:lang w:val="en-US"/>
        </w:rPr>
        <w:t>cit</w:t>
      </w:r>
      <w:r>
        <w:rPr>
          <w:i/>
          <w:iCs/>
        </w:rPr>
        <w:t>.</w:t>
      </w:r>
      <w:r>
        <w:t xml:space="preserve">, </w:t>
      </w:r>
      <w:r>
        <w:rPr>
          <w:lang w:val="en-US"/>
        </w:rPr>
        <w:t>s</w:t>
      </w:r>
      <w:r>
        <w:t>.</w:t>
      </w:r>
      <w:r>
        <w:rPr>
          <w:lang w:val="en-US"/>
        </w:rPr>
        <w:t>n</w:t>
      </w:r>
      <w:r>
        <w:t>.</w:t>
      </w:r>
      <w:r>
        <w:rPr>
          <w:lang w:val="en-US"/>
        </w:rPr>
        <w:t>p</w:t>
      </w:r>
      <w:r>
        <w:t>.</w:t>
      </w:r>
    </w:p>
    <w:p w:rsidR="00000000" w:rsidRDefault="00000000">
      <w:pPr>
        <w:pStyle w:val="EndnoteText"/>
        <w:spacing w:line="288" w:lineRule="auto"/>
      </w:pPr>
    </w:p>
  </w:endnote>
  <w:endnote w:id="93">
    <w:p w:rsidR="00000000" w:rsidRDefault="00000000">
      <w:pPr>
        <w:pStyle w:val="EndnoteText"/>
        <w:spacing w:line="288" w:lineRule="auto"/>
      </w:pPr>
      <w:r>
        <w:rPr>
          <w:rStyle w:val="EndnoteReference"/>
        </w:rPr>
        <w:endnoteRef/>
      </w:r>
      <w:r>
        <w:t xml:space="preserve"> </w:t>
      </w:r>
      <w:r>
        <w:tab/>
        <w:t xml:space="preserve">"Христиане за запрещение пыток", Доклад о пытках…, </w:t>
      </w:r>
      <w:r>
        <w:rPr>
          <w:lang w:val="en-US"/>
        </w:rPr>
        <w:t>op</w:t>
      </w:r>
      <w:r>
        <w:t xml:space="preserve">. </w:t>
      </w:r>
      <w:r>
        <w:rPr>
          <w:lang w:val="en-US"/>
        </w:rPr>
        <w:t>cit</w:t>
      </w:r>
      <w:r>
        <w:t xml:space="preserve">. </w:t>
      </w:r>
      <w:r>
        <w:rPr>
          <w:lang w:val="en-US"/>
        </w:rPr>
        <w:t>s</w:t>
      </w:r>
      <w:r>
        <w:t>.</w:t>
      </w:r>
      <w:r>
        <w:rPr>
          <w:lang w:val="en-US"/>
        </w:rPr>
        <w:t>n</w:t>
      </w:r>
      <w:r>
        <w:t>.</w:t>
      </w:r>
      <w:r>
        <w:rPr>
          <w:lang w:val="en-US"/>
        </w:rPr>
        <w:t>p</w:t>
      </w:r>
      <w:r>
        <w:t>.</w:t>
      </w:r>
    </w:p>
    <w:p w:rsidR="00000000" w:rsidRDefault="00000000">
      <w:pPr>
        <w:pStyle w:val="EndnoteText"/>
        <w:spacing w:line="288" w:lineRule="auto"/>
      </w:pPr>
    </w:p>
  </w:endnote>
  <w:endnote w:id="94">
    <w:p w:rsidR="00000000" w:rsidRDefault="00000000">
      <w:pPr>
        <w:pStyle w:val="EndnoteText"/>
        <w:spacing w:line="288" w:lineRule="auto"/>
      </w:pPr>
      <w:r>
        <w:rPr>
          <w:rStyle w:val="EndnoteReference"/>
        </w:rPr>
        <w:endnoteRef/>
      </w:r>
      <w:r>
        <w:t xml:space="preserve"> </w:t>
      </w:r>
      <w:r>
        <w:tab/>
        <w:t>См. статью 3 Федерального закона о предотвращении пыток и наказании за них.</w:t>
      </w:r>
    </w:p>
    <w:p w:rsidR="00000000" w:rsidRDefault="00000000">
      <w:pPr>
        <w:pStyle w:val="EndnoteText"/>
        <w:spacing w:line="288" w:lineRule="auto"/>
      </w:pPr>
    </w:p>
  </w:endnote>
  <w:endnote w:id="95">
    <w:p w:rsidR="00000000" w:rsidRDefault="00000000">
      <w:pPr>
        <w:pStyle w:val="EndnoteText"/>
        <w:spacing w:line="288" w:lineRule="auto"/>
      </w:pPr>
      <w:r>
        <w:rPr>
          <w:rStyle w:val="EndnoteReference"/>
        </w:rPr>
        <w:endnoteRef/>
      </w:r>
      <w:r>
        <w:t xml:space="preserve"> </w:t>
      </w:r>
      <w:r>
        <w:tab/>
        <w:t>В статье 2 Федерального уголовно-процессуального кодекса устанавливается обязанность сотрудника прокуратуры получать заявления и жалобы в письменной или устной форме о деяниях, которые могут представлять собой преступления.</w:t>
      </w:r>
    </w:p>
    <w:p w:rsidR="00000000" w:rsidRDefault="00000000">
      <w:pPr>
        <w:pStyle w:val="EndnoteText"/>
        <w:spacing w:line="288" w:lineRule="auto"/>
      </w:pPr>
    </w:p>
  </w:endnote>
  <w:endnote w:id="96">
    <w:p w:rsidR="00000000" w:rsidRDefault="00000000">
      <w:pPr>
        <w:pStyle w:val="EndnoteText"/>
        <w:spacing w:line="288" w:lineRule="auto"/>
      </w:pPr>
      <w:r>
        <w:rPr>
          <w:rStyle w:val="EndnoteReference"/>
        </w:rPr>
        <w:endnoteRef/>
      </w:r>
      <w:r>
        <w:t xml:space="preserve"> </w:t>
      </w:r>
      <w:r>
        <w:tab/>
        <w:t>Доклад о деятельности Национальной комиссии по правам человека за период с 1 января по 31 декабря 2003 года, стр. 33.</w:t>
      </w:r>
    </w:p>
    <w:p w:rsidR="00000000" w:rsidRDefault="00000000">
      <w:pPr>
        <w:pStyle w:val="EndnoteText"/>
        <w:spacing w:line="288" w:lineRule="auto"/>
      </w:pPr>
    </w:p>
  </w:endnote>
  <w:endnote w:id="97">
    <w:p w:rsidR="00000000" w:rsidRDefault="00000000">
      <w:pPr>
        <w:pStyle w:val="EndnoteText"/>
        <w:spacing w:line="288" w:lineRule="auto"/>
        <w:jc w:val="both"/>
        <w:rPr>
          <w:szCs w:val="18"/>
        </w:rPr>
      </w:pPr>
      <w:r>
        <w:rPr>
          <w:rStyle w:val="EndnoteReference"/>
          <w:szCs w:val="18"/>
        </w:rPr>
        <w:endnoteRef/>
      </w:r>
      <w:r>
        <w:rPr>
          <w:szCs w:val="18"/>
        </w:rPr>
        <w:tab/>
        <w:t>По состоянию на 18 ноября 2003 года было завершено рассмотрение 1 388 жалоб.</w:t>
      </w:r>
    </w:p>
    <w:p w:rsidR="00000000" w:rsidRDefault="00000000">
      <w:pPr>
        <w:pStyle w:val="EndnoteText"/>
        <w:spacing w:line="288" w:lineRule="auto"/>
        <w:jc w:val="both"/>
        <w:rPr>
          <w:szCs w:val="18"/>
        </w:rPr>
      </w:pPr>
    </w:p>
  </w:endnote>
  <w:endnote w:id="98">
    <w:p w:rsidR="00000000" w:rsidRDefault="00000000">
      <w:r>
        <w:rPr>
          <w:rStyle w:val="EndnoteReference"/>
        </w:rPr>
        <w:endnoteRef/>
      </w:r>
      <w:r>
        <w:tab/>
        <w:t>Доклад о деятельности Национальной комиссии по правам человека за период с 1 января по 31 декабря 2003 года, стр. 32.</w:t>
      </w:r>
    </w:p>
    <w:p w:rsidR="00000000" w:rsidRDefault="00000000">
      <w:pPr>
        <w:pStyle w:val="EndnoteText"/>
        <w:spacing w:line="288" w:lineRule="auto"/>
      </w:pPr>
    </w:p>
  </w:endnote>
  <w:endnote w:id="99">
    <w:p w:rsidR="00000000" w:rsidRDefault="00000000">
      <w:pPr>
        <w:pStyle w:val="EndnoteText"/>
        <w:spacing w:line="288" w:lineRule="auto"/>
      </w:pPr>
      <w:r>
        <w:rPr>
          <w:rStyle w:val="EndnoteReference"/>
        </w:rPr>
        <w:endnoteRef/>
      </w:r>
      <w:r>
        <w:t xml:space="preserve"> </w:t>
      </w:r>
      <w:r>
        <w:tab/>
        <w:t>См. раздел, посвященный выполнению положений статьи 12.</w:t>
      </w:r>
    </w:p>
    <w:p w:rsidR="00000000" w:rsidRDefault="00000000">
      <w:pPr>
        <w:pStyle w:val="EndnoteText"/>
        <w:spacing w:line="288" w:lineRule="auto"/>
      </w:pPr>
    </w:p>
  </w:endnote>
  <w:endnote w:id="100">
    <w:p w:rsidR="00000000" w:rsidRDefault="00000000">
      <w:pPr>
        <w:pStyle w:val="EndnoteText"/>
        <w:spacing w:line="288" w:lineRule="auto"/>
      </w:pPr>
      <w:r>
        <w:rPr>
          <w:rStyle w:val="EndnoteReference"/>
        </w:rPr>
        <w:endnoteRef/>
      </w:r>
      <w:r>
        <w:t xml:space="preserve"> </w:t>
      </w:r>
      <w:r>
        <w:tab/>
        <w:t xml:space="preserve">Доклад Специального докладчика сэра Найджела Родли, представленный в соответствии с резолюцией 1997/38, </w:t>
      </w:r>
      <w:r>
        <w:rPr>
          <w:lang w:val="en-US"/>
        </w:rPr>
        <w:t>op</w:t>
      </w:r>
      <w:r>
        <w:t xml:space="preserve">. </w:t>
      </w:r>
      <w:r>
        <w:rPr>
          <w:lang w:val="en-US"/>
        </w:rPr>
        <w:t>cit</w:t>
      </w:r>
      <w:r>
        <w:t>., пункт 53.</w:t>
      </w:r>
    </w:p>
    <w:p w:rsidR="00000000" w:rsidRDefault="00000000">
      <w:pPr>
        <w:pStyle w:val="EndnoteText"/>
        <w:spacing w:line="288" w:lineRule="auto"/>
      </w:pPr>
    </w:p>
  </w:endnote>
  <w:endnote w:id="101">
    <w:p w:rsidR="00000000" w:rsidRDefault="00000000">
      <w:pPr>
        <w:pStyle w:val="EndnoteText"/>
        <w:spacing w:line="288" w:lineRule="auto"/>
      </w:pPr>
      <w:r>
        <w:rPr>
          <w:rStyle w:val="EndnoteReference"/>
        </w:rPr>
        <w:endnoteRef/>
      </w:r>
      <w:r>
        <w:t xml:space="preserve"> </w:t>
      </w:r>
      <w:r>
        <w:tab/>
        <w:t>Органический закон Генеральной прокуратуры Республики, опубликованный в "Официальных ведомостях Федерации" 27 декабря 2002 года, статья 4.</w:t>
      </w:r>
    </w:p>
    <w:p w:rsidR="00000000" w:rsidRDefault="00000000">
      <w:pPr>
        <w:pStyle w:val="EndnoteText"/>
        <w:spacing w:line="288" w:lineRule="auto"/>
      </w:pPr>
    </w:p>
  </w:endnote>
  <w:endnote w:id="102">
    <w:p w:rsidR="00000000" w:rsidRDefault="00000000">
      <w:pPr>
        <w:pStyle w:val="EndnoteText"/>
        <w:spacing w:line="288" w:lineRule="auto"/>
      </w:pPr>
      <w:r>
        <w:rPr>
          <w:rStyle w:val="EndnoteReference"/>
        </w:rPr>
        <w:endnoteRef/>
      </w:r>
      <w:r>
        <w:t xml:space="preserve"> </w:t>
      </w:r>
      <w:r>
        <w:tab/>
        <w:t>В одной из рекомендаций, сделанных организацией "Международная амнистия" Мексике, указывается на необходимость укрепления имеющихся правовых механизмов, защищающих права жертв и членов их семьи, с тем чтобы можно было возбуждать гражданские дела против государственных должностных лиц, виновных в нарушении прав человека.  Доклад организации "Международная амнистия", "</w:t>
      </w:r>
      <w:r>
        <w:rPr>
          <w:lang w:val="fr-FR"/>
        </w:rPr>
        <w:t>Ju</w:t>
      </w:r>
      <w:r>
        <w:rPr>
          <w:lang w:val="en-US"/>
        </w:rPr>
        <w:t>i</w:t>
      </w:r>
      <w:r>
        <w:rPr>
          <w:lang w:val="fr-FR"/>
        </w:rPr>
        <w:t>cios</w:t>
      </w:r>
      <w:r>
        <w:t xml:space="preserve"> </w:t>
      </w:r>
      <w:r>
        <w:rPr>
          <w:lang w:val="fr-FR"/>
        </w:rPr>
        <w:t>injustos</w:t>
      </w:r>
      <w:r>
        <w:t xml:space="preserve">: </w:t>
      </w:r>
      <w:r>
        <w:rPr>
          <w:lang w:val="fr-FR"/>
        </w:rPr>
        <w:t>tortura</w:t>
      </w:r>
      <w:r>
        <w:t xml:space="preserve"> </w:t>
      </w:r>
      <w:r>
        <w:rPr>
          <w:lang w:val="fr-FR"/>
        </w:rPr>
        <w:t>en</w:t>
      </w:r>
      <w:r>
        <w:t xml:space="preserve"> </w:t>
      </w:r>
      <w:r>
        <w:rPr>
          <w:lang w:val="fr-FR"/>
        </w:rPr>
        <w:t>la</w:t>
      </w:r>
      <w:r>
        <w:t xml:space="preserve"> </w:t>
      </w:r>
      <w:r>
        <w:rPr>
          <w:lang w:val="fr-FR"/>
        </w:rPr>
        <w:t>administraci</w:t>
      </w:r>
      <w:r>
        <w:t>ó</w:t>
      </w:r>
      <w:r>
        <w:rPr>
          <w:lang w:val="fr-FR"/>
        </w:rPr>
        <w:t>n</w:t>
      </w:r>
      <w:r>
        <w:t xml:space="preserve"> </w:t>
      </w:r>
      <w:r>
        <w:rPr>
          <w:lang w:val="fr-FR"/>
        </w:rPr>
        <w:t>de</w:t>
      </w:r>
      <w:r>
        <w:t xml:space="preserve"> </w:t>
      </w:r>
      <w:r>
        <w:rPr>
          <w:lang w:val="fr-FR"/>
        </w:rPr>
        <w:t>justicia</w:t>
      </w:r>
      <w:r>
        <w:t>", 25 марта 2003</w:t>
      </w:r>
      <w:r>
        <w:rPr>
          <w:lang w:val="fr-FR"/>
        </w:rPr>
        <w:t> </w:t>
      </w:r>
      <w:r>
        <w:t>года.</w:t>
      </w:r>
    </w:p>
    <w:p w:rsidR="00000000" w:rsidRDefault="00000000">
      <w:pPr>
        <w:pStyle w:val="EndnoteText"/>
        <w:spacing w:line="288" w:lineRule="auto"/>
      </w:pPr>
    </w:p>
  </w:endnote>
  <w:endnote w:id="103">
    <w:p w:rsidR="00000000" w:rsidRDefault="00000000">
      <w:pPr>
        <w:pStyle w:val="EndnoteText"/>
        <w:spacing w:line="288" w:lineRule="auto"/>
      </w:pPr>
      <w:r>
        <w:rPr>
          <w:rStyle w:val="EndnoteReference"/>
        </w:rPr>
        <w:endnoteRef/>
      </w:r>
      <w:r>
        <w:t xml:space="preserve"> </w:t>
      </w:r>
      <w:r>
        <w:tab/>
        <w:t>Статья 1927.  Государство обязано возместить вред, причиненный государственными должностными лицами при исполнении ими служебных обязанностей.  Государство несет солидарную ответственность за незаконные умышленные действия государственных должностных лиц.  Во всех остальных случаях оно несет дополнительную ответственность.  Иными словами, ответственность государства наступает только в тех случаях, когда государственное должностное лицо, непосредственно виновное в соответствующих действиях, не располагает достаточными средствами для возмещения ущерба.</w:t>
      </w:r>
    </w:p>
    <w:p w:rsidR="00000000" w:rsidRDefault="00000000">
      <w:pPr>
        <w:pStyle w:val="EndnoteText"/>
        <w:spacing w:line="288" w:lineRule="auto"/>
      </w:pPr>
    </w:p>
  </w:endnote>
  <w:endnote w:id="104">
    <w:p w:rsidR="00000000" w:rsidRDefault="00000000">
      <w:pPr>
        <w:pStyle w:val="EndnoteText"/>
        <w:spacing w:line="288" w:lineRule="auto"/>
      </w:pPr>
      <w:r>
        <w:rPr>
          <w:rStyle w:val="EndnoteReference"/>
        </w:rPr>
        <w:endnoteRef/>
      </w:r>
      <w:r>
        <w:t xml:space="preserve"> </w:t>
      </w:r>
      <w:r>
        <w:tab/>
        <w:t>Институт судебных исследований Национального автономного университета Мексики, комментарий к Гражданскому кодексу.</w:t>
      </w:r>
    </w:p>
    <w:p w:rsidR="00000000" w:rsidRDefault="00000000">
      <w:pPr>
        <w:pStyle w:val="EndnoteText"/>
        <w:spacing w:line="288" w:lineRule="auto"/>
      </w:pPr>
    </w:p>
  </w:endnote>
  <w:endnote w:id="105">
    <w:p w:rsidR="00000000" w:rsidRDefault="00000000">
      <w:pPr>
        <w:pStyle w:val="EndnoteText"/>
        <w:spacing w:line="288" w:lineRule="auto"/>
      </w:pPr>
      <w:r>
        <w:rPr>
          <w:rStyle w:val="EndnoteReference"/>
        </w:rPr>
        <w:endnoteRef/>
      </w:r>
      <w:r>
        <w:t xml:space="preserve"> </w:t>
      </w:r>
      <w:r>
        <w:tab/>
        <w:t xml:space="preserve">"Христиане за запрещение пыток", </w:t>
      </w:r>
      <w:r>
        <w:rPr>
          <w:lang w:val="fr-FR"/>
        </w:rPr>
        <w:t>Informe</w:t>
      </w:r>
      <w:r>
        <w:t xml:space="preserve"> </w:t>
      </w:r>
      <w:r>
        <w:rPr>
          <w:lang w:val="fr-FR"/>
        </w:rPr>
        <w:t>sobre</w:t>
      </w:r>
      <w:r>
        <w:t xml:space="preserve"> </w:t>
      </w:r>
      <w:r>
        <w:rPr>
          <w:lang w:val="fr-FR"/>
        </w:rPr>
        <w:t>la</w:t>
      </w:r>
      <w:r>
        <w:t xml:space="preserve"> </w:t>
      </w:r>
      <w:r>
        <w:rPr>
          <w:lang w:val="fr-FR"/>
        </w:rPr>
        <w:t>pr</w:t>
      </w:r>
      <w:r>
        <w:t>á</w:t>
      </w:r>
      <w:r>
        <w:rPr>
          <w:lang w:val="fr-FR"/>
        </w:rPr>
        <w:t>ctica</w:t>
      </w:r>
      <w:r>
        <w:t xml:space="preserve"> </w:t>
      </w:r>
      <w:r>
        <w:rPr>
          <w:lang w:val="fr-FR"/>
        </w:rPr>
        <w:t>de</w:t>
      </w:r>
      <w:r>
        <w:t xml:space="preserve"> </w:t>
      </w:r>
      <w:r>
        <w:rPr>
          <w:lang w:val="fr-FR"/>
        </w:rPr>
        <w:t>la</w:t>
      </w:r>
      <w:r>
        <w:t xml:space="preserve"> </w:t>
      </w:r>
      <w:r>
        <w:rPr>
          <w:lang w:val="fr-FR"/>
        </w:rPr>
        <w:t>Tortur</w:t>
      </w:r>
      <w:r>
        <w:t xml:space="preserve">а </w:t>
      </w:r>
      <w:r>
        <w:rPr>
          <w:lang w:val="fr-FR"/>
        </w:rPr>
        <w:t>en</w:t>
      </w:r>
      <w:r>
        <w:t xml:space="preserve"> </w:t>
      </w:r>
      <w:r>
        <w:rPr>
          <w:lang w:val="fr-FR"/>
        </w:rPr>
        <w:t>M</w:t>
      </w:r>
      <w:r>
        <w:t>é</w:t>
      </w:r>
      <w:r>
        <w:rPr>
          <w:lang w:val="fr-FR"/>
        </w:rPr>
        <w:t>xico</w:t>
      </w:r>
      <w:r>
        <w:t>, который был представлен Межамериканской комиссией по правам человека, Вашингтон, октябрь 2002 года.</w:t>
      </w:r>
    </w:p>
    <w:p w:rsidR="00000000" w:rsidRDefault="00000000">
      <w:pPr>
        <w:pStyle w:val="EndnoteText"/>
        <w:spacing w:line="288" w:lineRule="auto"/>
      </w:pPr>
    </w:p>
  </w:endnote>
  <w:endnote w:id="106">
    <w:p w:rsidR="00000000" w:rsidRDefault="00000000">
      <w:pPr>
        <w:pStyle w:val="EndnoteText"/>
        <w:spacing w:line="288" w:lineRule="auto"/>
      </w:pPr>
      <w:r>
        <w:rPr>
          <w:rStyle w:val="EndnoteReference"/>
        </w:rPr>
        <w:endnoteRef/>
      </w:r>
      <w:r>
        <w:t xml:space="preserve"> </w:t>
      </w:r>
      <w:r>
        <w:tab/>
        <w:t>Там же.</w:t>
      </w:r>
    </w:p>
    <w:p w:rsidR="00000000" w:rsidRDefault="00000000">
      <w:pPr>
        <w:pStyle w:val="EndnoteText"/>
        <w:spacing w:line="288" w:lineRule="auto"/>
      </w:pPr>
    </w:p>
  </w:endnote>
  <w:endnote w:id="107">
    <w:p w:rsidR="00000000" w:rsidRDefault="00000000">
      <w:pPr>
        <w:pStyle w:val="EndnoteText"/>
        <w:spacing w:line="288" w:lineRule="auto"/>
      </w:pPr>
      <w:r>
        <w:rPr>
          <w:rStyle w:val="EndnoteReference"/>
        </w:rPr>
        <w:endnoteRef/>
      </w:r>
      <w:r>
        <w:t xml:space="preserve"> </w:t>
      </w:r>
      <w:r>
        <w:tab/>
        <w:t>Там же.</w:t>
      </w:r>
    </w:p>
    <w:p w:rsidR="00000000" w:rsidRDefault="00000000">
      <w:pPr>
        <w:pStyle w:val="EndnoteText"/>
        <w:spacing w:line="288" w:lineRule="auto"/>
      </w:pPr>
    </w:p>
  </w:endnote>
  <w:endnote w:id="108">
    <w:p w:rsidR="00000000" w:rsidRDefault="00000000">
      <w:pPr>
        <w:pStyle w:val="EndnoteText"/>
        <w:spacing w:line="288" w:lineRule="auto"/>
      </w:pPr>
      <w:r>
        <w:rPr>
          <w:rStyle w:val="EndnoteReference"/>
        </w:rPr>
        <w:endnoteRef/>
      </w:r>
      <w:r>
        <w:tab/>
        <w:t>См. статью 9 Федерального закона о предотвращении пыток и наказании за них.</w:t>
      </w:r>
    </w:p>
    <w:p w:rsidR="00000000" w:rsidRDefault="00000000">
      <w:pPr>
        <w:pStyle w:val="EndnoteText"/>
        <w:spacing w:line="288" w:lineRule="auto"/>
      </w:pPr>
    </w:p>
  </w:endnote>
  <w:endnote w:id="109">
    <w:p w:rsidR="00000000" w:rsidRDefault="00000000">
      <w:pPr>
        <w:pStyle w:val="EndnoteText"/>
        <w:spacing w:line="288" w:lineRule="auto"/>
      </w:pPr>
      <w:r>
        <w:rPr>
          <w:rStyle w:val="EndnoteReference"/>
        </w:rPr>
        <w:endnoteRef/>
      </w:r>
      <w:r>
        <w:tab/>
        <w:t xml:space="preserve">Принудительное признание, подтверждаемое другими данными.  "Если признание получено посредством применения физического насилия и не подтверждается и не подкрепляется никакими другими данными, судебный орган обязан не признавать его доказательной ценности.  Однако, если признание получено в результате побоев и оно подтверждается другими данными, которые делают его правдоподобным, помимо утверждений сотрудников полиции, то обвиняемый, полностью признавший свое участие в совершении указанного преступления, должен быть освобожден.  В этом случае потерпевшая сторона имеет право подать жалобу компетентным органам на неконституционность действий должностных лиц, которые нанесли ему побои.  Коллегиальный суд № 2 шестого округа.  </w:t>
      </w:r>
      <w:r>
        <w:rPr>
          <w:lang w:val="fr-FR"/>
        </w:rPr>
        <w:t>Instancia:  Tribunales Colegiados de Circuito, Fuente:  Gacet</w:t>
      </w:r>
      <w:r>
        <w:t>а</w:t>
      </w:r>
      <w:r>
        <w:rPr>
          <w:lang w:val="fr-FR"/>
        </w:rPr>
        <w:t xml:space="preserve"> del Semanario Judicial de la Federación, Parte:  85, Enero de 1995, Tesis:  VI.2o. J/346, Pág.:  85.</w:t>
      </w:r>
    </w:p>
    <w:p w:rsidR="00000000" w:rsidRDefault="00000000">
      <w:pPr>
        <w:pStyle w:val="EndnoteText"/>
        <w:spacing w:line="288" w:lineRule="auto"/>
      </w:pPr>
    </w:p>
  </w:endnote>
  <w:endnote w:id="110">
    <w:p w:rsidR="00000000" w:rsidRDefault="00000000">
      <w:pPr>
        <w:pStyle w:val="EndnoteText"/>
        <w:spacing w:line="288" w:lineRule="auto"/>
      </w:pPr>
      <w:r>
        <w:rPr>
          <w:rStyle w:val="EndnoteReference"/>
        </w:rPr>
        <w:endnoteRef/>
      </w:r>
      <w:r>
        <w:tab/>
        <w:t xml:space="preserve">Признание.  Первые признания подозреваемого.  "В соответствии с принципом безотлагательности проведения судебного разбирательства и в отсутствие правового обоснования для отказа от сделанных признаний первые признания обвиняемого, полученные в условиях, когда его адвокаты не располагали достаточным временем для рассмотрения и анализа относящихся к делу доказательств, должны иметь приоритет перед признаниями, полученными позднее.  Коллегиальный суд № 2 второго округа.  </w:t>
      </w:r>
      <w:r>
        <w:rPr>
          <w:lang w:val="fr-FR"/>
        </w:rPr>
        <w:t>Instancia:  Tribunales Colegiados de Circuito, Fuente:  Gacet</w:t>
      </w:r>
      <w:r>
        <w:t>а</w:t>
      </w:r>
      <w:r>
        <w:rPr>
          <w:lang w:val="fr-FR"/>
        </w:rPr>
        <w:t xml:space="preserve"> del Semanario Judicial de la Federación, Parte:  64, Abril de 1993, Tesis:  II.2o. J/5, Página:  33.</w:t>
      </w:r>
    </w:p>
    <w:p w:rsidR="00000000" w:rsidRDefault="00000000">
      <w:pPr>
        <w:pStyle w:val="EndnoteText"/>
        <w:spacing w:line="288" w:lineRule="auto"/>
      </w:pPr>
    </w:p>
  </w:endnote>
  <w:endnote w:id="111">
    <w:p w:rsidR="00000000" w:rsidRDefault="00000000">
      <w:pPr>
        <w:pStyle w:val="EndnoteText"/>
        <w:spacing w:line="288" w:lineRule="auto"/>
      </w:pPr>
      <w:r>
        <w:rPr>
          <w:rStyle w:val="EndnoteReference"/>
        </w:rPr>
        <w:endnoteRef/>
      </w:r>
      <w:r>
        <w:t xml:space="preserve"> </w:t>
      </w:r>
      <w:r>
        <w:tab/>
        <w:t>Экономический и Социальный Совет, доклад Специального докладчика сэра Найджела Родли, представленный в соответствии с резолюцией 1997/38, пункт 37.</w:t>
      </w:r>
    </w:p>
    <w:p w:rsidR="00000000" w:rsidRDefault="00000000">
      <w:pPr>
        <w:pStyle w:val="EndnoteText"/>
        <w:spacing w:line="288" w:lineRule="auto"/>
      </w:pPr>
    </w:p>
  </w:endnote>
  <w:endnote w:id="112">
    <w:p w:rsidR="00000000" w:rsidRDefault="00000000">
      <w:pPr>
        <w:pStyle w:val="EndnoteText"/>
        <w:spacing w:line="288" w:lineRule="auto"/>
        <w:rPr>
          <w:lang w:val="fr-FR"/>
        </w:rPr>
      </w:pPr>
      <w:r>
        <w:rPr>
          <w:rStyle w:val="EndnoteReference"/>
        </w:rPr>
        <w:endnoteRef/>
      </w:r>
      <w:r>
        <w:t xml:space="preserve"> </w:t>
      </w:r>
      <w:r>
        <w:tab/>
        <w:t xml:space="preserve">Принудительное признание.  Наличие телесных повреждений на теле подозреваемого не является доказательством, подтверждающим применение пыток.  "Если в ходе судебного разбирательства уголовного дела представляется медицинское заключение, в котором говорится о наличии телесных повреждений на теле обвиняемого, это заключение само по себе без подтверждения его другими доказательными средствами, используемыми в ходе судебного разбирательства, является недостаточным для утверждения о том, что признание, данное обвиняемым работником государственной прокуратуры, было получено под давлением".  Коллегиальный суд № 2 шестого округа.  </w:t>
      </w:r>
      <w:r>
        <w:rPr>
          <w:lang w:val="fr-FR"/>
        </w:rPr>
        <w:t>Instancia:  Tribunales Colegiados de Circuito, Fuente:  Semanario Judicial de la Federacio</w:t>
      </w:r>
      <w:r>
        <w:rPr>
          <w:rFonts w:ascii="Tahoma" w:hAnsi="Tahoma" w:cs="Tahoma"/>
          <w:lang w:val="fr-FR"/>
        </w:rPr>
        <w:t></w:t>
      </w:r>
      <w:r>
        <w:rPr>
          <w:lang w:val="fr-FR"/>
        </w:rPr>
        <w:t>n y su Gaceta, Parte:  IV, Noviembre de 1996, Tesis:  VI.2</w:t>
      </w:r>
      <w:r>
        <w:rPr>
          <w:vertAlign w:val="superscript"/>
          <w:lang w:val="fr-FR"/>
        </w:rPr>
        <w:t>o</w:t>
      </w:r>
      <w:r>
        <w:rPr>
          <w:lang w:val="fr-FR"/>
        </w:rPr>
        <w:t>.136 P, Pa</w:t>
      </w:r>
      <w:r>
        <w:rPr>
          <w:rFonts w:ascii="Tahoma" w:hAnsi="Tahoma" w:cs="Tahoma"/>
          <w:lang w:val="fr-FR"/>
        </w:rPr>
        <w:t></w:t>
      </w:r>
      <w:r>
        <w:rPr>
          <w:lang w:val="fr-FR"/>
        </w:rPr>
        <w:t>gina:  413.</w:t>
      </w:r>
    </w:p>
    <w:p w:rsidR="00000000" w:rsidRDefault="00000000">
      <w:pPr>
        <w:pStyle w:val="EndnoteText"/>
        <w:spacing w:line="288" w:lineRule="auto"/>
      </w:pPr>
    </w:p>
  </w:endnote>
  <w:endnote w:id="113">
    <w:p w:rsidR="00000000" w:rsidRDefault="00000000">
      <w:pPr>
        <w:pStyle w:val="EndnoteText"/>
        <w:spacing w:line="288" w:lineRule="auto"/>
      </w:pPr>
      <w:r>
        <w:rPr>
          <w:rStyle w:val="EndnoteReference"/>
        </w:rPr>
        <w:endnoteRef/>
      </w:r>
      <w:r>
        <w:rPr>
          <w:lang w:val="fr-FR"/>
        </w:rPr>
        <w:t xml:space="preserve"> </w:t>
      </w:r>
      <w:r>
        <w:rPr>
          <w:lang w:val="fr-FR"/>
        </w:rPr>
        <w:tab/>
        <w:t xml:space="preserve">Instancia:  Tribunales Colegiados de Circuito.  Fuente:  Semanario Judicial de la federaction y su Gaceta.  Parte:  Ivm Septiembre de 1996.  </w:t>
      </w:r>
      <w:r>
        <w:rPr>
          <w:lang w:val="en-US"/>
        </w:rPr>
        <w:t>Tesis VI.2</w:t>
      </w:r>
      <w:r>
        <w:rPr>
          <w:vertAlign w:val="superscript"/>
          <w:lang w:val="en-US"/>
        </w:rPr>
        <w:t>o</w:t>
      </w:r>
      <w:r>
        <w:rPr>
          <w:lang w:val="en-US"/>
        </w:rPr>
        <w:t>.107 P. Pa</w:t>
      </w:r>
      <w:r>
        <w:rPr>
          <w:rFonts w:ascii="Tahoma" w:hAnsi="Tahoma" w:cs="Tahoma"/>
          <w:lang w:val="en-US"/>
        </w:rPr>
        <w:t></w:t>
      </w:r>
      <w:r>
        <w:rPr>
          <w:lang w:val="en-US"/>
        </w:rPr>
        <w:t>gina:  619.</w:t>
      </w:r>
    </w:p>
    <w:p w:rsidR="00000000" w:rsidRDefault="00000000">
      <w:pPr>
        <w:pStyle w:val="EndnoteText"/>
        <w:spacing w:line="288" w:lineRule="auto"/>
      </w:pPr>
    </w:p>
  </w:endnote>
  <w:endnote w:id="114">
    <w:p w:rsidR="00000000" w:rsidRDefault="00000000">
      <w:pPr>
        <w:pStyle w:val="EndnoteText"/>
        <w:spacing w:line="288" w:lineRule="auto"/>
      </w:pPr>
      <w:r>
        <w:rPr>
          <w:rStyle w:val="EndnoteReference"/>
        </w:rPr>
        <w:endnoteRef/>
      </w:r>
      <w:r>
        <w:t xml:space="preserve"> </w:t>
      </w:r>
      <w:r>
        <w:tab/>
        <w:t>Экономический и Социальный Совет, доклад Специального докладчика сэра Найджела Родли, представленный в соответствии с резолюцией 1997/38, пункт 42.</w:t>
      </w:r>
    </w:p>
    <w:p w:rsidR="00000000" w:rsidRDefault="00000000">
      <w:pPr>
        <w:pStyle w:val="EndnoteText"/>
        <w:spacing w:line="288" w:lineRule="auto"/>
      </w:pPr>
    </w:p>
  </w:endnote>
  <w:endnote w:id="115">
    <w:p w:rsidR="00000000" w:rsidRDefault="00000000">
      <w:pPr>
        <w:pStyle w:val="EndnoteText"/>
        <w:spacing w:line="288" w:lineRule="auto"/>
      </w:pPr>
      <w:r>
        <w:rPr>
          <w:rStyle w:val="EndnoteReference"/>
        </w:rPr>
        <w:endnoteRef/>
      </w:r>
      <w:r>
        <w:t xml:space="preserve"> </w:t>
      </w:r>
      <w:r>
        <w:tab/>
        <w:t>Там же, пункт 39.</w:t>
      </w:r>
    </w:p>
    <w:p w:rsidR="00000000" w:rsidRDefault="00000000">
      <w:pPr>
        <w:pStyle w:val="EndnoteText"/>
        <w:spacing w:line="288" w:lineRule="auto"/>
      </w:pPr>
    </w:p>
  </w:endnote>
  <w:endnote w:id="116">
    <w:p w:rsidR="00000000" w:rsidRDefault="00000000">
      <w:pPr>
        <w:pStyle w:val="EndnoteText"/>
        <w:spacing w:line="288" w:lineRule="auto"/>
      </w:pPr>
      <w:r>
        <w:rPr>
          <w:rStyle w:val="EndnoteReference"/>
        </w:rPr>
        <w:endnoteRef/>
      </w:r>
      <w:r>
        <w:t xml:space="preserve"> </w:t>
      </w:r>
      <w:r>
        <w:tab/>
        <w:t>"Христиане за запрещение пыток", доклад "</w:t>
      </w:r>
      <w:r>
        <w:rPr>
          <w:lang w:val="en-US"/>
        </w:rPr>
        <w:t>Informe</w:t>
      </w:r>
      <w:r>
        <w:t xml:space="preserve"> </w:t>
      </w:r>
      <w:r>
        <w:rPr>
          <w:lang w:val="en-US"/>
        </w:rPr>
        <w:t>sobre</w:t>
      </w:r>
      <w:r>
        <w:t xml:space="preserve"> </w:t>
      </w:r>
      <w:r>
        <w:rPr>
          <w:lang w:val="en-US"/>
        </w:rPr>
        <w:t>la</w:t>
      </w:r>
      <w:r>
        <w:t xml:space="preserve"> </w:t>
      </w:r>
      <w:r>
        <w:rPr>
          <w:lang w:val="en-US"/>
        </w:rPr>
        <w:t>pr</w:t>
      </w:r>
      <w:r>
        <w:t>á</w:t>
      </w:r>
      <w:r>
        <w:rPr>
          <w:lang w:val="en-US"/>
        </w:rPr>
        <w:t>ctica</w:t>
      </w:r>
      <w:r>
        <w:t xml:space="preserve"> </w:t>
      </w:r>
      <w:r>
        <w:rPr>
          <w:lang w:val="en-US"/>
        </w:rPr>
        <w:t>de</w:t>
      </w:r>
      <w:r>
        <w:t xml:space="preserve"> </w:t>
      </w:r>
      <w:r>
        <w:rPr>
          <w:lang w:val="en-US"/>
        </w:rPr>
        <w:t>la</w:t>
      </w:r>
      <w:r>
        <w:t xml:space="preserve"> </w:t>
      </w:r>
      <w:r>
        <w:rPr>
          <w:lang w:val="en-US"/>
        </w:rPr>
        <w:t>Turtura</w:t>
      </w:r>
      <w:r>
        <w:t xml:space="preserve"> </w:t>
      </w:r>
      <w:r>
        <w:rPr>
          <w:lang w:val="en-US"/>
        </w:rPr>
        <w:t>en</w:t>
      </w:r>
      <w:r>
        <w:t xml:space="preserve"> </w:t>
      </w:r>
      <w:r>
        <w:rPr>
          <w:lang w:val="en-US"/>
        </w:rPr>
        <w:t>M</w:t>
      </w:r>
      <w:r>
        <w:t>é</w:t>
      </w:r>
      <w:r>
        <w:rPr>
          <w:lang w:val="en-US"/>
        </w:rPr>
        <w:t>xico</w:t>
      </w:r>
      <w:r>
        <w:t>", который был представлен Межамериканской комиссией по правам человека, Вашингтон, октябрь 2002 года.</w:t>
      </w:r>
    </w:p>
    <w:p w:rsidR="00000000" w:rsidRDefault="00000000">
      <w:pPr>
        <w:pStyle w:val="EndnoteText"/>
        <w:spacing w:line="288" w:lineRule="auto"/>
      </w:pPr>
    </w:p>
  </w:endnote>
  <w:endnote w:id="117">
    <w:p w:rsidR="00000000" w:rsidRDefault="00000000">
      <w:pPr>
        <w:pStyle w:val="EndnoteText"/>
        <w:spacing w:line="288" w:lineRule="auto"/>
      </w:pPr>
      <w:r>
        <w:rPr>
          <w:rStyle w:val="EndnoteReference"/>
        </w:rPr>
        <w:endnoteRef/>
      </w:r>
      <w:r>
        <w:tab/>
        <w:t>Экономический и Социальный Совет, доклад Специального докладчика сэра Найджела Родли, представленный в соответствии с резолюцией 1997/38, пункт 40.</w:t>
      </w:r>
    </w:p>
    <w:p w:rsidR="00000000" w:rsidRDefault="00000000">
      <w:pPr>
        <w:pStyle w:val="EndnoteText"/>
        <w:spacing w:line="288" w:lineRule="auto"/>
      </w:pPr>
    </w:p>
  </w:endnote>
  <w:endnote w:id="118">
    <w:p w:rsidR="00000000" w:rsidRDefault="00000000">
      <w:pPr>
        <w:pStyle w:val="EndnoteText"/>
        <w:spacing w:line="288" w:lineRule="auto"/>
      </w:pPr>
      <w:r>
        <w:rPr>
          <w:rStyle w:val="EndnoteReference"/>
        </w:rPr>
        <w:endnoteRef/>
      </w:r>
      <w:r>
        <w:t xml:space="preserve"> </w:t>
      </w:r>
      <w:r>
        <w:tab/>
        <w:t xml:space="preserve">Сайт Национальной комиссии по вопросам медицинского арбитража </w:t>
      </w:r>
      <w:hyperlink r:id="rId1" w:history="1">
        <w:r>
          <w:rPr>
            <w:rStyle w:val="Hyperlink"/>
            <w:lang w:val="en-US"/>
          </w:rPr>
          <w:t>http</w:t>
        </w:r>
        <w:r>
          <w:rPr>
            <w:rStyle w:val="Hyperlink"/>
          </w:rPr>
          <w:t>://</w:t>
        </w:r>
        <w:r>
          <w:rPr>
            <w:rStyle w:val="Hyperlink"/>
            <w:lang w:val="en-US"/>
          </w:rPr>
          <w:t>www</w:t>
        </w:r>
        <w:r>
          <w:rPr>
            <w:rStyle w:val="Hyperlink"/>
          </w:rPr>
          <w:t>.</w:t>
        </w:r>
        <w:r>
          <w:rPr>
            <w:rStyle w:val="Hyperlink"/>
            <w:lang w:val="en-US"/>
          </w:rPr>
          <w:t>conamed</w:t>
        </w:r>
        <w:r>
          <w:rPr>
            <w:rStyle w:val="Hyperlink"/>
          </w:rPr>
          <w:t>.</w:t>
        </w:r>
        <w:r>
          <w:rPr>
            <w:rStyle w:val="Hyperlink"/>
            <w:lang w:val="en-US"/>
          </w:rPr>
          <w:t>gob</w:t>
        </w:r>
        <w:r>
          <w:rPr>
            <w:rStyle w:val="Hyperlink"/>
          </w:rPr>
          <w:t>.</w:t>
        </w:r>
        <w:r>
          <w:rPr>
            <w:rStyle w:val="Hyperlink"/>
            <w:lang w:val="en-US"/>
          </w:rPr>
          <w:t>mx</w:t>
        </w:r>
        <w:r>
          <w:rPr>
            <w:rStyle w:val="Hyperlink"/>
          </w:rPr>
          <w:t>/</w:t>
        </w:r>
        <w:r>
          <w:rPr>
            <w:rStyle w:val="Hyperlink"/>
            <w:lang w:val="en-US"/>
          </w:rPr>
          <w:t>index</w:t>
        </w:r>
        <w:r>
          <w:rPr>
            <w:rStyle w:val="Hyperlink"/>
          </w:rPr>
          <w:t>.</w:t>
        </w:r>
        <w:r>
          <w:rPr>
            <w:rStyle w:val="Hyperlink"/>
            <w:lang w:val="en-US"/>
          </w:rPr>
          <w:t>php</w:t>
        </w:r>
      </w:hyperlink>
      <w:r>
        <w:t>, 26 апреля 2004 года.</w:t>
      </w:r>
    </w:p>
    <w:p w:rsidR="00000000" w:rsidRDefault="00000000">
      <w:pPr>
        <w:pStyle w:val="EndnoteText"/>
        <w:spacing w:line="288" w:lineRule="auto"/>
      </w:pPr>
    </w:p>
    <w:p w:rsidR="00000000" w:rsidRDefault="00000000">
      <w:pPr>
        <w:pStyle w:val="EndnoteText"/>
        <w:spacing w:line="288" w:lineRule="auto"/>
      </w:pPr>
    </w:p>
    <w:p w:rsidR="00000000" w:rsidRDefault="00000000">
      <w:pPr>
        <w:pStyle w:val="EndnoteText"/>
        <w:spacing w:line="288" w:lineRule="auto"/>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CAT/C/55/Add.12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CAT/C/55/Add.12</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A3D06AE"/>
    <w:multiLevelType w:val="hybridMultilevel"/>
    <w:tmpl w:val="C8EE04F8"/>
    <w:lvl w:ilvl="0" w:tplc="C8A8477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9E1099"/>
    <w:multiLevelType w:val="hybridMultilevel"/>
    <w:tmpl w:val="EBCEE746"/>
    <w:lvl w:ilvl="0" w:tplc="BA8861E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ECF2876"/>
    <w:multiLevelType w:val="hybridMultilevel"/>
    <w:tmpl w:val="EBAE36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7035E34"/>
    <w:multiLevelType w:val="hybridMultilevel"/>
    <w:tmpl w:val="72FE1F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E897C86"/>
    <w:multiLevelType w:val="hybridMultilevel"/>
    <w:tmpl w:val="72721C40"/>
    <w:lvl w:ilvl="0" w:tplc="2F0C2428">
      <w:numFmt w:val="bullet"/>
      <w:lvlText w:val=""/>
      <w:lvlJc w:val="left"/>
      <w:pPr>
        <w:tabs>
          <w:tab w:val="num" w:pos="1134"/>
        </w:tabs>
        <w:ind w:left="1134" w:hanging="567"/>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4D52033"/>
    <w:multiLevelType w:val="hybridMultilevel"/>
    <w:tmpl w:val="1D163E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7A86E33"/>
    <w:multiLevelType w:val="hybridMultilevel"/>
    <w:tmpl w:val="E1E6D676"/>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9">
    <w:nsid w:val="3EB55460"/>
    <w:multiLevelType w:val="hybridMultilevel"/>
    <w:tmpl w:val="3FF0554E"/>
    <w:lvl w:ilvl="0" w:tplc="3A6A81EE">
      <w:start w:val="1"/>
      <w:numFmt w:val="bullet"/>
      <w:lvlText w:val=""/>
      <w:lvlJc w:val="left"/>
      <w:pPr>
        <w:tabs>
          <w:tab w:val="num" w:pos="1134"/>
        </w:tabs>
        <w:ind w:left="1134" w:hanging="567"/>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47F7007"/>
    <w:multiLevelType w:val="hybridMultilevel"/>
    <w:tmpl w:val="F8A8ECBC"/>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nsid w:val="62076DC1"/>
    <w:multiLevelType w:val="hybridMultilevel"/>
    <w:tmpl w:val="968635DA"/>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2">
    <w:nsid w:val="63481B48"/>
    <w:multiLevelType w:val="hybridMultilevel"/>
    <w:tmpl w:val="9D44C8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18B4392"/>
    <w:multiLevelType w:val="hybridMultilevel"/>
    <w:tmpl w:val="607E6168"/>
    <w:lvl w:ilvl="0" w:tplc="FDDC6826">
      <w:start w:val="1"/>
      <w:numFmt w:val="bullet"/>
      <w:lvlText w:val=""/>
      <w:lvlJc w:val="left"/>
      <w:pPr>
        <w:tabs>
          <w:tab w:val="num" w:pos="927"/>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3"/>
  </w:num>
  <w:num w:numId="4">
    <w:abstractNumId w:val="10"/>
  </w:num>
  <w:num w:numId="5">
    <w:abstractNumId w:val="8"/>
  </w:num>
  <w:num w:numId="6">
    <w:abstractNumId w:val="13"/>
  </w:num>
  <w:num w:numId="7">
    <w:abstractNumId w:val="1"/>
  </w:num>
  <w:num w:numId="8">
    <w:abstractNumId w:val="11"/>
  </w:num>
  <w:num w:numId="9">
    <w:abstractNumId w:val="4"/>
  </w:num>
  <w:num w:numId="10">
    <w:abstractNumId w:val="2"/>
  </w:num>
  <w:num w:numId="11">
    <w:abstractNumId w:val="6"/>
  </w:num>
  <w:num w:numId="12">
    <w:abstractNumId w:val="12"/>
  </w:num>
  <w:num w:numId="13">
    <w:abstractNumId w:val="5"/>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activeWritingStyle w:appName="MSWord" w:lang="fr-FR" w:vendorID="9"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left="360"/>
      <w:jc w:val="both"/>
    </w:pPr>
    <w:rPr>
      <w:rFonts w:ascii="Bookman Old Style" w:hAnsi="Bookman Old Style"/>
      <w:lang w:val="es-MX" w:eastAsia="es-ES"/>
    </w:rPr>
  </w:style>
  <w:style w:type="paragraph" w:styleId="BodyText">
    <w:name w:val="Body Text"/>
    <w:basedOn w:val="Normal"/>
    <w:semiHidden/>
    <w:pPr>
      <w:tabs>
        <w:tab w:val="clear" w:pos="567"/>
        <w:tab w:val="clear" w:pos="1134"/>
        <w:tab w:val="clear" w:pos="1701"/>
        <w:tab w:val="clear" w:pos="2268"/>
        <w:tab w:val="clear" w:pos="6237"/>
      </w:tabs>
      <w:spacing w:line="240" w:lineRule="auto"/>
      <w:jc w:val="both"/>
    </w:pPr>
    <w:rPr>
      <w:szCs w:val="24"/>
      <w:u w:val="single"/>
      <w:lang w:val="es-MX" w:eastAsia="es-E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www.conamed.gob.mx/index.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26369</Words>
  <Characters>150306</Characters>
  <Application>Microsoft Office Word</Application>
  <DocSecurity>4</DocSecurity>
  <Lines>1252</Lines>
  <Paragraphs>300</Paragraphs>
  <ScaleCrop>false</ScaleCrop>
  <HeadingPairs>
    <vt:vector size="2" baseType="variant">
      <vt:variant>
        <vt:lpstr>Название</vt:lpstr>
      </vt:variant>
      <vt:variant>
        <vt:i4>1</vt:i4>
      </vt:variant>
    </vt:vector>
  </HeadingPairs>
  <TitlesOfParts>
    <vt:vector size="1" baseType="lpstr">
      <vt:lpstr>0540573.doc</vt:lpstr>
    </vt:vector>
  </TitlesOfParts>
  <Company> </Company>
  <LinksUpToDate>false</LinksUpToDate>
  <CharactersWithSpaces>184586</CharactersWithSpaces>
  <SharedDoc>false</SharedDoc>
  <HLinks>
    <vt:vector size="6" baseType="variant">
      <vt:variant>
        <vt:i4>2424873</vt:i4>
      </vt:variant>
      <vt:variant>
        <vt:i4>0</vt:i4>
      </vt:variant>
      <vt:variant>
        <vt:i4>0</vt:i4>
      </vt:variant>
      <vt:variant>
        <vt:i4>5</vt:i4>
      </vt:variant>
      <vt:variant>
        <vt:lpwstr>http://www.conamed.gob.mx/index.php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0540573.doc</dc:title>
  <dc:subject>Bebenine</dc:subject>
  <dc:creator>Tatiana Dmitrieva</dc:creator>
  <cp:keywords/>
  <dc:description/>
  <cp:lastModifiedBy>Tatiana Dmitrieva</cp:lastModifiedBy>
  <cp:revision>3</cp:revision>
  <cp:lastPrinted>2006-02-20T08:47:00Z</cp:lastPrinted>
  <dcterms:created xsi:type="dcterms:W3CDTF">2006-02-20T08:47:00Z</dcterms:created>
  <dcterms:modified xsi:type="dcterms:W3CDTF">2006-02-20T08:47:00Z</dcterms:modified>
</cp:coreProperties>
</file>