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11343">
                <w:t>C/108/2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611343">
                <w:rPr>
                  <w:lang w:val="en-US"/>
                </w:rPr>
                <w:t>21 October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94F11" w:rsidRPr="000A093B" w:rsidRDefault="00C94F11" w:rsidP="00C94F11">
      <w:pPr>
        <w:spacing w:before="120"/>
        <w:rPr>
          <w:b/>
          <w:sz w:val="24"/>
          <w:szCs w:val="24"/>
        </w:rPr>
      </w:pPr>
      <w:r w:rsidRPr="000A093B">
        <w:rPr>
          <w:b/>
          <w:sz w:val="24"/>
          <w:szCs w:val="24"/>
        </w:rPr>
        <w:t>Комитет по правам человека</w:t>
      </w:r>
    </w:p>
    <w:p w:rsidR="0084613B" w:rsidRPr="00C94F11" w:rsidRDefault="00C94F11" w:rsidP="00C94F11">
      <w:pPr>
        <w:pStyle w:val="HChGR"/>
        <w:rPr>
          <w:b w:val="0"/>
          <w:lang w:eastAsia="en-US"/>
        </w:rPr>
      </w:pPr>
      <w:r w:rsidRPr="000A093B">
        <w:tab/>
      </w:r>
      <w:r w:rsidRPr="000A093B">
        <w:tab/>
      </w:r>
      <w:r>
        <w:t xml:space="preserve">Записка </w:t>
      </w:r>
      <w:r w:rsidRPr="000C5871">
        <w:t>Комитет</w:t>
      </w:r>
      <w:r>
        <w:t>а</w:t>
      </w:r>
      <w:r w:rsidRPr="000C5871">
        <w:t xml:space="preserve"> по правам человека</w:t>
      </w:r>
      <w:r w:rsidRPr="00C94F11">
        <w:t xml:space="preserve"> </w:t>
      </w:r>
      <w:r>
        <w:t>о процедуре </w:t>
      </w:r>
      <w:r w:rsidRPr="000A093B">
        <w:t>пос</w:t>
      </w:r>
      <w:r>
        <w:t>ледующей деятельности в связи с </w:t>
      </w:r>
      <w:r w:rsidRPr="000A093B">
        <w:t>заключительными замечаниями</w:t>
      </w:r>
      <w:r w:rsidRPr="00C94F1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937D18" w:rsidRDefault="00BD427D" w:rsidP="00BD427D">
      <w:pPr>
        <w:pStyle w:val="H23GR"/>
      </w:pPr>
      <w:r>
        <w:tab/>
      </w:r>
      <w:r>
        <w:tab/>
      </w:r>
      <w:r w:rsidR="00937D18">
        <w:t>Введение</w:t>
      </w:r>
    </w:p>
    <w:p w:rsidR="00937D18" w:rsidRDefault="00937D18" w:rsidP="00937D18">
      <w:pPr>
        <w:pStyle w:val="SingleTxtGR"/>
        <w:spacing w:after="240"/>
      </w:pPr>
      <w:r>
        <w:t>1.</w:t>
      </w:r>
      <w:r w:rsidRPr="00937D18">
        <w:tab/>
      </w:r>
      <w:r>
        <w:t>Комитет по правам человека инициировал</w:t>
      </w:r>
      <w:r w:rsidRPr="00937D18">
        <w:t xml:space="preserve"> </w:t>
      </w:r>
      <w:r>
        <w:t>в 2001 году процесс посл</w:t>
      </w:r>
      <w:r>
        <w:t>е</w:t>
      </w:r>
      <w:r>
        <w:t>дующей деятельности в связи с заключительными замечаниями. В 2003</w:t>
      </w:r>
      <w:r w:rsidR="0051146C">
        <w:t> </w:t>
      </w:r>
      <w:r>
        <w:t>году межкомитетское совещание договорных органов по правам человека рекоме</w:t>
      </w:r>
      <w:r>
        <w:t>н</w:t>
      </w:r>
      <w:r>
        <w:t>довало всем договорным органам рассмотреть возможность создания процед</w:t>
      </w:r>
      <w:r>
        <w:t>у</w:t>
      </w:r>
      <w:r>
        <w:t>ры последующей деятельности связи с заключительными замечаниями</w:t>
      </w:r>
      <w:r w:rsidR="00BA16AA">
        <w:t>; в</w:t>
      </w:r>
      <w:r w:rsidR="00BA16AA">
        <w:rPr>
          <w:lang w:val="en-US"/>
        </w:rPr>
        <w:t> </w:t>
      </w:r>
      <w:r w:rsidR="00BA16AA">
        <w:t>2009</w:t>
      </w:r>
      <w:r w:rsidR="00BA16AA">
        <w:rPr>
          <w:lang w:val="en-US"/>
        </w:rPr>
        <w:t> </w:t>
      </w:r>
      <w:r>
        <w:t>году оно вновь подчеркнуло эту рекомендацию, заявив, что процедуры последующей деятельности являются неотъемлемой частью процедуры пре</w:t>
      </w:r>
      <w:r>
        <w:t>д</w:t>
      </w:r>
      <w:r>
        <w:t>ставления до</w:t>
      </w:r>
      <w:r>
        <w:t>к</w:t>
      </w:r>
      <w:r>
        <w:t>ладов.</w:t>
      </w:r>
    </w:p>
    <w:p w:rsidR="00937D18" w:rsidRDefault="00937D18" w:rsidP="00937D18">
      <w:pPr>
        <w:pStyle w:val="SingleTxtGR"/>
        <w:spacing w:after="240"/>
      </w:pPr>
      <w:r>
        <w:t>2.</w:t>
      </w:r>
      <w:r w:rsidRPr="00937D18">
        <w:tab/>
      </w:r>
      <w:r>
        <w:t>С тех пор Комитет определил правила и руководящие принципы по ра</w:t>
      </w:r>
      <w:r>
        <w:t>з</w:t>
      </w:r>
      <w:r>
        <w:t>витию процесса последующей деятельности. Настоящий документ, принятый Комитетом на его 108-й сессии, направлен на систематизацию развившейся практики.</w:t>
      </w:r>
    </w:p>
    <w:p w:rsidR="00937D18" w:rsidRDefault="00937D18" w:rsidP="00BD427D">
      <w:pPr>
        <w:pStyle w:val="H23GR"/>
      </w:pPr>
      <w:r>
        <w:tab/>
      </w:r>
      <w:r>
        <w:tab/>
        <w:t>Специальный докладчик по пос</w:t>
      </w:r>
      <w:r w:rsidR="00BD427D">
        <w:t>ледующей деятельности в связи с </w:t>
      </w:r>
      <w:r>
        <w:t>заключительными з</w:t>
      </w:r>
      <w:r>
        <w:t>а</w:t>
      </w:r>
      <w:r>
        <w:t>мечаниями</w:t>
      </w:r>
    </w:p>
    <w:p w:rsidR="00937D18" w:rsidRDefault="00937D18" w:rsidP="00937D18">
      <w:pPr>
        <w:pStyle w:val="SingleTxtGR"/>
        <w:spacing w:after="240"/>
      </w:pPr>
      <w:r>
        <w:t>3.</w:t>
      </w:r>
      <w:r w:rsidRPr="00937D18">
        <w:tab/>
      </w:r>
      <w:r>
        <w:t>Комитет по правам человека имеет одного мандатария, ведающего проц</w:t>
      </w:r>
      <w:r>
        <w:t>е</w:t>
      </w:r>
      <w:r>
        <w:t>дурой последующей деятельности: Специального докладчика по последующей деятельности в связи с заключительными замечаниями. Специальный докла</w:t>
      </w:r>
      <w:r>
        <w:t>д</w:t>
      </w:r>
      <w:r>
        <w:t>чик централизует функции мандата. Тем не менее, чтобы всякий раз, когда н</w:t>
      </w:r>
      <w:r>
        <w:t>е</w:t>
      </w:r>
      <w:r>
        <w:t>обходимо, вступать в дело по просьбе Специального докладчика (например, е</w:t>
      </w:r>
      <w:r>
        <w:t>с</w:t>
      </w:r>
      <w:r>
        <w:t xml:space="preserve">ли Специальный докладчик </w:t>
      </w:r>
      <w:r w:rsidRPr="00603CBA">
        <w:t>не свободен</w:t>
      </w:r>
      <w:r>
        <w:t xml:space="preserve"> или когда он или она не в состоянии иметь дело с конкретным государством-участником), назначается заместитель Специального докладчика. Специальный докладчик и заместитель назначаются Комитетом один раз в два года.</w:t>
      </w:r>
    </w:p>
    <w:p w:rsidR="00937D18" w:rsidRDefault="00937D18" w:rsidP="00BD427D">
      <w:pPr>
        <w:pStyle w:val="H23GR"/>
      </w:pPr>
      <w:r>
        <w:tab/>
      </w:r>
      <w:r>
        <w:tab/>
        <w:t xml:space="preserve">Функции Специального докладчика по последующей деятельности </w:t>
      </w:r>
      <w:r w:rsidR="00BD427D">
        <w:br/>
      </w:r>
      <w:r>
        <w:t>в связи с</w:t>
      </w:r>
      <w:r w:rsidR="00BA16AA" w:rsidRPr="00BA16AA">
        <w:t xml:space="preserve"> </w:t>
      </w:r>
      <w:r>
        <w:t>заключительными замечаниями</w:t>
      </w:r>
    </w:p>
    <w:p w:rsidR="00937D18" w:rsidRDefault="00937D18" w:rsidP="00937D18">
      <w:pPr>
        <w:pStyle w:val="SingleTxtGR"/>
        <w:spacing w:after="240"/>
      </w:pPr>
      <w:r>
        <w:t>4.</w:t>
      </w:r>
      <w:r w:rsidRPr="00B02F4C">
        <w:tab/>
      </w:r>
      <w:r>
        <w:t>Мандат Специального докладчика простирается от принятия заключ</w:t>
      </w:r>
      <w:r>
        <w:t>и</w:t>
      </w:r>
      <w:r>
        <w:t>тельных замечаний до прекращения процедуры последующей деятельности (см. пункты 25−28 ниже).</w:t>
      </w:r>
    </w:p>
    <w:p w:rsidR="00937D18" w:rsidRDefault="00937D18" w:rsidP="00937D18">
      <w:pPr>
        <w:pStyle w:val="SingleTxtGR"/>
        <w:spacing w:after="240"/>
      </w:pPr>
      <w:r>
        <w:t>5.</w:t>
      </w:r>
      <w:r w:rsidRPr="00937D18">
        <w:tab/>
      </w:r>
      <w:r>
        <w:t>Специальный докладчик анализирует информацию, предоставляемую г</w:t>
      </w:r>
      <w:r>
        <w:t>о</w:t>
      </w:r>
      <w:r>
        <w:t>сударствами-участниками относительно рекомендаций, включенных в процед</w:t>
      </w:r>
      <w:r>
        <w:t>у</w:t>
      </w:r>
      <w:r>
        <w:t xml:space="preserve">ру последующей деятельности, оценивает ее содержание и представляет анализ пленарному заседанию Комитета в докладе о </w:t>
      </w:r>
      <w:r w:rsidR="00AE6BC1">
        <w:t xml:space="preserve">ходе </w:t>
      </w:r>
      <w:r>
        <w:t>последующей деятельн</w:t>
      </w:r>
      <w:r>
        <w:t>о</w:t>
      </w:r>
      <w:r>
        <w:t>сти.</w:t>
      </w:r>
    </w:p>
    <w:p w:rsidR="00937D18" w:rsidRDefault="00937D18" w:rsidP="00937D18">
      <w:pPr>
        <w:pStyle w:val="H23GR"/>
      </w:pPr>
      <w:r>
        <w:tab/>
      </w:r>
      <w:r>
        <w:tab/>
        <w:t>Критерии для выявления рекомендаций в отношении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6.</w:t>
      </w:r>
      <w:r w:rsidRPr="00937D18">
        <w:tab/>
      </w:r>
      <w:r>
        <w:t>Комитет по правам человека установил два основных критерия при в</w:t>
      </w:r>
      <w:r>
        <w:t>ы</w:t>
      </w:r>
      <w:r>
        <w:t>боре рекомендаций для включения в процедуру последующей деятельности ("рекомендации в отношении последующей деятельности"):</w:t>
      </w:r>
    </w:p>
    <w:p w:rsidR="00937D18" w:rsidRDefault="00937D18" w:rsidP="00937D18">
      <w:pPr>
        <w:pStyle w:val="SingleTxtGR"/>
        <w:spacing w:after="240"/>
      </w:pPr>
      <w:r w:rsidRPr="00937D18">
        <w:tab/>
      </w:r>
      <w:r>
        <w:t>а)</w:t>
      </w:r>
      <w:r w:rsidRPr="00937D18">
        <w:tab/>
      </w:r>
      <w:r>
        <w:t>рекомендация реализуема в течение года после ее принятия;</w:t>
      </w:r>
    </w:p>
    <w:p w:rsidR="00937D18" w:rsidRDefault="00937D18" w:rsidP="00937D18">
      <w:pPr>
        <w:pStyle w:val="SingleTxtGR"/>
        <w:spacing w:after="240"/>
      </w:pPr>
      <w:r w:rsidRPr="00937D18">
        <w:tab/>
      </w:r>
      <w:r>
        <w:rPr>
          <w:lang w:val="en-US"/>
        </w:rPr>
        <w:t>b</w:t>
      </w:r>
      <w:r>
        <w:t>)</w:t>
      </w:r>
      <w:r w:rsidRPr="00B02F4C">
        <w:tab/>
      </w:r>
      <w:r>
        <w:t>рекомендация требует незамедлительного внимания в силу:</w:t>
      </w:r>
    </w:p>
    <w:p w:rsidR="00937D18" w:rsidRDefault="00937D18" w:rsidP="00937D18">
      <w:pPr>
        <w:pStyle w:val="SingleTxtGR"/>
        <w:spacing w:after="240"/>
      </w:pPr>
      <w:r w:rsidRPr="00B02F4C">
        <w:tab/>
      </w:r>
      <w:r>
        <w:rPr>
          <w:lang w:val="en-US"/>
        </w:rPr>
        <w:t>i</w:t>
      </w:r>
      <w:r>
        <w:t>)</w:t>
      </w:r>
      <w:r w:rsidRPr="00B02F4C">
        <w:tab/>
      </w:r>
      <w:r>
        <w:t>степени тяжести указываемой ситуации;</w:t>
      </w:r>
    </w:p>
    <w:p w:rsidR="00937D18" w:rsidRDefault="00937D18" w:rsidP="00937D18">
      <w:pPr>
        <w:pStyle w:val="SingleTxtGR"/>
        <w:spacing w:after="240"/>
      </w:pPr>
      <w:r w:rsidRPr="00B02F4C">
        <w:tab/>
      </w:r>
      <w:r>
        <w:t>ii)</w:t>
      </w:r>
      <w:r w:rsidRPr="00937D18">
        <w:tab/>
      </w:r>
      <w:r>
        <w:t>экстренности ситуации. Такая экстренность возникает, когда:</w:t>
      </w:r>
    </w:p>
    <w:p w:rsidR="00937D18" w:rsidRDefault="00937D18" w:rsidP="00937D18">
      <w:pPr>
        <w:pStyle w:val="Bullet2GR"/>
        <w:numPr>
          <w:ilvl w:val="0"/>
          <w:numId w:val="2"/>
        </w:numPr>
      </w:pPr>
      <w:r>
        <w:t>отсутствие вмешательства представляет собой крупное препятс</w:t>
      </w:r>
      <w:r>
        <w:t>т</w:t>
      </w:r>
      <w:r>
        <w:t>вие к осущ</w:t>
      </w:r>
      <w:r>
        <w:t>е</w:t>
      </w:r>
      <w:r>
        <w:t>ствлению Пакта;</w:t>
      </w:r>
    </w:p>
    <w:p w:rsidR="00937D18" w:rsidRDefault="00937D18" w:rsidP="00937D18">
      <w:pPr>
        <w:pStyle w:val="Bullet2GR"/>
        <w:numPr>
          <w:ilvl w:val="0"/>
          <w:numId w:val="2"/>
        </w:numPr>
      </w:pPr>
      <w:r>
        <w:t>отсутствие вмешательства могло бы угрожать жизни или безопа</w:t>
      </w:r>
      <w:r>
        <w:t>с</w:t>
      </w:r>
      <w:r>
        <w:t>ности одного или различных лиц; или</w:t>
      </w:r>
    </w:p>
    <w:p w:rsidR="00937D18" w:rsidRDefault="00937D18" w:rsidP="00937D18">
      <w:pPr>
        <w:pStyle w:val="Bullet2GR"/>
        <w:numPr>
          <w:ilvl w:val="0"/>
          <w:numId w:val="2"/>
        </w:numPr>
      </w:pPr>
      <w:r>
        <w:t>проблема стоит на протяжении долгого времени и не улаживается государством-участником (например,</w:t>
      </w:r>
      <w:r w:rsidRPr="00937D18">
        <w:t xml:space="preserve"> </w:t>
      </w:r>
      <w:r>
        <w:t>законопроект необоснованно продолжительное время</w:t>
      </w:r>
      <w:r w:rsidRPr="00B27C14">
        <w:t xml:space="preserve"> </w:t>
      </w:r>
      <w:r>
        <w:t>ожидает прин</w:t>
      </w:r>
      <w:r>
        <w:t>я</w:t>
      </w:r>
      <w:r>
        <w:t>тия).</w:t>
      </w:r>
    </w:p>
    <w:p w:rsidR="00937D18" w:rsidRDefault="00937D18" w:rsidP="00937D18">
      <w:pPr>
        <w:pStyle w:val="H23GR"/>
      </w:pPr>
      <w:r>
        <w:tab/>
      </w:r>
      <w:r>
        <w:tab/>
        <w:t>Количество выбираемых рекомендаций</w:t>
      </w:r>
    </w:p>
    <w:p w:rsidR="00937D18" w:rsidRDefault="00937D18" w:rsidP="00937D18">
      <w:pPr>
        <w:pStyle w:val="SingleTxtGR"/>
        <w:spacing w:after="240"/>
      </w:pPr>
      <w:r>
        <w:t>7.</w:t>
      </w:r>
      <w:r>
        <w:tab/>
        <w:t>Комитет по правам человека включает в процедуру последующей де</w:t>
      </w:r>
      <w:r>
        <w:t>я</w:t>
      </w:r>
      <w:r>
        <w:t>тельности минимум две и максимум четыре рекомендации. Рекомендации по процедуре последующей деятельности указываются в заключительных замеч</w:t>
      </w:r>
      <w:r>
        <w:t>а</w:t>
      </w:r>
      <w:r>
        <w:t>ниях Комит</w:t>
      </w:r>
      <w:r>
        <w:t>е</w:t>
      </w:r>
      <w:r>
        <w:t>та.</w:t>
      </w:r>
    </w:p>
    <w:p w:rsidR="00937D18" w:rsidRDefault="00937D18" w:rsidP="00937D18">
      <w:pPr>
        <w:pStyle w:val="H23GR"/>
      </w:pPr>
      <w:r>
        <w:tab/>
      </w:r>
      <w:r>
        <w:tab/>
        <w:t>Предельный срок для доклада государства-участника о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8.</w:t>
      </w:r>
      <w:r>
        <w:tab/>
        <w:t>Государства-участники имеют один год, чтобы ответить на выбранные рекомендации. Первый ответ, получаемый от государств-участников в контексте процедуры последующей деятельности, называется докладом о последующей деятельности.</w:t>
      </w:r>
    </w:p>
    <w:p w:rsidR="00937D18" w:rsidRDefault="00937D18" w:rsidP="0051146C">
      <w:pPr>
        <w:pStyle w:val="H23GR"/>
      </w:pPr>
      <w:r>
        <w:tab/>
      </w:r>
      <w:r>
        <w:tab/>
        <w:t>Руководящие принципы составления докладов/ответов государств-участников о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9.</w:t>
      </w:r>
      <w:r>
        <w:tab/>
        <w:t>При направлении государствам-участникам заключительных замечаний Комитет предоставляет государствам-участникам руководящие принципы с</w:t>
      </w:r>
      <w:r>
        <w:t>о</w:t>
      </w:r>
      <w:r>
        <w:t>ставления докладов о последующей деятельности/ответов о последующей де</w:t>
      </w:r>
      <w:r>
        <w:t>я</w:t>
      </w:r>
      <w:r>
        <w:t>тельности</w:t>
      </w:r>
      <w:r>
        <w:rPr>
          <w:rStyle w:val="FootnoteReference"/>
          <w:bCs/>
          <w:color w:val="000000"/>
        </w:rPr>
        <w:footnoteReference w:id="2"/>
      </w:r>
      <w:r>
        <w:t>. Руководящие принципы, которые размещаются также на веб</w:t>
      </w:r>
      <w:r w:rsidR="003C1AE7" w:rsidRPr="003C1AE7">
        <w:t>-</w:t>
      </w:r>
      <w:r>
        <w:t>стран</w:t>
      </w:r>
      <w:r>
        <w:t>и</w:t>
      </w:r>
      <w:r>
        <w:t>це Комитета, состоят в следующем:</w:t>
      </w:r>
    </w:p>
    <w:p w:rsidR="00937D18" w:rsidRDefault="00937D18" w:rsidP="00937D18">
      <w:pPr>
        <w:pStyle w:val="SingleTxtGR"/>
        <w:spacing w:after="240"/>
      </w:pPr>
      <w:r>
        <w:tab/>
        <w:t>а)</w:t>
      </w:r>
      <w:r>
        <w:tab/>
        <w:t>доклад о последующей деятельности носит компактный характер и концентрируется сугубо на рекомендациях, выявленных Комитетом в рамках процедуры последующей де</w:t>
      </w:r>
      <w:r>
        <w:t>я</w:t>
      </w:r>
      <w:r>
        <w:t>тельности;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b</w:t>
      </w:r>
      <w:r>
        <w:t>)</w:t>
      </w:r>
      <w:r>
        <w:tab/>
        <w:t>доклад о последующей деятельности обычно не превышает макс</w:t>
      </w:r>
      <w:r>
        <w:t>и</w:t>
      </w:r>
      <w:r>
        <w:t>мум 3</w:t>
      </w:r>
      <w:r w:rsidR="003C1AE7">
        <w:t> </w:t>
      </w:r>
      <w:r>
        <w:t>500 слов;</w:t>
      </w:r>
    </w:p>
    <w:p w:rsidR="00937D18" w:rsidRDefault="00937D18" w:rsidP="00937D18">
      <w:pPr>
        <w:pStyle w:val="SingleTxtGR"/>
        <w:spacing w:after="240"/>
      </w:pPr>
      <w:r>
        <w:tab/>
        <w:t>c)</w:t>
      </w:r>
      <w:r>
        <w:tab/>
        <w:t>государство-участник предоставляет информацию обо всех мерах, принятых после выпуска заключительных замечаний в отношении соответс</w:t>
      </w:r>
      <w:r>
        <w:t>т</w:t>
      </w:r>
      <w:r>
        <w:t>вующих рекомендаций, с указанием дат их принятия и состояния осуществл</w:t>
      </w:r>
      <w:r>
        <w:t>е</w:t>
      </w:r>
      <w:r>
        <w:t>ния;</w:t>
      </w:r>
    </w:p>
    <w:p w:rsidR="00937D18" w:rsidRDefault="00937D18" w:rsidP="00937D18">
      <w:pPr>
        <w:pStyle w:val="SingleTxtGR"/>
        <w:spacing w:after="240"/>
      </w:pPr>
      <w:r>
        <w:tab/>
        <w:t>d)</w:t>
      </w:r>
      <w:r>
        <w:tab/>
        <w:t>доклад о последующей деятельности представляется в рамках пр</w:t>
      </w:r>
      <w:r>
        <w:t>е</w:t>
      </w:r>
      <w:r>
        <w:t>дельного срока, указанного в заключительных замечаниях: через один год после их прин</w:t>
      </w:r>
      <w:r>
        <w:t>я</w:t>
      </w:r>
      <w:r>
        <w:t>тия;</w:t>
      </w:r>
    </w:p>
    <w:p w:rsidR="00937D18" w:rsidRDefault="00937D18" w:rsidP="00937D18">
      <w:pPr>
        <w:pStyle w:val="SingleTxtGR"/>
        <w:spacing w:after="240"/>
      </w:pPr>
      <w:r>
        <w:tab/>
        <w:t>e)</w:t>
      </w:r>
      <w:r>
        <w:tab/>
        <w:t>государство-участник представляет доклад о последующей де</w:t>
      </w:r>
      <w:r>
        <w:t>я</w:t>
      </w:r>
      <w:r>
        <w:t>тельности на одном из официальных языков Организации Объединенных Н</w:t>
      </w:r>
      <w:r>
        <w:t>а</w:t>
      </w:r>
      <w:r>
        <w:t>ций;</w:t>
      </w:r>
    </w:p>
    <w:p w:rsidR="00937D18" w:rsidRDefault="00937D18" w:rsidP="00937D18">
      <w:pPr>
        <w:pStyle w:val="SingleTxtGR"/>
        <w:spacing w:after="240"/>
      </w:pPr>
      <w:r>
        <w:tab/>
        <w:t>f)</w:t>
      </w:r>
      <w:r>
        <w:tab/>
        <w:t>государство-участник направляет электронный вариант своего до</w:t>
      </w:r>
      <w:r>
        <w:t>к</w:t>
      </w:r>
      <w:r>
        <w:t>лада в формате "</w:t>
      </w:r>
      <w:r>
        <w:rPr>
          <w:lang w:val="en-US"/>
        </w:rPr>
        <w:t>Word</w:t>
      </w:r>
      <w:r>
        <w:t>" по следующему адресу электронной почты: ccpr@ohchr.org;</w:t>
      </w:r>
    </w:p>
    <w:p w:rsidR="00937D18" w:rsidRDefault="00937D18" w:rsidP="00937D18">
      <w:pPr>
        <w:pStyle w:val="SingleTxtGR"/>
        <w:spacing w:after="240"/>
      </w:pPr>
      <w:r>
        <w:tab/>
      </w:r>
      <w:r w:rsidR="0051146C">
        <w:rPr>
          <w:lang w:val="en-US"/>
        </w:rPr>
        <w:t>g</w:t>
      </w:r>
      <w:r>
        <w:t>)</w:t>
      </w:r>
      <w:r>
        <w:tab/>
        <w:t>при рассмотрении доклада о последующей деятельности, если К</w:t>
      </w:r>
      <w:r>
        <w:t>о</w:t>
      </w:r>
      <w:r>
        <w:t>митет считает, что необходима</w:t>
      </w:r>
      <w:r w:rsidRPr="003B3C89">
        <w:t xml:space="preserve"> </w:t>
      </w:r>
      <w:r>
        <w:t>дальнейшая информация, он будет просить гос</w:t>
      </w:r>
      <w:r>
        <w:t>у</w:t>
      </w:r>
      <w:r>
        <w:t>дарство-участник предоставить дополнительную информацию в рамках нового предельного срока, устанавливаемого Комитетом, или включить дополнител</w:t>
      </w:r>
      <w:r>
        <w:t>ь</w:t>
      </w:r>
      <w:r>
        <w:t>ную информацию в следующий периодич</w:t>
      </w:r>
      <w:r>
        <w:t>е</w:t>
      </w:r>
      <w:r>
        <w:t>ский доклад.</w:t>
      </w:r>
    </w:p>
    <w:p w:rsidR="00937D18" w:rsidRDefault="00937D18" w:rsidP="00937D18">
      <w:pPr>
        <w:pStyle w:val="H23GR"/>
      </w:pPr>
      <w:r>
        <w:tab/>
      </w:r>
      <w:r>
        <w:tab/>
        <w:t>Предельный срок для представления докладов о последующей деятельности национальными учреждениями, неправительственными организациями и другими организациями по правам человека</w:t>
      </w:r>
    </w:p>
    <w:p w:rsidR="00937D18" w:rsidRDefault="00937D18" w:rsidP="00937D18">
      <w:pPr>
        <w:pStyle w:val="SingleTxtGR"/>
        <w:spacing w:after="240"/>
      </w:pPr>
      <w:r>
        <w:t>10.</w:t>
      </w:r>
      <w:r>
        <w:tab/>
        <w:t>После принятия заключительных замечаний все заинтересованные стор</w:t>
      </w:r>
      <w:r>
        <w:t>о</w:t>
      </w:r>
      <w:r>
        <w:t>ны имеют один год для того, чтобы предоставить Комитету</w:t>
      </w:r>
      <w:r w:rsidRPr="002E65E8">
        <w:t xml:space="preserve"> </w:t>
      </w:r>
      <w:r>
        <w:t>свои замечания. Однако тут следует разграничивать два вариа</w:t>
      </w:r>
      <w:r>
        <w:t>н</w:t>
      </w:r>
      <w:r>
        <w:t>та:</w:t>
      </w:r>
    </w:p>
    <w:p w:rsidR="00937D18" w:rsidRDefault="00937D18" w:rsidP="00937D18">
      <w:pPr>
        <w:pStyle w:val="SingleTxtGR"/>
        <w:spacing w:after="240"/>
      </w:pPr>
      <w:r>
        <w:tab/>
        <w:t>а)</w:t>
      </w:r>
      <w:r>
        <w:tab/>
        <w:t>если заинтересованные стороны желают прокомментировать реал</w:t>
      </w:r>
      <w:r>
        <w:t>и</w:t>
      </w:r>
      <w:r>
        <w:t>зацию приоритизированных рекомендаций без учета доклада государс</w:t>
      </w:r>
      <w:r>
        <w:t>т</w:t>
      </w:r>
      <w:r>
        <w:t>ва-участника</w:t>
      </w:r>
      <w:r w:rsidRPr="00C53B80">
        <w:t xml:space="preserve"> </w:t>
      </w:r>
      <w:r>
        <w:t>о последующей деятельности, то они могут сделать это в любое вр</w:t>
      </w:r>
      <w:r>
        <w:t>е</w:t>
      </w:r>
      <w:r>
        <w:t>мя до ист</w:t>
      </w:r>
      <w:r>
        <w:t>е</w:t>
      </w:r>
      <w:r>
        <w:t>чения одногодичного предельного срока, к которому государство-участник должно представить свой доклад о последующей деятельности. Если же заи</w:t>
      </w:r>
      <w:r>
        <w:t>н</w:t>
      </w:r>
      <w:r>
        <w:t>тересованные стороны предоставляют информацию, а государство-участник − нет, то предоставленная информация будет упоминаться в посл</w:t>
      </w:r>
      <w:r>
        <w:t>е</w:t>
      </w:r>
      <w:r>
        <w:t>дующей таблице, касающейся последующей деятельности (однако она не будет анализироваться до получения доклада госуда</w:t>
      </w:r>
      <w:r>
        <w:t>р</w:t>
      </w:r>
      <w:r>
        <w:t>ства-участника);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b</w:t>
      </w:r>
      <w:r>
        <w:t>)</w:t>
      </w:r>
      <w:r>
        <w:tab/>
        <w:t>заинтересованным сторонам, и в том числе неправительственным организациям (НПО), желающим предоставить конкретные замечания к ответу, представленному государством-участником, следует давать с этой целью одн</w:t>
      </w:r>
      <w:r>
        <w:t>о</w:t>
      </w:r>
      <w:r>
        <w:t>месячный предельный срок (после размещения ответа государства-участника на веб-сайте). Эти предельные сроки должны быть четко указаны на</w:t>
      </w:r>
      <w:r w:rsidR="003C1AE7">
        <w:t xml:space="preserve"> </w:t>
      </w:r>
      <w:r>
        <w:t>веб-страни</w:t>
      </w:r>
      <w:r w:rsidR="003C1AE7">
        <w:t>-</w:t>
      </w:r>
      <w:r>
        <w:t>цах Комитета.</w:t>
      </w:r>
    </w:p>
    <w:p w:rsidR="00937D18" w:rsidRDefault="00937D18" w:rsidP="00937D18">
      <w:pPr>
        <w:pStyle w:val="H23GR"/>
      </w:pPr>
      <w:r>
        <w:tab/>
      </w:r>
      <w:r>
        <w:tab/>
        <w:t xml:space="preserve">Руководящие принципы представления докладов о последующей деятельности национальными учреждениями, неправительственными организациями и другими организациями по правам человека </w:t>
      </w:r>
    </w:p>
    <w:p w:rsidR="00937D18" w:rsidRDefault="00937D18" w:rsidP="00937D18">
      <w:pPr>
        <w:pStyle w:val="SingleTxtGR"/>
        <w:spacing w:after="240"/>
      </w:pPr>
      <w:r>
        <w:t>11.</w:t>
      </w:r>
      <w:r>
        <w:tab/>
        <w:t>Национальные учреждения, НПО и другие организации по правам чел</w:t>
      </w:r>
      <w:r>
        <w:t>о</w:t>
      </w:r>
      <w:r>
        <w:t>века</w:t>
      </w:r>
      <w:r w:rsidRPr="00937D18">
        <w:t xml:space="preserve"> </w:t>
      </w:r>
      <w:r>
        <w:t>могут представлять</w:t>
      </w:r>
      <w:r w:rsidRPr="00483B6B">
        <w:t xml:space="preserve"> </w:t>
      </w:r>
      <w:r>
        <w:t>альтернативные доклады о последующей деятельн</w:t>
      </w:r>
      <w:r>
        <w:t>о</w:t>
      </w:r>
      <w:r>
        <w:t>сти. Руководящие принципы составления таких предста</w:t>
      </w:r>
      <w:r>
        <w:t>в</w:t>
      </w:r>
      <w:r>
        <w:t>лений размещаются на веб-сайте Комитета и состоят в следующем:</w:t>
      </w:r>
    </w:p>
    <w:p w:rsidR="00937D18" w:rsidRDefault="00937D18" w:rsidP="003C1AE7">
      <w:pPr>
        <w:pStyle w:val="Bullet1GR"/>
      </w:pPr>
      <w:r>
        <w:t>альтернативные доклады о последующей деятельности носят ко</w:t>
      </w:r>
      <w:r>
        <w:t>м</w:t>
      </w:r>
      <w:r>
        <w:t>пактный характер и концентрируются сугубо на рекомендациях, выявленных К</w:t>
      </w:r>
      <w:r>
        <w:t>о</w:t>
      </w:r>
      <w:r>
        <w:t>митетом в рамках процедуры последующей де</w:t>
      </w:r>
      <w:r>
        <w:t>я</w:t>
      </w:r>
      <w:r>
        <w:t>тельности;</w:t>
      </w:r>
    </w:p>
    <w:p w:rsidR="00937D18" w:rsidRDefault="00937D18" w:rsidP="003C1AE7">
      <w:pPr>
        <w:pStyle w:val="Bullet1GR"/>
      </w:pPr>
      <w:r>
        <w:t>альтернативные доклады о последующей деятельности обычно не превышают максимум 3</w:t>
      </w:r>
      <w:r w:rsidR="0051146C">
        <w:t> </w:t>
      </w:r>
      <w:r>
        <w:t>500 слов;</w:t>
      </w:r>
    </w:p>
    <w:p w:rsidR="00937D18" w:rsidRDefault="00937D18" w:rsidP="003C1AE7">
      <w:pPr>
        <w:pStyle w:val="Bullet1GR"/>
      </w:pPr>
      <w:r>
        <w:t>заинтересованные стороны предоставляют информацию о мерах, прин</w:t>
      </w:r>
      <w:r>
        <w:t>и</w:t>
      </w:r>
      <w:r>
        <w:t>маемых государством-участником по осуществлению рекомендаций в о</w:t>
      </w:r>
      <w:r>
        <w:t>т</w:t>
      </w:r>
      <w:r>
        <w:t>ношении последующей деятельности после выпуска заключительных з</w:t>
      </w:r>
      <w:r>
        <w:t>а</w:t>
      </w:r>
      <w:r>
        <w:t>мечаний, и оценивают их эффект и согласова</w:t>
      </w:r>
      <w:r>
        <w:t>н</w:t>
      </w:r>
      <w:r>
        <w:t>ность;</w:t>
      </w:r>
    </w:p>
    <w:p w:rsidR="00937D18" w:rsidRDefault="00937D18" w:rsidP="003C1AE7">
      <w:pPr>
        <w:pStyle w:val="Bullet1GR"/>
      </w:pPr>
      <w:r>
        <w:t>заинтересованные стороны представляют свои альтернативные до</w:t>
      </w:r>
      <w:r>
        <w:t>к</w:t>
      </w:r>
      <w:r>
        <w:t>лады о последующей деятельности на одном из официальных языков Организ</w:t>
      </w:r>
      <w:r>
        <w:t>а</w:t>
      </w:r>
      <w:r>
        <w:t>ции Объединенных Наций;</w:t>
      </w:r>
    </w:p>
    <w:p w:rsidR="00937D18" w:rsidRDefault="00937D18" w:rsidP="003C1AE7">
      <w:pPr>
        <w:pStyle w:val="Bullet1GR"/>
      </w:pPr>
      <w:r>
        <w:t>альтернативные доклады о последующей деятельности препрово</w:t>
      </w:r>
      <w:r>
        <w:t>ж</w:t>
      </w:r>
      <w:r>
        <w:t>даются в секретариат Комитета в электронном формате (Word) по следующему адресу электронной почты: ccpr@ohchr.org.</w:t>
      </w:r>
    </w:p>
    <w:p w:rsidR="00937D18" w:rsidRDefault="00937D18" w:rsidP="00937D18">
      <w:pPr>
        <w:pStyle w:val="SingleTxtGR"/>
        <w:spacing w:after="240"/>
      </w:pPr>
      <w:r>
        <w:t>12.</w:t>
      </w:r>
      <w:r>
        <w:tab/>
        <w:t>Центр за гражданские и политические права установил формат для до</w:t>
      </w:r>
      <w:r>
        <w:t>к</w:t>
      </w:r>
      <w:r>
        <w:t>ладов НПО, который включает очень схожие критерии оценки по отношению к тем, которые были приняты Комитетом по правам человека в 2012 году. Ко</w:t>
      </w:r>
      <w:r>
        <w:t>н</w:t>
      </w:r>
      <w:r>
        <w:t>тактная информация для секретариата Комитета по правам человека и для Це</w:t>
      </w:r>
      <w:r>
        <w:t>н</w:t>
      </w:r>
      <w:r>
        <w:t>тра приводится на веб-сайте Комитета.</w:t>
      </w:r>
    </w:p>
    <w:p w:rsidR="00937D18" w:rsidRDefault="00937D18" w:rsidP="0051146C">
      <w:pPr>
        <w:pStyle w:val="H23GR"/>
      </w:pPr>
      <w:r>
        <w:tab/>
      </w:r>
      <w:r>
        <w:tab/>
        <w:t>Анализ докладов о последующей деятельности/ответов о последующей деятельности и доклад о ходе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13.</w:t>
      </w:r>
      <w:r>
        <w:tab/>
        <w:t>По получении доклада государства-участника и с прохождением предел</w:t>
      </w:r>
      <w:r>
        <w:t>ь</w:t>
      </w:r>
      <w:r>
        <w:t>ного срока в отношении информации от других заинтересованных сторон се</w:t>
      </w:r>
      <w:r>
        <w:t>к</w:t>
      </w:r>
      <w:r>
        <w:t>ретариат составляет проект предварительного анализа доклада. Предварител</w:t>
      </w:r>
      <w:r>
        <w:t>ь</w:t>
      </w:r>
      <w:r>
        <w:t>ный анализ вкл</w:t>
      </w:r>
      <w:r>
        <w:t>ю</w:t>
      </w:r>
      <w:r>
        <w:t>чает следующие пункты:</w:t>
      </w:r>
    </w:p>
    <w:p w:rsidR="00937D18" w:rsidRDefault="00937D18" w:rsidP="00937D18">
      <w:pPr>
        <w:pStyle w:val="SingleTxtGR"/>
        <w:spacing w:after="240"/>
      </w:pPr>
      <w:r>
        <w:tab/>
        <w:t>а)</w:t>
      </w:r>
      <w:r w:rsidRPr="00937D18">
        <w:tab/>
      </w:r>
      <w:r>
        <w:t>резюме информации, предоставленной государством-участником;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b</w:t>
      </w:r>
      <w:r>
        <w:t>)</w:t>
      </w:r>
      <w:r w:rsidRPr="00B02F4C">
        <w:tab/>
      </w:r>
      <w:r>
        <w:t>резюме информации, предоставленной другими заинтересованн</w:t>
      </w:r>
      <w:r>
        <w:t>ы</w:t>
      </w:r>
      <w:r>
        <w:t>ми сторонами;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c</w:t>
      </w:r>
      <w:r>
        <w:t>)</w:t>
      </w:r>
      <w:r>
        <w:tab/>
        <w:t>предлагаемая оценка;</w:t>
      </w:r>
    </w:p>
    <w:p w:rsidR="00937D18" w:rsidRDefault="00937D18" w:rsidP="00937D18">
      <w:pPr>
        <w:pStyle w:val="SingleTxtGR"/>
        <w:spacing w:after="240"/>
      </w:pPr>
      <w:r>
        <w:tab/>
        <w:t>d)</w:t>
      </w:r>
      <w:r>
        <w:tab/>
        <w:t>рекомендация в отношении действий, подлежащих реализации К</w:t>
      </w:r>
      <w:r>
        <w:t>о</w:t>
      </w:r>
      <w:r>
        <w:t>митетом в контексте процедуры последующей деятельн</w:t>
      </w:r>
      <w:r>
        <w:t>о</w:t>
      </w:r>
      <w:r>
        <w:t>сти.</w:t>
      </w:r>
    </w:p>
    <w:p w:rsidR="00937D18" w:rsidRDefault="00937D18" w:rsidP="00937D18">
      <w:pPr>
        <w:pStyle w:val="SingleTxtGR"/>
        <w:spacing w:after="240"/>
      </w:pPr>
      <w:r>
        <w:t>14.</w:t>
      </w:r>
      <w:r>
        <w:tab/>
        <w:t>С одобрением предварительного анализа Специальным докладчиком по последующей деятельности в связи с заключительными замечаниями он вкл</w:t>
      </w:r>
      <w:r>
        <w:t>ю</w:t>
      </w:r>
      <w:r>
        <w:t>чается в доклад о ходе последующей деятельности, который будет анализир</w:t>
      </w:r>
      <w:r>
        <w:t>о</w:t>
      </w:r>
      <w:r>
        <w:t>ваться, обсуждаться и приниматься на следующей сессии Комитета на откр</w:t>
      </w:r>
      <w:r>
        <w:t>ы</w:t>
      </w:r>
      <w:r>
        <w:t>том заседании в пленарном составе. Комитет по правам человека принимает два доклада о последующей деятельности в год (один на мартовской сессии, а др</w:t>
      </w:r>
      <w:r>
        <w:t>у</w:t>
      </w:r>
      <w:r>
        <w:t>гой − на октябрьской сессии).</w:t>
      </w:r>
    </w:p>
    <w:p w:rsidR="00937D18" w:rsidRDefault="00937D18" w:rsidP="00937D18">
      <w:pPr>
        <w:pStyle w:val="SingleTxtGR"/>
        <w:spacing w:after="240"/>
      </w:pPr>
      <w:r>
        <w:t>15.</w:t>
      </w:r>
      <w:r>
        <w:tab/>
        <w:t>Доклад о последующей деятельности отражает информацию, предоста</w:t>
      </w:r>
      <w:r>
        <w:t>в</w:t>
      </w:r>
      <w:r>
        <w:t>ленную всеми государствами-участниками, которые представили в рассматр</w:t>
      </w:r>
      <w:r>
        <w:t>и</w:t>
      </w:r>
      <w:r>
        <w:t>ваемый период свой доклад о последующей деятельности. Доклад о ходе п</w:t>
      </w:r>
      <w:r>
        <w:t>о</w:t>
      </w:r>
      <w:r>
        <w:t>следующей деятельности подлежит лимиту в размере 10 700 слов и имеет сл</w:t>
      </w:r>
      <w:r>
        <w:t>е</w:t>
      </w:r>
      <w:r>
        <w:t>дующую структуру: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4A0"/>
      </w:tblPr>
      <w:tblGrid>
        <w:gridCol w:w="3080"/>
        <w:gridCol w:w="4290"/>
      </w:tblGrid>
      <w:tr w:rsidR="00937D18" w:rsidRPr="007405BE" w:rsidTr="007C7AC2">
        <w:trPr>
          <w:trHeight w:val="240"/>
          <w:tblHeader/>
        </w:trPr>
        <w:tc>
          <w:tcPr>
            <w:tcW w:w="3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37D18" w:rsidRPr="00DF00E3" w:rsidRDefault="00937D18" w:rsidP="003459B9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bCs/>
                <w:sz w:val="16"/>
                <w:highlight w:val="yellow"/>
              </w:rPr>
            </w:pPr>
            <w:r w:rsidRPr="002D051F">
              <w:rPr>
                <w:bCs/>
                <w:i/>
                <w:sz w:val="16"/>
              </w:rPr>
              <w:t>Название государства-участника</w:t>
            </w:r>
            <w:r>
              <w:rPr>
                <w:bCs/>
                <w:i/>
                <w:sz w:val="16"/>
              </w:rPr>
              <w:t>,</w:t>
            </w:r>
            <w:r w:rsidRPr="002D051F">
              <w:rPr>
                <w:bCs/>
                <w:i/>
                <w:sz w:val="16"/>
              </w:rPr>
              <w:t xml:space="preserve"> рассматривае</w:t>
            </w:r>
            <w:r>
              <w:rPr>
                <w:bCs/>
                <w:i/>
                <w:sz w:val="16"/>
              </w:rPr>
              <w:t xml:space="preserve">мого по </w:t>
            </w:r>
            <w:r w:rsidRPr="002D051F">
              <w:rPr>
                <w:bCs/>
                <w:i/>
                <w:sz w:val="16"/>
              </w:rPr>
              <w:t>процедур</w:t>
            </w:r>
            <w:r>
              <w:rPr>
                <w:bCs/>
                <w:i/>
                <w:sz w:val="16"/>
              </w:rPr>
              <w:t>е</w:t>
            </w:r>
            <w:r w:rsidRPr="002D051F">
              <w:rPr>
                <w:bCs/>
                <w:i/>
                <w:sz w:val="16"/>
              </w:rPr>
              <w:t xml:space="preserve"> последующ</w:t>
            </w:r>
            <w:r>
              <w:rPr>
                <w:bCs/>
                <w:i/>
                <w:sz w:val="16"/>
              </w:rPr>
              <w:t>ей</w:t>
            </w:r>
            <w:r w:rsidRPr="002D051F">
              <w:rPr>
                <w:bCs/>
                <w:i/>
                <w:sz w:val="16"/>
              </w:rPr>
              <w:t xml:space="preserve"> де</w:t>
            </w:r>
            <w:r>
              <w:rPr>
                <w:bCs/>
                <w:i/>
                <w:sz w:val="16"/>
              </w:rPr>
              <w:t>ятельн</w:t>
            </w:r>
            <w:r>
              <w:rPr>
                <w:bCs/>
                <w:i/>
                <w:sz w:val="16"/>
              </w:rPr>
              <w:t>о</w:t>
            </w:r>
            <w:r>
              <w:rPr>
                <w:bCs/>
                <w:i/>
                <w:sz w:val="16"/>
              </w:rPr>
              <w:t>сти</w:t>
            </w:r>
            <w:r>
              <w:rPr>
                <w:bCs/>
                <w:sz w:val="16"/>
              </w:rPr>
              <w:t xml:space="preserve"> </w:t>
            </w:r>
          </w:p>
        </w:tc>
        <w:tc>
          <w:tcPr>
            <w:tcW w:w="42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37D18" w:rsidRPr="00774085" w:rsidRDefault="00937D18" w:rsidP="003459B9">
            <w:pPr>
              <w:suppressAutoHyphens/>
              <w:autoSpaceDE w:val="0"/>
              <w:autoSpaceDN w:val="0"/>
              <w:adjustRightInd w:val="0"/>
              <w:spacing w:before="80" w:after="80" w:line="200" w:lineRule="exact"/>
              <w:rPr>
                <w:bCs/>
                <w:sz w:val="16"/>
                <w:highlight w:val="yellow"/>
              </w:rPr>
            </w:pP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tcBorders>
              <w:top w:val="single" w:sz="12" w:space="0" w:color="auto"/>
            </w:tcBorders>
            <w:shd w:val="clear" w:color="auto" w:fill="auto"/>
          </w:tcPr>
          <w:p w:rsidR="00937D18" w:rsidRPr="002D051F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2D051F">
              <w:rPr>
                <w:bCs/>
              </w:rPr>
              <w:t>Заключительные замечания</w:t>
            </w:r>
          </w:p>
        </w:tc>
        <w:tc>
          <w:tcPr>
            <w:tcW w:w="4290" w:type="dxa"/>
            <w:tcBorders>
              <w:top w:val="single" w:sz="12" w:space="0" w:color="auto"/>
            </w:tcBorders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83E68">
              <w:rPr>
                <w:bCs/>
              </w:rPr>
              <w:t>Условное обозначение документа заключительных замечаний и дата принятия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83E68" w:rsidRDefault="007C7AC2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rPr>
                <w:bCs/>
              </w:rPr>
              <w:t>Пункты, сопряженные с </w:t>
            </w:r>
            <w:r w:rsidR="00937D18">
              <w:rPr>
                <w:bCs/>
              </w:rPr>
              <w:t>последующей деятельностью</w:t>
            </w:r>
          </w:p>
        </w:tc>
        <w:tc>
          <w:tcPr>
            <w:tcW w:w="4290" w:type="dxa"/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83E68">
              <w:rPr>
                <w:bCs/>
              </w:rPr>
              <w:t>Количество включенных в процедуру</w:t>
            </w:r>
            <w:r>
              <w:rPr>
                <w:bCs/>
              </w:rPr>
              <w:t xml:space="preserve"> пунктов, сопряженных с последующей деятельностью</w:t>
            </w:r>
            <w:r w:rsidRPr="00183E68">
              <w:rPr>
                <w:bCs/>
              </w:rPr>
              <w:t xml:space="preserve"> 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83E68">
              <w:rPr>
                <w:bCs/>
              </w:rPr>
              <w:t>Перв</w:t>
            </w:r>
            <w:r>
              <w:rPr>
                <w:bCs/>
              </w:rPr>
              <w:t>ый</w:t>
            </w:r>
            <w:r w:rsidRPr="00183E68">
              <w:rPr>
                <w:bCs/>
              </w:rPr>
              <w:t xml:space="preserve"> ответ государства-участника</w:t>
            </w:r>
          </w:p>
        </w:tc>
        <w:tc>
          <w:tcPr>
            <w:tcW w:w="4290" w:type="dxa"/>
            <w:shd w:val="clear" w:color="auto" w:fill="auto"/>
          </w:tcPr>
          <w:p w:rsidR="00937D18" w:rsidRPr="007405B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t>Надлежащая дата и фактическая дата представления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rPr>
                <w:bCs/>
              </w:rPr>
              <w:t>Действия</w:t>
            </w:r>
            <w:r w:rsidRPr="00183E68">
              <w:rPr>
                <w:bCs/>
              </w:rPr>
              <w:t xml:space="preserve">, </w:t>
            </w:r>
            <w:r>
              <w:rPr>
                <w:bCs/>
              </w:rPr>
              <w:t>пред</w:t>
            </w:r>
            <w:r w:rsidRPr="00183E68">
              <w:rPr>
                <w:bCs/>
              </w:rPr>
              <w:t>принятые Комитетом</w:t>
            </w:r>
          </w:p>
        </w:tc>
        <w:tc>
          <w:tcPr>
            <w:tcW w:w="4290" w:type="dxa"/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rPr>
                <w:bCs/>
              </w:rPr>
              <w:t>Направленные п</w:t>
            </w:r>
            <w:r w:rsidRPr="00183E68">
              <w:rPr>
                <w:bCs/>
              </w:rPr>
              <w:t>исьма</w:t>
            </w:r>
            <w:r>
              <w:rPr>
                <w:bCs/>
              </w:rPr>
              <w:t>;</w:t>
            </w:r>
            <w:r w:rsidRPr="00183E68">
              <w:rPr>
                <w:bCs/>
              </w:rPr>
              <w:t xml:space="preserve"> </w:t>
            </w:r>
            <w:r>
              <w:rPr>
                <w:bCs/>
              </w:rPr>
              <w:t xml:space="preserve">проведенные </w:t>
            </w:r>
            <w:r w:rsidRPr="00183E68">
              <w:rPr>
                <w:bCs/>
              </w:rPr>
              <w:t>встреч</w:t>
            </w:r>
            <w:r>
              <w:rPr>
                <w:bCs/>
              </w:rPr>
              <w:t>и</w:t>
            </w:r>
            <w:r w:rsidRPr="00183E68">
              <w:rPr>
                <w:bCs/>
              </w:rPr>
              <w:t xml:space="preserve"> с г</w:t>
            </w:r>
            <w:r w:rsidRPr="00183E68">
              <w:rPr>
                <w:bCs/>
              </w:rPr>
              <w:t>о</w:t>
            </w:r>
            <w:r w:rsidRPr="00183E68">
              <w:rPr>
                <w:bCs/>
              </w:rPr>
              <w:t>сударством-участником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83E68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83E68">
              <w:rPr>
                <w:bCs/>
              </w:rPr>
              <w:t>Информаци</w:t>
            </w:r>
            <w:r>
              <w:rPr>
                <w:bCs/>
              </w:rPr>
              <w:t xml:space="preserve">я </w:t>
            </w:r>
            <w:r w:rsidRPr="00183E68">
              <w:rPr>
                <w:bCs/>
              </w:rPr>
              <w:t xml:space="preserve">НПО </w:t>
            </w:r>
          </w:p>
        </w:tc>
        <w:tc>
          <w:tcPr>
            <w:tcW w:w="4290" w:type="dxa"/>
            <w:shd w:val="clear" w:color="auto" w:fill="auto"/>
          </w:tcPr>
          <w:p w:rsidR="00937D18" w:rsidRPr="007405B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83E68">
              <w:rPr>
                <w:bCs/>
              </w:rPr>
              <w:t>Получе</w:t>
            </w:r>
            <w:r w:rsidRPr="00183E68">
              <w:rPr>
                <w:bCs/>
              </w:rPr>
              <w:t>н</w:t>
            </w:r>
            <w:r w:rsidRPr="00183E68">
              <w:rPr>
                <w:bCs/>
              </w:rPr>
              <w:t>ны</w:t>
            </w:r>
            <w:r>
              <w:rPr>
                <w:bCs/>
              </w:rPr>
              <w:t xml:space="preserve">е </w:t>
            </w:r>
            <w:r w:rsidRPr="00183E68">
              <w:rPr>
                <w:bCs/>
              </w:rPr>
              <w:t>доклад</w:t>
            </w:r>
            <w:r>
              <w:rPr>
                <w:bCs/>
              </w:rPr>
              <w:t xml:space="preserve">ы </w:t>
            </w:r>
            <w:r w:rsidRPr="00183E68">
              <w:rPr>
                <w:bCs/>
              </w:rPr>
              <w:t>НПО</w:t>
            </w:r>
          </w:p>
        </w:tc>
      </w:tr>
      <w:tr w:rsidR="00937D18" w:rsidRPr="007405BE" w:rsidTr="00D455ED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937D18" w:rsidRPr="0031069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31069E">
              <w:rPr>
                <w:bCs/>
              </w:rPr>
              <w:t>Текст первого пункта</w:t>
            </w:r>
            <w:r>
              <w:rPr>
                <w:bCs/>
              </w:rPr>
              <w:t xml:space="preserve">, </w:t>
            </w:r>
            <w:r w:rsidR="003459B9">
              <w:rPr>
                <w:bCs/>
              </w:rPr>
              <w:t>сопряженного с последующей деятельностью</w:t>
            </w:r>
            <w:r>
              <w:rPr>
                <w:bCs/>
              </w:rPr>
              <w:t>.</w:t>
            </w:r>
            <w:r w:rsidRPr="0031069E">
              <w:rPr>
                <w:bCs/>
              </w:rPr>
              <w:t xml:space="preserve"> Воспроизводится </w:t>
            </w:r>
            <w:r>
              <w:rPr>
                <w:bCs/>
              </w:rPr>
              <w:t xml:space="preserve">вся </w:t>
            </w:r>
            <w:r w:rsidRPr="0031069E">
              <w:rPr>
                <w:bCs/>
              </w:rPr>
              <w:t>часть пункт</w:t>
            </w:r>
            <w:r>
              <w:rPr>
                <w:bCs/>
              </w:rPr>
              <w:t xml:space="preserve">а, связанная с </w:t>
            </w:r>
            <w:r w:rsidRPr="0031069E">
              <w:rPr>
                <w:bCs/>
              </w:rPr>
              <w:t>рекомендаци</w:t>
            </w:r>
            <w:r>
              <w:rPr>
                <w:bCs/>
              </w:rPr>
              <w:t>ями</w:t>
            </w:r>
            <w:r w:rsidRPr="0031069E">
              <w:rPr>
                <w:bCs/>
              </w:rPr>
              <w:t>.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31069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31069E">
              <w:rPr>
                <w:bCs/>
              </w:rPr>
              <w:t>Резюме ответ</w:t>
            </w:r>
            <w:r>
              <w:rPr>
                <w:bCs/>
              </w:rPr>
              <w:t>а</w:t>
            </w:r>
            <w:r w:rsidRPr="0031069E">
              <w:rPr>
                <w:bCs/>
              </w:rPr>
              <w:t xml:space="preserve"> государства-участника </w:t>
            </w:r>
          </w:p>
        </w:tc>
        <w:tc>
          <w:tcPr>
            <w:tcW w:w="4290" w:type="dxa"/>
            <w:shd w:val="clear" w:color="auto" w:fill="auto"/>
          </w:tcPr>
          <w:p w:rsidR="00937D18" w:rsidRPr="007405B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31069E">
              <w:rPr>
                <w:bCs/>
              </w:rPr>
              <w:t>Резюме</w:t>
            </w:r>
            <w:r>
              <w:rPr>
                <w:bCs/>
              </w:rPr>
              <w:t>, составленное</w:t>
            </w:r>
            <w:r w:rsidRPr="0031069E">
              <w:rPr>
                <w:bCs/>
              </w:rPr>
              <w:t xml:space="preserve"> се</w:t>
            </w:r>
            <w:r w:rsidRPr="0031069E">
              <w:rPr>
                <w:bCs/>
              </w:rPr>
              <w:t>к</w:t>
            </w:r>
            <w:r w:rsidRPr="0031069E">
              <w:rPr>
                <w:bCs/>
              </w:rPr>
              <w:t>ретариатом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B2F15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B2F15">
              <w:rPr>
                <w:bCs/>
              </w:rPr>
              <w:t>Резюме представлени</w:t>
            </w:r>
            <w:r>
              <w:rPr>
                <w:bCs/>
              </w:rPr>
              <w:t>й</w:t>
            </w:r>
            <w:r w:rsidRPr="001B2F15">
              <w:rPr>
                <w:bCs/>
              </w:rPr>
              <w:t xml:space="preserve"> НПО</w:t>
            </w:r>
          </w:p>
        </w:tc>
        <w:tc>
          <w:tcPr>
            <w:tcW w:w="4290" w:type="dxa"/>
            <w:shd w:val="clear" w:color="auto" w:fill="auto"/>
          </w:tcPr>
          <w:p w:rsidR="00937D18" w:rsidRPr="007405B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31069E">
              <w:rPr>
                <w:bCs/>
              </w:rPr>
              <w:t>Резюме</w:t>
            </w:r>
            <w:r>
              <w:rPr>
                <w:bCs/>
              </w:rPr>
              <w:t>, составленное</w:t>
            </w:r>
            <w:r w:rsidRPr="0031069E">
              <w:rPr>
                <w:bCs/>
              </w:rPr>
              <w:t xml:space="preserve"> се</w:t>
            </w:r>
            <w:r w:rsidRPr="0031069E">
              <w:rPr>
                <w:bCs/>
              </w:rPr>
              <w:t>к</w:t>
            </w:r>
            <w:r w:rsidRPr="0031069E">
              <w:rPr>
                <w:bCs/>
              </w:rPr>
              <w:t>ретариатом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1B2F15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B2F15">
              <w:rPr>
                <w:bCs/>
              </w:rPr>
              <w:t>Оценк</w:t>
            </w:r>
            <w:r>
              <w:rPr>
                <w:bCs/>
              </w:rPr>
              <w:t>а</w:t>
            </w:r>
            <w:r w:rsidRPr="001B2F15">
              <w:rPr>
                <w:bCs/>
              </w:rPr>
              <w:t xml:space="preserve"> Комитет</w:t>
            </w:r>
            <w:r>
              <w:rPr>
                <w:bCs/>
              </w:rPr>
              <w:t>а</w:t>
            </w:r>
          </w:p>
        </w:tc>
        <w:tc>
          <w:tcPr>
            <w:tcW w:w="4290" w:type="dxa"/>
            <w:shd w:val="clear" w:color="auto" w:fill="auto"/>
          </w:tcPr>
          <w:p w:rsidR="00937D18" w:rsidRPr="001B2F15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1B2F15">
              <w:rPr>
                <w:bCs/>
              </w:rPr>
              <w:t>Анализ Комитета в отношении рассматриваемого пункта</w:t>
            </w:r>
            <w:r>
              <w:rPr>
                <w:bCs/>
              </w:rPr>
              <w:t>,</w:t>
            </w:r>
            <w:r w:rsidRPr="001B2F15">
              <w:rPr>
                <w:bCs/>
              </w:rPr>
              <w:t xml:space="preserve"> включая применяемы</w:t>
            </w:r>
            <w:r>
              <w:rPr>
                <w:bCs/>
              </w:rPr>
              <w:t>е</w:t>
            </w:r>
            <w:r w:rsidRPr="001B2F15">
              <w:rPr>
                <w:bCs/>
              </w:rPr>
              <w:t xml:space="preserve"> критери</w:t>
            </w:r>
            <w:r>
              <w:rPr>
                <w:bCs/>
              </w:rPr>
              <w:t xml:space="preserve">и </w:t>
            </w:r>
            <w:r w:rsidRPr="001B2F15">
              <w:rPr>
                <w:bCs/>
              </w:rPr>
              <w:t>оце</w:t>
            </w:r>
            <w:r w:rsidRPr="001B2F15">
              <w:rPr>
                <w:bCs/>
              </w:rPr>
              <w:t>н</w:t>
            </w:r>
            <w:r w:rsidRPr="001B2F15">
              <w:rPr>
                <w:bCs/>
              </w:rPr>
              <w:t>к</w:t>
            </w:r>
            <w:r>
              <w:rPr>
                <w:bCs/>
              </w:rPr>
              <w:t>и</w:t>
            </w:r>
          </w:p>
        </w:tc>
      </w:tr>
      <w:tr w:rsidR="00937D18" w:rsidRPr="007405BE" w:rsidTr="00D455ED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:rsidR="00937D18" w:rsidRPr="00BF57A3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BF57A3">
              <w:rPr>
                <w:bCs/>
              </w:rPr>
              <w:t xml:space="preserve">Та же самая информация приводится по каждому из </w:t>
            </w:r>
            <w:r>
              <w:rPr>
                <w:bCs/>
              </w:rPr>
              <w:t xml:space="preserve">пунктов, </w:t>
            </w:r>
            <w:r w:rsidR="003459B9">
              <w:rPr>
                <w:bCs/>
              </w:rPr>
              <w:t>сопряженных с последующей деятельностью</w:t>
            </w:r>
            <w:r w:rsidR="00BC627E">
              <w:rPr>
                <w:bCs/>
              </w:rPr>
              <w:t>.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shd w:val="clear" w:color="auto" w:fill="auto"/>
          </w:tcPr>
          <w:p w:rsidR="00937D18" w:rsidRPr="00BF57A3" w:rsidRDefault="00937D18" w:rsidP="00BC627E">
            <w:pPr>
              <w:pageBreakBefore/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BF57A3">
              <w:rPr>
                <w:bCs/>
              </w:rPr>
              <w:t>Рекомендуемые действия</w:t>
            </w:r>
          </w:p>
        </w:tc>
        <w:tc>
          <w:tcPr>
            <w:tcW w:w="4290" w:type="dxa"/>
            <w:shd w:val="clear" w:color="auto" w:fill="auto"/>
          </w:tcPr>
          <w:p w:rsidR="00937D18" w:rsidRPr="00BF57A3" w:rsidRDefault="00937D18" w:rsidP="00BC627E">
            <w:pPr>
              <w:pageBreakBefore/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 w:rsidRPr="00BF57A3">
              <w:rPr>
                <w:bCs/>
              </w:rPr>
              <w:t>Описание мер</w:t>
            </w:r>
            <w:r>
              <w:rPr>
                <w:bCs/>
              </w:rPr>
              <w:t>ы,</w:t>
            </w:r>
            <w:r w:rsidRPr="00BF57A3">
              <w:rPr>
                <w:bCs/>
              </w:rPr>
              <w:t xml:space="preserve"> рекоменд</w:t>
            </w:r>
            <w:r>
              <w:rPr>
                <w:bCs/>
              </w:rPr>
              <w:t xml:space="preserve">уемой </w:t>
            </w:r>
            <w:r w:rsidRPr="00BF57A3">
              <w:rPr>
                <w:bCs/>
              </w:rPr>
              <w:t>Спе</w:t>
            </w:r>
            <w:r w:rsidR="006D7AE7">
              <w:rPr>
                <w:bCs/>
              </w:rPr>
              <w:t>циальным докладчиком по </w:t>
            </w:r>
            <w:r w:rsidRPr="00BF57A3">
              <w:rPr>
                <w:bCs/>
              </w:rPr>
              <w:t>последующ</w:t>
            </w:r>
            <w:r>
              <w:rPr>
                <w:bCs/>
              </w:rPr>
              <w:t xml:space="preserve">ей деятельности </w:t>
            </w:r>
            <w:r w:rsidR="006D7AE7">
              <w:rPr>
                <w:bCs/>
              </w:rPr>
              <w:t>в связи с </w:t>
            </w:r>
            <w:r w:rsidRPr="00BF57A3">
              <w:rPr>
                <w:bCs/>
              </w:rPr>
              <w:t>заключительным</w:t>
            </w:r>
            <w:r w:rsidR="006D7AE7">
              <w:rPr>
                <w:bCs/>
              </w:rPr>
              <w:t>и замечаниями и </w:t>
            </w:r>
            <w:r w:rsidRPr="00BF57A3">
              <w:rPr>
                <w:bCs/>
              </w:rPr>
              <w:t>принят</w:t>
            </w:r>
            <w:r>
              <w:rPr>
                <w:bCs/>
              </w:rPr>
              <w:t>ой</w:t>
            </w:r>
            <w:r w:rsidRPr="00BF57A3">
              <w:rPr>
                <w:bCs/>
              </w:rPr>
              <w:t xml:space="preserve"> Ком</w:t>
            </w:r>
            <w:r w:rsidRPr="00BF57A3">
              <w:rPr>
                <w:bCs/>
              </w:rPr>
              <w:t>и</w:t>
            </w:r>
            <w:r w:rsidRPr="00BF57A3">
              <w:rPr>
                <w:bCs/>
              </w:rPr>
              <w:t>тетом</w:t>
            </w:r>
          </w:p>
          <w:p w:rsidR="00937D18" w:rsidRPr="007405BE" w:rsidRDefault="00BC627E" w:rsidP="00BC627E">
            <w:pPr>
              <w:pageBreakBefore/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rPr>
                <w:bCs/>
              </w:rPr>
              <w:t>В</w:t>
            </w:r>
            <w:r w:rsidR="00937D18">
              <w:rPr>
                <w:bCs/>
              </w:rPr>
              <w:t>арианты</w:t>
            </w:r>
            <w:r w:rsidR="00937D18" w:rsidRPr="007405BE">
              <w:rPr>
                <w:bCs/>
              </w:rPr>
              <w:t>:</w:t>
            </w:r>
          </w:p>
          <w:p w:rsidR="00937D18" w:rsidRPr="007405BE" w:rsidRDefault="00937D18" w:rsidP="00BC627E">
            <w:pPr>
              <w:pageBreakBefore/>
              <w:tabs>
                <w:tab w:val="left" w:pos="567"/>
              </w:tabs>
              <w:suppressAutoHyphens/>
              <w:autoSpaceDE w:val="0"/>
              <w:autoSpaceDN w:val="0"/>
              <w:adjustRightInd w:val="0"/>
              <w:spacing w:before="40" w:after="120" w:line="240" w:lineRule="exact"/>
              <w:ind w:left="567" w:hanging="397"/>
              <w:rPr>
                <w:bCs/>
              </w:rPr>
            </w:pPr>
            <w:r>
              <w:rPr>
                <w:rFonts w:ascii="Arial" w:eastAsia="Calibri" w:hAnsi="Arial" w:cs="Arial"/>
                <w:bCs/>
              </w:rPr>
              <w:t>•</w:t>
            </w:r>
            <w:r w:rsidRPr="007405BE">
              <w:rPr>
                <w:rFonts w:eastAsia="Calibri"/>
                <w:bCs/>
              </w:rPr>
              <w:tab/>
            </w:r>
            <w:r>
              <w:rPr>
                <w:rFonts w:eastAsia="Calibri"/>
                <w:bCs/>
              </w:rPr>
              <w:t>направление п</w:t>
            </w:r>
            <w:r>
              <w:t>исьма государству-участнику</w:t>
            </w:r>
          </w:p>
          <w:p w:rsidR="00937D18" w:rsidRPr="00BF57A3" w:rsidRDefault="00937D18" w:rsidP="00BC627E">
            <w:pPr>
              <w:pageBreakBefore/>
              <w:tabs>
                <w:tab w:val="left" w:pos="567"/>
              </w:tabs>
              <w:suppressAutoHyphens/>
              <w:autoSpaceDE w:val="0"/>
              <w:autoSpaceDN w:val="0"/>
              <w:adjustRightInd w:val="0"/>
              <w:spacing w:before="40" w:after="120" w:line="240" w:lineRule="exact"/>
              <w:ind w:left="567" w:hanging="397"/>
              <w:rPr>
                <w:bCs/>
              </w:rPr>
            </w:pPr>
            <w:r>
              <w:rPr>
                <w:rFonts w:ascii="Arial" w:eastAsia="Calibri" w:hAnsi="Arial" w:cs="Arial"/>
                <w:bCs/>
              </w:rPr>
              <w:t>•</w:t>
            </w:r>
            <w:r w:rsidRPr="007405BE">
              <w:rPr>
                <w:rFonts w:eastAsia="Calibri"/>
                <w:bCs/>
              </w:rPr>
              <w:tab/>
            </w:r>
            <w:r>
              <w:rPr>
                <w:rFonts w:eastAsia="Calibri"/>
                <w:bCs/>
              </w:rPr>
              <w:t xml:space="preserve">запрос на </w:t>
            </w:r>
            <w:r w:rsidRPr="00BF57A3">
              <w:rPr>
                <w:bCs/>
              </w:rPr>
              <w:t>встреч</w:t>
            </w:r>
            <w:r>
              <w:rPr>
                <w:bCs/>
              </w:rPr>
              <w:t>у</w:t>
            </w:r>
            <w:r w:rsidRPr="00BF57A3">
              <w:rPr>
                <w:bCs/>
              </w:rPr>
              <w:t xml:space="preserve"> с государством-</w:t>
            </w:r>
            <w:r w:rsidRPr="006D7AE7">
              <w:rPr>
                <w:rFonts w:eastAsia="Calibri"/>
                <w:bCs/>
              </w:rPr>
              <w:t>участником</w:t>
            </w:r>
          </w:p>
          <w:p w:rsidR="00937D18" w:rsidRPr="007405BE" w:rsidRDefault="00937D18" w:rsidP="00BC627E">
            <w:pPr>
              <w:pageBreakBefore/>
              <w:tabs>
                <w:tab w:val="left" w:pos="567"/>
              </w:tabs>
              <w:suppressAutoHyphens/>
              <w:autoSpaceDE w:val="0"/>
              <w:autoSpaceDN w:val="0"/>
              <w:adjustRightInd w:val="0"/>
              <w:spacing w:before="40" w:after="120" w:line="240" w:lineRule="exact"/>
              <w:ind w:left="567" w:hanging="397"/>
              <w:rPr>
                <w:bCs/>
              </w:rPr>
            </w:pPr>
            <w:r>
              <w:rPr>
                <w:rFonts w:ascii="Arial" w:eastAsia="Calibri" w:hAnsi="Arial" w:cs="Arial"/>
                <w:bCs/>
              </w:rPr>
              <w:t>•</w:t>
            </w:r>
            <w:r w:rsidRPr="007405BE">
              <w:rPr>
                <w:rFonts w:eastAsia="Calibri"/>
                <w:bCs/>
              </w:rPr>
              <w:tab/>
            </w:r>
            <w:r>
              <w:rPr>
                <w:rFonts w:eastAsia="Calibri"/>
                <w:bCs/>
              </w:rPr>
              <w:t>прекращение п</w:t>
            </w:r>
            <w:r>
              <w:t>роцедуры последующей деятельности</w:t>
            </w:r>
          </w:p>
        </w:tc>
      </w:tr>
      <w:tr w:rsidR="00937D18" w:rsidRPr="007405BE" w:rsidTr="007C7AC2">
        <w:trPr>
          <w:trHeight w:val="240"/>
        </w:trPr>
        <w:tc>
          <w:tcPr>
            <w:tcW w:w="3080" w:type="dxa"/>
            <w:tcBorders>
              <w:bottom w:val="single" w:sz="12" w:space="0" w:color="auto"/>
            </w:tcBorders>
            <w:shd w:val="clear" w:color="auto" w:fill="auto"/>
          </w:tcPr>
          <w:p w:rsidR="00937D18" w:rsidRPr="007405BE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t>Следующий периодический доклад</w:t>
            </w:r>
          </w:p>
        </w:tc>
        <w:tc>
          <w:tcPr>
            <w:tcW w:w="4290" w:type="dxa"/>
            <w:tcBorders>
              <w:bottom w:val="single" w:sz="12" w:space="0" w:color="auto"/>
            </w:tcBorders>
            <w:shd w:val="clear" w:color="auto" w:fill="auto"/>
          </w:tcPr>
          <w:p w:rsidR="00937D18" w:rsidRPr="008C0F95" w:rsidRDefault="00937D18" w:rsidP="007C7AC2">
            <w:pPr>
              <w:suppressAutoHyphens/>
              <w:autoSpaceDE w:val="0"/>
              <w:autoSpaceDN w:val="0"/>
              <w:adjustRightInd w:val="0"/>
              <w:spacing w:before="40" w:after="120" w:line="240" w:lineRule="exact"/>
              <w:rPr>
                <w:bCs/>
              </w:rPr>
            </w:pPr>
            <w:r>
              <w:rPr>
                <w:bCs/>
              </w:rPr>
              <w:t xml:space="preserve">Надлежащая дата </w:t>
            </w:r>
            <w:r w:rsidRPr="008C0F95">
              <w:rPr>
                <w:bCs/>
              </w:rPr>
              <w:t>(как реше</w:t>
            </w:r>
            <w:r>
              <w:rPr>
                <w:bCs/>
              </w:rPr>
              <w:t>но в</w:t>
            </w:r>
            <w:r w:rsidR="006D7AE7">
              <w:rPr>
                <w:bCs/>
              </w:rPr>
              <w:t xml:space="preserve"> </w:t>
            </w:r>
            <w:r w:rsidRPr="008C0F95">
              <w:rPr>
                <w:bCs/>
              </w:rPr>
              <w:t xml:space="preserve">последнем пункте </w:t>
            </w:r>
            <w:r>
              <w:rPr>
                <w:bCs/>
              </w:rPr>
              <w:t xml:space="preserve">рассматриваемых </w:t>
            </w:r>
            <w:r w:rsidRPr="008C0F95">
              <w:rPr>
                <w:bCs/>
              </w:rPr>
              <w:t>заключительных замечаний)</w:t>
            </w:r>
          </w:p>
        </w:tc>
      </w:tr>
    </w:tbl>
    <w:p w:rsidR="00937D18" w:rsidRDefault="00937D18" w:rsidP="00937D18">
      <w:pPr>
        <w:pStyle w:val="H23GR"/>
      </w:pPr>
      <w:r>
        <w:tab/>
      </w:r>
      <w:r>
        <w:tab/>
        <w:t>Критерии мониторинга за осуществлением рекомендаций в отношении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16.</w:t>
      </w:r>
      <w:r>
        <w:tab/>
        <w:t>При рассмотрении докладов государств-участников</w:t>
      </w:r>
      <w:r w:rsidRPr="00125A9A">
        <w:t xml:space="preserve"> </w:t>
      </w:r>
      <w:r>
        <w:t>о последующей де</w:t>
      </w:r>
      <w:r>
        <w:t>я</w:t>
      </w:r>
      <w:r>
        <w:t>тельности Ком</w:t>
      </w:r>
      <w:r>
        <w:t>и</w:t>
      </w:r>
      <w:r>
        <w:t>тет оценивает:</w:t>
      </w:r>
    </w:p>
    <w:p w:rsidR="00937D18" w:rsidRDefault="00937D18" w:rsidP="00937D18">
      <w:pPr>
        <w:pStyle w:val="SingleTxtGR"/>
        <w:spacing w:after="240"/>
      </w:pPr>
      <w:r>
        <w:tab/>
        <w:t>а)</w:t>
      </w:r>
      <w:r>
        <w:tab/>
        <w:t>степень сотрудничества государства-участника в контексте проц</w:t>
      </w:r>
      <w:r>
        <w:t>е</w:t>
      </w:r>
      <w:r>
        <w:t>дуры;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b</w:t>
      </w:r>
      <w:r>
        <w:t>)</w:t>
      </w:r>
      <w:r>
        <w:tab/>
        <w:t>характер и эффект принятых мер по осуществлению выбранных рекомендаций.</w:t>
      </w:r>
    </w:p>
    <w:p w:rsidR="00937D18" w:rsidRDefault="00937D18" w:rsidP="00937D18">
      <w:pPr>
        <w:pStyle w:val="SingleTxtGR"/>
        <w:spacing w:after="240"/>
      </w:pPr>
      <w:r>
        <w:t>17.</w:t>
      </w:r>
      <w:r>
        <w:tab/>
        <w:t>В октябре 2011 года Комитет по правам человека принял ряд критериев для оценки ответов, получаемых от государств-участников. Эти критерии были определены с учетом необходимости отразить многообразие ситуаций, вкл</w:t>
      </w:r>
      <w:r>
        <w:t>ю</w:t>
      </w:r>
      <w:r>
        <w:t>чаемых в получаемые доклады и ответы о последующей деятельности. Их пр</w:t>
      </w:r>
      <w:r>
        <w:t>и</w:t>
      </w:r>
      <w:r>
        <w:t>нятие также последовало за процессом консультаций с НПО, причастных к процессу Комитета в связи с последующей деятельностью (консультации пр</w:t>
      </w:r>
      <w:r>
        <w:t>о</w:t>
      </w:r>
      <w:r>
        <w:t>водились Центром за гражданские и политические права</w:t>
      </w:r>
      <w:r>
        <w:rPr>
          <w:rStyle w:val="FootnoteReference"/>
          <w:bCs/>
          <w:color w:val="000000"/>
        </w:rPr>
        <w:footnoteReference w:id="3"/>
      </w:r>
      <w:r>
        <w:t>). Оценка ответов пр</w:t>
      </w:r>
      <w:r>
        <w:t>о</w:t>
      </w:r>
      <w:r>
        <w:t>изводится следу</w:t>
      </w:r>
      <w:r>
        <w:t>ю</w:t>
      </w:r>
      <w:r>
        <w:t>щим образом: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658"/>
        <w:gridCol w:w="14"/>
        <w:gridCol w:w="6698"/>
      </w:tblGrid>
      <w:tr w:rsidR="006D7AE7" w:rsidRPr="000A093B" w:rsidTr="007C7AC2">
        <w:tc>
          <w:tcPr>
            <w:tcW w:w="658" w:type="dxa"/>
            <w:tcBorders>
              <w:bottom w:val="single" w:sz="12" w:space="0" w:color="auto"/>
            </w:tcBorders>
            <w:shd w:val="clear" w:color="auto" w:fill="auto"/>
          </w:tcPr>
          <w:p w:rsidR="006D7AE7" w:rsidRPr="000A093B" w:rsidRDefault="006D7AE7" w:rsidP="006D7AE7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0A093B">
              <w:rPr>
                <w:i/>
                <w:sz w:val="16"/>
              </w:rPr>
              <w:br w:type="page"/>
            </w:r>
            <w:r w:rsidRPr="000A093B">
              <w:rPr>
                <w:i/>
                <w:sz w:val="16"/>
              </w:rPr>
              <w:br w:type="page"/>
            </w:r>
          </w:p>
        </w:tc>
        <w:tc>
          <w:tcPr>
            <w:cnfStyle w:val="000100000000"/>
            <w:tcW w:w="6712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6D7AE7" w:rsidRPr="000A093B" w:rsidRDefault="006D7AE7" w:rsidP="006D7AE7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0A093B">
              <w:rPr>
                <w:i/>
                <w:sz w:val="16"/>
              </w:rPr>
              <w:t>Оценк</w:t>
            </w:r>
            <w:r>
              <w:rPr>
                <w:i/>
                <w:sz w:val="16"/>
              </w:rPr>
              <w:t>а ответов</w:t>
            </w:r>
          </w:p>
        </w:tc>
      </w:tr>
      <w:tr w:rsidR="00937D18" w:rsidRPr="000A093B" w:rsidTr="00D455ED">
        <w:tc>
          <w:tcPr>
            <w:cnfStyle w:val="000100000000"/>
            <w:tcW w:w="7370" w:type="dxa"/>
            <w:gridSpan w:val="3"/>
            <w:tcBorders>
              <w:top w:val="nil"/>
            </w:tcBorders>
          </w:tcPr>
          <w:p w:rsidR="00937D18" w:rsidRPr="008C0F95" w:rsidRDefault="00937D18" w:rsidP="007C7AC2">
            <w:pPr>
              <w:keepNext/>
              <w:suppressAutoHyphens/>
              <w:rPr>
                <w:b/>
              </w:rPr>
            </w:pPr>
            <w:r w:rsidRPr="008C0F95">
              <w:rPr>
                <w:b/>
              </w:rPr>
              <w:t>Удовлетворительный ответ/</w:t>
            </w:r>
            <w:r>
              <w:rPr>
                <w:b/>
              </w:rPr>
              <w:t xml:space="preserve">действие 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keepNext/>
              <w:suppressAutoHyphens/>
            </w:pPr>
            <w:r w:rsidRPr="000A093B">
              <w:t>А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>В целом удовлетворительный ответ</w:t>
            </w:r>
          </w:p>
        </w:tc>
      </w:tr>
      <w:tr w:rsidR="00937D18" w:rsidRPr="000A093B" w:rsidTr="00D455ED">
        <w:tc>
          <w:tcPr>
            <w:cnfStyle w:val="000100000000"/>
            <w:tcW w:w="7370" w:type="dxa"/>
            <w:gridSpan w:val="3"/>
          </w:tcPr>
          <w:p w:rsidR="00937D18" w:rsidRPr="008C0F95" w:rsidRDefault="00937D18" w:rsidP="007C7AC2">
            <w:pPr>
              <w:suppressAutoHyphens/>
              <w:rPr>
                <w:b/>
              </w:rPr>
            </w:pPr>
            <w:r w:rsidRPr="008C0F95">
              <w:rPr>
                <w:b/>
              </w:rPr>
              <w:t>Частично удовлетворительный ответ/</w:t>
            </w:r>
            <w:r>
              <w:rPr>
                <w:b/>
              </w:rPr>
              <w:t xml:space="preserve">действие 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В1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>
              <w:t>Предп</w:t>
            </w:r>
            <w:r w:rsidRPr="000A093B">
              <w:t xml:space="preserve">риняты </w:t>
            </w:r>
            <w:r>
              <w:t>существенные действия</w:t>
            </w:r>
            <w:r w:rsidRPr="000A093B">
              <w:t xml:space="preserve">, но </w:t>
            </w:r>
            <w:r>
              <w:t xml:space="preserve">требуется </w:t>
            </w:r>
            <w:r w:rsidRPr="000A093B">
              <w:t>дополнительная информация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В2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>
              <w:t>Предп</w:t>
            </w:r>
            <w:r w:rsidRPr="000A093B">
              <w:t xml:space="preserve">риняты первоначальные </w:t>
            </w:r>
            <w:r>
              <w:t>действия</w:t>
            </w:r>
            <w:r w:rsidRPr="000A093B">
              <w:t xml:space="preserve">, но </w:t>
            </w:r>
            <w:r>
              <w:t xml:space="preserve">требуется </w:t>
            </w:r>
            <w:r w:rsidRPr="000A093B">
              <w:t>дополнительная информация</w:t>
            </w:r>
          </w:p>
        </w:tc>
      </w:tr>
      <w:tr w:rsidR="00937D18" w:rsidRPr="000A093B" w:rsidTr="00D455ED">
        <w:tc>
          <w:tcPr>
            <w:cnfStyle w:val="000100000000"/>
            <w:tcW w:w="7370" w:type="dxa"/>
            <w:gridSpan w:val="3"/>
          </w:tcPr>
          <w:p w:rsidR="00937D18" w:rsidRPr="00E620C0" w:rsidRDefault="00937D18" w:rsidP="007C7AC2">
            <w:pPr>
              <w:suppressAutoHyphens/>
              <w:rPr>
                <w:b/>
              </w:rPr>
            </w:pPr>
            <w:r w:rsidRPr="00E620C0">
              <w:rPr>
                <w:b/>
              </w:rPr>
              <w:t>Неудовлетворительный ответ/</w:t>
            </w:r>
            <w:r>
              <w:rPr>
                <w:b/>
              </w:rPr>
              <w:t xml:space="preserve">действие 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С1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 xml:space="preserve">Ответ получен, но </w:t>
            </w:r>
            <w:r>
              <w:t>пред</w:t>
            </w:r>
            <w:r w:rsidRPr="000A093B">
              <w:t xml:space="preserve">принятые </w:t>
            </w:r>
            <w:r>
              <w:t xml:space="preserve">действия </w:t>
            </w:r>
            <w:r w:rsidRPr="000A093B">
              <w:t xml:space="preserve">не обеспечивают </w:t>
            </w:r>
            <w:r>
              <w:t xml:space="preserve">осуществление </w:t>
            </w:r>
            <w:r w:rsidRPr="000A093B">
              <w:t>рекомендации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С2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>Ответ получен, но не имеет отношения к рекомендации</w:t>
            </w:r>
          </w:p>
        </w:tc>
      </w:tr>
      <w:tr w:rsidR="00937D18" w:rsidRPr="000A093B" w:rsidTr="00D455ED">
        <w:tc>
          <w:tcPr>
            <w:cnfStyle w:val="000100000000"/>
            <w:tcW w:w="7370" w:type="dxa"/>
            <w:gridSpan w:val="3"/>
          </w:tcPr>
          <w:p w:rsidR="00937D18" w:rsidRPr="00E620C0" w:rsidRDefault="00937D18" w:rsidP="007C7AC2">
            <w:pPr>
              <w:suppressAutoHyphens/>
              <w:rPr>
                <w:b/>
              </w:rPr>
            </w:pPr>
            <w:r w:rsidRPr="00E620C0">
              <w:rPr>
                <w:b/>
              </w:rPr>
              <w:t>Отсутствие сотрудничества с Комитетом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D1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 xml:space="preserve">Не получено никакого ответа </w:t>
            </w:r>
            <w:r>
              <w:t>по</w:t>
            </w:r>
            <w:r w:rsidR="007C7AC2">
              <w:t xml:space="preserve"> одной или более рекомендаций в </w:t>
            </w:r>
            <w:r>
              <w:t xml:space="preserve">отношении последующей деятельности или по части рекомендации в отношении последующей деятельности 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D2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>Не получено никакого ответа</w:t>
            </w:r>
            <w:r>
              <w:t xml:space="preserve"> </w:t>
            </w:r>
            <w:r w:rsidRPr="000A093B">
              <w:t>после напоминания(й)</w:t>
            </w:r>
          </w:p>
        </w:tc>
      </w:tr>
      <w:tr w:rsidR="00937D18" w:rsidRPr="000A093B" w:rsidTr="00D455ED">
        <w:tc>
          <w:tcPr>
            <w:cnfStyle w:val="000100000000"/>
            <w:tcW w:w="7370" w:type="dxa"/>
            <w:gridSpan w:val="3"/>
          </w:tcPr>
          <w:p w:rsidR="00937D18" w:rsidRPr="00E620C0" w:rsidRDefault="00937D18" w:rsidP="007C7AC2">
            <w:pPr>
              <w:suppressAutoHyphens/>
              <w:rPr>
                <w:b/>
              </w:rPr>
            </w:pPr>
            <w:r w:rsidRPr="00E620C0">
              <w:rPr>
                <w:b/>
              </w:rPr>
              <w:t>Принятые меры противоречат рекомендациям Комитета</w:t>
            </w:r>
          </w:p>
        </w:tc>
      </w:tr>
      <w:tr w:rsidR="00937D18" w:rsidRPr="000A093B" w:rsidTr="00D455ED">
        <w:tc>
          <w:tcPr>
            <w:tcW w:w="672" w:type="dxa"/>
            <w:gridSpan w:val="2"/>
          </w:tcPr>
          <w:p w:rsidR="00937D18" w:rsidRPr="000A093B" w:rsidRDefault="00937D18" w:rsidP="007C7AC2">
            <w:pPr>
              <w:suppressAutoHyphens/>
            </w:pPr>
            <w:r w:rsidRPr="000A093B">
              <w:t>Е</w:t>
            </w:r>
          </w:p>
        </w:tc>
        <w:tc>
          <w:tcPr>
            <w:cnfStyle w:val="000100000000"/>
            <w:tcW w:w="6698" w:type="dxa"/>
          </w:tcPr>
          <w:p w:rsidR="00937D18" w:rsidRPr="000A093B" w:rsidRDefault="00937D18" w:rsidP="007C7AC2">
            <w:pPr>
              <w:suppressAutoHyphens/>
            </w:pPr>
            <w:r w:rsidRPr="000A093B">
              <w:t xml:space="preserve">Ответ свидетельствует о том, что принятые меры </w:t>
            </w:r>
            <w:r>
              <w:t>идут вразрез с </w:t>
            </w:r>
            <w:r w:rsidRPr="000A093B">
              <w:t>рекомендациям</w:t>
            </w:r>
            <w:r>
              <w:t>и</w:t>
            </w:r>
            <w:r w:rsidRPr="000A093B">
              <w:t xml:space="preserve"> Комитета</w:t>
            </w:r>
          </w:p>
        </w:tc>
      </w:tr>
    </w:tbl>
    <w:p w:rsidR="00937D18" w:rsidRDefault="00937D18" w:rsidP="00937D18">
      <w:pPr>
        <w:pStyle w:val="SingleTxtGR"/>
        <w:spacing w:before="120" w:after="240"/>
      </w:pPr>
      <w:r>
        <w:t>18.</w:t>
      </w:r>
      <w:r>
        <w:tab/>
        <w:t>При оценке ответов применение критериев производится следующим о</w:t>
      </w:r>
      <w:r>
        <w:t>б</w:t>
      </w:r>
      <w:r>
        <w:t>разом:</w:t>
      </w:r>
    </w:p>
    <w:p w:rsidR="00937D18" w:rsidRDefault="00937D18" w:rsidP="007C7AC2">
      <w:pPr>
        <w:pStyle w:val="Bullet1GR"/>
      </w:pPr>
      <w:r w:rsidRPr="002137E3">
        <w:rPr>
          <w:b/>
        </w:rPr>
        <w:t>удовлетворительный ответ/действие</w:t>
      </w:r>
      <w:r>
        <w:t>: государство-участник предост</w:t>
      </w:r>
      <w:r>
        <w:t>а</w:t>
      </w:r>
      <w:r>
        <w:t>вило свидетельства о предпринятых значительных действиях в русле осуществления рекомендаций, вынесенных Комитетом [A]; в этом сл</w:t>
      </w:r>
      <w:r>
        <w:t>у</w:t>
      </w:r>
      <w:r>
        <w:t>чае Специальный докладчик по последующей деятельности в связи с закл</w:t>
      </w:r>
      <w:r>
        <w:t>ю</w:t>
      </w:r>
      <w:r>
        <w:t>чительными замечаниями не запрашивает у государства-участника ник</w:t>
      </w:r>
      <w:r>
        <w:t>а</w:t>
      </w:r>
      <w:r>
        <w:t>кой дополнительной информации и процедура последующей деятельн</w:t>
      </w:r>
      <w:r>
        <w:t>о</w:t>
      </w:r>
      <w:r>
        <w:t>сти по данной проблеме прекраща</w:t>
      </w:r>
      <w:r>
        <w:t>е</w:t>
      </w:r>
      <w:r>
        <w:t>тся;</w:t>
      </w:r>
    </w:p>
    <w:p w:rsidR="00937D18" w:rsidRDefault="00937D18" w:rsidP="007C7AC2">
      <w:pPr>
        <w:pStyle w:val="Bullet1GR"/>
      </w:pPr>
      <w:r w:rsidRPr="00E2651C">
        <w:rPr>
          <w:b/>
        </w:rPr>
        <w:t>частично удовлетворительный ответ/действие</w:t>
      </w:r>
      <w:r>
        <w:t>: государство-участник предприняло некоторые шаги в русле осуществления рекомендаций, но все же необходима дополнительная информация [B1]</w:t>
      </w:r>
      <w:r w:rsidR="00D455ED">
        <w:t>,</w:t>
      </w:r>
      <w:r>
        <w:t xml:space="preserve"> или же государс</w:t>
      </w:r>
      <w:r>
        <w:t>т</w:t>
      </w:r>
      <w:r>
        <w:t>ву-участнику нужно предпринять дальнейшие действия и предоставить Комитету информацию в этом отношении [B2]. В этом случае Специал</w:t>
      </w:r>
      <w:r>
        <w:t>ь</w:t>
      </w:r>
      <w:r>
        <w:t>ный докладчик по последующей деятельности в связи с заключительн</w:t>
      </w:r>
      <w:r>
        <w:t>ы</w:t>
      </w:r>
      <w:r>
        <w:t>ми замечаниями запрашивает дополнительную информацию в пределах конкретных хронологических рамок или в следующем периодическом докладе по конкретным пунктам его предыдущего ответа, которые тр</w:t>
      </w:r>
      <w:r>
        <w:t>е</w:t>
      </w:r>
      <w:r>
        <w:t>буют разъяснения, или по предпринимаемым государством-участником дополнительным шагам с целью осуществления рекоменд</w:t>
      </w:r>
      <w:r>
        <w:t>а</w:t>
      </w:r>
      <w:r>
        <w:t>ции;</w:t>
      </w:r>
    </w:p>
    <w:p w:rsidR="00937D18" w:rsidRDefault="00937D18" w:rsidP="007C7AC2">
      <w:pPr>
        <w:pStyle w:val="Bullet1GR"/>
      </w:pPr>
      <w:r w:rsidRPr="00CA35C9">
        <w:rPr>
          <w:b/>
        </w:rPr>
        <w:t>неудовлетворительный ответ/действие</w:t>
      </w:r>
      <w:r>
        <w:t>: государство-участник не пре</w:t>
      </w:r>
      <w:r>
        <w:t>д</w:t>
      </w:r>
      <w:r>
        <w:t>приняло никаких действий по осуществлению рекомендации [C1], или же предпринятые действия не улаживают рассматриваемую ситу</w:t>
      </w:r>
      <w:r>
        <w:t>а</w:t>
      </w:r>
      <w:r>
        <w:t>цию [C2]. В этом случае Специальный докладчик по последующей деятельности в связи с заключительными замечаниями вновь делает запрос на информ</w:t>
      </w:r>
      <w:r>
        <w:t>а</w:t>
      </w:r>
      <w:r>
        <w:t>цию о предпринятых шагах по осуществлению рекоменд</w:t>
      </w:r>
      <w:r>
        <w:t>а</w:t>
      </w:r>
      <w:r>
        <w:t>ции;</w:t>
      </w:r>
    </w:p>
    <w:p w:rsidR="00937D18" w:rsidRDefault="00937D18" w:rsidP="007C7AC2">
      <w:pPr>
        <w:pStyle w:val="Bullet1GR"/>
      </w:pPr>
      <w:r w:rsidRPr="000644B3">
        <w:rPr>
          <w:b/>
        </w:rPr>
        <w:t>отсутствие сотрудничества с Комитетом</w:t>
      </w:r>
      <w:r>
        <w:t>: государство-участник не о</w:t>
      </w:r>
      <w:r>
        <w:t>т</w:t>
      </w:r>
      <w:r>
        <w:t>ветило в рамках предельного срока, или же государство-участник не пр</w:t>
      </w:r>
      <w:r>
        <w:t>е</w:t>
      </w:r>
      <w:r>
        <w:t>доставило информаци</w:t>
      </w:r>
      <w:r w:rsidR="00A276A8">
        <w:t>и</w:t>
      </w:r>
      <w:r>
        <w:t xml:space="preserve"> о принятых мерах по осуществлению одной из рекомендаций в отношении последующей деятельности [D1], или же г</w:t>
      </w:r>
      <w:r>
        <w:t>о</w:t>
      </w:r>
      <w:r>
        <w:t>сударство-участник не предоставило информаци</w:t>
      </w:r>
      <w:r w:rsidR="00A276A8">
        <w:t>и</w:t>
      </w:r>
      <w:r>
        <w:t xml:space="preserve"> несмотря на напомин</w:t>
      </w:r>
      <w:r>
        <w:t>а</w:t>
      </w:r>
      <w:r>
        <w:t>ние(я), направленные Специальным докладчиком [D2].</w:t>
      </w:r>
    </w:p>
    <w:p w:rsidR="00937D18" w:rsidRDefault="00937D18" w:rsidP="007C7AC2">
      <w:pPr>
        <w:pStyle w:val="Bullet1GR"/>
      </w:pPr>
      <w:r w:rsidRPr="00E22306">
        <w:rPr>
          <w:b/>
        </w:rPr>
        <w:t>принятые меры противоречат рекомендациям Комитета</w:t>
      </w:r>
      <w:r>
        <w:t>: государс</w:t>
      </w:r>
      <w:r>
        <w:t>т</w:t>
      </w:r>
      <w:r>
        <w:t>во-участник приняло меры, которые вступают в противоречие или результ</w:t>
      </w:r>
      <w:r>
        <w:t>а</w:t>
      </w:r>
      <w:r>
        <w:t>ты которых вступают в противоречие с рекомендацией Комитета [E].</w:t>
      </w:r>
    </w:p>
    <w:p w:rsidR="00937D18" w:rsidRDefault="00937D18" w:rsidP="00937D18">
      <w:pPr>
        <w:pStyle w:val="SingleTxtGR"/>
        <w:spacing w:after="240"/>
      </w:pPr>
      <w:r>
        <w:t>19.</w:t>
      </w:r>
      <w:r>
        <w:tab/>
        <w:t>Некоторые рекомендации охватывают различные пункты или проблемы. В таких случаях обычно к одной рекомендации применяются не один, а бол</w:t>
      </w:r>
      <w:r>
        <w:t>ь</w:t>
      </w:r>
      <w:r>
        <w:t xml:space="preserve">ше критериев оценки, с тем чтобы дифференцировать реализованные аспекты </w:t>
      </w:r>
      <w:r w:rsidR="00A276A8">
        <w:t>и</w:t>
      </w:r>
      <w:r>
        <w:t xml:space="preserve"> аспект</w:t>
      </w:r>
      <w:r w:rsidR="00A276A8">
        <w:t>ы</w:t>
      </w:r>
      <w:r>
        <w:t>, по которым запрашиваются дополнительные действия или свед</w:t>
      </w:r>
      <w:r>
        <w:t>е</w:t>
      </w:r>
      <w:r>
        <w:t>ния, и аспект</w:t>
      </w:r>
      <w:r w:rsidR="00A276A8">
        <w:t>ы</w:t>
      </w:r>
      <w:r>
        <w:t>, которые не были улажены.</w:t>
      </w:r>
    </w:p>
    <w:p w:rsidR="00937D18" w:rsidRDefault="00937D18" w:rsidP="00937D18">
      <w:pPr>
        <w:pStyle w:val="H23GR"/>
      </w:pPr>
      <w:r>
        <w:tab/>
      </w:r>
      <w:r>
        <w:tab/>
        <w:t>Письма в отношении последующей деятельности, направляемые государству-участнику Специальным докладчиком по последующей деятельности в связи с заключительными замечаниями и ответы о 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20.</w:t>
      </w:r>
      <w:r>
        <w:tab/>
        <w:t>После принятия доклада о ходе последующей деятельности Сп</w:t>
      </w:r>
      <w:r>
        <w:t>е</w:t>
      </w:r>
      <w:r>
        <w:t>циальный докладчик по последующей деятельности в связи с заключительными замеч</w:t>
      </w:r>
      <w:r>
        <w:t>а</w:t>
      </w:r>
      <w:r>
        <w:t>ниями направляет государству-участнику письма, отражающие анализ и реш</w:t>
      </w:r>
      <w:r>
        <w:t>е</w:t>
      </w:r>
      <w:r>
        <w:t>ние, принят</w:t>
      </w:r>
      <w:r w:rsidR="00A276A8">
        <w:t>ы</w:t>
      </w:r>
      <w:r>
        <w:t>е Комитетом. В большинстве случаев у государства-участника</w:t>
      </w:r>
      <w:r w:rsidRPr="005A2F0E">
        <w:t xml:space="preserve"> </w:t>
      </w:r>
      <w:r>
        <w:t>з</w:t>
      </w:r>
      <w:r>
        <w:t>а</w:t>
      </w:r>
      <w:r>
        <w:t>прашиваются</w:t>
      </w:r>
      <w:r w:rsidRPr="005A2F0E">
        <w:t xml:space="preserve"> </w:t>
      </w:r>
      <w:r>
        <w:t>дополнительные действия и/или сведения. Затем письмо, напра</w:t>
      </w:r>
      <w:r>
        <w:t>в</w:t>
      </w:r>
      <w:r>
        <w:t>ляемое государству-участнику, указывает остающиеся проблемы. Такие письма направляются не позднее чем через три недели после окончания сессии. Ответы на письма, получаемые от государств-участников, именуются ответами о п</w:t>
      </w:r>
      <w:r>
        <w:t>о</w:t>
      </w:r>
      <w:r>
        <w:t xml:space="preserve">следующей деятельности. </w:t>
      </w:r>
      <w:r w:rsidRPr="00785BC2">
        <w:t xml:space="preserve">Письма в отношении последующей деятельности </w:t>
      </w:r>
      <w:r>
        <w:t>должны систематически указывать предельный срок для отв</w:t>
      </w:r>
      <w:r>
        <w:t>е</w:t>
      </w:r>
      <w:r>
        <w:t>та.</w:t>
      </w:r>
    </w:p>
    <w:p w:rsidR="00937D18" w:rsidRDefault="00937D18" w:rsidP="00937D18">
      <w:pPr>
        <w:pStyle w:val="SingleTxtGR"/>
        <w:spacing w:after="240"/>
      </w:pPr>
      <w:r>
        <w:t>21.</w:t>
      </w:r>
      <w:r>
        <w:tab/>
        <w:t>Государствам-участникам предлагается посылать ответы о последующей деятельности по крайней мере за неделю до начала последующей сессии, с тем чтобы Комитет мог принять ответы в расчет и включить их в таблицу относ</w:t>
      </w:r>
      <w:r>
        <w:t>и</w:t>
      </w:r>
      <w:r>
        <w:t>тельно последующей деятельности (что позволяет избежать направления н</w:t>
      </w:r>
      <w:r>
        <w:t>е</w:t>
      </w:r>
      <w:r>
        <w:t>нужных напоминаний). Этот предельный срок также позволяет секретариату своевременно послать ответы на перевод, с тем чтобы они могли быть проан</w:t>
      </w:r>
      <w:r>
        <w:t>а</w:t>
      </w:r>
      <w:r>
        <w:t>лизированы на сл</w:t>
      </w:r>
      <w:r>
        <w:t>е</w:t>
      </w:r>
      <w:r>
        <w:t>дующей сессии.</w:t>
      </w:r>
    </w:p>
    <w:p w:rsidR="00937D18" w:rsidRDefault="00937D18" w:rsidP="00937D18">
      <w:pPr>
        <w:pStyle w:val="H23GR"/>
      </w:pPr>
      <w:r>
        <w:tab/>
      </w:r>
      <w:r>
        <w:tab/>
        <w:t>Меры, принимаемые в отсутствие доклада или ответа от государства-участника</w:t>
      </w:r>
    </w:p>
    <w:p w:rsidR="00937D18" w:rsidRDefault="00937D18" w:rsidP="00937D18">
      <w:pPr>
        <w:pStyle w:val="SingleTxtGR"/>
        <w:spacing w:after="240"/>
      </w:pPr>
      <w:r>
        <w:t>22.</w:t>
      </w:r>
      <w:r>
        <w:tab/>
        <w:t>Когда государство-участник не предоставляет доклад или ответ о посл</w:t>
      </w:r>
      <w:r>
        <w:t>е</w:t>
      </w:r>
      <w:r>
        <w:t xml:space="preserve">дующей деятельности, направляются напоминания (первое напоминание </w:t>
      </w:r>
      <w:r w:rsidR="0013173F">
        <w:t>− на </w:t>
      </w:r>
      <w:r>
        <w:t>следующей сессии после той, на которой ожидался доклад о последующей деятельности; а второе напоминание − в случае если не было получено ответа после первого напом</w:t>
      </w:r>
      <w:r>
        <w:t>и</w:t>
      </w:r>
      <w:r>
        <w:t>нания).</w:t>
      </w:r>
    </w:p>
    <w:p w:rsidR="00937D18" w:rsidRDefault="00937D18" w:rsidP="00937D18">
      <w:pPr>
        <w:pStyle w:val="SingleTxtGR"/>
        <w:spacing w:after="240"/>
      </w:pPr>
      <w:r>
        <w:t>23.</w:t>
      </w:r>
      <w:r>
        <w:tab/>
        <w:t>Если после второго напоминания Комитетом не получено никакого отв</w:t>
      </w:r>
      <w:r>
        <w:t>е</w:t>
      </w:r>
      <w:r>
        <w:t>та, Специальный докладчик по последующей деятельности связи с заключ</w:t>
      </w:r>
      <w:r>
        <w:t>и</w:t>
      </w:r>
      <w:r>
        <w:t>тельными замечаниями направляет государству-участнику письмо с просьбой о встрече, которая организуется секретариатом и проводится в ходе последующей сессии.</w:t>
      </w:r>
    </w:p>
    <w:p w:rsidR="00937D18" w:rsidRDefault="00937D18" w:rsidP="00937D18">
      <w:pPr>
        <w:pStyle w:val="SingleTxtGR"/>
        <w:spacing w:after="240"/>
      </w:pPr>
      <w:r>
        <w:t>24.</w:t>
      </w:r>
      <w:r>
        <w:tab/>
        <w:t>Если ответ не присылается несмотря на напоминания, то Комитет делает ссылку на такое отсутствие сотрудничества в ходе диалога и в следующих з</w:t>
      </w:r>
      <w:r>
        <w:t>а</w:t>
      </w:r>
      <w:r>
        <w:t>ключительных замечаниях, принимаемых по государству-участнику ("Ком</w:t>
      </w:r>
      <w:r>
        <w:t>и</w:t>
      </w:r>
      <w:r>
        <w:t>тет сожалеет, что государство-участник не предоставило никакого доклада/ответа на письмо от [XXXX], направленное государству-участнику по процедуре п</w:t>
      </w:r>
      <w:r>
        <w:t>о</w:t>
      </w:r>
      <w:r>
        <w:t>следующей деятельности в связи с заключ</w:t>
      </w:r>
      <w:r>
        <w:t>и</w:t>
      </w:r>
      <w:r>
        <w:t>тельными замечаниями".).</w:t>
      </w:r>
    </w:p>
    <w:p w:rsidR="00937D18" w:rsidRDefault="00937D18" w:rsidP="00937D18">
      <w:pPr>
        <w:pStyle w:val="H23GR"/>
      </w:pPr>
      <w:r>
        <w:tab/>
      </w:r>
      <w:r>
        <w:tab/>
        <w:t>Прекращение процесса последующей деятельности</w:t>
      </w:r>
    </w:p>
    <w:p w:rsidR="00937D18" w:rsidRDefault="00937D18" w:rsidP="00937D18">
      <w:pPr>
        <w:pStyle w:val="SingleTxtGR"/>
        <w:spacing w:after="240"/>
      </w:pPr>
      <w:r>
        <w:t>25.</w:t>
      </w:r>
      <w:r>
        <w:tab/>
        <w:t>Процесс последующий деятельности может быть прекращен в силу сл</w:t>
      </w:r>
      <w:r>
        <w:t>е</w:t>
      </w:r>
      <w:r>
        <w:t>дующих трех обстоятельств:</w:t>
      </w:r>
    </w:p>
    <w:p w:rsidR="00937D18" w:rsidRDefault="00937D18" w:rsidP="00937D18">
      <w:pPr>
        <w:pStyle w:val="SingleTxtGR"/>
        <w:spacing w:after="240"/>
      </w:pPr>
      <w:r>
        <w:tab/>
        <w:t>а)</w:t>
      </w:r>
      <w:r>
        <w:tab/>
        <w:t>Комитет считает удовлетворительным доклад/ответы государс</w:t>
      </w:r>
      <w:r>
        <w:t>т</w:t>
      </w:r>
      <w:r>
        <w:t>ва-участника о последующей де</w:t>
      </w:r>
      <w:r>
        <w:t>я</w:t>
      </w:r>
      <w:r>
        <w:t>тельности;</w:t>
      </w:r>
    </w:p>
    <w:p w:rsidR="00937D18" w:rsidRDefault="00937D18" w:rsidP="00937D18">
      <w:pPr>
        <w:pStyle w:val="SingleTxtGR"/>
        <w:spacing w:after="240"/>
      </w:pPr>
      <w:r>
        <w:tab/>
      </w:r>
      <w:r>
        <w:rPr>
          <w:lang w:val="en-US"/>
        </w:rPr>
        <w:t>b</w:t>
      </w:r>
      <w:r>
        <w:t>)</w:t>
      </w:r>
      <w:r>
        <w:tab/>
        <w:t>перечень вопросов до представления докладов применительно к государству-участнику должен быть принят в течение шести мес</w:t>
      </w:r>
      <w:r>
        <w:t>я</w:t>
      </w:r>
      <w:r>
        <w:t>цев после принятия доклада Специального докладчика о ходе последующей де</w:t>
      </w:r>
      <w:r>
        <w:t>я</w:t>
      </w:r>
      <w:r>
        <w:t>тельности. В</w:t>
      </w:r>
      <w:r>
        <w:rPr>
          <w:lang w:val="en-US"/>
        </w:rPr>
        <w:t> </w:t>
      </w:r>
      <w:r>
        <w:t>этом случае вопросы в отношении последующей деятельности, которые не получили ответа со стороны государства-участника, должны быть включены в перечень вопросов до представления докладов;</w:t>
      </w:r>
    </w:p>
    <w:p w:rsidR="00937D18" w:rsidRDefault="00937D18" w:rsidP="00937D18">
      <w:pPr>
        <w:pStyle w:val="SingleTxtGR"/>
        <w:spacing w:after="240"/>
      </w:pPr>
      <w:r>
        <w:tab/>
        <w:t>c)</w:t>
      </w:r>
      <w:r>
        <w:tab/>
        <w:t>предельный срок для следующего периодического доклада наст</w:t>
      </w:r>
      <w:r>
        <w:t>у</w:t>
      </w:r>
      <w:r>
        <w:t>пает в течение шести месяцев после принятия доклада Специального докладч</w:t>
      </w:r>
      <w:r>
        <w:t>и</w:t>
      </w:r>
      <w:r>
        <w:t>ка о ходе последующей деятельности. В этом случае в перечень вопросов будут автоматически включаться вопросы в отношении последующей деятельности, которые не получили ответа со стороны госуда</w:t>
      </w:r>
      <w:r>
        <w:t>р</w:t>
      </w:r>
      <w:r>
        <w:t>ства-участника.</w:t>
      </w:r>
    </w:p>
    <w:p w:rsidR="00937D18" w:rsidRDefault="00937D18" w:rsidP="00937D18">
      <w:pPr>
        <w:pStyle w:val="SingleTxtGR"/>
        <w:spacing w:after="240"/>
      </w:pPr>
      <w:r>
        <w:t>26.</w:t>
      </w:r>
      <w:r>
        <w:tab/>
        <w:t xml:space="preserve">Чтобы не допустить </w:t>
      </w:r>
      <w:r w:rsidR="0013173F">
        <w:t>накладки</w:t>
      </w:r>
      <w:r>
        <w:t xml:space="preserve"> процедуры последующей деятельности с другими шагами по процедуре </w:t>
      </w:r>
      <w:r w:rsidR="0013173F">
        <w:t>представления докладов</w:t>
      </w:r>
      <w:r>
        <w:t>, первая систематически прекращается после двух писем с запросом на дополнительные сведения или действия. Другими словами, процедура последующей деятельности системат</w:t>
      </w:r>
      <w:r>
        <w:t>и</w:t>
      </w:r>
      <w:r>
        <w:t>чески прекращается после предоставления третьего ответа государства-участника</w:t>
      </w:r>
      <w:r w:rsidRPr="000C4D29">
        <w:t xml:space="preserve"> </w:t>
      </w:r>
      <w:r>
        <w:t>по с</w:t>
      </w:r>
      <w:r>
        <w:t>у</w:t>
      </w:r>
      <w:r>
        <w:t>ществу.</w:t>
      </w:r>
    </w:p>
    <w:p w:rsidR="00937D18" w:rsidRDefault="00937D18" w:rsidP="00937D18">
      <w:pPr>
        <w:pStyle w:val="SingleTxtGR"/>
        <w:spacing w:after="240"/>
      </w:pPr>
      <w:r>
        <w:t>27.</w:t>
      </w:r>
      <w:r>
        <w:tab/>
        <w:t>Если же Комитет тогда сочтет, что предоставленная информация носит неудовлетворительный характер, то остающиеся проблемы включаются в сл</w:t>
      </w:r>
      <w:r>
        <w:t>е</w:t>
      </w:r>
      <w:r>
        <w:t>дующий перечень вопросов или в перечень вопросов до представления докл</w:t>
      </w:r>
      <w:r>
        <w:t>а</w:t>
      </w:r>
      <w:r>
        <w:t>дов, который подлежит принятию в отношении соответствующего гос</w:t>
      </w:r>
      <w:r>
        <w:t>у</w:t>
      </w:r>
      <w:r>
        <w:t xml:space="preserve">дарства-участника. </w:t>
      </w:r>
    </w:p>
    <w:p w:rsidR="00C94F11" w:rsidRPr="0013173F" w:rsidRDefault="00937D18" w:rsidP="00937D18">
      <w:pPr>
        <w:pStyle w:val="SingleTxtGR"/>
      </w:pPr>
      <w:r>
        <w:t>28.</w:t>
      </w:r>
      <w:r>
        <w:tab/>
        <w:t>Во всех таких обстоятельствах Комитет должен направить гос</w:t>
      </w:r>
      <w:r>
        <w:t>у</w:t>
      </w:r>
      <w:r>
        <w:t xml:space="preserve">дарству-участнику письмо с извещением </w:t>
      </w:r>
      <w:r w:rsidR="0013173F">
        <w:t xml:space="preserve">его </w:t>
      </w:r>
      <w:r>
        <w:t>о прекращении процедуры последующей деятельности.</w:t>
      </w:r>
    </w:p>
    <w:p w:rsidR="00937D18" w:rsidRPr="0013173F" w:rsidRDefault="00937D18" w:rsidP="00937D18">
      <w:pPr>
        <w:spacing w:before="240"/>
        <w:jc w:val="center"/>
        <w:rPr>
          <w:u w:val="single"/>
        </w:rPr>
      </w:pPr>
      <w:r w:rsidRPr="0013173F">
        <w:rPr>
          <w:u w:val="single"/>
        </w:rPr>
        <w:tab/>
      </w:r>
      <w:r w:rsidRPr="0013173F">
        <w:rPr>
          <w:u w:val="single"/>
        </w:rPr>
        <w:tab/>
      </w:r>
      <w:r w:rsidRPr="0013173F">
        <w:rPr>
          <w:u w:val="single"/>
        </w:rPr>
        <w:tab/>
      </w:r>
    </w:p>
    <w:sectPr w:rsidR="00937D18" w:rsidRPr="0013173F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9E" w:rsidRDefault="008C259E">
      <w:r>
        <w:rPr>
          <w:lang w:val="en-US"/>
        </w:rPr>
        <w:tab/>
      </w:r>
      <w:r>
        <w:separator/>
      </w:r>
    </w:p>
  </w:endnote>
  <w:endnote w:type="continuationSeparator" w:id="0">
    <w:p w:rsidR="008C259E" w:rsidRDefault="008C2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45" w:rsidRPr="005F0588" w:rsidRDefault="00257D4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7FE5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GE.13-47691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45" w:rsidRPr="005F0588" w:rsidRDefault="00257D45">
    <w:pPr>
      <w:pStyle w:val="Footer"/>
      <w:rPr>
        <w:lang w:val="en-US"/>
      </w:rPr>
    </w:pPr>
    <w:r>
      <w:rPr>
        <w:lang w:val="en-US"/>
      </w:rPr>
      <w:t>GE.13-47691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7FE5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45" w:rsidRPr="007B2C3F" w:rsidRDefault="00257D45">
    <w:pPr>
      <w:pStyle w:val="Footer"/>
      <w:rPr>
        <w:sz w:val="20"/>
        <w:lang w:val="en-US"/>
      </w:rPr>
    </w:pPr>
    <w:r>
      <w:rPr>
        <w:sz w:val="20"/>
        <w:lang w:val="en-US"/>
      </w:rPr>
      <w:t>GE.13-47691  (R)  041113  041113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9E" w:rsidRPr="00F71F63" w:rsidRDefault="008C259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C259E" w:rsidRPr="00F71F63" w:rsidRDefault="008C259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C259E" w:rsidRPr="00635E86" w:rsidRDefault="008C259E" w:rsidP="00635E86">
      <w:pPr>
        <w:pStyle w:val="Footer"/>
      </w:pPr>
    </w:p>
  </w:footnote>
  <w:footnote w:id="1">
    <w:p w:rsidR="00257D45" w:rsidRPr="00C94F11" w:rsidRDefault="00257D45">
      <w:pPr>
        <w:pStyle w:val="FootnoteText"/>
        <w:rPr>
          <w:sz w:val="20"/>
          <w:lang w:val="ru-RU"/>
        </w:rPr>
      </w:pPr>
      <w:r>
        <w:tab/>
      </w:r>
      <w:r w:rsidRPr="00C94F11">
        <w:rPr>
          <w:rStyle w:val="FootnoteReference"/>
          <w:sz w:val="20"/>
          <w:vertAlign w:val="baseline"/>
          <w:lang w:val="ru-RU"/>
        </w:rPr>
        <w:t>*</w:t>
      </w:r>
      <w:r w:rsidRPr="00C94F11">
        <w:rPr>
          <w:lang w:val="ru-RU"/>
        </w:rPr>
        <w:tab/>
      </w:r>
      <w:r w:rsidRPr="00F3083D">
        <w:rPr>
          <w:sz w:val="20"/>
          <w:lang w:val="ru-RU"/>
        </w:rPr>
        <w:t>Принято Комитетом н</w:t>
      </w:r>
      <w:r>
        <w:rPr>
          <w:sz w:val="20"/>
          <w:lang w:val="ru-RU"/>
        </w:rPr>
        <w:t>а</w:t>
      </w:r>
      <w:r w:rsidRPr="00F3083D">
        <w:rPr>
          <w:sz w:val="20"/>
          <w:lang w:val="ru-RU"/>
        </w:rPr>
        <w:t xml:space="preserve"> его </w:t>
      </w:r>
      <w:r w:rsidRPr="00F3083D">
        <w:rPr>
          <w:szCs w:val="18"/>
          <w:lang w:val="ru-RU"/>
        </w:rPr>
        <w:t>108-й сессии (</w:t>
      </w:r>
      <w:r w:rsidRPr="00F3083D">
        <w:rPr>
          <w:lang w:val="ru-RU"/>
        </w:rPr>
        <w:t>8–26 июля 2013 года).</w:t>
      </w:r>
    </w:p>
  </w:footnote>
  <w:footnote w:id="2">
    <w:p w:rsidR="00257D45" w:rsidRPr="00F3083D" w:rsidRDefault="00257D45" w:rsidP="00937D18">
      <w:pPr>
        <w:pStyle w:val="FootnoteText"/>
        <w:rPr>
          <w:lang w:val="ru-RU"/>
        </w:rPr>
      </w:pPr>
      <w:r w:rsidRPr="00F3083D">
        <w:rPr>
          <w:lang w:val="ru-RU"/>
        </w:rPr>
        <w:tab/>
      </w:r>
      <w:r w:rsidRPr="00F3083D">
        <w:rPr>
          <w:rStyle w:val="FootnoteReference"/>
          <w:lang w:val="ru-RU"/>
        </w:rPr>
        <w:footnoteRef/>
      </w:r>
      <w:r w:rsidRPr="00F3083D">
        <w:rPr>
          <w:lang w:val="ru-RU"/>
        </w:rPr>
        <w:tab/>
        <w:t xml:space="preserve">Аналогичные руководящие принципы были приняты Комитетом по ликвидации расовой дискриминации в отношении женщин на его пятьдесят четвертой сессии в феврале 2013 года. </w:t>
      </w:r>
    </w:p>
  </w:footnote>
  <w:footnote w:id="3">
    <w:p w:rsidR="00257D45" w:rsidRPr="00F3083D" w:rsidRDefault="00257D45" w:rsidP="00937D18">
      <w:pPr>
        <w:pStyle w:val="FootnoteText"/>
        <w:rPr>
          <w:lang w:val="ru-RU"/>
        </w:rPr>
      </w:pPr>
      <w:r w:rsidRPr="00F3083D">
        <w:rPr>
          <w:lang w:val="ru-RU"/>
        </w:rPr>
        <w:tab/>
      </w:r>
      <w:r w:rsidRPr="00F3083D">
        <w:rPr>
          <w:rStyle w:val="FootnoteReference"/>
          <w:lang w:val="ru-RU"/>
        </w:rPr>
        <w:footnoteRef/>
      </w:r>
      <w:r w:rsidRPr="00F3083D">
        <w:rPr>
          <w:lang w:val="ru-RU"/>
        </w:rPr>
        <w:tab/>
        <w:t xml:space="preserve">Критерии, принятые Центром за гражданские и политические права не включают ссылку на степень сотрудничества государства-участника в контексте процедуры. Такие критерии по-прежнему имеют </w:t>
      </w:r>
      <w:r>
        <w:rPr>
          <w:lang w:val="ru-RU"/>
        </w:rPr>
        <w:t xml:space="preserve">существенное </w:t>
      </w:r>
      <w:r w:rsidRPr="00F3083D">
        <w:rPr>
          <w:lang w:val="ru-RU"/>
        </w:rPr>
        <w:t>з</w:t>
      </w:r>
      <w:r>
        <w:rPr>
          <w:lang w:val="ru-RU"/>
        </w:rPr>
        <w:t xml:space="preserve">начение для того, чтобы Комитет </w:t>
      </w:r>
      <w:r w:rsidRPr="00F3083D">
        <w:rPr>
          <w:lang w:val="ru-RU"/>
        </w:rPr>
        <w:t>был в</w:t>
      </w:r>
      <w:r>
        <w:rPr>
          <w:lang w:val="ru-RU"/>
        </w:rPr>
        <w:t xml:space="preserve"> </w:t>
      </w:r>
      <w:r w:rsidRPr="00F3083D">
        <w:rPr>
          <w:lang w:val="ru-RU"/>
        </w:rPr>
        <w:t xml:space="preserve">состоянии </w:t>
      </w:r>
      <w:r>
        <w:rPr>
          <w:lang w:val="ru-RU"/>
        </w:rPr>
        <w:t xml:space="preserve">оповещать о </w:t>
      </w:r>
      <w:r w:rsidRPr="00F3083D">
        <w:rPr>
          <w:lang w:val="ru-RU"/>
        </w:rPr>
        <w:t>ситуации</w:t>
      </w:r>
      <w:r>
        <w:rPr>
          <w:lang w:val="ru-RU"/>
        </w:rPr>
        <w:t xml:space="preserve"> государств-участников, которые не </w:t>
      </w:r>
      <w:r w:rsidRPr="00F3083D">
        <w:rPr>
          <w:lang w:val="ru-RU"/>
        </w:rPr>
        <w:t xml:space="preserve">сотрудничают в связи с этой процедурой.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45" w:rsidRPr="005F0588" w:rsidRDefault="00257D45">
    <w:pPr>
      <w:pStyle w:val="Header"/>
      <w:rPr>
        <w:lang w:val="en-US"/>
      </w:rPr>
    </w:pPr>
    <w:r>
      <w:rPr>
        <w:lang w:val="en-US"/>
      </w:rPr>
      <w:t>CCPR/C/108/2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45" w:rsidRPr="005F0588" w:rsidRDefault="00257D45">
    <w:pPr>
      <w:pStyle w:val="Header"/>
      <w:rPr>
        <w:lang w:val="en-US"/>
      </w:rPr>
    </w:pPr>
    <w:r>
      <w:rPr>
        <w:lang w:val="en-US"/>
      </w:rPr>
      <w:tab/>
      <w:t>CCPR/C/108/2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5F046DC"/>
    <w:multiLevelType w:val="hybridMultilevel"/>
    <w:tmpl w:val="6BACFC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28605F"/>
    <w:multiLevelType w:val="hybridMultilevel"/>
    <w:tmpl w:val="4E1A9BA8"/>
    <w:lvl w:ilvl="0" w:tplc="870C3FFE">
      <w:start w:val="1"/>
      <w:numFmt w:val="decimal"/>
      <w:lvlText w:val="(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1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34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3173F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C7FE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7D45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9B9"/>
    <w:rsid w:val="00356BB2"/>
    <w:rsid w:val="00360477"/>
    <w:rsid w:val="00367FC9"/>
    <w:rsid w:val="003711A1"/>
    <w:rsid w:val="00372123"/>
    <w:rsid w:val="003777D1"/>
    <w:rsid w:val="00386581"/>
    <w:rsid w:val="00387100"/>
    <w:rsid w:val="003951D3"/>
    <w:rsid w:val="003978C6"/>
    <w:rsid w:val="003B40A9"/>
    <w:rsid w:val="003C016E"/>
    <w:rsid w:val="003C1AE7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78D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146C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343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AE7"/>
    <w:rsid w:val="006E6860"/>
    <w:rsid w:val="006E7183"/>
    <w:rsid w:val="006F33A2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7AC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259E"/>
    <w:rsid w:val="008C7B87"/>
    <w:rsid w:val="008D6A7A"/>
    <w:rsid w:val="008E3E87"/>
    <w:rsid w:val="008E7F13"/>
    <w:rsid w:val="008F3185"/>
    <w:rsid w:val="00915B0A"/>
    <w:rsid w:val="00926904"/>
    <w:rsid w:val="009372F0"/>
    <w:rsid w:val="00937D18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6A8"/>
    <w:rsid w:val="00A4025D"/>
    <w:rsid w:val="00A800D1"/>
    <w:rsid w:val="00A92699"/>
    <w:rsid w:val="00AB5BF0"/>
    <w:rsid w:val="00AC1C95"/>
    <w:rsid w:val="00AC2CCB"/>
    <w:rsid w:val="00AC443A"/>
    <w:rsid w:val="00AE60E2"/>
    <w:rsid w:val="00AE6BC1"/>
    <w:rsid w:val="00AF33AE"/>
    <w:rsid w:val="00B0169F"/>
    <w:rsid w:val="00B05F21"/>
    <w:rsid w:val="00B14EA9"/>
    <w:rsid w:val="00B30A3C"/>
    <w:rsid w:val="00B81305"/>
    <w:rsid w:val="00BA16AA"/>
    <w:rsid w:val="00BB17DC"/>
    <w:rsid w:val="00BB1AF9"/>
    <w:rsid w:val="00BB4C4A"/>
    <w:rsid w:val="00BC627E"/>
    <w:rsid w:val="00BC7F12"/>
    <w:rsid w:val="00BD3CAE"/>
    <w:rsid w:val="00BD427D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F11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5ED"/>
    <w:rsid w:val="00D6236B"/>
    <w:rsid w:val="00D76358"/>
    <w:rsid w:val="00D809D1"/>
    <w:rsid w:val="00D84ECF"/>
    <w:rsid w:val="00D85E84"/>
    <w:rsid w:val="00DA2851"/>
    <w:rsid w:val="00DA2B7C"/>
    <w:rsid w:val="00DA5686"/>
    <w:rsid w:val="00DB2FC0"/>
    <w:rsid w:val="00DC7E93"/>
    <w:rsid w:val="00DF18FA"/>
    <w:rsid w:val="00DF49CA"/>
    <w:rsid w:val="00DF775B"/>
    <w:rsid w:val="00E007F3"/>
    <w:rsid w:val="00E00DEA"/>
    <w:rsid w:val="00E06EF0"/>
    <w:rsid w:val="00E11679"/>
    <w:rsid w:val="00E2379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locked/>
    <w:rsid w:val="00937D18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2964</Words>
  <Characters>16900</Characters>
  <Application>Microsoft Office Outlook</Application>
  <DocSecurity>4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CCPR/C/108/2</vt:lpstr>
    </vt:vector>
  </TitlesOfParts>
  <Manager>Pogorelski</Manager>
  <Company>CSD</Company>
  <LinksUpToDate>false</LinksUpToDate>
  <CharactersWithSpaces>19825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CCPR/C/108/2</dc:title>
  <dc:subject>13-47691</dc:subject>
  <dc:creator>Ioulia Goussarova</dc:creator>
  <cp:keywords/>
  <dc:description/>
  <cp:lastModifiedBy>Ioulia Goussarova</cp:lastModifiedBy>
  <cp:revision>3</cp:revision>
  <cp:lastPrinted>2013-11-04T15:10:00Z</cp:lastPrinted>
  <dcterms:created xsi:type="dcterms:W3CDTF">2013-11-04T15:10:00Z</dcterms:created>
  <dcterms:modified xsi:type="dcterms:W3CDTF">2013-11-04T15:11:00Z</dcterms:modified>
</cp:coreProperties>
</file>