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3E5FA44A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2441232" w14:textId="77777777" w:rsidR="002D5AAC" w:rsidRDefault="002D5AAC" w:rsidP="00FC7B9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87ACDB3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A321516" w14:textId="3D521716" w:rsidR="002D5AAC" w:rsidRDefault="00FC7B9B" w:rsidP="00FC7B9B">
            <w:pPr>
              <w:jc w:val="right"/>
            </w:pPr>
            <w:r w:rsidRPr="00FC7B9B">
              <w:rPr>
                <w:sz w:val="40"/>
              </w:rPr>
              <w:t>E</w:t>
            </w:r>
            <w:r w:rsidRPr="00FC7B9B">
              <w:t>/C.12/ISL/CO/5</w:t>
            </w:r>
          </w:p>
        </w:tc>
      </w:tr>
      <w:tr w:rsidR="002D5AAC" w:rsidRPr="00FC7B9B" w14:paraId="6301808F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62E86AB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74BE5BB" wp14:editId="65B9228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1F13B84" w14:textId="77777777" w:rsidR="002D5AAC" w:rsidRPr="00033EE1" w:rsidRDefault="00640F49" w:rsidP="009F1700">
            <w:pPr>
              <w:spacing w:before="120" w:line="44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3AE1C08D" w14:textId="77777777" w:rsidR="002D5AAC" w:rsidRDefault="00FC7B9B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5B3C81F" w14:textId="77777777" w:rsidR="00FC7B9B" w:rsidRDefault="00FC7B9B" w:rsidP="00FC7B9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14 October 2024</w:t>
            </w:r>
          </w:p>
          <w:p w14:paraId="486E55E0" w14:textId="77777777" w:rsidR="00FC7B9B" w:rsidRDefault="00FC7B9B" w:rsidP="00FC7B9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E851849" w14:textId="1C9919AB" w:rsidR="00FC7B9B" w:rsidRPr="00D62A45" w:rsidRDefault="00FC7B9B" w:rsidP="00FC7B9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BADD832" w14:textId="7B03C7C1" w:rsidR="00FC7B9B" w:rsidRPr="00FC7B9B" w:rsidRDefault="00FC7B9B" w:rsidP="00FC7B9B">
      <w:pPr>
        <w:spacing w:before="120"/>
        <w:rPr>
          <w:b/>
          <w:bCs/>
          <w:sz w:val="24"/>
          <w:szCs w:val="24"/>
        </w:rPr>
      </w:pPr>
      <w:r w:rsidRPr="00FC7B9B">
        <w:rPr>
          <w:rFonts w:eastAsia="Times New Roman" w:cs="Times New Roman"/>
          <w:b/>
          <w:bCs/>
          <w:sz w:val="24"/>
          <w:szCs w:val="24"/>
        </w:rPr>
        <w:t xml:space="preserve">Комитет по экономическим, </w:t>
      </w:r>
      <w:r w:rsidRPr="00FD3D0B">
        <w:rPr>
          <w:rFonts w:eastAsia="Times New Roman" w:cs="Times New Roman"/>
          <w:b/>
          <w:bCs/>
          <w:sz w:val="24"/>
          <w:szCs w:val="24"/>
        </w:rPr>
        <w:br/>
      </w:r>
      <w:r w:rsidRPr="00FC7B9B">
        <w:rPr>
          <w:rFonts w:eastAsia="Times New Roman" w:cs="Times New Roman"/>
          <w:b/>
          <w:bCs/>
          <w:sz w:val="24"/>
          <w:szCs w:val="24"/>
        </w:rPr>
        <w:t>социальным и культурным правам</w:t>
      </w:r>
    </w:p>
    <w:p w14:paraId="0D8DFC2A" w14:textId="77777777" w:rsidR="00FC7B9B" w:rsidRPr="00FC7B9B" w:rsidRDefault="00FC7B9B" w:rsidP="00FC7B9B">
      <w:pPr>
        <w:pStyle w:val="HChG"/>
        <w:rPr>
          <w:b w:val="0"/>
          <w:bCs/>
          <w:sz w:val="20"/>
        </w:rPr>
      </w:pPr>
      <w:r w:rsidRPr="00FC7B9B">
        <w:tab/>
      </w:r>
      <w:r w:rsidRPr="00FC7B9B">
        <w:tab/>
      </w:r>
      <w:r w:rsidRPr="00FC7B9B">
        <w:tab/>
        <w:t>Заключительные замечания по пятому периодическому докладу Исландии</w:t>
      </w:r>
      <w:r w:rsidRPr="00FC7B9B">
        <w:rPr>
          <w:b w:val="0"/>
          <w:bCs/>
          <w:sz w:val="20"/>
        </w:rPr>
        <w:footnoteReference w:customMarkFollows="1" w:id="1"/>
        <w:t>*</w:t>
      </w:r>
    </w:p>
    <w:p w14:paraId="1B0F9CCB" w14:textId="2E18F0B1" w:rsidR="00FC7B9B" w:rsidRPr="00FC7B9B" w:rsidRDefault="00FC7B9B" w:rsidP="00FC7B9B">
      <w:pPr>
        <w:pStyle w:val="SingleTxtG"/>
      </w:pPr>
      <w:r w:rsidRPr="00FC7B9B">
        <w:t>1.</w:t>
      </w:r>
      <w:r w:rsidRPr="00FC7B9B">
        <w:tab/>
        <w:t>Комитет рассмотрел пятый периодический доклад Исландии</w:t>
      </w:r>
      <w:r w:rsidRPr="00FC7B9B">
        <w:rPr>
          <w:rStyle w:val="a8"/>
        </w:rPr>
        <w:footnoteReference w:id="2"/>
      </w:r>
      <w:r w:rsidRPr="00FC7B9B">
        <w:t xml:space="preserve"> </w:t>
      </w:r>
      <w:r w:rsidR="00281B14">
        <w:t xml:space="preserve">на </w:t>
      </w:r>
      <w:r w:rsidRPr="00FC7B9B">
        <w:t xml:space="preserve">своих </w:t>
      </w:r>
      <w:r w:rsidRPr="00FC7B9B">
        <w:br/>
      </w:r>
      <w:r w:rsidRPr="00FC7B9B">
        <w:t>31-м и 32-м заседаниях</w:t>
      </w:r>
      <w:r w:rsidRPr="00FC7B9B">
        <w:rPr>
          <w:rStyle w:val="a8"/>
        </w:rPr>
        <w:footnoteReference w:id="3"/>
      </w:r>
      <w:r w:rsidRPr="00FC7B9B">
        <w:t xml:space="preserve">, состоявшихся 9 и 10 сентября 2024 года, и на своем </w:t>
      </w:r>
      <w:r w:rsidRPr="00281B14">
        <w:br/>
      </w:r>
      <w:r w:rsidRPr="00FC7B9B">
        <w:t>59-м заседании 27 сентября 2024 года принял настоящие заключительные замечания.</w:t>
      </w:r>
    </w:p>
    <w:p w14:paraId="40FEE0CD" w14:textId="0A9C0545" w:rsidR="00FC7B9B" w:rsidRPr="00FC7B9B" w:rsidRDefault="00FC7B9B" w:rsidP="00FC7B9B">
      <w:pPr>
        <w:pStyle w:val="H1G"/>
      </w:pPr>
      <w:r w:rsidRPr="00FC7B9B">
        <w:tab/>
      </w:r>
      <w:r w:rsidRPr="00FC7B9B">
        <w:t>A.</w:t>
      </w:r>
      <w:r w:rsidRPr="00FC7B9B">
        <w:tab/>
        <w:t>Введение</w:t>
      </w:r>
    </w:p>
    <w:p w14:paraId="0D02F623" w14:textId="77777777" w:rsidR="00FC7B9B" w:rsidRPr="00FC7B9B" w:rsidRDefault="00FC7B9B" w:rsidP="00FC7B9B">
      <w:pPr>
        <w:pStyle w:val="SingleTxtG"/>
      </w:pPr>
      <w:r w:rsidRPr="00FC7B9B">
        <w:t>2.</w:t>
      </w:r>
      <w:r w:rsidRPr="00FC7B9B">
        <w:tab/>
        <w:t>Комитет приветствует представление государством-участником своего пятого периодического доклада и дополнительную информацию, содержащуюся в ответах на перечень вопросов</w:t>
      </w:r>
      <w:r w:rsidRPr="00FC7B9B">
        <w:rPr>
          <w:rStyle w:val="a8"/>
        </w:rPr>
        <w:footnoteReference w:id="4"/>
      </w:r>
      <w:r w:rsidRPr="00FC7B9B">
        <w:t>. Комитет высоко оценивает конструктивный диалог, состоявшийся с делегацией государства-участника.</w:t>
      </w:r>
    </w:p>
    <w:p w14:paraId="45A95224" w14:textId="5FE12633" w:rsidR="00FC7B9B" w:rsidRPr="00FC7B9B" w:rsidRDefault="00FC7B9B" w:rsidP="00FC7B9B">
      <w:pPr>
        <w:pStyle w:val="H1G"/>
      </w:pPr>
      <w:r>
        <w:rPr>
          <w:lang w:val="en-US"/>
        </w:rPr>
        <w:tab/>
      </w:r>
      <w:r w:rsidRPr="00FC7B9B">
        <w:t>B.</w:t>
      </w:r>
      <w:r w:rsidRPr="00FC7B9B">
        <w:tab/>
        <w:t>Позитивные аспекты</w:t>
      </w:r>
    </w:p>
    <w:p w14:paraId="0BC0F61D" w14:textId="6A7EA782" w:rsidR="00FC7B9B" w:rsidRPr="00FC7B9B" w:rsidRDefault="00FC7B9B" w:rsidP="00FC7B9B">
      <w:pPr>
        <w:pStyle w:val="SingleTxtG"/>
      </w:pPr>
      <w:r w:rsidRPr="00FC7B9B">
        <w:t>3.</w:t>
      </w:r>
      <w:r w:rsidRPr="00FC7B9B">
        <w:tab/>
        <w:t>Комитет приветствует законодательные, институциональные и политические меры, принятые в целях улучшения защиты экономических, социальных и культурных прав в государстве-участнике, в частности</w:t>
      </w:r>
      <w:r w:rsidR="00281B14">
        <w:t>:</w:t>
      </w:r>
      <w:r w:rsidRPr="00FC7B9B">
        <w:t xml:space="preserve"> принятие Программы действий в интересах ЛГБТИ на период 2020</w:t>
      </w:r>
      <w:r w:rsidR="00281B14">
        <w:t>–</w:t>
      </w:r>
      <w:r w:rsidRPr="00FC7B9B">
        <w:t xml:space="preserve">2025 годов; принятие Закона № 144/2020 </w:t>
      </w:r>
      <w:r>
        <w:t>«</w:t>
      </w:r>
      <w:r w:rsidRPr="00FC7B9B">
        <w:t>Об отпуске по беременности и родам, по уходу за ребенком для отца и по уходу за ребенком для родителей</w:t>
      </w:r>
      <w:r>
        <w:t>»</w:t>
      </w:r>
      <w:r w:rsidRPr="00FC7B9B">
        <w:t xml:space="preserve">, увеличивающего продолжительность отпуска по уходу за ребенком для родителей до 12 месяцев; принятие Закона № 38/2018 об услугах для людей с инвалидностью с потребностями в долгосрочной поддержке; принятие поправки к Закону № 31/1993 о браке, отменяющей исключения из минимального 18-летнего возраста вступления в брак; создание независимого национального правозащитного учреждения с широким мандатом в области прав человека; учет гендерных аспектов в работе на макроэкономическом уровне, особенно в процессе составления бюджета; а также меры, упомянутые в настоящих заключительных замечаниях. </w:t>
      </w:r>
    </w:p>
    <w:p w14:paraId="04AE7182" w14:textId="224FD20E" w:rsidR="00FC7B9B" w:rsidRPr="00FC7B9B" w:rsidRDefault="00FC7B9B" w:rsidP="00FC7B9B">
      <w:pPr>
        <w:pStyle w:val="H1G"/>
      </w:pPr>
      <w:r w:rsidRPr="00FC7B9B">
        <w:lastRenderedPageBreak/>
        <w:tab/>
      </w:r>
      <w:r w:rsidRPr="00FC7B9B">
        <w:t>C.</w:t>
      </w:r>
      <w:r w:rsidRPr="00FC7B9B">
        <w:tab/>
        <w:t>Основные вопросы, вызывающие обеспокоенность, и</w:t>
      </w:r>
      <w:r>
        <w:rPr>
          <w:lang w:val="en-US"/>
        </w:rPr>
        <w:t> </w:t>
      </w:r>
      <w:r w:rsidRPr="00FC7B9B">
        <w:t>рекомендации</w:t>
      </w:r>
    </w:p>
    <w:p w14:paraId="334539D5" w14:textId="04F7ECDC" w:rsidR="00FC7B9B" w:rsidRPr="00FC7B9B" w:rsidRDefault="00FC7B9B" w:rsidP="00FC7B9B">
      <w:pPr>
        <w:pStyle w:val="H23G"/>
      </w:pPr>
      <w:r w:rsidRPr="00FC7B9B">
        <w:tab/>
      </w:r>
      <w:r w:rsidRPr="00FC7B9B">
        <w:tab/>
        <w:t>Применение Международного пакта об экономических, социальных и</w:t>
      </w:r>
      <w:r>
        <w:rPr>
          <w:lang w:val="en-US"/>
        </w:rPr>
        <w:t> </w:t>
      </w:r>
      <w:r w:rsidRPr="00FC7B9B">
        <w:t>культурных правах на национальном уровне</w:t>
      </w:r>
    </w:p>
    <w:p w14:paraId="01C85D4D" w14:textId="77777777" w:rsidR="00FC7B9B" w:rsidRPr="00FC7B9B" w:rsidRDefault="00FC7B9B" w:rsidP="00FC7B9B">
      <w:pPr>
        <w:pStyle w:val="SingleTxtG"/>
      </w:pPr>
      <w:r w:rsidRPr="00FC7B9B">
        <w:t>4.</w:t>
      </w:r>
      <w:r w:rsidRPr="00FC7B9B">
        <w:tab/>
        <w:t>Хотя Комитет отмечает, что Конституция государства-участника и отдельные положения его законодательства касаются некоторых аспектов экономических, социальных и культурных прав, он обеспокоен тем, что Международный пакт об экономических, социальных и культурных правах не был инкорпорирован во внутреннюю правовую систему государства-участника и поэтому не может применяться напрямую национальными судами, что может ограничить доступ к эффективным средствам правовой защиты в случае нарушения прав, охватываемых Пактом. Комитет выражает сожаление в связи с тем, что государство-участник, судя по всему, по-прежнему не желает ратифицировать Факультативный протокол к Пакту и тем самым признать компетенцию Комитета рассматривать индивидуальные сообщения.</w:t>
      </w:r>
    </w:p>
    <w:p w14:paraId="7EAFF9EF" w14:textId="77777777" w:rsidR="00FC7B9B" w:rsidRPr="00FC7B9B" w:rsidRDefault="00FC7B9B" w:rsidP="00FC7B9B">
      <w:pPr>
        <w:pStyle w:val="SingleTxtG"/>
        <w:rPr>
          <w:b/>
          <w:bCs/>
        </w:rPr>
      </w:pPr>
      <w:r w:rsidRPr="00FC7B9B">
        <w:t>5.</w:t>
      </w:r>
      <w:r w:rsidRPr="00FC7B9B">
        <w:tab/>
      </w:r>
      <w:r w:rsidRPr="00FC7B9B">
        <w:rPr>
          <w:b/>
          <w:bCs/>
        </w:rPr>
        <w:t>Комитет рекомендует государству-участнику в полном объеме инкорпорировать закрепленные в Пакте права в свою внутреннюю правовую систему и предоставить жертвам нарушений экономических, социальных и культурных прав полный доступ к эффективным средствам правовой защиты.</w:t>
      </w:r>
      <w:r w:rsidRPr="00FC7B9B">
        <w:t xml:space="preserve"> </w:t>
      </w:r>
      <w:r w:rsidRPr="00FC7B9B">
        <w:rPr>
          <w:b/>
          <w:bCs/>
        </w:rPr>
        <w:t>Комитет также рекомендует государству-участнику пересмотреть свою позицию и двигаться в направлении ратификации Факультативного протокола к Пакту.</w:t>
      </w:r>
      <w:r w:rsidRPr="00FC7B9B">
        <w:t xml:space="preserve"> </w:t>
      </w:r>
      <w:r w:rsidRPr="00FC7B9B">
        <w:rPr>
          <w:b/>
          <w:bCs/>
        </w:rPr>
        <w:t>В этой связи Комитет обращает внимание государства-участника на свое замечание общего порядка № 9 (1998) о применении Пакта во внутреннем праве.</w:t>
      </w:r>
      <w:r w:rsidRPr="00FC7B9B">
        <w:t xml:space="preserve"> </w:t>
      </w:r>
    </w:p>
    <w:p w14:paraId="4014310D" w14:textId="77777777" w:rsidR="00FC7B9B" w:rsidRPr="00FC7B9B" w:rsidRDefault="00FC7B9B" w:rsidP="00FC7B9B">
      <w:pPr>
        <w:pStyle w:val="H23G"/>
      </w:pPr>
      <w:r w:rsidRPr="00FC7B9B">
        <w:tab/>
      </w:r>
      <w:r w:rsidRPr="00FC7B9B">
        <w:tab/>
        <w:t xml:space="preserve">Национальное правозащитное учреждение </w:t>
      </w:r>
    </w:p>
    <w:p w14:paraId="61AA876D" w14:textId="0057E275" w:rsidR="00FC7B9B" w:rsidRPr="00FC7B9B" w:rsidRDefault="00FC7B9B" w:rsidP="00FC7B9B">
      <w:pPr>
        <w:pStyle w:val="SingleTxtG"/>
      </w:pPr>
      <w:r w:rsidRPr="00FC7B9B">
        <w:t>6.</w:t>
      </w:r>
      <w:r w:rsidRPr="00FC7B9B">
        <w:tab/>
        <w:t xml:space="preserve">Комитет напоминает о своей давней обеспокоенности по поводу отсутствия в государстве-участнике национального правозащитного учреждения с широким мандатом в области прав человека, включая экономические, социальные и культурные права, созданного в соответствии с принципами, касающимися статуса национальных учреждений, занимающихся поощрением и защитой прав человека (Парижские принципы). В этой связи Комитет приветствует недавнее принятие парламентом закона о создании Исландского института прав человека </w:t>
      </w:r>
      <w:r w:rsidRPr="00FC7B9B">
        <w:t>—</w:t>
      </w:r>
      <w:r w:rsidRPr="00FC7B9B">
        <w:t xml:space="preserve"> национального правозащитного учреждения, </w:t>
      </w:r>
      <w:r w:rsidRPr="00FC7B9B">
        <w:t>—</w:t>
      </w:r>
      <w:r w:rsidRPr="00FC7B9B">
        <w:t xml:space="preserve"> что свидетельствует о выполнении государством-участником своего обещания, данного в ходе мероприятий, посвященных празднованию семьдесят пятой годовщины Всеобщей декларации прав человека. </w:t>
      </w:r>
    </w:p>
    <w:p w14:paraId="661A5A47" w14:textId="36AD9127" w:rsidR="00FC7B9B" w:rsidRPr="00FC7B9B" w:rsidRDefault="00FC7B9B" w:rsidP="00FC7B9B">
      <w:pPr>
        <w:pStyle w:val="SingleTxtG"/>
      </w:pPr>
      <w:r w:rsidRPr="00FC7B9B">
        <w:t>7.</w:t>
      </w:r>
      <w:r w:rsidRPr="00FC7B9B">
        <w:tab/>
      </w:r>
      <w:r w:rsidRPr="00FC7B9B">
        <w:rPr>
          <w:b/>
          <w:bCs/>
        </w:rPr>
        <w:t>Комитет рекомендует государству-участнику эффективно наделить Исландский институт прав человека, который должен начать свою работу 1</w:t>
      </w:r>
      <w:r>
        <w:rPr>
          <w:b/>
          <w:bCs/>
          <w:lang w:val="en-US"/>
        </w:rPr>
        <w:t> </w:t>
      </w:r>
      <w:r w:rsidRPr="00FC7B9B">
        <w:rPr>
          <w:b/>
          <w:bCs/>
        </w:rPr>
        <w:t>января 2025 года, всеобъемлющим мандатом на защиту и поощрение всех прав человека, включая экономические, социальные и культурные права.</w:t>
      </w:r>
      <w:r w:rsidRPr="00FC7B9B">
        <w:t xml:space="preserve"> </w:t>
      </w:r>
      <w:r w:rsidRPr="00FC7B9B">
        <w:rPr>
          <w:b/>
          <w:bCs/>
        </w:rPr>
        <w:t>Комитет также рекомендует государству-участнику обеспечить это учреждение достаточными людскими, техническими и финансовыми ресурсами, с тем чтобы оно могло в полной мере выполнять свой мандат в соответствии с Парижскими принципами.</w:t>
      </w:r>
      <w:r w:rsidRPr="00FC7B9B">
        <w:t xml:space="preserve"> </w:t>
      </w:r>
      <w:r w:rsidRPr="00FC7B9B">
        <w:rPr>
          <w:b/>
          <w:bCs/>
        </w:rPr>
        <w:t>В этой связи Комитет напоминает о своем замечании общего порядка № 10 (1998) о роли национальных учреждений по правам человека в защите экономических, социальных и культурных прав.</w:t>
      </w:r>
      <w:r w:rsidRPr="00FC7B9B">
        <w:t xml:space="preserve"> </w:t>
      </w:r>
    </w:p>
    <w:p w14:paraId="1C065566" w14:textId="77777777" w:rsidR="00FC7B9B" w:rsidRPr="00FC7B9B" w:rsidRDefault="00FC7B9B" w:rsidP="00FC7B9B">
      <w:pPr>
        <w:pStyle w:val="H23G"/>
      </w:pPr>
      <w:r w:rsidRPr="00FC7B9B">
        <w:tab/>
      </w:r>
      <w:r w:rsidRPr="00FC7B9B">
        <w:tab/>
        <w:t xml:space="preserve">Предпринимательская деятельность и права человека </w:t>
      </w:r>
    </w:p>
    <w:p w14:paraId="3A06EA58" w14:textId="77777777" w:rsidR="00FC7B9B" w:rsidRPr="00FC7B9B" w:rsidRDefault="00FC7B9B" w:rsidP="00FC7B9B">
      <w:pPr>
        <w:pStyle w:val="SingleTxtG"/>
      </w:pPr>
      <w:r w:rsidRPr="00FC7B9B">
        <w:t>8.</w:t>
      </w:r>
      <w:r w:rsidRPr="00FC7B9B">
        <w:tab/>
        <w:t xml:space="preserve">Комитет приветствует шаги, предпринятые государством-участником для разработки национального плана действий в области предпринимательства и прав человека в соответствии с Руководящими принципами предпринимательской деятельности в аспекте прав человека. Он признает роль национального контактного центра в государстве-участнике в осуществлении Руководящих принципов Организации экономического сотрудничества и развития для многонациональных предприятий по ответственному ведению бизнеса. При этом Комитет обеспокоен отсутствием юридических норм, обязывающих предприятия, находящиеся под </w:t>
      </w:r>
      <w:r w:rsidRPr="00FC7B9B">
        <w:lastRenderedPageBreak/>
        <w:t xml:space="preserve">юрисдикцией государства-участника, проявлять должную осмотрительность в вопросах прав человека. </w:t>
      </w:r>
    </w:p>
    <w:p w14:paraId="365905F7" w14:textId="77777777" w:rsidR="00FC7B9B" w:rsidRPr="00FC7B9B" w:rsidRDefault="00FC7B9B" w:rsidP="00FC7B9B">
      <w:pPr>
        <w:pStyle w:val="SingleTxtG"/>
      </w:pPr>
      <w:r w:rsidRPr="00FC7B9B">
        <w:t>9.</w:t>
      </w:r>
      <w:r w:rsidRPr="00FC7B9B">
        <w:tab/>
      </w:r>
      <w:r w:rsidRPr="00FC7B9B">
        <w:rPr>
          <w:b/>
          <w:bCs/>
        </w:rPr>
        <w:t>Комитет рекомендует государству-участнику:</w:t>
      </w:r>
      <w:r w:rsidRPr="00FC7B9B">
        <w:t xml:space="preserve"> </w:t>
      </w:r>
    </w:p>
    <w:p w14:paraId="10469FF6" w14:textId="0AE8D165" w:rsidR="00FC7B9B" w:rsidRPr="00FC7B9B" w:rsidRDefault="00FC7B9B" w:rsidP="00FC7B9B">
      <w:pPr>
        <w:pStyle w:val="SingleTxtG"/>
        <w:rPr>
          <w:b/>
        </w:rPr>
      </w:pPr>
      <w:r w:rsidRPr="00FC7B9B">
        <w:rPr>
          <w:b/>
          <w:bCs/>
          <w:lang w:val="en-US"/>
        </w:rPr>
        <w:tab/>
      </w:r>
      <w:r w:rsidRPr="00FC7B9B">
        <w:rPr>
          <w:b/>
          <w:bCs/>
        </w:rPr>
        <w:t>a)</w:t>
      </w:r>
      <w:r w:rsidRPr="00FC7B9B">
        <w:rPr>
          <w:b/>
          <w:bCs/>
        </w:rPr>
        <w:tab/>
        <w:t>активизировать усилия для принятия национального плана действий в области предпринимательства и прав человека, обеспечив участие в процессах как его разработки, так и реализации всех заинтересованных сторон, включая представителей деловых кругов, организаций гражданского общества и затрагиваемых общин;</w:t>
      </w:r>
      <w:r w:rsidRPr="00FC7B9B">
        <w:t xml:space="preserve"> </w:t>
      </w:r>
    </w:p>
    <w:p w14:paraId="007361EF" w14:textId="20B5B84E" w:rsidR="00FC7B9B" w:rsidRPr="00FC7B9B" w:rsidRDefault="00FC7B9B" w:rsidP="00FC7B9B">
      <w:pPr>
        <w:pStyle w:val="SingleTxtG"/>
        <w:rPr>
          <w:b/>
          <w:bCs/>
        </w:rPr>
      </w:pPr>
      <w:r>
        <w:rPr>
          <w:lang w:val="en-US"/>
        </w:rPr>
        <w:tab/>
      </w:r>
      <w:r w:rsidRPr="00FC7B9B">
        <w:rPr>
          <w:b/>
          <w:bCs/>
        </w:rPr>
        <w:t>b)</w:t>
      </w:r>
      <w:r w:rsidRPr="00FC7B9B">
        <w:rPr>
          <w:b/>
          <w:bCs/>
        </w:rPr>
        <w:tab/>
        <w:t>создать на национальном уровне комплексные рамочные правовые механизмы, призванные обеспечить, чтобы коммерческие предприятия проявляли должную осмотрительность в вопросах соблюдения прав человека в своей деятельности и производственно-сбытовых цепочках;</w:t>
      </w:r>
    </w:p>
    <w:p w14:paraId="6580BED3" w14:textId="766C4D0B" w:rsidR="00FC7B9B" w:rsidRPr="00FC7B9B" w:rsidRDefault="00FC7B9B" w:rsidP="00FC7B9B">
      <w:pPr>
        <w:pStyle w:val="SingleTxtG"/>
        <w:rPr>
          <w:b/>
          <w:bCs/>
        </w:rPr>
      </w:pPr>
      <w:r w:rsidRPr="00FC7B9B">
        <w:rPr>
          <w:b/>
          <w:bCs/>
          <w:lang w:val="en-US"/>
        </w:rPr>
        <w:tab/>
      </w:r>
      <w:r w:rsidRPr="00FC7B9B">
        <w:rPr>
          <w:b/>
          <w:bCs/>
        </w:rPr>
        <w:t>c)</w:t>
      </w:r>
      <w:r w:rsidRPr="00FC7B9B">
        <w:rPr>
          <w:b/>
          <w:bCs/>
        </w:rPr>
        <w:tab/>
        <w:t>принять все необходимые меры для привлечения коммерческих предприятий, осуществляющих свою деятельность или зарегистрированных в государстве-участнике, к ответственности за нарушение ими экономических, социальных и культурных прав в результате своей деятельности как внутри страны, так и за рубежом и гарантировать жертвам эффективные средства правовой защиты;</w:t>
      </w:r>
    </w:p>
    <w:p w14:paraId="17259CEB" w14:textId="28AC0BF2" w:rsidR="00FC7B9B" w:rsidRPr="00FC7B9B" w:rsidRDefault="00FC7B9B" w:rsidP="00FC7B9B">
      <w:pPr>
        <w:pStyle w:val="SingleTxtG"/>
        <w:rPr>
          <w:b/>
          <w:bCs/>
        </w:rPr>
      </w:pPr>
      <w:r w:rsidRPr="00FC7B9B">
        <w:rPr>
          <w:b/>
          <w:bCs/>
          <w:lang w:val="en-US"/>
        </w:rPr>
        <w:tab/>
      </w:r>
      <w:r w:rsidRPr="00FC7B9B">
        <w:rPr>
          <w:b/>
          <w:bCs/>
        </w:rPr>
        <w:t>d)</w:t>
      </w:r>
      <w:r w:rsidRPr="00FC7B9B">
        <w:rPr>
          <w:b/>
          <w:bCs/>
        </w:rPr>
        <w:tab/>
        <w:t>руководствоваться замечанием общего порядка Комитета №</w:t>
      </w:r>
      <w:r>
        <w:rPr>
          <w:b/>
          <w:bCs/>
        </w:rPr>
        <w:t> </w:t>
      </w:r>
      <w:r w:rsidRPr="00FC7B9B">
        <w:rPr>
          <w:b/>
          <w:bCs/>
        </w:rPr>
        <w:t>24 (2017) об обязательствах государств по Международному пакту об экономических, социальных и культурных правах в контексте предпринимательской деятельности, в частности в отношении введения требования проявлять должную осмотрительность в области прав человека.</w:t>
      </w:r>
    </w:p>
    <w:p w14:paraId="19019068" w14:textId="77777777" w:rsidR="00FC7B9B" w:rsidRPr="00FC7B9B" w:rsidRDefault="00FC7B9B" w:rsidP="00FC7B9B">
      <w:pPr>
        <w:pStyle w:val="H23G"/>
      </w:pPr>
      <w:r w:rsidRPr="00FC7B9B">
        <w:tab/>
      </w:r>
      <w:r w:rsidRPr="00FC7B9B">
        <w:tab/>
        <w:t xml:space="preserve">Предотвращение изменения климата </w:t>
      </w:r>
    </w:p>
    <w:p w14:paraId="6C0D9FA0" w14:textId="77777777" w:rsidR="00FC7B9B" w:rsidRPr="00FC7B9B" w:rsidRDefault="00FC7B9B" w:rsidP="00FC7B9B">
      <w:pPr>
        <w:pStyle w:val="SingleTxtG"/>
      </w:pPr>
      <w:r w:rsidRPr="00FC7B9B">
        <w:t>10.</w:t>
      </w:r>
      <w:r w:rsidRPr="00FC7B9B">
        <w:tab/>
        <w:t xml:space="preserve">Комитет приветствует вклад государства-участника в Зеленый климатический фонд, его обновленный план действий в области климата и предпринимаемые им усилия по достижению поставленных на 2030 год целей по сокращению выбросов парниковых газов. Однако Комитет обеспокоен тем, что государство-участник продолжает выбрасывать непропорционально большой объем двуокиси углерода и поэтому может не выполнить свои обязательства по определяемому на национальном уровне вкладу в рамках Парижского соглашения. </w:t>
      </w:r>
    </w:p>
    <w:p w14:paraId="61B19FA7" w14:textId="2BDF2CAE" w:rsidR="00FC7B9B" w:rsidRPr="00FC7B9B" w:rsidRDefault="00FC7B9B" w:rsidP="00FC7B9B">
      <w:pPr>
        <w:pStyle w:val="SingleTxtG"/>
      </w:pPr>
      <w:r w:rsidRPr="00FC7B9B">
        <w:t>11.</w:t>
      </w:r>
      <w:r w:rsidRPr="00FC7B9B">
        <w:tab/>
      </w:r>
      <w:r w:rsidRPr="00FC7B9B">
        <w:rPr>
          <w:b/>
          <w:bCs/>
        </w:rPr>
        <w:t>Комитет рекомендует государству-участнику активизировать свои усилия по достижению установленной на национальном уровне цели по сравнению с уровнем 1990 года сократить чистые выбросы парниковых газов к 2030 году по меньшей мере на 55</w:t>
      </w:r>
      <w:r>
        <w:rPr>
          <w:b/>
          <w:bCs/>
        </w:rPr>
        <w:t> </w:t>
      </w:r>
      <w:r w:rsidRPr="00FC7B9B">
        <w:rPr>
          <w:b/>
          <w:bCs/>
        </w:rPr>
        <w:t>%, в том числе благодаря международному сотрудничеству.</w:t>
      </w:r>
      <w:r w:rsidRPr="00FC7B9B">
        <w:t xml:space="preserve"> </w:t>
      </w:r>
    </w:p>
    <w:p w14:paraId="7646C479" w14:textId="77777777" w:rsidR="00FC7B9B" w:rsidRPr="00FC7B9B" w:rsidRDefault="00FC7B9B" w:rsidP="00FC7B9B">
      <w:pPr>
        <w:pStyle w:val="H23G"/>
      </w:pPr>
      <w:r w:rsidRPr="00FC7B9B">
        <w:tab/>
      </w:r>
      <w:r w:rsidRPr="00FC7B9B">
        <w:tab/>
        <w:t xml:space="preserve">Коррупция </w:t>
      </w:r>
    </w:p>
    <w:p w14:paraId="13EC4B00" w14:textId="77777777" w:rsidR="00FC7B9B" w:rsidRPr="00FC7B9B" w:rsidRDefault="00FC7B9B" w:rsidP="00FC7B9B">
      <w:pPr>
        <w:pStyle w:val="SingleTxtG"/>
        <w:rPr>
          <w:b/>
          <w:bCs/>
        </w:rPr>
      </w:pPr>
      <w:r w:rsidRPr="00FC7B9B">
        <w:t>12.</w:t>
      </w:r>
      <w:r w:rsidRPr="00FC7B9B">
        <w:tab/>
        <w:t>Комитет признает наличие в государстве-участнике системы борьбы с коррупцией и его усилия по обеспечению неподкупности должностных лиц, включая Закон № 40/2020 о защите лиц, сообщающих о нарушениях, и Закон № 64/2020 о конфликте интересов на государственных должностях. Однако Комитет выражает обеспокоенность тем, что в настоящее время у государства-участника отсутствует единая национальная антикоррупционная стратегия, что может привести к фрагментарности усилий по устранению факторов, угрожающих неподкупности должностных лиц, в различных секторах и подорвать эффективность антикоррупционных мер.</w:t>
      </w:r>
    </w:p>
    <w:p w14:paraId="6B05E7FC" w14:textId="77777777" w:rsidR="00FC7B9B" w:rsidRPr="00FC7B9B" w:rsidRDefault="00FC7B9B" w:rsidP="00FC7B9B">
      <w:pPr>
        <w:pStyle w:val="SingleTxtG"/>
        <w:rPr>
          <w:b/>
          <w:bCs/>
        </w:rPr>
      </w:pPr>
      <w:r w:rsidRPr="00FC7B9B">
        <w:t>13.</w:t>
      </w:r>
      <w:r w:rsidRPr="00FC7B9B">
        <w:tab/>
      </w:r>
      <w:r w:rsidRPr="00FC7B9B">
        <w:rPr>
          <w:b/>
          <w:bCs/>
        </w:rPr>
        <w:t>Комитет рекомендует Исландии принять всеобъемлющую национальную стратегию борьбы с коррупцией для интеграции и укрепления существующих механизмов, обеспечивающих единый и эффективный подход к снижению коррупционных рисков во всех учреждениях государственного сектора.</w:t>
      </w:r>
      <w:r w:rsidRPr="00FC7B9B">
        <w:t xml:space="preserve"> </w:t>
      </w:r>
    </w:p>
    <w:p w14:paraId="5CA19619" w14:textId="77777777" w:rsidR="00FC7B9B" w:rsidRPr="00FC7B9B" w:rsidRDefault="00FC7B9B" w:rsidP="00FC7B9B">
      <w:pPr>
        <w:pStyle w:val="H23G"/>
      </w:pPr>
      <w:r w:rsidRPr="00FC7B9B">
        <w:lastRenderedPageBreak/>
        <w:tab/>
      </w:r>
      <w:r w:rsidRPr="00FC7B9B">
        <w:tab/>
        <w:t>Сбор данных</w:t>
      </w:r>
    </w:p>
    <w:p w14:paraId="3E08181F" w14:textId="77777777" w:rsidR="00FC7B9B" w:rsidRPr="00FC7B9B" w:rsidRDefault="00FC7B9B" w:rsidP="00FC7B9B">
      <w:pPr>
        <w:pStyle w:val="SingleTxtG"/>
      </w:pPr>
      <w:r w:rsidRPr="00FC7B9B">
        <w:t>14.</w:t>
      </w:r>
      <w:r w:rsidRPr="00FC7B9B">
        <w:tab/>
        <w:t xml:space="preserve">Комитет обеспокоен отсутствием в государстве-участнике всеобъемлющих данных об иммигрантах в разбивке по полу, что может препятствовать точной оценке осуществления ими экономических, социальных и культурных прав. </w:t>
      </w:r>
    </w:p>
    <w:p w14:paraId="57922B56" w14:textId="77777777" w:rsidR="00FC7B9B" w:rsidRPr="00FC7B9B" w:rsidRDefault="00FC7B9B" w:rsidP="00FC7B9B">
      <w:pPr>
        <w:pStyle w:val="SingleTxtG"/>
        <w:rPr>
          <w:b/>
          <w:bCs/>
        </w:rPr>
      </w:pPr>
      <w:r w:rsidRPr="00FC7B9B">
        <w:t>15.</w:t>
      </w:r>
      <w:r w:rsidRPr="00FC7B9B">
        <w:tab/>
      </w:r>
      <w:r w:rsidRPr="00FC7B9B">
        <w:rPr>
          <w:b/>
          <w:bCs/>
        </w:rPr>
        <w:t>Комитет рекомендует государству-участнику усовершенствовать свою систему сбора данных для получения всеобъемлющих данных об иммигрантах в разбивке по полу и сделать их доступными, с тем чтобы иметь возможность оценивать осуществление иммигрантами прав, предусмотренных Пактом, и разработать эффективную, целенаправленную государственную политику.</w:t>
      </w:r>
      <w:r w:rsidRPr="00FC7B9B">
        <w:t xml:space="preserve"> </w:t>
      </w:r>
      <w:r w:rsidRPr="00FC7B9B">
        <w:rPr>
          <w:b/>
          <w:bCs/>
        </w:rPr>
        <w:t>Кроме того, он рекомендует государству-участнику учитывать концептуальные и методологические рамки для показателей в области прав человека, которые были разработаны Управлением Верховного комиссара Организации Объединенных Наций по правам человека.</w:t>
      </w:r>
      <w:r w:rsidRPr="00FC7B9B">
        <w:t xml:space="preserve"> </w:t>
      </w:r>
    </w:p>
    <w:p w14:paraId="1D95666C" w14:textId="77777777" w:rsidR="00FC7B9B" w:rsidRPr="00FC7B9B" w:rsidRDefault="00FC7B9B" w:rsidP="00FC7B9B">
      <w:pPr>
        <w:pStyle w:val="H23G"/>
      </w:pPr>
      <w:r w:rsidRPr="00FC7B9B">
        <w:tab/>
      </w:r>
      <w:r w:rsidRPr="00FC7B9B">
        <w:tab/>
        <w:t xml:space="preserve">Недискриминация </w:t>
      </w:r>
    </w:p>
    <w:p w14:paraId="07871175" w14:textId="64CD7F7A" w:rsidR="00FC7B9B" w:rsidRPr="00FC7B9B" w:rsidRDefault="00FC7B9B" w:rsidP="00FC7B9B">
      <w:pPr>
        <w:pStyle w:val="SingleTxtG"/>
      </w:pPr>
      <w:r w:rsidRPr="00FC7B9B">
        <w:t>16.</w:t>
      </w:r>
      <w:r w:rsidRPr="00FC7B9B">
        <w:tab/>
        <w:t xml:space="preserve">Комитет приветствует принятие в государстве-участнике обширного антидискриминационного законодательства, в частности Закона № 85/2018 о равном обращении независимо от расы и этнического происхождения; Закона № 86/2018 о равном обращении на рынке труда; и Закон № 150/2020 о равном статусе и равных правах независимо от пола. Вместе с тем Комитет обеспокоен тем, что общественность плохо </w:t>
      </w:r>
      <w:r w:rsidRPr="00FC7B9B">
        <w:t>осведомлена</w:t>
      </w:r>
      <w:r w:rsidRPr="00FC7B9B">
        <w:t xml:space="preserve"> об этом законодательстве и имеющихся средствах правовой защиты для жертв, в том числе о процедурах подачи жалоб в Комитет по рассмотрению жалоб на нарушение равенства (ст. 2 (п. 2)). </w:t>
      </w:r>
    </w:p>
    <w:p w14:paraId="63B56F46" w14:textId="77777777" w:rsidR="00FC7B9B" w:rsidRPr="00FC7B9B" w:rsidRDefault="00FC7B9B" w:rsidP="00FC7B9B">
      <w:pPr>
        <w:pStyle w:val="SingleTxtG"/>
      </w:pPr>
      <w:r w:rsidRPr="00FC7B9B">
        <w:t>17.</w:t>
      </w:r>
      <w:r w:rsidRPr="00FC7B9B">
        <w:tab/>
      </w:r>
      <w:r w:rsidRPr="00FC7B9B">
        <w:rPr>
          <w:b/>
          <w:bCs/>
        </w:rPr>
        <w:t>Комитет рекомендует государству-участнику принять эффективные меры для повышения осведомленности общественности о национальном антидискриминационном законодательстве, в частности среди обездоленных и маргинализированных групп, и обеспечить информирование таких групп об имеющихся средствах правовой защиты для жертв, в том числе о процедурах обращения в Комитет по рассмотрению жалоб на нарушение равенства.</w:t>
      </w:r>
      <w:r w:rsidRPr="00FC7B9B">
        <w:t xml:space="preserve"> </w:t>
      </w:r>
    </w:p>
    <w:p w14:paraId="427AABFE" w14:textId="77777777" w:rsidR="00FC7B9B" w:rsidRPr="00FC7B9B" w:rsidRDefault="00FC7B9B" w:rsidP="00FC7B9B">
      <w:pPr>
        <w:pStyle w:val="H23G"/>
      </w:pPr>
      <w:r w:rsidRPr="00FC7B9B">
        <w:tab/>
      </w:r>
      <w:r w:rsidRPr="00FC7B9B">
        <w:tab/>
        <w:t xml:space="preserve">Просители убежища </w:t>
      </w:r>
    </w:p>
    <w:p w14:paraId="772507C3" w14:textId="1B3F2443" w:rsidR="00FC7B9B" w:rsidRPr="00FC7B9B" w:rsidRDefault="00FC7B9B" w:rsidP="00FC7B9B">
      <w:pPr>
        <w:pStyle w:val="SingleTxtG"/>
      </w:pPr>
      <w:r w:rsidRPr="00FC7B9B">
        <w:t>18.</w:t>
      </w:r>
      <w:r w:rsidRPr="00FC7B9B">
        <w:tab/>
        <w:t>Комитет обеспокоен тем, что недавняя поправка к статье 33 Закона № 80/2016 об иностранных гражданах ограничивает доступ просителей убежища к таким правам, как право на питание, жилье, образование и охрану здоровья, максимум 30 днями после окончательного отклонения их ходатайства о предоставлении международной защиты. Комитет особенно обеспокоен тем, что, поскольку исполнение решений о предоставлении убежища может занять несколько месяцев, лица, ожидающие репатриации, за некоторыми исключениями не имеют доступа к основным услугам, включая здравоохранение и жилье (ст. 2 (п</w:t>
      </w:r>
      <w:r w:rsidR="00913B39" w:rsidRPr="00913B39">
        <w:t>.</w:t>
      </w:r>
      <w:r w:rsidRPr="00FC7B9B">
        <w:t xml:space="preserve"> 2)). </w:t>
      </w:r>
    </w:p>
    <w:p w14:paraId="62A7B188" w14:textId="77777777" w:rsidR="00FC7B9B" w:rsidRPr="00FC7B9B" w:rsidRDefault="00FC7B9B" w:rsidP="00FC7B9B">
      <w:pPr>
        <w:pStyle w:val="SingleTxtG"/>
        <w:rPr>
          <w:b/>
          <w:bCs/>
        </w:rPr>
      </w:pPr>
      <w:r w:rsidRPr="00FC7B9B">
        <w:t>19.</w:t>
      </w:r>
      <w:r w:rsidRPr="00FC7B9B">
        <w:tab/>
      </w:r>
      <w:r w:rsidRPr="00FC7B9B">
        <w:rPr>
          <w:b/>
          <w:bCs/>
        </w:rPr>
        <w:t>Комитет рекомендует государству-участнику внести поправки в статью 33 Закона № 80/2016 об иностранных гражданах, с тем чтобы все просители убежища, чьи ходатайства о предоставлении международной защиты были отклонены, продолжали пользоваться экономическими, социальными и культурными правами, в том числе имели доступ к питанию, достаточному жилищу, здравоохранению и образованию, в течение всего периода ожидания репатриации сверх нынешнего 30-дневного лимита.</w:t>
      </w:r>
      <w:r w:rsidRPr="00FC7B9B">
        <w:t xml:space="preserve"> </w:t>
      </w:r>
    </w:p>
    <w:p w14:paraId="5652AB9C" w14:textId="77777777" w:rsidR="00FC7B9B" w:rsidRPr="00FC7B9B" w:rsidRDefault="00FC7B9B" w:rsidP="00FC7B9B">
      <w:pPr>
        <w:pStyle w:val="H23G"/>
      </w:pPr>
      <w:r w:rsidRPr="00FC7B9B">
        <w:tab/>
      </w:r>
      <w:r w:rsidRPr="00FC7B9B">
        <w:tab/>
        <w:t xml:space="preserve">Равенство мужчин и женщин </w:t>
      </w:r>
    </w:p>
    <w:p w14:paraId="3C8E6D84" w14:textId="77777777" w:rsidR="00FC7B9B" w:rsidRPr="00FC7B9B" w:rsidRDefault="00FC7B9B" w:rsidP="00FC7B9B">
      <w:pPr>
        <w:pStyle w:val="SingleTxtG"/>
      </w:pPr>
      <w:r w:rsidRPr="00FC7B9B">
        <w:t>20.</w:t>
      </w:r>
      <w:r w:rsidRPr="00FC7B9B">
        <w:tab/>
        <w:t xml:space="preserve">Комитет с удовлетворением отмечает, что государство-участник прилагало серьезные усилия для устранения гендерного разрыва в оплате труда, в том числе для внедрения системы сертификации равной оплаты труда. Однако Комитет обеспокоен тем, что, несмотря на эти усилия, гендерный разрыв в оплате труда сохраняется, в частности из-за сохраняющейся вертикальной и горизонтальной профессиональной сегрегации на рынке труда, а также более высокой доли женщин, работающих неполный рабочий день, по сравнению с мужчинами (ст. 3 и 7). </w:t>
      </w:r>
    </w:p>
    <w:p w14:paraId="3F0C45BB" w14:textId="77777777" w:rsidR="00FC7B9B" w:rsidRPr="00FC7B9B" w:rsidRDefault="00FC7B9B" w:rsidP="00FC7B9B">
      <w:pPr>
        <w:pStyle w:val="SingleTxtG"/>
      </w:pPr>
      <w:r w:rsidRPr="00FC7B9B">
        <w:lastRenderedPageBreak/>
        <w:t>21.</w:t>
      </w:r>
      <w:r w:rsidRPr="00FC7B9B">
        <w:tab/>
      </w:r>
      <w:r w:rsidRPr="00FC7B9B">
        <w:rPr>
          <w:b/>
          <w:bCs/>
        </w:rPr>
        <w:t>Комитет рекомендует государству-участнику:</w:t>
      </w:r>
      <w:r w:rsidRPr="00FC7B9B">
        <w:t xml:space="preserve"> </w:t>
      </w:r>
    </w:p>
    <w:p w14:paraId="54DBFC89" w14:textId="70A8D226" w:rsidR="00FC7B9B" w:rsidRPr="00FC7B9B" w:rsidRDefault="00FC7B9B" w:rsidP="00FC7B9B">
      <w:pPr>
        <w:pStyle w:val="SingleTxtG"/>
        <w:rPr>
          <w:b/>
          <w:bCs/>
        </w:rPr>
      </w:pPr>
      <w:r>
        <w:rPr>
          <w:lang w:val="en-US"/>
        </w:rPr>
        <w:tab/>
      </w:r>
      <w:r w:rsidRPr="00FC7B9B">
        <w:rPr>
          <w:b/>
          <w:bCs/>
        </w:rPr>
        <w:t>a)</w:t>
      </w:r>
      <w:r w:rsidRPr="00FC7B9B">
        <w:rPr>
          <w:b/>
          <w:bCs/>
        </w:rPr>
        <w:tab/>
        <w:t>активизировать усилия, с тем чтобы предоставить мужчинам и женщинам равные возможности для выбора нетрадиционных направлений учебы и сфер занятости, в том числе путем устранения гендерных стереотипов;</w:t>
      </w:r>
    </w:p>
    <w:p w14:paraId="1673F94D" w14:textId="1792E3CF" w:rsidR="00FC7B9B" w:rsidRPr="00FC7B9B" w:rsidRDefault="00FC7B9B" w:rsidP="00FC7B9B">
      <w:pPr>
        <w:pStyle w:val="SingleTxtG"/>
        <w:rPr>
          <w:b/>
          <w:bCs/>
        </w:rPr>
      </w:pPr>
      <w:r w:rsidRPr="00FC7B9B">
        <w:rPr>
          <w:b/>
          <w:bCs/>
          <w:lang w:val="en-US"/>
        </w:rPr>
        <w:tab/>
      </w:r>
      <w:r w:rsidRPr="00FC7B9B">
        <w:rPr>
          <w:b/>
          <w:bCs/>
        </w:rPr>
        <w:t>b)</w:t>
      </w:r>
      <w:r w:rsidRPr="00FC7B9B">
        <w:rPr>
          <w:b/>
          <w:bCs/>
        </w:rPr>
        <w:tab/>
        <w:t>содействовать деятельности рабочей группы для устранения гендерного разрыва в оплате труда, обусловленного профессиональной сегрегацией на рынке труда по гендерному признаку, и постоянного принижения значимости традиционно женских профессий;</w:t>
      </w:r>
      <w:r w:rsidRPr="00FC7B9B">
        <w:t xml:space="preserve"> </w:t>
      </w:r>
    </w:p>
    <w:p w14:paraId="7A2FB72A" w14:textId="793A342B" w:rsidR="00FC7B9B" w:rsidRPr="00FC7B9B" w:rsidRDefault="00FC7B9B" w:rsidP="00FC7B9B">
      <w:pPr>
        <w:pStyle w:val="SingleTxtG"/>
        <w:rPr>
          <w:b/>
          <w:bCs/>
        </w:rPr>
      </w:pPr>
      <w:r>
        <w:rPr>
          <w:lang w:val="en-US"/>
        </w:rPr>
        <w:tab/>
      </w:r>
      <w:r w:rsidRPr="00FC7B9B">
        <w:rPr>
          <w:b/>
          <w:bCs/>
        </w:rPr>
        <w:t>c)</w:t>
      </w:r>
      <w:r w:rsidRPr="00FC7B9B">
        <w:rPr>
          <w:b/>
          <w:bCs/>
        </w:rPr>
        <w:tab/>
        <w:t xml:space="preserve">пересмотреть социальную и налоговую политику с целью смягчения факторов, мешающих женщинам работать полный рабочий день, и, в частности, обеспечить наличие и доступность адекватных услуг по уходу за детьми и поддержке по всей стране; </w:t>
      </w:r>
    </w:p>
    <w:p w14:paraId="1392CF4E" w14:textId="5E377780" w:rsidR="00FC7B9B" w:rsidRPr="00FC7B9B" w:rsidRDefault="00FC7B9B" w:rsidP="00FC7B9B">
      <w:pPr>
        <w:pStyle w:val="SingleTxtG"/>
        <w:rPr>
          <w:b/>
          <w:bCs/>
        </w:rPr>
      </w:pPr>
      <w:r w:rsidRPr="00FC7B9B">
        <w:rPr>
          <w:b/>
          <w:bCs/>
          <w:lang w:val="en-US"/>
        </w:rPr>
        <w:tab/>
      </w:r>
      <w:r w:rsidRPr="00FC7B9B">
        <w:rPr>
          <w:b/>
          <w:bCs/>
        </w:rPr>
        <w:t>d)</w:t>
      </w:r>
      <w:r w:rsidRPr="00FC7B9B">
        <w:rPr>
          <w:b/>
          <w:bCs/>
        </w:rPr>
        <w:tab/>
      </w:r>
      <w:r w:rsidRPr="00FC7B9B">
        <w:rPr>
          <w:b/>
          <w:bCs/>
        </w:rPr>
        <w:t>принимать</w:t>
      </w:r>
      <w:r w:rsidRPr="00FC7B9B">
        <w:rPr>
          <w:b/>
          <w:bCs/>
        </w:rPr>
        <w:t xml:space="preserve"> во внимание замечание общего порядка № 16 (2005 год) о равном для мужчин и женщин праве пользования всеми экономическими, социальными и культурными правами.</w:t>
      </w:r>
      <w:r w:rsidRPr="00FC7B9B">
        <w:t xml:space="preserve"> </w:t>
      </w:r>
    </w:p>
    <w:p w14:paraId="02279F5C" w14:textId="77777777" w:rsidR="00FC7B9B" w:rsidRPr="00FC7B9B" w:rsidRDefault="00FC7B9B" w:rsidP="00FC7B9B">
      <w:pPr>
        <w:pStyle w:val="H23G"/>
      </w:pPr>
      <w:r w:rsidRPr="00FC7B9B">
        <w:tab/>
      </w:r>
      <w:r w:rsidRPr="00FC7B9B">
        <w:tab/>
      </w:r>
      <w:r w:rsidRPr="00FC7B9B">
        <w:rPr>
          <w:bCs/>
        </w:rPr>
        <w:t>Право на труд</w:t>
      </w:r>
      <w:r w:rsidRPr="00FC7B9B">
        <w:t xml:space="preserve"> </w:t>
      </w:r>
    </w:p>
    <w:p w14:paraId="45192C7E" w14:textId="77777777" w:rsidR="00FC7B9B" w:rsidRPr="00FC7B9B" w:rsidRDefault="00FC7B9B" w:rsidP="00FC7B9B">
      <w:pPr>
        <w:pStyle w:val="SingleTxtG"/>
      </w:pPr>
      <w:r w:rsidRPr="00FC7B9B">
        <w:t>22.</w:t>
      </w:r>
      <w:r w:rsidRPr="00FC7B9B">
        <w:tab/>
        <w:t xml:space="preserve">Комитет обеспокоен тем, что уровень безработицы среди иммигрантов значительно выше, чем среди исландцев, и что иммигранты чаще всего заняты на низкоквалифицированных и низкооплачиваемых работах, не соответствующих их квалификации, зачастую в секторах с высокой волатильностью, вследствие чего они непропорционально страдают от экономических потрясений. В связи с этим Комитет также обеспокоен трудностями, с которыми иммигранты сталкиваются при изучении языка для достижения такого уровня владения им, который необходим для профессионального роста на рынке труда (ст. 6). </w:t>
      </w:r>
    </w:p>
    <w:p w14:paraId="71CCADB9" w14:textId="77777777" w:rsidR="00FC7B9B" w:rsidRPr="00FC7B9B" w:rsidRDefault="00FC7B9B" w:rsidP="00FC7B9B">
      <w:pPr>
        <w:pStyle w:val="SingleTxtG"/>
      </w:pPr>
      <w:r w:rsidRPr="00FC7B9B">
        <w:t>23.</w:t>
      </w:r>
      <w:r w:rsidRPr="00FC7B9B">
        <w:tab/>
      </w:r>
      <w:r w:rsidRPr="00FC7B9B">
        <w:rPr>
          <w:b/>
          <w:bCs/>
        </w:rPr>
        <w:t>Комитет рекомендует государству-участнику укрепить свою политику в области занятости в целях устранения коренных причин безработицы, в частности среди иммигрантов, и упростить процедуры подтверждения квалификации, обеспечив при этом доступ иммигрантов к информации и поддержке, необходимым для получения такого подтверждения.</w:t>
      </w:r>
      <w:r w:rsidRPr="00FC7B9B">
        <w:t xml:space="preserve"> </w:t>
      </w:r>
      <w:r w:rsidRPr="00FC7B9B">
        <w:rPr>
          <w:b/>
          <w:bCs/>
        </w:rPr>
        <w:t>Комитет также рекомендует государству-участнику в сотрудничестве с социальными партнерами активизировать усилия по организации качественных, недорогих, гибких и доступных курсов исландского языка для иммигрантов наряду с возможностями получения профессиональной подготовки.</w:t>
      </w:r>
      <w:r w:rsidRPr="00FC7B9B">
        <w:t xml:space="preserve"> </w:t>
      </w:r>
      <w:r w:rsidRPr="00FC7B9B">
        <w:rPr>
          <w:b/>
          <w:bCs/>
        </w:rPr>
        <w:t>В этой связи Комитет ссылается на свое замечание общего порядка № 18 (2005) о праве на труд.</w:t>
      </w:r>
    </w:p>
    <w:p w14:paraId="54317BC8" w14:textId="77777777" w:rsidR="00FC7B9B" w:rsidRPr="00FC7B9B" w:rsidRDefault="00FC7B9B" w:rsidP="00FC7B9B">
      <w:pPr>
        <w:pStyle w:val="SingleTxtG"/>
      </w:pPr>
      <w:r w:rsidRPr="00FC7B9B">
        <w:t>24.</w:t>
      </w:r>
      <w:r w:rsidRPr="00FC7B9B">
        <w:tab/>
        <w:t>Комитет обеспокоен тем, что инвалиды сталкиваются с серьезными препятствиями в доступе к занятости, в частности из-за ограниченных возможностей, имеющихся для них на рынке труда (ст. 6).</w:t>
      </w:r>
    </w:p>
    <w:p w14:paraId="09667EF4" w14:textId="77777777" w:rsidR="00FC7B9B" w:rsidRPr="00FC7B9B" w:rsidRDefault="00FC7B9B" w:rsidP="00FC7B9B">
      <w:pPr>
        <w:pStyle w:val="SingleTxtG"/>
      </w:pPr>
      <w:r w:rsidRPr="00FC7B9B">
        <w:t>25.</w:t>
      </w:r>
      <w:r w:rsidRPr="00FC7B9B">
        <w:tab/>
      </w:r>
      <w:r w:rsidRPr="00FC7B9B">
        <w:rPr>
          <w:b/>
          <w:bCs/>
        </w:rPr>
        <w:t>Комитет рекомендует государству-участнику принять все необходимые меры для расширения возможностей трудоустройства инвалидов, в том числе путем предоставления работодателям эффективных стимулов для поощрения трудоустройства инвалидов и оказания им при необходимости поддержки в форме разумных приспособлений.</w:t>
      </w:r>
      <w:r w:rsidRPr="00FC7B9B">
        <w:t xml:space="preserve"> </w:t>
      </w:r>
      <w:r w:rsidRPr="00FC7B9B">
        <w:rPr>
          <w:b/>
          <w:bCs/>
        </w:rPr>
        <w:t>Комитет также рекомендует государству-участнику провести оценку влияния пандемии коронавирусной инфекции (COVID-19) и более широкого использования искусственного интеллекта на рынок труда, уделяя особое внимание последствиям для занятости инвалидов, и принять меры для смягчения любых негативных последствий и поощрения их интеграции в рабочую силу.</w:t>
      </w:r>
      <w:r w:rsidRPr="00FC7B9B">
        <w:t xml:space="preserve"> </w:t>
      </w:r>
    </w:p>
    <w:p w14:paraId="3C20FB35" w14:textId="77777777" w:rsidR="00FC7B9B" w:rsidRPr="00FC7B9B" w:rsidRDefault="00FC7B9B" w:rsidP="00FC7B9B">
      <w:pPr>
        <w:pStyle w:val="SingleTxtG"/>
      </w:pPr>
      <w:r w:rsidRPr="00FC7B9B">
        <w:t>26.</w:t>
      </w:r>
      <w:r w:rsidRPr="00FC7B9B">
        <w:tab/>
        <w:t xml:space="preserve">Комитет обеспокоен тем, что безработные старше 50 лет сталкиваются со все более серьезными проблемами при попытках вернуться на рынок труда (ст. 6). </w:t>
      </w:r>
    </w:p>
    <w:p w14:paraId="5851EC4E" w14:textId="77777777" w:rsidR="00FC7B9B" w:rsidRPr="00FC7B9B" w:rsidRDefault="00FC7B9B" w:rsidP="00FC7B9B">
      <w:pPr>
        <w:pStyle w:val="SingleTxtG"/>
        <w:rPr>
          <w:b/>
          <w:bCs/>
        </w:rPr>
      </w:pPr>
      <w:r w:rsidRPr="00FC7B9B">
        <w:t>27.</w:t>
      </w:r>
      <w:r w:rsidRPr="00FC7B9B">
        <w:tab/>
      </w:r>
      <w:r w:rsidRPr="00FC7B9B">
        <w:rPr>
          <w:b/>
          <w:bCs/>
        </w:rPr>
        <w:t>Комитет рекомендует государству-участнику оценить барьеры для трудоустройства людей старше 50 лет и принять меры для предотвращения дискриминации по признаку возраста в сфере труда и занятий.</w:t>
      </w:r>
      <w:r w:rsidRPr="00FC7B9B">
        <w:t xml:space="preserve"> </w:t>
      </w:r>
    </w:p>
    <w:p w14:paraId="59E3542F" w14:textId="77777777" w:rsidR="00FC7B9B" w:rsidRPr="00FC7B9B" w:rsidRDefault="00FC7B9B" w:rsidP="00FC7B9B">
      <w:pPr>
        <w:pStyle w:val="H23G"/>
      </w:pPr>
      <w:r w:rsidRPr="00FC7B9B">
        <w:lastRenderedPageBreak/>
        <w:tab/>
      </w:r>
      <w:r w:rsidRPr="00FC7B9B">
        <w:tab/>
        <w:t>Право на справедливые и благоприятные условия труда</w:t>
      </w:r>
    </w:p>
    <w:p w14:paraId="012185D7" w14:textId="38B05DBA" w:rsidR="00FC7B9B" w:rsidRPr="00FC7B9B" w:rsidRDefault="00FC7B9B" w:rsidP="00FC7B9B">
      <w:pPr>
        <w:pStyle w:val="SingleTxtG"/>
      </w:pPr>
      <w:r w:rsidRPr="00FC7B9B">
        <w:t>28.</w:t>
      </w:r>
      <w:r w:rsidRPr="00FC7B9B">
        <w:tab/>
        <w:t xml:space="preserve">Признавая высокий охват трудящихся коллективными договорами, Комитет </w:t>
      </w:r>
      <w:r w:rsidR="00BC7780">
        <w:rPr>
          <w:lang w:val="en-US"/>
        </w:rPr>
        <w:br/>
      </w:r>
      <w:r w:rsidRPr="00FC7B9B">
        <w:t>по-прежнему обеспокоен тем, что государство-участник еще не установило национальный минимальный уровень оплаты труда (ст. 7).</w:t>
      </w:r>
    </w:p>
    <w:p w14:paraId="7E1838C2" w14:textId="481B5456" w:rsidR="00FC7B9B" w:rsidRPr="00FC7B9B" w:rsidRDefault="00FC7B9B" w:rsidP="00FC7B9B">
      <w:pPr>
        <w:pStyle w:val="SingleTxtG"/>
      </w:pPr>
      <w:r w:rsidRPr="00FC7B9B">
        <w:t>29.</w:t>
      </w:r>
      <w:r w:rsidRPr="00FC7B9B">
        <w:tab/>
      </w:r>
      <w:r w:rsidRPr="00FC7B9B">
        <w:rPr>
          <w:b/>
          <w:bCs/>
        </w:rPr>
        <w:t>Ссылаясь на свою предыдущую рекомендацию</w:t>
      </w:r>
      <w:r w:rsidR="00BC7780" w:rsidRPr="00FC7B9B">
        <w:rPr>
          <w:rStyle w:val="a8"/>
        </w:rPr>
        <w:footnoteReference w:id="5"/>
      </w:r>
      <w:r w:rsidRPr="00FC7B9B">
        <w:rPr>
          <w:b/>
          <w:bCs/>
        </w:rPr>
        <w:t>, Комитет рекомендует государству-участнику принять законодательные и другие меры для установления национального минимального уровня оплаты труда и обеспечить его периодический пересмотр и поддержание на уровне, достаточном для обеспечения всем трудящимся и их семьям достойного уровня жизни.</w:t>
      </w:r>
      <w:r w:rsidRPr="00FC7B9B">
        <w:t xml:space="preserve"> </w:t>
      </w:r>
      <w:r w:rsidR="00BC7780" w:rsidRPr="00BC7780">
        <w:t xml:space="preserve"> </w:t>
      </w:r>
    </w:p>
    <w:p w14:paraId="02465867" w14:textId="3AC6FEB6" w:rsidR="00FC7B9B" w:rsidRPr="00FC7B9B" w:rsidRDefault="00FC7B9B" w:rsidP="00FC7B9B">
      <w:pPr>
        <w:pStyle w:val="SingleTxtG"/>
      </w:pPr>
      <w:r w:rsidRPr="00FC7B9B">
        <w:t>30.</w:t>
      </w:r>
      <w:r w:rsidRPr="00FC7B9B">
        <w:tab/>
        <w:t>Комитет обеспокоен тем, что в соответствии с пунктом d) статьи 13 Закона №</w:t>
      </w:r>
      <w:r w:rsidR="00A513A9">
        <w:t> </w:t>
      </w:r>
      <w:r w:rsidRPr="00FC7B9B">
        <w:t>54/2006 о страховании по безработице иностранные трудящиеся, работающие в государстве-участнике на основании временных разрешений на работу, не имеют права на получение пособия по безработице. Комитет вновь выражает обеспокоенность тем, что государство-участник продолжает выдавать временные разрешения на работу в привязке к конкретным работодателям, что может мешать работникам сообщать о нарушениях их трудовых прав или покидать места работы, где они подвергаются эксплуатации, из опасения, что их разрешения могут быть аннулированы или не продлены (ст. 7).</w:t>
      </w:r>
    </w:p>
    <w:p w14:paraId="5FBA120D" w14:textId="49404819" w:rsidR="00FC7B9B" w:rsidRPr="00FC7B9B" w:rsidRDefault="00FC7B9B" w:rsidP="00FC7B9B">
      <w:pPr>
        <w:pStyle w:val="SingleTxtG"/>
      </w:pPr>
      <w:r w:rsidRPr="00FC7B9B">
        <w:t>31.</w:t>
      </w:r>
      <w:r w:rsidRPr="00FC7B9B">
        <w:tab/>
      </w:r>
      <w:r w:rsidRPr="00FC7B9B">
        <w:rPr>
          <w:b/>
          <w:bCs/>
        </w:rPr>
        <w:t>Комитет рекомендует государству-участнику внести поправки в пункт d) статьи 13 Закона № 54/2006, с тем чтобы распространить право на получение пособия по безработице в случае потери работы на иностранных работников, имеющих временные разрешения на работу.</w:t>
      </w:r>
      <w:r w:rsidRPr="00FC7B9B">
        <w:t xml:space="preserve"> </w:t>
      </w:r>
      <w:r w:rsidRPr="00FC7B9B">
        <w:rPr>
          <w:b/>
          <w:bCs/>
        </w:rPr>
        <w:t>Ссылаясь на свою предыдущую рекомендацию</w:t>
      </w:r>
      <w:r w:rsidR="00BC7780" w:rsidRPr="00FC7B9B">
        <w:rPr>
          <w:rStyle w:val="a8"/>
        </w:rPr>
        <w:footnoteReference w:id="6"/>
      </w:r>
      <w:r w:rsidRPr="00FC7B9B">
        <w:rPr>
          <w:b/>
          <w:bCs/>
        </w:rPr>
        <w:t>, Комитет также рекомендует государству-участнику принять меры к тому, чтобы временные разрешения на работу выдавались для выполнения конкретного вида работы или занятия конкретным видом оплачиваемой деятельности и на определенное время, а не для работы на конкретного работодателя.</w:t>
      </w:r>
    </w:p>
    <w:p w14:paraId="00536421" w14:textId="77777777" w:rsidR="00FC7B9B" w:rsidRPr="00FC7B9B" w:rsidRDefault="00FC7B9B" w:rsidP="00FC7B9B">
      <w:pPr>
        <w:pStyle w:val="SingleTxtG"/>
      </w:pPr>
      <w:r w:rsidRPr="00FC7B9B">
        <w:t>32.</w:t>
      </w:r>
      <w:r w:rsidRPr="00FC7B9B">
        <w:tab/>
        <w:t>Комитет отмечает усилия государства-участника по борьбе с торговлей людьми, в частности внесение поправки в Общий уголовный кодекс, вводящей уголовную ответственность за дополнительные формы торговли людьми, в том числе за принудительные браки и принудительный труд. Однако Комитет обеспокоен тем, что отсутствие определения и отдельного состава преступления принудительного труда, отдельного от торговли людьми, как утверждается, ведет к занижению количества сообщений о подобных случаях и недостаточно эффективному уголовному преследованию (ст. 7).</w:t>
      </w:r>
    </w:p>
    <w:p w14:paraId="1A350395" w14:textId="77777777" w:rsidR="00FC7B9B" w:rsidRPr="00FC7B9B" w:rsidRDefault="00FC7B9B" w:rsidP="00FC7B9B">
      <w:pPr>
        <w:pStyle w:val="SingleTxtG"/>
      </w:pPr>
      <w:r w:rsidRPr="00FC7B9B">
        <w:t>33.</w:t>
      </w:r>
      <w:r w:rsidRPr="00FC7B9B">
        <w:tab/>
      </w:r>
      <w:r w:rsidRPr="00FC7B9B">
        <w:rPr>
          <w:b/>
          <w:bCs/>
        </w:rPr>
        <w:t>Комитет рекомендует государству-участнику пересмотреть свое законодательство и рассмотреть возможность выработки определения принудительного труда и его выделения в отдельный состав преступления, требующего более низкого порога доказывания, чем преступление торговли людьми.</w:t>
      </w:r>
      <w:r w:rsidRPr="00FC7B9B">
        <w:t xml:space="preserve"> </w:t>
      </w:r>
      <w:r w:rsidRPr="00FC7B9B">
        <w:rPr>
          <w:b/>
          <w:bCs/>
        </w:rPr>
        <w:t>Он также рекомендует оперативно проводить расследования, привлекать к ответственности и выносить адекватные приговоры лицам, виновным в торговле людьми.</w:t>
      </w:r>
      <w:r w:rsidRPr="00FC7B9B">
        <w:t xml:space="preserve"> </w:t>
      </w:r>
    </w:p>
    <w:p w14:paraId="7ED72A71" w14:textId="77777777" w:rsidR="00FC7B9B" w:rsidRPr="00FC7B9B" w:rsidRDefault="00FC7B9B" w:rsidP="00FC7B9B">
      <w:pPr>
        <w:pStyle w:val="H23G"/>
      </w:pPr>
      <w:r w:rsidRPr="00FC7B9B">
        <w:tab/>
      </w:r>
      <w:r w:rsidRPr="00FC7B9B">
        <w:tab/>
        <w:t>Профсоюзные права</w:t>
      </w:r>
    </w:p>
    <w:p w14:paraId="1F842BEB" w14:textId="77777777" w:rsidR="00FC7B9B" w:rsidRPr="00FC7B9B" w:rsidRDefault="00FC7B9B" w:rsidP="00FC7B9B">
      <w:pPr>
        <w:pStyle w:val="SingleTxtG"/>
      </w:pPr>
      <w:r w:rsidRPr="00FC7B9B">
        <w:t>34.</w:t>
      </w:r>
      <w:r w:rsidRPr="00FC7B9B">
        <w:tab/>
        <w:t xml:space="preserve">Комитет обеспокоен существованием в коллективных договорах положений о приоритете, которые, будучи направлены на поощрение работников к вступлению в профсоюзы, могут ставить не членов профсоюзов в явно невыгодное положение на рынке труда по сравнению с состоящими в профсоюзах работниками, с которыми профсоюзы согласовали такие положения (ст. 8). </w:t>
      </w:r>
    </w:p>
    <w:p w14:paraId="2C958D98" w14:textId="1B11D848" w:rsidR="00FC7B9B" w:rsidRPr="00FC7B9B" w:rsidRDefault="00FC7B9B" w:rsidP="00FC7B9B">
      <w:pPr>
        <w:pStyle w:val="SingleTxtG"/>
      </w:pPr>
      <w:r w:rsidRPr="00FC7B9B">
        <w:t>35.</w:t>
      </w:r>
      <w:r w:rsidRPr="00FC7B9B">
        <w:tab/>
      </w:r>
      <w:r w:rsidRPr="00FC7B9B">
        <w:rPr>
          <w:b/>
          <w:bCs/>
        </w:rPr>
        <w:t xml:space="preserve">Комитет рекомендует государству-участнику пересмотреть использование положений о приоритете в коллективных договорах, с тем чтобы они </w:t>
      </w:r>
      <w:r w:rsidRPr="00FC7B9B">
        <w:rPr>
          <w:b/>
          <w:bCs/>
        </w:rPr>
        <w:lastRenderedPageBreak/>
        <w:t>не</w:t>
      </w:r>
      <w:r w:rsidR="00BC7780">
        <w:rPr>
          <w:b/>
          <w:bCs/>
          <w:lang w:val="en-US"/>
        </w:rPr>
        <w:t> </w:t>
      </w:r>
      <w:r w:rsidRPr="00FC7B9B">
        <w:rPr>
          <w:b/>
          <w:bCs/>
        </w:rPr>
        <w:t>ограничивали равные права работников на трудоустройство, независимо от членства в профсоюзе.</w:t>
      </w:r>
      <w:r w:rsidRPr="00FC7B9B">
        <w:t xml:space="preserve"> </w:t>
      </w:r>
    </w:p>
    <w:p w14:paraId="0065D50B" w14:textId="77777777" w:rsidR="00FC7B9B" w:rsidRPr="00FC7B9B" w:rsidRDefault="00FC7B9B" w:rsidP="00FC7B9B">
      <w:pPr>
        <w:pStyle w:val="H23G"/>
      </w:pPr>
      <w:r w:rsidRPr="00FC7B9B">
        <w:tab/>
      </w:r>
      <w:r w:rsidRPr="00FC7B9B">
        <w:tab/>
        <w:t xml:space="preserve">Право на социальное обеспечение </w:t>
      </w:r>
    </w:p>
    <w:p w14:paraId="5DAAABC9" w14:textId="77777777" w:rsidR="00FC7B9B" w:rsidRPr="00FC7B9B" w:rsidRDefault="00FC7B9B" w:rsidP="00FC7B9B">
      <w:pPr>
        <w:pStyle w:val="SingleTxtG"/>
        <w:rPr>
          <w:bCs/>
        </w:rPr>
      </w:pPr>
      <w:r w:rsidRPr="00FC7B9B">
        <w:t>36.</w:t>
      </w:r>
      <w:r w:rsidRPr="00FC7B9B">
        <w:tab/>
        <w:t xml:space="preserve">Комитет приветствует широкий охват системы социального обеспечения в государстве-участнике. Вместе с тем Комитет обеспокоен требованием статьи 17 Закона № 100/2007 о социальном обеспечении, согласно которому для получения права на полную пенсию по старости необходимо прожить в государстве-участнике не менее 40 лет в возрасте от 16 до 67 лет. Хотя Комитет принимает к сведению предоставленную государством-участником в ходе диалога информацию о том, что недавно принятое законодательство позволит решить эту проблему, он обеспокоен тем, что оно вступит в силу только в сентябре 2025 года, а до этого момента затрагиваемые лица будут оставаться в невыгодном положении (ст. 9). </w:t>
      </w:r>
    </w:p>
    <w:p w14:paraId="778D1EFA" w14:textId="08A9EC01" w:rsidR="00FC7B9B" w:rsidRPr="00FC7B9B" w:rsidRDefault="00FC7B9B" w:rsidP="00FC7B9B">
      <w:pPr>
        <w:pStyle w:val="SingleTxtG"/>
        <w:rPr>
          <w:b/>
        </w:rPr>
      </w:pPr>
      <w:r w:rsidRPr="00FC7B9B">
        <w:t>37.</w:t>
      </w:r>
      <w:r w:rsidRPr="00FC7B9B">
        <w:tab/>
      </w:r>
      <w:r w:rsidRPr="00FC7B9B">
        <w:rPr>
          <w:b/>
          <w:bCs/>
        </w:rPr>
        <w:t>Комитет рекомендует государству-участнику обеспечить эффективное применение законодательства, которое должно вступить в силу в сентябре 2025</w:t>
      </w:r>
      <w:r w:rsidR="00BC7780">
        <w:rPr>
          <w:b/>
          <w:bCs/>
          <w:lang w:val="en-US"/>
        </w:rPr>
        <w:t> </w:t>
      </w:r>
      <w:r w:rsidRPr="00FC7B9B">
        <w:rPr>
          <w:b/>
          <w:bCs/>
        </w:rPr>
        <w:t>года и которое будет гарантировать возможность получения полной пенсию по старости лицам, прожившим в государстве-участнике менее 40 лет.</w:t>
      </w:r>
      <w:r w:rsidRPr="00FC7B9B">
        <w:t xml:space="preserve"> </w:t>
      </w:r>
      <w:r w:rsidRPr="00FC7B9B">
        <w:rPr>
          <w:b/>
          <w:bCs/>
        </w:rPr>
        <w:t>Комитет также рекомендует государству-участнику принять до вступления в силу законодательства временные меры к тому, чтобы затрагиваемые лица не оставались в невыгодном положении.</w:t>
      </w:r>
      <w:r w:rsidRPr="00FC7B9B">
        <w:t xml:space="preserve"> </w:t>
      </w:r>
      <w:r w:rsidRPr="00FC7B9B">
        <w:rPr>
          <w:b/>
          <w:bCs/>
        </w:rPr>
        <w:t>Он также обращает внимание государства-участника на свое замечание общего порядка № 19 (2007) о праве на социальное обеспечение.</w:t>
      </w:r>
    </w:p>
    <w:p w14:paraId="7BEA46B1" w14:textId="77777777" w:rsidR="00FC7B9B" w:rsidRPr="00FC7B9B" w:rsidRDefault="00FC7B9B" w:rsidP="00FC7B9B">
      <w:pPr>
        <w:pStyle w:val="H23G"/>
      </w:pPr>
      <w:r w:rsidRPr="00FC7B9B">
        <w:tab/>
      </w:r>
      <w:r w:rsidRPr="00FC7B9B">
        <w:tab/>
        <w:t xml:space="preserve">Защита семьи и детей </w:t>
      </w:r>
    </w:p>
    <w:p w14:paraId="65A6E777" w14:textId="2CB6DF24" w:rsidR="00FC7B9B" w:rsidRPr="00FC7B9B" w:rsidRDefault="00FC7B9B" w:rsidP="00FC7B9B">
      <w:pPr>
        <w:pStyle w:val="SingleTxtG"/>
      </w:pPr>
      <w:r w:rsidRPr="00FC7B9B">
        <w:t>38.</w:t>
      </w:r>
      <w:r w:rsidRPr="00FC7B9B">
        <w:tab/>
        <w:t>Комитет с удовлетворением отмечает различные меры, принятые государством-участником для предупреждения и пресечения гендерного насилия в отношении женщин, внесение поправок в Закон № 34/2012 о медицинских работниках, касающихся информирования о случаях насилия в семье, и принятие плана действий по расследованию преступлений на сексуальной почве на период 2023</w:t>
      </w:r>
      <w:r w:rsidR="00BC7780" w:rsidRPr="00BC7780">
        <w:t>–</w:t>
      </w:r>
      <w:r w:rsidRPr="00FC7B9B">
        <w:t>2025 годов. В</w:t>
      </w:r>
      <w:r w:rsidR="00A513A9">
        <w:t> </w:t>
      </w:r>
      <w:r w:rsidRPr="00FC7B9B">
        <w:t xml:space="preserve">то же время Комитет обеспокоен тем, что различные формы гендерного насилия в отношении женщин, включая сексуальное насилие и насилие в семье, остаются актуальной проблемой в государстве-участнике. Комитет особенно обеспокоен сообщениями о том, что жертвы гендерного насилия сталкиваются с серьезными проблемами в системе правосудия, в том числе большим количеством уголовных дел, прекращенных государственным прокурором, и низким процентом обвинительных приговоров, чрезмерной продолжительностью судебных разбирательств и тем, что изменение юридического определения изнасилования на определение, в основе которого лежит принцип согласия, не нашло отражения в судебных решениях по делам об изнасиловании (ст. 10). </w:t>
      </w:r>
    </w:p>
    <w:p w14:paraId="4F0AA11D" w14:textId="77777777" w:rsidR="00FC7B9B" w:rsidRPr="00FC7B9B" w:rsidRDefault="00FC7B9B" w:rsidP="00FC7B9B">
      <w:pPr>
        <w:pStyle w:val="SingleTxtG"/>
        <w:rPr>
          <w:b/>
          <w:bCs/>
        </w:rPr>
      </w:pPr>
      <w:r w:rsidRPr="00FC7B9B">
        <w:t>39.</w:t>
      </w:r>
      <w:r w:rsidRPr="00FC7B9B">
        <w:tab/>
      </w:r>
      <w:r w:rsidRPr="00FC7B9B">
        <w:rPr>
          <w:b/>
          <w:bCs/>
        </w:rPr>
        <w:t>Комитет рекомендует государству-участнику:</w:t>
      </w:r>
      <w:r w:rsidRPr="00FC7B9B">
        <w:t xml:space="preserve"> </w:t>
      </w:r>
    </w:p>
    <w:p w14:paraId="65D3AA0D" w14:textId="77A48CAA" w:rsidR="00FC7B9B" w:rsidRPr="00FC7B9B" w:rsidRDefault="00FC7B9B" w:rsidP="00FC7B9B">
      <w:pPr>
        <w:pStyle w:val="SingleTxtG"/>
        <w:rPr>
          <w:b/>
          <w:bCs/>
        </w:rPr>
      </w:pPr>
      <w:r>
        <w:rPr>
          <w:lang w:val="en-US"/>
        </w:rPr>
        <w:tab/>
      </w:r>
      <w:r w:rsidRPr="00FC7B9B">
        <w:rPr>
          <w:b/>
          <w:bCs/>
        </w:rPr>
        <w:t>a)</w:t>
      </w:r>
      <w:r w:rsidRPr="00FC7B9B">
        <w:rPr>
          <w:b/>
          <w:bCs/>
        </w:rPr>
        <w:tab/>
        <w:t>активизировать усилия для обеспечения оперативного и тщательного расследования всех зарегистрированных случаев гендерного насилия в отношении женщин, включая сексуальное и бытовое насилие, возбуждения уголовных дел и привлечения виновных к ответственности, а также назначения им наказаний, соизмеримых с тяжестью совершенных преступлений;</w:t>
      </w:r>
    </w:p>
    <w:p w14:paraId="042FB0BC" w14:textId="7EB54193" w:rsidR="00FC7B9B" w:rsidRPr="00FC7B9B" w:rsidRDefault="00FC7B9B" w:rsidP="00FC7B9B">
      <w:pPr>
        <w:pStyle w:val="SingleTxtG"/>
        <w:rPr>
          <w:b/>
          <w:bCs/>
        </w:rPr>
      </w:pPr>
      <w:r w:rsidRPr="00FC7B9B">
        <w:rPr>
          <w:b/>
          <w:bCs/>
          <w:lang w:val="en-US"/>
        </w:rPr>
        <w:tab/>
      </w:r>
      <w:r w:rsidRPr="00FC7B9B">
        <w:rPr>
          <w:b/>
          <w:bCs/>
        </w:rPr>
        <w:t>b)</w:t>
      </w:r>
      <w:r w:rsidRPr="00FC7B9B">
        <w:rPr>
          <w:b/>
          <w:bCs/>
        </w:rPr>
        <w:tab/>
        <w:t>принять меры для сокращения чрезмерной продолжительности судебных разбирательств, обеспечив своевременное правосудие для жертв;</w:t>
      </w:r>
    </w:p>
    <w:p w14:paraId="349BC103" w14:textId="0AA1B34B" w:rsidR="00FC7B9B" w:rsidRPr="00FC7B9B" w:rsidRDefault="00FC7B9B" w:rsidP="00FC7B9B">
      <w:pPr>
        <w:pStyle w:val="SingleTxtG"/>
        <w:rPr>
          <w:b/>
          <w:bCs/>
        </w:rPr>
      </w:pPr>
      <w:r w:rsidRPr="00FC7B9B">
        <w:rPr>
          <w:b/>
          <w:bCs/>
          <w:lang w:val="en-US"/>
        </w:rPr>
        <w:tab/>
      </w:r>
      <w:r w:rsidRPr="00FC7B9B">
        <w:rPr>
          <w:b/>
          <w:bCs/>
        </w:rPr>
        <w:t>c)</w:t>
      </w:r>
      <w:r w:rsidRPr="00FC7B9B">
        <w:rPr>
          <w:b/>
          <w:bCs/>
        </w:rPr>
        <w:tab/>
        <w:t xml:space="preserve">усилить все службы поддержки жертв, включая юридическую помощь и психологическое консультирование; </w:t>
      </w:r>
    </w:p>
    <w:p w14:paraId="56486A14" w14:textId="786806B4" w:rsidR="00FC7B9B" w:rsidRPr="00FC7B9B" w:rsidRDefault="00FC7B9B" w:rsidP="00FC7B9B">
      <w:pPr>
        <w:pStyle w:val="SingleTxtG"/>
        <w:rPr>
          <w:b/>
          <w:bCs/>
        </w:rPr>
      </w:pPr>
      <w:r w:rsidRPr="00FC7B9B">
        <w:rPr>
          <w:b/>
          <w:bCs/>
          <w:lang w:val="en-US"/>
        </w:rPr>
        <w:tab/>
      </w:r>
      <w:r w:rsidRPr="00FC7B9B">
        <w:rPr>
          <w:b/>
          <w:bCs/>
        </w:rPr>
        <w:t>d)</w:t>
      </w:r>
      <w:r w:rsidRPr="00FC7B9B">
        <w:rPr>
          <w:b/>
          <w:bCs/>
        </w:rPr>
        <w:tab/>
        <w:t>повысить уровень подготовки судей, прокуроров и сотрудников правоохранительных органов по юридическому определению изнасилования, основанному на принципе согласия, чтобы обеспечить его полное применение и отражение в судебных решениях;</w:t>
      </w:r>
    </w:p>
    <w:p w14:paraId="331A60E0" w14:textId="49D62C03" w:rsidR="00FC7B9B" w:rsidRPr="00FC7B9B" w:rsidRDefault="00FC7B9B" w:rsidP="00FC7B9B">
      <w:pPr>
        <w:pStyle w:val="SingleTxtG"/>
        <w:rPr>
          <w:b/>
          <w:bCs/>
        </w:rPr>
      </w:pPr>
      <w:r w:rsidRPr="00FC7B9B">
        <w:rPr>
          <w:b/>
          <w:bCs/>
          <w:lang w:val="en-US"/>
        </w:rPr>
        <w:lastRenderedPageBreak/>
        <w:tab/>
      </w:r>
      <w:r w:rsidRPr="00FC7B9B">
        <w:rPr>
          <w:b/>
          <w:bCs/>
        </w:rPr>
        <w:t>e)</w:t>
      </w:r>
      <w:r w:rsidRPr="00FC7B9B">
        <w:tab/>
      </w:r>
      <w:r w:rsidRPr="00FC7B9B">
        <w:rPr>
          <w:b/>
          <w:bCs/>
        </w:rPr>
        <w:t>принять во внимание рекомендации Комитета по ликвидации дискриминации в отношении женщин</w:t>
      </w:r>
      <w:r w:rsidRPr="00FC7B9B">
        <w:rPr>
          <w:rStyle w:val="a8"/>
        </w:rPr>
        <w:footnoteReference w:id="7"/>
      </w:r>
      <w:r w:rsidRPr="00FC7B9B">
        <w:rPr>
          <w:b/>
          <w:bCs/>
        </w:rPr>
        <w:t>.</w:t>
      </w:r>
      <w:r w:rsidRPr="00FC7B9B">
        <w:t xml:space="preserve"> </w:t>
      </w:r>
    </w:p>
    <w:p w14:paraId="16034286" w14:textId="77777777" w:rsidR="00FC7B9B" w:rsidRPr="00FC7B9B" w:rsidRDefault="00FC7B9B" w:rsidP="00FC7B9B">
      <w:pPr>
        <w:pStyle w:val="SingleTxtG"/>
      </w:pPr>
      <w:r w:rsidRPr="00FC7B9B">
        <w:t>40.</w:t>
      </w:r>
      <w:r w:rsidRPr="00FC7B9B">
        <w:tab/>
        <w:t>Комитет приветствует поправки к Уголовно-процессуальному кодексу, направленные на улучшение положения инвалидов в системе уголовного правосудия. Однако Комитет обеспокоен тем, что инвалиды по-прежнему подвергаются высокому риску насилия дома и в других местах. Комитет также обеспокоен тем, что процент обвинительных приговоров по делам, связанным с насилием в отношении инвалидов, остается непропорционально низким (ст. 10).</w:t>
      </w:r>
    </w:p>
    <w:p w14:paraId="161BDDA8" w14:textId="77777777" w:rsidR="00FC7B9B" w:rsidRPr="00FC7B9B" w:rsidRDefault="00FC7B9B" w:rsidP="00FC7B9B">
      <w:pPr>
        <w:pStyle w:val="SingleTxtG"/>
      </w:pPr>
      <w:r w:rsidRPr="00FC7B9B">
        <w:t>41.</w:t>
      </w:r>
      <w:r w:rsidRPr="00FC7B9B">
        <w:tab/>
      </w:r>
      <w:r w:rsidRPr="00FC7B9B">
        <w:rPr>
          <w:b/>
          <w:bCs/>
        </w:rPr>
        <w:t>Комитет рекомендует государству-участнику принять всеобъемлющие меры для предупреждения и пресечения случаев насилия в отношении инвалидов во всех ситуациях, а также активизировать усилия по эффективному расследованию и уголовному преследованию таких случаев.</w:t>
      </w:r>
    </w:p>
    <w:p w14:paraId="46133ABE" w14:textId="77777777" w:rsidR="00FC7B9B" w:rsidRPr="00FC7B9B" w:rsidRDefault="00FC7B9B" w:rsidP="00FC7B9B">
      <w:pPr>
        <w:pStyle w:val="H23G"/>
      </w:pPr>
      <w:r w:rsidRPr="00FC7B9B">
        <w:tab/>
      </w:r>
      <w:r w:rsidRPr="00FC7B9B">
        <w:tab/>
        <w:t xml:space="preserve">Бедность </w:t>
      </w:r>
    </w:p>
    <w:p w14:paraId="6AC15427" w14:textId="7F2D53C1" w:rsidR="00FC7B9B" w:rsidRPr="00FC7B9B" w:rsidRDefault="00FC7B9B" w:rsidP="00FC7B9B">
      <w:pPr>
        <w:pStyle w:val="SingleTxtG"/>
        <w:rPr>
          <w:bCs/>
        </w:rPr>
      </w:pPr>
      <w:r w:rsidRPr="00FC7B9B">
        <w:t>42.</w:t>
      </w:r>
      <w:r w:rsidRPr="00FC7B9B">
        <w:tab/>
        <w:t xml:space="preserve">Признавая, что уровень бедности в государстве-участнике является относительно низким, Комитет вместе с тем обеспокоен тем, что некоторые группы населения государства-участника, в частности инвалиды, семьи с одним родителем и иммигранты, продолжают испытывать материальные лишения и жить в бедности </w:t>
      </w:r>
      <w:r w:rsidR="00A513A9">
        <w:br/>
      </w:r>
      <w:r w:rsidRPr="00FC7B9B">
        <w:t xml:space="preserve">(ст. 9 и 11). </w:t>
      </w:r>
    </w:p>
    <w:p w14:paraId="15C640CD" w14:textId="48447AAD" w:rsidR="00FC7B9B" w:rsidRPr="00FC7B9B" w:rsidRDefault="00FC7B9B" w:rsidP="00FC7B9B">
      <w:pPr>
        <w:pStyle w:val="SingleTxtG"/>
        <w:rPr>
          <w:bCs/>
        </w:rPr>
      </w:pPr>
      <w:r w:rsidRPr="00FC7B9B">
        <w:t>43.</w:t>
      </w:r>
      <w:r w:rsidRPr="00FC7B9B">
        <w:tab/>
      </w:r>
      <w:r w:rsidRPr="00FC7B9B">
        <w:rPr>
          <w:b/>
          <w:bCs/>
        </w:rPr>
        <w:t>Комитет рекомендует государству-участнику активизировать свои усилия для борьбы с бедностью и обеспечить, чтобы программы в этой области осуществлялись с использованием подхода, основанного на правах человека, и уделяли должное внимание группам, наиболее подверженным риску бедности, в частности инвалидам, семьям с одним родителем и иммигрантам.</w:t>
      </w:r>
      <w:r w:rsidRPr="00FC7B9B">
        <w:t xml:space="preserve"> </w:t>
      </w:r>
      <w:r w:rsidRPr="00FC7B9B">
        <w:rPr>
          <w:b/>
          <w:bCs/>
        </w:rPr>
        <w:t>В частности, Комитет рекомендует государству-участнику активизировать усилия для увеличения размера пенсии по старости, пособий по безработице и инвалидности, с тем чтобы они обеспечивали достаточный уровень жизни всем получателям.</w:t>
      </w:r>
      <w:r w:rsidRPr="00FC7B9B">
        <w:t xml:space="preserve"> </w:t>
      </w:r>
      <w:r w:rsidRPr="00FC7B9B">
        <w:rPr>
          <w:b/>
          <w:bCs/>
        </w:rPr>
        <w:t>В</w:t>
      </w:r>
      <w:r w:rsidR="00A513A9">
        <w:rPr>
          <w:b/>
          <w:bCs/>
        </w:rPr>
        <w:t> </w:t>
      </w:r>
      <w:r w:rsidRPr="00FC7B9B">
        <w:rPr>
          <w:b/>
          <w:bCs/>
        </w:rPr>
        <w:t>этой связи Комитет предлагает государству-участнику ознакомиться с его заявлением по вопросу нищеты и Пакта</w:t>
      </w:r>
      <w:r w:rsidR="00A513A9" w:rsidRPr="00FC7B9B">
        <w:rPr>
          <w:rStyle w:val="a8"/>
        </w:rPr>
        <w:footnoteReference w:id="8"/>
      </w:r>
      <w:r w:rsidRPr="00FC7B9B">
        <w:rPr>
          <w:b/>
          <w:bCs/>
        </w:rPr>
        <w:t xml:space="preserve"> и заявлением о минимальных уровнях социальной защиты как важнейшей составляющей права на социальное обеспечение и целей в области устойчивого развития</w:t>
      </w:r>
      <w:r w:rsidRPr="00FC7B9B">
        <w:rPr>
          <w:rStyle w:val="a8"/>
        </w:rPr>
        <w:footnoteReference w:id="9"/>
      </w:r>
      <w:r w:rsidR="00A513A9">
        <w:rPr>
          <w:b/>
          <w:bCs/>
        </w:rPr>
        <w:t>.</w:t>
      </w:r>
    </w:p>
    <w:p w14:paraId="71B0A9C6" w14:textId="77777777" w:rsidR="00FC7B9B" w:rsidRPr="00FC7B9B" w:rsidRDefault="00FC7B9B" w:rsidP="00FC7B9B">
      <w:pPr>
        <w:pStyle w:val="H23G"/>
      </w:pPr>
      <w:r w:rsidRPr="00FC7B9B">
        <w:tab/>
      </w:r>
      <w:r w:rsidRPr="00FC7B9B">
        <w:tab/>
        <w:t>Право на достаточное жилище</w:t>
      </w:r>
    </w:p>
    <w:p w14:paraId="216DFEB4" w14:textId="7131EE26" w:rsidR="00FC7B9B" w:rsidRPr="00FC7B9B" w:rsidRDefault="00FC7B9B" w:rsidP="00FC7B9B">
      <w:pPr>
        <w:pStyle w:val="SingleTxtG"/>
      </w:pPr>
      <w:r w:rsidRPr="00FC7B9B">
        <w:t>44.</w:t>
      </w:r>
      <w:r w:rsidRPr="00FC7B9B">
        <w:tab/>
        <w:t>Комитет признает усилия государства-участника по преодолению жилищного кризиса, включая жилищную стратегию на период 2024</w:t>
      </w:r>
      <w:r w:rsidR="00A513A9">
        <w:t>–</w:t>
      </w:r>
      <w:r w:rsidRPr="00FC7B9B">
        <w:t>2038 годов, а также пятилетний план действий на период 2024</w:t>
      </w:r>
      <w:r w:rsidR="00A513A9">
        <w:t>–</w:t>
      </w:r>
      <w:r w:rsidRPr="00FC7B9B">
        <w:t xml:space="preserve">2028 годов. Он признает, что государство-участник столкнулось с особой проблемой в связи с недавними извержениями вулканов, приведшими к перемещению части населения. Однако Комитет обеспокоен сохраняющимся разрывом между спросом на жилье и предложением жилья и ростом стоимости аренды жилья, от которого в основном страдают группы населения с низкими доходами, в частности иммигранты. Комитет также обеспокоен непоследовательностью критериев предоставления социального жилья, которые различаются в разных муниципалитетах (ст. 11). </w:t>
      </w:r>
    </w:p>
    <w:p w14:paraId="13D0F6EA" w14:textId="77777777" w:rsidR="00FC7B9B" w:rsidRPr="00FC7B9B" w:rsidRDefault="00FC7B9B" w:rsidP="00FC7B9B">
      <w:pPr>
        <w:pStyle w:val="SingleTxtG"/>
      </w:pPr>
      <w:r w:rsidRPr="00FC7B9B">
        <w:t>45.</w:t>
      </w:r>
      <w:r w:rsidRPr="00FC7B9B">
        <w:tab/>
      </w:r>
      <w:r w:rsidRPr="00FC7B9B">
        <w:rPr>
          <w:b/>
          <w:bCs/>
        </w:rPr>
        <w:t>Комитет рекомендует государству-участнику усилить меры для эффективного удовлетворения жилищных потребностей групп населения с низкими доходами, в частности иммигрантов, в том числе путем увеличения предложения доступного жилья и жилья для малоимущих и улучшения существующего социального жилья.</w:t>
      </w:r>
      <w:r w:rsidRPr="00FC7B9B">
        <w:t xml:space="preserve"> </w:t>
      </w:r>
      <w:r w:rsidRPr="00FC7B9B">
        <w:rPr>
          <w:b/>
          <w:bCs/>
        </w:rPr>
        <w:t>Комитет также рекомендует государству-участнику унифицировать критерии предоставления социального жилья в разных муниципалитетах.</w:t>
      </w:r>
      <w:r w:rsidRPr="00FC7B9B">
        <w:t xml:space="preserve"> </w:t>
      </w:r>
      <w:r w:rsidRPr="00FC7B9B">
        <w:rPr>
          <w:b/>
          <w:bCs/>
        </w:rPr>
        <w:t>Комитет обращает внимание государства-участника на свое замечание общего порядка № 4 (1991) о праве на достаточное жилище.</w:t>
      </w:r>
    </w:p>
    <w:p w14:paraId="529D3956" w14:textId="77777777" w:rsidR="00FC7B9B" w:rsidRPr="00FC7B9B" w:rsidRDefault="00FC7B9B" w:rsidP="00FC7B9B">
      <w:pPr>
        <w:pStyle w:val="H23G"/>
      </w:pPr>
      <w:r w:rsidRPr="00FC7B9B">
        <w:lastRenderedPageBreak/>
        <w:tab/>
      </w:r>
      <w:r w:rsidRPr="00FC7B9B">
        <w:tab/>
        <w:t>Право на здоровье</w:t>
      </w:r>
    </w:p>
    <w:p w14:paraId="74AD7945" w14:textId="0F135F04" w:rsidR="00FC7B9B" w:rsidRPr="00FC7B9B" w:rsidRDefault="00FC7B9B" w:rsidP="00FC7B9B">
      <w:pPr>
        <w:pStyle w:val="SingleTxtG"/>
      </w:pPr>
      <w:r w:rsidRPr="00FC7B9B">
        <w:t>46.</w:t>
      </w:r>
      <w:r w:rsidRPr="00FC7B9B">
        <w:tab/>
        <w:t>Комитет с удовлетворением отмечает меры, принятые государством-участником для обеспечения всестороннего осуществления права каждого человека на наивысший достижимый уровень физического и психического здоровья. В то же время</w:t>
      </w:r>
      <w:r>
        <w:rPr>
          <w:lang w:val="en-US"/>
        </w:rPr>
        <w:t xml:space="preserve"> </w:t>
      </w:r>
      <w:r w:rsidRPr="00FC7B9B">
        <w:t xml:space="preserve">он обеспокоен следующим: </w:t>
      </w:r>
    </w:p>
    <w:p w14:paraId="3E1254E3" w14:textId="7530DF23" w:rsidR="00FC7B9B" w:rsidRPr="00FC7B9B" w:rsidRDefault="00FC7B9B" w:rsidP="00FC7B9B">
      <w:pPr>
        <w:pStyle w:val="SingleTxtG"/>
      </w:pPr>
      <w:r>
        <w:rPr>
          <w:lang w:val="en-US"/>
        </w:rPr>
        <w:tab/>
      </w:r>
      <w:r w:rsidRPr="00FC7B9B">
        <w:t>a)</w:t>
      </w:r>
      <w:r w:rsidRPr="00FC7B9B">
        <w:tab/>
        <w:t xml:space="preserve">ограниченным количеством коечных мест в больницах, что приводит к длительному ожиданию хирургических операций; </w:t>
      </w:r>
    </w:p>
    <w:p w14:paraId="604F5604" w14:textId="6EED34E1" w:rsidR="00FC7B9B" w:rsidRPr="00FC7B9B" w:rsidRDefault="00FC7B9B" w:rsidP="00FC7B9B">
      <w:pPr>
        <w:pStyle w:val="SingleTxtG"/>
      </w:pPr>
      <w:r>
        <w:rPr>
          <w:lang w:val="en-US"/>
        </w:rPr>
        <w:tab/>
      </w:r>
      <w:r w:rsidRPr="00FC7B9B">
        <w:t>b)</w:t>
      </w:r>
      <w:r w:rsidRPr="00FC7B9B">
        <w:tab/>
        <w:t xml:space="preserve">длительным временем ожидания психиатрической помощи; </w:t>
      </w:r>
    </w:p>
    <w:p w14:paraId="5EA3B137" w14:textId="1D127C9F" w:rsidR="00FC7B9B" w:rsidRPr="00FC7B9B" w:rsidRDefault="00FC7B9B" w:rsidP="00FC7B9B">
      <w:pPr>
        <w:pStyle w:val="SingleTxtG"/>
      </w:pPr>
      <w:r>
        <w:rPr>
          <w:lang w:val="en-US"/>
        </w:rPr>
        <w:tab/>
      </w:r>
      <w:r w:rsidRPr="00FC7B9B">
        <w:t>c)</w:t>
      </w:r>
      <w:r w:rsidRPr="00FC7B9B">
        <w:tab/>
        <w:t xml:space="preserve">высоким уровнем самоубийств; </w:t>
      </w:r>
    </w:p>
    <w:p w14:paraId="48D27C0C" w14:textId="6943B45B" w:rsidR="00FC7B9B" w:rsidRPr="00FC7B9B" w:rsidRDefault="00FC7B9B" w:rsidP="00FC7B9B">
      <w:pPr>
        <w:pStyle w:val="SingleTxtG"/>
      </w:pPr>
      <w:r>
        <w:rPr>
          <w:lang w:val="en-US"/>
        </w:rPr>
        <w:tab/>
      </w:r>
      <w:r w:rsidRPr="00FC7B9B">
        <w:t>d)</w:t>
      </w:r>
      <w:r w:rsidRPr="00FC7B9B">
        <w:tab/>
        <w:t xml:space="preserve">ростом доли подростков и взрослых с избыточным весом и ожирением, несмотря физическую активность населения в государстве-участнике (ст. 12). </w:t>
      </w:r>
    </w:p>
    <w:p w14:paraId="4DEDB5DF" w14:textId="77777777" w:rsidR="00FC7B9B" w:rsidRPr="00FC7B9B" w:rsidRDefault="00FC7B9B" w:rsidP="00FC7B9B">
      <w:pPr>
        <w:pStyle w:val="SingleTxtG"/>
        <w:rPr>
          <w:b/>
          <w:bCs/>
        </w:rPr>
      </w:pPr>
      <w:r w:rsidRPr="00FC7B9B">
        <w:t>47.</w:t>
      </w:r>
      <w:r w:rsidRPr="00FC7B9B">
        <w:tab/>
      </w:r>
      <w:r w:rsidRPr="00FC7B9B">
        <w:rPr>
          <w:b/>
          <w:bCs/>
        </w:rPr>
        <w:t>Комитет рекомендует государству-участнику:</w:t>
      </w:r>
      <w:r w:rsidRPr="00FC7B9B">
        <w:t xml:space="preserve"> </w:t>
      </w:r>
    </w:p>
    <w:p w14:paraId="3366F9DD" w14:textId="656AE3AB" w:rsidR="00FC7B9B" w:rsidRPr="00FC7B9B" w:rsidRDefault="00FC7B9B" w:rsidP="00FC7B9B">
      <w:pPr>
        <w:pStyle w:val="SingleTxtG"/>
        <w:rPr>
          <w:b/>
          <w:bCs/>
        </w:rPr>
      </w:pPr>
      <w:r>
        <w:rPr>
          <w:lang w:val="en-US"/>
        </w:rPr>
        <w:tab/>
      </w:r>
      <w:r w:rsidRPr="00FC7B9B">
        <w:rPr>
          <w:b/>
          <w:bCs/>
        </w:rPr>
        <w:t>a)</w:t>
      </w:r>
      <w:r w:rsidRPr="00FC7B9B">
        <w:rPr>
          <w:b/>
          <w:bCs/>
        </w:rPr>
        <w:tab/>
        <w:t>увеличить количество коечных мест в больницах и усилить уже принимаемые меры для дальнейшего сокращения времени ожидания операций, обеспечивая более своевременный доступ к необходимым медицинским процедурам;</w:t>
      </w:r>
    </w:p>
    <w:p w14:paraId="108C6290" w14:textId="50AD0471" w:rsidR="00FC7B9B" w:rsidRPr="00FC7B9B" w:rsidRDefault="00FC7B9B" w:rsidP="00FC7B9B">
      <w:pPr>
        <w:pStyle w:val="SingleTxtG"/>
        <w:rPr>
          <w:b/>
          <w:bCs/>
        </w:rPr>
      </w:pPr>
      <w:r w:rsidRPr="00FC7B9B">
        <w:rPr>
          <w:b/>
          <w:bCs/>
          <w:lang w:val="en-US"/>
        </w:rPr>
        <w:tab/>
      </w:r>
      <w:r w:rsidRPr="00FC7B9B">
        <w:rPr>
          <w:b/>
          <w:bCs/>
        </w:rPr>
        <w:t>b)</w:t>
      </w:r>
      <w:r w:rsidRPr="00FC7B9B">
        <w:rPr>
          <w:b/>
          <w:bCs/>
        </w:rPr>
        <w:tab/>
        <w:t>увеличить предложение и повысить доступность услуг по охране психического здоровья и расширить услуги профилактики и раннего вмешательства;</w:t>
      </w:r>
    </w:p>
    <w:p w14:paraId="74ADE887" w14:textId="18903D6B" w:rsidR="00FC7B9B" w:rsidRPr="00FC7B9B" w:rsidRDefault="00FC7B9B" w:rsidP="00FC7B9B">
      <w:pPr>
        <w:pStyle w:val="SingleTxtG"/>
        <w:rPr>
          <w:b/>
          <w:bCs/>
        </w:rPr>
      </w:pPr>
      <w:r w:rsidRPr="00FC7B9B">
        <w:rPr>
          <w:b/>
          <w:bCs/>
          <w:lang w:val="en-US"/>
        </w:rPr>
        <w:tab/>
      </w:r>
      <w:r w:rsidRPr="00FC7B9B">
        <w:rPr>
          <w:b/>
          <w:bCs/>
        </w:rPr>
        <w:t>c)</w:t>
      </w:r>
      <w:r w:rsidRPr="00FC7B9B">
        <w:rPr>
          <w:b/>
          <w:bCs/>
        </w:rPr>
        <w:tab/>
        <w:t>активизировать усилия по изучению и устранению коренных причин высокого уровня самоубийств и разработать для отдельных людей и групп населения, подверженных риску самоубийства, эффективные программы профилактики и оказания поддержки;</w:t>
      </w:r>
    </w:p>
    <w:p w14:paraId="4EBE886A" w14:textId="7090E798" w:rsidR="00FC7B9B" w:rsidRPr="00FC7B9B" w:rsidRDefault="00FC7B9B" w:rsidP="00FC7B9B">
      <w:pPr>
        <w:pStyle w:val="SingleTxtG"/>
        <w:rPr>
          <w:b/>
          <w:bCs/>
        </w:rPr>
      </w:pPr>
      <w:r w:rsidRPr="00FC7B9B">
        <w:rPr>
          <w:b/>
          <w:bCs/>
          <w:lang w:val="en-US"/>
        </w:rPr>
        <w:tab/>
      </w:r>
      <w:r w:rsidRPr="00FC7B9B">
        <w:rPr>
          <w:b/>
          <w:bCs/>
        </w:rPr>
        <w:t>d)</w:t>
      </w:r>
      <w:r w:rsidRPr="00FC7B9B">
        <w:rPr>
          <w:b/>
          <w:bCs/>
        </w:rPr>
        <w:tab/>
        <w:t>усилить работу по борьбе с ожирением и избыточным весом среди подростков и взрослых, в том числе путем пропаганды здорового образа жизни и повышения осведомленности населения о правильном питании.</w:t>
      </w:r>
    </w:p>
    <w:p w14:paraId="7E8430A2" w14:textId="77777777" w:rsidR="00FC7B9B" w:rsidRPr="00FC7B9B" w:rsidRDefault="00FC7B9B" w:rsidP="00FC7B9B">
      <w:pPr>
        <w:pStyle w:val="H23G"/>
      </w:pPr>
      <w:r w:rsidRPr="00FC7B9B">
        <w:tab/>
      </w:r>
      <w:r w:rsidRPr="00FC7B9B">
        <w:tab/>
        <w:t>Политика в отношении наркотиков</w:t>
      </w:r>
    </w:p>
    <w:p w14:paraId="304AA6CC" w14:textId="77777777" w:rsidR="00FC7B9B" w:rsidRPr="00FC7B9B" w:rsidRDefault="00FC7B9B" w:rsidP="00FC7B9B">
      <w:pPr>
        <w:pStyle w:val="SingleTxtG"/>
      </w:pPr>
      <w:r w:rsidRPr="00FC7B9B">
        <w:t>48.</w:t>
      </w:r>
      <w:r w:rsidRPr="00FC7B9B">
        <w:tab/>
        <w:t>Комитет приветствует предоставленную государством-участником в ходе диалога информацию о том, что рабочей группе, назначенной Министерством здравоохранения, было поручено разработать первую в государстве-участнике политику по борьбе с вредными последствиями и предложить сопутствующий план действий. Однако Комитет обеспокоен тем, что государство-участник продолжает привлекать к уголовной ответственности за хранение наркотиков для личного употребления, что может препятствовать доступу людей, употребляющих наркотики, к программам снижения вредных последствий и медицинским услугам (ст. 12).</w:t>
      </w:r>
    </w:p>
    <w:p w14:paraId="3AEDA1F9" w14:textId="77777777" w:rsidR="00FC7B9B" w:rsidRPr="00FC7B9B" w:rsidRDefault="00FC7B9B" w:rsidP="00FC7B9B">
      <w:pPr>
        <w:pStyle w:val="SingleTxtG"/>
        <w:rPr>
          <w:b/>
          <w:bCs/>
        </w:rPr>
      </w:pPr>
      <w:r w:rsidRPr="00FC7B9B">
        <w:t>49.</w:t>
      </w:r>
      <w:r w:rsidRPr="00FC7B9B">
        <w:tab/>
      </w:r>
      <w:r w:rsidRPr="00FC7B9B">
        <w:rPr>
          <w:b/>
          <w:bCs/>
        </w:rPr>
        <w:t>Комитет рекомендует государству-участнику разработать эффективную политику в отношении наркотиков, в том числе рассмотреть вопрос о декриминализации хранения наркотиков для личного потребления.</w:t>
      </w:r>
      <w:r w:rsidRPr="00FC7B9B">
        <w:t xml:space="preserve"> </w:t>
      </w:r>
      <w:r w:rsidRPr="00FC7B9B">
        <w:rPr>
          <w:b/>
          <w:bCs/>
        </w:rPr>
        <w:t>Комитет также рекомендует государству-участнику ускорить разработку и осуществление политики по борьбе с вредными последствиями и сопутствующего плана действий под руководством рабочей группы Министерства здравоохранения.</w:t>
      </w:r>
      <w:r w:rsidRPr="00FC7B9B">
        <w:t xml:space="preserve"> </w:t>
      </w:r>
    </w:p>
    <w:p w14:paraId="496B9A55" w14:textId="77777777" w:rsidR="00FC7B9B" w:rsidRPr="00FC7B9B" w:rsidRDefault="00FC7B9B" w:rsidP="00FC7B9B">
      <w:pPr>
        <w:pStyle w:val="H23G"/>
      </w:pPr>
      <w:r w:rsidRPr="00FC7B9B">
        <w:tab/>
      </w:r>
      <w:r w:rsidRPr="00FC7B9B">
        <w:tab/>
        <w:t xml:space="preserve">Право на образование </w:t>
      </w:r>
    </w:p>
    <w:p w14:paraId="400C96A8" w14:textId="2BFFE2EA" w:rsidR="00FC7B9B" w:rsidRPr="00FC7B9B" w:rsidRDefault="00FC7B9B" w:rsidP="00FC7B9B">
      <w:pPr>
        <w:pStyle w:val="SingleTxtG"/>
      </w:pPr>
      <w:r w:rsidRPr="00FC7B9B">
        <w:t>50.</w:t>
      </w:r>
      <w:r w:rsidRPr="00FC7B9B">
        <w:tab/>
        <w:t>Высоко оценивая усилия государства-участника по созданию справедливой системы образования, включая принятие Политики в области образования до 2030</w:t>
      </w:r>
      <w:r w:rsidR="00A513A9">
        <w:t> </w:t>
      </w:r>
      <w:r w:rsidRPr="00FC7B9B">
        <w:t xml:space="preserve">года, Комитет по-прежнему обеспокоен более низкими показателями зачисления и более высокими показателями отсева учащихся-иммигрантов в старших классах средней школы по сравнению с их сверстниками из числа коренных жителей. Комитет также обеспокоен сообщениями о том, что услуги, предоставляемые учащимся-иммигрантам и их родителям, значительно различаются в разных школах и что </w:t>
      </w:r>
      <w:r w:rsidR="00A513A9">
        <w:br/>
      </w:r>
      <w:r w:rsidRPr="00FC7B9B">
        <w:t>дети-иммигранты, обучающиеся в системе обязательного образования, значительно отстают по успеваемости от своих сверстников из числа коренных жителей (ст. 13).</w:t>
      </w:r>
    </w:p>
    <w:p w14:paraId="3DFC7476" w14:textId="77777777" w:rsidR="00FC7B9B" w:rsidRPr="00FC7B9B" w:rsidRDefault="00FC7B9B" w:rsidP="00FC7B9B">
      <w:pPr>
        <w:pStyle w:val="SingleTxtG"/>
      </w:pPr>
      <w:r w:rsidRPr="00FC7B9B">
        <w:lastRenderedPageBreak/>
        <w:t>51.</w:t>
      </w:r>
      <w:r w:rsidRPr="00FC7B9B">
        <w:tab/>
      </w:r>
      <w:r w:rsidRPr="00FC7B9B">
        <w:rPr>
          <w:b/>
          <w:bCs/>
        </w:rPr>
        <w:t>Комитет рекомендует государству-участнику опираться на существующие основы политики в области образования до 2030 года и применять комплексный подход для улучшения успеваемости учащихся-иммигрантов.</w:t>
      </w:r>
      <w:r w:rsidRPr="00FC7B9B">
        <w:t xml:space="preserve"> </w:t>
      </w:r>
      <w:r w:rsidRPr="00FC7B9B">
        <w:rPr>
          <w:b/>
          <w:bCs/>
        </w:rPr>
        <w:t>Этот подход должен включать разработку адресных стратегий, направленных на увеличение показателей зачисления и снижение показателей отсева учащихся, стандартизацию услуг по поддержке в разных школах, проведение ранних языковых оценок и оказание персонифицированной помощи, улучшение навыков чтения с помощью специальных мероприятий, усиление поддержки в развитии профессиональных навыков и обеспечение надлежащей подготовки учителей для удовлетворения различных образовательных потребностей учащихся-иммигрантов.</w:t>
      </w:r>
    </w:p>
    <w:p w14:paraId="190CAD02" w14:textId="77777777" w:rsidR="00FC7B9B" w:rsidRPr="00FC7B9B" w:rsidRDefault="00FC7B9B" w:rsidP="00FC7B9B">
      <w:pPr>
        <w:pStyle w:val="SingleTxtG"/>
      </w:pPr>
      <w:r w:rsidRPr="00FC7B9B">
        <w:t>52.</w:t>
      </w:r>
      <w:r w:rsidRPr="00FC7B9B">
        <w:tab/>
        <w:t xml:space="preserve">Комитет обеспокоен следующим: </w:t>
      </w:r>
    </w:p>
    <w:p w14:paraId="1655ECE9" w14:textId="5CF87E69" w:rsidR="00FC7B9B" w:rsidRPr="00FC7B9B" w:rsidRDefault="00FC7B9B" w:rsidP="00FC7B9B">
      <w:pPr>
        <w:pStyle w:val="SingleTxtG"/>
      </w:pPr>
      <w:r>
        <w:rPr>
          <w:lang w:val="en-US"/>
        </w:rPr>
        <w:tab/>
      </w:r>
      <w:r w:rsidRPr="00FC7B9B">
        <w:t>a)</w:t>
      </w:r>
      <w:r w:rsidRPr="00FC7B9B">
        <w:tab/>
        <w:t>ограниченными возможностями для учащихся с инвалидностью, в частности с интеллектуальной инвалидностью, продолжать учебу после окончания средней школы;</w:t>
      </w:r>
    </w:p>
    <w:p w14:paraId="796E6F8C" w14:textId="44165801" w:rsidR="00FC7B9B" w:rsidRPr="00FC7B9B" w:rsidRDefault="00FC7B9B" w:rsidP="00FC7B9B">
      <w:pPr>
        <w:pStyle w:val="SingleTxtG"/>
      </w:pPr>
      <w:r>
        <w:rPr>
          <w:lang w:val="en-US"/>
        </w:rPr>
        <w:tab/>
      </w:r>
      <w:r w:rsidRPr="00FC7B9B">
        <w:t>b)</w:t>
      </w:r>
      <w:r w:rsidRPr="00FC7B9B">
        <w:tab/>
        <w:t xml:space="preserve">сообщениями о травле в школах лесбиянок, геев, бисексуалов, трансгендеров или интерсексов (ст. 13). </w:t>
      </w:r>
    </w:p>
    <w:p w14:paraId="1CBA43F3" w14:textId="77777777" w:rsidR="00FC7B9B" w:rsidRPr="00FC7B9B" w:rsidRDefault="00FC7B9B" w:rsidP="00FC7B9B">
      <w:pPr>
        <w:pStyle w:val="SingleTxtG"/>
        <w:rPr>
          <w:b/>
          <w:bCs/>
        </w:rPr>
      </w:pPr>
      <w:r w:rsidRPr="00FC7B9B">
        <w:t>53.</w:t>
      </w:r>
      <w:r w:rsidRPr="00FC7B9B">
        <w:tab/>
      </w:r>
      <w:r w:rsidRPr="00FC7B9B">
        <w:rPr>
          <w:b/>
          <w:bCs/>
        </w:rPr>
        <w:t>Комитет рекомендует государству-участнику:</w:t>
      </w:r>
      <w:r w:rsidRPr="00FC7B9B">
        <w:t xml:space="preserve"> </w:t>
      </w:r>
    </w:p>
    <w:p w14:paraId="30CD7EF2" w14:textId="283AEF10" w:rsidR="00FC7B9B" w:rsidRPr="00FC7B9B" w:rsidRDefault="00FC7B9B" w:rsidP="00FC7B9B">
      <w:pPr>
        <w:pStyle w:val="SingleTxtG"/>
        <w:rPr>
          <w:b/>
          <w:bCs/>
        </w:rPr>
      </w:pPr>
      <w:r>
        <w:rPr>
          <w:lang w:val="en-US"/>
        </w:rPr>
        <w:tab/>
      </w:r>
      <w:r w:rsidRPr="00FC7B9B">
        <w:rPr>
          <w:b/>
          <w:bCs/>
        </w:rPr>
        <w:t>a)</w:t>
      </w:r>
      <w:r w:rsidRPr="00FC7B9B">
        <w:rPr>
          <w:b/>
          <w:bCs/>
        </w:rPr>
        <w:tab/>
        <w:t xml:space="preserve">активизировать усилия для предоставления учащимся с инвалидностью равных возможностей для продолжения получения образования после окончания средней школы; </w:t>
      </w:r>
    </w:p>
    <w:p w14:paraId="568BD032" w14:textId="77F20456" w:rsidR="00FC7B9B" w:rsidRPr="00FC7B9B" w:rsidRDefault="00FC7B9B" w:rsidP="00FC7B9B">
      <w:pPr>
        <w:pStyle w:val="SingleTxtG"/>
        <w:rPr>
          <w:b/>
          <w:bCs/>
        </w:rPr>
      </w:pPr>
      <w:r w:rsidRPr="00FC7B9B">
        <w:rPr>
          <w:b/>
          <w:bCs/>
          <w:lang w:val="en-US"/>
        </w:rPr>
        <w:tab/>
      </w:r>
      <w:r w:rsidRPr="00FC7B9B">
        <w:rPr>
          <w:b/>
          <w:bCs/>
        </w:rPr>
        <w:t>b)</w:t>
      </w:r>
      <w:r w:rsidRPr="00FC7B9B">
        <w:rPr>
          <w:b/>
          <w:bCs/>
        </w:rPr>
        <w:tab/>
        <w:t>продолжать предотвращать и искоренять издевательства в школе, проводя политику абсолютной нетерпимости, и гарантировать эффективную защиту и поддержку учащимся, в частности лесбиянкам, геям, бисексуалам, трансгендерам и интерсексам, ставшим жертвами издевательств.</w:t>
      </w:r>
      <w:r w:rsidRPr="00FC7B9B">
        <w:t xml:space="preserve"> </w:t>
      </w:r>
    </w:p>
    <w:p w14:paraId="4CBEF68A" w14:textId="38E83BB9" w:rsidR="00FC7B9B" w:rsidRPr="00FC7B9B" w:rsidRDefault="00FC7B9B" w:rsidP="00FC7B9B">
      <w:pPr>
        <w:pStyle w:val="H1G"/>
      </w:pPr>
      <w:r>
        <w:rPr>
          <w:lang w:val="en-US"/>
        </w:rPr>
        <w:tab/>
      </w:r>
      <w:r w:rsidRPr="00FC7B9B">
        <w:t>D.</w:t>
      </w:r>
      <w:r w:rsidRPr="00FC7B9B">
        <w:tab/>
        <w:t>Другие рекомендации</w:t>
      </w:r>
    </w:p>
    <w:p w14:paraId="5504E6F2" w14:textId="77777777" w:rsidR="00FC7B9B" w:rsidRPr="00FC7B9B" w:rsidRDefault="00FC7B9B" w:rsidP="00FC7B9B">
      <w:pPr>
        <w:pStyle w:val="SingleTxtG"/>
        <w:rPr>
          <w:b/>
          <w:bCs/>
        </w:rPr>
      </w:pPr>
      <w:r w:rsidRPr="00FC7B9B">
        <w:t>54.</w:t>
      </w:r>
      <w:r w:rsidRPr="00FC7B9B">
        <w:tab/>
      </w:r>
      <w:r w:rsidRPr="00FC7B9B">
        <w:rPr>
          <w:b/>
          <w:bCs/>
        </w:rPr>
        <w:t>Комитет рекомендует государству-участнику рассмотреть вопрос о ратификации основных документов по правам человека, стороной которых оно пока не является, а именно к Международной конвенции для защиты всех лиц от насильственных исчезновений, подписанной в 2008 году;</w:t>
      </w:r>
      <w:r w:rsidRPr="00FC7B9B">
        <w:t xml:space="preserve"> </w:t>
      </w:r>
      <w:r w:rsidRPr="00FC7B9B">
        <w:rPr>
          <w:b/>
          <w:bCs/>
        </w:rPr>
        <w:t>Международной конвенции о защите прав всех трудящихся-мигрантов и членов их семей;</w:t>
      </w:r>
      <w:r w:rsidRPr="00FC7B9B">
        <w:t xml:space="preserve"> </w:t>
      </w:r>
      <w:r w:rsidRPr="00FC7B9B">
        <w:rPr>
          <w:b/>
          <w:bCs/>
        </w:rPr>
        <w:t>Факультативного протокола к Конвенции о правах ребенка, касающегося процедуры сообщений;</w:t>
      </w:r>
      <w:r w:rsidRPr="00FC7B9B">
        <w:t xml:space="preserve"> </w:t>
      </w:r>
      <w:r w:rsidRPr="00FC7B9B">
        <w:rPr>
          <w:b/>
          <w:bCs/>
        </w:rPr>
        <w:t>и Факультативного протокола к Конвенции о правах инвалидов, подписанного в 2007 году.</w:t>
      </w:r>
      <w:r w:rsidRPr="00FC7B9B">
        <w:t xml:space="preserve"> </w:t>
      </w:r>
    </w:p>
    <w:p w14:paraId="381CB173" w14:textId="77777777" w:rsidR="00FC7B9B" w:rsidRPr="00FC7B9B" w:rsidRDefault="00FC7B9B" w:rsidP="00FC7B9B">
      <w:pPr>
        <w:pStyle w:val="SingleTxtG"/>
        <w:rPr>
          <w:b/>
          <w:bCs/>
        </w:rPr>
      </w:pPr>
      <w:r w:rsidRPr="00FC7B9B">
        <w:t>55.</w:t>
      </w:r>
      <w:r w:rsidRPr="00FC7B9B">
        <w:tab/>
      </w:r>
      <w:r w:rsidRPr="00FC7B9B">
        <w:rPr>
          <w:b/>
          <w:bCs/>
        </w:rPr>
        <w:t>Комитет также рекомендует государству-участнику в полной мере учитывать свои обязательства, предусмотренные Пактом, и гарантировать полноценное осуществление закрепленных в нем прав при реализации на национальном уровне Повестки дня в области устойчивого развития на период до 2030 года, в том числе в рамках восстановления после пандемии COVID-19.</w:t>
      </w:r>
      <w:r w:rsidRPr="00FC7B9B">
        <w:t xml:space="preserve"> </w:t>
      </w:r>
      <w:r w:rsidRPr="00FC7B9B">
        <w:rPr>
          <w:b/>
          <w:bCs/>
        </w:rPr>
        <w:t>Достижению целей в области устойчивого развития могло бы в значительной степени способствовать создание государством-участником независимых механизмов мониторинга прогресса и отношение к бенефициарами государственных программ как к правообладателям, которые могут требовать причитающихся им льгот.</w:t>
      </w:r>
      <w:r w:rsidRPr="00FC7B9B">
        <w:t xml:space="preserve"> </w:t>
      </w:r>
      <w:r w:rsidRPr="00FC7B9B">
        <w:rPr>
          <w:b/>
          <w:bCs/>
        </w:rPr>
        <w:t>Кроме того, Комитет рекомендует государству-участнику поддержать глобальное обязательство десятилетия действий по достижению целей в области устойчивого развития.</w:t>
      </w:r>
      <w:r w:rsidRPr="00FC7B9B">
        <w:t xml:space="preserve"> </w:t>
      </w:r>
      <w:r w:rsidRPr="00FC7B9B">
        <w:rPr>
          <w:b/>
          <w:bCs/>
        </w:rPr>
        <w:t>Достижение этих целей на основе принципов участия, подотчетности и недискриминации будет способствовать тому, что никто не останется без внимания.</w:t>
      </w:r>
      <w:r w:rsidRPr="00FC7B9B">
        <w:t xml:space="preserve"> </w:t>
      </w:r>
      <w:r w:rsidRPr="00FC7B9B">
        <w:rPr>
          <w:b/>
          <w:bCs/>
        </w:rPr>
        <w:t>В этой связи Комитет обращает внимание государства-участника на свое заявление по поводу обязательства никого не забыть</w:t>
      </w:r>
      <w:r w:rsidRPr="00FC7B9B">
        <w:rPr>
          <w:rStyle w:val="a8"/>
        </w:rPr>
        <w:footnoteReference w:id="10"/>
      </w:r>
      <w:r w:rsidRPr="00FC7B9B">
        <w:rPr>
          <w:b/>
          <w:bCs/>
        </w:rPr>
        <w:t>.</w:t>
      </w:r>
    </w:p>
    <w:p w14:paraId="3FD052F5" w14:textId="77777777" w:rsidR="00FC7B9B" w:rsidRPr="00FC7B9B" w:rsidRDefault="00FC7B9B" w:rsidP="00FC7B9B">
      <w:pPr>
        <w:pStyle w:val="SingleTxtG"/>
        <w:rPr>
          <w:b/>
          <w:bCs/>
        </w:rPr>
      </w:pPr>
      <w:r w:rsidRPr="00FC7B9B">
        <w:lastRenderedPageBreak/>
        <w:t>56.</w:t>
      </w:r>
      <w:r w:rsidRPr="00FC7B9B">
        <w:tab/>
      </w:r>
      <w:r w:rsidRPr="00FC7B9B">
        <w:rPr>
          <w:b/>
          <w:bCs/>
        </w:rPr>
        <w:t>Комитет обращается к государству-участнику с просьбой широко распространить настоящие заключительные замечания среди всех слоев общества, в том числе на национальном и муниципальном уровнях, в частности среди парламентариев, государственных должностных лиц и судебных органов, и в своем следующем периодическом докладе представить информацию о мерах, принятых для их осуществления.</w:t>
      </w:r>
      <w:r w:rsidRPr="00FC7B9B">
        <w:t xml:space="preserve"> </w:t>
      </w:r>
      <w:r w:rsidRPr="00FC7B9B">
        <w:rPr>
          <w:b/>
          <w:bCs/>
        </w:rPr>
        <w:t>Комитет подчеркивает решающую роль, которую играет парламент в осуществлении настоящих заключительных замечаний, и обращается к государству-участнику с призывом обеспечить его участие в будущих процедурах представления докладов и последующих действиях.</w:t>
      </w:r>
      <w:r w:rsidRPr="00FC7B9B">
        <w:t xml:space="preserve"> </w:t>
      </w:r>
      <w:r w:rsidRPr="00FC7B9B">
        <w:rPr>
          <w:b/>
          <w:bCs/>
        </w:rPr>
        <w:t>Комитет обращается к государству-участнику с призывом продолжать вовлекать в последующую деятельность в связи с настоящими заключительными замечаниями и в процесс консультаций на национальном уровне перед представлением своего следующего периодического доклада неправительственные организации и других членов гражданского общества.</w:t>
      </w:r>
      <w:r w:rsidRPr="00FC7B9B">
        <w:t xml:space="preserve"> </w:t>
      </w:r>
    </w:p>
    <w:p w14:paraId="360B541A" w14:textId="0962BBEE" w:rsidR="00FC7B9B" w:rsidRPr="00FC7B9B" w:rsidRDefault="00FC7B9B" w:rsidP="00FC7B9B">
      <w:pPr>
        <w:pStyle w:val="SingleTxtG"/>
        <w:rPr>
          <w:b/>
          <w:bCs/>
        </w:rPr>
      </w:pPr>
      <w:r w:rsidRPr="00FC7B9B">
        <w:t>57.</w:t>
      </w:r>
      <w:r w:rsidRPr="00FC7B9B">
        <w:tab/>
      </w:r>
      <w:r w:rsidRPr="00FC7B9B">
        <w:rPr>
          <w:b/>
          <w:bCs/>
        </w:rPr>
        <w:t>В соответствии с процедурой последующей деятельности в связи с принятыми Комитетом заключительными замечаниями Комитет обращается к государству-участнику с просьбой в течение 24 месяцев с момента принятия настоящих заключительных замечаний (31 октября 2026 года) представить информацию о выполнении рекомендаций, содержащихся в пунктах 9</w:t>
      </w:r>
      <w:r w:rsidR="00BC7780">
        <w:rPr>
          <w:b/>
          <w:bCs/>
          <w:lang w:val="en-US"/>
        </w:rPr>
        <w:t> </w:t>
      </w:r>
      <w:r w:rsidRPr="00FC7B9B">
        <w:rPr>
          <w:b/>
          <w:bCs/>
        </w:rPr>
        <w:t>а) (предпринимательская деятельность и права человека), 31 (право на справедливые и благоприятные условия труда) и 45 (право на достаточное жилище) выше.</w:t>
      </w:r>
      <w:bookmarkStart w:id="0" w:name="_Hlk154052285"/>
      <w:bookmarkEnd w:id="0"/>
    </w:p>
    <w:p w14:paraId="6BA62DC7" w14:textId="5529F012" w:rsidR="00FC7B9B" w:rsidRDefault="00FC7B9B" w:rsidP="00FC7B9B">
      <w:pPr>
        <w:pStyle w:val="SingleTxtG"/>
        <w:rPr>
          <w:b/>
          <w:bCs/>
          <w:lang w:val="en-US"/>
        </w:rPr>
      </w:pPr>
      <w:r w:rsidRPr="00FC7B9B">
        <w:t>58.</w:t>
      </w:r>
      <w:r w:rsidRPr="00FC7B9B">
        <w:tab/>
      </w:r>
      <w:r w:rsidRPr="00FC7B9B">
        <w:rPr>
          <w:b/>
          <w:bCs/>
        </w:rPr>
        <w:t>Комитет обращается к государству-участнику с просьбой представить свой шестой периодический доклад в соответствии со статьей 16 Пакта не позднее 31</w:t>
      </w:r>
      <w:r>
        <w:rPr>
          <w:b/>
          <w:bCs/>
          <w:lang w:val="en-US"/>
        </w:rPr>
        <w:t> </w:t>
      </w:r>
      <w:r w:rsidRPr="00FC7B9B">
        <w:rPr>
          <w:b/>
          <w:bCs/>
        </w:rPr>
        <w:t>октября 2029 года, если оно не будет уведомлено об ином в результате изменения цикла рассмотрения докладов.</w:t>
      </w:r>
      <w:r w:rsidRPr="00FC7B9B">
        <w:t xml:space="preserve"> </w:t>
      </w:r>
      <w:r w:rsidRPr="00FC7B9B"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  <w:r w:rsidRPr="00FC7B9B">
        <w:t xml:space="preserve"> </w:t>
      </w:r>
      <w:r w:rsidRPr="00FC7B9B">
        <w:rPr>
          <w:b/>
          <w:bCs/>
        </w:rPr>
        <w:t>Кроме того, он предлагает государству-участнику при необходимости обновлять свой общий базовый документ в соответствии с согласованными руководящими принципами представления докладов согласно международным договорам в области прав человека</w:t>
      </w:r>
      <w:r w:rsidRPr="00FC7B9B">
        <w:rPr>
          <w:rStyle w:val="a8"/>
        </w:rPr>
        <w:footnoteReference w:id="11"/>
      </w:r>
      <w:r w:rsidRPr="00FC7B9B">
        <w:rPr>
          <w:b/>
          <w:bCs/>
        </w:rPr>
        <w:t>.</w:t>
      </w:r>
    </w:p>
    <w:p w14:paraId="269FEB3B" w14:textId="0444E3DC" w:rsidR="00FC7B9B" w:rsidRPr="00FC7B9B" w:rsidRDefault="00FC7B9B" w:rsidP="00FC7B9B">
      <w:pPr>
        <w:pStyle w:val="SingleTxtG"/>
        <w:spacing w:before="240" w:after="0"/>
        <w:jc w:val="center"/>
        <w:rPr>
          <w:b/>
          <w:bCs/>
          <w:i/>
          <w:iCs/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FC7B9B" w:rsidRPr="00FC7B9B" w:rsidSect="00FC7B9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1D523" w14:textId="77777777" w:rsidR="00C1507F" w:rsidRPr="00A312BC" w:rsidRDefault="00C1507F" w:rsidP="00A312BC"/>
  </w:endnote>
  <w:endnote w:type="continuationSeparator" w:id="0">
    <w:p w14:paraId="64CEBE6C" w14:textId="77777777" w:rsidR="00C1507F" w:rsidRPr="00A312BC" w:rsidRDefault="00C1507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054FC" w14:textId="42D99BE7" w:rsidR="00FC7B9B" w:rsidRPr="00FC7B9B" w:rsidRDefault="00FC7B9B">
    <w:pPr>
      <w:pStyle w:val="aa"/>
    </w:pPr>
    <w:r w:rsidRPr="00FC7B9B">
      <w:rPr>
        <w:b/>
        <w:sz w:val="18"/>
      </w:rPr>
      <w:fldChar w:fldCharType="begin"/>
    </w:r>
    <w:r w:rsidRPr="00FC7B9B">
      <w:rPr>
        <w:b/>
        <w:sz w:val="18"/>
      </w:rPr>
      <w:instrText xml:space="preserve"> PAGE  \* MERGEFORMAT </w:instrText>
    </w:r>
    <w:r w:rsidRPr="00FC7B9B">
      <w:rPr>
        <w:b/>
        <w:sz w:val="18"/>
      </w:rPr>
      <w:fldChar w:fldCharType="separate"/>
    </w:r>
    <w:r w:rsidRPr="00FC7B9B">
      <w:rPr>
        <w:b/>
        <w:noProof/>
        <w:sz w:val="18"/>
      </w:rPr>
      <w:t>2</w:t>
    </w:r>
    <w:r w:rsidRPr="00FC7B9B">
      <w:rPr>
        <w:b/>
        <w:sz w:val="18"/>
      </w:rPr>
      <w:fldChar w:fldCharType="end"/>
    </w:r>
    <w:r>
      <w:rPr>
        <w:b/>
        <w:sz w:val="18"/>
      </w:rPr>
      <w:tab/>
    </w:r>
    <w:r>
      <w:t>GE.24-18214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A23E5" w14:textId="2F0606D7" w:rsidR="00FC7B9B" w:rsidRPr="00FC7B9B" w:rsidRDefault="00FC7B9B" w:rsidP="00FC7B9B">
    <w:pPr>
      <w:pStyle w:val="aa"/>
      <w:tabs>
        <w:tab w:val="clear" w:pos="9639"/>
        <w:tab w:val="right" w:pos="9638"/>
      </w:tabs>
      <w:rPr>
        <w:b/>
        <w:sz w:val="18"/>
      </w:rPr>
    </w:pPr>
    <w:r>
      <w:t>GE.24-18214</w:t>
    </w:r>
    <w:r>
      <w:tab/>
    </w:r>
    <w:r w:rsidRPr="00FC7B9B">
      <w:rPr>
        <w:b/>
        <w:sz w:val="18"/>
      </w:rPr>
      <w:fldChar w:fldCharType="begin"/>
    </w:r>
    <w:r w:rsidRPr="00FC7B9B">
      <w:rPr>
        <w:b/>
        <w:sz w:val="18"/>
      </w:rPr>
      <w:instrText xml:space="preserve"> PAGE  \* MERGEFORMAT </w:instrText>
    </w:r>
    <w:r w:rsidRPr="00FC7B9B">
      <w:rPr>
        <w:b/>
        <w:sz w:val="18"/>
      </w:rPr>
      <w:fldChar w:fldCharType="separate"/>
    </w:r>
    <w:r w:rsidRPr="00FC7B9B">
      <w:rPr>
        <w:b/>
        <w:noProof/>
        <w:sz w:val="18"/>
      </w:rPr>
      <w:t>3</w:t>
    </w:r>
    <w:r w:rsidRPr="00FC7B9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F6207" w14:textId="216C324F" w:rsidR="00042B72" w:rsidRPr="00FC7B9B" w:rsidRDefault="00FC7B9B" w:rsidP="00FC7B9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45073CF" wp14:editId="585FC28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24-18214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0DBB02E" wp14:editId="286AC80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221124  271124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E8EF4" w14:textId="77777777" w:rsidR="00C1507F" w:rsidRPr="001075E9" w:rsidRDefault="00C1507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0BD7F87" w14:textId="77777777" w:rsidR="00C1507F" w:rsidRDefault="00C1507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A928FA6" w14:textId="77777777" w:rsidR="00FC7B9B" w:rsidRPr="008315FC" w:rsidRDefault="00FC7B9B" w:rsidP="00FC7B9B">
      <w:pPr>
        <w:pStyle w:val="af"/>
        <w:rPr>
          <w:szCs w:val="18"/>
        </w:rPr>
      </w:pPr>
      <w:r>
        <w:tab/>
      </w:r>
      <w:r w:rsidRPr="00FC7B9B">
        <w:rPr>
          <w:sz w:val="20"/>
        </w:rPr>
        <w:t>*</w:t>
      </w:r>
      <w:r>
        <w:tab/>
        <w:t>Приняты Комитетом на его семьдесят шестой сессии (97−27 сентября 2024 года).</w:t>
      </w:r>
    </w:p>
  </w:footnote>
  <w:footnote w:id="2">
    <w:p w14:paraId="16F0C437" w14:textId="2FE2AB71" w:rsidR="00FC7B9B" w:rsidRPr="00FC7B9B" w:rsidRDefault="00FC7B9B" w:rsidP="00FC7B9B">
      <w:pPr>
        <w:pStyle w:val="af"/>
        <w:rPr>
          <w:lang w:val="en-US"/>
        </w:rPr>
      </w:pPr>
      <w:r>
        <w:tab/>
      </w:r>
      <w:r w:rsidRPr="00FC7B9B">
        <w:rPr>
          <w:rStyle w:val="a8"/>
        </w:rPr>
        <w:footnoteRef/>
      </w:r>
      <w:r w:rsidRPr="008315FC">
        <w:rPr>
          <w:lang w:val="en-US"/>
        </w:rPr>
        <w:tab/>
      </w:r>
      <w:hyperlink r:id="rId1" w:history="1">
        <w:r w:rsidRPr="00FC7B9B">
          <w:rPr>
            <w:rStyle w:val="a7"/>
            <w:lang w:val="en-US"/>
          </w:rPr>
          <w:t>E/C.12/ISL/5</w:t>
        </w:r>
      </w:hyperlink>
      <w:r w:rsidRPr="008315FC">
        <w:rPr>
          <w:lang w:val="en-US"/>
        </w:rPr>
        <w:t>.</w:t>
      </w:r>
    </w:p>
  </w:footnote>
  <w:footnote w:id="3">
    <w:p w14:paraId="012DF448" w14:textId="3641FC0B" w:rsidR="00FC7B9B" w:rsidRPr="00FC7B9B" w:rsidRDefault="00FC7B9B" w:rsidP="00FC7B9B">
      <w:pPr>
        <w:pStyle w:val="af"/>
        <w:rPr>
          <w:lang w:val="en-US"/>
        </w:rPr>
      </w:pPr>
      <w:r w:rsidRPr="008315FC">
        <w:rPr>
          <w:lang w:val="en-US"/>
        </w:rPr>
        <w:tab/>
      </w:r>
      <w:r w:rsidRPr="00FC7B9B">
        <w:rPr>
          <w:rStyle w:val="a8"/>
        </w:rPr>
        <w:footnoteRef/>
      </w:r>
      <w:r w:rsidRPr="00FC7B9B">
        <w:tab/>
      </w:r>
      <w:r>
        <w:t>См</w:t>
      </w:r>
      <w:r w:rsidRPr="00FC7B9B">
        <w:t xml:space="preserve">. </w:t>
      </w:r>
      <w:hyperlink r:id="rId2" w:history="1">
        <w:r w:rsidRPr="00FC7B9B">
          <w:rPr>
            <w:rStyle w:val="a7"/>
            <w:lang w:val="en-US"/>
          </w:rPr>
          <w:t>E/C.12/2024/SR.31</w:t>
        </w:r>
      </w:hyperlink>
      <w:r w:rsidRPr="00FC7B9B">
        <w:rPr>
          <w:lang w:val="en-US"/>
        </w:rPr>
        <w:t xml:space="preserve"> </w:t>
      </w:r>
      <w:r>
        <w:t>и</w:t>
      </w:r>
      <w:r w:rsidRPr="00FC7B9B">
        <w:rPr>
          <w:lang w:val="en-US"/>
        </w:rPr>
        <w:t xml:space="preserve"> </w:t>
      </w:r>
      <w:hyperlink r:id="rId3" w:history="1">
        <w:r w:rsidRPr="00FC7B9B">
          <w:rPr>
            <w:rStyle w:val="a7"/>
            <w:lang w:val="en-US"/>
          </w:rPr>
          <w:t>E/C.12/2024/SR.32</w:t>
        </w:r>
      </w:hyperlink>
      <w:r w:rsidRPr="00FC7B9B">
        <w:rPr>
          <w:lang w:val="en-US"/>
        </w:rPr>
        <w:t>.</w:t>
      </w:r>
    </w:p>
  </w:footnote>
  <w:footnote w:id="4">
    <w:p w14:paraId="3CF729A4" w14:textId="1099A4D3" w:rsidR="00FC7B9B" w:rsidRPr="00FC7B9B" w:rsidRDefault="00FC7B9B" w:rsidP="00FC7B9B">
      <w:pPr>
        <w:pStyle w:val="af"/>
        <w:rPr>
          <w:lang w:val="en-US"/>
        </w:rPr>
      </w:pPr>
      <w:r w:rsidRPr="00FC7B9B">
        <w:rPr>
          <w:lang w:val="en-US"/>
        </w:rPr>
        <w:tab/>
      </w:r>
      <w:r w:rsidRPr="00FC7B9B">
        <w:rPr>
          <w:rStyle w:val="a8"/>
        </w:rPr>
        <w:footnoteRef/>
      </w:r>
      <w:r w:rsidRPr="008315FC">
        <w:rPr>
          <w:lang w:val="en-US"/>
        </w:rPr>
        <w:tab/>
      </w:r>
      <w:hyperlink r:id="rId4" w:history="1">
        <w:r w:rsidRPr="00FC7B9B">
          <w:rPr>
            <w:rStyle w:val="a7"/>
            <w:lang w:val="en-US"/>
          </w:rPr>
          <w:t>E/C.12/ISL/RQ/5</w:t>
        </w:r>
      </w:hyperlink>
      <w:r w:rsidRPr="008315FC">
        <w:rPr>
          <w:lang w:val="en-US"/>
        </w:rPr>
        <w:t>.</w:t>
      </w:r>
    </w:p>
  </w:footnote>
  <w:footnote w:id="5">
    <w:p w14:paraId="11280A2E" w14:textId="77777777" w:rsidR="00BC7780" w:rsidRPr="00FC7B9B" w:rsidRDefault="00BC7780" w:rsidP="00BC7780">
      <w:pPr>
        <w:pStyle w:val="af"/>
        <w:rPr>
          <w:lang w:val="en-US"/>
        </w:rPr>
      </w:pPr>
      <w:r w:rsidRPr="008315FC">
        <w:rPr>
          <w:lang w:val="en-US"/>
        </w:rPr>
        <w:tab/>
      </w:r>
      <w:r w:rsidRPr="00FC7B9B">
        <w:rPr>
          <w:rStyle w:val="a8"/>
        </w:rPr>
        <w:footnoteRef/>
      </w:r>
      <w:r w:rsidRPr="008315FC">
        <w:rPr>
          <w:lang w:val="en-US"/>
        </w:rPr>
        <w:tab/>
      </w:r>
      <w:hyperlink r:id="rId5" w:history="1">
        <w:r w:rsidRPr="00FC7B9B">
          <w:rPr>
            <w:rStyle w:val="a7"/>
            <w:lang w:val="en-US"/>
          </w:rPr>
          <w:t>E/C.12/ISL/CO/4</w:t>
        </w:r>
      </w:hyperlink>
      <w:r w:rsidRPr="008315FC">
        <w:rPr>
          <w:lang w:val="en-US"/>
        </w:rPr>
        <w:t xml:space="preserve">, </w:t>
      </w:r>
      <w:r>
        <w:t>п</w:t>
      </w:r>
      <w:r w:rsidRPr="008315FC">
        <w:rPr>
          <w:lang w:val="en-US"/>
        </w:rPr>
        <w:t>. 11.</w:t>
      </w:r>
    </w:p>
  </w:footnote>
  <w:footnote w:id="6">
    <w:p w14:paraId="421AC0D9" w14:textId="77777777" w:rsidR="00BC7780" w:rsidRPr="00FC7B9B" w:rsidRDefault="00BC7780" w:rsidP="00BC7780">
      <w:pPr>
        <w:pStyle w:val="af"/>
        <w:rPr>
          <w:lang w:val="en-US"/>
        </w:rPr>
      </w:pPr>
      <w:r w:rsidRPr="008315FC">
        <w:rPr>
          <w:lang w:val="en-US"/>
        </w:rPr>
        <w:tab/>
      </w:r>
      <w:r w:rsidRPr="00FC7B9B">
        <w:rPr>
          <w:rStyle w:val="a8"/>
        </w:rPr>
        <w:footnoteRef/>
      </w:r>
      <w:r w:rsidRPr="008315FC">
        <w:rPr>
          <w:lang w:val="en-US"/>
        </w:rPr>
        <w:tab/>
      </w:r>
      <w:r>
        <w:t>Там</w:t>
      </w:r>
      <w:r w:rsidRPr="008315FC">
        <w:rPr>
          <w:lang w:val="en-US"/>
        </w:rPr>
        <w:t xml:space="preserve"> </w:t>
      </w:r>
      <w:r>
        <w:t>же</w:t>
      </w:r>
      <w:r w:rsidRPr="008315FC">
        <w:rPr>
          <w:lang w:val="en-US"/>
        </w:rPr>
        <w:t xml:space="preserve">, </w:t>
      </w:r>
      <w:r>
        <w:t>п</w:t>
      </w:r>
      <w:r w:rsidRPr="008315FC">
        <w:rPr>
          <w:lang w:val="en-US"/>
        </w:rPr>
        <w:t xml:space="preserve">. 10. </w:t>
      </w:r>
    </w:p>
  </w:footnote>
  <w:footnote w:id="7">
    <w:p w14:paraId="50B0CDA9" w14:textId="3B02DB96" w:rsidR="00FC7B9B" w:rsidRPr="00FC7B9B" w:rsidRDefault="00FC7B9B" w:rsidP="00FC7B9B">
      <w:pPr>
        <w:pStyle w:val="af"/>
        <w:rPr>
          <w:lang w:val="en-US"/>
        </w:rPr>
      </w:pPr>
      <w:r w:rsidRPr="008315FC">
        <w:rPr>
          <w:lang w:val="en-US"/>
        </w:rPr>
        <w:tab/>
      </w:r>
      <w:r w:rsidRPr="00FC7B9B">
        <w:rPr>
          <w:rStyle w:val="a8"/>
        </w:rPr>
        <w:footnoteRef/>
      </w:r>
      <w:r w:rsidRPr="008315FC">
        <w:rPr>
          <w:lang w:val="en-US"/>
        </w:rPr>
        <w:tab/>
      </w:r>
      <w:hyperlink r:id="rId6" w:history="1">
        <w:r w:rsidRPr="00FC7B9B">
          <w:rPr>
            <w:rStyle w:val="a7"/>
            <w:lang w:val="en-US"/>
          </w:rPr>
          <w:t>CEDAW/C/ISL/CO/9</w:t>
        </w:r>
      </w:hyperlink>
      <w:r w:rsidRPr="008315FC">
        <w:rPr>
          <w:lang w:val="en-US"/>
        </w:rPr>
        <w:t xml:space="preserve">, </w:t>
      </w:r>
      <w:r>
        <w:t>п</w:t>
      </w:r>
      <w:r w:rsidRPr="008315FC">
        <w:rPr>
          <w:lang w:val="en-US"/>
        </w:rPr>
        <w:t>. 26</w:t>
      </w:r>
      <w:r w:rsidR="00BC7780">
        <w:rPr>
          <w:lang w:val="en-US"/>
        </w:rPr>
        <w:t>.</w:t>
      </w:r>
    </w:p>
  </w:footnote>
  <w:footnote w:id="8">
    <w:p w14:paraId="5AE7F4C4" w14:textId="77777777" w:rsidR="00A513A9" w:rsidRPr="00FC7B9B" w:rsidRDefault="00A513A9" w:rsidP="00A513A9">
      <w:pPr>
        <w:pStyle w:val="af"/>
        <w:rPr>
          <w:lang w:val="en-US"/>
        </w:rPr>
      </w:pPr>
      <w:r w:rsidRPr="008315FC">
        <w:rPr>
          <w:lang w:val="en-US"/>
        </w:rPr>
        <w:tab/>
      </w:r>
      <w:r w:rsidRPr="00FC7B9B">
        <w:rPr>
          <w:rStyle w:val="a8"/>
        </w:rPr>
        <w:footnoteRef/>
      </w:r>
      <w:r w:rsidRPr="008315FC">
        <w:rPr>
          <w:lang w:val="en-US"/>
        </w:rPr>
        <w:tab/>
      </w:r>
      <w:hyperlink r:id="rId7" w:history="1">
        <w:r w:rsidRPr="00FC7B9B">
          <w:rPr>
            <w:rStyle w:val="a7"/>
            <w:lang w:val="en-US"/>
          </w:rPr>
          <w:t>E/C.12/2001/10</w:t>
        </w:r>
      </w:hyperlink>
      <w:r w:rsidRPr="008315FC">
        <w:rPr>
          <w:lang w:val="en-US"/>
        </w:rPr>
        <w:t>.</w:t>
      </w:r>
    </w:p>
  </w:footnote>
  <w:footnote w:id="9">
    <w:p w14:paraId="7A66FF76" w14:textId="13BDBC9B" w:rsidR="00FC7B9B" w:rsidRPr="00FC7B9B" w:rsidRDefault="00FC7B9B" w:rsidP="00FC7B9B">
      <w:pPr>
        <w:pStyle w:val="af"/>
        <w:rPr>
          <w:lang w:val="en-US"/>
        </w:rPr>
      </w:pPr>
      <w:r w:rsidRPr="008315FC">
        <w:rPr>
          <w:lang w:val="en-US"/>
        </w:rPr>
        <w:tab/>
      </w:r>
      <w:r w:rsidRPr="00FC7B9B">
        <w:rPr>
          <w:rStyle w:val="a8"/>
        </w:rPr>
        <w:footnoteRef/>
      </w:r>
      <w:r w:rsidRPr="008315FC">
        <w:rPr>
          <w:lang w:val="en-US"/>
        </w:rPr>
        <w:tab/>
      </w:r>
      <w:hyperlink r:id="rId8" w:history="1">
        <w:r w:rsidRPr="00FC7B9B">
          <w:rPr>
            <w:rStyle w:val="a7"/>
            <w:lang w:val="en-US"/>
          </w:rPr>
          <w:t>E/C.12/2015/1</w:t>
        </w:r>
      </w:hyperlink>
      <w:r w:rsidRPr="008315FC">
        <w:rPr>
          <w:lang w:val="en-US"/>
        </w:rPr>
        <w:t>.</w:t>
      </w:r>
    </w:p>
  </w:footnote>
  <w:footnote w:id="10">
    <w:p w14:paraId="5C63549E" w14:textId="4303FEFF" w:rsidR="00FC7B9B" w:rsidRPr="00FC7B9B" w:rsidRDefault="00FC7B9B" w:rsidP="00FC7B9B">
      <w:pPr>
        <w:pStyle w:val="af"/>
        <w:rPr>
          <w:lang w:val="en-US"/>
        </w:rPr>
      </w:pPr>
      <w:r w:rsidRPr="008315FC">
        <w:rPr>
          <w:lang w:val="en-US"/>
        </w:rPr>
        <w:tab/>
      </w:r>
      <w:r w:rsidRPr="00FC7B9B">
        <w:rPr>
          <w:rStyle w:val="a8"/>
        </w:rPr>
        <w:footnoteRef/>
      </w:r>
      <w:r w:rsidRPr="008315FC">
        <w:rPr>
          <w:lang w:val="en-US"/>
        </w:rPr>
        <w:tab/>
      </w:r>
      <w:hyperlink r:id="rId9" w:history="1">
        <w:r w:rsidRPr="00FC7B9B">
          <w:rPr>
            <w:rStyle w:val="a7"/>
            <w:lang w:val="en-US"/>
          </w:rPr>
          <w:t>E/C.12/2019/1</w:t>
        </w:r>
      </w:hyperlink>
      <w:r w:rsidRPr="008315FC">
        <w:rPr>
          <w:lang w:val="en-US"/>
        </w:rPr>
        <w:t>.</w:t>
      </w:r>
    </w:p>
  </w:footnote>
  <w:footnote w:id="11">
    <w:p w14:paraId="69B209E3" w14:textId="737F329E" w:rsidR="00FC7B9B" w:rsidRPr="00FC7B9B" w:rsidRDefault="00FC7B9B" w:rsidP="00FC7B9B">
      <w:pPr>
        <w:pStyle w:val="af"/>
        <w:rPr>
          <w:lang w:val="en-US"/>
        </w:rPr>
      </w:pPr>
      <w:r w:rsidRPr="008315FC">
        <w:rPr>
          <w:lang w:val="en-US"/>
        </w:rPr>
        <w:tab/>
      </w:r>
      <w:r w:rsidRPr="00FC7B9B">
        <w:rPr>
          <w:rStyle w:val="a8"/>
        </w:rPr>
        <w:footnoteRef/>
      </w:r>
      <w:r w:rsidRPr="008315FC">
        <w:rPr>
          <w:lang w:val="en-US"/>
        </w:rPr>
        <w:tab/>
      </w:r>
      <w:hyperlink r:id="rId10" w:history="1">
        <w:r w:rsidRPr="00FC7B9B">
          <w:rPr>
            <w:rStyle w:val="a7"/>
            <w:lang w:val="en-US"/>
          </w:rPr>
          <w:t>HRI/GEN/2/Rev.6</w:t>
        </w:r>
      </w:hyperlink>
      <w:r w:rsidRPr="008315FC">
        <w:rPr>
          <w:lang w:val="en-US"/>
        </w:rPr>
        <w:t xml:space="preserve">, </w:t>
      </w:r>
      <w:r>
        <w:t>гл</w:t>
      </w:r>
      <w:r w:rsidRPr="008315FC">
        <w:rPr>
          <w:lang w:val="en-US"/>
        </w:rPr>
        <w:t xml:space="preserve">. </w:t>
      </w:r>
      <w:r w:rsidRPr="00FC7B9B">
        <w:rPr>
          <w:lang w:val="en-US"/>
        </w:rPr>
        <w:t xml:space="preserve">I.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A5F82" w14:textId="78D2BC66" w:rsidR="00FC7B9B" w:rsidRPr="00FC7B9B" w:rsidRDefault="00FC7B9B">
    <w:pPr>
      <w:pStyle w:val="a5"/>
    </w:pPr>
    <w:fldSimple w:instr=" TITLE  \* MERGEFORMAT ">
      <w:r w:rsidR="00B9482A">
        <w:t>E/C.12/ISL/CO/5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8FC71" w14:textId="5D079BA3" w:rsidR="00FC7B9B" w:rsidRPr="00FC7B9B" w:rsidRDefault="00FC7B9B" w:rsidP="00FC7B9B">
    <w:pPr>
      <w:pStyle w:val="a5"/>
      <w:jc w:val="right"/>
    </w:pPr>
    <w:fldSimple w:instr=" TITLE  \* MERGEFORMAT ">
      <w:r w:rsidR="00B9482A">
        <w:t>E/C.12/ISL/CO/5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07F"/>
    <w:rsid w:val="000041D5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81B14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D6B66"/>
    <w:rsid w:val="00407B78"/>
    <w:rsid w:val="00424203"/>
    <w:rsid w:val="0042551A"/>
    <w:rsid w:val="00452493"/>
    <w:rsid w:val="00453318"/>
    <w:rsid w:val="00454E07"/>
    <w:rsid w:val="00472C5C"/>
    <w:rsid w:val="0047482D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13B39"/>
    <w:rsid w:val="00951972"/>
    <w:rsid w:val="009608F3"/>
    <w:rsid w:val="009A24AC"/>
    <w:rsid w:val="009F1700"/>
    <w:rsid w:val="00A14DA8"/>
    <w:rsid w:val="00A21F00"/>
    <w:rsid w:val="00A312BC"/>
    <w:rsid w:val="00A513A9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9482A"/>
    <w:rsid w:val="00BC18B2"/>
    <w:rsid w:val="00BC7780"/>
    <w:rsid w:val="00BD33EE"/>
    <w:rsid w:val="00BF21E1"/>
    <w:rsid w:val="00C106D6"/>
    <w:rsid w:val="00C1507F"/>
    <w:rsid w:val="00C60F0C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91DE9"/>
    <w:rsid w:val="00DD1D1E"/>
    <w:rsid w:val="00DD44B1"/>
    <w:rsid w:val="00DD78D1"/>
    <w:rsid w:val="00DE32CD"/>
    <w:rsid w:val="00DF71B9"/>
    <w:rsid w:val="00E03BCE"/>
    <w:rsid w:val="00E73F76"/>
    <w:rsid w:val="00E77A2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B673A"/>
    <w:rsid w:val="00FC7B9B"/>
    <w:rsid w:val="00FD2EF7"/>
    <w:rsid w:val="00FD3D0B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FF2795"/>
  <w15:docId w15:val="{46B31CD4-28F5-42ED-9222-D68A827CA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FC7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E/C.12/2015/1" TargetMode="External"/><Relationship Id="rId3" Type="http://schemas.openxmlformats.org/officeDocument/2006/relationships/hyperlink" Target="http://undocs.org/ru/E/C.12/2024/SR.32" TargetMode="External"/><Relationship Id="rId7" Type="http://schemas.openxmlformats.org/officeDocument/2006/relationships/hyperlink" Target="http://undocs.org/ru/E/C.12/2001/10" TargetMode="External"/><Relationship Id="rId2" Type="http://schemas.openxmlformats.org/officeDocument/2006/relationships/hyperlink" Target="http://undocs.org/ru/E/C.12/2024/SR.31" TargetMode="External"/><Relationship Id="rId1" Type="http://schemas.openxmlformats.org/officeDocument/2006/relationships/hyperlink" Target="http://undocs.org/ru/E/C.12/ISL/5" TargetMode="External"/><Relationship Id="rId6" Type="http://schemas.openxmlformats.org/officeDocument/2006/relationships/hyperlink" Target="http://undocs.org/ru/CEDAW/C/ISL/CO/9" TargetMode="External"/><Relationship Id="rId5" Type="http://schemas.openxmlformats.org/officeDocument/2006/relationships/hyperlink" Target="http://undocs.org/ru/E/C.12/ISL/CO/4" TargetMode="External"/><Relationship Id="rId10" Type="http://schemas.openxmlformats.org/officeDocument/2006/relationships/hyperlink" Target="http://undocs.org/ru/HRI/GEN/2/Rev.6" TargetMode="External"/><Relationship Id="rId4" Type="http://schemas.openxmlformats.org/officeDocument/2006/relationships/hyperlink" Target="http://undocs.org/ru/E/C.12/ISL/RQ/5" TargetMode="External"/><Relationship Id="rId9" Type="http://schemas.openxmlformats.org/officeDocument/2006/relationships/hyperlink" Target="http://undocs.org/ru/E/C.12/2019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11</Pages>
  <Words>4193</Words>
  <Characters>29649</Characters>
  <Application>Microsoft Office Word</Application>
  <DocSecurity>0</DocSecurity>
  <Lines>529</Lines>
  <Paragraphs>131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E/C.12/ISL/CO/5</vt:lpstr>
      <vt:lpstr>A/</vt:lpstr>
      <vt:lpstr>A/</vt:lpstr>
    </vt:vector>
  </TitlesOfParts>
  <Company>DCM</Company>
  <LinksUpToDate>false</LinksUpToDate>
  <CharactersWithSpaces>33711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E/C.12/ISL/CO/5</dc:title>
  <dc:subject/>
  <dc:creator>Elena IZOTOVA</dc:creator>
  <cp:keywords/>
  <cp:lastModifiedBy>Elena IZOTOVA</cp:lastModifiedBy>
  <cp:revision>3</cp:revision>
  <cp:lastPrinted>2024-11-27T15:23:00Z</cp:lastPrinted>
  <dcterms:created xsi:type="dcterms:W3CDTF">2024-11-27T15:23:00Z</dcterms:created>
  <dcterms:modified xsi:type="dcterms:W3CDTF">2024-11-27T15:24:00Z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