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275" w:rsidRDefault="00F65275" w:rsidP="00F65275">
      <w:pPr>
        <w:spacing w:line="60" w:lineRule="exact"/>
        <w:rPr>
          <w:sz w:val="6"/>
        </w:rPr>
        <w:sectPr w:rsidR="00F65275" w:rsidSect="00F6527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65275" w:rsidRDefault="00F65275" w:rsidP="00C510C2">
      <w:pPr>
        <w:spacing w:after="60" w:line="60" w:lineRule="exact"/>
        <w:rPr>
          <w:sz w:val="6"/>
        </w:rPr>
      </w:pPr>
    </w:p>
    <w:p w:rsidR="00C510C2" w:rsidRDefault="00C510C2" w:rsidP="00C510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C510C2" w:rsidRDefault="00C510C2" w:rsidP="00C51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会前工作组的报告</w:t>
      </w:r>
    </w:p>
    <w:p w:rsidR="00C510C2" w:rsidRDefault="00C510C2" w:rsidP="00C51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第四十五届会议</w:t>
      </w:r>
    </w:p>
    <w:p w:rsidR="00C510C2" w:rsidRDefault="00C510C2" w:rsidP="00C510C2">
      <w:pPr>
        <w:pStyle w:val="SingleTxt"/>
        <w:spacing w:after="60"/>
        <w:ind w:left="0"/>
        <w:rPr>
          <w:rFonts w:hint="eastAsia"/>
        </w:rPr>
      </w:pPr>
      <w:r>
        <w:rPr>
          <w:rFonts w:hint="eastAsia"/>
        </w:rPr>
        <w:t>2010年1月18日至2月5日</w:t>
      </w:r>
    </w:p>
    <w:p w:rsidR="00C510C2" w:rsidRPr="00C510C2" w:rsidRDefault="00C510C2" w:rsidP="00C51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510C2" w:rsidRPr="00C510C2" w:rsidRDefault="00C510C2" w:rsidP="00C51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510C2" w:rsidRPr="00C510C2" w:rsidRDefault="00C510C2" w:rsidP="00C51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510C2" w:rsidRDefault="00C510C2" w:rsidP="00C510C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审议定期报告的议题和问题清单</w:t>
      </w:r>
    </w:p>
    <w:p w:rsidR="00C510C2" w:rsidRPr="00C510C2" w:rsidRDefault="00C510C2" w:rsidP="00C510C2">
      <w:pPr>
        <w:pStyle w:val="SingleTxt"/>
        <w:spacing w:after="0" w:line="120" w:lineRule="exact"/>
        <w:rPr>
          <w:rFonts w:hint="eastAsia"/>
          <w:sz w:val="10"/>
        </w:rPr>
      </w:pPr>
    </w:p>
    <w:p w:rsidR="00C510C2" w:rsidRPr="00C510C2" w:rsidRDefault="00C510C2" w:rsidP="00C510C2">
      <w:pPr>
        <w:pStyle w:val="SingleTxt"/>
        <w:spacing w:after="0" w:line="120" w:lineRule="exact"/>
        <w:rPr>
          <w:rFonts w:hint="eastAsia"/>
          <w:sz w:val="10"/>
        </w:rPr>
      </w:pPr>
    </w:p>
    <w:p w:rsidR="00C510C2" w:rsidRDefault="00C510C2" w:rsidP="00C510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乌克兰 </w:t>
      </w:r>
    </w:p>
    <w:p w:rsidR="00C510C2" w:rsidRPr="00C510C2" w:rsidRDefault="00C510C2" w:rsidP="00C510C2">
      <w:pPr>
        <w:pStyle w:val="SingleTxt"/>
        <w:spacing w:after="0" w:line="120" w:lineRule="exact"/>
        <w:rPr>
          <w:rFonts w:hint="eastAsia"/>
          <w:sz w:val="10"/>
        </w:rPr>
      </w:pPr>
    </w:p>
    <w:p w:rsidR="00C510C2" w:rsidRPr="00C510C2" w:rsidRDefault="00C510C2" w:rsidP="00C510C2">
      <w:pPr>
        <w:pStyle w:val="SingleTxt"/>
        <w:spacing w:after="0" w:line="120" w:lineRule="exact"/>
        <w:rPr>
          <w:rFonts w:hint="eastAsia"/>
          <w:sz w:val="10"/>
        </w:rPr>
      </w:pPr>
    </w:p>
    <w:p w:rsidR="00C510C2" w:rsidRDefault="00C510C2" w:rsidP="00C510C2">
      <w:pPr>
        <w:pStyle w:val="SingleTxt"/>
        <w:rPr>
          <w:rFonts w:hint="eastAsia"/>
        </w:rPr>
      </w:pPr>
      <w:r>
        <w:rPr>
          <w:rFonts w:hint="eastAsia"/>
        </w:rPr>
        <w:tab/>
        <w:t>会前工作组审议了乌克兰的第六次和第七次合并定期报告（CEDAW/C/UKR/</w:t>
      </w:r>
      <w:r w:rsidR="00A24CD9">
        <w:br/>
      </w:r>
      <w:r>
        <w:rPr>
          <w:rFonts w:hint="eastAsia"/>
        </w:rPr>
        <w:t>7）。</w:t>
      </w:r>
    </w:p>
    <w:p w:rsidR="00C510C2" w:rsidRPr="00C510C2" w:rsidRDefault="00C510C2" w:rsidP="00C510C2">
      <w:pPr>
        <w:pStyle w:val="SingleTxt"/>
        <w:rPr>
          <w:rFonts w:ascii="SimHei" w:eastAsia="SimHei" w:hint="eastAsia"/>
          <w:color w:val="FF0000"/>
        </w:rPr>
      </w:pPr>
      <w:r w:rsidRPr="00C510C2">
        <w:rPr>
          <w:rFonts w:ascii="SimHei" w:eastAsia="SimHei" w:hint="eastAsia"/>
          <w:color w:val="FF0000"/>
        </w:rPr>
        <w:t>概述</w:t>
      </w:r>
    </w:p>
    <w:p w:rsidR="00C510C2" w:rsidRPr="00C510C2" w:rsidRDefault="00C510C2" w:rsidP="00C510C2">
      <w:pPr>
        <w:pStyle w:val="SingleTxt"/>
        <w:rPr>
          <w:rFonts w:hint="eastAsia"/>
        </w:rPr>
      </w:pPr>
      <w:r>
        <w:rPr>
          <w:rFonts w:hint="eastAsia"/>
        </w:rPr>
        <w:t>1.</w:t>
      </w:r>
      <w:r>
        <w:rPr>
          <w:rFonts w:hint="eastAsia"/>
        </w:rPr>
        <w:tab/>
        <w:t>请提供关于第六和第七次定期报告编写过程的详细资料。这一资料应说明政府部门和机构、包括监察员办公室参与的性质和程度，是否与非政府组织、特别是与妇女组织进行了协商，以及该报告是否获得政府通过并提交给议会。</w:t>
      </w:r>
    </w:p>
    <w:p w:rsidR="00C510C2" w:rsidRDefault="00C510C2" w:rsidP="00C510C2">
      <w:pPr>
        <w:pStyle w:val="SingleTxt"/>
        <w:rPr>
          <w:rFonts w:hint="eastAsia"/>
        </w:rPr>
      </w:pPr>
      <w:r>
        <w:rPr>
          <w:rFonts w:hint="eastAsia"/>
        </w:rPr>
        <w:t>2.</w:t>
      </w:r>
      <w:r>
        <w:rPr>
          <w:rFonts w:hint="eastAsia"/>
        </w:rPr>
        <w:tab/>
        <w:t>该报告载有按性别分列关于妇女在《公约》所涵盖各方面情况的有限统计数据。请提供关于国家数据收集和分析一般情况的资料，并说明这种数据在多大程度上以性别分类收集的。请说明政府打算如何改善与《公约》各领域有关的按性别分类的数据收集工作。</w:t>
      </w:r>
    </w:p>
    <w:p w:rsidR="00C510C2" w:rsidRPr="00C510C2" w:rsidRDefault="00C510C2" w:rsidP="00C510C2">
      <w:pPr>
        <w:pStyle w:val="SingleTxt"/>
        <w:rPr>
          <w:rFonts w:ascii="SimHei" w:eastAsia="SimHei" w:hint="eastAsia"/>
          <w:color w:val="FF0000"/>
        </w:rPr>
      </w:pPr>
      <w:r w:rsidRPr="00C510C2">
        <w:rPr>
          <w:rFonts w:ascii="SimHei" w:eastAsia="SimHei" w:hint="eastAsia"/>
          <w:color w:val="FF0000"/>
        </w:rPr>
        <w:t>《公约》的法律地位</w:t>
      </w:r>
    </w:p>
    <w:p w:rsidR="00C510C2" w:rsidRDefault="00C510C2" w:rsidP="00C510C2">
      <w:pPr>
        <w:pStyle w:val="SingleTxt"/>
        <w:rPr>
          <w:rFonts w:hint="eastAsia"/>
        </w:rPr>
      </w:pPr>
      <w:r>
        <w:rPr>
          <w:rFonts w:hint="eastAsia"/>
        </w:rPr>
        <w:t>3.</w:t>
      </w:r>
      <w:r>
        <w:rPr>
          <w:rFonts w:hint="eastAsia"/>
        </w:rPr>
        <w:tab/>
        <w:t>鉴于《公约》高于缔约国的国内立法，请说明《公约》的规定是否已在国内法院中得到援引，并请提供相关的判例法案例。有没有按照委员会前次结论性意见第296段的建议，向法官、检察官和律师提供关于《公约》、委员会的一般性建议和《公约》任择议定书的培训？</w:t>
      </w:r>
    </w:p>
    <w:p w:rsidR="00C510C2" w:rsidRPr="00C510C2" w:rsidRDefault="00C510C2" w:rsidP="00C510C2">
      <w:pPr>
        <w:pStyle w:val="SingleTxt"/>
        <w:rPr>
          <w:rFonts w:ascii="SimHei" w:eastAsia="SimHei"/>
          <w:color w:val="FF0000"/>
        </w:rPr>
      </w:pPr>
      <w:r>
        <w:rPr>
          <w:rFonts w:ascii="SimHei" w:eastAsia="SimHei"/>
          <w:color w:val="FF0000"/>
        </w:rPr>
        <w:br w:type="page"/>
      </w:r>
      <w:r w:rsidRPr="00C510C2">
        <w:rPr>
          <w:rFonts w:ascii="SimHei" w:eastAsia="SimHei" w:hint="eastAsia"/>
          <w:color w:val="FF0000"/>
        </w:rPr>
        <w:t>平等的定义</w:t>
      </w:r>
    </w:p>
    <w:p w:rsidR="00C510C2" w:rsidRDefault="00C510C2" w:rsidP="00C510C2">
      <w:pPr>
        <w:pStyle w:val="SingleTxt"/>
      </w:pPr>
      <w:r>
        <w:rPr>
          <w:rFonts w:hint="eastAsia"/>
        </w:rPr>
        <w:t>4.</w:t>
      </w:r>
      <w:r>
        <w:rPr>
          <w:rFonts w:hint="eastAsia"/>
        </w:rPr>
        <w:tab/>
        <w:t>报告表明，2006年1月生效的《保障男女平等权利和机会法》包括一条对歧视妇女的定义。请说明该定义是否符合《公约》第1条对歧视提出的定义，并说明该定义是否包括对妇女的直接和间接歧视。</w:t>
      </w:r>
    </w:p>
    <w:p w:rsidR="00C510C2" w:rsidRPr="00C510C2" w:rsidRDefault="00C510C2" w:rsidP="00C510C2">
      <w:pPr>
        <w:pStyle w:val="SingleTxt"/>
      </w:pPr>
      <w:r>
        <w:rPr>
          <w:rFonts w:hint="eastAsia"/>
        </w:rPr>
        <w:t>5.</w:t>
      </w:r>
      <w:r>
        <w:rPr>
          <w:rFonts w:hint="eastAsia"/>
        </w:rPr>
        <w:tab/>
        <w:t>报告表明，缔约国尚未拟订任何立法对违反两性平等立法规定的行为予以制裁。请说明缔约国是否打算纠正这种情况，譬如迅速通过对违反其反歧视规定的案件的具体制裁或惩罚措施，包括针对私人机构和个人的制裁或惩罚措施。请提供资料说明关于报告中所提及为修订与《保障男女平等权利和机会法》的通过有关的立法而由司法部起草的法案的情况。</w:t>
      </w:r>
    </w:p>
    <w:p w:rsidR="00C510C2" w:rsidRPr="00C510C2" w:rsidRDefault="00C510C2" w:rsidP="00C510C2">
      <w:pPr>
        <w:pStyle w:val="SingleTxt"/>
        <w:rPr>
          <w:rFonts w:ascii="SimHei" w:eastAsia="SimHei"/>
          <w:color w:val="FF0000"/>
        </w:rPr>
      </w:pPr>
      <w:r w:rsidRPr="00C510C2">
        <w:rPr>
          <w:rFonts w:ascii="SimHei" w:eastAsia="SimHei" w:hint="eastAsia"/>
          <w:color w:val="FF0000"/>
        </w:rPr>
        <w:t>《公约》及任择议定书的知名度</w:t>
      </w:r>
    </w:p>
    <w:p w:rsidR="00C510C2" w:rsidRDefault="00C510C2" w:rsidP="00C510C2">
      <w:pPr>
        <w:pStyle w:val="SingleTxt"/>
      </w:pPr>
      <w:r>
        <w:rPr>
          <w:rFonts w:hint="eastAsia"/>
        </w:rPr>
        <w:t>6.</w:t>
      </w:r>
      <w:r>
        <w:rPr>
          <w:rFonts w:hint="eastAsia"/>
        </w:rPr>
        <w:tab/>
        <w:t>是否制订了任何特殊的补救办法或矫正途径使妇女能够实现其权利？如果是的话，其功效如何？过去几年来，有多少歧视案件已提交给法院或监察专员办公室等其他机构？这些案件是如何裁判的？正在采取哪些措施提高妇女的认识和鼓励她们针对歧视寻求补救？</w:t>
      </w:r>
    </w:p>
    <w:p w:rsidR="00C510C2" w:rsidRPr="00C510C2" w:rsidRDefault="00C510C2" w:rsidP="00C510C2">
      <w:pPr>
        <w:pStyle w:val="SingleTxt"/>
        <w:rPr>
          <w:rFonts w:ascii="SimHei" w:eastAsia="SimHei"/>
          <w:color w:val="FF0000"/>
        </w:rPr>
      </w:pPr>
      <w:r w:rsidRPr="00C510C2">
        <w:rPr>
          <w:rFonts w:ascii="SimHei" w:eastAsia="SimHei" w:hint="eastAsia"/>
          <w:color w:val="FF0000"/>
        </w:rPr>
        <w:t>提高妇女地位的国家机制</w:t>
      </w:r>
    </w:p>
    <w:p w:rsidR="00C510C2" w:rsidRPr="00C510C2" w:rsidRDefault="00C510C2" w:rsidP="00C510C2">
      <w:pPr>
        <w:pStyle w:val="SingleTxt"/>
      </w:pPr>
      <w:r>
        <w:rPr>
          <w:rFonts w:hint="eastAsia"/>
        </w:rPr>
        <w:t>7.</w:t>
      </w:r>
      <w:r>
        <w:rPr>
          <w:rFonts w:hint="eastAsia"/>
        </w:rPr>
        <w:tab/>
        <w:t>委员会现有的资料表明，由于财政和人力资源的缺乏以及公务员的资格水平低下，保障男女平等权利和机会的体制机制运转不畅，特别是在州一级。请提供国家和州一级可用资金的数据。还请提供关于现有服务、负责执行两性平等措施和政策的政府官员的人数和级别的统计数据，包括州一级的数据。</w:t>
      </w:r>
    </w:p>
    <w:p w:rsidR="00C510C2" w:rsidRDefault="00C510C2" w:rsidP="00C510C2">
      <w:pPr>
        <w:pStyle w:val="SingleTxt"/>
      </w:pPr>
      <w:r>
        <w:rPr>
          <w:rFonts w:hint="eastAsia"/>
        </w:rPr>
        <w:t>8.</w:t>
      </w:r>
      <w:r>
        <w:rPr>
          <w:rFonts w:hint="eastAsia"/>
        </w:rPr>
        <w:tab/>
        <w:t>缔约国的报告承认，尽管在确保不歧视妇女的立法和体制机制方面取得了进展，但事实上的平等尚未实现。是什么实际障碍妨碍了现实中妇女在与男子平等的基础上充分发展和行使其人权及基本自由？请说明对为实现男女平等而通过的法律和政策、特别是对《保障男女平等权利和机会法》、《2001-2005年改善妇女状况国家行动计划》和《2006-2010年乌克兰社会保障两性平等国家方案》进行监测和评估的进程。请提供资料，说明这些法律、计划和方案在两性平等领域中产生了哪些实际的量变和质变。</w:t>
      </w:r>
    </w:p>
    <w:p w:rsidR="00C510C2" w:rsidRPr="00C510C2" w:rsidRDefault="00C510C2" w:rsidP="00C510C2">
      <w:pPr>
        <w:pStyle w:val="SingleTxt"/>
        <w:rPr>
          <w:rFonts w:ascii="SimHei" w:eastAsia="SimHei" w:hint="eastAsia"/>
          <w:color w:val="FF0000"/>
        </w:rPr>
      </w:pPr>
      <w:r w:rsidRPr="00C510C2">
        <w:rPr>
          <w:rFonts w:ascii="SimHei" w:eastAsia="SimHei" w:hint="eastAsia"/>
          <w:color w:val="FF0000"/>
        </w:rPr>
        <w:t xml:space="preserve">暂行特别措施 </w:t>
      </w:r>
    </w:p>
    <w:p w:rsidR="00C510C2" w:rsidRDefault="00C510C2" w:rsidP="00C510C2">
      <w:pPr>
        <w:pStyle w:val="SingleTxt"/>
      </w:pPr>
      <w:r>
        <w:rPr>
          <w:rFonts w:hint="eastAsia"/>
        </w:rPr>
        <w:t>9.</w:t>
      </w:r>
      <w:r>
        <w:rPr>
          <w:rFonts w:hint="eastAsia"/>
        </w:rPr>
        <w:tab/>
        <w:t>委员会的现有资料表明，妇女在决策、在州、区国家行政机关、市议会和执行委员会中的代表比例特别低。请说明为纠正这种情况已经采取了或正在采取哪些措施。缔约国如何确保在制订方案和行动计划时将性别平等主流化这一问题列入地方议会、州区两级国家行政部门委员会的议程？</w:t>
      </w:r>
    </w:p>
    <w:p w:rsidR="00C510C2" w:rsidRPr="00C510C2" w:rsidRDefault="00C510C2" w:rsidP="00C510C2">
      <w:pPr>
        <w:pStyle w:val="SingleTxt"/>
      </w:pPr>
      <w:r>
        <w:rPr>
          <w:rFonts w:hint="eastAsia"/>
        </w:rPr>
        <w:t>10.</w:t>
      </w:r>
      <w:r>
        <w:rPr>
          <w:rFonts w:hint="eastAsia"/>
        </w:rPr>
        <w:tab/>
        <w:t>缔约国在报告中承认，委员会有关采取措施、尤其是按照《公约》第4条第1款的规定采取暂行特别措施增加妇女在民选和任命机构中代表性的建议没有得到执行，原因是议会拒绝了关于配额的提案。缔约国在报告中还承认，最近当选的议员中只有8.4%是女性。请说明缔约国准备采取哪些措施确保妇女与男子一道平等参与政治和公共生活。</w:t>
      </w:r>
    </w:p>
    <w:p w:rsidR="00C510C2" w:rsidRDefault="00C510C2" w:rsidP="00C510C2">
      <w:pPr>
        <w:pStyle w:val="SingleTxt"/>
      </w:pPr>
      <w:r>
        <w:rPr>
          <w:rFonts w:hint="eastAsia"/>
        </w:rPr>
        <w:t>11.</w:t>
      </w:r>
      <w:r>
        <w:rPr>
          <w:rFonts w:hint="eastAsia"/>
        </w:rPr>
        <w:tab/>
        <w:t>报告表明，在外交部各驻外机构中担任正式职务的妇女仅占3%，乌克兰派往各国际组织的代表团中没有妇女代表。请说明是否有方案和政策鼓励妇女进入外交部门或申请国际机构的职位？缔约国是否准备采取暂行特别措施加速实现男女平等的国际代表权和参与权？在组建官方代表团的过程中是否考虑到了性别平衡？</w:t>
      </w:r>
    </w:p>
    <w:p w:rsidR="00C510C2" w:rsidRPr="00C510C2" w:rsidRDefault="00C510C2" w:rsidP="00C510C2">
      <w:pPr>
        <w:pStyle w:val="SingleTxt"/>
        <w:rPr>
          <w:rFonts w:ascii="SimHei" w:eastAsia="SimHei" w:hint="eastAsia"/>
          <w:color w:val="FF0000"/>
        </w:rPr>
      </w:pPr>
      <w:r w:rsidRPr="00C510C2">
        <w:rPr>
          <w:rFonts w:ascii="SimHei" w:eastAsia="SimHei" w:hint="eastAsia"/>
          <w:color w:val="FF0000"/>
        </w:rPr>
        <w:t xml:space="preserve">定型观念 </w:t>
      </w:r>
    </w:p>
    <w:p w:rsidR="00C510C2" w:rsidRDefault="00C510C2" w:rsidP="00C510C2">
      <w:pPr>
        <w:pStyle w:val="SingleTxt"/>
      </w:pPr>
      <w:r>
        <w:rPr>
          <w:rFonts w:hint="eastAsia"/>
        </w:rPr>
        <w:t>12.</w:t>
      </w:r>
      <w:r>
        <w:tab/>
      </w:r>
      <w:r>
        <w:rPr>
          <w:rFonts w:hint="eastAsia"/>
        </w:rPr>
        <w:t>报告承认，定型观念继续存在，而且在政治代表、决策和经济活动方面表现尤为强烈。请说明是否对缔约国采取的各种举措进行了影响评估以确定这方面主要困难，并说明，在委员会提出建议（第296段）后，是否准备采取任何补救行动以消除仍然存在而且妨碍男女平等的重男轻女态度和定型观念。</w:t>
      </w:r>
    </w:p>
    <w:p w:rsidR="00C510C2" w:rsidRPr="00C510C2" w:rsidRDefault="00C510C2" w:rsidP="00C510C2">
      <w:pPr>
        <w:pStyle w:val="SingleTxt"/>
      </w:pPr>
      <w:r>
        <w:rPr>
          <w:rFonts w:hint="eastAsia"/>
        </w:rPr>
        <w:t>13.</w:t>
      </w:r>
      <w:r>
        <w:tab/>
      </w:r>
      <w:r>
        <w:rPr>
          <w:rFonts w:hint="eastAsia"/>
        </w:rPr>
        <w:t>请说明是否有一个处理暴力和性冒犯电影、杂志以及性别歧视广告的程序？按照委员会前次结论性意见第296段，采取了哪些措施鼓励大众媒体推动关于男女派定角色和任务的文化变革？</w:t>
      </w:r>
    </w:p>
    <w:p w:rsidR="00C510C2" w:rsidRPr="00C510C2" w:rsidRDefault="00C510C2" w:rsidP="00C510C2">
      <w:pPr>
        <w:pStyle w:val="SingleTxt"/>
        <w:rPr>
          <w:rFonts w:ascii="SimHei" w:eastAsia="SimHei"/>
          <w:color w:val="FF0000"/>
        </w:rPr>
      </w:pPr>
      <w:r w:rsidRPr="00C510C2">
        <w:rPr>
          <w:rFonts w:ascii="SimHei" w:eastAsia="SimHei" w:hint="eastAsia"/>
          <w:color w:val="FF0000"/>
        </w:rPr>
        <w:t>暴力侵害妇女行为</w:t>
      </w:r>
    </w:p>
    <w:p w:rsidR="00C510C2" w:rsidRDefault="00C510C2" w:rsidP="00C510C2">
      <w:pPr>
        <w:pStyle w:val="SingleTxt"/>
      </w:pPr>
      <w:r>
        <w:rPr>
          <w:rFonts w:hint="eastAsia"/>
        </w:rPr>
        <w:t>14.</w:t>
      </w:r>
      <w:r>
        <w:tab/>
      </w:r>
      <w:r>
        <w:rPr>
          <w:rFonts w:hint="eastAsia"/>
        </w:rPr>
        <w:t>请提供资料说明缔约国在以下方面采取的具体措施：调查所有暴力侵害妇女的事件，不论这种事件发生在家庭、工作场所、社区还是社会之中；起诉和惩罚犯罪人；对受害者给予适当补偿和支援，并为遭受暴力行为的妇女提供适当的危机中心/庇护所/安全住所以及咨询。请说明有关暴力侵害妇女行为的现行法律和规范是否把针对妇女的一切暴力、包括家庭暴力和婚内强奸都定为犯罪？请提供数据说明家庭暴力的发生率。有没有开展宣传运动使妇女了解自己权利和现有矫正渠道？实施了什么措施和方案培训执法官员、警务人员、司法、医疗和社会工作者以使他们认识到一切形式暴力侵害妇女的行为、包括家庭暴力的原因和后果？正在作出什么努力以确保政府预算为消除暴力侵害妇女行为的有关活动拨出足够资源？</w:t>
      </w:r>
    </w:p>
    <w:p w:rsidR="00C510C2" w:rsidRDefault="00C510C2" w:rsidP="00C510C2">
      <w:pPr>
        <w:pStyle w:val="SingleTxt"/>
      </w:pPr>
      <w:r>
        <w:rPr>
          <w:rFonts w:hint="eastAsia"/>
        </w:rPr>
        <w:t>15.</w:t>
      </w:r>
      <w:r>
        <w:tab/>
      </w:r>
      <w:r>
        <w:rPr>
          <w:rFonts w:hint="eastAsia"/>
        </w:rPr>
        <w:t>正如关于乌克兰的普遍定期审查（A/HRC/WG.6/2/UKR/3，第18段）所述，2007年向议会提出了一项关于修正2002年《防止家庭暴力法》的法案，包括取消“受害者行为”这一概念。这个概念被批评为允许犯罪人以受害者的招惹行为作借口逃避起诉。请说明这一法案是否已经颁布。</w:t>
      </w:r>
    </w:p>
    <w:p w:rsidR="00C510C2" w:rsidRPr="00C510C2" w:rsidRDefault="00C510C2" w:rsidP="00C510C2">
      <w:pPr>
        <w:pStyle w:val="SingleTxt"/>
      </w:pPr>
      <w:r>
        <w:rPr>
          <w:rFonts w:hint="eastAsia"/>
        </w:rPr>
        <w:t>16.</w:t>
      </w:r>
      <w:r>
        <w:tab/>
      </w:r>
      <w:r>
        <w:rPr>
          <w:rFonts w:hint="eastAsia"/>
        </w:rPr>
        <w:t>报告指出，性骚扰为国家法律所禁止，但它并未提供资料说明妇女是否有可能就工作场所的性骚扰提出投诉以及这一禁令在实践中得到遵守的情况。请提供资料和数据说明妇女提出的性骚扰案件以及相关制裁的情况。</w:t>
      </w:r>
    </w:p>
    <w:p w:rsidR="00C510C2" w:rsidRPr="00C510C2" w:rsidRDefault="00C510C2" w:rsidP="00C510C2">
      <w:pPr>
        <w:pStyle w:val="SingleTxt"/>
        <w:rPr>
          <w:rFonts w:ascii="SimHei" w:eastAsia="SimHei" w:hint="eastAsia"/>
          <w:color w:val="FF0000"/>
        </w:rPr>
      </w:pPr>
      <w:r w:rsidRPr="00C510C2">
        <w:rPr>
          <w:rFonts w:ascii="SimHei" w:eastAsia="SimHei" w:hint="eastAsia"/>
          <w:color w:val="FF0000"/>
        </w:rPr>
        <w:t xml:space="preserve">贩运和利用卖淫营利 </w:t>
      </w:r>
    </w:p>
    <w:p w:rsidR="00C510C2" w:rsidRDefault="00C510C2" w:rsidP="00C510C2">
      <w:pPr>
        <w:pStyle w:val="SingleTxt"/>
      </w:pPr>
      <w:r>
        <w:rPr>
          <w:rFonts w:hint="eastAsia"/>
        </w:rPr>
        <w:t>17.</w:t>
      </w:r>
      <w:r>
        <w:tab/>
      </w:r>
      <w:r>
        <w:rPr>
          <w:rFonts w:hint="eastAsia"/>
        </w:rPr>
        <w:t>报告提到了一系列防止和打击贩运妇女及女童的措施，但没有提供关于综合协调政策的资料。请说明各公共部门和单位、包括州一级部门和单位之间在处理贩运问题方面的协调政策。</w:t>
      </w:r>
    </w:p>
    <w:p w:rsidR="00C510C2" w:rsidRDefault="00C510C2" w:rsidP="00C510C2">
      <w:pPr>
        <w:pStyle w:val="SingleTxt"/>
        <w:rPr>
          <w:rFonts w:hint="eastAsia"/>
        </w:rPr>
      </w:pPr>
      <w:r>
        <w:rPr>
          <w:rFonts w:hint="eastAsia"/>
        </w:rPr>
        <w:t>18.</w:t>
      </w:r>
      <w:r>
        <w:tab/>
      </w:r>
      <w:r>
        <w:rPr>
          <w:rFonts w:hint="eastAsia"/>
        </w:rPr>
        <w:t>报告表明，过去几年中发现并阻断了180多条贩运渠道，逮捕了300余名组织和运作的人员。请提供最新的详细统计资料，说明包括未成年人在内的受害者人数，对此类犯罪人进行投诉、调查、起诉、定罪和惩罚的情况，以及收到的赔偿。</w:t>
      </w:r>
    </w:p>
    <w:p w:rsidR="00C510C2" w:rsidRDefault="00C510C2" w:rsidP="00C510C2">
      <w:pPr>
        <w:pStyle w:val="SingleTxt"/>
        <w:rPr>
          <w:rFonts w:hint="eastAsia"/>
        </w:rPr>
      </w:pPr>
      <w:r>
        <w:rPr>
          <w:rFonts w:hint="eastAsia"/>
        </w:rPr>
        <w:t>19.</w:t>
      </w:r>
      <w:r w:rsidR="00847E80">
        <w:tab/>
      </w:r>
      <w:r>
        <w:rPr>
          <w:rFonts w:hint="eastAsia"/>
        </w:rPr>
        <w:t>请说明：最新通过的防止和打击贩运的法律规定，包括保护贩运活动受害者的规定；为执行国家方案和政策而拨款的数据；处理贩运活动受害者的执法官员的培训和提高认识项目；发展和加强国际合作、包括与独立国家联合体合作打击贩运并防止执法队伍腐败的步骤。正在采取哪些措施解决助长贩运妇女及女童卖淫的根本因素，包括外部因素？</w:t>
      </w:r>
    </w:p>
    <w:p w:rsidR="00C510C2" w:rsidRDefault="00C510C2" w:rsidP="00C510C2">
      <w:pPr>
        <w:pStyle w:val="SingleTxt"/>
        <w:rPr>
          <w:rFonts w:hint="eastAsia"/>
        </w:rPr>
      </w:pPr>
      <w:r>
        <w:rPr>
          <w:rFonts w:hint="eastAsia"/>
        </w:rPr>
        <w:t>20.</w:t>
      </w:r>
      <w:r w:rsidR="00847E80">
        <w:tab/>
      </w:r>
      <w:r>
        <w:rPr>
          <w:rFonts w:hint="eastAsia"/>
        </w:rPr>
        <w:t>报告指出，已经为受害者设立了一些重返社会和康复中心。请提供资料和数据，对有关活动和所提供咨询的数量以及所进行的任何评估的结果加以说明。</w:t>
      </w:r>
    </w:p>
    <w:p w:rsidR="00C510C2" w:rsidRDefault="00C510C2" w:rsidP="00C510C2">
      <w:pPr>
        <w:pStyle w:val="SingleTxt"/>
        <w:rPr>
          <w:rFonts w:hint="eastAsia"/>
        </w:rPr>
      </w:pPr>
      <w:r>
        <w:rPr>
          <w:rFonts w:hint="eastAsia"/>
        </w:rPr>
        <w:t>21.</w:t>
      </w:r>
      <w:r w:rsidR="00847E80">
        <w:tab/>
      </w:r>
      <w:r>
        <w:rPr>
          <w:rFonts w:hint="eastAsia"/>
        </w:rPr>
        <w:t xml:space="preserve">是否实施了通过职业培训、法律援助和保密医护等办法对商业性性剥削受害者进行治疗和使其重新融入社会的方案？如果是的话，正在为这一目的拨付什么资源？是否有具体的社会方案帮助那些参与卖淫但希望摆脱卖淫的妇女？是否有具体的保健方案，包括以治疗和预防艾滋病毒/艾滋病为重点的方案？ </w:t>
      </w:r>
    </w:p>
    <w:p w:rsidR="00C510C2" w:rsidRDefault="00C510C2" w:rsidP="00C510C2">
      <w:pPr>
        <w:pStyle w:val="SingleTxt"/>
        <w:rPr>
          <w:rFonts w:hint="eastAsia"/>
        </w:rPr>
      </w:pPr>
      <w:r>
        <w:rPr>
          <w:rFonts w:hint="eastAsia"/>
        </w:rPr>
        <w:t>22.</w:t>
      </w:r>
      <w:r w:rsidR="00847E80">
        <w:tab/>
      </w:r>
      <w:r>
        <w:rPr>
          <w:rFonts w:hint="eastAsia"/>
        </w:rPr>
        <w:t>有没有实施法律和政策以保护妇女和女童免遭实际上是从事贩运的就业机构之害？有没有关于婚姻机构、特别是那些参与安排同外国公民结婚的婚姻机构的法律和政策？</w:t>
      </w:r>
    </w:p>
    <w:p w:rsidR="00C510C2" w:rsidRPr="00847E80" w:rsidRDefault="00C510C2" w:rsidP="00C510C2">
      <w:pPr>
        <w:pStyle w:val="SingleTxt"/>
        <w:rPr>
          <w:rFonts w:ascii="SimHei" w:eastAsia="SimHei" w:hint="eastAsia"/>
          <w:color w:val="FF0000"/>
        </w:rPr>
      </w:pPr>
      <w:r w:rsidRPr="00847E80">
        <w:rPr>
          <w:rFonts w:ascii="SimHei" w:eastAsia="SimHei" w:hint="eastAsia"/>
          <w:color w:val="FF0000"/>
        </w:rPr>
        <w:t xml:space="preserve">教育 </w:t>
      </w:r>
    </w:p>
    <w:p w:rsidR="00C510C2" w:rsidRDefault="00847E80" w:rsidP="00C510C2">
      <w:pPr>
        <w:pStyle w:val="SingleTxt"/>
      </w:pPr>
      <w:r>
        <w:rPr>
          <w:rFonts w:hint="eastAsia"/>
        </w:rPr>
        <w:t>23.</w:t>
      </w:r>
      <w:r>
        <w:tab/>
      </w:r>
      <w:r w:rsidR="00C510C2">
        <w:rPr>
          <w:rFonts w:hint="eastAsia"/>
        </w:rPr>
        <w:t>虽然平等受教育的机会得到法律保障，但报告指出，教育系统中存在着隐性性别歧视，教材和教科书中体现男女在家庭中和社会上的定型</w:t>
      </w:r>
      <w:r w:rsidR="00FA43AC">
        <w:rPr>
          <w:rFonts w:hint="eastAsia"/>
        </w:rPr>
        <w:t>角色，存在赞成对男女儿童采取不同教育方法的趋势，</w:t>
      </w:r>
      <w:r w:rsidR="00C510C2">
        <w:rPr>
          <w:rFonts w:hint="eastAsia"/>
        </w:rPr>
        <w:t>这一切都可能在她们今后的生活和职业中造成进一步的不平等和歧视。请提供资料说明在审查教材、教学大纲和教科书以纳入两性平等观念和其中的人权准则并在教育中消除基于性别的歧视方面所采取</w:t>
      </w:r>
      <w:r w:rsidR="00A24CD9">
        <w:rPr>
          <w:rFonts w:hint="eastAsia"/>
        </w:rPr>
        <w:t>的步骤。</w:t>
      </w:r>
    </w:p>
    <w:p w:rsidR="00C510C2" w:rsidRDefault="00847E80" w:rsidP="00C510C2">
      <w:pPr>
        <w:pStyle w:val="SingleTxt"/>
        <w:rPr>
          <w:rFonts w:hint="eastAsia"/>
        </w:rPr>
      </w:pPr>
      <w:r>
        <w:rPr>
          <w:rFonts w:hint="eastAsia"/>
        </w:rPr>
        <w:t>24.</w:t>
      </w:r>
      <w:r>
        <w:tab/>
      </w:r>
      <w:r w:rsidR="00C510C2">
        <w:rPr>
          <w:rFonts w:hint="eastAsia"/>
        </w:rPr>
        <w:t xml:space="preserve">委员会现有的资料表明，由于辅导费高昂，城乡中学之间教育水平存在显著差异，教育转为商业化似乎不利于妇女、尤其是来自农村地区的妇女进入有声望的专业。请说明为解决这种情况已采取了哪些措施。 </w:t>
      </w:r>
    </w:p>
    <w:p w:rsidR="00C510C2" w:rsidRPr="00847E80" w:rsidRDefault="00A24CD9" w:rsidP="00C510C2">
      <w:pPr>
        <w:pStyle w:val="SingleTxt"/>
        <w:rPr>
          <w:rFonts w:ascii="SimHei" w:eastAsia="SimHei" w:hint="eastAsia"/>
          <w:color w:val="FF0000"/>
        </w:rPr>
      </w:pPr>
      <w:r>
        <w:rPr>
          <w:rFonts w:ascii="SimHei" w:eastAsia="SimHei"/>
          <w:color w:val="FF0000"/>
        </w:rPr>
        <w:br w:type="page"/>
      </w:r>
      <w:r w:rsidR="00C510C2" w:rsidRPr="00847E80">
        <w:rPr>
          <w:rFonts w:ascii="SimHei" w:eastAsia="SimHei" w:hint="eastAsia"/>
          <w:color w:val="FF0000"/>
        </w:rPr>
        <w:t xml:space="preserve">就业 </w:t>
      </w:r>
    </w:p>
    <w:p w:rsidR="00C510C2" w:rsidRPr="00C510C2" w:rsidRDefault="00847E80" w:rsidP="00C510C2">
      <w:pPr>
        <w:pStyle w:val="SingleTxt"/>
        <w:rPr>
          <w:rFonts w:hint="eastAsia"/>
        </w:rPr>
      </w:pPr>
      <w:r>
        <w:rPr>
          <w:rFonts w:hint="eastAsia"/>
        </w:rPr>
        <w:t>25.</w:t>
      </w:r>
      <w:r>
        <w:tab/>
      </w:r>
      <w:r w:rsidR="00C510C2">
        <w:rPr>
          <w:rFonts w:hint="eastAsia"/>
        </w:rPr>
        <w:t xml:space="preserve">缔约国的报告表明，男女在劳动力市场上的状况仍不平等，妇女失业率依然较高，男女工资有重大差别，公私雇主仍然持有歧视态度，包括招聘做法中的歧视。请说明缔约国准备实施什么措施和制裁办法消除雇主的歧视性做法，以确保充分遵守《公约》的各项规定，保障男女都真正享受同等工作和同值工作获得同等报酬的权利？ </w:t>
      </w:r>
    </w:p>
    <w:p w:rsidR="00C510C2" w:rsidRDefault="00847E80" w:rsidP="00C510C2">
      <w:pPr>
        <w:pStyle w:val="SingleTxt"/>
        <w:rPr>
          <w:rFonts w:hint="eastAsia"/>
        </w:rPr>
      </w:pPr>
      <w:r>
        <w:rPr>
          <w:rFonts w:hint="eastAsia"/>
        </w:rPr>
        <w:t>26.</w:t>
      </w:r>
      <w:r>
        <w:tab/>
      </w:r>
      <w:r w:rsidR="00C510C2">
        <w:rPr>
          <w:rFonts w:hint="eastAsia"/>
        </w:rPr>
        <w:t xml:space="preserve">报告显示，法律禁止以产假为由解雇妇女，而且国家立法中规定的孕产妇特权超过了国际标准。在公私领域中如何监测对这些权利的享受？对违反这些规定的行为有什么制裁或惩罚措施？援引这些规定的频度如何？ </w:t>
      </w:r>
    </w:p>
    <w:p w:rsidR="00C510C2" w:rsidRDefault="00C510C2" w:rsidP="00C510C2">
      <w:pPr>
        <w:pStyle w:val="SingleTxt"/>
        <w:rPr>
          <w:rFonts w:hint="eastAsia"/>
        </w:rPr>
      </w:pPr>
      <w:r>
        <w:rPr>
          <w:rFonts w:hint="eastAsia"/>
        </w:rPr>
        <w:t>27.</w:t>
      </w:r>
      <w:r w:rsidR="00847E80">
        <w:tab/>
      </w:r>
      <w:r>
        <w:rPr>
          <w:rFonts w:hint="eastAsia"/>
        </w:rPr>
        <w:t xml:space="preserve">报告承认，无论学历资格如何，妇女的就业机会有限，而且在所有就业领域，男性管理人员的比例都较高。是否准备按照委员会前次结论性意见的建议采取暂行特别措施？正在采取哪些措施消除职业隔离并推动妇女平等参与高技能工作和担任高级管理职位？此外，请说明在协调家庭及职业责任以及在男女共同分担家务和家庭工作方面采取的步骤。 </w:t>
      </w:r>
    </w:p>
    <w:p w:rsidR="00C510C2" w:rsidRPr="00847E80" w:rsidRDefault="00C510C2" w:rsidP="00C510C2">
      <w:pPr>
        <w:pStyle w:val="SingleTxt"/>
        <w:rPr>
          <w:rFonts w:ascii="SimHei" w:eastAsia="SimHei" w:hint="eastAsia"/>
          <w:color w:val="FF0000"/>
        </w:rPr>
      </w:pPr>
      <w:r w:rsidRPr="00847E80">
        <w:rPr>
          <w:rFonts w:ascii="SimHei" w:eastAsia="SimHei" w:hint="eastAsia"/>
          <w:color w:val="FF0000"/>
        </w:rPr>
        <w:t>保健</w:t>
      </w:r>
    </w:p>
    <w:p w:rsidR="00C510C2" w:rsidRPr="00C510C2" w:rsidRDefault="00847E80" w:rsidP="00C510C2">
      <w:pPr>
        <w:pStyle w:val="SingleTxt"/>
        <w:rPr>
          <w:rFonts w:hint="eastAsia"/>
        </w:rPr>
      </w:pPr>
      <w:r>
        <w:rPr>
          <w:rFonts w:hint="eastAsia"/>
        </w:rPr>
        <w:t>28.</w:t>
      </w:r>
      <w:r>
        <w:tab/>
      </w:r>
      <w:r w:rsidR="00C510C2">
        <w:rPr>
          <w:rFonts w:hint="eastAsia"/>
        </w:rPr>
        <w:t xml:space="preserve">委员会在最近一次结论性意见中，提请缔约国注意其关于妇女与健康的第24号一般性建议，并建议全面研究妇女的具体保健需求，包括她们的生殖保健需求。该建议是否已得到执行，如果是的话，研究成果如何？ </w:t>
      </w:r>
    </w:p>
    <w:p w:rsidR="00C510C2" w:rsidRDefault="00847E80" w:rsidP="00C510C2">
      <w:pPr>
        <w:pStyle w:val="SingleTxt"/>
        <w:rPr>
          <w:rFonts w:hint="eastAsia"/>
        </w:rPr>
      </w:pPr>
      <w:r>
        <w:rPr>
          <w:rFonts w:hint="eastAsia"/>
        </w:rPr>
        <w:t>29.</w:t>
      </w:r>
      <w:r>
        <w:tab/>
      </w:r>
      <w:r w:rsidR="00C510C2">
        <w:rPr>
          <w:rFonts w:hint="eastAsia"/>
        </w:rPr>
        <w:t xml:space="preserve">正如报告所述，身心疲劳是女性死亡的主要原因。请提供关于这种情况以及缔约国为解决这一问题所采取步骤的资料和数据。同样，考虑到死亡率上升与滥用酒精直接相关，还请提供资料，说明根据委员会在上一次结论性意见中（第290段）所提要求，为减少妇女的烟草消费和酗酒而采取的措施。  </w:t>
      </w:r>
    </w:p>
    <w:p w:rsidR="00C510C2" w:rsidRDefault="00847E80" w:rsidP="00C510C2">
      <w:pPr>
        <w:pStyle w:val="SingleTxt"/>
        <w:rPr>
          <w:rFonts w:hint="eastAsia"/>
        </w:rPr>
      </w:pPr>
      <w:r>
        <w:rPr>
          <w:rFonts w:hint="eastAsia"/>
        </w:rPr>
        <w:t>30.</w:t>
      </w:r>
      <w:r>
        <w:tab/>
      </w:r>
      <w:r w:rsidR="00C510C2">
        <w:rPr>
          <w:rFonts w:hint="eastAsia"/>
        </w:rPr>
        <w:t>委员会的现有资料表明，乳腺癌的年死亡率仍然很高，但获得免费植入的程序却手续繁复而且不保密。请提供按年龄分列的乳腺癌病例数据，并说明简化接受免费植入的所需程序而采取的措施，并说明这个程序是否保密。</w:t>
      </w:r>
    </w:p>
    <w:p w:rsidR="00C510C2" w:rsidRPr="00847E80" w:rsidRDefault="00C510C2" w:rsidP="00C510C2">
      <w:pPr>
        <w:pStyle w:val="SingleTxt"/>
        <w:rPr>
          <w:rFonts w:ascii="SimHei" w:eastAsia="SimHei" w:hint="eastAsia"/>
          <w:color w:val="FF0000"/>
        </w:rPr>
      </w:pPr>
      <w:r w:rsidRPr="00847E80">
        <w:rPr>
          <w:rFonts w:ascii="SimHei" w:eastAsia="SimHei" w:hint="eastAsia"/>
          <w:color w:val="FF0000"/>
        </w:rPr>
        <w:t xml:space="preserve">少数民族妇女和弱势妇女群体 </w:t>
      </w:r>
    </w:p>
    <w:p w:rsidR="00C510C2" w:rsidRDefault="00847E80" w:rsidP="00C510C2">
      <w:pPr>
        <w:pStyle w:val="SingleTxt"/>
        <w:rPr>
          <w:rFonts w:hint="eastAsia"/>
        </w:rPr>
      </w:pPr>
      <w:r>
        <w:rPr>
          <w:rFonts w:hint="eastAsia"/>
        </w:rPr>
        <w:t>31.</w:t>
      </w:r>
      <w:r>
        <w:tab/>
      </w:r>
      <w:r w:rsidR="00C510C2">
        <w:rPr>
          <w:rFonts w:hint="eastAsia"/>
        </w:rPr>
        <w:t>请提供资料说明老年妇女、特别是农村地区老年妇女的处境，说明外国女童和妇女、少数民族、特别是罗姆人妇女和残疾妇女的处境，包括就业、社会保障、教育、住房和保健方面的情况。考虑到这些弱势群体的特殊情况和需要，已落实了哪些一般性或针对性的措施。请提供详细资料，说明正在向她们提供人权教育的一般情况，特别是两性平等教育的情况。</w:t>
      </w:r>
    </w:p>
    <w:p w:rsidR="00C510C2" w:rsidRPr="00847E80" w:rsidRDefault="005626DB" w:rsidP="00C510C2">
      <w:pPr>
        <w:pStyle w:val="SingleTxt"/>
        <w:rPr>
          <w:rFonts w:ascii="SimHei" w:eastAsia="SimHei" w:hint="eastAsia"/>
          <w:color w:val="FF0000"/>
        </w:rPr>
      </w:pPr>
      <w:r>
        <w:rPr>
          <w:rFonts w:ascii="SimHei" w:eastAsia="SimHei"/>
          <w:color w:val="FF0000"/>
        </w:rPr>
        <w:br w:type="page"/>
      </w:r>
      <w:r w:rsidR="00C510C2" w:rsidRPr="00847E80">
        <w:rPr>
          <w:rFonts w:ascii="SimHei" w:eastAsia="SimHei" w:hint="eastAsia"/>
          <w:color w:val="FF0000"/>
        </w:rPr>
        <w:t>第20条第1款的修正案</w:t>
      </w:r>
    </w:p>
    <w:p w:rsidR="00EA31C3" w:rsidRDefault="00847E80" w:rsidP="00C510C2">
      <w:pPr>
        <w:pStyle w:val="SingleTxt"/>
        <w:rPr>
          <w:rFonts w:hint="eastAsia"/>
        </w:rPr>
      </w:pPr>
      <w:r>
        <w:rPr>
          <w:rFonts w:hint="eastAsia"/>
        </w:rPr>
        <w:t>32.</w:t>
      </w:r>
      <w:r>
        <w:tab/>
      </w:r>
      <w:r w:rsidR="00C510C2">
        <w:rPr>
          <w:rFonts w:hint="eastAsia"/>
        </w:rPr>
        <w:t>请说明在接受对《公约》关于委员会会议时间的第20条第1款的修正案方面取得的进展。</w:t>
      </w:r>
    </w:p>
    <w:p w:rsidR="00C510C2" w:rsidRPr="00A24CD9" w:rsidRDefault="00A24CD9" w:rsidP="00A24CD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510C2" w:rsidRPr="00A24CD9" w:rsidSect="00F6527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21T21:47:00Z" w:initials="Start">
    <w:p w:rsidR="00C47457" w:rsidRDefault="00C4745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NO&gt;&gt;N0939150C&lt;&lt;ODS JOB NO&gt;&gt;</w:t>
      </w:r>
    </w:p>
    <w:p w:rsidR="00C47457" w:rsidRDefault="00C47457">
      <w:pPr>
        <w:pStyle w:val="CommentText"/>
      </w:pPr>
      <w:r>
        <w:t>&lt;&lt;ODS DOC SYMBOL1&gt;&gt;CEDAW/C/UKR/Q/7&lt;&lt;ODS DOC SYMBOL1&gt;&gt;</w:t>
      </w:r>
    </w:p>
    <w:p w:rsidR="00C47457" w:rsidRDefault="00C474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2A8" w:rsidRDefault="00D152A8">
      <w:r>
        <w:separator/>
      </w:r>
    </w:p>
  </w:endnote>
  <w:endnote w:type="continuationSeparator" w:id="0">
    <w:p w:rsidR="00D152A8" w:rsidRDefault="00D15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457" w:rsidTr="00F65275">
      <w:tblPrEx>
        <w:tblCellMar>
          <w:top w:w="0" w:type="dxa"/>
          <w:bottom w:w="0" w:type="dxa"/>
        </w:tblCellMar>
      </w:tblPrEx>
      <w:tc>
        <w:tcPr>
          <w:tcW w:w="5033" w:type="dxa"/>
          <w:shd w:val="clear" w:color="auto" w:fill="auto"/>
        </w:tcPr>
        <w:p w:rsidR="00C47457" w:rsidRPr="00F65275" w:rsidRDefault="00C47457" w:rsidP="00F652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26DB">
            <w:rPr>
              <w:b w:val="0"/>
              <w:w w:val="103"/>
              <w:sz w:val="14"/>
            </w:rPr>
            <w:t>09-39150 (C)</w:t>
          </w:r>
          <w:r>
            <w:rPr>
              <w:b w:val="0"/>
              <w:w w:val="103"/>
              <w:sz w:val="14"/>
            </w:rPr>
            <w:fldChar w:fldCharType="end"/>
          </w:r>
        </w:p>
      </w:tc>
      <w:tc>
        <w:tcPr>
          <w:tcW w:w="5033" w:type="dxa"/>
          <w:shd w:val="clear" w:color="auto" w:fill="auto"/>
        </w:tcPr>
        <w:p w:rsidR="00C47457" w:rsidRPr="00F65275" w:rsidRDefault="00C47457" w:rsidP="00F6527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626DB">
            <w:rPr>
              <w:w w:val="103"/>
              <w:sz w:val="17"/>
            </w:rPr>
            <w:t>6</w:t>
          </w:r>
          <w:r>
            <w:rPr>
              <w:w w:val="103"/>
              <w:sz w:val="17"/>
            </w:rPr>
            <w:fldChar w:fldCharType="end"/>
          </w:r>
        </w:p>
      </w:tc>
    </w:tr>
  </w:tbl>
  <w:p w:rsidR="00C47457" w:rsidRPr="00F65275" w:rsidRDefault="00C47457" w:rsidP="00F652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457" w:rsidTr="00F65275">
      <w:tblPrEx>
        <w:tblCellMar>
          <w:top w:w="0" w:type="dxa"/>
          <w:bottom w:w="0" w:type="dxa"/>
        </w:tblCellMar>
      </w:tblPrEx>
      <w:tc>
        <w:tcPr>
          <w:tcW w:w="5033" w:type="dxa"/>
          <w:shd w:val="clear" w:color="auto" w:fill="auto"/>
        </w:tcPr>
        <w:p w:rsidR="00C47457" w:rsidRPr="00F65275" w:rsidRDefault="00C47457" w:rsidP="00F65275">
          <w:pPr>
            <w:pStyle w:val="Footer"/>
            <w:jc w:val="right"/>
          </w:pPr>
          <w:r>
            <w:fldChar w:fldCharType="begin"/>
          </w:r>
          <w:r>
            <w:instrText xml:space="preserve"> PAGE  \* MERGEFORMAT </w:instrText>
          </w:r>
          <w:r>
            <w:fldChar w:fldCharType="separate"/>
          </w:r>
          <w:r w:rsidR="005626DB">
            <w:t>5</w:t>
          </w:r>
          <w:r>
            <w:fldChar w:fldCharType="end"/>
          </w:r>
        </w:p>
      </w:tc>
      <w:tc>
        <w:tcPr>
          <w:tcW w:w="5033" w:type="dxa"/>
          <w:shd w:val="clear" w:color="auto" w:fill="auto"/>
        </w:tcPr>
        <w:p w:rsidR="00C47457" w:rsidRPr="00F65275" w:rsidRDefault="00C47457" w:rsidP="00F6527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26DB">
            <w:rPr>
              <w:b w:val="0"/>
              <w:w w:val="103"/>
              <w:sz w:val="14"/>
            </w:rPr>
            <w:t>09-39150 (C)</w:t>
          </w:r>
          <w:r>
            <w:rPr>
              <w:b w:val="0"/>
              <w:w w:val="103"/>
              <w:sz w:val="14"/>
            </w:rPr>
            <w:fldChar w:fldCharType="end"/>
          </w:r>
        </w:p>
      </w:tc>
    </w:tr>
  </w:tbl>
  <w:p w:rsidR="00C47457" w:rsidRPr="00F65275" w:rsidRDefault="00C47457" w:rsidP="00F652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47457">
      <w:tblPrEx>
        <w:tblCellMar>
          <w:top w:w="0" w:type="dxa"/>
          <w:bottom w:w="0" w:type="dxa"/>
        </w:tblCellMar>
      </w:tblPrEx>
      <w:tc>
        <w:tcPr>
          <w:tcW w:w="5033" w:type="dxa"/>
        </w:tcPr>
        <w:p w:rsidR="00C47457" w:rsidRDefault="00C47457" w:rsidP="00F6527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626DB">
            <w:rPr>
              <w:b w:val="0"/>
              <w:sz w:val="21"/>
            </w:rPr>
            <w:t>09-39150 (C)</w:t>
          </w:r>
          <w:r>
            <w:rPr>
              <w:b w:val="0"/>
              <w:sz w:val="21"/>
            </w:rPr>
            <w:fldChar w:fldCharType="end"/>
          </w:r>
          <w:r>
            <w:rPr>
              <w:b w:val="0"/>
              <w:sz w:val="21"/>
            </w:rPr>
            <w:t xml:space="preserve">    210709    210709</w:t>
          </w:r>
        </w:p>
        <w:p w:rsidR="00C47457" w:rsidRPr="00F65275" w:rsidRDefault="00C47457" w:rsidP="00F6527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5626DB">
            <w:rPr>
              <w:rFonts w:ascii="Barcode 3 of 9 by request" w:hAnsi="Barcode 3 of 9 by request"/>
              <w:sz w:val="24"/>
            </w:rPr>
            <w:t>*0939150*</w:t>
          </w:r>
          <w:r>
            <w:rPr>
              <w:rFonts w:ascii="Barcode 3 of 9 by request" w:hAnsi="Barcode 3 of 9 by request" w:hint="eastAsia"/>
              <w:sz w:val="24"/>
            </w:rPr>
            <w:fldChar w:fldCharType="end"/>
          </w:r>
        </w:p>
      </w:tc>
      <w:tc>
        <w:tcPr>
          <w:tcW w:w="5033" w:type="dxa"/>
        </w:tcPr>
        <w:p w:rsidR="00C47457" w:rsidRDefault="00C47457" w:rsidP="00F65275">
          <w:pPr>
            <w:pStyle w:val="Footer"/>
            <w:jc w:val="right"/>
            <w:rPr>
              <w:b w:val="0"/>
              <w:sz w:val="21"/>
            </w:rPr>
          </w:pPr>
          <w:r w:rsidRPr="00F6527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47457" w:rsidRPr="00F65275" w:rsidRDefault="00C47457" w:rsidP="00F65275">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2A8" w:rsidRDefault="00D152A8">
      <w:r>
        <w:separator/>
      </w:r>
    </w:p>
  </w:footnote>
  <w:footnote w:type="continuationSeparator" w:id="0">
    <w:p w:rsidR="00D152A8" w:rsidRDefault="00D15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7457" w:rsidTr="00F65275">
      <w:tblPrEx>
        <w:tblCellMar>
          <w:top w:w="0" w:type="dxa"/>
          <w:bottom w:w="0" w:type="dxa"/>
        </w:tblCellMar>
      </w:tblPrEx>
      <w:trPr>
        <w:trHeight w:hRule="exact" w:val="864"/>
      </w:trPr>
      <w:tc>
        <w:tcPr>
          <w:tcW w:w="4838" w:type="dxa"/>
          <w:shd w:val="clear" w:color="auto" w:fill="auto"/>
          <w:vAlign w:val="bottom"/>
        </w:tcPr>
        <w:p w:rsidR="00C47457" w:rsidRPr="00F65275" w:rsidRDefault="00C47457" w:rsidP="00F6527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626DB">
            <w:rPr>
              <w:b/>
              <w:sz w:val="17"/>
            </w:rPr>
            <w:t>CEDAW/C/UKR/Q/7</w:t>
          </w:r>
          <w:r>
            <w:rPr>
              <w:b/>
              <w:sz w:val="17"/>
            </w:rPr>
            <w:fldChar w:fldCharType="end"/>
          </w:r>
        </w:p>
      </w:tc>
      <w:tc>
        <w:tcPr>
          <w:tcW w:w="5033" w:type="dxa"/>
          <w:shd w:val="clear" w:color="auto" w:fill="auto"/>
          <w:vAlign w:val="bottom"/>
        </w:tcPr>
        <w:p w:rsidR="00C47457" w:rsidRDefault="00C47457" w:rsidP="00F65275">
          <w:pPr>
            <w:pStyle w:val="Header"/>
          </w:pPr>
        </w:p>
      </w:tc>
    </w:tr>
  </w:tbl>
  <w:p w:rsidR="00C47457" w:rsidRPr="00F65275" w:rsidRDefault="00C47457" w:rsidP="00F652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7457" w:rsidTr="00F65275">
      <w:tblPrEx>
        <w:tblCellMar>
          <w:top w:w="0" w:type="dxa"/>
          <w:bottom w:w="0" w:type="dxa"/>
        </w:tblCellMar>
      </w:tblPrEx>
      <w:trPr>
        <w:trHeight w:hRule="exact" w:val="864"/>
      </w:trPr>
      <w:tc>
        <w:tcPr>
          <w:tcW w:w="4838" w:type="dxa"/>
          <w:shd w:val="clear" w:color="auto" w:fill="auto"/>
          <w:vAlign w:val="bottom"/>
        </w:tcPr>
        <w:p w:rsidR="00C47457" w:rsidRDefault="00C47457" w:rsidP="00F65275">
          <w:pPr>
            <w:pStyle w:val="Header"/>
          </w:pPr>
        </w:p>
      </w:tc>
      <w:tc>
        <w:tcPr>
          <w:tcW w:w="5033" w:type="dxa"/>
          <w:shd w:val="clear" w:color="auto" w:fill="auto"/>
          <w:vAlign w:val="bottom"/>
        </w:tcPr>
        <w:p w:rsidR="00C47457" w:rsidRPr="00F65275" w:rsidRDefault="00C47457" w:rsidP="00F6527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626DB">
            <w:rPr>
              <w:b/>
              <w:sz w:val="17"/>
            </w:rPr>
            <w:t>CEDAW/C/UKR/Q/7</w:t>
          </w:r>
          <w:r>
            <w:rPr>
              <w:b/>
              <w:sz w:val="17"/>
            </w:rPr>
            <w:fldChar w:fldCharType="end"/>
          </w:r>
        </w:p>
      </w:tc>
    </w:tr>
  </w:tbl>
  <w:p w:rsidR="00C47457" w:rsidRPr="00F65275" w:rsidRDefault="00C47457" w:rsidP="00F652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47457" w:rsidTr="00F652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7457" w:rsidRDefault="00C47457" w:rsidP="00F65275">
          <w:pPr>
            <w:pStyle w:val="Header"/>
            <w:spacing w:after="120"/>
          </w:pPr>
        </w:p>
      </w:tc>
      <w:tc>
        <w:tcPr>
          <w:tcW w:w="1872" w:type="dxa"/>
          <w:tcBorders>
            <w:bottom w:val="single" w:sz="4" w:space="0" w:color="auto"/>
          </w:tcBorders>
          <w:shd w:val="clear" w:color="auto" w:fill="auto"/>
          <w:vAlign w:val="bottom"/>
        </w:tcPr>
        <w:p w:rsidR="00C47457" w:rsidRPr="00F65275" w:rsidRDefault="00C47457" w:rsidP="00F6527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47457" w:rsidRDefault="00C47457" w:rsidP="00F65275">
          <w:pPr>
            <w:pStyle w:val="Header"/>
            <w:spacing w:after="120"/>
          </w:pPr>
        </w:p>
      </w:tc>
      <w:tc>
        <w:tcPr>
          <w:tcW w:w="6523" w:type="dxa"/>
          <w:gridSpan w:val="3"/>
          <w:tcBorders>
            <w:bottom w:val="single" w:sz="4" w:space="0" w:color="auto"/>
          </w:tcBorders>
          <w:shd w:val="clear" w:color="auto" w:fill="auto"/>
          <w:vAlign w:val="bottom"/>
        </w:tcPr>
        <w:p w:rsidR="00C47457" w:rsidRPr="00F65275" w:rsidRDefault="00C47457" w:rsidP="00F65275">
          <w:pPr>
            <w:spacing w:after="80" w:line="240" w:lineRule="auto"/>
            <w:jc w:val="right"/>
            <w:rPr>
              <w:rFonts w:ascii="Times New Roman"/>
              <w:position w:val="-4"/>
            </w:rPr>
          </w:pPr>
          <w:r>
            <w:rPr>
              <w:rFonts w:ascii="Times New Roman"/>
              <w:position w:val="-4"/>
              <w:sz w:val="40"/>
            </w:rPr>
            <w:t>CEDAW</w:t>
          </w:r>
          <w:r>
            <w:rPr>
              <w:rFonts w:ascii="Times New Roman"/>
              <w:position w:val="-4"/>
            </w:rPr>
            <w:t>/C/UKR/Q/7</w:t>
          </w:r>
        </w:p>
      </w:tc>
    </w:tr>
    <w:tr w:rsidR="00C47457" w:rsidRPr="00F65275" w:rsidTr="00F652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7457" w:rsidRDefault="00C47457" w:rsidP="00F6527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47457" w:rsidRPr="00F65275" w:rsidRDefault="00C47457" w:rsidP="00F65275">
          <w:pPr>
            <w:pStyle w:val="Header"/>
            <w:spacing w:before="109"/>
            <w:ind w:left="-72"/>
          </w:pPr>
        </w:p>
      </w:tc>
      <w:tc>
        <w:tcPr>
          <w:tcW w:w="5227" w:type="dxa"/>
          <w:gridSpan w:val="3"/>
          <w:tcBorders>
            <w:top w:val="single" w:sz="4" w:space="0" w:color="auto"/>
            <w:bottom w:val="single" w:sz="12" w:space="0" w:color="auto"/>
          </w:tcBorders>
          <w:shd w:val="clear" w:color="auto" w:fill="auto"/>
        </w:tcPr>
        <w:p w:rsidR="00C47457" w:rsidRPr="00F65275" w:rsidRDefault="00C47457" w:rsidP="00F6527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47457" w:rsidRPr="00F65275" w:rsidRDefault="00C47457" w:rsidP="00F65275">
          <w:pPr>
            <w:pStyle w:val="Header"/>
            <w:spacing w:before="109"/>
          </w:pPr>
        </w:p>
      </w:tc>
      <w:tc>
        <w:tcPr>
          <w:tcW w:w="3180" w:type="dxa"/>
          <w:gridSpan w:val="2"/>
          <w:tcBorders>
            <w:top w:val="single" w:sz="4" w:space="0" w:color="auto"/>
            <w:bottom w:val="single" w:sz="12" w:space="0" w:color="auto"/>
          </w:tcBorders>
          <w:shd w:val="clear" w:color="auto" w:fill="auto"/>
        </w:tcPr>
        <w:p w:rsidR="00C47457" w:rsidRDefault="00C47457" w:rsidP="00F65275">
          <w:pPr>
            <w:spacing w:before="240" w:line="240" w:lineRule="exact"/>
            <w:rPr>
              <w:rFonts w:ascii="Times New Roman"/>
            </w:rPr>
          </w:pPr>
          <w:r>
            <w:rPr>
              <w:rFonts w:ascii="Times New Roman"/>
            </w:rPr>
            <w:t>Distr.: General</w:t>
          </w:r>
        </w:p>
        <w:p w:rsidR="00C47457" w:rsidRDefault="00C47457" w:rsidP="00F65275">
          <w:pPr>
            <w:spacing w:line="240" w:lineRule="exact"/>
            <w:rPr>
              <w:rFonts w:ascii="Times New Roman"/>
            </w:rPr>
          </w:pPr>
          <w:r>
            <w:rPr>
              <w:rFonts w:ascii="Times New Roman"/>
            </w:rPr>
            <w:t>6 July 2009</w:t>
          </w:r>
        </w:p>
        <w:p w:rsidR="00C47457" w:rsidRDefault="00C47457" w:rsidP="00F65275">
          <w:pPr>
            <w:spacing w:line="240" w:lineRule="exact"/>
            <w:rPr>
              <w:rFonts w:ascii="Times New Roman"/>
            </w:rPr>
          </w:pPr>
          <w:r>
            <w:rPr>
              <w:rFonts w:ascii="Times New Roman"/>
            </w:rPr>
            <w:t>Chinese</w:t>
          </w:r>
        </w:p>
        <w:p w:rsidR="00C47457" w:rsidRPr="00F65275" w:rsidRDefault="00C47457" w:rsidP="00F65275">
          <w:pPr>
            <w:spacing w:line="240" w:lineRule="exact"/>
            <w:rPr>
              <w:rFonts w:ascii="Times New Roman"/>
            </w:rPr>
          </w:pPr>
          <w:r>
            <w:rPr>
              <w:rFonts w:ascii="Times New Roman"/>
            </w:rPr>
            <w:t>Original: English</w:t>
          </w:r>
        </w:p>
      </w:tc>
    </w:tr>
  </w:tbl>
  <w:p w:rsidR="00C47457" w:rsidRPr="00F65275" w:rsidRDefault="00C47457" w:rsidP="00F6527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9150*"/>
    <w:docVar w:name="CreationDt" w:val="21/07/2009 18:09:33"/>
    <w:docVar w:name="DocCategory" w:val="Doc"/>
    <w:docVar w:name="DocType" w:val="Final"/>
    <w:docVar w:name="FooterJN" w:val="09-39150 (C)"/>
    <w:docVar w:name="jobn" w:val="09-39150 (C)"/>
    <w:docVar w:name="jobnDT" w:val="09-39150 (C)   210709"/>
    <w:docVar w:name="jobnDTDT" w:val="09-39150 (C)   210709   210709"/>
    <w:docVar w:name="JobNo" w:val="0939150C"/>
    <w:docVar w:name="OandT" w:val="LIU"/>
    <w:docVar w:name="sss1" w:val="CEDAW/C/UKR/Q/7"/>
    <w:docVar w:name="sss2" w:val="-"/>
    <w:docVar w:name="Symbol1" w:val="CEDAW/C/UKR/Q/7"/>
    <w:docVar w:name="Symbol2" w:val="-"/>
  </w:docVars>
  <w:rsids>
    <w:rsidRoot w:val="00B505D1"/>
    <w:rsid w:val="0000347C"/>
    <w:rsid w:val="000125BC"/>
    <w:rsid w:val="00014877"/>
    <w:rsid w:val="00021A2B"/>
    <w:rsid w:val="00037B39"/>
    <w:rsid w:val="00044CA4"/>
    <w:rsid w:val="00045EFE"/>
    <w:rsid w:val="000659F6"/>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90CFB"/>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79B"/>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25B1"/>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6DB"/>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93628"/>
    <w:rsid w:val="006A654B"/>
    <w:rsid w:val="006C4726"/>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47E80"/>
    <w:rsid w:val="0086691F"/>
    <w:rsid w:val="0087210B"/>
    <w:rsid w:val="00883DB0"/>
    <w:rsid w:val="00884C8F"/>
    <w:rsid w:val="00896D38"/>
    <w:rsid w:val="008C3296"/>
    <w:rsid w:val="008E2D03"/>
    <w:rsid w:val="008E42A4"/>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080"/>
    <w:rsid w:val="00A069AD"/>
    <w:rsid w:val="00A17A85"/>
    <w:rsid w:val="00A20856"/>
    <w:rsid w:val="00A24399"/>
    <w:rsid w:val="00A24CA5"/>
    <w:rsid w:val="00A24CD9"/>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05D1"/>
    <w:rsid w:val="00B556F1"/>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47457"/>
    <w:rsid w:val="00C510C2"/>
    <w:rsid w:val="00C62EF9"/>
    <w:rsid w:val="00C76854"/>
    <w:rsid w:val="00C92AE0"/>
    <w:rsid w:val="00CB2B1E"/>
    <w:rsid w:val="00CC3E8B"/>
    <w:rsid w:val="00CC4E84"/>
    <w:rsid w:val="00CD5641"/>
    <w:rsid w:val="00CE64AC"/>
    <w:rsid w:val="00CF7718"/>
    <w:rsid w:val="00D152A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EF4045"/>
    <w:rsid w:val="00F01440"/>
    <w:rsid w:val="00F13305"/>
    <w:rsid w:val="00F40463"/>
    <w:rsid w:val="00F50336"/>
    <w:rsid w:val="00F62E3F"/>
    <w:rsid w:val="00F65275"/>
    <w:rsid w:val="00F67F90"/>
    <w:rsid w:val="00F77B3E"/>
    <w:rsid w:val="00F833CB"/>
    <w:rsid w:val="00F87754"/>
    <w:rsid w:val="00F90A4B"/>
    <w:rsid w:val="00F90C56"/>
    <w:rsid w:val="00FA43AC"/>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180</TotalTime>
  <Pages>1</Pages>
  <Words>2187</Words>
  <Characters>2253</Characters>
  <Application>Microsoft Office Word</Application>
  <DocSecurity>4</DocSecurity>
  <Lines>86</Lines>
  <Paragraphs>54</Paragraphs>
  <ScaleCrop>false</ScaleCrop>
  <Company>United Nations</Company>
  <LinksUpToDate>false</LinksUpToDate>
  <CharactersWithSpaces>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CTPU User</cp:lastModifiedBy>
  <cp:revision>20</cp:revision>
  <cp:lastPrinted>2009-07-21T19:49:00Z</cp:lastPrinted>
  <dcterms:created xsi:type="dcterms:W3CDTF">2009-07-21T16:06:00Z</dcterms:created>
  <dcterms:modified xsi:type="dcterms:W3CDTF">2009-07-21T19:49:00Z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0939150</vt:lpwstr>
  </property>
  <property fmtid="{D5CDD505-2E9C-101B-9397-08002B2CF9AE}" pid="3" name="Symbol1">
    <vt:lpwstr>CEDAW/C/UKR/Q/7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LIU</vt:lpwstr>
  </property>
</Properties>
</file>