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385C" w:rsidRPr="00A234BE" w:rsidRDefault="009F385C" w:rsidP="009F385C">
      <w:pPr>
        <w:spacing w:line="60" w:lineRule="exact"/>
        <w:sectPr w:rsidR="009F385C" w:rsidRPr="00A234BE" w:rsidSect="009F385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sidRPr="00A234B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2" o:title="3-4Size =1Lang = C"/>
            <w10:wrap anchorx="page" anchory="page"/>
          </v:shape>
        </w:pict>
      </w:r>
      <w:commentRangeEnd w:id="0"/>
      <w:r w:rsidRPr="00A234BE">
        <w:rPr>
          <w:rStyle w:val="CommentReference"/>
        </w:rPr>
        <w:commentReference w:id="0"/>
      </w:r>
    </w:p>
    <w:p w:rsidR="009F385C" w:rsidRPr="00A234BE" w:rsidRDefault="009F385C" w:rsidP="009F385C">
      <w:pPr>
        <w:spacing w:line="60" w:lineRule="exact"/>
        <w:rPr>
          <w:rFonts w:hint="eastAsia"/>
        </w:rPr>
      </w:pPr>
    </w:p>
    <w:p w:rsidR="00B306BA" w:rsidRPr="00A234BE" w:rsidRDefault="00B306BA" w:rsidP="00B306B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234BE">
        <w:rPr>
          <w:rFonts w:hint="eastAsia"/>
        </w:rPr>
        <w:t>消除对妇女歧视委员会</w:t>
      </w:r>
    </w:p>
    <w:p w:rsidR="00B306BA" w:rsidRPr="00A234BE" w:rsidRDefault="00B306BA" w:rsidP="00B306B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306BA" w:rsidRPr="00A234BE" w:rsidRDefault="00B306BA" w:rsidP="00B306B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306BA" w:rsidRPr="00A234BE" w:rsidRDefault="00B306BA" w:rsidP="00B306B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306BA" w:rsidRPr="00A234BE" w:rsidRDefault="00B306BA" w:rsidP="00B306B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234BE">
        <w:rPr>
          <w:rFonts w:hint="eastAsia"/>
        </w:rPr>
        <w:tab/>
      </w:r>
      <w:r w:rsidRPr="00A234BE">
        <w:rPr>
          <w:rFonts w:hint="eastAsia"/>
        </w:rPr>
        <w:tab/>
      </w:r>
      <w:r w:rsidRPr="00A234BE">
        <w:rPr>
          <w:rFonts w:hint="eastAsia"/>
          <w:spacing w:val="4"/>
          <w:szCs w:val="28"/>
        </w:rPr>
        <w:t>与哈萨克斯坦第三次和第四次合并定期报告有关的议题和</w:t>
      </w:r>
      <w:r w:rsidRPr="00A234BE">
        <w:br/>
      </w:r>
      <w:r w:rsidRPr="00A234BE">
        <w:rPr>
          <w:rFonts w:hint="eastAsia"/>
        </w:rPr>
        <w:t>问题清单</w:t>
      </w:r>
      <w:r w:rsidRPr="00A234BE">
        <w:rPr>
          <w:rStyle w:val="FootnoteReference"/>
          <w:sz w:val="21"/>
        </w:rPr>
        <w:footnoteReference w:customMarkFollows="1" w:id="1"/>
        <w:t>*</w:t>
      </w:r>
    </w:p>
    <w:p w:rsidR="00B306BA" w:rsidRPr="00A234BE" w:rsidRDefault="00B306BA" w:rsidP="00B306BA">
      <w:pPr>
        <w:pStyle w:val="SingleTxt"/>
        <w:spacing w:after="0" w:line="120" w:lineRule="exact"/>
        <w:rPr>
          <w:rFonts w:hint="eastAsia"/>
          <w:sz w:val="10"/>
        </w:rPr>
      </w:pPr>
    </w:p>
    <w:p w:rsidR="00B306BA" w:rsidRPr="00A234BE" w:rsidRDefault="00B306BA" w:rsidP="00B306BA">
      <w:pPr>
        <w:pStyle w:val="SingleTxt"/>
        <w:spacing w:after="0" w:line="120" w:lineRule="exact"/>
        <w:rPr>
          <w:rFonts w:hint="eastAsia"/>
          <w:sz w:val="10"/>
        </w:rPr>
      </w:pPr>
    </w:p>
    <w:p w:rsidR="00B306BA" w:rsidRPr="00A234BE" w:rsidRDefault="00B306BA" w:rsidP="00B306BA">
      <w:pPr>
        <w:pStyle w:val="SingleTxt"/>
        <w:rPr>
          <w:rFonts w:ascii="SimHei" w:eastAsia="SimHei" w:hint="eastAsia"/>
        </w:rPr>
      </w:pPr>
      <w:r w:rsidRPr="00A234BE">
        <w:rPr>
          <w:rFonts w:ascii="SimHei" w:eastAsia="SimHei" w:hint="eastAsia"/>
        </w:rPr>
        <w:t>宪法和立法框架</w:t>
      </w:r>
    </w:p>
    <w:p w:rsidR="00B306BA" w:rsidRPr="00A234BE" w:rsidRDefault="00B306BA" w:rsidP="00B306BA">
      <w:pPr>
        <w:pStyle w:val="SingleTxt"/>
        <w:rPr>
          <w:rFonts w:hint="eastAsia"/>
        </w:rPr>
      </w:pPr>
      <w:r w:rsidRPr="00A234BE">
        <w:rPr>
          <w:rFonts w:hint="eastAsia"/>
        </w:rPr>
        <w:t>1.</w:t>
      </w:r>
      <w:r w:rsidRPr="00A234BE">
        <w:rPr>
          <w:rFonts w:hint="eastAsia"/>
        </w:rPr>
        <w:tab/>
        <w:t>该报告指出，缔约国已制定并批准了对国内立法进行性别分析的准则，在编写报告之时(2011年)，正在进行性别分析(第144至146段)。</w:t>
      </w:r>
      <w:r w:rsidRPr="00A234BE">
        <w:rPr>
          <w:rStyle w:val="FootnoteReference"/>
        </w:rPr>
        <w:footnoteReference w:id="2"/>
      </w:r>
      <w:r w:rsidRPr="00A234BE">
        <w:t xml:space="preserve"> </w:t>
      </w:r>
      <w:r w:rsidRPr="00A234BE">
        <w:rPr>
          <w:rFonts w:hint="eastAsia"/>
        </w:rPr>
        <w:t>请说明对国内立法进行性别分析的进展情况和结果。</w:t>
      </w:r>
    </w:p>
    <w:p w:rsidR="00B306BA" w:rsidRPr="00A234BE" w:rsidRDefault="00B306BA" w:rsidP="00B306BA">
      <w:pPr>
        <w:pStyle w:val="SingleTxt"/>
        <w:rPr>
          <w:rFonts w:hint="eastAsia"/>
        </w:rPr>
      </w:pPr>
      <w:r w:rsidRPr="00A234BE">
        <w:rPr>
          <w:rFonts w:hint="eastAsia"/>
        </w:rPr>
        <w:t>2.</w:t>
      </w:r>
      <w:r w:rsidRPr="00A234BE">
        <w:rPr>
          <w:rFonts w:hint="eastAsia"/>
        </w:rPr>
        <w:tab/>
        <w:t>2009年通过的《国家保障男女权利平等和机会均等法》为保障所有生活领域中的男女平等权利奠定了法律基础，它是否充分规定必须落实性别平等？请解释这项法律是否保证采取措施，除其他外，使更多妇女取得决策职位，或保护妇女在公共生活和私人生活中不受性骚扰和暴力侵害。请解释妇女和社会人口事务全国委员会通过关于性别平等和增强妇女权能的国家发展战略“2050年战略”作出承诺之后，打算如何在此基础上再接再厉，在国家部门各项方案和战略中对这一领域给予适当的重视，进而加强相关领域政府部委和机构的问责制。</w:t>
      </w:r>
    </w:p>
    <w:p w:rsidR="00B306BA" w:rsidRPr="00A234BE" w:rsidRDefault="00B306BA" w:rsidP="00B306BA">
      <w:pPr>
        <w:pStyle w:val="SingleTxt"/>
        <w:rPr>
          <w:rFonts w:ascii="SimHei" w:eastAsia="SimHei" w:hint="eastAsia"/>
        </w:rPr>
      </w:pPr>
      <w:r w:rsidRPr="00A234BE">
        <w:rPr>
          <w:rFonts w:ascii="SimHei" w:eastAsia="SimHei" w:hint="eastAsia"/>
        </w:rPr>
        <w:t>提高妇女地位的国家机制</w:t>
      </w:r>
    </w:p>
    <w:p w:rsidR="00B306BA" w:rsidRPr="00A234BE" w:rsidRDefault="00B306BA" w:rsidP="00B306BA">
      <w:pPr>
        <w:pStyle w:val="SingleTxt"/>
        <w:rPr>
          <w:rFonts w:hint="eastAsia"/>
        </w:rPr>
      </w:pPr>
      <w:r w:rsidRPr="00A234BE">
        <w:rPr>
          <w:rFonts w:hint="eastAsia"/>
        </w:rPr>
        <w:t>3.</w:t>
      </w:r>
      <w:r w:rsidRPr="00A234BE">
        <w:rPr>
          <w:rFonts w:hint="eastAsia"/>
        </w:rPr>
        <w:tab/>
        <w:t>委员会在早先的结论意见(</w:t>
      </w:r>
      <w:hyperlink r:id="rId14" w:history="1">
        <w:r w:rsidRPr="00A234BE">
          <w:rPr>
            <w:rStyle w:val="Hyperlink"/>
            <w:rFonts w:hint="eastAsia"/>
            <w:u w:val="none"/>
          </w:rPr>
          <w:t>CEDAW/C/KAZ/CO/2</w:t>
        </w:r>
      </w:hyperlink>
      <w:r w:rsidRPr="00A234BE">
        <w:rPr>
          <w:rFonts w:hint="eastAsia"/>
        </w:rPr>
        <w:t>，第19段)中表示关切的是，家庭事务和性别平等政策国家委员会可能缺乏充分权力、决策权及财力和人力资源来有效协调促进性别平等和确保全面执行《公约》的工作。报告第85段指出，妇女事务与家庭和人口政策全国委员会现在负责协调国家机构促进性别平等问题的活动，为了“加强国家性别平等机制”，该委员会的秘书处由总理办公厅调至总统管理局。请说明在这一调动之后，在哪些领域加强了国家机构提高妇女地位的工作。请解释将妇女问题与有关人口的授权相挂钩的理由。</w:t>
      </w:r>
    </w:p>
    <w:p w:rsidR="00B306BA" w:rsidRPr="00A234BE" w:rsidRDefault="00B306BA" w:rsidP="00B306BA">
      <w:pPr>
        <w:pStyle w:val="SingleTxt"/>
        <w:rPr>
          <w:rFonts w:ascii="SimHei" w:eastAsia="SimHei" w:hint="eastAsia"/>
        </w:rPr>
      </w:pPr>
      <w:r w:rsidRPr="00A234BE">
        <w:rPr>
          <w:rFonts w:ascii="SimHei" w:eastAsia="SimHei" w:hint="eastAsia"/>
        </w:rPr>
        <w:t>暂行特别措施</w:t>
      </w:r>
    </w:p>
    <w:p w:rsidR="00B306BA" w:rsidRPr="00A234BE" w:rsidRDefault="00B306BA" w:rsidP="00B306BA">
      <w:pPr>
        <w:pStyle w:val="SingleTxt"/>
        <w:rPr>
          <w:rFonts w:hint="eastAsia"/>
        </w:rPr>
      </w:pPr>
      <w:r w:rsidRPr="00A234BE">
        <w:rPr>
          <w:rFonts w:hint="eastAsia"/>
        </w:rPr>
        <w:t>4.</w:t>
      </w:r>
      <w:r w:rsidRPr="00A234BE">
        <w:rPr>
          <w:rFonts w:hint="eastAsia"/>
        </w:rPr>
        <w:tab/>
        <w:t>该报告第189和190段指出，缔约国的立法旨在实现男女事实上的平等，《国家保障男女权利平等和机会均等法》指出了可以采取暂行特别措施的领域。请说明在哪些领域采取了何种暂行特别措施，这些措施在实现妇女事实上的平等方面产生了哪些作用。</w:t>
      </w:r>
    </w:p>
    <w:p w:rsidR="00B306BA" w:rsidRPr="00A234BE" w:rsidRDefault="00B306BA" w:rsidP="00B306BA">
      <w:pPr>
        <w:pStyle w:val="SingleTxt"/>
        <w:rPr>
          <w:rFonts w:ascii="SimHei" w:eastAsia="SimHei" w:hint="eastAsia"/>
        </w:rPr>
      </w:pPr>
      <w:r w:rsidRPr="00A234BE">
        <w:rPr>
          <w:rFonts w:ascii="SimHei" w:eastAsia="SimHei" w:hint="eastAsia"/>
        </w:rPr>
        <w:t>定型观念和有害的做法</w:t>
      </w:r>
    </w:p>
    <w:p w:rsidR="00B306BA" w:rsidRPr="00A234BE" w:rsidRDefault="00B306BA" w:rsidP="00B306BA">
      <w:pPr>
        <w:pStyle w:val="SingleTxt"/>
        <w:rPr>
          <w:rFonts w:hint="eastAsia"/>
        </w:rPr>
      </w:pPr>
      <w:r w:rsidRPr="00A234BE">
        <w:rPr>
          <w:rFonts w:hint="eastAsia"/>
        </w:rPr>
        <w:t>5.</w:t>
      </w:r>
      <w:r w:rsidRPr="00A234BE">
        <w:rPr>
          <w:rFonts w:hint="eastAsia"/>
        </w:rPr>
        <w:tab/>
        <w:t>委员会在早先的结论意见(</w:t>
      </w:r>
      <w:hyperlink r:id="rId15" w:history="1">
        <w:r w:rsidRPr="00A234BE">
          <w:rPr>
            <w:rStyle w:val="Hyperlink"/>
            <w:rFonts w:hint="eastAsia"/>
            <w:u w:val="none"/>
          </w:rPr>
          <w:t>CEDAW/C/KAZ/CO/2</w:t>
        </w:r>
      </w:hyperlink>
      <w:r w:rsidRPr="00A234BE">
        <w:rPr>
          <w:rFonts w:hint="eastAsia"/>
        </w:rPr>
        <w:t>，第13段)中表示关切的是，尽管缔约国努力推出与性别问题相关的课程，重男轻女的态度持续存在，关于妇女和男子在家庭和社会中作用的定型观念根深蒂固。请说明如何监测旨在消除持续存在的重男轻女态度以及关于妇女和男子在家庭和社会中作用的根深蒂固定型观念的现有措施及其他措施的执行情况。请说明为突出妇女的积极形象和促进性别平等，采取了哪些措施，包括特别针对媒体的宣传和教育运动。</w:t>
      </w:r>
    </w:p>
    <w:p w:rsidR="00B306BA" w:rsidRPr="00A234BE" w:rsidRDefault="00B306BA" w:rsidP="00B306BA">
      <w:pPr>
        <w:pStyle w:val="SingleTxt"/>
        <w:rPr>
          <w:rFonts w:ascii="SimHei" w:eastAsia="SimHei" w:hint="eastAsia"/>
        </w:rPr>
      </w:pPr>
      <w:r w:rsidRPr="00A234BE">
        <w:rPr>
          <w:rFonts w:ascii="SimHei" w:eastAsia="SimHei" w:hint="eastAsia"/>
        </w:rPr>
        <w:t>暴力侵害妇女行为</w:t>
      </w:r>
    </w:p>
    <w:p w:rsidR="00B306BA" w:rsidRPr="00A234BE" w:rsidRDefault="00B306BA" w:rsidP="00B306BA">
      <w:pPr>
        <w:pStyle w:val="SingleTxt"/>
        <w:rPr>
          <w:rFonts w:hint="eastAsia"/>
        </w:rPr>
      </w:pPr>
      <w:r w:rsidRPr="00A234BE">
        <w:rPr>
          <w:rFonts w:hint="eastAsia"/>
        </w:rPr>
        <w:t>6.</w:t>
      </w:r>
      <w:r w:rsidRPr="00A234BE">
        <w:rPr>
          <w:rFonts w:hint="eastAsia"/>
        </w:rPr>
        <w:tab/>
        <w:t>报告确认，暴力侵害妇女行为和性剥削并未消除(第582段)，并指出妇女常常隐瞒自己遭受家庭暴力的事实(第69段)。请说明已采取哪些具体措施来处理暴力侵害妇女事件少报的现象和保持沉默的文化，从而有效打击暴力侵害妇女行为及其在社会文化中的合法性。</w:t>
      </w:r>
    </w:p>
    <w:p w:rsidR="00B306BA" w:rsidRPr="00A234BE" w:rsidRDefault="00B306BA" w:rsidP="00B306BA">
      <w:pPr>
        <w:pStyle w:val="SingleTxt"/>
        <w:rPr>
          <w:rFonts w:hint="eastAsia"/>
        </w:rPr>
      </w:pPr>
      <w:r w:rsidRPr="00A234BE">
        <w:rPr>
          <w:rFonts w:hint="eastAsia"/>
        </w:rPr>
        <w:t>7.</w:t>
      </w:r>
      <w:r w:rsidRPr="00A234BE">
        <w:rPr>
          <w:rFonts w:hint="eastAsia"/>
        </w:rPr>
        <w:tab/>
        <w:t>报告指出，2009年，缔约国通过了《防止家庭暴力法》，规定可以签发保护令，自从此项法令通过以来，共签发了26 000份禁止令(第66段)。请说明是否可以获得关于这些保护令的后续数字。保护令被违反的百分比为多少？导致提出起诉的百分比多少，最后结果如何？此外，还请说明根据《防止家庭暴力法》提出投诉的数量。并请说明已采取哪些措施，以期：(a)</w:t>
      </w:r>
      <w:r w:rsidRPr="00A234BE">
        <w:t xml:space="preserve"> </w:t>
      </w:r>
      <w:r w:rsidRPr="00A234BE">
        <w:rPr>
          <w:rFonts w:hint="eastAsia"/>
        </w:rPr>
        <w:t>开展宣传和提高认识运动；(b)</w:t>
      </w:r>
      <w:r w:rsidRPr="00A234BE">
        <w:t xml:space="preserve"> </w:t>
      </w:r>
      <w:r w:rsidRPr="00A234BE">
        <w:rPr>
          <w:rFonts w:hint="eastAsia"/>
        </w:rPr>
        <w:t>向法官和检察官提供有关该法的培训；(c)</w:t>
      </w:r>
      <w:r w:rsidRPr="00A234BE">
        <w:t xml:space="preserve"> </w:t>
      </w:r>
      <w:r w:rsidRPr="00A234BE">
        <w:rPr>
          <w:rFonts w:hint="eastAsia"/>
        </w:rPr>
        <w:t>向遭受暴力侵害的妇女和女孩提供法律援助。依照《防止家庭暴力法》应给予行政处罚和刑事处罚的违法行为有何区别，请对此作出解释。</w:t>
      </w:r>
    </w:p>
    <w:p w:rsidR="00B306BA" w:rsidRPr="00A234BE" w:rsidRDefault="00B306BA" w:rsidP="00B306BA">
      <w:pPr>
        <w:pStyle w:val="SingleTxt"/>
        <w:rPr>
          <w:rFonts w:hint="eastAsia"/>
        </w:rPr>
      </w:pPr>
      <w:r w:rsidRPr="00A234BE">
        <w:rPr>
          <w:rFonts w:hint="eastAsia"/>
        </w:rPr>
        <w:t>8.</w:t>
      </w:r>
      <w:r w:rsidRPr="00A234BE">
        <w:rPr>
          <w:rFonts w:hint="eastAsia"/>
        </w:rPr>
        <w:tab/>
        <w:t>虽然报告指出有28家危机中心，7家设有收容所，其中20家是在社会服务倡议框架内由国家预算供资的(第64段)，但是，这种资助并不规则，而且具有时限，因为采用的是社会服务预算程序。此外，对于向这些中心和收容所中受害者提供的服务，也缺乏法律和行政标准来给予指导。请说明正在采取哪些措施，以确保缔约国定期提供足够的资金，并为遭受暴力侵害的妇女栖身的收容所制定业务标准。此外，请说明是否已采取措施为家庭暴力幸存者设立一条由国家运作的全国热线电话。</w:t>
      </w:r>
    </w:p>
    <w:p w:rsidR="00B306BA" w:rsidRPr="00A234BE" w:rsidRDefault="00B306BA" w:rsidP="00B306BA">
      <w:pPr>
        <w:pStyle w:val="SingleTxt"/>
        <w:rPr>
          <w:rFonts w:hint="eastAsia"/>
        </w:rPr>
      </w:pPr>
      <w:r w:rsidRPr="00A234BE">
        <w:rPr>
          <w:rFonts w:hint="eastAsia"/>
        </w:rPr>
        <w:t>9.</w:t>
      </w:r>
      <w:r w:rsidRPr="00A234BE">
        <w:rPr>
          <w:rFonts w:hint="eastAsia"/>
        </w:rPr>
        <w:tab/>
        <w:t>考虑到缔约国在欧洲委员会中的特殊地位，请说明缔约国是否在考虑签署和加入《欧洲委员会防止和打击暴力侵害妇女行为和家庭暴力公约》？</w:t>
      </w:r>
    </w:p>
    <w:p w:rsidR="00B306BA" w:rsidRPr="00A234BE" w:rsidRDefault="00B306BA" w:rsidP="00B306BA">
      <w:pPr>
        <w:pStyle w:val="SingleTxt"/>
        <w:rPr>
          <w:rFonts w:ascii="SimHei" w:eastAsia="SimHei" w:hint="eastAsia"/>
        </w:rPr>
      </w:pPr>
      <w:r w:rsidRPr="00A234BE">
        <w:rPr>
          <w:rFonts w:ascii="SimHei" w:eastAsia="SimHei" w:hint="eastAsia"/>
        </w:rPr>
        <w:t>贩运人口和利用妇女卖淫营利</w:t>
      </w:r>
    </w:p>
    <w:p w:rsidR="00B306BA" w:rsidRPr="00A234BE" w:rsidRDefault="00B306BA" w:rsidP="00B306BA">
      <w:pPr>
        <w:pStyle w:val="SingleTxt"/>
        <w:rPr>
          <w:rFonts w:hint="eastAsia"/>
        </w:rPr>
      </w:pPr>
      <w:r w:rsidRPr="00A234BE">
        <w:rPr>
          <w:rFonts w:hint="eastAsia"/>
        </w:rPr>
        <w:t>10.</w:t>
      </w:r>
      <w:r w:rsidRPr="00A234BE">
        <w:rPr>
          <w:rFonts w:hint="eastAsia"/>
        </w:rPr>
        <w:tab/>
        <w:t>委员会收到的信息表明，内政部于2013年1月提出了打击贩运人口法案的修正案。请提供有关这项法案草稿的资料，并说明其试图对法律作出哪些更改，这些更改将对因贩运人口行为而受伤害的妇女产生什么影响。根据委员会早先的结论意见(</w:t>
      </w:r>
      <w:hyperlink r:id="rId16" w:history="1">
        <w:r w:rsidRPr="00A234BE">
          <w:rPr>
            <w:rStyle w:val="Hyperlink"/>
            <w:rFonts w:hint="eastAsia"/>
            <w:u w:val="none"/>
          </w:rPr>
          <w:t>CEDAW/C/KAZ/CO/2</w:t>
        </w:r>
      </w:hyperlink>
      <w:r w:rsidRPr="00A234BE">
        <w:rPr>
          <w:rFonts w:hint="eastAsia"/>
        </w:rPr>
        <w:t>，第17和18段)，请说明打击贩运人口努力的时间框架以及给予重视的程度。</w:t>
      </w:r>
    </w:p>
    <w:p w:rsidR="00B306BA" w:rsidRPr="00A234BE" w:rsidRDefault="00B306BA" w:rsidP="00B306BA">
      <w:pPr>
        <w:pStyle w:val="SingleTxt"/>
        <w:rPr>
          <w:rFonts w:hint="eastAsia"/>
        </w:rPr>
      </w:pPr>
      <w:r w:rsidRPr="00A234BE">
        <w:rPr>
          <w:rFonts w:hint="eastAsia"/>
        </w:rPr>
        <w:t>11.</w:t>
      </w:r>
      <w:r w:rsidRPr="00A234BE">
        <w:rPr>
          <w:rFonts w:hint="eastAsia"/>
        </w:rPr>
        <w:tab/>
        <w:t>报告指出，根据外国国民在缔约国合法地位的总统令的修正案规定，如果外国公民被认定是贩卖人口行为的受害者，现在保证能获得临时居住权(第225段)。请说明临时居住的期限以及通过这项总统令以来受益的外国妇女人数。</w:t>
      </w:r>
    </w:p>
    <w:p w:rsidR="00B306BA" w:rsidRPr="00A234BE" w:rsidRDefault="00B306BA" w:rsidP="00B306BA">
      <w:pPr>
        <w:pStyle w:val="SingleTxt"/>
        <w:rPr>
          <w:rFonts w:ascii="SimHei" w:eastAsia="SimHei" w:hint="eastAsia"/>
        </w:rPr>
      </w:pPr>
      <w:r w:rsidRPr="00A234BE">
        <w:rPr>
          <w:rFonts w:ascii="SimHei" w:eastAsia="SimHei" w:hint="eastAsia"/>
        </w:rPr>
        <w:t>参与政治和公共生活</w:t>
      </w:r>
    </w:p>
    <w:p w:rsidR="00B306BA" w:rsidRPr="00A234BE" w:rsidRDefault="00B306BA" w:rsidP="00B306BA">
      <w:pPr>
        <w:pStyle w:val="SingleTxt"/>
        <w:rPr>
          <w:rFonts w:hint="eastAsia"/>
        </w:rPr>
      </w:pPr>
      <w:r w:rsidRPr="00A234BE">
        <w:rPr>
          <w:rFonts w:hint="eastAsia"/>
        </w:rPr>
        <w:t>12.</w:t>
      </w:r>
      <w:r w:rsidRPr="00A234BE">
        <w:rPr>
          <w:rFonts w:hint="eastAsia"/>
        </w:rPr>
        <w:tab/>
        <w:t>报告指出，妇女在立法机构(下议院、地方代表机构和州政府)中的代表、担任决策职位以及高级别公务员和司法职位的人数依然不足(第25至30段)。请说明已采取哪些措施来实现《2006-2016年性别平等战略》所规定妇女在决策一级任职人数达到30%的目标以及执行期间所面临的挑战。</w:t>
      </w:r>
    </w:p>
    <w:p w:rsidR="00B306BA" w:rsidRPr="00A234BE" w:rsidRDefault="00B306BA" w:rsidP="00B306BA">
      <w:pPr>
        <w:pStyle w:val="SingleTxt"/>
        <w:rPr>
          <w:rFonts w:hint="eastAsia"/>
        </w:rPr>
      </w:pPr>
      <w:r w:rsidRPr="00A234BE">
        <w:rPr>
          <w:rFonts w:hint="eastAsia"/>
        </w:rPr>
        <w:t>13.</w:t>
      </w:r>
      <w:r w:rsidRPr="00A234BE">
        <w:rPr>
          <w:rFonts w:hint="eastAsia"/>
        </w:rPr>
        <w:tab/>
        <w:t>报告指出，妇女事务与家庭和人口政策全国委员会与执政党(祖国之光)签署了备忘录，进而建立了任命最合格妇女担任领导职务的候选人名册(第179段)。请说明由于该备忘录而获任不同职位的妇女的人数和职位。并请说明现行暂行特别措施的情况，包括旨在提高政治和公共生活领域中和担任决策职务的妇女人数的定额。</w:t>
      </w:r>
    </w:p>
    <w:p w:rsidR="00B306BA" w:rsidRPr="00A234BE" w:rsidRDefault="00B306BA" w:rsidP="00B306BA">
      <w:pPr>
        <w:pStyle w:val="SingleTxt"/>
        <w:rPr>
          <w:rFonts w:ascii="SimHei" w:eastAsia="SimHei" w:hint="eastAsia"/>
        </w:rPr>
      </w:pPr>
      <w:r w:rsidRPr="00A234BE">
        <w:rPr>
          <w:rFonts w:ascii="SimHei" w:eastAsia="SimHei" w:hint="eastAsia"/>
        </w:rPr>
        <w:t>教育</w:t>
      </w:r>
    </w:p>
    <w:p w:rsidR="00B306BA" w:rsidRPr="00A234BE" w:rsidRDefault="00B306BA" w:rsidP="00B306BA">
      <w:pPr>
        <w:pStyle w:val="SingleTxt"/>
        <w:rPr>
          <w:rFonts w:hint="eastAsia"/>
        </w:rPr>
      </w:pPr>
      <w:r w:rsidRPr="00A234BE">
        <w:rPr>
          <w:rFonts w:hint="eastAsia"/>
        </w:rPr>
        <w:t>14.</w:t>
      </w:r>
      <w:r w:rsidRPr="00A234BE">
        <w:rPr>
          <w:rFonts w:hint="eastAsia"/>
        </w:rPr>
        <w:tab/>
        <w:t>请说明已采取哪些措施来消除教育领域以定型观念选择科目和课程所造成的性别隔离现象(</w:t>
      </w:r>
      <w:hyperlink r:id="rId17" w:history="1">
        <w:r w:rsidRPr="00A234BE">
          <w:rPr>
            <w:rStyle w:val="Hyperlink"/>
            <w:rFonts w:hint="eastAsia"/>
            <w:u w:val="none"/>
          </w:rPr>
          <w:t>CEDAW/C/KAZ/CO/2</w:t>
        </w:r>
      </w:hyperlink>
      <w:r w:rsidRPr="00A234BE">
        <w:rPr>
          <w:rFonts w:hint="eastAsia"/>
        </w:rPr>
        <w:t>，第13段)。此外，请说明农村妇女获得正规和非正规教育，从而确保她们掌握实用识字能力以及获得社区服务、农业咨询服务以及提高技能的情况。请说明一些族裔有害的早婚习俗对这些族裔女孩的辍学率有何影响？在这方面采取了哪些措施，取得了哪些成果？报告指出，已经成立一个工作组，负责协调对各级教育机构教科书和教学材料进行性别分析(第305段)。请提供最新资料，说明该工作组的工作情况以及依照委员会早先结论意见(</w:t>
      </w:r>
      <w:hyperlink r:id="rId18" w:history="1">
        <w:r w:rsidRPr="00A234BE">
          <w:rPr>
            <w:rStyle w:val="Hyperlink"/>
            <w:rFonts w:hint="eastAsia"/>
            <w:u w:val="none"/>
          </w:rPr>
          <w:t>CEDAW/C/KAZ/CO/2</w:t>
        </w:r>
      </w:hyperlink>
      <w:r w:rsidRPr="00A234BE">
        <w:rPr>
          <w:rFonts w:hint="eastAsia"/>
        </w:rPr>
        <w:t>，第14段)中的建议，消除教科书和教材中所充斥的所有定型观念的进展情况。请说明已采取哪些措施，在学校课程中列入与年龄相适宜的关于性健康和生殖健康权利的强制性教育，包括关于负责任性行为的教育。请说明保健和生活技能方案的执行情况(第321段)。</w:t>
      </w:r>
    </w:p>
    <w:p w:rsidR="00B306BA" w:rsidRPr="00A234BE" w:rsidRDefault="00B306BA" w:rsidP="00B306BA">
      <w:pPr>
        <w:pStyle w:val="SingleTxt"/>
        <w:rPr>
          <w:rFonts w:ascii="SimHei" w:eastAsia="SimHei" w:hint="eastAsia"/>
        </w:rPr>
      </w:pPr>
      <w:r w:rsidRPr="00A234BE">
        <w:rPr>
          <w:rFonts w:ascii="SimHei" w:eastAsia="SimHei" w:hint="eastAsia"/>
        </w:rPr>
        <w:t>就业</w:t>
      </w:r>
    </w:p>
    <w:p w:rsidR="00B306BA" w:rsidRPr="00A234BE" w:rsidRDefault="00B306BA" w:rsidP="00B306BA">
      <w:pPr>
        <w:pStyle w:val="SingleTxt"/>
        <w:rPr>
          <w:rFonts w:hint="eastAsia"/>
        </w:rPr>
      </w:pPr>
      <w:r w:rsidRPr="00A234BE">
        <w:rPr>
          <w:rFonts w:hint="eastAsia"/>
        </w:rPr>
        <w:t>15.</w:t>
      </w:r>
      <w:r w:rsidRPr="00A234BE">
        <w:rPr>
          <w:rFonts w:hint="eastAsia"/>
        </w:rPr>
        <w:tab/>
        <w:t>报告指出，妇女的工资为男子的66%，原因是妇女集中在薪酬较低的就业部门工作(第353段)。报告还指出，缔约国已开始执行一项方案，旨在到2015年底前将教职员工平均薪酬提高到私营部门的薪酬水平，从而提高教师职业的威信。请说明为消除男女工资差异以及处理男女在就业方面的职业隔离现象所采取的所有各类措施。请说明已经采取哪些措施来增加妇女在非传统而且薪酬较高就业领域的就业人数(第22段)</w:t>
      </w:r>
    </w:p>
    <w:p w:rsidR="00B306BA" w:rsidRPr="00A234BE" w:rsidRDefault="00B306BA" w:rsidP="00B306BA">
      <w:pPr>
        <w:pStyle w:val="SingleTxt"/>
        <w:rPr>
          <w:rFonts w:hint="eastAsia"/>
        </w:rPr>
      </w:pPr>
      <w:r w:rsidRPr="00A234BE">
        <w:rPr>
          <w:rFonts w:hint="eastAsia"/>
        </w:rPr>
        <w:t>16.</w:t>
      </w:r>
      <w:r w:rsidRPr="00A234BE">
        <w:rPr>
          <w:rFonts w:hint="eastAsia"/>
        </w:rPr>
        <w:tab/>
        <w:t>请提供数据，说明在公共和私营部门工作、需要照料儿童以及残疾子女和家庭成员而利用《劳动法》第85条规定的灵活工作安排的妇女百分比(第345段)。报告指出，《退休金法》规定，男子退休年龄为63岁，妇女退休年龄为58岁(第357段)。请解释如何计划实现男女同等退休年龄，并说明制定现行计划时设想如何保护妇女避免老年贫困现象，同时在工作时期不给她们造成不公平的负担。</w:t>
      </w:r>
    </w:p>
    <w:p w:rsidR="00B306BA" w:rsidRPr="00A234BE" w:rsidRDefault="00B306BA" w:rsidP="00B306BA">
      <w:pPr>
        <w:pStyle w:val="SingleTxt"/>
        <w:rPr>
          <w:rFonts w:ascii="SimHei" w:eastAsia="SimHei" w:hint="eastAsia"/>
        </w:rPr>
      </w:pPr>
      <w:r w:rsidRPr="00A234BE">
        <w:rPr>
          <w:rFonts w:ascii="SimHei" w:eastAsia="SimHei" w:hint="eastAsia"/>
        </w:rPr>
        <w:t>保健</w:t>
      </w:r>
    </w:p>
    <w:p w:rsidR="00B306BA" w:rsidRPr="00A234BE" w:rsidRDefault="00B306BA" w:rsidP="00B306BA">
      <w:pPr>
        <w:pStyle w:val="SingleTxt"/>
      </w:pPr>
      <w:r w:rsidRPr="00A234BE">
        <w:rPr>
          <w:rFonts w:hint="eastAsia"/>
        </w:rPr>
        <w:t>17.</w:t>
      </w:r>
      <w:r w:rsidRPr="00A234BE">
        <w:rPr>
          <w:rFonts w:hint="eastAsia"/>
        </w:rPr>
        <w:tab/>
        <w:t>请提供详细资料和数据，说明青少年怀孕、堕胎和孕产妇死亡率/发病率状况和趋势，包括正在采取哪些措施应对青少年(15至19岁)和残疾妇女、尤其是农村这些人员在计划生育服务方面未得到满足的需求。请说明现有哪些措施来预防艾滋病毒的母婴传播。请说明现已采取哪些措施，处理针对感染艾滋病毒妇女的污名、歧视和暴力。请就妇女性传染疾病高患病率以及妇女获得对这种疾病可负担得起的治疗机会发表评论。请说明如果患者不透露性传染疾病的可能病源，或不同意接受对这种疾病的长期后续医疗措施，是否会根据《行政违规法》给予起诉。</w:t>
      </w:r>
    </w:p>
    <w:p w:rsidR="00B306BA" w:rsidRPr="00A234BE" w:rsidRDefault="00B306BA" w:rsidP="00B306BA">
      <w:pPr>
        <w:pStyle w:val="SingleTxt"/>
        <w:rPr>
          <w:rFonts w:ascii="SimHei" w:eastAsia="SimHei" w:hint="eastAsia"/>
        </w:rPr>
      </w:pPr>
      <w:r w:rsidRPr="00A234BE">
        <w:rPr>
          <w:rFonts w:ascii="SimHei" w:eastAsia="SimHei" w:hint="eastAsia"/>
        </w:rPr>
        <w:t>监狱中的妇女</w:t>
      </w:r>
    </w:p>
    <w:p w:rsidR="00B306BA" w:rsidRPr="00A234BE" w:rsidRDefault="00B306BA" w:rsidP="00B306BA">
      <w:pPr>
        <w:pStyle w:val="SingleTxt"/>
        <w:rPr>
          <w:rFonts w:hint="eastAsia"/>
        </w:rPr>
      </w:pPr>
      <w:r w:rsidRPr="00A234BE">
        <w:rPr>
          <w:rFonts w:hint="eastAsia"/>
        </w:rPr>
        <w:t>18.</w:t>
      </w:r>
      <w:r w:rsidRPr="00A234BE">
        <w:rPr>
          <w:rFonts w:hint="eastAsia"/>
        </w:rPr>
        <w:tab/>
        <w:t>请说明已采取哪些措施防止和调查在押妇女遭受执法人员套头蒙脸和电击等体罚的指控。请解释已采取哪些措施处理妇女缺乏适当监狱(集居地)的现象，让女囚犯不再远离家人和朋友。</w:t>
      </w:r>
    </w:p>
    <w:p w:rsidR="00B306BA" w:rsidRPr="00A234BE" w:rsidRDefault="00B306BA" w:rsidP="00B306BA">
      <w:pPr>
        <w:pStyle w:val="SingleTxt"/>
        <w:rPr>
          <w:rFonts w:ascii="SimHei" w:eastAsia="SimHei" w:hint="eastAsia"/>
        </w:rPr>
      </w:pPr>
      <w:r w:rsidRPr="00A234BE">
        <w:rPr>
          <w:rFonts w:ascii="SimHei" w:eastAsia="SimHei" w:hint="eastAsia"/>
        </w:rPr>
        <w:t>婚姻和家庭生活</w:t>
      </w:r>
    </w:p>
    <w:p w:rsidR="00EA31C3" w:rsidRPr="00A234BE" w:rsidRDefault="00B306BA" w:rsidP="00B306BA">
      <w:pPr>
        <w:pStyle w:val="SingleTxt"/>
        <w:rPr>
          <w:rFonts w:hint="eastAsia"/>
        </w:rPr>
      </w:pPr>
      <w:r w:rsidRPr="00A234BE">
        <w:rPr>
          <w:rFonts w:hint="eastAsia"/>
        </w:rPr>
        <w:t>19.</w:t>
      </w:r>
      <w:r w:rsidRPr="00A234BE">
        <w:rPr>
          <w:rFonts w:hint="eastAsia"/>
        </w:rPr>
        <w:tab/>
        <w:t>为提高离婚母亲争取确保前夫提供赡养费所提出申请的成功率而采取的措施产生了多大效力，请予说明。并请说明在养育子女方面未得到前配偶支持的单身母亲目前的法律状况和实际状况，以及为处理这种情况所采取的任何措施。</w:t>
      </w:r>
    </w:p>
    <w:p w:rsidR="00B306BA" w:rsidRPr="00A234BE" w:rsidRDefault="00B306BA" w:rsidP="00B306BA">
      <w:pPr>
        <w:pStyle w:val="SingleTxt"/>
        <w:spacing w:after="0" w:line="240" w:lineRule="auto"/>
        <w:rPr>
          <w:rFonts w:hint="eastAsia"/>
          <w:sz w:val="20"/>
        </w:rPr>
      </w:pPr>
      <w:r w:rsidRPr="00A234BE">
        <w:rPr>
          <w:rFonts w:hint="eastAsia"/>
          <w:noProof/>
          <w:sz w:val="20"/>
        </w:rPr>
        <w:pict>
          <v:line id="_x0000_s1027" style="position:absolute;left:0;text-align:left;z-index:2;mso-position-horizontal:center" from="0,30pt" to="1in,30pt" strokeweight=".25pt"/>
        </w:pict>
      </w:r>
    </w:p>
    <w:sectPr w:rsidR="00B306BA" w:rsidRPr="00A234BE" w:rsidSect="009F385C">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0-18T16:42:00Z" w:initials="Start">
    <w:p w:rsidR="00A234BE" w:rsidRDefault="00A234BE">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NO&gt;&gt;N1341631C&lt;&lt;ODS JOB NO&gt;&gt;</w:t>
      </w:r>
    </w:p>
    <w:p w:rsidR="00A234BE" w:rsidRDefault="00A234BE">
      <w:pPr>
        <w:pStyle w:val="CommentText"/>
      </w:pPr>
      <w:r>
        <w:t>&lt;&lt;ODS DOC SYMBOL1&gt;&gt;CEDAW/C/KAZ/Q/3-4&lt;&lt;ODS DOC SYMBOL1&gt;&gt;</w:t>
      </w:r>
    </w:p>
    <w:p w:rsidR="00A234BE" w:rsidRDefault="00A234BE">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5428" w:rsidRDefault="00A35428">
      <w:r>
        <w:separator/>
      </w:r>
    </w:p>
  </w:endnote>
  <w:endnote w:type="continuationSeparator" w:id="0">
    <w:p w:rsidR="00A35428" w:rsidRDefault="00A354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234BE">
      <w:tblPrEx>
        <w:tblCellMar>
          <w:top w:w="0" w:type="dxa"/>
          <w:bottom w:w="0" w:type="dxa"/>
        </w:tblCellMar>
      </w:tblPrEx>
      <w:tc>
        <w:tcPr>
          <w:tcW w:w="5033" w:type="dxa"/>
          <w:shd w:val="clear" w:color="auto" w:fill="auto"/>
        </w:tcPr>
        <w:p w:rsidR="00A234BE" w:rsidRPr="009F385C" w:rsidRDefault="00A234BE" w:rsidP="009F385C">
          <w:pPr>
            <w:pStyle w:val="Footer"/>
            <w:jc w:val="right"/>
            <w:rPr>
              <w:b w:val="0"/>
              <w:w w:val="103"/>
              <w:sz w:val="14"/>
            </w:rPr>
          </w:pPr>
          <w:fldSimple w:instr=" DOCVARIABLE &quot;FooterJN&quot; \* MERGEFORMAT ">
            <w:r>
              <w:rPr>
                <w:b w:val="0"/>
                <w:w w:val="103"/>
                <w:sz w:val="14"/>
              </w:rPr>
              <w:t>13-41631 (C)</w:t>
            </w:r>
          </w:fldSimple>
        </w:p>
      </w:tc>
      <w:tc>
        <w:tcPr>
          <w:tcW w:w="5033" w:type="dxa"/>
          <w:shd w:val="clear" w:color="auto" w:fill="auto"/>
        </w:tcPr>
        <w:p w:rsidR="00A234BE" w:rsidRPr="009F385C" w:rsidRDefault="00A234BE" w:rsidP="009F385C">
          <w:pPr>
            <w:pStyle w:val="Footer"/>
            <w:jc w:val="left"/>
            <w:rPr>
              <w:w w:val="103"/>
            </w:rPr>
          </w:pPr>
          <w:r>
            <w:rPr>
              <w:w w:val="103"/>
            </w:rPr>
            <w:fldChar w:fldCharType="begin"/>
          </w:r>
          <w:r>
            <w:rPr>
              <w:w w:val="103"/>
            </w:rPr>
            <w:instrText xml:space="preserve"> PAGE  \* Arabic  \* MERGEFORMAT </w:instrText>
          </w:r>
          <w:r>
            <w:rPr>
              <w:w w:val="103"/>
            </w:rPr>
            <w:fldChar w:fldCharType="separate"/>
          </w:r>
          <w:r w:rsidR="00AA5044">
            <w:rPr>
              <w:w w:val="103"/>
            </w:rPr>
            <w:t>2</w:t>
          </w:r>
          <w:r>
            <w:rPr>
              <w:w w:val="103"/>
            </w:rPr>
            <w:fldChar w:fldCharType="end"/>
          </w:r>
          <w:r>
            <w:rPr>
              <w:w w:val="103"/>
            </w:rPr>
            <w:t>/</w:t>
          </w:r>
          <w:fldSimple w:instr=" NUMPAGES  \* Arabic  \* MERGEFORMAT ">
            <w:r>
              <w:rPr>
                <w:w w:val="103"/>
              </w:rPr>
              <w:t>4</w:t>
            </w:r>
          </w:fldSimple>
        </w:p>
      </w:tc>
    </w:tr>
  </w:tbl>
  <w:p w:rsidR="00A234BE" w:rsidRPr="009F385C" w:rsidRDefault="00A234BE" w:rsidP="009F385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234BE">
      <w:tblPrEx>
        <w:tblCellMar>
          <w:top w:w="0" w:type="dxa"/>
          <w:bottom w:w="0" w:type="dxa"/>
        </w:tblCellMar>
      </w:tblPrEx>
      <w:tc>
        <w:tcPr>
          <w:tcW w:w="5033" w:type="dxa"/>
          <w:shd w:val="clear" w:color="auto" w:fill="auto"/>
        </w:tcPr>
        <w:p w:rsidR="00A234BE" w:rsidRPr="009F385C" w:rsidRDefault="00A234BE" w:rsidP="009F385C">
          <w:pPr>
            <w:pStyle w:val="Footer"/>
            <w:jc w:val="right"/>
          </w:pPr>
          <w:fldSimple w:instr=" PAGE  \* Arabic  \* MERGEFORMAT ">
            <w:r>
              <w:t>3</w:t>
            </w:r>
          </w:fldSimple>
          <w:r>
            <w:t>/</w:t>
          </w:r>
          <w:fldSimple w:instr=" NUMPAGES  \* Arabic  \* MERGEFORMAT ">
            <w:r>
              <w:t>4</w:t>
            </w:r>
          </w:fldSimple>
        </w:p>
      </w:tc>
      <w:tc>
        <w:tcPr>
          <w:tcW w:w="5033" w:type="dxa"/>
          <w:shd w:val="clear" w:color="auto" w:fill="auto"/>
        </w:tcPr>
        <w:p w:rsidR="00A234BE" w:rsidRPr="009F385C" w:rsidRDefault="00A234BE" w:rsidP="009F385C">
          <w:pPr>
            <w:pStyle w:val="Footer"/>
            <w:jc w:val="left"/>
            <w:rPr>
              <w:b w:val="0"/>
              <w:w w:val="103"/>
              <w:sz w:val="14"/>
            </w:rPr>
          </w:pPr>
          <w:fldSimple w:instr=" DOCVARIABLE &quot;FooterJN&quot; \* MERGEFORMAT ">
            <w:r>
              <w:rPr>
                <w:b w:val="0"/>
                <w:w w:val="103"/>
                <w:sz w:val="14"/>
              </w:rPr>
              <w:t>13-41631 (C)</w:t>
            </w:r>
          </w:fldSimple>
        </w:p>
      </w:tc>
    </w:tr>
  </w:tbl>
  <w:p w:rsidR="00A234BE" w:rsidRPr="009F385C" w:rsidRDefault="00A234BE" w:rsidP="009F385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A234BE">
      <w:tblPrEx>
        <w:tblCellMar>
          <w:top w:w="0" w:type="dxa"/>
          <w:bottom w:w="0" w:type="dxa"/>
        </w:tblCellMar>
      </w:tblPrEx>
      <w:tc>
        <w:tcPr>
          <w:tcW w:w="5033" w:type="dxa"/>
        </w:tcPr>
        <w:p w:rsidR="00A234BE" w:rsidRDefault="00A234BE" w:rsidP="009F385C">
          <w:pPr>
            <w:pStyle w:val="Footer"/>
            <w:rPr>
              <w:b w:val="0"/>
              <w:sz w:val="21"/>
            </w:rPr>
          </w:pPr>
          <w:fldSimple w:instr=" DOCVARIABLE &quot;jobn&quot; \* MERGEFORMAT ">
            <w:r>
              <w:rPr>
                <w:b w:val="0"/>
                <w:sz w:val="21"/>
              </w:rPr>
              <w:t>13-41631 (C)</w:t>
            </w:r>
          </w:fldSimple>
          <w:r>
            <w:rPr>
              <w:b w:val="0"/>
              <w:sz w:val="21"/>
            </w:rPr>
            <w:t xml:space="preserve">    171013    071113</w:t>
          </w:r>
        </w:p>
        <w:p w:rsidR="00A234BE" w:rsidRPr="009F385C" w:rsidRDefault="00A234BE" w:rsidP="009F385C">
          <w:pPr>
            <w:spacing w:before="80" w:line="210" w:lineRule="exact"/>
            <w:rPr>
              <w:rFonts w:ascii="Barcode 3 of 9 by request" w:hAnsi="Barcode 3 of 9 by request"/>
              <w:sz w:val="24"/>
            </w:rPr>
          </w:pPr>
          <w:r>
            <w:rPr>
              <w:rFonts w:ascii="Barcode 3 of 9 by request" w:hAnsi="Barcode 3 of 9 by request"/>
              <w:sz w:val="24"/>
            </w:rPr>
            <w:t>*1341631C*</w:t>
          </w:r>
        </w:p>
      </w:tc>
      <w:tc>
        <w:tcPr>
          <w:tcW w:w="3686" w:type="dxa"/>
        </w:tcPr>
        <w:p w:rsidR="00A234BE" w:rsidRDefault="00A234BE" w:rsidP="009F385C">
          <w:pPr>
            <w:pStyle w:val="Footer"/>
            <w:jc w:val="right"/>
            <w:rPr>
              <w:b w:val="0"/>
              <w:sz w:val="21"/>
            </w:rPr>
          </w:pPr>
          <w:r w:rsidRPr="009F385C">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A234BE" w:rsidRPr="009F385C" w:rsidRDefault="00A234BE" w:rsidP="009F385C">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5428" w:rsidRPr="00B306BA" w:rsidRDefault="00A35428" w:rsidP="00B306BA">
      <w:pPr>
        <w:pStyle w:val="Footer"/>
        <w:spacing w:after="80"/>
        <w:ind w:left="792"/>
        <w:rPr>
          <w:sz w:val="16"/>
        </w:rPr>
      </w:pPr>
      <w:r w:rsidRPr="00B306BA">
        <w:rPr>
          <w:sz w:val="16"/>
        </w:rPr>
        <w:t>__________________</w:t>
      </w:r>
    </w:p>
  </w:footnote>
  <w:footnote w:type="continuationSeparator" w:id="0">
    <w:p w:rsidR="00A35428" w:rsidRPr="00B306BA" w:rsidRDefault="00A35428" w:rsidP="00B306BA">
      <w:pPr>
        <w:pStyle w:val="Footer"/>
        <w:spacing w:after="80"/>
        <w:ind w:left="792"/>
        <w:rPr>
          <w:sz w:val="16"/>
        </w:rPr>
      </w:pPr>
      <w:r w:rsidRPr="00B306BA">
        <w:rPr>
          <w:sz w:val="16"/>
        </w:rPr>
        <w:t>__________________</w:t>
      </w:r>
    </w:p>
  </w:footnote>
  <w:footnote w:id="1">
    <w:p w:rsidR="00A234BE" w:rsidRDefault="00A234BE" w:rsidP="00B306BA">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t>*</w:t>
      </w:r>
      <w:r>
        <w:tab/>
      </w:r>
      <w:r>
        <w:rPr>
          <w:rFonts w:hint="eastAsia"/>
        </w:rPr>
        <w:t>由委员会第五十七届会议</w:t>
      </w:r>
      <w:r>
        <w:t>(2013</w:t>
      </w:r>
      <w:r>
        <w:rPr>
          <w:rFonts w:hint="eastAsia"/>
        </w:rPr>
        <w:t>年7月29日至8月2日举行</w:t>
      </w:r>
      <w:r>
        <w:t>)</w:t>
      </w:r>
      <w:r>
        <w:rPr>
          <w:rFonts w:hint="eastAsia"/>
        </w:rPr>
        <w:t>会前工作组通过。</w:t>
      </w:r>
    </w:p>
  </w:footnote>
  <w:footnote w:id="2">
    <w:p w:rsidR="00A234BE" w:rsidRDefault="00A234BE" w:rsidP="00B306BA">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Pr>
          <w:rFonts w:hint="eastAsia"/>
        </w:rPr>
        <w:t>除非另有说明，段号是指缔约国第三次和第四次合并定期报告</w:t>
      </w:r>
      <w:r>
        <w:t>(</w:t>
      </w:r>
      <w:r w:rsidRPr="00255869">
        <w:t>CEDAW/C/KAZ/3-4</w:t>
      </w:r>
      <w:r>
        <w:t>)</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A234BE">
      <w:tblPrEx>
        <w:tblCellMar>
          <w:top w:w="0" w:type="dxa"/>
          <w:bottom w:w="0" w:type="dxa"/>
        </w:tblCellMar>
      </w:tblPrEx>
      <w:trPr>
        <w:trHeight w:hRule="exact" w:val="864"/>
      </w:trPr>
      <w:tc>
        <w:tcPr>
          <w:tcW w:w="4838" w:type="dxa"/>
          <w:shd w:val="clear" w:color="auto" w:fill="auto"/>
          <w:vAlign w:val="bottom"/>
        </w:tcPr>
        <w:p w:rsidR="00A234BE" w:rsidRPr="009F385C" w:rsidRDefault="00A234BE" w:rsidP="009F385C">
          <w:pPr>
            <w:pStyle w:val="Header"/>
            <w:spacing w:after="80"/>
            <w:jc w:val="left"/>
            <w:rPr>
              <w:b/>
              <w:sz w:val="17"/>
            </w:rPr>
          </w:pPr>
          <w:fldSimple w:instr=" DOCVARIABLE &quot;sss1&quot; \* MERGEFORMAT ">
            <w:r>
              <w:rPr>
                <w:b/>
                <w:sz w:val="17"/>
              </w:rPr>
              <w:t>CEDAW/C/KAZ/Q/3-4</w:t>
            </w:r>
          </w:fldSimple>
        </w:p>
      </w:tc>
      <w:tc>
        <w:tcPr>
          <w:tcW w:w="5033" w:type="dxa"/>
          <w:shd w:val="clear" w:color="auto" w:fill="auto"/>
          <w:vAlign w:val="bottom"/>
        </w:tcPr>
        <w:p w:rsidR="00A234BE" w:rsidRDefault="00A234BE" w:rsidP="009F385C">
          <w:pPr>
            <w:pStyle w:val="Header"/>
          </w:pPr>
        </w:p>
      </w:tc>
    </w:tr>
  </w:tbl>
  <w:p w:rsidR="00A234BE" w:rsidRPr="009F385C" w:rsidRDefault="00A234BE" w:rsidP="009F385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A234BE">
      <w:tblPrEx>
        <w:tblCellMar>
          <w:top w:w="0" w:type="dxa"/>
          <w:bottom w:w="0" w:type="dxa"/>
        </w:tblCellMar>
      </w:tblPrEx>
      <w:trPr>
        <w:trHeight w:hRule="exact" w:val="864"/>
      </w:trPr>
      <w:tc>
        <w:tcPr>
          <w:tcW w:w="4838" w:type="dxa"/>
          <w:shd w:val="clear" w:color="auto" w:fill="auto"/>
          <w:vAlign w:val="bottom"/>
        </w:tcPr>
        <w:p w:rsidR="00A234BE" w:rsidRDefault="00A234BE" w:rsidP="009F385C">
          <w:pPr>
            <w:pStyle w:val="Header"/>
          </w:pPr>
        </w:p>
      </w:tc>
      <w:tc>
        <w:tcPr>
          <w:tcW w:w="5033" w:type="dxa"/>
          <w:shd w:val="clear" w:color="auto" w:fill="auto"/>
          <w:vAlign w:val="bottom"/>
        </w:tcPr>
        <w:p w:rsidR="00A234BE" w:rsidRPr="009F385C" w:rsidRDefault="00A234BE" w:rsidP="009F385C">
          <w:pPr>
            <w:pStyle w:val="Header"/>
            <w:spacing w:after="80"/>
            <w:jc w:val="right"/>
            <w:rPr>
              <w:b/>
              <w:sz w:val="17"/>
            </w:rPr>
          </w:pPr>
          <w:fldSimple w:instr=" DOCVARIABLE &quot;sss1&quot; \* MERGEFORMAT ">
            <w:r>
              <w:rPr>
                <w:b/>
                <w:sz w:val="17"/>
              </w:rPr>
              <w:t>CEDAW/C/KAZ/Q/3-4</w:t>
            </w:r>
          </w:fldSimple>
        </w:p>
      </w:tc>
    </w:tr>
  </w:tbl>
  <w:p w:rsidR="00A234BE" w:rsidRPr="009F385C" w:rsidRDefault="00A234BE" w:rsidP="009F385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A234B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234BE" w:rsidRDefault="00A234BE" w:rsidP="009F385C">
          <w:pPr>
            <w:pStyle w:val="Header"/>
            <w:spacing w:after="120"/>
          </w:pPr>
        </w:p>
      </w:tc>
      <w:tc>
        <w:tcPr>
          <w:tcW w:w="1872" w:type="dxa"/>
          <w:tcBorders>
            <w:bottom w:val="single" w:sz="4" w:space="0" w:color="auto"/>
          </w:tcBorders>
          <w:shd w:val="clear" w:color="auto" w:fill="auto"/>
          <w:vAlign w:val="bottom"/>
        </w:tcPr>
        <w:p w:rsidR="00A234BE" w:rsidRPr="009F385C" w:rsidRDefault="00A234BE" w:rsidP="009F385C">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A234BE" w:rsidRDefault="00A234BE" w:rsidP="009F385C">
          <w:pPr>
            <w:pStyle w:val="Header"/>
            <w:spacing w:after="120"/>
          </w:pPr>
        </w:p>
      </w:tc>
      <w:tc>
        <w:tcPr>
          <w:tcW w:w="6523" w:type="dxa"/>
          <w:gridSpan w:val="3"/>
          <w:tcBorders>
            <w:bottom w:val="single" w:sz="4" w:space="0" w:color="auto"/>
          </w:tcBorders>
          <w:shd w:val="clear" w:color="auto" w:fill="auto"/>
          <w:vAlign w:val="bottom"/>
        </w:tcPr>
        <w:p w:rsidR="00A234BE" w:rsidRPr="009F385C" w:rsidRDefault="00A234BE" w:rsidP="009F385C">
          <w:pPr>
            <w:spacing w:after="80" w:line="240" w:lineRule="auto"/>
            <w:jc w:val="right"/>
            <w:rPr>
              <w:rFonts w:ascii="Times New Roman"/>
              <w:position w:val="-4"/>
            </w:rPr>
          </w:pPr>
          <w:r>
            <w:rPr>
              <w:rFonts w:ascii="Times New Roman"/>
              <w:position w:val="-4"/>
              <w:sz w:val="40"/>
            </w:rPr>
            <w:t>CEDAW</w:t>
          </w:r>
          <w:r>
            <w:rPr>
              <w:rFonts w:ascii="Times New Roman"/>
              <w:position w:val="-4"/>
            </w:rPr>
            <w:t>/C/KAZ/Q/3-4</w:t>
          </w:r>
        </w:p>
      </w:tc>
    </w:tr>
    <w:tr w:rsidR="00A234BE" w:rsidRPr="009F385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234BE" w:rsidRDefault="00A234BE" w:rsidP="009F385C">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A234BE" w:rsidRPr="009F385C" w:rsidRDefault="00A234BE" w:rsidP="009F385C">
          <w:pPr>
            <w:pStyle w:val="Header"/>
            <w:spacing w:before="109"/>
            <w:ind w:left="-72"/>
          </w:pPr>
        </w:p>
      </w:tc>
      <w:tc>
        <w:tcPr>
          <w:tcW w:w="5227" w:type="dxa"/>
          <w:gridSpan w:val="3"/>
          <w:tcBorders>
            <w:top w:val="single" w:sz="4" w:space="0" w:color="auto"/>
            <w:bottom w:val="single" w:sz="12" w:space="0" w:color="auto"/>
          </w:tcBorders>
          <w:shd w:val="clear" w:color="auto" w:fill="auto"/>
        </w:tcPr>
        <w:p w:rsidR="00A234BE" w:rsidRPr="009F385C" w:rsidRDefault="00A234BE" w:rsidP="009F385C">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A234BE" w:rsidRPr="009F385C" w:rsidRDefault="00A234BE" w:rsidP="009F385C">
          <w:pPr>
            <w:pStyle w:val="Header"/>
            <w:spacing w:before="109"/>
          </w:pPr>
        </w:p>
      </w:tc>
      <w:tc>
        <w:tcPr>
          <w:tcW w:w="3180" w:type="dxa"/>
          <w:gridSpan w:val="2"/>
          <w:tcBorders>
            <w:top w:val="single" w:sz="4" w:space="0" w:color="auto"/>
            <w:bottom w:val="single" w:sz="12" w:space="0" w:color="auto"/>
          </w:tcBorders>
          <w:shd w:val="clear" w:color="auto" w:fill="auto"/>
        </w:tcPr>
        <w:p w:rsidR="00A234BE" w:rsidRDefault="00A234BE" w:rsidP="009F385C">
          <w:pPr>
            <w:spacing w:before="240" w:line="240" w:lineRule="exact"/>
            <w:rPr>
              <w:rFonts w:ascii="Times New Roman"/>
            </w:rPr>
          </w:pPr>
          <w:r>
            <w:rPr>
              <w:rFonts w:ascii="Times New Roman"/>
            </w:rPr>
            <w:t>Distr.: General</w:t>
          </w:r>
        </w:p>
        <w:p w:rsidR="00A234BE" w:rsidRDefault="00A234BE" w:rsidP="009F385C">
          <w:pPr>
            <w:spacing w:line="240" w:lineRule="exact"/>
            <w:rPr>
              <w:rFonts w:ascii="Times New Roman"/>
            </w:rPr>
          </w:pPr>
          <w:r>
            <w:rPr>
              <w:rFonts w:ascii="Times New Roman"/>
            </w:rPr>
            <w:t>2 August 2013</w:t>
          </w:r>
        </w:p>
        <w:p w:rsidR="00A234BE" w:rsidRDefault="00A234BE" w:rsidP="009F385C">
          <w:pPr>
            <w:spacing w:line="240" w:lineRule="exact"/>
            <w:rPr>
              <w:rFonts w:ascii="Times New Roman"/>
            </w:rPr>
          </w:pPr>
          <w:r>
            <w:rPr>
              <w:rFonts w:ascii="Times New Roman"/>
            </w:rPr>
            <w:t>Chinese</w:t>
          </w:r>
        </w:p>
        <w:p w:rsidR="00A234BE" w:rsidRPr="009F385C" w:rsidRDefault="00A234BE" w:rsidP="009F385C">
          <w:pPr>
            <w:spacing w:line="240" w:lineRule="exact"/>
            <w:rPr>
              <w:rFonts w:ascii="Times New Roman"/>
            </w:rPr>
          </w:pPr>
          <w:r>
            <w:rPr>
              <w:rFonts w:ascii="Times New Roman"/>
            </w:rPr>
            <w:t>Original: English</w:t>
          </w:r>
        </w:p>
      </w:tc>
    </w:tr>
  </w:tbl>
  <w:p w:rsidR="00A234BE" w:rsidRPr="009F385C" w:rsidRDefault="00A234BE" w:rsidP="009F385C">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1631*"/>
    <w:docVar w:name="CreationDt" w:val="18/10/2013 16:32:07"/>
    <w:docVar w:name="DocCategory" w:val="Doc"/>
    <w:docVar w:name="DocType" w:val="Final"/>
    <w:docVar w:name="FooterJN" w:val="13-41631 (C)"/>
    <w:docVar w:name="jobn" w:val="13-41631 (C)"/>
    <w:docVar w:name="jobnDT" w:val="13-41631 (C)   181013"/>
    <w:docVar w:name="jobnDTDT" w:val="13-41631 (C)   181013   181013"/>
    <w:docVar w:name="JobNo" w:val="1341631C"/>
    <w:docVar w:name="OandT" w:val="DHG"/>
    <w:docVar w:name="sss1" w:val="CEDAW/C/KAZ/Q/3-4"/>
    <w:docVar w:name="sss2" w:val="-"/>
    <w:docVar w:name="Symbol1" w:val="CEDAW/C/KAZ/Q/3-4"/>
    <w:docVar w:name="Symbol2" w:val="-"/>
  </w:docVars>
  <w:rsids>
    <w:rsidRoot w:val="009F385C"/>
    <w:rsid w:val="0000347C"/>
    <w:rsid w:val="000125BC"/>
    <w:rsid w:val="0001645E"/>
    <w:rsid w:val="00021A2B"/>
    <w:rsid w:val="00034465"/>
    <w:rsid w:val="00036AA2"/>
    <w:rsid w:val="00036F1B"/>
    <w:rsid w:val="00037444"/>
    <w:rsid w:val="00037B39"/>
    <w:rsid w:val="00044CA4"/>
    <w:rsid w:val="00044EE9"/>
    <w:rsid w:val="00045EFE"/>
    <w:rsid w:val="00056D96"/>
    <w:rsid w:val="0007337D"/>
    <w:rsid w:val="000758DF"/>
    <w:rsid w:val="00076EB8"/>
    <w:rsid w:val="000777FC"/>
    <w:rsid w:val="00077AEE"/>
    <w:rsid w:val="00082CCB"/>
    <w:rsid w:val="00083CAB"/>
    <w:rsid w:val="00095C67"/>
    <w:rsid w:val="000A31F9"/>
    <w:rsid w:val="000C1786"/>
    <w:rsid w:val="000C4DDE"/>
    <w:rsid w:val="000E240F"/>
    <w:rsid w:val="000E49A4"/>
    <w:rsid w:val="000F1058"/>
    <w:rsid w:val="000F55DC"/>
    <w:rsid w:val="00101C4E"/>
    <w:rsid w:val="001113F8"/>
    <w:rsid w:val="001212F9"/>
    <w:rsid w:val="00121328"/>
    <w:rsid w:val="0012708E"/>
    <w:rsid w:val="001329F7"/>
    <w:rsid w:val="00141322"/>
    <w:rsid w:val="0015066B"/>
    <w:rsid w:val="00150D3A"/>
    <w:rsid w:val="00153D29"/>
    <w:rsid w:val="00161E69"/>
    <w:rsid w:val="00161F54"/>
    <w:rsid w:val="00170FBE"/>
    <w:rsid w:val="00174233"/>
    <w:rsid w:val="001746A8"/>
    <w:rsid w:val="0017506F"/>
    <w:rsid w:val="001B2814"/>
    <w:rsid w:val="001B4F95"/>
    <w:rsid w:val="001C3329"/>
    <w:rsid w:val="001C3F7F"/>
    <w:rsid w:val="001C5166"/>
    <w:rsid w:val="001D0354"/>
    <w:rsid w:val="001D3F72"/>
    <w:rsid w:val="001E20EC"/>
    <w:rsid w:val="001E4442"/>
    <w:rsid w:val="001E5A51"/>
    <w:rsid w:val="001F03A7"/>
    <w:rsid w:val="001F2F76"/>
    <w:rsid w:val="00203760"/>
    <w:rsid w:val="00207135"/>
    <w:rsid w:val="002145EA"/>
    <w:rsid w:val="00231575"/>
    <w:rsid w:val="00241DB7"/>
    <w:rsid w:val="00247382"/>
    <w:rsid w:val="00252E35"/>
    <w:rsid w:val="00254858"/>
    <w:rsid w:val="00257053"/>
    <w:rsid w:val="00263B7B"/>
    <w:rsid w:val="00266257"/>
    <w:rsid w:val="00271BE6"/>
    <w:rsid w:val="0027454D"/>
    <w:rsid w:val="00277AAE"/>
    <w:rsid w:val="00280671"/>
    <w:rsid w:val="002814F9"/>
    <w:rsid w:val="00282D17"/>
    <w:rsid w:val="002A4AEF"/>
    <w:rsid w:val="002B305F"/>
    <w:rsid w:val="002B564F"/>
    <w:rsid w:val="002B5F5D"/>
    <w:rsid w:val="002B62ED"/>
    <w:rsid w:val="002C2254"/>
    <w:rsid w:val="002C3BC9"/>
    <w:rsid w:val="002C54DB"/>
    <w:rsid w:val="002D039F"/>
    <w:rsid w:val="002D0694"/>
    <w:rsid w:val="002D0B62"/>
    <w:rsid w:val="002D4ACE"/>
    <w:rsid w:val="002D5503"/>
    <w:rsid w:val="002E66D5"/>
    <w:rsid w:val="002F41E2"/>
    <w:rsid w:val="003063F6"/>
    <w:rsid w:val="00320C99"/>
    <w:rsid w:val="003274A9"/>
    <w:rsid w:val="00331221"/>
    <w:rsid w:val="00334647"/>
    <w:rsid w:val="00346223"/>
    <w:rsid w:val="00363610"/>
    <w:rsid w:val="003649EE"/>
    <w:rsid w:val="00371BC6"/>
    <w:rsid w:val="00373A15"/>
    <w:rsid w:val="00376C04"/>
    <w:rsid w:val="00383ACA"/>
    <w:rsid w:val="00384CB1"/>
    <w:rsid w:val="00394A02"/>
    <w:rsid w:val="003966E8"/>
    <w:rsid w:val="003C7B20"/>
    <w:rsid w:val="003D075F"/>
    <w:rsid w:val="003E4565"/>
    <w:rsid w:val="003E748F"/>
    <w:rsid w:val="003E7612"/>
    <w:rsid w:val="00414423"/>
    <w:rsid w:val="00433853"/>
    <w:rsid w:val="00440B0D"/>
    <w:rsid w:val="004411AD"/>
    <w:rsid w:val="004424EF"/>
    <w:rsid w:val="00453BB0"/>
    <w:rsid w:val="00460162"/>
    <w:rsid w:val="004620A8"/>
    <w:rsid w:val="00466BB5"/>
    <w:rsid w:val="004700CF"/>
    <w:rsid w:val="00487444"/>
    <w:rsid w:val="00493C9C"/>
    <w:rsid w:val="004A06D1"/>
    <w:rsid w:val="004A11FC"/>
    <w:rsid w:val="004B2C67"/>
    <w:rsid w:val="004C0224"/>
    <w:rsid w:val="004C053E"/>
    <w:rsid w:val="004C3255"/>
    <w:rsid w:val="004D07E1"/>
    <w:rsid w:val="004D1C19"/>
    <w:rsid w:val="004E739A"/>
    <w:rsid w:val="004F29B8"/>
    <w:rsid w:val="004F5E26"/>
    <w:rsid w:val="0050413E"/>
    <w:rsid w:val="00515657"/>
    <w:rsid w:val="00521275"/>
    <w:rsid w:val="0052216F"/>
    <w:rsid w:val="005232CA"/>
    <w:rsid w:val="00523636"/>
    <w:rsid w:val="0053111B"/>
    <w:rsid w:val="005335B9"/>
    <w:rsid w:val="00536CCE"/>
    <w:rsid w:val="00552CE5"/>
    <w:rsid w:val="005541E4"/>
    <w:rsid w:val="00554F60"/>
    <w:rsid w:val="00562FE7"/>
    <w:rsid w:val="0057094A"/>
    <w:rsid w:val="00570BD4"/>
    <w:rsid w:val="0057450D"/>
    <w:rsid w:val="0058302A"/>
    <w:rsid w:val="005A175A"/>
    <w:rsid w:val="005B7338"/>
    <w:rsid w:val="005C02AB"/>
    <w:rsid w:val="005C3D1A"/>
    <w:rsid w:val="005C5FC3"/>
    <w:rsid w:val="005D0F04"/>
    <w:rsid w:val="005D2204"/>
    <w:rsid w:val="005D2ABB"/>
    <w:rsid w:val="005F12F0"/>
    <w:rsid w:val="005F1AAD"/>
    <w:rsid w:val="005F3273"/>
    <w:rsid w:val="005F34A3"/>
    <w:rsid w:val="00610CF2"/>
    <w:rsid w:val="006236A1"/>
    <w:rsid w:val="006328DE"/>
    <w:rsid w:val="006353DE"/>
    <w:rsid w:val="006479F1"/>
    <w:rsid w:val="00650BEE"/>
    <w:rsid w:val="006520FA"/>
    <w:rsid w:val="0065377D"/>
    <w:rsid w:val="00666F57"/>
    <w:rsid w:val="006740A7"/>
    <w:rsid w:val="006767D5"/>
    <w:rsid w:val="00691524"/>
    <w:rsid w:val="006926DF"/>
    <w:rsid w:val="006A654B"/>
    <w:rsid w:val="006C4BB3"/>
    <w:rsid w:val="006E2924"/>
    <w:rsid w:val="006E7A26"/>
    <w:rsid w:val="006F04EF"/>
    <w:rsid w:val="006F2B3D"/>
    <w:rsid w:val="007038D4"/>
    <w:rsid w:val="007052CC"/>
    <w:rsid w:val="00715C4B"/>
    <w:rsid w:val="007319E0"/>
    <w:rsid w:val="007345AA"/>
    <w:rsid w:val="00737B00"/>
    <w:rsid w:val="0075155C"/>
    <w:rsid w:val="00753A05"/>
    <w:rsid w:val="00757193"/>
    <w:rsid w:val="00761190"/>
    <w:rsid w:val="00776537"/>
    <w:rsid w:val="00783A25"/>
    <w:rsid w:val="007843DB"/>
    <w:rsid w:val="007877F4"/>
    <w:rsid w:val="007B6BAE"/>
    <w:rsid w:val="007C74B9"/>
    <w:rsid w:val="007E1B5E"/>
    <w:rsid w:val="007E6253"/>
    <w:rsid w:val="007F2278"/>
    <w:rsid w:val="00803014"/>
    <w:rsid w:val="00805783"/>
    <w:rsid w:val="00806F57"/>
    <w:rsid w:val="00806F90"/>
    <w:rsid w:val="008246FC"/>
    <w:rsid w:val="00824C19"/>
    <w:rsid w:val="00826250"/>
    <w:rsid w:val="0083056F"/>
    <w:rsid w:val="008378D1"/>
    <w:rsid w:val="00846462"/>
    <w:rsid w:val="00860742"/>
    <w:rsid w:val="0086691F"/>
    <w:rsid w:val="00883DB0"/>
    <w:rsid w:val="00884C8F"/>
    <w:rsid w:val="00896D38"/>
    <w:rsid w:val="008A0216"/>
    <w:rsid w:val="008C076B"/>
    <w:rsid w:val="008C3296"/>
    <w:rsid w:val="008C3413"/>
    <w:rsid w:val="008E2D03"/>
    <w:rsid w:val="008E7BDF"/>
    <w:rsid w:val="008F2BB5"/>
    <w:rsid w:val="008F425D"/>
    <w:rsid w:val="008F5472"/>
    <w:rsid w:val="008F5D0F"/>
    <w:rsid w:val="009122E0"/>
    <w:rsid w:val="00913351"/>
    <w:rsid w:val="0096193C"/>
    <w:rsid w:val="009769E1"/>
    <w:rsid w:val="00977E0D"/>
    <w:rsid w:val="00982D5C"/>
    <w:rsid w:val="00986132"/>
    <w:rsid w:val="00986C04"/>
    <w:rsid w:val="009932F9"/>
    <w:rsid w:val="009A11E3"/>
    <w:rsid w:val="009A2F76"/>
    <w:rsid w:val="009B1250"/>
    <w:rsid w:val="009D2AC2"/>
    <w:rsid w:val="009E1774"/>
    <w:rsid w:val="009E2668"/>
    <w:rsid w:val="009E40A3"/>
    <w:rsid w:val="009E5C8C"/>
    <w:rsid w:val="009F10B1"/>
    <w:rsid w:val="009F385C"/>
    <w:rsid w:val="009F47E3"/>
    <w:rsid w:val="009F6938"/>
    <w:rsid w:val="00A0537D"/>
    <w:rsid w:val="00A069AD"/>
    <w:rsid w:val="00A17A85"/>
    <w:rsid w:val="00A20856"/>
    <w:rsid w:val="00A234BE"/>
    <w:rsid w:val="00A24399"/>
    <w:rsid w:val="00A24CA5"/>
    <w:rsid w:val="00A252DF"/>
    <w:rsid w:val="00A26C97"/>
    <w:rsid w:val="00A27E35"/>
    <w:rsid w:val="00A33D6D"/>
    <w:rsid w:val="00A35428"/>
    <w:rsid w:val="00A37345"/>
    <w:rsid w:val="00A40AAE"/>
    <w:rsid w:val="00A40EA9"/>
    <w:rsid w:val="00A4532A"/>
    <w:rsid w:val="00A5206D"/>
    <w:rsid w:val="00A72E47"/>
    <w:rsid w:val="00A778F1"/>
    <w:rsid w:val="00A90956"/>
    <w:rsid w:val="00A95404"/>
    <w:rsid w:val="00A968C5"/>
    <w:rsid w:val="00AA3C28"/>
    <w:rsid w:val="00AA5044"/>
    <w:rsid w:val="00AA759D"/>
    <w:rsid w:val="00AB2786"/>
    <w:rsid w:val="00AC550F"/>
    <w:rsid w:val="00AD4308"/>
    <w:rsid w:val="00AF2A33"/>
    <w:rsid w:val="00B03EFA"/>
    <w:rsid w:val="00B306BA"/>
    <w:rsid w:val="00B309DD"/>
    <w:rsid w:val="00B36621"/>
    <w:rsid w:val="00B36D64"/>
    <w:rsid w:val="00B41B48"/>
    <w:rsid w:val="00B55E1D"/>
    <w:rsid w:val="00B56194"/>
    <w:rsid w:val="00B60F41"/>
    <w:rsid w:val="00B61A34"/>
    <w:rsid w:val="00B64E8E"/>
    <w:rsid w:val="00B65E8B"/>
    <w:rsid w:val="00B8025A"/>
    <w:rsid w:val="00B827B1"/>
    <w:rsid w:val="00B9116F"/>
    <w:rsid w:val="00BB23A4"/>
    <w:rsid w:val="00BC2276"/>
    <w:rsid w:val="00BD1BFF"/>
    <w:rsid w:val="00BD2150"/>
    <w:rsid w:val="00BE1CC3"/>
    <w:rsid w:val="00BE365A"/>
    <w:rsid w:val="00BE47C4"/>
    <w:rsid w:val="00C052A2"/>
    <w:rsid w:val="00C06A4A"/>
    <w:rsid w:val="00C1391A"/>
    <w:rsid w:val="00C14CE6"/>
    <w:rsid w:val="00C15218"/>
    <w:rsid w:val="00C22BB2"/>
    <w:rsid w:val="00C2725D"/>
    <w:rsid w:val="00C31E79"/>
    <w:rsid w:val="00C403C9"/>
    <w:rsid w:val="00C42033"/>
    <w:rsid w:val="00C464DD"/>
    <w:rsid w:val="00C52423"/>
    <w:rsid w:val="00C60D8E"/>
    <w:rsid w:val="00C62EF9"/>
    <w:rsid w:val="00C672B6"/>
    <w:rsid w:val="00C76854"/>
    <w:rsid w:val="00C900C5"/>
    <w:rsid w:val="00C92AE0"/>
    <w:rsid w:val="00C943B4"/>
    <w:rsid w:val="00CA450F"/>
    <w:rsid w:val="00CA4BBC"/>
    <w:rsid w:val="00CB2B1E"/>
    <w:rsid w:val="00CC053E"/>
    <w:rsid w:val="00CC1E2C"/>
    <w:rsid w:val="00CC3E8B"/>
    <w:rsid w:val="00CC4E84"/>
    <w:rsid w:val="00CD5641"/>
    <w:rsid w:val="00CE474E"/>
    <w:rsid w:val="00CE64AC"/>
    <w:rsid w:val="00CE7DFC"/>
    <w:rsid w:val="00CF49BA"/>
    <w:rsid w:val="00CF7718"/>
    <w:rsid w:val="00D177F1"/>
    <w:rsid w:val="00D323B5"/>
    <w:rsid w:val="00D42ACC"/>
    <w:rsid w:val="00D51DC5"/>
    <w:rsid w:val="00D676D7"/>
    <w:rsid w:val="00D71517"/>
    <w:rsid w:val="00D7168D"/>
    <w:rsid w:val="00D874E1"/>
    <w:rsid w:val="00D9586D"/>
    <w:rsid w:val="00D9749C"/>
    <w:rsid w:val="00DA51B2"/>
    <w:rsid w:val="00DA6965"/>
    <w:rsid w:val="00DB0932"/>
    <w:rsid w:val="00DC2506"/>
    <w:rsid w:val="00DC49FA"/>
    <w:rsid w:val="00DD3D6B"/>
    <w:rsid w:val="00DD4467"/>
    <w:rsid w:val="00DD61C8"/>
    <w:rsid w:val="00DD772B"/>
    <w:rsid w:val="00DF742A"/>
    <w:rsid w:val="00E041F4"/>
    <w:rsid w:val="00E050BA"/>
    <w:rsid w:val="00E25442"/>
    <w:rsid w:val="00E25A1F"/>
    <w:rsid w:val="00E35B72"/>
    <w:rsid w:val="00E37EEB"/>
    <w:rsid w:val="00E5153D"/>
    <w:rsid w:val="00E710FB"/>
    <w:rsid w:val="00E806D9"/>
    <w:rsid w:val="00E82CA2"/>
    <w:rsid w:val="00E94E5A"/>
    <w:rsid w:val="00E95594"/>
    <w:rsid w:val="00EA31C3"/>
    <w:rsid w:val="00EB33AC"/>
    <w:rsid w:val="00EC669D"/>
    <w:rsid w:val="00EC6F21"/>
    <w:rsid w:val="00EE0913"/>
    <w:rsid w:val="00F01440"/>
    <w:rsid w:val="00F020E7"/>
    <w:rsid w:val="00F03676"/>
    <w:rsid w:val="00F04C64"/>
    <w:rsid w:val="00F13305"/>
    <w:rsid w:val="00F40463"/>
    <w:rsid w:val="00F50336"/>
    <w:rsid w:val="00F55E5B"/>
    <w:rsid w:val="00F569BC"/>
    <w:rsid w:val="00F62E3F"/>
    <w:rsid w:val="00F67F90"/>
    <w:rsid w:val="00F77B3E"/>
    <w:rsid w:val="00F833CB"/>
    <w:rsid w:val="00F87754"/>
    <w:rsid w:val="00F90A4B"/>
    <w:rsid w:val="00F90C56"/>
    <w:rsid w:val="00FB143C"/>
    <w:rsid w:val="00FC1CE4"/>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single"/>
    </w:rPr>
  </w:style>
  <w:style w:type="character" w:styleId="FollowedHyperlink">
    <w:name w:val="FollowedHyperlink"/>
    <w:basedOn w:val="DefaultParagraphFont"/>
    <w:rsid w:val="00036F1B"/>
    <w:rPr>
      <w:color w:val="0000FF"/>
      <w:u w:val="single"/>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h/CEDAW/C/KAZ/CO/2" TargetMode="Externa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h/CEDAW/C/KAZ/CO/2" TargetMode="External"/><Relationship Id="rId2" Type="http://schemas.openxmlformats.org/officeDocument/2006/relationships/settings" Target="settings.xml"/><Relationship Id="rId16" Type="http://schemas.openxmlformats.org/officeDocument/2006/relationships/hyperlink" Target="http://undocs.org/ch/CEDAW/C/KAZ/CO/2"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h/CEDAW/C/KAZ/CO/2" TargetMode="External"/><Relationship Id="rId10" Type="http://schemas.openxmlformats.org/officeDocument/2006/relationships/header" Target="header3.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h/CEDAW/C/KAZ/CO/2"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34</TotalTime>
  <Pages>1</Pages>
  <Words>1861</Words>
  <Characters>1956</Characters>
  <Application>Microsoft Office Outlook</Application>
  <DocSecurity>4</DocSecurity>
  <Lines>72</Lines>
  <Paragraphs>36</Paragraphs>
  <ScaleCrop>false</ScaleCrop>
  <Company>UNHQ</Company>
  <LinksUpToDate>false</LinksUpToDate>
  <CharactersWithSpaces>3781</CharactersWithSpaces>
  <SharedDoc>false</SharedDoc>
  <HLinks>
    <vt:vector size="30" baseType="variant">
      <vt:variant>
        <vt:i4>786458</vt:i4>
      </vt:variant>
      <vt:variant>
        <vt:i4>12</vt:i4>
      </vt:variant>
      <vt:variant>
        <vt:i4>0</vt:i4>
      </vt:variant>
      <vt:variant>
        <vt:i4>5</vt:i4>
      </vt:variant>
      <vt:variant>
        <vt:lpwstr>http://undocs.org/ch/CEDAW/C/KAZ/CO/2</vt:lpwstr>
      </vt:variant>
      <vt:variant>
        <vt:lpwstr/>
      </vt:variant>
      <vt:variant>
        <vt:i4>786458</vt:i4>
      </vt:variant>
      <vt:variant>
        <vt:i4>9</vt:i4>
      </vt:variant>
      <vt:variant>
        <vt:i4>0</vt:i4>
      </vt:variant>
      <vt:variant>
        <vt:i4>5</vt:i4>
      </vt:variant>
      <vt:variant>
        <vt:lpwstr>http://undocs.org/ch/CEDAW/C/KAZ/CO/2</vt:lpwstr>
      </vt:variant>
      <vt:variant>
        <vt:lpwstr/>
      </vt:variant>
      <vt:variant>
        <vt:i4>786458</vt:i4>
      </vt:variant>
      <vt:variant>
        <vt:i4>6</vt:i4>
      </vt:variant>
      <vt:variant>
        <vt:i4>0</vt:i4>
      </vt:variant>
      <vt:variant>
        <vt:i4>5</vt:i4>
      </vt:variant>
      <vt:variant>
        <vt:lpwstr>http://undocs.org/ch/CEDAW/C/KAZ/CO/2</vt:lpwstr>
      </vt:variant>
      <vt:variant>
        <vt:lpwstr/>
      </vt:variant>
      <vt:variant>
        <vt:i4>786458</vt:i4>
      </vt:variant>
      <vt:variant>
        <vt:i4>3</vt:i4>
      </vt:variant>
      <vt:variant>
        <vt:i4>0</vt:i4>
      </vt:variant>
      <vt:variant>
        <vt:i4>5</vt:i4>
      </vt:variant>
      <vt:variant>
        <vt:lpwstr>http://undocs.org/ch/CEDAW/C/KAZ/CO/2</vt:lpwstr>
      </vt:variant>
      <vt:variant>
        <vt:lpwstr/>
      </vt:variant>
      <vt:variant>
        <vt:i4>786458</vt:i4>
      </vt:variant>
      <vt:variant>
        <vt:i4>0</vt:i4>
      </vt:variant>
      <vt:variant>
        <vt:i4>0</vt:i4>
      </vt:variant>
      <vt:variant>
        <vt:i4>5</vt:i4>
      </vt:variant>
      <vt:variant>
        <vt:lpwstr>http://undocs.org/ch/CEDAW/C/KAZ/CO/2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Huangui.Du</dc:creator>
  <cp:keywords/>
  <dc:description/>
  <cp:lastModifiedBy>Huangui.Du</cp:lastModifiedBy>
  <cp:revision>10</cp:revision>
  <cp:lastPrinted>2013-10-18T15:42:00Z</cp:lastPrinted>
  <dcterms:created xsi:type="dcterms:W3CDTF">2013-10-18T15:29:00Z</dcterms:created>
  <dcterms:modified xsi:type="dcterms:W3CDTF">2013-10-18T16:03:00Z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1341631</vt:lpwstr>
  </property>
  <property fmtid="{D5CDD505-2E9C-101B-9397-08002B2CF9AE}" pid="3" name="Symbol1">
    <vt:lpwstr>CEDAW/C/KAZ/Q/3-4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4</vt:lpwstr>
  </property>
  <property fmtid="{D5CDD505-2E9C-101B-9397-08002B2CF9AE}" pid="8" name="Operator">
    <vt:lpwstr>DHG</vt:lpwstr>
  </property>
</Properties>
</file>