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rect id="_x0000_s1031" style="position:absolute;margin-left:165.6pt;margin-top:127.6pt;width:165.5pt;height:38pt;z-index:-1;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Consejo Económico y Social</w:t>
                  </w:r>
                </w:p>
              </w:txbxContent>
            </v:textbox>
            <w10:wrap anchorx="page" anchory="page"/>
          </v:rect>
        </w:pict>
      </w:r>
      <w:r>
        <w:rPr>
          <w:noProof/>
        </w:rPr>
        <w:pict>
          <v:rect id="_x0000_s1030" style="position:absolute;margin-left:.05pt;margin-top:249.5pt;width:467.7pt;height:4.25pt;z-index:-2;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5.05pt;margin-top:113.4pt;width:68.05pt;height:63.9pt;z-index:4;visibility:visible;mso-wrap-edited:f;mso-position-horizontal:absolute;mso-position-horizontal-relative:page;mso-position-vertical:absolute;mso-position-vertical-relative:page" o:allowincell="f">
            <v:imagedata r:id="rId6" o:title=""/>
            <w10:wrap anchorx="page" anchory="page"/>
          </v:shape>
          <o:OLEObject Type="Embed" ProgID="Word.Picture.8" ShapeID="_x0000_s1029" DrawAspect="Content" ObjectID="_1444561496" r:id="rId7"/>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 id="_x0000_s1027" type="#_x0000_t202" style="position:absolute;margin-left:510.3pt;margin-top:51.05pt;width:42.5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E</w:t>
                  </w:r>
                </w:p>
              </w:txbxContent>
            </v:textbox>
            <w10:wrap anchorx="page" anchory="page"/>
          </v:shape>
        </w:pict>
      </w:r>
    </w:p>
    <w:p w:rsidR="00000000" w:rsidRDefault="00000000">
      <w:pPr>
        <w:rPr>
          <w:lang w:val="es-ES_tradnl"/>
        </w:rPr>
      </w:pPr>
    </w:p>
    <w:p w:rsidR="00000000" w:rsidRDefault="00000000">
      <w:pPr>
        <w:spacing w:after="240"/>
        <w:ind w:left="7088"/>
        <w:rPr>
          <w:lang w:val="es-ES_tradnl"/>
        </w:rPr>
      </w:pPr>
      <w:r>
        <w:rPr>
          <w:lang w:val="es-ES_tradnl"/>
        </w:rPr>
        <w:t>Distr.</w:t>
      </w:r>
      <w:r>
        <w:rPr>
          <w:lang w:val="es-ES_tradnl"/>
        </w:rPr>
        <w:br/>
        <w:t>GENERAL</w:t>
      </w:r>
    </w:p>
    <w:p w:rsidR="00000000" w:rsidRDefault="00000000">
      <w:pPr>
        <w:spacing w:after="240"/>
        <w:ind w:left="7088"/>
        <w:rPr>
          <w:lang w:val="es-ES_tradnl"/>
        </w:rPr>
      </w:pPr>
      <w:r>
        <w:rPr>
          <w:lang w:val="es-ES_tradnl"/>
        </w:rPr>
        <w:t>E/C.12/1999/10</w:t>
      </w:r>
      <w:r>
        <w:rPr>
          <w:lang w:val="es-ES_tradnl"/>
        </w:rPr>
        <w:br/>
        <w:t>8 de diciembre de 1999</w:t>
      </w:r>
    </w:p>
    <w:p w:rsidR="00000000" w:rsidRDefault="00000000">
      <w:pPr>
        <w:spacing w:after="720"/>
        <w:ind w:left="7088"/>
        <w:rPr>
          <w:lang w:val="es-ES_tradnl"/>
        </w:rPr>
      </w:pPr>
      <w:r>
        <w:rPr>
          <w:lang w:val="es-ES_tradnl"/>
        </w:rPr>
        <w:t>ESPAÑOL</w:t>
      </w:r>
      <w:r>
        <w:rPr>
          <w:lang w:val="es-ES_tradnl"/>
        </w:rPr>
        <w:br/>
        <w:t>Original:  INGLÉS</w:t>
      </w:r>
    </w:p>
    <w:p w:rsidR="00000000" w:rsidRDefault="00000000">
      <w:pPr>
        <w:spacing w:after="720"/>
        <w:rPr>
          <w:lang w:val="es-ES_tradnl"/>
        </w:rPr>
      </w:pPr>
      <w:r>
        <w:rPr>
          <w:lang w:val="es-ES_tradnl"/>
        </w:rPr>
        <w:t>COMITÉ DE DERECHOS ECONÓMICOS,</w:t>
      </w:r>
      <w:r>
        <w:rPr>
          <w:lang w:val="es-ES_tradnl"/>
        </w:rPr>
        <w:br/>
        <w:t xml:space="preserve">  SOCIALES Y CULTURALES</w:t>
      </w:r>
      <w:r>
        <w:rPr>
          <w:lang w:val="es-ES_tradnl"/>
        </w:rPr>
        <w:br/>
        <w:t>21º período de sesiones</w:t>
      </w:r>
      <w:r>
        <w:rPr>
          <w:lang w:val="es-ES_tradnl"/>
        </w:rPr>
        <w:br/>
        <w:t>15 de noviembre a 3 de diciembre de 1999</w:t>
      </w:r>
    </w:p>
    <w:p w:rsidR="00000000" w:rsidRDefault="00000000">
      <w:pPr>
        <w:spacing w:after="480"/>
        <w:jc w:val="center"/>
        <w:rPr>
          <w:lang w:val="es-ES_tradnl"/>
        </w:rPr>
      </w:pPr>
      <w:r>
        <w:rPr>
          <w:lang w:val="es-ES_tradnl"/>
        </w:rPr>
        <w:t>APLICACIÓN DEL PACTO INTERNACIONAL DE DERECHOS</w:t>
      </w:r>
      <w:r>
        <w:rPr>
          <w:lang w:val="es-ES_tradnl"/>
        </w:rPr>
        <w:br/>
        <w:t>ECONÓMICOS, SOCIALES Y CULTURALES</w:t>
      </w:r>
    </w:p>
    <w:p w:rsidR="00000000" w:rsidRDefault="00000000">
      <w:pPr>
        <w:spacing w:after="240"/>
        <w:jc w:val="center"/>
        <w:rPr>
          <w:u w:val="single"/>
          <w:lang w:val="es-ES_tradnl"/>
        </w:rPr>
      </w:pPr>
      <w:r>
        <w:rPr>
          <w:u w:val="single"/>
          <w:lang w:val="es-ES_tradnl"/>
        </w:rPr>
        <w:t>Observaciones generales 13 (21º período de sesiones, 1999)</w:t>
      </w:r>
    </w:p>
    <w:p w:rsidR="00000000" w:rsidRDefault="00000000">
      <w:pPr>
        <w:spacing w:after="240"/>
        <w:jc w:val="center"/>
        <w:rPr>
          <w:lang w:val="es-ES_tradnl"/>
        </w:rPr>
      </w:pPr>
      <w:r>
        <w:rPr>
          <w:u w:val="single"/>
          <w:lang w:val="es-ES_tradnl"/>
        </w:rPr>
        <w:t>El derecho a la educación (artículo 13 del Pacto)</w:t>
      </w:r>
    </w:p>
    <w:p w:rsidR="00000000" w:rsidRDefault="00000000">
      <w:pPr>
        <w:spacing w:after="240"/>
        <w:rPr>
          <w:lang w:val="es-ES_tradnl"/>
        </w:rPr>
      </w:pPr>
      <w:r>
        <w:rPr>
          <w:lang w:val="es-ES_tradnl"/>
        </w:rPr>
        <w:t>1.</w:t>
      </w:r>
      <w:r>
        <w:rPr>
          <w:lang w:val="es-ES_tradnl"/>
        </w:rPr>
        <w:tab/>
        <w:t>La educación es un derecho humano intrínseco y un medio indispensable de realizar otros derechos humanos.  Como derecho del ámbito de la autonomía de la persona, la educación es el principal medio que permite a adultos y menores marginados económica y socialmente salir de la pobreza y participar plenamente en sus comunidades.  La educación desempeña un papel decisivo en la emancipación de la mujer, la protección de los niños contra la explotación laboral, el trabajo peligroso y la explotación sexual, la promoción de los derechos humanos y la democracia, la protección del medio ambiente y el control del crecimiento demográfico.  Está cada vez más aceptada la idea de que la educación es una de las mejores inversiones financieras que los Estados pueden hacer, pero su importancia no es únicamente práctica pues dispone de una mente instruida, inteligente y activa, con libertad y amplitud de pensamiento, es uno de los placeres y recompensas de la existencia humana.</w:t>
      </w:r>
    </w:p>
    <w:p w:rsidR="00000000" w:rsidRDefault="00000000">
      <w:pPr>
        <w:spacing w:after="240"/>
        <w:rPr>
          <w:lang w:val="es-ES_tradnl"/>
        </w:rPr>
      </w:pPr>
      <w:r>
        <w:rPr>
          <w:lang w:val="es-ES_tradnl"/>
        </w:rPr>
        <w:t>2.</w:t>
      </w:r>
      <w:r>
        <w:rPr>
          <w:lang w:val="es-ES_tradnl"/>
        </w:rPr>
        <w:tab/>
        <w:t>El Pacto Internacional de Derechos Económicos, Sociales y Culturales dedica dos artículos al derecho a la educación, los artículos 13 y 14.  El artículo 13, la disposición más extensa del Pacto, es el artículo de alcance más amplio y más exhaustivo sobre el derecho a la educación de toda la litigación internacional sobre los derechos humanos.  El Comité ya ha aprobado la Observación general 11 sobre el artículo 14 (planes de acción para la enseñanza primaria); la Observación general 11 y la presente observación general son complementarias y deben</w:t>
      </w:r>
    </w:p>
    <w:p w:rsidR="00000000" w:rsidRDefault="00000000">
      <w:pPr>
        <w:spacing w:after="240"/>
        <w:rPr>
          <w:lang w:val="es-ES_tradnl"/>
        </w:rPr>
      </w:pPr>
      <w:r>
        <w:rPr>
          <w:lang w:val="es-ES_tradnl"/>
        </w:rPr>
        <w:t>GE.99-46219 (S)</w:t>
      </w:r>
    </w:p>
    <w:p w:rsidR="00000000" w:rsidRDefault="00000000">
      <w:pPr>
        <w:spacing w:after="240"/>
        <w:rPr>
          <w:lang w:val="es-ES_tradnl"/>
        </w:rPr>
      </w:pPr>
      <w:r>
        <w:rPr>
          <w:lang w:val="es-ES_tradnl"/>
        </w:rPr>
        <w:t>examinarse conjuntamente.  El Comité sabe que, para millones de personas de todo el mundo, el disfrute del derecho a la educación sigue siendo un objetivo lejano.  Más aún, en muchos casos, este objetivo se aleja cada vez más.  El Comité también tiene conciencia de los extraordinarios obstáculos estructurales y de otro tipo que impiden la aplicación plena del artículo 13 en muchos Estados Partes.</w:t>
      </w:r>
    </w:p>
    <w:p w:rsidR="00000000" w:rsidRDefault="00000000">
      <w:pPr>
        <w:spacing w:after="480"/>
        <w:rPr>
          <w:rStyle w:val="Espaciado1"/>
          <w:lang w:val="es-ES_tradnl"/>
        </w:rPr>
      </w:pPr>
      <w:r>
        <w:rPr>
          <w:lang w:val="es-ES_tradnl"/>
        </w:rPr>
        <w:t>3.</w:t>
      </w:r>
      <w:r>
        <w:rPr>
          <w:lang w:val="es-ES_tradnl"/>
        </w:rPr>
        <w:tab/>
        <w:t>Con miras a ayudar a los Estados Partes a aplicar el Pacto y cumplir sus obligaciones en materia de prestación de informes, esta Observación general está consagrada al contenido normativo del artículo 13 (parte I, párrs. 4 a 42), a algunas de las obligaciones que de él se desprenden (parte II, párrs. 43 a 57) y a algunas violaciones caracterizadas (parte II, párrs. 58 y 59).  En la parte III se recogen breves observaciones acerca de las obligaciones de otros agentes que los Estados Partes.  Se basa en la amplia experiencia adquirida por el Comité en el examen de los informes de los Estados Partes a lo largo de muchos años.</w:t>
      </w:r>
    </w:p>
    <w:p w:rsidR="00000000" w:rsidRDefault="00000000">
      <w:pPr>
        <w:spacing w:after="240"/>
        <w:jc w:val="center"/>
        <w:rPr>
          <w:rStyle w:val="Espaciado1"/>
          <w:lang w:val="es-ES_tradnl"/>
        </w:rPr>
      </w:pPr>
      <w:r>
        <w:rPr>
          <w:rStyle w:val="Espaciado1"/>
          <w:lang w:val="es-ES_tradnl"/>
        </w:rPr>
        <w:t>I.  CONTENIDO NORMATIVO DEL ARTÍCULO 13</w:t>
      </w:r>
    </w:p>
    <w:p w:rsidR="00000000" w:rsidRDefault="00000000">
      <w:pPr>
        <w:spacing w:after="240"/>
        <w:rPr>
          <w:rStyle w:val="Espaciado1"/>
          <w:lang w:val="es-ES_tradnl"/>
        </w:rPr>
      </w:pPr>
      <w:r>
        <w:rPr>
          <w:rStyle w:val="Espaciado1"/>
          <w:u w:val="single"/>
          <w:lang w:val="es-ES_tradnl"/>
        </w:rPr>
        <w:t>Párrafo 1 del artículo 13</w:t>
      </w:r>
      <w:r>
        <w:rPr>
          <w:rStyle w:val="Espaciado1"/>
          <w:lang w:val="es-ES_tradnl"/>
        </w:rPr>
        <w:t xml:space="preserve"> - </w:t>
      </w:r>
      <w:r>
        <w:rPr>
          <w:rStyle w:val="Espaciado1"/>
          <w:u w:val="single"/>
          <w:lang w:val="es-ES_tradnl"/>
        </w:rPr>
        <w:t>Propósitos y objetivos de la educación</w:t>
      </w:r>
    </w:p>
    <w:p w:rsidR="00000000" w:rsidRDefault="00000000">
      <w:pPr>
        <w:spacing w:after="240"/>
        <w:rPr>
          <w:lang w:val="es-ES_tradnl"/>
        </w:rPr>
      </w:pPr>
      <w:r>
        <w:rPr>
          <w:lang w:val="es-ES_tradnl"/>
        </w:rPr>
        <w:t>4.</w:t>
      </w:r>
      <w:r>
        <w:rPr>
          <w:lang w:val="es-ES_tradnl"/>
        </w:rPr>
        <w:tab/>
        <w:t>Los Estados Partes convienen en que toda la enseñanza, ya sea pública o privada, escolar o extraescolar, debe orientarse hacia los propósitos y objetivos que se definen en el párrafo 1 del artículo 13.  El Comité observa que estos objetivos de la educación reflejan los propósitos y principios fundamentales de las Naciones Unidas, consagrados en los Artículos 1 y 2 de la Carta.  Se encuentran asimismo, en su mayor parte, en el párrafo 2 del artículo 26 de la Declaración Universal de Derechos Humanos, si bien el párrafo 1 del artículo 13 amplía la Declaración desde tres puntos de vista:  la educación debe orientarse al desarrollo del sentido de la dignidad de la personalidad humana, debe capacitar a todas las personas para participar efectivamente en una sociedad libre y debe favorecer la comprensión entre todos los grupos étnicos, y entre las naciones y los grupos raciales y religiosos.  De todos esos objetivos de la educación que son comunes al párrafo 2 del artículo 26 de la Declaración Universal de Derechos Humanos y al párrafo 1 del artículo 13 del Pacto, acaso el  fundamental sea el que afirma que "la educación debe orientarse hacia el pleno desarrollo de la personalidad humana".</w:t>
      </w:r>
    </w:p>
    <w:p w:rsidR="00000000" w:rsidRDefault="00000000">
      <w:pPr>
        <w:spacing w:after="240"/>
        <w:rPr>
          <w:lang w:val="es-ES_tradnl"/>
        </w:rPr>
      </w:pPr>
      <w:r>
        <w:rPr>
          <w:lang w:val="es-ES_tradnl"/>
        </w:rPr>
        <w:t>5.</w:t>
      </w:r>
      <w:r>
        <w:rPr>
          <w:lang w:val="es-ES_tradnl"/>
        </w:rPr>
        <w:tab/>
        <w:t>El Comité toma nota de que, desde que la Asamblea General aprobó el Pacto en 1966, otros instrumentos internacionales han seguido desarrollando los objetivos a los que debe dirigirse la educación y, por consiguiente, considera que los  Estados Partes tienen la obligación de velar por que la educación se adecue a los propósitos y objetivos expuestos en el párrafo 1 del artículo 13, interpretados a la luz de la Declaración Mundial sobre Educación para Todos (Jomtien, Tailandia, 1990) (art. 1), la Convención sobre los Derechos del Niño (párrafo 1 del artículo 29), la Declaración y Plan de Acción de Viena (parte I, párr. 33, y parte II, párr. 80), y el Plan de Acción para el Decenio de las Naciones Unidas para la educación en la esfera de los derechos humanos (párr. 2).  Todos estos textos tienen grandes coincidencias con el párrafo 1 del artículo 13 del Pacto, pero también incluyen elementos que no están contemplados expresamente en él, por ejemplo, referencias concretas a la igualdad entre los sexos y el respeto del medio ambiente.  Estos nuevos elementos están implícitos y reflejan una interpretación contemporánea del párrafo 1 del artículo 13.  La opinión del Comité se sustenta en el amplio apoyo que los textos que se acaba de mencionar han recibido en todas las regiones del mundo</w:t>
      </w:r>
      <w:r>
        <w:rPr>
          <w:rStyle w:val="EndnoteReference"/>
          <w:lang w:val="es-ES_tradnl"/>
        </w:rPr>
        <w:endnoteReference w:id="1"/>
      </w:r>
    </w:p>
    <w:p w:rsidR="00000000" w:rsidRDefault="00000000">
      <w:pPr>
        <w:spacing w:after="240"/>
        <w:rPr>
          <w:rStyle w:val="Espaciado1"/>
          <w:lang w:val="es-ES_tradnl"/>
        </w:rPr>
      </w:pPr>
      <w:r>
        <w:rPr>
          <w:rStyle w:val="Espaciado1"/>
          <w:u w:val="single"/>
          <w:lang w:val="es-ES_tradnl"/>
        </w:rPr>
        <w:t>Párrafo 2 del artículo 13</w:t>
      </w:r>
      <w:r>
        <w:rPr>
          <w:rStyle w:val="Espaciado1"/>
          <w:lang w:val="es-ES_tradnl"/>
        </w:rPr>
        <w:t xml:space="preserve"> - </w:t>
      </w:r>
      <w:r>
        <w:rPr>
          <w:rStyle w:val="Espaciado1"/>
          <w:u w:val="single"/>
          <w:lang w:val="es-ES_tradnl"/>
        </w:rPr>
        <w:t>El derecho a recibir educación, observaciones generales</w:t>
      </w:r>
    </w:p>
    <w:p w:rsidR="00000000" w:rsidRDefault="00000000">
      <w:pPr>
        <w:spacing w:after="240"/>
        <w:rPr>
          <w:lang w:val="es-ES_tradnl"/>
        </w:rPr>
      </w:pPr>
      <w:r>
        <w:rPr>
          <w:lang w:val="es-ES_tradnl"/>
        </w:rPr>
        <w:t>6.</w:t>
      </w:r>
      <w:r>
        <w:rPr>
          <w:lang w:val="es-ES_tradnl"/>
        </w:rPr>
        <w:tab/>
        <w:t>Si bien la aplicación precisa y pertinente de los requisitos dependerá de las condiciones que imperen en un determinado Estado Parte, la educación en todas sus formas y en todos los niveles debe tener las siguientes cuatro características interrelacionadas</w:t>
      </w:r>
      <w:r>
        <w:rPr>
          <w:rStyle w:val="EndnoteReference"/>
          <w:lang w:val="es-ES_tradnl"/>
        </w:rPr>
        <w:endnoteReference w:id="2"/>
      </w:r>
      <w:r>
        <w:rPr>
          <w:lang w:val="es-ES_tradnl"/>
        </w:rPr>
        <w:t>:</w:t>
      </w:r>
    </w:p>
    <w:p w:rsidR="00000000" w:rsidRDefault="00000000">
      <w:pPr>
        <w:spacing w:after="240"/>
        <w:ind w:left="1134" w:hanging="567"/>
        <w:rPr>
          <w:lang w:val="es-ES_tradnl"/>
        </w:rPr>
      </w:pPr>
      <w:r>
        <w:rPr>
          <w:lang w:val="es-ES_tradnl"/>
        </w:rPr>
        <w:t>a)</w:t>
      </w:r>
      <w:r>
        <w:rPr>
          <w:lang w:val="es-ES_tradnl"/>
        </w:rPr>
        <w:tab/>
      </w:r>
      <w:r>
        <w:rPr>
          <w:u w:val="single"/>
          <w:lang w:val="es-ES_tradnl"/>
        </w:rPr>
        <w:t>Disponibilidad</w:t>
      </w:r>
      <w:r>
        <w:rPr>
          <w:lang w:val="es-ES_tradnl"/>
        </w:rPr>
        <w:t>.  Debe haber instituciones y programas de enseñanza en cantidad suficiente en el ámbito del Estado Parte.  Las condiciones para que funcionen dependen de numerosos factores, entre otros, el contexto de desarrollo en el que actúan; por ejemplo, las instituciones y los programas probablemente necesiten edificios u otra protección contra los elementos, instalaciones sanitarias para ambos sexos, agua potable, docentes calificados con salarios competitivos, materiales de enseñanza, etc.; algunos necesitarán además bibliotecas, servicios de informática, tecnología de la información, etc.;</w:t>
      </w:r>
    </w:p>
    <w:p w:rsidR="00000000" w:rsidRDefault="00000000">
      <w:pPr>
        <w:spacing w:after="240"/>
        <w:ind w:left="1134" w:hanging="567"/>
        <w:rPr>
          <w:lang w:val="es-ES_tradnl"/>
        </w:rPr>
      </w:pPr>
      <w:r>
        <w:rPr>
          <w:lang w:val="es-ES_tradnl"/>
        </w:rPr>
        <w:t>b)</w:t>
      </w:r>
      <w:r>
        <w:rPr>
          <w:lang w:val="es-ES_tradnl"/>
        </w:rPr>
        <w:tab/>
      </w:r>
      <w:r>
        <w:rPr>
          <w:u w:val="single"/>
          <w:lang w:val="es-ES_tradnl"/>
        </w:rPr>
        <w:t>Accesibilidad</w:t>
      </w:r>
      <w:r>
        <w:rPr>
          <w:lang w:val="es-ES_tradnl"/>
        </w:rPr>
        <w:t>.  Las instituciones y los programas de enseñanza han de ser accesibles a todos, sin discriminación, en el ámbito del Estado Parte.  La accesibilidad consta de tres dimensiones que coinciden parcialmente:</w:t>
      </w:r>
    </w:p>
    <w:p w:rsidR="00000000" w:rsidRDefault="00000000">
      <w:pPr>
        <w:tabs>
          <w:tab w:val="right" w:pos="1304"/>
        </w:tabs>
        <w:spacing w:after="240"/>
        <w:ind w:left="1701" w:hanging="1701"/>
        <w:rPr>
          <w:lang w:val="es-ES_tradnl"/>
        </w:rPr>
      </w:pPr>
      <w:r>
        <w:rPr>
          <w:lang w:val="es-ES_tradnl"/>
        </w:rPr>
        <w:tab/>
        <w:t>i)</w:t>
      </w:r>
      <w:r>
        <w:rPr>
          <w:lang w:val="es-ES_tradnl"/>
        </w:rPr>
        <w:tab/>
      </w:r>
      <w:r>
        <w:rPr>
          <w:u w:val="single"/>
          <w:lang w:val="es-ES_tradnl"/>
        </w:rPr>
        <w:t>No discriminación</w:t>
      </w:r>
      <w:r>
        <w:rPr>
          <w:lang w:val="es-ES_tradnl"/>
        </w:rPr>
        <w:t>.  La educación debe ser accesible a todos, especialmente a los grupos no vulnerables de hecho y de derecho, sin discriminación por ninguno de los motivos prohibidos (véanse los párrafos 31 a 37 sobre la no discriminación).</w:t>
      </w:r>
    </w:p>
    <w:p w:rsidR="00000000" w:rsidRDefault="00000000">
      <w:pPr>
        <w:tabs>
          <w:tab w:val="right" w:pos="1304"/>
        </w:tabs>
        <w:spacing w:after="240"/>
        <w:ind w:left="1701" w:hanging="1701"/>
        <w:rPr>
          <w:lang w:val="es-ES_tradnl"/>
        </w:rPr>
      </w:pPr>
      <w:r>
        <w:rPr>
          <w:lang w:val="es-ES_tradnl"/>
        </w:rPr>
        <w:tab/>
        <w:t>ii)</w:t>
      </w:r>
      <w:r>
        <w:rPr>
          <w:lang w:val="es-ES_tradnl"/>
        </w:rPr>
        <w:tab/>
      </w:r>
      <w:r>
        <w:rPr>
          <w:u w:val="single"/>
          <w:lang w:val="es-ES_tradnl"/>
        </w:rPr>
        <w:t>Accesibilidad material</w:t>
      </w:r>
      <w:r>
        <w:rPr>
          <w:lang w:val="es-ES_tradnl"/>
        </w:rPr>
        <w:t>.  La educación ha de ser asequible materialmente, ya sea por su localización geográfica de acceso razonable (por ejemplo, una escuela vecinal) o por medio de la tecnología moderna (mediante el acceso a programas de educación a distancia).</w:t>
      </w:r>
    </w:p>
    <w:p w:rsidR="00000000" w:rsidRDefault="00000000">
      <w:pPr>
        <w:tabs>
          <w:tab w:val="right" w:pos="1304"/>
        </w:tabs>
        <w:spacing w:after="240"/>
        <w:ind w:left="1701" w:hanging="1701"/>
        <w:rPr>
          <w:lang w:val="es-ES_tradnl"/>
        </w:rPr>
      </w:pPr>
      <w:r>
        <w:rPr>
          <w:lang w:val="es-ES_tradnl"/>
        </w:rPr>
        <w:tab/>
        <w:t>iii)</w:t>
      </w:r>
      <w:r>
        <w:rPr>
          <w:lang w:val="es-ES_tradnl"/>
        </w:rPr>
        <w:tab/>
      </w:r>
      <w:r>
        <w:rPr>
          <w:u w:val="single"/>
          <w:lang w:val="es-ES_tradnl"/>
        </w:rPr>
        <w:t>Accesibilidad económica</w:t>
      </w:r>
      <w:r>
        <w:rPr>
          <w:lang w:val="es-ES_tradnl"/>
        </w:rPr>
        <w:t>.  La educación ha de estar al alcance de todos.  Esta dimensión de la accesibilidad está condicionada por las diferencias de redacción del párrafo 2 del artículo 13 respecto de la enseñanza primaria, secundaria y superior:  mientras que la enseñanza primaria ha de ser gratuita para todos, se pide a los Estados Partes que implanten gradualmente la enseñanza secundaria y superior gratuita.</w:t>
      </w:r>
    </w:p>
    <w:p w:rsidR="00000000" w:rsidRDefault="00000000">
      <w:pPr>
        <w:spacing w:after="240"/>
        <w:ind w:left="1134" w:hanging="567"/>
        <w:rPr>
          <w:lang w:val="es-ES_tradnl"/>
        </w:rPr>
      </w:pPr>
      <w:r>
        <w:rPr>
          <w:lang w:val="es-ES_tradnl"/>
        </w:rPr>
        <w:t>c)</w:t>
      </w:r>
      <w:r>
        <w:rPr>
          <w:lang w:val="es-ES_tradnl"/>
        </w:rPr>
        <w:tab/>
      </w:r>
      <w:r>
        <w:rPr>
          <w:u w:val="single"/>
          <w:lang w:val="es-ES_tradnl"/>
        </w:rPr>
        <w:t>Aceptabilidad</w:t>
      </w:r>
      <w:r>
        <w:rPr>
          <w:lang w:val="es-ES_tradnl"/>
        </w:rPr>
        <w:t>.  La forma y el fondo de la educación, comprendidos los programas de estudio y los métodos pedagógicos, han de ser aceptables (por ejemplo, pertinentes, adecuados culturalmente y de buena calidad) para los estudiantes y, cuando proceda, los padres; este punto está supeditado a los objetivos de la educación mencionados en el párrafo 1 del artículo 13 y a las normas mínimas que el Estado apruebe en materia de enseñanza (véanse los párrafos 3 y 4 del artículo 13);</w:t>
      </w:r>
    </w:p>
    <w:p w:rsidR="00000000" w:rsidRDefault="00000000">
      <w:pPr>
        <w:spacing w:after="240"/>
        <w:ind w:left="1134" w:hanging="567"/>
        <w:rPr>
          <w:lang w:val="es-ES_tradnl"/>
        </w:rPr>
      </w:pPr>
      <w:r>
        <w:rPr>
          <w:lang w:val="es-ES_tradnl"/>
        </w:rPr>
        <w:t>d)</w:t>
      </w:r>
      <w:r>
        <w:rPr>
          <w:lang w:val="es-ES_tradnl"/>
        </w:rPr>
        <w:tab/>
      </w:r>
      <w:r>
        <w:rPr>
          <w:u w:val="single"/>
          <w:lang w:val="es-ES_tradnl"/>
        </w:rPr>
        <w:t>Adaptabilidad</w:t>
      </w:r>
      <w:r>
        <w:rPr>
          <w:lang w:val="es-ES_tradnl"/>
        </w:rPr>
        <w:t>.  La educación ha de tener la flexibilidad necesaria para adaptarse a las necesidades de sociedades y comunidades en transformación y responder a las necesidades de los alumnos en contextos culturales y sociales variados.</w:t>
      </w:r>
    </w:p>
    <w:p w:rsidR="00000000" w:rsidRDefault="00000000">
      <w:pPr>
        <w:spacing w:after="240"/>
        <w:rPr>
          <w:rStyle w:val="Espaciado1"/>
          <w:lang w:val="es-ES_tradnl"/>
        </w:rPr>
      </w:pPr>
      <w:r>
        <w:rPr>
          <w:lang w:val="es-ES_tradnl"/>
        </w:rPr>
        <w:t>7.</w:t>
      </w:r>
      <w:r>
        <w:rPr>
          <w:lang w:val="es-ES_tradnl"/>
        </w:rPr>
        <w:tab/>
        <w:t>Al considerar la correcta aplicación de estas "características interrelacionadas y fundamentales", se habrán de tener en cuenta ante todo los superiores intereses de los alumnos.</w:t>
      </w:r>
    </w:p>
    <w:p w:rsidR="00000000" w:rsidRDefault="00000000">
      <w:pPr>
        <w:spacing w:after="240"/>
        <w:rPr>
          <w:rStyle w:val="Espaciado1"/>
          <w:lang w:val="es-ES_tradnl"/>
        </w:rPr>
      </w:pPr>
      <w:r>
        <w:rPr>
          <w:rStyle w:val="Espaciado1"/>
          <w:u w:val="single"/>
          <w:lang w:val="es-ES_tradnl"/>
        </w:rPr>
        <w:t>Apartado a) del párrafo 2 del artículo 13</w:t>
      </w:r>
      <w:r>
        <w:rPr>
          <w:rStyle w:val="Espaciado1"/>
          <w:lang w:val="es-ES_tradnl"/>
        </w:rPr>
        <w:t xml:space="preserve"> - </w:t>
      </w:r>
      <w:r>
        <w:rPr>
          <w:rStyle w:val="Espaciado1"/>
          <w:u w:val="single"/>
          <w:lang w:val="es-ES_tradnl"/>
        </w:rPr>
        <w:t>El derecho a la enseñanza primaria</w:t>
      </w:r>
    </w:p>
    <w:p w:rsidR="00000000" w:rsidRDefault="00000000">
      <w:pPr>
        <w:spacing w:after="240"/>
        <w:rPr>
          <w:lang w:val="es-ES_tradnl"/>
        </w:rPr>
      </w:pPr>
      <w:r>
        <w:rPr>
          <w:lang w:val="es-ES_tradnl"/>
        </w:rPr>
        <w:t>8.</w:t>
      </w:r>
      <w:r>
        <w:rPr>
          <w:lang w:val="es-ES_tradnl"/>
        </w:rPr>
        <w:tab/>
        <w:t>La enseñanza primaria comprende los elementos de disponibilidad, accesibilidad, aceptabilidad y adaptabilidad que son comunes a la educación en todas sus formas y en todos los niveles</w:t>
      </w:r>
      <w:r>
        <w:rPr>
          <w:rStyle w:val="EndnoteReference"/>
          <w:lang w:val="es-ES_tradnl"/>
        </w:rPr>
        <w:endnoteReference w:id="3"/>
      </w:r>
      <w:r>
        <w:rPr>
          <w:lang w:val="es-ES_tradnl"/>
        </w:rPr>
        <w:t>.</w:t>
      </w:r>
    </w:p>
    <w:p w:rsidR="00000000" w:rsidRDefault="00000000">
      <w:pPr>
        <w:spacing w:after="240"/>
        <w:rPr>
          <w:lang w:val="es-ES_tradnl"/>
        </w:rPr>
      </w:pPr>
      <w:r>
        <w:rPr>
          <w:lang w:val="es-ES_tradnl"/>
        </w:rPr>
        <w:t>9.</w:t>
      </w:r>
      <w:r>
        <w:rPr>
          <w:lang w:val="es-ES_tradnl"/>
        </w:rPr>
        <w:tab/>
        <w:t>Para la interpretación correcta de "enseñanza primaria", el Comité se guía por la Declaración Mundial sobre Educación para Todos, donde se afirma:  "El principal sistema para impartir la educación básica fuera de la familia es la escuela primaria.  La educación primaria debe ser universal, garantizar la satisfacción de las necesidades básicas de aprendizaje de todos los niños y tener en cuenta la cultura, las necesidades y las posibilidades de la comunidad" (art. 5).  La Declaración define "las necesidades básicas de aprendizaje" en su artículo 1</w:t>
      </w:r>
      <w:r>
        <w:rPr>
          <w:rStyle w:val="EndnoteReference"/>
          <w:lang w:val="es-ES_tradnl"/>
        </w:rPr>
        <w:endnoteReference w:id="4"/>
      </w:r>
      <w:r>
        <w:rPr>
          <w:lang w:val="es-ES_tradnl"/>
        </w:rPr>
        <w:t>.  Si bien enseñanza primaria no es sinónimo de educación básica, hay una estrecha correlación entre ambas.  A este respecto, el Comité suscribe la posición del UNICEF:  "la enseñanza primaria es el componente más importante de la educación básica"</w:t>
      </w:r>
      <w:r>
        <w:rPr>
          <w:rStyle w:val="EndnoteReference"/>
          <w:lang w:val="es-ES_tradnl"/>
        </w:rPr>
        <w:endnoteReference w:id="5"/>
      </w:r>
    </w:p>
    <w:p w:rsidR="00000000" w:rsidRDefault="00000000">
      <w:pPr>
        <w:spacing w:after="240"/>
        <w:rPr>
          <w:rStyle w:val="Espaciado1"/>
          <w:lang w:val="es-ES_tradnl"/>
        </w:rPr>
      </w:pPr>
      <w:r>
        <w:rPr>
          <w:lang w:val="es-ES_tradnl"/>
        </w:rPr>
        <w:t>10.</w:t>
      </w:r>
      <w:r>
        <w:rPr>
          <w:lang w:val="es-ES_tradnl"/>
        </w:rPr>
        <w:tab/>
        <w:t>Según la formulación del apartado a) del párrafo 2 del artículo 13, la enseñanza primaria tiene dos rasgos distintivos:  es "obligatoria" y "asequible a todos gratuitamente".  Véanse las observaciones del Comité sobre ambas expresiones en los párrafos 6 y 7 de la Observación general 11 sobre el artículo 14 del Pacto.</w:t>
      </w:r>
    </w:p>
    <w:p w:rsidR="00000000" w:rsidRDefault="00000000">
      <w:pPr>
        <w:spacing w:after="240"/>
        <w:rPr>
          <w:rStyle w:val="Espaciado1"/>
          <w:lang w:val="es-ES_tradnl"/>
        </w:rPr>
      </w:pPr>
      <w:r>
        <w:rPr>
          <w:rStyle w:val="Espaciado1"/>
          <w:u w:val="single"/>
          <w:lang w:val="es-ES_tradnl"/>
        </w:rPr>
        <w:t>Apartado b) del párrafo 2 del artículo 13 - El derecho a la enseñanza secundaria</w:t>
      </w:r>
    </w:p>
    <w:p w:rsidR="00000000" w:rsidRDefault="00000000">
      <w:pPr>
        <w:spacing w:after="240"/>
        <w:rPr>
          <w:lang w:val="es-ES_tradnl"/>
        </w:rPr>
      </w:pPr>
      <w:r>
        <w:rPr>
          <w:lang w:val="es-ES_tradnl"/>
        </w:rPr>
        <w:t>11.</w:t>
      </w:r>
      <w:r>
        <w:rPr>
          <w:lang w:val="es-ES_tradnl"/>
        </w:rPr>
        <w:tab/>
        <w:t>La enseñanza secundaria comprende los elementos de disponibilidad, accesibilidad, aceptabilidad y adaptabilidad que son comunes a la enseñanza en todas sus formas y en todos los niveles</w:t>
      </w:r>
      <w:r>
        <w:rPr>
          <w:rStyle w:val="EndnoteReference"/>
          <w:lang w:val="es-ES_tradnl"/>
        </w:rPr>
        <w:endnoteReference w:id="6"/>
      </w:r>
      <w:r>
        <w:rPr>
          <w:lang w:val="es-ES_tradnl"/>
        </w:rPr>
        <w:t>.</w:t>
      </w:r>
    </w:p>
    <w:p w:rsidR="00000000" w:rsidRDefault="00000000">
      <w:pPr>
        <w:spacing w:after="240"/>
        <w:rPr>
          <w:lang w:val="es-ES_tradnl"/>
        </w:rPr>
      </w:pPr>
      <w:r>
        <w:rPr>
          <w:lang w:val="es-ES_tradnl"/>
        </w:rPr>
        <w:t>12.</w:t>
      </w:r>
      <w:r>
        <w:rPr>
          <w:lang w:val="es-ES_tradnl"/>
        </w:rPr>
        <w:tab/>
        <w:t>Aunque el contenido de la enseñanza secundaria varía entre los Estados Partes y con el correr del tiempo, implica la conclusión de la educación básica y la consolidación de los fundamentos del desarrollo humano y del aprendizaje a lo largo de toda la vida.  Prepara a los estudiantes para la enseñanza superior y profesional</w:t>
      </w:r>
      <w:r>
        <w:rPr>
          <w:rStyle w:val="EndnoteReference"/>
          <w:lang w:val="es-ES_tradnl"/>
        </w:rPr>
        <w:endnoteReference w:id="7"/>
      </w:r>
      <w:r>
        <w:rPr>
          <w:lang w:val="es-ES_tradnl"/>
        </w:rPr>
        <w:t>.  El apartado b) del párrafo 2 del artículo 13 se aplica a la enseñanza secundaria "en sus diferentes formas", reconociéndose con ello que la enseñanza secundaria exige planes de estudio flexibles y sistemas de instrucción variados que se adapten a las necesidades de los alumnos en distintos contextos sociales y culturales.  El Comité estimula la elaboración y la aplicación de programas "alternativos" en paralelo con los sistemas de las escuelas secundarias normales.</w:t>
      </w:r>
    </w:p>
    <w:p w:rsidR="00000000" w:rsidRDefault="00000000">
      <w:pPr>
        <w:spacing w:after="240"/>
        <w:rPr>
          <w:lang w:val="es-ES_tradnl"/>
        </w:rPr>
      </w:pPr>
      <w:r>
        <w:rPr>
          <w:lang w:val="es-ES_tradnl"/>
        </w:rPr>
        <w:t>13.</w:t>
      </w:r>
      <w:r>
        <w:rPr>
          <w:lang w:val="es-ES_tradnl"/>
        </w:rPr>
        <w:tab/>
        <w:t xml:space="preserve">De conformidad con el apartado b) del párrafo 2 del artículo 13, la enseñanza secundaria debe "ser generalizada y hacerse accesible a todos, por cuantos medios sean apropiados, y en particular por la implantación progresiva de la enseñanza gratuita".  La expresión "generalizada" significa, en primer lugar, que la enseñanza secundaria no depende de la aptitud o idoneidad aparentes de un alumno y en segundo lugar, que se impartirá en todo el Estado de forma tal que todos puedan acceder a ella en igualdad de condiciones.  Véase en el párrafo 10 </w:t>
      </w:r>
      <w:r>
        <w:rPr>
          <w:u w:val="single"/>
          <w:lang w:val="es-ES_tradnl"/>
        </w:rPr>
        <w:t>supra</w:t>
      </w:r>
      <w:r>
        <w:rPr>
          <w:lang w:val="es-ES_tradnl"/>
        </w:rPr>
        <w:t xml:space="preserve"> la interpretación que el Comité hace de "accesible".  Para la interpretación de "accesible" por el Comité, véase el párrafo 6 </w:t>
      </w:r>
      <w:r>
        <w:rPr>
          <w:u w:val="single"/>
          <w:lang w:val="es-ES_tradnl"/>
        </w:rPr>
        <w:t>supra</w:t>
      </w:r>
      <w:r>
        <w:rPr>
          <w:lang w:val="es-ES_tradnl"/>
        </w:rPr>
        <w:t>.  La expresión "por cuantos medios sean apropiados" refuerza el argumento de que los Estados Partes deben adoptar criterios variados e innovadores en lo que respecta a la enseñanza secundaria en distintos contextos sociales y culturales.</w:t>
      </w:r>
    </w:p>
    <w:p w:rsidR="00000000" w:rsidRDefault="00000000">
      <w:pPr>
        <w:spacing w:after="240"/>
        <w:rPr>
          <w:rStyle w:val="Espaciado1"/>
          <w:lang w:val="es-ES_tradnl"/>
        </w:rPr>
      </w:pPr>
      <w:r>
        <w:rPr>
          <w:lang w:val="es-ES_tradnl"/>
        </w:rPr>
        <w:t>14.</w:t>
      </w:r>
      <w:r>
        <w:rPr>
          <w:lang w:val="es-ES_tradnl"/>
        </w:rPr>
        <w:tab/>
        <w:t>"La implantación progresiva de la enseñanza gratuita" significa que, si bien los Estados deben atender prioritariamente a la enseñanza primaria gratuita, también tienen la obligación de adoptar medidas concretas para implantar la enseñanza secundaria y superior gratuitas.  Véase el párrafo 7 de la Observación general 11 sobre el artículo 14 en lo que respecta a las observaciones generales del Comité sobre el significado de "gratuito".</w:t>
      </w:r>
    </w:p>
    <w:p w:rsidR="00000000" w:rsidRDefault="00000000">
      <w:pPr>
        <w:spacing w:after="240"/>
        <w:rPr>
          <w:rStyle w:val="Espaciado1"/>
          <w:lang w:val="es-ES_tradnl"/>
        </w:rPr>
      </w:pPr>
      <w:r>
        <w:rPr>
          <w:rStyle w:val="Espaciado1"/>
          <w:u w:val="single"/>
          <w:lang w:val="es-ES_tradnl"/>
        </w:rPr>
        <w:t>Enseñanza técnica y profesional</w:t>
      </w:r>
    </w:p>
    <w:p w:rsidR="00000000" w:rsidRDefault="00000000">
      <w:pPr>
        <w:spacing w:after="240"/>
        <w:rPr>
          <w:lang w:val="es-ES_tradnl"/>
        </w:rPr>
      </w:pPr>
      <w:r>
        <w:rPr>
          <w:lang w:val="es-ES_tradnl"/>
        </w:rPr>
        <w:t>15.</w:t>
      </w:r>
      <w:r>
        <w:rPr>
          <w:lang w:val="es-ES_tradnl"/>
        </w:rPr>
        <w:tab/>
        <w:t>La enseñanza técnica y profesional forma parte del derecho a la educación y del derecho al trabajo (párrafo 2 del artículo 6).  El apartado b) del párrafo 2 del artículo 13 presenta la enseñanza técnica y profesional como parte de la enseñanza secundaria, lo que refleja su importancia especial en ese nivel de la enseñanza.  El párrafo 2 del artículo 6, en cambio, no menciona la enseñanza técnica y profesional en relación con un nivel específico de educación, por entender que tiene un papel más amplio, ya que permite "conseguir un desarrollo económico, social y cultural constante y la ocupación plena y productiva".  Asimismo, en la Declaración Universal de Derechos Humanos se afirma que "la instrucción técnica y profesional habrá de ser generalizada" (párrafo 1 del artículo 26).  En consecuencia, el Comité considera que la enseñanza técnica y profesional constituye un elemento integral de todos los niveles de la enseñanza</w:t>
      </w:r>
      <w:r>
        <w:rPr>
          <w:rStyle w:val="EndnoteReference"/>
          <w:lang w:val="es-ES_tradnl"/>
        </w:rPr>
        <w:endnoteReference w:id="8"/>
      </w:r>
      <w:r>
        <w:rPr>
          <w:lang w:val="es-ES_tradnl"/>
        </w:rPr>
        <w:t>.</w:t>
      </w:r>
    </w:p>
    <w:p w:rsidR="00000000" w:rsidRDefault="00000000">
      <w:pPr>
        <w:spacing w:after="240"/>
        <w:rPr>
          <w:lang w:val="es-ES_tradnl"/>
        </w:rPr>
      </w:pPr>
      <w:r>
        <w:rPr>
          <w:lang w:val="es-ES_tradnl"/>
        </w:rPr>
        <w:t>16.</w:t>
      </w:r>
      <w:r>
        <w:rPr>
          <w:lang w:val="es-ES_tradnl"/>
        </w:rPr>
        <w:tab/>
        <w:t>La iniciación al mundo del trabajo y la tecnología no debería limitarse a programas de enseñanza técnica y profesional concretos, sino entenderse como componente de la enseñanza general.  Con arreglo a la Convención de la UNESCO sobre la Enseñanza Técnica y Profesional</w:t>
      </w:r>
      <w:r>
        <w:t> </w:t>
      </w:r>
      <w:r>
        <w:rPr>
          <w:lang w:val="es-ES_tradnl"/>
        </w:rPr>
        <w:t>(1989), esa enseñanza se refiere a "todas las formas y niveles del proceso de educación que incluye, además de los conocimientos generales, el estudio de las técnicas y de las disciplinas afines, la adquisición de habilidades prácticas, de conocimientos prácticos y de aptitudes, y la comprensión de los diferentes oficios en los diversos sectores de la vida económica y social" (párrafo a) del artículo 1)  Entendido de esta forma, perspectiva adaptada igualmente en determinados Convenios de la OIT</w:t>
      </w:r>
      <w:r>
        <w:rPr>
          <w:rStyle w:val="EndnoteReference"/>
          <w:lang w:val="es-ES_tradnl"/>
        </w:rPr>
        <w:endnoteReference w:id="9"/>
      </w:r>
      <w:r>
        <w:rPr>
          <w:lang w:val="es-ES_tradnl"/>
        </w:rPr>
        <w:t>, el derecho a la enseñanza técnica y profesional abarca los siguientes aspectos:</w:t>
      </w:r>
    </w:p>
    <w:p w:rsidR="00000000" w:rsidRDefault="00000000">
      <w:pPr>
        <w:spacing w:after="240"/>
        <w:ind w:left="1134" w:hanging="567"/>
        <w:rPr>
          <w:lang w:val="es-ES_tradnl"/>
        </w:rPr>
      </w:pPr>
      <w:r>
        <w:rPr>
          <w:lang w:val="es-ES_tradnl"/>
        </w:rPr>
        <w:t>a)</w:t>
      </w:r>
      <w:r>
        <w:rPr>
          <w:lang w:val="es-ES_tradnl"/>
        </w:rPr>
        <w:tab/>
        <w:t>Capacita a los estudiantes para adquirir conocimientos y competencias que contribuyan a su desarrollo personal, su posibilidad de valerse por sí mismos y acrecienta la productividad de sus familias y comunidades, comprendido el desarrollo social y económico del Estado Parte;</w:t>
      </w:r>
    </w:p>
    <w:p w:rsidR="00000000" w:rsidRDefault="00000000">
      <w:pPr>
        <w:spacing w:after="240"/>
        <w:ind w:left="1134" w:hanging="567"/>
        <w:rPr>
          <w:lang w:val="es-ES_tradnl"/>
        </w:rPr>
      </w:pPr>
      <w:r>
        <w:rPr>
          <w:lang w:val="es-ES_tradnl"/>
        </w:rPr>
        <w:t>b)</w:t>
      </w:r>
      <w:r>
        <w:rPr>
          <w:lang w:val="es-ES_tradnl"/>
        </w:rPr>
        <w:tab/>
        <w:t>Tiene en cuenta las circunstancias sociales, culturales y educativas de la población en cuestión; las competencias, los conocimientos y los niveles de calificación necesarios en los diversos sectores de la economía; y el bienestar, la higiene y la seguridad laborales;</w:t>
      </w:r>
    </w:p>
    <w:p w:rsidR="00000000" w:rsidRDefault="00000000">
      <w:pPr>
        <w:spacing w:after="240"/>
        <w:ind w:left="1134" w:hanging="567"/>
        <w:rPr>
          <w:lang w:val="es-ES_tradnl"/>
        </w:rPr>
      </w:pPr>
      <w:r>
        <w:rPr>
          <w:lang w:val="es-ES_tradnl"/>
        </w:rPr>
        <w:t>c)</w:t>
      </w:r>
      <w:r>
        <w:rPr>
          <w:lang w:val="es-ES_tradnl"/>
        </w:rPr>
        <w:tab/>
        <w:t>Se ocupa de reciclar a los adultos cuyos conocimientos y competencias hayan quedado atrasados a causa de las transformaciones tecnológicas, económicas, laborales, sociales, etc.;</w:t>
      </w:r>
    </w:p>
    <w:p w:rsidR="00000000" w:rsidRDefault="00000000">
      <w:pPr>
        <w:spacing w:after="240"/>
        <w:ind w:left="1134" w:hanging="567"/>
        <w:rPr>
          <w:lang w:val="es-ES_tradnl"/>
        </w:rPr>
      </w:pPr>
      <w:r>
        <w:rPr>
          <w:lang w:val="es-ES_tradnl"/>
        </w:rPr>
        <w:t>d)</w:t>
      </w:r>
      <w:r>
        <w:rPr>
          <w:lang w:val="es-ES_tradnl"/>
        </w:rPr>
        <w:tab/>
        <w:t>Consiste en programas que den a los estudiantes, especialmente a los de los países en desarrollo, la posibilidad de recibir enseñanza técnica y profesional en otros Estados, con vistas a una transferencia y una adaptación de tecnología correctas;</w:t>
      </w:r>
    </w:p>
    <w:p w:rsidR="00000000" w:rsidRDefault="00000000">
      <w:pPr>
        <w:spacing w:after="240"/>
        <w:ind w:left="1134" w:hanging="567"/>
        <w:rPr>
          <w:rStyle w:val="Espaciado1"/>
          <w:lang w:val="es-ES_tradnl"/>
        </w:rPr>
      </w:pPr>
      <w:r>
        <w:rPr>
          <w:lang w:val="es-ES_tradnl"/>
        </w:rPr>
        <w:t>e)</w:t>
      </w:r>
      <w:r>
        <w:rPr>
          <w:lang w:val="es-ES_tradnl"/>
        </w:rPr>
        <w:tab/>
        <w:t>En el contexto de las disposiciones del Pacto relativas a la no discriminación y la igualdad, consiste en programas encaminados a promover la enseñanza destinada a las mujeres, las niñas, los jóvenes no escolarizados, los jóvenes sin empleo, los hijos de trabajadores migrantes, los refugiados, las personas con discapacidad y otros grupos desfavorecidos.</w:t>
      </w:r>
    </w:p>
    <w:p w:rsidR="00000000" w:rsidRDefault="00000000">
      <w:pPr>
        <w:spacing w:after="240"/>
        <w:rPr>
          <w:rStyle w:val="Espaciado1"/>
          <w:lang w:val="es-ES_tradnl"/>
        </w:rPr>
      </w:pPr>
      <w:r>
        <w:rPr>
          <w:rStyle w:val="Espaciado1"/>
          <w:u w:val="single"/>
          <w:lang w:val="es-ES_tradnl"/>
        </w:rPr>
        <w:t>Apartado c) del párrafo 2 del artículo 13</w:t>
      </w:r>
      <w:r>
        <w:rPr>
          <w:rStyle w:val="Espaciado1"/>
          <w:lang w:val="es-ES_tradnl"/>
        </w:rPr>
        <w:t xml:space="preserve"> - E</w:t>
      </w:r>
      <w:r>
        <w:rPr>
          <w:rStyle w:val="Espaciado1"/>
          <w:u w:val="single"/>
          <w:lang w:val="es-ES_tradnl"/>
        </w:rPr>
        <w:t>l derecho a la enseñanza superior</w:t>
      </w:r>
    </w:p>
    <w:p w:rsidR="00000000" w:rsidRDefault="00000000">
      <w:pPr>
        <w:spacing w:after="240"/>
        <w:rPr>
          <w:lang w:val="es-ES_tradnl"/>
        </w:rPr>
      </w:pPr>
      <w:r>
        <w:rPr>
          <w:lang w:val="es-ES_tradnl"/>
        </w:rPr>
        <w:t>17.</w:t>
      </w:r>
      <w:r>
        <w:rPr>
          <w:lang w:val="es-ES_tradnl"/>
        </w:rPr>
        <w:tab/>
        <w:t>La enseñanza superior comprende los elementos de disponibilidad, accesibilidad, aceptabilidad y adaptabilidad, que son comunes a la enseñanza en todas sus formas y en todos los niveles</w:t>
      </w:r>
      <w:r>
        <w:rPr>
          <w:rStyle w:val="EndnoteReference"/>
          <w:lang w:val="es-ES_tradnl"/>
        </w:rPr>
        <w:endnoteReference w:id="10"/>
      </w:r>
      <w:r>
        <w:rPr>
          <w:lang w:val="es-ES_tradnl"/>
        </w:rPr>
        <w:t>.</w:t>
      </w:r>
    </w:p>
    <w:p w:rsidR="00000000" w:rsidRDefault="00000000">
      <w:pPr>
        <w:spacing w:after="240"/>
        <w:rPr>
          <w:lang w:val="es-ES_tradnl"/>
        </w:rPr>
      </w:pPr>
      <w:r>
        <w:rPr>
          <w:lang w:val="es-ES_tradnl"/>
        </w:rPr>
        <w:t>18.</w:t>
      </w:r>
      <w:r>
        <w:rPr>
          <w:lang w:val="es-ES_tradnl"/>
        </w:rPr>
        <w:tab/>
        <w:t>Si bien el apartado c) del párrafo 2 del artículo 13 sigue la misma tónica del apartado b) del párrafo 2 del artículo 13, no hace referencia ni a la educación "en sus diferentes formas" ni concretamente a la enseñanza técnica y profesional, omisiones que reflejan sólo una diferencia entre el apartado b) y el c) del párrafo 2 del artículo 13 en relación con la prioridad atribuida.  Para que la enseñanza superior responda a las necesidades de los alumnos en distintos contextos sociales y culturales, es preciso que los planes de estudio sean flexibles y los sistemas de instrucción variados, con utilización incluso de la enseñanza a distancia; por consiguiente, en la práctica, tanto la enseñanza secundaria como superior han de estar disponibles "en diferentes formas".  En cuanto a la inexistencia en el apartado c) del párrafo 2 del artículo 13, de referencia a la enseñanza técnica y profesional, el párrafo 2 del artículo 6 del Pacto y el párrafo 1 del artículo 26 de la Declaración Universal de Derechos Humanos significan que la enseñanza técnica y profesional forma parte integral de todos los niveles de enseñanza, comprendida la superior</w:t>
      </w:r>
      <w:r>
        <w:rPr>
          <w:rStyle w:val="EndnoteReference"/>
          <w:lang w:val="es-ES_tradnl"/>
        </w:rPr>
        <w:endnoteReference w:id="11"/>
      </w:r>
      <w:r>
        <w:rPr>
          <w:lang w:val="es-ES_tradnl"/>
        </w:rPr>
        <w:t>.</w:t>
      </w:r>
    </w:p>
    <w:p w:rsidR="00000000" w:rsidRDefault="00000000">
      <w:pPr>
        <w:spacing w:after="240"/>
        <w:rPr>
          <w:lang w:val="es-ES_tradnl"/>
        </w:rPr>
      </w:pPr>
      <w:r>
        <w:rPr>
          <w:lang w:val="es-ES_tradnl"/>
        </w:rPr>
        <w:t>19.</w:t>
      </w:r>
      <w:r>
        <w:rPr>
          <w:lang w:val="es-ES_tradnl"/>
        </w:rPr>
        <w:tab/>
        <w:t>La tercera diferencia, y la más significativa, entre los apartados b) y c) del párrafo 2 del artículo 13 estriba en que, si bien la enseñanza secundaria "debe ser generalizada y hacerse accesible a todos", la enseñanza superior "debe hacerse igualmente accesible a todos, sobre la base de la capacidad de cada uno".  Según el apartado c) del párrafo 2 del artículo 13, la enseñanza superior no "debe ser generalizada", sino sólo disponible "sobre la base de la capacidad", capacidad que habrá de valorarse con respecto a los conocimientos especializados y la experiencia de cada cual.</w:t>
      </w:r>
    </w:p>
    <w:p w:rsidR="00000000" w:rsidRDefault="00000000">
      <w:pPr>
        <w:spacing w:after="240"/>
        <w:rPr>
          <w:rStyle w:val="Espaciado1"/>
          <w:lang w:val="es-ES_tradnl"/>
        </w:rPr>
      </w:pPr>
      <w:r>
        <w:rPr>
          <w:lang w:val="es-ES_tradnl"/>
        </w:rPr>
        <w:t>20.</w:t>
      </w:r>
      <w:r>
        <w:rPr>
          <w:lang w:val="es-ES_tradnl"/>
        </w:rPr>
        <w:tab/>
        <w:t>Teniendo en cuenta que la redacción de los apartados b) y c) del párrafo 2 del artículo 13 es la misma (por ejemplo "la implantación progresiva en la enseñanza gratuita"), véanse las observaciones anteriores sobre el apartado b) del párrafo 2 del artículo 13.</w:t>
      </w:r>
    </w:p>
    <w:p w:rsidR="00000000" w:rsidRDefault="00000000">
      <w:pPr>
        <w:spacing w:after="240"/>
        <w:rPr>
          <w:rStyle w:val="Espaciado1"/>
          <w:lang w:val="es-ES_tradnl"/>
        </w:rPr>
      </w:pPr>
      <w:r>
        <w:rPr>
          <w:rStyle w:val="Espaciado1"/>
          <w:u w:val="single"/>
          <w:lang w:val="es-ES_tradnl"/>
        </w:rPr>
        <w:t>Apartado d) del párrafo 2 del artículo 13</w:t>
      </w:r>
      <w:r>
        <w:rPr>
          <w:rStyle w:val="Espaciado1"/>
          <w:lang w:val="es-ES_tradnl"/>
        </w:rPr>
        <w:t xml:space="preserve"> - </w:t>
      </w:r>
      <w:r>
        <w:rPr>
          <w:rStyle w:val="Espaciado1"/>
          <w:u w:val="single"/>
          <w:lang w:val="es-ES_tradnl"/>
        </w:rPr>
        <w:t>El derecho a la educación fundamental</w:t>
      </w:r>
    </w:p>
    <w:p w:rsidR="00000000" w:rsidRDefault="00000000">
      <w:pPr>
        <w:spacing w:after="240"/>
        <w:rPr>
          <w:lang w:val="es-ES_tradnl"/>
        </w:rPr>
      </w:pPr>
      <w:r>
        <w:rPr>
          <w:lang w:val="es-ES_tradnl"/>
        </w:rPr>
        <w:t>21.</w:t>
      </w:r>
      <w:r>
        <w:rPr>
          <w:lang w:val="es-ES_tradnl"/>
        </w:rPr>
        <w:tab/>
        <w:t>La educación fundamental comprende los elementos de disponibilidad, accesibilidad, aceptabilidad y adaptabilidad que son comunes a la enseñanza en todas sus formas y en todos los niveles</w:t>
      </w:r>
      <w:r>
        <w:rPr>
          <w:rStyle w:val="EndnoteReference"/>
          <w:lang w:val="es-ES_tradnl"/>
        </w:rPr>
        <w:endnoteReference w:id="12"/>
      </w:r>
      <w:r>
        <w:rPr>
          <w:lang w:val="es-ES_tradnl"/>
        </w:rPr>
        <w:t>.</w:t>
      </w:r>
    </w:p>
    <w:p w:rsidR="00000000" w:rsidRDefault="00000000">
      <w:pPr>
        <w:spacing w:after="240"/>
        <w:rPr>
          <w:lang w:val="es-ES_tradnl"/>
        </w:rPr>
      </w:pPr>
      <w:r>
        <w:rPr>
          <w:lang w:val="es-ES_tradnl"/>
        </w:rPr>
        <w:t>22.</w:t>
      </w:r>
      <w:r>
        <w:rPr>
          <w:lang w:val="es-ES_tradnl"/>
        </w:rPr>
        <w:tab/>
        <w:t>En términos generales, la educación fundamental corresponde a la enseñanza básica, según lo expuesto en la Declaración Mundial sobre Educación para Todos</w:t>
      </w:r>
      <w:r>
        <w:rPr>
          <w:rStyle w:val="EndnoteReference"/>
          <w:lang w:val="es-ES_tradnl"/>
        </w:rPr>
        <w:endnoteReference w:id="13"/>
      </w:r>
      <w:r>
        <w:rPr>
          <w:lang w:val="es-ES_tradnl"/>
        </w:rPr>
        <w:t>.  Con arreglo al apartado d) del párrafo 2 del artículo 13, las personas "que no hayan recibido o terminado el ciclo completo de instrucción primaria" tienen derecho a la educación fundamental, o a la enseñanza básica, conforme a la definición que figura en la Declaración Mundial sobre Educación para Todos.</w:t>
      </w:r>
    </w:p>
    <w:p w:rsidR="00000000" w:rsidRDefault="00000000">
      <w:pPr>
        <w:spacing w:after="240"/>
        <w:rPr>
          <w:lang w:val="es-ES_tradnl"/>
        </w:rPr>
      </w:pPr>
      <w:r>
        <w:rPr>
          <w:lang w:val="es-ES_tradnl"/>
        </w:rPr>
        <w:t>23.</w:t>
      </w:r>
      <w:r>
        <w:rPr>
          <w:lang w:val="es-ES_tradnl"/>
        </w:rPr>
        <w:tab/>
        <w:t>Puesto que todos tienen el derecho de satisfacer sus "necesidades básicas de aprendizaje", con arreglo a la Declaración Mundial, el derecho a la educación fundamental no se limita a los que "no hayan recibido o terminado el ciclo completo de instrucción primaria".  El derecho a la educación fundamental se aplica a todos los que todavía no han satisfecho sus "necesidades básicas de aprendizaje".</w:t>
      </w:r>
    </w:p>
    <w:p w:rsidR="00000000" w:rsidRDefault="00000000">
      <w:pPr>
        <w:spacing w:after="240"/>
        <w:rPr>
          <w:rStyle w:val="Espaciado1"/>
          <w:lang w:val="es-ES_tradnl"/>
        </w:rPr>
      </w:pPr>
      <w:r>
        <w:rPr>
          <w:lang w:val="es-ES_tradnl"/>
        </w:rPr>
        <w:t>24.</w:t>
      </w:r>
      <w:r>
        <w:rPr>
          <w:lang w:val="es-ES_tradnl"/>
        </w:rPr>
        <w:tab/>
        <w:t>Debe hacerse hincapié en que el goce del derecho a la educación fundamental no está limitado por la edad ni el sexo; se aplica a niños, jóvenes y adultos, incluidas las personas mayores.  La educación fundamental, por consiguiente, es un componente integral de la educación de adultos y de la educación permanente.  Habida cuenta de que la educación fundamental es un derecho de todos los grupos de edad, deben formularse planes de estudio y los correspondientes sistemas que sean idóneos para alumnos de todas las edades.</w:t>
      </w:r>
    </w:p>
    <w:p w:rsidR="00000000" w:rsidRDefault="00000000">
      <w:pPr>
        <w:spacing w:after="240"/>
        <w:rPr>
          <w:rStyle w:val="Espaciado1"/>
          <w:lang w:val="es-ES_tradnl"/>
        </w:rPr>
      </w:pPr>
      <w:r>
        <w:rPr>
          <w:rStyle w:val="Espaciado1"/>
          <w:u w:val="single"/>
          <w:lang w:val="es-ES_tradnl"/>
        </w:rPr>
        <w:t>Apartado e) del párrafo 2 del artículo 13</w:t>
      </w:r>
      <w:r>
        <w:rPr>
          <w:rStyle w:val="Espaciado1"/>
          <w:lang w:val="es-ES_tradnl"/>
        </w:rPr>
        <w:t xml:space="preserve"> - </w:t>
      </w:r>
      <w:r>
        <w:rPr>
          <w:rStyle w:val="Espaciado1"/>
          <w:u w:val="single"/>
          <w:lang w:val="es-ES_tradnl"/>
        </w:rPr>
        <w:t>El sistema escolar; sistema adecuado de becas; condiciones materiales del cuerpo docente</w:t>
      </w:r>
    </w:p>
    <w:p w:rsidR="00000000" w:rsidRDefault="00000000">
      <w:pPr>
        <w:spacing w:after="240"/>
        <w:rPr>
          <w:lang w:val="es-ES_tradnl"/>
        </w:rPr>
      </w:pPr>
      <w:r>
        <w:rPr>
          <w:lang w:val="es-ES_tradnl"/>
        </w:rPr>
        <w:t>25.</w:t>
      </w:r>
      <w:r>
        <w:rPr>
          <w:lang w:val="es-ES_tradnl"/>
        </w:rPr>
        <w:tab/>
        <w:t>La exigencia de "proseguir activamente el desarrollo del sistema escolar en todos los ciclos de la enseñanza" significa que el Estado Parte tiene la obligación de formular una estrategia global de desarrollo de su sistema escolar, la cual debe abarcar la escolarización en todos los niveles, pero el Pacto exige que los Estados Partes den prioridad a la enseñanza primaria (véase el párrafo 51).  "Proseguir activamente" indica que, en cierta medida, la estrategia global ha de ser objeto de prioridad gubernamental y, en cualquier caso, ha de aplicarse con empeño.</w:t>
      </w:r>
    </w:p>
    <w:p w:rsidR="00000000" w:rsidRDefault="00000000">
      <w:pPr>
        <w:spacing w:after="240"/>
        <w:rPr>
          <w:lang w:val="es-ES_tradnl"/>
        </w:rPr>
      </w:pPr>
      <w:r>
        <w:rPr>
          <w:lang w:val="es-ES_tradnl"/>
        </w:rPr>
        <w:t>26.</w:t>
      </w:r>
      <w:r>
        <w:rPr>
          <w:lang w:val="es-ES_tradnl"/>
        </w:rPr>
        <w:tab/>
        <w:t>La exigencia de "implantar un sistema adecuado de becas" debe leerse conjuntamente con las disposiciones del Pacto relativas a la igualdad y la no discriminación; el sistema de becas debe fomentar la igualdad de acceso a la educación de las personas procedentes de grupos desfavorecidos.</w:t>
      </w:r>
    </w:p>
    <w:p w:rsidR="00000000" w:rsidRDefault="00000000">
      <w:pPr>
        <w:spacing w:after="240"/>
        <w:rPr>
          <w:rStyle w:val="Espaciado1"/>
          <w:lang w:val="es-ES_tradnl"/>
        </w:rPr>
      </w:pPr>
      <w:r>
        <w:rPr>
          <w:lang w:val="es-ES_tradnl"/>
        </w:rPr>
        <w:t>27.</w:t>
      </w:r>
      <w:r>
        <w:rPr>
          <w:lang w:val="es-ES_tradnl"/>
        </w:rPr>
        <w:tab/>
        <w:t>Aunque el Pacto exige "mejorar continuamente las condiciones materiales del cuerpo docente", en la práctica las condiciones generales de trabajo de los docentes han empeorado y en muchos Estados Partes han llegado en los últimos años a niveles inaceptablemente bajos.  Esta situación no sólo no se corresponde con el apartado e) del párrafo 2 del artículo 13, sino que es un grave obstáculo para la plena realización del derecho de los alumnos a la educación.  El Comité observa también la relación que existe entre el apartado e) del párrafo 2 del artículo 13, el párrafo 2 del artículo 2 y los artículos 3 y 6 a 8 del Pacto, que tratan del derecho de los docentes a organizarse y negociar colectivamente, y señala a la atención de los Estados Partes la Recomendación relativa a la Situación del Personal Docente (1966) hecha conjuntamente por la UNESCO y la OIT y la Recomendación relativa a la condición del personal docente de la enseñanza superior, de la UNESCO (1997), y las insta a informar sobre las medidas que adopten para velar por que todo el personal docente goce de unas condiciones y una situación acordes con su función.</w:t>
      </w:r>
    </w:p>
    <w:p w:rsidR="00000000" w:rsidRDefault="00000000">
      <w:pPr>
        <w:spacing w:after="240"/>
        <w:rPr>
          <w:rStyle w:val="Espaciado1"/>
          <w:lang w:val="es-ES_tradnl"/>
        </w:rPr>
      </w:pPr>
      <w:r>
        <w:rPr>
          <w:rStyle w:val="Espaciado1"/>
          <w:u w:val="single"/>
          <w:lang w:val="es-ES_tradnl"/>
        </w:rPr>
        <w:t>Párrafos 3 y 4 del artículo 13</w:t>
      </w:r>
      <w:r>
        <w:rPr>
          <w:rStyle w:val="Espaciado1"/>
          <w:lang w:val="es-ES_tradnl"/>
        </w:rPr>
        <w:t xml:space="preserve"> - </w:t>
      </w:r>
      <w:r>
        <w:rPr>
          <w:rStyle w:val="Espaciado1"/>
          <w:u w:val="single"/>
          <w:lang w:val="es-ES_tradnl"/>
        </w:rPr>
        <w:t>El derecho a la libertad de enseñanza</w:t>
      </w:r>
    </w:p>
    <w:p w:rsidR="00000000" w:rsidRDefault="00000000">
      <w:pPr>
        <w:spacing w:after="240"/>
        <w:rPr>
          <w:lang w:val="es-ES_tradnl"/>
        </w:rPr>
      </w:pPr>
      <w:r>
        <w:rPr>
          <w:lang w:val="es-ES_tradnl"/>
        </w:rPr>
        <w:t>28.</w:t>
      </w:r>
      <w:r>
        <w:rPr>
          <w:lang w:val="es-ES_tradnl"/>
        </w:rPr>
        <w:tab/>
        <w:t>El párrafo 3 del artículo 13 contiene dos elementos, uno de los cuales es que los Estados Partes se comprometen a respetar la libertad de los padres y tutores legales para que sus hijos o pupilos reciban una educación religiosa o moral conforme a sus propias convicciones</w:t>
      </w:r>
      <w:r>
        <w:rPr>
          <w:rStyle w:val="EndnoteReference"/>
          <w:lang w:val="es-ES_tradnl"/>
        </w:rPr>
        <w:endnoteReference w:id="14"/>
      </w:r>
      <w:r>
        <w:rPr>
          <w:lang w:val="es-ES_tradnl"/>
        </w:rPr>
        <w:t>.  En opinión del Comité, este elemento del párrafo 3 del artículo 13 permite la enseñanza de temas como la historia general de las religiones y la ética en las escuelas públicas, siempre que se impartan de forma imparcial y objetiva, que respete la libertad de opinión, de conciencia y de expresión.  Observa que la enseñanza pública que incluya instrucción en una determinada religión o creencia no se atiene al párrafo 3 del artículo 13, salvo que se estipulen exenciones no discriminatorias o alternativas que se adapten a los deseos de los padres y tutores.</w:t>
      </w:r>
    </w:p>
    <w:p w:rsidR="00000000" w:rsidRDefault="00000000">
      <w:pPr>
        <w:spacing w:after="240"/>
        <w:rPr>
          <w:lang w:val="es-ES_tradnl"/>
        </w:rPr>
      </w:pPr>
      <w:r>
        <w:rPr>
          <w:lang w:val="es-ES_tradnl"/>
        </w:rPr>
        <w:t>29.</w:t>
      </w:r>
      <w:r>
        <w:rPr>
          <w:lang w:val="es-ES_tradnl"/>
        </w:rPr>
        <w:tab/>
        <w:t>El segundo elemento del párrafo 3 del artículo 13 es la libertad de los padres y tutores legales de escoger para sus hijos o pupilos escuelas distintas de las públicas, "siempre que aquéllas satisfagan las normas mínimas que el Estado prescriba o apruebe".  Esa disposición se complementa con el párrafo 4 del artículo 13, que afirma "la libertad de los particulares y entidades para establecer y dirigir instituciones de enseñanza", siempre que satisfagan los objetivos educativos expuestos en el párrafo 1 del artículo 13 y determinadas normas mínimas. Estas normas mínimas pueden referirse a cuestiones como la admisión, los planes de estudio y el reconocimiento de certificados.  Las normas mínimas, a su vez, han de respetar los objetivos educativos expuestos en el párrafo 1 del artículo 13.</w:t>
      </w:r>
    </w:p>
    <w:p w:rsidR="00000000" w:rsidRDefault="00000000">
      <w:pPr>
        <w:spacing w:after="240"/>
        <w:rPr>
          <w:lang w:val="es-ES_tradnl"/>
        </w:rPr>
      </w:pPr>
      <w:r>
        <w:rPr>
          <w:lang w:val="es-ES_tradnl"/>
        </w:rPr>
        <w:t>30.</w:t>
      </w:r>
      <w:r>
        <w:rPr>
          <w:lang w:val="es-ES_tradnl"/>
        </w:rPr>
        <w:tab/>
        <w:t>Con arreglo al párrafo 4 del artículo 13, todos, incluso los no nacionales, tienen la libertad de establecer y dirigir instituciones de enseñanza.  La libertad se aplica también a las "entidades", es decir personas jurídicas o instituciones, y comprende el derecho a establecer y dirigir todo tipo de instituciones de enseñanza, incluidas guarderías, universidades e instituciones de educación de adultos.  En aplicación de los principios de no discriminación, igualdad de oportunidades y participación real de todos en la sociedad, el Estado tienen la obligación de velar por que la libertad consagrada en el párrafo 4 del artículo 13 no provoque disparidades extremadas de posibilidades en materia de instrucción para algunos grupos de la sociedad.</w:t>
      </w:r>
    </w:p>
    <w:p w:rsidR="00000000" w:rsidRDefault="00000000">
      <w:pPr>
        <w:widowControl w:val="0"/>
        <w:spacing w:after="240"/>
        <w:rPr>
          <w:rStyle w:val="Espaciado1"/>
          <w:lang w:val="es-ES_tradnl"/>
        </w:rPr>
      </w:pPr>
      <w:r>
        <w:rPr>
          <w:rStyle w:val="Espaciado1"/>
          <w:u w:val="single"/>
          <w:lang w:val="es-ES_tradnl"/>
        </w:rPr>
        <w:t>Artículo 13</w:t>
      </w:r>
      <w:r>
        <w:rPr>
          <w:rStyle w:val="Espaciado1"/>
          <w:lang w:val="es-ES_tradnl"/>
        </w:rPr>
        <w:t xml:space="preserve"> - </w:t>
      </w:r>
      <w:r>
        <w:rPr>
          <w:rStyle w:val="Espaciado1"/>
          <w:u w:val="single"/>
          <w:lang w:val="es-ES_tradnl"/>
        </w:rPr>
        <w:t>Temas especiales de amplia aplicación</w:t>
      </w:r>
    </w:p>
    <w:p w:rsidR="00000000" w:rsidRDefault="00000000">
      <w:pPr>
        <w:widowControl w:val="0"/>
        <w:spacing w:after="240"/>
        <w:ind w:left="567"/>
        <w:rPr>
          <w:rStyle w:val="Espaciado1"/>
          <w:u w:val="single"/>
          <w:lang w:val="es-ES_tradnl"/>
        </w:rPr>
      </w:pPr>
      <w:r>
        <w:rPr>
          <w:rStyle w:val="Espaciado1"/>
          <w:u w:val="single"/>
          <w:lang w:val="es-ES_tradnl"/>
        </w:rPr>
        <w:t>No discriminación e igualdad de trato</w:t>
      </w:r>
    </w:p>
    <w:p w:rsidR="00000000" w:rsidRDefault="00000000">
      <w:pPr>
        <w:widowControl w:val="0"/>
        <w:spacing w:after="240"/>
        <w:rPr>
          <w:lang w:val="es-ES_tradnl"/>
        </w:rPr>
      </w:pPr>
      <w:r>
        <w:rPr>
          <w:lang w:val="es-ES_tradnl"/>
        </w:rPr>
        <w:t>31.</w:t>
      </w:r>
      <w:r>
        <w:rPr>
          <w:lang w:val="es-ES_tradnl"/>
        </w:rPr>
        <w:tab/>
        <w:t>La prohibición de la discriminación, consagrada en el párrafo 2 del artículo 2 del Pacto, no está supeditada ni a una implantación gradual ni a la disponibilidad de recursos; se aplica plena e inmediatamente a todos los aspectos de la educación y abarca todos los motivos de discriminación rechazados internacionalmente.  El Comité interpreta el párrafo 2 del artículo 2 y el artículo 3 a la luz de la Convención de la UNESCO relativa a la lucha contra las discriminaciones en la esfera de la enseñanza y de las disposiciones pertinentes de la Convención sobre la eliminación de todas las formas de discriminación contra la mujer, la Convención sobre la Eliminación de todas las Formas de Discriminación Racial, la Convención sobre los Derechos del Niño y el Convenio de la OIT sobre poblaciones indígenas y tribales (Convenio Nº 169) y desea recalcar las cuestiones que a continuación se exponen.</w:t>
      </w:r>
    </w:p>
    <w:p w:rsidR="00000000" w:rsidRDefault="00000000">
      <w:pPr>
        <w:keepLines/>
        <w:spacing w:after="240"/>
        <w:rPr>
          <w:lang w:val="es-ES_tradnl"/>
        </w:rPr>
      </w:pPr>
      <w:r>
        <w:rPr>
          <w:lang w:val="es-ES_tradnl"/>
        </w:rPr>
        <w:t>32.</w:t>
      </w:r>
      <w:r>
        <w:rPr>
          <w:lang w:val="es-ES_tradnl"/>
        </w:rPr>
        <w:tab/>
        <w:t>La adopción de medidas especiales provisionales destinadas a lograr la igualdad de hecho entre hombres y mujeres y de los grupos desfavorecidos no es una violación del derecho de no discriminación en lo que respecta a la educación, siempre y cuando esas medidas no den lugar al mantenimiento de normas no equitativas o distintas para los diferentes grupos, y a condición de que no se mantengan una vez alcanzados los objetivos a cuyo logro estaban destinadas.</w:t>
      </w:r>
    </w:p>
    <w:p w:rsidR="00000000" w:rsidRDefault="00000000">
      <w:pPr>
        <w:widowControl w:val="0"/>
        <w:spacing w:after="240"/>
        <w:rPr>
          <w:lang w:val="es-ES_tradnl"/>
        </w:rPr>
      </w:pPr>
      <w:r>
        <w:rPr>
          <w:lang w:val="es-ES_tradnl"/>
        </w:rPr>
        <w:t>33.</w:t>
      </w:r>
      <w:r>
        <w:rPr>
          <w:lang w:val="es-ES_tradnl"/>
        </w:rPr>
        <w:tab/>
        <w:t>En algunas circunstancias, se considerará que la existencia de sistemas o instituciones de enseñanza separados para los grupos definidos por las categorías a que se refiere el párrafo 2 del artículo 2 no constituyen una violación del Pacto.  A este respecto, el Comité ratifica el artículo 2 de la Convención de la UNESCO relativa a la lucha contra las discriminaciones en la esfera de la enseñanza (1960)</w:t>
      </w:r>
      <w:r>
        <w:rPr>
          <w:rStyle w:val="EndnoteReference"/>
          <w:lang w:val="es-ES_tradnl"/>
        </w:rPr>
        <w:endnoteReference w:id="15"/>
      </w:r>
      <w:r>
        <w:rPr>
          <w:lang w:val="es-ES_tradnl"/>
        </w:rPr>
        <w:t> .</w:t>
      </w:r>
    </w:p>
    <w:p w:rsidR="00000000" w:rsidRDefault="00000000">
      <w:pPr>
        <w:widowControl w:val="0"/>
        <w:spacing w:after="240"/>
        <w:rPr>
          <w:lang w:val="es-ES_tradnl"/>
        </w:rPr>
      </w:pPr>
      <w:r>
        <w:rPr>
          <w:lang w:val="es-ES_tradnl"/>
        </w:rPr>
        <w:t>34.</w:t>
      </w:r>
      <w:r>
        <w:rPr>
          <w:lang w:val="es-ES_tradnl"/>
        </w:rPr>
        <w:tab/>
        <w:t>El Comité toma nota del artículo 2 de la Convención sobre los Derechos del Niño, y del apartado e) del artículo 3 de la Convención de la UNESCO relativa a la lucha contra las discriminaciones en la esfera de la enseñanza y confirma que el principio de la no discriminación se aplica a todas las personas en edad escolar que residan en el territorio de un Estado Parte, comprendidos los no nacionales y con independencia de su situación jurídica.</w:t>
      </w:r>
    </w:p>
    <w:p w:rsidR="00000000" w:rsidRDefault="00000000">
      <w:pPr>
        <w:widowControl w:val="0"/>
        <w:spacing w:after="240"/>
        <w:rPr>
          <w:lang w:val="es-ES_tradnl"/>
        </w:rPr>
      </w:pPr>
      <w:r>
        <w:rPr>
          <w:lang w:val="es-ES_tradnl"/>
        </w:rPr>
        <w:t>35.</w:t>
      </w:r>
      <w:r>
        <w:rPr>
          <w:lang w:val="es-ES_tradnl"/>
        </w:rPr>
        <w:tab/>
        <w:t>Las agudas disparidades de las políticas de gastos que tengan como resultado que la calidad de la educación sea distinta para las personas que residen en diferentes lugares pueden constituir una discriminación con arreglo al Pacto.</w:t>
      </w:r>
    </w:p>
    <w:p w:rsidR="00000000" w:rsidRDefault="00000000">
      <w:pPr>
        <w:widowControl w:val="0"/>
        <w:spacing w:after="240"/>
        <w:rPr>
          <w:lang w:val="es-ES_tradnl"/>
        </w:rPr>
      </w:pPr>
      <w:r>
        <w:rPr>
          <w:lang w:val="es-ES_tradnl"/>
        </w:rPr>
        <w:t>36.</w:t>
      </w:r>
      <w:r>
        <w:rPr>
          <w:lang w:val="es-ES_tradnl"/>
        </w:rPr>
        <w:tab/>
        <w:t>El Comité ratifica el párrafo 35 de la Observación general 5, que se refiere a la cuestión de las personas con discapacidad en el marco del derecho a la educación, y los párrafos 36 a 42 de la Observación general 6, relativos a la cuestión de las personas mayores en relación con los artículos 13 a 15 del Pacto.</w:t>
      </w:r>
    </w:p>
    <w:p w:rsidR="00000000" w:rsidRDefault="00000000">
      <w:pPr>
        <w:widowControl w:val="0"/>
        <w:spacing w:after="240"/>
        <w:rPr>
          <w:rStyle w:val="Espaciado1"/>
          <w:lang w:val="es-ES_tradnl"/>
        </w:rPr>
      </w:pPr>
      <w:r>
        <w:rPr>
          <w:lang w:val="es-ES_tradnl"/>
        </w:rPr>
        <w:t>37.</w:t>
      </w:r>
      <w:r>
        <w:rPr>
          <w:lang w:val="es-ES_tradnl"/>
        </w:rPr>
        <w:tab/>
        <w:t>Los Estados Partes deben supervisar cuidadosamente la enseñanza, comprendidas las correspondientes políticas, instituciones, programas, pautas de gastos y demás prácticas, a fin de poner de manifiesto cualquier discriminación de hecho y adoptar las medidas para subsanarla.  Los datos relativos a la educación deben desglosarse según los motivos de discriminación prohibidos.</w:t>
      </w:r>
    </w:p>
    <w:p w:rsidR="00000000" w:rsidRDefault="00000000">
      <w:pPr>
        <w:widowControl w:val="0"/>
        <w:spacing w:after="240"/>
        <w:ind w:left="567"/>
        <w:rPr>
          <w:rStyle w:val="Espaciado1"/>
          <w:lang w:val="es-ES_tradnl"/>
        </w:rPr>
      </w:pPr>
      <w:r>
        <w:rPr>
          <w:rStyle w:val="Espaciado1"/>
          <w:u w:val="single"/>
          <w:lang w:val="es-ES_tradnl"/>
        </w:rPr>
        <w:t>Libertad académica y autonomía de las instituciones</w:t>
      </w:r>
      <w:r>
        <w:rPr>
          <w:rStyle w:val="EndnoteReference"/>
          <w:lang w:val="es-ES_tradnl"/>
        </w:rPr>
        <w:endnoteReference w:id="16"/>
      </w:r>
    </w:p>
    <w:p w:rsidR="00000000" w:rsidRDefault="00000000">
      <w:pPr>
        <w:widowControl w:val="0"/>
        <w:spacing w:after="240"/>
        <w:rPr>
          <w:lang w:val="es-ES_tradnl"/>
        </w:rPr>
      </w:pPr>
      <w:r>
        <w:rPr>
          <w:lang w:val="es-ES_tradnl"/>
        </w:rPr>
        <w:t>38.</w:t>
      </w:r>
      <w:r>
        <w:rPr>
          <w:lang w:val="es-ES_tradnl"/>
        </w:rPr>
        <w:tab/>
        <w:t>A la luz de los numerosos informes de los Estados Partes examinados por el Comité, la opinión de éste es que sólo se puede disfrutar del derecho a la educación si va acompañado de la libertad académica del cuerpo docente y de los alumnos.  En consecuencia, aunque la cuestión no se menciona expresamente en el artículo 13, es conveniente y necesario que el Comité formule algunas observaciones preliminares sobre la libertad académica.  Como, según la experiencia del Comité, el cuerpo docente y los alumnos de enseñanza superior son especialmente vulnerables a las presiones políticas y de otro tipo que ponen en peligro la libertad académica, en las observaciones siguientes se presta especial atención a las instituciones de la enseñanza superior, pero el Comité desea hacer hincapié en que el cuerpo docente y los alumnos de todo el sector de la educación tienen derecho a la libertad académica y muchas de las siguientes observaciones son, pues, de aplicación general.</w:t>
      </w:r>
    </w:p>
    <w:p w:rsidR="00000000" w:rsidRDefault="00000000">
      <w:pPr>
        <w:keepLines/>
        <w:spacing w:after="240"/>
        <w:rPr>
          <w:lang w:val="es-ES_tradnl"/>
        </w:rPr>
      </w:pPr>
      <w:r>
        <w:rPr>
          <w:lang w:val="es-ES_tradnl"/>
        </w:rPr>
        <w:t>39.</w:t>
      </w:r>
      <w:r>
        <w:rPr>
          <w:lang w:val="es-ES_tradnl"/>
        </w:rPr>
        <w:tab/>
        <w:t>Los miembros de la comunidad académica son libres, individual o colectivamente, de buscar, desarrollar y transmitir el conocimiento y las ideas mediante la investigación, la docencia, el estudio, el debate, la documentación, la producción, la creación o los escritos.  La libertad académica comprende la libertad del individuo para expresar libremente sus opiniones sobre la institución o el sistema en el que trabaja, para desempeñar sus funciones sin discriminación ni miedo a la represión del Estado o cualquier otra institución, de participar en organismos académicos profesionales o representativos y de disfrutar de todos los derechos humanos reconocidos internacionalmente que se apliquen a los demás habitantes del mismo territorio.  El disfrute de la libertad académica conlleva obligaciones, como el deber de respetar la libertad académica de los demás, velar por la discusión ecuánime de las opiniones contrarias y tratar a todos sin discriminación por ninguno de los motivos prohibidos.</w:t>
      </w:r>
    </w:p>
    <w:p w:rsidR="00000000" w:rsidRDefault="00000000">
      <w:pPr>
        <w:widowControl w:val="0"/>
        <w:spacing w:after="240"/>
        <w:rPr>
          <w:rStyle w:val="Espaciado1"/>
          <w:lang w:val="es-ES_tradnl"/>
        </w:rPr>
      </w:pPr>
      <w:r>
        <w:rPr>
          <w:lang w:val="es-ES_tradnl"/>
        </w:rPr>
        <w:t>40.</w:t>
      </w:r>
      <w:r>
        <w:rPr>
          <w:lang w:val="es-ES_tradnl"/>
        </w:rPr>
        <w:tab/>
        <w:t>Para el disfrute de la libertad académica es imprescindible la autonomía de las instituciones de enseñanza superior.  La autonomía es el grado de autogobierno necesario para que sean eficaces las decisiones adoptadas por las instituciones de enseñanza superior con respecto a su labor académica, normas, gestión y actividades conexas.  Ahora bien, el autogobierno debe ser compatible con los sistemas de fiscalización pública, especialmente en lo que respecta a la financiación estatal.  Habida cuenta de las considerables inversiones públicas destinadas a la enseñanza superior, es preciso llegar a un equilibrio correcto entre la autonomía institucional y la obligación de rendir cuentas.  Si bien no hay un único modelo, las disposiciones institucionales han de ser razonables, justas y equitativas y, en la medida de lo posible, transparentes y participativas.</w:t>
      </w:r>
    </w:p>
    <w:p w:rsidR="00000000" w:rsidRDefault="00000000">
      <w:pPr>
        <w:widowControl w:val="0"/>
        <w:spacing w:after="240"/>
        <w:ind w:firstLine="567"/>
        <w:rPr>
          <w:rStyle w:val="Espaciado1"/>
          <w:lang w:val="es-ES_tradnl"/>
        </w:rPr>
      </w:pPr>
      <w:r>
        <w:rPr>
          <w:rStyle w:val="Espaciado1"/>
          <w:u w:val="single"/>
          <w:lang w:val="es-ES_tradnl"/>
        </w:rPr>
        <w:t>Disciplina en las escuelas</w:t>
      </w:r>
      <w:r>
        <w:rPr>
          <w:rStyle w:val="EndnoteReference"/>
          <w:lang w:val="es-ES_tradnl"/>
        </w:rPr>
        <w:endnoteReference w:id="17"/>
      </w:r>
    </w:p>
    <w:p w:rsidR="00000000" w:rsidRDefault="00000000">
      <w:pPr>
        <w:widowControl w:val="0"/>
        <w:spacing w:after="240"/>
        <w:rPr>
          <w:rStyle w:val="Espaciado1"/>
          <w:lang w:val="es-ES_tradnl"/>
        </w:rPr>
      </w:pPr>
      <w:r>
        <w:rPr>
          <w:lang w:val="es-ES_tradnl"/>
        </w:rPr>
        <w:t>41.</w:t>
      </w:r>
      <w:r>
        <w:rPr>
          <w:lang w:val="es-ES_tradnl"/>
        </w:rPr>
        <w:tab/>
        <w:t>En opinión del Comité, los castigos físicos son incompatibles con el principio rector esencial de la legislación internacional en materia de derechos humanos, consagrado en los Preámbulos de la Declaración Universal de Derechos Humanos y de ambos Pactos:  la dignidad humana</w:t>
      </w:r>
      <w:r>
        <w:rPr>
          <w:rStyle w:val="EndnoteReference"/>
          <w:lang w:val="es-ES_tradnl"/>
        </w:rPr>
        <w:endnoteReference w:id="18"/>
      </w:r>
      <w:r>
        <w:rPr>
          <w:lang w:val="es-ES_tradnl"/>
        </w:rPr>
        <w:t>.  Otros aspectos de la disciplina en la escuela también pueden ser incompatibles con la dignidad humana, por ejemplo la humillación pública.  Tampoco es admisible que ningún tipo de disciplina infrinja los derechos consagrados por el Pacto, por ejemplo, el derecho a la alimentación.  Los Estados Partes han de adoptar las medidas necesarias para que en ninguna institución de enseñanza, pública o privada, en el ámbito de su jurisdicción, se apliquen formas de disciplina incompatibles con el Pacto.  El Comité acoge con satisfacción las iniciativas emprendidas por algunos Estados Partes que alientan activamente a las escuelas a introducir métodos "positivos", no violentos, de disciplina escolar.</w:t>
      </w:r>
    </w:p>
    <w:p w:rsidR="00000000" w:rsidRDefault="00000000">
      <w:pPr>
        <w:widowControl w:val="0"/>
        <w:spacing w:after="240"/>
        <w:ind w:left="567"/>
        <w:rPr>
          <w:rStyle w:val="Espaciado1"/>
          <w:lang w:val="es-ES_tradnl"/>
        </w:rPr>
      </w:pPr>
      <w:r>
        <w:rPr>
          <w:rStyle w:val="Espaciado1"/>
          <w:u w:val="single"/>
          <w:lang w:val="es-ES_tradnl"/>
        </w:rPr>
        <w:t>Limitaciones al artículo 13</w:t>
      </w:r>
    </w:p>
    <w:p w:rsidR="00000000" w:rsidRDefault="00000000">
      <w:pPr>
        <w:widowControl w:val="0"/>
        <w:spacing w:after="480"/>
        <w:rPr>
          <w:rStyle w:val="Espaciado1"/>
          <w:lang w:val="es-ES_tradnl"/>
        </w:rPr>
      </w:pPr>
      <w:r>
        <w:rPr>
          <w:lang w:val="es-ES_tradnl"/>
        </w:rPr>
        <w:t>42.</w:t>
      </w:r>
      <w:r>
        <w:rPr>
          <w:lang w:val="es-ES_tradnl"/>
        </w:rPr>
        <w:tab/>
        <w:t>El Comité desea hacer hincapié en que el artículo 4 del Pacto, relativo a las limitaciones legalmente permisibles, tiene por objeto fundamental proteger los derechos individuales, no la indulgencia ante la imposición de limitaciones por parte del Estado.  Así pues, un Estado Parte que cierre una universidad u otra institución de enseñanza por motivos como la seguridad nacional o el mantenimiento del orden público tiene la obligación de justificar esa grave medida respecto de cada uno de los elementos definidos en el artículo 4.</w:t>
      </w:r>
    </w:p>
    <w:p w:rsidR="00000000" w:rsidRDefault="00000000">
      <w:pPr>
        <w:keepNext/>
        <w:spacing w:after="240"/>
        <w:jc w:val="center"/>
        <w:rPr>
          <w:rStyle w:val="Espaciado1"/>
          <w:lang w:val="es-ES_tradnl"/>
        </w:rPr>
      </w:pPr>
      <w:r>
        <w:rPr>
          <w:rStyle w:val="Espaciado1"/>
          <w:lang w:val="es-ES_tradnl"/>
        </w:rPr>
        <w:t>II.  LAS OBLIGACIONES Y VIOLACIONES DE LOS ESTADOS PARTES</w:t>
      </w:r>
    </w:p>
    <w:p w:rsidR="00000000" w:rsidRDefault="00000000">
      <w:pPr>
        <w:keepNext/>
        <w:spacing w:after="240"/>
        <w:rPr>
          <w:rStyle w:val="Espaciado1"/>
          <w:lang w:val="es-ES_tradnl"/>
        </w:rPr>
      </w:pPr>
      <w:r>
        <w:rPr>
          <w:rStyle w:val="Espaciado1"/>
          <w:u w:val="single"/>
          <w:lang w:val="es-ES_tradnl"/>
        </w:rPr>
        <w:t>Obligaciones jurídicas generales</w:t>
      </w:r>
    </w:p>
    <w:p w:rsidR="00000000" w:rsidRDefault="00000000">
      <w:pPr>
        <w:keepNext/>
        <w:spacing w:after="240"/>
        <w:rPr>
          <w:lang w:val="es-ES_tradnl"/>
        </w:rPr>
      </w:pPr>
      <w:r>
        <w:rPr>
          <w:lang w:val="es-ES_tradnl"/>
        </w:rPr>
        <w:t>43.</w:t>
      </w:r>
      <w:r>
        <w:rPr>
          <w:lang w:val="es-ES_tradnl"/>
        </w:rPr>
        <w:tab/>
        <w:t>Si bien el Pacto dispone su puesta en práctica gradual y reconoce las restricciones debidas a las limitaciones de los recursos disponibles, impone también a los Estados Partes diversas obligaciones con efecto inmediato</w:t>
      </w:r>
      <w:r>
        <w:rPr>
          <w:rStyle w:val="EndnoteReference"/>
          <w:lang w:val="es-ES_tradnl"/>
        </w:rPr>
        <w:endnoteReference w:id="19"/>
      </w:r>
      <w:r>
        <w:rPr>
          <w:lang w:val="es-ES_tradnl"/>
        </w:rPr>
        <w:t>.  Los Estados Partes tienen obligaciones inmediatas respecto del derecho a la educación, como la "garantía" del "ejercicio de los derechos... sin discriminación alguna" (párrafo 2 del artículo 2) y la obligación de "adoptar medidas" (párrafo 1 del artículo 2) para lograr la plena aplicación del artículo 13</w:t>
      </w:r>
      <w:r>
        <w:rPr>
          <w:rStyle w:val="EndnoteReference"/>
          <w:lang w:val="es-ES_tradnl"/>
        </w:rPr>
        <w:endnoteReference w:id="20"/>
      </w:r>
      <w:r>
        <w:rPr>
          <w:lang w:val="es-ES_tradnl"/>
        </w:rPr>
        <w:t>.  Estas medidas han de ser "deliberadas, concretas y orientadas lo más claramente posible" hacia el pleno ejercicio del derecho a la educación.</w:t>
      </w:r>
    </w:p>
    <w:p w:rsidR="00000000" w:rsidRDefault="00000000">
      <w:pPr>
        <w:widowControl w:val="0"/>
        <w:spacing w:after="240"/>
        <w:rPr>
          <w:lang w:val="es-ES_tradnl"/>
        </w:rPr>
      </w:pPr>
      <w:r>
        <w:rPr>
          <w:lang w:val="es-ES_tradnl"/>
        </w:rPr>
        <w:t>44.</w:t>
      </w:r>
      <w:r>
        <w:rPr>
          <w:lang w:val="es-ES_tradnl"/>
        </w:rPr>
        <w:tab/>
        <w:t>El ejercicio del derecho a la educación a lo largo del tiempo, es decir, "gradualmente", no debe interpretarse como una pérdida del sentido de las obligaciones de los Estados Partes.  Realización gradual quiere decir que los Estados Partes tienen la obligación concreta y permanente "de proceder lo más expedita y eficazmente posible" para la plena aplicación del artículo 13 </w:t>
      </w:r>
      <w:r>
        <w:rPr>
          <w:rStyle w:val="EndnoteReference"/>
          <w:lang w:val="es-ES_tradnl"/>
        </w:rPr>
        <w:endnoteReference w:id="21"/>
      </w:r>
      <w:r>
        <w:rPr>
          <w:lang w:val="es-ES_tradnl"/>
        </w:rPr>
        <w:t>.</w:t>
      </w:r>
    </w:p>
    <w:p w:rsidR="00000000" w:rsidRDefault="00000000">
      <w:pPr>
        <w:widowControl w:val="0"/>
        <w:spacing w:after="240"/>
        <w:rPr>
          <w:lang w:val="es-ES_tradnl"/>
        </w:rPr>
      </w:pPr>
      <w:r>
        <w:rPr>
          <w:lang w:val="es-ES_tradnl"/>
        </w:rPr>
        <w:t>45.</w:t>
      </w:r>
      <w:r>
        <w:rPr>
          <w:lang w:val="es-ES_tradnl"/>
        </w:rPr>
        <w:tab/>
        <w:t>La admisión de medidas regresivas adoptadas en relación con el derecho a la educación, y otros derechos enunciados en el Pacto, es objeto de grandes prevenciones.  Si deliberadamente adopta alguna medida regresiva, el Estado Parte tiene la obligación de demostrar que fue implantada tras la consideración más cuidadosa de todas las alternativas y que se justifica plenamente en relación con la totalidad de los derechos previstos en el Pacto y en el contexto del aprovechamiento pleno del máximo de los recursos de que se disponga el Estado Parte</w:t>
      </w:r>
      <w:r>
        <w:rPr>
          <w:rStyle w:val="EndnoteReference"/>
          <w:lang w:val="es-ES_tradnl"/>
        </w:rPr>
        <w:endnoteReference w:id="22"/>
      </w:r>
      <w:r>
        <w:rPr>
          <w:lang w:val="es-ES_tradnl"/>
        </w:rPr>
        <w:t>.</w:t>
      </w:r>
    </w:p>
    <w:p w:rsidR="00000000" w:rsidRDefault="00000000">
      <w:pPr>
        <w:widowControl w:val="0"/>
        <w:spacing w:after="240"/>
        <w:rPr>
          <w:lang w:val="es-ES_tradnl"/>
        </w:rPr>
      </w:pPr>
      <w:r>
        <w:rPr>
          <w:lang w:val="es-ES_tradnl"/>
        </w:rPr>
        <w:t>46.</w:t>
      </w:r>
      <w:r>
        <w:rPr>
          <w:lang w:val="es-ES_tradnl"/>
        </w:rPr>
        <w:tab/>
        <w:t>El derecho a la educación, como todos los derechos humanos, impone tres tipos o niveles de obligaciones a los Estados Partes:  las obligaciones de respetar, de proteger y de cumplir.  A su vez, la obligación de cumplir consta de la obligación de facilitar y la obligación de proveer.</w:t>
      </w:r>
    </w:p>
    <w:p w:rsidR="00000000" w:rsidRDefault="00000000">
      <w:pPr>
        <w:widowControl w:val="0"/>
        <w:spacing w:after="240"/>
        <w:rPr>
          <w:lang w:val="es-ES_tradnl"/>
        </w:rPr>
      </w:pPr>
      <w:r>
        <w:rPr>
          <w:lang w:val="es-ES_tradnl"/>
        </w:rPr>
        <w:t>47.</w:t>
      </w:r>
      <w:r>
        <w:rPr>
          <w:lang w:val="es-ES_tradnl"/>
        </w:rPr>
        <w:tab/>
        <w:t xml:space="preserve">La obligación de respetar exige que los Estados Partes eviten las medidas que obstaculicen o impidan el disfrute del derecho a la educación.  La obligación de proteger impone a los Estados Partes adoptar medidas que eviten que el derecho a la educación sea obstaculizado por terceros.  La de dar cumplimiento (facilitar) exige que los Estados adopten medidas positivas que permitan a individuos y comunidades disfrutar del derecho a la educación y les presten asistencia.  Por último, los Estados Partes tienen la obligación de dar cumplimiento (facilitar el) al derecho a la educación.  Como norma general, los Estados Partes están obligados a dar cumplimiento a (facilitar) un derecho concreto del Pacto cada vez que un individuo o grupo no puede, por razones ajenas a su </w:t>
      </w:r>
      <w:proofErr w:type="spellStart"/>
      <w:r>
        <w:rPr>
          <w:lang w:val="es-ES_tradnl"/>
        </w:rPr>
        <w:t>voluntad,poner</w:t>
      </w:r>
      <w:proofErr w:type="spellEnd"/>
      <w:r>
        <w:rPr>
          <w:lang w:val="es-ES_tradnl"/>
        </w:rPr>
        <w:t xml:space="preserve"> en práctica el derecho por sí mismo con los recursos a su disposición.  No obstante, el alcance de esta obligación está supeditado siempre al texto del Pacto.</w:t>
      </w:r>
    </w:p>
    <w:p w:rsidR="00000000" w:rsidRDefault="00000000">
      <w:pPr>
        <w:widowControl w:val="0"/>
        <w:spacing w:after="240"/>
        <w:rPr>
          <w:lang w:val="es-ES_tradnl"/>
        </w:rPr>
      </w:pPr>
      <w:r>
        <w:rPr>
          <w:lang w:val="es-ES_tradnl"/>
        </w:rPr>
        <w:t>48.</w:t>
      </w:r>
      <w:r>
        <w:rPr>
          <w:lang w:val="es-ES_tradnl"/>
        </w:rPr>
        <w:tab/>
        <w:t>A este respecto, es preciso insistir en dos elementos del artículo 13.  En primer lugar, está claro que en el artículo 13 se considera que los Estados tienen la principal responsabilidad de la prestación directa de la educación en la mayor parte de las circunstancias; los Estados Partes reconocen, por ejemplo, que "se debe proseguir activamente el desarrollo del sistema escolar en todos los ciclos de la enseñanza" (apartado e) del párrafo 2 del artículo 13).  En segundo lugar, habida cuenta de las diferencias de redacción del párrafo 2 del artículo 13 en lo que respecta a la enseñanza primaria, secundaria, superior y fundamental, los parámetros por los que se mide la obligación del Estado Parte de cumplir (facilitar) no son los mismos para todos los niveles de la enseñanza.  En consecuencia, a la luz del texto del Pacto, la obligación de los Estados Partes de cumplir (facilitar) se acrecienta en relación con el derecho a la educación, pero el alcance de esta obligación no es el mismo respecto de todos los niveles de educación.  El Comité observa que esta interpretación de la obligación de cumplir (facilitar) respecto del artículo 13 coincide con el derecho y la práctica de numerosos Estados Partes.</w:t>
      </w:r>
    </w:p>
    <w:p w:rsidR="00000000" w:rsidRDefault="00000000">
      <w:pPr>
        <w:widowControl w:val="0"/>
        <w:spacing w:after="240"/>
        <w:rPr>
          <w:rStyle w:val="Interlineado"/>
          <w:lang w:val="es-ES_tradnl"/>
        </w:rPr>
      </w:pPr>
      <w:r>
        <w:rPr>
          <w:rStyle w:val="Interlineado"/>
          <w:u w:val="single"/>
          <w:lang w:val="es-ES_tradnl"/>
        </w:rPr>
        <w:t>Obligaciones jurídicas concretas</w:t>
      </w:r>
    </w:p>
    <w:p w:rsidR="00000000" w:rsidRDefault="00000000">
      <w:pPr>
        <w:widowControl w:val="0"/>
        <w:spacing w:after="240"/>
        <w:rPr>
          <w:lang w:val="es-ES_tradnl"/>
        </w:rPr>
      </w:pPr>
      <w:r>
        <w:rPr>
          <w:lang w:val="es-ES_tradnl"/>
        </w:rPr>
        <w:t>49.</w:t>
      </w:r>
      <w:r>
        <w:rPr>
          <w:lang w:val="es-ES_tradnl"/>
        </w:rPr>
        <w:tab/>
        <w:t>Los Estados Partes han de velar por que los planes de estudio, en todos los niveles del sistema educativo, estén orientados a los objetivos definidos en el párrafo 1 del artículo 13</w:t>
      </w:r>
      <w:r>
        <w:rPr>
          <w:rStyle w:val="EndnoteReference"/>
          <w:lang w:val="es-ES_tradnl"/>
        </w:rPr>
        <w:endnoteReference w:id="23"/>
      </w:r>
      <w:r>
        <w:rPr>
          <w:lang w:val="es-ES_tradnl"/>
        </w:rPr>
        <w:t>.  Asimismo, tienen la obligación de establecer y mantener un sistema transparente y eficaz para comprobar si la educación se orienta o no realmente a los objetivos educativos que se exponen en el párrafo 1 del artículo 13.</w:t>
      </w:r>
    </w:p>
    <w:p w:rsidR="00000000" w:rsidRDefault="00000000">
      <w:pPr>
        <w:widowControl w:val="0"/>
        <w:spacing w:after="240"/>
        <w:rPr>
          <w:lang w:val="es-ES_tradnl"/>
        </w:rPr>
      </w:pPr>
      <w:r>
        <w:rPr>
          <w:lang w:val="es-ES_tradnl"/>
        </w:rPr>
        <w:t>50.</w:t>
      </w:r>
      <w:r>
        <w:rPr>
          <w:lang w:val="es-ES_tradnl"/>
        </w:rPr>
        <w:tab/>
        <w:t>En lo que respecta al párrafo 2 del artículo 13, los Estados tienen las obligaciones de respetar, proteger y llevar a efecto cada una de las "características fundamentales" (disponibilidad, accesibilidad, aceptabilidad y adaptabilidad) del derecho a la educación. Por ejemplo, la obligación del Estado de respetar la disponibilidad de la educación se demuestra no cerrando escuelas privadas; la de proteger la accesibilidad de la educación, velando por que terceros, incluidos padres y empleadores, no impidan que las niñas asistan a la escuela; la de llevar a efecto (facilitar) la aceptabilidad de la educación, adoptando medidas positivas para que la educación sea culturalmente aceptable para las minorías y las poblaciones indígenas, y de buena calidad para todos; la obligación de llevar a efecto (facilitar) la adaptabilidad de la educación, formulando planes de estudio y dotándolos de recursos que reflejen las necesidades contemporáneas de los estudiantes en un mundo en transformación; y la de llevar a efecto (facilitar) la disponibilidad de la educación, implantando un sistema de escuelas, entre otras cosas construyendo aulas, estableciendo programas, suministrando materiales de estudio, formando maestros y abonándoles sueldos competitivos a nivel nacional.</w:t>
      </w:r>
    </w:p>
    <w:p w:rsidR="00000000" w:rsidRDefault="00000000">
      <w:pPr>
        <w:widowControl w:val="0"/>
        <w:spacing w:after="240"/>
        <w:rPr>
          <w:lang w:val="es-ES_tradnl"/>
        </w:rPr>
      </w:pPr>
      <w:r>
        <w:rPr>
          <w:lang w:val="es-ES_tradnl"/>
        </w:rPr>
        <w:t>51.</w:t>
      </w:r>
      <w:r>
        <w:rPr>
          <w:lang w:val="es-ES_tradnl"/>
        </w:rPr>
        <w:tab/>
        <w:t>Como ya se ha observado, las obligaciones de los Estados Partes respecto de la enseñanza primaria, secundaria, superior y fundamental no son idénticas.  Habida cuenta de la redacción del párrafo 2 del artículo 13, los Estados Partes están obligados a dar prioridad a la implantación de la enseñanza primaria, gratuita y obligatoria</w:t>
      </w:r>
      <w:r>
        <w:rPr>
          <w:rStyle w:val="EndnoteReference"/>
          <w:lang w:val="es-ES_tradnl"/>
        </w:rPr>
        <w:endnoteReference w:id="24"/>
      </w:r>
      <w:r>
        <w:rPr>
          <w:lang w:val="es-ES_tradnl"/>
        </w:rPr>
        <w:t>.  Refuerza esta interpretación del párrafo 2 del artículo 13 la prioridad que se da a la enseñanza primaria en el artículo 14.  La obligación de proporcionar instrucción primaria a todos es un deber inmediato de todos los Estados Partes.</w:t>
      </w:r>
    </w:p>
    <w:p w:rsidR="00000000" w:rsidRDefault="00000000">
      <w:pPr>
        <w:widowControl w:val="0"/>
        <w:spacing w:after="240"/>
        <w:rPr>
          <w:lang w:val="es-ES_tradnl"/>
        </w:rPr>
      </w:pPr>
      <w:r>
        <w:rPr>
          <w:lang w:val="es-ES_tradnl"/>
        </w:rPr>
        <w:t>52.</w:t>
      </w:r>
      <w:r>
        <w:rPr>
          <w:lang w:val="es-ES_tradnl"/>
        </w:rPr>
        <w:tab/>
        <w:t>En cuanto a los apartados b) a d) del párrafo 2 del artículo 13, los Estados Partes tienen la obligación inmediata de "adoptar medidas" (párrafo 1 del artículo 2) para implantar la enseñanza secundaria, superior y fundamental para todos en su jurisdicción.  Como mínimo, el Estado Parte debe adoptar y aplicar una estrategia nacional de educación que establezca la enseñanza secundaria, superior y fundamental, de conformidad con el Pacto.  Esta estrategia debe contar con mecanismos, como indicadores y criterios de referencia, relativos al derecho a la educación que permitan una supervisión estricta de los progresos realizados.</w:t>
      </w:r>
    </w:p>
    <w:p w:rsidR="00000000" w:rsidRDefault="00000000">
      <w:pPr>
        <w:keepLines/>
        <w:spacing w:after="240"/>
        <w:rPr>
          <w:lang w:val="es-ES_tradnl"/>
        </w:rPr>
      </w:pPr>
      <w:r>
        <w:rPr>
          <w:lang w:val="es-ES_tradnl"/>
        </w:rPr>
        <w:t>53.</w:t>
      </w:r>
      <w:r>
        <w:rPr>
          <w:lang w:val="es-ES_tradnl"/>
        </w:rPr>
        <w:tab/>
        <w:t xml:space="preserve">Con arreglo al apartado e) del párrafo 2 del artículo 13, los Estados Partes tienen la obligación de velar por que exista un sistema de becas de enseñanza que ayude a los grupos desfavorecidos </w:t>
      </w:r>
      <w:r>
        <w:rPr>
          <w:rStyle w:val="EndnoteReference"/>
          <w:lang w:val="es-ES_tradnl"/>
        </w:rPr>
        <w:endnoteReference w:id="25"/>
      </w:r>
      <w:r>
        <w:rPr>
          <w:lang w:val="es-ES_tradnl"/>
        </w:rPr>
        <w:t>.  La obligación de "proseguir activamente el desarrollo del sistema escolar en todos los ciclos de la enseñanza" subraya la responsabilidad primordial de los Estados Partes de garantizar directamente el derecho a la educación en la mayoría de las circunstancias</w:t>
      </w:r>
      <w:r>
        <w:rPr>
          <w:rStyle w:val="EndnoteReference"/>
          <w:lang w:val="es-ES_tradnl"/>
        </w:rPr>
        <w:endnoteReference w:id="26"/>
      </w:r>
      <w:r>
        <w:rPr>
          <w:lang w:val="es-ES_tradnl"/>
        </w:rPr>
        <w:t>.</w:t>
      </w:r>
    </w:p>
    <w:p w:rsidR="00000000" w:rsidRDefault="00000000">
      <w:pPr>
        <w:widowControl w:val="0"/>
        <w:spacing w:after="240"/>
        <w:rPr>
          <w:lang w:val="es-ES_tradnl"/>
        </w:rPr>
      </w:pPr>
      <w:r>
        <w:rPr>
          <w:lang w:val="es-ES_tradnl"/>
        </w:rPr>
        <w:t>54.</w:t>
      </w:r>
      <w:r>
        <w:rPr>
          <w:lang w:val="es-ES_tradnl"/>
        </w:rPr>
        <w:tab/>
        <w:t>Los Estados Partes tienen la obligación de establecer "las normas mínimas... en materia de enseñanza" que deben cumplir todas las instituciones de enseñanza privadas establecidas con arreglo a los párrafos 3 y 4 del artículo 13.  Deben mantener, asimismo, un sistema transparente y eficaz de supervisión del cumplimiento de esas normas.  Ningún Estado Parte tiene la obligación de financiar las instituciones establecidas de conformidad con los párrafos 3 y 4 del artículo 13, pero si un Estado decide hacer contribuciones financieras a instituciones de enseñanza privada, debe hacerlo sin discriminación basada en alguno de los motivos prohibidos.</w:t>
      </w:r>
    </w:p>
    <w:p w:rsidR="00000000" w:rsidRDefault="00000000">
      <w:pPr>
        <w:widowControl w:val="0"/>
        <w:spacing w:after="240"/>
        <w:rPr>
          <w:lang w:val="es-ES_tradnl"/>
        </w:rPr>
      </w:pPr>
      <w:r>
        <w:rPr>
          <w:lang w:val="es-ES_tradnl"/>
        </w:rPr>
        <w:t>55.</w:t>
      </w:r>
      <w:r>
        <w:rPr>
          <w:lang w:val="es-ES_tradnl"/>
        </w:rPr>
        <w:tab/>
        <w:t>Los Estados Partes tienen la obligación de velar por que ni las comunidades ni las familias dependan del trabajo infantil.  El Comité reafirma en particular la importancia de la educación para erradicar el trabajo infantil y de las obligaciones establecidas en el párrafo 2) del artículo 7 del Convenio de la OIT sobre las peores formas de trabajo infantil, 1999 (Convenio Nº 182)</w:t>
      </w:r>
      <w:r>
        <w:rPr>
          <w:rStyle w:val="EndnoteReference"/>
          <w:lang w:val="es-ES_tradnl"/>
        </w:rPr>
        <w:endnoteReference w:id="27"/>
      </w:r>
      <w:r>
        <w:rPr>
          <w:lang w:val="es-ES_tradnl"/>
        </w:rPr>
        <w:t>.  Además, habida cuenta de lo dispuesto en el párrafo 2 del artículo 2, los Estados Partes tienen la obligación de suprimir los estereotipos sexuales y de otro tipo que impiden acceder a la instrucción a las niñas, las mujeres y otros grupos desfavorecidos.</w:t>
      </w:r>
    </w:p>
    <w:p w:rsidR="00000000" w:rsidRDefault="00000000">
      <w:pPr>
        <w:widowControl w:val="0"/>
        <w:spacing w:after="240"/>
        <w:rPr>
          <w:lang w:val="es-ES_tradnl"/>
        </w:rPr>
      </w:pPr>
      <w:r>
        <w:rPr>
          <w:lang w:val="es-ES_tradnl"/>
        </w:rPr>
        <w:t>56.</w:t>
      </w:r>
      <w:r>
        <w:rPr>
          <w:lang w:val="es-ES_tradnl"/>
        </w:rPr>
        <w:tab/>
        <w:t>En su Observación general 3, el Comité señaló la obligación de todos los Estados Partes de "adoptar medidas, tanto por separado como mediante la asistencia y cooperación internacionales, especialmente económicas y técnicas", para el pleno ejercicio de los derechos reconocidos en el Pacto, como el derecho a la educación</w:t>
      </w:r>
      <w:r>
        <w:rPr>
          <w:rStyle w:val="EndnoteReference"/>
          <w:lang w:val="es-ES_tradnl"/>
        </w:rPr>
        <w:endnoteReference w:id="28"/>
      </w:r>
      <w:r>
        <w:rPr>
          <w:lang w:val="es-ES_tradnl"/>
        </w:rPr>
        <w:t>.  El párrafo 1 del artículo 2 y el artículo 23 del Pacto, el Artículo 56 de la Carta de las Naciones Unidas, el artículo 10 de la Declaración Mundial sobre Educación para Todos y el párrafo 34 de la parte I de la Declaración y Programa de Acción de Viena destacan la obligación de los Estados Partes en lo referente a la prestación de la asistencia y cooperación internacionales para el pleno ejercicio del derecho a la educación.  Respecto de la negociación y la ratificación de acuerdos internacionales, los Estados Partes deben adoptar medidas para que estos instrumentos no afecten negativamente al derecho a la educación.  Del mismo modo, tienen la obligación de que sus acciones como miembros de las organizaciones internacionales, comprendidas las instituciones financieras internacionales, tengan debidamente en cuenta el derecho a la educación.</w:t>
      </w:r>
    </w:p>
    <w:p w:rsidR="00000000" w:rsidRDefault="00000000">
      <w:pPr>
        <w:widowControl w:val="0"/>
        <w:spacing w:after="240"/>
        <w:rPr>
          <w:rStyle w:val="Interlineado"/>
          <w:lang w:val="es-ES_tradnl"/>
        </w:rPr>
      </w:pPr>
      <w:r>
        <w:rPr>
          <w:lang w:val="es-ES_tradnl"/>
        </w:rPr>
        <w:t>57.</w:t>
      </w:r>
      <w:r>
        <w:rPr>
          <w:lang w:val="es-ES_tradnl"/>
        </w:rPr>
        <w:tab/>
        <w:t>En su Observación general 3, el Comité confirmó que los Estados Partes tienen "una obligación mínima de asegurar la satisfacción de, por lo menos, niveles esenciales de cada uno de los derechos" enunciados en el Pacto, incluidas las "formas más básicas de enseñanza".  En el contexto del artículo 13, esta obligación mínima comprende:el velar por el derecho de acceso a las instituciones y programas de enseñanza públicos sin discriminación alguna; por que la enseñanza corresponda a los objetivos expuestos en el párrafo 1 del artículo 13; proporcionar enseñanza primaria a todos, de conformidad con el apartado a) del párrafo 2 del artículo 13; adoptar y aplicar una estrategia nacional de educación que abarque la enseñanza secundaria, superior y fundamental; y velar por la libre elección de la educación sin la intervención del Estado ni de terceros, a reserva de la conformidad con las normas mínimas en materia de enseñanza (párrafos 3 y 4 del artículo 13).</w:t>
      </w:r>
    </w:p>
    <w:p w:rsidR="00000000" w:rsidRDefault="00000000">
      <w:pPr>
        <w:widowControl w:val="0"/>
        <w:spacing w:after="240"/>
        <w:rPr>
          <w:rStyle w:val="Interlineado"/>
          <w:u w:val="single"/>
          <w:lang w:val="es-ES_tradnl"/>
        </w:rPr>
      </w:pPr>
      <w:r>
        <w:rPr>
          <w:rStyle w:val="Interlineado"/>
          <w:u w:val="single"/>
          <w:lang w:val="es-ES_tradnl"/>
        </w:rPr>
        <w:t>Violaciones</w:t>
      </w:r>
    </w:p>
    <w:p w:rsidR="00000000" w:rsidRDefault="00000000">
      <w:pPr>
        <w:widowControl w:val="0"/>
        <w:spacing w:after="240"/>
        <w:rPr>
          <w:lang w:val="es-ES_tradnl"/>
        </w:rPr>
      </w:pPr>
      <w:r>
        <w:rPr>
          <w:lang w:val="es-ES_tradnl"/>
        </w:rPr>
        <w:t>58.</w:t>
      </w:r>
      <w:r>
        <w:rPr>
          <w:lang w:val="es-ES_tradnl"/>
        </w:rPr>
        <w:tab/>
        <w:t>Cuando se aplica el contenido normativo del artículo 13 (parte I) a las obligaciones generales y concretas de los Estados Partes (parte II), se pone en marcha un proceso dinámico que facilita la averiguación de las violaciones del derecho a la educación, las cuales pueden producirse mediante la acción directa de los Estados Partes (por obra) o porque no adopten las medidas que exige el Pacto (por omisión).</w:t>
      </w:r>
    </w:p>
    <w:p w:rsidR="00000000" w:rsidRDefault="00000000">
      <w:pPr>
        <w:widowControl w:val="0"/>
        <w:spacing w:after="480"/>
        <w:rPr>
          <w:rStyle w:val="Interlineado"/>
          <w:lang w:val="es-ES_tradnl"/>
        </w:rPr>
      </w:pPr>
      <w:r>
        <w:rPr>
          <w:lang w:val="es-ES_tradnl"/>
        </w:rPr>
        <w:t>59.</w:t>
      </w:r>
      <w:r>
        <w:rPr>
          <w:lang w:val="es-ES_tradnl"/>
        </w:rPr>
        <w:tab/>
        <w:t>Ejemplos de violaciones del artículo 13 son:  la adopción de leyes, o la omisión de revocar leyes que discriminan a individuos o grupos, por cualquiera de los motivos prohibidos, en la esfera de la educación; el no adoptar medidas que hagan frente a una discriminación de hecho en la educación; la aplicación de planes de estudio incompatibles con los objetivos de la educación expuestos en el párrafo 1 del artículo 13; el no mantener un sistema transparente y eficaz de supervisión del cumplimiento del párrafo 1 del artículo 13; el no implantar, con carácter prioritario, la enseñanza primaria obligatoria y gratuita para todos; el no adoptar "medidas deliberadas, concretas y orientadas" hacia la implantación gradual de la enseñanza secundaria, superior y fundamental, de conformidad con los apartados b) a d) del párrafo 2 del artículo 13; la prohibición de instituciones de enseñanza privadas; el no velar por que las instituciones de enseñanza privadas cumplan con las "normas mínimas" de educación que disponen los párrafos 3 y 4 del artículo 13; la negación de la libertad académica del cuerpo docente y de los alumnos; el cierre de instituciones de enseñanza en épocas de tensión política sin ajustarse a lo dispuesto por el artículo 4.</w:t>
      </w:r>
    </w:p>
    <w:p w:rsidR="00000000" w:rsidRDefault="00000000">
      <w:pPr>
        <w:widowControl w:val="0"/>
        <w:jc w:val="center"/>
        <w:rPr>
          <w:rStyle w:val="Interlineado"/>
          <w:lang w:val="es-ES_tradnl"/>
        </w:rPr>
      </w:pPr>
      <w:r>
        <w:rPr>
          <w:rStyle w:val="Interlineado"/>
          <w:lang w:val="es-ES_tradnl"/>
        </w:rPr>
        <w:t>III.  LAS OBLIGACIONES DE OTROS AGENTES</w:t>
      </w:r>
    </w:p>
    <w:p w:rsidR="00000000" w:rsidRDefault="00000000">
      <w:pPr>
        <w:widowControl w:val="0"/>
        <w:spacing w:after="240"/>
        <w:ind w:left="567"/>
        <w:jc w:val="center"/>
        <w:rPr>
          <w:rStyle w:val="Interlineado"/>
          <w:lang w:val="es-ES_tradnl"/>
        </w:rPr>
      </w:pPr>
      <w:r>
        <w:rPr>
          <w:rStyle w:val="Interlineado"/>
          <w:lang w:val="es-ES_tradnl"/>
        </w:rPr>
        <w:t>QUE LOS ESTADOS PARTES</w:t>
      </w:r>
    </w:p>
    <w:p w:rsidR="00000000" w:rsidRDefault="00000000">
      <w:pPr>
        <w:widowControl w:val="0"/>
        <w:spacing w:after="360"/>
        <w:rPr>
          <w:lang w:val="es-ES_tradnl"/>
        </w:rPr>
      </w:pPr>
      <w:r>
        <w:rPr>
          <w:lang w:val="es-ES_tradnl"/>
        </w:rPr>
        <w:t>60.</w:t>
      </w:r>
      <w:r>
        <w:rPr>
          <w:lang w:val="es-ES_tradnl"/>
        </w:rPr>
        <w:tab/>
        <w:t>Habida cuenta del artículo 22 del Pacto para la aplicación del artículo 13, tiene especial importancia el papel de los organismos especializados de las Naciones Unidas, incluso por conducto del Marco de Asistencia de las Naciones Unidas para el Desarrollo a nivel nacional.  Se deben mantener esfuerzos coordinados para lograr el ejercicio del derecho a la educación, a fin de intensificar la coherencia y la interacción entre todos los participantes, incluidos los diversos componentes de la sociedad civil.  La UNESCO, el PNUD, el UNICEF, la OIT, el Banco Mundial, los bancos regionales de desarrollo, el Fondo Monetario Internacional y otros organismos pertinentes del sistema de las Naciones Unidas han de aumentar su cooperación respecto de la aplicación del derecho a la educación a nivel nacional, respetando sus respectivos mandatos específicos y aprovechando las competencias de cada uno.  En particular, las instituciones financieras internacionales, sobre todo el Banco Mundial y el Fondo Monetario Internacional, deberían prestar más atención a la protección del derecho a la educación en sus políticas de préstamos, de acuerdos de crédito, programas de ajuste estructural y medidas adoptadas para hacer frente a la crisis de la deuda</w:t>
      </w:r>
      <w:r>
        <w:rPr>
          <w:rStyle w:val="EndnoteReference"/>
          <w:lang w:val="es-ES_tradnl"/>
        </w:rPr>
        <w:endnoteReference w:id="29"/>
      </w:r>
      <w:r>
        <w:rPr>
          <w:lang w:val="es-ES_tradnl"/>
        </w:rPr>
        <w:t>.  Cuando examine los informes de los Estados Partes, el Comité analizará las consecuencias de la asistencia prestada por otros agentes que los Estados Partes en la capacidad de los Estados Partes de cumplir las obligaciones dimanantes del artículo 13.  La adopción de un planteamiento fundado en los derechos humanos por los organismos especializados, los programas y los órganos de las  Naciones Unidas facilitará enormemente la puesta en práctica del derecho a la educación.</w:t>
      </w:r>
    </w:p>
    <w:p w:rsidR="00000000" w:rsidRDefault="00000000">
      <w:pPr>
        <w:widowControl w:val="0"/>
        <w:spacing w:after="240"/>
        <w:rPr>
          <w:u w:val="single"/>
          <w:lang w:val="es-ES_tradnl"/>
        </w:rPr>
      </w:pPr>
    </w:p>
    <w:p w:rsidR="00000000" w:rsidRDefault="00000000">
      <w:pPr>
        <w:widowControl w:val="0"/>
        <w:spacing w:after="240"/>
        <w:rPr>
          <w:u w:val="single"/>
          <w:lang w:val="es-ES_tradnl"/>
        </w:rPr>
      </w:pPr>
    </w:p>
    <w:p w:rsidR="00000000" w:rsidRDefault="00000000">
      <w:pPr>
        <w:widowControl w:val="0"/>
        <w:spacing w:after="240"/>
        <w:rPr>
          <w:u w:val="single"/>
          <w:lang w:val="es-ES_tradnl"/>
        </w:rPr>
      </w:pPr>
    </w:p>
    <w:sectPr w:rsidR="00000000">
      <w:headerReference w:type="even" r:id="rId8"/>
      <w:headerReference w:type="default" r:id="rId9"/>
      <w:endnotePr>
        <w:numFmt w:val="decimal"/>
      </w:endnotePr>
      <w:pgSz w:w="11906" w:h="16838"/>
      <w:pgMar w:top="1701"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 w:id="1">
    <w:p w:rsidR="00000000" w:rsidRDefault="00000000">
      <w:pPr>
        <w:pStyle w:val="EndnoteText"/>
        <w:spacing w:line="240" w:lineRule="auto"/>
      </w:pPr>
      <w:r>
        <w:rPr>
          <w:rStyle w:val="EndnoteReference"/>
        </w:rPr>
        <w:endnoteRef/>
      </w:r>
      <w:r>
        <w:t xml:space="preserve"> </w:t>
      </w:r>
      <w:r>
        <w:rPr>
          <w:lang w:val="es-ES_tradnl"/>
        </w:rPr>
        <w:t>La Declaración Mundial sobre Educación para todos fue aprobada por 155 delegaciones gubernamentales; la Declaración y Plan de Acción de Viena fue aprobada por 171 delegaciones gubernamentales; la Convención sobre los Derechos del Niño ha sido ratificada o suscrita por 191 Estados Partes; el Plan de Acción para el Decenio de las Naciones Unidas para la Educación en la esfera de los derechos humanos fue aprobado por consenso en una resolución de la Asamblea General.</w:t>
      </w:r>
    </w:p>
  </w:endnote>
  <w:endnote w:id="2">
    <w:p w:rsidR="00000000" w:rsidRDefault="00000000">
      <w:pPr>
        <w:spacing w:after="240"/>
      </w:pPr>
      <w:r>
        <w:rPr>
          <w:rStyle w:val="EndnoteReference"/>
        </w:rPr>
        <w:endnoteRef/>
      </w:r>
      <w:r>
        <w:t xml:space="preserve"> </w:t>
      </w:r>
      <w:r>
        <w:rPr>
          <w:lang w:val="es-ES_tradnl"/>
        </w:rPr>
        <w:t>Este planteamiento corresponde al marco analítico general seguido a propósito de los derechos a una vivienda y una alimentación adecuadas y a la labor de la Relatora Especial de las Naciones Unidas sobre el Derecho a la Educación.  En su Observación general 4, el Comité se refiere a varios factores que influyen en el derecho a una vivienda de esas características:  la "disponibilidad", la "asequibilidad", la "accesibilidad" y la "adecuación cultural".  En su Observación general 12, el Comité se refiere a varios elementos del derecho a una alimentación adecuada como la "disponibilidad", la "aceptabilidad" y la "accesibilidad".  En su informe preliminar a la Comisión de Derechos Humanos, la Relatora Especial sobre el derecho a la educación menciona "cuatro características fundamentales que deben tener las escuelas primarias:  la disponibilidad, la accesibilidad, la aceptabilidad y la adaptabilidad" (E/CN.4/1999/49, párr. 50).</w:t>
      </w:r>
    </w:p>
  </w:endnote>
  <w:endnote w:id="3">
    <w:p w:rsidR="00000000" w:rsidRDefault="00000000">
      <w:pPr>
        <w:pStyle w:val="EndnoteText"/>
        <w:spacing w:line="240" w:lineRule="auto"/>
      </w:pPr>
      <w:r>
        <w:rPr>
          <w:rStyle w:val="EndnoteReference"/>
        </w:rPr>
        <w:endnoteRef/>
      </w:r>
      <w:r>
        <w:t xml:space="preserve"> Véase el párrafo 6.</w:t>
      </w:r>
    </w:p>
  </w:endnote>
  <w:endnote w:id="4">
    <w:p w:rsidR="00000000" w:rsidRDefault="00000000">
      <w:pPr>
        <w:spacing w:after="240"/>
      </w:pPr>
      <w:r>
        <w:rPr>
          <w:rStyle w:val="EndnoteReference"/>
        </w:rPr>
        <w:endnoteRef/>
      </w:r>
      <w:r>
        <w:t xml:space="preserve"> </w:t>
      </w:r>
      <w:r>
        <w:rPr>
          <w:lang w:val="es-ES_tradnl"/>
        </w:rPr>
        <w:t>La Declaración define "las necesidades básicas de aprendizaje" como "herramientas esenciales para el aprendizaje (como la lectura y la escritura, la expresión oral, el cálculo, la solución de problemas) y los contenidos básicos del aprendizaje (conocimientos teóricos y prácticos, valores y aptitudes) necesarios para que los seres humanos puedan sobrevivir, desarrollar plenamente sus capacidades, vivir y trabajar con dignidad, participar plenamente en el desarrollo, mejorar la calidad de su vida, tomar decisiones fundamentadas y continuar aprendiendo" (art. 1).</w:t>
      </w:r>
    </w:p>
  </w:endnote>
  <w:endnote w:id="5">
    <w:p w:rsidR="00000000" w:rsidRDefault="00000000">
      <w:pPr>
        <w:pStyle w:val="EndnoteText"/>
        <w:spacing w:line="240" w:lineRule="auto"/>
      </w:pPr>
      <w:r>
        <w:rPr>
          <w:rStyle w:val="EndnoteReference"/>
        </w:rPr>
        <w:endnoteRef/>
      </w:r>
      <w:r>
        <w:t xml:space="preserve"> </w:t>
      </w:r>
      <w:r>
        <w:rPr>
          <w:u w:val="single"/>
        </w:rPr>
        <w:t>Advocacy kit</w:t>
      </w:r>
      <w:r>
        <w:t xml:space="preserve">, </w:t>
      </w:r>
      <w:r>
        <w:rPr>
          <w:u w:val="single"/>
        </w:rPr>
        <w:t>Basic Education 1999</w:t>
      </w:r>
      <w:r>
        <w:t xml:space="preserve"> (UNICEF), Secc.1 pág.1.</w:t>
      </w:r>
    </w:p>
  </w:endnote>
  <w:endnote w:id="6">
    <w:p w:rsidR="00000000" w:rsidRDefault="00000000">
      <w:pPr>
        <w:pStyle w:val="EndnoteText"/>
        <w:spacing w:line="240" w:lineRule="auto"/>
      </w:pPr>
      <w:r>
        <w:rPr>
          <w:rStyle w:val="EndnoteReference"/>
        </w:rPr>
        <w:endnoteRef/>
      </w:r>
      <w:r>
        <w:t xml:space="preserve"> </w:t>
      </w:r>
      <w:r>
        <w:rPr>
          <w:lang w:val="es-ES_tradnl"/>
        </w:rPr>
        <w:t>Véase el párr. 6.</w:t>
      </w:r>
    </w:p>
  </w:endnote>
  <w:endnote w:id="7">
    <w:p w:rsidR="00000000" w:rsidRDefault="00000000">
      <w:pPr>
        <w:pStyle w:val="EndnoteText"/>
        <w:spacing w:line="240" w:lineRule="auto"/>
      </w:pPr>
      <w:r>
        <w:rPr>
          <w:rStyle w:val="EndnoteReference"/>
        </w:rPr>
        <w:endnoteRef/>
      </w:r>
      <w:r>
        <w:t xml:space="preserve"> </w:t>
      </w:r>
      <w:r>
        <w:rPr>
          <w:lang w:val="es-ES_tradnl"/>
        </w:rPr>
        <w:t xml:space="preserve">Véase la </w:t>
      </w:r>
      <w:r>
        <w:rPr>
          <w:u w:val="single"/>
          <w:lang w:val="es-ES_tradnl"/>
        </w:rPr>
        <w:t>Clasificación internacional normalizada de la educación</w:t>
      </w:r>
      <w:r>
        <w:rPr>
          <w:lang w:val="es-ES_tradnl"/>
        </w:rPr>
        <w:t>, 1997, UNESCO, párr.52.</w:t>
      </w:r>
    </w:p>
  </w:endnote>
  <w:endnote w:id="8">
    <w:p w:rsidR="00000000" w:rsidRDefault="00000000">
      <w:pPr>
        <w:pStyle w:val="EndnoteText"/>
        <w:spacing w:line="240" w:lineRule="auto"/>
      </w:pPr>
      <w:r>
        <w:rPr>
          <w:rStyle w:val="EndnoteReference"/>
        </w:rPr>
        <w:endnoteRef/>
      </w:r>
      <w:r>
        <w:t xml:space="preserve"> </w:t>
      </w:r>
      <w:r>
        <w:rPr>
          <w:lang w:val="es-ES_tradnl"/>
        </w:rPr>
        <w:t>Perspectiva recogida asimismo en los Convenios de la OIT sobre desarrollo de los recursos humanos, 1975 (Nº 142), y sobre política social (normas y objetivos básicos), 1962 (Nº 117).</w:t>
      </w:r>
    </w:p>
  </w:endnote>
  <w:endnote w:id="9">
    <w:p w:rsidR="00000000" w:rsidRDefault="00000000">
      <w:pPr>
        <w:pStyle w:val="EndnoteText"/>
        <w:spacing w:line="240" w:lineRule="auto"/>
      </w:pPr>
      <w:r>
        <w:rPr>
          <w:rStyle w:val="EndnoteReference"/>
        </w:rPr>
        <w:endnoteRef/>
      </w:r>
      <w:r>
        <w:t xml:space="preserve"> </w:t>
      </w:r>
      <w:r>
        <w:rPr>
          <w:lang w:val="es-ES_tradnl"/>
        </w:rPr>
        <w:t>Véase la nota anterior.</w:t>
      </w:r>
    </w:p>
  </w:endnote>
  <w:endnote w:id="10">
    <w:p w:rsidR="00000000" w:rsidRDefault="00000000">
      <w:pPr>
        <w:pStyle w:val="EndnoteText"/>
        <w:spacing w:line="240" w:lineRule="auto"/>
      </w:pPr>
      <w:r>
        <w:rPr>
          <w:rStyle w:val="EndnoteReference"/>
        </w:rPr>
        <w:endnoteRef/>
      </w:r>
      <w:r>
        <w:t xml:space="preserve"> </w:t>
      </w:r>
      <w:r>
        <w:rPr>
          <w:lang w:val="es-ES_tradnl"/>
        </w:rPr>
        <w:t>Véase el párr. 6.</w:t>
      </w:r>
    </w:p>
  </w:endnote>
  <w:endnote w:id="11">
    <w:p w:rsidR="00000000" w:rsidRDefault="00000000">
      <w:pPr>
        <w:pStyle w:val="EndnoteText"/>
        <w:spacing w:line="240" w:lineRule="auto"/>
      </w:pPr>
    </w:p>
    <w:p w:rsidR="00000000" w:rsidRDefault="00000000">
      <w:pPr>
        <w:pStyle w:val="EndnoteText"/>
        <w:spacing w:line="240" w:lineRule="auto"/>
      </w:pPr>
    </w:p>
    <w:p w:rsidR="00000000" w:rsidRDefault="00000000">
      <w:pPr>
        <w:pStyle w:val="EndnoteText"/>
        <w:spacing w:line="240" w:lineRule="auto"/>
      </w:pPr>
      <w:r>
        <w:rPr>
          <w:rStyle w:val="EndnoteReference"/>
        </w:rPr>
        <w:endnoteRef/>
      </w:r>
      <w:r>
        <w:t xml:space="preserve"> </w:t>
      </w:r>
      <w:r>
        <w:rPr>
          <w:lang w:val="es-ES_tradnl"/>
        </w:rPr>
        <w:t>Véase el párr. 15.</w:t>
      </w:r>
    </w:p>
  </w:endnote>
  <w:endnote w:id="12">
    <w:p w:rsidR="00000000" w:rsidRDefault="00000000">
      <w:pPr>
        <w:pStyle w:val="EndnoteText"/>
        <w:spacing w:line="240" w:lineRule="auto"/>
      </w:pPr>
      <w:r>
        <w:rPr>
          <w:rStyle w:val="EndnoteReference"/>
        </w:rPr>
        <w:endnoteRef/>
      </w:r>
      <w:r>
        <w:t xml:space="preserve"> </w:t>
      </w:r>
      <w:r>
        <w:rPr>
          <w:lang w:val="es-ES_tradnl"/>
        </w:rPr>
        <w:t>Véase el párr. 6.</w:t>
      </w:r>
    </w:p>
  </w:endnote>
  <w:endnote w:id="13">
    <w:p w:rsidR="00000000" w:rsidRDefault="00000000">
      <w:pPr>
        <w:pStyle w:val="EndnoteText"/>
        <w:spacing w:line="240" w:lineRule="auto"/>
      </w:pPr>
      <w:r>
        <w:rPr>
          <w:rStyle w:val="EndnoteReference"/>
        </w:rPr>
        <w:endnoteRef/>
      </w:r>
      <w:r>
        <w:t xml:space="preserve"> </w:t>
      </w:r>
      <w:r>
        <w:rPr>
          <w:lang w:val="es-ES_tradnl"/>
        </w:rPr>
        <w:t>Véase el párr. 9.</w:t>
      </w:r>
    </w:p>
  </w:endnote>
  <w:endnote w:id="14">
    <w:p w:rsidR="00000000" w:rsidRDefault="00000000">
      <w:pPr>
        <w:pStyle w:val="EndnoteText"/>
        <w:spacing w:line="240" w:lineRule="auto"/>
      </w:pPr>
      <w:r>
        <w:rPr>
          <w:rStyle w:val="EndnoteReference"/>
        </w:rPr>
        <w:endnoteRef/>
      </w:r>
      <w:r>
        <w:t xml:space="preserve"> </w:t>
      </w:r>
      <w:r>
        <w:rPr>
          <w:lang w:val="es-ES_tradnl"/>
        </w:rPr>
        <w:t>.Lo cual reproduce lo dicho en el párrafo 4 del artículo 18 del Pacto Internacional de Derechos Civiles y Políticos.  (Véase la Observación general 22 del Comité de Derechos Humanos acerca del articulo 18, 48º período de sesiones, 1993.).  El Comité de Derechos Humanos observa que el carácter esencial del mencionado artículo se refleja en el hecho de que no se puede derogar esta disposición, ni siquiera en épocas de emergencia pública, como se dice en el párrafo 2 del artículo 4 del Pacto.</w:t>
      </w:r>
    </w:p>
  </w:endnote>
  <w:endnote w:id="15">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rPr>
          <w:lang w:val="es-ES_tradnl"/>
        </w:rPr>
      </w:pPr>
      <w:r>
        <w:rPr>
          <w:rStyle w:val="EndnoteReference"/>
        </w:rPr>
        <w:endnoteRef/>
      </w:r>
      <w:r>
        <w:t xml:space="preserve"> </w:t>
      </w:r>
      <w:r>
        <w:rPr>
          <w:lang w:val="es-ES_tradnl"/>
        </w:rPr>
        <w:t>Con arreglo al artículo 2:  "En el caso de que el Estado las admita, las situaciones siguientes no serán consideradas como constitutivas de discriminación en el sentido del artículo 1 de la presente Convención:</w:t>
      </w:r>
    </w:p>
    <w:p w:rsidR="00000000" w:rsidRDefault="00000000">
      <w:pPr>
        <w:spacing w:after="240"/>
        <w:ind w:left="1134" w:hanging="567"/>
        <w:rPr>
          <w:lang w:val="es-ES_tradnl"/>
        </w:rPr>
      </w:pPr>
      <w:r>
        <w:rPr>
          <w:lang w:val="es-ES_tradnl"/>
        </w:rPr>
        <w:t>a)</w:t>
      </w:r>
      <w:r>
        <w:rPr>
          <w:lang w:val="es-ES_tradnl"/>
        </w:rPr>
        <w:tab/>
        <w:t>La creación o el mantenimiento de sistemas o establecimientos de enseñanza separados para los alumnos de sexo masculino y para los de sexo femenino, siempre que esos sistemas o establecimientos ofrezcan facilidades equivalentes de acceso a la enseñanza, dispongan de un personal docente igualmente calificado, así como de locales escolares y de un equipo de igual calidad y permitan seguir los mismos programas de estudio o programas equivalentes;</w:t>
      </w:r>
    </w:p>
    <w:p w:rsidR="00000000" w:rsidRDefault="00000000">
      <w:pPr>
        <w:spacing w:after="240"/>
        <w:ind w:left="1134" w:hanging="567"/>
        <w:rPr>
          <w:lang w:val="es-ES_tradnl"/>
        </w:rPr>
      </w:pPr>
      <w:r>
        <w:rPr>
          <w:lang w:val="es-ES_tradnl"/>
        </w:rPr>
        <w:t>b)</w:t>
      </w:r>
      <w:r>
        <w:rPr>
          <w:lang w:val="es-ES_tradnl"/>
        </w:rPr>
        <w:tab/>
        <w:t>La creación o el mantenimiento, por motivos de orden religioso o lingüístico, de sistemas o establecimientos separados que proporcionen una enseñanza conforme a los deseos de los padres o tutores legales de los alumnos, si la participación en esos sistemas o la asistencia a estos establecimientos es facultativa y si la enseñanza en ellos proporcionada se ajusta a las normas que las autoridades competentes puedan haber fijado o aprobado, particularmente para la enseñanza del mismo grado;</w:t>
      </w:r>
    </w:p>
    <w:p w:rsidR="00000000" w:rsidRDefault="00000000">
      <w:pPr>
        <w:pStyle w:val="EndnoteText"/>
        <w:spacing w:line="240" w:lineRule="auto"/>
        <w:ind w:left="1134" w:hanging="567"/>
      </w:pPr>
      <w:r>
        <w:rPr>
          <w:lang w:val="es-ES_tradnl"/>
        </w:rPr>
        <w:t>c)</w:t>
      </w:r>
      <w:r>
        <w:rPr>
          <w:lang w:val="es-ES_tradnl"/>
        </w:rPr>
        <w:tab/>
        <w:t>La creación o el mantenimiento de establecimientos de enseñanza privados, siempre que la finalidad de esos establecimientos no sea la de lograr la exclusión de cualquier grupo, sino la de añadir nuevas posibilidades de enseñanza a las que proporciona el poder público, y siempre que funcionen de conformidad con esa finalidad, y que la enseñanza dada corresponda a las normas que hayan podido prescribir o aprobar las autoridades competentes, particularmente para la enseñanza del mismo grado".</w:t>
      </w:r>
    </w:p>
  </w:endnote>
  <w:endnote w:id="16">
    <w:p w:rsidR="00000000" w:rsidRDefault="00000000">
      <w:pPr>
        <w:pStyle w:val="EndnoteText"/>
        <w:spacing w:line="240" w:lineRule="auto"/>
      </w:pPr>
      <w:r>
        <w:rPr>
          <w:rStyle w:val="EndnoteReference"/>
        </w:rPr>
        <w:endnoteRef/>
      </w:r>
      <w:r>
        <w:t xml:space="preserve"> </w:t>
      </w:r>
      <w:r>
        <w:rPr>
          <w:lang w:val="es-ES_tradnl"/>
        </w:rPr>
        <w:t>Véase la Recomendación relativa a la condición del personal docente de la enseñanza superior (1997).</w:t>
      </w:r>
    </w:p>
  </w:endnote>
  <w:endnote w:id="17">
    <w:p w:rsidR="00000000" w:rsidRDefault="00000000">
      <w:pPr>
        <w:pStyle w:val="EndnoteText"/>
        <w:spacing w:line="240" w:lineRule="auto"/>
      </w:pPr>
      <w:r>
        <w:rPr>
          <w:rStyle w:val="EndnoteReference"/>
        </w:rPr>
        <w:endnoteRef/>
      </w:r>
      <w:r>
        <w:t xml:space="preserve"> </w:t>
      </w:r>
      <w:r>
        <w:rPr>
          <w:lang w:val="es-ES_tradnl"/>
        </w:rPr>
        <w:t>Al redactar este párrafo, el Comité ha tomado nota de la evolución de la práctica seguida en todo el sistema de defensa de los derechos humanos, por ejemplo la interpretación que hace el Comité de los Derechos del Niño del párrafo 2 del artículo 28 de la Convención sobre los Derechos del Niño y la interpretación que el Comité de Derechos Humanos hace del artículo 7 del Pacto Internacional de Derechos Civiles y Políticos.</w:t>
      </w:r>
    </w:p>
  </w:endnote>
  <w:endnote w:id="18">
    <w:p w:rsidR="00000000" w:rsidRDefault="00000000">
      <w:pPr>
        <w:pStyle w:val="EndnoteText"/>
        <w:spacing w:line="240" w:lineRule="auto"/>
      </w:pPr>
      <w:r>
        <w:rPr>
          <w:rStyle w:val="EndnoteReference"/>
        </w:rPr>
        <w:endnoteRef/>
      </w:r>
      <w:r>
        <w:t xml:space="preserve"> </w:t>
      </w:r>
      <w:r>
        <w:rPr>
          <w:lang w:val="es-ES_tradnl"/>
        </w:rPr>
        <w:t>El Comité observa que, si bien no figura en el párrafo 2 del artículo 26 de la Declaración, los redactores del Pacto Internacional de Derechos Económicos, Sociales y Culturales incluyeron expresamente la dignidad de la persona humana entre los objetivos que debe perseguir obligatoriamente toda educación (párrafo 1 del artículo 13).</w:t>
      </w:r>
    </w:p>
  </w:endnote>
  <w:endnote w:id="19">
    <w:p w:rsidR="00000000" w:rsidRDefault="00000000">
      <w:pPr>
        <w:pStyle w:val="EndnoteText"/>
        <w:spacing w:line="240" w:lineRule="auto"/>
      </w:pPr>
      <w:r>
        <w:rPr>
          <w:rStyle w:val="EndnoteReference"/>
        </w:rPr>
        <w:endnoteRef/>
      </w:r>
      <w:r>
        <w:t xml:space="preserve"> </w:t>
      </w:r>
      <w:r>
        <w:rPr>
          <w:lang w:val="es-ES_tradnl"/>
        </w:rPr>
        <w:t>Véase la Observación general 3 del Comité de Derechos Económicos Sociales y Culturales, párr. 1.</w:t>
      </w:r>
    </w:p>
  </w:endnote>
  <w:endnote w:id="20">
    <w:p w:rsidR="00000000" w:rsidRDefault="00000000">
      <w:pPr>
        <w:pStyle w:val="EndnoteText"/>
        <w:spacing w:line="240" w:lineRule="auto"/>
      </w:pPr>
      <w:r>
        <w:rPr>
          <w:rStyle w:val="EndnoteReference"/>
        </w:rPr>
        <w:endnoteRef/>
      </w:r>
      <w:r>
        <w:t xml:space="preserve"> </w:t>
      </w:r>
      <w:r>
        <w:rPr>
          <w:lang w:val="es-ES_tradnl"/>
        </w:rPr>
        <w:t>Véase Observación general 3, párrafo 2, del Comité de Derechos Económicos Sociales y Culturales.</w:t>
      </w:r>
    </w:p>
  </w:endnote>
  <w:endnote w:id="21">
    <w:p w:rsidR="00000000" w:rsidRDefault="00000000">
      <w:pPr>
        <w:pStyle w:val="EndnoteText"/>
        <w:spacing w:line="240" w:lineRule="auto"/>
      </w:pPr>
      <w:r>
        <w:rPr>
          <w:rStyle w:val="EndnoteReference"/>
        </w:rPr>
        <w:endnoteRef/>
      </w:r>
      <w:r>
        <w:t xml:space="preserve"> </w:t>
      </w:r>
      <w:r>
        <w:rPr>
          <w:lang w:val="es-ES_tradnl"/>
        </w:rPr>
        <w:t>Véase la Observación general 3, párrafo 9, del Comité de Derechos Económicos Sociales y Culturales.</w:t>
      </w:r>
    </w:p>
  </w:endnote>
  <w:endnote w:id="22">
    <w:p w:rsidR="00000000" w:rsidRDefault="00000000">
      <w:pPr>
        <w:pStyle w:val="EndnoteText"/>
        <w:spacing w:line="240" w:lineRule="auto"/>
      </w:pPr>
      <w:r>
        <w:rPr>
          <w:rStyle w:val="EndnoteReference"/>
        </w:rPr>
        <w:endnoteRef/>
      </w:r>
      <w:r>
        <w:t xml:space="preserve"> </w:t>
      </w:r>
      <w:r>
        <w:rPr>
          <w:lang w:val="es-ES_tradnl"/>
        </w:rPr>
        <w:t>Véase la Observación general 3, párrafo 9, del Comité de Derechos Económicos Sociales y Culturales.</w:t>
      </w:r>
    </w:p>
  </w:endnote>
  <w:endnote w:id="23">
    <w:p w:rsidR="00000000" w:rsidRDefault="00000000">
      <w:pPr>
        <w:pStyle w:val="EndnoteText"/>
        <w:spacing w:line="240" w:lineRule="auto"/>
      </w:pPr>
      <w:r>
        <w:rPr>
          <w:rStyle w:val="EndnoteReference"/>
        </w:rPr>
        <w:endnoteRef/>
      </w:r>
      <w:r>
        <w:t xml:space="preserve"> </w:t>
      </w:r>
      <w:r>
        <w:rPr>
          <w:lang w:val="es-ES_tradnl"/>
        </w:rPr>
        <w:t xml:space="preserve">Existen numerosos recursos para prestar ayuda a los Estados Partes a este respecto, como la obra de la UNESCO </w:t>
      </w:r>
      <w:r>
        <w:rPr>
          <w:u w:val="single"/>
          <w:lang w:val="es-ES_tradnl"/>
        </w:rPr>
        <w:t>Guidelines for Curriculum and Textbook Development in International Education</w:t>
      </w:r>
      <w:r>
        <w:rPr>
          <w:lang w:val="es-ES_tradnl"/>
        </w:rPr>
        <w:t xml:space="preserve"> (ED/ECS/HCI).  Uno de los objetivos del párrafo 1 del artículo 13 es "fortalecer el respeto por los derechos humanos y las libertades fundamentales"; en este contexto, los Estados Partes deben examinar las iniciativas puestas en práctica en el marco del Decenio de las Naciones Unidas para la Educación en la esfera de los Derechos Humanos son especialmente instructivos el Plan de Acción para el Decenio, aprobado por la Asamblea General en 1996 y las directrices para los planes nacionales de acción en materia de educación en la esfera de los derechos humanos, establecidos por la Oficina del Alto Comisionado de las Naciones Unidas para los Derechos Humanos a efectos de prestar asistencia a los Estados en la adopción de medidas en el marco del Decenio.</w:t>
      </w:r>
    </w:p>
  </w:endnote>
  <w:endnote w:id="24">
    <w:p w:rsidR="00000000" w:rsidRDefault="00000000">
      <w:pPr>
        <w:pStyle w:val="EndnoteText"/>
        <w:spacing w:line="240" w:lineRule="auto"/>
      </w:pPr>
      <w:r>
        <w:rPr>
          <w:rStyle w:val="EndnoteReference"/>
        </w:rPr>
        <w:endnoteRef/>
      </w:r>
      <w:r>
        <w:t xml:space="preserve"> </w:t>
      </w:r>
      <w:r>
        <w:rPr>
          <w:lang w:val="es-ES_tradnl"/>
        </w:rPr>
        <w:t>Para el significado de "obligatoria" y "gratuita", véanse los párrs. 6 y 7 de la Observación general 11 sobre el artículo 14.</w:t>
      </w:r>
    </w:p>
  </w:endnote>
  <w:endnote w:id="25">
    <w:p w:rsidR="00000000" w:rsidRDefault="00000000">
      <w:pPr>
        <w:pStyle w:val="EndnoteText"/>
        <w:spacing w:line="240" w:lineRule="auto"/>
      </w:pPr>
      <w:r>
        <w:rPr>
          <w:rStyle w:val="EndnoteReference"/>
        </w:rPr>
        <w:endnoteRef/>
      </w:r>
      <w:r>
        <w:t xml:space="preserve"> </w:t>
      </w:r>
      <w:r>
        <w:rPr>
          <w:lang w:val="es-ES_tradnl"/>
        </w:rPr>
        <w:t>Este sistema, en los casos oportunos, sería un objetivo particularmente apropiado de la asistencia y la cooperación internacionales previstas en el párrafo 1 del artículo 2.</w:t>
      </w:r>
    </w:p>
  </w:endnote>
  <w:endnote w:id="26">
    <w:p w:rsidR="00000000" w:rsidRDefault="00000000">
      <w:pPr>
        <w:pStyle w:val="EndnoteText"/>
        <w:spacing w:line="240" w:lineRule="auto"/>
      </w:pPr>
      <w:r>
        <w:rPr>
          <w:rStyle w:val="EndnoteReference"/>
        </w:rPr>
        <w:endnoteRef/>
      </w:r>
      <w:r>
        <w:t xml:space="preserve"> </w:t>
      </w:r>
      <w:r>
        <w:rPr>
          <w:lang w:val="es-ES_tradnl"/>
        </w:rPr>
        <w:t xml:space="preserve">En el marco de la enseñanza básica, el UNICEF ha observado lo siguiente:  "sólo el Estado … puede reunir todos los componentes en un sistema educativo coherente, pero flexible" (UNICEF, </w:t>
      </w:r>
      <w:r>
        <w:rPr>
          <w:u w:val="single"/>
          <w:lang w:val="es-ES_tradnl"/>
        </w:rPr>
        <w:t>Estado mundial de la infancia, 1999,</w:t>
      </w:r>
      <w:r>
        <w:rPr>
          <w:lang w:val="es-ES_tradnl"/>
        </w:rPr>
        <w:t xml:space="preserve"> "La revolución educativa", pág. 77).</w:t>
      </w:r>
    </w:p>
  </w:endnote>
  <w:endnote w:id="27">
    <w:p w:rsidR="00000000" w:rsidRDefault="00000000">
      <w:pPr>
        <w:pStyle w:val="EndnoteText"/>
        <w:spacing w:line="240" w:lineRule="auto"/>
      </w:pPr>
      <w:r>
        <w:rPr>
          <w:rStyle w:val="EndnoteReference"/>
        </w:rPr>
        <w:endnoteRef/>
      </w:r>
      <w:r>
        <w:t xml:space="preserve"> </w:t>
      </w:r>
      <w:r>
        <w:rPr>
          <w:lang w:val="es-ES_tradnl"/>
        </w:rPr>
        <w:t>Según el párrafo 2 del artículo 7, "todo Miembro deberá adoptar, teniendo en cuenta la importancia de la educación para la eliminación del trabajo infantil, medidas efectivas y en un plazo determinado con el fin de:  …  c) asegurar a todos los niños que hayan sido liberados de las peores formas de trabajo infantil el acceso a la enseñanza básica gratuita y, cuando sea posible y adecuado, a la formación profesional" (Convenio de la OIT sobre las peores formas de trabajo infantil, 1999, Nº 182).</w:t>
      </w:r>
    </w:p>
  </w:endnote>
  <w:endnote w:id="28">
    <w:p w:rsidR="00000000" w:rsidRDefault="00000000">
      <w:pPr>
        <w:pStyle w:val="EndnoteText"/>
        <w:spacing w:line="240" w:lineRule="auto"/>
      </w:pPr>
    </w:p>
    <w:p w:rsidR="00000000" w:rsidRDefault="00000000">
      <w:pPr>
        <w:pStyle w:val="EndnoteText"/>
        <w:spacing w:line="240" w:lineRule="auto"/>
      </w:pPr>
      <w:r>
        <w:rPr>
          <w:rStyle w:val="EndnoteReference"/>
        </w:rPr>
        <w:endnoteRef/>
      </w:r>
      <w:r>
        <w:t xml:space="preserve"> </w:t>
      </w:r>
      <w:r>
        <w:rPr>
          <w:lang w:val="es-ES_tradnl"/>
        </w:rPr>
        <w:t>Observación general 3, párrs. 13 y 14.</w:t>
      </w:r>
    </w:p>
  </w:endnote>
  <w:endnote w:id="29">
    <w:p w:rsidR="00000000" w:rsidRDefault="00000000">
      <w:pPr>
        <w:pStyle w:val="EndnoteText"/>
        <w:spacing w:line="240" w:lineRule="auto"/>
        <w:rPr>
          <w:lang w:val="es-ES_tradnl"/>
        </w:rPr>
      </w:pPr>
      <w:r>
        <w:rPr>
          <w:rStyle w:val="EndnoteReference"/>
        </w:rPr>
        <w:endnoteRef/>
      </w:r>
      <w:r>
        <w:t xml:space="preserve"> </w:t>
      </w:r>
      <w:r>
        <w:rPr>
          <w:lang w:val="es-ES_tradnl"/>
        </w:rPr>
        <w:t>Observación general 2, párr. 9.</w:t>
      </w:r>
    </w:p>
    <w:p w:rsidR="00000000" w:rsidRDefault="00000000">
      <w:pPr>
        <w:pStyle w:val="EndnoteText"/>
        <w:jc w:val="center"/>
      </w:pPr>
      <w:r>
        <w:rPr>
          <w:lang w:val="es-ES_tradnl"/>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E/C.12/1999/10</w:t>
    </w:r>
  </w:p>
  <w:p w:rsidR="00000000" w:rsidRDefault="00000000">
    <w:pPr>
      <w:pStyle w:val="Header"/>
    </w:pPr>
    <w:r>
      <w:t xml:space="preserve">página </w:t>
    </w:r>
    <w:r>
      <w:fldChar w:fldCharType="begin"/>
    </w:r>
    <w:r>
      <w:instrText xml:space="preserve"> PAGE  \* MERGEFORMAT </w:instrText>
    </w:r>
    <w:r>
      <w:fldChar w:fldCharType="separate"/>
    </w:r>
    <w:r>
      <w:rPr>
        <w:noProof/>
      </w:rPr>
      <w:t>14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797"/>
      </w:tabs>
    </w:pPr>
    <w:r>
      <w:tab/>
      <w:t>E/C.12/1999/10</w:t>
    </w:r>
  </w:p>
  <w:p w:rsidR="00000000" w:rsidRDefault="00000000">
    <w:pPr>
      <w:pStyle w:val="Header"/>
      <w:tabs>
        <w:tab w:val="clear" w:pos="4252"/>
        <w:tab w:val="clear" w:pos="8504"/>
        <w:tab w:val="left" w:pos="7797"/>
      </w:tabs>
    </w:pPr>
    <w:r>
      <w:tab/>
      <w:t xml:space="preserve">página </w:t>
    </w:r>
    <w:r>
      <w:fldChar w:fldCharType="begin"/>
    </w:r>
    <w:r>
      <w:instrText xml:space="preserve"> PAGE  \* MERGEFORMAT </w:instrText>
    </w:r>
    <w:r>
      <w:fldChar w:fldCharType="separate"/>
    </w:r>
    <w:r>
      <w:rPr>
        <w:noProof/>
      </w:rPr>
      <w:t>15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EndnoteReference">
    <w:name w:val="endnote reference"/>
    <w:semiHidden/>
    <w:rPr>
      <w:b/>
      <w:sz w:val="24"/>
      <w:vertAlign w:val="superscript"/>
    </w:rPr>
  </w:style>
  <w:style w:type="paragraph" w:styleId="EndnoteText">
    <w:name w:val="endnote text"/>
    <w:basedOn w:val="Normal"/>
    <w:semiHidden/>
    <w:pPr>
      <w:spacing w:after="240" w:line="840" w:lineRule="auto"/>
    </w:pPr>
  </w:style>
  <w:style w:type="character" w:customStyle="1" w:styleId="Espaciado1">
    <w:name w:val="Espaciado1"/>
  </w:style>
  <w:style w:type="character" w:customStyle="1" w:styleId="Interlineado">
    <w:name w:val="Interlineado"/>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55</TotalTime>
  <Pages>1</Pages>
  <Words>6711</Words>
  <Characters>38254</Characters>
  <Application>Microsoft Office Word</Application>
  <DocSecurity>4</DocSecurity>
  <Lines>318</Lines>
  <Paragraphs>76</Paragraphs>
  <ScaleCrop>false</ScaleCrop>
  <HeadingPairs>
    <vt:vector size="2" baseType="variant">
      <vt:variant>
        <vt:lpstr>Título</vt:lpstr>
      </vt:variant>
      <vt:variant>
        <vt:i4>1</vt:i4>
      </vt:variant>
    </vt:vector>
  </HeadingPairs>
  <TitlesOfParts>
    <vt:vector size="1" baseType="lpstr">
      <vt:lpstr>E/C.12/1999/10  -  99-46219</vt:lpstr>
    </vt:vector>
  </TitlesOfParts>
  <Company>ONU</Company>
  <LinksUpToDate>false</LinksUpToDate>
  <CharactersWithSpaces>46978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E/C.12/1999/10  -  99-46219</dc:title>
  <dc:subject/>
  <dc:creator>Juana MONTEJO</dc:creator>
  <cp:keywords/>
  <dc:description/>
  <cp:lastModifiedBy>GLORIA</cp:lastModifiedBy>
  <cp:revision>18</cp:revision>
  <cp:lastPrinted>1999-12-20T10:21:00Z</cp:lastPrinted>
  <dcterms:created xsi:type="dcterms:W3CDTF">1999-12-17T16:39:00Z</dcterms:created>
  <dcterms:modified xsi:type="dcterms:W3CDTF">1999-12-20T10:23:00Z</dcterms:modified>
</cp:coreProperties>
</file>