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5D7DEDD8" w14:textId="77777777" w:rsidTr="00F90E40">
        <w:trPr>
          <w:trHeight w:hRule="exact" w:val="851"/>
        </w:trPr>
        <w:tc>
          <w:tcPr>
            <w:tcW w:w="142" w:type="dxa"/>
            <w:tcBorders>
              <w:bottom w:val="single" w:sz="4" w:space="0" w:color="auto"/>
            </w:tcBorders>
          </w:tcPr>
          <w:p w14:paraId="35E14F0C" w14:textId="77777777" w:rsidR="002D5AAC" w:rsidRDefault="002D5AAC" w:rsidP="004D4072">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1FA2481E" w14:textId="77777777"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2FB568B0" w14:textId="79A7D187" w:rsidR="002D5AAC" w:rsidRDefault="004D4072" w:rsidP="004D4072">
            <w:pPr>
              <w:jc w:val="right"/>
            </w:pPr>
            <w:r w:rsidRPr="004D4072">
              <w:rPr>
                <w:sz w:val="40"/>
              </w:rPr>
              <w:t>CAT</w:t>
            </w:r>
            <w:r>
              <w:t>/C/73/2</w:t>
            </w:r>
          </w:p>
        </w:tc>
      </w:tr>
      <w:tr w:rsidR="002D5AAC" w:rsidRPr="00C31795" w14:paraId="082B0B03" w14:textId="77777777" w:rsidTr="00F90E40">
        <w:trPr>
          <w:trHeight w:hRule="exact" w:val="2835"/>
        </w:trPr>
        <w:tc>
          <w:tcPr>
            <w:tcW w:w="1280" w:type="dxa"/>
            <w:gridSpan w:val="2"/>
            <w:tcBorders>
              <w:top w:val="single" w:sz="4" w:space="0" w:color="auto"/>
              <w:bottom w:val="single" w:sz="12" w:space="0" w:color="auto"/>
            </w:tcBorders>
          </w:tcPr>
          <w:p w14:paraId="431A635E" w14:textId="77777777" w:rsidR="002D5AAC" w:rsidRDefault="002E5067" w:rsidP="00F90E40">
            <w:pPr>
              <w:spacing w:before="120"/>
              <w:jc w:val="center"/>
            </w:pPr>
            <w:r>
              <w:rPr>
                <w:noProof/>
                <w:lang w:val="fr-CH" w:eastAsia="fr-CH"/>
              </w:rPr>
              <w:drawing>
                <wp:inline distT="0" distB="0" distL="0" distR="0" wp14:anchorId="4B691B77" wp14:editId="1A4F781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662D634" w14:textId="77777777" w:rsidR="002D5AAC" w:rsidRPr="00C23549" w:rsidRDefault="00C23549" w:rsidP="00F90E40">
            <w:pPr>
              <w:spacing w:before="120" w:line="36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14:paraId="42EED794" w14:textId="77777777" w:rsidR="002D5AAC" w:rsidRPr="00C31795" w:rsidRDefault="004D4072" w:rsidP="00F90E40">
            <w:pPr>
              <w:spacing w:before="240"/>
              <w:rPr>
                <w:lang w:val="en-US"/>
              </w:rPr>
            </w:pPr>
            <w:r w:rsidRPr="00C31795">
              <w:rPr>
                <w:lang w:val="en-US"/>
              </w:rPr>
              <w:t>Distr.: General</w:t>
            </w:r>
          </w:p>
          <w:p w14:paraId="0D7EEE96" w14:textId="77777777" w:rsidR="004D4072" w:rsidRPr="00C31795" w:rsidRDefault="004D4072" w:rsidP="004D4072">
            <w:pPr>
              <w:spacing w:line="240" w:lineRule="exact"/>
              <w:rPr>
                <w:lang w:val="en-US"/>
              </w:rPr>
            </w:pPr>
            <w:r w:rsidRPr="00C31795">
              <w:rPr>
                <w:lang w:val="en-US"/>
              </w:rPr>
              <w:t>10 March 2022</w:t>
            </w:r>
          </w:p>
          <w:p w14:paraId="3CC08C6B" w14:textId="77777777" w:rsidR="004D4072" w:rsidRPr="00C31795" w:rsidRDefault="004D4072" w:rsidP="004D4072">
            <w:pPr>
              <w:spacing w:line="240" w:lineRule="exact"/>
              <w:rPr>
                <w:lang w:val="en-US"/>
              </w:rPr>
            </w:pPr>
            <w:r w:rsidRPr="00C31795">
              <w:rPr>
                <w:lang w:val="en-US"/>
              </w:rPr>
              <w:t>Russian</w:t>
            </w:r>
          </w:p>
          <w:p w14:paraId="78C0668C" w14:textId="093E2603" w:rsidR="004D4072" w:rsidRPr="00C31795" w:rsidRDefault="004D4072" w:rsidP="004D4072">
            <w:pPr>
              <w:spacing w:line="240" w:lineRule="exact"/>
              <w:rPr>
                <w:lang w:val="en-US"/>
              </w:rPr>
            </w:pPr>
            <w:r w:rsidRPr="00C31795">
              <w:rPr>
                <w:lang w:val="en-US"/>
              </w:rPr>
              <w:t>Original: English</w:t>
            </w:r>
          </w:p>
        </w:tc>
      </w:tr>
    </w:tbl>
    <w:p w14:paraId="0325BF13" w14:textId="77777777" w:rsidR="004D4072" w:rsidRPr="004D4072" w:rsidRDefault="004D4072" w:rsidP="004D4072">
      <w:pPr>
        <w:spacing w:before="120"/>
        <w:rPr>
          <w:b/>
          <w:bCs/>
          <w:color w:val="000000" w:themeColor="text1"/>
          <w:sz w:val="24"/>
          <w:szCs w:val="24"/>
        </w:rPr>
      </w:pPr>
      <w:r w:rsidRPr="004D4072">
        <w:rPr>
          <w:b/>
          <w:bCs/>
          <w:sz w:val="24"/>
          <w:szCs w:val="24"/>
        </w:rPr>
        <w:t>Комитет против пыток</w:t>
      </w:r>
    </w:p>
    <w:p w14:paraId="5A1FE7CF" w14:textId="77777777" w:rsidR="004D4072" w:rsidRPr="007F6E3E" w:rsidRDefault="004D4072" w:rsidP="004D4072">
      <w:pPr>
        <w:rPr>
          <w:b/>
          <w:bCs/>
          <w:color w:val="000000" w:themeColor="text1"/>
        </w:rPr>
      </w:pPr>
      <w:r>
        <w:rPr>
          <w:b/>
          <w:bCs/>
        </w:rPr>
        <w:t>Семьдесят третья сессия</w:t>
      </w:r>
    </w:p>
    <w:p w14:paraId="150CDAFA" w14:textId="77777777" w:rsidR="004D4072" w:rsidRPr="007F6E3E" w:rsidRDefault="004D4072" w:rsidP="004D4072">
      <w:pPr>
        <w:rPr>
          <w:color w:val="000000" w:themeColor="text1"/>
        </w:rPr>
      </w:pPr>
      <w:r>
        <w:t>19 апреля — 13 мая 2022 года</w:t>
      </w:r>
    </w:p>
    <w:p w14:paraId="29396D15" w14:textId="77777777" w:rsidR="004D4072" w:rsidRPr="007F6E3E" w:rsidRDefault="004D4072" w:rsidP="004D4072">
      <w:pPr>
        <w:rPr>
          <w:color w:val="000000" w:themeColor="text1"/>
        </w:rPr>
      </w:pPr>
      <w:r>
        <w:t>Пункт 5 предварительной повестки дня</w:t>
      </w:r>
    </w:p>
    <w:p w14:paraId="1B1A8451" w14:textId="77777777" w:rsidR="004D4072" w:rsidRPr="007F6E3E" w:rsidRDefault="004D4072" w:rsidP="004D4072">
      <w:pPr>
        <w:rPr>
          <w:b/>
          <w:bCs/>
          <w:color w:val="000000" w:themeColor="text1"/>
        </w:rPr>
      </w:pPr>
      <w:r>
        <w:rPr>
          <w:b/>
          <w:bCs/>
        </w:rPr>
        <w:t>Организационные и другие вопросы</w:t>
      </w:r>
    </w:p>
    <w:p w14:paraId="6352C80D" w14:textId="74EF12AB" w:rsidR="004D4072" w:rsidRPr="007F6E3E" w:rsidRDefault="004D4072" w:rsidP="004D4072">
      <w:pPr>
        <w:pStyle w:val="HChG"/>
      </w:pPr>
      <w:r>
        <w:tab/>
      </w:r>
      <w:r>
        <w:tab/>
        <w:t>Пятнадцатый ежегодный доклад Подкомитета по</w:t>
      </w:r>
      <w:r>
        <w:rPr>
          <w:lang w:val="en-US"/>
        </w:rPr>
        <w:t> </w:t>
      </w:r>
      <w:r>
        <w:t>предупреждению пыток и других жестоких, бесчеловечных или унижающих достоинство видов</w:t>
      </w:r>
      <w:r>
        <w:rPr>
          <w:lang w:val="en-US"/>
        </w:rPr>
        <w:t> </w:t>
      </w:r>
      <w:r>
        <w:t>обращения и наказания</w:t>
      </w:r>
      <w:bookmarkStart w:id="0" w:name="_Toc97717812"/>
      <w:bookmarkStart w:id="1" w:name="_Toc97794991"/>
      <w:bookmarkStart w:id="2" w:name="_Toc534899831"/>
      <w:bookmarkEnd w:id="0"/>
      <w:bookmarkEnd w:id="1"/>
      <w:bookmarkEnd w:id="2"/>
    </w:p>
    <w:tbl>
      <w:tblPr>
        <w:tblStyle w:val="ac"/>
        <w:tblW w:w="9629" w:type="dxa"/>
        <w:jc w:val="center"/>
        <w:tblLook w:val="05E0" w:firstRow="1" w:lastRow="1" w:firstColumn="1" w:lastColumn="1" w:noHBand="0" w:noVBand="1"/>
      </w:tblPr>
      <w:tblGrid>
        <w:gridCol w:w="9629"/>
      </w:tblGrid>
      <w:tr w:rsidR="004D4072" w:rsidRPr="004D4072" w14:paraId="6FA19DC3" w14:textId="77777777" w:rsidTr="004D4072">
        <w:trPr>
          <w:jc w:val="center"/>
        </w:trPr>
        <w:tc>
          <w:tcPr>
            <w:tcW w:w="9628" w:type="dxa"/>
            <w:tcBorders>
              <w:bottom w:val="nil"/>
            </w:tcBorders>
          </w:tcPr>
          <w:p w14:paraId="12AC1B57" w14:textId="77777777" w:rsidR="004D4072" w:rsidRPr="004D4072" w:rsidRDefault="004D4072" w:rsidP="00850215">
            <w:pPr>
              <w:tabs>
                <w:tab w:val="left" w:pos="255"/>
              </w:tabs>
              <w:spacing w:before="240" w:after="120"/>
              <w:rPr>
                <w:rFonts w:cs="Times New Roman"/>
                <w:sz w:val="24"/>
              </w:rPr>
            </w:pPr>
            <w:r w:rsidRPr="004D4072">
              <w:rPr>
                <w:rFonts w:cs="Times New Roman"/>
              </w:rPr>
              <w:tab/>
            </w:r>
            <w:r w:rsidRPr="004D4072">
              <w:rPr>
                <w:rFonts w:cs="Times New Roman"/>
                <w:i/>
                <w:sz w:val="24"/>
              </w:rPr>
              <w:t>Резюме</w:t>
            </w:r>
          </w:p>
        </w:tc>
      </w:tr>
      <w:tr w:rsidR="004D4072" w:rsidRPr="007F6E3E" w14:paraId="1FC0F46E" w14:textId="77777777" w:rsidTr="004D4072">
        <w:trPr>
          <w:jc w:val="center"/>
        </w:trPr>
        <w:tc>
          <w:tcPr>
            <w:tcW w:w="9629" w:type="dxa"/>
            <w:tcBorders>
              <w:top w:val="nil"/>
              <w:bottom w:val="nil"/>
            </w:tcBorders>
            <w:shd w:val="clear" w:color="auto" w:fill="auto"/>
          </w:tcPr>
          <w:p w14:paraId="70C063C8" w14:textId="77777777" w:rsidR="004D4072" w:rsidRPr="007F6E3E" w:rsidRDefault="004D4072" w:rsidP="00816029">
            <w:pPr>
              <w:pStyle w:val="SingleTxtG"/>
            </w:pPr>
            <w:r>
              <w:tab/>
              <w:t>В настоящем докладе Подкомитет по предупреждению пыток и других жестоких, бесчеловечных или унижающих достоинство видов обращения и наказания сообщает о работе, проделанной им в 2021 году.</w:t>
            </w:r>
          </w:p>
        </w:tc>
      </w:tr>
      <w:tr w:rsidR="004D4072" w:rsidRPr="007F6E3E" w14:paraId="3D5187F0" w14:textId="77777777" w:rsidTr="004D4072">
        <w:trPr>
          <w:jc w:val="center"/>
        </w:trPr>
        <w:tc>
          <w:tcPr>
            <w:tcW w:w="9629" w:type="dxa"/>
            <w:tcBorders>
              <w:top w:val="nil"/>
              <w:bottom w:val="nil"/>
            </w:tcBorders>
            <w:shd w:val="clear" w:color="auto" w:fill="auto"/>
          </w:tcPr>
          <w:p w14:paraId="486DF4B4" w14:textId="77777777" w:rsidR="004D4072" w:rsidRPr="007F6E3E" w:rsidRDefault="004D4072" w:rsidP="00816029">
            <w:pPr>
              <w:pStyle w:val="SingleTxtG"/>
            </w:pPr>
            <w:r>
              <w:tab/>
              <w:t>После краткого введения Подкомитет приводит обновленную информацию о функционировании системы Факультативного протокола к Конвенции против пыток и других жестоких, бесчеловечных или унижающих достоинство видов обращения и наказания, включая сведения о посещениях, увеличении числа государств-участников и назначенных национальных превентивных механизмов, а также сообщает о деятельности Специального фонда, учрежденного Факультативным протоколом (раздел II).</w:t>
            </w:r>
          </w:p>
        </w:tc>
      </w:tr>
      <w:tr w:rsidR="004D4072" w:rsidRPr="007F6E3E" w14:paraId="4B2CF6D1" w14:textId="77777777" w:rsidTr="004D4072">
        <w:trPr>
          <w:jc w:val="center"/>
        </w:trPr>
        <w:tc>
          <w:tcPr>
            <w:tcW w:w="9629" w:type="dxa"/>
            <w:tcBorders>
              <w:top w:val="nil"/>
              <w:bottom w:val="nil"/>
            </w:tcBorders>
            <w:shd w:val="clear" w:color="auto" w:fill="auto"/>
          </w:tcPr>
          <w:p w14:paraId="7BD8E743" w14:textId="77777777" w:rsidR="004D4072" w:rsidRPr="007F6E3E" w:rsidRDefault="004D4072" w:rsidP="00816029">
            <w:pPr>
              <w:pStyle w:val="SingleTxtG"/>
            </w:pPr>
            <w:r>
              <w:tab/>
              <w:t>Подкомитет представляет существенную информацию об изменениях в своих методах работы и замечания по тем или иным вопросам, с которыми он сталкивался в своей деятельности в течение отчетного года (разделы III и IV).</w:t>
            </w:r>
          </w:p>
        </w:tc>
      </w:tr>
      <w:tr w:rsidR="004D4072" w:rsidRPr="007F6E3E" w14:paraId="49CAFE27" w14:textId="77777777" w:rsidTr="004D4072">
        <w:trPr>
          <w:jc w:val="center"/>
        </w:trPr>
        <w:tc>
          <w:tcPr>
            <w:tcW w:w="9629" w:type="dxa"/>
            <w:tcBorders>
              <w:top w:val="nil"/>
              <w:bottom w:val="nil"/>
            </w:tcBorders>
            <w:shd w:val="clear" w:color="auto" w:fill="auto"/>
          </w:tcPr>
          <w:p w14:paraId="170584F9" w14:textId="77777777" w:rsidR="004D4072" w:rsidRPr="007F6E3E" w:rsidRDefault="004D4072" w:rsidP="00816029">
            <w:pPr>
              <w:pStyle w:val="SingleTxtG"/>
            </w:pPr>
            <w:r>
              <w:tab/>
              <w:t>В заключительной части доклада Подкомитет излагает свое видение будущих вызовов и описывает свой план работы (разделы V и VI) с учетом ограничений, налагаемых пандемией коронавирусного заболевания (COVID-19).</w:t>
            </w:r>
          </w:p>
        </w:tc>
      </w:tr>
      <w:tr w:rsidR="004D4072" w:rsidRPr="007F6E3E" w14:paraId="0661FF74" w14:textId="77777777" w:rsidTr="004D4072">
        <w:trPr>
          <w:jc w:val="center"/>
        </w:trPr>
        <w:tc>
          <w:tcPr>
            <w:tcW w:w="9629" w:type="dxa"/>
            <w:tcBorders>
              <w:top w:val="nil"/>
              <w:bottom w:val="nil"/>
            </w:tcBorders>
            <w:shd w:val="clear" w:color="auto" w:fill="auto"/>
          </w:tcPr>
          <w:p w14:paraId="0B84F2C4" w14:textId="77777777" w:rsidR="004D4072" w:rsidRPr="007F6E3E" w:rsidRDefault="004D4072" w:rsidP="00816029">
            <w:pPr>
              <w:pStyle w:val="SingleTxtG"/>
            </w:pPr>
            <w:r>
              <w:tab/>
              <w:t>31 мая 2021 года Подкомитет принял дополнительные рекомендации Подкомитета для государств-участников и национальных превентивных механизмов в связи с пандемией коронавирусного заболевания (COVID-19)</w:t>
            </w:r>
            <w:r w:rsidRPr="008A511C">
              <w:rPr>
                <w:rStyle w:val="aa"/>
              </w:rPr>
              <w:footnoteReference w:id="1"/>
            </w:r>
            <w:r>
              <w:t>.</w:t>
            </w:r>
          </w:p>
        </w:tc>
      </w:tr>
      <w:tr w:rsidR="004D4072" w:rsidRPr="007F6E3E" w14:paraId="0C4FB573" w14:textId="77777777" w:rsidTr="004D4072">
        <w:trPr>
          <w:jc w:val="center"/>
        </w:trPr>
        <w:tc>
          <w:tcPr>
            <w:tcW w:w="9629" w:type="dxa"/>
            <w:tcBorders>
              <w:top w:val="nil"/>
              <w:bottom w:val="nil"/>
            </w:tcBorders>
            <w:shd w:val="clear" w:color="auto" w:fill="auto"/>
          </w:tcPr>
          <w:p w14:paraId="7891CC18" w14:textId="77777777" w:rsidR="004D4072" w:rsidRPr="007F6E3E" w:rsidRDefault="004D4072" w:rsidP="00816029">
            <w:pPr>
              <w:pStyle w:val="SingleTxtG"/>
            </w:pPr>
            <w:r>
              <w:tab/>
              <w:t>В приложении к настоящему докладу содержится заявление по итогам проведенного в 2020 году обзора процесса укрепления системы договорных органов по правам человека, которое обсуждалось на сорок пятой и сорок шестой сессиях Подкомитета и было принято Подкомитетом вместе с настоящим докладом на его сорок шестой сессии.</w:t>
            </w:r>
          </w:p>
        </w:tc>
      </w:tr>
      <w:tr w:rsidR="004D4072" w:rsidRPr="007F6E3E" w14:paraId="75027B25" w14:textId="77777777" w:rsidTr="004D4072">
        <w:trPr>
          <w:jc w:val="center"/>
        </w:trPr>
        <w:tc>
          <w:tcPr>
            <w:tcW w:w="9629" w:type="dxa"/>
            <w:tcBorders>
              <w:top w:val="nil"/>
            </w:tcBorders>
          </w:tcPr>
          <w:p w14:paraId="68F0B2A6" w14:textId="77777777" w:rsidR="004D4072" w:rsidRPr="007F6E3E" w:rsidRDefault="004D4072" w:rsidP="00816029">
            <w:pPr>
              <w:suppressAutoHyphens w:val="0"/>
              <w:rPr>
                <w:rFonts w:eastAsiaTheme="minorEastAsia"/>
              </w:rPr>
            </w:pPr>
          </w:p>
        </w:tc>
      </w:tr>
    </w:tbl>
    <w:p w14:paraId="3A2CA21E" w14:textId="2E75E32B" w:rsidR="004D4072" w:rsidRDefault="004D4072" w:rsidP="00041407"/>
    <w:p w14:paraId="7B98BBB7" w14:textId="77777777" w:rsidR="004D4072" w:rsidRDefault="004D4072">
      <w:pPr>
        <w:suppressAutoHyphens w:val="0"/>
        <w:spacing w:line="240" w:lineRule="auto"/>
      </w:pPr>
      <w:r>
        <w:br w:type="page"/>
      </w:r>
    </w:p>
    <w:p w14:paraId="2D66462E" w14:textId="77777777" w:rsidR="004D4072" w:rsidRDefault="004D4072" w:rsidP="00F1583A">
      <w:pPr>
        <w:spacing w:after="120"/>
        <w:rPr>
          <w:sz w:val="28"/>
        </w:rPr>
      </w:pPr>
      <w:r>
        <w:rPr>
          <w:sz w:val="28"/>
        </w:rPr>
        <w:lastRenderedPageBreak/>
        <w:t>Содержание</w:t>
      </w:r>
    </w:p>
    <w:p w14:paraId="479F1F5D" w14:textId="77777777" w:rsidR="004D4072" w:rsidRDefault="004D4072" w:rsidP="00F1583A">
      <w:pPr>
        <w:tabs>
          <w:tab w:val="right" w:pos="9638"/>
        </w:tabs>
        <w:spacing w:after="120"/>
        <w:ind w:left="283"/>
        <w:rPr>
          <w:sz w:val="18"/>
        </w:rPr>
      </w:pPr>
      <w:r>
        <w:rPr>
          <w:i/>
          <w:sz w:val="18"/>
        </w:rPr>
        <w:tab/>
        <w:t>Стр.</w:t>
      </w:r>
    </w:p>
    <w:p w14:paraId="5B873A40" w14:textId="77777777" w:rsidR="00B94116" w:rsidRPr="004D4072" w:rsidRDefault="00B94116" w:rsidP="00B94116">
      <w:pPr>
        <w:tabs>
          <w:tab w:val="right" w:pos="850"/>
          <w:tab w:val="left" w:pos="1134"/>
          <w:tab w:val="left" w:pos="1559"/>
          <w:tab w:val="left" w:leader="dot" w:pos="8787"/>
          <w:tab w:val="right" w:pos="9638"/>
        </w:tabs>
        <w:spacing w:after="120"/>
      </w:pPr>
      <w:bookmarkStart w:id="3" w:name="_Hlk98764313"/>
      <w:r w:rsidRPr="004D4072">
        <w:rPr>
          <w:lang w:val="en-GB"/>
        </w:rPr>
        <w:tab/>
        <w:t>I</w:t>
      </w:r>
      <w:r w:rsidRPr="004D4072">
        <w:t>.</w:t>
      </w:r>
      <w:r w:rsidRPr="004D4072">
        <w:tab/>
      </w:r>
      <w:r>
        <w:rPr>
          <w:bCs/>
        </w:rPr>
        <w:t>Введение</w:t>
      </w:r>
      <w:r w:rsidRPr="004D4072">
        <w:tab/>
      </w:r>
      <w:r w:rsidRPr="004D4072">
        <w:tab/>
        <w:t>3</w:t>
      </w:r>
    </w:p>
    <w:p w14:paraId="6DD28808" w14:textId="77777777" w:rsidR="00B94116" w:rsidRPr="004D4072" w:rsidRDefault="00B94116" w:rsidP="00B94116">
      <w:pPr>
        <w:tabs>
          <w:tab w:val="right" w:pos="850"/>
          <w:tab w:val="left" w:pos="1134"/>
          <w:tab w:val="left" w:pos="1559"/>
          <w:tab w:val="left" w:pos="1984"/>
          <w:tab w:val="left" w:leader="dot" w:pos="8787"/>
          <w:tab w:val="right" w:pos="9638"/>
        </w:tabs>
        <w:spacing w:after="120"/>
      </w:pPr>
      <w:r w:rsidRPr="004D4072">
        <w:tab/>
      </w:r>
      <w:r w:rsidRPr="004D4072">
        <w:rPr>
          <w:lang w:val="en-GB"/>
        </w:rPr>
        <w:t>II</w:t>
      </w:r>
      <w:r w:rsidRPr="004D4072">
        <w:t>.</w:t>
      </w:r>
      <w:r w:rsidRPr="004D4072">
        <w:tab/>
      </w:r>
      <w:r>
        <w:rPr>
          <w:bCs/>
        </w:rPr>
        <w:t>Отчетный год</w:t>
      </w:r>
      <w:r w:rsidRPr="004D4072">
        <w:rPr>
          <w:webHidden/>
        </w:rPr>
        <w:tab/>
      </w:r>
      <w:r w:rsidRPr="004D4072">
        <w:rPr>
          <w:webHidden/>
        </w:rPr>
        <w:tab/>
        <w:t>3</w:t>
      </w:r>
    </w:p>
    <w:p w14:paraId="40B9927E" w14:textId="77777777" w:rsidR="00B94116" w:rsidRPr="004D4072" w:rsidRDefault="00B94116" w:rsidP="00B94116">
      <w:pPr>
        <w:tabs>
          <w:tab w:val="right" w:pos="850"/>
          <w:tab w:val="left" w:pos="1134"/>
          <w:tab w:val="left" w:pos="1559"/>
          <w:tab w:val="left" w:pos="1984"/>
          <w:tab w:val="left" w:leader="dot" w:pos="8787"/>
          <w:tab w:val="right" w:pos="9638"/>
        </w:tabs>
        <w:spacing w:after="120"/>
      </w:pPr>
      <w:r w:rsidRPr="004D4072">
        <w:tab/>
      </w:r>
      <w:r w:rsidRPr="004D4072">
        <w:tab/>
      </w:r>
      <w:r w:rsidRPr="004D4072">
        <w:rPr>
          <w:lang w:val="en-GB"/>
        </w:rPr>
        <w:t>A</w:t>
      </w:r>
      <w:r w:rsidRPr="004D4072">
        <w:t>.</w:t>
      </w:r>
      <w:r w:rsidRPr="004D4072">
        <w:tab/>
      </w:r>
      <w:r>
        <w:rPr>
          <w:bCs/>
        </w:rPr>
        <w:t>Участие в системе Факультативного протокола</w:t>
      </w:r>
      <w:r w:rsidRPr="004D4072">
        <w:rPr>
          <w:webHidden/>
        </w:rPr>
        <w:tab/>
      </w:r>
      <w:r w:rsidRPr="004D4072">
        <w:rPr>
          <w:webHidden/>
        </w:rPr>
        <w:tab/>
        <w:t>3</w:t>
      </w:r>
    </w:p>
    <w:p w14:paraId="2A35C1B8" w14:textId="77777777" w:rsidR="00B94116" w:rsidRPr="004D4072" w:rsidRDefault="00B94116" w:rsidP="00B94116">
      <w:pPr>
        <w:tabs>
          <w:tab w:val="right" w:pos="850"/>
          <w:tab w:val="left" w:pos="1134"/>
          <w:tab w:val="left" w:pos="1559"/>
          <w:tab w:val="left" w:pos="1984"/>
          <w:tab w:val="left" w:leader="dot" w:pos="8787"/>
          <w:tab w:val="right" w:pos="9638"/>
        </w:tabs>
        <w:spacing w:after="120"/>
      </w:pPr>
      <w:r w:rsidRPr="004D4072">
        <w:tab/>
      </w:r>
      <w:r w:rsidRPr="004D4072">
        <w:tab/>
      </w:r>
      <w:r w:rsidRPr="004D4072">
        <w:rPr>
          <w:lang w:val="en-GB"/>
        </w:rPr>
        <w:t>B</w:t>
      </w:r>
      <w:r w:rsidRPr="004D4072">
        <w:t>.</w:t>
      </w:r>
      <w:r w:rsidRPr="004D4072">
        <w:tab/>
      </w:r>
      <w:r>
        <w:rPr>
          <w:bCs/>
        </w:rPr>
        <w:t>Организация работы и членский состав</w:t>
      </w:r>
      <w:r w:rsidRPr="004D4072">
        <w:rPr>
          <w:webHidden/>
        </w:rPr>
        <w:tab/>
      </w:r>
      <w:r w:rsidRPr="004D4072">
        <w:rPr>
          <w:webHidden/>
        </w:rPr>
        <w:tab/>
        <w:t>3</w:t>
      </w:r>
    </w:p>
    <w:p w14:paraId="6B55706E" w14:textId="77777777" w:rsidR="00B94116" w:rsidRPr="004D4072" w:rsidRDefault="00B94116" w:rsidP="00B94116">
      <w:pPr>
        <w:tabs>
          <w:tab w:val="right" w:pos="850"/>
          <w:tab w:val="left" w:pos="1134"/>
          <w:tab w:val="left" w:pos="1559"/>
          <w:tab w:val="left" w:pos="1984"/>
          <w:tab w:val="left" w:leader="dot" w:pos="8787"/>
          <w:tab w:val="right" w:pos="9638"/>
        </w:tabs>
        <w:spacing w:after="120"/>
      </w:pPr>
      <w:r w:rsidRPr="004D4072">
        <w:tab/>
      </w:r>
      <w:r w:rsidRPr="004D4072">
        <w:tab/>
      </w:r>
      <w:r w:rsidRPr="004D4072">
        <w:rPr>
          <w:lang w:val="en-GB"/>
        </w:rPr>
        <w:t>C</w:t>
      </w:r>
      <w:r w:rsidRPr="004D4072">
        <w:t>.</w:t>
      </w:r>
      <w:r w:rsidRPr="004D4072">
        <w:tab/>
      </w:r>
      <w:r>
        <w:rPr>
          <w:bCs/>
        </w:rPr>
        <w:t>Посещения, проведенные за отчетный период</w:t>
      </w:r>
      <w:r w:rsidRPr="004D4072">
        <w:rPr>
          <w:webHidden/>
        </w:rPr>
        <w:tab/>
      </w:r>
      <w:r w:rsidRPr="004D4072">
        <w:rPr>
          <w:webHidden/>
        </w:rPr>
        <w:tab/>
        <w:t>5</w:t>
      </w:r>
    </w:p>
    <w:p w14:paraId="47C71BD4" w14:textId="1DE5F23C" w:rsidR="00B94116" w:rsidRPr="004D4072" w:rsidRDefault="00B94116" w:rsidP="00B94116">
      <w:pPr>
        <w:tabs>
          <w:tab w:val="right" w:pos="850"/>
          <w:tab w:val="left" w:pos="1134"/>
          <w:tab w:val="left" w:pos="1559"/>
          <w:tab w:val="left" w:pos="1984"/>
          <w:tab w:val="left" w:leader="dot" w:pos="8787"/>
          <w:tab w:val="right" w:pos="9638"/>
        </w:tabs>
        <w:spacing w:after="120"/>
        <w:ind w:left="1559" w:hanging="1559"/>
      </w:pPr>
      <w:r w:rsidRPr="004D4072">
        <w:tab/>
      </w:r>
      <w:r w:rsidRPr="004D4072">
        <w:tab/>
      </w:r>
      <w:r w:rsidRPr="004D4072">
        <w:rPr>
          <w:lang w:val="en-GB"/>
        </w:rPr>
        <w:t>D</w:t>
      </w:r>
      <w:r w:rsidRPr="004D4072">
        <w:t>.</w:t>
      </w:r>
      <w:r w:rsidRPr="004D4072">
        <w:tab/>
      </w:r>
      <w:r>
        <w:rPr>
          <w:bCs/>
        </w:rPr>
        <w:t xml:space="preserve">Диалог в связи с посещениями, включая публикацию докладов Подкомитета </w:t>
      </w:r>
      <w:r>
        <w:rPr>
          <w:bCs/>
        </w:rPr>
        <w:br/>
        <w:t>государствами-участниками и национальными превентивными механизмами</w:t>
      </w:r>
      <w:r w:rsidRPr="004D4072">
        <w:rPr>
          <w:webHidden/>
        </w:rPr>
        <w:tab/>
      </w:r>
      <w:r w:rsidRPr="004D4072">
        <w:rPr>
          <w:webHidden/>
        </w:rPr>
        <w:tab/>
        <w:t>5</w:t>
      </w:r>
    </w:p>
    <w:p w14:paraId="3C837533" w14:textId="77777777" w:rsidR="00B94116" w:rsidRPr="004D4072" w:rsidRDefault="00B94116" w:rsidP="00B94116">
      <w:pPr>
        <w:tabs>
          <w:tab w:val="right" w:pos="850"/>
          <w:tab w:val="left" w:pos="1134"/>
          <w:tab w:val="left" w:pos="1559"/>
          <w:tab w:val="left" w:pos="1984"/>
          <w:tab w:val="left" w:leader="dot" w:pos="8787"/>
          <w:tab w:val="right" w:pos="9638"/>
        </w:tabs>
        <w:spacing w:after="120"/>
      </w:pPr>
      <w:r w:rsidRPr="004D4072">
        <w:tab/>
      </w:r>
      <w:r w:rsidRPr="004D4072">
        <w:tab/>
      </w:r>
      <w:r w:rsidRPr="004D4072">
        <w:rPr>
          <w:lang w:val="en-GB"/>
        </w:rPr>
        <w:t>E</w:t>
      </w:r>
      <w:r w:rsidRPr="004D4072">
        <w:t>.</w:t>
      </w:r>
      <w:r w:rsidRPr="004D4072">
        <w:tab/>
      </w:r>
      <w:r>
        <w:rPr>
          <w:bCs/>
        </w:rPr>
        <w:t>Изменения, касающиеся национальных превентивных механизмов</w:t>
      </w:r>
      <w:r w:rsidRPr="004D4072">
        <w:rPr>
          <w:webHidden/>
        </w:rPr>
        <w:tab/>
      </w:r>
      <w:r w:rsidRPr="004D4072">
        <w:rPr>
          <w:webHidden/>
        </w:rPr>
        <w:tab/>
      </w:r>
      <w:r>
        <w:rPr>
          <w:webHidden/>
        </w:rPr>
        <w:t>6</w:t>
      </w:r>
    </w:p>
    <w:p w14:paraId="1A33EF8F" w14:textId="77777777" w:rsidR="00B94116" w:rsidRPr="004D4072" w:rsidRDefault="00B94116" w:rsidP="00B94116">
      <w:pPr>
        <w:tabs>
          <w:tab w:val="right" w:pos="850"/>
          <w:tab w:val="left" w:pos="1134"/>
          <w:tab w:val="left" w:pos="1559"/>
          <w:tab w:val="left" w:pos="1984"/>
          <w:tab w:val="left" w:leader="dot" w:pos="8787"/>
          <w:tab w:val="right" w:pos="9638"/>
        </w:tabs>
        <w:spacing w:after="120"/>
      </w:pPr>
      <w:r w:rsidRPr="004D4072">
        <w:tab/>
      </w:r>
      <w:r w:rsidRPr="004D4072">
        <w:tab/>
      </w:r>
      <w:r w:rsidRPr="004D4072">
        <w:rPr>
          <w:lang w:val="en-GB"/>
        </w:rPr>
        <w:t>F</w:t>
      </w:r>
      <w:r w:rsidRPr="004D4072">
        <w:t>.</w:t>
      </w:r>
      <w:r w:rsidRPr="004D4072">
        <w:tab/>
      </w:r>
      <w:r>
        <w:rPr>
          <w:bCs/>
        </w:rPr>
        <w:t>Существенное несоблюдение статьи 17</w:t>
      </w:r>
      <w:r w:rsidRPr="004D4072">
        <w:rPr>
          <w:webHidden/>
        </w:rPr>
        <w:tab/>
      </w:r>
      <w:r w:rsidRPr="004D4072">
        <w:rPr>
          <w:webHidden/>
        </w:rPr>
        <w:tab/>
        <w:t>6</w:t>
      </w:r>
    </w:p>
    <w:p w14:paraId="557A061B" w14:textId="77777777" w:rsidR="00B94116" w:rsidRPr="004D4072" w:rsidRDefault="00B94116" w:rsidP="00B94116">
      <w:pPr>
        <w:tabs>
          <w:tab w:val="right" w:pos="850"/>
          <w:tab w:val="left" w:pos="1134"/>
          <w:tab w:val="left" w:pos="1559"/>
          <w:tab w:val="left" w:pos="1984"/>
          <w:tab w:val="left" w:leader="dot" w:pos="8787"/>
          <w:tab w:val="right" w:pos="9638"/>
        </w:tabs>
        <w:spacing w:after="120"/>
      </w:pPr>
      <w:r w:rsidRPr="004D4072">
        <w:tab/>
      </w:r>
      <w:r w:rsidRPr="004D4072">
        <w:tab/>
      </w:r>
      <w:r w:rsidRPr="004D4072">
        <w:rPr>
          <w:lang w:val="en-GB"/>
        </w:rPr>
        <w:t>G</w:t>
      </w:r>
      <w:r w:rsidRPr="004D4072">
        <w:t>.</w:t>
      </w:r>
      <w:r w:rsidRPr="004D4072">
        <w:tab/>
      </w:r>
      <w:r>
        <w:rPr>
          <w:bCs/>
        </w:rPr>
        <w:t>Специальный фонд, учрежденный Факультативным протоколом</w:t>
      </w:r>
      <w:r w:rsidRPr="004D4072">
        <w:rPr>
          <w:webHidden/>
        </w:rPr>
        <w:tab/>
      </w:r>
      <w:r w:rsidRPr="004D4072">
        <w:rPr>
          <w:webHidden/>
        </w:rPr>
        <w:tab/>
      </w:r>
      <w:r>
        <w:rPr>
          <w:webHidden/>
        </w:rPr>
        <w:t>7</w:t>
      </w:r>
    </w:p>
    <w:p w14:paraId="45492CC0" w14:textId="77777777" w:rsidR="00B94116" w:rsidRPr="004D4072" w:rsidRDefault="00B94116" w:rsidP="00B94116">
      <w:pPr>
        <w:tabs>
          <w:tab w:val="right" w:pos="850"/>
          <w:tab w:val="left" w:pos="1134"/>
          <w:tab w:val="left" w:pos="1559"/>
          <w:tab w:val="left" w:pos="1984"/>
          <w:tab w:val="left" w:leader="dot" w:pos="8787"/>
          <w:tab w:val="right" w:pos="9638"/>
        </w:tabs>
        <w:spacing w:after="120"/>
      </w:pPr>
      <w:r w:rsidRPr="004D4072">
        <w:tab/>
      </w:r>
      <w:r w:rsidRPr="004D4072">
        <w:tab/>
      </w:r>
      <w:r w:rsidRPr="004D4072">
        <w:rPr>
          <w:lang w:val="en-GB"/>
        </w:rPr>
        <w:t>H</w:t>
      </w:r>
      <w:r w:rsidRPr="004D4072">
        <w:t>.</w:t>
      </w:r>
      <w:r w:rsidRPr="004D4072">
        <w:tab/>
      </w:r>
      <w:r>
        <w:rPr>
          <w:bCs/>
        </w:rPr>
        <w:t>Рекомендация в связи с пандемией COVID-19</w:t>
      </w:r>
      <w:r w:rsidRPr="004D4072">
        <w:rPr>
          <w:webHidden/>
        </w:rPr>
        <w:tab/>
      </w:r>
      <w:r w:rsidRPr="004D4072">
        <w:rPr>
          <w:webHidden/>
        </w:rPr>
        <w:tab/>
        <w:t>7</w:t>
      </w:r>
    </w:p>
    <w:p w14:paraId="23468DA8" w14:textId="77777777" w:rsidR="00B94116" w:rsidRPr="004D4072" w:rsidRDefault="00B94116" w:rsidP="00B94116">
      <w:pPr>
        <w:tabs>
          <w:tab w:val="right" w:pos="850"/>
          <w:tab w:val="left" w:pos="1134"/>
          <w:tab w:val="left" w:pos="1559"/>
          <w:tab w:val="left" w:pos="1984"/>
          <w:tab w:val="left" w:leader="dot" w:pos="8787"/>
          <w:tab w:val="right" w:pos="9638"/>
        </w:tabs>
        <w:spacing w:after="120"/>
      </w:pPr>
      <w:r w:rsidRPr="004D4072">
        <w:tab/>
      </w:r>
      <w:r w:rsidRPr="004D4072">
        <w:rPr>
          <w:lang w:val="en-GB"/>
        </w:rPr>
        <w:t>III</w:t>
      </w:r>
      <w:r w:rsidRPr="004D4072">
        <w:t>.</w:t>
      </w:r>
      <w:r w:rsidRPr="004D4072">
        <w:tab/>
      </w:r>
      <w:r>
        <w:rPr>
          <w:bCs/>
        </w:rPr>
        <w:t>Взаимодействие с другими органами в области предупреждения пыток</w:t>
      </w:r>
      <w:r w:rsidRPr="004D4072">
        <w:rPr>
          <w:webHidden/>
        </w:rPr>
        <w:tab/>
      </w:r>
      <w:r w:rsidRPr="004D4072">
        <w:rPr>
          <w:webHidden/>
        </w:rPr>
        <w:tab/>
      </w:r>
      <w:r>
        <w:rPr>
          <w:webHidden/>
        </w:rPr>
        <w:t>8</w:t>
      </w:r>
    </w:p>
    <w:p w14:paraId="64B51994" w14:textId="77777777" w:rsidR="00B94116" w:rsidRPr="004D4072" w:rsidRDefault="00B94116" w:rsidP="00B94116">
      <w:pPr>
        <w:tabs>
          <w:tab w:val="right" w:pos="850"/>
          <w:tab w:val="left" w:pos="1134"/>
          <w:tab w:val="left" w:pos="1559"/>
          <w:tab w:val="left" w:pos="1984"/>
          <w:tab w:val="left" w:leader="dot" w:pos="8787"/>
          <w:tab w:val="right" w:pos="9638"/>
        </w:tabs>
        <w:spacing w:after="120"/>
      </w:pPr>
      <w:r w:rsidRPr="004D4072">
        <w:tab/>
      </w:r>
      <w:r w:rsidRPr="004D4072">
        <w:tab/>
      </w:r>
      <w:r w:rsidRPr="004D4072">
        <w:rPr>
          <w:lang w:val="en-GB"/>
        </w:rPr>
        <w:t>A</w:t>
      </w:r>
      <w:r w:rsidRPr="004D4072">
        <w:t>.</w:t>
      </w:r>
      <w:r w:rsidRPr="004D4072">
        <w:tab/>
      </w:r>
      <w:r>
        <w:rPr>
          <w:bCs/>
        </w:rPr>
        <w:t>Международное сотрудничество</w:t>
      </w:r>
      <w:r w:rsidRPr="004D4072">
        <w:rPr>
          <w:webHidden/>
        </w:rPr>
        <w:tab/>
      </w:r>
      <w:r w:rsidRPr="004D4072">
        <w:rPr>
          <w:webHidden/>
        </w:rPr>
        <w:tab/>
      </w:r>
      <w:r>
        <w:rPr>
          <w:webHidden/>
        </w:rPr>
        <w:t>8</w:t>
      </w:r>
    </w:p>
    <w:p w14:paraId="12A341C6" w14:textId="77777777" w:rsidR="00B94116" w:rsidRPr="004D4072" w:rsidRDefault="00B94116" w:rsidP="00B94116">
      <w:pPr>
        <w:tabs>
          <w:tab w:val="right" w:pos="850"/>
          <w:tab w:val="left" w:pos="1134"/>
          <w:tab w:val="left" w:pos="1559"/>
          <w:tab w:val="left" w:pos="1984"/>
          <w:tab w:val="left" w:leader="dot" w:pos="8787"/>
          <w:tab w:val="right" w:pos="9638"/>
        </w:tabs>
        <w:spacing w:after="120"/>
      </w:pPr>
      <w:r w:rsidRPr="004D4072">
        <w:tab/>
      </w:r>
      <w:r w:rsidRPr="004D4072">
        <w:tab/>
      </w:r>
      <w:r w:rsidRPr="004D4072">
        <w:rPr>
          <w:lang w:val="en-GB"/>
        </w:rPr>
        <w:t>B</w:t>
      </w:r>
      <w:r w:rsidRPr="004D4072">
        <w:t>.</w:t>
      </w:r>
      <w:r w:rsidRPr="004D4072">
        <w:tab/>
      </w:r>
      <w:r>
        <w:rPr>
          <w:bCs/>
        </w:rPr>
        <w:t>Региональное сотрудничество</w:t>
      </w:r>
      <w:r w:rsidRPr="004D4072">
        <w:rPr>
          <w:webHidden/>
        </w:rPr>
        <w:tab/>
      </w:r>
      <w:r w:rsidRPr="004D4072">
        <w:rPr>
          <w:webHidden/>
        </w:rPr>
        <w:tab/>
      </w:r>
      <w:r>
        <w:rPr>
          <w:webHidden/>
        </w:rPr>
        <w:t>9</w:t>
      </w:r>
    </w:p>
    <w:p w14:paraId="1C1EF7D6" w14:textId="77777777" w:rsidR="00B94116" w:rsidRPr="004D4072" w:rsidRDefault="00B94116" w:rsidP="00B94116">
      <w:pPr>
        <w:tabs>
          <w:tab w:val="right" w:pos="850"/>
          <w:tab w:val="left" w:pos="1134"/>
          <w:tab w:val="left" w:pos="1559"/>
          <w:tab w:val="left" w:pos="1984"/>
          <w:tab w:val="left" w:leader="dot" w:pos="8787"/>
          <w:tab w:val="right" w:pos="9638"/>
        </w:tabs>
        <w:spacing w:after="120"/>
      </w:pPr>
      <w:r w:rsidRPr="004D4072">
        <w:tab/>
      </w:r>
      <w:r w:rsidRPr="004D4072">
        <w:tab/>
      </w:r>
      <w:r w:rsidRPr="004D4072">
        <w:rPr>
          <w:lang w:val="en-GB"/>
        </w:rPr>
        <w:t>C</w:t>
      </w:r>
      <w:r w:rsidRPr="004D4072">
        <w:t>.</w:t>
      </w:r>
      <w:r w:rsidRPr="004D4072">
        <w:tab/>
      </w:r>
      <w:r>
        <w:rPr>
          <w:bCs/>
        </w:rPr>
        <w:t>Гражданское общество</w:t>
      </w:r>
      <w:r w:rsidRPr="004D4072">
        <w:rPr>
          <w:webHidden/>
        </w:rPr>
        <w:tab/>
      </w:r>
      <w:r w:rsidRPr="004D4072">
        <w:rPr>
          <w:webHidden/>
        </w:rPr>
        <w:tab/>
      </w:r>
      <w:r>
        <w:rPr>
          <w:webHidden/>
        </w:rPr>
        <w:t>9</w:t>
      </w:r>
    </w:p>
    <w:p w14:paraId="6B169B57" w14:textId="77777777" w:rsidR="00B94116" w:rsidRPr="004D4072" w:rsidRDefault="00B94116" w:rsidP="00B94116">
      <w:pPr>
        <w:tabs>
          <w:tab w:val="right" w:pos="850"/>
          <w:tab w:val="left" w:pos="1134"/>
          <w:tab w:val="left" w:pos="1559"/>
          <w:tab w:val="left" w:pos="1984"/>
          <w:tab w:val="left" w:leader="dot" w:pos="8787"/>
          <w:tab w:val="right" w:pos="9638"/>
        </w:tabs>
        <w:spacing w:after="120"/>
      </w:pPr>
      <w:r w:rsidRPr="004D4072">
        <w:tab/>
      </w:r>
      <w:r w:rsidRPr="004D4072">
        <w:tab/>
      </w:r>
      <w:r w:rsidRPr="004D4072">
        <w:rPr>
          <w:lang w:val="en-GB"/>
        </w:rPr>
        <w:t>D</w:t>
      </w:r>
      <w:r w:rsidRPr="004D4072">
        <w:t>.</w:t>
      </w:r>
      <w:r w:rsidRPr="004D4072">
        <w:tab/>
      </w:r>
      <w:r>
        <w:rPr>
          <w:bCs/>
        </w:rPr>
        <w:t>Неофициальная рабочая группа по COVID-19</w:t>
      </w:r>
      <w:r w:rsidRPr="004D4072">
        <w:rPr>
          <w:webHidden/>
        </w:rPr>
        <w:tab/>
      </w:r>
      <w:r w:rsidRPr="004D4072">
        <w:rPr>
          <w:webHidden/>
        </w:rPr>
        <w:tab/>
      </w:r>
      <w:r>
        <w:rPr>
          <w:webHidden/>
        </w:rPr>
        <w:t>9</w:t>
      </w:r>
    </w:p>
    <w:p w14:paraId="5D524733" w14:textId="77777777" w:rsidR="00B94116" w:rsidRPr="004D4072" w:rsidRDefault="00B94116" w:rsidP="00B94116">
      <w:pPr>
        <w:tabs>
          <w:tab w:val="right" w:pos="850"/>
          <w:tab w:val="left" w:pos="1134"/>
          <w:tab w:val="left" w:pos="1559"/>
          <w:tab w:val="left" w:pos="1984"/>
          <w:tab w:val="left" w:leader="dot" w:pos="8787"/>
          <w:tab w:val="right" w:pos="9638"/>
        </w:tabs>
        <w:spacing w:after="120"/>
      </w:pPr>
      <w:r w:rsidRPr="004D4072">
        <w:tab/>
      </w:r>
      <w:r w:rsidRPr="004D4072">
        <w:rPr>
          <w:lang w:val="en-GB"/>
        </w:rPr>
        <w:t>IV</w:t>
      </w:r>
      <w:r w:rsidRPr="004D4072">
        <w:t>.</w:t>
      </w:r>
      <w:r w:rsidRPr="004D4072">
        <w:tab/>
      </w:r>
      <w:r>
        <w:rPr>
          <w:bCs/>
        </w:rPr>
        <w:t>Изменения, касающиеся методов работы</w:t>
      </w:r>
      <w:r w:rsidRPr="004D4072">
        <w:rPr>
          <w:webHidden/>
        </w:rPr>
        <w:tab/>
      </w:r>
      <w:r w:rsidRPr="004D4072">
        <w:rPr>
          <w:webHidden/>
        </w:rPr>
        <w:tab/>
      </w:r>
      <w:r>
        <w:rPr>
          <w:webHidden/>
        </w:rPr>
        <w:t>10</w:t>
      </w:r>
    </w:p>
    <w:p w14:paraId="38824D43" w14:textId="6F13126D" w:rsidR="00B94116" w:rsidRPr="004D4072" w:rsidRDefault="00B94116" w:rsidP="00B94116">
      <w:pPr>
        <w:tabs>
          <w:tab w:val="right" w:pos="850"/>
          <w:tab w:val="left" w:pos="1134"/>
          <w:tab w:val="left" w:pos="1559"/>
          <w:tab w:val="left" w:leader="dot" w:pos="8787"/>
          <w:tab w:val="right" w:pos="9638"/>
        </w:tabs>
        <w:spacing w:after="120"/>
      </w:pPr>
      <w:r w:rsidRPr="004D4072">
        <w:tab/>
      </w:r>
      <w:r w:rsidRPr="004D4072">
        <w:tab/>
      </w:r>
      <w:r w:rsidRPr="004D4072">
        <w:rPr>
          <w:lang w:val="en-GB"/>
        </w:rPr>
        <w:t>A</w:t>
      </w:r>
      <w:r w:rsidRPr="004D4072">
        <w:t>.</w:t>
      </w:r>
      <w:r w:rsidRPr="004D4072">
        <w:tab/>
      </w:r>
      <w:r>
        <w:rPr>
          <w:bCs/>
        </w:rPr>
        <w:t>Посещения</w:t>
      </w:r>
      <w:r w:rsidRPr="004D4072">
        <w:rPr>
          <w:webHidden/>
        </w:rPr>
        <w:tab/>
      </w:r>
      <w:r>
        <w:rPr>
          <w:webHidden/>
        </w:rPr>
        <w:tab/>
        <w:t>10</w:t>
      </w:r>
    </w:p>
    <w:p w14:paraId="79DAE618" w14:textId="77777777" w:rsidR="00B94116" w:rsidRPr="004D4072" w:rsidRDefault="00B94116" w:rsidP="00B94116">
      <w:pPr>
        <w:tabs>
          <w:tab w:val="right" w:pos="850"/>
          <w:tab w:val="left" w:pos="1134"/>
          <w:tab w:val="left" w:pos="1559"/>
          <w:tab w:val="left" w:pos="1984"/>
          <w:tab w:val="left" w:leader="dot" w:pos="8787"/>
          <w:tab w:val="right" w:pos="9638"/>
        </w:tabs>
        <w:spacing w:after="120"/>
      </w:pPr>
      <w:r w:rsidRPr="004D4072">
        <w:tab/>
      </w:r>
      <w:r w:rsidRPr="004D4072">
        <w:tab/>
      </w:r>
      <w:r w:rsidRPr="004D4072">
        <w:rPr>
          <w:lang w:val="en-GB"/>
        </w:rPr>
        <w:t>B</w:t>
      </w:r>
      <w:r w:rsidRPr="004D4072">
        <w:t>.</w:t>
      </w:r>
      <w:r w:rsidRPr="004D4072">
        <w:tab/>
      </w:r>
      <w:r>
        <w:rPr>
          <w:bCs/>
        </w:rPr>
        <w:t>Время, выделяемое для заседаний</w:t>
      </w:r>
      <w:r w:rsidRPr="004D4072">
        <w:rPr>
          <w:webHidden/>
        </w:rPr>
        <w:tab/>
      </w:r>
      <w:r w:rsidRPr="004D4072">
        <w:rPr>
          <w:webHidden/>
        </w:rPr>
        <w:tab/>
        <w:t>1</w:t>
      </w:r>
      <w:r>
        <w:rPr>
          <w:webHidden/>
        </w:rPr>
        <w:t>1</w:t>
      </w:r>
    </w:p>
    <w:p w14:paraId="5DBA0FFE" w14:textId="77777777" w:rsidR="00B94116" w:rsidRPr="004D4072" w:rsidRDefault="00B94116" w:rsidP="00B94116">
      <w:pPr>
        <w:tabs>
          <w:tab w:val="right" w:pos="850"/>
          <w:tab w:val="left" w:pos="1134"/>
          <w:tab w:val="left" w:pos="1559"/>
          <w:tab w:val="left" w:pos="1984"/>
          <w:tab w:val="left" w:leader="dot" w:pos="8787"/>
          <w:tab w:val="right" w:pos="9638"/>
        </w:tabs>
        <w:spacing w:after="120"/>
      </w:pPr>
      <w:r w:rsidRPr="004D4072">
        <w:tab/>
      </w:r>
      <w:r w:rsidRPr="004D4072">
        <w:rPr>
          <w:lang w:val="en-GB"/>
        </w:rPr>
        <w:t>V</w:t>
      </w:r>
      <w:r w:rsidRPr="004D4072">
        <w:t>.</w:t>
      </w:r>
      <w:r w:rsidRPr="004D4072">
        <w:tab/>
      </w:r>
      <w:r>
        <w:rPr>
          <w:bCs/>
        </w:rPr>
        <w:t>Перспективы</w:t>
      </w:r>
      <w:r w:rsidRPr="004D4072">
        <w:rPr>
          <w:webHidden/>
        </w:rPr>
        <w:tab/>
      </w:r>
      <w:r w:rsidRPr="004D4072">
        <w:rPr>
          <w:webHidden/>
        </w:rPr>
        <w:tab/>
        <w:t>1</w:t>
      </w:r>
      <w:r>
        <w:rPr>
          <w:webHidden/>
        </w:rPr>
        <w:t>1</w:t>
      </w:r>
    </w:p>
    <w:p w14:paraId="4604650E" w14:textId="77777777" w:rsidR="00B94116" w:rsidRPr="004D4072" w:rsidRDefault="00B94116" w:rsidP="00B94116">
      <w:pPr>
        <w:tabs>
          <w:tab w:val="right" w:pos="850"/>
          <w:tab w:val="left" w:pos="1134"/>
          <w:tab w:val="left" w:pos="1559"/>
          <w:tab w:val="left" w:pos="1984"/>
          <w:tab w:val="left" w:leader="dot" w:pos="8787"/>
          <w:tab w:val="right" w:pos="9638"/>
        </w:tabs>
        <w:spacing w:after="120"/>
      </w:pPr>
      <w:r w:rsidRPr="004D4072">
        <w:tab/>
      </w:r>
      <w:r w:rsidRPr="004D4072">
        <w:rPr>
          <w:lang w:val="en-GB"/>
        </w:rPr>
        <w:t>VI</w:t>
      </w:r>
      <w:r w:rsidRPr="004D4072">
        <w:t>.</w:t>
      </w:r>
      <w:r w:rsidRPr="004D4072">
        <w:tab/>
      </w:r>
      <w:r>
        <w:rPr>
          <w:bCs/>
        </w:rPr>
        <w:t>План работы</w:t>
      </w:r>
      <w:r w:rsidRPr="004D4072">
        <w:rPr>
          <w:webHidden/>
        </w:rPr>
        <w:tab/>
      </w:r>
      <w:r w:rsidRPr="004D4072">
        <w:rPr>
          <w:webHidden/>
        </w:rPr>
        <w:tab/>
        <w:t>1</w:t>
      </w:r>
      <w:r>
        <w:rPr>
          <w:webHidden/>
        </w:rPr>
        <w:t>2</w:t>
      </w:r>
    </w:p>
    <w:p w14:paraId="31A5A580" w14:textId="77777777" w:rsidR="00B94116" w:rsidRPr="004D4072" w:rsidRDefault="00B94116" w:rsidP="00B94116">
      <w:pPr>
        <w:tabs>
          <w:tab w:val="right" w:pos="850"/>
          <w:tab w:val="left" w:pos="1134"/>
          <w:tab w:val="left" w:pos="1559"/>
          <w:tab w:val="left" w:pos="1984"/>
          <w:tab w:val="left" w:leader="dot" w:pos="8787"/>
          <w:tab w:val="right" w:pos="9638"/>
        </w:tabs>
        <w:spacing w:after="120"/>
      </w:pPr>
      <w:r w:rsidRPr="004D4072">
        <w:tab/>
      </w:r>
      <w:r>
        <w:rPr>
          <w:bCs/>
        </w:rPr>
        <w:t>Приложение</w:t>
      </w:r>
    </w:p>
    <w:p w14:paraId="3ACAEA0E" w14:textId="640A211A" w:rsidR="00B94116" w:rsidRPr="001923BB" w:rsidRDefault="00B94116" w:rsidP="00B94116">
      <w:pPr>
        <w:tabs>
          <w:tab w:val="right" w:pos="850"/>
          <w:tab w:val="left" w:pos="1134"/>
          <w:tab w:val="left" w:pos="1559"/>
          <w:tab w:val="left" w:pos="1984"/>
          <w:tab w:val="left" w:leader="dot" w:pos="8787"/>
          <w:tab w:val="right" w:pos="9638"/>
        </w:tabs>
        <w:spacing w:after="120"/>
        <w:ind w:left="1134" w:hanging="1134"/>
      </w:pPr>
      <w:r w:rsidRPr="001923BB">
        <w:tab/>
      </w:r>
      <w:r w:rsidRPr="001923BB">
        <w:tab/>
      </w:r>
      <w:r>
        <w:rPr>
          <w:bCs/>
        </w:rPr>
        <w:t>Заявление Подкомитета по предупреждению пыток и</w:t>
      </w:r>
      <w:r>
        <w:rPr>
          <w:bCs/>
          <w:lang w:val="en-US"/>
        </w:rPr>
        <w:t> </w:t>
      </w:r>
      <w:r>
        <w:rPr>
          <w:bCs/>
        </w:rPr>
        <w:t>других жестоких, бесчеловечных</w:t>
      </w:r>
      <w:r>
        <w:rPr>
          <w:bCs/>
        </w:rPr>
        <w:br/>
        <w:t xml:space="preserve">или унижающих достоинство видов обращения и наказания по итогам проведенного </w:t>
      </w:r>
      <w:r>
        <w:rPr>
          <w:bCs/>
        </w:rPr>
        <w:br/>
        <w:t xml:space="preserve">в 2020 году обзора процесса укрепления системы договорных органов </w:t>
      </w:r>
      <w:r>
        <w:rPr>
          <w:bCs/>
        </w:rPr>
        <w:br/>
        <w:t>по правам человека</w:t>
      </w:r>
      <w:r w:rsidRPr="001923BB">
        <w:tab/>
      </w:r>
      <w:r>
        <w:tab/>
        <w:t>13</w:t>
      </w:r>
    </w:p>
    <w:bookmarkEnd w:id="3"/>
    <w:p w14:paraId="4B845320" w14:textId="086CB3F3" w:rsidR="004D4072" w:rsidRPr="00B94116" w:rsidRDefault="004D4072">
      <w:pPr>
        <w:suppressAutoHyphens w:val="0"/>
        <w:spacing w:line="240" w:lineRule="auto"/>
      </w:pPr>
      <w:r w:rsidRPr="00B94116">
        <w:br w:type="page"/>
      </w:r>
    </w:p>
    <w:p w14:paraId="1F92DECF" w14:textId="27B38FF3" w:rsidR="004D4072" w:rsidRPr="007F6E3E" w:rsidRDefault="004D4072" w:rsidP="004D4072">
      <w:pPr>
        <w:pStyle w:val="HChG"/>
      </w:pPr>
      <w:r>
        <w:rPr>
          <w:bCs/>
        </w:rPr>
        <w:lastRenderedPageBreak/>
        <w:tab/>
        <w:t>I.</w:t>
      </w:r>
      <w:r>
        <w:tab/>
      </w:r>
      <w:bookmarkStart w:id="4" w:name="_Hlk98764333"/>
      <w:r>
        <w:rPr>
          <w:bCs/>
        </w:rPr>
        <w:t>Введение</w:t>
      </w:r>
      <w:bookmarkStart w:id="5" w:name="_Toc534899833"/>
      <w:bookmarkStart w:id="6" w:name="_Toc97717813"/>
      <w:bookmarkStart w:id="7" w:name="_Toc97794992"/>
      <w:bookmarkEnd w:id="5"/>
      <w:bookmarkEnd w:id="6"/>
      <w:bookmarkEnd w:id="7"/>
      <w:bookmarkEnd w:id="4"/>
    </w:p>
    <w:p w14:paraId="607A7574" w14:textId="77777777" w:rsidR="004D4072" w:rsidRPr="007F6E3E" w:rsidRDefault="004D4072" w:rsidP="004D4072">
      <w:pPr>
        <w:pStyle w:val="SingleTxtG"/>
      </w:pPr>
      <w:r>
        <w:t>1.</w:t>
      </w:r>
      <w:r>
        <w:tab/>
        <w:t>С учетом пункта 3 статьи 16 Факультативного протокола к Конвенции против пыток и других жестоких, бесчеловечных или унижающих достоинство видов обращения и наказания и в соответствии с правилом 33 своих правил процедуры Подкомитет готовит годовой доклад о своей деятельности в виде открытого документа. В соответствии с этими положениями Подкомитет рассматривает в настоящем докладе свою деятельность за период с 1 января по 31 декабря 2021 года. Доклад был рассмотрен и утвержден Подкомитетом на его сорок шестой сессии, которая состоялась в смешанном формате 7–11 февраля 2022 года.</w:t>
      </w:r>
      <w:bookmarkStart w:id="8" w:name="_Hlk58255257"/>
      <w:bookmarkEnd w:id="8"/>
    </w:p>
    <w:p w14:paraId="54F8BD34" w14:textId="2EA6188C" w:rsidR="004D4072" w:rsidRPr="007F6E3E" w:rsidRDefault="004D4072" w:rsidP="004D4072">
      <w:pPr>
        <w:pStyle w:val="HChG"/>
      </w:pPr>
      <w:r>
        <w:rPr>
          <w:bCs/>
        </w:rPr>
        <w:tab/>
        <w:t>II.</w:t>
      </w:r>
      <w:r>
        <w:tab/>
      </w:r>
      <w:bookmarkStart w:id="9" w:name="_Hlk98764342"/>
      <w:r>
        <w:rPr>
          <w:bCs/>
        </w:rPr>
        <w:t>Отчетный год</w:t>
      </w:r>
      <w:bookmarkStart w:id="10" w:name="_Toc534899834"/>
      <w:bookmarkStart w:id="11" w:name="_Toc97717814"/>
      <w:bookmarkStart w:id="12" w:name="_Toc97794993"/>
      <w:bookmarkEnd w:id="10"/>
      <w:bookmarkEnd w:id="11"/>
      <w:bookmarkEnd w:id="12"/>
      <w:bookmarkEnd w:id="9"/>
    </w:p>
    <w:p w14:paraId="657F5A77" w14:textId="35088056" w:rsidR="004D4072" w:rsidRPr="007F6E3E" w:rsidRDefault="004D4072" w:rsidP="004D4072">
      <w:pPr>
        <w:pStyle w:val="H1G"/>
      </w:pPr>
      <w:r>
        <w:rPr>
          <w:bCs/>
        </w:rPr>
        <w:tab/>
        <w:t>A.</w:t>
      </w:r>
      <w:r>
        <w:tab/>
      </w:r>
      <w:bookmarkStart w:id="13" w:name="_Hlk98764354"/>
      <w:r>
        <w:rPr>
          <w:bCs/>
        </w:rPr>
        <w:t>Участие в системе Факультативного протокола</w:t>
      </w:r>
      <w:bookmarkStart w:id="14" w:name="_Toc534899835"/>
      <w:bookmarkStart w:id="15" w:name="_Toc97717815"/>
      <w:bookmarkStart w:id="16" w:name="_Toc97794994"/>
      <w:bookmarkEnd w:id="14"/>
      <w:bookmarkEnd w:id="15"/>
      <w:bookmarkEnd w:id="16"/>
      <w:bookmarkEnd w:id="13"/>
    </w:p>
    <w:p w14:paraId="61BE7A9E" w14:textId="40738D28" w:rsidR="004D4072" w:rsidRPr="008A511C" w:rsidRDefault="004D4072" w:rsidP="004D4072">
      <w:pPr>
        <w:pStyle w:val="SingleTxtG"/>
      </w:pPr>
      <w:r>
        <w:t>2.</w:t>
      </w:r>
      <w:r>
        <w:tab/>
        <w:t>По состоянию на 31 декабря 2021 года участниками Факультативного протокола являлись 91 государство и 13 государств его подписали. 10 декабря 2021</w:t>
      </w:r>
      <w:r>
        <w:rPr>
          <w:lang w:val="en-US"/>
        </w:rPr>
        <w:t> </w:t>
      </w:r>
      <w:r>
        <w:t>года к Факультативному протоколу присоединилась Латвия.</w:t>
      </w:r>
    </w:p>
    <w:p w14:paraId="6372F51C" w14:textId="77777777" w:rsidR="004D4072" w:rsidRPr="007F6E3E" w:rsidRDefault="004D4072" w:rsidP="004D4072">
      <w:pPr>
        <w:pStyle w:val="Bullet1G"/>
        <w:numPr>
          <w:ilvl w:val="0"/>
          <w:numId w:val="22"/>
        </w:numPr>
      </w:pPr>
      <w:r>
        <w:t>Распределение участников по регионам выглядело следующим образом:</w:t>
      </w:r>
    </w:p>
    <w:p w14:paraId="4C321AB9" w14:textId="77777777" w:rsidR="004D4072" w:rsidRPr="007F6E3E" w:rsidRDefault="004D4072" w:rsidP="004D4072">
      <w:pPr>
        <w:pStyle w:val="SingleTxtG"/>
        <w:tabs>
          <w:tab w:val="left" w:pos="6804"/>
        </w:tabs>
      </w:pPr>
      <w:r>
        <w:tab/>
        <w:t>Государства Африки</w:t>
      </w:r>
      <w:r>
        <w:tab/>
        <w:t>23</w:t>
      </w:r>
    </w:p>
    <w:p w14:paraId="39380619" w14:textId="77777777" w:rsidR="004D4072" w:rsidRPr="007F6E3E" w:rsidRDefault="004D4072" w:rsidP="004D4072">
      <w:pPr>
        <w:pStyle w:val="SingleTxtG"/>
        <w:tabs>
          <w:tab w:val="left" w:pos="6804"/>
        </w:tabs>
      </w:pPr>
      <w:r>
        <w:tab/>
        <w:t>Государства Азии и Тихого океана</w:t>
      </w:r>
      <w:r>
        <w:tab/>
        <w:t>13</w:t>
      </w:r>
    </w:p>
    <w:p w14:paraId="354EAD39" w14:textId="77777777" w:rsidR="004D4072" w:rsidRPr="007F6E3E" w:rsidRDefault="004D4072" w:rsidP="004D4072">
      <w:pPr>
        <w:pStyle w:val="SingleTxtG"/>
        <w:tabs>
          <w:tab w:val="left" w:pos="6804"/>
        </w:tabs>
      </w:pPr>
      <w:r>
        <w:tab/>
        <w:t>Государства Восточной Европы</w:t>
      </w:r>
      <w:r>
        <w:tab/>
        <w:t>20</w:t>
      </w:r>
    </w:p>
    <w:p w14:paraId="265829C4" w14:textId="77777777" w:rsidR="004D4072" w:rsidRPr="007F6E3E" w:rsidRDefault="004D4072" w:rsidP="004D4072">
      <w:pPr>
        <w:pStyle w:val="SingleTxtG"/>
        <w:tabs>
          <w:tab w:val="left" w:pos="5387"/>
          <w:tab w:val="left" w:pos="6804"/>
        </w:tabs>
      </w:pPr>
      <w:r>
        <w:tab/>
        <w:t>Государства Латинской Америки и Карибского бассейна</w:t>
      </w:r>
      <w:r>
        <w:tab/>
        <w:t>15</w:t>
      </w:r>
    </w:p>
    <w:p w14:paraId="1F4717AD" w14:textId="77777777" w:rsidR="004D4072" w:rsidRPr="007F6E3E" w:rsidRDefault="004D4072" w:rsidP="004D4072">
      <w:pPr>
        <w:pStyle w:val="SingleTxtG"/>
        <w:tabs>
          <w:tab w:val="left" w:pos="5387"/>
          <w:tab w:val="left" w:pos="6804"/>
        </w:tabs>
      </w:pPr>
      <w:r>
        <w:tab/>
        <w:t>Государства Западной Европы и другие государства</w:t>
      </w:r>
      <w:r>
        <w:tab/>
        <w:t>20</w:t>
      </w:r>
    </w:p>
    <w:p w14:paraId="056408AA" w14:textId="77777777" w:rsidR="004D4072" w:rsidRPr="007F6E3E" w:rsidRDefault="004D4072" w:rsidP="004D4072">
      <w:pPr>
        <w:pStyle w:val="Bullet1G"/>
      </w:pPr>
      <w:r>
        <w:t>Распределение 13 государств, подписавших Факультативный протокол, выглядело следующим образом:</w:t>
      </w:r>
    </w:p>
    <w:p w14:paraId="69AD19CD" w14:textId="77777777" w:rsidR="004D4072" w:rsidRPr="007F6E3E" w:rsidRDefault="004D4072" w:rsidP="004D4072">
      <w:pPr>
        <w:pStyle w:val="SingleTxtG"/>
        <w:tabs>
          <w:tab w:val="left" w:pos="6804"/>
        </w:tabs>
      </w:pPr>
      <w:r>
        <w:tab/>
        <w:t>Государства Африки</w:t>
      </w:r>
      <w:r>
        <w:tab/>
        <w:t>8</w:t>
      </w:r>
    </w:p>
    <w:p w14:paraId="30C3C895" w14:textId="77777777" w:rsidR="004D4072" w:rsidRPr="007F6E3E" w:rsidRDefault="004D4072" w:rsidP="004D4072">
      <w:pPr>
        <w:pStyle w:val="SingleTxtG"/>
        <w:tabs>
          <w:tab w:val="left" w:pos="6804"/>
        </w:tabs>
      </w:pPr>
      <w:r>
        <w:tab/>
        <w:t>Государства Азии и Тихого океана</w:t>
      </w:r>
      <w:r>
        <w:tab/>
        <w:t>1</w:t>
      </w:r>
    </w:p>
    <w:p w14:paraId="61F2C050" w14:textId="77777777" w:rsidR="004D4072" w:rsidRPr="007F6E3E" w:rsidRDefault="004D4072" w:rsidP="004D4072">
      <w:pPr>
        <w:pStyle w:val="SingleTxtG"/>
        <w:tabs>
          <w:tab w:val="left" w:pos="6804"/>
        </w:tabs>
      </w:pPr>
      <w:r>
        <w:tab/>
        <w:t>Государства Восточной Европы</w:t>
      </w:r>
      <w:r>
        <w:tab/>
        <w:t>1</w:t>
      </w:r>
    </w:p>
    <w:p w14:paraId="38C8A224" w14:textId="77777777" w:rsidR="004D4072" w:rsidRPr="007F6E3E" w:rsidRDefault="004D4072" w:rsidP="004D4072">
      <w:pPr>
        <w:pStyle w:val="SingleTxtG"/>
        <w:tabs>
          <w:tab w:val="left" w:pos="5387"/>
          <w:tab w:val="left" w:pos="6804"/>
        </w:tabs>
      </w:pPr>
      <w:r>
        <w:tab/>
        <w:t>Государства Латинской Америки и Карибского бассейна</w:t>
      </w:r>
      <w:r>
        <w:tab/>
        <w:t>1</w:t>
      </w:r>
    </w:p>
    <w:p w14:paraId="04011A32" w14:textId="77777777" w:rsidR="004D4072" w:rsidRPr="007F6E3E" w:rsidRDefault="004D4072" w:rsidP="004D4072">
      <w:pPr>
        <w:pStyle w:val="SingleTxtG"/>
        <w:tabs>
          <w:tab w:val="left" w:pos="5387"/>
          <w:tab w:val="left" w:pos="6804"/>
        </w:tabs>
      </w:pPr>
      <w:r>
        <w:tab/>
        <w:t>Государства Западной Европы и другие государства</w:t>
      </w:r>
      <w:r>
        <w:tab/>
        <w:t>2</w:t>
      </w:r>
    </w:p>
    <w:p w14:paraId="39569ED8" w14:textId="2BFB200F" w:rsidR="004D4072" w:rsidRPr="007F6E3E" w:rsidRDefault="004D4072" w:rsidP="004D4072">
      <w:pPr>
        <w:pStyle w:val="H1G"/>
      </w:pPr>
      <w:r>
        <w:rPr>
          <w:bCs/>
        </w:rPr>
        <w:tab/>
        <w:t>B.</w:t>
      </w:r>
      <w:r>
        <w:tab/>
      </w:r>
      <w:bookmarkStart w:id="17" w:name="_Hlk98764366"/>
      <w:r>
        <w:rPr>
          <w:bCs/>
        </w:rPr>
        <w:t>Организация работы и членский состав</w:t>
      </w:r>
      <w:bookmarkStart w:id="18" w:name="_Toc534899836"/>
      <w:bookmarkStart w:id="19" w:name="_Toc97717816"/>
      <w:bookmarkStart w:id="20" w:name="_Toc97794995"/>
      <w:bookmarkEnd w:id="18"/>
      <w:bookmarkEnd w:id="19"/>
      <w:bookmarkEnd w:id="20"/>
      <w:bookmarkEnd w:id="17"/>
    </w:p>
    <w:p w14:paraId="4B18A487" w14:textId="74D2BD01" w:rsidR="004D4072" w:rsidRPr="007F6E3E" w:rsidRDefault="004D4072" w:rsidP="004D4072">
      <w:pPr>
        <w:pStyle w:val="SingleTxtG"/>
      </w:pPr>
      <w:bookmarkStart w:id="21" w:name="_Hlk58255486"/>
      <w:r>
        <w:t>3.</w:t>
      </w:r>
      <w:r>
        <w:tab/>
        <w:t>В отчетный период Подкомитет провел три однонедельные сессии. Сорок</w:t>
      </w:r>
      <w:r>
        <w:rPr>
          <w:lang w:val="en-US"/>
        </w:rPr>
        <w:t> </w:t>
      </w:r>
      <w:r>
        <w:t>третья сессия (8</w:t>
      </w:r>
      <w:r w:rsidRPr="004D4072">
        <w:t>–</w:t>
      </w:r>
      <w:r>
        <w:t>12 февраля 2021 года) и сорок четвертая сессия (14</w:t>
      </w:r>
      <w:r w:rsidRPr="004D4072">
        <w:t>–</w:t>
      </w:r>
      <w:r>
        <w:t>18 июня 2021 года) были проведены в режиме онлайн ввиду ограничений на поездки, введенных в связи с пандемией коронавирусного заболевания (COVID-19). Сорок</w:t>
      </w:r>
      <w:r>
        <w:rPr>
          <w:lang w:val="en-US"/>
        </w:rPr>
        <w:t> </w:t>
      </w:r>
      <w:r>
        <w:t>пятая сессия (8–12 ноября 2021 года) была проведена в Женеве в очном формате.</w:t>
      </w:r>
      <w:bookmarkEnd w:id="21"/>
    </w:p>
    <w:p w14:paraId="0B6CA3A4" w14:textId="77777777" w:rsidR="004D4072" w:rsidRPr="007F6E3E" w:rsidRDefault="004D4072" w:rsidP="004D4072">
      <w:pPr>
        <w:pStyle w:val="SingleTxtG"/>
      </w:pPr>
      <w:r>
        <w:t>4.</w:t>
      </w:r>
      <w:r>
        <w:tab/>
        <w:t>В 2020 году членский состав Подкомитета изменился</w:t>
      </w:r>
      <w:r w:rsidRPr="008A511C">
        <w:rPr>
          <w:rStyle w:val="aa"/>
        </w:rPr>
        <w:footnoteReference w:id="2"/>
      </w:r>
      <w:r>
        <w:t xml:space="preserve">. В соответствии с правилом 9 правил процедуры Подкомитета после принятия присяги на его сорок третьей сессии к исполнению своих обязанностей приступили следующие семь новоизбранных членов Подкомитета: Массимилиано </w:t>
      </w:r>
      <w:proofErr w:type="spellStart"/>
      <w:r>
        <w:t>Багальини</w:t>
      </w:r>
      <w:proofErr w:type="spellEnd"/>
      <w:r>
        <w:t xml:space="preserve">, Мари </w:t>
      </w:r>
      <w:proofErr w:type="spellStart"/>
      <w:r>
        <w:t>Брашольт</w:t>
      </w:r>
      <w:proofErr w:type="spellEnd"/>
      <w:r>
        <w:t xml:space="preserve">, Марио Луис </w:t>
      </w:r>
      <w:proofErr w:type="spellStart"/>
      <w:r>
        <w:t>Кориолано</w:t>
      </w:r>
      <w:proofErr w:type="spellEnd"/>
      <w:r>
        <w:t xml:space="preserve">, Якуб Юлиан </w:t>
      </w:r>
      <w:proofErr w:type="spellStart"/>
      <w:r>
        <w:t>Чепек</w:t>
      </w:r>
      <w:proofErr w:type="spellEnd"/>
      <w:r>
        <w:t xml:space="preserve">, Хамида </w:t>
      </w:r>
      <w:proofErr w:type="spellStart"/>
      <w:r>
        <w:t>Дриди</w:t>
      </w:r>
      <w:proofErr w:type="spellEnd"/>
      <w:r>
        <w:t xml:space="preserve">, Марко </w:t>
      </w:r>
      <w:proofErr w:type="spellStart"/>
      <w:r>
        <w:t>Феоли</w:t>
      </w:r>
      <w:proofErr w:type="spellEnd"/>
      <w:r>
        <w:t xml:space="preserve"> </w:t>
      </w:r>
      <w:proofErr w:type="spellStart"/>
      <w:r>
        <w:t>Вильялобос</w:t>
      </w:r>
      <w:proofErr w:type="spellEnd"/>
      <w:r>
        <w:t xml:space="preserve"> и </w:t>
      </w:r>
      <w:proofErr w:type="spellStart"/>
      <w:r>
        <w:t>Айша</w:t>
      </w:r>
      <w:proofErr w:type="spellEnd"/>
      <w:r>
        <w:t xml:space="preserve"> </w:t>
      </w:r>
      <w:proofErr w:type="spellStart"/>
      <w:r>
        <w:t>Шуджун</w:t>
      </w:r>
      <w:proofErr w:type="spellEnd"/>
      <w:r>
        <w:t xml:space="preserve"> Мухаммад.</w:t>
      </w:r>
    </w:p>
    <w:p w14:paraId="61CE80D3" w14:textId="3CDD571D" w:rsidR="004D4072" w:rsidRPr="007F6E3E" w:rsidRDefault="004D4072" w:rsidP="004D4072">
      <w:pPr>
        <w:pStyle w:val="SingleTxtG"/>
      </w:pPr>
      <w:r>
        <w:t>5.</w:t>
      </w:r>
      <w:r>
        <w:tab/>
        <w:t xml:space="preserve">Также на своей сорок третьей сессии Подкомитет избрал своим Председателем Сюзанну </w:t>
      </w:r>
      <w:proofErr w:type="spellStart"/>
      <w:r>
        <w:t>Джаббур</w:t>
      </w:r>
      <w:proofErr w:type="spellEnd"/>
      <w:r>
        <w:t xml:space="preserve"> и избрал следующих членов в качестве заместителей Председателя </w:t>
      </w:r>
      <w:r>
        <w:lastRenderedPageBreak/>
        <w:t xml:space="preserve">и членов Бюро: Кармен </w:t>
      </w:r>
      <w:proofErr w:type="spellStart"/>
      <w:r>
        <w:t>Комас</w:t>
      </w:r>
      <w:proofErr w:type="spellEnd"/>
      <w:r>
        <w:t>-Мата Мира (заместителем Председателя по посещениям); Даниэля Финка (заместителем Председателя по внешним сношениям); г-жу Мухаммад (заместителем Председателя по национальным превентивным механизмам)</w:t>
      </w:r>
      <w:r w:rsidR="00316CA3">
        <w:t>;</w:t>
      </w:r>
      <w:r>
        <w:t xml:space="preserve"> и Абдаллу </w:t>
      </w:r>
      <w:proofErr w:type="spellStart"/>
      <w:r>
        <w:t>Уннира</w:t>
      </w:r>
      <w:proofErr w:type="spellEnd"/>
      <w:r>
        <w:t xml:space="preserve"> (докладчиком). Выборы Председателя и заместителей Председателя проводились в режиме онлайн с использованием платформы, обеспечивающей полную конфиденциальность голосования. Это был первый случай, когда договорной орган провел конкурентные выборы в режиме онлайн.</w:t>
      </w:r>
    </w:p>
    <w:p w14:paraId="4A310BF9" w14:textId="77777777" w:rsidR="004D4072" w:rsidRPr="007F6E3E" w:rsidRDefault="004D4072" w:rsidP="004D4072">
      <w:pPr>
        <w:pStyle w:val="SingleTxtG"/>
      </w:pPr>
      <w:r>
        <w:t>6.</w:t>
      </w:r>
      <w:r>
        <w:tab/>
        <w:t xml:space="preserve">Подкомитет также назначил Нору </w:t>
      </w:r>
      <w:proofErr w:type="spellStart"/>
      <w:r>
        <w:t>Свеосс</w:t>
      </w:r>
      <w:proofErr w:type="spellEnd"/>
      <w:r>
        <w:t xml:space="preserve"> на двухлетний срок докладчиком по вопросам репрессий.</w:t>
      </w:r>
    </w:p>
    <w:p w14:paraId="56A529D2" w14:textId="77777777" w:rsidR="004D4072" w:rsidRPr="007F6E3E" w:rsidRDefault="004D4072" w:rsidP="004D4072">
      <w:pPr>
        <w:pStyle w:val="SingleTxtG"/>
      </w:pPr>
      <w:r>
        <w:t>7.</w:t>
      </w:r>
      <w:r>
        <w:tab/>
        <w:t xml:space="preserve">В связи с отставкой Софии Видали, которая вышла из состава Подкомитета по личным причинам, Греция выдвинула кандидатуру Василики </w:t>
      </w:r>
      <w:proofErr w:type="spellStart"/>
      <w:r>
        <w:t>Артинопулу</w:t>
      </w:r>
      <w:proofErr w:type="spellEnd"/>
      <w:r>
        <w:t xml:space="preserve"> для замены г-жи Видали на оставшийся срок ее полномочий в соответствии с процедурой, предусмотренной статьей 8 Факультативного протокола. Поскольку ни одно из государств-участников не отреагировало отрицательно на выдвижение этой кандидатуры в течение шестинедельного периода после того, как Генеральный секретарь сообщил об этом, г-жа </w:t>
      </w:r>
      <w:proofErr w:type="spellStart"/>
      <w:r>
        <w:t>Артинопулу</w:t>
      </w:r>
      <w:proofErr w:type="spellEnd"/>
      <w:r>
        <w:t xml:space="preserve"> приступила к исполнению своих обязанностей 3 марта 2021 года.</w:t>
      </w:r>
    </w:p>
    <w:p w14:paraId="19423961" w14:textId="6964135E" w:rsidR="004D4072" w:rsidRPr="007F6E3E" w:rsidRDefault="004D4072" w:rsidP="004D4072">
      <w:pPr>
        <w:pStyle w:val="SingleTxtG"/>
      </w:pPr>
      <w:r>
        <w:t>8.</w:t>
      </w:r>
      <w:r>
        <w:tab/>
        <w:t xml:space="preserve">19 марта 2021 года скончался г-н </w:t>
      </w:r>
      <w:proofErr w:type="spellStart"/>
      <w:r>
        <w:t>Кориолано</w:t>
      </w:r>
      <w:proofErr w:type="spellEnd"/>
      <w:r>
        <w:t xml:space="preserve">. Аргентина выдвинула кандидатуру Марии Андреа </w:t>
      </w:r>
      <w:proofErr w:type="spellStart"/>
      <w:r>
        <w:t>Касаменто</w:t>
      </w:r>
      <w:proofErr w:type="spellEnd"/>
      <w:r>
        <w:t xml:space="preserve"> для замены г-на </w:t>
      </w:r>
      <w:proofErr w:type="spellStart"/>
      <w:r>
        <w:t>Кориолано</w:t>
      </w:r>
      <w:proofErr w:type="spellEnd"/>
      <w:r>
        <w:t xml:space="preserve"> на оставшийся срок его полномочий в соответствии с процедурой, предусмотренной статьей</w:t>
      </w:r>
      <w:r w:rsidR="00097D87">
        <w:rPr>
          <w:lang w:val="en-US"/>
        </w:rPr>
        <w:t> </w:t>
      </w:r>
      <w:r>
        <w:t>8 Факультативного протокола. Поскольку ни одно из государств-участников не отреагировало отрицательно на выдвижение этой кандидатуры в течение шестинедельного периода после того, как Генеральный секретарь сообщил об этом, г</w:t>
      </w:r>
      <w:r w:rsidR="00097D87">
        <w:noBreakHyphen/>
      </w:r>
      <w:r>
        <w:t xml:space="preserve">жа </w:t>
      </w:r>
      <w:proofErr w:type="spellStart"/>
      <w:r>
        <w:t>Касаменто</w:t>
      </w:r>
      <w:proofErr w:type="spellEnd"/>
      <w:r>
        <w:t xml:space="preserve"> приступила к исполнению своих обязанностей 9 июня 2021 года.</w:t>
      </w:r>
    </w:p>
    <w:p w14:paraId="1C9FFAC8" w14:textId="77777777" w:rsidR="004D4072" w:rsidRPr="007F6E3E" w:rsidRDefault="004D4072" w:rsidP="004D4072">
      <w:pPr>
        <w:pStyle w:val="SingleTxtG"/>
      </w:pPr>
      <w:r>
        <w:t>9.</w:t>
      </w:r>
      <w:r>
        <w:tab/>
        <w:t xml:space="preserve">В соответствии с процедурой, предусмотренной статьей 8 Факультативного протокола, г-жа </w:t>
      </w:r>
      <w:proofErr w:type="spellStart"/>
      <w:r>
        <w:t>Артинопулу</w:t>
      </w:r>
      <w:proofErr w:type="spellEnd"/>
      <w:r>
        <w:t xml:space="preserve"> и г-жа </w:t>
      </w:r>
      <w:proofErr w:type="spellStart"/>
      <w:r>
        <w:t>Касаменто</w:t>
      </w:r>
      <w:proofErr w:type="spellEnd"/>
      <w:r>
        <w:t xml:space="preserve"> приступили к исполнению своих обязанностей после принесения торжественной присяги на сорок четвертой сессии.</w:t>
      </w:r>
    </w:p>
    <w:p w14:paraId="40649B81" w14:textId="14B036F9" w:rsidR="004D4072" w:rsidRPr="007F6E3E" w:rsidRDefault="004D4072" w:rsidP="004D4072">
      <w:pPr>
        <w:pStyle w:val="SingleTxtG"/>
      </w:pPr>
      <w:r>
        <w:t>10.</w:t>
      </w:r>
      <w:r>
        <w:tab/>
        <w:t xml:space="preserve">В свете различных изменений в членском составе Подкомитет решил изменить структуру членского состава своих региональных групп и постоянных рабочих групп. По состоянию на 31 декабря 2021 года руководителями региональных групп являлись следующие лица: для Африки </w:t>
      </w:r>
      <w:r w:rsidR="00097D87" w:rsidRPr="00097D87">
        <w:t>—</w:t>
      </w:r>
      <w:r>
        <w:t xml:space="preserve"> </w:t>
      </w:r>
      <w:proofErr w:type="spellStart"/>
      <w:r>
        <w:t>Гнамби</w:t>
      </w:r>
      <w:proofErr w:type="spellEnd"/>
      <w:r>
        <w:t xml:space="preserve"> </w:t>
      </w:r>
      <w:proofErr w:type="spellStart"/>
      <w:r>
        <w:t>Гарба</w:t>
      </w:r>
      <w:proofErr w:type="spellEnd"/>
      <w:r>
        <w:t xml:space="preserve"> </w:t>
      </w:r>
      <w:proofErr w:type="spellStart"/>
      <w:r>
        <w:t>Коджо</w:t>
      </w:r>
      <w:proofErr w:type="spellEnd"/>
      <w:r>
        <w:t>; для Азии и Тихого океана</w:t>
      </w:r>
      <w:r w:rsidR="00097D87">
        <w:rPr>
          <w:lang w:val="en-US"/>
        </w:rPr>
        <w:t> </w:t>
      </w:r>
      <w:r w:rsidR="00097D87" w:rsidRPr="00097D87">
        <w:t>—</w:t>
      </w:r>
      <w:r>
        <w:t xml:space="preserve"> Ника </w:t>
      </w:r>
      <w:proofErr w:type="spellStart"/>
      <w:r>
        <w:t>Кварацхелия</w:t>
      </w:r>
      <w:proofErr w:type="spellEnd"/>
      <w:r>
        <w:t xml:space="preserve"> (заменившая Джун </w:t>
      </w:r>
      <w:proofErr w:type="spellStart"/>
      <w:r>
        <w:t>Каридад</w:t>
      </w:r>
      <w:proofErr w:type="spellEnd"/>
      <w:r>
        <w:t xml:space="preserve"> </w:t>
      </w:r>
      <w:proofErr w:type="spellStart"/>
      <w:r>
        <w:t>Пагадуан</w:t>
      </w:r>
      <w:proofErr w:type="spellEnd"/>
      <w:r>
        <w:t xml:space="preserve"> Лопес); для Европы </w:t>
      </w:r>
      <w:r w:rsidR="00097D87" w:rsidRPr="00097D87">
        <w:t>—</w:t>
      </w:r>
      <w:r>
        <w:t xml:space="preserve"> Мария Луиза Ромеро (заменившая г-на Финка); и для Латинской Америки </w:t>
      </w:r>
      <w:r w:rsidR="00097D87" w:rsidRPr="00097D87">
        <w:t>—</w:t>
      </w:r>
      <w:r>
        <w:t xml:space="preserve"> Хуан Пабло Вегас (заменивший Марию Долорес Гомес). С составом региональных групп можно ознакомиться на веб-сайте Подкомитета</w:t>
      </w:r>
      <w:r w:rsidRPr="008A511C">
        <w:rPr>
          <w:rStyle w:val="aa"/>
        </w:rPr>
        <w:footnoteReference w:id="3"/>
      </w:r>
      <w:r>
        <w:t>. Региональные группы провели заседания в рамках сорок третьей, сорок четвертой и сорок пятой сессий. Региональные группы анализируют осуществление Факультативного протокола в своем регионе, представляют Подкомитету доклад на его пленарной сессии и при необходимости выносят рекомендации.</w:t>
      </w:r>
    </w:p>
    <w:p w14:paraId="6EAE7D53" w14:textId="1263C7E8" w:rsidR="004D4072" w:rsidRPr="007F6E3E" w:rsidRDefault="004D4072" w:rsidP="004D4072">
      <w:pPr>
        <w:pStyle w:val="SingleTxtG"/>
      </w:pPr>
      <w:r>
        <w:t>11.</w:t>
      </w:r>
      <w:r>
        <w:tab/>
        <w:t>По состоянию на 31 декабря 2021 года руководителями постоянных рабочих групп по юриспруденции, по медицинским аспектам предупреждения пыток и по Специальному фонду, учрежденному Факультативным протоколом, являлись соответственно следующие лица</w:t>
      </w:r>
      <w:r w:rsidR="00316CA3">
        <w:t>:</w:t>
      </w:r>
      <w:r>
        <w:t xml:space="preserve"> г-н </w:t>
      </w:r>
      <w:proofErr w:type="spellStart"/>
      <w:r>
        <w:t>Уннир</w:t>
      </w:r>
      <w:proofErr w:type="spellEnd"/>
      <w:r>
        <w:t xml:space="preserve">, </w:t>
      </w:r>
      <w:proofErr w:type="spellStart"/>
      <w:r>
        <w:t>Зденка</w:t>
      </w:r>
      <w:proofErr w:type="spellEnd"/>
      <w:r>
        <w:t xml:space="preserve"> </w:t>
      </w:r>
      <w:proofErr w:type="spellStart"/>
      <w:r>
        <w:t>Перович</w:t>
      </w:r>
      <w:proofErr w:type="spellEnd"/>
      <w:r>
        <w:t xml:space="preserve"> (заменившая Марию </w:t>
      </w:r>
      <w:proofErr w:type="spellStart"/>
      <w:r>
        <w:t>Дефинис-Гоянович</w:t>
      </w:r>
      <w:proofErr w:type="spellEnd"/>
      <w:r>
        <w:t xml:space="preserve">) и г-жа </w:t>
      </w:r>
      <w:proofErr w:type="spellStart"/>
      <w:r>
        <w:t>Джаббур</w:t>
      </w:r>
      <w:proofErr w:type="spellEnd"/>
      <w:r>
        <w:t xml:space="preserve"> (заменившая </w:t>
      </w:r>
      <w:proofErr w:type="spellStart"/>
      <w:r>
        <w:t>Малкольма</w:t>
      </w:r>
      <w:proofErr w:type="spellEnd"/>
      <w:r>
        <w:t xml:space="preserve"> Эванса). Постоянные рабочие группы провели заседания в рамках сорок четвертой сессии.</w:t>
      </w:r>
    </w:p>
    <w:p w14:paraId="370AD4B6" w14:textId="77777777" w:rsidR="004D4072" w:rsidRPr="007F6E3E" w:rsidRDefault="004D4072" w:rsidP="004D4072">
      <w:pPr>
        <w:pStyle w:val="SingleTxtG"/>
      </w:pPr>
      <w:r>
        <w:t>12.</w:t>
      </w:r>
      <w:r>
        <w:tab/>
        <w:t>В рамках сорок пятой сессии постоянные рабочие группы Подкомитета по юриспруденции, по медицинским аспектам предупреждения пыток и по Специальному фонду, учрежденному Факультативным протоколом, провели заседания в режиме онлайн.</w:t>
      </w:r>
    </w:p>
    <w:p w14:paraId="358F11D3" w14:textId="6759D25D" w:rsidR="004D4072" w:rsidRPr="007F6E3E" w:rsidRDefault="004D4072" w:rsidP="004D4072">
      <w:pPr>
        <w:pStyle w:val="SingleTxtG"/>
      </w:pPr>
      <w:r>
        <w:t>13.</w:t>
      </w:r>
      <w:r>
        <w:tab/>
        <w:t>Подкомитет провел свою сорок третью сессию 8</w:t>
      </w:r>
      <w:r w:rsidR="00097D87">
        <w:rPr>
          <w:lang w:val="en-US"/>
        </w:rPr>
        <w:t>–</w:t>
      </w:r>
      <w:r>
        <w:t xml:space="preserve">12 февраля 2021 года. Сессия проходила ежедневно в режиме онлайн с 16 до 18 часов с использованием различных платформ, лишь одна из которых позволяла обеспечивать синхронный перевод. </w:t>
      </w:r>
      <w:r>
        <w:lastRenderedPageBreak/>
        <w:t>На</w:t>
      </w:r>
      <w:r w:rsidR="00097D87">
        <w:rPr>
          <w:lang w:val="en-US"/>
        </w:rPr>
        <w:t> </w:t>
      </w:r>
      <w:r>
        <w:t>этой сессии Подкомитет провел в режиме онлайн выборы Председателя и Бюро. Региональные группы проводили заседания без перевода в разное время в течение дня, с тем чтобы облегчить участие своих членов и других участников из регионов, относящихся к разными часовым поясам. Подкомитет также встречался с другими заинтересованными сторонами.</w:t>
      </w:r>
    </w:p>
    <w:p w14:paraId="4CAB9EF9" w14:textId="1A3BA3F4" w:rsidR="004D4072" w:rsidRPr="007F6E3E" w:rsidRDefault="004D4072" w:rsidP="004D4072">
      <w:pPr>
        <w:pStyle w:val="SingleTxtG"/>
      </w:pPr>
      <w:r>
        <w:t>14.</w:t>
      </w:r>
      <w:r>
        <w:tab/>
        <w:t>Подкомитет провел свою сорок четвертую сессию 14</w:t>
      </w:r>
      <w:r w:rsidR="00097D87" w:rsidRPr="00097D87">
        <w:t>–</w:t>
      </w:r>
      <w:r>
        <w:t>18 июня 2021 года. Сессия проходила в режиме онлайн с 12.30 до 14.30 и с 16.00 до 18.00 с</w:t>
      </w:r>
      <w:r w:rsidR="00097D87">
        <w:rPr>
          <w:lang w:val="en-US"/>
        </w:rPr>
        <w:t> </w:t>
      </w:r>
      <w:r>
        <w:t xml:space="preserve">использованием различных платформ, лишь одна из которых позволяла обеспечивать синхронный перевод. Региональные группы и рабочие группы проводили заседания в разное время в течение дня, с тем чтобы облегчить участие своих членов и других участников из регионов, относящихся к разными часовым поясам. Подкомитет также встречался с другими заинтересованными сторонами. Участники почтили память г-на </w:t>
      </w:r>
      <w:proofErr w:type="spellStart"/>
      <w:r>
        <w:t>Кориолано</w:t>
      </w:r>
      <w:proofErr w:type="spellEnd"/>
      <w:r>
        <w:t xml:space="preserve"> минутой молчания.</w:t>
      </w:r>
    </w:p>
    <w:p w14:paraId="6EFE8FB2" w14:textId="77777777" w:rsidR="004D4072" w:rsidRPr="007F6E3E" w:rsidRDefault="004D4072" w:rsidP="004D4072">
      <w:pPr>
        <w:pStyle w:val="SingleTxtG"/>
      </w:pPr>
      <w:r>
        <w:t>15.</w:t>
      </w:r>
      <w:r>
        <w:tab/>
        <w:t xml:space="preserve">Подкомитет провел свою сорок пятую сессию в очном формате 8–12 ноября 2021 года в Женеве. Подкомитет провел совместное заседание с Комитетом против пыток для обсуждения вопросов, представляющих общий интерес. Он также провел встречи с представителями Инициативы в поддержку Конвенции против пыток и Ассоциации за предотвращение пыток, посвященные Принципам ведения эффективных допросов в рамках расследований и сбора информации (Принципы </w:t>
      </w:r>
      <w:proofErr w:type="spellStart"/>
      <w:r>
        <w:t>Мендеса</w:t>
      </w:r>
      <w:proofErr w:type="spellEnd"/>
      <w:r>
        <w:t>). Кроме того, он провел онлайн-встречу с представителями Бюро по демократическим институтам и правам человека и Международной организации за реформу уголовного правосудия. Подкомитет продолжил сотрудничество с Европейским комитетом по предупреждению пыток и бесчеловечных или унижающих достоинство видов обращения и наказания.</w:t>
      </w:r>
    </w:p>
    <w:p w14:paraId="36DB8651" w14:textId="7E044372" w:rsidR="004D4072" w:rsidRPr="007F6E3E" w:rsidRDefault="00097D87" w:rsidP="004D4072">
      <w:pPr>
        <w:pStyle w:val="H1G"/>
      </w:pPr>
      <w:r>
        <w:rPr>
          <w:bCs/>
        </w:rPr>
        <w:tab/>
      </w:r>
      <w:r w:rsidR="004D4072">
        <w:rPr>
          <w:bCs/>
        </w:rPr>
        <w:t>C.</w:t>
      </w:r>
      <w:r w:rsidR="004D4072">
        <w:tab/>
      </w:r>
      <w:bookmarkStart w:id="22" w:name="_Hlk98764380"/>
      <w:r w:rsidR="004D4072">
        <w:rPr>
          <w:bCs/>
        </w:rPr>
        <w:t>Посещения, проведенные за отчетный период</w:t>
      </w:r>
      <w:bookmarkStart w:id="23" w:name="_Toc534899837"/>
      <w:bookmarkStart w:id="24" w:name="_Toc97717817"/>
      <w:bookmarkStart w:id="25" w:name="_Toc97794996"/>
      <w:bookmarkEnd w:id="23"/>
      <w:bookmarkEnd w:id="24"/>
      <w:bookmarkEnd w:id="25"/>
      <w:bookmarkEnd w:id="22"/>
    </w:p>
    <w:p w14:paraId="1EBCA593" w14:textId="0183C9C4" w:rsidR="004D4072" w:rsidRPr="007F6E3E" w:rsidRDefault="004D4072" w:rsidP="004D4072">
      <w:pPr>
        <w:pStyle w:val="SingleTxtG"/>
      </w:pPr>
      <w:r>
        <w:t>16.</w:t>
      </w:r>
      <w:r>
        <w:tab/>
        <w:t xml:space="preserve">Ввиду ограничений на поездки, введенные в связи с пандемией COVID-19, Подкомитет смог провести только одно посещение. В октябре 2021 года Подкомитет провел посещение Болгарии, которое было перенесено с 2020 года из-за пандемии. Оно было запланировано в соответствии с мандатом, предусмотренным </w:t>
      </w:r>
      <w:r w:rsidR="00097D87">
        <w:br/>
      </w:r>
      <w:r>
        <w:t>статьями 11–13 Факультативного протокола.</w:t>
      </w:r>
    </w:p>
    <w:p w14:paraId="4628AB34" w14:textId="049C76BC" w:rsidR="004D4072" w:rsidRPr="007F6E3E" w:rsidRDefault="00097D87" w:rsidP="004D4072">
      <w:pPr>
        <w:pStyle w:val="H1G"/>
      </w:pPr>
      <w:r>
        <w:rPr>
          <w:bCs/>
        </w:rPr>
        <w:tab/>
      </w:r>
      <w:r w:rsidR="004D4072">
        <w:rPr>
          <w:bCs/>
        </w:rPr>
        <w:t>D.</w:t>
      </w:r>
      <w:r w:rsidR="004D4072">
        <w:tab/>
      </w:r>
      <w:bookmarkStart w:id="26" w:name="_Hlk98764390"/>
      <w:r w:rsidR="004D4072">
        <w:rPr>
          <w:bCs/>
        </w:rPr>
        <w:t>Диалог в связи с посещениями, включая публикацию докладов Подкомитета государствами-участниками и национальными превентивными механизмами</w:t>
      </w:r>
      <w:bookmarkStart w:id="27" w:name="_Toc534899838"/>
      <w:bookmarkStart w:id="28" w:name="_Toc97717818"/>
      <w:bookmarkStart w:id="29" w:name="_Toc97794997"/>
      <w:bookmarkEnd w:id="27"/>
      <w:bookmarkEnd w:id="28"/>
      <w:bookmarkEnd w:id="29"/>
      <w:bookmarkEnd w:id="26"/>
    </w:p>
    <w:p w14:paraId="213CC994" w14:textId="6E43279C" w:rsidR="004D4072" w:rsidRPr="007F6E3E" w:rsidRDefault="004D4072" w:rsidP="004D4072">
      <w:pPr>
        <w:pStyle w:val="SingleTxtG"/>
      </w:pPr>
      <w:r>
        <w:t>17.</w:t>
      </w:r>
      <w:r>
        <w:tab/>
        <w:t>Основные аспекты диалога в связи с посещениями носят конфиденциальный характер. Доступ к докладам может быть открыт только с согласия получателя</w:t>
      </w:r>
      <w:r w:rsidRPr="008A511C">
        <w:rPr>
          <w:rStyle w:val="aa"/>
        </w:rPr>
        <w:footnoteReference w:id="4"/>
      </w:r>
      <w:r>
        <w:t>. К</w:t>
      </w:r>
      <w:r w:rsidR="00097D87">
        <w:rPr>
          <w:lang w:val="en-US"/>
        </w:rPr>
        <w:t> </w:t>
      </w:r>
      <w:r>
        <w:t xml:space="preserve">концу 2021 года Подкомитет препроводил государствам-участникам и национальным превентивным механизмам в общей сложности 96 докладов о посещениях, в том числе в отчетный период </w:t>
      </w:r>
      <w:r w:rsidR="00097D87">
        <w:t>—</w:t>
      </w:r>
      <w:r>
        <w:t xml:space="preserve"> Кабо-Верде и Шри-Ланке (в обоих случаях государству-участнику).</w:t>
      </w:r>
    </w:p>
    <w:p w14:paraId="340DE485" w14:textId="7E93A7AE" w:rsidR="004D4072" w:rsidRPr="007F6E3E" w:rsidRDefault="004D4072" w:rsidP="004D4072">
      <w:pPr>
        <w:pStyle w:val="SingleTxtG"/>
      </w:pPr>
      <w:r>
        <w:t>18.</w:t>
      </w:r>
      <w:r>
        <w:tab/>
        <w:t xml:space="preserve">По просьбе государств-участников или национальных превентивных механизмов в соответствии с пунктом 2 статьи 16 Факультативного протокола было опубликовано в общей сложности 63 доклада о посещениях, в том числе </w:t>
      </w:r>
      <w:r w:rsidR="00615433">
        <w:t>4 </w:t>
      </w:r>
      <w:r>
        <w:t xml:space="preserve">доклада в 2021 году, а именно доклады по итогам посещения Подкомитетом Швейцарии и Соединенного Королевства Великобритании и Северной Ирландии, адресованные государствам-участникам, и доклады, адресованные национальным превентивным механизмам Сенегала и Швейцарии. Соблюдая в полной мере закрепленные в Факультативном протоколе принцип конфиденциальности и право на конфиденциальность, Подкомитет приветствует увеличение количества публикуемых </w:t>
      </w:r>
      <w:r>
        <w:lastRenderedPageBreak/>
        <w:t>докладов о посещениях и полагает, что это соответствует духу прозрачности, лежащему в основе превентивных посещений, и способствует более эффективному выполнению соответствующих рекомендаций. Подкомитет призывает получателей докладов направлять запросы об их опубликовании.</w:t>
      </w:r>
    </w:p>
    <w:p w14:paraId="14048D2C" w14:textId="3F1B8243" w:rsidR="004D4072" w:rsidRPr="007F6E3E" w:rsidRDefault="004D4072" w:rsidP="004D4072">
      <w:pPr>
        <w:pStyle w:val="SingleTxtG"/>
      </w:pPr>
      <w:r>
        <w:t>19.</w:t>
      </w:r>
      <w:r>
        <w:tab/>
        <w:t>В соответствии с установившейся практикой получателям докладов предлагается в течение шести месяцев с момента их препровождения представить письменный ответ с подробной информацией о принятых и запланированных мерах по выполнению содержащихся в докладах рекомендаций. В отчетный период Подкомитет получил четыре таких ответа, а именно от Сенегала (от национального превентивного механизма), Швейцарии (как от государства-участника, так и от национального превентивного механизма) и Соединенного Королевства (от</w:t>
      </w:r>
      <w:r w:rsidR="00097D87">
        <w:rPr>
          <w:lang w:val="en-US"/>
        </w:rPr>
        <w:t> </w:t>
      </w:r>
      <w:r>
        <w:t>государства-участника), причем все они были обнародованы по просьбе их получателя.</w:t>
      </w:r>
    </w:p>
    <w:p w14:paraId="0DA89612" w14:textId="77777777" w:rsidR="004D4072" w:rsidRPr="007F6E3E" w:rsidRDefault="004D4072" w:rsidP="004D4072">
      <w:pPr>
        <w:pStyle w:val="SingleTxtG"/>
      </w:pPr>
      <w:r>
        <w:t>20.</w:t>
      </w:r>
      <w:r>
        <w:tab/>
        <w:t>По состоянию на 31 декабря 2021 года от государств-участников или национальных превентивных механизмов было получено 50 ответов на доклады Подкомитета, при этом 39 из них были обнародованы. Информация о докладах Подкомитета и ответах имеется на веб-сайте Подкомитета.</w:t>
      </w:r>
    </w:p>
    <w:p w14:paraId="1791F626" w14:textId="1D6108E7" w:rsidR="004D4072" w:rsidRPr="007F6E3E" w:rsidRDefault="00097D87" w:rsidP="004D4072">
      <w:pPr>
        <w:pStyle w:val="H1G"/>
      </w:pPr>
      <w:r>
        <w:rPr>
          <w:bCs/>
        </w:rPr>
        <w:tab/>
      </w:r>
      <w:r w:rsidR="004D4072">
        <w:rPr>
          <w:bCs/>
        </w:rPr>
        <w:t>E.</w:t>
      </w:r>
      <w:r w:rsidR="004D4072">
        <w:tab/>
      </w:r>
      <w:bookmarkStart w:id="30" w:name="_Hlk98764411"/>
      <w:r w:rsidR="004D4072">
        <w:rPr>
          <w:bCs/>
        </w:rPr>
        <w:t>Изменения, касающиеся национальных превентивных механизмов</w:t>
      </w:r>
      <w:bookmarkStart w:id="31" w:name="_Toc534899839"/>
      <w:bookmarkStart w:id="32" w:name="_Toc97717819"/>
      <w:bookmarkStart w:id="33" w:name="_Toc97794998"/>
      <w:bookmarkEnd w:id="31"/>
      <w:bookmarkEnd w:id="32"/>
      <w:bookmarkEnd w:id="33"/>
      <w:bookmarkEnd w:id="30"/>
    </w:p>
    <w:p w14:paraId="559CDFD4" w14:textId="77777777" w:rsidR="004D4072" w:rsidRPr="007F6E3E" w:rsidRDefault="004D4072" w:rsidP="004D4072">
      <w:pPr>
        <w:pStyle w:val="SingleTxtG"/>
      </w:pPr>
      <w:r>
        <w:t>21.</w:t>
      </w:r>
      <w:r>
        <w:tab/>
        <w:t xml:space="preserve">На своих сессиях, а также в период между сессиями Подкомитет продолжает вести диалог с государствами-участниками и </w:t>
      </w:r>
      <w:proofErr w:type="spellStart"/>
      <w:r>
        <w:t>сигнатариями</w:t>
      </w:r>
      <w:proofErr w:type="spellEnd"/>
      <w:r>
        <w:t xml:space="preserve"> по вопросам назначения или функционирования их национальных превентивных механизмов и по другим соответствующим вопросам. В 2021 году, с учетом последствий пандемии и изменений в составе Подкомитета, Подкомитет взаимодействовал со всеми государствами-участниками и </w:t>
      </w:r>
      <w:proofErr w:type="spellStart"/>
      <w:r>
        <w:t>сигнатариями</w:t>
      </w:r>
      <w:proofErr w:type="spellEnd"/>
      <w:r>
        <w:t xml:space="preserve"> Факультативного протокола.</w:t>
      </w:r>
    </w:p>
    <w:p w14:paraId="7E43A18D" w14:textId="77777777" w:rsidR="004D4072" w:rsidRPr="007F6E3E" w:rsidRDefault="004D4072" w:rsidP="004D4072">
      <w:pPr>
        <w:pStyle w:val="SingleTxtG"/>
      </w:pPr>
      <w:r>
        <w:t>22.</w:t>
      </w:r>
      <w:r>
        <w:tab/>
        <w:t xml:space="preserve">В соответствии со своим мандатом, предусмотренным в подпунктах i) и </w:t>
      </w:r>
      <w:proofErr w:type="spellStart"/>
      <w:r>
        <w:t>ii</w:t>
      </w:r>
      <w:proofErr w:type="spellEnd"/>
      <w:r>
        <w:t>) пункта b) статьи 11 Факультативного протокола, Подкомитет установил и поддерживал прямые контакты с национальными превентивными механизмами как в ходе сессий, так и в межсессионный период. В 2021 году, с учетом последствий пандемии и изменений в составе Подкомитета, Подкомитет взаимодействовал со всеми национальными превентивными механизмами, а также с другими соответствующими органами, выполняющими функции национальных превентивных механизмов.</w:t>
      </w:r>
    </w:p>
    <w:p w14:paraId="0399A0C0" w14:textId="77777777" w:rsidR="004D4072" w:rsidRPr="007F6E3E" w:rsidRDefault="004D4072" w:rsidP="004D4072">
      <w:pPr>
        <w:pStyle w:val="SingleTxtG"/>
      </w:pPr>
      <w:r>
        <w:t>23.</w:t>
      </w:r>
      <w:r>
        <w:tab/>
        <w:t>Подкомитет и его члены продолжают получать приглашения принять участие, главным образом в режиме онлайн, в многочисленных национальных, региональных и международных совещаниях, касающихся назначения, учреждения и развития национальных превентивных механизмов и Факультативного протокола в целом. Подкомитет выражает признательность организаторам этих и всех других мероприятий, на которые он был приглашен. Подкомитет был бы также признателен, если бы все приглашения на официальные мероприятия и обсуждения направлялись через секретариат Подкомитета в Управлении Верховного комиссара Организации Объединенных Наций по правам человека (УВКПЧ).</w:t>
      </w:r>
    </w:p>
    <w:p w14:paraId="37B8A969" w14:textId="2E9F411D" w:rsidR="004D4072" w:rsidRPr="007F6E3E" w:rsidRDefault="00097D87" w:rsidP="004D4072">
      <w:pPr>
        <w:pStyle w:val="H1G"/>
      </w:pPr>
      <w:r>
        <w:rPr>
          <w:bCs/>
        </w:rPr>
        <w:tab/>
      </w:r>
      <w:r w:rsidR="004D4072">
        <w:rPr>
          <w:bCs/>
        </w:rPr>
        <w:t>F.</w:t>
      </w:r>
      <w:r w:rsidR="004D4072">
        <w:tab/>
      </w:r>
      <w:bookmarkStart w:id="34" w:name="_Hlk98764426"/>
      <w:r w:rsidR="004D4072">
        <w:rPr>
          <w:bCs/>
        </w:rPr>
        <w:t>Существенное несоблюдение статьи 17</w:t>
      </w:r>
      <w:bookmarkStart w:id="35" w:name="_Toc534899840"/>
      <w:bookmarkStart w:id="36" w:name="_Toc97717820"/>
      <w:bookmarkStart w:id="37" w:name="_Toc97794999"/>
      <w:bookmarkEnd w:id="35"/>
      <w:bookmarkEnd w:id="36"/>
      <w:bookmarkEnd w:id="37"/>
      <w:bookmarkEnd w:id="34"/>
    </w:p>
    <w:p w14:paraId="4247FBCF" w14:textId="42407429" w:rsidR="004D4072" w:rsidRPr="007F6E3E" w:rsidRDefault="004D4072" w:rsidP="004D4072">
      <w:pPr>
        <w:pStyle w:val="SingleTxtG"/>
      </w:pPr>
      <w:r>
        <w:t>24.</w:t>
      </w:r>
      <w:r>
        <w:tab/>
        <w:t>На своей двадцать седьмой сессии Подкомитет постановил определить государства-участники, которые существенно запаздывают с созданием своих национальных превентивных механизмов, и включить их в соответствующий список</w:t>
      </w:r>
      <w:r w:rsidRPr="008A511C">
        <w:rPr>
          <w:rStyle w:val="aa"/>
        </w:rPr>
        <w:footnoteReference w:id="5"/>
      </w:r>
      <w:r>
        <w:t xml:space="preserve">. Этот список пересматривается на каждой сессии Подкомитета, и государства-участники исключаются из него после достижения порогового уровня для такого исключения, а именно после того, как Подкомитет получает уведомление об официальном назначении национального превентивного механизма и копии документации, обеспечивающей его создание и эффективное функционирование. </w:t>
      </w:r>
      <w:r>
        <w:lastRenderedPageBreak/>
        <w:t>По</w:t>
      </w:r>
      <w:r w:rsidR="00097D87">
        <w:rPr>
          <w:lang w:val="en-US"/>
        </w:rPr>
        <w:t> </w:t>
      </w:r>
      <w:r>
        <w:t>состоянию на 31 декабря 2021 года в список были включены 14 государств-участников: Белиз, Бенин, Босния и Герцеговина, Буркина-Фасо, Бурунди, Габон, Гана, Демократическая Республика Конго, Либерия, Монголия, Науру, Нигерия, Филиппины и Южный Судан.</w:t>
      </w:r>
    </w:p>
    <w:p w14:paraId="5E9405CB" w14:textId="77777777" w:rsidR="004D4072" w:rsidRPr="007F6E3E" w:rsidRDefault="004D4072" w:rsidP="004D4072">
      <w:pPr>
        <w:pStyle w:val="SingleTxtG"/>
      </w:pPr>
      <w:r>
        <w:t>25.</w:t>
      </w:r>
      <w:r>
        <w:tab/>
        <w:t>Этот вопрос по-прежнему вызывает серьезную обеспокоенность Подкомитета, особенно в свете того, что некоторые государства-участники, как представляется, все еще не достигли существенного прогресса в выполнении своих обязательств.</w:t>
      </w:r>
    </w:p>
    <w:p w14:paraId="6FAF3587" w14:textId="69028D2F" w:rsidR="004D4072" w:rsidRPr="007F6E3E" w:rsidRDefault="00097D87" w:rsidP="004D4072">
      <w:pPr>
        <w:pStyle w:val="H1G"/>
      </w:pPr>
      <w:r>
        <w:rPr>
          <w:bCs/>
        </w:rPr>
        <w:tab/>
      </w:r>
      <w:r w:rsidR="004D4072">
        <w:rPr>
          <w:bCs/>
        </w:rPr>
        <w:t>G.</w:t>
      </w:r>
      <w:r w:rsidR="004D4072">
        <w:tab/>
      </w:r>
      <w:bookmarkStart w:id="38" w:name="_Hlk98764442"/>
      <w:r w:rsidR="004D4072">
        <w:rPr>
          <w:bCs/>
        </w:rPr>
        <w:t>Специальный фонд, учрежденный Факультативным протоколом</w:t>
      </w:r>
      <w:bookmarkStart w:id="39" w:name="_Toc534899841"/>
      <w:bookmarkStart w:id="40" w:name="_Toc97717821"/>
      <w:bookmarkStart w:id="41" w:name="_Toc97795000"/>
      <w:bookmarkEnd w:id="39"/>
      <w:bookmarkEnd w:id="40"/>
      <w:bookmarkEnd w:id="41"/>
      <w:bookmarkEnd w:id="38"/>
    </w:p>
    <w:p w14:paraId="2FA574C1" w14:textId="77777777" w:rsidR="004D4072" w:rsidRPr="007F6E3E" w:rsidRDefault="004D4072" w:rsidP="004D4072">
      <w:pPr>
        <w:pStyle w:val="SingleTxtG"/>
      </w:pPr>
      <w:r>
        <w:t>26.</w:t>
      </w:r>
      <w:r>
        <w:tab/>
        <w:t xml:space="preserve">Средства Специального фонда, учрежденного согласно пункту 1 статьи 26 Факультативного протокола, направляются на поддержку проектов, имеющих целью создание или укрепление национальных превентивных механизмов, т. е. содействуют осуществлению соответствующих рекомендаций, препровожденных Подкомитетом государству-участнику по итогам его посещения, или на поддержу образовательных программ национальных превентивных механизмов. В 2021 году через Специальный фонд были выделены гранты в размере 449 019 долл. США для поддержки 17 проектов по предупреждению пыток в 13 государствах-участниках в ходе их осуществления в 2022 году. Подкомитет оказывает поддержку в оценке предложений по проектам и рекомендаций о предоставлении грантов. Получившие позитивную оценку проекты направлены на оказание существенной поддержки некоторым вновь созданным национальным превентивным механизмам и укрепление </w:t>
      </w:r>
      <w:proofErr w:type="gramStart"/>
      <w:r>
        <w:t>уже существующих</w:t>
      </w:r>
      <w:proofErr w:type="gramEnd"/>
      <w:r>
        <w:t xml:space="preserve"> механизмов. Они также направлены на повышение знаний и потенциала членов и сотрудников национальных превентивных механизмов в области мониторинга мест содержания под стражей, повышение осведомленности о механизмах и улучшение сотрудничества с соответствующими заинтересованными сторонами по вопросам предупреждения пыток.</w:t>
      </w:r>
    </w:p>
    <w:p w14:paraId="797CDB90" w14:textId="65B42BB8" w:rsidR="004D4072" w:rsidRPr="007F6E3E" w:rsidRDefault="004D4072" w:rsidP="004D4072">
      <w:pPr>
        <w:pStyle w:val="SingleTxtG"/>
      </w:pPr>
      <w:r>
        <w:t>27.</w:t>
      </w:r>
      <w:r>
        <w:tab/>
        <w:t xml:space="preserve">Подкомитет выражает глубокую признательность за взносы в Специальный фонд, внесенные в отчетный период Германией (116 279 долл. США), Данией </w:t>
      </w:r>
      <w:r w:rsidR="00097D87">
        <w:br/>
      </w:r>
      <w:r>
        <w:t>(200</w:t>
      </w:r>
      <w:r w:rsidR="00C77081">
        <w:rPr>
          <w:lang w:val="en-US"/>
        </w:rPr>
        <w:t xml:space="preserve"> </w:t>
      </w:r>
      <w:r>
        <w:t>609</w:t>
      </w:r>
      <w:r w:rsidR="00C77081">
        <w:rPr>
          <w:lang w:val="en-US"/>
        </w:rPr>
        <w:t xml:space="preserve"> </w:t>
      </w:r>
      <w:r>
        <w:t>долл. США), Португалией (11 947 долл. США), Францией (60</w:t>
      </w:r>
      <w:r w:rsidR="00C77081">
        <w:rPr>
          <w:lang w:val="en-US"/>
        </w:rPr>
        <w:t xml:space="preserve"> </w:t>
      </w:r>
      <w:r>
        <w:t>975</w:t>
      </w:r>
      <w:r w:rsidR="00C77081">
        <w:rPr>
          <w:lang w:val="en-US"/>
        </w:rPr>
        <w:t xml:space="preserve"> </w:t>
      </w:r>
      <w:r>
        <w:t>долл.</w:t>
      </w:r>
      <w:r w:rsidR="00C77081">
        <w:rPr>
          <w:lang w:val="en-US"/>
        </w:rPr>
        <w:t xml:space="preserve"> </w:t>
      </w:r>
      <w:r>
        <w:t>США) и Чехией (9 380 долл. США). Вместе с тем он по-прежнему осознает, что потребуются дополнительные взносы для поддержки проектов в рамках цикла предоставления грантов в 2022</w:t>
      </w:r>
      <w:r w:rsidR="000602C9" w:rsidRPr="000602C9">
        <w:t>–</w:t>
      </w:r>
      <w:r>
        <w:t>2023 годах и в последующий период. Специальный фонд является важным инструментом поддержки и дополнения деятельности по выполнению рекомендаций Подкомитета, направленных на предупреждение пыток и неправомерного обращения. В этой связи Подкомитет настоятельно призывает государства продолжать оказывать Специальному фонду необходимую финансовую поддержку.</w:t>
      </w:r>
    </w:p>
    <w:p w14:paraId="46002025" w14:textId="0194AF6F" w:rsidR="004D4072" w:rsidRPr="007F6E3E" w:rsidRDefault="004D4072" w:rsidP="004D4072">
      <w:pPr>
        <w:pStyle w:val="SingleTxtG"/>
      </w:pPr>
      <w:r>
        <w:t>28.</w:t>
      </w:r>
      <w:r>
        <w:tab/>
        <w:t>C учетом того, что Фонд уделяет особое внимание созданию и укреплению национальных превентивных механизмов, а также в связи с ростом потребностей на местах УВКПЧ разработало в 2018 году практическое руководство, озаглавленное «Предупреждение пыток: роль национальных превентивных механизмов»</w:t>
      </w:r>
      <w:r w:rsidRPr="008A511C">
        <w:rPr>
          <w:rStyle w:val="aa"/>
        </w:rPr>
        <w:footnoteReference w:id="6"/>
      </w:r>
      <w:r>
        <w:t>. Руководство было подготовлено в тесном сотрудничестве с Подкомитетом. После публикации Руководства на русском и испанском языках в 2019 году и французском языке в 2021 году в текущем отчетном периоде был подготовлен текст Руководства на арабском языке, который будет издан в начале 2022 года. Ожидается, что учебные материалы, сопровождающие Руководство, будут выпущены в 2022 году.</w:t>
      </w:r>
    </w:p>
    <w:p w14:paraId="0DDDF699" w14:textId="714E8DFA" w:rsidR="004D4072" w:rsidRPr="007F6E3E" w:rsidRDefault="000602C9" w:rsidP="004D4072">
      <w:pPr>
        <w:pStyle w:val="H1G"/>
      </w:pPr>
      <w:r>
        <w:rPr>
          <w:bCs/>
        </w:rPr>
        <w:tab/>
      </w:r>
      <w:r w:rsidR="004D4072">
        <w:rPr>
          <w:bCs/>
        </w:rPr>
        <w:t>H.</w:t>
      </w:r>
      <w:r w:rsidR="004D4072">
        <w:tab/>
      </w:r>
      <w:bookmarkStart w:id="42" w:name="_Hlk98764453"/>
      <w:r w:rsidR="004D4072">
        <w:rPr>
          <w:bCs/>
        </w:rPr>
        <w:t>Рекомендация в связи с пандемией COVID-19</w:t>
      </w:r>
      <w:bookmarkStart w:id="43" w:name="_Toc97717822"/>
      <w:bookmarkStart w:id="44" w:name="_Toc97795001"/>
      <w:bookmarkEnd w:id="43"/>
      <w:bookmarkEnd w:id="44"/>
      <w:bookmarkEnd w:id="42"/>
    </w:p>
    <w:p w14:paraId="174A062E" w14:textId="0CFC43DB" w:rsidR="004D4072" w:rsidRPr="007F6E3E" w:rsidRDefault="004D4072" w:rsidP="004D4072">
      <w:pPr>
        <w:pStyle w:val="SingleTxtG"/>
      </w:pPr>
      <w:r>
        <w:t>29.</w:t>
      </w:r>
      <w:r>
        <w:tab/>
        <w:t>После опубликования рекомендаций Подкомитета в связи с пандемией COVID</w:t>
      </w:r>
      <w:r w:rsidR="000602C9">
        <w:noBreakHyphen/>
      </w:r>
      <w:r>
        <w:t>19</w:t>
      </w:r>
      <w:r w:rsidRPr="008A511C">
        <w:rPr>
          <w:rStyle w:val="aa"/>
        </w:rPr>
        <w:footnoteReference w:id="7"/>
      </w:r>
      <w:r>
        <w:t xml:space="preserve"> и получения ответов от национальных превентивных механизмов, Подкомитет, основываясь на результатах своего постоянного диалога с </w:t>
      </w:r>
      <w:r>
        <w:lastRenderedPageBreak/>
        <w:t>национальными превентивными механизмами с начала пандемии, обобщил часть своих выводов в протокол для национальных превентивных механизмов, осуществляющих посещения на места во время пандемии COVID-19</w:t>
      </w:r>
      <w:r w:rsidRPr="008A511C">
        <w:rPr>
          <w:rStyle w:val="aa"/>
        </w:rPr>
        <w:footnoteReference w:id="8"/>
      </w:r>
      <w:r>
        <w:t>. Хотя национальные превентивные механизмы активизировали свою деятельность, не</w:t>
      </w:r>
      <w:r w:rsidR="00615433">
        <w:t> </w:t>
      </w:r>
      <w:r>
        <w:t>связанную с посещениями, в частности информационно-пропагандистскую работу, им было рекомендовано не прекращать осуществление мониторинга в целом, а</w:t>
      </w:r>
      <w:r w:rsidR="00615433">
        <w:t> </w:t>
      </w:r>
      <w:r>
        <w:t>адаптировать свой подход. Протокол призван облегчить работу национальных превентивных механизмов и побудить их к продолжить или возобновить безопасные и эффективные поездки на места во время пандемии. В связи с быстро меняющейся ситуацией Подкомитет просил национальные превентивные механизмы направить свои комментарии и замечания в Подкомитет, с тем чтобы протокол мог пересматриваться и обновляться по мере необходимости. Протокол содержит рекомендации относительно планирования и проведения посещений, а также последующей деятельности по их итогам.</w:t>
      </w:r>
    </w:p>
    <w:p w14:paraId="0DDBC7D7" w14:textId="77777777" w:rsidR="004D4072" w:rsidRPr="007F6E3E" w:rsidRDefault="004D4072" w:rsidP="004D4072">
      <w:pPr>
        <w:pStyle w:val="SingleTxtG"/>
      </w:pPr>
      <w:r>
        <w:t>30.</w:t>
      </w:r>
      <w:r>
        <w:tab/>
        <w:t>На основе ответов, полученных от государств-участников и национальных превентивных механизмов на его вышеупомянутые рекомендации, и опираясь на свой текущий диалог со всеми заинтересованными сторонами, Подкомитет подготовил для государств-участников и национальных превентивных механизмов последующие рекомендации связи с пандемией COVID-19</w:t>
      </w:r>
      <w:r w:rsidRPr="008A511C">
        <w:rPr>
          <w:rStyle w:val="aa"/>
        </w:rPr>
        <w:footnoteReference w:id="9"/>
      </w:r>
      <w:r>
        <w:t>, которые были опубликованы в июне 2021 года и распространены на широкой основе. В нем содержалось резюме мер, принятых государствами-участниками в целях сокращения числа лиц, содержащихся в местах лишения свободы, интенсификации ухода за лицами с риском для здоровья и внедрения новых средств связи с внешним миром. Подкомитет также выразил озабоченность и указал на отсутствие политической воли для выполнения его рекомендаций. Он также вынес новые рекомендации в отношении осуществления программ вакцинации и закрепления позитивных мер по борьбе с COVID-19.</w:t>
      </w:r>
      <w:bookmarkStart w:id="45" w:name="_Toc534899842"/>
    </w:p>
    <w:p w14:paraId="438E2E44" w14:textId="6B77A22D" w:rsidR="004D4072" w:rsidRPr="007F6E3E" w:rsidRDefault="000602C9" w:rsidP="004D4072">
      <w:pPr>
        <w:pStyle w:val="HChG"/>
      </w:pPr>
      <w:r>
        <w:rPr>
          <w:bCs/>
        </w:rPr>
        <w:tab/>
      </w:r>
      <w:r w:rsidR="004D4072">
        <w:rPr>
          <w:bCs/>
        </w:rPr>
        <w:t>III.</w:t>
      </w:r>
      <w:r w:rsidR="004D4072">
        <w:tab/>
      </w:r>
      <w:bookmarkStart w:id="46" w:name="_Hlk98764468"/>
      <w:r w:rsidR="004D4072">
        <w:rPr>
          <w:bCs/>
        </w:rPr>
        <w:t>Взаимодействие с другими органами в области предупреждения пыток</w:t>
      </w:r>
      <w:bookmarkStart w:id="47" w:name="_Toc97717823"/>
      <w:bookmarkStart w:id="48" w:name="_Toc97795002"/>
      <w:bookmarkEnd w:id="45"/>
      <w:bookmarkEnd w:id="47"/>
      <w:bookmarkEnd w:id="48"/>
      <w:bookmarkEnd w:id="46"/>
    </w:p>
    <w:p w14:paraId="4091B228" w14:textId="67957E2C" w:rsidR="004D4072" w:rsidRPr="007F6E3E" w:rsidRDefault="000602C9" w:rsidP="004D4072">
      <w:pPr>
        <w:pStyle w:val="H1G"/>
      </w:pPr>
      <w:r>
        <w:rPr>
          <w:bCs/>
        </w:rPr>
        <w:tab/>
      </w:r>
      <w:r w:rsidR="004D4072">
        <w:rPr>
          <w:bCs/>
        </w:rPr>
        <w:t>A.</w:t>
      </w:r>
      <w:r w:rsidR="004D4072">
        <w:tab/>
      </w:r>
      <w:bookmarkStart w:id="49" w:name="_Hlk98764481"/>
      <w:r w:rsidR="004D4072">
        <w:rPr>
          <w:bCs/>
        </w:rPr>
        <w:t>Международное сотрудничество</w:t>
      </w:r>
      <w:bookmarkStart w:id="50" w:name="_Toc534899843"/>
      <w:bookmarkStart w:id="51" w:name="_Toc97717824"/>
      <w:bookmarkStart w:id="52" w:name="_Toc97795003"/>
      <w:bookmarkEnd w:id="50"/>
      <w:bookmarkEnd w:id="51"/>
      <w:bookmarkEnd w:id="52"/>
      <w:bookmarkEnd w:id="49"/>
    </w:p>
    <w:p w14:paraId="306C7F00" w14:textId="6D16587D" w:rsidR="004D4072" w:rsidRPr="007F6E3E" w:rsidRDefault="000602C9" w:rsidP="004D4072">
      <w:pPr>
        <w:pStyle w:val="H23G"/>
      </w:pPr>
      <w:r>
        <w:rPr>
          <w:bCs/>
        </w:rPr>
        <w:tab/>
      </w:r>
      <w:r w:rsidR="004D4072">
        <w:rPr>
          <w:bCs/>
        </w:rPr>
        <w:t>1.</w:t>
      </w:r>
      <w:r w:rsidR="004D4072">
        <w:tab/>
      </w:r>
      <w:r w:rsidR="004D4072">
        <w:rPr>
          <w:bCs/>
        </w:rPr>
        <w:t>Сотрудничество с другими органами Организации Объединенных Наций</w:t>
      </w:r>
    </w:p>
    <w:p w14:paraId="4D50EE01" w14:textId="77777777" w:rsidR="004D4072" w:rsidRPr="007F6E3E" w:rsidRDefault="004D4072" w:rsidP="004D4072">
      <w:pPr>
        <w:pStyle w:val="SingleTxtG"/>
      </w:pPr>
      <w:r>
        <w:t>31.</w:t>
      </w:r>
      <w:r>
        <w:tab/>
        <w:t>Председатель Подкомитета не имела возможности обсудить четырнадцатый ежегодный доклад Подкомитета</w:t>
      </w:r>
      <w:r w:rsidRPr="008A511C">
        <w:rPr>
          <w:rStyle w:val="aa"/>
        </w:rPr>
        <w:footnoteReference w:id="10"/>
      </w:r>
      <w:r>
        <w:t xml:space="preserve"> с Комитетом против пыток на пленарном заседании в ходе его семидесятой сессии, которая проходила в режиме онлайн с 26 по 28 апреля 2021 года.</w:t>
      </w:r>
    </w:p>
    <w:p w14:paraId="34C76F63" w14:textId="77777777" w:rsidR="004D4072" w:rsidRPr="007F6E3E" w:rsidRDefault="004D4072" w:rsidP="004D4072">
      <w:pPr>
        <w:pStyle w:val="SingleTxtG"/>
      </w:pPr>
      <w:r>
        <w:t>32.</w:t>
      </w:r>
      <w:r>
        <w:tab/>
        <w:t>В соответствии с резолюцией 70/146 Генеральной Ассамблеи Председатель Подкомитета совместно с Председателем Комитета против пыток и Специальным докладчиком по вопросу о пытках и других жестоких, бесчеловечных или унижающих достоинство видах обращения и наказания представили Генеральной Ассамблее на проходившем в режиме онлайн заседании ее семьдесят шестой сессии тринадцатый ежегодный доклад Подкомитета.</w:t>
      </w:r>
    </w:p>
    <w:p w14:paraId="6208E654" w14:textId="77777777" w:rsidR="004D4072" w:rsidRPr="007F6E3E" w:rsidRDefault="004D4072" w:rsidP="004D4072">
      <w:pPr>
        <w:pStyle w:val="SingleTxtG"/>
      </w:pPr>
      <w:r>
        <w:t>33.</w:t>
      </w:r>
      <w:r>
        <w:tab/>
        <w:t>В качестве члена совещания председателей договорных органов по правам человека Председатель Подкомитета приняла участие в нескольких состоявшихся в течение года в режиме онлайн неофициальных совещаниях председателей этих органов. На тридцать третьем совещании председателей договорных органов по правам человека, которое проходило в режиме онлайн с 7 по 11 июня 2021 года, Подкомитет был представлен своим Председателем.</w:t>
      </w:r>
      <w:bookmarkStart w:id="53" w:name="_Hlk58255827"/>
      <w:bookmarkEnd w:id="53"/>
    </w:p>
    <w:p w14:paraId="0A791BA8" w14:textId="77777777" w:rsidR="004D4072" w:rsidRPr="007F6E3E" w:rsidRDefault="004D4072" w:rsidP="004D4072">
      <w:pPr>
        <w:pStyle w:val="SingleTxtG"/>
      </w:pPr>
      <w:r>
        <w:t>34.</w:t>
      </w:r>
      <w:r>
        <w:tab/>
        <w:t xml:space="preserve">26 июня, в Международный день Организации Объединенных Наций в поддержку жертв пыток, Подкомитет по предупреждению пыток, Комитет против </w:t>
      </w:r>
      <w:r>
        <w:lastRenderedPageBreak/>
        <w:t>пыток, Фонд добровольных взносов Организации Объединенных Наций для жертв пыток и Специальный докладчик по вопросу о пытках опубликовали совместное заявление о защите гражданского пространства, имеющего решающее значение для обеспечения возмещения ущерба, причиненного жертвам пыток, и привлечения виновных к ответственности</w:t>
      </w:r>
      <w:r w:rsidRPr="008A511C">
        <w:rPr>
          <w:rStyle w:val="aa"/>
        </w:rPr>
        <w:footnoteReference w:id="11"/>
      </w:r>
      <w:r>
        <w:t>. На эту же тему был проведен вебинар.</w:t>
      </w:r>
    </w:p>
    <w:p w14:paraId="6326A82A" w14:textId="77777777" w:rsidR="004D4072" w:rsidRPr="007F6E3E" w:rsidRDefault="004D4072" w:rsidP="004D4072">
      <w:pPr>
        <w:pStyle w:val="SingleTxtG"/>
      </w:pPr>
      <w:r>
        <w:t>35.</w:t>
      </w:r>
      <w:r>
        <w:tab/>
        <w:t>Подкомитет продолжал на систематической основе сотрудничать с другими механизмами, в частности путем препровождения на рассмотрение Комитета против пыток предложений относительно государств — участников Факультативного протокола, доклады которых планируется рассмотреть на предстоящих сессиях Комитета, а также вопросов для возможной постановки перед государствами-участниками в рамках упрощенной процедуры представления докладов.</w:t>
      </w:r>
    </w:p>
    <w:p w14:paraId="5D0E2C92" w14:textId="77777777" w:rsidR="004D4072" w:rsidRPr="007F6E3E" w:rsidRDefault="004D4072" w:rsidP="004D4072">
      <w:pPr>
        <w:pStyle w:val="SingleTxtG"/>
      </w:pPr>
      <w:r>
        <w:t>36.</w:t>
      </w:r>
      <w:r>
        <w:tab/>
        <w:t>В ходе своей сорок пятой сессии Подкомитет провел встречу с Комитетом против пыток, и они решили укреплять свое сотрудничество. После встречи был выпущен совместный пресс-релиз о тревожной ситуации с тюрьмами в Эквадоре</w:t>
      </w:r>
      <w:r w:rsidRPr="008A511C">
        <w:rPr>
          <w:rStyle w:val="aa"/>
        </w:rPr>
        <w:footnoteReference w:id="12"/>
      </w:r>
      <w:r>
        <w:t>.</w:t>
      </w:r>
    </w:p>
    <w:p w14:paraId="03D0CAAA" w14:textId="77777777" w:rsidR="004D4072" w:rsidRPr="007F6E3E" w:rsidRDefault="004D4072" w:rsidP="004D4072">
      <w:pPr>
        <w:pStyle w:val="SingleTxtG"/>
      </w:pPr>
      <w:r>
        <w:t>37.</w:t>
      </w:r>
      <w:r>
        <w:tab/>
        <w:t>Подкомитет также продолжал сотрудничать с региональными отделениями УВКПЧ, страновыми группами Организации Объединенных Наций и Управлением Верховного комиссара Организации Объединенных Наций по делам беженцев.</w:t>
      </w:r>
    </w:p>
    <w:p w14:paraId="7BFB8544" w14:textId="77777777" w:rsidR="004D4072" w:rsidRPr="007F6E3E" w:rsidRDefault="004D4072" w:rsidP="004D4072">
      <w:pPr>
        <w:pStyle w:val="SingleTxtG"/>
      </w:pPr>
      <w:r>
        <w:t>38.</w:t>
      </w:r>
      <w:r>
        <w:tab/>
        <w:t>Подкомитет продолжал сотрудничать с программой укрепления потенциала договорных органов, в частности в поддержку работы национальных превентивных механизмов.</w:t>
      </w:r>
    </w:p>
    <w:p w14:paraId="7B3473AA" w14:textId="2B30BE73" w:rsidR="004D4072" w:rsidRPr="007F6E3E" w:rsidRDefault="000602C9" w:rsidP="004D4072">
      <w:pPr>
        <w:pStyle w:val="H23G"/>
      </w:pPr>
      <w:r>
        <w:rPr>
          <w:bCs/>
        </w:rPr>
        <w:tab/>
      </w:r>
      <w:r w:rsidR="004D4072">
        <w:rPr>
          <w:bCs/>
        </w:rPr>
        <w:t>2.</w:t>
      </w:r>
      <w:r w:rsidR="004D4072">
        <w:tab/>
      </w:r>
      <w:r w:rsidR="004D4072">
        <w:rPr>
          <w:bCs/>
        </w:rPr>
        <w:t>Сотрудничество с другими соответствующими международными организациями</w:t>
      </w:r>
    </w:p>
    <w:p w14:paraId="26464B9A" w14:textId="77777777" w:rsidR="004D4072" w:rsidRPr="007F6E3E" w:rsidRDefault="004D4072" w:rsidP="004D4072">
      <w:pPr>
        <w:pStyle w:val="SingleTxtG"/>
      </w:pPr>
      <w:r>
        <w:t>39.</w:t>
      </w:r>
      <w:r>
        <w:tab/>
        <w:t>Подкомитет продолжал сотрудничество с Международным комитетом Красного Креста.</w:t>
      </w:r>
    </w:p>
    <w:p w14:paraId="71CF1CBF" w14:textId="08071DCB" w:rsidR="004D4072" w:rsidRPr="007F6E3E" w:rsidRDefault="000602C9" w:rsidP="004D4072">
      <w:pPr>
        <w:pStyle w:val="H1G"/>
      </w:pPr>
      <w:r>
        <w:rPr>
          <w:bCs/>
        </w:rPr>
        <w:tab/>
      </w:r>
      <w:r w:rsidR="004D4072">
        <w:rPr>
          <w:bCs/>
        </w:rPr>
        <w:t>B.</w:t>
      </w:r>
      <w:r w:rsidR="004D4072">
        <w:tab/>
      </w:r>
      <w:bookmarkStart w:id="54" w:name="_Hlk98764499"/>
      <w:r w:rsidR="004D4072">
        <w:rPr>
          <w:bCs/>
        </w:rPr>
        <w:t>Региональное сотрудничество</w:t>
      </w:r>
      <w:bookmarkStart w:id="55" w:name="_Toc534899844"/>
      <w:bookmarkStart w:id="56" w:name="_Toc97717825"/>
      <w:bookmarkStart w:id="57" w:name="_Toc97795004"/>
      <w:bookmarkEnd w:id="55"/>
      <w:bookmarkEnd w:id="56"/>
      <w:bookmarkEnd w:id="57"/>
      <w:bookmarkEnd w:id="54"/>
    </w:p>
    <w:p w14:paraId="318EC85E" w14:textId="1233D868" w:rsidR="004D4072" w:rsidRPr="007F6E3E" w:rsidRDefault="004D4072" w:rsidP="004D4072">
      <w:pPr>
        <w:pStyle w:val="SingleTxtG"/>
      </w:pPr>
      <w:r>
        <w:t>40.</w:t>
      </w:r>
      <w:r>
        <w:tab/>
        <w:t>Подкомитет продолжал сотрудничество с региональными организациями, в том числе с Европейским комитетом по предупреждению пыток и бесчеловечных или унижающих достоинство видов обращения и наказания, которое включало взаимный обмен письмами в целях введения в действие статьи 31 Факультативного протокола, с</w:t>
      </w:r>
      <w:r w:rsidR="00615433">
        <w:t> </w:t>
      </w:r>
      <w:r>
        <w:t xml:space="preserve">тем чтобы усилить взаимодополняемость и </w:t>
      </w:r>
      <w:proofErr w:type="spellStart"/>
      <w:r>
        <w:t>субсидиарность</w:t>
      </w:r>
      <w:proofErr w:type="spellEnd"/>
      <w:r>
        <w:t>. Было проведено несколько совещаний на уровне председателей и Бюро, а также секретариата.</w:t>
      </w:r>
    </w:p>
    <w:p w14:paraId="4DA99716" w14:textId="140EAA53" w:rsidR="004D4072" w:rsidRPr="007F6E3E" w:rsidRDefault="000602C9" w:rsidP="004D4072">
      <w:pPr>
        <w:pStyle w:val="H1G"/>
      </w:pPr>
      <w:r>
        <w:rPr>
          <w:bCs/>
        </w:rPr>
        <w:tab/>
      </w:r>
      <w:r w:rsidR="004D4072">
        <w:rPr>
          <w:bCs/>
        </w:rPr>
        <w:t>C.</w:t>
      </w:r>
      <w:r w:rsidR="004D4072">
        <w:tab/>
      </w:r>
      <w:bookmarkStart w:id="58" w:name="_Hlk98764515"/>
      <w:r w:rsidR="004D4072">
        <w:rPr>
          <w:bCs/>
        </w:rPr>
        <w:t>Гражданское общество</w:t>
      </w:r>
      <w:bookmarkStart w:id="59" w:name="_Toc534899845"/>
      <w:bookmarkStart w:id="60" w:name="_Toc97717826"/>
      <w:bookmarkStart w:id="61" w:name="_Toc97795005"/>
      <w:bookmarkEnd w:id="59"/>
      <w:bookmarkEnd w:id="60"/>
      <w:bookmarkEnd w:id="61"/>
      <w:bookmarkEnd w:id="58"/>
    </w:p>
    <w:p w14:paraId="7E161821" w14:textId="4DBF7CD5" w:rsidR="004D4072" w:rsidRPr="007F6E3E" w:rsidRDefault="004D4072" w:rsidP="004D4072">
      <w:pPr>
        <w:pStyle w:val="SingleTxtG"/>
      </w:pPr>
      <w:r>
        <w:t>41.</w:t>
      </w:r>
      <w:r>
        <w:tab/>
        <w:t>Подкомитет продолжал пользоваться поддержкой гражданского общества, в</w:t>
      </w:r>
      <w:r w:rsidR="00C01C06">
        <w:t> </w:t>
      </w:r>
      <w:r>
        <w:t>том числе со стороны Ассоциации за предотвращение пыток и ряда научных учреждений, таких как Центр по осуществлению прав человека при Бристольском университете. Подкомитет также связывался с организациями гражданского общества в ходе подготовки посещений; он выражает признательность этим организациям за их работу по поощрению и поддержке Факультативного протокола несмотря на то, что в 2021 году состоялось лишь одно посещение.</w:t>
      </w:r>
    </w:p>
    <w:p w14:paraId="30A8B4D5" w14:textId="11A8E0C3" w:rsidR="004D4072" w:rsidRPr="007F6E3E" w:rsidRDefault="000602C9" w:rsidP="004D4072">
      <w:pPr>
        <w:pStyle w:val="H1G"/>
      </w:pPr>
      <w:r>
        <w:rPr>
          <w:bCs/>
        </w:rPr>
        <w:tab/>
      </w:r>
      <w:r w:rsidR="004D4072">
        <w:rPr>
          <w:bCs/>
        </w:rPr>
        <w:t>D.</w:t>
      </w:r>
      <w:r w:rsidR="004D4072">
        <w:tab/>
      </w:r>
      <w:bookmarkStart w:id="62" w:name="_Hlk98764533"/>
      <w:r w:rsidR="004D4072">
        <w:rPr>
          <w:bCs/>
        </w:rPr>
        <w:t>Неофициальная рабочая группа по COVID-19</w:t>
      </w:r>
      <w:bookmarkStart w:id="63" w:name="_Toc97717827"/>
      <w:bookmarkStart w:id="64" w:name="_Toc97795006"/>
      <w:bookmarkEnd w:id="63"/>
      <w:bookmarkEnd w:id="64"/>
      <w:bookmarkEnd w:id="62"/>
    </w:p>
    <w:p w14:paraId="532E192F" w14:textId="0CDD0A22" w:rsidR="004D4072" w:rsidRPr="007F6E3E" w:rsidRDefault="004D4072" w:rsidP="004D4072">
      <w:pPr>
        <w:pStyle w:val="SingleTxtG"/>
      </w:pPr>
      <w:r>
        <w:t>42.</w:t>
      </w:r>
      <w:r>
        <w:tab/>
        <w:t xml:space="preserve">Неофициальная рабочая группа по COVID-19 была создана на тридцать втором совещании председателей договорных органов по правам человека, которое состоялось в июле 2020 года. С тех пор рабочая группа, в состав которой входят один или два назначенных членов от каждого договорного органа, благодаря надлежащей поддержке секретариата собирается в первую пятницу каждого месяца для проведения </w:t>
      </w:r>
      <w:r>
        <w:lastRenderedPageBreak/>
        <w:t>обсуждений и обмена информацией по вопросам, касающимся текущей работы в области прав человека и влияния COVID-19 на работу самих договорных органов, а</w:t>
      </w:r>
      <w:r w:rsidR="00C01C06">
        <w:t> </w:t>
      </w:r>
      <w:r>
        <w:t xml:space="preserve">также влияния пандемии на глобальную ситуацию в области прав человека. Одним из наиболее важных мероприятий, инициированных рабочей группой, стало проведение пяти совместных вебинаров договорных органов для Северной и Южной Америки, Европы, англоязычных стран Африки, Ближнего Востока и Северной Африки, а также Азиатско-Тихоокеанского региона по вопросам, касающимся психического здоровья. Эти вебинары стали первыми мероприятиями такого рода в истории Организации Объединенных Наций. В ходе вебинаров участники обсудили влияние пандемии на психическое здоровье, а также виды услуг и защиты, которые необходимо предоставить для предотвращения серьезных заболеваний. На вебинарах были обсуждены вопросы психического здоровья лиц, находящихся в особо уязвимых ситуациях, при этом в них приняли участие и заинтересованные стороны, и другие соответствующие специалисты из регионов, причем в качестве как докладчиков, так и участников. Члены рабочей группы также внесли существенный вклад в проведение этих вебинаров. От Подкомитета в рабочей группе участвуют Марина </w:t>
      </w:r>
      <w:proofErr w:type="spellStart"/>
      <w:r>
        <w:t>Лангфельдт</w:t>
      </w:r>
      <w:proofErr w:type="spellEnd"/>
      <w:r>
        <w:t xml:space="preserve"> и г</w:t>
      </w:r>
      <w:r w:rsidR="00547EF7">
        <w:noBreakHyphen/>
      </w:r>
      <w:r>
        <w:t xml:space="preserve">жа </w:t>
      </w:r>
      <w:proofErr w:type="spellStart"/>
      <w:r>
        <w:t>Свеосс</w:t>
      </w:r>
      <w:proofErr w:type="spellEnd"/>
      <w:r>
        <w:t>.</w:t>
      </w:r>
      <w:bookmarkStart w:id="65" w:name="_Toc534899846"/>
    </w:p>
    <w:p w14:paraId="2A88F6B1" w14:textId="1B62CF67" w:rsidR="004D4072" w:rsidRPr="007F6E3E" w:rsidRDefault="00547EF7" w:rsidP="004D4072">
      <w:pPr>
        <w:pStyle w:val="HChG"/>
      </w:pPr>
      <w:r>
        <w:rPr>
          <w:bCs/>
        </w:rPr>
        <w:tab/>
      </w:r>
      <w:r w:rsidR="004D4072">
        <w:rPr>
          <w:bCs/>
        </w:rPr>
        <w:t>IV.</w:t>
      </w:r>
      <w:r w:rsidR="004D4072">
        <w:tab/>
      </w:r>
      <w:bookmarkStart w:id="66" w:name="_Hlk98764558"/>
      <w:r w:rsidR="004D4072">
        <w:rPr>
          <w:bCs/>
        </w:rPr>
        <w:t>Изменения, касающиеся методов работы</w:t>
      </w:r>
      <w:bookmarkStart w:id="67" w:name="_Toc97717828"/>
      <w:bookmarkStart w:id="68" w:name="_Toc97795007"/>
      <w:bookmarkEnd w:id="65"/>
      <w:bookmarkEnd w:id="67"/>
      <w:bookmarkEnd w:id="68"/>
      <w:bookmarkEnd w:id="66"/>
    </w:p>
    <w:p w14:paraId="636CBD3D" w14:textId="38BB5C6A" w:rsidR="004D4072" w:rsidRPr="007F6E3E" w:rsidRDefault="00547EF7" w:rsidP="004D4072">
      <w:pPr>
        <w:pStyle w:val="H1G"/>
      </w:pPr>
      <w:r>
        <w:rPr>
          <w:bCs/>
        </w:rPr>
        <w:tab/>
      </w:r>
      <w:r w:rsidR="004D4072">
        <w:rPr>
          <w:bCs/>
        </w:rPr>
        <w:t>A.</w:t>
      </w:r>
      <w:r w:rsidR="004D4072">
        <w:tab/>
      </w:r>
      <w:bookmarkStart w:id="69" w:name="_Hlk98764572"/>
      <w:r w:rsidR="004D4072">
        <w:rPr>
          <w:bCs/>
        </w:rPr>
        <w:t>Посещения</w:t>
      </w:r>
      <w:bookmarkStart w:id="70" w:name="_Toc97717829"/>
      <w:bookmarkStart w:id="71" w:name="_Toc97795008"/>
      <w:bookmarkEnd w:id="70"/>
      <w:bookmarkEnd w:id="71"/>
      <w:bookmarkEnd w:id="69"/>
    </w:p>
    <w:p w14:paraId="5DA4BE4D" w14:textId="7580CEDE" w:rsidR="004D4072" w:rsidRPr="007F6E3E" w:rsidRDefault="004D4072" w:rsidP="004D4072">
      <w:pPr>
        <w:pStyle w:val="SingleTxtG"/>
      </w:pPr>
      <w:r>
        <w:t>43.</w:t>
      </w:r>
      <w:r>
        <w:tab/>
      </w:r>
      <w:proofErr w:type="gramStart"/>
      <w:r>
        <w:t>На своих сорок третьей,</w:t>
      </w:r>
      <w:proofErr w:type="gramEnd"/>
      <w:r>
        <w:t xml:space="preserve"> сорок четвертой и сорок пятой сессиях Подкомитет рассмотрел возможность проведения посещений, перенесенных с 2020 года. В</w:t>
      </w:r>
      <w:r w:rsidR="00547EF7">
        <w:rPr>
          <w:lang w:val="en-US"/>
        </w:rPr>
        <w:t> </w:t>
      </w:r>
      <w:r>
        <w:t xml:space="preserve">частности, он рассмотрел вопрос о продолжении посещения Аргентины, которое было начато в марте 2020 года, но от которого пришлось отказаться из-за пандемии COVID-19, и о подготовке других уже объявленных посещений. Хотя принятие протокола посещений для облегчения задачи членов делегации Подкомитета и усиление принципа </w:t>
      </w:r>
      <w:r w:rsidR="00C01C06">
        <w:t>«</w:t>
      </w:r>
      <w:r>
        <w:t>не навреди</w:t>
      </w:r>
      <w:r w:rsidR="00C01C06">
        <w:t>»</w:t>
      </w:r>
      <w:r>
        <w:t xml:space="preserve"> и послужили основой для возобновления программы посещений, продолжающаяся ситуация с пандемией, как во многих странах происхождения членов Подкомитета, так и в странах, которые им предстоит посетить, а также ограниченные возможности пользования воздушным транспортом сделали невозможным начало посещений до сентября 2021 года. В октябре 2021 года Подкомитет смог посетить Болгарию </w:t>
      </w:r>
      <w:r w:rsidR="00547EF7" w:rsidRPr="00547EF7">
        <w:t>—</w:t>
      </w:r>
      <w:r>
        <w:t xml:space="preserve"> первое посещение после улучшения ситуации с пандемией. Посещая различные места лишения свободы, члены делегации смогли опробовать протокол, который был принят в межсессионный период. Несмотря на то, что он был хорошо продуман, в него будут внесены изменения с целью обеспечения надлежащей защиты всех членов делегации и всех лиц, которых планируется посетить.</w:t>
      </w:r>
    </w:p>
    <w:p w14:paraId="14257474" w14:textId="0A39AA1D" w:rsidR="004D4072" w:rsidRPr="007F6E3E" w:rsidRDefault="004D4072" w:rsidP="004D4072">
      <w:pPr>
        <w:pStyle w:val="SingleTxtG"/>
      </w:pPr>
      <w:r>
        <w:t>44.</w:t>
      </w:r>
      <w:r>
        <w:tab/>
        <w:t>На своей сорок пятой сессии в ноябре 2021 года Подкомитет обсудил приоритеты программы посещений с учетом развития пандемии и ситуации в государствах-участниках, ратифицировавших Факультативный протокол. Был обнародован список стран, которые планируется посетить в первые месяцы 2022</w:t>
      </w:r>
      <w:r w:rsidR="00547EF7">
        <w:rPr>
          <w:lang w:val="en-US"/>
        </w:rPr>
        <w:t> </w:t>
      </w:r>
      <w:r>
        <w:t>года</w:t>
      </w:r>
      <w:r w:rsidRPr="008A511C">
        <w:rPr>
          <w:rStyle w:val="aa"/>
        </w:rPr>
        <w:footnoteReference w:id="13"/>
      </w:r>
      <w:r w:rsidR="00547EF7" w:rsidRPr="00547EF7">
        <w:t>,</w:t>
      </w:r>
      <w:r>
        <w:t xml:space="preserve"> в него были включены Аргентина, Ливан, Тунис, Турция и Эквадор, а</w:t>
      </w:r>
      <w:r w:rsidR="00547EF7">
        <w:rPr>
          <w:lang w:val="en-US"/>
        </w:rPr>
        <w:t> </w:t>
      </w:r>
      <w:r>
        <w:t>также Бразилия для проведения переговоров на высоком уровне с бразильскими властями.</w:t>
      </w:r>
    </w:p>
    <w:p w14:paraId="7BF14FDE" w14:textId="6808982C" w:rsidR="004D4072" w:rsidRPr="007F6E3E" w:rsidRDefault="004D4072" w:rsidP="004D4072">
      <w:pPr>
        <w:pStyle w:val="SingleTxtG"/>
      </w:pPr>
      <w:r>
        <w:t>45.</w:t>
      </w:r>
      <w:r>
        <w:tab/>
        <w:t>Подкомитет вновь напоминает о том, что в своем одиннадцатом ежегодном докладе</w:t>
      </w:r>
      <w:r w:rsidRPr="008A511C">
        <w:rPr>
          <w:rStyle w:val="aa"/>
        </w:rPr>
        <w:footnoteReference w:id="14"/>
      </w:r>
      <w:r>
        <w:t>, он отметил, что неспособность Подкомитета проводить как минимум 10</w:t>
      </w:r>
      <w:r w:rsidR="00547EF7">
        <w:rPr>
          <w:lang w:val="en-US"/>
        </w:rPr>
        <w:t> </w:t>
      </w:r>
      <w:r>
        <w:t>посещений в год существенно снижает превентивное воздействие Факультативного протокола и подрывает инициативный характер создаваемой им системы предупреждения. Крайне важно, чтобы Подкомитету были выделены ресурсы, необходимые для того, чтобы он мог осуществлять программу посещений в полном объеме.</w:t>
      </w:r>
    </w:p>
    <w:p w14:paraId="7391EDA8" w14:textId="4CD750E1" w:rsidR="004D4072" w:rsidRPr="007F6E3E" w:rsidRDefault="00547EF7" w:rsidP="004D4072">
      <w:pPr>
        <w:pStyle w:val="H1G"/>
      </w:pPr>
      <w:r>
        <w:rPr>
          <w:bCs/>
        </w:rPr>
        <w:lastRenderedPageBreak/>
        <w:tab/>
      </w:r>
      <w:r w:rsidR="004D4072">
        <w:rPr>
          <w:bCs/>
        </w:rPr>
        <w:t>B.</w:t>
      </w:r>
      <w:r w:rsidR="004D4072">
        <w:tab/>
      </w:r>
      <w:bookmarkStart w:id="72" w:name="_Hlk98764590"/>
      <w:r w:rsidR="004D4072">
        <w:rPr>
          <w:bCs/>
        </w:rPr>
        <w:t>Время, выделяемое для заседаний</w:t>
      </w:r>
      <w:bookmarkStart w:id="73" w:name="_Toc97717830"/>
      <w:bookmarkStart w:id="74" w:name="_Toc97795009"/>
      <w:bookmarkEnd w:id="73"/>
      <w:bookmarkEnd w:id="74"/>
      <w:bookmarkEnd w:id="72"/>
    </w:p>
    <w:p w14:paraId="40574988" w14:textId="444354E0" w:rsidR="004D4072" w:rsidRPr="007F6E3E" w:rsidRDefault="004D4072" w:rsidP="004D4072">
      <w:pPr>
        <w:pStyle w:val="SingleTxtG"/>
      </w:pPr>
      <w:r>
        <w:t>46.</w:t>
      </w:r>
      <w:r>
        <w:tab/>
        <w:t xml:space="preserve">Необходимость проведения сорок третьей и сорок четвертой сессий в режиме онлайн повлияла на способность Подкомитета эффективно вести свою работу. Синхронный перевод был доступен каждый день лишь в течение </w:t>
      </w:r>
      <w:r w:rsidR="00C01C06">
        <w:t>двух-четырех</w:t>
      </w:r>
      <w:r>
        <w:t xml:space="preserve"> часов, а периоды времени, когда он предлагался, затрудняли участие всех членов. Поэтому Подкомитет надеется, что его сорок седьмая сессия, которая должна состояться в июне 2022 года, сможет длиться две недели, с тем чтобы он мог наверстать упущенное.</w:t>
      </w:r>
    </w:p>
    <w:p w14:paraId="6FACB7DA" w14:textId="77777777" w:rsidR="004D4072" w:rsidRPr="007F6E3E" w:rsidRDefault="004D4072" w:rsidP="004D4072">
      <w:pPr>
        <w:pStyle w:val="SingleTxtG"/>
      </w:pPr>
      <w:r>
        <w:t>47.</w:t>
      </w:r>
      <w:r>
        <w:tab/>
        <w:t>На своей сорок пятой сессии члены Подкомитета также решили, что подготовка должна стать постоянным элементом всех его сессий. Поэтому она будет включена в программу каждой сессии в качестве отдельного пункта повестки дня. Характер подготовки должен определяться заранее.</w:t>
      </w:r>
    </w:p>
    <w:p w14:paraId="5016110B" w14:textId="7B46979C" w:rsidR="004D4072" w:rsidRPr="007F6E3E" w:rsidRDefault="00547EF7" w:rsidP="004D4072">
      <w:pPr>
        <w:pStyle w:val="HChG"/>
      </w:pPr>
      <w:r>
        <w:rPr>
          <w:bCs/>
        </w:rPr>
        <w:tab/>
      </w:r>
      <w:r w:rsidR="004D4072">
        <w:rPr>
          <w:bCs/>
        </w:rPr>
        <w:t>V.</w:t>
      </w:r>
      <w:r w:rsidR="004D4072">
        <w:tab/>
      </w:r>
      <w:bookmarkStart w:id="75" w:name="_Hlk98764615"/>
      <w:r w:rsidR="004D4072">
        <w:rPr>
          <w:bCs/>
        </w:rPr>
        <w:t>Перспективы</w:t>
      </w:r>
      <w:bookmarkStart w:id="76" w:name="_Toc534899849"/>
      <w:bookmarkStart w:id="77" w:name="_Toc97717831"/>
      <w:bookmarkStart w:id="78" w:name="_Toc97795010"/>
      <w:bookmarkEnd w:id="76"/>
      <w:bookmarkEnd w:id="77"/>
      <w:bookmarkEnd w:id="78"/>
      <w:bookmarkEnd w:id="75"/>
    </w:p>
    <w:p w14:paraId="7998ADBB" w14:textId="77777777" w:rsidR="004D4072" w:rsidRPr="007F6E3E" w:rsidRDefault="004D4072" w:rsidP="004D4072">
      <w:pPr>
        <w:pStyle w:val="SingleTxtG"/>
      </w:pPr>
      <w:r>
        <w:t>48.</w:t>
      </w:r>
      <w:r>
        <w:tab/>
        <w:t>Из-за пандемии COVID-19 связанная с посещениями работа Подкомитета в 2020 году и в течение большей части 2021 года была фактически приостановлена. Несмотря на начало новой волны пандемии в конце осени 2021 года, Подкомитет уверен, что в настоящее время он хорошо оснащен, а его члены хорошо обучены, чтобы выполнить запланированную программу посещений во время продолжающейся пандемии. Подкомитет также сознает, что финансовые перспективы системы договорных органов выглядят в целом непредсказуемыми и неясными из-за неопределенности итогов обзора, проведенного в 2020 году. Параллельно он будет продолжать консультировать государства-участники и национальные превентивные механизмы в отношении передовой практики и рекомендаций, касающихся управления мерами реагирования на пандемию в местах лишения свободы.</w:t>
      </w:r>
    </w:p>
    <w:p w14:paraId="714DDDDC" w14:textId="77777777" w:rsidR="004D4072" w:rsidRPr="007F6E3E" w:rsidRDefault="004D4072" w:rsidP="004D4072">
      <w:pPr>
        <w:pStyle w:val="SingleTxtG"/>
      </w:pPr>
      <w:r>
        <w:t>49.</w:t>
      </w:r>
      <w:r>
        <w:tab/>
        <w:t>Вместе с тем Подкомитет по-прежнему весьма обеспокоен тем, что процесс обзора в 2020 году, возможно, не в полной мере отвечает потребностям Подкомитета в свете уникальности его мандата среди договорных органов. В соответствии с предложением о проведении в 2020 году обзора процесса укрепления системы договорных органов по правам человека, которое было внесено Председателем Комитета по правам инвалидов и одобрено самим Комитетом, Подкомитет на своих сорок пятой и сорок шестой сессиях обсудил способы повышения эффективности выполнение своего мандата с учетом его уникального характера среди договорных органов. Он по-прежнему очень обеспокоен тем, что финансовая поддержка его работы и укомплектованность штата сотрудников его секретариата остаются чрезвычайно недостаточными, поскольку его особые потребности не учитывались и продолжают не учитываться должным образом. При утверждении настоящего доклада на своей сорок шестой сессии Подкомитет также утвердил заявление о своей позиции по вышеупомянутому предложению, которое содержится в приложении к настоящему докладу. Подкомитет надеется, что его предложение получит должное освещение в общем предложении 10 договорных органов по укреплению системы.</w:t>
      </w:r>
    </w:p>
    <w:p w14:paraId="534535BC" w14:textId="77777777" w:rsidR="004D4072" w:rsidRPr="007F6E3E" w:rsidRDefault="004D4072" w:rsidP="004D4072">
      <w:pPr>
        <w:pStyle w:val="SingleTxtG"/>
      </w:pPr>
      <w:r>
        <w:t>50.</w:t>
      </w:r>
      <w:r>
        <w:tab/>
        <w:t>Подкомитет полностью проникся задачей проводить работу с национальными превентивными механизмами и государствами-участниками в режиме онлайн в той мере, в какой это совместимо с его мандатом, и будет продолжать делать это. Однако Подкомитет особенно волнует вопрос понимания того, что он является механизмом, проводящим посещения, и что посещение мест лишения свободы в государствах-участниках составляет суть его мандата. Эту работу невозможно проводить ни виртуально, ни в удаленном режиме. В работе Подкомитета нет места для «цифрового сдвига», произвести который было рекомендовано всем договорным органам.</w:t>
      </w:r>
    </w:p>
    <w:p w14:paraId="212B4E08" w14:textId="44E13D7C" w:rsidR="004D4072" w:rsidRPr="007F6E3E" w:rsidRDefault="004D4072" w:rsidP="004D4072">
      <w:pPr>
        <w:pStyle w:val="SingleTxtG"/>
      </w:pPr>
      <w:r>
        <w:t>51.</w:t>
      </w:r>
      <w:r>
        <w:tab/>
        <w:t>Несмотря на трудности, возникшие в его работе в связи с пандемией COVID</w:t>
      </w:r>
      <w:r w:rsidR="00C15226">
        <w:noBreakHyphen/>
      </w:r>
      <w:r>
        <w:t xml:space="preserve">19, Подкомитет высоко оценивает исключительную по важности работу, проделанную многими национальными превентивными механизмами в рамках системы Факультативного протокола во время пандемии. Новаторский подход, с которым они подошли к своей работе, служит доказательством их приверженности и их активной роли. Эта роль приобретает еще большее значение в связи с усилением ограничений и </w:t>
      </w:r>
      <w:r>
        <w:lastRenderedPageBreak/>
        <w:t>снижением прозрачности и надзора в местах содержания под стражей в результате мер, принятых в ответ на распространение коронавируса в большинстве систем содержания под стражей. Подкомитет проводит оценку мер реагирования государств-участников и национальных превентивных механизмов на пандемию и будет стремиться к извлечению уроков из этих мер.</w:t>
      </w:r>
    </w:p>
    <w:p w14:paraId="155D4F7E" w14:textId="77777777" w:rsidR="004D4072" w:rsidRPr="007F6E3E" w:rsidRDefault="004D4072" w:rsidP="004D4072">
      <w:pPr>
        <w:pStyle w:val="SingleTxtG"/>
      </w:pPr>
      <w:r>
        <w:t>52.</w:t>
      </w:r>
      <w:r>
        <w:tab/>
        <w:t>В ближайшей перспективе крайне важно, чтобы те государства-участники, которые еще не создали национальные превентивные механизмы в соответствии со своими обязательствами по Факультативному протоколу, как это подробно изложено в тринадцатом ежегодном докладе Подкомитета, безотлагательно сделали это. Опыт противодействия пандемии позволил еще раз убедиться в той решающей роли, которую играют национальные превентивные механизмы в рамках системы Факультативного протокола, в том числе, находясь на «переднем крае» работы по предупреждению пыток и других жестоких, бесчеловечных и унижающих достоинство видов обращения и наказания.</w:t>
      </w:r>
    </w:p>
    <w:p w14:paraId="37BF4C4C" w14:textId="77777777" w:rsidR="004D4072" w:rsidRPr="007F6E3E" w:rsidRDefault="004D4072" w:rsidP="004D4072">
      <w:pPr>
        <w:pStyle w:val="SingleTxtG"/>
      </w:pPr>
      <w:r>
        <w:t>53.</w:t>
      </w:r>
      <w:r>
        <w:tab/>
        <w:t>Слишком много государств-участников не выполнили вовремя свои обязательства по Факультативному протоколу и поэтому были включены в список государств-участников, не соблюдающих статью 17. Подкомитет активизирует свой диалог с этими государствами-участниками, чтобы помочь им в создании национальных превентивных механизмов, особенно путем подготовки справочной документации для разработки национального законодательства, касающегося превентивного механизма. После создания некоторые национальные превентивные механизмы не обладают полной независимостью и достаточными ресурсами для выполнения своего мандата. Поэтому Подкомитет разработает руководство для оказания поддержки этим превентивным механизмам в их работе по достижению этой цели.</w:t>
      </w:r>
    </w:p>
    <w:p w14:paraId="40DEC9F0" w14:textId="0794B4B8" w:rsidR="004D4072" w:rsidRPr="007F6E3E" w:rsidRDefault="004D4072" w:rsidP="004D4072">
      <w:pPr>
        <w:pStyle w:val="SingleTxtG"/>
      </w:pPr>
      <w:r>
        <w:t>54.</w:t>
      </w:r>
      <w:r>
        <w:tab/>
        <w:t xml:space="preserve">На своей сорок пятой сессии Подкомитет принял к сведению публикацию по инициативе Ассоциации за предотвращение пыток Принципов ведения эффективных допросов в рамках расследований и сбора информации (Принципы </w:t>
      </w:r>
      <w:proofErr w:type="spellStart"/>
      <w:r>
        <w:t>Мендеса</w:t>
      </w:r>
      <w:proofErr w:type="spellEnd"/>
      <w:r>
        <w:t>). В</w:t>
      </w:r>
      <w:r w:rsidR="00547EF7">
        <w:rPr>
          <w:lang w:val="en-US"/>
        </w:rPr>
        <w:t> </w:t>
      </w:r>
      <w:r>
        <w:t>пресс</w:t>
      </w:r>
      <w:r w:rsidR="00547EF7">
        <w:noBreakHyphen/>
      </w:r>
      <w:r>
        <w:t>релизе, выпущенном после сессии</w:t>
      </w:r>
      <w:r w:rsidRPr="008A511C">
        <w:rPr>
          <w:rStyle w:val="aa"/>
        </w:rPr>
        <w:footnoteReference w:id="15"/>
      </w:r>
      <w:r w:rsidR="00547EF7">
        <w:t>,</w:t>
      </w:r>
      <w:r>
        <w:t xml:space="preserve"> Подкомитет заявил, что приветствует Принципы </w:t>
      </w:r>
      <w:proofErr w:type="spellStart"/>
      <w:r>
        <w:t>Мендеса</w:t>
      </w:r>
      <w:proofErr w:type="spellEnd"/>
      <w:r>
        <w:t xml:space="preserve">, поскольку они представляют собой важный шаг в необходимом культурном сдвиге в сторону соблюдения прав человека на всех этапах процесса уголовного правосудия. Национальные превентивные механизмы, благодаря своему мандату и, в частности, привилегированному доступу во все места лишения свободы, включая полицейские участки, должны играть важную роль в деле пропаганды и использования Принципов </w:t>
      </w:r>
      <w:proofErr w:type="spellStart"/>
      <w:r>
        <w:t>Мендеса</w:t>
      </w:r>
      <w:proofErr w:type="spellEnd"/>
      <w:r>
        <w:t xml:space="preserve">. Подкомитет настоятельно рекомендует национальным превентивным механизмам ознакомиться с Принципами </w:t>
      </w:r>
      <w:proofErr w:type="spellStart"/>
      <w:r>
        <w:t>Мендеса</w:t>
      </w:r>
      <w:proofErr w:type="spellEnd"/>
      <w:r>
        <w:t>, одобрить их и полностью внедрить в свои методы работы.</w:t>
      </w:r>
      <w:bookmarkStart w:id="79" w:name="_Toc534899850"/>
    </w:p>
    <w:p w14:paraId="3DF5DD38" w14:textId="0FC54397" w:rsidR="004D4072" w:rsidRPr="007F6E3E" w:rsidRDefault="00A33A2A" w:rsidP="004D4072">
      <w:pPr>
        <w:pStyle w:val="HChG"/>
      </w:pPr>
      <w:r>
        <w:rPr>
          <w:bCs/>
        </w:rPr>
        <w:tab/>
      </w:r>
      <w:r w:rsidR="004D4072">
        <w:rPr>
          <w:bCs/>
        </w:rPr>
        <w:t>VI.</w:t>
      </w:r>
      <w:r w:rsidR="004D4072">
        <w:tab/>
      </w:r>
      <w:bookmarkStart w:id="80" w:name="_Hlk98764628"/>
      <w:r w:rsidR="004D4072">
        <w:rPr>
          <w:bCs/>
        </w:rPr>
        <w:t>План работы</w:t>
      </w:r>
      <w:bookmarkStart w:id="81" w:name="_Toc97717832"/>
      <w:bookmarkStart w:id="82" w:name="_Toc97795011"/>
      <w:bookmarkEnd w:id="79"/>
      <w:bookmarkEnd w:id="81"/>
      <w:bookmarkEnd w:id="82"/>
      <w:bookmarkEnd w:id="80"/>
    </w:p>
    <w:p w14:paraId="1C348FCD" w14:textId="4A9CF49F" w:rsidR="004D4072" w:rsidRDefault="004D4072" w:rsidP="004D4072">
      <w:pPr>
        <w:pStyle w:val="SingleTxtG"/>
      </w:pPr>
      <w:r>
        <w:t>55.</w:t>
      </w:r>
      <w:r>
        <w:tab/>
        <w:t>Подкомитет уже объявил о посещениях многих стран, которые все еще предстоит осуществить. Подкомитет рассмотрит этот вопрос и постарается провести в предстоящем году как можно больше из объявленных ранее посещений с учетом развития ситуации с глобальной пандемией. В соответствии со сложившейся практикой объявления о последующих поездках будут сделаны по итогам будущих сессий.</w:t>
      </w:r>
    </w:p>
    <w:p w14:paraId="02614E3C" w14:textId="6A02F86F" w:rsidR="00A33A2A" w:rsidRDefault="00A33A2A" w:rsidP="004D4072">
      <w:pPr>
        <w:pStyle w:val="SingleTxtG"/>
      </w:pPr>
    </w:p>
    <w:p w14:paraId="1C6355F3" w14:textId="77777777" w:rsidR="00846880" w:rsidRDefault="00846880" w:rsidP="004D4072">
      <w:pPr>
        <w:pStyle w:val="SingleTxtG"/>
        <w:sectPr w:rsidR="00846880" w:rsidSect="004D4072">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8" w:right="1134" w:bottom="1134" w:left="1134" w:header="851" w:footer="567" w:gutter="0"/>
          <w:cols w:space="708"/>
          <w:titlePg/>
          <w:docGrid w:linePitch="360"/>
        </w:sectPr>
      </w:pPr>
    </w:p>
    <w:p w14:paraId="07D59ED7" w14:textId="77777777" w:rsidR="004D4072" w:rsidRPr="007F6E3E" w:rsidRDefault="004D4072" w:rsidP="004D4072">
      <w:pPr>
        <w:pStyle w:val="HChG"/>
      </w:pPr>
      <w:bookmarkStart w:id="83" w:name="_Toc97717833"/>
      <w:bookmarkStart w:id="84" w:name="_Toc97795012"/>
      <w:r>
        <w:rPr>
          <w:bCs/>
        </w:rPr>
        <w:lastRenderedPageBreak/>
        <w:t>Приложение</w:t>
      </w:r>
      <w:bookmarkEnd w:id="83"/>
      <w:bookmarkEnd w:id="84"/>
    </w:p>
    <w:p w14:paraId="293B5481" w14:textId="72456ED4" w:rsidR="004D4072" w:rsidRPr="007F6E3E" w:rsidRDefault="004D4072" w:rsidP="004D4072">
      <w:pPr>
        <w:pStyle w:val="HChG"/>
        <w:rPr>
          <w:rFonts w:eastAsiaTheme="minorHAnsi"/>
        </w:rPr>
      </w:pPr>
      <w:r>
        <w:tab/>
      </w:r>
      <w:r>
        <w:tab/>
      </w:r>
      <w:bookmarkStart w:id="85" w:name="_Hlk98764653"/>
      <w:r>
        <w:rPr>
          <w:bCs/>
        </w:rPr>
        <w:t>Заявление Подкомитета по предупреждению пыток и</w:t>
      </w:r>
      <w:r w:rsidR="002007DA">
        <w:rPr>
          <w:bCs/>
          <w:lang w:val="en-US"/>
        </w:rPr>
        <w:t> </w:t>
      </w:r>
      <w:r>
        <w:rPr>
          <w:bCs/>
        </w:rPr>
        <w:t>других жестоких, бесчеловечных или унижающих достоинство видов обращения и наказания по итогам проведенного в 2020 году обзора процесса укрепления системы договорных органов по правам человека</w:t>
      </w:r>
      <w:bookmarkEnd w:id="85"/>
      <w:r w:rsidRPr="008340B6">
        <w:rPr>
          <w:rStyle w:val="aa"/>
          <w:rFonts w:eastAsiaTheme="minorHAnsi"/>
          <w:b w:val="0"/>
          <w:bCs/>
        </w:rPr>
        <w:footnoteReference w:id="16"/>
      </w:r>
      <w:bookmarkStart w:id="86" w:name="_Toc97717834"/>
      <w:bookmarkStart w:id="87" w:name="_Toc97795013"/>
      <w:bookmarkEnd w:id="86"/>
      <w:bookmarkEnd w:id="87"/>
    </w:p>
    <w:p w14:paraId="6425ADC1" w14:textId="02022726" w:rsidR="004D4072" w:rsidRPr="007F6E3E" w:rsidRDefault="002007DA" w:rsidP="004D4072">
      <w:pPr>
        <w:pStyle w:val="HChG"/>
      </w:pPr>
      <w:r>
        <w:rPr>
          <w:bCs/>
        </w:rPr>
        <w:tab/>
      </w:r>
      <w:r w:rsidR="004D4072">
        <w:rPr>
          <w:bCs/>
        </w:rPr>
        <w:t>I.</w:t>
      </w:r>
      <w:r w:rsidR="004D4072">
        <w:tab/>
      </w:r>
      <w:r w:rsidR="004D4072">
        <w:rPr>
          <w:bCs/>
        </w:rPr>
        <w:t>Введение</w:t>
      </w:r>
      <w:bookmarkStart w:id="88" w:name="_Toc97717835"/>
      <w:bookmarkStart w:id="89" w:name="_Toc97795014"/>
      <w:bookmarkEnd w:id="88"/>
      <w:bookmarkEnd w:id="89"/>
    </w:p>
    <w:p w14:paraId="1487BD9A" w14:textId="77777777" w:rsidR="004D4072" w:rsidRPr="007F6E3E" w:rsidRDefault="004D4072" w:rsidP="004D4072">
      <w:pPr>
        <w:pStyle w:val="SingleTxtG"/>
      </w:pPr>
      <w:r>
        <w:t>1.</w:t>
      </w:r>
      <w:r>
        <w:tab/>
        <w:t>Подкомитет по предупреждению пыток и других жестоких, бесчеловечных или унижающих достоинство видов обращения и наказания выражает благодарность Комитету по правам инвалидов и Председателю Комитета за предложение о проведении в 2020 году обзора процесса укрепления системы договорных органов по правам человека.</w:t>
      </w:r>
    </w:p>
    <w:p w14:paraId="3681736B" w14:textId="100093B1" w:rsidR="004D4072" w:rsidRPr="007F6E3E" w:rsidRDefault="004D4072" w:rsidP="004D4072">
      <w:pPr>
        <w:pStyle w:val="SingleTxtG"/>
      </w:pPr>
      <w:r>
        <w:t>2</w:t>
      </w:r>
      <w:r w:rsidR="00C15226">
        <w:t>.</w:t>
      </w:r>
      <w:r>
        <w:tab/>
        <w:t xml:space="preserve">Подкомитет поддерживает индивидуальные и коллективные усилия всех договорных органов по повышению эффективности и согласованности системы, принимая во внимание, что каждому из них необходимо проводить работу в интересах совершенствования глобальной системы и своего собственного мандата, особенно когда он существенно отличается от других. Совершенствование каждого договорного органа </w:t>
      </w:r>
      <w:r w:rsidR="002007DA" w:rsidRPr="002007DA">
        <w:t>—</w:t>
      </w:r>
      <w:r>
        <w:t xml:space="preserve"> это также совершенствование системы в целом и усиление защиты всех правообладателей.</w:t>
      </w:r>
    </w:p>
    <w:p w14:paraId="1F35ABBC" w14:textId="77777777" w:rsidR="004D4072" w:rsidRPr="007F6E3E" w:rsidRDefault="004D4072" w:rsidP="004D4072">
      <w:pPr>
        <w:pStyle w:val="SingleTxtG"/>
      </w:pPr>
      <w:r>
        <w:t>3.</w:t>
      </w:r>
      <w:r>
        <w:tab/>
        <w:t>Подкомитет приветствует эти предложения и в основном согласен с содержащимися в них элементами. По его мнению, система договорных органов по правам человека в настоящее время не располагает минимальным объемом финансовых и людских ресурсов, который необходим для того, чтобы она могла функционировать в соответствии с положениями договоров.</w:t>
      </w:r>
    </w:p>
    <w:p w14:paraId="690A194C" w14:textId="77777777" w:rsidR="004D4072" w:rsidRPr="007F6E3E" w:rsidRDefault="004D4072" w:rsidP="004D4072">
      <w:pPr>
        <w:pStyle w:val="SingleTxtG"/>
      </w:pPr>
      <w:r>
        <w:t>4.</w:t>
      </w:r>
      <w:r>
        <w:tab/>
        <w:t>В соответствии с Факультативным протоколом к Конвенции против пыток Подкомитет по предупреждению пыток наделен весьма конкретным мандатом, при этом, в отличие от других обычных договорных органов, которые рассматривают периодические доклады, представляемые им государствами-участниками, Подкомитет имеет мандат упреждающей направленности, предусматривающий посещение государств-участников в порядке, определяемом программой регулярных посещений, которую он устанавливает согласно статье 13 Факультативного протокола, и подготовку соответствующих докладов о посещениях. Кроме того, он выполняет другие функции, предусмотренные статьей 11 Факультативного протокола.</w:t>
      </w:r>
    </w:p>
    <w:p w14:paraId="437955D2" w14:textId="6E0AF7EC" w:rsidR="004D4072" w:rsidRPr="007F6E3E" w:rsidRDefault="004D4072" w:rsidP="004D4072">
      <w:pPr>
        <w:pStyle w:val="SingleTxtG"/>
      </w:pPr>
      <w:r>
        <w:t>5.</w:t>
      </w:r>
      <w:r>
        <w:tab/>
        <w:t>В силу этой специфики Подкомитет не пользовался тем же вниманием, которым ранее были окружены другие договорные органы в контексте процесса укрепления. Как следствие его мандат не был усилен должным образом. Поэтому Подкомитет представляет элементы, которые, по его мнению, имеют важное значение для поддержки его мандата, при этом он исходит из опыта своих посещений стран, прямого взаимодействия с правообладателями и правозащитными механизмами, а</w:t>
      </w:r>
      <w:r w:rsidR="0040309D">
        <w:t> </w:t>
      </w:r>
      <w:r>
        <w:t>также тесного сотрудничества с государствами-участниками.</w:t>
      </w:r>
    </w:p>
    <w:p w14:paraId="20DE31A2" w14:textId="77777777" w:rsidR="004D4072" w:rsidRPr="007F6E3E" w:rsidRDefault="004D4072" w:rsidP="004D4072">
      <w:pPr>
        <w:pStyle w:val="SingleTxtG"/>
      </w:pPr>
      <w:r>
        <w:t>6.</w:t>
      </w:r>
      <w:r>
        <w:tab/>
        <w:t>Подкомитет считает целесообразным предложение о предсказуемом цикле обзора, предусматривающем проведение целенаправленных обзоров. Однако, как отмечается в предложении, его необходимо будет адаптировать к конкретному мандату, контексту и потребностям Подкомитета, центральным элементом мандата которого являются посещения стран.</w:t>
      </w:r>
    </w:p>
    <w:p w14:paraId="0722CD40" w14:textId="3CC30CB3" w:rsidR="004D4072" w:rsidRPr="007F6E3E" w:rsidRDefault="004D4072" w:rsidP="004D4072">
      <w:pPr>
        <w:pStyle w:val="SingleTxtG"/>
      </w:pPr>
      <w:r>
        <w:lastRenderedPageBreak/>
        <w:t>7.</w:t>
      </w:r>
      <w:r>
        <w:tab/>
        <w:t xml:space="preserve">Цель Факультативного протокола заключается в создании системы регулярных посещений, осуществляемых независимыми международными и национальными органами, мест, где находятся лишенные свободы лица, с целью предупреждения пыток и других жестоких, бесчеловечных или унижающих достоинство видов обращения и наказания. Однако он не содержит определения термина </w:t>
      </w:r>
      <w:r w:rsidR="002007DA">
        <w:t>«</w:t>
      </w:r>
      <w:r>
        <w:t>регулярный</w:t>
      </w:r>
      <w:r w:rsidR="002007DA">
        <w:t>»</w:t>
      </w:r>
      <w:r>
        <w:t>. Подкомитет отмечает, что государства-участники обязаны раз в четыре года сообщать Комитету о мерах, принятых ими для выполнения своих обязательств по Конвенции против пыток, как это указано в ее статье 19. Подкомитет всегда считал, что его посещения должны проводиться как минимум с такой же частотой. Однако при нынешней ограниченности ресурсов это явно невозможно, но по-прежнему является среднесрочной целью Подкомитета.</w:t>
      </w:r>
    </w:p>
    <w:p w14:paraId="5D28C8F8" w14:textId="77777777" w:rsidR="004D4072" w:rsidRPr="007F6E3E" w:rsidRDefault="004D4072" w:rsidP="004D4072">
      <w:pPr>
        <w:pStyle w:val="SingleTxtG"/>
      </w:pPr>
      <w:r>
        <w:t>8.</w:t>
      </w:r>
      <w:r>
        <w:tab/>
        <w:t>С учетом специфики его мандата Подкомитету по предупреждению пыток нет необходимости и даже нецелесообразно иметь многолетний план посещения стран либо для консультирования государств-участников, либо для поддержки национальных превентивных механизмов. Подкомитет должен сохранять гибкость в части принятия решения, в зависимости от обстоятельств, какое государство-участник следует посетить и когда это сделать, в соответствии со своим мандатом согласно Факультативному протоколу. Поэтому многолетний план не может включать перечень предстоящих посещений стран, а только абстрактное количество посещений. Лишь такой подход обеспечит правильное выполнение предусмотренных мандатом превентивных функций. Тем не менее, исходя из предложения и учитывая нынешнюю ограниченность ресурсов, можно было бы разработать объективную основу для расчета годового количества посещений и продолжительности заседаний, что позволит повысить устойчивость и предсказуемость его работы и системы. Этому могла бы способствовать четкая формула, которая предлагается ниже.</w:t>
      </w:r>
    </w:p>
    <w:p w14:paraId="00B2BF32" w14:textId="39F40008" w:rsidR="004D4072" w:rsidRPr="007F6E3E" w:rsidRDefault="002007DA" w:rsidP="004D4072">
      <w:pPr>
        <w:pStyle w:val="HChG"/>
      </w:pPr>
      <w:r>
        <w:rPr>
          <w:bCs/>
        </w:rPr>
        <w:tab/>
      </w:r>
      <w:r w:rsidR="004D4072">
        <w:rPr>
          <w:bCs/>
        </w:rPr>
        <w:t>II.</w:t>
      </w:r>
      <w:r w:rsidR="004D4072">
        <w:tab/>
      </w:r>
      <w:r w:rsidR="004D4072">
        <w:rPr>
          <w:bCs/>
        </w:rPr>
        <w:t>Посещения стран Подкомитетом</w:t>
      </w:r>
      <w:bookmarkStart w:id="90" w:name="_Toc97717836"/>
      <w:bookmarkStart w:id="91" w:name="_Toc97795015"/>
      <w:bookmarkEnd w:id="90"/>
      <w:bookmarkEnd w:id="91"/>
    </w:p>
    <w:p w14:paraId="645D8042" w14:textId="6E47CECB" w:rsidR="004D4072" w:rsidRPr="007F6E3E" w:rsidRDefault="004D4072" w:rsidP="004D4072">
      <w:pPr>
        <w:pStyle w:val="SingleTxtG"/>
      </w:pPr>
      <w:r>
        <w:t>9.</w:t>
      </w:r>
      <w:r>
        <w:tab/>
        <w:t>Подкомитет не может обеспечить четырехлетний цикл для своего мандата на проведение посещений, но предпочел бы предлагаемый Комитетами по Пактам восьмилетний цикл, а не десятилетний цикл, который предлагает Комитет по правам инвалидов. Таким образом, в соответствии с этим предложением Подкомитет планирует провести в течение восьмилетнего периода в качестве временной меры 91</w:t>
      </w:r>
      <w:r w:rsidR="002007DA">
        <w:t> </w:t>
      </w:r>
      <w:r>
        <w:t>посещение с учетом наличия в настоящее время 91 государства-участника и 70</w:t>
      </w:r>
      <w:r w:rsidR="002007DA">
        <w:t> </w:t>
      </w:r>
      <w:r>
        <w:t>созданных национальных превентивных механизмов.</w:t>
      </w:r>
    </w:p>
    <w:p w14:paraId="720E4C6D" w14:textId="048E43F6" w:rsidR="004D4072" w:rsidRPr="007F6E3E" w:rsidRDefault="004D4072" w:rsidP="004D4072">
      <w:pPr>
        <w:pStyle w:val="SingleTxtG"/>
      </w:pPr>
      <w:r>
        <w:t>10.</w:t>
      </w:r>
      <w:r>
        <w:tab/>
        <w:t>С учетом существующего на данный момент числа государств</w:t>
      </w:r>
      <w:r w:rsidR="002007DA">
        <w:t xml:space="preserve"> — </w:t>
      </w:r>
      <w:r>
        <w:t>участников Факультативного протокола и действующих национальных превентивных механизмов, это составит примерно 11,5 посещений в год. Предполагается, что для рассмотрения и утверждения доклада о каждом посещении потребуется около трех часов времени пленарных заседаний. Если исходить из того, что в год будет проводиться 11,5 посещений, по каждому посещению будет подготавливаться два доклада (один для государства-участника и один для национального превентивного механизма), а на рассмотрение и утверждение каждого доклада будет требоваться три часа, то для связанной с посещениями деятельности Подкомитета в год потребуется в общей сложности 69 часов, или 11,5 дней пленарных заседаний.</w:t>
      </w:r>
    </w:p>
    <w:p w14:paraId="2996DED8" w14:textId="60D1D915" w:rsidR="004D4072" w:rsidRPr="007F6E3E" w:rsidRDefault="002007DA" w:rsidP="004D4072">
      <w:pPr>
        <w:pStyle w:val="HChG"/>
      </w:pPr>
      <w:r>
        <w:rPr>
          <w:bCs/>
        </w:rPr>
        <w:tab/>
      </w:r>
      <w:r w:rsidR="004D4072">
        <w:rPr>
          <w:bCs/>
        </w:rPr>
        <w:t>III.</w:t>
      </w:r>
      <w:r w:rsidR="004D4072">
        <w:tab/>
      </w:r>
      <w:r w:rsidR="004D4072">
        <w:rPr>
          <w:bCs/>
        </w:rPr>
        <w:t>Циклические диалоги</w:t>
      </w:r>
      <w:bookmarkStart w:id="92" w:name="_Toc97717837"/>
      <w:bookmarkStart w:id="93" w:name="_Toc97795016"/>
      <w:bookmarkEnd w:id="92"/>
      <w:bookmarkEnd w:id="93"/>
    </w:p>
    <w:p w14:paraId="1BEFD804" w14:textId="77777777" w:rsidR="004D4072" w:rsidRPr="007F6E3E" w:rsidRDefault="004D4072" w:rsidP="004D4072">
      <w:pPr>
        <w:pStyle w:val="SingleTxtG"/>
      </w:pPr>
      <w:r>
        <w:t>11.</w:t>
      </w:r>
      <w:r>
        <w:tab/>
        <w:t>Помимо своей основной задачи, которая состоит в посещении мест лишения свободы во время посещения стран, Подкомитет, в соответствии с подпунктами b) и c) пункта 1 статьи 11 Факультативного протокола, также наделен мандатом консультировать государства-участники и оказывать им помощь, а также сотрудничать в целях предупреждения пыток. Хотя работа, предусматриваемая этими двумя мандатами, обычно является неотъемлемым элементом общей работы Подкомитета и проводится в межсессионный период, растущее число национальных превентивных механизмов, созданных в соответствии с Факультативным протоколом, и необходимость содержательного и активного взаимодействия с ними и с государствами-участниками говорят о том, что работа в этом направлении должна быть существенно усилена и структурирована, особенно в нынешнем контексте, когда диалоги на местах после посещения и/или последующие посещения не представляются возможными из-за отсутствия соответствующих финансовых и людских ресурсов. Согласно этому предложению, такие циклические диалоги в определенной степени компенсируют отсутствие у Подкомитета на данный момент возможностей в полной мере выполнять свой мандат в части проведения регулярных посещений.</w:t>
      </w:r>
    </w:p>
    <w:p w14:paraId="5B3ED93C" w14:textId="28C69102" w:rsidR="004D4072" w:rsidRPr="007F6E3E" w:rsidRDefault="004D4072" w:rsidP="004D4072">
      <w:pPr>
        <w:pStyle w:val="SingleTxtG"/>
      </w:pPr>
      <w:r>
        <w:t>12.</w:t>
      </w:r>
      <w:r>
        <w:tab/>
        <w:t>Поэтому в нынешних обстоятельствах Подкомитет, задействовав свои региональные группы, мог бы дополнить свою программу посещений, предусматривающую 91 посещение в течение восьмилетнего периода, всесторонними циклическими диалогами между посещениями, как это предложил Комитет по правам инвалидов. В ходе этих диалогов Подкомитет будет взаимодействовать как с национальными превентивными механизмами, так и с государствами-участниками (в</w:t>
      </w:r>
      <w:r w:rsidR="002007DA">
        <w:t> </w:t>
      </w:r>
      <w:r>
        <w:t>отношении их национальных превентивных механизмов) по вопросам защиты лишенных свободы лиц от пыток и жестокого обращения.</w:t>
      </w:r>
    </w:p>
    <w:p w14:paraId="1520AD17" w14:textId="2D34C25A" w:rsidR="004D4072" w:rsidRPr="007F6E3E" w:rsidRDefault="004D4072" w:rsidP="004D4072">
      <w:pPr>
        <w:pStyle w:val="SingleTxtG"/>
      </w:pPr>
      <w:r>
        <w:t>13.</w:t>
      </w:r>
      <w:r>
        <w:tab/>
        <w:t>Если исходить из проведения 11,5 посещений, подготовки по каждому посещению двух докладов (одного для государства-участника и одного для национального превентивного механизма) и трех часов, необходимых для рассмотрения и утверждения каждого доклада, то для проведения совещаний четырех параллельных региональных групп каждый год потребуется в общей сложности 69</w:t>
      </w:r>
      <w:r w:rsidR="002007DA">
        <w:t> </w:t>
      </w:r>
      <w:r>
        <w:t>часов, или 11,5 дней пленарных заседаний. Кроме того, приблизительно три дня пленарных заседаний Подкомитета ежегодно потребуется для проведения диалогов с государствами-участниками и национальными превентивными механизмами.</w:t>
      </w:r>
    </w:p>
    <w:p w14:paraId="219CFA1D" w14:textId="5CC30502" w:rsidR="004D4072" w:rsidRPr="007F6E3E" w:rsidRDefault="002007DA" w:rsidP="004D4072">
      <w:pPr>
        <w:pStyle w:val="HChG"/>
      </w:pPr>
      <w:r>
        <w:rPr>
          <w:bCs/>
        </w:rPr>
        <w:tab/>
      </w:r>
      <w:r w:rsidR="004D4072">
        <w:rPr>
          <w:bCs/>
        </w:rPr>
        <w:t>IV.</w:t>
      </w:r>
      <w:r w:rsidR="004D4072">
        <w:tab/>
      </w:r>
      <w:r w:rsidR="004D4072">
        <w:rPr>
          <w:bCs/>
        </w:rPr>
        <w:t>Другие виды деятельности, предусмотренные мандатом</w:t>
      </w:r>
      <w:bookmarkStart w:id="94" w:name="_Toc97717838"/>
      <w:bookmarkStart w:id="95" w:name="_Toc97795017"/>
      <w:bookmarkEnd w:id="94"/>
      <w:bookmarkEnd w:id="95"/>
    </w:p>
    <w:p w14:paraId="1E33EB33" w14:textId="57F699AA" w:rsidR="004D4072" w:rsidRPr="007F6E3E" w:rsidRDefault="004D4072" w:rsidP="004D4072">
      <w:pPr>
        <w:pStyle w:val="SingleTxtG"/>
      </w:pPr>
      <w:r>
        <w:t>14.</w:t>
      </w:r>
      <w:r>
        <w:tab/>
        <w:t>В соответствии с порядком выделения времени другим договорным органам по правам человека для проведения заседаний, уже определенным Генеральной Ассамблеей в ее резолюции 68/268, Подкомитету также необходимо в год две недели времени пленарных заседаний для осуществления всех других предусмотренных мандатом видов деятельности, как это имеет место в настоящее время. Эти виды деятельности включают планирование посещений; консультирование государств-участников и национальных превентивных механизмов; обсуждение своих решений и принятие соответствующей документации; проведение встреч с Комитетом против пыток в соответствии со статьями 10, 16 и 24 Факультативного протокола; и</w:t>
      </w:r>
      <w:r w:rsidR="00AE10E4">
        <w:t> </w:t>
      </w:r>
      <w:r>
        <w:t>проведение встреч с государствами</w:t>
      </w:r>
      <w:r w:rsidR="00AE10E4">
        <w:t xml:space="preserve"> — </w:t>
      </w:r>
      <w:r>
        <w:t>участниками Факультативного протокола и национальными превентивными механизмами. Как отмечалось выше, объем времени, затрачиваемый на эти виды деятельности, соответству</w:t>
      </w:r>
      <w:r w:rsidR="00AE10E4">
        <w:t>е</w:t>
      </w:r>
      <w:r>
        <w:t>т 10 дням пленарных заседаний в год.</w:t>
      </w:r>
    </w:p>
    <w:p w14:paraId="48D2D400" w14:textId="5E3F8651" w:rsidR="004D4072" w:rsidRPr="007F6E3E" w:rsidRDefault="004D4072" w:rsidP="004D4072">
      <w:pPr>
        <w:pStyle w:val="SingleTxtG"/>
      </w:pPr>
      <w:r>
        <w:t>15.</w:t>
      </w:r>
      <w:r>
        <w:tab/>
        <w:t>В итоге, с учетом наличия в настоящее время 91 государства</w:t>
      </w:r>
      <w:r w:rsidR="005304B4">
        <w:t xml:space="preserve"> — </w:t>
      </w:r>
      <w:r>
        <w:t>участника Факультативного протокола и 70 созданных национальных превентивных механизмов и при 11</w:t>
      </w:r>
      <w:r w:rsidR="002007DA">
        <w:t>–</w:t>
      </w:r>
      <w:r>
        <w:t>12 посещениях в год Подкомитету потребуется следующее:</w:t>
      </w:r>
    </w:p>
    <w:p w14:paraId="5B1BE0FC" w14:textId="4C1E3928" w:rsidR="004D4072" w:rsidRPr="007F6E3E" w:rsidRDefault="004D4072" w:rsidP="002007DA">
      <w:pPr>
        <w:pStyle w:val="SingleTxtG"/>
        <w:ind w:firstLine="567"/>
      </w:pPr>
      <w:r>
        <w:t>a)</w:t>
      </w:r>
      <w:r>
        <w:tab/>
        <w:t>в общей сложности 11,5 дней в год для рассмотрения и утверждения докладов о посещениях;</w:t>
      </w:r>
    </w:p>
    <w:p w14:paraId="57930D58" w14:textId="77777777" w:rsidR="004D4072" w:rsidRPr="007F6E3E" w:rsidRDefault="004D4072" w:rsidP="002007DA">
      <w:pPr>
        <w:pStyle w:val="SingleTxtG"/>
        <w:ind w:firstLine="567"/>
      </w:pPr>
      <w:r>
        <w:t>b)</w:t>
      </w:r>
      <w:r>
        <w:tab/>
        <w:t>в общей сложности три дня в год для диалогов с государствами-участниками и национальными превентивными механизмами в период между посещениями;</w:t>
      </w:r>
    </w:p>
    <w:p w14:paraId="3F73D517" w14:textId="77777777" w:rsidR="004D4072" w:rsidRPr="007F6E3E" w:rsidRDefault="004D4072" w:rsidP="002007DA">
      <w:pPr>
        <w:pStyle w:val="SingleTxtG"/>
        <w:ind w:firstLine="567"/>
      </w:pPr>
      <w:r>
        <w:t>c)</w:t>
      </w:r>
      <w:r>
        <w:tab/>
        <w:t>в общей сложности 10 дней в год для всех других предусмотренных мандатом видов деятельности.</w:t>
      </w:r>
    </w:p>
    <w:p w14:paraId="59C2B150" w14:textId="77777777" w:rsidR="004D4072" w:rsidRPr="007F6E3E" w:rsidRDefault="004D4072" w:rsidP="004D4072">
      <w:pPr>
        <w:pStyle w:val="SingleTxtG"/>
      </w:pPr>
      <w:r>
        <w:t>16.</w:t>
      </w:r>
      <w:r>
        <w:tab/>
        <w:t>Таким образом Подкомитету требуется 24,5 дня в год, что эквивалентно приблизительно пяти неделям сессионного времени, а также соответствующие кадровые ресурсы для оказания помощи в проведении посещений и пленарных заседаний.</w:t>
      </w:r>
    </w:p>
    <w:p w14:paraId="1D1941BA" w14:textId="056C5619" w:rsidR="004D4072" w:rsidRPr="007F6E3E" w:rsidRDefault="002007DA" w:rsidP="004D4072">
      <w:pPr>
        <w:pStyle w:val="HChG"/>
      </w:pPr>
      <w:r>
        <w:rPr>
          <w:bCs/>
        </w:rPr>
        <w:tab/>
      </w:r>
      <w:r w:rsidR="004D4072">
        <w:rPr>
          <w:bCs/>
        </w:rPr>
        <w:t>V.</w:t>
      </w:r>
      <w:r w:rsidR="004D4072">
        <w:tab/>
      </w:r>
      <w:r w:rsidR="004D4072">
        <w:rPr>
          <w:bCs/>
        </w:rPr>
        <w:t>Соответствующие кадровые ресурсы</w:t>
      </w:r>
      <w:bookmarkStart w:id="96" w:name="_Toc97717839"/>
      <w:bookmarkStart w:id="97" w:name="_Toc97795018"/>
      <w:bookmarkEnd w:id="96"/>
      <w:bookmarkEnd w:id="97"/>
    </w:p>
    <w:p w14:paraId="6CFB331E" w14:textId="77777777" w:rsidR="004D4072" w:rsidRPr="007F6E3E" w:rsidRDefault="004D4072" w:rsidP="004D4072">
      <w:pPr>
        <w:pStyle w:val="SingleTxtG"/>
      </w:pPr>
      <w:r>
        <w:t>17.</w:t>
      </w:r>
      <w:r>
        <w:tab/>
        <w:t>При нынешнем числе государств, ратифицировавших Факультативный протокол, для реализации вышеуказанного предложения, предусматривающего восьмилетний цикл посещений и 12 посещений в год, Подкомитету, помимо сотрудников категории общего обслуживания, потребуется поддержка шести сотрудников категории специалистов уровня С2/С3, поскольку:</w:t>
      </w:r>
    </w:p>
    <w:p w14:paraId="7BE4E8BA" w14:textId="77777777" w:rsidR="004D4072" w:rsidRPr="007F6E3E" w:rsidRDefault="004D4072" w:rsidP="002007DA">
      <w:pPr>
        <w:pStyle w:val="SingleTxtG"/>
        <w:ind w:firstLine="567"/>
      </w:pPr>
      <w:r>
        <w:t>a)</w:t>
      </w:r>
      <w:r>
        <w:tab/>
        <w:t>на каждое посещение требуется 20 недель работы сотрудников категории специалистов, в дополнение к другой подлежащей проведению работе, включая, среди прочего, сессии и межсессионные мероприятия с государствами-участниками и национальными превентивными механизмами</w:t>
      </w:r>
      <w:r w:rsidRPr="008A511C">
        <w:rPr>
          <w:rStyle w:val="aa"/>
        </w:rPr>
        <w:footnoteReference w:id="17"/>
      </w:r>
      <w:r>
        <w:t>;</w:t>
      </w:r>
    </w:p>
    <w:p w14:paraId="17C117E4" w14:textId="77777777" w:rsidR="004D4072" w:rsidRPr="007F6E3E" w:rsidRDefault="004D4072" w:rsidP="002007DA">
      <w:pPr>
        <w:pStyle w:val="SingleTxtG"/>
        <w:ind w:firstLine="567"/>
      </w:pPr>
      <w:r>
        <w:t>b)</w:t>
      </w:r>
      <w:r>
        <w:tab/>
        <w:t>рабочий год составляет в реальном выражении 40 недель</w:t>
      </w:r>
      <w:r w:rsidRPr="008A511C">
        <w:rPr>
          <w:rStyle w:val="aa"/>
        </w:rPr>
        <w:footnoteReference w:id="18"/>
      </w:r>
      <w:r>
        <w:t>.</w:t>
      </w:r>
    </w:p>
    <w:p w14:paraId="65BE4417" w14:textId="6402BF52" w:rsidR="004D4072" w:rsidRPr="007F6E3E" w:rsidRDefault="002007DA" w:rsidP="004D4072">
      <w:pPr>
        <w:pStyle w:val="HChG"/>
      </w:pPr>
      <w:r>
        <w:rPr>
          <w:bCs/>
        </w:rPr>
        <w:tab/>
      </w:r>
      <w:r w:rsidR="004D4072">
        <w:rPr>
          <w:bCs/>
        </w:rPr>
        <w:t>VI.</w:t>
      </w:r>
      <w:r w:rsidR="004D4072">
        <w:tab/>
      </w:r>
      <w:r w:rsidR="004D4072">
        <w:rPr>
          <w:bCs/>
        </w:rPr>
        <w:t>Выводы</w:t>
      </w:r>
      <w:bookmarkStart w:id="98" w:name="_Toc97717840"/>
      <w:bookmarkStart w:id="99" w:name="_Toc97795019"/>
      <w:bookmarkEnd w:id="98"/>
      <w:bookmarkEnd w:id="99"/>
    </w:p>
    <w:p w14:paraId="4F472462" w14:textId="41216C6E" w:rsidR="004D4072" w:rsidRPr="007F6E3E" w:rsidRDefault="004D4072" w:rsidP="004D4072">
      <w:pPr>
        <w:pStyle w:val="SingleTxtG"/>
      </w:pPr>
      <w:r>
        <w:t>18.</w:t>
      </w:r>
      <w:r>
        <w:tab/>
        <w:t xml:space="preserve">Подкомитет считает содержащееся в настоящем документе предложение тем минимумом, который позволит ему в нынешних обстоятельствах значимым образом выполнять свой мандат согласно положениям Протокола, заключающийся прежде всего в посещении государств </w:t>
      </w:r>
      <w:r w:rsidR="002007DA">
        <w:t>—</w:t>
      </w:r>
      <w:r>
        <w:t xml:space="preserve"> участников Факультативного протокола и консультировании этих государств и их национальных превентивных механизмов по мерам предупреждения пыток и жестокого обращения. Кроме того, благодаря реализации этого предложения Подкомитет, несмотря на его отличающийся мандат, будет включен в глобальный календарь планирования вместе со всеми другими договорными органами по правам человека.</w:t>
      </w:r>
    </w:p>
    <w:p w14:paraId="774BB15E" w14:textId="5C775EA1" w:rsidR="004D4072" w:rsidRDefault="004D4072" w:rsidP="004D4072">
      <w:pPr>
        <w:pStyle w:val="SingleTxtG"/>
      </w:pPr>
      <w:r>
        <w:t>19.</w:t>
      </w:r>
      <w:r>
        <w:tab/>
        <w:t>По мере необходимости это предложение будет пересматриваться, в том числе в случае увеличения числа государств-участников и создания новых национальных превентивных механизмов. Подкомитет считает, что работа по оказанию поддержки государствам-участникам и национальным превентивным механизмам в выполнении их обязательств и обеспечению отсутствия каких-либо пробелов в защите всех правообладателей</w:t>
      </w:r>
      <w:r w:rsidR="002007DA">
        <w:t>,</w:t>
      </w:r>
      <w:r>
        <w:t xml:space="preserve"> согласно Факультативному протоколу</w:t>
      </w:r>
      <w:r w:rsidR="002007DA">
        <w:t>,</w:t>
      </w:r>
      <w:r>
        <w:t xml:space="preserve"> должна вестись при любых обстоятельствах. Данное предложение отражает это понимание.</w:t>
      </w:r>
    </w:p>
    <w:p w14:paraId="4D401E3C" w14:textId="17620DAE" w:rsidR="00381C24" w:rsidRPr="002007DA" w:rsidRDefault="004D4072" w:rsidP="004D4072">
      <w:pPr>
        <w:spacing w:before="240"/>
        <w:jc w:val="center"/>
        <w:rPr>
          <w:u w:val="single"/>
        </w:rPr>
      </w:pPr>
      <w:r w:rsidRPr="002007DA">
        <w:rPr>
          <w:u w:val="single"/>
        </w:rPr>
        <w:tab/>
      </w:r>
      <w:r w:rsidRPr="002007DA">
        <w:rPr>
          <w:u w:val="single"/>
        </w:rPr>
        <w:tab/>
      </w:r>
      <w:r w:rsidRPr="002007DA">
        <w:rPr>
          <w:u w:val="single"/>
        </w:rPr>
        <w:tab/>
      </w:r>
    </w:p>
    <w:sectPr w:rsidR="00381C24" w:rsidRPr="002007DA" w:rsidSect="00846880">
      <w:headerReference w:type="default" r:id="rId15"/>
      <w:footerReference w:type="default" r:id="rId16"/>
      <w:footnotePr>
        <w:numRestart w:val="eachSect"/>
      </w:footnotePr>
      <w:endnotePr>
        <w:numFmt w:val="decimal"/>
      </w:end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16650C" w14:textId="77777777" w:rsidR="00A14EFB" w:rsidRPr="00A312BC" w:rsidRDefault="00A14EFB" w:rsidP="00A312BC"/>
  </w:endnote>
  <w:endnote w:type="continuationSeparator" w:id="0">
    <w:p w14:paraId="071AC047" w14:textId="77777777" w:rsidR="00A14EFB" w:rsidRPr="00A312BC" w:rsidRDefault="00A14EFB"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4557E" w14:textId="1C740CF2" w:rsidR="004D4072" w:rsidRPr="004D4072" w:rsidRDefault="004D4072">
    <w:pPr>
      <w:pStyle w:val="a8"/>
    </w:pPr>
    <w:r w:rsidRPr="004D4072">
      <w:rPr>
        <w:b/>
        <w:sz w:val="18"/>
      </w:rPr>
      <w:fldChar w:fldCharType="begin"/>
    </w:r>
    <w:r w:rsidRPr="004D4072">
      <w:rPr>
        <w:b/>
        <w:sz w:val="18"/>
      </w:rPr>
      <w:instrText xml:space="preserve"> PAGE  \* MERGEFORMAT </w:instrText>
    </w:r>
    <w:r w:rsidRPr="004D4072">
      <w:rPr>
        <w:b/>
        <w:sz w:val="18"/>
      </w:rPr>
      <w:fldChar w:fldCharType="separate"/>
    </w:r>
    <w:r w:rsidRPr="004D4072">
      <w:rPr>
        <w:b/>
        <w:noProof/>
        <w:sz w:val="18"/>
      </w:rPr>
      <w:t>2</w:t>
    </w:r>
    <w:r w:rsidRPr="004D4072">
      <w:rPr>
        <w:b/>
        <w:sz w:val="18"/>
      </w:rPr>
      <w:fldChar w:fldCharType="end"/>
    </w:r>
    <w:r>
      <w:rPr>
        <w:b/>
        <w:sz w:val="18"/>
      </w:rPr>
      <w:tab/>
    </w:r>
    <w:r>
      <w:t>GE.22-03553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370043" w14:textId="6C367399" w:rsidR="004D4072" w:rsidRPr="004D4072" w:rsidRDefault="004D4072" w:rsidP="004D4072">
    <w:pPr>
      <w:pStyle w:val="a8"/>
      <w:tabs>
        <w:tab w:val="clear" w:pos="9639"/>
        <w:tab w:val="right" w:pos="9638"/>
      </w:tabs>
      <w:rPr>
        <w:b/>
        <w:sz w:val="18"/>
      </w:rPr>
    </w:pPr>
    <w:r>
      <w:t>GE.22-03553</w:t>
    </w:r>
    <w:r>
      <w:tab/>
    </w:r>
    <w:r w:rsidRPr="004D4072">
      <w:rPr>
        <w:b/>
        <w:sz w:val="18"/>
      </w:rPr>
      <w:fldChar w:fldCharType="begin"/>
    </w:r>
    <w:r w:rsidRPr="004D4072">
      <w:rPr>
        <w:b/>
        <w:sz w:val="18"/>
      </w:rPr>
      <w:instrText xml:space="preserve"> PAGE  \* MERGEFORMAT </w:instrText>
    </w:r>
    <w:r w:rsidRPr="004D4072">
      <w:rPr>
        <w:b/>
        <w:sz w:val="18"/>
      </w:rPr>
      <w:fldChar w:fldCharType="separate"/>
    </w:r>
    <w:r w:rsidRPr="004D4072">
      <w:rPr>
        <w:b/>
        <w:noProof/>
        <w:sz w:val="18"/>
      </w:rPr>
      <w:t>3</w:t>
    </w:r>
    <w:r w:rsidRPr="004D407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C0BDC9" w14:textId="5DF54DB6" w:rsidR="00042B72" w:rsidRPr="004D4072" w:rsidRDefault="004D4072" w:rsidP="004D4072">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0F4CA3E1" wp14:editId="5E050920">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22-</w:t>
    </w:r>
    <w:proofErr w:type="gramStart"/>
    <w:r>
      <w:t>03553  (</w:t>
    </w:r>
    <w:proofErr w:type="gramEnd"/>
    <w:r>
      <w:t>R)</w:t>
    </w:r>
    <w:r>
      <w:rPr>
        <w:noProof/>
      </w:rPr>
      <w:drawing>
        <wp:anchor distT="0" distB="0" distL="114300" distR="114300" simplePos="0" relativeHeight="251659264" behindDoc="0" locked="0" layoutInCell="1" allowOverlap="1" wp14:anchorId="1323845F" wp14:editId="07B508D0">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170322  2</w:t>
    </w:r>
    <w:r w:rsidR="008C780F">
      <w:rPr>
        <w:lang w:val="en-US"/>
      </w:rPr>
      <w:t>2</w:t>
    </w:r>
    <w:r>
      <w:rPr>
        <w:lang w:val="en-US"/>
      </w:rPr>
      <w:t>0322</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542FE" w14:textId="77777777" w:rsidR="00846880" w:rsidRPr="004D4072" w:rsidRDefault="00846880" w:rsidP="004D4072">
    <w:pPr>
      <w:pStyle w:val="a8"/>
      <w:tabs>
        <w:tab w:val="clear" w:pos="9639"/>
        <w:tab w:val="right" w:pos="9638"/>
      </w:tabs>
      <w:rPr>
        <w:b/>
        <w:sz w:val="18"/>
      </w:rPr>
    </w:pPr>
    <w:r>
      <w:t>GE.22-03553</w:t>
    </w:r>
    <w:r>
      <w:tab/>
    </w:r>
    <w:r w:rsidRPr="004D4072">
      <w:rPr>
        <w:b/>
        <w:sz w:val="18"/>
      </w:rPr>
      <w:fldChar w:fldCharType="begin"/>
    </w:r>
    <w:r w:rsidRPr="004D4072">
      <w:rPr>
        <w:b/>
        <w:sz w:val="18"/>
      </w:rPr>
      <w:instrText xml:space="preserve"> PAGE  \* MERGEFORMAT </w:instrText>
    </w:r>
    <w:r w:rsidRPr="004D4072">
      <w:rPr>
        <w:b/>
        <w:sz w:val="18"/>
      </w:rPr>
      <w:fldChar w:fldCharType="separate"/>
    </w:r>
    <w:r w:rsidRPr="004D4072">
      <w:rPr>
        <w:b/>
        <w:noProof/>
        <w:sz w:val="18"/>
      </w:rPr>
      <w:t>3</w:t>
    </w:r>
    <w:r w:rsidRPr="004D4072">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BE548E" w14:textId="77777777" w:rsidR="00A14EFB" w:rsidRPr="001075E9" w:rsidRDefault="00A14EFB" w:rsidP="001075E9">
      <w:pPr>
        <w:tabs>
          <w:tab w:val="right" w:pos="2155"/>
        </w:tabs>
        <w:spacing w:after="80" w:line="240" w:lineRule="auto"/>
        <w:ind w:left="680"/>
        <w:rPr>
          <w:u w:val="single"/>
        </w:rPr>
      </w:pPr>
      <w:r>
        <w:rPr>
          <w:u w:val="single"/>
        </w:rPr>
        <w:tab/>
      </w:r>
    </w:p>
  </w:footnote>
  <w:footnote w:type="continuationSeparator" w:id="0">
    <w:p w14:paraId="2D35B1CF" w14:textId="77777777" w:rsidR="00A14EFB" w:rsidRDefault="00A14EFB" w:rsidP="00407B78">
      <w:pPr>
        <w:tabs>
          <w:tab w:val="right" w:pos="2155"/>
        </w:tabs>
        <w:spacing w:after="80"/>
        <w:ind w:left="680"/>
        <w:rPr>
          <w:u w:val="single"/>
        </w:rPr>
      </w:pPr>
      <w:r>
        <w:rPr>
          <w:u w:val="single"/>
        </w:rPr>
        <w:tab/>
      </w:r>
    </w:p>
  </w:footnote>
  <w:footnote w:id="1">
    <w:p w14:paraId="7B3B2968" w14:textId="094924D4" w:rsidR="004D4072" w:rsidRPr="006A3AC1" w:rsidRDefault="004D4072" w:rsidP="004D4072">
      <w:pPr>
        <w:pStyle w:val="ad"/>
      </w:pPr>
      <w:r w:rsidRPr="006A3AC1">
        <w:tab/>
      </w:r>
      <w:r w:rsidRPr="006A3AC1">
        <w:rPr>
          <w:rStyle w:val="aa"/>
        </w:rPr>
        <w:footnoteRef/>
      </w:r>
      <w:r w:rsidRPr="007F6E3E">
        <w:rPr>
          <w:lang w:val="en-US"/>
        </w:rPr>
        <w:tab/>
      </w:r>
      <w:hyperlink r:id="rId1" w:history="1">
        <w:r w:rsidRPr="00097D87">
          <w:rPr>
            <w:rStyle w:val="af1"/>
            <w:lang w:val="en-US"/>
          </w:rPr>
          <w:t>CAT/OP/12</w:t>
        </w:r>
      </w:hyperlink>
      <w:r w:rsidRPr="007F6E3E">
        <w:rPr>
          <w:lang w:val="en-US"/>
        </w:rPr>
        <w:t>.</w:t>
      </w:r>
    </w:p>
  </w:footnote>
  <w:footnote w:id="2">
    <w:p w14:paraId="14E89E84" w14:textId="6E0EF2BB" w:rsidR="004D4072" w:rsidRPr="006A3AC1" w:rsidRDefault="004D4072" w:rsidP="004D4072">
      <w:pPr>
        <w:pStyle w:val="ad"/>
      </w:pPr>
      <w:r w:rsidRPr="007F6E3E">
        <w:rPr>
          <w:lang w:val="en-US"/>
        </w:rPr>
        <w:tab/>
      </w:r>
      <w:r w:rsidRPr="006A3AC1">
        <w:rPr>
          <w:rStyle w:val="aa"/>
        </w:rPr>
        <w:footnoteRef/>
      </w:r>
      <w:r w:rsidRPr="004D4072">
        <w:tab/>
      </w:r>
      <w:r>
        <w:t>См</w:t>
      </w:r>
      <w:r w:rsidRPr="004D4072">
        <w:t xml:space="preserve">. </w:t>
      </w:r>
      <w:hyperlink r:id="rId2" w:history="1">
        <w:r w:rsidRPr="00097D87">
          <w:rPr>
            <w:rStyle w:val="af1"/>
            <w:lang w:val="en-US"/>
          </w:rPr>
          <w:t>www</w:t>
        </w:r>
        <w:r w:rsidRPr="00097D87">
          <w:rPr>
            <w:rStyle w:val="af1"/>
          </w:rPr>
          <w:t>.</w:t>
        </w:r>
        <w:proofErr w:type="spellStart"/>
        <w:r w:rsidRPr="00097D87">
          <w:rPr>
            <w:rStyle w:val="af1"/>
            <w:lang w:val="en-US"/>
          </w:rPr>
          <w:t>ohchr</w:t>
        </w:r>
        <w:proofErr w:type="spellEnd"/>
        <w:r w:rsidRPr="00097D87">
          <w:rPr>
            <w:rStyle w:val="af1"/>
          </w:rPr>
          <w:t>.</w:t>
        </w:r>
        <w:r w:rsidRPr="00097D87">
          <w:rPr>
            <w:rStyle w:val="af1"/>
            <w:lang w:val="en-US"/>
          </w:rPr>
          <w:t>org</w:t>
        </w:r>
        <w:r w:rsidRPr="00097D87">
          <w:rPr>
            <w:rStyle w:val="af1"/>
          </w:rPr>
          <w:t>/</w:t>
        </w:r>
        <w:r w:rsidRPr="00097D87">
          <w:rPr>
            <w:rStyle w:val="af1"/>
            <w:lang w:val="en-US"/>
          </w:rPr>
          <w:t>EN</w:t>
        </w:r>
        <w:r w:rsidRPr="00097D87">
          <w:rPr>
            <w:rStyle w:val="af1"/>
          </w:rPr>
          <w:t>/</w:t>
        </w:r>
        <w:proofErr w:type="spellStart"/>
        <w:r w:rsidRPr="00097D87">
          <w:rPr>
            <w:rStyle w:val="af1"/>
            <w:lang w:val="en-US"/>
          </w:rPr>
          <w:t>HRBodies</w:t>
        </w:r>
        <w:proofErr w:type="spellEnd"/>
        <w:r w:rsidRPr="00097D87">
          <w:rPr>
            <w:rStyle w:val="af1"/>
          </w:rPr>
          <w:t>/</w:t>
        </w:r>
        <w:r w:rsidRPr="00097D87">
          <w:rPr>
            <w:rStyle w:val="af1"/>
            <w:lang w:val="en-US"/>
          </w:rPr>
          <w:t>OPCAT</w:t>
        </w:r>
        <w:r w:rsidRPr="00097D87">
          <w:rPr>
            <w:rStyle w:val="af1"/>
          </w:rPr>
          <w:t>/</w:t>
        </w:r>
        <w:r w:rsidRPr="00097D87">
          <w:rPr>
            <w:rStyle w:val="af1"/>
            <w:lang w:val="en-US"/>
          </w:rPr>
          <w:t>Pages</w:t>
        </w:r>
        <w:r w:rsidRPr="00097D87">
          <w:rPr>
            <w:rStyle w:val="af1"/>
          </w:rPr>
          <w:t>/</w:t>
        </w:r>
        <w:r w:rsidRPr="00097D87">
          <w:rPr>
            <w:rStyle w:val="af1"/>
            <w:lang w:val="en-US"/>
          </w:rPr>
          <w:t>Membership</w:t>
        </w:r>
        <w:r w:rsidRPr="00097D87">
          <w:rPr>
            <w:rStyle w:val="af1"/>
          </w:rPr>
          <w:t>.</w:t>
        </w:r>
        <w:proofErr w:type="spellStart"/>
        <w:r w:rsidRPr="00097D87">
          <w:rPr>
            <w:rStyle w:val="af1"/>
            <w:lang w:val="en-US"/>
          </w:rPr>
          <w:t>aspx</w:t>
        </w:r>
        <w:proofErr w:type="spellEnd"/>
      </w:hyperlink>
      <w:r w:rsidRPr="004D4072">
        <w:t>.</w:t>
      </w:r>
    </w:p>
  </w:footnote>
  <w:footnote w:id="3">
    <w:p w14:paraId="3B15ECBE" w14:textId="5C8AEF42" w:rsidR="004D4072" w:rsidRPr="007F6E3E" w:rsidRDefault="004D4072" w:rsidP="004D4072">
      <w:pPr>
        <w:pStyle w:val="ad"/>
      </w:pPr>
      <w:r w:rsidRPr="004D4072">
        <w:tab/>
      </w:r>
      <w:r w:rsidRPr="006A3AC1">
        <w:rPr>
          <w:rStyle w:val="aa"/>
        </w:rPr>
        <w:footnoteRef/>
      </w:r>
      <w:r>
        <w:tab/>
        <w:t xml:space="preserve">См. </w:t>
      </w:r>
      <w:hyperlink r:id="rId3" w:history="1">
        <w:r w:rsidRPr="00097D87">
          <w:rPr>
            <w:rStyle w:val="af1"/>
          </w:rPr>
          <w:t>www.ohchr.org/EN/HRBodies/OPCAT/Pages/ContactRegionalTeams.aspx</w:t>
        </w:r>
      </w:hyperlink>
      <w:r>
        <w:t>.</w:t>
      </w:r>
    </w:p>
  </w:footnote>
  <w:footnote w:id="4">
    <w:p w14:paraId="5328171B" w14:textId="0D09320B" w:rsidR="004D4072" w:rsidRPr="007F6E3E" w:rsidRDefault="004D4072" w:rsidP="004D4072">
      <w:pPr>
        <w:pStyle w:val="ad"/>
      </w:pPr>
      <w:r w:rsidRPr="006A3AC1">
        <w:tab/>
      </w:r>
      <w:r w:rsidRPr="006A3AC1">
        <w:rPr>
          <w:rStyle w:val="aa"/>
        </w:rPr>
        <w:footnoteRef/>
      </w:r>
      <w:r>
        <w:tab/>
        <w:t xml:space="preserve">Данные, касающееся докладов о посещениях, включая те, которые были обнародованы, размещены по адресу </w:t>
      </w:r>
      <w:hyperlink r:id="rId4" w:history="1">
        <w:r w:rsidRPr="00097D87">
          <w:rPr>
            <w:rStyle w:val="af1"/>
          </w:rPr>
          <w:t>https://tbinternet.ohchr.org/_layouts/15/TreatyBodyExternal/CountryVisits.aspx</w:t>
        </w:r>
      </w:hyperlink>
      <w:r>
        <w:t>.</w:t>
      </w:r>
    </w:p>
  </w:footnote>
  <w:footnote w:id="5">
    <w:p w14:paraId="440B37BB" w14:textId="611737E6" w:rsidR="004D4072" w:rsidRPr="007F6E3E" w:rsidRDefault="004D4072" w:rsidP="004D4072">
      <w:pPr>
        <w:pStyle w:val="ad"/>
      </w:pPr>
      <w:r w:rsidRPr="006A3AC1">
        <w:tab/>
      </w:r>
      <w:r w:rsidRPr="006A3AC1">
        <w:rPr>
          <w:rStyle w:val="aa"/>
        </w:rPr>
        <w:footnoteRef/>
      </w:r>
      <w:r>
        <w:tab/>
        <w:t xml:space="preserve">См. </w:t>
      </w:r>
      <w:hyperlink r:id="rId5" w:history="1">
        <w:r w:rsidRPr="00097D87">
          <w:rPr>
            <w:rStyle w:val="af1"/>
          </w:rPr>
          <w:t>www.ohchr.org/EN/HRBodies/OPCAT/Pages/Article17.aspx</w:t>
        </w:r>
      </w:hyperlink>
      <w:r>
        <w:t>.</w:t>
      </w:r>
    </w:p>
  </w:footnote>
  <w:footnote w:id="6">
    <w:p w14:paraId="7D65E15D" w14:textId="0C4D83AA" w:rsidR="004D4072" w:rsidRPr="007F6E3E" w:rsidRDefault="004D4072" w:rsidP="004D4072">
      <w:pPr>
        <w:pStyle w:val="ad"/>
      </w:pPr>
      <w:r w:rsidRPr="006A3AC1">
        <w:tab/>
      </w:r>
      <w:r w:rsidRPr="006A3AC1">
        <w:rPr>
          <w:rStyle w:val="aa"/>
        </w:rPr>
        <w:footnoteRef/>
      </w:r>
      <w:r>
        <w:tab/>
        <w:t xml:space="preserve">См. </w:t>
      </w:r>
      <w:hyperlink r:id="rId6" w:history="1">
        <w:r w:rsidRPr="000602C9">
          <w:rPr>
            <w:rStyle w:val="af1"/>
          </w:rPr>
          <w:t>www.ohchr.org/Documents/Publications/NPM_Guide_EN.pdf</w:t>
        </w:r>
      </w:hyperlink>
      <w:r>
        <w:t>.</w:t>
      </w:r>
    </w:p>
  </w:footnote>
  <w:footnote w:id="7">
    <w:p w14:paraId="4883A438" w14:textId="19091DE2" w:rsidR="004D4072" w:rsidRPr="0011211C" w:rsidRDefault="004D4072" w:rsidP="004D4072">
      <w:pPr>
        <w:pStyle w:val="ad"/>
        <w:rPr>
          <w:lang w:val="en-US"/>
        </w:rPr>
      </w:pPr>
      <w:r w:rsidRPr="006A3AC1">
        <w:tab/>
      </w:r>
      <w:r w:rsidRPr="006A3AC1">
        <w:rPr>
          <w:rStyle w:val="aa"/>
        </w:rPr>
        <w:footnoteRef/>
      </w:r>
      <w:r w:rsidRPr="0011211C">
        <w:rPr>
          <w:lang w:val="en-US"/>
        </w:rPr>
        <w:tab/>
      </w:r>
      <w:r w:rsidR="00A42DF6">
        <w:fldChar w:fldCharType="begin"/>
      </w:r>
      <w:r w:rsidR="00A42DF6" w:rsidRPr="00C31795">
        <w:rPr>
          <w:lang w:val="en-US"/>
        </w:rPr>
        <w:instrText xml:space="preserve"> HYPERLINK "http://undocs.org/ru/CAT/OP/10" </w:instrText>
      </w:r>
      <w:r w:rsidR="00A42DF6">
        <w:fldChar w:fldCharType="separate"/>
      </w:r>
      <w:r w:rsidRPr="000602C9">
        <w:rPr>
          <w:rStyle w:val="af1"/>
          <w:lang w:val="en-US"/>
        </w:rPr>
        <w:t>CAT</w:t>
      </w:r>
      <w:r w:rsidRPr="0011211C">
        <w:rPr>
          <w:rStyle w:val="af1"/>
          <w:lang w:val="en-US"/>
        </w:rPr>
        <w:t>/</w:t>
      </w:r>
      <w:r w:rsidRPr="000602C9">
        <w:rPr>
          <w:rStyle w:val="af1"/>
          <w:lang w:val="en-US"/>
        </w:rPr>
        <w:t>OP</w:t>
      </w:r>
      <w:r w:rsidRPr="0011211C">
        <w:rPr>
          <w:rStyle w:val="af1"/>
          <w:lang w:val="en-US"/>
        </w:rPr>
        <w:t>/10</w:t>
      </w:r>
      <w:r w:rsidR="00A42DF6">
        <w:rPr>
          <w:rStyle w:val="af1"/>
          <w:lang w:val="en-US"/>
        </w:rPr>
        <w:fldChar w:fldCharType="end"/>
      </w:r>
      <w:r w:rsidRPr="0011211C">
        <w:rPr>
          <w:lang w:val="en-US"/>
        </w:rPr>
        <w:t>.</w:t>
      </w:r>
    </w:p>
  </w:footnote>
  <w:footnote w:id="8">
    <w:p w14:paraId="7D3FE6DC" w14:textId="1BA84ACF" w:rsidR="004D4072" w:rsidRPr="004D4072" w:rsidRDefault="004D4072" w:rsidP="004D4072">
      <w:pPr>
        <w:pStyle w:val="ad"/>
        <w:rPr>
          <w:lang w:val="en-US"/>
        </w:rPr>
      </w:pPr>
      <w:r w:rsidRPr="0011211C">
        <w:rPr>
          <w:lang w:val="en-US"/>
        </w:rPr>
        <w:tab/>
      </w:r>
      <w:r w:rsidRPr="006A3AC1">
        <w:rPr>
          <w:rStyle w:val="aa"/>
        </w:rPr>
        <w:footnoteRef/>
      </w:r>
      <w:r w:rsidRPr="007F6E3E">
        <w:rPr>
          <w:lang w:val="en-US"/>
        </w:rPr>
        <w:tab/>
      </w:r>
      <w:r w:rsidR="00A42DF6">
        <w:fldChar w:fldCharType="begin"/>
      </w:r>
      <w:r w:rsidR="00A42DF6" w:rsidRPr="00C31795">
        <w:rPr>
          <w:lang w:val="en-US"/>
        </w:rPr>
        <w:instrText xml:space="preserve"> HYPERLINK "http://undocs.org/ru/CAT/OP/11" </w:instrText>
      </w:r>
      <w:r w:rsidR="00A42DF6">
        <w:fldChar w:fldCharType="separate"/>
      </w:r>
      <w:r w:rsidRPr="000602C9">
        <w:rPr>
          <w:rStyle w:val="af1"/>
          <w:lang w:val="en-US"/>
        </w:rPr>
        <w:t>CAT/OP/11</w:t>
      </w:r>
      <w:r w:rsidR="00A42DF6">
        <w:rPr>
          <w:rStyle w:val="af1"/>
          <w:lang w:val="en-US"/>
        </w:rPr>
        <w:fldChar w:fldCharType="end"/>
      </w:r>
      <w:r w:rsidRPr="007F6E3E">
        <w:rPr>
          <w:lang w:val="en-US"/>
        </w:rPr>
        <w:t>.</w:t>
      </w:r>
    </w:p>
  </w:footnote>
  <w:footnote w:id="9">
    <w:p w14:paraId="1788830E" w14:textId="4367594D" w:rsidR="004D4072" w:rsidRPr="004D4072" w:rsidRDefault="004D4072" w:rsidP="004D4072">
      <w:pPr>
        <w:pStyle w:val="ad"/>
        <w:rPr>
          <w:lang w:val="en-US"/>
        </w:rPr>
      </w:pPr>
      <w:r w:rsidRPr="007F6E3E">
        <w:rPr>
          <w:lang w:val="en-US"/>
        </w:rPr>
        <w:tab/>
      </w:r>
      <w:r w:rsidRPr="006A3AC1">
        <w:rPr>
          <w:rStyle w:val="aa"/>
        </w:rPr>
        <w:footnoteRef/>
      </w:r>
      <w:r w:rsidRPr="007F6E3E">
        <w:rPr>
          <w:lang w:val="en-US"/>
        </w:rPr>
        <w:tab/>
      </w:r>
      <w:hyperlink r:id="rId7" w:history="1">
        <w:r w:rsidRPr="000602C9">
          <w:rPr>
            <w:rStyle w:val="af1"/>
            <w:lang w:val="en-US"/>
          </w:rPr>
          <w:t>CAT/OP/12</w:t>
        </w:r>
      </w:hyperlink>
      <w:r w:rsidRPr="007F6E3E">
        <w:rPr>
          <w:lang w:val="en-US"/>
        </w:rPr>
        <w:t>.</w:t>
      </w:r>
    </w:p>
  </w:footnote>
  <w:footnote w:id="10">
    <w:p w14:paraId="6B1870BF" w14:textId="646C561F" w:rsidR="004D4072" w:rsidRPr="004D4072" w:rsidRDefault="004D4072" w:rsidP="004D4072">
      <w:pPr>
        <w:pStyle w:val="ad"/>
        <w:rPr>
          <w:lang w:val="en-US"/>
        </w:rPr>
      </w:pPr>
      <w:r w:rsidRPr="007F6E3E">
        <w:rPr>
          <w:lang w:val="en-US"/>
        </w:rPr>
        <w:tab/>
      </w:r>
      <w:r w:rsidRPr="006A3AC1">
        <w:rPr>
          <w:rStyle w:val="aa"/>
        </w:rPr>
        <w:footnoteRef/>
      </w:r>
      <w:r w:rsidRPr="007F6E3E">
        <w:rPr>
          <w:lang w:val="en-US"/>
        </w:rPr>
        <w:tab/>
      </w:r>
      <w:hyperlink r:id="rId8" w:history="1">
        <w:r w:rsidRPr="000602C9">
          <w:rPr>
            <w:rStyle w:val="af1"/>
            <w:lang w:val="en-US"/>
          </w:rPr>
          <w:t>CAT/C/70/2</w:t>
        </w:r>
      </w:hyperlink>
      <w:r w:rsidRPr="007F6E3E">
        <w:rPr>
          <w:lang w:val="en-US"/>
        </w:rPr>
        <w:t>.</w:t>
      </w:r>
    </w:p>
  </w:footnote>
  <w:footnote w:id="11">
    <w:p w14:paraId="23AA463A" w14:textId="7462A1DD" w:rsidR="004D4072" w:rsidRPr="004D4072" w:rsidRDefault="004D4072" w:rsidP="004D4072">
      <w:pPr>
        <w:pStyle w:val="ad"/>
        <w:rPr>
          <w:lang w:val="en-US"/>
        </w:rPr>
      </w:pPr>
      <w:r w:rsidRPr="007F6E3E">
        <w:rPr>
          <w:lang w:val="en-US"/>
        </w:rPr>
        <w:tab/>
      </w:r>
      <w:r w:rsidRPr="006A3AC1">
        <w:rPr>
          <w:rStyle w:val="aa"/>
        </w:rPr>
        <w:footnoteRef/>
      </w:r>
      <w:r w:rsidRPr="007F6E3E">
        <w:rPr>
          <w:lang w:val="en-US"/>
        </w:rPr>
        <w:tab/>
      </w:r>
      <w:r>
        <w:t>См</w:t>
      </w:r>
      <w:r w:rsidRPr="007F6E3E">
        <w:rPr>
          <w:lang w:val="en-US"/>
        </w:rPr>
        <w:t xml:space="preserve">. </w:t>
      </w:r>
      <w:hyperlink r:id="rId9" w:history="1">
        <w:r w:rsidRPr="000602C9">
          <w:rPr>
            <w:rStyle w:val="af1"/>
            <w:spacing w:val="-4"/>
            <w:lang w:val="en-US"/>
          </w:rPr>
          <w:t>www.ohchr.org/en/NewsEvents/Pages/NewsSearch.aspx?NTID=STM&amp;MID=Sub_Committ_Torture</w:t>
        </w:r>
      </w:hyperlink>
      <w:r w:rsidRPr="007F6E3E">
        <w:rPr>
          <w:lang w:val="en-US"/>
        </w:rPr>
        <w:t>.</w:t>
      </w:r>
    </w:p>
  </w:footnote>
  <w:footnote w:id="12">
    <w:p w14:paraId="5654D5D8" w14:textId="469B3386" w:rsidR="004D4072" w:rsidRPr="004D4072" w:rsidRDefault="004D4072" w:rsidP="004D4072">
      <w:pPr>
        <w:pStyle w:val="ad"/>
        <w:rPr>
          <w:lang w:val="en-US"/>
        </w:rPr>
      </w:pPr>
      <w:r w:rsidRPr="007F6E3E">
        <w:rPr>
          <w:lang w:val="en-US"/>
        </w:rPr>
        <w:tab/>
      </w:r>
      <w:r w:rsidRPr="006A3AC1">
        <w:rPr>
          <w:rStyle w:val="aa"/>
        </w:rPr>
        <w:footnoteRef/>
      </w:r>
      <w:r w:rsidRPr="007F6E3E">
        <w:rPr>
          <w:lang w:val="en-US"/>
        </w:rPr>
        <w:tab/>
      </w:r>
      <w:r>
        <w:t>См</w:t>
      </w:r>
      <w:r w:rsidRPr="007F6E3E">
        <w:rPr>
          <w:lang w:val="en-US"/>
        </w:rPr>
        <w:t xml:space="preserve">. </w:t>
      </w:r>
      <w:hyperlink r:id="rId10" w:history="1">
        <w:r w:rsidRPr="0011211C">
          <w:rPr>
            <w:rStyle w:val="af1"/>
            <w:lang w:val="en-US"/>
          </w:rPr>
          <w:t>www.ohchr.org/EN/NewsEvents/Pages/DisplayNews.aspx?NewsID=27890&amp;LangID=E</w:t>
        </w:r>
      </w:hyperlink>
      <w:r w:rsidRPr="007F6E3E">
        <w:rPr>
          <w:lang w:val="en-US"/>
        </w:rPr>
        <w:t>.</w:t>
      </w:r>
    </w:p>
  </w:footnote>
  <w:footnote w:id="13">
    <w:p w14:paraId="0F9C90D8" w14:textId="1745E014" w:rsidR="004D4072" w:rsidRPr="007F6E3E" w:rsidRDefault="004D4072" w:rsidP="004D4072">
      <w:pPr>
        <w:pStyle w:val="ad"/>
      </w:pPr>
      <w:r w:rsidRPr="007F6E3E">
        <w:rPr>
          <w:lang w:val="en-US"/>
        </w:rPr>
        <w:tab/>
      </w:r>
      <w:r w:rsidRPr="006A3AC1">
        <w:rPr>
          <w:rStyle w:val="aa"/>
        </w:rPr>
        <w:footnoteRef/>
      </w:r>
      <w:r>
        <w:tab/>
        <w:t xml:space="preserve">См. </w:t>
      </w:r>
      <w:hyperlink r:id="rId11" w:history="1">
        <w:r w:rsidRPr="00547EF7">
          <w:rPr>
            <w:rStyle w:val="af1"/>
          </w:rPr>
          <w:t>www.ohchr.org/EN/NewsEvents/Pages/DisplayNews.aspx?NewsID=27879&amp;LangID=E</w:t>
        </w:r>
      </w:hyperlink>
      <w:r>
        <w:t>.</w:t>
      </w:r>
    </w:p>
  </w:footnote>
  <w:footnote w:id="14">
    <w:p w14:paraId="046D6BFD" w14:textId="0162F82C" w:rsidR="004D4072" w:rsidRPr="007F6E3E" w:rsidRDefault="004D4072" w:rsidP="004D4072">
      <w:pPr>
        <w:pStyle w:val="ad"/>
      </w:pPr>
      <w:r w:rsidRPr="006A3AC1">
        <w:tab/>
      </w:r>
      <w:r w:rsidRPr="006A3AC1">
        <w:rPr>
          <w:rStyle w:val="aa"/>
        </w:rPr>
        <w:footnoteRef/>
      </w:r>
      <w:r>
        <w:tab/>
      </w:r>
      <w:hyperlink r:id="rId12" w:history="1">
        <w:r w:rsidRPr="00547EF7">
          <w:rPr>
            <w:rStyle w:val="af1"/>
          </w:rPr>
          <w:t>CAT/C/63/4</w:t>
        </w:r>
      </w:hyperlink>
      <w:r>
        <w:t>.</w:t>
      </w:r>
    </w:p>
  </w:footnote>
  <w:footnote w:id="15">
    <w:p w14:paraId="74D48141" w14:textId="3AB61B4B" w:rsidR="004D4072" w:rsidRPr="007F6E3E" w:rsidRDefault="004D4072" w:rsidP="004D4072">
      <w:pPr>
        <w:pStyle w:val="ad"/>
      </w:pPr>
      <w:r w:rsidRPr="006A3AC1">
        <w:tab/>
      </w:r>
      <w:r w:rsidRPr="006A3AC1">
        <w:rPr>
          <w:rStyle w:val="aa"/>
        </w:rPr>
        <w:footnoteRef/>
      </w:r>
      <w:r>
        <w:tab/>
        <w:t xml:space="preserve">См. </w:t>
      </w:r>
      <w:hyperlink r:id="rId13" w:history="1">
        <w:r w:rsidRPr="00A33A2A">
          <w:rPr>
            <w:rStyle w:val="af1"/>
          </w:rPr>
          <w:t>www.ohchr.org/EN/NewsEvents/Pages/DisplayNews.aspx?NewsID=27879&amp;LangID=E</w:t>
        </w:r>
      </w:hyperlink>
      <w:r>
        <w:t>.</w:t>
      </w:r>
    </w:p>
  </w:footnote>
  <w:footnote w:id="16">
    <w:p w14:paraId="176F8B3C" w14:textId="77777777" w:rsidR="004D4072" w:rsidRPr="007F6E3E" w:rsidRDefault="004D4072" w:rsidP="004D4072">
      <w:pPr>
        <w:pStyle w:val="ad"/>
      </w:pPr>
      <w:r w:rsidRPr="006A3AC1">
        <w:tab/>
      </w:r>
      <w:r w:rsidRPr="006A3AC1">
        <w:rPr>
          <w:rStyle w:val="aa"/>
        </w:rPr>
        <w:footnoteRef/>
      </w:r>
      <w:r>
        <w:tab/>
        <w:t>Данное заявление обсуждалось на сорок пятой и сорок шестой сессиях Подкомитета и было принято вместе с пятнадцатым ежегодным докладом Подкомитета на его сорок шестой сессии 11 февраля 2022 года.</w:t>
      </w:r>
    </w:p>
  </w:footnote>
  <w:footnote w:id="17">
    <w:p w14:paraId="2D3D3093" w14:textId="50F642EE" w:rsidR="004D4072" w:rsidRPr="007F6E3E" w:rsidRDefault="004D4072" w:rsidP="004D4072">
      <w:pPr>
        <w:pStyle w:val="ad"/>
      </w:pPr>
      <w:r w:rsidRPr="006A3AC1">
        <w:tab/>
      </w:r>
      <w:r w:rsidRPr="006A3AC1">
        <w:rPr>
          <w:rStyle w:val="aa"/>
        </w:rPr>
        <w:footnoteRef/>
      </w:r>
      <w:r>
        <w:tab/>
      </w:r>
      <w:hyperlink r:id="rId14" w:history="1">
        <w:r w:rsidRPr="002007DA">
          <w:rPr>
            <w:rStyle w:val="af1"/>
          </w:rPr>
          <w:t>A/73/309</w:t>
        </w:r>
      </w:hyperlink>
      <w:r>
        <w:t xml:space="preserve">, </w:t>
      </w:r>
      <w:proofErr w:type="spellStart"/>
      <w:r>
        <w:t>п</w:t>
      </w:r>
      <w:r w:rsidR="002007DA">
        <w:t>п</w:t>
      </w:r>
      <w:proofErr w:type="spellEnd"/>
      <w:r w:rsidR="002007DA">
        <w:t>.</w:t>
      </w:r>
      <w:r>
        <w:t xml:space="preserve"> 47</w:t>
      </w:r>
      <w:r w:rsidR="002007DA">
        <w:t>–</w:t>
      </w:r>
      <w:r>
        <w:t>50.</w:t>
      </w:r>
    </w:p>
  </w:footnote>
  <w:footnote w:id="18">
    <w:p w14:paraId="1F7D3E96" w14:textId="4DA63EAB" w:rsidR="004D4072" w:rsidRPr="007F6E3E" w:rsidRDefault="004D4072" w:rsidP="004D4072">
      <w:pPr>
        <w:pStyle w:val="ad"/>
      </w:pPr>
      <w:r w:rsidRPr="006A3AC1">
        <w:tab/>
      </w:r>
      <w:r w:rsidRPr="006A3AC1">
        <w:rPr>
          <w:rStyle w:val="aa"/>
        </w:rPr>
        <w:footnoteRef/>
      </w:r>
      <w:r>
        <w:tab/>
        <w:t>Там же, п</w:t>
      </w:r>
      <w:r w:rsidR="002007DA">
        <w:t>.</w:t>
      </w:r>
      <w:r>
        <w:t xml:space="preserve"> 38, сноска 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38806" w14:textId="42A4811F" w:rsidR="004D4072" w:rsidRPr="004D4072" w:rsidRDefault="008C780F">
    <w:pPr>
      <w:pStyle w:val="a5"/>
    </w:pPr>
    <w:fldSimple w:instr=" TITLE  \* MERGEFORMAT ">
      <w:r w:rsidR="00A42DF6">
        <w:t>CAT/C/73/2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BBA29" w14:textId="0D087601" w:rsidR="004D4072" w:rsidRPr="004D4072" w:rsidRDefault="008C780F" w:rsidP="004D4072">
    <w:pPr>
      <w:pStyle w:val="a5"/>
      <w:jc w:val="right"/>
    </w:pPr>
    <w:fldSimple w:instr=" TITLE  \* MERGEFORMAT ">
      <w:r w:rsidR="00A42DF6">
        <w:t>CAT/C/73/2</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3DED61" w14:textId="77777777" w:rsidR="004D4072" w:rsidRDefault="004D4072" w:rsidP="004D4072">
    <w:pPr>
      <w:pStyle w:val="a5"/>
      <w:pBdr>
        <w:bottom w:val="none" w:sz="0" w:space="0" w:color="auto"/>
      </w:pBd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BBB8B" w14:textId="59ED9A81" w:rsidR="00846880" w:rsidRPr="004D4072" w:rsidRDefault="008C780F" w:rsidP="004D4072">
    <w:pPr>
      <w:pStyle w:val="a5"/>
      <w:jc w:val="right"/>
    </w:pPr>
    <w:fldSimple w:instr=" TITLE  \* MERGEFORMAT ">
      <w:r w:rsidR="00A42DF6">
        <w:t>CAT/C/73/2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12"/>
  </w:num>
  <w:num w:numId="3">
    <w:abstractNumId w:val="16"/>
  </w:num>
  <w:num w:numId="4">
    <w:abstractNumId w:val="10"/>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7"/>
  </w:num>
  <w:num w:numId="17">
    <w:abstractNumId w:val="13"/>
  </w:num>
  <w:num w:numId="18">
    <w:abstractNumId w:val="15"/>
  </w:num>
  <w:num w:numId="19">
    <w:abstractNumId w:val="17"/>
  </w:num>
  <w:num w:numId="20">
    <w:abstractNumId w:val="13"/>
  </w:num>
  <w:num w:numId="21">
    <w:abstractNumId w:val="15"/>
  </w:num>
  <w:num w:numId="22">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comment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EFB"/>
    <w:rsid w:val="00030741"/>
    <w:rsid w:val="00033EE1"/>
    <w:rsid w:val="00041407"/>
    <w:rsid w:val="00042B72"/>
    <w:rsid w:val="000558BD"/>
    <w:rsid w:val="000602C9"/>
    <w:rsid w:val="000725B5"/>
    <w:rsid w:val="000814CD"/>
    <w:rsid w:val="00097D87"/>
    <w:rsid w:val="000B57E7"/>
    <w:rsid w:val="000B6373"/>
    <w:rsid w:val="000D44A2"/>
    <w:rsid w:val="000F09DF"/>
    <w:rsid w:val="000F61B2"/>
    <w:rsid w:val="001075E9"/>
    <w:rsid w:val="0011211C"/>
    <w:rsid w:val="00180183"/>
    <w:rsid w:val="0018024D"/>
    <w:rsid w:val="0018649F"/>
    <w:rsid w:val="00196389"/>
    <w:rsid w:val="001B3EF6"/>
    <w:rsid w:val="001C7A89"/>
    <w:rsid w:val="002007DA"/>
    <w:rsid w:val="00276604"/>
    <w:rsid w:val="002A2EFC"/>
    <w:rsid w:val="002C0E18"/>
    <w:rsid w:val="002D525E"/>
    <w:rsid w:val="002D5AAC"/>
    <w:rsid w:val="002E5067"/>
    <w:rsid w:val="002F405F"/>
    <w:rsid w:val="002F7EEC"/>
    <w:rsid w:val="00301299"/>
    <w:rsid w:val="00307FB6"/>
    <w:rsid w:val="00315ED6"/>
    <w:rsid w:val="00316CA3"/>
    <w:rsid w:val="00317339"/>
    <w:rsid w:val="00322004"/>
    <w:rsid w:val="003269FF"/>
    <w:rsid w:val="003402C2"/>
    <w:rsid w:val="00374EC6"/>
    <w:rsid w:val="00381C24"/>
    <w:rsid w:val="00393C46"/>
    <w:rsid w:val="003958D0"/>
    <w:rsid w:val="003B00E5"/>
    <w:rsid w:val="0040309D"/>
    <w:rsid w:val="00403C9E"/>
    <w:rsid w:val="00407B78"/>
    <w:rsid w:val="00424203"/>
    <w:rsid w:val="00452493"/>
    <w:rsid w:val="00454E07"/>
    <w:rsid w:val="00472C5C"/>
    <w:rsid w:val="004C7E20"/>
    <w:rsid w:val="004D4072"/>
    <w:rsid w:val="0050108D"/>
    <w:rsid w:val="00513081"/>
    <w:rsid w:val="00517901"/>
    <w:rsid w:val="00526683"/>
    <w:rsid w:val="005304B4"/>
    <w:rsid w:val="00547EF7"/>
    <w:rsid w:val="00550706"/>
    <w:rsid w:val="005709E0"/>
    <w:rsid w:val="00570A37"/>
    <w:rsid w:val="00572E19"/>
    <w:rsid w:val="0058663C"/>
    <w:rsid w:val="005961C8"/>
    <w:rsid w:val="005D7914"/>
    <w:rsid w:val="005E2B41"/>
    <w:rsid w:val="005E55F5"/>
    <w:rsid w:val="005F0B42"/>
    <w:rsid w:val="00615433"/>
    <w:rsid w:val="00681A10"/>
    <w:rsid w:val="006A1ED8"/>
    <w:rsid w:val="006C2031"/>
    <w:rsid w:val="006D461A"/>
    <w:rsid w:val="006F35EE"/>
    <w:rsid w:val="007021FF"/>
    <w:rsid w:val="00712895"/>
    <w:rsid w:val="00757357"/>
    <w:rsid w:val="007D13D5"/>
    <w:rsid w:val="00825F8D"/>
    <w:rsid w:val="00834B71"/>
    <w:rsid w:val="00834CC0"/>
    <w:rsid w:val="00846880"/>
    <w:rsid w:val="0086445C"/>
    <w:rsid w:val="00894693"/>
    <w:rsid w:val="008A08D7"/>
    <w:rsid w:val="008B6909"/>
    <w:rsid w:val="008C780F"/>
    <w:rsid w:val="00906890"/>
    <w:rsid w:val="00911BE4"/>
    <w:rsid w:val="00951972"/>
    <w:rsid w:val="00953B7A"/>
    <w:rsid w:val="009569AF"/>
    <w:rsid w:val="009608F3"/>
    <w:rsid w:val="009A24AC"/>
    <w:rsid w:val="00A14EFB"/>
    <w:rsid w:val="00A312BC"/>
    <w:rsid w:val="00A33A2A"/>
    <w:rsid w:val="00A42DF6"/>
    <w:rsid w:val="00A478EF"/>
    <w:rsid w:val="00A66C5E"/>
    <w:rsid w:val="00A74D9D"/>
    <w:rsid w:val="00A84021"/>
    <w:rsid w:val="00A84D35"/>
    <w:rsid w:val="00A917B3"/>
    <w:rsid w:val="00AB4B51"/>
    <w:rsid w:val="00AE10E4"/>
    <w:rsid w:val="00B10CC7"/>
    <w:rsid w:val="00B20CB2"/>
    <w:rsid w:val="00B539E7"/>
    <w:rsid w:val="00B62458"/>
    <w:rsid w:val="00B94116"/>
    <w:rsid w:val="00BC18B2"/>
    <w:rsid w:val="00BD33EE"/>
    <w:rsid w:val="00C01C06"/>
    <w:rsid w:val="00C106D6"/>
    <w:rsid w:val="00C15226"/>
    <w:rsid w:val="00C225C9"/>
    <w:rsid w:val="00C23549"/>
    <w:rsid w:val="00C31795"/>
    <w:rsid w:val="00C542F4"/>
    <w:rsid w:val="00C60F0C"/>
    <w:rsid w:val="00C77081"/>
    <w:rsid w:val="00C805C9"/>
    <w:rsid w:val="00C838C6"/>
    <w:rsid w:val="00C92939"/>
    <w:rsid w:val="00CA1679"/>
    <w:rsid w:val="00CB151C"/>
    <w:rsid w:val="00CE5A1A"/>
    <w:rsid w:val="00CF55F6"/>
    <w:rsid w:val="00D33D63"/>
    <w:rsid w:val="00D7263B"/>
    <w:rsid w:val="00D90028"/>
    <w:rsid w:val="00D90138"/>
    <w:rsid w:val="00DF71B9"/>
    <w:rsid w:val="00E21169"/>
    <w:rsid w:val="00E528D1"/>
    <w:rsid w:val="00E73F76"/>
    <w:rsid w:val="00EA2C9F"/>
    <w:rsid w:val="00ED0BDA"/>
    <w:rsid w:val="00EF1360"/>
    <w:rsid w:val="00EF3220"/>
    <w:rsid w:val="00EF6AC3"/>
    <w:rsid w:val="00F21B00"/>
    <w:rsid w:val="00F82DE6"/>
    <w:rsid w:val="00F90E4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01A1EAE"/>
  <w15:docId w15:val="{71534890-2C34-4186-BDB5-97E694466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20CB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570A3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0814CD"/>
    <w:pPr>
      <w:keepNext/>
      <w:outlineLvl w:val="1"/>
    </w:pPr>
    <w:rPr>
      <w:rFonts w:cs="Arial"/>
      <w:bCs/>
      <w:iCs/>
      <w:szCs w:val="28"/>
    </w:rPr>
  </w:style>
  <w:style w:type="paragraph" w:styleId="3">
    <w:name w:val="heading 3"/>
    <w:basedOn w:val="a"/>
    <w:next w:val="a"/>
    <w:semiHidden/>
    <w:rsid w:val="000814CD"/>
    <w:pPr>
      <w:keepNext/>
      <w:spacing w:before="240" w:after="60"/>
      <w:outlineLvl w:val="2"/>
    </w:pPr>
    <w:rPr>
      <w:rFonts w:ascii="Arial" w:hAnsi="Arial" w:cs="Arial"/>
      <w:b/>
      <w:bCs/>
      <w:sz w:val="26"/>
      <w:szCs w:val="26"/>
    </w:rPr>
  </w:style>
  <w:style w:type="paragraph" w:styleId="4">
    <w:name w:val="heading 4"/>
    <w:basedOn w:val="a"/>
    <w:next w:val="a"/>
    <w:semiHidden/>
    <w:rsid w:val="000814CD"/>
    <w:pPr>
      <w:keepNext/>
      <w:spacing w:before="240" w:after="60"/>
      <w:outlineLvl w:val="3"/>
    </w:pPr>
    <w:rPr>
      <w:b/>
      <w:bCs/>
      <w:sz w:val="28"/>
      <w:szCs w:val="28"/>
    </w:rPr>
  </w:style>
  <w:style w:type="paragraph" w:styleId="5">
    <w:name w:val="heading 5"/>
    <w:basedOn w:val="a"/>
    <w:next w:val="a"/>
    <w:semiHidden/>
    <w:rsid w:val="000814CD"/>
    <w:pPr>
      <w:spacing w:before="240" w:after="60"/>
      <w:outlineLvl w:val="4"/>
    </w:pPr>
    <w:rPr>
      <w:b/>
      <w:bCs/>
      <w:i/>
      <w:iCs/>
      <w:sz w:val="26"/>
      <w:szCs w:val="26"/>
    </w:rPr>
  </w:style>
  <w:style w:type="paragraph" w:styleId="6">
    <w:name w:val="heading 6"/>
    <w:basedOn w:val="a"/>
    <w:next w:val="a"/>
    <w:semiHidden/>
    <w:rsid w:val="000814CD"/>
    <w:pPr>
      <w:spacing w:before="240" w:after="60"/>
      <w:outlineLvl w:val="5"/>
    </w:pPr>
    <w:rPr>
      <w:b/>
      <w:bCs/>
      <w:sz w:val="22"/>
    </w:rPr>
  </w:style>
  <w:style w:type="paragraph" w:styleId="7">
    <w:name w:val="heading 7"/>
    <w:basedOn w:val="a"/>
    <w:next w:val="a"/>
    <w:semiHidden/>
    <w:rsid w:val="000814CD"/>
    <w:pPr>
      <w:spacing w:before="240" w:after="60"/>
      <w:outlineLvl w:val="6"/>
    </w:pPr>
    <w:rPr>
      <w:sz w:val="24"/>
      <w:szCs w:val="24"/>
    </w:rPr>
  </w:style>
  <w:style w:type="paragraph" w:styleId="8">
    <w:name w:val="heading 8"/>
    <w:basedOn w:val="a"/>
    <w:next w:val="a"/>
    <w:semiHidden/>
    <w:rsid w:val="000814CD"/>
    <w:pPr>
      <w:spacing w:before="240" w:after="60"/>
      <w:outlineLvl w:val="7"/>
    </w:pPr>
    <w:rPr>
      <w:i/>
      <w:iCs/>
      <w:sz w:val="24"/>
      <w:szCs w:val="24"/>
    </w:rPr>
  </w:style>
  <w:style w:type="paragraph" w:styleId="9">
    <w:name w:val="heading 9"/>
    <w:basedOn w:val="a"/>
    <w:next w:val="a"/>
    <w:semiHidden/>
    <w:rsid w:val="000814CD"/>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0814CD"/>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A74D9D"/>
    <w:rPr>
      <w:rFonts w:ascii="Tahoma" w:eastAsiaTheme="minorHAnsi" w:hAnsi="Tahoma" w:cs="Tahoma"/>
      <w:sz w:val="16"/>
      <w:szCs w:val="16"/>
      <w:lang w:val="ru-RU" w:eastAsia="en-US"/>
    </w:rPr>
  </w:style>
  <w:style w:type="paragraph" w:customStyle="1" w:styleId="HMG">
    <w:name w:val="_ H __M_G"/>
    <w:basedOn w:val="a"/>
    <w:next w:val="a"/>
    <w:qFormat/>
    <w:rsid w:val="00570A3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570A3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570A3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570A3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570A3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570A3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A74D9D"/>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570A3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570A3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A74D9D"/>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570A37"/>
    <w:rPr>
      <w:b/>
      <w:sz w:val="18"/>
      <w:lang w:val="en-GB" w:eastAsia="ru-RU"/>
    </w:rPr>
  </w:style>
  <w:style w:type="character" w:styleId="a7">
    <w:name w:val="page number"/>
    <w:aliases w:val="7_G"/>
    <w:basedOn w:val="a0"/>
    <w:qFormat/>
    <w:rsid w:val="00570A37"/>
    <w:rPr>
      <w:rFonts w:ascii="Times New Roman" w:hAnsi="Times New Roman"/>
      <w:b/>
      <w:sz w:val="18"/>
    </w:rPr>
  </w:style>
  <w:style w:type="paragraph" w:styleId="a8">
    <w:name w:val="footer"/>
    <w:aliases w:val="3_G"/>
    <w:basedOn w:val="a"/>
    <w:link w:val="a9"/>
    <w:qFormat/>
    <w:rsid w:val="00570A3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570A37"/>
    <w:rPr>
      <w:sz w:val="16"/>
      <w:lang w:val="en-GB" w:eastAsia="ru-RU"/>
    </w:rPr>
  </w:style>
  <w:style w:type="character" w:styleId="aa">
    <w:name w:val="footnote reference"/>
    <w:aliases w:val="4_G"/>
    <w:basedOn w:val="a0"/>
    <w:qFormat/>
    <w:rsid w:val="00570A37"/>
    <w:rPr>
      <w:rFonts w:ascii="Times New Roman" w:hAnsi="Times New Roman"/>
      <w:dstrike w:val="0"/>
      <w:sz w:val="18"/>
      <w:vertAlign w:val="superscript"/>
    </w:rPr>
  </w:style>
  <w:style w:type="character" w:styleId="ab">
    <w:name w:val="endnote reference"/>
    <w:aliases w:val="1_G"/>
    <w:basedOn w:val="aa"/>
    <w:qFormat/>
    <w:rsid w:val="00570A37"/>
    <w:rPr>
      <w:rFonts w:ascii="Times New Roman" w:hAnsi="Times New Roman"/>
      <w:dstrike w:val="0"/>
      <w:sz w:val="18"/>
      <w:vertAlign w:val="superscript"/>
    </w:rPr>
  </w:style>
  <w:style w:type="table" w:styleId="ac">
    <w:name w:val="Table Grid"/>
    <w:basedOn w:val="a1"/>
    <w:rsid w:val="00B20CB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570A37"/>
    <w:rPr>
      <w:sz w:val="18"/>
      <w:lang w:val="ru-RU" w:eastAsia="ru-RU"/>
    </w:rPr>
  </w:style>
  <w:style w:type="paragraph" w:styleId="af">
    <w:name w:val="endnote text"/>
    <w:aliases w:val="2_G"/>
    <w:basedOn w:val="ad"/>
    <w:link w:val="af0"/>
    <w:qFormat/>
    <w:rsid w:val="00570A37"/>
  </w:style>
  <w:style w:type="character" w:customStyle="1" w:styleId="af0">
    <w:name w:val="Текст концевой сноски Знак"/>
    <w:aliases w:val="2_G Знак"/>
    <w:basedOn w:val="a0"/>
    <w:link w:val="af"/>
    <w:rsid w:val="00570A37"/>
    <w:rPr>
      <w:sz w:val="18"/>
      <w:lang w:val="ru-RU" w:eastAsia="ru-RU"/>
    </w:rPr>
  </w:style>
  <w:style w:type="character" w:customStyle="1" w:styleId="10">
    <w:name w:val="Заголовок 1 Знак"/>
    <w:aliases w:val="Table_G Знак"/>
    <w:basedOn w:val="a0"/>
    <w:link w:val="1"/>
    <w:rsid w:val="00570A37"/>
    <w:rPr>
      <w:rFonts w:cs="Arial"/>
      <w:b/>
      <w:bCs/>
      <w:szCs w:val="32"/>
      <w:lang w:val="ru-RU" w:eastAsia="ru-RU"/>
    </w:rPr>
  </w:style>
  <w:style w:type="character" w:styleId="af1">
    <w:name w:val="Hyperlink"/>
    <w:basedOn w:val="a0"/>
    <w:rsid w:val="00570A37"/>
    <w:rPr>
      <w:color w:val="0000FF" w:themeColor="hyperlink"/>
      <w:u w:val="none"/>
    </w:rPr>
  </w:style>
  <w:style w:type="character" w:styleId="af2">
    <w:name w:val="FollowedHyperlink"/>
    <w:basedOn w:val="a0"/>
    <w:rsid w:val="00570A37"/>
    <w:rPr>
      <w:color w:val="800080" w:themeColor="followedHyperlink"/>
      <w:u w:val="none"/>
    </w:rPr>
  </w:style>
  <w:style w:type="character" w:customStyle="1" w:styleId="SingleTxtGChar">
    <w:name w:val="_ Single Txt_G Char"/>
    <w:link w:val="SingleTxtG"/>
    <w:rsid w:val="004D4072"/>
    <w:rPr>
      <w:lang w:val="ru-RU" w:eastAsia="en-US"/>
    </w:rPr>
  </w:style>
  <w:style w:type="character" w:styleId="af3">
    <w:name w:val="Unresolved Mention"/>
    <w:basedOn w:val="a0"/>
    <w:uiPriority w:val="99"/>
    <w:semiHidden/>
    <w:unhideWhenUsed/>
    <w:rsid w:val="00097D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ru/CAT/C/70/2" TargetMode="External"/><Relationship Id="rId13" Type="http://schemas.openxmlformats.org/officeDocument/2006/relationships/hyperlink" Target="http://www.ohchr.org/EN/NewsEvents/Pages/DisplayNews.aspx?NewsID=27879&amp;LangID=E" TargetMode="External"/><Relationship Id="rId3" Type="http://schemas.openxmlformats.org/officeDocument/2006/relationships/hyperlink" Target="https://www.ohchr.org/en/treaty-bodies/spt/regional-teams" TargetMode="External"/><Relationship Id="rId7" Type="http://schemas.openxmlformats.org/officeDocument/2006/relationships/hyperlink" Target="http://undocs.org/ru/CAT/OP/12" TargetMode="External"/><Relationship Id="rId12" Type="http://schemas.openxmlformats.org/officeDocument/2006/relationships/hyperlink" Target="http://undocs.org/ru/CAT/C/63/4" TargetMode="External"/><Relationship Id="rId2" Type="http://schemas.openxmlformats.org/officeDocument/2006/relationships/hyperlink" Target="https://www.ohchr.org/en/treaty-bodies/spt/membership" TargetMode="External"/><Relationship Id="rId1" Type="http://schemas.openxmlformats.org/officeDocument/2006/relationships/hyperlink" Target="http://undocs.org/ru/CAT/OP/12" TargetMode="External"/><Relationship Id="rId6" Type="http://schemas.openxmlformats.org/officeDocument/2006/relationships/hyperlink" Target="https://www.ohchr.org/sites/default/files/Documents/Publications/NPM_Guide_EN.pdf" TargetMode="External"/><Relationship Id="rId11" Type="http://schemas.openxmlformats.org/officeDocument/2006/relationships/hyperlink" Target="http://www.ohchr.org/EN/NewsEvents/Pages/DisplayNews.aspx?NewsID=27879&amp;LangID=E" TargetMode="External"/><Relationship Id="rId5" Type="http://schemas.openxmlformats.org/officeDocument/2006/relationships/hyperlink" Target="https://www.ohchr.org/en/treaty-bodies/spt/article-17" TargetMode="External"/><Relationship Id="rId10" Type="http://schemas.openxmlformats.org/officeDocument/2006/relationships/hyperlink" Target="http://www.ohchr.org/EN/NewsEvents/Pages/DisplayNews.aspx?NewsID=27890&amp;LangID=E" TargetMode="External"/><Relationship Id="rId4" Type="http://schemas.openxmlformats.org/officeDocument/2006/relationships/hyperlink" Target="https://tbinternet.ohchr.org/_layouts/15/TreatyBodyExternal/CountryVisits.aspx" TargetMode="External"/><Relationship Id="rId9" Type="http://schemas.openxmlformats.org/officeDocument/2006/relationships/hyperlink" Target="https://www.ohchr.org/en/NewsEvents/Pages/NewsSearch.aspx?NTID=STM&amp;MID=Sub_Committ_Torture" TargetMode="External"/><Relationship Id="rId14" Type="http://schemas.openxmlformats.org/officeDocument/2006/relationships/hyperlink" Target="http://undocs.org/ru/A/73/30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41F256-4D86-49B7-97C1-C1970B2DCE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11</TotalTime>
  <Pages>16</Pages>
  <Words>6158</Words>
  <Characters>41995</Characters>
  <Application>Microsoft Office Word</Application>
  <DocSecurity>0</DocSecurity>
  <Lines>740</Lines>
  <Paragraphs>165</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CAT/C/73/2</vt:lpstr>
      <vt:lpstr>A/</vt:lpstr>
      <vt:lpstr>A/</vt:lpstr>
      <vt:lpstr>A/</vt:lpstr>
    </vt:vector>
  </TitlesOfParts>
  <Company>DCM</Company>
  <LinksUpToDate>false</LinksUpToDate>
  <CharactersWithSpaces>48095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CAT/C/73/2</dc:title>
  <dc:subject/>
  <dc:creator>Shuvalova NATALIA</dc:creator>
  <cp:keywords/>
  <cp:lastModifiedBy>Natalia Shuvalova</cp:lastModifiedBy>
  <cp:revision>2</cp:revision>
  <cp:lastPrinted>2022-03-22T07:05:00Z</cp:lastPrinted>
  <dcterms:created xsi:type="dcterms:W3CDTF">2022-03-22T07:16:00Z</dcterms:created>
  <dcterms:modified xsi:type="dcterms:W3CDTF">2022-03-22T07:16:00Z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