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E147C1">
              <w:fldChar w:fldCharType="separate"/>
            </w:r>
            <w:proofErr w:type="spellStart"/>
            <w:r w:rsidR="00BE156C">
              <w:t>RES</w:t>
            </w:r>
            <w:proofErr w:type="spellEnd"/>
            <w:r w:rsidR="00BE156C">
              <w:t>/28/16</w:t>
            </w:r>
            <w:r w:rsidR="00E147C1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3561BC" w:rsidRDefault="003A0687" w:rsidP="006730C4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3561BC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3561BC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3561BC">
              <w:instrText xml:space="preserve"> </w:instrText>
            </w:r>
            <w:r w:rsidR="003A0A77">
              <w:fldChar w:fldCharType="separate"/>
            </w:r>
            <w:r>
              <w:fldChar w:fldCharType="end"/>
            </w:r>
            <w:bookmarkEnd w:id="0"/>
          </w:p>
          <w:p w:rsidR="003A0687" w:rsidRPr="003561BC" w:rsidRDefault="003561BC" w:rsidP="006730C4">
            <w:r>
              <w:rPr>
                <w:lang w:val="en-US"/>
              </w:rPr>
              <w:t>1 April 2015</w:t>
            </w:r>
            <w:r w:rsidR="003A0687">
              <w:rPr>
                <w:lang w:val="en-US"/>
              </w:rPr>
              <w:fldChar w:fldCharType="begin"/>
            </w:r>
            <w:r w:rsidR="003A0687" w:rsidRPr="003561BC">
              <w:instrText xml:space="preserve"> </w:instrText>
            </w:r>
            <w:r w:rsidR="003A0687">
              <w:rPr>
                <w:lang w:val="en-US"/>
              </w:rPr>
              <w:instrText>FILLIN</w:instrText>
            </w:r>
            <w:r w:rsidR="003A0687" w:rsidRPr="003561BC">
              <w:instrText xml:space="preserve">  "Введите дату документа" \* </w:instrText>
            </w:r>
            <w:r w:rsidR="003A0687">
              <w:rPr>
                <w:lang w:val="en-US"/>
              </w:rPr>
              <w:instrText>MERGEFORMAT</w:instrText>
            </w:r>
            <w:r w:rsidR="003A0687" w:rsidRPr="003561BC">
              <w:instrText xml:space="preserve"> </w:instrText>
            </w:r>
            <w:r w:rsidR="003A0687"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3561BC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3561BC">
              <w:instrText xml:space="preserve"> </w:instrText>
            </w:r>
            <w:r w:rsidR="003A0A77">
              <w:fldChar w:fldCharType="separate"/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Pr="003561BC" w:rsidRDefault="003A0687" w:rsidP="006730C4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E41C58" w:rsidRDefault="00E41C58" w:rsidP="00E41C58">
      <w:pPr>
        <w:rPr>
          <w:b/>
        </w:rPr>
      </w:pPr>
      <w:r>
        <w:rPr>
          <w:b/>
        </w:rPr>
        <w:t>Двадцать восьмая сессия</w:t>
      </w:r>
    </w:p>
    <w:p w:rsidR="00E41C58" w:rsidRDefault="00E41C58" w:rsidP="00E41C58">
      <w:r>
        <w:t>Пункт 3 повестки дня</w:t>
      </w:r>
    </w:p>
    <w:p w:rsidR="00E41C58" w:rsidRDefault="00E41C58" w:rsidP="00E41C58">
      <w:pPr>
        <w:rPr>
          <w:b/>
        </w:rPr>
      </w:pPr>
      <w:r>
        <w:rPr>
          <w:b/>
        </w:rPr>
        <w:t xml:space="preserve">Поощрение и защита всех прав человека, </w:t>
      </w:r>
      <w:r>
        <w:rPr>
          <w:b/>
        </w:rPr>
        <w:br/>
        <w:t xml:space="preserve">гражданских, политических, экономических, </w:t>
      </w:r>
      <w:r>
        <w:rPr>
          <w:b/>
        </w:rPr>
        <w:br/>
        <w:t>социальных и культурных прав,</w:t>
      </w:r>
    </w:p>
    <w:p w:rsidR="00E41C58" w:rsidRDefault="00E41C58" w:rsidP="00E41C58">
      <w:pPr>
        <w:rPr>
          <w:b/>
        </w:rPr>
      </w:pPr>
      <w:r>
        <w:rPr>
          <w:b/>
        </w:rPr>
        <w:t>включая право на развитие</w:t>
      </w:r>
    </w:p>
    <w:p w:rsidR="00E41C58" w:rsidRDefault="00E41C58" w:rsidP="00E41C58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E41C58" w:rsidRDefault="00E41C58" w:rsidP="00E41C58">
      <w:pPr>
        <w:pStyle w:val="H1GR"/>
      </w:pPr>
      <w:r>
        <w:tab/>
      </w:r>
      <w:r>
        <w:tab/>
        <w:t xml:space="preserve">28/16 </w:t>
      </w:r>
      <w:r>
        <w:br/>
        <w:t>Право на неприкосновенность частной жизни в цифровой век</w:t>
      </w:r>
    </w:p>
    <w:p w:rsidR="00E41C58" w:rsidRDefault="00E41C58" w:rsidP="00E41C58">
      <w:pPr>
        <w:pStyle w:val="SingleTxtGR"/>
        <w:rPr>
          <w:i/>
          <w:iCs/>
        </w:rPr>
      </w:pPr>
      <w:r>
        <w:rPr>
          <w:i/>
        </w:rPr>
        <w:tab/>
        <w:t>Совет по правам человека</w:t>
      </w:r>
      <w:r>
        <w:rPr>
          <w:i/>
          <w:iCs/>
        </w:rPr>
        <w:t>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руководствуясь</w:t>
      </w:r>
      <w:r>
        <w:rPr>
          <w:iCs/>
        </w:rPr>
        <w:t xml:space="preserve"> целями и принципами Устава Организации Объедине</w:t>
      </w:r>
      <w:r>
        <w:rPr>
          <w:iCs/>
        </w:rPr>
        <w:t>н</w:t>
      </w:r>
      <w:r>
        <w:rPr>
          <w:iCs/>
        </w:rPr>
        <w:t>ных Наций,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вновь подтверждая</w:t>
      </w:r>
      <w:r>
        <w:rPr>
          <w:iCs/>
        </w:rPr>
        <w:t xml:space="preserve"> права человека и основные свободы, закрепленные во Всеобщей декларации прав человека и в соответствующих международных договорах о правах человека, включая Международный пакт о гражданских и политических правах и Международный пакт об экономических, социальных и культурных правах,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напоминая</w:t>
      </w:r>
      <w:r>
        <w:t xml:space="preserve"> об</w:t>
      </w:r>
      <w:r>
        <w:rPr>
          <w:iCs/>
        </w:rPr>
        <w:t xml:space="preserve"> универсальности, неделимости, взаимозависимости и вз</w:t>
      </w:r>
      <w:r>
        <w:rPr>
          <w:iCs/>
        </w:rPr>
        <w:t>а</w:t>
      </w:r>
      <w:r>
        <w:rPr>
          <w:iCs/>
        </w:rPr>
        <w:t>имосвязанности всех прав человека и основных свобод,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вновь подтверждая</w:t>
      </w:r>
      <w:r>
        <w:rPr>
          <w:iCs/>
        </w:rPr>
        <w:t xml:space="preserve"> Венскую декларацию и Программу действий,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ссылаясь</w:t>
      </w:r>
      <w:r>
        <w:rPr>
          <w:iCs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</w:t>
      </w:r>
      <w:r>
        <w:rPr>
          <w:iCs/>
        </w:rPr>
        <w:t>ь</w:t>
      </w:r>
      <w:r>
        <w:rPr>
          <w:iCs/>
        </w:rPr>
        <w:t>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ссылаясь</w:t>
      </w:r>
      <w:r>
        <w:rPr>
          <w:i/>
          <w:iCs/>
        </w:rPr>
        <w:t xml:space="preserve"> также</w:t>
      </w:r>
      <w:r>
        <w:rPr>
          <w:iCs/>
        </w:rPr>
        <w:t xml:space="preserve"> на резолюции Генеральной Ассамблеи 68/167 от 18 д</w:t>
      </w:r>
      <w:r>
        <w:rPr>
          <w:iCs/>
        </w:rPr>
        <w:t>е</w:t>
      </w:r>
      <w:r>
        <w:rPr>
          <w:iCs/>
        </w:rPr>
        <w:t>кабря 2013 года и 69/166 от 18 декабря 2014 года о праве на неприкоснове</w:t>
      </w:r>
      <w:r>
        <w:rPr>
          <w:iCs/>
        </w:rPr>
        <w:t>н</w:t>
      </w:r>
      <w:r>
        <w:rPr>
          <w:iCs/>
        </w:rPr>
        <w:t>ность частной жизни в цифровой век, а также на решение 25/117 Совета по правам человека от 27 марта 2014 года об обсуждении в рамках дискуссионной группы права на неприкосновенность частной жизни в цифровой век,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lastRenderedPageBreak/>
        <w:tab/>
      </w:r>
      <w:r>
        <w:rPr>
          <w:i/>
        </w:rPr>
        <w:t>ссылаясь далее</w:t>
      </w:r>
      <w:r>
        <w:rPr>
          <w:iCs/>
        </w:rPr>
        <w:t xml:space="preserve"> на свои резолюции 20/8 от</w:t>
      </w:r>
      <w:r w:rsidR="00FA1FD1">
        <w:rPr>
          <w:iCs/>
        </w:rPr>
        <w:t xml:space="preserve"> 5 июля 2012 года и 26/13 от 26</w:t>
      </w:r>
      <w:r w:rsidR="00FA1FD1">
        <w:rPr>
          <w:iCs/>
          <w:lang w:val="en-US"/>
        </w:rPr>
        <w:t> </w:t>
      </w:r>
      <w:r>
        <w:rPr>
          <w:iCs/>
        </w:rPr>
        <w:t>июня 2014 года о поощрении, защите и осуществлении прав человека в И</w:t>
      </w:r>
      <w:r>
        <w:rPr>
          <w:iCs/>
        </w:rPr>
        <w:t>н</w:t>
      </w:r>
      <w:r>
        <w:rPr>
          <w:iCs/>
        </w:rPr>
        <w:t>тернете,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приветствуя</w:t>
      </w:r>
      <w:r>
        <w:rPr>
          <w:iCs/>
        </w:rPr>
        <w:t xml:space="preserve"> работу Управления Верховного комиссара Организации Объединенных Наций по правам человека по вопросу о праве на неприкосн</w:t>
      </w:r>
      <w:r>
        <w:rPr>
          <w:iCs/>
        </w:rPr>
        <w:t>о</w:t>
      </w:r>
      <w:r>
        <w:rPr>
          <w:iCs/>
        </w:rPr>
        <w:t>венность частной жизни в эпоху цифровых технологий, с интересом отмечая его доклад по этой теме</w:t>
      </w:r>
      <w:r>
        <w:rPr>
          <w:rStyle w:val="ab"/>
          <w:iCs/>
        </w:rPr>
        <w:footnoteReference w:id="1"/>
      </w:r>
      <w:r>
        <w:rPr>
          <w:iCs/>
        </w:rPr>
        <w:t xml:space="preserve"> и напоминая о дискуссии по вопросу о праве на неприкосновенность частной жизни в эпоху цифровых технологий, проведе</w:t>
      </w:r>
      <w:r>
        <w:rPr>
          <w:iCs/>
        </w:rPr>
        <w:t>н</w:t>
      </w:r>
      <w:r>
        <w:rPr>
          <w:iCs/>
        </w:rPr>
        <w:t>ной в ходе двадцать седьмой сессии Совета по правам человека</w:t>
      </w:r>
      <w:r>
        <w:rPr>
          <w:rStyle w:val="ab"/>
        </w:rPr>
        <w:footnoteReference w:id="2"/>
      </w:r>
      <w:r>
        <w:rPr>
          <w:iCs/>
        </w:rPr>
        <w:t>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принимая во внимание</w:t>
      </w:r>
      <w:r>
        <w:rPr>
          <w:i/>
          <w:iCs/>
        </w:rPr>
        <w:t xml:space="preserve"> </w:t>
      </w:r>
      <w:r>
        <w:rPr>
          <w:iCs/>
        </w:rPr>
        <w:t>доклад Специального докладчика по вопросу о п</w:t>
      </w:r>
      <w:r>
        <w:rPr>
          <w:iCs/>
        </w:rPr>
        <w:t>о</w:t>
      </w:r>
      <w:r>
        <w:rPr>
          <w:iCs/>
        </w:rPr>
        <w:t>ощрении и защите прав человека и основных свобод в условиях борьбы с те</w:t>
      </w:r>
      <w:r>
        <w:rPr>
          <w:iCs/>
        </w:rPr>
        <w:t>р</w:t>
      </w:r>
      <w:r>
        <w:rPr>
          <w:iCs/>
        </w:rPr>
        <w:t>роризмом</w:t>
      </w:r>
      <w:r>
        <w:rPr>
          <w:rStyle w:val="ab"/>
        </w:rPr>
        <w:footnoteReference w:id="3"/>
      </w:r>
      <w:r>
        <w:rPr>
          <w:iCs/>
        </w:rPr>
        <w:t xml:space="preserve"> и доклад Специального докладчика по вопросу о поощрении и защ</w:t>
      </w:r>
      <w:r>
        <w:rPr>
          <w:iCs/>
        </w:rPr>
        <w:t>и</w:t>
      </w:r>
      <w:r>
        <w:rPr>
          <w:iCs/>
        </w:rPr>
        <w:t>те права на свободу мнений и их свободное выражение</w:t>
      </w:r>
      <w:r>
        <w:rPr>
          <w:rStyle w:val="ab"/>
        </w:rPr>
        <w:footnoteReference w:id="4"/>
      </w:r>
      <w:r>
        <w:rPr>
          <w:iCs/>
        </w:rPr>
        <w:t>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с признательностью отмечая</w:t>
      </w:r>
      <w:r>
        <w:rPr>
          <w:i/>
          <w:iCs/>
        </w:rPr>
        <w:t xml:space="preserve"> </w:t>
      </w:r>
      <w:r>
        <w:rPr>
          <w:iCs/>
        </w:rPr>
        <w:t>замечание общего порядка № 16 Комитета по правам человека, касающееся права на неприкосновенность частной и с</w:t>
      </w:r>
      <w:r>
        <w:rPr>
          <w:iCs/>
        </w:rPr>
        <w:t>е</w:t>
      </w:r>
      <w:r>
        <w:rPr>
          <w:iCs/>
        </w:rPr>
        <w:t>мейной жизни, неприкосновенность жилища и тайну корреспонденции, а также защиту чести и репутации</w:t>
      </w:r>
      <w:r>
        <w:rPr>
          <w:rStyle w:val="ab"/>
        </w:rPr>
        <w:footnoteReference w:id="5"/>
      </w:r>
      <w:r>
        <w:rPr>
          <w:iCs/>
        </w:rPr>
        <w:t>, принимая при этом во внимание, что с момента его принятия произошел колоссальный технический скачок,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напоминая</w:t>
      </w:r>
      <w:r>
        <w:rPr>
          <w:iCs/>
        </w:rPr>
        <w:t>, что в своей резолюции 69/166 Генеральная Ассамблея пр</w:t>
      </w:r>
      <w:r>
        <w:rPr>
          <w:iCs/>
        </w:rPr>
        <w:t>и</w:t>
      </w:r>
      <w:r>
        <w:rPr>
          <w:iCs/>
        </w:rPr>
        <w:t>звала Совет по правам человека продолжать активно обсуждать вопрос о праве на неприкосновенность частной жизни в цифровой век для выявления и уто</w:t>
      </w:r>
      <w:r>
        <w:rPr>
          <w:iCs/>
        </w:rPr>
        <w:t>ч</w:t>
      </w:r>
      <w:r>
        <w:rPr>
          <w:iCs/>
        </w:rPr>
        <w:t>нения принципов, стандартов и передовой практики в области поощрения и з</w:t>
      </w:r>
      <w:r>
        <w:rPr>
          <w:iCs/>
        </w:rPr>
        <w:t>а</w:t>
      </w:r>
      <w:r>
        <w:rPr>
          <w:iCs/>
        </w:rPr>
        <w:t>щиты права на неприкосновенность частной жизни и рассмотреть возможность установления с этой целью специальной процедуры;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признавая</w:t>
      </w:r>
      <w:r>
        <w:rPr>
          <w:iCs/>
        </w:rPr>
        <w:t xml:space="preserve"> необходимость дальнейшего обсуждения и анализа на основе норм международного права прав человека вопросов, связанных с поощрением и защитой права на неприкосновенность частной жизни в цифровой век, пр</w:t>
      </w:r>
      <w:r>
        <w:rPr>
          <w:iCs/>
        </w:rPr>
        <w:t>о</w:t>
      </w:r>
      <w:r>
        <w:rPr>
          <w:iCs/>
        </w:rPr>
        <w:t>цессуальными гарантиями, действенным внутренним надзором и средствами правовой защиты, воздействием внешнего наблюдения на право на неприкосн</w:t>
      </w:r>
      <w:r>
        <w:rPr>
          <w:iCs/>
        </w:rPr>
        <w:t>о</w:t>
      </w:r>
      <w:r>
        <w:rPr>
          <w:iCs/>
        </w:rPr>
        <w:t>венность частной жизни и другие права человека, а также необходимость из</w:t>
      </w:r>
      <w:r>
        <w:rPr>
          <w:iCs/>
        </w:rPr>
        <w:t>у</w:t>
      </w:r>
      <w:r>
        <w:rPr>
          <w:iCs/>
        </w:rPr>
        <w:t>чения принципов непредвзятости и законности и актуальность оценок необх</w:t>
      </w:r>
      <w:r>
        <w:rPr>
          <w:iCs/>
        </w:rPr>
        <w:t>о</w:t>
      </w:r>
      <w:r>
        <w:rPr>
          <w:iCs/>
        </w:rPr>
        <w:t>димости и соразмерности в отношении практики внешнего наблюдения,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вновь подтверждая</w:t>
      </w:r>
      <w:r>
        <w:rPr>
          <w:iCs/>
        </w:rPr>
        <w:t xml:space="preserve"> право человека на неприкосновенность частной жи</w:t>
      </w:r>
      <w:r>
        <w:rPr>
          <w:iCs/>
        </w:rPr>
        <w:t>з</w:t>
      </w:r>
      <w:r>
        <w:rPr>
          <w:iCs/>
        </w:rPr>
        <w:t>ни, в соответствии с которым никто не должен подвергаться произвольному или незаконному вмешательству в его или ее частной и семейную жизнь, прои</w:t>
      </w:r>
      <w:r>
        <w:rPr>
          <w:iCs/>
        </w:rPr>
        <w:t>з</w:t>
      </w:r>
      <w:r>
        <w:rPr>
          <w:iCs/>
        </w:rPr>
        <w:t>вольным или незаконным посягательствам на неприкосновенность своего ж</w:t>
      </w:r>
      <w:r>
        <w:rPr>
          <w:iCs/>
        </w:rPr>
        <w:t>и</w:t>
      </w:r>
      <w:r>
        <w:rPr>
          <w:iCs/>
        </w:rPr>
        <w:t>лища или тайну своей корреспонденции, а также право на защиту закона от т</w:t>
      </w:r>
      <w:r>
        <w:rPr>
          <w:iCs/>
        </w:rPr>
        <w:t>а</w:t>
      </w:r>
      <w:r>
        <w:rPr>
          <w:iCs/>
        </w:rPr>
        <w:t>кого вмешательства или таких посягательств и признавая, что осуществление права на неприкосновенность частной жизни имеет важное значение для реал</w:t>
      </w:r>
      <w:r>
        <w:rPr>
          <w:iCs/>
        </w:rPr>
        <w:t>и</w:t>
      </w:r>
      <w:r>
        <w:rPr>
          <w:iCs/>
        </w:rPr>
        <w:t>зации права свободно выражать свои мнения и беспрепятственно придерж</w:t>
      </w:r>
      <w:r>
        <w:rPr>
          <w:iCs/>
        </w:rPr>
        <w:t>и</w:t>
      </w:r>
      <w:r>
        <w:rPr>
          <w:iCs/>
        </w:rPr>
        <w:t>ваться их и права на свободу мирных собраний и ассоциаций и является одной из основ демократического общества,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lastRenderedPageBreak/>
        <w:tab/>
      </w:r>
      <w:r>
        <w:rPr>
          <w:i/>
        </w:rPr>
        <w:t>отмечая</w:t>
      </w:r>
      <w:r>
        <w:rPr>
          <w:iCs/>
        </w:rPr>
        <w:t>, что быстрые темпы технологического развития позволяют л</w:t>
      </w:r>
      <w:r>
        <w:rPr>
          <w:iCs/>
        </w:rPr>
        <w:t>ю</w:t>
      </w:r>
      <w:r>
        <w:rPr>
          <w:iCs/>
        </w:rPr>
        <w:t>дям во всех регионах мира пользоваться новыми информационными и комм</w:t>
      </w:r>
      <w:r>
        <w:rPr>
          <w:iCs/>
        </w:rPr>
        <w:t>у</w:t>
      </w:r>
      <w:r>
        <w:rPr>
          <w:iCs/>
        </w:rPr>
        <w:t>никационными технологиями и в то же время повышают способность прав</w:t>
      </w:r>
      <w:r>
        <w:rPr>
          <w:iCs/>
        </w:rPr>
        <w:t>и</w:t>
      </w:r>
      <w:r>
        <w:rPr>
          <w:iCs/>
        </w:rPr>
        <w:t>тельств, компаний и физических лиц отслеживать, перехватывать и собирать информацию, что может нарушать или ущемлять права человека, особенно пр</w:t>
      </w:r>
      <w:r>
        <w:rPr>
          <w:iCs/>
        </w:rPr>
        <w:t>а</w:t>
      </w:r>
      <w:r>
        <w:rPr>
          <w:iCs/>
        </w:rPr>
        <w:t xml:space="preserve">во на неприкосновенность частной жизни, закрепленное в статье 12 Всеобщей декларации прав человека и в статье 17 Международного пакта о гражданских и политических правах, и что поэтому данный вопрос вызывает все большую озабоченность, 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отмечая также</w:t>
      </w:r>
      <w:r>
        <w:rPr>
          <w:iCs/>
        </w:rPr>
        <w:t>, что, в то время как метаданные могут обеспечить пр</w:t>
      </w:r>
      <w:r>
        <w:rPr>
          <w:iCs/>
        </w:rPr>
        <w:t>е</w:t>
      </w:r>
      <w:r>
        <w:rPr>
          <w:iCs/>
        </w:rPr>
        <w:t>имущества, агрегирование определенных видов метаданных может раскрыть информацию личного характера и данные, касающиеся поведения, социальных отношений, индивидуальных предпочтений и личности человека,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особо отмечая</w:t>
      </w:r>
      <w:r>
        <w:rPr>
          <w:iCs/>
        </w:rPr>
        <w:t>, что государства должны обеспечивать соблюдение ме</w:t>
      </w:r>
      <w:r>
        <w:rPr>
          <w:iCs/>
        </w:rPr>
        <w:t>ж</w:t>
      </w:r>
      <w:r>
        <w:rPr>
          <w:iCs/>
        </w:rPr>
        <w:t>дународно-правовых обязательств в области прав человека в части права на неприкосновенность частной жизни, когда они перехватывают цифровые соо</w:t>
      </w:r>
      <w:r>
        <w:rPr>
          <w:iCs/>
        </w:rPr>
        <w:t>б</w:t>
      </w:r>
      <w:r>
        <w:rPr>
          <w:iCs/>
        </w:rPr>
        <w:t>щения отдельных лиц и/или осуществляют сбор данных личного характера и когда они требуют раскрытия данных личного характера от третьих сторон, включая частные компании,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напоминая</w:t>
      </w:r>
      <w:r>
        <w:t xml:space="preserve"> о</w:t>
      </w:r>
      <w:r>
        <w:rPr>
          <w:iCs/>
        </w:rPr>
        <w:t xml:space="preserve"> том, что предприятия обязаны уважать права человека, как это предусмотрено в Руководящих принципах предпринимательской деятельн</w:t>
      </w:r>
      <w:r>
        <w:rPr>
          <w:iCs/>
        </w:rPr>
        <w:t>о</w:t>
      </w:r>
      <w:r>
        <w:rPr>
          <w:iCs/>
        </w:rPr>
        <w:t>сти в аспекте прав человека: осуществление рамок Организации Объединенных Наций в отношении "защиты, соблюдения и средств правовой защиты"</w:t>
      </w:r>
      <w:r>
        <w:rPr>
          <w:rStyle w:val="ab"/>
          <w:iCs/>
        </w:rPr>
        <w:footnoteReference w:id="6"/>
      </w:r>
      <w:r>
        <w:rPr>
          <w:iCs/>
        </w:rPr>
        <w:t>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будучи глубоко обеспокоен</w:t>
      </w:r>
      <w:r>
        <w:t xml:space="preserve"> </w:t>
      </w:r>
      <w:r>
        <w:rPr>
          <w:iCs/>
        </w:rPr>
        <w:t>тем, что слежение за сообщениями и/или их перехват, включая экстерриториальное слежение за сообщениями и/или их эк</w:t>
      </w:r>
      <w:r>
        <w:rPr>
          <w:iCs/>
        </w:rPr>
        <w:t>с</w:t>
      </w:r>
      <w:r>
        <w:rPr>
          <w:iCs/>
        </w:rPr>
        <w:t>территориальный перехват, а также сбор личных данных, особенно в массовом масштабе, могут иметь негативные последствия для осуществления и реализ</w:t>
      </w:r>
      <w:r>
        <w:rPr>
          <w:iCs/>
        </w:rPr>
        <w:t>а</w:t>
      </w:r>
      <w:r>
        <w:rPr>
          <w:iCs/>
        </w:rPr>
        <w:t>ции прав человека,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отмечая с глубокой озабоченностью</w:t>
      </w:r>
      <w:r>
        <w:rPr>
          <w:iCs/>
        </w:rPr>
        <w:t>, что во многих странах лица и орг</w:t>
      </w:r>
      <w:r>
        <w:rPr>
          <w:iCs/>
        </w:rPr>
        <w:t>а</w:t>
      </w:r>
      <w:r>
        <w:rPr>
          <w:iCs/>
        </w:rPr>
        <w:t>низации, занимающиеся поощрением и защитой прав человека и основных св</w:t>
      </w:r>
      <w:r>
        <w:rPr>
          <w:iCs/>
        </w:rPr>
        <w:t>о</w:t>
      </w:r>
      <w:r>
        <w:rPr>
          <w:iCs/>
        </w:rPr>
        <w:t>бод, часто подвергаются угрозам и преследованиям и оказываются в небезопа</w:t>
      </w:r>
      <w:r>
        <w:rPr>
          <w:iCs/>
        </w:rPr>
        <w:t>с</w:t>
      </w:r>
      <w:r>
        <w:rPr>
          <w:iCs/>
        </w:rPr>
        <w:t>ном положении, в частности вследствие незаконного или произвольного пос</w:t>
      </w:r>
      <w:r>
        <w:rPr>
          <w:iCs/>
        </w:rPr>
        <w:t>я</w:t>
      </w:r>
      <w:r>
        <w:rPr>
          <w:iCs/>
        </w:rPr>
        <w:t>гательства на их право на неприкосновенность частной жизни из-за их участия в этой деятельности,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отмечая</w:t>
      </w:r>
      <w:r>
        <w:rPr>
          <w:iCs/>
        </w:rPr>
        <w:t>, что, хотя озабоченность относительно общественной безопа</w:t>
      </w:r>
      <w:r>
        <w:rPr>
          <w:iCs/>
        </w:rPr>
        <w:t>с</w:t>
      </w:r>
      <w:r>
        <w:rPr>
          <w:iCs/>
        </w:rPr>
        <w:t>ности может оправдывать сбор и защиту некоторой конфиденциальной инфо</w:t>
      </w:r>
      <w:r>
        <w:rPr>
          <w:iCs/>
        </w:rPr>
        <w:t>р</w:t>
      </w:r>
      <w:r>
        <w:rPr>
          <w:iCs/>
        </w:rPr>
        <w:t>мации, государства должны обеспечивать соблюдение в полном объеме своих международно-правовых обязательств в области прав человека,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/>
        </w:rPr>
        <w:t>отмечая также</w:t>
      </w:r>
      <w:r>
        <w:rPr>
          <w:iCs/>
        </w:rPr>
        <w:t xml:space="preserve"> в этой связи, что меры по предупреждению и пресеч</w:t>
      </w:r>
      <w:r>
        <w:rPr>
          <w:iCs/>
        </w:rPr>
        <w:t>е</w:t>
      </w:r>
      <w:r>
        <w:rPr>
          <w:iCs/>
        </w:rPr>
        <w:t>нию терроризма имеют большое общественное значение, но при этом вновь подтверждая, что государства должны обеспечить, чтобы любые меры, прин</w:t>
      </w:r>
      <w:r>
        <w:rPr>
          <w:iCs/>
        </w:rPr>
        <w:t>и</w:t>
      </w:r>
      <w:r>
        <w:rPr>
          <w:iCs/>
        </w:rPr>
        <w:t>маемые для борьбы с терроризмом, соответствовали их обязательствам по ме</w:t>
      </w:r>
      <w:r>
        <w:rPr>
          <w:iCs/>
        </w:rPr>
        <w:t>ж</w:t>
      </w:r>
      <w:r>
        <w:rPr>
          <w:iCs/>
        </w:rPr>
        <w:t>дународному праву, в частности международному праву прав человека, беже</w:t>
      </w:r>
      <w:r>
        <w:rPr>
          <w:iCs/>
        </w:rPr>
        <w:t>н</w:t>
      </w:r>
      <w:r>
        <w:rPr>
          <w:iCs/>
        </w:rPr>
        <w:t>скому праву и международному гуманитарному праву,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1.</w:t>
      </w:r>
      <w:r>
        <w:rPr>
          <w:iCs/>
        </w:rPr>
        <w:tab/>
      </w:r>
      <w:r>
        <w:rPr>
          <w:i/>
        </w:rPr>
        <w:t>вновь подтверждает</w:t>
      </w:r>
      <w:r>
        <w:rPr>
          <w:iCs/>
        </w:rPr>
        <w:t xml:space="preserve"> право на неприкосновенность частной жизни, в соответствии с которым никто не должен подвергаться произвольному или н</w:t>
      </w:r>
      <w:r>
        <w:rPr>
          <w:iCs/>
        </w:rPr>
        <w:t>е</w:t>
      </w:r>
      <w:r>
        <w:rPr>
          <w:iCs/>
        </w:rPr>
        <w:t>законному вмешательству в его или ее частную и семейную жизнь, произвол</w:t>
      </w:r>
      <w:r>
        <w:rPr>
          <w:iCs/>
        </w:rPr>
        <w:t>ь</w:t>
      </w:r>
      <w:r>
        <w:rPr>
          <w:iCs/>
        </w:rPr>
        <w:lastRenderedPageBreak/>
        <w:t>ным или незаконным посягательствам на неприкосновенность жилища или тайну корреспонденции, и право на защиту закона от такого вмешательства или таких посягательств, как это предусмотрено в статье 12 Всеобщей декларации прав человека и статье 17 Международного пакта о гражданских и политич</w:t>
      </w:r>
      <w:r>
        <w:rPr>
          <w:iCs/>
        </w:rPr>
        <w:t>е</w:t>
      </w:r>
      <w:r>
        <w:rPr>
          <w:iCs/>
        </w:rPr>
        <w:t>ских правах;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2.</w:t>
      </w:r>
      <w:r>
        <w:rPr>
          <w:iCs/>
        </w:rPr>
        <w:tab/>
      </w:r>
      <w:r>
        <w:rPr>
          <w:i/>
        </w:rPr>
        <w:t>признает</w:t>
      </w:r>
      <w:r>
        <w:rPr>
          <w:iCs/>
        </w:rPr>
        <w:t xml:space="preserve"> глобальный и открытый характер Интернета и стрем</w:t>
      </w:r>
      <w:r>
        <w:rPr>
          <w:iCs/>
        </w:rPr>
        <w:t>и</w:t>
      </w:r>
      <w:r>
        <w:rPr>
          <w:iCs/>
        </w:rPr>
        <w:t>тельное развитие информационно-коммуникационных технологий в качестве одной из движущих сил ускорения прогресса на пути развития в его различных формах;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3.</w:t>
      </w:r>
      <w:r>
        <w:rPr>
          <w:iCs/>
        </w:rPr>
        <w:tab/>
      </w:r>
      <w:r>
        <w:rPr>
          <w:i/>
        </w:rPr>
        <w:t>подтверждает</w:t>
      </w:r>
      <w:r>
        <w:rPr>
          <w:iCs/>
        </w:rPr>
        <w:t>, что те же права, которыми люди обладают в обы</w:t>
      </w:r>
      <w:r>
        <w:rPr>
          <w:iCs/>
        </w:rPr>
        <w:t>ч</w:t>
      </w:r>
      <w:r>
        <w:rPr>
          <w:iCs/>
        </w:rPr>
        <w:t>ной жизни, включая право на неприкосновенность частной жизни, должны з</w:t>
      </w:r>
      <w:r>
        <w:rPr>
          <w:iCs/>
        </w:rPr>
        <w:t>а</w:t>
      </w:r>
      <w:r>
        <w:rPr>
          <w:iCs/>
        </w:rPr>
        <w:t>щищаться и в виртуальной среде;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4.</w:t>
      </w:r>
      <w:r>
        <w:rPr>
          <w:iCs/>
        </w:rPr>
        <w:tab/>
      </w:r>
      <w:r>
        <w:rPr>
          <w:i/>
        </w:rPr>
        <w:t>постановляет</w:t>
      </w:r>
      <w:r>
        <w:rPr>
          <w:iCs/>
        </w:rPr>
        <w:t xml:space="preserve"> назначить на трехлетний срок специального докла</w:t>
      </w:r>
      <w:r>
        <w:rPr>
          <w:iCs/>
        </w:rPr>
        <w:t>д</w:t>
      </w:r>
      <w:r>
        <w:rPr>
          <w:iCs/>
        </w:rPr>
        <w:t>чика по вопросу о праве на неприкосновенность частной жизни со следующими задачами: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a)</w:t>
      </w:r>
      <w:r>
        <w:rPr>
          <w:iCs/>
        </w:rPr>
        <w:tab/>
        <w:t>собирать соответствующую информацию, в частности о междун</w:t>
      </w:r>
      <w:r>
        <w:rPr>
          <w:iCs/>
        </w:rPr>
        <w:t>а</w:t>
      </w:r>
      <w:r>
        <w:rPr>
          <w:iCs/>
        </w:rPr>
        <w:t>родных и национальных правовых нормах, национальной практике и наци</w:t>
      </w:r>
      <w:r>
        <w:rPr>
          <w:iCs/>
        </w:rPr>
        <w:t>о</w:t>
      </w:r>
      <w:r>
        <w:rPr>
          <w:iCs/>
        </w:rPr>
        <w:t>нальном опыте, изучать тенденции, события и проблемы, связанные с правом на неприкосновенность частной жизни, а также выносить рекомендации для обеспечения его поощрения и защиты, в том числе в связи с проблемами, в</w:t>
      </w:r>
      <w:r>
        <w:rPr>
          <w:iCs/>
        </w:rPr>
        <w:t>ы</w:t>
      </w:r>
      <w:r>
        <w:rPr>
          <w:iCs/>
        </w:rPr>
        <w:t>званными новыми технологиями;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</w:r>
      <w:r>
        <w:rPr>
          <w:iCs/>
          <w:lang w:val="es-ES"/>
        </w:rPr>
        <w:t>b</w:t>
      </w:r>
      <w:r>
        <w:rPr>
          <w:iCs/>
        </w:rPr>
        <w:t>)</w:t>
      </w:r>
      <w:r>
        <w:rPr>
          <w:iCs/>
        </w:rPr>
        <w:tab/>
        <w:t>запрашивать информацию у государств, Организации Объедине</w:t>
      </w:r>
      <w:r>
        <w:rPr>
          <w:iCs/>
        </w:rPr>
        <w:t>н</w:t>
      </w:r>
      <w:r>
        <w:rPr>
          <w:iCs/>
        </w:rPr>
        <w:t>ных Наций и ее учреждений, программ и фондов, региональных правозащи</w:t>
      </w:r>
      <w:r>
        <w:rPr>
          <w:iCs/>
        </w:rPr>
        <w:t>т</w:t>
      </w:r>
      <w:r>
        <w:rPr>
          <w:iCs/>
        </w:rPr>
        <w:t>ных механизмов, национальных правозащитных учреждений, организаций гражданского общества, частного сектора, включая коммерческие предприятия, и у любых других соответствующих заинтересованных субъектов или сторон, а также получать такую информацию и реагировать на нее, избегая при этом ду</w:t>
      </w:r>
      <w:r>
        <w:rPr>
          <w:iCs/>
        </w:rPr>
        <w:t>б</w:t>
      </w:r>
      <w:r>
        <w:rPr>
          <w:iCs/>
        </w:rPr>
        <w:t>лирования в работе;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с)</w:t>
      </w:r>
      <w:r>
        <w:rPr>
          <w:iCs/>
        </w:rPr>
        <w:tab/>
        <w:t>выявлять возможные трудности, препятствующие поощрению и защите права на неприкосновенность частной жизни, выявлять и поощрять принципы и эффективную практику на национальном, региональном и межд</w:t>
      </w:r>
      <w:r>
        <w:rPr>
          <w:iCs/>
        </w:rPr>
        <w:t>у</w:t>
      </w:r>
      <w:r>
        <w:rPr>
          <w:iCs/>
        </w:rPr>
        <w:t>народном уровнях и обмениваться ими, а также представлять в этой связи С</w:t>
      </w:r>
      <w:r>
        <w:rPr>
          <w:iCs/>
        </w:rPr>
        <w:t>о</w:t>
      </w:r>
      <w:r>
        <w:rPr>
          <w:iCs/>
        </w:rPr>
        <w:t>вету по правам человека предложения и рекомендации, в том числе в отнош</w:t>
      </w:r>
      <w:r>
        <w:rPr>
          <w:iCs/>
        </w:rPr>
        <w:t>е</w:t>
      </w:r>
      <w:r>
        <w:rPr>
          <w:iCs/>
        </w:rPr>
        <w:t>нии особых проблем, возникающих в цифровой век;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d)</w:t>
      </w:r>
      <w:r>
        <w:rPr>
          <w:iCs/>
        </w:rPr>
        <w:tab/>
        <w:t>участвовать в соответствующих международных конференциях и мероприятиях и вносить свой вклад в их проведение с целью содействия пр</w:t>
      </w:r>
      <w:r>
        <w:rPr>
          <w:iCs/>
        </w:rPr>
        <w:t>и</w:t>
      </w:r>
      <w:r>
        <w:rPr>
          <w:iCs/>
        </w:rPr>
        <w:t>менению систематического и согласованного подхода к вопросам, относящимся к мандату;</w:t>
      </w:r>
    </w:p>
    <w:p w:rsidR="00E41C58" w:rsidRDefault="00E41C58" w:rsidP="00E41C58">
      <w:pPr>
        <w:pStyle w:val="SingleTxtGR"/>
        <w:rPr>
          <w:iCs/>
        </w:rPr>
      </w:pPr>
      <w:r>
        <w:tab/>
      </w:r>
      <w:r>
        <w:rPr>
          <w:iCs/>
        </w:rPr>
        <w:t>e)</w:t>
      </w:r>
      <w:r>
        <w:rPr>
          <w:iCs/>
        </w:rPr>
        <w:tab/>
        <w:t>повышать уровень информированности о значимости деятельности по поощрению и защите права на неприкосновенность частной жизни, в том числе в отношении особых проблем, возникающих в цифровой век, а также о важном значении предоставления лицам, чье право на неприкосновенность частной жизни было нарушено, доступа к эффективным средствам правовой защиты в соответствии с международными обязательствами в области прав ч</w:t>
      </w:r>
      <w:r>
        <w:rPr>
          <w:iCs/>
        </w:rPr>
        <w:t>е</w:t>
      </w:r>
      <w:r>
        <w:rPr>
          <w:iCs/>
        </w:rPr>
        <w:t>ловека;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f)</w:t>
      </w:r>
      <w:r>
        <w:rPr>
          <w:iCs/>
        </w:rPr>
        <w:tab/>
        <w:t>включить гендерные аспекты во все направления работы по ос</w:t>
      </w:r>
      <w:r>
        <w:rPr>
          <w:iCs/>
        </w:rPr>
        <w:t>у</w:t>
      </w:r>
      <w:r>
        <w:rPr>
          <w:iCs/>
        </w:rPr>
        <w:t>ществлению мандата;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lastRenderedPageBreak/>
        <w:tab/>
        <w:t>g)</w:t>
      </w:r>
      <w:r>
        <w:rPr>
          <w:iCs/>
        </w:rPr>
        <w:tab/>
        <w:t>сообщать о предполагаемых нарушениях, где бы они ни соверш</w:t>
      </w:r>
      <w:r>
        <w:rPr>
          <w:iCs/>
        </w:rPr>
        <w:t>а</w:t>
      </w:r>
      <w:r>
        <w:rPr>
          <w:iCs/>
        </w:rPr>
        <w:t>лись, права на неприкосновенность частной жизни в соответствии со статьей 12 Всеобщей декларации прав человека и статьей 17 Международного пакта о гражданских и политических правах, в том числе в связи с проблемами, в</w:t>
      </w:r>
      <w:r>
        <w:rPr>
          <w:iCs/>
        </w:rPr>
        <w:t>ы</w:t>
      </w:r>
      <w:r>
        <w:rPr>
          <w:iCs/>
        </w:rPr>
        <w:t>званными новыми технологиями, а также обращать внимание Совета и Верхо</w:t>
      </w:r>
      <w:r>
        <w:rPr>
          <w:iCs/>
        </w:rPr>
        <w:t>в</w:t>
      </w:r>
      <w:r>
        <w:rPr>
          <w:iCs/>
        </w:rPr>
        <w:t>ного комиссара Организации Объединенных Наций по правам человека на с</w:t>
      </w:r>
      <w:r>
        <w:rPr>
          <w:iCs/>
        </w:rPr>
        <w:t>и</w:t>
      </w:r>
      <w:r>
        <w:rPr>
          <w:iCs/>
        </w:rPr>
        <w:t>туации, вызывающие особенно серьезную обеспокоенность;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h)</w:t>
      </w:r>
      <w:r>
        <w:rPr>
          <w:iCs/>
        </w:rPr>
        <w:tab/>
        <w:t>представлять ежегодный доклад Совету по правам человека нач</w:t>
      </w:r>
      <w:r>
        <w:rPr>
          <w:iCs/>
        </w:rPr>
        <w:t>и</w:t>
      </w:r>
      <w:r>
        <w:rPr>
          <w:iCs/>
        </w:rPr>
        <w:t>ная с его тридцать первой сессии и Генеральной Ассамблее начиная с ее сем</w:t>
      </w:r>
      <w:r>
        <w:rPr>
          <w:iCs/>
        </w:rPr>
        <w:t>ь</w:t>
      </w:r>
      <w:r>
        <w:rPr>
          <w:iCs/>
        </w:rPr>
        <w:t>десят первой сессии;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5.</w:t>
      </w:r>
      <w:r>
        <w:rPr>
          <w:iCs/>
        </w:rPr>
        <w:tab/>
      </w:r>
      <w:r>
        <w:rPr>
          <w:i/>
        </w:rPr>
        <w:t>предлагает</w:t>
      </w:r>
      <w:r>
        <w:rPr>
          <w:iCs/>
        </w:rPr>
        <w:t xml:space="preserve"> Специальному докладчику включить в свой первый д</w:t>
      </w:r>
      <w:r>
        <w:rPr>
          <w:iCs/>
        </w:rPr>
        <w:t>о</w:t>
      </w:r>
      <w:r>
        <w:rPr>
          <w:iCs/>
        </w:rPr>
        <w:t>клад соображения, которые, по мнению мандатария, следует учитывать при рассмотрении вопроса о праве на неприкосновенность личной жизни в цифр</w:t>
      </w:r>
      <w:r>
        <w:rPr>
          <w:iCs/>
        </w:rPr>
        <w:t>о</w:t>
      </w:r>
      <w:r>
        <w:rPr>
          <w:iCs/>
        </w:rPr>
        <w:t>вой век;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6.</w:t>
      </w:r>
      <w:r>
        <w:rPr>
          <w:iCs/>
        </w:rPr>
        <w:tab/>
      </w:r>
      <w:r>
        <w:rPr>
          <w:i/>
        </w:rPr>
        <w:t>призывает</w:t>
      </w:r>
      <w:r>
        <w:rPr>
          <w:iCs/>
        </w:rPr>
        <w:t xml:space="preserve"> все государства полноценно сотрудничать со Специал</w:t>
      </w:r>
      <w:r>
        <w:rPr>
          <w:iCs/>
        </w:rPr>
        <w:t>ь</w:t>
      </w:r>
      <w:r>
        <w:rPr>
          <w:iCs/>
        </w:rPr>
        <w:t>ным докладчиком при выполнении им своего мандата и оказывать ему помощь, в том числе путем представления всей необходимой запрашиваемой информ</w:t>
      </w:r>
      <w:r>
        <w:rPr>
          <w:iCs/>
        </w:rPr>
        <w:t>а</w:t>
      </w:r>
      <w:r>
        <w:rPr>
          <w:iCs/>
        </w:rPr>
        <w:t>ции, оперативно реагировать на его призывы к незамедлительным действиям и другие сообщения, положительно реагировать на просьбы мандатария о пос</w:t>
      </w:r>
      <w:r>
        <w:rPr>
          <w:iCs/>
        </w:rPr>
        <w:t>е</w:t>
      </w:r>
      <w:r>
        <w:rPr>
          <w:iCs/>
        </w:rPr>
        <w:t>щении стран и рассматривать возможность выполнения рекомендаций, вын</w:t>
      </w:r>
      <w:r>
        <w:rPr>
          <w:iCs/>
        </w:rPr>
        <w:t>е</w:t>
      </w:r>
      <w:r>
        <w:rPr>
          <w:iCs/>
        </w:rPr>
        <w:t>сенных мандатарием в его докладах;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7.</w:t>
      </w:r>
      <w:r>
        <w:rPr>
          <w:iCs/>
        </w:rPr>
        <w:tab/>
      </w:r>
      <w:r>
        <w:rPr>
          <w:i/>
        </w:rPr>
        <w:t>рекомендует</w:t>
      </w:r>
      <w:r>
        <w:rPr>
          <w:iCs/>
        </w:rPr>
        <w:t xml:space="preserve"> всем соответствующим заинтересованным сторонам, включая Организацию Объединенных Наций и ее учреждения, программы и фонды, региональные правозащитные механизмы, национальные правозащи</w:t>
      </w:r>
      <w:r>
        <w:rPr>
          <w:iCs/>
        </w:rPr>
        <w:t>т</w:t>
      </w:r>
      <w:r>
        <w:rPr>
          <w:iCs/>
        </w:rPr>
        <w:t>ные учреждения, гражданское общество и частный сектор, полноценно сотру</w:t>
      </w:r>
      <w:r>
        <w:rPr>
          <w:iCs/>
        </w:rPr>
        <w:t>д</w:t>
      </w:r>
      <w:r>
        <w:rPr>
          <w:iCs/>
        </w:rPr>
        <w:t>ничать со Специальным докладчиком, с тем чтобы позволить ему эффективно выполнять свой мандат;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8.</w:t>
      </w:r>
      <w:r>
        <w:rPr>
          <w:iCs/>
        </w:rPr>
        <w:tab/>
      </w:r>
      <w:r>
        <w:rPr>
          <w:i/>
        </w:rPr>
        <w:t>просит</w:t>
      </w:r>
      <w:r>
        <w:rPr>
          <w:iCs/>
        </w:rPr>
        <w:t xml:space="preserve"> Генерального секретаря и Верховного комиссара пред</w:t>
      </w:r>
      <w:r>
        <w:rPr>
          <w:iCs/>
        </w:rPr>
        <w:t>о</w:t>
      </w:r>
      <w:r>
        <w:rPr>
          <w:iCs/>
        </w:rPr>
        <w:t>ставлять в распоряжение Специального докладчика все кадровые и финансовые ресурсы, необходимые для эффективного выполнения им своего мандата.</w:t>
      </w:r>
    </w:p>
    <w:p w:rsidR="00E41C58" w:rsidRDefault="00E41C58" w:rsidP="00E41C58">
      <w:pPr>
        <w:pStyle w:val="SingleTxtGR"/>
        <w:rPr>
          <w:iCs/>
        </w:rPr>
      </w:pPr>
      <w:r>
        <w:rPr>
          <w:iCs/>
        </w:rPr>
        <w:tab/>
        <w:t>9.</w:t>
      </w:r>
      <w:r>
        <w:rPr>
          <w:iCs/>
        </w:rPr>
        <w:tab/>
      </w:r>
      <w:r>
        <w:rPr>
          <w:i/>
        </w:rPr>
        <w:t>постановляет</w:t>
      </w:r>
      <w:r>
        <w:rPr>
          <w:iCs/>
        </w:rPr>
        <w:t xml:space="preserve"> продолжить рассмотрение данного вопроса в рамках того же пункта повестки дня.</w:t>
      </w:r>
    </w:p>
    <w:p w:rsidR="00E41C58" w:rsidRPr="00A2096C" w:rsidRDefault="00E41C58" w:rsidP="00A2096C">
      <w:pPr>
        <w:pStyle w:val="SingleTxtGR"/>
        <w:jc w:val="right"/>
        <w:rPr>
          <w:i/>
          <w:iCs/>
        </w:rPr>
      </w:pPr>
      <w:r w:rsidRPr="00A2096C">
        <w:rPr>
          <w:i/>
          <w:iCs/>
        </w:rPr>
        <w:t>56-е заседание</w:t>
      </w:r>
      <w:r w:rsidR="00A2096C" w:rsidRPr="00A2096C">
        <w:rPr>
          <w:i/>
          <w:iCs/>
          <w:lang w:val="en-US"/>
        </w:rPr>
        <w:br/>
      </w:r>
      <w:r w:rsidRPr="00A2096C">
        <w:rPr>
          <w:i/>
          <w:iCs/>
        </w:rPr>
        <w:t>28 марта 2015 года</w:t>
      </w:r>
    </w:p>
    <w:p w:rsidR="00E41C58" w:rsidRDefault="00E41C58" w:rsidP="00A2096C">
      <w:pPr>
        <w:pStyle w:val="SingleTxtGR"/>
        <w:jc w:val="left"/>
        <w:rPr>
          <w:iCs/>
        </w:rPr>
      </w:pPr>
      <w:r>
        <w:rPr>
          <w:iCs/>
        </w:rPr>
        <w:t>[Принята без голосования.]</w:t>
      </w:r>
    </w:p>
    <w:p w:rsidR="00E41C58" w:rsidRDefault="00E41C58" w:rsidP="00E41C5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32E39" w:rsidRPr="00E41C58" w:rsidRDefault="00932E39" w:rsidP="00932E39">
      <w:pPr>
        <w:pStyle w:val="SingleTxtGR"/>
      </w:pPr>
    </w:p>
    <w:sectPr w:rsidR="00932E39" w:rsidRPr="00E41C58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56C" w:rsidRDefault="00BE156C">
      <w:r>
        <w:rPr>
          <w:lang w:val="en-US"/>
        </w:rPr>
        <w:tab/>
      </w:r>
      <w:r>
        <w:separator/>
      </w:r>
    </w:p>
  </w:endnote>
  <w:endnote w:type="continuationSeparator" w:id="0">
    <w:p w:rsidR="00BE156C" w:rsidRDefault="00BE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93A1C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3561BC">
      <w:rPr>
        <w:lang w:val="en-US"/>
      </w:rPr>
      <w:t>06880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3561BC">
      <w:rPr>
        <w:lang w:val="en-US"/>
      </w:rPr>
      <w:t>06880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93A1C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E147C1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0D259A">
            <w:rPr>
              <w:lang w:val="en-US"/>
            </w:rPr>
            <w:t>06880</w:t>
          </w:r>
          <w:r w:rsidR="006D4931" w:rsidRPr="006D4931">
            <w:rPr>
              <w:lang w:val="en-US"/>
            </w:rPr>
            <w:t xml:space="preserve">   (R)</w:t>
          </w:r>
          <w:r w:rsidR="000D259A">
            <w:rPr>
              <w:lang w:val="en-US"/>
            </w:rPr>
            <w:t xml:space="preserve">   080415   080415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13FCF8" wp14:editId="7EDC8D2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8B0D23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A/HRC/RES/28/16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16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0D259A" w:rsidRDefault="000D259A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D259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56C" w:rsidRPr="00F71F63" w:rsidRDefault="00BE15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E156C" w:rsidRPr="00F71F63" w:rsidRDefault="00BE15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E156C" w:rsidRPr="00635E86" w:rsidRDefault="00BE156C" w:rsidP="00635E86">
      <w:pPr>
        <w:pStyle w:val="ac"/>
      </w:pPr>
    </w:p>
  </w:footnote>
  <w:footnote w:id="1">
    <w:p w:rsidR="00E41C58" w:rsidRPr="00E41C58" w:rsidRDefault="00E41C58" w:rsidP="00E41C58">
      <w:pPr>
        <w:pStyle w:val="af"/>
        <w:rPr>
          <w:lang w:val="ru-RU"/>
        </w:rPr>
      </w:pPr>
      <w:r>
        <w:tab/>
      </w:r>
      <w:r>
        <w:rPr>
          <w:rStyle w:val="ab"/>
        </w:rPr>
        <w:footnoteRef/>
      </w:r>
      <w:r w:rsidRPr="00E41C58">
        <w:rPr>
          <w:lang w:val="ru-RU"/>
        </w:rPr>
        <w:tab/>
      </w:r>
      <w:r>
        <w:rPr>
          <w:lang w:val="en-US"/>
        </w:rPr>
        <w:t>A</w:t>
      </w:r>
      <w:r w:rsidRPr="00E41C58">
        <w:rPr>
          <w:lang w:val="ru-RU"/>
        </w:rPr>
        <w:t>/</w:t>
      </w:r>
      <w:proofErr w:type="spellStart"/>
      <w:r>
        <w:rPr>
          <w:lang w:val="en-US"/>
        </w:rPr>
        <w:t>HRC</w:t>
      </w:r>
      <w:proofErr w:type="spellEnd"/>
      <w:r w:rsidRPr="00E41C58">
        <w:rPr>
          <w:lang w:val="ru-RU"/>
        </w:rPr>
        <w:t>/27/37.</w:t>
      </w:r>
    </w:p>
  </w:footnote>
  <w:footnote w:id="2">
    <w:p w:rsidR="00E41C58" w:rsidRDefault="00E41C58" w:rsidP="00E41C58">
      <w:pPr>
        <w:pStyle w:val="af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ab"/>
          <w:sz w:val="22"/>
          <w:szCs w:val="22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ru-RU"/>
        </w:rPr>
        <w:t xml:space="preserve">См. </w:t>
      </w:r>
      <w:r>
        <w:rPr>
          <w:lang w:val="en-US"/>
        </w:rPr>
        <w:t>A</w:t>
      </w:r>
      <w:r>
        <w:rPr>
          <w:lang w:val="ru-RU"/>
        </w:rPr>
        <w:t>/</w:t>
      </w:r>
      <w:proofErr w:type="spellStart"/>
      <w:r>
        <w:rPr>
          <w:lang w:val="en-US"/>
        </w:rPr>
        <w:t>HRC</w:t>
      </w:r>
      <w:proofErr w:type="spellEnd"/>
      <w:r>
        <w:rPr>
          <w:lang w:val="ru-RU"/>
        </w:rPr>
        <w:t xml:space="preserve">/28/39. </w:t>
      </w:r>
    </w:p>
  </w:footnote>
  <w:footnote w:id="3">
    <w:p w:rsidR="00E41C58" w:rsidRDefault="00E41C58" w:rsidP="00E41C58">
      <w:pPr>
        <w:pStyle w:val="af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ab"/>
          <w:sz w:val="22"/>
          <w:szCs w:val="22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en-US"/>
        </w:rPr>
        <w:t>A</w:t>
      </w:r>
      <w:r>
        <w:rPr>
          <w:lang w:val="ru-RU"/>
        </w:rPr>
        <w:t>/69/397.</w:t>
      </w:r>
    </w:p>
  </w:footnote>
  <w:footnote w:id="4">
    <w:p w:rsidR="00E41C58" w:rsidRDefault="00E41C58" w:rsidP="00E41C58">
      <w:pPr>
        <w:pStyle w:val="af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ab"/>
          <w:sz w:val="22"/>
          <w:szCs w:val="22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en-US"/>
        </w:rPr>
        <w:t>A</w:t>
      </w:r>
      <w:r>
        <w:rPr>
          <w:lang w:val="ru-RU"/>
        </w:rPr>
        <w:t>/</w:t>
      </w:r>
      <w:proofErr w:type="spellStart"/>
      <w:r>
        <w:rPr>
          <w:lang w:val="en-US"/>
        </w:rPr>
        <w:t>HRC</w:t>
      </w:r>
      <w:proofErr w:type="spellEnd"/>
      <w:r>
        <w:rPr>
          <w:lang w:val="ru-RU"/>
        </w:rPr>
        <w:t xml:space="preserve">/23/40 и </w:t>
      </w:r>
      <w:proofErr w:type="spellStart"/>
      <w:r>
        <w:rPr>
          <w:lang w:val="en-US"/>
        </w:rPr>
        <w:t>Corr</w:t>
      </w:r>
      <w:proofErr w:type="spellEnd"/>
      <w:r>
        <w:rPr>
          <w:lang w:val="ru-RU"/>
        </w:rPr>
        <w:t>.1.</w:t>
      </w:r>
    </w:p>
  </w:footnote>
  <w:footnote w:id="5">
    <w:p w:rsidR="00E41C58" w:rsidRDefault="00E41C58" w:rsidP="009C2CCA">
      <w:pPr>
        <w:pStyle w:val="af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ab"/>
          <w:sz w:val="22"/>
          <w:szCs w:val="22"/>
          <w:lang w:val="ru-RU"/>
        </w:rPr>
        <w:footnoteRef/>
      </w:r>
      <w:r>
        <w:rPr>
          <w:sz w:val="22"/>
          <w:szCs w:val="22"/>
          <w:lang w:val="ru-RU"/>
        </w:rPr>
        <w:tab/>
      </w:r>
      <w:bookmarkStart w:id="2" w:name="_GoBack"/>
      <w:bookmarkEnd w:id="2"/>
      <w:r>
        <w:rPr>
          <w:i/>
          <w:lang w:val="ru-RU"/>
        </w:rPr>
        <w:t>Официальные отчеты Генеральной Ассамблеи, сорок третья сессия, Дополнение №</w:t>
      </w:r>
      <w:r>
        <w:rPr>
          <w:i/>
          <w:lang w:val="en-US"/>
        </w:rPr>
        <w:t> </w:t>
      </w:r>
      <w:r>
        <w:rPr>
          <w:i/>
          <w:lang w:val="ru-RU"/>
        </w:rPr>
        <w:t>40</w:t>
      </w:r>
      <w:r>
        <w:rPr>
          <w:lang w:val="ru-RU"/>
        </w:rPr>
        <w:t xml:space="preserve"> (А/43/40), приложение</w:t>
      </w:r>
      <w:r>
        <w:rPr>
          <w:lang w:val="en-US"/>
        </w:rPr>
        <w:t> VI</w:t>
      </w:r>
      <w:r>
        <w:rPr>
          <w:lang w:val="ru-RU"/>
        </w:rPr>
        <w:t>.</w:t>
      </w:r>
    </w:p>
  </w:footnote>
  <w:footnote w:id="6">
    <w:p w:rsidR="00E41C58" w:rsidRDefault="00E41C58" w:rsidP="00E41C58">
      <w:pPr>
        <w:pStyle w:val="af"/>
        <w:rPr>
          <w:lang w:val="ru-RU"/>
        </w:rPr>
      </w:pPr>
      <w:r w:rsidRPr="00E41C58">
        <w:rPr>
          <w:lang w:val="ru-RU"/>
        </w:rPr>
        <w:tab/>
      </w:r>
      <w:r>
        <w:rPr>
          <w:rStyle w:val="ab"/>
        </w:rPr>
        <w:footnoteRef/>
      </w:r>
      <w:r>
        <w:tab/>
        <w:t>A/</w:t>
      </w:r>
      <w:proofErr w:type="spellStart"/>
      <w:r>
        <w:t>HRC</w:t>
      </w:r>
      <w:proofErr w:type="spellEnd"/>
      <w:r>
        <w:t>/17/31</w:t>
      </w:r>
      <w:r>
        <w:rPr>
          <w:lang w:val="ru-RU"/>
        </w:rPr>
        <w:t>, приложение.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0D259A">
      <w:rPr>
        <w:lang w:val="en-US"/>
      </w:rPr>
      <w:t>RES/28/16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</w:r>
    <w:r w:rsidR="003561BC">
      <w:rPr>
        <w:lang w:val="en-US"/>
      </w:rPr>
      <w:t>A/</w:t>
    </w:r>
    <w:proofErr w:type="spellStart"/>
    <w:r w:rsidR="003561BC">
      <w:rPr>
        <w:lang w:val="en-US"/>
      </w:rPr>
      <w:t>HRC</w:t>
    </w:r>
    <w:proofErr w:type="spellEnd"/>
    <w:r w:rsidR="003561BC">
      <w:rPr>
        <w:lang w:val="en-US"/>
      </w:rPr>
      <w:t>/RES/28/16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56C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259A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15F5"/>
    <w:rsid w:val="00332891"/>
    <w:rsid w:val="003561BC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0D23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2E39"/>
    <w:rsid w:val="009372F0"/>
    <w:rsid w:val="00955022"/>
    <w:rsid w:val="00957B4D"/>
    <w:rsid w:val="00964EEA"/>
    <w:rsid w:val="00972A8F"/>
    <w:rsid w:val="00980C86"/>
    <w:rsid w:val="009B1D9B"/>
    <w:rsid w:val="009B4074"/>
    <w:rsid w:val="009C2CCA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96C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BE156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1C58"/>
    <w:rsid w:val="00E46A04"/>
    <w:rsid w:val="00E717F3"/>
    <w:rsid w:val="00E72C5E"/>
    <w:rsid w:val="00E73451"/>
    <w:rsid w:val="00E7489F"/>
    <w:rsid w:val="00E75147"/>
    <w:rsid w:val="00E8167D"/>
    <w:rsid w:val="00E907E9"/>
    <w:rsid w:val="00E93A1C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1FD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,Char,Footnote Text Char2,Footnote Text Char1 Char,Footnote Text Char Char Char,Footnote Text Char Char1,Footnote Text Char1,Footnote Text Char Char,Footnote Text Char1 Char Char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,5_G Знак,Char Знак,Footnote Text Char2 Знак,Footnote Text Char1 Char Знак,Footnote Text Char Char Char Знак,Footnote Text Char Char1 Знак,Footnote Text Char1 Знак,Footnote Text Char Char Знак"/>
    <w:basedOn w:val="a3"/>
    <w:link w:val="af"/>
    <w:locked/>
    <w:rsid w:val="00E41C58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,Char,Footnote Text Char2,Footnote Text Char1 Char,Footnote Text Char Char Char,Footnote Text Char Char1,Footnote Text Char1,Footnote Text Char Char,Footnote Text Char1 Char Char"/>
    <w:basedOn w:val="a2"/>
    <w:link w:val="af0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,5_G Знак,Char Знак,Footnote Text Char2 Знак,Footnote Text Char1 Char Знак,Footnote Text Char Char Char Знак,Footnote Text Char Char1 Знак,Footnote Text Char1 Знак,Footnote Text Char Char Знак"/>
    <w:basedOn w:val="a3"/>
    <w:link w:val="af"/>
    <w:locked/>
    <w:rsid w:val="00E41C58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5</Pages>
  <Words>1615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Safonova I.</dc:creator>
  <cp:lastModifiedBy>Safonova I.</cp:lastModifiedBy>
  <cp:revision>2</cp:revision>
  <cp:lastPrinted>2015-04-08T12:36:00Z</cp:lastPrinted>
  <dcterms:created xsi:type="dcterms:W3CDTF">2015-04-08T14:47:00Z</dcterms:created>
  <dcterms:modified xsi:type="dcterms:W3CDTF">2015-04-08T14:47:00Z</dcterms:modified>
</cp:coreProperties>
</file>