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A99" w:rsidRPr="00DD5A99" w:rsidRDefault="00DD5A99" w:rsidP="00DD5A99">
      <w:pPr>
        <w:spacing w:line="240" w:lineRule="auto"/>
        <w:rPr>
          <w:sz w:val="2"/>
        </w:rPr>
        <w:sectPr w:rsidR="00DD5A99" w:rsidRPr="00DD5A99" w:rsidSect="00DD5A99">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Pr>
          <w:rStyle w:val="CommentReference"/>
        </w:rPr>
        <w:commentReference w:id="0"/>
      </w:r>
      <w:bookmarkStart w:id="1" w:name="_GoBack"/>
      <w:bookmarkEnd w:id="1"/>
    </w:p>
    <w:p w:rsidR="00CF1DFA" w:rsidRPr="00AC36A1" w:rsidRDefault="00CF1DFA" w:rsidP="00CF1DFA">
      <w:pPr>
        <w:pStyle w:val="H1"/>
        <w:ind w:right="1260"/>
      </w:pPr>
      <w:r w:rsidRPr="00AC36A1">
        <w:lastRenderedPageBreak/>
        <w:t>Committee on the Elimination of Discrimination</w:t>
      </w:r>
    </w:p>
    <w:p w:rsidR="00CF1DFA" w:rsidRPr="00AC36A1" w:rsidRDefault="00CF1DFA" w:rsidP="00CF1DFA">
      <w:pPr>
        <w:pStyle w:val="H1"/>
        <w:ind w:right="1260"/>
      </w:pPr>
      <w:r w:rsidRPr="00AC36A1">
        <w:t>against Women</w:t>
      </w:r>
    </w:p>
    <w:p w:rsidR="00CF1DFA" w:rsidRPr="00AC36A1" w:rsidRDefault="00CF1DFA" w:rsidP="00CF1DFA">
      <w:pPr>
        <w:pStyle w:val="SingleTxt"/>
        <w:spacing w:after="0" w:line="120" w:lineRule="exact"/>
        <w:rPr>
          <w:sz w:val="10"/>
        </w:rPr>
      </w:pPr>
    </w:p>
    <w:p w:rsidR="00CF1DFA" w:rsidRPr="00AC36A1" w:rsidRDefault="00CF1DFA" w:rsidP="00CF1DFA">
      <w:pPr>
        <w:pStyle w:val="SingleTxt"/>
        <w:spacing w:after="0" w:line="120" w:lineRule="exact"/>
        <w:rPr>
          <w:sz w:val="10"/>
        </w:rPr>
      </w:pPr>
    </w:p>
    <w:p w:rsidR="00CF1DFA" w:rsidRPr="00AC36A1" w:rsidRDefault="00CF1DFA" w:rsidP="00CF1DFA">
      <w:pPr>
        <w:pStyle w:val="SingleTxt"/>
        <w:spacing w:after="0" w:line="120" w:lineRule="exact"/>
        <w:rPr>
          <w:sz w:val="10"/>
        </w:rPr>
      </w:pPr>
    </w:p>
    <w:p w:rsidR="00CF1DFA" w:rsidRPr="00AC36A1" w:rsidRDefault="00CF1DFA" w:rsidP="00CF1DFA">
      <w:pPr>
        <w:pStyle w:val="HCh"/>
        <w:ind w:left="1267" w:right="1260" w:hanging="1267"/>
      </w:pPr>
      <w:r w:rsidRPr="00AC36A1">
        <w:tab/>
      </w:r>
      <w:r w:rsidRPr="00AC36A1">
        <w:tab/>
        <w:t xml:space="preserve">Consideration of reports submitted by States parties under article 18 of the Convention </w:t>
      </w:r>
    </w:p>
    <w:p w:rsidR="00CF1DFA" w:rsidRPr="00AC36A1" w:rsidRDefault="00CF1DFA" w:rsidP="00CF1DFA">
      <w:pPr>
        <w:pStyle w:val="SingleTxt"/>
        <w:spacing w:after="0" w:line="120" w:lineRule="exact"/>
        <w:rPr>
          <w:sz w:val="10"/>
        </w:rPr>
      </w:pPr>
    </w:p>
    <w:p w:rsidR="00CF1DFA" w:rsidRPr="00AC36A1" w:rsidRDefault="00CF1DFA" w:rsidP="00CF1DFA">
      <w:pPr>
        <w:pStyle w:val="SingleTxt"/>
        <w:spacing w:after="0" w:line="120" w:lineRule="exact"/>
        <w:rPr>
          <w:sz w:val="10"/>
        </w:rPr>
      </w:pPr>
    </w:p>
    <w:p w:rsidR="00CF1DFA" w:rsidRPr="00AC36A1" w:rsidRDefault="00CF1DFA" w:rsidP="00CF1DFA">
      <w:pPr>
        <w:pStyle w:val="H1"/>
        <w:ind w:right="1260"/>
      </w:pPr>
      <w:r w:rsidRPr="00AC36A1">
        <w:tab/>
      </w:r>
      <w:r w:rsidRPr="00AC36A1">
        <w:tab/>
        <w:t>Eighth periodic report of States parties due in 2015</w:t>
      </w:r>
    </w:p>
    <w:p w:rsidR="00CF1DFA" w:rsidRPr="00AC36A1" w:rsidRDefault="00CF1DFA" w:rsidP="00CF1DFA">
      <w:pPr>
        <w:pStyle w:val="SingleTxt"/>
        <w:spacing w:after="0" w:line="120" w:lineRule="exact"/>
        <w:rPr>
          <w:sz w:val="10"/>
        </w:rPr>
      </w:pPr>
    </w:p>
    <w:p w:rsidR="00CF1DFA" w:rsidRPr="00AC36A1" w:rsidRDefault="00CF1DFA" w:rsidP="00CF1DFA">
      <w:pPr>
        <w:pStyle w:val="SingleTxt"/>
        <w:spacing w:after="0" w:line="120" w:lineRule="exact"/>
        <w:rPr>
          <w:sz w:val="10"/>
        </w:rPr>
      </w:pPr>
    </w:p>
    <w:p w:rsidR="00CF1DFA" w:rsidRPr="00AC36A1" w:rsidRDefault="00CF1DFA" w:rsidP="00CF1DFA">
      <w:pPr>
        <w:framePr w:w="9792" w:h="432" w:hSpace="180" w:wrap="around" w:hAnchor="page" w:x="1210" w:yAlign="bottom"/>
        <w:spacing w:line="240" w:lineRule="auto"/>
        <w:rPr>
          <w:sz w:val="10"/>
        </w:rPr>
      </w:pPr>
      <w:r w:rsidRPr="00AC36A1">
        <w:rPr>
          <w:noProof/>
          <w:w w:val="100"/>
          <w:sz w:val="6"/>
          <w:lang w:val="en-US"/>
        </w:rPr>
        <mc:AlternateContent>
          <mc:Choice Requires="wps">
            <w:drawing>
              <wp:anchor distT="0" distB="0" distL="114300" distR="114300" simplePos="0" relativeHeight="251659264" behindDoc="0" locked="0" layoutInCell="1" allowOverlap="1" wp14:anchorId="412C8F57" wp14:editId="6583DD09">
                <wp:simplePos x="0" y="0"/>
                <wp:positionH relativeFrom="page">
                  <wp:posOffset>1233170</wp:posOffset>
                </wp:positionH>
                <wp:positionV relativeFrom="paragraph">
                  <wp:posOffset>60325</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97.1pt,4.75pt" to="169.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Yks3fdwAAAAHAQAADwAAAGRycy9kb3ducmV2LnhtbEyOwU7CQBRF9yb8w+SZuJOpoGSo&#10;nRIj0YS4AiXG3dB5tA2dN01ngMrX+2CDy5N7c+/JZr1rxAG7UHvS8DBMQCAV3tZUavj6fLtXIEI0&#10;ZE3jCTX8YoBZPrjJTGr9kZZ4WMVS8AiF1GioYmxTKUNRoTNh6Fskzra+cyYydqW0nTnyuGvkKEkm&#10;0pma+KEyLb5WWOxWe6dBnb7tfGE/1Lxfb99PrfqZLNcLre9u+5dnEBH7eC3DWZ/VIWenjd+TDaJh&#10;nj6OuKph+gSC8/FYMW8uLPNM/vfP/wAAAP//AwBQSwECLQAUAAYACAAAACEAtoM4kv4AAADhAQAA&#10;EwAAAAAAAAAAAAAAAAAAAAAAW0NvbnRlbnRfVHlwZXNdLnhtbFBLAQItABQABgAIAAAAIQA4/SH/&#10;1gAAAJQBAAALAAAAAAAAAAAAAAAAAC8BAABfcmVscy8ucmVsc1BLAQItABQABgAIAAAAIQBlRgmx&#10;2QEAAAwEAAAOAAAAAAAAAAAAAAAAAC4CAABkcnMvZTJvRG9jLnhtbFBLAQItABQABgAIAAAAIQBi&#10;Szd93AAAAAcBAAAPAAAAAAAAAAAAAAAAADMEAABkcnMvZG93bnJldi54bWxQSwUGAAAAAAQABADz&#10;AAAAPAUAAAAA&#10;" strokecolor="#010000" strokeweight=".25pt">
                <w10:wrap anchorx="page"/>
              </v:line>
            </w:pict>
          </mc:Fallback>
        </mc:AlternateContent>
      </w:r>
    </w:p>
    <w:p w:rsidR="00CF1DFA" w:rsidRPr="00AC36A1" w:rsidRDefault="00CF1DFA" w:rsidP="00CF1DFA">
      <w:pPr>
        <w:framePr w:w="9792" w:h="432" w:hSpace="180" w:wrap="around" w:hAnchor="page" w:x="1210" w:yAlign="bottom"/>
        <w:spacing w:line="240" w:lineRule="auto"/>
        <w:rPr>
          <w:sz w:val="6"/>
        </w:rPr>
      </w:pPr>
    </w:p>
    <w:p w:rsidR="00CF1DFA" w:rsidRPr="00AC36A1" w:rsidRDefault="00CF1DFA" w:rsidP="00CF1DF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457"/>
        <w:rPr>
          <w:sz w:val="17"/>
        </w:rPr>
      </w:pPr>
      <w:r w:rsidRPr="00AC36A1">
        <w:rPr>
          <w:sz w:val="17"/>
        </w:rPr>
        <w:tab/>
      </w:r>
      <w:r w:rsidRPr="00AC36A1">
        <w:rPr>
          <w:i/>
          <w:sz w:val="17"/>
        </w:rPr>
        <w:t>Note</w:t>
      </w:r>
      <w:r w:rsidRPr="00AC36A1">
        <w:rPr>
          <w:sz w:val="17"/>
        </w:rPr>
        <w:t xml:space="preserve">: </w:t>
      </w:r>
      <w:r w:rsidRPr="00AC36A1">
        <w:rPr>
          <w:sz w:val="17"/>
        </w:rPr>
        <w:tab/>
        <w:t>The present document is being circulated in English, French and Spanish only.</w:t>
      </w:r>
    </w:p>
    <w:p w:rsidR="00CF1DFA" w:rsidRPr="00AC36A1" w:rsidRDefault="00CF1DFA" w:rsidP="00CF1DF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277"/>
        <w:rPr>
          <w:sz w:val="17"/>
        </w:rPr>
      </w:pPr>
      <w:r w:rsidRPr="00AC36A1">
        <w:rPr>
          <w:sz w:val="17"/>
        </w:rPr>
        <w:tab/>
        <w:t>*</w:t>
      </w:r>
      <w:r w:rsidRPr="00AC36A1">
        <w:rPr>
          <w:sz w:val="17"/>
        </w:rPr>
        <w:tab/>
        <w:t>The present document is being issued without formal editing.</w:t>
      </w:r>
    </w:p>
    <w:p w:rsidR="00CF1DFA" w:rsidRPr="00AC36A1" w:rsidRDefault="00CF1DFA" w:rsidP="00CF1DFA">
      <w:pPr>
        <w:pStyle w:val="HCh"/>
        <w:ind w:left="1267" w:right="1260" w:hanging="1267"/>
      </w:pPr>
      <w:r w:rsidRPr="00AC36A1">
        <w:tab/>
      </w:r>
      <w:r w:rsidRPr="00AC36A1">
        <w:tab/>
        <w:t>Sri Lanka</w:t>
      </w:r>
      <w:r w:rsidRPr="00AC36A1">
        <w:rPr>
          <w:b w:val="0"/>
          <w:sz w:val="20"/>
        </w:rPr>
        <w:t>*</w:t>
      </w:r>
    </w:p>
    <w:p w:rsidR="00CF1DFA" w:rsidRPr="00AC36A1" w:rsidRDefault="00CF1DFA" w:rsidP="00CF1DFA">
      <w:pPr>
        <w:pStyle w:val="SingleTxt"/>
        <w:spacing w:after="0" w:line="120" w:lineRule="exact"/>
        <w:rPr>
          <w:sz w:val="10"/>
        </w:rPr>
      </w:pPr>
    </w:p>
    <w:p w:rsidR="00CF1DFA" w:rsidRPr="00AC36A1" w:rsidRDefault="00CF1DFA" w:rsidP="00CF1DFA">
      <w:pPr>
        <w:pStyle w:val="SingleTxt"/>
        <w:spacing w:after="0" w:line="120" w:lineRule="exact"/>
        <w:rPr>
          <w:sz w:val="10"/>
        </w:rPr>
      </w:pPr>
    </w:p>
    <w:p w:rsidR="00CF1DFA" w:rsidRPr="00AC36A1" w:rsidRDefault="00CF1DFA" w:rsidP="00CF1DFA">
      <w:pPr>
        <w:pStyle w:val="SingleTxt"/>
        <w:jc w:val="right"/>
      </w:pPr>
      <w:r w:rsidRPr="00AC36A1">
        <w:t>[Date received: 30 April 2015]</w:t>
      </w:r>
    </w:p>
    <w:p w:rsidR="00CF1DFA" w:rsidRPr="00AC36A1" w:rsidRDefault="00CF1DFA" w:rsidP="00CF1DFA">
      <w:pPr>
        <w:pStyle w:val="SingleTxt"/>
      </w:pPr>
    </w:p>
    <w:p w:rsidR="00CF1DFA" w:rsidRPr="00AC36A1" w:rsidRDefault="00CF1DFA">
      <w:pPr>
        <w:suppressAutoHyphens w:val="0"/>
        <w:spacing w:line="240" w:lineRule="auto"/>
      </w:pPr>
      <w:r w:rsidRPr="00AC36A1">
        <w:br w:type="page"/>
      </w:r>
    </w:p>
    <w:p w:rsidR="00CF1DFA" w:rsidRPr="00AC36A1" w:rsidRDefault="00CF1DFA" w:rsidP="00CF1DFA">
      <w:pPr>
        <w:pStyle w:val="HCh"/>
        <w:spacing w:after="120"/>
        <w:rPr>
          <w:b w:val="0"/>
        </w:rPr>
      </w:pPr>
      <w:r w:rsidRPr="00AC36A1">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CF1DFA" w:rsidRPr="00AC36A1" w:rsidTr="00CF1DFA">
        <w:tc>
          <w:tcPr>
            <w:tcW w:w="1060" w:type="dxa"/>
            <w:shd w:val="clear" w:color="auto" w:fill="auto"/>
          </w:tcPr>
          <w:p w:rsidR="00CF1DFA" w:rsidRPr="00AC36A1" w:rsidRDefault="00CF1DFA" w:rsidP="00CF1DFA">
            <w:pPr>
              <w:spacing w:after="120" w:line="240" w:lineRule="auto"/>
              <w:jc w:val="right"/>
              <w:rPr>
                <w:i/>
                <w:sz w:val="14"/>
              </w:rPr>
            </w:pPr>
          </w:p>
        </w:tc>
        <w:tc>
          <w:tcPr>
            <w:tcW w:w="7315" w:type="dxa"/>
            <w:shd w:val="clear" w:color="auto" w:fill="auto"/>
          </w:tcPr>
          <w:p w:rsidR="00CF1DFA" w:rsidRPr="00AC36A1" w:rsidRDefault="00CF1DFA" w:rsidP="00CF1DFA">
            <w:pPr>
              <w:spacing w:after="120" w:line="240" w:lineRule="auto"/>
              <w:rPr>
                <w:i/>
                <w:sz w:val="14"/>
              </w:rPr>
            </w:pPr>
          </w:p>
        </w:tc>
        <w:tc>
          <w:tcPr>
            <w:tcW w:w="994" w:type="dxa"/>
            <w:shd w:val="clear" w:color="auto" w:fill="auto"/>
          </w:tcPr>
          <w:p w:rsidR="00CF1DFA" w:rsidRPr="00AC36A1" w:rsidRDefault="00CF1DFA" w:rsidP="00CF1DFA">
            <w:pPr>
              <w:spacing w:after="120" w:line="240" w:lineRule="auto"/>
              <w:jc w:val="right"/>
              <w:rPr>
                <w:i/>
                <w:sz w:val="14"/>
              </w:rPr>
            </w:pPr>
          </w:p>
        </w:tc>
        <w:tc>
          <w:tcPr>
            <w:tcW w:w="533" w:type="dxa"/>
            <w:shd w:val="clear" w:color="auto" w:fill="auto"/>
          </w:tcPr>
          <w:p w:rsidR="00CF1DFA" w:rsidRPr="00AC36A1" w:rsidRDefault="00CF1DFA" w:rsidP="00CF1DFA">
            <w:pPr>
              <w:spacing w:after="120" w:line="240" w:lineRule="auto"/>
              <w:jc w:val="right"/>
              <w:rPr>
                <w:i/>
                <w:sz w:val="14"/>
              </w:rPr>
            </w:pPr>
            <w:r w:rsidRPr="00AC36A1">
              <w:rPr>
                <w:i/>
                <w:sz w:val="14"/>
              </w:rPr>
              <w:t>Page</w:t>
            </w:r>
          </w:p>
        </w:tc>
      </w:tr>
      <w:tr w:rsidR="00CF1DFA" w:rsidRPr="00AC36A1" w:rsidTr="00CF1DFA">
        <w:tc>
          <w:tcPr>
            <w:tcW w:w="9369" w:type="dxa"/>
            <w:gridSpan w:val="3"/>
            <w:shd w:val="clear" w:color="auto" w:fill="auto"/>
          </w:tcPr>
          <w:p w:rsidR="00CF1DFA" w:rsidRPr="00AC36A1" w:rsidRDefault="00CF1DFA" w:rsidP="00CF1DFA">
            <w:pPr>
              <w:pStyle w:val="ListParagraph"/>
              <w:tabs>
                <w:tab w:val="right" w:pos="1080"/>
                <w:tab w:val="left" w:pos="1296"/>
                <w:tab w:val="left" w:pos="1728"/>
                <w:tab w:val="left" w:pos="2160"/>
                <w:tab w:val="right" w:leader="dot" w:pos="9360"/>
              </w:tabs>
              <w:spacing w:after="120"/>
              <w:ind w:left="1296"/>
              <w:rPr>
                <w:spacing w:val="60"/>
                <w:sz w:val="17"/>
              </w:rPr>
            </w:pPr>
            <w:r w:rsidRPr="00AC36A1">
              <w:t>Abbreviations</w:t>
            </w:r>
            <w:r w:rsidRPr="00AC36A1">
              <w:rPr>
                <w:spacing w:val="60"/>
                <w:sz w:val="17"/>
              </w:rPr>
              <w:tab/>
            </w:r>
          </w:p>
        </w:tc>
        <w:tc>
          <w:tcPr>
            <w:tcW w:w="533" w:type="dxa"/>
            <w:shd w:val="clear" w:color="auto" w:fill="auto"/>
            <w:vAlign w:val="bottom"/>
          </w:tcPr>
          <w:p w:rsidR="00CF1DFA" w:rsidRPr="00AC36A1" w:rsidRDefault="00B228EB" w:rsidP="00CF1DFA">
            <w:pPr>
              <w:spacing w:after="120"/>
              <w:jc w:val="right"/>
            </w:pPr>
            <w:r w:rsidRPr="00AC36A1">
              <w:t>3</w:t>
            </w:r>
          </w:p>
        </w:tc>
      </w:tr>
      <w:tr w:rsidR="00CF1DFA" w:rsidRPr="00AC36A1" w:rsidTr="00CF1DFA">
        <w:tc>
          <w:tcPr>
            <w:tcW w:w="9369" w:type="dxa"/>
            <w:gridSpan w:val="3"/>
            <w:shd w:val="clear" w:color="auto" w:fill="auto"/>
          </w:tcPr>
          <w:p w:rsidR="00CF1DFA" w:rsidRPr="00AC36A1" w:rsidRDefault="00CF1DFA" w:rsidP="00CF1DFA">
            <w:pPr>
              <w:pStyle w:val="ListParagraph"/>
              <w:tabs>
                <w:tab w:val="right" w:pos="1080"/>
                <w:tab w:val="left" w:pos="1296"/>
                <w:tab w:val="left" w:pos="1728"/>
                <w:tab w:val="left" w:pos="2160"/>
                <w:tab w:val="right" w:leader="dot" w:pos="9360"/>
              </w:tabs>
              <w:spacing w:after="120"/>
              <w:ind w:left="1296"/>
              <w:rPr>
                <w:spacing w:val="60"/>
                <w:sz w:val="17"/>
              </w:rPr>
            </w:pPr>
            <w:r w:rsidRPr="00AC36A1">
              <w:t>Introduction</w:t>
            </w:r>
            <w:r w:rsidRPr="00AC36A1">
              <w:rPr>
                <w:spacing w:val="60"/>
                <w:sz w:val="17"/>
              </w:rPr>
              <w:tab/>
            </w:r>
          </w:p>
        </w:tc>
        <w:tc>
          <w:tcPr>
            <w:tcW w:w="533" w:type="dxa"/>
            <w:shd w:val="clear" w:color="auto" w:fill="auto"/>
            <w:vAlign w:val="bottom"/>
          </w:tcPr>
          <w:p w:rsidR="00CF1DFA" w:rsidRPr="00AC36A1" w:rsidRDefault="00B228EB" w:rsidP="00CF1DFA">
            <w:pPr>
              <w:spacing w:after="120"/>
              <w:jc w:val="right"/>
            </w:pPr>
            <w:r w:rsidRPr="00AC36A1">
              <w:t>4</w:t>
            </w:r>
          </w:p>
        </w:tc>
      </w:tr>
      <w:tr w:rsidR="00CF1DFA" w:rsidRPr="00AC36A1" w:rsidTr="00CF1DFA">
        <w:tc>
          <w:tcPr>
            <w:tcW w:w="9369" w:type="dxa"/>
            <w:gridSpan w:val="3"/>
            <w:shd w:val="clear" w:color="auto" w:fill="auto"/>
          </w:tcPr>
          <w:p w:rsidR="00CF1DFA" w:rsidRPr="00AC36A1" w:rsidRDefault="007E4893" w:rsidP="007E4893">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rPr>
                <w:spacing w:val="60"/>
                <w:sz w:val="17"/>
              </w:rPr>
            </w:pPr>
            <w:r w:rsidRPr="00AC36A1">
              <w:t>Part I</w:t>
            </w:r>
            <w:r w:rsidRPr="00AC36A1">
              <w:br/>
              <w:t>Responses to concluding comments</w:t>
            </w:r>
            <w:r w:rsidRPr="00AC36A1">
              <w:rPr>
                <w:spacing w:val="60"/>
                <w:sz w:val="17"/>
              </w:rPr>
              <w:tab/>
            </w:r>
          </w:p>
        </w:tc>
        <w:tc>
          <w:tcPr>
            <w:tcW w:w="533" w:type="dxa"/>
            <w:shd w:val="clear" w:color="auto" w:fill="auto"/>
            <w:vAlign w:val="bottom"/>
          </w:tcPr>
          <w:p w:rsidR="00CF1DFA" w:rsidRPr="00AC36A1" w:rsidRDefault="00B228EB" w:rsidP="00CF1DFA">
            <w:pPr>
              <w:spacing w:after="120"/>
              <w:jc w:val="right"/>
            </w:pPr>
            <w:r w:rsidRPr="00AC36A1">
              <w:t>6</w:t>
            </w:r>
          </w:p>
        </w:tc>
      </w:tr>
      <w:tr w:rsidR="007E4893" w:rsidRPr="00AC36A1" w:rsidTr="00CF1DFA">
        <w:tc>
          <w:tcPr>
            <w:tcW w:w="9369" w:type="dxa"/>
            <w:gridSpan w:val="3"/>
            <w:shd w:val="clear" w:color="auto" w:fill="auto"/>
          </w:tcPr>
          <w:p w:rsidR="007E4893" w:rsidRPr="00AC36A1" w:rsidRDefault="007E4893" w:rsidP="007E4893">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1296"/>
              <w:rPr>
                <w:spacing w:val="60"/>
                <w:sz w:val="17"/>
              </w:rPr>
            </w:pPr>
            <w:r w:rsidRPr="00AC36A1">
              <w:t>Part II</w:t>
            </w:r>
            <w:r w:rsidRPr="00AC36A1">
              <w:br/>
              <w:t>Progress since last periodic report</w:t>
            </w:r>
            <w:r w:rsidRPr="00AC36A1">
              <w:rPr>
                <w:spacing w:val="60"/>
                <w:sz w:val="17"/>
              </w:rPr>
              <w:tab/>
            </w:r>
          </w:p>
        </w:tc>
        <w:tc>
          <w:tcPr>
            <w:tcW w:w="533" w:type="dxa"/>
            <w:shd w:val="clear" w:color="auto" w:fill="auto"/>
            <w:vAlign w:val="bottom"/>
          </w:tcPr>
          <w:p w:rsidR="007E4893" w:rsidRPr="00AC36A1" w:rsidRDefault="00B228EB" w:rsidP="00CF1DFA">
            <w:pPr>
              <w:spacing w:after="120"/>
              <w:jc w:val="right"/>
            </w:pPr>
            <w:r w:rsidRPr="00AC36A1">
              <w:t>32</w:t>
            </w:r>
          </w:p>
        </w:tc>
      </w:tr>
      <w:tr w:rsidR="007E4893" w:rsidRPr="00AC36A1" w:rsidTr="00CF1DFA">
        <w:tc>
          <w:tcPr>
            <w:tcW w:w="9369" w:type="dxa"/>
            <w:gridSpan w:val="3"/>
            <w:shd w:val="clear" w:color="auto" w:fill="auto"/>
          </w:tcPr>
          <w:p w:rsidR="007E4893" w:rsidRPr="00AC36A1" w:rsidRDefault="007E4893" w:rsidP="007E4893">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pacing w:after="120"/>
              <w:ind w:left="1296"/>
              <w:rPr>
                <w:spacing w:val="60"/>
                <w:sz w:val="17"/>
              </w:rPr>
            </w:pPr>
            <w:r w:rsidRPr="00AC36A1">
              <w:rPr>
                <w:spacing w:val="2"/>
                <w:w w:val="100"/>
              </w:rPr>
              <w:t>Article 2 and 3</w:t>
            </w:r>
            <w:r w:rsidRPr="00AC36A1">
              <w:tab/>
              <w:t>Elimination of discrimination and right to fully participate in all fields</w:t>
            </w:r>
            <w:r w:rsidRPr="00AC36A1">
              <w:rPr>
                <w:spacing w:val="60"/>
                <w:sz w:val="17"/>
              </w:rPr>
              <w:tab/>
            </w:r>
          </w:p>
        </w:tc>
        <w:tc>
          <w:tcPr>
            <w:tcW w:w="533" w:type="dxa"/>
            <w:shd w:val="clear" w:color="auto" w:fill="auto"/>
            <w:vAlign w:val="bottom"/>
          </w:tcPr>
          <w:p w:rsidR="007E4893" w:rsidRPr="00AC36A1" w:rsidRDefault="00B228EB" w:rsidP="00CF1DFA">
            <w:pPr>
              <w:spacing w:after="120"/>
              <w:jc w:val="right"/>
            </w:pPr>
            <w:r w:rsidRPr="00AC36A1">
              <w:t>32</w:t>
            </w:r>
          </w:p>
        </w:tc>
      </w:tr>
      <w:tr w:rsidR="007E4893" w:rsidRPr="00AC36A1" w:rsidTr="00CF1DFA">
        <w:tc>
          <w:tcPr>
            <w:tcW w:w="9369" w:type="dxa"/>
            <w:gridSpan w:val="3"/>
            <w:shd w:val="clear" w:color="auto" w:fill="auto"/>
          </w:tcPr>
          <w:p w:rsidR="007E4893" w:rsidRPr="00AC36A1" w:rsidRDefault="007E4893" w:rsidP="007E4893">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rsidRPr="00AC36A1">
              <w:t>Article 4</w:t>
            </w:r>
            <w:r w:rsidRPr="00AC36A1">
              <w:tab/>
            </w:r>
            <w:r w:rsidRPr="00AC36A1">
              <w:tab/>
              <w:t>Temporary special measures</w:t>
            </w:r>
            <w:r w:rsidRPr="00AC36A1">
              <w:rPr>
                <w:spacing w:val="60"/>
                <w:sz w:val="17"/>
              </w:rPr>
              <w:tab/>
            </w:r>
          </w:p>
        </w:tc>
        <w:tc>
          <w:tcPr>
            <w:tcW w:w="533" w:type="dxa"/>
            <w:shd w:val="clear" w:color="auto" w:fill="auto"/>
            <w:vAlign w:val="bottom"/>
          </w:tcPr>
          <w:p w:rsidR="007E4893" w:rsidRPr="00AC36A1" w:rsidRDefault="00B228EB" w:rsidP="00CF1DFA">
            <w:pPr>
              <w:spacing w:after="120"/>
              <w:jc w:val="right"/>
            </w:pPr>
            <w:r w:rsidRPr="00AC36A1">
              <w:t>32</w:t>
            </w:r>
          </w:p>
        </w:tc>
      </w:tr>
      <w:tr w:rsidR="007E4893" w:rsidRPr="00AC36A1" w:rsidTr="00CF1DFA">
        <w:tc>
          <w:tcPr>
            <w:tcW w:w="9369" w:type="dxa"/>
            <w:gridSpan w:val="3"/>
            <w:shd w:val="clear" w:color="auto" w:fill="auto"/>
          </w:tcPr>
          <w:p w:rsidR="007E4893" w:rsidRPr="00AC36A1" w:rsidRDefault="007E4893" w:rsidP="007E4893">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ind w:left="1296"/>
              <w:rPr>
                <w:spacing w:val="60"/>
                <w:sz w:val="17"/>
              </w:rPr>
            </w:pPr>
            <w:r w:rsidRPr="00AC36A1">
              <w:t>Article 5</w:t>
            </w:r>
            <w:r w:rsidRPr="00AC36A1">
              <w:tab/>
            </w:r>
            <w:r w:rsidRPr="00AC36A1">
              <w:tab/>
              <w:t>Elimination of prejudices and customary and other practices</w:t>
            </w:r>
            <w:r w:rsidRPr="00AC36A1">
              <w:rPr>
                <w:spacing w:val="60"/>
                <w:sz w:val="17"/>
              </w:rPr>
              <w:tab/>
            </w:r>
          </w:p>
        </w:tc>
        <w:tc>
          <w:tcPr>
            <w:tcW w:w="533" w:type="dxa"/>
            <w:shd w:val="clear" w:color="auto" w:fill="auto"/>
            <w:vAlign w:val="bottom"/>
          </w:tcPr>
          <w:p w:rsidR="007E4893" w:rsidRPr="00AC36A1" w:rsidRDefault="00B228EB" w:rsidP="00CF1DFA">
            <w:pPr>
              <w:spacing w:after="120"/>
              <w:jc w:val="right"/>
            </w:pPr>
            <w:r w:rsidRPr="00AC36A1">
              <w:t>33</w:t>
            </w:r>
          </w:p>
        </w:tc>
      </w:tr>
      <w:tr w:rsidR="007E4893" w:rsidRPr="00AC36A1" w:rsidTr="00CF1DFA">
        <w:tc>
          <w:tcPr>
            <w:tcW w:w="9369" w:type="dxa"/>
            <w:gridSpan w:val="3"/>
            <w:shd w:val="clear" w:color="auto" w:fill="auto"/>
          </w:tcPr>
          <w:p w:rsidR="007E4893" w:rsidRPr="00AC36A1" w:rsidRDefault="007E4893" w:rsidP="007E4893">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ind w:left="1296"/>
              <w:rPr>
                <w:spacing w:val="60"/>
                <w:sz w:val="17"/>
              </w:rPr>
            </w:pPr>
            <w:r w:rsidRPr="00AC36A1">
              <w:t>Article 6</w:t>
            </w:r>
            <w:r w:rsidRPr="00AC36A1">
              <w:tab/>
            </w:r>
            <w:r w:rsidRPr="00AC36A1">
              <w:tab/>
              <w:t>Suppression of trafficking and exploitation of prostitution</w:t>
            </w:r>
            <w:r w:rsidRPr="00AC36A1">
              <w:rPr>
                <w:spacing w:val="60"/>
                <w:sz w:val="17"/>
              </w:rPr>
              <w:tab/>
            </w:r>
          </w:p>
        </w:tc>
        <w:tc>
          <w:tcPr>
            <w:tcW w:w="533" w:type="dxa"/>
            <w:shd w:val="clear" w:color="auto" w:fill="auto"/>
            <w:vAlign w:val="bottom"/>
          </w:tcPr>
          <w:p w:rsidR="007E4893" w:rsidRPr="00AC36A1" w:rsidRDefault="00B228EB" w:rsidP="00CF1DFA">
            <w:pPr>
              <w:spacing w:after="120"/>
              <w:jc w:val="right"/>
            </w:pPr>
            <w:r w:rsidRPr="00AC36A1">
              <w:t>33</w:t>
            </w:r>
          </w:p>
        </w:tc>
      </w:tr>
      <w:tr w:rsidR="007E4893" w:rsidRPr="00AC36A1" w:rsidTr="00CF1DFA">
        <w:tc>
          <w:tcPr>
            <w:tcW w:w="9369" w:type="dxa"/>
            <w:gridSpan w:val="3"/>
            <w:shd w:val="clear" w:color="auto" w:fill="auto"/>
          </w:tcPr>
          <w:p w:rsidR="007E4893" w:rsidRPr="00AC36A1" w:rsidRDefault="007E4893" w:rsidP="007E4893">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296"/>
              <w:rPr>
                <w:spacing w:val="60"/>
                <w:sz w:val="17"/>
              </w:rPr>
            </w:pPr>
            <w:r w:rsidRPr="00AC36A1">
              <w:t>Article 7</w:t>
            </w:r>
            <w:r w:rsidRPr="00AC36A1">
              <w:tab/>
            </w:r>
            <w:r w:rsidRPr="00AC36A1">
              <w:tab/>
              <w:t>Equal rights to vote and participate in political and public life</w:t>
            </w:r>
            <w:r w:rsidRPr="00AC36A1">
              <w:rPr>
                <w:spacing w:val="60"/>
                <w:sz w:val="17"/>
              </w:rPr>
              <w:tab/>
            </w:r>
          </w:p>
        </w:tc>
        <w:tc>
          <w:tcPr>
            <w:tcW w:w="533" w:type="dxa"/>
            <w:shd w:val="clear" w:color="auto" w:fill="auto"/>
            <w:vAlign w:val="bottom"/>
          </w:tcPr>
          <w:p w:rsidR="007E4893" w:rsidRPr="00AC36A1" w:rsidRDefault="00B228EB" w:rsidP="00CF1DFA">
            <w:pPr>
              <w:spacing w:after="120"/>
              <w:jc w:val="right"/>
            </w:pPr>
            <w:r w:rsidRPr="00AC36A1">
              <w:t>33</w:t>
            </w:r>
          </w:p>
        </w:tc>
      </w:tr>
      <w:tr w:rsidR="007E4893" w:rsidRPr="00AC36A1" w:rsidTr="00CF1DFA">
        <w:tc>
          <w:tcPr>
            <w:tcW w:w="9369" w:type="dxa"/>
            <w:gridSpan w:val="3"/>
            <w:shd w:val="clear" w:color="auto" w:fill="auto"/>
          </w:tcPr>
          <w:p w:rsidR="007E4893" w:rsidRPr="00AC36A1" w:rsidRDefault="007E4893" w:rsidP="00605A8B">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rPr>
                <w:spacing w:val="60"/>
                <w:sz w:val="17"/>
              </w:rPr>
            </w:pPr>
            <w:r w:rsidRPr="00AC36A1">
              <w:t>Article 8</w:t>
            </w:r>
            <w:r w:rsidRPr="00AC36A1">
              <w:tab/>
            </w:r>
            <w:r w:rsidRPr="00AC36A1">
              <w:tab/>
              <w:t xml:space="preserve">Equal rights to represent </w:t>
            </w:r>
            <w:r w:rsidR="00605A8B" w:rsidRPr="00AC36A1">
              <w:t>G</w:t>
            </w:r>
            <w:r w:rsidRPr="00AC36A1">
              <w:t>overnment</w:t>
            </w:r>
            <w:r w:rsidRPr="00AC36A1">
              <w:rPr>
                <w:spacing w:val="60"/>
                <w:sz w:val="17"/>
              </w:rPr>
              <w:tab/>
            </w:r>
          </w:p>
        </w:tc>
        <w:tc>
          <w:tcPr>
            <w:tcW w:w="533" w:type="dxa"/>
            <w:shd w:val="clear" w:color="auto" w:fill="auto"/>
            <w:vAlign w:val="bottom"/>
          </w:tcPr>
          <w:p w:rsidR="007E4893" w:rsidRPr="00AC36A1" w:rsidRDefault="00B228EB" w:rsidP="00CF1DFA">
            <w:pPr>
              <w:spacing w:after="120"/>
              <w:jc w:val="right"/>
            </w:pPr>
            <w:r w:rsidRPr="00AC36A1">
              <w:t>33</w:t>
            </w:r>
          </w:p>
        </w:tc>
      </w:tr>
      <w:tr w:rsidR="007E4893" w:rsidRPr="00AC36A1" w:rsidTr="00CF1DFA">
        <w:tc>
          <w:tcPr>
            <w:tcW w:w="9369" w:type="dxa"/>
            <w:gridSpan w:val="3"/>
            <w:shd w:val="clear" w:color="auto" w:fill="auto"/>
          </w:tcPr>
          <w:p w:rsidR="007E4893" w:rsidRPr="00AC36A1" w:rsidRDefault="007E4893" w:rsidP="007E4893">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rPr>
                <w:spacing w:val="60"/>
                <w:sz w:val="17"/>
              </w:rPr>
            </w:pPr>
            <w:r w:rsidRPr="00AC36A1">
              <w:t>Article 9</w:t>
            </w:r>
            <w:r w:rsidRPr="00AC36A1">
              <w:tab/>
            </w:r>
            <w:r w:rsidRPr="00AC36A1">
              <w:tab/>
              <w:t>Equal rights to regarding nationality</w:t>
            </w:r>
            <w:r w:rsidRPr="00AC36A1">
              <w:rPr>
                <w:spacing w:val="60"/>
                <w:sz w:val="17"/>
              </w:rPr>
              <w:tab/>
            </w:r>
          </w:p>
        </w:tc>
        <w:tc>
          <w:tcPr>
            <w:tcW w:w="533" w:type="dxa"/>
            <w:shd w:val="clear" w:color="auto" w:fill="auto"/>
            <w:vAlign w:val="bottom"/>
          </w:tcPr>
          <w:p w:rsidR="007E4893" w:rsidRPr="00AC36A1" w:rsidRDefault="00B228EB" w:rsidP="00CF1DFA">
            <w:pPr>
              <w:spacing w:after="120"/>
              <w:jc w:val="right"/>
            </w:pPr>
            <w:r w:rsidRPr="00AC36A1">
              <w:t>34</w:t>
            </w:r>
          </w:p>
        </w:tc>
      </w:tr>
      <w:tr w:rsidR="007E4893" w:rsidRPr="00AC36A1" w:rsidTr="00CF1DFA">
        <w:tc>
          <w:tcPr>
            <w:tcW w:w="9369" w:type="dxa"/>
            <w:gridSpan w:val="3"/>
            <w:shd w:val="clear" w:color="auto" w:fill="auto"/>
          </w:tcPr>
          <w:p w:rsidR="007E4893" w:rsidRPr="00AC36A1" w:rsidRDefault="007E4893" w:rsidP="007E4893">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rsidRPr="00AC36A1">
              <w:t>Article 10</w:t>
            </w:r>
            <w:r w:rsidRPr="00AC36A1">
              <w:tab/>
              <w:t>Equal rights to education</w:t>
            </w:r>
            <w:r w:rsidRPr="00AC36A1">
              <w:rPr>
                <w:spacing w:val="60"/>
                <w:sz w:val="17"/>
              </w:rPr>
              <w:tab/>
            </w:r>
          </w:p>
        </w:tc>
        <w:tc>
          <w:tcPr>
            <w:tcW w:w="533" w:type="dxa"/>
            <w:shd w:val="clear" w:color="auto" w:fill="auto"/>
            <w:vAlign w:val="bottom"/>
          </w:tcPr>
          <w:p w:rsidR="007E4893" w:rsidRPr="00AC36A1" w:rsidRDefault="00B228EB" w:rsidP="00CF1DFA">
            <w:pPr>
              <w:spacing w:after="120"/>
              <w:jc w:val="right"/>
            </w:pPr>
            <w:r w:rsidRPr="00AC36A1">
              <w:t>34</w:t>
            </w:r>
          </w:p>
        </w:tc>
      </w:tr>
      <w:tr w:rsidR="007E4893" w:rsidRPr="00AC36A1" w:rsidTr="00CF1DFA">
        <w:tc>
          <w:tcPr>
            <w:tcW w:w="9369" w:type="dxa"/>
            <w:gridSpan w:val="3"/>
            <w:shd w:val="clear" w:color="auto" w:fill="auto"/>
          </w:tcPr>
          <w:p w:rsidR="007E4893" w:rsidRPr="00AC36A1" w:rsidRDefault="007E4893" w:rsidP="007E4893">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rsidRPr="00AC36A1">
              <w:t>Article 11</w:t>
            </w:r>
            <w:r w:rsidRPr="00AC36A1">
              <w:tab/>
            </w:r>
            <w:r w:rsidRPr="00AC36A1">
              <w:tab/>
              <w:t>Equal rights to employment</w:t>
            </w:r>
            <w:r w:rsidRPr="00AC36A1">
              <w:rPr>
                <w:spacing w:val="60"/>
                <w:sz w:val="17"/>
              </w:rPr>
              <w:tab/>
            </w:r>
          </w:p>
        </w:tc>
        <w:tc>
          <w:tcPr>
            <w:tcW w:w="533" w:type="dxa"/>
            <w:shd w:val="clear" w:color="auto" w:fill="auto"/>
            <w:vAlign w:val="bottom"/>
          </w:tcPr>
          <w:p w:rsidR="007E4893" w:rsidRPr="00AC36A1" w:rsidRDefault="00B228EB" w:rsidP="00CF1DFA">
            <w:pPr>
              <w:spacing w:after="120"/>
              <w:jc w:val="right"/>
            </w:pPr>
            <w:r w:rsidRPr="00AC36A1">
              <w:t>39</w:t>
            </w:r>
          </w:p>
        </w:tc>
      </w:tr>
      <w:tr w:rsidR="007E4893" w:rsidRPr="00AC36A1" w:rsidTr="00CF1DFA">
        <w:tc>
          <w:tcPr>
            <w:tcW w:w="9369" w:type="dxa"/>
            <w:gridSpan w:val="3"/>
            <w:shd w:val="clear" w:color="auto" w:fill="auto"/>
          </w:tcPr>
          <w:p w:rsidR="007E4893" w:rsidRPr="00AC36A1" w:rsidRDefault="007E4893" w:rsidP="007E4893">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rsidRPr="00AC36A1">
              <w:t>Article 12</w:t>
            </w:r>
            <w:r w:rsidRPr="00AC36A1">
              <w:tab/>
              <w:t>Equal rights to access health</w:t>
            </w:r>
            <w:r w:rsidR="001A3542" w:rsidRPr="00AC36A1">
              <w:t xml:space="preserve"> </w:t>
            </w:r>
            <w:r w:rsidRPr="00AC36A1">
              <w:t>care</w:t>
            </w:r>
            <w:r w:rsidRPr="00AC36A1">
              <w:rPr>
                <w:spacing w:val="60"/>
                <w:sz w:val="17"/>
              </w:rPr>
              <w:tab/>
            </w:r>
          </w:p>
        </w:tc>
        <w:tc>
          <w:tcPr>
            <w:tcW w:w="533" w:type="dxa"/>
            <w:shd w:val="clear" w:color="auto" w:fill="auto"/>
            <w:vAlign w:val="bottom"/>
          </w:tcPr>
          <w:p w:rsidR="007E4893" w:rsidRPr="00AC36A1" w:rsidRDefault="00B228EB" w:rsidP="00CF1DFA">
            <w:pPr>
              <w:spacing w:after="120"/>
              <w:jc w:val="right"/>
            </w:pPr>
            <w:r w:rsidRPr="00AC36A1">
              <w:t>41</w:t>
            </w:r>
          </w:p>
        </w:tc>
      </w:tr>
      <w:tr w:rsidR="007E4893" w:rsidRPr="00AC36A1" w:rsidTr="00CF1DFA">
        <w:tc>
          <w:tcPr>
            <w:tcW w:w="9369" w:type="dxa"/>
            <w:gridSpan w:val="3"/>
            <w:shd w:val="clear" w:color="auto" w:fill="auto"/>
          </w:tcPr>
          <w:p w:rsidR="007E4893" w:rsidRPr="00AC36A1" w:rsidRDefault="007E4893" w:rsidP="001A3542">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296"/>
              <w:rPr>
                <w:spacing w:val="60"/>
                <w:sz w:val="17"/>
              </w:rPr>
            </w:pPr>
            <w:r w:rsidRPr="00AC36A1">
              <w:t>Article 13</w:t>
            </w:r>
            <w:r w:rsidRPr="00AC36A1">
              <w:tab/>
              <w:t xml:space="preserve">Equal rights in areas of economic and </w:t>
            </w:r>
            <w:r w:rsidR="001A3542" w:rsidRPr="00AC36A1">
              <w:t>s</w:t>
            </w:r>
            <w:r w:rsidRPr="00AC36A1">
              <w:t>ocial life</w:t>
            </w:r>
            <w:r w:rsidRPr="00AC36A1">
              <w:rPr>
                <w:spacing w:val="60"/>
                <w:sz w:val="17"/>
              </w:rPr>
              <w:tab/>
            </w:r>
          </w:p>
        </w:tc>
        <w:tc>
          <w:tcPr>
            <w:tcW w:w="533" w:type="dxa"/>
            <w:shd w:val="clear" w:color="auto" w:fill="auto"/>
            <w:vAlign w:val="bottom"/>
          </w:tcPr>
          <w:p w:rsidR="007E4893" w:rsidRPr="00AC36A1" w:rsidRDefault="00B228EB" w:rsidP="00CF1DFA">
            <w:pPr>
              <w:spacing w:after="120"/>
              <w:jc w:val="right"/>
            </w:pPr>
            <w:r w:rsidRPr="00AC36A1">
              <w:t>45</w:t>
            </w:r>
          </w:p>
        </w:tc>
      </w:tr>
      <w:tr w:rsidR="007E4893" w:rsidRPr="00AC36A1" w:rsidTr="00CF1DFA">
        <w:tc>
          <w:tcPr>
            <w:tcW w:w="9369" w:type="dxa"/>
            <w:gridSpan w:val="3"/>
            <w:shd w:val="clear" w:color="auto" w:fill="auto"/>
          </w:tcPr>
          <w:p w:rsidR="007E4893" w:rsidRPr="00AC36A1" w:rsidRDefault="007E4893" w:rsidP="007E4893">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296"/>
              <w:rPr>
                <w:spacing w:val="60"/>
                <w:sz w:val="17"/>
              </w:rPr>
            </w:pPr>
            <w:r w:rsidRPr="00AC36A1">
              <w:t>Article 14</w:t>
            </w:r>
            <w:r w:rsidRPr="00AC36A1">
              <w:tab/>
              <w:t>Equal rights to benefit from rural development</w:t>
            </w:r>
            <w:r w:rsidRPr="00AC36A1">
              <w:rPr>
                <w:spacing w:val="60"/>
                <w:sz w:val="17"/>
              </w:rPr>
              <w:tab/>
            </w:r>
          </w:p>
        </w:tc>
        <w:tc>
          <w:tcPr>
            <w:tcW w:w="533" w:type="dxa"/>
            <w:shd w:val="clear" w:color="auto" w:fill="auto"/>
            <w:vAlign w:val="bottom"/>
          </w:tcPr>
          <w:p w:rsidR="007E4893" w:rsidRPr="00AC36A1" w:rsidRDefault="00B228EB" w:rsidP="00CF1DFA">
            <w:pPr>
              <w:spacing w:after="120"/>
              <w:jc w:val="right"/>
            </w:pPr>
            <w:r w:rsidRPr="00AC36A1">
              <w:t>45</w:t>
            </w:r>
          </w:p>
        </w:tc>
      </w:tr>
      <w:tr w:rsidR="007E4893" w:rsidRPr="00AC36A1" w:rsidTr="00CF1DFA">
        <w:tc>
          <w:tcPr>
            <w:tcW w:w="9369" w:type="dxa"/>
            <w:gridSpan w:val="3"/>
            <w:shd w:val="clear" w:color="auto" w:fill="auto"/>
          </w:tcPr>
          <w:p w:rsidR="007E4893" w:rsidRPr="00AC36A1" w:rsidRDefault="007E4893" w:rsidP="001A3542">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296"/>
              <w:rPr>
                <w:spacing w:val="60"/>
                <w:sz w:val="17"/>
              </w:rPr>
            </w:pPr>
            <w:r w:rsidRPr="00AC36A1">
              <w:t>Article 15</w:t>
            </w:r>
            <w:r w:rsidRPr="00AC36A1">
              <w:tab/>
              <w:t xml:space="preserve">Equal rights with re. </w:t>
            </w:r>
            <w:r w:rsidR="001A3542" w:rsidRPr="00AC36A1">
              <w:t>t</w:t>
            </w:r>
            <w:r w:rsidRPr="00AC36A1">
              <w:t>o legal capacity on civil matters</w:t>
            </w:r>
            <w:r w:rsidRPr="00AC36A1">
              <w:rPr>
                <w:spacing w:val="60"/>
                <w:sz w:val="17"/>
              </w:rPr>
              <w:tab/>
            </w:r>
          </w:p>
        </w:tc>
        <w:tc>
          <w:tcPr>
            <w:tcW w:w="533" w:type="dxa"/>
            <w:shd w:val="clear" w:color="auto" w:fill="auto"/>
            <w:vAlign w:val="bottom"/>
          </w:tcPr>
          <w:p w:rsidR="007E4893" w:rsidRPr="00AC36A1" w:rsidRDefault="00B228EB" w:rsidP="00CF1DFA">
            <w:pPr>
              <w:spacing w:after="120"/>
              <w:jc w:val="right"/>
            </w:pPr>
            <w:r w:rsidRPr="00AC36A1">
              <w:t>45</w:t>
            </w:r>
          </w:p>
        </w:tc>
      </w:tr>
      <w:tr w:rsidR="007E4893" w:rsidRPr="00AC36A1" w:rsidTr="00CF1DFA">
        <w:tc>
          <w:tcPr>
            <w:tcW w:w="9369" w:type="dxa"/>
            <w:gridSpan w:val="3"/>
            <w:shd w:val="clear" w:color="auto" w:fill="auto"/>
          </w:tcPr>
          <w:p w:rsidR="007E4893" w:rsidRPr="00AC36A1" w:rsidRDefault="007E4893" w:rsidP="007E4893">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296"/>
              <w:rPr>
                <w:spacing w:val="60"/>
                <w:sz w:val="17"/>
              </w:rPr>
            </w:pPr>
            <w:r w:rsidRPr="00AC36A1">
              <w:t>Article 16</w:t>
            </w:r>
            <w:r w:rsidRPr="00AC36A1">
              <w:tab/>
              <w:t>Equal in respect of marriage and family relations</w:t>
            </w:r>
            <w:r w:rsidRPr="00AC36A1">
              <w:rPr>
                <w:spacing w:val="60"/>
                <w:sz w:val="17"/>
              </w:rPr>
              <w:tab/>
            </w:r>
          </w:p>
        </w:tc>
        <w:tc>
          <w:tcPr>
            <w:tcW w:w="533" w:type="dxa"/>
            <w:shd w:val="clear" w:color="auto" w:fill="auto"/>
            <w:vAlign w:val="bottom"/>
          </w:tcPr>
          <w:p w:rsidR="007E4893" w:rsidRPr="00AC36A1" w:rsidRDefault="00B228EB" w:rsidP="00CF1DFA">
            <w:pPr>
              <w:spacing w:after="120"/>
              <w:jc w:val="right"/>
            </w:pPr>
            <w:r w:rsidRPr="00AC36A1">
              <w:t>45</w:t>
            </w:r>
          </w:p>
        </w:tc>
      </w:tr>
      <w:tr w:rsidR="007E4893" w:rsidRPr="00AC36A1" w:rsidTr="00CF1DFA">
        <w:tc>
          <w:tcPr>
            <w:tcW w:w="9369" w:type="dxa"/>
            <w:gridSpan w:val="3"/>
            <w:shd w:val="clear" w:color="auto" w:fill="auto"/>
          </w:tcPr>
          <w:p w:rsidR="007E4893" w:rsidRPr="00AC36A1" w:rsidRDefault="007E4893" w:rsidP="007E4893">
            <w:pPr>
              <w:pStyle w:val="ListParagraph"/>
              <w:tabs>
                <w:tab w:val="right" w:pos="1080"/>
                <w:tab w:val="left" w:pos="1296"/>
                <w:tab w:val="left" w:pos="1728"/>
                <w:tab w:val="left" w:pos="2160"/>
                <w:tab w:val="right" w:leader="dot" w:pos="9360"/>
              </w:tabs>
              <w:spacing w:after="120"/>
              <w:ind w:left="1296"/>
              <w:rPr>
                <w:spacing w:val="60"/>
                <w:sz w:val="17"/>
              </w:rPr>
            </w:pPr>
            <w:r w:rsidRPr="00AC36A1">
              <w:t>Conclusion</w:t>
            </w:r>
            <w:r w:rsidRPr="00AC36A1">
              <w:rPr>
                <w:spacing w:val="60"/>
                <w:sz w:val="17"/>
              </w:rPr>
              <w:tab/>
            </w:r>
          </w:p>
        </w:tc>
        <w:tc>
          <w:tcPr>
            <w:tcW w:w="533" w:type="dxa"/>
            <w:shd w:val="clear" w:color="auto" w:fill="auto"/>
            <w:vAlign w:val="bottom"/>
          </w:tcPr>
          <w:p w:rsidR="007E4893" w:rsidRPr="00AC36A1" w:rsidRDefault="00B228EB" w:rsidP="00CF1DFA">
            <w:pPr>
              <w:spacing w:after="120"/>
              <w:jc w:val="right"/>
            </w:pPr>
            <w:r w:rsidRPr="00AC36A1">
              <w:t>45</w:t>
            </w:r>
          </w:p>
        </w:tc>
      </w:tr>
    </w:tbl>
    <w:p w:rsidR="00CF1DFA" w:rsidRPr="00AC36A1" w:rsidRDefault="00CF1DFA" w:rsidP="00CF1DFA"/>
    <w:p w:rsidR="00CF1DFA" w:rsidRPr="00AC36A1" w:rsidRDefault="00CF1DFA">
      <w:pPr>
        <w:suppressAutoHyphens w:val="0"/>
        <w:spacing w:line="240" w:lineRule="auto"/>
        <w:rPr>
          <w:b/>
          <w:sz w:val="24"/>
        </w:rPr>
      </w:pPr>
      <w:r w:rsidRPr="00AC36A1">
        <w:br w:type="page"/>
      </w:r>
    </w:p>
    <w:p w:rsidR="00CF1DFA" w:rsidRPr="00AC36A1" w:rsidRDefault="00CF1DFA" w:rsidP="00CF1DFA">
      <w:pPr>
        <w:pStyle w:val="H1"/>
        <w:ind w:right="1260"/>
      </w:pPr>
      <w:r w:rsidRPr="00AC36A1">
        <w:lastRenderedPageBreak/>
        <w:tab/>
      </w:r>
      <w:r w:rsidRPr="00AC36A1">
        <w:tab/>
        <w:t>Abbreviations</w:t>
      </w:r>
    </w:p>
    <w:p w:rsidR="00CF1DFA" w:rsidRPr="00AC36A1" w:rsidRDefault="00CF1DFA" w:rsidP="007E4893">
      <w:pPr>
        <w:pStyle w:val="SingleTxt"/>
        <w:spacing w:after="0" w:line="120" w:lineRule="exact"/>
        <w:rPr>
          <w:sz w:val="10"/>
        </w:rPr>
      </w:pPr>
    </w:p>
    <w:p w:rsidR="007E4893" w:rsidRPr="00AC36A1" w:rsidRDefault="007E4893" w:rsidP="007E4893">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980"/>
        <w:gridCol w:w="5340"/>
      </w:tblGrid>
      <w:tr w:rsidR="007E4893" w:rsidRPr="00AC36A1" w:rsidTr="008E7D5E">
        <w:tc>
          <w:tcPr>
            <w:tcW w:w="1980" w:type="dxa"/>
            <w:shd w:val="clear" w:color="auto" w:fill="auto"/>
          </w:tcPr>
          <w:p w:rsidR="007E4893" w:rsidRPr="00AC36A1" w:rsidRDefault="007E4893" w:rsidP="008E7D5E">
            <w:pPr>
              <w:spacing w:before="40" w:after="120"/>
            </w:pPr>
            <w:r w:rsidRPr="00AC36A1">
              <w:t>DV Act</w:t>
            </w:r>
          </w:p>
        </w:tc>
        <w:tc>
          <w:tcPr>
            <w:tcW w:w="5340" w:type="dxa"/>
            <w:shd w:val="clear" w:color="auto" w:fill="auto"/>
          </w:tcPr>
          <w:p w:rsidR="007E4893" w:rsidRPr="00AC36A1" w:rsidRDefault="007E4893" w:rsidP="008E7D5E">
            <w:pPr>
              <w:spacing w:before="40" w:after="120"/>
            </w:pPr>
            <w:r w:rsidRPr="00AC36A1">
              <w:t>Domestic Violence Act</w:t>
            </w:r>
          </w:p>
        </w:tc>
      </w:tr>
      <w:tr w:rsidR="007E4893" w:rsidRPr="00AC36A1" w:rsidTr="008E7D5E">
        <w:tc>
          <w:tcPr>
            <w:tcW w:w="1980" w:type="dxa"/>
            <w:shd w:val="clear" w:color="auto" w:fill="auto"/>
          </w:tcPr>
          <w:p w:rsidR="007E4893" w:rsidRPr="00AC36A1" w:rsidRDefault="007E4893" w:rsidP="008E7D5E">
            <w:pPr>
              <w:spacing w:before="40" w:after="120"/>
            </w:pPr>
            <w:r w:rsidRPr="00AC36A1">
              <w:t>EPF/ETF</w:t>
            </w:r>
          </w:p>
        </w:tc>
        <w:tc>
          <w:tcPr>
            <w:tcW w:w="5340" w:type="dxa"/>
            <w:shd w:val="clear" w:color="auto" w:fill="auto"/>
          </w:tcPr>
          <w:p w:rsidR="007E4893" w:rsidRPr="00AC36A1" w:rsidRDefault="007E4893" w:rsidP="008E7D5E">
            <w:pPr>
              <w:spacing w:before="40" w:after="120"/>
            </w:pPr>
            <w:r w:rsidRPr="00AC36A1">
              <w:t>Employees Provident Fund/Employees Trust Fund</w:t>
            </w:r>
          </w:p>
        </w:tc>
      </w:tr>
      <w:tr w:rsidR="007E4893" w:rsidRPr="00AC36A1" w:rsidTr="008E7D5E">
        <w:tc>
          <w:tcPr>
            <w:tcW w:w="1980" w:type="dxa"/>
            <w:shd w:val="clear" w:color="auto" w:fill="auto"/>
          </w:tcPr>
          <w:p w:rsidR="007E4893" w:rsidRPr="00AC36A1" w:rsidRDefault="007E4893" w:rsidP="008E7D5E">
            <w:pPr>
              <w:spacing w:before="40" w:after="120"/>
            </w:pPr>
            <w:r w:rsidRPr="00AC36A1">
              <w:t>GCE A/L</w:t>
            </w:r>
          </w:p>
        </w:tc>
        <w:tc>
          <w:tcPr>
            <w:tcW w:w="5340" w:type="dxa"/>
            <w:shd w:val="clear" w:color="auto" w:fill="auto"/>
          </w:tcPr>
          <w:p w:rsidR="007E4893" w:rsidRPr="00AC36A1" w:rsidRDefault="007E4893" w:rsidP="008E7D5E">
            <w:pPr>
              <w:spacing w:before="40" w:after="120"/>
            </w:pPr>
            <w:r w:rsidRPr="00AC36A1">
              <w:t>General Certificate in Education, Advanced Level</w:t>
            </w:r>
          </w:p>
        </w:tc>
      </w:tr>
      <w:tr w:rsidR="007E4893" w:rsidRPr="00AC36A1" w:rsidTr="008E7D5E">
        <w:tc>
          <w:tcPr>
            <w:tcW w:w="1980" w:type="dxa"/>
            <w:shd w:val="clear" w:color="auto" w:fill="auto"/>
          </w:tcPr>
          <w:p w:rsidR="007E4893" w:rsidRPr="00AC36A1" w:rsidRDefault="007E4893" w:rsidP="008E7D5E">
            <w:pPr>
              <w:spacing w:before="40" w:after="120"/>
            </w:pPr>
            <w:r w:rsidRPr="00AC36A1">
              <w:t>GCE O/L</w:t>
            </w:r>
          </w:p>
        </w:tc>
        <w:tc>
          <w:tcPr>
            <w:tcW w:w="5340" w:type="dxa"/>
            <w:shd w:val="clear" w:color="auto" w:fill="auto"/>
          </w:tcPr>
          <w:p w:rsidR="007E4893" w:rsidRPr="00AC36A1" w:rsidRDefault="007E4893" w:rsidP="008E7D5E">
            <w:pPr>
              <w:spacing w:before="40" w:after="120"/>
            </w:pPr>
            <w:r w:rsidRPr="00AC36A1">
              <w:t>General Certificate in Education, Ordinary Level</w:t>
            </w:r>
          </w:p>
        </w:tc>
      </w:tr>
      <w:tr w:rsidR="007E4893" w:rsidRPr="00AC36A1" w:rsidTr="008E7D5E">
        <w:tc>
          <w:tcPr>
            <w:tcW w:w="1980" w:type="dxa"/>
            <w:shd w:val="clear" w:color="auto" w:fill="auto"/>
          </w:tcPr>
          <w:p w:rsidR="007E4893" w:rsidRPr="00AC36A1" w:rsidRDefault="007E4893" w:rsidP="008E7D5E">
            <w:pPr>
              <w:spacing w:before="40" w:after="120"/>
            </w:pPr>
            <w:r w:rsidRPr="00AC36A1">
              <w:t>GoSL</w:t>
            </w:r>
          </w:p>
        </w:tc>
        <w:tc>
          <w:tcPr>
            <w:tcW w:w="5340" w:type="dxa"/>
            <w:shd w:val="clear" w:color="auto" w:fill="auto"/>
          </w:tcPr>
          <w:p w:rsidR="007E4893" w:rsidRPr="00AC36A1" w:rsidRDefault="007E4893" w:rsidP="008E7D5E">
            <w:pPr>
              <w:spacing w:before="40" w:after="120"/>
            </w:pPr>
            <w:r w:rsidRPr="00AC36A1">
              <w:t>Government of Sri Lanka</w:t>
            </w:r>
          </w:p>
        </w:tc>
      </w:tr>
      <w:tr w:rsidR="007E4893" w:rsidRPr="00AC36A1" w:rsidTr="008E7D5E">
        <w:tc>
          <w:tcPr>
            <w:tcW w:w="1980" w:type="dxa"/>
            <w:shd w:val="clear" w:color="auto" w:fill="auto"/>
          </w:tcPr>
          <w:p w:rsidR="007E4893" w:rsidRPr="00AC36A1" w:rsidRDefault="007E4893" w:rsidP="008E7D5E">
            <w:pPr>
              <w:spacing w:before="40" w:after="120"/>
            </w:pPr>
            <w:r w:rsidRPr="00AC36A1">
              <w:t>ILO</w:t>
            </w:r>
          </w:p>
        </w:tc>
        <w:tc>
          <w:tcPr>
            <w:tcW w:w="5340" w:type="dxa"/>
            <w:shd w:val="clear" w:color="auto" w:fill="auto"/>
          </w:tcPr>
          <w:p w:rsidR="007E4893" w:rsidRPr="00AC36A1" w:rsidRDefault="007E4893" w:rsidP="008E7D5E">
            <w:pPr>
              <w:spacing w:before="40" w:after="120"/>
            </w:pPr>
            <w:r w:rsidRPr="00AC36A1">
              <w:t>International Labour Organization</w:t>
            </w:r>
          </w:p>
        </w:tc>
      </w:tr>
      <w:tr w:rsidR="007E4893" w:rsidRPr="00AC36A1" w:rsidTr="008E7D5E">
        <w:tc>
          <w:tcPr>
            <w:tcW w:w="1980" w:type="dxa"/>
            <w:shd w:val="clear" w:color="auto" w:fill="auto"/>
          </w:tcPr>
          <w:p w:rsidR="007E4893" w:rsidRPr="00AC36A1" w:rsidRDefault="007E4893" w:rsidP="008E7D5E">
            <w:pPr>
              <w:spacing w:before="40" w:after="120"/>
            </w:pPr>
            <w:r w:rsidRPr="00AC36A1">
              <w:t>IOM</w:t>
            </w:r>
          </w:p>
        </w:tc>
        <w:tc>
          <w:tcPr>
            <w:tcW w:w="5340" w:type="dxa"/>
            <w:shd w:val="clear" w:color="auto" w:fill="auto"/>
          </w:tcPr>
          <w:p w:rsidR="007E4893" w:rsidRPr="00AC36A1" w:rsidRDefault="007E4893" w:rsidP="008E7D5E">
            <w:pPr>
              <w:spacing w:before="40" w:after="120"/>
            </w:pPr>
            <w:r w:rsidRPr="00AC36A1">
              <w:t>International Organization for Migration</w:t>
            </w:r>
          </w:p>
        </w:tc>
      </w:tr>
      <w:tr w:rsidR="007E4893" w:rsidRPr="00AC36A1" w:rsidTr="008E7D5E">
        <w:tc>
          <w:tcPr>
            <w:tcW w:w="1980" w:type="dxa"/>
            <w:shd w:val="clear" w:color="auto" w:fill="auto"/>
          </w:tcPr>
          <w:p w:rsidR="007E4893" w:rsidRPr="00AC36A1" w:rsidRDefault="007E4893" w:rsidP="008E7D5E">
            <w:pPr>
              <w:spacing w:before="40" w:after="120"/>
            </w:pPr>
            <w:r w:rsidRPr="00AC36A1">
              <w:t>LDO</w:t>
            </w:r>
          </w:p>
        </w:tc>
        <w:tc>
          <w:tcPr>
            <w:tcW w:w="5340" w:type="dxa"/>
            <w:shd w:val="clear" w:color="auto" w:fill="auto"/>
          </w:tcPr>
          <w:p w:rsidR="007E4893" w:rsidRPr="00AC36A1" w:rsidRDefault="007E4893" w:rsidP="008E7D5E">
            <w:pPr>
              <w:spacing w:before="40" w:after="120"/>
            </w:pPr>
            <w:r w:rsidRPr="00AC36A1">
              <w:t>Land Development Ordinance</w:t>
            </w:r>
          </w:p>
        </w:tc>
      </w:tr>
      <w:tr w:rsidR="007E4893" w:rsidRPr="00AC36A1" w:rsidTr="008E7D5E">
        <w:tc>
          <w:tcPr>
            <w:tcW w:w="1980" w:type="dxa"/>
            <w:shd w:val="clear" w:color="auto" w:fill="auto"/>
          </w:tcPr>
          <w:p w:rsidR="007E4893" w:rsidRPr="00AC36A1" w:rsidRDefault="007E4893" w:rsidP="008E7D5E">
            <w:pPr>
              <w:spacing w:before="40" w:after="120"/>
            </w:pPr>
            <w:r w:rsidRPr="00AC36A1">
              <w:t>LTTE</w:t>
            </w:r>
          </w:p>
        </w:tc>
        <w:tc>
          <w:tcPr>
            <w:tcW w:w="5340" w:type="dxa"/>
            <w:shd w:val="clear" w:color="auto" w:fill="auto"/>
          </w:tcPr>
          <w:p w:rsidR="007E4893" w:rsidRPr="00AC36A1" w:rsidRDefault="007E4893" w:rsidP="008E7D5E">
            <w:pPr>
              <w:spacing w:before="40" w:after="120"/>
            </w:pPr>
            <w:r w:rsidRPr="00AC36A1">
              <w:t>Liberation Tigers of Tamil Eelam</w:t>
            </w:r>
          </w:p>
        </w:tc>
      </w:tr>
      <w:tr w:rsidR="007E4893" w:rsidRPr="00AC36A1" w:rsidTr="008E7D5E">
        <w:tc>
          <w:tcPr>
            <w:tcW w:w="1980" w:type="dxa"/>
            <w:shd w:val="clear" w:color="auto" w:fill="auto"/>
          </w:tcPr>
          <w:p w:rsidR="007E4893" w:rsidRPr="00AC36A1" w:rsidRDefault="007E4893" w:rsidP="008E7D5E">
            <w:pPr>
              <w:spacing w:before="40" w:after="120"/>
            </w:pPr>
            <w:r w:rsidRPr="00AC36A1">
              <w:t xml:space="preserve">M/WA </w:t>
            </w:r>
          </w:p>
        </w:tc>
        <w:tc>
          <w:tcPr>
            <w:tcW w:w="5340" w:type="dxa"/>
            <w:shd w:val="clear" w:color="auto" w:fill="auto"/>
          </w:tcPr>
          <w:p w:rsidR="007E4893" w:rsidRPr="00AC36A1" w:rsidRDefault="007E4893" w:rsidP="008E7D5E">
            <w:pPr>
              <w:spacing w:before="40" w:after="120"/>
            </w:pPr>
            <w:r w:rsidRPr="00AC36A1">
              <w:t>Ministry of Women’s Affairs</w:t>
            </w:r>
          </w:p>
        </w:tc>
      </w:tr>
      <w:tr w:rsidR="007E4893" w:rsidRPr="00AC36A1" w:rsidTr="008E7D5E">
        <w:tc>
          <w:tcPr>
            <w:tcW w:w="1980" w:type="dxa"/>
            <w:shd w:val="clear" w:color="auto" w:fill="auto"/>
          </w:tcPr>
          <w:p w:rsidR="007E4893" w:rsidRPr="00AC36A1" w:rsidRDefault="007E4893" w:rsidP="008E7D5E">
            <w:pPr>
              <w:spacing w:before="40" w:after="120"/>
            </w:pPr>
            <w:r w:rsidRPr="00AC36A1">
              <w:t>MCH</w:t>
            </w:r>
          </w:p>
        </w:tc>
        <w:tc>
          <w:tcPr>
            <w:tcW w:w="5340" w:type="dxa"/>
            <w:shd w:val="clear" w:color="auto" w:fill="auto"/>
          </w:tcPr>
          <w:p w:rsidR="007E4893" w:rsidRPr="00AC36A1" w:rsidRDefault="007E4893" w:rsidP="008E7D5E">
            <w:pPr>
              <w:spacing w:before="40" w:after="120"/>
            </w:pPr>
            <w:r w:rsidRPr="00AC36A1">
              <w:t>Maternal Child Health</w:t>
            </w:r>
          </w:p>
        </w:tc>
      </w:tr>
      <w:tr w:rsidR="007E4893" w:rsidRPr="00AC36A1" w:rsidTr="008E7D5E">
        <w:tc>
          <w:tcPr>
            <w:tcW w:w="1980" w:type="dxa"/>
            <w:shd w:val="clear" w:color="auto" w:fill="auto"/>
          </w:tcPr>
          <w:p w:rsidR="007E4893" w:rsidRPr="00AC36A1" w:rsidRDefault="007E4893" w:rsidP="008E7D5E">
            <w:pPr>
              <w:spacing w:before="40" w:after="120"/>
            </w:pPr>
            <w:r w:rsidRPr="00AC36A1">
              <w:t>NGO</w:t>
            </w:r>
          </w:p>
        </w:tc>
        <w:tc>
          <w:tcPr>
            <w:tcW w:w="5340" w:type="dxa"/>
            <w:shd w:val="clear" w:color="auto" w:fill="auto"/>
          </w:tcPr>
          <w:p w:rsidR="007E4893" w:rsidRPr="00AC36A1" w:rsidRDefault="007E4893" w:rsidP="008E7D5E">
            <w:pPr>
              <w:spacing w:before="40" w:after="120"/>
            </w:pPr>
            <w:r w:rsidRPr="00AC36A1">
              <w:t>Non-Governmental Organizations</w:t>
            </w:r>
          </w:p>
        </w:tc>
      </w:tr>
      <w:tr w:rsidR="007E4893" w:rsidRPr="00AC36A1" w:rsidTr="008E7D5E">
        <w:tc>
          <w:tcPr>
            <w:tcW w:w="1980" w:type="dxa"/>
            <w:shd w:val="clear" w:color="auto" w:fill="auto"/>
          </w:tcPr>
          <w:p w:rsidR="007E4893" w:rsidRPr="00AC36A1" w:rsidRDefault="007E4893" w:rsidP="008E7D5E">
            <w:pPr>
              <w:spacing w:before="40" w:after="120"/>
            </w:pPr>
            <w:r w:rsidRPr="00AC36A1">
              <w:t>NVQ</w:t>
            </w:r>
          </w:p>
        </w:tc>
        <w:tc>
          <w:tcPr>
            <w:tcW w:w="5340" w:type="dxa"/>
            <w:shd w:val="clear" w:color="auto" w:fill="auto"/>
          </w:tcPr>
          <w:p w:rsidR="007E4893" w:rsidRPr="00AC36A1" w:rsidRDefault="007E4893" w:rsidP="008E7D5E">
            <w:pPr>
              <w:spacing w:before="40" w:after="120"/>
            </w:pPr>
            <w:r w:rsidRPr="00AC36A1">
              <w:t>National Vocational Qualifier</w:t>
            </w:r>
          </w:p>
        </w:tc>
      </w:tr>
      <w:tr w:rsidR="007E4893" w:rsidRPr="00AC36A1" w:rsidTr="008E7D5E">
        <w:tc>
          <w:tcPr>
            <w:tcW w:w="1980" w:type="dxa"/>
            <w:shd w:val="clear" w:color="auto" w:fill="auto"/>
          </w:tcPr>
          <w:p w:rsidR="007E4893" w:rsidRPr="00AC36A1" w:rsidRDefault="007E4893" w:rsidP="008E7D5E">
            <w:pPr>
              <w:spacing w:before="40" w:after="120"/>
            </w:pPr>
            <w:r w:rsidRPr="00AC36A1">
              <w:t>SLBFE</w:t>
            </w:r>
          </w:p>
        </w:tc>
        <w:tc>
          <w:tcPr>
            <w:tcW w:w="5340" w:type="dxa"/>
            <w:shd w:val="clear" w:color="auto" w:fill="auto"/>
          </w:tcPr>
          <w:p w:rsidR="007E4893" w:rsidRPr="00AC36A1" w:rsidRDefault="007E4893" w:rsidP="008E7D5E">
            <w:pPr>
              <w:spacing w:before="40" w:after="120"/>
            </w:pPr>
            <w:r w:rsidRPr="00AC36A1">
              <w:t>Sri Lanka Bureau of Foreign Employment</w:t>
            </w:r>
          </w:p>
        </w:tc>
      </w:tr>
      <w:tr w:rsidR="007E4893" w:rsidRPr="00AC36A1" w:rsidTr="008E7D5E">
        <w:tc>
          <w:tcPr>
            <w:tcW w:w="1980" w:type="dxa"/>
            <w:shd w:val="clear" w:color="auto" w:fill="auto"/>
          </w:tcPr>
          <w:p w:rsidR="007E4893" w:rsidRPr="00AC36A1" w:rsidRDefault="007E4893" w:rsidP="008E7D5E">
            <w:pPr>
              <w:spacing w:before="40" w:after="120"/>
            </w:pPr>
            <w:r w:rsidRPr="00AC36A1">
              <w:t>UNICEF</w:t>
            </w:r>
          </w:p>
        </w:tc>
        <w:tc>
          <w:tcPr>
            <w:tcW w:w="5340" w:type="dxa"/>
            <w:shd w:val="clear" w:color="auto" w:fill="auto"/>
          </w:tcPr>
          <w:p w:rsidR="007E4893" w:rsidRPr="00AC36A1" w:rsidRDefault="007E4893" w:rsidP="008E7D5E">
            <w:pPr>
              <w:spacing w:before="40" w:after="120"/>
            </w:pPr>
            <w:r w:rsidRPr="00AC36A1">
              <w:t>United Nations Children’s Education Fund</w:t>
            </w:r>
          </w:p>
        </w:tc>
      </w:tr>
      <w:tr w:rsidR="007E4893" w:rsidRPr="00AC36A1" w:rsidTr="008E7D5E">
        <w:tc>
          <w:tcPr>
            <w:tcW w:w="1980" w:type="dxa"/>
            <w:shd w:val="clear" w:color="auto" w:fill="auto"/>
          </w:tcPr>
          <w:p w:rsidR="007E4893" w:rsidRPr="00AC36A1" w:rsidRDefault="007E4893" w:rsidP="008E7D5E">
            <w:pPr>
              <w:spacing w:before="40" w:after="120"/>
            </w:pPr>
            <w:r w:rsidRPr="00AC36A1">
              <w:t>VAW</w:t>
            </w:r>
          </w:p>
        </w:tc>
        <w:tc>
          <w:tcPr>
            <w:tcW w:w="5340" w:type="dxa"/>
            <w:shd w:val="clear" w:color="auto" w:fill="auto"/>
          </w:tcPr>
          <w:p w:rsidR="007E4893" w:rsidRPr="00AC36A1" w:rsidRDefault="007E4893" w:rsidP="008E7D5E">
            <w:pPr>
              <w:spacing w:before="40" w:after="120"/>
            </w:pPr>
            <w:r w:rsidRPr="00AC36A1">
              <w:t>Violence against Women</w:t>
            </w:r>
          </w:p>
        </w:tc>
      </w:tr>
      <w:tr w:rsidR="007E4893" w:rsidRPr="00AC36A1" w:rsidTr="008E7D5E">
        <w:tc>
          <w:tcPr>
            <w:tcW w:w="1980" w:type="dxa"/>
            <w:shd w:val="clear" w:color="auto" w:fill="auto"/>
          </w:tcPr>
          <w:p w:rsidR="007E4893" w:rsidRPr="00AC36A1" w:rsidRDefault="007E4893" w:rsidP="008E7D5E">
            <w:pPr>
              <w:spacing w:before="40" w:after="120"/>
            </w:pPr>
            <w:r w:rsidRPr="00AC36A1">
              <w:t>WDO</w:t>
            </w:r>
          </w:p>
        </w:tc>
        <w:tc>
          <w:tcPr>
            <w:tcW w:w="5340" w:type="dxa"/>
            <w:shd w:val="clear" w:color="auto" w:fill="auto"/>
          </w:tcPr>
          <w:p w:rsidR="007E4893" w:rsidRPr="00AC36A1" w:rsidRDefault="007E4893" w:rsidP="008E7D5E">
            <w:pPr>
              <w:spacing w:before="40" w:after="120"/>
            </w:pPr>
            <w:r w:rsidRPr="00AC36A1">
              <w:t>Women Development Officers</w:t>
            </w:r>
          </w:p>
        </w:tc>
      </w:tr>
    </w:tbl>
    <w:p w:rsidR="007E4893" w:rsidRPr="00AC36A1" w:rsidRDefault="007E4893" w:rsidP="00CF1DFA">
      <w:pPr>
        <w:pStyle w:val="SingleTxt"/>
      </w:pPr>
    </w:p>
    <w:p w:rsidR="00CF1DFA" w:rsidRPr="00AC36A1" w:rsidRDefault="00CF1DFA" w:rsidP="00CF1DFA">
      <w:pPr>
        <w:pStyle w:val="SingleTxt"/>
      </w:pPr>
    </w:p>
    <w:p w:rsidR="008E7D5E" w:rsidRPr="00AC36A1" w:rsidRDefault="008E7D5E">
      <w:pPr>
        <w:suppressAutoHyphens w:val="0"/>
        <w:spacing w:line="240" w:lineRule="auto"/>
      </w:pPr>
      <w:r w:rsidRPr="00AC36A1">
        <w:br w:type="page"/>
      </w:r>
    </w:p>
    <w:p w:rsidR="00CF1DFA" w:rsidRPr="00AC36A1" w:rsidRDefault="008E7D5E" w:rsidP="008E7D5E">
      <w:pPr>
        <w:pStyle w:val="H1"/>
        <w:ind w:right="1260"/>
      </w:pPr>
      <w:r w:rsidRPr="00AC36A1">
        <w:tab/>
      </w:r>
      <w:r w:rsidRPr="00AC36A1">
        <w:tab/>
      </w:r>
      <w:r w:rsidR="00CF1DFA" w:rsidRPr="00AC36A1">
        <w:t>Introduction</w:t>
      </w:r>
    </w:p>
    <w:p w:rsidR="008E7D5E" w:rsidRPr="00AC36A1" w:rsidRDefault="008E7D5E" w:rsidP="008E7D5E">
      <w:pPr>
        <w:pStyle w:val="SingleTxt"/>
        <w:spacing w:after="0" w:line="120" w:lineRule="exact"/>
        <w:rPr>
          <w:sz w:val="10"/>
        </w:rPr>
      </w:pPr>
    </w:p>
    <w:p w:rsidR="008E7D5E" w:rsidRPr="00AC36A1" w:rsidRDefault="008E7D5E" w:rsidP="008E7D5E">
      <w:pPr>
        <w:pStyle w:val="SingleTxt"/>
        <w:spacing w:after="0" w:line="120" w:lineRule="exact"/>
        <w:rPr>
          <w:sz w:val="10"/>
        </w:rPr>
      </w:pPr>
    </w:p>
    <w:p w:rsidR="00CF1DFA" w:rsidRPr="00AC36A1" w:rsidRDefault="00CF1DFA" w:rsidP="00CF1DFA">
      <w:pPr>
        <w:pStyle w:val="SingleTxt"/>
      </w:pPr>
      <w:r w:rsidRPr="00AC36A1">
        <w:t>1.</w:t>
      </w:r>
      <w:r w:rsidRPr="00AC36A1">
        <w:tab/>
        <w:t>The Government of the Democratic Socialist Republic of Sri Lanka, (GoSL), is pleased to present its Eighth (8th) periodic report in terms of its obligation under Article 18 of the UN Convention on the Elimination of Discrimination Against Women, setting out developments, achievements and progress relevant to the period from 2011 to 2014.</w:t>
      </w:r>
    </w:p>
    <w:p w:rsidR="00CF1DFA" w:rsidRPr="00AC36A1" w:rsidRDefault="00CF1DFA" w:rsidP="00CF1DFA">
      <w:pPr>
        <w:pStyle w:val="SingleTxt"/>
      </w:pPr>
      <w:r w:rsidRPr="00AC36A1">
        <w:t>2.</w:t>
      </w:r>
      <w:r w:rsidRPr="00AC36A1">
        <w:tab/>
        <w:t>Sri Lanka’s previous reports were considered as follows-</w:t>
      </w:r>
    </w:p>
    <w:p w:rsidR="00CF1DFA" w:rsidRPr="00AC36A1" w:rsidRDefault="00CF1DFA" w:rsidP="00CF1DFA">
      <w:pPr>
        <w:pStyle w:val="SingleTxt"/>
      </w:pPr>
      <w:r w:rsidRPr="00AC36A1">
        <w:tab/>
        <w:t xml:space="preserve">Initial report </w:t>
      </w:r>
      <w:r w:rsidR="008435CF" w:rsidRPr="00AC36A1">
        <w:t>—</w:t>
      </w:r>
      <w:r w:rsidRPr="00AC36A1">
        <w:t xml:space="preserve"> at the 6th session held in Vienna in March 1987</w:t>
      </w:r>
    </w:p>
    <w:p w:rsidR="00CF1DFA" w:rsidRPr="00AC36A1" w:rsidRDefault="008E7D5E" w:rsidP="00CF1DFA">
      <w:pPr>
        <w:pStyle w:val="SingleTxt"/>
      </w:pPr>
      <w:r w:rsidRPr="00AC36A1">
        <w:tab/>
      </w:r>
      <w:r w:rsidR="00CF1DFA" w:rsidRPr="00AC36A1">
        <w:t xml:space="preserve">2nd periodic Report </w:t>
      </w:r>
      <w:r w:rsidR="008435CF" w:rsidRPr="00AC36A1">
        <w:t>—</w:t>
      </w:r>
      <w:r w:rsidR="00CF1DFA" w:rsidRPr="00AC36A1">
        <w:t xml:space="preserve"> at its 11th session in New York in January 1992</w:t>
      </w:r>
    </w:p>
    <w:p w:rsidR="00CF1DFA" w:rsidRPr="00AC36A1" w:rsidRDefault="008E7D5E" w:rsidP="008E7D5E">
      <w:pPr>
        <w:pStyle w:val="SingleTxt"/>
        <w:ind w:left="1742" w:hanging="475"/>
      </w:pPr>
      <w:r w:rsidRPr="00AC36A1">
        <w:tab/>
      </w:r>
      <w:r w:rsidR="00CF1DFA" w:rsidRPr="00AC36A1">
        <w:t xml:space="preserve">3rd and 4th combined periodic reports </w:t>
      </w:r>
      <w:r w:rsidR="008435CF" w:rsidRPr="00AC36A1">
        <w:t>—</w:t>
      </w:r>
      <w:r w:rsidR="00CF1DFA" w:rsidRPr="00AC36A1">
        <w:t xml:space="preserve"> at its 26th session in New York in January 2002</w:t>
      </w:r>
    </w:p>
    <w:p w:rsidR="00CF1DFA" w:rsidRPr="00AC36A1" w:rsidRDefault="008E7D5E" w:rsidP="008E7D5E">
      <w:pPr>
        <w:pStyle w:val="SingleTxt"/>
        <w:ind w:left="1742" w:hanging="475"/>
      </w:pPr>
      <w:r w:rsidRPr="00AC36A1">
        <w:tab/>
      </w:r>
      <w:r w:rsidR="00CF1DFA" w:rsidRPr="00AC36A1">
        <w:t xml:space="preserve">5th to 7th combined periodic reports </w:t>
      </w:r>
      <w:r w:rsidR="008435CF" w:rsidRPr="00AC36A1">
        <w:t>—</w:t>
      </w:r>
      <w:r w:rsidR="00CF1DFA" w:rsidRPr="00AC36A1">
        <w:t xml:space="preserve"> at its 48th session in Geneva in January 2011.</w:t>
      </w:r>
    </w:p>
    <w:p w:rsidR="00CF1DFA" w:rsidRPr="00AC36A1" w:rsidRDefault="00CF1DFA" w:rsidP="00CF1DFA">
      <w:pPr>
        <w:pStyle w:val="SingleTxt"/>
      </w:pPr>
      <w:r w:rsidRPr="00AC36A1">
        <w:t>3.</w:t>
      </w:r>
      <w:r w:rsidRPr="00AC36A1">
        <w:tab/>
        <w:t>Sri Lanka is committed to taking consistent and sustainable pro-</w:t>
      </w:r>
      <w:r w:rsidR="008E7D5E" w:rsidRPr="00AC36A1">
        <w:t>equality and pro-</w:t>
      </w:r>
      <w:r w:rsidRPr="00AC36A1">
        <w:t>empowerment policies learning from experience and best practices elsewhere. As a result the country is making progress in achieving equality for women in all aspects including their empowerment, equal participation in the labour force and increased engagement in decision making processes. Sri Lanka is one of the few countries in Asia that has a sex ratio favourable to women. In this context, Sri Lanka’s advancement in light of changing demographics will ultimately depend on its ability to enable women and young people to be active participants in the country’s development agenda. This requires an increase in sustained investment targeted at gender equality and social protection and steps are being taken in this regard. Sri Lanka’s most significant achievements have been in the health and education sectors. Due to consistent policies upholding free education and compulsory enrolment in school followed by successive government, women achieve a high level of education. This has propelled women to secure a higher status in society and in the workplace. Although representation is lagging in some areas such as in elected political bodies, women enjoy equal opportunities and choices, they remain politically active and their voices are heard at the highest level. Despite the low number of women political representatives, women’s participation in the formulation of government policy is, holding public office and performing public functions at all levels of Government has increased. The Sri Lanka Administrative Service (SLAS) is the largest service in Public Service. The number of women in the SLAS increased from 7.65 per cent in 1979 to 35.4 per cent in 2007 and to 61.23 per cent as at 2014. In the Sri Lanka Planning Service, the percentage of women is 47.63 per cent, an increase from 28.8 per cent in 1993. In the Sri Lanka Foreign Service, the percentage of women is 47.5 per cent, an increase from 29.7 per cent in 1993. It is to be noted that when it comes to professional services, participation of women is increasing, but it is purely based on merit, not by quotas on the basis of gender. While active leadership roles in politics has not been a preferred choice of a majority of women, it is envisaged that with the conclusion of the conflict in 2009 and steps being taken to usher in electoral reforms etc., with greater democratic space through a series of constitutional and administrative measures (passage of the Right to Information Act, setting up of independent commissions) participation of women in leading roles in politics may increase.</w:t>
      </w:r>
    </w:p>
    <w:p w:rsidR="00CF1DFA" w:rsidRPr="00AC36A1" w:rsidRDefault="00CF1DFA" w:rsidP="00CF1DFA">
      <w:pPr>
        <w:pStyle w:val="SingleTxt"/>
      </w:pPr>
      <w:r w:rsidRPr="00AC36A1">
        <w:t>4.</w:t>
      </w:r>
      <w:r w:rsidRPr="00AC36A1">
        <w:tab/>
        <w:t xml:space="preserve">More recently, the first female President of Sri Lanka, Mrs. Chandrika Bandaranaike Kumaratunga was placed in charge of leading the country’s reconciliation office named the Office of National Unity which will undoubtedly assure greater participation of women in reconciliation and recognize their role in the process. </w:t>
      </w:r>
    </w:p>
    <w:p w:rsidR="00CF1DFA" w:rsidRPr="00AC36A1" w:rsidRDefault="00CF1DFA" w:rsidP="00CF1DFA">
      <w:pPr>
        <w:pStyle w:val="SingleTxt"/>
      </w:pPr>
      <w:r w:rsidRPr="00AC36A1">
        <w:t>5.</w:t>
      </w:r>
      <w:r w:rsidRPr="00AC36A1">
        <w:tab/>
        <w:t xml:space="preserve">In preparation of this report, the Ministry of Women’s Affairs (M/WA), (the subject specific line Ministry established at Cabinet level during the period under reference), consulted all relevant line Ministries and Government Agencies, and obtained feedback from International Organizations represented in Sri Lanka including UNDP and ILO. Discussions were also held with women’s civil society organizations and human rights organizations including minority communities regarding women’s issues through several sessions held outside Colombo including in the former conflict affected Northern Province. Inter-ministerial meetings were held in Colombo to consult relevant line ministries, a consultative meeting for civil society representatives was held in Colombo with the participation of 23 civil society organizations to obtain their feedback on the implementation of the Convention. Civil society organizations that participated in this meeting included: Women in Need (WIN), </w:t>
      </w:r>
      <w:r w:rsidRPr="00AC36A1">
        <w:rPr>
          <w:i/>
        </w:rPr>
        <w:t>Sarvodaya</w:t>
      </w:r>
      <w:r w:rsidRPr="00AC36A1">
        <w:t xml:space="preserve"> Women’s Movement, Centre for Women’s Research (CENWOR), Plan Sri Lanka, FOKUS Women, </w:t>
      </w:r>
      <w:r w:rsidRPr="00AC36A1">
        <w:rPr>
          <w:i/>
        </w:rPr>
        <w:t>Mahila Sangam Samithiya</w:t>
      </w:r>
      <w:r w:rsidRPr="00AC36A1">
        <w:t xml:space="preserve">, Media Collective and CARE International Sri Lanka. Two regional-level meetings were held in Kurunegala (North Western Province) and Kilinochchi (Northern Province) to consult representatives of women’s organizations at local level. </w:t>
      </w:r>
    </w:p>
    <w:p w:rsidR="00CF1DFA" w:rsidRPr="00AC36A1" w:rsidRDefault="00CF1DFA" w:rsidP="00CF1DFA">
      <w:pPr>
        <w:pStyle w:val="SingleTxt"/>
      </w:pPr>
      <w:r w:rsidRPr="00AC36A1">
        <w:t>6.</w:t>
      </w:r>
      <w:r w:rsidRPr="00AC36A1">
        <w:tab/>
      </w:r>
      <w:r w:rsidRPr="00AC36A1">
        <w:rPr>
          <w:b/>
        </w:rPr>
        <w:t>Overview of the main socioeconomic indicators</w:t>
      </w:r>
    </w:p>
    <w:p w:rsidR="00CF1DFA" w:rsidRPr="00AC36A1" w:rsidRDefault="008E7D5E" w:rsidP="00CF1DFA">
      <w:pPr>
        <w:pStyle w:val="SingleTxt"/>
        <w:rPr>
          <w:b/>
          <w:i/>
        </w:rPr>
      </w:pPr>
      <w:r w:rsidRPr="00AC36A1">
        <w:tab/>
      </w:r>
      <w:r w:rsidR="00CF1DFA" w:rsidRPr="00AC36A1">
        <w:rPr>
          <w:b/>
          <w:i/>
        </w:rPr>
        <w:t xml:space="preserve">Population- </w:t>
      </w:r>
    </w:p>
    <w:p w:rsidR="00CF1DFA" w:rsidRPr="00AC36A1" w:rsidRDefault="008E7D5E" w:rsidP="00CF1DFA">
      <w:pPr>
        <w:pStyle w:val="SingleTxt"/>
      </w:pPr>
      <w:r w:rsidRPr="00AC36A1">
        <w:tab/>
      </w:r>
      <w:r w:rsidR="00CF1DFA" w:rsidRPr="00AC36A1">
        <w:t>Sri Lanka’s population as at mid-year 2013 was 20,483,000.</w:t>
      </w:r>
    </w:p>
    <w:p w:rsidR="00CF1DFA" w:rsidRPr="00AC36A1" w:rsidRDefault="008E7D5E" w:rsidP="00CF1DFA">
      <w:pPr>
        <w:pStyle w:val="SingleTxt"/>
      </w:pPr>
      <w:r w:rsidRPr="00AC36A1">
        <w:tab/>
      </w:r>
      <w:r w:rsidR="00CF1DFA" w:rsidRPr="00AC36A1">
        <w:t>The gender distribution:</w:t>
      </w:r>
      <w:r w:rsidR="00AC508D" w:rsidRPr="00AC36A1">
        <w:t xml:space="preserve"> </w:t>
      </w:r>
      <w:r w:rsidR="00CF1DFA" w:rsidRPr="00AC36A1">
        <w:t>51.5 per cent women;</w:t>
      </w:r>
      <w:r w:rsidR="00AC508D" w:rsidRPr="00AC36A1">
        <w:t xml:space="preserve"> </w:t>
      </w:r>
      <w:r w:rsidR="00CF1DFA" w:rsidRPr="00AC36A1">
        <w:t>48.5 per cent men.</w:t>
      </w:r>
    </w:p>
    <w:p w:rsidR="00CF1DFA" w:rsidRPr="00AC36A1" w:rsidRDefault="008E7D5E" w:rsidP="00CF1DFA">
      <w:pPr>
        <w:pStyle w:val="SingleTxt"/>
      </w:pPr>
      <w:r w:rsidRPr="00AC36A1">
        <w:tab/>
      </w:r>
      <w:r w:rsidR="00CF1DFA" w:rsidRPr="00AC36A1">
        <w:t>The population growth rate:</w:t>
      </w:r>
      <w:r w:rsidR="00AC508D" w:rsidRPr="00AC36A1">
        <w:t xml:space="preserve"> </w:t>
      </w:r>
      <w:r w:rsidR="00CF1DFA" w:rsidRPr="00AC36A1">
        <w:t xml:space="preserve">0.8 per cent. </w:t>
      </w:r>
    </w:p>
    <w:p w:rsidR="00CF1DFA" w:rsidRPr="00AC36A1" w:rsidRDefault="008E7D5E" w:rsidP="00CF1DFA">
      <w:pPr>
        <w:pStyle w:val="SingleTxt"/>
      </w:pPr>
      <w:r w:rsidRPr="00AC36A1">
        <w:tab/>
      </w:r>
      <w:r w:rsidR="00CF1DFA" w:rsidRPr="00AC36A1">
        <w:t>Age distribution:</w:t>
      </w:r>
    </w:p>
    <w:p w:rsidR="00CF1DFA" w:rsidRPr="00AC36A1" w:rsidRDefault="008E7D5E" w:rsidP="00CF1DFA">
      <w:pPr>
        <w:pStyle w:val="SingleTxt"/>
      </w:pPr>
      <w:r w:rsidRPr="00AC36A1">
        <w:tab/>
      </w:r>
      <w:r w:rsidR="006B5BEF" w:rsidRPr="00AC36A1">
        <w:t>0</w:t>
      </w:r>
      <w:r w:rsidR="00CF1DFA" w:rsidRPr="00AC36A1">
        <w:t>-14 yrs: 5,171</w:t>
      </w:r>
    </w:p>
    <w:p w:rsidR="00CF1DFA" w:rsidRPr="00AC36A1" w:rsidRDefault="008E7D5E" w:rsidP="00CF1DFA">
      <w:pPr>
        <w:pStyle w:val="SingleTxt"/>
      </w:pPr>
      <w:r w:rsidRPr="00AC36A1">
        <w:tab/>
      </w:r>
      <w:r w:rsidR="00CF1DFA" w:rsidRPr="00AC36A1">
        <w:t>15-64 yrs: 13,707</w:t>
      </w:r>
    </w:p>
    <w:p w:rsidR="00CF1DFA" w:rsidRPr="00AC36A1" w:rsidRDefault="008E7D5E" w:rsidP="00CF1DFA">
      <w:pPr>
        <w:pStyle w:val="SingleTxt"/>
      </w:pPr>
      <w:r w:rsidRPr="00AC36A1">
        <w:tab/>
      </w:r>
      <w:r w:rsidR="00CF1DFA" w:rsidRPr="00AC36A1">
        <w:t>65 years and over: 1,605</w:t>
      </w:r>
    </w:p>
    <w:p w:rsidR="00CF1DFA" w:rsidRPr="00AC36A1" w:rsidRDefault="008E7D5E" w:rsidP="00CF1DFA">
      <w:pPr>
        <w:pStyle w:val="SingleTxt"/>
      </w:pPr>
      <w:r w:rsidRPr="00AC36A1">
        <w:tab/>
      </w:r>
      <w:r w:rsidR="00CF1DFA" w:rsidRPr="00AC36A1">
        <w:t>Population density (2013): 327 persons per Sq. Km</w:t>
      </w:r>
    </w:p>
    <w:p w:rsidR="00CF1DFA" w:rsidRPr="00AC36A1" w:rsidRDefault="008E7D5E" w:rsidP="00CF1DFA">
      <w:pPr>
        <w:pStyle w:val="SingleTxt"/>
        <w:rPr>
          <w:b/>
          <w:i/>
        </w:rPr>
      </w:pPr>
      <w:r w:rsidRPr="00AC36A1">
        <w:tab/>
      </w:r>
      <w:r w:rsidR="00CF1DFA" w:rsidRPr="00AC36A1">
        <w:rPr>
          <w:b/>
          <w:i/>
        </w:rPr>
        <w:t>Literacy –</w:t>
      </w:r>
    </w:p>
    <w:p w:rsidR="00CF1DFA" w:rsidRPr="00AC36A1" w:rsidRDefault="008E7D5E" w:rsidP="008E7D5E">
      <w:pPr>
        <w:pStyle w:val="SingleTxt"/>
        <w:ind w:left="1742" w:hanging="475"/>
      </w:pPr>
      <w:r w:rsidRPr="00AC36A1">
        <w:tab/>
      </w:r>
      <w:r w:rsidR="00CF1DFA" w:rsidRPr="00AC36A1">
        <w:t>The Literacy rate (as at 2012-latest records) recorded an average of 95.6 per cent with male literacy being 96.8 per cent and female literacy at 94.6 per cent.</w:t>
      </w:r>
    </w:p>
    <w:p w:rsidR="00CF1DFA" w:rsidRPr="00AC36A1" w:rsidRDefault="008E7D5E" w:rsidP="00CF1DFA">
      <w:pPr>
        <w:pStyle w:val="SingleTxt"/>
        <w:rPr>
          <w:b/>
          <w:i/>
        </w:rPr>
      </w:pPr>
      <w:r w:rsidRPr="00AC36A1">
        <w:tab/>
      </w:r>
      <w:r w:rsidR="00CF1DFA" w:rsidRPr="00AC36A1">
        <w:rPr>
          <w:b/>
          <w:i/>
        </w:rPr>
        <w:t>Life expectancy-</w:t>
      </w:r>
    </w:p>
    <w:p w:rsidR="00CF1DFA" w:rsidRPr="00AC36A1" w:rsidRDefault="008E7D5E" w:rsidP="00CF1DFA">
      <w:pPr>
        <w:pStyle w:val="SingleTxt"/>
      </w:pPr>
      <w:r w:rsidRPr="00AC36A1">
        <w:tab/>
      </w:r>
      <w:r w:rsidR="00CF1DFA" w:rsidRPr="00AC36A1">
        <w:t>The expectation of life at birth as at 2010: 75 years.</w:t>
      </w:r>
    </w:p>
    <w:p w:rsidR="008E7D5E" w:rsidRPr="00AC36A1" w:rsidRDefault="008E7D5E">
      <w:pPr>
        <w:suppressAutoHyphens w:val="0"/>
        <w:spacing w:line="240" w:lineRule="auto"/>
      </w:pPr>
      <w:r w:rsidRPr="00AC36A1">
        <w:br w:type="page"/>
      </w:r>
    </w:p>
    <w:p w:rsidR="00CF1DFA" w:rsidRPr="00AC36A1" w:rsidRDefault="008E7D5E" w:rsidP="00CF1DFA">
      <w:pPr>
        <w:pStyle w:val="SingleTxt"/>
        <w:rPr>
          <w:b/>
          <w:i/>
        </w:rPr>
      </w:pPr>
      <w:r w:rsidRPr="00AC36A1">
        <w:tab/>
      </w:r>
      <w:r w:rsidR="00CF1DFA" w:rsidRPr="00AC36A1">
        <w:rPr>
          <w:b/>
          <w:i/>
        </w:rPr>
        <w:t>Infant mortality-</w:t>
      </w:r>
    </w:p>
    <w:p w:rsidR="00CF1DFA" w:rsidRPr="00AC36A1" w:rsidRDefault="008E7D5E" w:rsidP="00CF1DFA">
      <w:pPr>
        <w:pStyle w:val="SingleTxt"/>
      </w:pPr>
      <w:r w:rsidRPr="00AC36A1">
        <w:tab/>
      </w:r>
      <w:r w:rsidR="00CF1DFA" w:rsidRPr="00AC36A1">
        <w:t>[per thousand (1000) live births in 2012]</w:t>
      </w:r>
    </w:p>
    <w:p w:rsidR="00CF1DFA" w:rsidRPr="00AC36A1" w:rsidRDefault="008E7D5E" w:rsidP="00CF1DFA">
      <w:pPr>
        <w:pStyle w:val="SingleTxt"/>
      </w:pPr>
      <w:r w:rsidRPr="00AC36A1">
        <w:tab/>
      </w:r>
      <w:r w:rsidR="00CF1DFA" w:rsidRPr="00AC36A1">
        <w:t xml:space="preserve">Neonatal </w:t>
      </w:r>
      <w:r w:rsidR="00CF1DFA" w:rsidRPr="00AC36A1">
        <w:tab/>
        <w:t>: 6.8</w:t>
      </w:r>
    </w:p>
    <w:p w:rsidR="00CF1DFA" w:rsidRPr="00AC36A1" w:rsidRDefault="008E7D5E" w:rsidP="00CF1DFA">
      <w:pPr>
        <w:pStyle w:val="SingleTxt"/>
      </w:pPr>
      <w:r w:rsidRPr="00AC36A1">
        <w:tab/>
      </w:r>
      <w:r w:rsidR="00CF1DFA" w:rsidRPr="00AC36A1">
        <w:t xml:space="preserve">Infant </w:t>
      </w:r>
      <w:r w:rsidR="00CF1DFA" w:rsidRPr="00AC36A1">
        <w:tab/>
      </w:r>
      <w:r w:rsidR="00CF1DFA" w:rsidRPr="00AC36A1">
        <w:tab/>
        <w:t>: 9.2</w:t>
      </w:r>
    </w:p>
    <w:p w:rsidR="00CF1DFA" w:rsidRPr="00AC36A1" w:rsidRDefault="008E7D5E" w:rsidP="00CF1DFA">
      <w:pPr>
        <w:pStyle w:val="SingleTxt"/>
      </w:pPr>
      <w:r w:rsidRPr="00AC36A1">
        <w:tab/>
      </w:r>
      <w:r w:rsidR="00CF1DFA" w:rsidRPr="00AC36A1">
        <w:t>Under-five</w:t>
      </w:r>
      <w:r w:rsidR="00CF1DFA" w:rsidRPr="00AC36A1">
        <w:tab/>
        <w:t>:10.4</w:t>
      </w:r>
    </w:p>
    <w:p w:rsidR="00CF1DFA" w:rsidRPr="00AC36A1" w:rsidRDefault="008E7D5E" w:rsidP="00CF1DFA">
      <w:pPr>
        <w:pStyle w:val="SingleTxt"/>
        <w:rPr>
          <w:b/>
          <w:i/>
        </w:rPr>
      </w:pPr>
      <w:r w:rsidRPr="00AC36A1">
        <w:tab/>
      </w:r>
      <w:r w:rsidR="00CF1DFA" w:rsidRPr="00AC36A1">
        <w:rPr>
          <w:b/>
          <w:i/>
        </w:rPr>
        <w:t>Maternal mortality-</w:t>
      </w:r>
    </w:p>
    <w:p w:rsidR="00CF1DFA" w:rsidRPr="00AC36A1" w:rsidRDefault="008E7D5E" w:rsidP="00CF1DFA">
      <w:pPr>
        <w:pStyle w:val="SingleTxt"/>
      </w:pPr>
      <w:r w:rsidRPr="00AC36A1">
        <w:tab/>
      </w:r>
      <w:r w:rsidR="00CF1DFA" w:rsidRPr="00AC36A1">
        <w:t>Ratio per 100,000 live births: 33 in 2010 (t</w:t>
      </w:r>
      <w:r w:rsidRPr="00AC36A1">
        <w:t>his was closer to 100 in 1990).</w:t>
      </w:r>
      <w:r w:rsidRPr="00AC36A1">
        <w:rPr>
          <w:rStyle w:val="FootnoteReference"/>
        </w:rPr>
        <w:footnoteReference w:id="1"/>
      </w:r>
    </w:p>
    <w:p w:rsidR="00CF1DFA" w:rsidRPr="00AC36A1" w:rsidRDefault="008E7D5E" w:rsidP="00CF1DFA">
      <w:pPr>
        <w:pStyle w:val="SingleTxt"/>
        <w:rPr>
          <w:b/>
          <w:i/>
        </w:rPr>
      </w:pPr>
      <w:r w:rsidRPr="00AC36A1">
        <w:tab/>
      </w:r>
      <w:r w:rsidR="00CF1DFA" w:rsidRPr="00AC36A1">
        <w:rPr>
          <w:b/>
          <w:i/>
        </w:rPr>
        <w:t>Education-</w:t>
      </w:r>
    </w:p>
    <w:p w:rsidR="00CF1DFA" w:rsidRPr="00AC36A1" w:rsidRDefault="008E7D5E" w:rsidP="00CF1DFA">
      <w:pPr>
        <w:pStyle w:val="SingleTxt"/>
      </w:pPr>
      <w:r w:rsidRPr="00AC36A1">
        <w:tab/>
      </w:r>
      <w:r w:rsidR="00CF1DFA" w:rsidRPr="00AC36A1">
        <w:t>Universal primary education has reached 99.7 per cent (2014).</w:t>
      </w:r>
    </w:p>
    <w:p w:rsidR="00CF1DFA" w:rsidRPr="00AC36A1" w:rsidRDefault="008E7D5E" w:rsidP="00CF1DFA">
      <w:pPr>
        <w:pStyle w:val="SingleTxt"/>
      </w:pPr>
      <w:r w:rsidRPr="00AC36A1">
        <w:tab/>
      </w:r>
      <w:r w:rsidR="00CF1DFA" w:rsidRPr="00AC36A1">
        <w:t>The students who start grade 1reaching grade 5is 100 per cent (2014).</w:t>
      </w:r>
    </w:p>
    <w:p w:rsidR="00CF1DFA" w:rsidRPr="00AC36A1" w:rsidRDefault="008E7D5E" w:rsidP="00CF1DFA">
      <w:pPr>
        <w:pStyle w:val="SingleTxt"/>
        <w:rPr>
          <w:b/>
          <w:i/>
        </w:rPr>
      </w:pPr>
      <w:r w:rsidRPr="00AC36A1">
        <w:tab/>
      </w:r>
      <w:r w:rsidR="00CF1DFA" w:rsidRPr="00AC36A1">
        <w:rPr>
          <w:b/>
          <w:i/>
        </w:rPr>
        <w:t>Health-</w:t>
      </w:r>
    </w:p>
    <w:p w:rsidR="00CF1DFA" w:rsidRPr="00AC36A1" w:rsidRDefault="008E7D5E" w:rsidP="00CF1DFA">
      <w:pPr>
        <w:pStyle w:val="SingleTxt"/>
      </w:pPr>
      <w:r w:rsidRPr="00AC36A1">
        <w:tab/>
      </w:r>
      <w:r w:rsidR="00CF1DFA" w:rsidRPr="00AC36A1">
        <w:t xml:space="preserve">Maternal Mortality rate </w:t>
      </w:r>
      <w:r w:rsidR="008435CF" w:rsidRPr="00AC36A1">
        <w:t>—</w:t>
      </w:r>
      <w:r w:rsidR="00CF1DFA" w:rsidRPr="00AC36A1">
        <w:t xml:space="preserve"> 33.3</w:t>
      </w:r>
      <w:r w:rsidRPr="00AC36A1">
        <w:t xml:space="preserve"> per 100,000 live births (2010)</w:t>
      </w:r>
      <w:r w:rsidRPr="00AC36A1">
        <w:rPr>
          <w:rStyle w:val="FootnoteReference"/>
        </w:rPr>
        <w:footnoteReference w:id="2"/>
      </w:r>
    </w:p>
    <w:p w:rsidR="00CF1DFA" w:rsidRPr="00AC36A1" w:rsidRDefault="008E7D5E" w:rsidP="008E7D5E">
      <w:pPr>
        <w:pStyle w:val="SingleTxt"/>
        <w:ind w:left="1742" w:hanging="475"/>
      </w:pPr>
      <w:r w:rsidRPr="00AC36A1">
        <w:tab/>
      </w:r>
      <w:r w:rsidR="00CF1DFA" w:rsidRPr="00AC36A1">
        <w:t>Neonatal, infant and under five mortality - 6.8, 9.2 and10.4 per 1000 live births respectivel</w:t>
      </w:r>
      <w:r w:rsidRPr="00AC36A1">
        <w:t>y (2012)</w:t>
      </w:r>
      <w:r w:rsidRPr="00AC36A1">
        <w:rPr>
          <w:rStyle w:val="FootnoteReference"/>
        </w:rPr>
        <w:footnoteReference w:id="3"/>
      </w:r>
    </w:p>
    <w:p w:rsidR="00CF1DFA" w:rsidRPr="00AC36A1" w:rsidRDefault="008E7D5E" w:rsidP="008E7D5E">
      <w:pPr>
        <w:pStyle w:val="SingleTxt"/>
        <w:ind w:left="1742" w:hanging="475"/>
      </w:pPr>
      <w:r w:rsidRPr="00AC36A1">
        <w:tab/>
      </w:r>
      <w:r w:rsidR="00CF1DFA" w:rsidRPr="00AC36A1">
        <w:t xml:space="preserve">Delivery at a health facility </w:t>
      </w:r>
      <w:r w:rsidR="008435CF" w:rsidRPr="00AC36A1">
        <w:t>—</w:t>
      </w:r>
      <w:r w:rsidR="00CF1DFA" w:rsidRPr="00AC36A1">
        <w:t xml:space="preserve"> 98.1 per cent (rural sector women); 98.6 per cent (urban sector women); 94.3 per cent (estate sector women)</w:t>
      </w:r>
    </w:p>
    <w:p w:rsidR="00A37594" w:rsidRPr="00AC36A1" w:rsidRDefault="00A37594" w:rsidP="00A37594">
      <w:pPr>
        <w:pStyle w:val="SingleTxt"/>
        <w:spacing w:after="0" w:line="120" w:lineRule="exact"/>
        <w:rPr>
          <w:sz w:val="10"/>
        </w:rPr>
      </w:pPr>
    </w:p>
    <w:p w:rsidR="00A37594" w:rsidRPr="00AC36A1" w:rsidRDefault="00A37594" w:rsidP="00A37594">
      <w:pPr>
        <w:pStyle w:val="SingleTxt"/>
        <w:spacing w:after="0" w:line="120" w:lineRule="exact"/>
        <w:rPr>
          <w:sz w:val="10"/>
        </w:rPr>
      </w:pPr>
    </w:p>
    <w:p w:rsidR="00CF1DFA" w:rsidRPr="00AC36A1" w:rsidRDefault="00CF1DFA" w:rsidP="00A37594">
      <w:pPr>
        <w:pStyle w:val="H1"/>
        <w:ind w:right="1260"/>
      </w:pPr>
      <w:r w:rsidRPr="00AC36A1">
        <w:tab/>
      </w:r>
      <w:r w:rsidRPr="00AC36A1">
        <w:tab/>
        <w:t>Part I</w:t>
      </w:r>
    </w:p>
    <w:p w:rsidR="00CF1DFA" w:rsidRPr="00AC36A1" w:rsidRDefault="00CF1DFA" w:rsidP="00A37594">
      <w:pPr>
        <w:pStyle w:val="H1"/>
        <w:ind w:right="1260"/>
      </w:pPr>
      <w:r w:rsidRPr="00AC36A1">
        <w:tab/>
      </w:r>
      <w:r w:rsidRPr="00AC36A1">
        <w:tab/>
        <w:t xml:space="preserve">Responses to concluding comments of the Committee consequent to the consideration of the fifth, sixth and seventh periodic reports </w:t>
      </w:r>
    </w:p>
    <w:p w:rsidR="00A37594" w:rsidRPr="00AC36A1" w:rsidRDefault="00A37594" w:rsidP="00A37594">
      <w:pPr>
        <w:pStyle w:val="SingleTxt"/>
        <w:spacing w:after="0" w:line="120" w:lineRule="exact"/>
        <w:rPr>
          <w:sz w:val="10"/>
        </w:rPr>
      </w:pPr>
    </w:p>
    <w:p w:rsidR="00A37594" w:rsidRPr="00AC36A1" w:rsidRDefault="00A37594" w:rsidP="00A37594">
      <w:pPr>
        <w:pStyle w:val="SingleTxt"/>
        <w:spacing w:after="0" w:line="120" w:lineRule="exact"/>
        <w:rPr>
          <w:sz w:val="10"/>
        </w:rPr>
      </w:pPr>
    </w:p>
    <w:p w:rsidR="00CF1DFA" w:rsidRPr="00AC36A1" w:rsidRDefault="00A37594" w:rsidP="00A37594">
      <w:pPr>
        <w:pStyle w:val="H23"/>
        <w:ind w:right="1260"/>
      </w:pPr>
      <w:r w:rsidRPr="00AC36A1">
        <w:tab/>
      </w:r>
      <w:r w:rsidRPr="00AC36A1">
        <w:tab/>
      </w:r>
      <w:r w:rsidR="00CF1DFA" w:rsidRPr="00AC36A1">
        <w:t>Actions taken and results achieved in respect of principle areas of concern and recommendations of the Committee</w:t>
      </w:r>
    </w:p>
    <w:p w:rsidR="00A37594" w:rsidRPr="00AC36A1" w:rsidRDefault="00A37594" w:rsidP="00A37594">
      <w:pPr>
        <w:pStyle w:val="SingleTxt"/>
        <w:spacing w:after="0" w:line="120" w:lineRule="exact"/>
        <w:rPr>
          <w:sz w:val="10"/>
        </w:rPr>
      </w:pPr>
    </w:p>
    <w:p w:rsidR="00CF1DFA" w:rsidRPr="00AC36A1" w:rsidRDefault="00A37594" w:rsidP="00A37594">
      <w:pPr>
        <w:pStyle w:val="H23"/>
        <w:ind w:right="1260"/>
      </w:pPr>
      <w:r w:rsidRPr="00AC36A1">
        <w:tab/>
      </w:r>
      <w:r w:rsidRPr="00AC36A1">
        <w:tab/>
      </w:r>
      <w:r w:rsidR="00CF1DFA" w:rsidRPr="00AC36A1">
        <w:t>[ref. Paragraph ‘c’ of the concluding observations (</w:t>
      </w:r>
      <w:hyperlink r:id="rId16" w:history="1">
        <w:r w:rsidR="00CF1DFA" w:rsidRPr="00AC36A1">
          <w:rPr>
            <w:rStyle w:val="Hyperlink"/>
          </w:rPr>
          <w:t>CEDAW/C/LKA/CO/7</w:t>
        </w:r>
      </w:hyperlink>
      <w:r w:rsidR="00CF1DFA" w:rsidRPr="00AC36A1">
        <w:t>)]</w:t>
      </w:r>
    </w:p>
    <w:p w:rsidR="00A37594" w:rsidRPr="00AC36A1" w:rsidRDefault="00A37594" w:rsidP="00A37594">
      <w:pPr>
        <w:pStyle w:val="SingleTxt"/>
        <w:spacing w:after="0" w:line="120" w:lineRule="exact"/>
        <w:rPr>
          <w:sz w:val="10"/>
        </w:rPr>
      </w:pPr>
    </w:p>
    <w:p w:rsidR="00CF1DFA" w:rsidRPr="00AC36A1" w:rsidRDefault="00A37594" w:rsidP="00A37594">
      <w:pPr>
        <w:pStyle w:val="H23"/>
        <w:ind w:right="1260"/>
      </w:pPr>
      <w:r w:rsidRPr="00AC36A1">
        <w:tab/>
      </w:r>
      <w:r w:rsidRPr="00AC36A1">
        <w:tab/>
      </w:r>
      <w:r w:rsidR="00CF1DFA" w:rsidRPr="00AC36A1">
        <w:t xml:space="preserve">Legal status of the Convention [Paragraph 13] </w:t>
      </w:r>
    </w:p>
    <w:p w:rsidR="00A37594" w:rsidRPr="00AC36A1" w:rsidRDefault="00A37594" w:rsidP="00A37594">
      <w:pPr>
        <w:pStyle w:val="SingleTxt"/>
        <w:spacing w:after="0" w:line="120" w:lineRule="exact"/>
        <w:rPr>
          <w:sz w:val="10"/>
        </w:rPr>
      </w:pPr>
    </w:p>
    <w:p w:rsidR="00CF1DFA" w:rsidRPr="00AC36A1" w:rsidRDefault="00A37594" w:rsidP="00A37594">
      <w:pPr>
        <w:pStyle w:val="H23"/>
        <w:ind w:right="1260"/>
        <w:rPr>
          <w:i/>
        </w:rPr>
      </w:pPr>
      <w:r w:rsidRPr="00AC36A1">
        <w:tab/>
      </w:r>
      <w:r w:rsidRPr="00AC36A1">
        <w:tab/>
      </w:r>
      <w:r w:rsidR="00CF1DFA" w:rsidRPr="00AC36A1">
        <w:rPr>
          <w:i/>
        </w:rPr>
        <w:t>Incorporation of the Convention into the domestic legal system</w:t>
      </w:r>
    </w:p>
    <w:p w:rsidR="00A37594" w:rsidRPr="00AC36A1" w:rsidRDefault="00A37594" w:rsidP="00A37594">
      <w:pPr>
        <w:pStyle w:val="SingleTxt"/>
        <w:spacing w:after="0" w:line="120" w:lineRule="exact"/>
        <w:rPr>
          <w:sz w:val="10"/>
        </w:rPr>
      </w:pPr>
    </w:p>
    <w:p w:rsidR="00CF1DFA" w:rsidRPr="00AC36A1" w:rsidRDefault="00CF1DFA" w:rsidP="00CF1DFA">
      <w:pPr>
        <w:pStyle w:val="SingleTxt"/>
      </w:pPr>
      <w:r w:rsidRPr="00AC36A1">
        <w:t>7.</w:t>
      </w:r>
      <w:r w:rsidRPr="00AC36A1">
        <w:tab/>
        <w:t>Sri Lanka follows the dualist approach in international law. Thereby Sri Lanka’s obligations under International treaties are facilitated in terms of the provisions of the Constitution, domestic legislation, subsidiary legislation, and regulations under the principal Statutes as well as several procedural laws.</w:t>
      </w:r>
    </w:p>
    <w:p w:rsidR="00CF1DFA" w:rsidRPr="00AC36A1" w:rsidRDefault="00CF1DFA" w:rsidP="00CF1DFA">
      <w:pPr>
        <w:pStyle w:val="SingleTxt"/>
      </w:pPr>
      <w:r w:rsidRPr="00AC36A1">
        <w:t>8.</w:t>
      </w:r>
      <w:r w:rsidRPr="00AC36A1">
        <w:tab/>
        <w:t xml:space="preserve">Sri Lanka’s approach to incorporating statutory provisions within its legal system to honour its obligations under International Conventions is to incorporate such provisions only where there is a gap. </w:t>
      </w:r>
    </w:p>
    <w:p w:rsidR="00CF1DFA" w:rsidRPr="00AC36A1" w:rsidRDefault="00CF1DFA" w:rsidP="00CF1DFA">
      <w:pPr>
        <w:pStyle w:val="SingleTxt"/>
      </w:pPr>
      <w:r w:rsidRPr="00AC36A1">
        <w:t>9.</w:t>
      </w:r>
      <w:r w:rsidRPr="00AC36A1">
        <w:tab/>
        <w:t xml:space="preserve">As has been reported to the Committee previously, Sri Lanka’s position is that it is not necessary to have a single subject or specific piece of legislation to incorporate Convention obligations into the domestic legal system and that there are adequate provisions in several statutes to honour these obligations (e.g. The Constitution of Sri Lanka, Penal Code, Citizenship Act, Human Rights Commission of Sri Lanka Act, Prevention of Domestic Violence Act). </w:t>
      </w:r>
    </w:p>
    <w:p w:rsidR="00CF1DFA" w:rsidRPr="00AC36A1" w:rsidRDefault="00CF1DFA" w:rsidP="00CF1DFA">
      <w:pPr>
        <w:pStyle w:val="SingleTxt"/>
      </w:pPr>
      <w:r w:rsidRPr="00AC36A1">
        <w:t>10.</w:t>
      </w:r>
      <w:r w:rsidRPr="00AC36A1">
        <w:tab/>
        <w:t>Sri Lanka wishes to emphasize that Article 12 (2) of the Constitution of Sri Lanka recognizes the right to equality before the law which provides that “</w:t>
      </w:r>
      <w:r w:rsidRPr="00AC36A1">
        <w:rPr>
          <w:i/>
        </w:rPr>
        <w:t>No citizen shall be discriminated against on the grounds of race, religion, language, caste, sex, political opinion, place of birth or any such grounds</w:t>
      </w:r>
      <w:r w:rsidRPr="00AC36A1">
        <w:t>”. Furthermore, Article 12 (4) of the Constitution states that nothing in Article 12 would prevent special provisions being made by law for the advancement of women, children and disabled persons. This is a right that is justiciable against executive and administrative actions in the Supreme Court which is the highest court in the country. Therefore, any form of discrimination against women can be challenged under the supervisions entrenched in the supreme legal instrument of the country, even in the absence of any separate legal provision. There is no bar to seek redress in a lower court in the case of actions of non-state actors.</w:t>
      </w:r>
    </w:p>
    <w:p w:rsidR="00CF1DFA" w:rsidRPr="00AC36A1" w:rsidRDefault="00CF1DFA" w:rsidP="00CF1DFA">
      <w:pPr>
        <w:pStyle w:val="SingleTxt"/>
      </w:pPr>
      <w:r w:rsidRPr="00AC36A1">
        <w:t>11.</w:t>
      </w:r>
      <w:r w:rsidRPr="00AC36A1">
        <w:tab/>
        <w:t xml:space="preserve">The Supreme Court has time and again exercised its jurisdiction, in the absence of written law, directly relying on the provisions of international Conventions to give purposeful meaning to the provisions of the Constitution, and other applicable law, so as to ensure that the people in Sri Lanka have an effective remedy in respect of any alleged infringement of rights recognized by the Constitution. In arriving at these determinations the Court has recognized the need to give consideration to international instruments to which Sri Lanka is a State Party and the obligations arising there under, even in instances where there is a </w:t>
      </w:r>
      <w:r w:rsidR="00A37594" w:rsidRPr="00AC36A1">
        <w:t>lacuna in domestic legislation.</w:t>
      </w:r>
      <w:r w:rsidR="00A37594" w:rsidRPr="00AC36A1">
        <w:rPr>
          <w:rStyle w:val="FootnoteReference"/>
        </w:rPr>
        <w:footnoteReference w:id="4"/>
      </w:r>
    </w:p>
    <w:p w:rsidR="00CF1DFA" w:rsidRPr="00AC36A1" w:rsidRDefault="00CF1DFA" w:rsidP="00CF1DFA">
      <w:pPr>
        <w:pStyle w:val="SingleTxt"/>
      </w:pPr>
      <w:r w:rsidRPr="00AC36A1">
        <w:t>12.</w:t>
      </w:r>
      <w:r w:rsidRPr="00AC36A1">
        <w:tab/>
        <w:t>As has been elaborated in previous Country Reports, there is adequate provision within the existing legal regime of Sri Lanka to accord statutory recognition to the right to equality and to recognize thereby the right of women not to be discriminated on the grounds of gender all of which are supported by pronouncements of the Supreme Court. As is clear, the absence of a Women’s Rights Bill and the incorporation therein of the principle of equality does not detract from the right that is already recognized in the Constitution of Sri Lanka.</w:t>
      </w:r>
    </w:p>
    <w:p w:rsidR="00A37594" w:rsidRPr="00AC36A1" w:rsidRDefault="00A37594" w:rsidP="00A37594">
      <w:pPr>
        <w:pStyle w:val="SingleTxt"/>
        <w:spacing w:after="0" w:line="120" w:lineRule="exact"/>
        <w:rPr>
          <w:sz w:val="10"/>
        </w:rPr>
      </w:pPr>
    </w:p>
    <w:p w:rsidR="00CF1DFA" w:rsidRPr="00AC36A1" w:rsidRDefault="00A37594" w:rsidP="00A37594">
      <w:pPr>
        <w:pStyle w:val="H23"/>
        <w:ind w:right="1260"/>
      </w:pPr>
      <w:r w:rsidRPr="00AC36A1">
        <w:tab/>
      </w:r>
      <w:r w:rsidRPr="00AC36A1">
        <w:tab/>
      </w:r>
      <w:r w:rsidR="00CF1DFA" w:rsidRPr="00AC36A1">
        <w:t>Prohibition of discrimination against women [Paragraph 15]</w:t>
      </w:r>
    </w:p>
    <w:p w:rsidR="00A37594" w:rsidRPr="00AC36A1" w:rsidRDefault="00A37594" w:rsidP="00A37594">
      <w:pPr>
        <w:pStyle w:val="SingleTxt"/>
        <w:spacing w:after="0" w:line="120" w:lineRule="exact"/>
        <w:rPr>
          <w:sz w:val="10"/>
        </w:rPr>
      </w:pPr>
    </w:p>
    <w:p w:rsidR="00CF1DFA" w:rsidRPr="00AC36A1" w:rsidRDefault="00A37594" w:rsidP="00A37594">
      <w:pPr>
        <w:pStyle w:val="H23"/>
        <w:ind w:right="1260"/>
        <w:rPr>
          <w:i/>
        </w:rPr>
      </w:pPr>
      <w:r w:rsidRPr="00AC36A1">
        <w:tab/>
      </w:r>
      <w:r w:rsidRPr="00AC36A1">
        <w:tab/>
      </w:r>
      <w:r w:rsidR="00CF1DFA" w:rsidRPr="00AC36A1">
        <w:rPr>
          <w:i/>
        </w:rPr>
        <w:t>Incorporate the principle of equality into domestic legislation such as the Women’s Rights Bill</w:t>
      </w:r>
    </w:p>
    <w:p w:rsidR="00A37594" w:rsidRPr="00AC36A1" w:rsidRDefault="00A37594" w:rsidP="00A37594">
      <w:pPr>
        <w:pStyle w:val="SingleTxt"/>
        <w:spacing w:after="0" w:line="120" w:lineRule="exact"/>
        <w:rPr>
          <w:sz w:val="10"/>
        </w:rPr>
      </w:pPr>
    </w:p>
    <w:p w:rsidR="00CF1DFA" w:rsidRPr="00AC36A1" w:rsidRDefault="00CF1DFA" w:rsidP="00CF1DFA">
      <w:pPr>
        <w:pStyle w:val="SingleTxt"/>
      </w:pPr>
      <w:r w:rsidRPr="00AC36A1">
        <w:t>13.</w:t>
      </w:r>
      <w:r w:rsidRPr="00AC36A1">
        <w:tab/>
        <w:t xml:space="preserve">This matter has been clarified above. As stated, Article 12 (a) of the Constitution of Sri Lanka, the highest law of the land, clearly prohibits any discrimination of persons, on the grounds of sex. </w:t>
      </w:r>
    </w:p>
    <w:p w:rsidR="00A37594" w:rsidRPr="00AC36A1" w:rsidRDefault="00A37594" w:rsidP="00A37594">
      <w:pPr>
        <w:pStyle w:val="SingleTxt"/>
        <w:spacing w:after="0" w:line="120" w:lineRule="exact"/>
        <w:rPr>
          <w:sz w:val="10"/>
        </w:rPr>
      </w:pPr>
    </w:p>
    <w:p w:rsidR="00CF1DFA" w:rsidRPr="00AC36A1" w:rsidRDefault="00A37594" w:rsidP="00A37594">
      <w:pPr>
        <w:pStyle w:val="H23"/>
        <w:ind w:right="1260"/>
        <w:rPr>
          <w:i/>
        </w:rPr>
      </w:pPr>
      <w:r w:rsidRPr="00AC36A1">
        <w:tab/>
      </w:r>
      <w:r w:rsidRPr="00AC36A1">
        <w:tab/>
      </w:r>
      <w:r w:rsidR="00CF1DFA" w:rsidRPr="00AC36A1">
        <w:rPr>
          <w:i/>
        </w:rPr>
        <w:t>Ensure state responsibility for acts of discriminati</w:t>
      </w:r>
      <w:r w:rsidR="00AC508D" w:rsidRPr="00AC36A1">
        <w:rPr>
          <w:i/>
        </w:rPr>
        <w:t>on by public and private actors</w:t>
      </w:r>
    </w:p>
    <w:p w:rsidR="00A37594" w:rsidRPr="00AC36A1" w:rsidRDefault="00A37594" w:rsidP="00A37594">
      <w:pPr>
        <w:pStyle w:val="SingleTxt"/>
        <w:spacing w:after="0" w:line="120" w:lineRule="exact"/>
        <w:rPr>
          <w:sz w:val="10"/>
        </w:rPr>
      </w:pPr>
    </w:p>
    <w:p w:rsidR="00CF1DFA" w:rsidRPr="00AC36A1" w:rsidRDefault="00CF1DFA" w:rsidP="00CF1DFA">
      <w:pPr>
        <w:pStyle w:val="SingleTxt"/>
      </w:pPr>
      <w:r w:rsidRPr="00AC36A1">
        <w:t>14.</w:t>
      </w:r>
      <w:r w:rsidRPr="00AC36A1">
        <w:tab/>
        <w:t xml:space="preserve">The responsibility of state actors has been amply explained in previous reports. A special procedure is provided for in the Constitution enabling access to the Supreme Court, the highest court of the land, to seek redress against violation of fundamental rights by administrative and executive action. </w:t>
      </w:r>
    </w:p>
    <w:p w:rsidR="00CF1DFA" w:rsidRPr="00AC36A1" w:rsidRDefault="00CF1DFA" w:rsidP="00CF1DFA">
      <w:pPr>
        <w:pStyle w:val="SingleTxt"/>
      </w:pPr>
      <w:r w:rsidRPr="00AC36A1">
        <w:t>15.</w:t>
      </w:r>
      <w:r w:rsidRPr="00AC36A1">
        <w:tab/>
        <w:t>Sri Lanka has already reported on accountability for acts of discrimination by private actors in its 3rd and 4th combined Periodic Report.</w:t>
      </w:r>
    </w:p>
    <w:p w:rsidR="00A37594" w:rsidRPr="00AC36A1" w:rsidRDefault="00A37594" w:rsidP="00A37594">
      <w:pPr>
        <w:pStyle w:val="SingleTxt"/>
        <w:spacing w:after="0" w:line="120" w:lineRule="exact"/>
        <w:rPr>
          <w:sz w:val="10"/>
        </w:rPr>
      </w:pPr>
    </w:p>
    <w:p w:rsidR="00CF1DFA" w:rsidRPr="00AC36A1" w:rsidRDefault="00A37594" w:rsidP="00A37594">
      <w:pPr>
        <w:pStyle w:val="H23"/>
        <w:ind w:right="1260"/>
      </w:pPr>
      <w:r w:rsidRPr="00AC36A1">
        <w:tab/>
      </w:r>
      <w:r w:rsidRPr="00AC36A1">
        <w:tab/>
      </w:r>
      <w:r w:rsidR="00CF1DFA" w:rsidRPr="00AC36A1">
        <w:t>Discriminatory laws [Paragraph 17]</w:t>
      </w:r>
    </w:p>
    <w:p w:rsidR="00A37594" w:rsidRPr="00AC36A1" w:rsidRDefault="00A37594" w:rsidP="00A37594">
      <w:pPr>
        <w:pStyle w:val="SingleTxt"/>
        <w:spacing w:after="0" w:line="120" w:lineRule="exact"/>
        <w:rPr>
          <w:sz w:val="10"/>
        </w:rPr>
      </w:pPr>
    </w:p>
    <w:p w:rsidR="00CF1DFA" w:rsidRPr="00AC36A1" w:rsidRDefault="00A37594" w:rsidP="00A37594">
      <w:pPr>
        <w:pStyle w:val="H23"/>
        <w:ind w:right="1260"/>
        <w:rPr>
          <w:i/>
        </w:rPr>
      </w:pPr>
      <w:r w:rsidRPr="00AC36A1">
        <w:tab/>
      </w:r>
      <w:r w:rsidRPr="00AC36A1">
        <w:rPr>
          <w:i/>
        </w:rPr>
        <w:tab/>
      </w:r>
      <w:r w:rsidR="00CF1DFA" w:rsidRPr="00AC36A1">
        <w:rPr>
          <w:i/>
        </w:rPr>
        <w:t xml:space="preserve">Reform of Customary law </w:t>
      </w:r>
    </w:p>
    <w:p w:rsidR="00A37594" w:rsidRPr="00AC36A1" w:rsidRDefault="00A37594" w:rsidP="00A37594">
      <w:pPr>
        <w:pStyle w:val="SingleTxt"/>
        <w:spacing w:after="0" w:line="120" w:lineRule="exact"/>
        <w:rPr>
          <w:sz w:val="10"/>
        </w:rPr>
      </w:pPr>
    </w:p>
    <w:p w:rsidR="00CF1DFA" w:rsidRPr="00AC36A1" w:rsidRDefault="00CF1DFA" w:rsidP="00CF1DFA">
      <w:pPr>
        <w:pStyle w:val="SingleTxt"/>
      </w:pPr>
      <w:r w:rsidRPr="00AC36A1">
        <w:t>16.</w:t>
      </w:r>
      <w:r w:rsidRPr="00AC36A1">
        <w:tab/>
        <w:t>The personal laws of Sri Lanka contain provisions that are deeply rooted in custom. As has been stated in previous Periodic Reports proposals for reform of these laws are welcome when initiated by the respective communities. This approach has been endorsed by the Supreme Court as well where, in giving its opinion</w:t>
      </w:r>
      <w:r w:rsidR="00A37594" w:rsidRPr="00AC36A1">
        <w:rPr>
          <w:rStyle w:val="FootnoteReference"/>
        </w:rPr>
        <w:footnoteReference w:id="5"/>
      </w:r>
      <w:r w:rsidRPr="00AC36A1">
        <w:t xml:space="preserve"> on a matter referred to that court, the legitimacy of the continued validity of certain personal laws was examined by the court in the light of the allegation made that the continued validity of certain personal laws under Article 16(1) was in consistent with the Constitution. The Supreme Court opined that:</w:t>
      </w:r>
    </w:p>
    <w:p w:rsidR="00CF1DFA" w:rsidRPr="00AC36A1" w:rsidRDefault="00B12549" w:rsidP="00B12549">
      <w:pPr>
        <w:pStyle w:val="SingleTxt"/>
        <w:ind w:left="1742" w:hanging="475"/>
      </w:pPr>
      <w:r w:rsidRPr="00AC36A1">
        <w:tab/>
      </w:r>
      <w:r w:rsidR="00CF1DFA" w:rsidRPr="00AC36A1">
        <w:t>“</w:t>
      </w:r>
      <w:r w:rsidR="00CF1DFA" w:rsidRPr="00AC36A1">
        <w:rPr>
          <w:i/>
        </w:rPr>
        <w:t>These are customary and special laws that are deeply seated in the social milieu of the country. It is to be noted that Article 27 of the International Covenant on Civil and Political Rights makes a specific reservation that in states in which ethnic, religious or linguistic minorities exist, persons belonging to such minorities shall not be denied the right in community with other members of their group to enjoy their own culture, to profess and practice their own religion or also use their own language</w:t>
      </w:r>
      <w:r w:rsidR="00CF1DFA" w:rsidRPr="00AC36A1">
        <w:t>”</w:t>
      </w:r>
    </w:p>
    <w:p w:rsidR="00CF1DFA" w:rsidRPr="00AC36A1" w:rsidRDefault="00CF1DFA" w:rsidP="00CF1DFA">
      <w:pPr>
        <w:pStyle w:val="SingleTxt"/>
      </w:pPr>
      <w:r w:rsidRPr="00AC36A1">
        <w:t>17.</w:t>
      </w:r>
      <w:r w:rsidRPr="00AC36A1">
        <w:tab/>
        <w:t>The Supreme Court took the view that it could not be contended that the provisions of Article16(1) of the Constitution that provides for the continuance in force of the already operative law could be considered to be inconsistent with the Covenant only on the ground that there are certain aspects of Personal Laws which may discriminate against women. The matter of Personal Laws is one of great sensitivity. The Covenant should not be considered as an instrument which warrants the amendment of such Personal Laws. If at all there should be any amendment, such request should emerge from the particular sector governed by the particular Personal Law.</w:t>
      </w:r>
    </w:p>
    <w:p w:rsidR="00CF1DFA" w:rsidRPr="00AC36A1" w:rsidRDefault="00CF1DFA" w:rsidP="00CF1DFA">
      <w:pPr>
        <w:pStyle w:val="SingleTxt"/>
      </w:pPr>
      <w:r w:rsidRPr="00AC36A1">
        <w:t>18.</w:t>
      </w:r>
      <w:r w:rsidRPr="00AC36A1">
        <w:tab/>
        <w:t>Sri Lanka’s personal laws are enriched by history, culture and sacred beliefs of the people who are subject to such laws. Accordingly, the Government of Sri Lanka is of the view that it is essential to ensure that such traditional rights of those persons are protected and guarantee them to enjoy such rights in accordance with their religion and culture, and any amendment to personal laws are in compliance of this aspect. Personal and customary laws of Sri Lanka have its roots even before the British gave statutory effect to such laws by way of the Proclamation of 23rdSeptember 1799.Thus Sri Lanka’s legal system is a unique blend of customary and personal laws which are constantly being reviewed, but the call for change in any laws which are seen to be discriminatory require a circumspect approach from the legislators, in the long term, out of necessity, lest the communities to which the personal and customary laws apply consider it intrusive and a violation of their community rights.</w:t>
      </w:r>
    </w:p>
    <w:p w:rsidR="00CF1DFA" w:rsidRPr="00AC36A1" w:rsidRDefault="00CF1DFA" w:rsidP="00CF1DFA">
      <w:pPr>
        <w:pStyle w:val="SingleTxt"/>
      </w:pPr>
      <w:r w:rsidRPr="00AC36A1">
        <w:t>19.</w:t>
      </w:r>
      <w:r w:rsidRPr="00AC36A1">
        <w:tab/>
        <w:t>As has also been stated in previous Reports, although there is no opportunity for post enactment judicial review of legislation, discriminatory laws have in fact been amended (e.g. Citizenship law, Criminal Procedure Code) and continue to be addressed even without statutory compulsion.</w:t>
      </w:r>
    </w:p>
    <w:p w:rsidR="00CF1DFA" w:rsidRPr="00AC36A1" w:rsidRDefault="00CF1DFA" w:rsidP="00CF1DFA">
      <w:pPr>
        <w:pStyle w:val="SingleTxt"/>
      </w:pPr>
      <w:r w:rsidRPr="00AC36A1">
        <w:t>20.</w:t>
      </w:r>
      <w:r w:rsidRPr="00AC36A1">
        <w:tab/>
        <w:t xml:space="preserve">The plurality of personal laws is not seen as an issue. </w:t>
      </w:r>
    </w:p>
    <w:p w:rsidR="00B12549" w:rsidRPr="00AC36A1" w:rsidRDefault="00B12549" w:rsidP="00B12549">
      <w:pPr>
        <w:pStyle w:val="SingleTxt"/>
        <w:spacing w:after="0" w:line="120" w:lineRule="exact"/>
        <w:rPr>
          <w:sz w:val="10"/>
        </w:rPr>
      </w:pPr>
    </w:p>
    <w:p w:rsidR="00CF1DFA" w:rsidRPr="00AC36A1" w:rsidRDefault="00B12549" w:rsidP="00B12549">
      <w:pPr>
        <w:pStyle w:val="H23"/>
        <w:ind w:right="1260"/>
        <w:rPr>
          <w:i/>
        </w:rPr>
      </w:pPr>
      <w:r w:rsidRPr="00AC36A1">
        <w:tab/>
      </w:r>
      <w:r w:rsidRPr="00AC36A1">
        <w:tab/>
      </w:r>
      <w:r w:rsidR="00CF1DFA" w:rsidRPr="00AC36A1">
        <w:rPr>
          <w:i/>
        </w:rPr>
        <w:t>Expedite amendment to Land Development Ordinance</w:t>
      </w:r>
    </w:p>
    <w:p w:rsidR="00B12549" w:rsidRPr="00AC36A1" w:rsidRDefault="00B12549" w:rsidP="00B12549">
      <w:pPr>
        <w:pStyle w:val="SingleTxt"/>
        <w:spacing w:after="0" w:line="120" w:lineRule="exact"/>
        <w:rPr>
          <w:sz w:val="10"/>
        </w:rPr>
      </w:pPr>
    </w:p>
    <w:p w:rsidR="00CF1DFA" w:rsidRPr="00AC36A1" w:rsidRDefault="00CF1DFA" w:rsidP="00CF1DFA">
      <w:pPr>
        <w:pStyle w:val="SingleTxt"/>
      </w:pPr>
      <w:r w:rsidRPr="00AC36A1">
        <w:t>21.</w:t>
      </w:r>
      <w:r w:rsidRPr="00AC36A1">
        <w:tab/>
        <w:t>A Bill to amend the Land Development Ordinance to recognize equal rights to succession to land was submitted to the Parliament but was required to be referred to Provincial Councils in compliance with Constitutional requirements and is currently under review.</w:t>
      </w:r>
    </w:p>
    <w:p w:rsidR="00B12549" w:rsidRPr="00AC36A1" w:rsidRDefault="00B12549" w:rsidP="00B12549">
      <w:pPr>
        <w:pStyle w:val="SingleTxt"/>
        <w:spacing w:after="0" w:line="120" w:lineRule="exact"/>
        <w:rPr>
          <w:sz w:val="10"/>
        </w:rPr>
      </w:pPr>
    </w:p>
    <w:p w:rsidR="00CF1DFA" w:rsidRPr="00AC36A1" w:rsidRDefault="00B12549" w:rsidP="00B12549">
      <w:pPr>
        <w:pStyle w:val="H23"/>
        <w:ind w:right="1260"/>
        <w:rPr>
          <w:i/>
        </w:rPr>
      </w:pPr>
      <w:r w:rsidRPr="00AC36A1">
        <w:tab/>
      </w:r>
      <w:r w:rsidRPr="00AC36A1">
        <w:tab/>
      </w:r>
      <w:r w:rsidR="00CF1DFA" w:rsidRPr="00AC36A1">
        <w:rPr>
          <w:i/>
        </w:rPr>
        <w:t>Involvement of women in the law reform process</w:t>
      </w:r>
    </w:p>
    <w:p w:rsidR="00B12549" w:rsidRPr="00AC36A1" w:rsidRDefault="00B12549" w:rsidP="00B12549">
      <w:pPr>
        <w:pStyle w:val="SingleTxt"/>
        <w:spacing w:after="0" w:line="120" w:lineRule="exact"/>
        <w:rPr>
          <w:sz w:val="10"/>
        </w:rPr>
      </w:pPr>
    </w:p>
    <w:p w:rsidR="00CF1DFA" w:rsidRPr="00AC36A1" w:rsidRDefault="00CF1DFA" w:rsidP="00CF1DFA">
      <w:pPr>
        <w:pStyle w:val="SingleTxt"/>
      </w:pPr>
      <w:r w:rsidRPr="00AC36A1">
        <w:t>22.</w:t>
      </w:r>
      <w:r w:rsidRPr="00AC36A1">
        <w:tab/>
        <w:t xml:space="preserve">There is no impediment whatsoever in the involvement of women in the law making process and in fact women have been and continue to be involved. </w:t>
      </w:r>
    </w:p>
    <w:p w:rsidR="00B12549" w:rsidRPr="00AC36A1" w:rsidRDefault="00B12549" w:rsidP="00B12549">
      <w:pPr>
        <w:pStyle w:val="SingleTxt"/>
        <w:spacing w:after="0" w:line="120" w:lineRule="exact"/>
        <w:rPr>
          <w:sz w:val="10"/>
        </w:rPr>
      </w:pPr>
    </w:p>
    <w:p w:rsidR="00CF1DFA" w:rsidRPr="00AC36A1" w:rsidRDefault="00B12549" w:rsidP="00B12549">
      <w:pPr>
        <w:pStyle w:val="H23"/>
        <w:ind w:right="1260"/>
      </w:pPr>
      <w:r w:rsidRPr="00AC36A1">
        <w:tab/>
      </w:r>
      <w:r w:rsidRPr="00AC36A1">
        <w:tab/>
      </w:r>
      <w:r w:rsidR="00CF1DFA" w:rsidRPr="00AC36A1">
        <w:t>National machinery for the advancement of Women [Paragraph 19]</w:t>
      </w:r>
    </w:p>
    <w:p w:rsidR="00B12549" w:rsidRPr="00AC36A1" w:rsidRDefault="00B12549" w:rsidP="00B12549">
      <w:pPr>
        <w:pStyle w:val="SingleTxt"/>
        <w:spacing w:after="0" w:line="120" w:lineRule="exact"/>
        <w:rPr>
          <w:sz w:val="10"/>
        </w:rPr>
      </w:pPr>
    </w:p>
    <w:p w:rsidR="00CF1DFA" w:rsidRPr="00AC36A1" w:rsidRDefault="00CF1DFA" w:rsidP="00CF1DFA">
      <w:pPr>
        <w:pStyle w:val="SingleTxt"/>
      </w:pPr>
      <w:r w:rsidRPr="00AC36A1">
        <w:t>23.</w:t>
      </w:r>
      <w:r w:rsidRPr="00AC36A1">
        <w:tab/>
        <w:t>The Bill to establish the National Commission on Women was presented to Cabinet and is currently under review.</w:t>
      </w:r>
    </w:p>
    <w:p w:rsidR="00B12549" w:rsidRPr="00AC36A1" w:rsidRDefault="00B12549" w:rsidP="00B12549">
      <w:pPr>
        <w:pStyle w:val="SingleTxt"/>
        <w:spacing w:after="0" w:line="120" w:lineRule="exact"/>
        <w:rPr>
          <w:sz w:val="10"/>
        </w:rPr>
      </w:pPr>
    </w:p>
    <w:p w:rsidR="00CF1DFA" w:rsidRPr="00AC36A1" w:rsidRDefault="00B12549" w:rsidP="00B12549">
      <w:pPr>
        <w:pStyle w:val="H23"/>
        <w:ind w:right="1260"/>
      </w:pPr>
      <w:r w:rsidRPr="00AC36A1">
        <w:tab/>
      </w:r>
      <w:r w:rsidRPr="00AC36A1">
        <w:tab/>
      </w:r>
      <w:r w:rsidR="00CF1DFA" w:rsidRPr="00AC36A1">
        <w:t>Temporary special measures [Paragraph 21]</w:t>
      </w:r>
    </w:p>
    <w:p w:rsidR="00B12549" w:rsidRPr="00AC36A1" w:rsidRDefault="00B12549" w:rsidP="00B12549">
      <w:pPr>
        <w:pStyle w:val="SingleTxt"/>
        <w:spacing w:after="0" w:line="120" w:lineRule="exact"/>
        <w:rPr>
          <w:sz w:val="10"/>
        </w:rPr>
      </w:pPr>
    </w:p>
    <w:p w:rsidR="00CF1DFA" w:rsidRPr="00AC36A1" w:rsidRDefault="00CF1DFA" w:rsidP="00CF1DFA">
      <w:pPr>
        <w:pStyle w:val="SingleTxt"/>
      </w:pPr>
      <w:r w:rsidRPr="00AC36A1">
        <w:t>24.</w:t>
      </w:r>
      <w:r w:rsidRPr="00AC36A1">
        <w:tab/>
        <w:t>Article 12 (4) of the Constitution recognizes the legitimacy of introducing special measures for the advancement of women, children and disabled persons. No temporary special measures have been introduced since the approach has been to integrate necessary interventions into the national policy which is an evolving process. Successive governments in Sri Lanka continue to allocate resources in relation to the measures taken for the advancement of women; e.g. the interim budget for year 2015 passed in January 2015 after the election of the new President on 8th January, introduced a system of paying of Rs. 20,000.00 worth of nutrition foods recommended by doctors to all expectant mothers in the country during the last 6 months of the pregnancy period and first four months after the confinement. This is with the aim of addressing issues related to anaemia, low birth weight and malnutrition that impact the mother as well as the baby.</w:t>
      </w:r>
    </w:p>
    <w:p w:rsidR="00B12549" w:rsidRPr="00AC36A1" w:rsidRDefault="00B12549" w:rsidP="00B12549">
      <w:pPr>
        <w:pStyle w:val="SingleTxt"/>
        <w:spacing w:after="0" w:line="120" w:lineRule="exact"/>
        <w:rPr>
          <w:sz w:val="10"/>
        </w:rPr>
      </w:pPr>
    </w:p>
    <w:p w:rsidR="00CF1DFA" w:rsidRPr="00AC36A1" w:rsidRDefault="00B12549" w:rsidP="00B12549">
      <w:pPr>
        <w:pStyle w:val="H23"/>
        <w:ind w:right="1260"/>
      </w:pPr>
      <w:r w:rsidRPr="00AC36A1">
        <w:tab/>
      </w:r>
      <w:r w:rsidRPr="00AC36A1">
        <w:tab/>
      </w:r>
      <w:r w:rsidR="00CF1DFA" w:rsidRPr="00AC36A1">
        <w:t>Stereotypes and discriminatory practices [Paragraph 23]</w:t>
      </w:r>
    </w:p>
    <w:p w:rsidR="00B12549" w:rsidRPr="00AC36A1" w:rsidRDefault="00B12549" w:rsidP="00B12549">
      <w:pPr>
        <w:pStyle w:val="SingleTxt"/>
        <w:spacing w:after="0" w:line="120" w:lineRule="exact"/>
        <w:rPr>
          <w:sz w:val="10"/>
        </w:rPr>
      </w:pPr>
    </w:p>
    <w:p w:rsidR="00CF1DFA" w:rsidRPr="00AC36A1" w:rsidRDefault="00B12549" w:rsidP="00B12549">
      <w:pPr>
        <w:pStyle w:val="H23"/>
        <w:ind w:right="1260"/>
        <w:rPr>
          <w:i/>
        </w:rPr>
      </w:pPr>
      <w:r w:rsidRPr="00AC36A1">
        <w:tab/>
      </w:r>
      <w:r w:rsidRPr="00AC36A1">
        <w:tab/>
      </w:r>
      <w:r w:rsidR="00CF1DFA" w:rsidRPr="00AC36A1">
        <w:rPr>
          <w:i/>
        </w:rPr>
        <w:t>Put in place a comprehensive strategy to eliminate practices and stereotypes that discriminate against women</w:t>
      </w:r>
    </w:p>
    <w:p w:rsidR="00B12549" w:rsidRPr="00AC36A1" w:rsidRDefault="00B12549" w:rsidP="00B12549">
      <w:pPr>
        <w:pStyle w:val="SingleTxt"/>
        <w:spacing w:after="0" w:line="120" w:lineRule="exact"/>
        <w:rPr>
          <w:sz w:val="10"/>
        </w:rPr>
      </w:pPr>
    </w:p>
    <w:p w:rsidR="00CF1DFA" w:rsidRPr="00AC36A1" w:rsidRDefault="00CF1DFA" w:rsidP="00CF1DFA">
      <w:pPr>
        <w:pStyle w:val="SingleTxt"/>
      </w:pPr>
      <w:r w:rsidRPr="00AC36A1">
        <w:t>25.</w:t>
      </w:r>
      <w:r w:rsidRPr="00AC36A1">
        <w:tab/>
        <w:t xml:space="preserve">Gender role stereotyping continues to decline and is not a serious concern or a subject which is widely discussed in Sri Lanka. More women continue to enter employment areas that were hitherto either dominated by men or were the exclusive domain of men, including the Judiciary, Company Directorships, Banking and Engineering fields. Senior government positions including the office of the Chief Justice, the Attorney General, Chairperson of the University Grants Commission, Secretaries to Ministries including the Ministry of Foreign Affairs and the Ministry of Justice have been / or are being held by female government officers. There is also a significant development in the private sector, where female employees continue to serve in top posts including as company Chief Executive Officers and as members of Boards of Directors. Consistent education policies that have provided freedom of choice and opportunities to women equal with those available to men have paved the way for such achievements. </w:t>
      </w:r>
    </w:p>
    <w:p w:rsidR="00B12549" w:rsidRPr="00AC36A1" w:rsidRDefault="00B12549" w:rsidP="00B12549">
      <w:pPr>
        <w:pStyle w:val="SingleTxt"/>
        <w:spacing w:after="0" w:line="120" w:lineRule="exact"/>
        <w:rPr>
          <w:sz w:val="10"/>
        </w:rPr>
      </w:pPr>
    </w:p>
    <w:p w:rsidR="00CF1DFA" w:rsidRPr="00AC36A1" w:rsidRDefault="00CF1DFA" w:rsidP="00B12549">
      <w:pPr>
        <w:pStyle w:val="H23"/>
        <w:ind w:right="1260"/>
      </w:pPr>
      <w:r w:rsidRPr="00AC36A1">
        <w:tab/>
      </w:r>
      <w:r w:rsidRPr="00AC36A1">
        <w:tab/>
        <w:t>Violence Against Women (VAW) [Paragraph 25]</w:t>
      </w:r>
    </w:p>
    <w:p w:rsidR="00B12549" w:rsidRPr="00AC36A1" w:rsidRDefault="00B12549" w:rsidP="00B12549">
      <w:pPr>
        <w:pStyle w:val="SingleTxt"/>
        <w:spacing w:after="0" w:line="120" w:lineRule="exact"/>
        <w:rPr>
          <w:sz w:val="10"/>
        </w:rPr>
      </w:pPr>
    </w:p>
    <w:p w:rsidR="00CF1DFA" w:rsidRPr="00AC36A1" w:rsidRDefault="00B12549" w:rsidP="00B12549">
      <w:pPr>
        <w:pStyle w:val="H4"/>
        <w:ind w:right="1260"/>
      </w:pPr>
      <w:r w:rsidRPr="00AC36A1">
        <w:tab/>
      </w:r>
      <w:r w:rsidRPr="00AC36A1">
        <w:tab/>
      </w:r>
      <w:r w:rsidR="00CF1DFA" w:rsidRPr="00AC36A1">
        <w:t xml:space="preserve">The Law- </w:t>
      </w:r>
    </w:p>
    <w:p w:rsidR="00B12549" w:rsidRPr="00AC36A1" w:rsidRDefault="00B12549" w:rsidP="00B12549">
      <w:pPr>
        <w:pStyle w:val="SingleTxt"/>
        <w:spacing w:after="0" w:line="120" w:lineRule="exact"/>
        <w:rPr>
          <w:sz w:val="10"/>
        </w:rPr>
      </w:pPr>
    </w:p>
    <w:p w:rsidR="00CF1DFA" w:rsidRPr="00AC36A1" w:rsidRDefault="00CF1DFA" w:rsidP="00CF1DFA">
      <w:pPr>
        <w:pStyle w:val="SingleTxt"/>
      </w:pPr>
      <w:r w:rsidRPr="00AC36A1">
        <w:t>26.</w:t>
      </w:r>
      <w:r w:rsidRPr="00AC36A1">
        <w:tab/>
        <w:t>All acts of violence against women are criminalized. Sri Lanka’s legal regime in this regard is comprehensive. The implementation mechanisms have also been strengthened with a network of State Institutions that reach the grass roots level vested with tasks to address violence issues. These include at the base level, Women Development Officers (WDO’s) and Counselling Assistants who have been appointed since</w:t>
      </w:r>
      <w:r w:rsidR="00AC508D" w:rsidRPr="00AC36A1">
        <w:t xml:space="preserve"> </w:t>
      </w:r>
      <w:r w:rsidRPr="00AC36A1">
        <w:t xml:space="preserve">2005 to work at the administrative division level, i.e. the lowest level of State administration. </w:t>
      </w:r>
    </w:p>
    <w:p w:rsidR="00CF1DFA" w:rsidRPr="00AC36A1" w:rsidRDefault="00CF1DFA" w:rsidP="00CF1DFA">
      <w:pPr>
        <w:pStyle w:val="SingleTxt"/>
      </w:pPr>
      <w:r w:rsidRPr="00AC36A1">
        <w:t>27.</w:t>
      </w:r>
      <w:r w:rsidRPr="00AC36A1">
        <w:tab/>
        <w:t>The Assistance to and Protection of Victims of Crime and Witnesses Act No.</w:t>
      </w:r>
      <w:r w:rsidR="00AC508D" w:rsidRPr="00AC36A1">
        <w:t> </w:t>
      </w:r>
      <w:r w:rsidRPr="00AC36A1">
        <w:t>04 of 2015 was enacted by the Parliament in February 2015 and steps are underway to implement its provisions, the Act inter-alia:</w:t>
      </w:r>
    </w:p>
    <w:p w:rsidR="00CF1DFA" w:rsidRPr="00AC36A1" w:rsidRDefault="00B12549" w:rsidP="00B12549">
      <w:pPr>
        <w:pStyle w:val="SingleTxt"/>
        <w:tabs>
          <w:tab w:val="right" w:pos="1685"/>
        </w:tabs>
        <w:ind w:left="1742" w:hanging="475"/>
      </w:pPr>
      <w:r w:rsidRPr="00AC36A1">
        <w:tab/>
      </w:r>
      <w:r w:rsidR="00CF1DFA" w:rsidRPr="00AC36A1">
        <w:t>•</w:t>
      </w:r>
      <w:r w:rsidR="00CF1DFA" w:rsidRPr="00AC36A1">
        <w:tab/>
        <w:t xml:space="preserve">sets out rights and entitlements of victims of crime and witnesses and the protection and promotion of such rights and entitlements; </w:t>
      </w:r>
    </w:p>
    <w:p w:rsidR="00CF1DFA" w:rsidRPr="00AC36A1" w:rsidRDefault="00B12549" w:rsidP="00B12549">
      <w:pPr>
        <w:pStyle w:val="SingleTxt"/>
        <w:tabs>
          <w:tab w:val="right" w:pos="1685"/>
        </w:tabs>
        <w:ind w:left="1742" w:hanging="475"/>
      </w:pPr>
      <w:r w:rsidRPr="00AC36A1">
        <w:tab/>
      </w:r>
      <w:r w:rsidR="00CF1DFA" w:rsidRPr="00AC36A1">
        <w:t>•</w:t>
      </w:r>
      <w:r w:rsidR="00CF1DFA" w:rsidRPr="00AC36A1">
        <w:tab/>
        <w:t>seeks to give effect to appropriate International norms, standards and best practices relating to the protection of victims of crime and witnesses;</w:t>
      </w:r>
    </w:p>
    <w:p w:rsidR="00CF1DFA" w:rsidRPr="00AC36A1" w:rsidRDefault="00B12549" w:rsidP="00B12549">
      <w:pPr>
        <w:pStyle w:val="SingleTxt"/>
        <w:tabs>
          <w:tab w:val="right" w:pos="1685"/>
        </w:tabs>
        <w:ind w:left="1742" w:hanging="475"/>
      </w:pPr>
      <w:r w:rsidRPr="00AC36A1">
        <w:tab/>
      </w:r>
      <w:r w:rsidR="00CF1DFA" w:rsidRPr="00AC36A1">
        <w:t>•</w:t>
      </w:r>
      <w:r w:rsidR="00CF1DFA" w:rsidRPr="00AC36A1">
        <w:tab/>
        <w:t>provides for the establishment of The National Authority for the Protection of Victims of Crime and Witnesses;</w:t>
      </w:r>
    </w:p>
    <w:p w:rsidR="00CF1DFA" w:rsidRPr="00AC36A1" w:rsidRDefault="00B12549" w:rsidP="00B12549">
      <w:pPr>
        <w:pStyle w:val="SingleTxt"/>
        <w:tabs>
          <w:tab w:val="right" w:pos="1685"/>
        </w:tabs>
        <w:ind w:left="1742" w:hanging="475"/>
      </w:pPr>
      <w:r w:rsidRPr="00AC36A1">
        <w:tab/>
      </w:r>
      <w:r w:rsidR="00CF1DFA" w:rsidRPr="00AC36A1">
        <w:t>•</w:t>
      </w:r>
      <w:r w:rsidR="00CF1DFA" w:rsidRPr="00AC36A1">
        <w:tab/>
        <w:t>provides for the Victims of Crime and Witnesses Assistance and Protection Division of the Sri Lanka Police Department;</w:t>
      </w:r>
    </w:p>
    <w:p w:rsidR="00CF1DFA" w:rsidRPr="00AC36A1" w:rsidRDefault="00B12549" w:rsidP="00B12549">
      <w:pPr>
        <w:pStyle w:val="SingleTxt"/>
        <w:tabs>
          <w:tab w:val="right" w:pos="1685"/>
        </w:tabs>
        <w:ind w:left="1742" w:hanging="475"/>
      </w:pPr>
      <w:r w:rsidRPr="00AC36A1">
        <w:tab/>
      </w:r>
      <w:r w:rsidR="00CF1DFA" w:rsidRPr="00AC36A1">
        <w:t>•</w:t>
      </w:r>
      <w:r w:rsidR="00CF1DFA" w:rsidRPr="00AC36A1">
        <w:tab/>
        <w:t xml:space="preserve">provides for the payment of compensation to victims and witnesses of crimes and provides for the establishment of the Victims of Crime and Witnesses Assistance and Protection Fund. </w:t>
      </w:r>
    </w:p>
    <w:p w:rsidR="00B12549" w:rsidRPr="00AC36A1" w:rsidRDefault="00B12549" w:rsidP="00B12549">
      <w:pPr>
        <w:pStyle w:val="SingleTxt"/>
        <w:spacing w:after="0" w:line="120" w:lineRule="exact"/>
        <w:rPr>
          <w:sz w:val="10"/>
        </w:rPr>
      </w:pPr>
    </w:p>
    <w:p w:rsidR="00CF1DFA" w:rsidRPr="00AC36A1" w:rsidRDefault="00B12549" w:rsidP="00B12549">
      <w:pPr>
        <w:pStyle w:val="H4"/>
        <w:ind w:right="1260"/>
      </w:pPr>
      <w:r w:rsidRPr="00AC36A1">
        <w:tab/>
      </w:r>
      <w:r w:rsidRPr="00AC36A1">
        <w:tab/>
      </w:r>
      <w:r w:rsidR="00CF1DFA" w:rsidRPr="00AC36A1">
        <w:t xml:space="preserve">Implementation- </w:t>
      </w:r>
    </w:p>
    <w:p w:rsidR="00B12549" w:rsidRPr="00AC36A1" w:rsidRDefault="00B12549" w:rsidP="00B12549">
      <w:pPr>
        <w:pStyle w:val="SingleTxt"/>
        <w:spacing w:after="0" w:line="120" w:lineRule="exact"/>
        <w:rPr>
          <w:sz w:val="10"/>
        </w:rPr>
      </w:pPr>
    </w:p>
    <w:p w:rsidR="00CF1DFA" w:rsidRPr="00AC36A1" w:rsidRDefault="00CF1DFA" w:rsidP="00CF1DFA">
      <w:pPr>
        <w:pStyle w:val="SingleTxt"/>
      </w:pPr>
      <w:r w:rsidRPr="00AC36A1">
        <w:t>28.</w:t>
      </w:r>
      <w:r w:rsidRPr="00AC36A1">
        <w:tab/>
        <w:t>Efforts to improve implementation continue, through programmes for all partners including the Police, members of the judiciary, gender focal points in Government Ministries, Medical practitioners and Lawyers.</w:t>
      </w:r>
    </w:p>
    <w:p w:rsidR="00CF1DFA" w:rsidRPr="00AC36A1" w:rsidRDefault="00CF1DFA" w:rsidP="00CF1DFA">
      <w:pPr>
        <w:pStyle w:val="SingleTxt"/>
      </w:pPr>
      <w:r w:rsidRPr="00AC36A1">
        <w:t>29.</w:t>
      </w:r>
      <w:r w:rsidRPr="00AC36A1">
        <w:tab/>
        <w:t xml:space="preserve">Sensitization programmes also continue to be held for all stakeholders including school children. Docudramas on VAW including on the prevention of workplace harassment have been produced. </w:t>
      </w:r>
    </w:p>
    <w:p w:rsidR="00CF1DFA" w:rsidRPr="00AC36A1" w:rsidRDefault="00CF1DFA" w:rsidP="00CF1DFA">
      <w:pPr>
        <w:pStyle w:val="SingleTxt"/>
      </w:pPr>
      <w:r w:rsidRPr="00AC36A1">
        <w:t>30.</w:t>
      </w:r>
      <w:r w:rsidRPr="00AC36A1">
        <w:tab/>
        <w:t>Counselling programmes have been conducted for Counselling Assistants and a one year Diploma course in Counselling has been introduced for WDOs and Counselling Assistants. The number of Women and Children Police Help Desks has been increased to provide specialized services to a larger number of victims. The Ministry of Women’s Affairs (M/WA) provided funds to construct new buildings for 26 child and women’s bureau units in police stations and provided necessary equipment to address diverse issues on violence against women.</w:t>
      </w:r>
    </w:p>
    <w:p w:rsidR="00CF1DFA" w:rsidRPr="00AC36A1" w:rsidRDefault="00CF1DFA" w:rsidP="00CF1DFA">
      <w:pPr>
        <w:pStyle w:val="SingleTxt"/>
      </w:pPr>
      <w:r w:rsidRPr="00AC36A1">
        <w:t>31.</w:t>
      </w:r>
      <w:r w:rsidRPr="00AC36A1">
        <w:tab/>
        <w:t>A toll free helpline 1938 has been setup under the National Committee on Women to receive complaints and refer them to relevant service providers. An extensive state system of service providers have been placed at Divisional Secretariat level, comprising of 05 key government officers working on women and children’s matters who liaise with other relevant agencies. State funding for the Legal Aid Commission was increased to 500 million for provision of legal aid to needy women.</w:t>
      </w:r>
    </w:p>
    <w:p w:rsidR="00CF1DFA" w:rsidRPr="00AC36A1" w:rsidRDefault="00CF1DFA" w:rsidP="00CF1DFA">
      <w:pPr>
        <w:pStyle w:val="SingleTxt"/>
      </w:pPr>
      <w:r w:rsidRPr="00AC36A1">
        <w:t>32.</w:t>
      </w:r>
      <w:r w:rsidRPr="00AC36A1">
        <w:tab/>
        <w:t xml:space="preserve">One hundred and Fifty (150) Counselling Assistants have been recruited by the M/WA and Counselling training programmes have been conducted for them and a one year Diploma course in Counselling has been introduced for WDOs and Counselling Assistants. </w:t>
      </w:r>
    </w:p>
    <w:p w:rsidR="00CF1DFA" w:rsidRPr="00AC36A1" w:rsidRDefault="00CF1DFA" w:rsidP="00CF1DFA">
      <w:pPr>
        <w:pStyle w:val="SingleTxt"/>
      </w:pPr>
      <w:r w:rsidRPr="00AC36A1">
        <w:t>33.</w:t>
      </w:r>
      <w:r w:rsidRPr="00AC36A1">
        <w:tab/>
        <w:t>The M/WA has established Children and Women Units in 198 out of 351</w:t>
      </w:r>
      <w:r w:rsidR="003D6A8B" w:rsidRPr="00AC36A1">
        <w:t> </w:t>
      </w:r>
      <w:r w:rsidRPr="00AC36A1">
        <w:t>Divisions under the close supervision and coordination of Divisional Secretaries, in order to implement the Government’s programmes on Children and Women. The Unit consists of Women Development Officers (WDOs), Child Rights Promotion Officers, Relief Sister, Early Childhood Development Assistant and Assistant Child Protection officers.</w:t>
      </w:r>
    </w:p>
    <w:p w:rsidR="00B12549" w:rsidRPr="00AC36A1" w:rsidRDefault="00B12549" w:rsidP="00B12549">
      <w:pPr>
        <w:pStyle w:val="SingleTxt"/>
        <w:spacing w:after="0" w:line="120" w:lineRule="exact"/>
        <w:rPr>
          <w:sz w:val="10"/>
        </w:rPr>
      </w:pPr>
    </w:p>
    <w:p w:rsidR="00CF1DFA" w:rsidRPr="00AC36A1" w:rsidRDefault="00B12549" w:rsidP="00B12549">
      <w:pPr>
        <w:pStyle w:val="H4"/>
        <w:ind w:right="1260"/>
      </w:pPr>
      <w:r w:rsidRPr="00AC36A1">
        <w:tab/>
      </w:r>
      <w:r w:rsidRPr="00AC36A1">
        <w:tab/>
      </w:r>
      <w:r w:rsidR="00CF1DFA" w:rsidRPr="00AC36A1">
        <w:t>Other matters</w:t>
      </w:r>
    </w:p>
    <w:p w:rsidR="00B12549" w:rsidRPr="00AC36A1" w:rsidRDefault="00B12549" w:rsidP="00B12549">
      <w:pPr>
        <w:pStyle w:val="SingleTxt"/>
        <w:spacing w:after="0" w:line="120" w:lineRule="exact"/>
        <w:rPr>
          <w:sz w:val="10"/>
        </w:rPr>
      </w:pPr>
    </w:p>
    <w:p w:rsidR="00CF1DFA" w:rsidRPr="00AC36A1" w:rsidRDefault="00CF1DFA" w:rsidP="00CF1DFA">
      <w:pPr>
        <w:pStyle w:val="SingleTxt"/>
      </w:pPr>
      <w:r w:rsidRPr="00AC36A1">
        <w:t>34.</w:t>
      </w:r>
      <w:r w:rsidRPr="00AC36A1">
        <w:tab/>
        <w:t>The State institutions available for women to access justice including the State Legal Aid Commission provide a comprehensive service and are supported by several Non-Governmental Organizations that offer support to women victims.</w:t>
      </w:r>
    </w:p>
    <w:p w:rsidR="00CF1DFA" w:rsidRPr="00AC36A1" w:rsidRDefault="00CF1DFA" w:rsidP="00CF1DFA">
      <w:pPr>
        <w:pStyle w:val="SingleTxt"/>
      </w:pPr>
      <w:r w:rsidRPr="00AC36A1">
        <w:t>35.</w:t>
      </w:r>
      <w:r w:rsidRPr="00AC36A1">
        <w:tab/>
        <w:t>Although the act of sexual intercourse without the consent of the wife is by itself not a crime under the existing law, where such an act involves violence to such a degree that the violence amounts to a crime, the act of violence is punishable under the Penal Code. In such an event, relief can also be sought under the Prevention of Domestic Violence Act (DV Act).</w:t>
      </w:r>
    </w:p>
    <w:p w:rsidR="00CF1DFA" w:rsidRPr="00AC36A1" w:rsidRDefault="00CF1DFA" w:rsidP="00CF1DFA">
      <w:pPr>
        <w:pStyle w:val="SingleTxt"/>
      </w:pPr>
      <w:r w:rsidRPr="00AC36A1">
        <w:t>36.</w:t>
      </w:r>
      <w:r w:rsidRPr="00AC36A1">
        <w:tab/>
        <w:t xml:space="preserve">The provisions of the Penal Code (sections 365 and 365A) which criminalize sexual activity between two consenting adults of the same sex does not detract from the Constitutional guarantee under Article 12 of the Constitution on protection from discrimination on the grounds of sexual orientation or gender identity. </w:t>
      </w:r>
    </w:p>
    <w:p w:rsidR="00CF1DFA" w:rsidRPr="00AC36A1" w:rsidRDefault="00CF1DFA" w:rsidP="00CF1DFA">
      <w:pPr>
        <w:pStyle w:val="SingleTxt"/>
      </w:pPr>
      <w:r w:rsidRPr="00AC36A1">
        <w:t>37.</w:t>
      </w:r>
      <w:r w:rsidRPr="00AC36A1">
        <w:tab/>
        <w:t>Programmes on strengthening enforcement of law and access to justice and social integration have been implemented by empowering public sector and private sector stake holders. Billboards have been erected in all the Districts depicting messages on ending violence against women and children. “</w:t>
      </w:r>
      <w:r w:rsidRPr="00AC36A1">
        <w:rPr>
          <w:i/>
        </w:rPr>
        <w:t>Men too can make a difference on ending violence against women</w:t>
      </w:r>
      <w:r w:rsidRPr="00AC36A1">
        <w:t>” is a theme taken up in all awareness raising programmes.</w:t>
      </w:r>
    </w:p>
    <w:p w:rsidR="00CF1DFA" w:rsidRPr="00AC36A1" w:rsidRDefault="00CF1DFA" w:rsidP="00CF1DFA">
      <w:pPr>
        <w:pStyle w:val="SingleTxt"/>
      </w:pPr>
      <w:r w:rsidRPr="00AC36A1">
        <w:t>38.</w:t>
      </w:r>
      <w:r w:rsidRPr="00AC36A1">
        <w:tab/>
        <w:t>The M/WA has implemented the following programmes in line with the Prevention of Domestic Violence Action Plan-</w:t>
      </w:r>
    </w:p>
    <w:p w:rsidR="00CF1DFA" w:rsidRPr="00AC36A1" w:rsidRDefault="00B12549" w:rsidP="00B12549">
      <w:pPr>
        <w:pStyle w:val="SingleTxt"/>
        <w:tabs>
          <w:tab w:val="right" w:pos="1685"/>
        </w:tabs>
        <w:ind w:left="1742" w:hanging="475"/>
      </w:pPr>
      <w:r w:rsidRPr="00AC36A1">
        <w:tab/>
      </w:r>
      <w:r w:rsidR="00CF1DFA" w:rsidRPr="00AC36A1">
        <w:t>•</w:t>
      </w:r>
      <w:r w:rsidR="00CF1DFA" w:rsidRPr="00AC36A1">
        <w:tab/>
        <w:t>infrastructure support services were provided</w:t>
      </w:r>
    </w:p>
    <w:p w:rsidR="00CF1DFA" w:rsidRPr="00AC36A1" w:rsidRDefault="00B12549" w:rsidP="00B12549">
      <w:pPr>
        <w:pStyle w:val="SingleTxt"/>
        <w:tabs>
          <w:tab w:val="right" w:pos="1685"/>
        </w:tabs>
        <w:ind w:left="1742" w:hanging="475"/>
      </w:pPr>
      <w:r w:rsidRPr="00AC36A1">
        <w:tab/>
      </w:r>
      <w:r w:rsidR="00CF1DFA" w:rsidRPr="00AC36A1">
        <w:t>•</w:t>
      </w:r>
      <w:r w:rsidR="00CF1DFA" w:rsidRPr="00AC36A1">
        <w:tab/>
        <w:t>health service providers and law enforcement officers were trained on the DV Act.</w:t>
      </w:r>
    </w:p>
    <w:p w:rsidR="00CF1DFA" w:rsidRPr="00AC36A1" w:rsidRDefault="00B12549" w:rsidP="00B12549">
      <w:pPr>
        <w:pStyle w:val="SingleTxt"/>
        <w:tabs>
          <w:tab w:val="right" w:pos="1685"/>
        </w:tabs>
        <w:ind w:left="1742" w:hanging="475"/>
      </w:pPr>
      <w:r w:rsidRPr="00AC36A1">
        <w:tab/>
      </w:r>
      <w:r w:rsidR="00CF1DFA" w:rsidRPr="00AC36A1">
        <w:t>•</w:t>
      </w:r>
      <w:r w:rsidR="00CF1DFA" w:rsidRPr="00AC36A1">
        <w:tab/>
        <w:t>a shelter was established for victims of Gender Based Violence. The shelter was setup in 2012 and has provided services for nearly 50 women. The Ministry has also allocated funds to put up shelters in the North and East</w:t>
      </w:r>
    </w:p>
    <w:p w:rsidR="00CF1DFA" w:rsidRPr="00AC36A1" w:rsidRDefault="00B12549" w:rsidP="00B12549">
      <w:pPr>
        <w:pStyle w:val="SingleTxt"/>
        <w:tabs>
          <w:tab w:val="right" w:pos="1685"/>
        </w:tabs>
        <w:ind w:left="1742" w:hanging="475"/>
      </w:pPr>
      <w:r w:rsidRPr="00AC36A1">
        <w:tab/>
      </w:r>
      <w:r w:rsidR="00CF1DFA" w:rsidRPr="00AC36A1">
        <w:t>•</w:t>
      </w:r>
      <w:r w:rsidR="00CF1DFA" w:rsidRPr="00AC36A1">
        <w:tab/>
        <w:t xml:space="preserve">12 counselling centres in selected districts were established. Counselling services have been extended to grass roots level enabling affected women to access services effectively. </w:t>
      </w:r>
    </w:p>
    <w:p w:rsidR="00CF1DFA" w:rsidRPr="00AC36A1" w:rsidRDefault="00CF1DFA" w:rsidP="00CF1DFA">
      <w:pPr>
        <w:pStyle w:val="SingleTxt"/>
      </w:pPr>
      <w:r w:rsidRPr="00AC36A1">
        <w:t>39.</w:t>
      </w:r>
      <w:r w:rsidRPr="00AC36A1">
        <w:tab/>
        <w:t>Funds have been provided in 2014 under the 700 million special programme for the prevention of child abuse and violence against women.</w:t>
      </w:r>
    </w:p>
    <w:p w:rsidR="00CF1DFA" w:rsidRPr="00AC36A1" w:rsidRDefault="00CF1DFA" w:rsidP="00CF1DFA">
      <w:pPr>
        <w:pStyle w:val="SingleTxt"/>
      </w:pPr>
      <w:r w:rsidRPr="00AC36A1">
        <w:t>40.</w:t>
      </w:r>
      <w:r w:rsidRPr="00AC36A1">
        <w:tab/>
        <w:t>The number of incidents reported has increased in the year 2013. The awareness creation programmes conducted by the state and civil society organizations has helped to increase the reporting of incidents throughout the island. For example the number of reported domestic violence cases has increased from 420</w:t>
      </w:r>
      <w:r w:rsidR="003D6A8B" w:rsidRPr="00AC36A1">
        <w:t> </w:t>
      </w:r>
      <w:r w:rsidRPr="00AC36A1">
        <w:t>in 2012 to 569 in 2013.</w:t>
      </w:r>
    </w:p>
    <w:p w:rsidR="00956E52" w:rsidRPr="00AC36A1" w:rsidRDefault="00956E52" w:rsidP="00956E52">
      <w:pPr>
        <w:pStyle w:val="SingleTxt"/>
        <w:spacing w:after="0" w:line="120" w:lineRule="exact"/>
        <w:rPr>
          <w:sz w:val="10"/>
        </w:rPr>
      </w:pPr>
    </w:p>
    <w:p w:rsidR="00CF1DFA" w:rsidRPr="00AC36A1" w:rsidRDefault="00956E52" w:rsidP="00956E52">
      <w:pPr>
        <w:pStyle w:val="H23"/>
        <w:ind w:right="1260"/>
        <w:rPr>
          <w:b w:val="0"/>
        </w:rPr>
      </w:pPr>
      <w:r w:rsidRPr="00AC36A1">
        <w:tab/>
      </w:r>
      <w:r w:rsidRPr="00AC36A1">
        <w:tab/>
      </w:r>
      <w:r w:rsidR="00CF1DFA" w:rsidRPr="00AC36A1">
        <w:rPr>
          <w:b w:val="0"/>
        </w:rPr>
        <w:t>Table 1</w:t>
      </w:r>
    </w:p>
    <w:p w:rsidR="00CF1DFA" w:rsidRPr="00AC36A1" w:rsidRDefault="00956E52" w:rsidP="00956E52">
      <w:pPr>
        <w:pStyle w:val="H23"/>
        <w:ind w:right="1260"/>
      </w:pPr>
      <w:r w:rsidRPr="00AC36A1">
        <w:tab/>
      </w:r>
      <w:r w:rsidRPr="00AC36A1">
        <w:tab/>
      </w:r>
      <w:r w:rsidR="00CF1DFA" w:rsidRPr="00AC36A1">
        <w:t>Minor offences</w:t>
      </w:r>
    </w:p>
    <w:p w:rsidR="00956E52" w:rsidRPr="00AC36A1" w:rsidRDefault="00956E52" w:rsidP="00956E52">
      <w:pPr>
        <w:pStyle w:val="SingleTxt"/>
        <w:spacing w:after="0" w:line="120" w:lineRule="exact"/>
        <w:rPr>
          <w:sz w:val="10"/>
        </w:rPr>
      </w:pPr>
    </w:p>
    <w:tbl>
      <w:tblPr>
        <w:tblW w:w="8613" w:type="dxa"/>
        <w:tblInd w:w="1260" w:type="dxa"/>
        <w:tblLayout w:type="fixed"/>
        <w:tblCellMar>
          <w:left w:w="0" w:type="dxa"/>
          <w:right w:w="0" w:type="dxa"/>
        </w:tblCellMar>
        <w:tblLook w:val="0000" w:firstRow="0" w:lastRow="0" w:firstColumn="0" w:lastColumn="0" w:noHBand="0" w:noVBand="0"/>
      </w:tblPr>
      <w:tblGrid>
        <w:gridCol w:w="957"/>
        <w:gridCol w:w="957"/>
        <w:gridCol w:w="957"/>
        <w:gridCol w:w="957"/>
        <w:gridCol w:w="957"/>
        <w:gridCol w:w="957"/>
        <w:gridCol w:w="957"/>
        <w:gridCol w:w="957"/>
        <w:gridCol w:w="957"/>
      </w:tblGrid>
      <w:tr w:rsidR="00956E52" w:rsidRPr="00AC36A1" w:rsidTr="00956E52">
        <w:trPr>
          <w:tblHeader/>
        </w:trPr>
        <w:tc>
          <w:tcPr>
            <w:tcW w:w="957" w:type="dxa"/>
            <w:tcBorders>
              <w:top w:val="single" w:sz="4" w:space="0" w:color="auto"/>
              <w:bottom w:val="single" w:sz="12" w:space="0" w:color="auto"/>
            </w:tcBorders>
            <w:shd w:val="clear" w:color="auto" w:fill="auto"/>
            <w:vAlign w:val="bottom"/>
          </w:tcPr>
          <w:p w:rsidR="00956E52" w:rsidRPr="00AC36A1" w:rsidRDefault="00956E52" w:rsidP="00956E52">
            <w:pPr>
              <w:spacing w:before="81" w:after="81" w:line="160" w:lineRule="exact"/>
              <w:ind w:right="40"/>
              <w:rPr>
                <w:i/>
                <w:sz w:val="14"/>
              </w:rPr>
            </w:pPr>
            <w:r w:rsidRPr="00AC36A1">
              <w:rPr>
                <w:i/>
                <w:sz w:val="14"/>
              </w:rPr>
              <w:t>Year</w:t>
            </w:r>
          </w:p>
        </w:tc>
        <w:tc>
          <w:tcPr>
            <w:tcW w:w="957" w:type="dxa"/>
            <w:tcBorders>
              <w:top w:val="single" w:sz="4" w:space="0" w:color="auto"/>
              <w:bottom w:val="single" w:sz="12" w:space="0" w:color="auto"/>
            </w:tcBorders>
            <w:shd w:val="clear" w:color="auto" w:fill="auto"/>
            <w:vAlign w:val="bottom"/>
          </w:tcPr>
          <w:p w:rsidR="00956E52" w:rsidRPr="00AC36A1" w:rsidRDefault="00956E52" w:rsidP="00956E52">
            <w:pPr>
              <w:spacing w:before="81" w:after="81" w:line="160" w:lineRule="exact"/>
              <w:ind w:right="43"/>
              <w:jc w:val="right"/>
              <w:rPr>
                <w:i/>
                <w:sz w:val="14"/>
              </w:rPr>
            </w:pPr>
            <w:r w:rsidRPr="00AC36A1">
              <w:rPr>
                <w:i/>
                <w:sz w:val="14"/>
              </w:rPr>
              <w:t>Sexual abuse</w:t>
            </w:r>
          </w:p>
        </w:tc>
        <w:tc>
          <w:tcPr>
            <w:tcW w:w="957" w:type="dxa"/>
            <w:tcBorders>
              <w:top w:val="single" w:sz="4" w:space="0" w:color="auto"/>
              <w:bottom w:val="single" w:sz="12" w:space="0" w:color="auto"/>
            </w:tcBorders>
            <w:shd w:val="clear" w:color="auto" w:fill="auto"/>
            <w:vAlign w:val="bottom"/>
          </w:tcPr>
          <w:p w:rsidR="00956E52" w:rsidRPr="00AC36A1" w:rsidRDefault="00956E52" w:rsidP="00956E52">
            <w:pPr>
              <w:spacing w:before="81" w:after="81" w:line="160" w:lineRule="exact"/>
              <w:ind w:right="43"/>
              <w:jc w:val="right"/>
              <w:rPr>
                <w:i/>
                <w:sz w:val="14"/>
              </w:rPr>
            </w:pPr>
            <w:r w:rsidRPr="00AC36A1">
              <w:rPr>
                <w:i/>
                <w:sz w:val="14"/>
              </w:rPr>
              <w:t xml:space="preserve">Assault </w:t>
            </w:r>
          </w:p>
        </w:tc>
        <w:tc>
          <w:tcPr>
            <w:tcW w:w="957" w:type="dxa"/>
            <w:tcBorders>
              <w:top w:val="single" w:sz="4" w:space="0" w:color="auto"/>
              <w:bottom w:val="single" w:sz="12" w:space="0" w:color="auto"/>
            </w:tcBorders>
            <w:shd w:val="clear" w:color="auto" w:fill="auto"/>
            <w:vAlign w:val="bottom"/>
          </w:tcPr>
          <w:p w:rsidR="00956E52" w:rsidRPr="00AC36A1" w:rsidRDefault="00956E52" w:rsidP="00956E52">
            <w:pPr>
              <w:spacing w:before="81" w:after="81" w:line="160" w:lineRule="exact"/>
              <w:ind w:right="43"/>
              <w:jc w:val="right"/>
              <w:rPr>
                <w:i/>
                <w:sz w:val="14"/>
              </w:rPr>
            </w:pPr>
            <w:r w:rsidRPr="00AC36A1">
              <w:rPr>
                <w:i/>
                <w:sz w:val="14"/>
              </w:rPr>
              <w:t>Criminal intimidation</w:t>
            </w:r>
          </w:p>
        </w:tc>
        <w:tc>
          <w:tcPr>
            <w:tcW w:w="957" w:type="dxa"/>
            <w:tcBorders>
              <w:top w:val="single" w:sz="4" w:space="0" w:color="auto"/>
              <w:bottom w:val="single" w:sz="12" w:space="0" w:color="auto"/>
            </w:tcBorders>
            <w:shd w:val="clear" w:color="auto" w:fill="auto"/>
            <w:vAlign w:val="bottom"/>
          </w:tcPr>
          <w:p w:rsidR="00956E52" w:rsidRPr="00AC36A1" w:rsidRDefault="00956E52" w:rsidP="00956E52">
            <w:pPr>
              <w:spacing w:before="81" w:after="81" w:line="160" w:lineRule="exact"/>
              <w:ind w:right="43"/>
              <w:jc w:val="right"/>
              <w:rPr>
                <w:i/>
                <w:sz w:val="14"/>
              </w:rPr>
            </w:pPr>
            <w:r w:rsidRPr="00AC36A1">
              <w:rPr>
                <w:i/>
                <w:sz w:val="14"/>
              </w:rPr>
              <w:t xml:space="preserve">Abortion </w:t>
            </w:r>
          </w:p>
        </w:tc>
        <w:tc>
          <w:tcPr>
            <w:tcW w:w="957" w:type="dxa"/>
            <w:tcBorders>
              <w:top w:val="single" w:sz="4" w:space="0" w:color="auto"/>
              <w:bottom w:val="single" w:sz="12" w:space="0" w:color="auto"/>
            </w:tcBorders>
            <w:shd w:val="clear" w:color="auto" w:fill="auto"/>
            <w:vAlign w:val="bottom"/>
          </w:tcPr>
          <w:p w:rsidR="00956E52" w:rsidRPr="00AC36A1" w:rsidRDefault="00956E52" w:rsidP="00956E52">
            <w:pPr>
              <w:spacing w:before="81" w:after="81" w:line="160" w:lineRule="exact"/>
              <w:ind w:right="43"/>
              <w:jc w:val="right"/>
              <w:rPr>
                <w:i/>
                <w:sz w:val="14"/>
              </w:rPr>
            </w:pPr>
            <w:r w:rsidRPr="00AC36A1">
              <w:rPr>
                <w:i/>
                <w:sz w:val="14"/>
              </w:rPr>
              <w:t>Media publicity</w:t>
            </w:r>
          </w:p>
        </w:tc>
        <w:tc>
          <w:tcPr>
            <w:tcW w:w="957" w:type="dxa"/>
            <w:tcBorders>
              <w:top w:val="single" w:sz="4" w:space="0" w:color="auto"/>
              <w:bottom w:val="single" w:sz="12" w:space="0" w:color="auto"/>
            </w:tcBorders>
            <w:shd w:val="clear" w:color="auto" w:fill="auto"/>
            <w:vAlign w:val="bottom"/>
          </w:tcPr>
          <w:p w:rsidR="00956E52" w:rsidRPr="00AC36A1" w:rsidRDefault="00956E52" w:rsidP="00956E52">
            <w:pPr>
              <w:spacing w:before="81" w:after="81" w:line="160" w:lineRule="exact"/>
              <w:ind w:right="43"/>
              <w:jc w:val="right"/>
              <w:rPr>
                <w:i/>
                <w:sz w:val="14"/>
              </w:rPr>
            </w:pPr>
            <w:r w:rsidRPr="00AC36A1">
              <w:rPr>
                <w:i/>
                <w:sz w:val="14"/>
              </w:rPr>
              <w:t xml:space="preserve">Prostitution </w:t>
            </w:r>
          </w:p>
        </w:tc>
        <w:tc>
          <w:tcPr>
            <w:tcW w:w="957" w:type="dxa"/>
            <w:tcBorders>
              <w:top w:val="single" w:sz="4" w:space="0" w:color="auto"/>
              <w:bottom w:val="single" w:sz="12" w:space="0" w:color="auto"/>
            </w:tcBorders>
            <w:shd w:val="clear" w:color="auto" w:fill="auto"/>
            <w:vAlign w:val="bottom"/>
          </w:tcPr>
          <w:p w:rsidR="005473D3" w:rsidRPr="00AC36A1" w:rsidRDefault="00956E52" w:rsidP="005473D3">
            <w:pPr>
              <w:spacing w:before="81" w:line="160" w:lineRule="exact"/>
              <w:ind w:right="43"/>
              <w:jc w:val="right"/>
              <w:rPr>
                <w:i/>
                <w:sz w:val="14"/>
              </w:rPr>
            </w:pPr>
            <w:r w:rsidRPr="00AC36A1">
              <w:rPr>
                <w:i/>
                <w:sz w:val="14"/>
              </w:rPr>
              <w:t>Other</w:t>
            </w:r>
          </w:p>
          <w:p w:rsidR="00956E52" w:rsidRPr="00AC36A1" w:rsidRDefault="00956E52" w:rsidP="005473D3">
            <w:pPr>
              <w:spacing w:after="81" w:line="160" w:lineRule="exact"/>
              <w:ind w:right="43"/>
              <w:jc w:val="right"/>
              <w:rPr>
                <w:i/>
                <w:sz w:val="14"/>
              </w:rPr>
            </w:pPr>
            <w:r w:rsidRPr="00AC36A1">
              <w:rPr>
                <w:i/>
                <w:sz w:val="14"/>
              </w:rPr>
              <w:t xml:space="preserve"> offences</w:t>
            </w:r>
          </w:p>
        </w:tc>
        <w:tc>
          <w:tcPr>
            <w:tcW w:w="957" w:type="dxa"/>
            <w:tcBorders>
              <w:top w:val="single" w:sz="4" w:space="0" w:color="auto"/>
              <w:bottom w:val="single" w:sz="12" w:space="0" w:color="auto"/>
            </w:tcBorders>
            <w:shd w:val="clear" w:color="auto" w:fill="auto"/>
            <w:vAlign w:val="bottom"/>
          </w:tcPr>
          <w:p w:rsidR="00956E52" w:rsidRPr="00AC36A1" w:rsidRDefault="00956E52" w:rsidP="00956E52">
            <w:pPr>
              <w:spacing w:before="81" w:after="81" w:line="160" w:lineRule="exact"/>
              <w:ind w:right="43"/>
              <w:jc w:val="right"/>
              <w:rPr>
                <w:i/>
                <w:sz w:val="14"/>
              </w:rPr>
            </w:pPr>
            <w:r w:rsidRPr="00AC36A1">
              <w:rPr>
                <w:i/>
                <w:sz w:val="14"/>
              </w:rPr>
              <w:t xml:space="preserve">Total </w:t>
            </w:r>
          </w:p>
        </w:tc>
      </w:tr>
      <w:tr w:rsidR="00956E52" w:rsidRPr="00AC36A1" w:rsidTr="00956E52">
        <w:trPr>
          <w:trHeight w:hRule="exact" w:val="115"/>
          <w:tblHeader/>
        </w:trPr>
        <w:tc>
          <w:tcPr>
            <w:tcW w:w="957" w:type="dxa"/>
            <w:tcBorders>
              <w:top w:val="single" w:sz="12" w:space="0" w:color="auto"/>
            </w:tcBorders>
            <w:shd w:val="clear" w:color="auto" w:fill="auto"/>
            <w:vAlign w:val="bottom"/>
          </w:tcPr>
          <w:p w:rsidR="00956E52" w:rsidRPr="00AC36A1" w:rsidRDefault="00956E52" w:rsidP="00956E52">
            <w:pPr>
              <w:spacing w:before="40" w:after="40" w:line="210" w:lineRule="exact"/>
              <w:ind w:right="40"/>
              <w:rPr>
                <w:sz w:val="17"/>
              </w:rPr>
            </w:pPr>
          </w:p>
        </w:tc>
        <w:tc>
          <w:tcPr>
            <w:tcW w:w="957" w:type="dxa"/>
            <w:tcBorders>
              <w:top w:val="single" w:sz="12" w:space="0" w:color="auto"/>
            </w:tcBorders>
            <w:shd w:val="clear" w:color="auto" w:fill="auto"/>
            <w:vAlign w:val="bottom"/>
          </w:tcPr>
          <w:p w:rsidR="00956E52" w:rsidRPr="00AC36A1" w:rsidRDefault="00956E52" w:rsidP="00956E52">
            <w:pPr>
              <w:spacing w:before="40" w:after="40" w:line="210" w:lineRule="exact"/>
              <w:ind w:right="43"/>
              <w:jc w:val="right"/>
              <w:rPr>
                <w:sz w:val="17"/>
              </w:rPr>
            </w:pPr>
          </w:p>
        </w:tc>
        <w:tc>
          <w:tcPr>
            <w:tcW w:w="957" w:type="dxa"/>
            <w:tcBorders>
              <w:top w:val="single" w:sz="12" w:space="0" w:color="auto"/>
            </w:tcBorders>
            <w:shd w:val="clear" w:color="auto" w:fill="auto"/>
            <w:vAlign w:val="bottom"/>
          </w:tcPr>
          <w:p w:rsidR="00956E52" w:rsidRPr="00AC36A1" w:rsidRDefault="00956E52" w:rsidP="00956E52">
            <w:pPr>
              <w:spacing w:before="40" w:after="40" w:line="210" w:lineRule="exact"/>
              <w:ind w:right="43"/>
              <w:jc w:val="right"/>
              <w:rPr>
                <w:sz w:val="17"/>
              </w:rPr>
            </w:pPr>
          </w:p>
        </w:tc>
        <w:tc>
          <w:tcPr>
            <w:tcW w:w="957" w:type="dxa"/>
            <w:tcBorders>
              <w:top w:val="single" w:sz="12" w:space="0" w:color="auto"/>
            </w:tcBorders>
            <w:shd w:val="clear" w:color="auto" w:fill="auto"/>
            <w:vAlign w:val="bottom"/>
          </w:tcPr>
          <w:p w:rsidR="00956E52" w:rsidRPr="00AC36A1" w:rsidRDefault="00956E52" w:rsidP="00956E52">
            <w:pPr>
              <w:spacing w:before="40" w:after="40" w:line="210" w:lineRule="exact"/>
              <w:ind w:right="43"/>
              <w:jc w:val="right"/>
              <w:rPr>
                <w:sz w:val="17"/>
              </w:rPr>
            </w:pPr>
          </w:p>
        </w:tc>
        <w:tc>
          <w:tcPr>
            <w:tcW w:w="957" w:type="dxa"/>
            <w:tcBorders>
              <w:top w:val="single" w:sz="12" w:space="0" w:color="auto"/>
            </w:tcBorders>
            <w:shd w:val="clear" w:color="auto" w:fill="auto"/>
            <w:vAlign w:val="bottom"/>
          </w:tcPr>
          <w:p w:rsidR="00956E52" w:rsidRPr="00AC36A1" w:rsidRDefault="00956E52" w:rsidP="00956E52">
            <w:pPr>
              <w:spacing w:before="40" w:after="40" w:line="210" w:lineRule="exact"/>
              <w:ind w:right="43"/>
              <w:jc w:val="right"/>
              <w:rPr>
                <w:sz w:val="17"/>
              </w:rPr>
            </w:pPr>
          </w:p>
        </w:tc>
        <w:tc>
          <w:tcPr>
            <w:tcW w:w="957" w:type="dxa"/>
            <w:tcBorders>
              <w:top w:val="single" w:sz="12" w:space="0" w:color="auto"/>
            </w:tcBorders>
            <w:shd w:val="clear" w:color="auto" w:fill="auto"/>
            <w:vAlign w:val="bottom"/>
          </w:tcPr>
          <w:p w:rsidR="00956E52" w:rsidRPr="00AC36A1" w:rsidRDefault="00956E52" w:rsidP="00956E52">
            <w:pPr>
              <w:spacing w:before="40" w:after="40" w:line="210" w:lineRule="exact"/>
              <w:ind w:right="43"/>
              <w:jc w:val="right"/>
              <w:rPr>
                <w:sz w:val="17"/>
              </w:rPr>
            </w:pPr>
          </w:p>
        </w:tc>
        <w:tc>
          <w:tcPr>
            <w:tcW w:w="957" w:type="dxa"/>
            <w:tcBorders>
              <w:top w:val="single" w:sz="12" w:space="0" w:color="auto"/>
            </w:tcBorders>
            <w:shd w:val="clear" w:color="auto" w:fill="auto"/>
            <w:vAlign w:val="bottom"/>
          </w:tcPr>
          <w:p w:rsidR="00956E52" w:rsidRPr="00AC36A1" w:rsidRDefault="00956E52" w:rsidP="00956E52">
            <w:pPr>
              <w:spacing w:before="40" w:after="40" w:line="210" w:lineRule="exact"/>
              <w:ind w:right="43"/>
              <w:jc w:val="right"/>
              <w:rPr>
                <w:sz w:val="17"/>
              </w:rPr>
            </w:pPr>
          </w:p>
        </w:tc>
        <w:tc>
          <w:tcPr>
            <w:tcW w:w="957" w:type="dxa"/>
            <w:tcBorders>
              <w:top w:val="single" w:sz="12" w:space="0" w:color="auto"/>
            </w:tcBorders>
            <w:shd w:val="clear" w:color="auto" w:fill="auto"/>
            <w:vAlign w:val="bottom"/>
          </w:tcPr>
          <w:p w:rsidR="00956E52" w:rsidRPr="00AC36A1" w:rsidRDefault="00956E52" w:rsidP="00956E52">
            <w:pPr>
              <w:spacing w:before="40" w:after="40" w:line="210" w:lineRule="exact"/>
              <w:ind w:right="43"/>
              <w:jc w:val="right"/>
              <w:rPr>
                <w:sz w:val="17"/>
              </w:rPr>
            </w:pPr>
          </w:p>
        </w:tc>
        <w:tc>
          <w:tcPr>
            <w:tcW w:w="957" w:type="dxa"/>
            <w:tcBorders>
              <w:top w:val="single" w:sz="12" w:space="0" w:color="auto"/>
            </w:tcBorders>
            <w:shd w:val="clear" w:color="auto" w:fill="auto"/>
            <w:vAlign w:val="bottom"/>
          </w:tcPr>
          <w:p w:rsidR="00956E52" w:rsidRPr="00AC36A1" w:rsidRDefault="00956E52" w:rsidP="00956E52">
            <w:pPr>
              <w:spacing w:before="40" w:after="40" w:line="210" w:lineRule="exact"/>
              <w:ind w:right="43"/>
              <w:jc w:val="right"/>
              <w:rPr>
                <w:sz w:val="17"/>
              </w:rPr>
            </w:pPr>
          </w:p>
        </w:tc>
      </w:tr>
      <w:tr w:rsidR="00956E52" w:rsidRPr="00AC36A1" w:rsidTr="00956E52">
        <w:tc>
          <w:tcPr>
            <w:tcW w:w="957" w:type="dxa"/>
            <w:shd w:val="clear" w:color="auto" w:fill="auto"/>
            <w:vAlign w:val="bottom"/>
          </w:tcPr>
          <w:p w:rsidR="00956E52" w:rsidRPr="00AC36A1" w:rsidRDefault="00956E52" w:rsidP="00956E52">
            <w:pPr>
              <w:tabs>
                <w:tab w:val="left" w:pos="288"/>
                <w:tab w:val="left" w:pos="576"/>
                <w:tab w:val="left" w:pos="864"/>
                <w:tab w:val="left" w:pos="1152"/>
              </w:tabs>
              <w:spacing w:before="40" w:after="40" w:line="210" w:lineRule="exact"/>
              <w:ind w:right="40"/>
              <w:rPr>
                <w:sz w:val="17"/>
              </w:rPr>
            </w:pPr>
            <w:r w:rsidRPr="00AC36A1">
              <w:rPr>
                <w:sz w:val="17"/>
              </w:rPr>
              <w:t>2012</w:t>
            </w:r>
          </w:p>
        </w:tc>
        <w:tc>
          <w:tcPr>
            <w:tcW w:w="957" w:type="dxa"/>
            <w:shd w:val="clear" w:color="auto" w:fill="auto"/>
            <w:vAlign w:val="bottom"/>
          </w:tcPr>
          <w:p w:rsidR="00956E52" w:rsidRPr="00AC36A1" w:rsidRDefault="00956E52" w:rsidP="00956E52">
            <w:pPr>
              <w:tabs>
                <w:tab w:val="left" w:pos="288"/>
                <w:tab w:val="left" w:pos="576"/>
                <w:tab w:val="left" w:pos="864"/>
                <w:tab w:val="left" w:pos="1152"/>
              </w:tabs>
              <w:spacing w:before="40" w:after="40" w:line="210" w:lineRule="exact"/>
              <w:ind w:right="43"/>
              <w:jc w:val="right"/>
              <w:rPr>
                <w:sz w:val="17"/>
              </w:rPr>
            </w:pPr>
            <w:r w:rsidRPr="00AC36A1">
              <w:rPr>
                <w:sz w:val="17"/>
              </w:rPr>
              <w:t>1 922</w:t>
            </w:r>
          </w:p>
        </w:tc>
        <w:tc>
          <w:tcPr>
            <w:tcW w:w="957" w:type="dxa"/>
            <w:shd w:val="clear" w:color="auto" w:fill="auto"/>
            <w:vAlign w:val="bottom"/>
          </w:tcPr>
          <w:p w:rsidR="00956E52" w:rsidRPr="00AC36A1" w:rsidRDefault="00956E52" w:rsidP="00956E52">
            <w:pPr>
              <w:tabs>
                <w:tab w:val="left" w:pos="288"/>
                <w:tab w:val="left" w:pos="576"/>
                <w:tab w:val="left" w:pos="864"/>
                <w:tab w:val="left" w:pos="1152"/>
              </w:tabs>
              <w:spacing w:before="40" w:after="40" w:line="210" w:lineRule="exact"/>
              <w:ind w:right="43"/>
              <w:jc w:val="right"/>
              <w:rPr>
                <w:sz w:val="17"/>
              </w:rPr>
            </w:pPr>
            <w:r w:rsidRPr="00AC36A1">
              <w:rPr>
                <w:sz w:val="17"/>
              </w:rPr>
              <w:t>2 923</w:t>
            </w:r>
          </w:p>
        </w:tc>
        <w:tc>
          <w:tcPr>
            <w:tcW w:w="957" w:type="dxa"/>
            <w:shd w:val="clear" w:color="auto" w:fill="auto"/>
            <w:vAlign w:val="bottom"/>
          </w:tcPr>
          <w:p w:rsidR="00956E52" w:rsidRPr="00AC36A1" w:rsidRDefault="00956E52" w:rsidP="00956E52">
            <w:pPr>
              <w:tabs>
                <w:tab w:val="left" w:pos="288"/>
                <w:tab w:val="left" w:pos="576"/>
                <w:tab w:val="left" w:pos="864"/>
                <w:tab w:val="left" w:pos="1152"/>
              </w:tabs>
              <w:spacing w:before="40" w:after="40" w:line="210" w:lineRule="exact"/>
              <w:ind w:right="43"/>
              <w:jc w:val="right"/>
              <w:rPr>
                <w:sz w:val="17"/>
              </w:rPr>
            </w:pPr>
            <w:r w:rsidRPr="00AC36A1">
              <w:rPr>
                <w:sz w:val="17"/>
              </w:rPr>
              <w:t>285</w:t>
            </w:r>
          </w:p>
        </w:tc>
        <w:tc>
          <w:tcPr>
            <w:tcW w:w="957" w:type="dxa"/>
            <w:shd w:val="clear" w:color="auto" w:fill="auto"/>
            <w:vAlign w:val="bottom"/>
          </w:tcPr>
          <w:p w:rsidR="00956E52" w:rsidRPr="00AC36A1" w:rsidRDefault="00956E52" w:rsidP="00956E52">
            <w:pPr>
              <w:tabs>
                <w:tab w:val="left" w:pos="288"/>
                <w:tab w:val="left" w:pos="576"/>
                <w:tab w:val="left" w:pos="864"/>
                <w:tab w:val="left" w:pos="1152"/>
              </w:tabs>
              <w:spacing w:before="40" w:after="40" w:line="210" w:lineRule="exact"/>
              <w:ind w:right="43"/>
              <w:jc w:val="right"/>
              <w:rPr>
                <w:sz w:val="17"/>
              </w:rPr>
            </w:pPr>
            <w:r w:rsidRPr="00AC36A1">
              <w:rPr>
                <w:sz w:val="17"/>
              </w:rPr>
              <w:t>46</w:t>
            </w:r>
          </w:p>
        </w:tc>
        <w:tc>
          <w:tcPr>
            <w:tcW w:w="957" w:type="dxa"/>
            <w:shd w:val="clear" w:color="auto" w:fill="auto"/>
            <w:vAlign w:val="bottom"/>
          </w:tcPr>
          <w:p w:rsidR="00956E52" w:rsidRPr="00AC36A1" w:rsidRDefault="00956E52" w:rsidP="00956E52">
            <w:pPr>
              <w:tabs>
                <w:tab w:val="left" w:pos="288"/>
                <w:tab w:val="left" w:pos="576"/>
                <w:tab w:val="left" w:pos="864"/>
                <w:tab w:val="left" w:pos="1152"/>
              </w:tabs>
              <w:spacing w:before="40" w:after="40" w:line="210" w:lineRule="exact"/>
              <w:ind w:right="43"/>
              <w:jc w:val="right"/>
              <w:rPr>
                <w:sz w:val="17"/>
              </w:rPr>
            </w:pPr>
            <w:r w:rsidRPr="00AC36A1">
              <w:rPr>
                <w:sz w:val="17"/>
              </w:rPr>
              <w:t>3</w:t>
            </w:r>
          </w:p>
        </w:tc>
        <w:tc>
          <w:tcPr>
            <w:tcW w:w="957" w:type="dxa"/>
            <w:shd w:val="clear" w:color="auto" w:fill="auto"/>
            <w:vAlign w:val="bottom"/>
          </w:tcPr>
          <w:p w:rsidR="00956E52" w:rsidRPr="00AC36A1" w:rsidRDefault="00956E52" w:rsidP="00956E52">
            <w:pPr>
              <w:tabs>
                <w:tab w:val="left" w:pos="288"/>
                <w:tab w:val="left" w:pos="576"/>
                <w:tab w:val="left" w:pos="864"/>
                <w:tab w:val="left" w:pos="1152"/>
              </w:tabs>
              <w:spacing w:before="40" w:after="40" w:line="210" w:lineRule="exact"/>
              <w:ind w:right="43"/>
              <w:jc w:val="right"/>
              <w:rPr>
                <w:sz w:val="17"/>
              </w:rPr>
            </w:pPr>
            <w:r w:rsidRPr="00AC36A1">
              <w:rPr>
                <w:sz w:val="17"/>
              </w:rPr>
              <w:t>264</w:t>
            </w:r>
          </w:p>
        </w:tc>
        <w:tc>
          <w:tcPr>
            <w:tcW w:w="957" w:type="dxa"/>
            <w:shd w:val="clear" w:color="auto" w:fill="auto"/>
            <w:vAlign w:val="bottom"/>
          </w:tcPr>
          <w:p w:rsidR="00956E52" w:rsidRPr="00AC36A1" w:rsidRDefault="00956E52" w:rsidP="00956E52">
            <w:pPr>
              <w:tabs>
                <w:tab w:val="left" w:pos="288"/>
                <w:tab w:val="left" w:pos="576"/>
                <w:tab w:val="left" w:pos="864"/>
                <w:tab w:val="left" w:pos="1152"/>
              </w:tabs>
              <w:spacing w:before="40" w:after="40" w:line="210" w:lineRule="exact"/>
              <w:ind w:right="43"/>
              <w:jc w:val="right"/>
              <w:rPr>
                <w:sz w:val="17"/>
              </w:rPr>
            </w:pPr>
            <w:r w:rsidRPr="00AC36A1">
              <w:rPr>
                <w:sz w:val="17"/>
              </w:rPr>
              <w:t>230</w:t>
            </w:r>
          </w:p>
        </w:tc>
        <w:tc>
          <w:tcPr>
            <w:tcW w:w="957" w:type="dxa"/>
            <w:shd w:val="clear" w:color="auto" w:fill="auto"/>
            <w:vAlign w:val="bottom"/>
          </w:tcPr>
          <w:p w:rsidR="00956E52" w:rsidRPr="00AC36A1" w:rsidRDefault="00956E52" w:rsidP="00956E52">
            <w:pPr>
              <w:tabs>
                <w:tab w:val="left" w:pos="288"/>
                <w:tab w:val="left" w:pos="576"/>
                <w:tab w:val="left" w:pos="864"/>
                <w:tab w:val="left" w:pos="1152"/>
              </w:tabs>
              <w:spacing w:before="40" w:after="40" w:line="210" w:lineRule="exact"/>
              <w:ind w:right="43"/>
              <w:jc w:val="right"/>
              <w:rPr>
                <w:sz w:val="17"/>
              </w:rPr>
            </w:pPr>
            <w:r w:rsidRPr="00AC36A1">
              <w:rPr>
                <w:sz w:val="17"/>
              </w:rPr>
              <w:t xml:space="preserve">5 673 </w:t>
            </w:r>
          </w:p>
        </w:tc>
      </w:tr>
      <w:tr w:rsidR="00956E52" w:rsidRPr="00AC36A1" w:rsidTr="00956E52">
        <w:tc>
          <w:tcPr>
            <w:tcW w:w="957" w:type="dxa"/>
            <w:tcBorders>
              <w:bottom w:val="single" w:sz="12" w:space="0" w:color="auto"/>
            </w:tcBorders>
            <w:shd w:val="clear" w:color="auto" w:fill="auto"/>
            <w:vAlign w:val="bottom"/>
          </w:tcPr>
          <w:p w:rsidR="00956E52" w:rsidRPr="00AC36A1" w:rsidRDefault="00956E52" w:rsidP="00956E52">
            <w:pPr>
              <w:tabs>
                <w:tab w:val="left" w:pos="288"/>
                <w:tab w:val="left" w:pos="576"/>
                <w:tab w:val="left" w:pos="864"/>
                <w:tab w:val="left" w:pos="1152"/>
              </w:tabs>
              <w:spacing w:before="40" w:after="40" w:line="210" w:lineRule="exact"/>
              <w:ind w:right="40"/>
              <w:rPr>
                <w:sz w:val="17"/>
              </w:rPr>
            </w:pPr>
            <w:r w:rsidRPr="00AC36A1">
              <w:rPr>
                <w:sz w:val="17"/>
              </w:rPr>
              <w:t>2013</w:t>
            </w:r>
          </w:p>
        </w:tc>
        <w:tc>
          <w:tcPr>
            <w:tcW w:w="957" w:type="dxa"/>
            <w:tcBorders>
              <w:bottom w:val="single" w:sz="12" w:space="0" w:color="auto"/>
            </w:tcBorders>
            <w:shd w:val="clear" w:color="auto" w:fill="auto"/>
            <w:vAlign w:val="bottom"/>
          </w:tcPr>
          <w:p w:rsidR="00956E52" w:rsidRPr="00AC36A1" w:rsidRDefault="00956E52" w:rsidP="00956E52">
            <w:pPr>
              <w:tabs>
                <w:tab w:val="left" w:pos="288"/>
                <w:tab w:val="left" w:pos="576"/>
                <w:tab w:val="left" w:pos="864"/>
                <w:tab w:val="left" w:pos="1152"/>
              </w:tabs>
              <w:spacing w:before="40" w:after="40" w:line="210" w:lineRule="exact"/>
              <w:ind w:right="43"/>
              <w:jc w:val="right"/>
              <w:rPr>
                <w:sz w:val="17"/>
              </w:rPr>
            </w:pPr>
            <w:r w:rsidRPr="00AC36A1">
              <w:rPr>
                <w:sz w:val="17"/>
              </w:rPr>
              <w:t>2 112</w:t>
            </w:r>
          </w:p>
        </w:tc>
        <w:tc>
          <w:tcPr>
            <w:tcW w:w="957" w:type="dxa"/>
            <w:tcBorders>
              <w:bottom w:val="single" w:sz="12" w:space="0" w:color="auto"/>
            </w:tcBorders>
            <w:shd w:val="clear" w:color="auto" w:fill="auto"/>
            <w:vAlign w:val="bottom"/>
          </w:tcPr>
          <w:p w:rsidR="00956E52" w:rsidRPr="00AC36A1" w:rsidRDefault="00956E52" w:rsidP="00956E52">
            <w:pPr>
              <w:tabs>
                <w:tab w:val="left" w:pos="288"/>
                <w:tab w:val="left" w:pos="576"/>
                <w:tab w:val="left" w:pos="864"/>
                <w:tab w:val="left" w:pos="1152"/>
              </w:tabs>
              <w:spacing w:before="40" w:after="40" w:line="210" w:lineRule="exact"/>
              <w:ind w:right="43"/>
              <w:jc w:val="right"/>
              <w:rPr>
                <w:sz w:val="17"/>
              </w:rPr>
            </w:pPr>
            <w:r w:rsidRPr="00AC36A1">
              <w:rPr>
                <w:sz w:val="17"/>
              </w:rPr>
              <w:t>3 477</w:t>
            </w:r>
          </w:p>
        </w:tc>
        <w:tc>
          <w:tcPr>
            <w:tcW w:w="957" w:type="dxa"/>
            <w:tcBorders>
              <w:bottom w:val="single" w:sz="12" w:space="0" w:color="auto"/>
            </w:tcBorders>
            <w:shd w:val="clear" w:color="auto" w:fill="auto"/>
            <w:vAlign w:val="bottom"/>
          </w:tcPr>
          <w:p w:rsidR="00956E52" w:rsidRPr="00AC36A1" w:rsidRDefault="00956E52" w:rsidP="00956E52">
            <w:pPr>
              <w:tabs>
                <w:tab w:val="left" w:pos="288"/>
                <w:tab w:val="left" w:pos="576"/>
                <w:tab w:val="left" w:pos="864"/>
                <w:tab w:val="left" w:pos="1152"/>
              </w:tabs>
              <w:spacing w:before="40" w:after="40" w:line="210" w:lineRule="exact"/>
              <w:ind w:right="43"/>
              <w:jc w:val="right"/>
              <w:rPr>
                <w:sz w:val="17"/>
              </w:rPr>
            </w:pPr>
            <w:r w:rsidRPr="00AC36A1">
              <w:rPr>
                <w:sz w:val="17"/>
              </w:rPr>
              <w:t>324</w:t>
            </w:r>
          </w:p>
        </w:tc>
        <w:tc>
          <w:tcPr>
            <w:tcW w:w="957" w:type="dxa"/>
            <w:tcBorders>
              <w:bottom w:val="single" w:sz="12" w:space="0" w:color="auto"/>
            </w:tcBorders>
            <w:shd w:val="clear" w:color="auto" w:fill="auto"/>
            <w:vAlign w:val="bottom"/>
          </w:tcPr>
          <w:p w:rsidR="00956E52" w:rsidRPr="00AC36A1" w:rsidRDefault="00956E52" w:rsidP="00956E52">
            <w:pPr>
              <w:tabs>
                <w:tab w:val="left" w:pos="288"/>
                <w:tab w:val="left" w:pos="576"/>
                <w:tab w:val="left" w:pos="864"/>
                <w:tab w:val="left" w:pos="1152"/>
              </w:tabs>
              <w:spacing w:before="40" w:after="40" w:line="210" w:lineRule="exact"/>
              <w:ind w:right="43"/>
              <w:jc w:val="right"/>
              <w:rPr>
                <w:sz w:val="17"/>
              </w:rPr>
            </w:pPr>
            <w:r w:rsidRPr="00AC36A1">
              <w:rPr>
                <w:sz w:val="17"/>
              </w:rPr>
              <w:t>68</w:t>
            </w:r>
          </w:p>
        </w:tc>
        <w:tc>
          <w:tcPr>
            <w:tcW w:w="957" w:type="dxa"/>
            <w:tcBorders>
              <w:bottom w:val="single" w:sz="12" w:space="0" w:color="auto"/>
            </w:tcBorders>
            <w:shd w:val="clear" w:color="auto" w:fill="auto"/>
            <w:vAlign w:val="bottom"/>
          </w:tcPr>
          <w:p w:rsidR="00956E52" w:rsidRPr="00AC36A1" w:rsidRDefault="00956E52" w:rsidP="00956E52">
            <w:pPr>
              <w:tabs>
                <w:tab w:val="left" w:pos="288"/>
                <w:tab w:val="left" w:pos="576"/>
                <w:tab w:val="left" w:pos="864"/>
                <w:tab w:val="left" w:pos="1152"/>
              </w:tabs>
              <w:spacing w:before="40" w:after="40" w:line="210" w:lineRule="exact"/>
              <w:ind w:right="43"/>
              <w:jc w:val="right"/>
              <w:rPr>
                <w:sz w:val="17"/>
              </w:rPr>
            </w:pPr>
            <w:r w:rsidRPr="00AC36A1">
              <w:rPr>
                <w:sz w:val="17"/>
              </w:rPr>
              <w:t>2</w:t>
            </w:r>
          </w:p>
        </w:tc>
        <w:tc>
          <w:tcPr>
            <w:tcW w:w="957" w:type="dxa"/>
            <w:tcBorders>
              <w:bottom w:val="single" w:sz="12" w:space="0" w:color="auto"/>
            </w:tcBorders>
            <w:shd w:val="clear" w:color="auto" w:fill="auto"/>
            <w:vAlign w:val="bottom"/>
          </w:tcPr>
          <w:p w:rsidR="00956E52" w:rsidRPr="00AC36A1" w:rsidRDefault="00956E52" w:rsidP="00956E52">
            <w:pPr>
              <w:tabs>
                <w:tab w:val="left" w:pos="288"/>
                <w:tab w:val="left" w:pos="576"/>
                <w:tab w:val="left" w:pos="864"/>
                <w:tab w:val="left" w:pos="1152"/>
              </w:tabs>
              <w:spacing w:before="40" w:after="40" w:line="210" w:lineRule="exact"/>
              <w:ind w:right="43"/>
              <w:jc w:val="right"/>
              <w:rPr>
                <w:sz w:val="17"/>
              </w:rPr>
            </w:pPr>
            <w:r w:rsidRPr="00AC36A1">
              <w:rPr>
                <w:sz w:val="17"/>
              </w:rPr>
              <w:t>303</w:t>
            </w:r>
          </w:p>
        </w:tc>
        <w:tc>
          <w:tcPr>
            <w:tcW w:w="957" w:type="dxa"/>
            <w:tcBorders>
              <w:bottom w:val="single" w:sz="12" w:space="0" w:color="auto"/>
            </w:tcBorders>
            <w:shd w:val="clear" w:color="auto" w:fill="auto"/>
            <w:vAlign w:val="bottom"/>
          </w:tcPr>
          <w:p w:rsidR="00956E52" w:rsidRPr="00AC36A1" w:rsidRDefault="00956E52" w:rsidP="00956E52">
            <w:pPr>
              <w:tabs>
                <w:tab w:val="left" w:pos="288"/>
                <w:tab w:val="left" w:pos="576"/>
                <w:tab w:val="left" w:pos="864"/>
                <w:tab w:val="left" w:pos="1152"/>
              </w:tabs>
              <w:spacing w:before="40" w:after="40" w:line="210" w:lineRule="exact"/>
              <w:ind w:right="43"/>
              <w:jc w:val="right"/>
              <w:rPr>
                <w:sz w:val="17"/>
              </w:rPr>
            </w:pPr>
            <w:r w:rsidRPr="00AC36A1">
              <w:rPr>
                <w:sz w:val="17"/>
              </w:rPr>
              <w:t>246</w:t>
            </w:r>
          </w:p>
        </w:tc>
        <w:tc>
          <w:tcPr>
            <w:tcW w:w="957" w:type="dxa"/>
            <w:tcBorders>
              <w:bottom w:val="single" w:sz="12" w:space="0" w:color="auto"/>
            </w:tcBorders>
            <w:shd w:val="clear" w:color="auto" w:fill="auto"/>
            <w:vAlign w:val="bottom"/>
          </w:tcPr>
          <w:p w:rsidR="00956E52" w:rsidRPr="00AC36A1" w:rsidRDefault="00956E52" w:rsidP="00956E52">
            <w:pPr>
              <w:tabs>
                <w:tab w:val="left" w:pos="288"/>
                <w:tab w:val="left" w:pos="576"/>
                <w:tab w:val="left" w:pos="864"/>
                <w:tab w:val="left" w:pos="1152"/>
              </w:tabs>
              <w:spacing w:before="40" w:after="40" w:line="210" w:lineRule="exact"/>
              <w:ind w:right="43"/>
              <w:jc w:val="right"/>
              <w:rPr>
                <w:sz w:val="17"/>
              </w:rPr>
            </w:pPr>
            <w:r w:rsidRPr="00AC36A1">
              <w:rPr>
                <w:sz w:val="17"/>
              </w:rPr>
              <w:t>6 532</w:t>
            </w:r>
          </w:p>
        </w:tc>
      </w:tr>
    </w:tbl>
    <w:p w:rsidR="00956E52" w:rsidRPr="00AC36A1" w:rsidRDefault="00956E52" w:rsidP="00956E52">
      <w:pPr>
        <w:pStyle w:val="SingleTxt"/>
        <w:spacing w:after="0" w:line="120" w:lineRule="exact"/>
        <w:rPr>
          <w:sz w:val="10"/>
        </w:rPr>
      </w:pPr>
    </w:p>
    <w:p w:rsidR="00956E52" w:rsidRPr="00AC36A1" w:rsidRDefault="00956E52" w:rsidP="00956E52">
      <w:pPr>
        <w:pStyle w:val="SingleTxt"/>
        <w:spacing w:after="0" w:line="120" w:lineRule="exact"/>
        <w:rPr>
          <w:sz w:val="10"/>
        </w:rPr>
      </w:pPr>
    </w:p>
    <w:p w:rsidR="00CF1DFA" w:rsidRPr="00AC36A1" w:rsidRDefault="00956E52" w:rsidP="00956E52">
      <w:pPr>
        <w:pStyle w:val="H23"/>
        <w:ind w:right="1260"/>
        <w:rPr>
          <w:b w:val="0"/>
        </w:rPr>
      </w:pPr>
      <w:r w:rsidRPr="00AC36A1">
        <w:tab/>
      </w:r>
      <w:r w:rsidRPr="00AC36A1">
        <w:tab/>
      </w:r>
      <w:r w:rsidR="00CF1DFA" w:rsidRPr="00AC36A1">
        <w:rPr>
          <w:b w:val="0"/>
        </w:rPr>
        <w:t>Table 2</w:t>
      </w:r>
    </w:p>
    <w:p w:rsidR="00CF1DFA" w:rsidRPr="00AC36A1" w:rsidRDefault="00956E52" w:rsidP="00956E52">
      <w:pPr>
        <w:pStyle w:val="H23"/>
        <w:ind w:right="1260"/>
      </w:pPr>
      <w:r w:rsidRPr="00AC36A1">
        <w:tab/>
      </w:r>
      <w:r w:rsidRPr="00AC36A1">
        <w:tab/>
      </w:r>
      <w:r w:rsidR="00CF1DFA" w:rsidRPr="00AC36A1">
        <w:t>Major offences</w:t>
      </w:r>
    </w:p>
    <w:p w:rsidR="00956E52" w:rsidRPr="00AC36A1" w:rsidRDefault="00956E52" w:rsidP="00956E52">
      <w:pPr>
        <w:pStyle w:val="SingleTxt"/>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715"/>
        <w:gridCol w:w="715"/>
        <w:gridCol w:w="715"/>
        <w:gridCol w:w="715"/>
        <w:gridCol w:w="731"/>
        <w:gridCol w:w="700"/>
        <w:gridCol w:w="715"/>
        <w:gridCol w:w="715"/>
        <w:gridCol w:w="715"/>
        <w:gridCol w:w="715"/>
        <w:gridCol w:w="715"/>
        <w:gridCol w:w="716"/>
      </w:tblGrid>
      <w:tr w:rsidR="00956E52" w:rsidRPr="00AC36A1" w:rsidTr="00956E52">
        <w:trPr>
          <w:tblHeader/>
        </w:trPr>
        <w:tc>
          <w:tcPr>
            <w:tcW w:w="715" w:type="dxa"/>
            <w:tcBorders>
              <w:top w:val="single" w:sz="4" w:space="0" w:color="auto"/>
              <w:bottom w:val="single" w:sz="12" w:space="0" w:color="auto"/>
            </w:tcBorders>
            <w:shd w:val="clear" w:color="auto" w:fill="auto"/>
            <w:vAlign w:val="bottom"/>
          </w:tcPr>
          <w:p w:rsidR="00956E52" w:rsidRPr="00AC36A1" w:rsidRDefault="00956E52" w:rsidP="00956E52">
            <w:pPr>
              <w:spacing w:before="81" w:after="81" w:line="160" w:lineRule="exact"/>
              <w:ind w:right="40"/>
              <w:rPr>
                <w:i/>
                <w:sz w:val="14"/>
              </w:rPr>
            </w:pPr>
            <w:r w:rsidRPr="00AC36A1">
              <w:rPr>
                <w:i/>
                <w:sz w:val="14"/>
              </w:rPr>
              <w:t>Year</w:t>
            </w:r>
          </w:p>
        </w:tc>
        <w:tc>
          <w:tcPr>
            <w:tcW w:w="715" w:type="dxa"/>
            <w:tcBorders>
              <w:top w:val="single" w:sz="4" w:space="0" w:color="auto"/>
              <w:bottom w:val="single" w:sz="12" w:space="0" w:color="auto"/>
            </w:tcBorders>
            <w:shd w:val="clear" w:color="auto" w:fill="auto"/>
            <w:vAlign w:val="bottom"/>
          </w:tcPr>
          <w:p w:rsidR="00956E52" w:rsidRPr="00AC36A1" w:rsidRDefault="00956E52" w:rsidP="00956E52">
            <w:pPr>
              <w:spacing w:before="81" w:after="81" w:line="160" w:lineRule="exact"/>
              <w:ind w:right="43"/>
              <w:jc w:val="right"/>
              <w:rPr>
                <w:i/>
                <w:sz w:val="14"/>
              </w:rPr>
            </w:pPr>
            <w:r w:rsidRPr="00AC36A1">
              <w:rPr>
                <w:i/>
                <w:sz w:val="14"/>
              </w:rPr>
              <w:t>Murder</w:t>
            </w:r>
          </w:p>
        </w:tc>
        <w:tc>
          <w:tcPr>
            <w:tcW w:w="715" w:type="dxa"/>
            <w:tcBorders>
              <w:top w:val="single" w:sz="4" w:space="0" w:color="auto"/>
              <w:bottom w:val="single" w:sz="12" w:space="0" w:color="auto"/>
            </w:tcBorders>
            <w:shd w:val="clear" w:color="auto" w:fill="auto"/>
            <w:vAlign w:val="bottom"/>
          </w:tcPr>
          <w:p w:rsidR="00956E52" w:rsidRPr="00AC36A1" w:rsidRDefault="00956E52" w:rsidP="00956E52">
            <w:pPr>
              <w:spacing w:before="81" w:after="81" w:line="160" w:lineRule="exact"/>
              <w:ind w:right="43"/>
              <w:jc w:val="right"/>
              <w:rPr>
                <w:i/>
                <w:sz w:val="14"/>
              </w:rPr>
            </w:pPr>
            <w:r w:rsidRPr="00AC36A1">
              <w:rPr>
                <w:i/>
                <w:sz w:val="14"/>
              </w:rPr>
              <w:t>Attempted murder</w:t>
            </w:r>
          </w:p>
        </w:tc>
        <w:tc>
          <w:tcPr>
            <w:tcW w:w="715" w:type="dxa"/>
            <w:tcBorders>
              <w:top w:val="single" w:sz="4" w:space="0" w:color="auto"/>
              <w:bottom w:val="single" w:sz="12" w:space="0" w:color="auto"/>
            </w:tcBorders>
            <w:shd w:val="clear" w:color="auto" w:fill="auto"/>
            <w:vAlign w:val="bottom"/>
          </w:tcPr>
          <w:p w:rsidR="00956E52" w:rsidRPr="00AC36A1" w:rsidRDefault="00956E52" w:rsidP="00956E52">
            <w:pPr>
              <w:spacing w:before="81" w:after="81" w:line="160" w:lineRule="exact"/>
              <w:ind w:right="43"/>
              <w:jc w:val="right"/>
              <w:rPr>
                <w:i/>
                <w:sz w:val="14"/>
              </w:rPr>
            </w:pPr>
            <w:r w:rsidRPr="00AC36A1">
              <w:rPr>
                <w:i/>
                <w:sz w:val="14"/>
              </w:rPr>
              <w:t>Grievous hurt</w:t>
            </w:r>
          </w:p>
        </w:tc>
        <w:tc>
          <w:tcPr>
            <w:tcW w:w="731" w:type="dxa"/>
            <w:tcBorders>
              <w:top w:val="single" w:sz="4" w:space="0" w:color="auto"/>
              <w:bottom w:val="single" w:sz="12" w:space="0" w:color="auto"/>
            </w:tcBorders>
            <w:shd w:val="clear" w:color="auto" w:fill="auto"/>
            <w:vAlign w:val="bottom"/>
          </w:tcPr>
          <w:p w:rsidR="00956E52" w:rsidRPr="00AC36A1" w:rsidRDefault="00956E52" w:rsidP="00956E52">
            <w:pPr>
              <w:spacing w:before="81" w:after="81" w:line="160" w:lineRule="exact"/>
              <w:ind w:right="43"/>
              <w:jc w:val="right"/>
              <w:rPr>
                <w:i/>
                <w:sz w:val="14"/>
              </w:rPr>
            </w:pPr>
            <w:r w:rsidRPr="00AC36A1">
              <w:rPr>
                <w:i/>
                <w:sz w:val="14"/>
              </w:rPr>
              <w:t>Trafficking</w:t>
            </w:r>
          </w:p>
        </w:tc>
        <w:tc>
          <w:tcPr>
            <w:tcW w:w="700" w:type="dxa"/>
            <w:tcBorders>
              <w:top w:val="single" w:sz="4" w:space="0" w:color="auto"/>
              <w:bottom w:val="single" w:sz="12" w:space="0" w:color="auto"/>
            </w:tcBorders>
            <w:shd w:val="clear" w:color="auto" w:fill="auto"/>
            <w:vAlign w:val="bottom"/>
          </w:tcPr>
          <w:p w:rsidR="00956E52" w:rsidRPr="00AC36A1" w:rsidRDefault="00956E52" w:rsidP="00956E52">
            <w:pPr>
              <w:spacing w:before="81" w:after="81" w:line="160" w:lineRule="exact"/>
              <w:ind w:right="43"/>
              <w:jc w:val="right"/>
              <w:rPr>
                <w:i/>
                <w:sz w:val="14"/>
              </w:rPr>
            </w:pPr>
            <w:r w:rsidRPr="00AC36A1">
              <w:rPr>
                <w:i/>
                <w:sz w:val="14"/>
              </w:rPr>
              <w:t>Abduction</w:t>
            </w:r>
          </w:p>
        </w:tc>
        <w:tc>
          <w:tcPr>
            <w:tcW w:w="715" w:type="dxa"/>
            <w:tcBorders>
              <w:top w:val="single" w:sz="4" w:space="0" w:color="auto"/>
              <w:bottom w:val="single" w:sz="12" w:space="0" w:color="auto"/>
            </w:tcBorders>
            <w:shd w:val="clear" w:color="auto" w:fill="auto"/>
            <w:vAlign w:val="bottom"/>
          </w:tcPr>
          <w:p w:rsidR="00956E52" w:rsidRPr="00AC36A1" w:rsidRDefault="00956E52" w:rsidP="00956E52">
            <w:pPr>
              <w:spacing w:before="81" w:after="81" w:line="160" w:lineRule="exact"/>
              <w:ind w:right="43"/>
              <w:jc w:val="right"/>
              <w:rPr>
                <w:i/>
                <w:sz w:val="14"/>
              </w:rPr>
            </w:pPr>
            <w:r w:rsidRPr="00AC36A1">
              <w:rPr>
                <w:i/>
                <w:sz w:val="14"/>
              </w:rPr>
              <w:t>Rape</w:t>
            </w:r>
          </w:p>
        </w:tc>
        <w:tc>
          <w:tcPr>
            <w:tcW w:w="715" w:type="dxa"/>
            <w:tcBorders>
              <w:top w:val="single" w:sz="4" w:space="0" w:color="auto"/>
              <w:bottom w:val="single" w:sz="12" w:space="0" w:color="auto"/>
            </w:tcBorders>
            <w:shd w:val="clear" w:color="auto" w:fill="auto"/>
            <w:vAlign w:val="bottom"/>
          </w:tcPr>
          <w:p w:rsidR="00956E52" w:rsidRPr="00AC36A1" w:rsidRDefault="00956E52" w:rsidP="00956E52">
            <w:pPr>
              <w:spacing w:before="81" w:after="81" w:line="160" w:lineRule="exact"/>
              <w:ind w:right="43"/>
              <w:jc w:val="right"/>
              <w:rPr>
                <w:i/>
                <w:sz w:val="14"/>
              </w:rPr>
            </w:pPr>
            <w:r w:rsidRPr="00AC36A1">
              <w:rPr>
                <w:i/>
                <w:sz w:val="14"/>
              </w:rPr>
              <w:t>Unnatural offences</w:t>
            </w:r>
          </w:p>
        </w:tc>
        <w:tc>
          <w:tcPr>
            <w:tcW w:w="715" w:type="dxa"/>
            <w:tcBorders>
              <w:top w:val="single" w:sz="4" w:space="0" w:color="auto"/>
              <w:bottom w:val="single" w:sz="12" w:space="0" w:color="auto"/>
            </w:tcBorders>
            <w:shd w:val="clear" w:color="auto" w:fill="auto"/>
            <w:vAlign w:val="bottom"/>
          </w:tcPr>
          <w:p w:rsidR="00956E52" w:rsidRPr="00AC36A1" w:rsidRDefault="00956E52" w:rsidP="00956E52">
            <w:pPr>
              <w:spacing w:before="81" w:after="81" w:line="160" w:lineRule="exact"/>
              <w:ind w:right="43"/>
              <w:jc w:val="right"/>
              <w:rPr>
                <w:i/>
                <w:sz w:val="14"/>
              </w:rPr>
            </w:pPr>
            <w:r w:rsidRPr="00AC36A1">
              <w:rPr>
                <w:i/>
                <w:sz w:val="14"/>
              </w:rPr>
              <w:t>Incest</w:t>
            </w:r>
          </w:p>
        </w:tc>
        <w:tc>
          <w:tcPr>
            <w:tcW w:w="715" w:type="dxa"/>
            <w:tcBorders>
              <w:top w:val="single" w:sz="4" w:space="0" w:color="auto"/>
              <w:bottom w:val="single" w:sz="12" w:space="0" w:color="auto"/>
            </w:tcBorders>
            <w:shd w:val="clear" w:color="auto" w:fill="auto"/>
            <w:vAlign w:val="bottom"/>
          </w:tcPr>
          <w:p w:rsidR="00956E52" w:rsidRPr="00AC36A1" w:rsidRDefault="00956E52" w:rsidP="00956E52">
            <w:pPr>
              <w:spacing w:before="81" w:after="81" w:line="160" w:lineRule="exact"/>
              <w:ind w:right="43"/>
              <w:jc w:val="right"/>
              <w:rPr>
                <w:i/>
                <w:sz w:val="14"/>
              </w:rPr>
            </w:pPr>
            <w:r w:rsidRPr="00AC36A1">
              <w:rPr>
                <w:i/>
                <w:sz w:val="14"/>
              </w:rPr>
              <w:t>Grave sexual abuse</w:t>
            </w:r>
          </w:p>
        </w:tc>
        <w:tc>
          <w:tcPr>
            <w:tcW w:w="715" w:type="dxa"/>
            <w:tcBorders>
              <w:top w:val="single" w:sz="4" w:space="0" w:color="auto"/>
              <w:bottom w:val="single" w:sz="12" w:space="0" w:color="auto"/>
            </w:tcBorders>
            <w:shd w:val="clear" w:color="auto" w:fill="auto"/>
            <w:vAlign w:val="bottom"/>
          </w:tcPr>
          <w:p w:rsidR="00956E52" w:rsidRPr="00AC36A1" w:rsidRDefault="00956E52" w:rsidP="00956E52">
            <w:pPr>
              <w:spacing w:before="81" w:after="81" w:line="160" w:lineRule="exact"/>
              <w:ind w:right="43"/>
              <w:jc w:val="right"/>
              <w:rPr>
                <w:i/>
                <w:sz w:val="14"/>
              </w:rPr>
            </w:pPr>
            <w:r w:rsidRPr="00AC36A1">
              <w:rPr>
                <w:i/>
                <w:sz w:val="14"/>
              </w:rPr>
              <w:t>Other offences</w:t>
            </w:r>
          </w:p>
        </w:tc>
        <w:tc>
          <w:tcPr>
            <w:tcW w:w="716" w:type="dxa"/>
            <w:tcBorders>
              <w:top w:val="single" w:sz="4" w:space="0" w:color="auto"/>
              <w:bottom w:val="single" w:sz="12" w:space="0" w:color="auto"/>
            </w:tcBorders>
            <w:shd w:val="clear" w:color="auto" w:fill="auto"/>
            <w:vAlign w:val="bottom"/>
          </w:tcPr>
          <w:p w:rsidR="00956E52" w:rsidRPr="00AC36A1" w:rsidRDefault="00956E52" w:rsidP="00956E52">
            <w:pPr>
              <w:spacing w:before="81" w:after="81" w:line="160" w:lineRule="exact"/>
              <w:ind w:right="43"/>
              <w:jc w:val="right"/>
              <w:rPr>
                <w:i/>
                <w:sz w:val="14"/>
              </w:rPr>
            </w:pPr>
            <w:r w:rsidRPr="00AC36A1">
              <w:rPr>
                <w:i/>
                <w:sz w:val="14"/>
              </w:rPr>
              <w:t>Total</w:t>
            </w:r>
          </w:p>
        </w:tc>
      </w:tr>
      <w:tr w:rsidR="00956E52" w:rsidRPr="00AC36A1" w:rsidTr="00956E52">
        <w:trPr>
          <w:trHeight w:hRule="exact" w:val="115"/>
          <w:tblHeader/>
        </w:trPr>
        <w:tc>
          <w:tcPr>
            <w:tcW w:w="715" w:type="dxa"/>
            <w:tcBorders>
              <w:top w:val="single" w:sz="12" w:space="0" w:color="auto"/>
            </w:tcBorders>
            <w:shd w:val="clear" w:color="auto" w:fill="auto"/>
            <w:vAlign w:val="bottom"/>
          </w:tcPr>
          <w:p w:rsidR="00956E52" w:rsidRPr="00AC36A1" w:rsidRDefault="00956E52" w:rsidP="00956E52">
            <w:pPr>
              <w:spacing w:before="40" w:after="40" w:line="210" w:lineRule="exact"/>
              <w:ind w:right="40"/>
              <w:rPr>
                <w:sz w:val="17"/>
              </w:rPr>
            </w:pPr>
          </w:p>
        </w:tc>
        <w:tc>
          <w:tcPr>
            <w:tcW w:w="715" w:type="dxa"/>
            <w:tcBorders>
              <w:top w:val="single" w:sz="12" w:space="0" w:color="auto"/>
            </w:tcBorders>
            <w:shd w:val="clear" w:color="auto" w:fill="auto"/>
            <w:vAlign w:val="bottom"/>
          </w:tcPr>
          <w:p w:rsidR="00956E52" w:rsidRPr="00AC36A1" w:rsidRDefault="00956E52" w:rsidP="00956E52">
            <w:pPr>
              <w:spacing w:before="40" w:after="40" w:line="210" w:lineRule="exact"/>
              <w:ind w:right="43"/>
              <w:jc w:val="right"/>
              <w:rPr>
                <w:sz w:val="17"/>
              </w:rPr>
            </w:pPr>
          </w:p>
        </w:tc>
        <w:tc>
          <w:tcPr>
            <w:tcW w:w="715" w:type="dxa"/>
            <w:tcBorders>
              <w:top w:val="single" w:sz="12" w:space="0" w:color="auto"/>
            </w:tcBorders>
            <w:shd w:val="clear" w:color="auto" w:fill="auto"/>
            <w:vAlign w:val="bottom"/>
          </w:tcPr>
          <w:p w:rsidR="00956E52" w:rsidRPr="00AC36A1" w:rsidRDefault="00956E52" w:rsidP="00956E52">
            <w:pPr>
              <w:spacing w:before="40" w:after="40" w:line="210" w:lineRule="exact"/>
              <w:ind w:right="43"/>
              <w:jc w:val="right"/>
              <w:rPr>
                <w:sz w:val="17"/>
              </w:rPr>
            </w:pPr>
          </w:p>
        </w:tc>
        <w:tc>
          <w:tcPr>
            <w:tcW w:w="715" w:type="dxa"/>
            <w:tcBorders>
              <w:top w:val="single" w:sz="12" w:space="0" w:color="auto"/>
            </w:tcBorders>
            <w:shd w:val="clear" w:color="auto" w:fill="auto"/>
            <w:vAlign w:val="bottom"/>
          </w:tcPr>
          <w:p w:rsidR="00956E52" w:rsidRPr="00AC36A1" w:rsidRDefault="00956E52" w:rsidP="00956E52">
            <w:pPr>
              <w:spacing w:before="40" w:after="40" w:line="210" w:lineRule="exact"/>
              <w:ind w:right="43"/>
              <w:jc w:val="right"/>
              <w:rPr>
                <w:sz w:val="17"/>
              </w:rPr>
            </w:pPr>
          </w:p>
        </w:tc>
        <w:tc>
          <w:tcPr>
            <w:tcW w:w="731" w:type="dxa"/>
            <w:tcBorders>
              <w:top w:val="single" w:sz="12" w:space="0" w:color="auto"/>
            </w:tcBorders>
            <w:shd w:val="clear" w:color="auto" w:fill="auto"/>
            <w:vAlign w:val="bottom"/>
          </w:tcPr>
          <w:p w:rsidR="00956E52" w:rsidRPr="00AC36A1" w:rsidRDefault="00956E52" w:rsidP="00956E52">
            <w:pPr>
              <w:spacing w:before="40" w:after="40" w:line="210" w:lineRule="exact"/>
              <w:ind w:right="43"/>
              <w:jc w:val="right"/>
              <w:rPr>
                <w:sz w:val="17"/>
              </w:rPr>
            </w:pPr>
          </w:p>
        </w:tc>
        <w:tc>
          <w:tcPr>
            <w:tcW w:w="700" w:type="dxa"/>
            <w:tcBorders>
              <w:top w:val="single" w:sz="12" w:space="0" w:color="auto"/>
            </w:tcBorders>
            <w:shd w:val="clear" w:color="auto" w:fill="auto"/>
            <w:vAlign w:val="bottom"/>
          </w:tcPr>
          <w:p w:rsidR="00956E52" w:rsidRPr="00AC36A1" w:rsidRDefault="00956E52" w:rsidP="00956E52">
            <w:pPr>
              <w:spacing w:before="40" w:after="40" w:line="210" w:lineRule="exact"/>
              <w:ind w:right="43"/>
              <w:jc w:val="right"/>
              <w:rPr>
                <w:sz w:val="17"/>
              </w:rPr>
            </w:pPr>
          </w:p>
        </w:tc>
        <w:tc>
          <w:tcPr>
            <w:tcW w:w="715" w:type="dxa"/>
            <w:tcBorders>
              <w:top w:val="single" w:sz="12" w:space="0" w:color="auto"/>
            </w:tcBorders>
            <w:shd w:val="clear" w:color="auto" w:fill="auto"/>
            <w:vAlign w:val="bottom"/>
          </w:tcPr>
          <w:p w:rsidR="00956E52" w:rsidRPr="00AC36A1" w:rsidRDefault="00956E52" w:rsidP="00956E52">
            <w:pPr>
              <w:spacing w:before="40" w:after="40" w:line="210" w:lineRule="exact"/>
              <w:ind w:right="43"/>
              <w:jc w:val="right"/>
              <w:rPr>
                <w:sz w:val="17"/>
              </w:rPr>
            </w:pPr>
          </w:p>
        </w:tc>
        <w:tc>
          <w:tcPr>
            <w:tcW w:w="715" w:type="dxa"/>
            <w:tcBorders>
              <w:top w:val="single" w:sz="12" w:space="0" w:color="auto"/>
            </w:tcBorders>
            <w:shd w:val="clear" w:color="auto" w:fill="auto"/>
            <w:vAlign w:val="bottom"/>
          </w:tcPr>
          <w:p w:rsidR="00956E52" w:rsidRPr="00AC36A1" w:rsidRDefault="00956E52" w:rsidP="00956E52">
            <w:pPr>
              <w:spacing w:before="40" w:after="40" w:line="210" w:lineRule="exact"/>
              <w:ind w:right="43"/>
              <w:jc w:val="right"/>
              <w:rPr>
                <w:sz w:val="17"/>
              </w:rPr>
            </w:pPr>
          </w:p>
        </w:tc>
        <w:tc>
          <w:tcPr>
            <w:tcW w:w="715" w:type="dxa"/>
            <w:tcBorders>
              <w:top w:val="single" w:sz="12" w:space="0" w:color="auto"/>
            </w:tcBorders>
            <w:shd w:val="clear" w:color="auto" w:fill="auto"/>
            <w:vAlign w:val="bottom"/>
          </w:tcPr>
          <w:p w:rsidR="00956E52" w:rsidRPr="00AC36A1" w:rsidRDefault="00956E52" w:rsidP="00956E52">
            <w:pPr>
              <w:spacing w:before="40" w:after="40" w:line="210" w:lineRule="exact"/>
              <w:ind w:right="43"/>
              <w:jc w:val="right"/>
              <w:rPr>
                <w:sz w:val="17"/>
              </w:rPr>
            </w:pPr>
          </w:p>
        </w:tc>
        <w:tc>
          <w:tcPr>
            <w:tcW w:w="715" w:type="dxa"/>
            <w:tcBorders>
              <w:top w:val="single" w:sz="12" w:space="0" w:color="auto"/>
            </w:tcBorders>
            <w:shd w:val="clear" w:color="auto" w:fill="auto"/>
            <w:vAlign w:val="bottom"/>
          </w:tcPr>
          <w:p w:rsidR="00956E52" w:rsidRPr="00AC36A1" w:rsidRDefault="00956E52" w:rsidP="00956E52">
            <w:pPr>
              <w:spacing w:before="40" w:after="40" w:line="210" w:lineRule="exact"/>
              <w:ind w:right="43"/>
              <w:jc w:val="right"/>
              <w:rPr>
                <w:sz w:val="17"/>
              </w:rPr>
            </w:pPr>
          </w:p>
        </w:tc>
        <w:tc>
          <w:tcPr>
            <w:tcW w:w="715" w:type="dxa"/>
            <w:tcBorders>
              <w:top w:val="single" w:sz="12" w:space="0" w:color="auto"/>
            </w:tcBorders>
            <w:shd w:val="clear" w:color="auto" w:fill="auto"/>
            <w:vAlign w:val="bottom"/>
          </w:tcPr>
          <w:p w:rsidR="00956E52" w:rsidRPr="00AC36A1" w:rsidRDefault="00956E52" w:rsidP="00956E52">
            <w:pPr>
              <w:spacing w:before="40" w:after="40" w:line="210" w:lineRule="exact"/>
              <w:ind w:right="43"/>
              <w:jc w:val="right"/>
              <w:rPr>
                <w:sz w:val="17"/>
              </w:rPr>
            </w:pPr>
          </w:p>
        </w:tc>
        <w:tc>
          <w:tcPr>
            <w:tcW w:w="716" w:type="dxa"/>
            <w:tcBorders>
              <w:top w:val="single" w:sz="12" w:space="0" w:color="auto"/>
            </w:tcBorders>
            <w:shd w:val="clear" w:color="auto" w:fill="auto"/>
            <w:vAlign w:val="bottom"/>
          </w:tcPr>
          <w:p w:rsidR="00956E52" w:rsidRPr="00AC36A1" w:rsidRDefault="00956E52" w:rsidP="00956E52">
            <w:pPr>
              <w:spacing w:before="40" w:after="40" w:line="210" w:lineRule="exact"/>
              <w:ind w:right="43"/>
              <w:jc w:val="right"/>
              <w:rPr>
                <w:sz w:val="17"/>
              </w:rPr>
            </w:pPr>
          </w:p>
        </w:tc>
      </w:tr>
      <w:tr w:rsidR="00956E52" w:rsidRPr="00AC36A1" w:rsidTr="00956E52">
        <w:tc>
          <w:tcPr>
            <w:tcW w:w="715" w:type="dxa"/>
            <w:shd w:val="clear" w:color="auto" w:fill="auto"/>
            <w:vAlign w:val="bottom"/>
          </w:tcPr>
          <w:p w:rsidR="00956E52" w:rsidRPr="00AC36A1" w:rsidRDefault="00956E52" w:rsidP="00956E52">
            <w:pPr>
              <w:tabs>
                <w:tab w:val="left" w:pos="288"/>
                <w:tab w:val="left" w:pos="576"/>
                <w:tab w:val="left" w:pos="864"/>
                <w:tab w:val="left" w:pos="1152"/>
              </w:tabs>
              <w:spacing w:before="40" w:after="40" w:line="210" w:lineRule="exact"/>
              <w:ind w:right="40"/>
              <w:rPr>
                <w:sz w:val="17"/>
              </w:rPr>
            </w:pPr>
            <w:r w:rsidRPr="00AC36A1">
              <w:rPr>
                <w:sz w:val="17"/>
              </w:rPr>
              <w:t>2012</w:t>
            </w:r>
          </w:p>
        </w:tc>
        <w:tc>
          <w:tcPr>
            <w:tcW w:w="715" w:type="dxa"/>
            <w:shd w:val="clear" w:color="auto" w:fill="auto"/>
            <w:vAlign w:val="bottom"/>
          </w:tcPr>
          <w:p w:rsidR="00956E52" w:rsidRPr="00AC36A1" w:rsidRDefault="00956E52" w:rsidP="00956E52">
            <w:pPr>
              <w:tabs>
                <w:tab w:val="left" w:pos="288"/>
                <w:tab w:val="left" w:pos="576"/>
                <w:tab w:val="left" w:pos="864"/>
                <w:tab w:val="left" w:pos="1152"/>
              </w:tabs>
              <w:spacing w:before="40" w:after="40" w:line="210" w:lineRule="exact"/>
              <w:ind w:right="43"/>
              <w:jc w:val="right"/>
              <w:rPr>
                <w:sz w:val="17"/>
              </w:rPr>
            </w:pPr>
            <w:r w:rsidRPr="00AC36A1">
              <w:rPr>
                <w:sz w:val="17"/>
              </w:rPr>
              <w:t>100</w:t>
            </w:r>
          </w:p>
        </w:tc>
        <w:tc>
          <w:tcPr>
            <w:tcW w:w="715" w:type="dxa"/>
            <w:shd w:val="clear" w:color="auto" w:fill="auto"/>
            <w:vAlign w:val="bottom"/>
          </w:tcPr>
          <w:p w:rsidR="00956E52" w:rsidRPr="00AC36A1" w:rsidRDefault="00956E52" w:rsidP="00956E52">
            <w:pPr>
              <w:tabs>
                <w:tab w:val="left" w:pos="288"/>
                <w:tab w:val="left" w:pos="576"/>
                <w:tab w:val="left" w:pos="864"/>
                <w:tab w:val="left" w:pos="1152"/>
              </w:tabs>
              <w:spacing w:before="40" w:after="40" w:line="210" w:lineRule="exact"/>
              <w:ind w:right="43"/>
              <w:jc w:val="right"/>
              <w:rPr>
                <w:sz w:val="17"/>
              </w:rPr>
            </w:pPr>
            <w:r w:rsidRPr="00AC36A1">
              <w:rPr>
                <w:sz w:val="17"/>
              </w:rPr>
              <w:t>20</w:t>
            </w:r>
          </w:p>
        </w:tc>
        <w:tc>
          <w:tcPr>
            <w:tcW w:w="715" w:type="dxa"/>
            <w:shd w:val="clear" w:color="auto" w:fill="auto"/>
            <w:vAlign w:val="bottom"/>
          </w:tcPr>
          <w:p w:rsidR="00956E52" w:rsidRPr="00AC36A1" w:rsidRDefault="00956E52" w:rsidP="00956E52">
            <w:pPr>
              <w:tabs>
                <w:tab w:val="left" w:pos="288"/>
                <w:tab w:val="left" w:pos="576"/>
                <w:tab w:val="left" w:pos="864"/>
                <w:tab w:val="left" w:pos="1152"/>
              </w:tabs>
              <w:spacing w:before="40" w:after="40" w:line="210" w:lineRule="exact"/>
              <w:ind w:right="43"/>
              <w:jc w:val="right"/>
              <w:rPr>
                <w:sz w:val="17"/>
              </w:rPr>
            </w:pPr>
            <w:r w:rsidRPr="00AC36A1">
              <w:rPr>
                <w:sz w:val="17"/>
              </w:rPr>
              <w:t>364</w:t>
            </w:r>
          </w:p>
        </w:tc>
        <w:tc>
          <w:tcPr>
            <w:tcW w:w="731" w:type="dxa"/>
            <w:shd w:val="clear" w:color="auto" w:fill="auto"/>
            <w:vAlign w:val="bottom"/>
          </w:tcPr>
          <w:p w:rsidR="00956E52" w:rsidRPr="00AC36A1" w:rsidRDefault="00956E52" w:rsidP="00956E52">
            <w:pPr>
              <w:tabs>
                <w:tab w:val="left" w:pos="288"/>
                <w:tab w:val="left" w:pos="576"/>
                <w:tab w:val="left" w:pos="864"/>
                <w:tab w:val="left" w:pos="1152"/>
              </w:tabs>
              <w:spacing w:before="40" w:after="40" w:line="210" w:lineRule="exact"/>
              <w:ind w:right="43"/>
              <w:jc w:val="right"/>
              <w:rPr>
                <w:sz w:val="17"/>
              </w:rPr>
            </w:pPr>
            <w:r w:rsidRPr="00AC36A1">
              <w:rPr>
                <w:sz w:val="17"/>
              </w:rPr>
              <w:t>13</w:t>
            </w:r>
          </w:p>
        </w:tc>
        <w:tc>
          <w:tcPr>
            <w:tcW w:w="700" w:type="dxa"/>
            <w:shd w:val="clear" w:color="auto" w:fill="auto"/>
            <w:vAlign w:val="bottom"/>
          </w:tcPr>
          <w:p w:rsidR="00956E52" w:rsidRPr="00AC36A1" w:rsidRDefault="00956E52" w:rsidP="00956E52">
            <w:pPr>
              <w:tabs>
                <w:tab w:val="left" w:pos="288"/>
                <w:tab w:val="left" w:pos="576"/>
                <w:tab w:val="left" w:pos="864"/>
                <w:tab w:val="left" w:pos="1152"/>
              </w:tabs>
              <w:spacing w:before="40" w:after="40" w:line="210" w:lineRule="exact"/>
              <w:ind w:right="43"/>
              <w:jc w:val="right"/>
              <w:rPr>
                <w:sz w:val="17"/>
              </w:rPr>
            </w:pPr>
            <w:r w:rsidRPr="00AC36A1">
              <w:rPr>
                <w:sz w:val="17"/>
              </w:rPr>
              <w:t>82</w:t>
            </w:r>
          </w:p>
        </w:tc>
        <w:tc>
          <w:tcPr>
            <w:tcW w:w="715" w:type="dxa"/>
            <w:shd w:val="clear" w:color="auto" w:fill="auto"/>
            <w:vAlign w:val="bottom"/>
          </w:tcPr>
          <w:p w:rsidR="00956E52" w:rsidRPr="00AC36A1" w:rsidRDefault="00956E52" w:rsidP="00956E52">
            <w:pPr>
              <w:tabs>
                <w:tab w:val="left" w:pos="288"/>
                <w:tab w:val="left" w:pos="576"/>
                <w:tab w:val="left" w:pos="864"/>
                <w:tab w:val="left" w:pos="1152"/>
              </w:tabs>
              <w:spacing w:before="40" w:after="40" w:line="210" w:lineRule="exact"/>
              <w:ind w:right="43"/>
              <w:jc w:val="right"/>
              <w:rPr>
                <w:sz w:val="17"/>
              </w:rPr>
            </w:pPr>
            <w:r w:rsidRPr="00AC36A1">
              <w:rPr>
                <w:sz w:val="17"/>
              </w:rPr>
              <w:t>313</w:t>
            </w:r>
          </w:p>
        </w:tc>
        <w:tc>
          <w:tcPr>
            <w:tcW w:w="715" w:type="dxa"/>
            <w:shd w:val="clear" w:color="auto" w:fill="auto"/>
            <w:vAlign w:val="bottom"/>
          </w:tcPr>
          <w:p w:rsidR="00956E52" w:rsidRPr="00AC36A1" w:rsidRDefault="00956E52" w:rsidP="00956E52">
            <w:pPr>
              <w:tabs>
                <w:tab w:val="left" w:pos="288"/>
                <w:tab w:val="left" w:pos="576"/>
                <w:tab w:val="left" w:pos="864"/>
                <w:tab w:val="left" w:pos="1152"/>
              </w:tabs>
              <w:spacing w:before="40" w:after="40" w:line="210" w:lineRule="exact"/>
              <w:ind w:right="43"/>
              <w:jc w:val="right"/>
              <w:rPr>
                <w:sz w:val="17"/>
              </w:rPr>
            </w:pPr>
            <w:r w:rsidRPr="00AC36A1">
              <w:rPr>
                <w:sz w:val="17"/>
              </w:rPr>
              <w:t>4</w:t>
            </w:r>
          </w:p>
        </w:tc>
        <w:tc>
          <w:tcPr>
            <w:tcW w:w="715" w:type="dxa"/>
            <w:shd w:val="clear" w:color="auto" w:fill="auto"/>
            <w:vAlign w:val="bottom"/>
          </w:tcPr>
          <w:p w:rsidR="00956E52" w:rsidRPr="00AC36A1" w:rsidRDefault="00956E52" w:rsidP="00956E52">
            <w:pPr>
              <w:tabs>
                <w:tab w:val="left" w:pos="288"/>
                <w:tab w:val="left" w:pos="576"/>
                <w:tab w:val="left" w:pos="864"/>
                <w:tab w:val="left" w:pos="1152"/>
              </w:tabs>
              <w:spacing w:before="40" w:after="40" w:line="210" w:lineRule="exact"/>
              <w:ind w:right="43"/>
              <w:jc w:val="right"/>
              <w:rPr>
                <w:sz w:val="17"/>
              </w:rPr>
            </w:pPr>
            <w:r w:rsidRPr="00AC36A1">
              <w:rPr>
                <w:sz w:val="17"/>
              </w:rPr>
              <w:t>9</w:t>
            </w:r>
          </w:p>
        </w:tc>
        <w:tc>
          <w:tcPr>
            <w:tcW w:w="715" w:type="dxa"/>
            <w:shd w:val="clear" w:color="auto" w:fill="auto"/>
            <w:vAlign w:val="bottom"/>
          </w:tcPr>
          <w:p w:rsidR="00956E52" w:rsidRPr="00AC36A1" w:rsidRDefault="00956E52" w:rsidP="00956E52">
            <w:pPr>
              <w:tabs>
                <w:tab w:val="left" w:pos="288"/>
                <w:tab w:val="left" w:pos="576"/>
                <w:tab w:val="left" w:pos="864"/>
                <w:tab w:val="left" w:pos="1152"/>
              </w:tabs>
              <w:spacing w:before="40" w:after="40" w:line="210" w:lineRule="exact"/>
              <w:ind w:right="43"/>
              <w:jc w:val="right"/>
              <w:rPr>
                <w:sz w:val="17"/>
              </w:rPr>
            </w:pPr>
            <w:r w:rsidRPr="00AC36A1">
              <w:rPr>
                <w:sz w:val="17"/>
              </w:rPr>
              <w:t>43</w:t>
            </w:r>
          </w:p>
        </w:tc>
        <w:tc>
          <w:tcPr>
            <w:tcW w:w="715" w:type="dxa"/>
            <w:shd w:val="clear" w:color="auto" w:fill="auto"/>
            <w:vAlign w:val="bottom"/>
          </w:tcPr>
          <w:p w:rsidR="00956E52" w:rsidRPr="00AC36A1" w:rsidRDefault="00956E52" w:rsidP="00956E52">
            <w:pPr>
              <w:tabs>
                <w:tab w:val="left" w:pos="288"/>
                <w:tab w:val="left" w:pos="576"/>
                <w:tab w:val="left" w:pos="864"/>
                <w:tab w:val="left" w:pos="1152"/>
              </w:tabs>
              <w:spacing w:before="40" w:after="40" w:line="210" w:lineRule="exact"/>
              <w:ind w:right="43"/>
              <w:jc w:val="right"/>
              <w:rPr>
                <w:sz w:val="17"/>
              </w:rPr>
            </w:pPr>
            <w:r w:rsidRPr="00AC36A1">
              <w:rPr>
                <w:sz w:val="17"/>
              </w:rPr>
              <w:t>26</w:t>
            </w:r>
          </w:p>
        </w:tc>
        <w:tc>
          <w:tcPr>
            <w:tcW w:w="716" w:type="dxa"/>
            <w:shd w:val="clear" w:color="auto" w:fill="auto"/>
            <w:vAlign w:val="bottom"/>
          </w:tcPr>
          <w:p w:rsidR="00956E52" w:rsidRPr="00AC36A1" w:rsidRDefault="00956E52" w:rsidP="00956E52">
            <w:pPr>
              <w:tabs>
                <w:tab w:val="left" w:pos="288"/>
                <w:tab w:val="left" w:pos="576"/>
                <w:tab w:val="left" w:pos="864"/>
                <w:tab w:val="left" w:pos="1152"/>
              </w:tabs>
              <w:spacing w:before="40" w:after="40" w:line="210" w:lineRule="exact"/>
              <w:ind w:right="43"/>
              <w:jc w:val="right"/>
              <w:rPr>
                <w:sz w:val="17"/>
              </w:rPr>
            </w:pPr>
            <w:r w:rsidRPr="00AC36A1">
              <w:rPr>
                <w:sz w:val="17"/>
              </w:rPr>
              <w:t>974</w:t>
            </w:r>
          </w:p>
        </w:tc>
      </w:tr>
      <w:tr w:rsidR="00956E52" w:rsidRPr="00AC36A1" w:rsidTr="00956E52">
        <w:tc>
          <w:tcPr>
            <w:tcW w:w="715" w:type="dxa"/>
            <w:tcBorders>
              <w:bottom w:val="single" w:sz="12" w:space="0" w:color="auto"/>
            </w:tcBorders>
            <w:shd w:val="clear" w:color="auto" w:fill="auto"/>
            <w:vAlign w:val="bottom"/>
          </w:tcPr>
          <w:p w:rsidR="00956E52" w:rsidRPr="00AC36A1" w:rsidRDefault="00956E52" w:rsidP="00956E52">
            <w:pPr>
              <w:tabs>
                <w:tab w:val="left" w:pos="288"/>
                <w:tab w:val="left" w:pos="576"/>
                <w:tab w:val="left" w:pos="864"/>
                <w:tab w:val="left" w:pos="1152"/>
              </w:tabs>
              <w:spacing w:before="40" w:after="40" w:line="210" w:lineRule="exact"/>
              <w:ind w:right="40"/>
              <w:rPr>
                <w:sz w:val="17"/>
              </w:rPr>
            </w:pPr>
            <w:r w:rsidRPr="00AC36A1">
              <w:rPr>
                <w:sz w:val="17"/>
              </w:rPr>
              <w:t>2013</w:t>
            </w:r>
          </w:p>
        </w:tc>
        <w:tc>
          <w:tcPr>
            <w:tcW w:w="715" w:type="dxa"/>
            <w:tcBorders>
              <w:bottom w:val="single" w:sz="12" w:space="0" w:color="auto"/>
            </w:tcBorders>
            <w:shd w:val="clear" w:color="auto" w:fill="auto"/>
            <w:vAlign w:val="bottom"/>
          </w:tcPr>
          <w:p w:rsidR="00956E52" w:rsidRPr="00AC36A1" w:rsidRDefault="00956E52" w:rsidP="00956E52">
            <w:pPr>
              <w:tabs>
                <w:tab w:val="left" w:pos="288"/>
                <w:tab w:val="left" w:pos="576"/>
                <w:tab w:val="left" w:pos="864"/>
                <w:tab w:val="left" w:pos="1152"/>
              </w:tabs>
              <w:spacing w:before="40" w:after="40" w:line="210" w:lineRule="exact"/>
              <w:ind w:right="43"/>
              <w:jc w:val="right"/>
              <w:rPr>
                <w:sz w:val="17"/>
              </w:rPr>
            </w:pPr>
            <w:r w:rsidRPr="00AC36A1">
              <w:rPr>
                <w:sz w:val="17"/>
              </w:rPr>
              <w:t>79</w:t>
            </w:r>
          </w:p>
        </w:tc>
        <w:tc>
          <w:tcPr>
            <w:tcW w:w="715" w:type="dxa"/>
            <w:tcBorders>
              <w:bottom w:val="single" w:sz="12" w:space="0" w:color="auto"/>
            </w:tcBorders>
            <w:shd w:val="clear" w:color="auto" w:fill="auto"/>
            <w:vAlign w:val="bottom"/>
          </w:tcPr>
          <w:p w:rsidR="00956E52" w:rsidRPr="00AC36A1" w:rsidRDefault="00956E52" w:rsidP="00956E52">
            <w:pPr>
              <w:tabs>
                <w:tab w:val="left" w:pos="288"/>
                <w:tab w:val="left" w:pos="576"/>
                <w:tab w:val="left" w:pos="864"/>
                <w:tab w:val="left" w:pos="1152"/>
              </w:tabs>
              <w:spacing w:before="40" w:after="40" w:line="210" w:lineRule="exact"/>
              <w:ind w:right="43"/>
              <w:jc w:val="right"/>
              <w:rPr>
                <w:sz w:val="17"/>
              </w:rPr>
            </w:pPr>
            <w:r w:rsidRPr="00AC36A1">
              <w:rPr>
                <w:sz w:val="17"/>
              </w:rPr>
              <w:t>23</w:t>
            </w:r>
          </w:p>
        </w:tc>
        <w:tc>
          <w:tcPr>
            <w:tcW w:w="715" w:type="dxa"/>
            <w:tcBorders>
              <w:bottom w:val="single" w:sz="12" w:space="0" w:color="auto"/>
            </w:tcBorders>
            <w:shd w:val="clear" w:color="auto" w:fill="auto"/>
            <w:vAlign w:val="bottom"/>
          </w:tcPr>
          <w:p w:rsidR="00956E52" w:rsidRPr="00AC36A1" w:rsidRDefault="00956E52" w:rsidP="00956E52">
            <w:pPr>
              <w:tabs>
                <w:tab w:val="left" w:pos="288"/>
                <w:tab w:val="left" w:pos="576"/>
                <w:tab w:val="left" w:pos="864"/>
                <w:tab w:val="left" w:pos="1152"/>
              </w:tabs>
              <w:spacing w:before="40" w:after="40" w:line="210" w:lineRule="exact"/>
              <w:ind w:right="43"/>
              <w:jc w:val="right"/>
              <w:rPr>
                <w:sz w:val="17"/>
              </w:rPr>
            </w:pPr>
            <w:r w:rsidRPr="00AC36A1">
              <w:rPr>
                <w:sz w:val="17"/>
              </w:rPr>
              <w:t>296</w:t>
            </w:r>
          </w:p>
        </w:tc>
        <w:tc>
          <w:tcPr>
            <w:tcW w:w="731" w:type="dxa"/>
            <w:tcBorders>
              <w:bottom w:val="single" w:sz="12" w:space="0" w:color="auto"/>
            </w:tcBorders>
            <w:shd w:val="clear" w:color="auto" w:fill="auto"/>
            <w:vAlign w:val="bottom"/>
          </w:tcPr>
          <w:p w:rsidR="00956E52" w:rsidRPr="00AC36A1" w:rsidRDefault="00956E52" w:rsidP="00956E52">
            <w:pPr>
              <w:tabs>
                <w:tab w:val="left" w:pos="288"/>
                <w:tab w:val="left" w:pos="576"/>
                <w:tab w:val="left" w:pos="864"/>
                <w:tab w:val="left" w:pos="1152"/>
              </w:tabs>
              <w:spacing w:before="40" w:after="40" w:line="210" w:lineRule="exact"/>
              <w:ind w:right="43"/>
              <w:jc w:val="right"/>
              <w:rPr>
                <w:sz w:val="17"/>
              </w:rPr>
            </w:pPr>
            <w:r w:rsidRPr="00AC36A1">
              <w:rPr>
                <w:sz w:val="17"/>
              </w:rPr>
              <w:t>7</w:t>
            </w:r>
          </w:p>
        </w:tc>
        <w:tc>
          <w:tcPr>
            <w:tcW w:w="700" w:type="dxa"/>
            <w:tcBorders>
              <w:bottom w:val="single" w:sz="12" w:space="0" w:color="auto"/>
            </w:tcBorders>
            <w:shd w:val="clear" w:color="auto" w:fill="auto"/>
            <w:vAlign w:val="bottom"/>
          </w:tcPr>
          <w:p w:rsidR="00956E52" w:rsidRPr="00AC36A1" w:rsidRDefault="00956E52" w:rsidP="00956E52">
            <w:pPr>
              <w:tabs>
                <w:tab w:val="left" w:pos="288"/>
                <w:tab w:val="left" w:pos="576"/>
                <w:tab w:val="left" w:pos="864"/>
                <w:tab w:val="left" w:pos="1152"/>
              </w:tabs>
              <w:spacing w:before="40" w:after="40" w:line="210" w:lineRule="exact"/>
              <w:ind w:right="43"/>
              <w:jc w:val="right"/>
              <w:rPr>
                <w:sz w:val="17"/>
              </w:rPr>
            </w:pPr>
            <w:r w:rsidRPr="00AC36A1">
              <w:rPr>
                <w:sz w:val="17"/>
              </w:rPr>
              <w:t>73</w:t>
            </w:r>
          </w:p>
        </w:tc>
        <w:tc>
          <w:tcPr>
            <w:tcW w:w="715" w:type="dxa"/>
            <w:tcBorders>
              <w:bottom w:val="single" w:sz="12" w:space="0" w:color="auto"/>
            </w:tcBorders>
            <w:shd w:val="clear" w:color="auto" w:fill="auto"/>
            <w:vAlign w:val="bottom"/>
          </w:tcPr>
          <w:p w:rsidR="00956E52" w:rsidRPr="00AC36A1" w:rsidRDefault="00956E52" w:rsidP="00956E52">
            <w:pPr>
              <w:tabs>
                <w:tab w:val="left" w:pos="288"/>
                <w:tab w:val="left" w:pos="576"/>
                <w:tab w:val="left" w:pos="864"/>
                <w:tab w:val="left" w:pos="1152"/>
              </w:tabs>
              <w:spacing w:before="40" w:after="40" w:line="210" w:lineRule="exact"/>
              <w:ind w:right="43"/>
              <w:jc w:val="right"/>
              <w:rPr>
                <w:sz w:val="17"/>
              </w:rPr>
            </w:pPr>
            <w:r w:rsidRPr="00AC36A1">
              <w:rPr>
                <w:sz w:val="17"/>
              </w:rPr>
              <w:t>336</w:t>
            </w:r>
          </w:p>
        </w:tc>
        <w:tc>
          <w:tcPr>
            <w:tcW w:w="715" w:type="dxa"/>
            <w:tcBorders>
              <w:bottom w:val="single" w:sz="12" w:space="0" w:color="auto"/>
            </w:tcBorders>
            <w:shd w:val="clear" w:color="auto" w:fill="auto"/>
            <w:vAlign w:val="bottom"/>
          </w:tcPr>
          <w:p w:rsidR="00956E52" w:rsidRPr="00AC36A1" w:rsidRDefault="00956E52" w:rsidP="00956E52">
            <w:pPr>
              <w:tabs>
                <w:tab w:val="left" w:pos="288"/>
                <w:tab w:val="left" w:pos="576"/>
                <w:tab w:val="left" w:pos="864"/>
                <w:tab w:val="left" w:pos="1152"/>
              </w:tabs>
              <w:spacing w:before="40" w:after="40" w:line="210" w:lineRule="exact"/>
              <w:ind w:right="43"/>
              <w:jc w:val="right"/>
              <w:rPr>
                <w:sz w:val="17"/>
              </w:rPr>
            </w:pPr>
            <w:r w:rsidRPr="00AC36A1">
              <w:rPr>
                <w:sz w:val="17"/>
              </w:rPr>
              <w:t>6</w:t>
            </w:r>
          </w:p>
        </w:tc>
        <w:tc>
          <w:tcPr>
            <w:tcW w:w="715" w:type="dxa"/>
            <w:tcBorders>
              <w:bottom w:val="single" w:sz="12" w:space="0" w:color="auto"/>
            </w:tcBorders>
            <w:shd w:val="clear" w:color="auto" w:fill="auto"/>
            <w:vAlign w:val="bottom"/>
          </w:tcPr>
          <w:p w:rsidR="00956E52" w:rsidRPr="00AC36A1" w:rsidRDefault="00956E52" w:rsidP="00956E52">
            <w:pPr>
              <w:tabs>
                <w:tab w:val="left" w:pos="288"/>
                <w:tab w:val="left" w:pos="576"/>
                <w:tab w:val="left" w:pos="864"/>
                <w:tab w:val="left" w:pos="1152"/>
              </w:tabs>
              <w:spacing w:before="40" w:after="40" w:line="210" w:lineRule="exact"/>
              <w:ind w:right="43"/>
              <w:jc w:val="right"/>
              <w:rPr>
                <w:sz w:val="17"/>
              </w:rPr>
            </w:pPr>
            <w:r w:rsidRPr="00AC36A1">
              <w:rPr>
                <w:sz w:val="17"/>
              </w:rPr>
              <w:t>12</w:t>
            </w:r>
          </w:p>
        </w:tc>
        <w:tc>
          <w:tcPr>
            <w:tcW w:w="715" w:type="dxa"/>
            <w:tcBorders>
              <w:bottom w:val="single" w:sz="12" w:space="0" w:color="auto"/>
            </w:tcBorders>
            <w:shd w:val="clear" w:color="auto" w:fill="auto"/>
            <w:vAlign w:val="bottom"/>
          </w:tcPr>
          <w:p w:rsidR="00956E52" w:rsidRPr="00AC36A1" w:rsidRDefault="00956E52" w:rsidP="00956E52">
            <w:pPr>
              <w:tabs>
                <w:tab w:val="left" w:pos="288"/>
                <w:tab w:val="left" w:pos="576"/>
                <w:tab w:val="left" w:pos="864"/>
                <w:tab w:val="left" w:pos="1152"/>
              </w:tabs>
              <w:spacing w:before="40" w:after="40" w:line="210" w:lineRule="exact"/>
              <w:ind w:right="43"/>
              <w:jc w:val="right"/>
              <w:rPr>
                <w:sz w:val="17"/>
              </w:rPr>
            </w:pPr>
            <w:r w:rsidRPr="00AC36A1">
              <w:rPr>
                <w:sz w:val="17"/>
              </w:rPr>
              <w:t>18</w:t>
            </w:r>
          </w:p>
        </w:tc>
        <w:tc>
          <w:tcPr>
            <w:tcW w:w="715" w:type="dxa"/>
            <w:tcBorders>
              <w:bottom w:val="single" w:sz="12" w:space="0" w:color="auto"/>
            </w:tcBorders>
            <w:shd w:val="clear" w:color="auto" w:fill="auto"/>
            <w:vAlign w:val="bottom"/>
          </w:tcPr>
          <w:p w:rsidR="00956E52" w:rsidRPr="00AC36A1" w:rsidRDefault="00956E52" w:rsidP="00956E52">
            <w:pPr>
              <w:tabs>
                <w:tab w:val="left" w:pos="288"/>
                <w:tab w:val="left" w:pos="576"/>
                <w:tab w:val="left" w:pos="864"/>
                <w:tab w:val="left" w:pos="1152"/>
              </w:tabs>
              <w:spacing w:before="40" w:after="40" w:line="210" w:lineRule="exact"/>
              <w:ind w:right="43"/>
              <w:jc w:val="right"/>
              <w:rPr>
                <w:sz w:val="17"/>
              </w:rPr>
            </w:pPr>
            <w:r w:rsidRPr="00AC36A1">
              <w:rPr>
                <w:sz w:val="17"/>
              </w:rPr>
              <w:t>14</w:t>
            </w:r>
          </w:p>
        </w:tc>
        <w:tc>
          <w:tcPr>
            <w:tcW w:w="716" w:type="dxa"/>
            <w:tcBorders>
              <w:bottom w:val="single" w:sz="12" w:space="0" w:color="auto"/>
            </w:tcBorders>
            <w:shd w:val="clear" w:color="auto" w:fill="auto"/>
            <w:vAlign w:val="bottom"/>
          </w:tcPr>
          <w:p w:rsidR="00956E52" w:rsidRPr="00AC36A1" w:rsidRDefault="00956E52" w:rsidP="00956E52">
            <w:pPr>
              <w:tabs>
                <w:tab w:val="left" w:pos="288"/>
                <w:tab w:val="left" w:pos="576"/>
                <w:tab w:val="left" w:pos="864"/>
                <w:tab w:val="left" w:pos="1152"/>
              </w:tabs>
              <w:spacing w:before="40" w:after="40" w:line="210" w:lineRule="exact"/>
              <w:ind w:right="43"/>
              <w:jc w:val="right"/>
              <w:rPr>
                <w:sz w:val="17"/>
              </w:rPr>
            </w:pPr>
            <w:r w:rsidRPr="00AC36A1">
              <w:rPr>
                <w:sz w:val="17"/>
              </w:rPr>
              <w:t>864</w:t>
            </w:r>
          </w:p>
        </w:tc>
      </w:tr>
    </w:tbl>
    <w:p w:rsidR="00956E52" w:rsidRPr="00AC36A1" w:rsidRDefault="00956E52" w:rsidP="00956E52">
      <w:pPr>
        <w:pStyle w:val="SingleTxt"/>
        <w:spacing w:after="0" w:line="120" w:lineRule="exact"/>
        <w:rPr>
          <w:sz w:val="10"/>
        </w:rPr>
      </w:pPr>
    </w:p>
    <w:p w:rsidR="00CF1DFA" w:rsidRPr="00AC36A1" w:rsidRDefault="00CF1DFA" w:rsidP="00956E52">
      <w:pPr>
        <w:pStyle w:val="FootnoteText"/>
        <w:tabs>
          <w:tab w:val="clear" w:pos="418"/>
          <w:tab w:val="right" w:pos="1476"/>
          <w:tab w:val="left" w:pos="1548"/>
          <w:tab w:val="right" w:pos="1836"/>
          <w:tab w:val="left" w:pos="1908"/>
        </w:tabs>
        <w:ind w:left="1548" w:hanging="288"/>
      </w:pPr>
      <w:r w:rsidRPr="00AC36A1">
        <w:rPr>
          <w:i/>
        </w:rPr>
        <w:t>Source</w:t>
      </w:r>
      <w:r w:rsidRPr="00AC36A1">
        <w:t>: Police Department</w:t>
      </w:r>
    </w:p>
    <w:p w:rsidR="00956E52" w:rsidRPr="00AC36A1" w:rsidRDefault="00956E52" w:rsidP="00956E52">
      <w:pPr>
        <w:pStyle w:val="SingleTxt"/>
        <w:spacing w:after="0" w:line="120" w:lineRule="exact"/>
        <w:rPr>
          <w:sz w:val="10"/>
        </w:rPr>
      </w:pPr>
    </w:p>
    <w:p w:rsidR="00956E52" w:rsidRPr="00AC36A1" w:rsidRDefault="00956E52" w:rsidP="00956E52">
      <w:pPr>
        <w:pStyle w:val="SingleTxt"/>
        <w:spacing w:after="0" w:line="120" w:lineRule="exact"/>
        <w:rPr>
          <w:sz w:val="10"/>
        </w:rPr>
      </w:pPr>
    </w:p>
    <w:p w:rsidR="00CF1DFA" w:rsidRPr="00AC36A1" w:rsidRDefault="00CF1DFA" w:rsidP="00CF1DFA">
      <w:pPr>
        <w:pStyle w:val="SingleTxt"/>
      </w:pPr>
      <w:r w:rsidRPr="00AC36A1">
        <w:t>In the aftermath of the conflict (in May 2009), several measures have been taken by the Government in response to allegations of violence against women, including in the Northern and Eastern Provinces to address the issues related to women and children as follows:</w:t>
      </w:r>
    </w:p>
    <w:p w:rsidR="00CF1DFA" w:rsidRPr="00AC36A1" w:rsidRDefault="00956E52" w:rsidP="00956E52">
      <w:pPr>
        <w:pStyle w:val="SingleTxt"/>
        <w:tabs>
          <w:tab w:val="right" w:pos="1685"/>
        </w:tabs>
        <w:ind w:left="1742" w:hanging="475"/>
      </w:pPr>
      <w:r w:rsidRPr="00AC36A1">
        <w:tab/>
      </w:r>
      <w:r w:rsidR="00CF1DFA" w:rsidRPr="00AC36A1">
        <w:t>•</w:t>
      </w:r>
      <w:r w:rsidR="00CF1DFA" w:rsidRPr="00AC36A1">
        <w:tab/>
      </w:r>
      <w:r w:rsidR="00CF1DFA" w:rsidRPr="00AC36A1">
        <w:rPr>
          <w:b/>
        </w:rPr>
        <w:t>Staffing female officers</w:t>
      </w:r>
      <w:r w:rsidR="00CF1DFA" w:rsidRPr="00AC36A1">
        <w:t>: Women and Children’s Police Desks have been established in Police Stations, staffed with female officers, in the Northern and the Eastern Provinces. Specially trained police officers function at such desks which provide an enabling and protective environment for children, women and girls and their parents to report incidents of abuse and exploitation. This network is also linked to the National Child Protection Authority. Sexual and gender-based violence help desks are located in hospitals in the districts affected by the conflict.</w:t>
      </w:r>
    </w:p>
    <w:p w:rsidR="00CF1DFA" w:rsidRPr="00AC36A1" w:rsidRDefault="00956E52" w:rsidP="00956E52">
      <w:pPr>
        <w:pStyle w:val="SingleTxt"/>
        <w:tabs>
          <w:tab w:val="right" w:pos="1685"/>
        </w:tabs>
        <w:ind w:left="1742" w:hanging="475"/>
      </w:pPr>
      <w:r w:rsidRPr="00AC36A1">
        <w:tab/>
      </w:r>
      <w:r w:rsidR="00CF1DFA" w:rsidRPr="00AC36A1">
        <w:t>•</w:t>
      </w:r>
      <w:r w:rsidR="00CF1DFA" w:rsidRPr="00AC36A1">
        <w:tab/>
      </w:r>
      <w:r w:rsidR="00CF1DFA" w:rsidRPr="00AC36A1">
        <w:rPr>
          <w:b/>
        </w:rPr>
        <w:t>Tamil speaking officers</w:t>
      </w:r>
      <w:r w:rsidR="00CF1DFA" w:rsidRPr="00AC36A1">
        <w:t>: Currently, there are 2,207 police officers who speak Tamil, working in the North and an additional 2,326 Tamil speaking police officers are serving in the Sri Lanka Police as of end of 2014.</w:t>
      </w:r>
    </w:p>
    <w:p w:rsidR="00CF1DFA" w:rsidRPr="00AC36A1" w:rsidRDefault="00956E52" w:rsidP="00956E52">
      <w:pPr>
        <w:pStyle w:val="SingleTxt"/>
        <w:tabs>
          <w:tab w:val="right" w:pos="1685"/>
        </w:tabs>
        <w:ind w:left="1742" w:hanging="475"/>
      </w:pPr>
      <w:r w:rsidRPr="00AC36A1">
        <w:tab/>
      </w:r>
      <w:r w:rsidR="00CF1DFA" w:rsidRPr="00AC36A1">
        <w:t>•</w:t>
      </w:r>
      <w:r w:rsidR="00CF1DFA" w:rsidRPr="00AC36A1">
        <w:tab/>
      </w:r>
      <w:r w:rsidR="00CF1DFA" w:rsidRPr="00AC36A1">
        <w:rPr>
          <w:b/>
        </w:rPr>
        <w:t>Helping women &amp; children</w:t>
      </w:r>
      <w:r w:rsidR="00CF1DFA" w:rsidRPr="00AC36A1">
        <w:t>: In the Northern Province, “Children’s and Women’s Development Units” are in operation. Care International supports the units in Kilinochchi and Mullaitivu. Women Development Officers, Counselling Assistants, and Psychosocial and Child Protection Assistants have been fully trained and provided resources to ensure that they effectively reach out to target groups, including those in remote areas.</w:t>
      </w:r>
    </w:p>
    <w:p w:rsidR="00CF1DFA" w:rsidRPr="00AC36A1" w:rsidRDefault="00956E52" w:rsidP="00956E52">
      <w:pPr>
        <w:pStyle w:val="SingleTxt"/>
        <w:tabs>
          <w:tab w:val="right" w:pos="1685"/>
        </w:tabs>
        <w:ind w:left="1742" w:hanging="475"/>
      </w:pPr>
      <w:r w:rsidRPr="00AC36A1">
        <w:tab/>
      </w:r>
      <w:r w:rsidR="00CF1DFA" w:rsidRPr="00AC36A1">
        <w:t>•</w:t>
      </w:r>
      <w:r w:rsidR="00CF1DFA" w:rsidRPr="00AC36A1">
        <w:tab/>
      </w:r>
      <w:r w:rsidR="00CF1DFA" w:rsidRPr="00AC36A1">
        <w:rPr>
          <w:b/>
        </w:rPr>
        <w:t>Legal aid for single women household</w:t>
      </w:r>
      <w:r w:rsidR="00CF1DFA" w:rsidRPr="00AC36A1">
        <w:t>: According to the 2012 census of population and housing there are 716,703 widows in Sri Lanka and 1,270,293 female headed households. Single women households and war widows are especially catered to by Legal Aid and mediation mechanisms in the North and East. These mechanisms have undergone continuous improvement since 2010 providing awareness. Mobile public services are provided in collaboration with NGOs. Also, more than 70 Legal Aid Centres function island-wide to assist people in need of financial aid to litigate cases or defend themselves in Court.</w:t>
      </w:r>
    </w:p>
    <w:p w:rsidR="00FA76D5" w:rsidRPr="00AC36A1" w:rsidRDefault="00FA76D5" w:rsidP="00FA76D5">
      <w:pPr>
        <w:pStyle w:val="SingleTxt"/>
        <w:spacing w:after="0" w:line="120" w:lineRule="exact"/>
        <w:rPr>
          <w:sz w:val="10"/>
        </w:rPr>
      </w:pPr>
    </w:p>
    <w:p w:rsidR="00CF1DFA" w:rsidRPr="00AC36A1" w:rsidRDefault="00FA76D5" w:rsidP="00FA76D5">
      <w:pPr>
        <w:pStyle w:val="H23"/>
        <w:ind w:right="1260"/>
      </w:pPr>
      <w:r w:rsidRPr="00AC36A1">
        <w:tab/>
      </w:r>
      <w:r w:rsidRPr="00AC36A1">
        <w:tab/>
      </w:r>
      <w:r w:rsidR="00CF1DFA" w:rsidRPr="00AC36A1">
        <w:t>Trafficking and exploitation of prostitution [Paragraph 27]</w:t>
      </w:r>
    </w:p>
    <w:p w:rsidR="00FA76D5" w:rsidRPr="00AC36A1" w:rsidRDefault="00FA76D5" w:rsidP="00FA76D5">
      <w:pPr>
        <w:pStyle w:val="SingleTxt"/>
        <w:spacing w:after="0" w:line="120" w:lineRule="exact"/>
        <w:rPr>
          <w:sz w:val="10"/>
        </w:rPr>
      </w:pPr>
    </w:p>
    <w:p w:rsidR="00CF1DFA" w:rsidRPr="00AC36A1" w:rsidRDefault="00CF1DFA" w:rsidP="00CF1DFA">
      <w:pPr>
        <w:pStyle w:val="SingleTxt"/>
      </w:pPr>
      <w:r w:rsidRPr="00AC36A1">
        <w:t>41.</w:t>
      </w:r>
      <w:r w:rsidRPr="00AC36A1">
        <w:tab/>
        <w:t xml:space="preserve">The offence of trafficking in persons as contained in the Penal Code is a new offence introduced in 2006. </w:t>
      </w:r>
    </w:p>
    <w:p w:rsidR="00CF1DFA" w:rsidRPr="00AC36A1" w:rsidRDefault="00CF1DFA" w:rsidP="00CF1DFA">
      <w:pPr>
        <w:pStyle w:val="SingleTxt"/>
      </w:pPr>
      <w:r w:rsidRPr="00AC36A1">
        <w:t>42.</w:t>
      </w:r>
      <w:r w:rsidRPr="00AC36A1">
        <w:tab/>
        <w:t>Since 2009, 12 indictments have been served in respect of the offence of trafficking and 0</w:t>
      </w:r>
      <w:r w:rsidR="00FA76D5" w:rsidRPr="00AC36A1">
        <w:t>3 convictions have been secured</w:t>
      </w:r>
      <w:r w:rsidRPr="00AC36A1">
        <w:t>.</w:t>
      </w:r>
      <w:r w:rsidR="00FA76D5" w:rsidRPr="00AC36A1">
        <w:rPr>
          <w:rStyle w:val="FootnoteReference"/>
        </w:rPr>
        <w:footnoteReference w:id="6"/>
      </w:r>
      <w:r w:rsidRPr="00AC36A1">
        <w:t xml:space="preserve"> There were no acquittals during this period. Violation of the offences of procurement and trafficking during the period 2011-2014 have been</w:t>
      </w:r>
      <w:r w:rsidR="00FA76D5" w:rsidRPr="00AC36A1">
        <w:t xml:space="preserve"> dealt with, as follows</w:t>
      </w:r>
      <w:r w:rsidRPr="00AC36A1">
        <w:t>:</w:t>
      </w:r>
      <w:r w:rsidR="00FA76D5" w:rsidRPr="00AC36A1">
        <w:rPr>
          <w:rStyle w:val="FootnoteReference"/>
        </w:rPr>
        <w:footnoteReference w:id="7"/>
      </w:r>
    </w:p>
    <w:p w:rsidR="00FA76D5" w:rsidRPr="00AC36A1" w:rsidRDefault="00FA76D5" w:rsidP="00FA76D5">
      <w:pPr>
        <w:pStyle w:val="SingleTxt"/>
        <w:spacing w:after="0" w:line="120" w:lineRule="exact"/>
        <w:rPr>
          <w:sz w:val="10"/>
        </w:rPr>
      </w:pPr>
    </w:p>
    <w:p w:rsidR="00CF1DFA" w:rsidRPr="00AC36A1" w:rsidRDefault="00FA76D5" w:rsidP="00FA76D5">
      <w:pPr>
        <w:pStyle w:val="H23"/>
        <w:ind w:right="1260"/>
        <w:rPr>
          <w:b w:val="0"/>
        </w:rPr>
      </w:pPr>
      <w:r w:rsidRPr="00AC36A1">
        <w:tab/>
      </w:r>
      <w:r w:rsidRPr="00AC36A1">
        <w:tab/>
      </w:r>
      <w:r w:rsidR="00CF1DFA" w:rsidRPr="00AC36A1">
        <w:rPr>
          <w:b w:val="0"/>
        </w:rPr>
        <w:t>Table 3</w:t>
      </w:r>
    </w:p>
    <w:p w:rsidR="00CF1DFA" w:rsidRPr="00AC36A1" w:rsidRDefault="00FA76D5" w:rsidP="00FA76D5">
      <w:pPr>
        <w:pStyle w:val="H23"/>
        <w:ind w:right="1260"/>
      </w:pPr>
      <w:r w:rsidRPr="00AC36A1">
        <w:tab/>
      </w:r>
      <w:r w:rsidRPr="00AC36A1">
        <w:tab/>
      </w:r>
      <w:r w:rsidR="00CF1DFA" w:rsidRPr="00AC36A1">
        <w:t>Trafficking offences</w:t>
      </w:r>
    </w:p>
    <w:p w:rsidR="00FA76D5" w:rsidRPr="00AC36A1" w:rsidRDefault="00FA76D5" w:rsidP="00FA76D5">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B63AAB" w:rsidRPr="00AC36A1" w:rsidTr="00B63AAB">
        <w:trPr>
          <w:tblHeader/>
        </w:trPr>
        <w:tc>
          <w:tcPr>
            <w:tcW w:w="1830" w:type="dxa"/>
            <w:tcBorders>
              <w:top w:val="single" w:sz="4" w:space="0" w:color="auto"/>
              <w:bottom w:val="single" w:sz="12" w:space="0" w:color="auto"/>
            </w:tcBorders>
            <w:shd w:val="clear" w:color="auto" w:fill="auto"/>
            <w:vAlign w:val="bottom"/>
          </w:tcPr>
          <w:p w:rsidR="00B63AAB" w:rsidRPr="00AC36A1" w:rsidRDefault="00B63AAB" w:rsidP="00B63AAB">
            <w:pPr>
              <w:spacing w:before="81" w:after="81" w:line="160" w:lineRule="exact"/>
              <w:ind w:right="40"/>
              <w:rPr>
                <w:i/>
                <w:sz w:val="14"/>
              </w:rPr>
            </w:pPr>
            <w:r w:rsidRPr="00AC36A1">
              <w:rPr>
                <w:i/>
                <w:sz w:val="14"/>
              </w:rPr>
              <w:t>Year</w:t>
            </w:r>
          </w:p>
        </w:tc>
        <w:tc>
          <w:tcPr>
            <w:tcW w:w="1830" w:type="dxa"/>
            <w:tcBorders>
              <w:top w:val="single" w:sz="4" w:space="0" w:color="auto"/>
              <w:bottom w:val="single" w:sz="12" w:space="0" w:color="auto"/>
            </w:tcBorders>
            <w:shd w:val="clear" w:color="auto" w:fill="auto"/>
            <w:vAlign w:val="bottom"/>
          </w:tcPr>
          <w:p w:rsidR="00B63AAB" w:rsidRPr="00AC36A1" w:rsidRDefault="00B63AAB" w:rsidP="00B63AAB">
            <w:pPr>
              <w:spacing w:before="81" w:after="81" w:line="160" w:lineRule="exact"/>
              <w:ind w:right="43"/>
              <w:jc w:val="right"/>
              <w:rPr>
                <w:i/>
                <w:sz w:val="14"/>
              </w:rPr>
            </w:pPr>
            <w:r w:rsidRPr="00AC36A1">
              <w:rPr>
                <w:i/>
                <w:sz w:val="14"/>
              </w:rPr>
              <w:t>Reported Cases</w:t>
            </w:r>
          </w:p>
        </w:tc>
        <w:tc>
          <w:tcPr>
            <w:tcW w:w="1830" w:type="dxa"/>
            <w:tcBorders>
              <w:top w:val="single" w:sz="4" w:space="0" w:color="auto"/>
              <w:bottom w:val="single" w:sz="12" w:space="0" w:color="auto"/>
            </w:tcBorders>
            <w:shd w:val="clear" w:color="auto" w:fill="auto"/>
            <w:vAlign w:val="bottom"/>
          </w:tcPr>
          <w:p w:rsidR="00B63AAB" w:rsidRPr="00AC36A1" w:rsidRDefault="00B63AAB" w:rsidP="00B63AAB">
            <w:pPr>
              <w:spacing w:before="81" w:after="81" w:line="160" w:lineRule="exact"/>
              <w:ind w:right="43"/>
              <w:jc w:val="right"/>
              <w:rPr>
                <w:i/>
                <w:sz w:val="14"/>
              </w:rPr>
            </w:pPr>
            <w:r w:rsidRPr="00AC36A1">
              <w:rPr>
                <w:i/>
                <w:sz w:val="14"/>
              </w:rPr>
              <w:t xml:space="preserve">Prosecutions </w:t>
            </w:r>
          </w:p>
        </w:tc>
        <w:tc>
          <w:tcPr>
            <w:tcW w:w="1830" w:type="dxa"/>
            <w:tcBorders>
              <w:top w:val="single" w:sz="4" w:space="0" w:color="auto"/>
              <w:bottom w:val="single" w:sz="12" w:space="0" w:color="auto"/>
            </w:tcBorders>
            <w:shd w:val="clear" w:color="auto" w:fill="auto"/>
            <w:vAlign w:val="bottom"/>
          </w:tcPr>
          <w:p w:rsidR="00B63AAB" w:rsidRPr="00AC36A1" w:rsidRDefault="00B63AAB" w:rsidP="00B63AAB">
            <w:pPr>
              <w:spacing w:before="81" w:after="81" w:line="160" w:lineRule="exact"/>
              <w:ind w:right="43"/>
              <w:jc w:val="right"/>
              <w:rPr>
                <w:i/>
                <w:sz w:val="14"/>
              </w:rPr>
            </w:pPr>
            <w:r w:rsidRPr="00AC36A1">
              <w:rPr>
                <w:i/>
                <w:sz w:val="14"/>
              </w:rPr>
              <w:t>Investigations Pending</w:t>
            </w:r>
          </w:p>
        </w:tc>
      </w:tr>
      <w:tr w:rsidR="00B63AAB" w:rsidRPr="00AC36A1" w:rsidTr="00B63AAB">
        <w:trPr>
          <w:trHeight w:hRule="exact" w:val="115"/>
          <w:tblHeader/>
        </w:trPr>
        <w:tc>
          <w:tcPr>
            <w:tcW w:w="1830" w:type="dxa"/>
            <w:tcBorders>
              <w:top w:val="single" w:sz="12" w:space="0" w:color="auto"/>
            </w:tcBorders>
            <w:shd w:val="clear" w:color="auto" w:fill="auto"/>
            <w:vAlign w:val="bottom"/>
          </w:tcPr>
          <w:p w:rsidR="00B63AAB" w:rsidRPr="00AC36A1" w:rsidRDefault="00B63AAB" w:rsidP="00B63AAB">
            <w:pPr>
              <w:spacing w:before="40" w:after="40" w:line="210" w:lineRule="exact"/>
              <w:ind w:right="40"/>
              <w:rPr>
                <w:sz w:val="17"/>
              </w:rPr>
            </w:pPr>
          </w:p>
        </w:tc>
        <w:tc>
          <w:tcPr>
            <w:tcW w:w="1830" w:type="dxa"/>
            <w:tcBorders>
              <w:top w:val="single" w:sz="12" w:space="0" w:color="auto"/>
            </w:tcBorders>
            <w:shd w:val="clear" w:color="auto" w:fill="auto"/>
            <w:vAlign w:val="bottom"/>
          </w:tcPr>
          <w:p w:rsidR="00B63AAB" w:rsidRPr="00AC36A1" w:rsidRDefault="00B63AAB" w:rsidP="00B63AAB">
            <w:pPr>
              <w:spacing w:before="40" w:after="40" w:line="210" w:lineRule="exact"/>
              <w:ind w:right="43"/>
              <w:jc w:val="right"/>
              <w:rPr>
                <w:sz w:val="17"/>
              </w:rPr>
            </w:pPr>
          </w:p>
        </w:tc>
        <w:tc>
          <w:tcPr>
            <w:tcW w:w="1830" w:type="dxa"/>
            <w:tcBorders>
              <w:top w:val="single" w:sz="12" w:space="0" w:color="auto"/>
            </w:tcBorders>
            <w:shd w:val="clear" w:color="auto" w:fill="auto"/>
            <w:vAlign w:val="bottom"/>
          </w:tcPr>
          <w:p w:rsidR="00B63AAB" w:rsidRPr="00AC36A1" w:rsidRDefault="00B63AAB" w:rsidP="00B63AAB">
            <w:pPr>
              <w:spacing w:before="40" w:after="40" w:line="210" w:lineRule="exact"/>
              <w:ind w:right="43"/>
              <w:jc w:val="right"/>
              <w:rPr>
                <w:sz w:val="17"/>
              </w:rPr>
            </w:pPr>
          </w:p>
        </w:tc>
        <w:tc>
          <w:tcPr>
            <w:tcW w:w="1830" w:type="dxa"/>
            <w:tcBorders>
              <w:top w:val="single" w:sz="12" w:space="0" w:color="auto"/>
            </w:tcBorders>
            <w:shd w:val="clear" w:color="auto" w:fill="auto"/>
            <w:vAlign w:val="bottom"/>
          </w:tcPr>
          <w:p w:rsidR="00B63AAB" w:rsidRPr="00AC36A1" w:rsidRDefault="00B63AAB" w:rsidP="00B63AAB">
            <w:pPr>
              <w:spacing w:before="40" w:after="40" w:line="210" w:lineRule="exact"/>
              <w:ind w:right="43"/>
              <w:jc w:val="right"/>
              <w:rPr>
                <w:sz w:val="17"/>
              </w:rPr>
            </w:pPr>
          </w:p>
        </w:tc>
      </w:tr>
      <w:tr w:rsidR="00B63AAB" w:rsidRPr="00AC36A1" w:rsidTr="00B63AAB">
        <w:tc>
          <w:tcPr>
            <w:tcW w:w="1830" w:type="dxa"/>
            <w:shd w:val="clear" w:color="auto" w:fill="auto"/>
            <w:vAlign w:val="bottom"/>
          </w:tcPr>
          <w:p w:rsidR="00B63AAB" w:rsidRPr="00AC36A1" w:rsidRDefault="00B63AAB" w:rsidP="00B63AAB">
            <w:pPr>
              <w:tabs>
                <w:tab w:val="left" w:pos="288"/>
                <w:tab w:val="left" w:pos="576"/>
                <w:tab w:val="left" w:pos="864"/>
                <w:tab w:val="left" w:pos="1152"/>
              </w:tabs>
              <w:spacing w:before="40" w:after="40" w:line="210" w:lineRule="exact"/>
              <w:ind w:right="40"/>
              <w:rPr>
                <w:sz w:val="17"/>
              </w:rPr>
            </w:pPr>
            <w:r w:rsidRPr="00AC36A1">
              <w:rPr>
                <w:sz w:val="17"/>
              </w:rPr>
              <w:t>2011</w:t>
            </w:r>
          </w:p>
        </w:tc>
        <w:tc>
          <w:tcPr>
            <w:tcW w:w="1830" w:type="dxa"/>
            <w:shd w:val="clear" w:color="auto" w:fill="auto"/>
            <w:vAlign w:val="bottom"/>
          </w:tcPr>
          <w:p w:rsidR="00B63AAB" w:rsidRPr="00AC36A1" w:rsidRDefault="00B63AAB" w:rsidP="00B63AAB">
            <w:pPr>
              <w:tabs>
                <w:tab w:val="left" w:pos="288"/>
                <w:tab w:val="left" w:pos="576"/>
                <w:tab w:val="left" w:pos="864"/>
                <w:tab w:val="left" w:pos="1152"/>
              </w:tabs>
              <w:spacing w:before="40" w:after="40" w:line="210" w:lineRule="exact"/>
              <w:ind w:right="43"/>
              <w:jc w:val="right"/>
              <w:rPr>
                <w:sz w:val="17"/>
              </w:rPr>
            </w:pPr>
            <w:r w:rsidRPr="00AC36A1">
              <w:rPr>
                <w:sz w:val="17"/>
              </w:rPr>
              <w:t>20</w:t>
            </w:r>
          </w:p>
        </w:tc>
        <w:tc>
          <w:tcPr>
            <w:tcW w:w="1830" w:type="dxa"/>
            <w:shd w:val="clear" w:color="auto" w:fill="auto"/>
            <w:vAlign w:val="bottom"/>
          </w:tcPr>
          <w:p w:rsidR="00B63AAB" w:rsidRPr="00AC36A1" w:rsidRDefault="00B63AAB" w:rsidP="00B63AAB">
            <w:pPr>
              <w:tabs>
                <w:tab w:val="left" w:pos="288"/>
                <w:tab w:val="left" w:pos="576"/>
                <w:tab w:val="left" w:pos="864"/>
                <w:tab w:val="left" w:pos="1152"/>
              </w:tabs>
              <w:spacing w:before="40" w:after="40" w:line="210" w:lineRule="exact"/>
              <w:ind w:right="43"/>
              <w:jc w:val="right"/>
              <w:rPr>
                <w:sz w:val="17"/>
              </w:rPr>
            </w:pPr>
            <w:r w:rsidRPr="00AC36A1">
              <w:rPr>
                <w:sz w:val="17"/>
              </w:rPr>
              <w:t>09</w:t>
            </w:r>
          </w:p>
        </w:tc>
        <w:tc>
          <w:tcPr>
            <w:tcW w:w="1830" w:type="dxa"/>
            <w:shd w:val="clear" w:color="auto" w:fill="auto"/>
            <w:vAlign w:val="bottom"/>
          </w:tcPr>
          <w:p w:rsidR="00B63AAB" w:rsidRPr="00AC36A1" w:rsidRDefault="00B63AAB" w:rsidP="00B63AAB">
            <w:pPr>
              <w:tabs>
                <w:tab w:val="left" w:pos="288"/>
                <w:tab w:val="left" w:pos="576"/>
                <w:tab w:val="left" w:pos="864"/>
                <w:tab w:val="left" w:pos="1152"/>
              </w:tabs>
              <w:spacing w:before="40" w:after="40" w:line="210" w:lineRule="exact"/>
              <w:ind w:right="43"/>
              <w:jc w:val="right"/>
              <w:rPr>
                <w:sz w:val="17"/>
              </w:rPr>
            </w:pPr>
            <w:r w:rsidRPr="00AC36A1">
              <w:rPr>
                <w:sz w:val="17"/>
              </w:rPr>
              <w:t>11</w:t>
            </w:r>
          </w:p>
        </w:tc>
      </w:tr>
      <w:tr w:rsidR="00B63AAB" w:rsidRPr="00AC36A1" w:rsidTr="00B63AAB">
        <w:tc>
          <w:tcPr>
            <w:tcW w:w="1830" w:type="dxa"/>
            <w:shd w:val="clear" w:color="auto" w:fill="auto"/>
            <w:vAlign w:val="bottom"/>
          </w:tcPr>
          <w:p w:rsidR="00B63AAB" w:rsidRPr="00AC36A1" w:rsidRDefault="00B63AAB" w:rsidP="00B63AAB">
            <w:pPr>
              <w:tabs>
                <w:tab w:val="left" w:pos="288"/>
                <w:tab w:val="left" w:pos="576"/>
                <w:tab w:val="left" w:pos="864"/>
                <w:tab w:val="left" w:pos="1152"/>
              </w:tabs>
              <w:spacing w:before="40" w:after="40" w:line="210" w:lineRule="exact"/>
              <w:ind w:right="40"/>
              <w:rPr>
                <w:sz w:val="17"/>
              </w:rPr>
            </w:pPr>
            <w:r w:rsidRPr="00AC36A1">
              <w:rPr>
                <w:sz w:val="17"/>
              </w:rPr>
              <w:t>2012</w:t>
            </w:r>
          </w:p>
        </w:tc>
        <w:tc>
          <w:tcPr>
            <w:tcW w:w="1830" w:type="dxa"/>
            <w:shd w:val="clear" w:color="auto" w:fill="auto"/>
            <w:vAlign w:val="bottom"/>
          </w:tcPr>
          <w:p w:rsidR="00B63AAB" w:rsidRPr="00AC36A1" w:rsidRDefault="00B63AAB" w:rsidP="00B63AAB">
            <w:pPr>
              <w:tabs>
                <w:tab w:val="left" w:pos="288"/>
                <w:tab w:val="left" w:pos="576"/>
                <w:tab w:val="left" w:pos="864"/>
                <w:tab w:val="left" w:pos="1152"/>
              </w:tabs>
              <w:spacing w:before="40" w:after="40" w:line="210" w:lineRule="exact"/>
              <w:ind w:right="43"/>
              <w:jc w:val="right"/>
              <w:rPr>
                <w:sz w:val="17"/>
              </w:rPr>
            </w:pPr>
            <w:r w:rsidRPr="00AC36A1">
              <w:rPr>
                <w:sz w:val="17"/>
              </w:rPr>
              <w:t>28</w:t>
            </w:r>
          </w:p>
        </w:tc>
        <w:tc>
          <w:tcPr>
            <w:tcW w:w="1830" w:type="dxa"/>
            <w:shd w:val="clear" w:color="auto" w:fill="auto"/>
            <w:vAlign w:val="bottom"/>
          </w:tcPr>
          <w:p w:rsidR="00B63AAB" w:rsidRPr="00AC36A1" w:rsidRDefault="00B63AAB" w:rsidP="00B63AAB">
            <w:pPr>
              <w:tabs>
                <w:tab w:val="left" w:pos="288"/>
                <w:tab w:val="left" w:pos="576"/>
                <w:tab w:val="left" w:pos="864"/>
                <w:tab w:val="left" w:pos="1152"/>
              </w:tabs>
              <w:spacing w:before="40" w:after="40" w:line="210" w:lineRule="exact"/>
              <w:ind w:right="43"/>
              <w:jc w:val="right"/>
              <w:rPr>
                <w:sz w:val="17"/>
              </w:rPr>
            </w:pPr>
            <w:r w:rsidRPr="00AC36A1">
              <w:rPr>
                <w:sz w:val="17"/>
              </w:rPr>
              <w:t>15</w:t>
            </w:r>
          </w:p>
        </w:tc>
        <w:tc>
          <w:tcPr>
            <w:tcW w:w="1830" w:type="dxa"/>
            <w:shd w:val="clear" w:color="auto" w:fill="auto"/>
            <w:vAlign w:val="bottom"/>
          </w:tcPr>
          <w:p w:rsidR="00B63AAB" w:rsidRPr="00AC36A1" w:rsidRDefault="00B63AAB" w:rsidP="00B63AAB">
            <w:pPr>
              <w:tabs>
                <w:tab w:val="left" w:pos="288"/>
                <w:tab w:val="left" w:pos="576"/>
                <w:tab w:val="left" w:pos="864"/>
                <w:tab w:val="left" w:pos="1152"/>
              </w:tabs>
              <w:spacing w:before="40" w:after="40" w:line="210" w:lineRule="exact"/>
              <w:ind w:right="43"/>
              <w:jc w:val="right"/>
              <w:rPr>
                <w:sz w:val="17"/>
              </w:rPr>
            </w:pPr>
            <w:r w:rsidRPr="00AC36A1">
              <w:rPr>
                <w:sz w:val="17"/>
              </w:rPr>
              <w:t>13</w:t>
            </w:r>
          </w:p>
        </w:tc>
      </w:tr>
      <w:tr w:rsidR="00B63AAB" w:rsidRPr="00AC36A1" w:rsidTr="00B63AAB">
        <w:tc>
          <w:tcPr>
            <w:tcW w:w="1830" w:type="dxa"/>
            <w:shd w:val="clear" w:color="auto" w:fill="auto"/>
            <w:vAlign w:val="bottom"/>
          </w:tcPr>
          <w:p w:rsidR="00B63AAB" w:rsidRPr="00AC36A1" w:rsidRDefault="00B63AAB" w:rsidP="00B63AAB">
            <w:pPr>
              <w:tabs>
                <w:tab w:val="left" w:pos="288"/>
                <w:tab w:val="left" w:pos="576"/>
                <w:tab w:val="left" w:pos="864"/>
                <w:tab w:val="left" w:pos="1152"/>
              </w:tabs>
              <w:spacing w:before="40" w:after="40" w:line="210" w:lineRule="exact"/>
              <w:ind w:right="40"/>
              <w:rPr>
                <w:sz w:val="17"/>
              </w:rPr>
            </w:pPr>
            <w:r w:rsidRPr="00AC36A1">
              <w:rPr>
                <w:sz w:val="17"/>
              </w:rPr>
              <w:t>2013</w:t>
            </w:r>
          </w:p>
        </w:tc>
        <w:tc>
          <w:tcPr>
            <w:tcW w:w="1830" w:type="dxa"/>
            <w:shd w:val="clear" w:color="auto" w:fill="auto"/>
            <w:vAlign w:val="bottom"/>
          </w:tcPr>
          <w:p w:rsidR="00B63AAB" w:rsidRPr="00AC36A1" w:rsidRDefault="00B63AAB" w:rsidP="00B63AAB">
            <w:pPr>
              <w:tabs>
                <w:tab w:val="left" w:pos="288"/>
                <w:tab w:val="left" w:pos="576"/>
                <w:tab w:val="left" w:pos="864"/>
                <w:tab w:val="left" w:pos="1152"/>
              </w:tabs>
              <w:spacing w:before="40" w:after="40" w:line="210" w:lineRule="exact"/>
              <w:ind w:right="43"/>
              <w:jc w:val="right"/>
              <w:rPr>
                <w:sz w:val="17"/>
              </w:rPr>
            </w:pPr>
            <w:r w:rsidRPr="00AC36A1">
              <w:rPr>
                <w:sz w:val="17"/>
              </w:rPr>
              <w:t>06</w:t>
            </w:r>
          </w:p>
        </w:tc>
        <w:tc>
          <w:tcPr>
            <w:tcW w:w="1830" w:type="dxa"/>
            <w:shd w:val="clear" w:color="auto" w:fill="auto"/>
            <w:vAlign w:val="bottom"/>
          </w:tcPr>
          <w:p w:rsidR="00B63AAB" w:rsidRPr="00AC36A1" w:rsidRDefault="00B63AAB" w:rsidP="00B63AAB">
            <w:pPr>
              <w:tabs>
                <w:tab w:val="left" w:pos="288"/>
                <w:tab w:val="left" w:pos="576"/>
                <w:tab w:val="left" w:pos="864"/>
                <w:tab w:val="left" w:pos="1152"/>
              </w:tabs>
              <w:spacing w:before="40" w:after="40" w:line="210" w:lineRule="exact"/>
              <w:ind w:right="43"/>
              <w:jc w:val="right"/>
              <w:rPr>
                <w:sz w:val="17"/>
              </w:rPr>
            </w:pPr>
            <w:r w:rsidRPr="00AC36A1">
              <w:rPr>
                <w:sz w:val="17"/>
              </w:rPr>
              <w:t>02</w:t>
            </w:r>
          </w:p>
        </w:tc>
        <w:tc>
          <w:tcPr>
            <w:tcW w:w="1830" w:type="dxa"/>
            <w:shd w:val="clear" w:color="auto" w:fill="auto"/>
            <w:vAlign w:val="bottom"/>
          </w:tcPr>
          <w:p w:rsidR="00B63AAB" w:rsidRPr="00AC36A1" w:rsidRDefault="00B63AAB" w:rsidP="00B63AAB">
            <w:pPr>
              <w:tabs>
                <w:tab w:val="left" w:pos="288"/>
                <w:tab w:val="left" w:pos="576"/>
                <w:tab w:val="left" w:pos="864"/>
                <w:tab w:val="left" w:pos="1152"/>
              </w:tabs>
              <w:spacing w:before="40" w:after="40" w:line="210" w:lineRule="exact"/>
              <w:ind w:right="43"/>
              <w:jc w:val="right"/>
              <w:rPr>
                <w:sz w:val="17"/>
              </w:rPr>
            </w:pPr>
            <w:r w:rsidRPr="00AC36A1">
              <w:rPr>
                <w:sz w:val="17"/>
              </w:rPr>
              <w:t>04</w:t>
            </w:r>
          </w:p>
        </w:tc>
      </w:tr>
      <w:tr w:rsidR="00B63AAB" w:rsidRPr="00AC36A1" w:rsidTr="00B63AAB">
        <w:tc>
          <w:tcPr>
            <w:tcW w:w="1830" w:type="dxa"/>
            <w:tcBorders>
              <w:bottom w:val="single" w:sz="4" w:space="0" w:color="auto"/>
            </w:tcBorders>
            <w:shd w:val="clear" w:color="auto" w:fill="auto"/>
            <w:vAlign w:val="bottom"/>
          </w:tcPr>
          <w:p w:rsidR="00B63AAB" w:rsidRPr="00AC36A1" w:rsidRDefault="00B63AAB" w:rsidP="00B63AAB">
            <w:pPr>
              <w:tabs>
                <w:tab w:val="left" w:pos="288"/>
                <w:tab w:val="left" w:pos="576"/>
                <w:tab w:val="left" w:pos="864"/>
                <w:tab w:val="left" w:pos="1152"/>
              </w:tabs>
              <w:spacing w:before="40" w:after="81" w:line="210" w:lineRule="exact"/>
              <w:ind w:right="40"/>
              <w:rPr>
                <w:sz w:val="17"/>
              </w:rPr>
            </w:pPr>
            <w:r w:rsidRPr="00AC36A1">
              <w:rPr>
                <w:sz w:val="17"/>
              </w:rPr>
              <w:t>2014 (up to September)</w:t>
            </w:r>
          </w:p>
        </w:tc>
        <w:tc>
          <w:tcPr>
            <w:tcW w:w="1830" w:type="dxa"/>
            <w:tcBorders>
              <w:bottom w:val="single" w:sz="4" w:space="0" w:color="auto"/>
            </w:tcBorders>
            <w:shd w:val="clear" w:color="auto" w:fill="auto"/>
            <w:vAlign w:val="bottom"/>
          </w:tcPr>
          <w:p w:rsidR="00B63AAB" w:rsidRPr="00AC36A1" w:rsidRDefault="00B63AAB" w:rsidP="00B63AAB">
            <w:pPr>
              <w:tabs>
                <w:tab w:val="left" w:pos="288"/>
                <w:tab w:val="left" w:pos="576"/>
                <w:tab w:val="left" w:pos="864"/>
                <w:tab w:val="left" w:pos="1152"/>
              </w:tabs>
              <w:spacing w:before="40" w:after="81" w:line="210" w:lineRule="exact"/>
              <w:ind w:right="43"/>
              <w:jc w:val="right"/>
              <w:rPr>
                <w:sz w:val="17"/>
              </w:rPr>
            </w:pPr>
            <w:r w:rsidRPr="00AC36A1">
              <w:rPr>
                <w:sz w:val="17"/>
              </w:rPr>
              <w:t>06</w:t>
            </w:r>
          </w:p>
        </w:tc>
        <w:tc>
          <w:tcPr>
            <w:tcW w:w="1830" w:type="dxa"/>
            <w:tcBorders>
              <w:bottom w:val="single" w:sz="4" w:space="0" w:color="auto"/>
            </w:tcBorders>
            <w:shd w:val="clear" w:color="auto" w:fill="auto"/>
            <w:vAlign w:val="bottom"/>
          </w:tcPr>
          <w:p w:rsidR="00B63AAB" w:rsidRPr="00AC36A1" w:rsidRDefault="00B63AAB" w:rsidP="00B63AAB">
            <w:pPr>
              <w:tabs>
                <w:tab w:val="left" w:pos="288"/>
                <w:tab w:val="left" w:pos="576"/>
                <w:tab w:val="left" w:pos="864"/>
                <w:tab w:val="left" w:pos="1152"/>
              </w:tabs>
              <w:spacing w:before="40" w:after="81" w:line="210" w:lineRule="exact"/>
              <w:ind w:right="43"/>
              <w:jc w:val="right"/>
              <w:rPr>
                <w:sz w:val="17"/>
              </w:rPr>
            </w:pPr>
            <w:r w:rsidRPr="00AC36A1">
              <w:rPr>
                <w:sz w:val="17"/>
              </w:rPr>
              <w:t>04</w:t>
            </w:r>
          </w:p>
        </w:tc>
        <w:tc>
          <w:tcPr>
            <w:tcW w:w="1830" w:type="dxa"/>
            <w:tcBorders>
              <w:bottom w:val="single" w:sz="4" w:space="0" w:color="auto"/>
            </w:tcBorders>
            <w:shd w:val="clear" w:color="auto" w:fill="auto"/>
            <w:vAlign w:val="bottom"/>
          </w:tcPr>
          <w:p w:rsidR="00B63AAB" w:rsidRPr="00AC36A1" w:rsidRDefault="00B63AAB" w:rsidP="00B63AAB">
            <w:pPr>
              <w:tabs>
                <w:tab w:val="left" w:pos="288"/>
                <w:tab w:val="left" w:pos="576"/>
                <w:tab w:val="left" w:pos="864"/>
                <w:tab w:val="left" w:pos="1152"/>
              </w:tabs>
              <w:spacing w:before="40" w:after="81" w:line="210" w:lineRule="exact"/>
              <w:ind w:right="43"/>
              <w:jc w:val="right"/>
              <w:rPr>
                <w:sz w:val="17"/>
              </w:rPr>
            </w:pPr>
            <w:r w:rsidRPr="00AC36A1">
              <w:rPr>
                <w:sz w:val="17"/>
              </w:rPr>
              <w:t>02</w:t>
            </w:r>
          </w:p>
        </w:tc>
      </w:tr>
      <w:tr w:rsidR="00B63AAB" w:rsidRPr="00AC36A1" w:rsidTr="00B63AAB">
        <w:tc>
          <w:tcPr>
            <w:tcW w:w="1830" w:type="dxa"/>
            <w:tcBorders>
              <w:top w:val="single" w:sz="4" w:space="0" w:color="auto"/>
              <w:bottom w:val="single" w:sz="12" w:space="0" w:color="auto"/>
            </w:tcBorders>
            <w:shd w:val="clear" w:color="auto" w:fill="auto"/>
            <w:vAlign w:val="bottom"/>
          </w:tcPr>
          <w:p w:rsidR="00B63AAB" w:rsidRPr="00AC36A1" w:rsidRDefault="00B63AAB" w:rsidP="00B63AAB">
            <w:pPr>
              <w:tabs>
                <w:tab w:val="left" w:pos="288"/>
                <w:tab w:val="left" w:pos="576"/>
                <w:tab w:val="left" w:pos="864"/>
                <w:tab w:val="left" w:pos="1152"/>
              </w:tabs>
              <w:spacing w:before="81" w:after="81" w:line="210" w:lineRule="exact"/>
              <w:ind w:right="40"/>
              <w:rPr>
                <w:b/>
                <w:sz w:val="17"/>
              </w:rPr>
            </w:pPr>
            <w:r w:rsidRPr="00AC36A1">
              <w:rPr>
                <w:b/>
                <w:sz w:val="17"/>
              </w:rPr>
              <w:tab/>
              <w:t>Total</w:t>
            </w:r>
          </w:p>
        </w:tc>
        <w:tc>
          <w:tcPr>
            <w:tcW w:w="1830" w:type="dxa"/>
            <w:tcBorders>
              <w:top w:val="single" w:sz="4" w:space="0" w:color="auto"/>
              <w:bottom w:val="single" w:sz="12" w:space="0" w:color="auto"/>
            </w:tcBorders>
            <w:shd w:val="clear" w:color="auto" w:fill="auto"/>
            <w:vAlign w:val="bottom"/>
          </w:tcPr>
          <w:p w:rsidR="00B63AAB" w:rsidRPr="00AC36A1" w:rsidRDefault="00B63AAB" w:rsidP="00B63AAB">
            <w:pPr>
              <w:tabs>
                <w:tab w:val="left" w:pos="288"/>
                <w:tab w:val="left" w:pos="576"/>
                <w:tab w:val="left" w:pos="864"/>
                <w:tab w:val="left" w:pos="1152"/>
              </w:tabs>
              <w:spacing w:before="81" w:after="81" w:line="210" w:lineRule="exact"/>
              <w:ind w:right="43"/>
              <w:jc w:val="right"/>
              <w:rPr>
                <w:b/>
                <w:sz w:val="17"/>
              </w:rPr>
            </w:pPr>
            <w:r w:rsidRPr="00AC36A1">
              <w:rPr>
                <w:b/>
                <w:sz w:val="17"/>
              </w:rPr>
              <w:t>60</w:t>
            </w:r>
          </w:p>
        </w:tc>
        <w:tc>
          <w:tcPr>
            <w:tcW w:w="1830" w:type="dxa"/>
            <w:tcBorders>
              <w:top w:val="single" w:sz="4" w:space="0" w:color="auto"/>
              <w:bottom w:val="single" w:sz="12" w:space="0" w:color="auto"/>
            </w:tcBorders>
            <w:shd w:val="clear" w:color="auto" w:fill="auto"/>
            <w:vAlign w:val="bottom"/>
          </w:tcPr>
          <w:p w:rsidR="00B63AAB" w:rsidRPr="00AC36A1" w:rsidRDefault="00B63AAB" w:rsidP="00B63AAB">
            <w:pPr>
              <w:tabs>
                <w:tab w:val="left" w:pos="288"/>
                <w:tab w:val="left" w:pos="576"/>
                <w:tab w:val="left" w:pos="864"/>
                <w:tab w:val="left" w:pos="1152"/>
              </w:tabs>
              <w:spacing w:before="81" w:after="81" w:line="210" w:lineRule="exact"/>
              <w:ind w:right="43"/>
              <w:jc w:val="right"/>
              <w:rPr>
                <w:b/>
                <w:sz w:val="17"/>
              </w:rPr>
            </w:pPr>
            <w:r w:rsidRPr="00AC36A1">
              <w:rPr>
                <w:b/>
                <w:sz w:val="17"/>
              </w:rPr>
              <w:t>30</w:t>
            </w:r>
          </w:p>
        </w:tc>
        <w:tc>
          <w:tcPr>
            <w:tcW w:w="1830" w:type="dxa"/>
            <w:tcBorders>
              <w:top w:val="single" w:sz="4" w:space="0" w:color="auto"/>
              <w:bottom w:val="single" w:sz="12" w:space="0" w:color="auto"/>
            </w:tcBorders>
            <w:shd w:val="clear" w:color="auto" w:fill="auto"/>
            <w:vAlign w:val="bottom"/>
          </w:tcPr>
          <w:p w:rsidR="00B63AAB" w:rsidRPr="00AC36A1" w:rsidRDefault="00B63AAB" w:rsidP="00B63AAB">
            <w:pPr>
              <w:tabs>
                <w:tab w:val="left" w:pos="288"/>
                <w:tab w:val="left" w:pos="576"/>
                <w:tab w:val="left" w:pos="864"/>
                <w:tab w:val="left" w:pos="1152"/>
              </w:tabs>
              <w:spacing w:before="81" w:after="81" w:line="210" w:lineRule="exact"/>
              <w:ind w:right="43"/>
              <w:jc w:val="right"/>
              <w:rPr>
                <w:b/>
                <w:sz w:val="17"/>
              </w:rPr>
            </w:pPr>
            <w:r w:rsidRPr="00AC36A1">
              <w:rPr>
                <w:b/>
                <w:sz w:val="17"/>
              </w:rPr>
              <w:t>30</w:t>
            </w:r>
          </w:p>
        </w:tc>
      </w:tr>
    </w:tbl>
    <w:p w:rsidR="00B63AAB" w:rsidRPr="00AC36A1" w:rsidRDefault="00B63AAB" w:rsidP="00B63AAB">
      <w:pPr>
        <w:pStyle w:val="SingleTxt"/>
        <w:spacing w:after="0" w:line="120" w:lineRule="exact"/>
        <w:rPr>
          <w:sz w:val="10"/>
        </w:rPr>
      </w:pPr>
    </w:p>
    <w:p w:rsidR="00B63AAB" w:rsidRPr="00AC36A1" w:rsidRDefault="00B63AAB" w:rsidP="00B63AAB">
      <w:pPr>
        <w:pStyle w:val="SingleTxt"/>
        <w:spacing w:after="0" w:line="120" w:lineRule="exact"/>
        <w:rPr>
          <w:sz w:val="10"/>
        </w:rPr>
      </w:pPr>
    </w:p>
    <w:p w:rsidR="00CF1DFA" w:rsidRPr="00AC36A1" w:rsidRDefault="00CF1DFA" w:rsidP="00CF1DFA">
      <w:pPr>
        <w:pStyle w:val="SingleTxt"/>
      </w:pPr>
      <w:r w:rsidRPr="00AC36A1">
        <w:t>43.</w:t>
      </w:r>
      <w:r w:rsidRPr="00AC36A1">
        <w:tab/>
        <w:t>The numbers of female victims of trafficking as reported by all police divisions was 29/44 in 2011, 02/06 in 2012,</w:t>
      </w:r>
      <w:r w:rsidR="00B63AAB" w:rsidRPr="00AC36A1">
        <w:t xml:space="preserve"> none in 2013 and 04/12 in 2014</w:t>
      </w:r>
      <w:r w:rsidRPr="00AC36A1">
        <w:t>.</w:t>
      </w:r>
      <w:r w:rsidR="00B63AAB" w:rsidRPr="00AC36A1">
        <w:rPr>
          <w:rStyle w:val="FootnoteReference"/>
        </w:rPr>
        <w:footnoteReference w:id="8"/>
      </w:r>
      <w:r w:rsidR="00B63AAB" w:rsidRPr="00AC36A1">
        <w:t xml:space="preserve"> </w:t>
      </w:r>
      <w:r w:rsidRPr="00AC36A1">
        <w:t xml:space="preserve">The above data does not indicate an increase in trafficking offences, but indicates a decline in the number of reported cases on procurement and trafficking, as well as in the number of trafficking victims in 2014 compared with 2011. Therefore, Sri Lanka appears to be on a positive track where combating trafficking is concerned. </w:t>
      </w:r>
    </w:p>
    <w:p w:rsidR="00B63AAB" w:rsidRPr="00AC36A1" w:rsidRDefault="00B63AAB" w:rsidP="00B63AAB">
      <w:pPr>
        <w:pStyle w:val="SingleTxt"/>
        <w:spacing w:after="0" w:line="120" w:lineRule="exact"/>
        <w:rPr>
          <w:sz w:val="10"/>
        </w:rPr>
      </w:pPr>
    </w:p>
    <w:p w:rsidR="00CF1DFA" w:rsidRPr="00AC36A1" w:rsidRDefault="00B63AAB" w:rsidP="00B63AAB">
      <w:pPr>
        <w:pStyle w:val="H23"/>
        <w:ind w:right="1260"/>
        <w:rPr>
          <w:i/>
        </w:rPr>
      </w:pPr>
      <w:r w:rsidRPr="00AC36A1">
        <w:tab/>
      </w:r>
      <w:r w:rsidRPr="00AC36A1">
        <w:tab/>
      </w:r>
      <w:r w:rsidR="00CF1DFA" w:rsidRPr="00AC36A1">
        <w:rPr>
          <w:i/>
        </w:rPr>
        <w:t>Ensuring the prosecution and punishment of individuals involved in trafficking</w:t>
      </w:r>
    </w:p>
    <w:p w:rsidR="00B63AAB" w:rsidRPr="00AC36A1" w:rsidRDefault="00B63AAB" w:rsidP="00B63AAB">
      <w:pPr>
        <w:pStyle w:val="SingleTxt"/>
        <w:spacing w:after="0" w:line="120" w:lineRule="exact"/>
        <w:rPr>
          <w:sz w:val="10"/>
        </w:rPr>
      </w:pPr>
    </w:p>
    <w:p w:rsidR="00CF1DFA" w:rsidRPr="00AC36A1" w:rsidRDefault="00CF1DFA" w:rsidP="00CF1DFA">
      <w:pPr>
        <w:pStyle w:val="SingleTxt"/>
      </w:pPr>
      <w:r w:rsidRPr="00AC36A1">
        <w:t>44.</w:t>
      </w:r>
      <w:r w:rsidRPr="00AC36A1">
        <w:tab/>
        <w:t xml:space="preserve">All reported cases of trafficking are investigated and prosecuted. It is significant that there have been no acquittals. The number of prosecutions for the specific offence of trafficking does not necessarily suggest that the rate of prosecutions is low, but may be explained by several factors. Though original reports of incidents may be classified as trafficking, during the course of investigations, it could transpire that the nature of the incidents warrant framing of charges for the offences of procuration or sexual exploitation of children. One of the challenges in prosecuting is that the offence of trafficking is more difficult to prove and, therefore, in the interest of securing a successful prosecution and a conviction, charges are framed for those connected, but different offences. It is relevant to note that, prior to the amendment to the Penal Code in 2006 which introduced the separate offence of trafficking, incidents of trafficking were charged under the offence of procuration or under the Brothels Ordinance. Therefore, while the fact that some cases involving trafficking may be filed under other penal provisions should not be disregarded, it is hoped that continued awareness and training programs for law enforcement authorities such as the police, will increase charges filed under the specific offence of trafficking in persons. One of the other challenges in securing prosecutions and convictions for trafficking offenders is that not all cases are reported or evidence is sometimes scarce, where victims are dissuaded from complaining in fear of reprisals. The recent establishment of a special shelter for female victims of trafficking under the M/WA is expected to provide better protection to victims, facilitating an environment more conducive to effective prosecutions. The enactment of the </w:t>
      </w:r>
      <w:r w:rsidRPr="00AC36A1">
        <w:rPr>
          <w:i/>
        </w:rPr>
        <w:t>Assistance to and Protection of Victims of Crime and Witnesses Act</w:t>
      </w:r>
      <w:r w:rsidRPr="00AC36A1">
        <w:t xml:space="preserve"> is also expected to encourage reporting of incidents and giving of evidence, thus having the potential to increase the number of prosecutions and convictions. In addition, the Police Department is in the process of finalizing a circular requiring the police divisions to submit monthly reports of trafficking offences and victims to the Criminal Records Division, as well as requiring specific reference to the offence of trafficking if same is discovered in the course of investigations into related crimes such as child abuse, before forwarding such cases to the Attorney General’s Department.</w:t>
      </w:r>
    </w:p>
    <w:p w:rsidR="00CF1DFA" w:rsidRPr="00AC36A1" w:rsidRDefault="00CF1DFA" w:rsidP="00CF1DFA">
      <w:pPr>
        <w:pStyle w:val="SingleTxt"/>
      </w:pPr>
      <w:r w:rsidRPr="00AC36A1">
        <w:t>45.</w:t>
      </w:r>
      <w:r w:rsidRPr="00AC36A1">
        <w:tab/>
        <w:t xml:space="preserve">A survey on returned and refused migrants is being conducted at the Bandaranaike International Airport by the relevant Governmental functionaries to identify victims and offenders of trafficking and channel them to the relevant authorities. </w:t>
      </w:r>
    </w:p>
    <w:p w:rsidR="00CF1DFA" w:rsidRPr="00AC36A1" w:rsidRDefault="00CF1DFA" w:rsidP="00CF1DFA">
      <w:pPr>
        <w:pStyle w:val="SingleTxt"/>
      </w:pPr>
      <w:r w:rsidRPr="00AC36A1">
        <w:t>46.</w:t>
      </w:r>
      <w:r w:rsidRPr="00AC36A1">
        <w:tab/>
        <w:t>Information dissemination and training on anti-trafficking legislation has taken place on many fronts by a variety of bodies.</w:t>
      </w:r>
    </w:p>
    <w:p w:rsidR="00B63AAB" w:rsidRPr="00AC36A1" w:rsidRDefault="00B63AAB" w:rsidP="00B63AAB">
      <w:pPr>
        <w:pStyle w:val="SingleTxt"/>
        <w:spacing w:after="0" w:line="120" w:lineRule="exact"/>
        <w:rPr>
          <w:sz w:val="10"/>
        </w:rPr>
      </w:pPr>
    </w:p>
    <w:p w:rsidR="00CF1DFA" w:rsidRPr="00AC36A1" w:rsidRDefault="00B63AAB" w:rsidP="00B63AAB">
      <w:pPr>
        <w:pStyle w:val="H4"/>
        <w:ind w:right="1260"/>
      </w:pPr>
      <w:r w:rsidRPr="00AC36A1">
        <w:tab/>
      </w:r>
      <w:r w:rsidRPr="00AC36A1">
        <w:tab/>
      </w:r>
      <w:r w:rsidR="00CF1DFA" w:rsidRPr="00AC36A1">
        <w:t xml:space="preserve">Attorney General’s Department </w:t>
      </w:r>
    </w:p>
    <w:p w:rsidR="00B63AAB" w:rsidRPr="00AC36A1" w:rsidRDefault="00B63AAB" w:rsidP="00B63AAB">
      <w:pPr>
        <w:pStyle w:val="SingleTxt"/>
        <w:spacing w:after="0" w:line="120" w:lineRule="exact"/>
        <w:rPr>
          <w:sz w:val="10"/>
        </w:rPr>
      </w:pPr>
    </w:p>
    <w:p w:rsidR="00CF1DFA" w:rsidRPr="00AC36A1" w:rsidRDefault="00CF1DFA" w:rsidP="00CF1DFA">
      <w:pPr>
        <w:pStyle w:val="SingleTxt"/>
      </w:pPr>
      <w:r w:rsidRPr="00AC36A1">
        <w:t>47.</w:t>
      </w:r>
      <w:r w:rsidRPr="00AC36A1">
        <w:tab/>
        <w:t xml:space="preserve">Since 2009, the Attorney General’s Department has enhanced its focus on prosecutions for the offence of trafficking. Two officers of the Department are members of the National Anti-Human Trafficking Task Force, the necessary cooperation and coordination is maintained with all authorities combating trafficking. The Department is also in the process of developing a database to record the number of prosecutions and convictions in Trafficking. The officers of the criminal division in the Department receive regular training on prosecutions in this area, and also act as resource persons at workshops organized to train judges as well as personnel of other relevant institutions such as the Police Department and the Immigration and Emigration Department. </w:t>
      </w:r>
    </w:p>
    <w:p w:rsidR="00B63AAB" w:rsidRPr="00AC36A1" w:rsidRDefault="00B63AAB" w:rsidP="00B63AAB">
      <w:pPr>
        <w:pStyle w:val="SingleTxt"/>
        <w:spacing w:after="0" w:line="120" w:lineRule="exact"/>
        <w:rPr>
          <w:sz w:val="10"/>
        </w:rPr>
      </w:pPr>
    </w:p>
    <w:p w:rsidR="00CF1DFA" w:rsidRPr="00AC36A1" w:rsidRDefault="00B63AAB" w:rsidP="00B63AAB">
      <w:pPr>
        <w:pStyle w:val="H4"/>
        <w:ind w:right="1260"/>
      </w:pPr>
      <w:r w:rsidRPr="00AC36A1">
        <w:tab/>
      </w:r>
      <w:r w:rsidRPr="00AC36A1">
        <w:tab/>
      </w:r>
      <w:r w:rsidR="00CF1DFA" w:rsidRPr="00AC36A1">
        <w:t xml:space="preserve">Standard Operating Procedures (SOP) on the Identification, Protection and Referral of Victims of Human Trafficking </w:t>
      </w:r>
    </w:p>
    <w:p w:rsidR="00B63AAB" w:rsidRPr="00AC36A1" w:rsidRDefault="00B63AAB" w:rsidP="00B63AAB">
      <w:pPr>
        <w:pStyle w:val="SingleTxt"/>
        <w:spacing w:after="0" w:line="120" w:lineRule="exact"/>
        <w:rPr>
          <w:sz w:val="10"/>
        </w:rPr>
      </w:pPr>
    </w:p>
    <w:p w:rsidR="00CF1DFA" w:rsidRPr="00AC36A1" w:rsidRDefault="00CF1DFA" w:rsidP="00CF1DFA">
      <w:pPr>
        <w:pStyle w:val="SingleTxt"/>
      </w:pPr>
      <w:r w:rsidRPr="00AC36A1">
        <w:t>48.</w:t>
      </w:r>
      <w:r w:rsidRPr="00AC36A1">
        <w:tab/>
        <w:t>The SOP developed by the National Anti-Human Trafficking Task Force led by the Ministry of Justice in collaboration with IOM in Sri Lanka was launched in March 2015. The SOP is a step-by-step guide to all agencies involved in the identification and provision of assistance and protection to victims of human trafficking. The development of the SOP with a special focus on rights-based approach is a significant effort to empower the victims of human trafficking and signifies the commitment of the Government to ensure identification and protection of victims of human trafficking.</w:t>
      </w:r>
    </w:p>
    <w:p w:rsidR="00B63AAB" w:rsidRPr="00AC36A1" w:rsidRDefault="00B63AAB" w:rsidP="00B63AAB">
      <w:pPr>
        <w:pStyle w:val="SingleTxt"/>
        <w:spacing w:after="0" w:line="120" w:lineRule="exact"/>
        <w:rPr>
          <w:sz w:val="10"/>
        </w:rPr>
      </w:pPr>
    </w:p>
    <w:p w:rsidR="00CF1DFA" w:rsidRPr="00AC36A1" w:rsidRDefault="00B63AAB" w:rsidP="00B63AAB">
      <w:pPr>
        <w:pStyle w:val="H4"/>
        <w:ind w:right="1260"/>
      </w:pPr>
      <w:r w:rsidRPr="00AC36A1">
        <w:tab/>
      </w:r>
      <w:r w:rsidRPr="00AC36A1">
        <w:tab/>
      </w:r>
      <w:r w:rsidR="00CF1DFA" w:rsidRPr="00AC36A1">
        <w:t xml:space="preserve">Counter-Trafficking National Database Unit </w:t>
      </w:r>
    </w:p>
    <w:p w:rsidR="00B63AAB" w:rsidRPr="00AC36A1" w:rsidRDefault="00B63AAB" w:rsidP="00B63AAB">
      <w:pPr>
        <w:pStyle w:val="SingleTxt"/>
        <w:spacing w:after="0" w:line="120" w:lineRule="exact"/>
        <w:rPr>
          <w:sz w:val="10"/>
        </w:rPr>
      </w:pPr>
    </w:p>
    <w:p w:rsidR="00CF1DFA" w:rsidRPr="00AC36A1" w:rsidRDefault="00CF1DFA" w:rsidP="00CF1DFA">
      <w:pPr>
        <w:pStyle w:val="SingleTxt"/>
      </w:pPr>
      <w:r w:rsidRPr="00AC36A1">
        <w:t>49.</w:t>
      </w:r>
      <w:r w:rsidRPr="00AC36A1">
        <w:tab/>
        <w:t>The Counter-Trafficking National Database Unit under the Police Criminal Records Division was established to serve as a central depositary of island-wide reports on trafficking in persons. Accordingly, the Unit has formulated an incident reporting form which has been sent out to all police divisions.</w:t>
      </w:r>
    </w:p>
    <w:p w:rsidR="00B63AAB" w:rsidRPr="00AC36A1" w:rsidRDefault="00B63AAB" w:rsidP="00B63AAB">
      <w:pPr>
        <w:pStyle w:val="SingleTxt"/>
        <w:spacing w:after="0" w:line="120" w:lineRule="exact"/>
        <w:rPr>
          <w:sz w:val="10"/>
        </w:rPr>
      </w:pPr>
    </w:p>
    <w:p w:rsidR="00CF1DFA" w:rsidRPr="00AC36A1" w:rsidRDefault="00B63AAB" w:rsidP="00B63AAB">
      <w:pPr>
        <w:pStyle w:val="H4"/>
        <w:ind w:right="1260"/>
      </w:pPr>
      <w:r w:rsidRPr="00AC36A1">
        <w:tab/>
      </w:r>
      <w:r w:rsidRPr="00AC36A1">
        <w:tab/>
      </w:r>
      <w:r w:rsidR="00CF1DFA" w:rsidRPr="00AC36A1">
        <w:t>National Counter-Trafficking Research Centre</w:t>
      </w:r>
    </w:p>
    <w:p w:rsidR="00B63AAB" w:rsidRPr="00AC36A1" w:rsidRDefault="00B63AAB" w:rsidP="00B63AAB">
      <w:pPr>
        <w:pStyle w:val="SingleTxt"/>
        <w:spacing w:after="0" w:line="120" w:lineRule="exact"/>
        <w:rPr>
          <w:sz w:val="10"/>
        </w:rPr>
      </w:pPr>
    </w:p>
    <w:p w:rsidR="00CF1DFA" w:rsidRPr="00AC36A1" w:rsidRDefault="00CF1DFA" w:rsidP="00CF1DFA">
      <w:pPr>
        <w:pStyle w:val="SingleTxt"/>
      </w:pPr>
      <w:r w:rsidRPr="00AC36A1">
        <w:t>50.</w:t>
      </w:r>
      <w:r w:rsidRPr="00AC36A1">
        <w:tab/>
        <w:t>Several training activities have been carried out by the National Counter-Trafficking Research Centre at the Department of Immigration and Emigration. These activities during the reporting period were as follows:</w:t>
      </w:r>
    </w:p>
    <w:p w:rsidR="00CF1DFA" w:rsidRPr="00AC36A1" w:rsidRDefault="00422429" w:rsidP="00422429">
      <w:pPr>
        <w:pStyle w:val="SingleTxt"/>
        <w:tabs>
          <w:tab w:val="right" w:pos="1685"/>
        </w:tabs>
        <w:ind w:left="1742" w:hanging="475"/>
      </w:pPr>
      <w:r w:rsidRPr="00AC36A1">
        <w:tab/>
      </w:r>
      <w:r w:rsidR="00CF1DFA" w:rsidRPr="00AC36A1">
        <w:t>•</w:t>
      </w:r>
      <w:r w:rsidR="00CF1DFA" w:rsidRPr="00AC36A1">
        <w:tab/>
        <w:t>2011:- in collaboration with IOM, 50 immigration officers were trained on aspects of combating trafficking. These included apprehension of traffickers, identification of victims and coordination among stakeholders. As an integral part of this programme, 16 officers were trained on carrying out Border Surveillance Operations.</w:t>
      </w:r>
    </w:p>
    <w:p w:rsidR="00CF1DFA" w:rsidRPr="00AC36A1" w:rsidRDefault="00422429" w:rsidP="00422429">
      <w:pPr>
        <w:pStyle w:val="SingleTxt"/>
        <w:tabs>
          <w:tab w:val="right" w:pos="1685"/>
        </w:tabs>
        <w:ind w:left="1742" w:hanging="475"/>
      </w:pPr>
      <w:r w:rsidRPr="00AC36A1">
        <w:tab/>
      </w:r>
      <w:r w:rsidR="00CF1DFA" w:rsidRPr="00AC36A1">
        <w:t>•</w:t>
      </w:r>
      <w:r w:rsidR="00CF1DFA" w:rsidRPr="00AC36A1">
        <w:tab/>
        <w:t>2012:- The Centre coordinated the following programmes:</w:t>
      </w:r>
    </w:p>
    <w:p w:rsidR="00CF1DFA" w:rsidRPr="00AC36A1" w:rsidRDefault="00422429" w:rsidP="00422429">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AC36A1">
        <w:tab/>
      </w:r>
      <w:r w:rsidR="00CF1DFA" w:rsidRPr="00AC36A1">
        <w:t>•</w:t>
      </w:r>
      <w:r w:rsidR="00CF1DFA" w:rsidRPr="00AC36A1">
        <w:tab/>
        <w:t xml:space="preserve">An ILO-sponsored Diploma Program on </w:t>
      </w:r>
      <w:r w:rsidR="00CF1DFA" w:rsidRPr="00AC36A1">
        <w:rPr>
          <w:i/>
        </w:rPr>
        <w:t>Migration Studies</w:t>
      </w:r>
      <w:r w:rsidR="00CF1DFA" w:rsidRPr="00AC36A1">
        <w:t xml:space="preserve"> conducted in partnership with the Bandaranaike Centre for International Studies, at which 21 immigration officers successfully completed the diploma course. </w:t>
      </w:r>
    </w:p>
    <w:p w:rsidR="00CF1DFA" w:rsidRPr="00AC36A1" w:rsidRDefault="00422429" w:rsidP="00422429">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AC36A1">
        <w:tab/>
      </w:r>
      <w:r w:rsidR="00CF1DFA" w:rsidRPr="00AC36A1">
        <w:t>•</w:t>
      </w:r>
      <w:r w:rsidR="00CF1DFA" w:rsidRPr="00AC36A1">
        <w:tab/>
        <w:t xml:space="preserve">03 ILO-sponsored one-day workshops on </w:t>
      </w:r>
      <w:r w:rsidR="00CF1DFA" w:rsidRPr="00AC36A1">
        <w:rPr>
          <w:i/>
        </w:rPr>
        <w:t>Laws, Policies, Regulations, Promotion of Regular Migration and Prevention of Trafficking in Persons</w:t>
      </w:r>
      <w:r w:rsidR="00CF1DFA" w:rsidRPr="00AC36A1">
        <w:t xml:space="preserve">, which were also sponsored by the ILO, where 100 immigration officers participated. </w:t>
      </w:r>
    </w:p>
    <w:p w:rsidR="00CF1DFA" w:rsidRPr="00AC36A1" w:rsidRDefault="00422429" w:rsidP="00422429">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AC36A1">
        <w:tab/>
      </w:r>
      <w:r w:rsidR="00CF1DFA" w:rsidRPr="00AC36A1">
        <w:t>•</w:t>
      </w:r>
      <w:r w:rsidR="00CF1DFA" w:rsidRPr="00AC36A1">
        <w:tab/>
        <w:t xml:space="preserve">A training program on </w:t>
      </w:r>
      <w:r w:rsidR="00CF1DFA" w:rsidRPr="00AC36A1">
        <w:rPr>
          <w:i/>
        </w:rPr>
        <w:t>Migration Intelligence Analysis and Reporting</w:t>
      </w:r>
      <w:r w:rsidR="00CF1DFA" w:rsidRPr="00AC36A1">
        <w:t xml:space="preserve"> conducted by the Australian Government, at which 16 officers attached to the Border Surveillance Unit were trained.</w:t>
      </w:r>
    </w:p>
    <w:p w:rsidR="00CF1DFA" w:rsidRPr="00AC36A1" w:rsidRDefault="00422429" w:rsidP="00422429">
      <w:pPr>
        <w:pStyle w:val="SingleTxt"/>
        <w:tabs>
          <w:tab w:val="right" w:pos="1685"/>
        </w:tabs>
        <w:ind w:left="1742" w:hanging="475"/>
      </w:pPr>
      <w:r w:rsidRPr="00AC36A1">
        <w:tab/>
      </w:r>
      <w:r w:rsidR="00CF1DFA" w:rsidRPr="00AC36A1">
        <w:t>•</w:t>
      </w:r>
      <w:r w:rsidR="00CF1DFA" w:rsidRPr="00AC36A1">
        <w:tab/>
        <w:t xml:space="preserve">2014:- the Centre coordinated 02 IOM sponsored one-day workshops on </w:t>
      </w:r>
      <w:r w:rsidR="00CF1DFA" w:rsidRPr="00AC36A1">
        <w:rPr>
          <w:i/>
        </w:rPr>
        <w:t>Combating Human Trafficking</w:t>
      </w:r>
      <w:r w:rsidR="00CF1DFA" w:rsidRPr="00AC36A1">
        <w:t xml:space="preserve">, with 54 immigration officers participating. </w:t>
      </w:r>
    </w:p>
    <w:p w:rsidR="00422429" w:rsidRPr="00AC36A1" w:rsidRDefault="00422429" w:rsidP="00422429">
      <w:pPr>
        <w:pStyle w:val="SingleTxt"/>
        <w:spacing w:after="0" w:line="120" w:lineRule="exact"/>
        <w:rPr>
          <w:sz w:val="10"/>
        </w:rPr>
      </w:pPr>
    </w:p>
    <w:p w:rsidR="00CF1DFA" w:rsidRPr="00AC36A1" w:rsidRDefault="00422429" w:rsidP="00422429">
      <w:pPr>
        <w:pStyle w:val="H4"/>
        <w:ind w:right="1260"/>
      </w:pPr>
      <w:r w:rsidRPr="00AC36A1">
        <w:tab/>
      </w:r>
      <w:r w:rsidRPr="00AC36A1">
        <w:tab/>
      </w:r>
      <w:r w:rsidR="00CF1DFA" w:rsidRPr="00AC36A1">
        <w:t xml:space="preserve">INGO activities </w:t>
      </w:r>
    </w:p>
    <w:p w:rsidR="00422429" w:rsidRPr="00AC36A1" w:rsidRDefault="00422429" w:rsidP="00422429">
      <w:pPr>
        <w:pStyle w:val="SingleTxt"/>
        <w:spacing w:after="0" w:line="120" w:lineRule="exact"/>
        <w:rPr>
          <w:sz w:val="10"/>
        </w:rPr>
      </w:pPr>
    </w:p>
    <w:p w:rsidR="00CF1DFA" w:rsidRPr="00AC36A1" w:rsidRDefault="00CF1DFA" w:rsidP="00CF1DFA">
      <w:pPr>
        <w:pStyle w:val="SingleTxt"/>
      </w:pPr>
      <w:r w:rsidRPr="00AC36A1">
        <w:t>51.</w:t>
      </w:r>
      <w:r w:rsidRPr="00AC36A1">
        <w:tab/>
        <w:t>The relevant Government departments have received significant support from IOM and ILO who have been instrumental in supporting many initiatives towards information dissemination and training on anti-trafficking measures. These are:</w:t>
      </w:r>
    </w:p>
    <w:p w:rsidR="00CF1DFA" w:rsidRPr="00AC36A1" w:rsidRDefault="00422429" w:rsidP="00422429">
      <w:pPr>
        <w:pStyle w:val="SingleTxt"/>
        <w:tabs>
          <w:tab w:val="right" w:pos="1685"/>
        </w:tabs>
        <w:ind w:left="1742" w:hanging="475"/>
      </w:pPr>
      <w:r w:rsidRPr="00AC36A1">
        <w:tab/>
      </w:r>
      <w:r w:rsidR="00CF1DFA" w:rsidRPr="00AC36A1">
        <w:t>•</w:t>
      </w:r>
      <w:r w:rsidR="00CF1DFA" w:rsidRPr="00AC36A1">
        <w:tab/>
        <w:t>Capacity</w:t>
      </w:r>
      <w:r w:rsidR="00762AAE" w:rsidRPr="00AC36A1">
        <w:t>-</w:t>
      </w:r>
      <w:r w:rsidR="00CF1DFA" w:rsidRPr="00AC36A1">
        <w:t>building programmes for law enforcement officers and officers of the Attorney General’s Department</w:t>
      </w:r>
    </w:p>
    <w:p w:rsidR="00CF1DFA" w:rsidRPr="00AC36A1" w:rsidRDefault="00422429" w:rsidP="00422429">
      <w:pPr>
        <w:pStyle w:val="SingleTxt"/>
        <w:tabs>
          <w:tab w:val="right" w:pos="1685"/>
        </w:tabs>
        <w:ind w:left="1742" w:hanging="475"/>
      </w:pPr>
      <w:r w:rsidRPr="00AC36A1">
        <w:tab/>
      </w:r>
      <w:r w:rsidR="00CF1DFA" w:rsidRPr="00AC36A1">
        <w:t>•</w:t>
      </w:r>
      <w:r w:rsidR="00CF1DFA" w:rsidRPr="00AC36A1">
        <w:tab/>
        <w:t>Awareness campaigns for the public regarding the risks and consequences of human trafficking as a method of prevention.</w:t>
      </w:r>
    </w:p>
    <w:p w:rsidR="00CF1DFA" w:rsidRPr="00AC36A1" w:rsidRDefault="00422429" w:rsidP="00422429">
      <w:pPr>
        <w:pStyle w:val="SingleTxt"/>
        <w:tabs>
          <w:tab w:val="right" w:pos="1685"/>
        </w:tabs>
        <w:ind w:left="1742" w:hanging="475"/>
      </w:pPr>
      <w:r w:rsidRPr="00AC36A1">
        <w:tab/>
      </w:r>
      <w:r w:rsidR="00CF1DFA" w:rsidRPr="00AC36A1">
        <w:t>•</w:t>
      </w:r>
      <w:r w:rsidR="00CF1DFA" w:rsidRPr="00AC36A1">
        <w:tab/>
        <w:t>Information campaigns for the public on countering irregular migration including trafficking.</w:t>
      </w:r>
    </w:p>
    <w:p w:rsidR="00CF1DFA" w:rsidRPr="00AC36A1" w:rsidRDefault="00422429" w:rsidP="00422429">
      <w:pPr>
        <w:pStyle w:val="SingleTxt"/>
        <w:tabs>
          <w:tab w:val="right" w:pos="1685"/>
        </w:tabs>
        <w:ind w:left="1742" w:hanging="475"/>
      </w:pPr>
      <w:r w:rsidRPr="00AC36A1">
        <w:tab/>
      </w:r>
      <w:r w:rsidR="00CF1DFA" w:rsidRPr="00AC36A1">
        <w:t>•</w:t>
      </w:r>
      <w:r w:rsidR="00CF1DFA" w:rsidRPr="00AC36A1">
        <w:tab/>
        <w:t>Judicial Colloquiums on the international legal developments on the subject were organized by the ILO.</w:t>
      </w:r>
    </w:p>
    <w:p w:rsidR="00CF1DFA" w:rsidRPr="00AC36A1" w:rsidRDefault="00422429" w:rsidP="00422429">
      <w:pPr>
        <w:pStyle w:val="SingleTxt"/>
        <w:tabs>
          <w:tab w:val="right" w:pos="1685"/>
        </w:tabs>
        <w:ind w:left="1742" w:hanging="475"/>
      </w:pPr>
      <w:r w:rsidRPr="00AC36A1">
        <w:tab/>
      </w:r>
      <w:r w:rsidR="00CF1DFA" w:rsidRPr="00AC36A1">
        <w:t>•</w:t>
      </w:r>
      <w:r w:rsidR="00CF1DFA" w:rsidRPr="00AC36A1">
        <w:tab/>
        <w:t xml:space="preserve">Development of Resource Manuals on the subject for the State Prosecutors in partnership with the Attorney General’s Department, as well as for the police. </w:t>
      </w:r>
    </w:p>
    <w:p w:rsidR="00CF1DFA" w:rsidRPr="00AC36A1" w:rsidRDefault="00422429" w:rsidP="00422429">
      <w:pPr>
        <w:pStyle w:val="SingleTxt"/>
        <w:tabs>
          <w:tab w:val="right" w:pos="1685"/>
        </w:tabs>
        <w:ind w:left="1742" w:hanging="475"/>
      </w:pPr>
      <w:r w:rsidRPr="00AC36A1">
        <w:tab/>
      </w:r>
      <w:r w:rsidR="00CF1DFA" w:rsidRPr="00AC36A1">
        <w:t>•</w:t>
      </w:r>
      <w:r w:rsidR="00CF1DFA" w:rsidRPr="00AC36A1">
        <w:tab/>
        <w:t xml:space="preserve">Establishment of Community Vigilance Groups in selected districts and training them to perform Watch Dog functions, as well as to monitor and investigate cases of trafficking at the village level. Consequently, several cases, victims and offenders were identified and channelled to the relevant authorities including the Police and the National Child Protection Authority. Linkages were established between these community groups and the </w:t>
      </w:r>
      <w:r w:rsidR="00CF1DFA" w:rsidRPr="00AC36A1">
        <w:rPr>
          <w:i/>
        </w:rPr>
        <w:t>Grama Niladhari</w:t>
      </w:r>
      <w:r w:rsidR="00CF1DFA" w:rsidRPr="00AC36A1">
        <w:t xml:space="preserve"> (Village Officer-appointed by the Government) divisions and the law enforcement authorities to ensure close coordination.</w:t>
      </w:r>
    </w:p>
    <w:p w:rsidR="00CF1DFA" w:rsidRPr="00AC36A1" w:rsidRDefault="00CF1DFA" w:rsidP="00CF1DFA">
      <w:pPr>
        <w:pStyle w:val="SingleTxt"/>
      </w:pPr>
      <w:r w:rsidRPr="00AC36A1">
        <w:t>52.</w:t>
      </w:r>
      <w:r w:rsidRPr="00AC36A1">
        <w:tab/>
        <w:t>Having been placed in the Tier 2 Watch List for 4 consecutive years from 2007, Sri Lanka was upgraded to Tier 2 since 2011</w:t>
      </w:r>
      <w:r w:rsidR="00422429" w:rsidRPr="00AC36A1">
        <w:t xml:space="preserve"> </w:t>
      </w:r>
      <w:r w:rsidRPr="00AC36A1">
        <w:t xml:space="preserve">in the annual TIP reports released by the U.S. State Department. Therefore, Sri Lanka is currently recognized as a country whose government is making significant efforts to comply with the minimum standards to combat trafficking. </w:t>
      </w:r>
    </w:p>
    <w:p w:rsidR="00422429" w:rsidRPr="00AC36A1" w:rsidRDefault="00422429" w:rsidP="00422429">
      <w:pPr>
        <w:pStyle w:val="SingleTxt"/>
        <w:spacing w:after="0" w:line="120" w:lineRule="exact"/>
        <w:rPr>
          <w:sz w:val="10"/>
        </w:rPr>
      </w:pPr>
    </w:p>
    <w:p w:rsidR="00CF1DFA" w:rsidRPr="00AC36A1" w:rsidRDefault="00422429" w:rsidP="00422429">
      <w:pPr>
        <w:pStyle w:val="H23"/>
        <w:ind w:right="1260"/>
        <w:rPr>
          <w:i/>
        </w:rPr>
      </w:pPr>
      <w:r w:rsidRPr="00AC36A1">
        <w:tab/>
      </w:r>
      <w:r w:rsidRPr="00AC36A1">
        <w:tab/>
      </w:r>
      <w:r w:rsidR="00CF1DFA" w:rsidRPr="00AC36A1">
        <w:rPr>
          <w:i/>
        </w:rPr>
        <w:t xml:space="preserve">Protective measures and safe homes for female victims of trafficking, including recovery measures and measures taken to address stigmatization </w:t>
      </w:r>
    </w:p>
    <w:p w:rsidR="00422429" w:rsidRPr="00AC36A1" w:rsidRDefault="00422429" w:rsidP="00422429">
      <w:pPr>
        <w:pStyle w:val="SingleTxt"/>
        <w:spacing w:after="0" w:line="120" w:lineRule="exact"/>
        <w:rPr>
          <w:i/>
          <w:sz w:val="10"/>
        </w:rPr>
      </w:pPr>
    </w:p>
    <w:p w:rsidR="00CF1DFA" w:rsidRPr="00AC36A1" w:rsidRDefault="00CF1DFA" w:rsidP="00CF1DFA">
      <w:pPr>
        <w:pStyle w:val="SingleTxt"/>
      </w:pPr>
      <w:r w:rsidRPr="00AC36A1">
        <w:t>53.</w:t>
      </w:r>
      <w:r w:rsidRPr="00AC36A1">
        <w:tab/>
        <w:t xml:space="preserve">The M/WA established a shelter for female victims of trafficking in 2013. The shelter can accommodate up to 8 persons. </w:t>
      </w:r>
    </w:p>
    <w:p w:rsidR="00422429" w:rsidRPr="00AC36A1" w:rsidRDefault="00422429" w:rsidP="00422429">
      <w:pPr>
        <w:pStyle w:val="SingleTxt"/>
        <w:spacing w:after="0" w:line="120" w:lineRule="exact"/>
        <w:rPr>
          <w:sz w:val="10"/>
        </w:rPr>
      </w:pPr>
    </w:p>
    <w:p w:rsidR="00CF1DFA" w:rsidRPr="00AC36A1" w:rsidRDefault="00422429" w:rsidP="00422429">
      <w:pPr>
        <w:pStyle w:val="H23"/>
        <w:ind w:right="1260"/>
        <w:rPr>
          <w:i/>
        </w:rPr>
      </w:pPr>
      <w:r w:rsidRPr="00AC36A1">
        <w:tab/>
      </w:r>
      <w:r w:rsidRPr="00AC36A1">
        <w:tab/>
      </w:r>
      <w:r w:rsidR="00CF1DFA" w:rsidRPr="00AC36A1">
        <w:rPr>
          <w:i/>
        </w:rPr>
        <w:t>Measures to combat trafficking through increased international, regional and bilateral cooperation with countries of origin and transit</w:t>
      </w:r>
    </w:p>
    <w:p w:rsidR="00422429" w:rsidRPr="00AC36A1" w:rsidRDefault="00422429" w:rsidP="00422429">
      <w:pPr>
        <w:pStyle w:val="SingleTxt"/>
        <w:spacing w:after="0" w:line="120" w:lineRule="exact"/>
        <w:rPr>
          <w:sz w:val="10"/>
        </w:rPr>
      </w:pPr>
    </w:p>
    <w:p w:rsidR="00CF1DFA" w:rsidRPr="00AC36A1" w:rsidRDefault="00CF1DFA" w:rsidP="00CF1DFA">
      <w:pPr>
        <w:pStyle w:val="SingleTxt"/>
      </w:pPr>
      <w:r w:rsidRPr="00AC36A1">
        <w:t>54.</w:t>
      </w:r>
      <w:r w:rsidRPr="00AC36A1">
        <w:tab/>
        <w:t xml:space="preserve">Legal and policy developments in the area of foreign employment seek to minimize the potential for trafficking. Statutory provisions contained in the Sri Lanka Bureau of Foreign Employment Act while ensuring that foreign employment is regulated, also address prevention of trafficking. For instance, all foreign employment agencies are required to be licensed and, non-compliance thereof is a penal offence. (sec. 24) Recruitment cannot be done without the approval of the Sri Lanka Bureau of Foreign Employment (SLBFE) (sec.37). The contract between the employer abroad and the local employee is required to be certified by the SLBFE and the certified contract must be registered with the Ministry of Labour of the employer’s country (sec.44). The terms of the contract are explained to the worker and the signing of the contract takes place in the presence of officials of the SLBFE. The SLBFE also has the power to inquire into complaints made by persons recruited for foreign employment (sec.51). Furthermore, by way of a decision of the Cabinet of Ministers in 2011, a minimum age of 21 years was introduced for female domestic employees sent abroad. In 2013, this age was raised to 25 and 23 years in respect of employment in the Kingdom of Saudi Arabia and other Middle Eastern countries respectively. </w:t>
      </w:r>
    </w:p>
    <w:p w:rsidR="00CF1DFA" w:rsidRPr="00AC36A1" w:rsidRDefault="00CF1DFA" w:rsidP="00CF1DFA">
      <w:pPr>
        <w:pStyle w:val="SingleTxt"/>
      </w:pPr>
      <w:r w:rsidRPr="00AC36A1">
        <w:t>55.</w:t>
      </w:r>
      <w:r w:rsidRPr="00AC36A1">
        <w:tab/>
        <w:t xml:space="preserve"> The SLBFE also carries out training and awareness programmes for foreign employment agents and public officers, and provides legal assistance to victimized employees through the legal division of the SLBFE and, where necessary, the relevant Embassies.</w:t>
      </w:r>
    </w:p>
    <w:p w:rsidR="00CF1DFA" w:rsidRPr="00AC36A1" w:rsidRDefault="00CF1DFA" w:rsidP="00CF1DFA">
      <w:pPr>
        <w:pStyle w:val="SingleTxt"/>
      </w:pPr>
      <w:r w:rsidRPr="00AC36A1">
        <w:t>56.</w:t>
      </w:r>
      <w:r w:rsidRPr="00AC36A1">
        <w:tab/>
        <w:t>Sri Lanka in its current capacity as the Chair of the ‘Colombo Process’, a Regional Consultative Process on the management of overseas employment and contractual labour for countries of origins in Asia, consisting 11 countries, has been working closely with the IOM and other partners, in order to foster ‘ethical labour recruitment practices’, ‘pre-departure orientation and empowerment’, and ‘skills and qualification recognition’, as key priorities, to ensure that contractual labour migration remains a win-win process, for labour sending and receiving countries.</w:t>
      </w:r>
    </w:p>
    <w:p w:rsidR="00422429" w:rsidRPr="00AC36A1" w:rsidRDefault="00422429" w:rsidP="00422429">
      <w:pPr>
        <w:pStyle w:val="SingleTxt"/>
        <w:spacing w:after="0" w:line="120" w:lineRule="exact"/>
        <w:rPr>
          <w:sz w:val="10"/>
        </w:rPr>
      </w:pPr>
    </w:p>
    <w:p w:rsidR="00CF1DFA" w:rsidRPr="00AC36A1" w:rsidRDefault="00422429" w:rsidP="00422429">
      <w:pPr>
        <w:pStyle w:val="H23"/>
        <w:ind w:right="1260"/>
        <w:rPr>
          <w:i/>
        </w:rPr>
      </w:pPr>
      <w:r w:rsidRPr="00AC36A1">
        <w:tab/>
      </w:r>
      <w:r w:rsidRPr="00AC36A1">
        <w:tab/>
      </w:r>
      <w:r w:rsidR="00CF1DFA" w:rsidRPr="00AC36A1">
        <w:rPr>
          <w:i/>
        </w:rPr>
        <w:t>Taking into account the Recommended Principles on Human Rights and Human Trafficking of the OHCHR in the design of policies to combat trafficking</w:t>
      </w:r>
    </w:p>
    <w:p w:rsidR="00422429" w:rsidRPr="00AC36A1" w:rsidRDefault="00422429" w:rsidP="00422429">
      <w:pPr>
        <w:pStyle w:val="SingleTxt"/>
        <w:spacing w:after="0" w:line="120" w:lineRule="exact"/>
        <w:rPr>
          <w:sz w:val="10"/>
        </w:rPr>
      </w:pPr>
    </w:p>
    <w:p w:rsidR="00CF1DFA" w:rsidRPr="00AC36A1" w:rsidRDefault="00CF1DFA" w:rsidP="00CF1DFA">
      <w:pPr>
        <w:pStyle w:val="SingleTxt"/>
      </w:pPr>
      <w:r w:rsidRPr="00AC36A1">
        <w:t>57.</w:t>
      </w:r>
      <w:r w:rsidRPr="00AC36A1">
        <w:tab/>
        <w:t xml:space="preserve">These principles continue to guide the Sri Lankan government in its policy response to trafficking. Sri Lanka’s firm commitment to combat trafficking is evident from the multi-pronged activities described above which are all aimed at preventing trafficking and prosecuting and punishing offenders and protecting victims. </w:t>
      </w:r>
    </w:p>
    <w:p w:rsidR="00422429" w:rsidRPr="00AC36A1" w:rsidRDefault="00422429" w:rsidP="00422429">
      <w:pPr>
        <w:pStyle w:val="SingleTxt"/>
        <w:spacing w:after="0" w:line="120" w:lineRule="exact"/>
        <w:rPr>
          <w:sz w:val="10"/>
        </w:rPr>
      </w:pPr>
    </w:p>
    <w:p w:rsidR="00CF1DFA" w:rsidRPr="00AC36A1" w:rsidRDefault="00422429" w:rsidP="00422429">
      <w:pPr>
        <w:pStyle w:val="H23"/>
        <w:ind w:right="1260"/>
        <w:rPr>
          <w:i/>
        </w:rPr>
      </w:pPr>
      <w:r w:rsidRPr="00AC36A1">
        <w:tab/>
      </w:r>
      <w:r w:rsidRPr="00AC36A1">
        <w:tab/>
      </w:r>
      <w:r w:rsidR="00CF1DFA" w:rsidRPr="00AC36A1">
        <w:rPr>
          <w:i/>
        </w:rPr>
        <w:t>Ratification of the Protocol to Prevent, Suppress and Punish Trafficking in Persons Especially Women and Children (Palermo Protocol), supplementing the United Nations Convention against Transnational Organized Crime.</w:t>
      </w:r>
    </w:p>
    <w:p w:rsidR="00422429" w:rsidRPr="00AC36A1" w:rsidRDefault="00422429" w:rsidP="00422429">
      <w:pPr>
        <w:pStyle w:val="SingleTxt"/>
        <w:spacing w:after="0" w:line="120" w:lineRule="exact"/>
        <w:rPr>
          <w:sz w:val="10"/>
        </w:rPr>
      </w:pPr>
    </w:p>
    <w:p w:rsidR="00CF1DFA" w:rsidRPr="00AC36A1" w:rsidRDefault="00CF1DFA" w:rsidP="00CF1DFA">
      <w:pPr>
        <w:pStyle w:val="SingleTxt"/>
      </w:pPr>
      <w:r w:rsidRPr="00AC36A1">
        <w:t>58.</w:t>
      </w:r>
      <w:r w:rsidRPr="00AC36A1">
        <w:tab/>
        <w:t>The consultation process for the ratification of the Protocol is underway.</w:t>
      </w:r>
    </w:p>
    <w:p w:rsidR="00422429" w:rsidRPr="00AC36A1" w:rsidRDefault="00422429" w:rsidP="00422429">
      <w:pPr>
        <w:pStyle w:val="SingleTxt"/>
        <w:spacing w:after="0" w:line="120" w:lineRule="exact"/>
        <w:rPr>
          <w:sz w:val="10"/>
        </w:rPr>
      </w:pPr>
    </w:p>
    <w:p w:rsidR="00CF1DFA" w:rsidRPr="00AC36A1" w:rsidRDefault="00422429" w:rsidP="00422429">
      <w:pPr>
        <w:pStyle w:val="H23"/>
        <w:ind w:right="1260"/>
        <w:rPr>
          <w:i/>
        </w:rPr>
      </w:pPr>
      <w:r w:rsidRPr="00AC36A1">
        <w:tab/>
      </w:r>
      <w:r w:rsidRPr="00AC36A1">
        <w:tab/>
      </w:r>
      <w:r w:rsidR="00CF1DFA" w:rsidRPr="00AC36A1">
        <w:rPr>
          <w:i/>
        </w:rPr>
        <w:t xml:space="preserve">Arrest by the police of sex workers on the street, under the provisions of the Vagrants Ordinance, No.4 of 1841 </w:t>
      </w:r>
    </w:p>
    <w:p w:rsidR="00422429" w:rsidRPr="00AC36A1" w:rsidRDefault="00422429" w:rsidP="00422429">
      <w:pPr>
        <w:pStyle w:val="SingleTxt"/>
        <w:spacing w:after="0" w:line="120" w:lineRule="exact"/>
        <w:rPr>
          <w:sz w:val="10"/>
        </w:rPr>
      </w:pPr>
    </w:p>
    <w:p w:rsidR="00CF1DFA" w:rsidRPr="00AC36A1" w:rsidRDefault="00CF1DFA" w:rsidP="00CF1DFA">
      <w:pPr>
        <w:pStyle w:val="SingleTxt"/>
      </w:pPr>
      <w:r w:rsidRPr="00AC36A1">
        <w:t>59.</w:t>
      </w:r>
      <w:r w:rsidRPr="00AC36A1">
        <w:tab/>
        <w:t>Quantitative data on the number of island wide raids conducted during the period 2011-2014 under section 7 of the Vagrants Ordinance indicates that the number of raids is evidently more in certain main cities and tourist areas. There is no correlation between these data and quantitative data on the number of arrests made. While both female and male sex workers are arrested under section 7, the numbers in the first category constitute over 90 per cent of all arrests. Since (i) there is an estimated number of over 40,000 commercial sex workers in Sri Lanka compared with the number of arrests, (ii) there is no discernible increase in the number of arrests over the years and (iii) there is little or no difference in the ratio of arrests to prosecutions/convictions, it is clear that arrests by police are not done in an arbitrary manner. Even in the external review on Sri Lanka’s response to HIV and STIs (2011), it was noted that there is an effort through education of the police to reduce harassment and arbitrary arrest of sex workers under the vagrancy law.</w:t>
      </w:r>
    </w:p>
    <w:p w:rsidR="00422429" w:rsidRPr="00AC36A1" w:rsidRDefault="00422429" w:rsidP="00422429">
      <w:pPr>
        <w:pStyle w:val="SingleTxt"/>
        <w:spacing w:after="0" w:line="120" w:lineRule="exact"/>
        <w:rPr>
          <w:sz w:val="10"/>
        </w:rPr>
      </w:pPr>
    </w:p>
    <w:p w:rsidR="00CF1DFA" w:rsidRPr="00AC36A1" w:rsidRDefault="00422429" w:rsidP="00422429">
      <w:pPr>
        <w:pStyle w:val="H23"/>
        <w:ind w:right="1260"/>
      </w:pPr>
      <w:r w:rsidRPr="00AC36A1">
        <w:tab/>
      </w:r>
      <w:r w:rsidRPr="00AC36A1">
        <w:tab/>
      </w:r>
      <w:r w:rsidR="00CF1DFA" w:rsidRPr="00AC36A1">
        <w:t>Participation in political and public life [Paragraph 31]</w:t>
      </w:r>
    </w:p>
    <w:p w:rsidR="00422429" w:rsidRPr="00AC36A1" w:rsidRDefault="00422429" w:rsidP="00422429">
      <w:pPr>
        <w:pStyle w:val="SingleTxt"/>
        <w:spacing w:after="0" w:line="120" w:lineRule="exact"/>
        <w:rPr>
          <w:sz w:val="10"/>
        </w:rPr>
      </w:pPr>
    </w:p>
    <w:p w:rsidR="00CF1DFA" w:rsidRPr="00AC36A1" w:rsidRDefault="00422429" w:rsidP="00422429">
      <w:pPr>
        <w:pStyle w:val="H23"/>
        <w:ind w:right="1260"/>
        <w:rPr>
          <w:i/>
        </w:rPr>
      </w:pPr>
      <w:r w:rsidRPr="00AC36A1">
        <w:tab/>
      </w:r>
      <w:r w:rsidRPr="00AC36A1">
        <w:tab/>
      </w:r>
      <w:r w:rsidR="00CF1DFA" w:rsidRPr="00AC36A1">
        <w:rPr>
          <w:i/>
        </w:rPr>
        <w:t>Measures to increase representation in political and public life</w:t>
      </w:r>
    </w:p>
    <w:p w:rsidR="00422429" w:rsidRPr="00AC36A1" w:rsidRDefault="00422429" w:rsidP="00422429">
      <w:pPr>
        <w:pStyle w:val="SingleTxt"/>
        <w:spacing w:after="0" w:line="120" w:lineRule="exact"/>
        <w:rPr>
          <w:sz w:val="10"/>
        </w:rPr>
      </w:pPr>
    </w:p>
    <w:p w:rsidR="00CF1DFA" w:rsidRPr="00AC36A1" w:rsidRDefault="00CF1DFA" w:rsidP="00CF1DFA">
      <w:pPr>
        <w:pStyle w:val="SingleTxt"/>
      </w:pPr>
      <w:r w:rsidRPr="00AC36A1">
        <w:t>60.</w:t>
      </w:r>
      <w:r w:rsidRPr="00AC36A1">
        <w:tab/>
        <w:t>A Women’s Caucus was established in Parliament in 2006 comprising women Parliamentarians. It is a group that works towards promoting women’s political participation and safeguarding women’s rights and gender equality. The Work Plan of the Caucus includes pr</w:t>
      </w:r>
      <w:r w:rsidR="00422429" w:rsidRPr="00AC36A1">
        <w:t>oposals to</w:t>
      </w:r>
      <w:r w:rsidRPr="00AC36A1">
        <w:t>:</w:t>
      </w:r>
    </w:p>
    <w:p w:rsidR="00CF1DFA" w:rsidRPr="00AC36A1" w:rsidRDefault="00422429" w:rsidP="00CF1DFA">
      <w:pPr>
        <w:pStyle w:val="SingleTxt"/>
      </w:pPr>
      <w:r w:rsidRPr="00AC36A1">
        <w:tab/>
      </w:r>
      <w:r w:rsidR="00CF1DFA" w:rsidRPr="00AC36A1">
        <w:t>a)</w:t>
      </w:r>
      <w:r w:rsidR="00CF1DFA" w:rsidRPr="00AC36A1">
        <w:tab/>
        <w:t xml:space="preserve">make it mandatory to have a minimum of 25 per cent women’s representation in nominations to Local Government Authorities. </w:t>
      </w:r>
    </w:p>
    <w:p w:rsidR="00CF1DFA" w:rsidRPr="00AC36A1" w:rsidRDefault="00422429" w:rsidP="00CF1DFA">
      <w:pPr>
        <w:pStyle w:val="SingleTxt"/>
      </w:pPr>
      <w:r w:rsidRPr="00AC36A1">
        <w:tab/>
      </w:r>
      <w:r w:rsidR="00CF1DFA" w:rsidRPr="00AC36A1">
        <w:t>b)</w:t>
      </w:r>
      <w:r w:rsidR="00CF1DFA" w:rsidRPr="00AC36A1">
        <w:tab/>
        <w:t>increase women’s contribution through representation in the political process with a minimum of 30 per cent increase in female representation in Parliament, Provincial Councils and Local Government bodies.</w:t>
      </w:r>
    </w:p>
    <w:p w:rsidR="00CF1DFA" w:rsidRPr="00AC36A1" w:rsidRDefault="00CF1DFA" w:rsidP="00CF1DFA">
      <w:pPr>
        <w:pStyle w:val="SingleTxt"/>
      </w:pPr>
      <w:r w:rsidRPr="00AC36A1">
        <w:t>61.</w:t>
      </w:r>
      <w:r w:rsidRPr="00AC36A1">
        <w:tab/>
        <w:t>Most political parties have their own women’s wing which mobilizes the female constituents during election time and recruits women to the party.</w:t>
      </w:r>
    </w:p>
    <w:p w:rsidR="00CF1DFA" w:rsidRPr="00AC36A1" w:rsidRDefault="00CF1DFA" w:rsidP="00CF1DFA">
      <w:pPr>
        <w:pStyle w:val="SingleTxt"/>
      </w:pPr>
      <w:r w:rsidRPr="00AC36A1">
        <w:t>62.</w:t>
      </w:r>
      <w:r w:rsidRPr="00AC36A1">
        <w:tab/>
        <w:t xml:space="preserve">The Local Authority Elections (Amendment) Act No. 22 of 2012 introduced a new section 28(2B) to provide that 25 per cent of the nominees for an election </w:t>
      </w:r>
      <w:r w:rsidRPr="00AC36A1">
        <w:rPr>
          <w:i/>
        </w:rPr>
        <w:t>may</w:t>
      </w:r>
      <w:r w:rsidRPr="00AC36A1">
        <w:t xml:space="preserve"> consist of women and youth. The use of the term “</w:t>
      </w:r>
      <w:r w:rsidRPr="00AC36A1">
        <w:rPr>
          <w:i/>
        </w:rPr>
        <w:t>may</w:t>
      </w:r>
      <w:r w:rsidRPr="00AC36A1">
        <w:t>” however, although drawing attention in a statute itself to the need for due representation of women and youth, does not recognize such representation as being mandatory.</w:t>
      </w:r>
    </w:p>
    <w:p w:rsidR="00422429" w:rsidRPr="00AC36A1" w:rsidRDefault="00422429" w:rsidP="00422429">
      <w:pPr>
        <w:pStyle w:val="SingleTxt"/>
        <w:spacing w:after="0" w:line="120" w:lineRule="exact"/>
        <w:rPr>
          <w:sz w:val="10"/>
        </w:rPr>
      </w:pPr>
    </w:p>
    <w:p w:rsidR="00CF1DFA" w:rsidRPr="00AC36A1" w:rsidRDefault="00422429" w:rsidP="00422429">
      <w:pPr>
        <w:pStyle w:val="H23"/>
        <w:ind w:right="1260"/>
        <w:rPr>
          <w:i/>
        </w:rPr>
      </w:pPr>
      <w:r w:rsidRPr="00AC36A1">
        <w:tab/>
      </w:r>
      <w:r w:rsidRPr="00AC36A1">
        <w:tab/>
      </w:r>
      <w:r w:rsidR="00CF1DFA" w:rsidRPr="00AC36A1">
        <w:rPr>
          <w:i/>
        </w:rPr>
        <w:t>Pursue sustained policies to promote representation of women in decision making in all areas of public, political and professional life</w:t>
      </w:r>
    </w:p>
    <w:p w:rsidR="00422429" w:rsidRPr="00AC36A1" w:rsidRDefault="00422429" w:rsidP="00422429">
      <w:pPr>
        <w:pStyle w:val="SingleTxt"/>
        <w:spacing w:after="0" w:line="120" w:lineRule="exact"/>
        <w:rPr>
          <w:sz w:val="10"/>
        </w:rPr>
      </w:pPr>
    </w:p>
    <w:p w:rsidR="00CF1DFA" w:rsidRPr="00AC36A1" w:rsidRDefault="00CF1DFA" w:rsidP="00CF1DFA">
      <w:pPr>
        <w:pStyle w:val="SingleTxt"/>
      </w:pPr>
      <w:r w:rsidRPr="00AC36A1">
        <w:t>63.</w:t>
      </w:r>
      <w:r w:rsidRPr="00AC36A1">
        <w:tab/>
        <w:t xml:space="preserve">Since 2012 the M/WA has been conducting a one year Diploma course on political participation of women at grass roots level to motivate women to enter politics. The training programmes have been completed covering nearly 200 women leaders including Tamil women. Many other advocacy, awareness-raising and capacity building programmes have been conducted to encourage women. However, the number of women elected to Parliament and to Provincial Councils has not increased. </w:t>
      </w:r>
    </w:p>
    <w:p w:rsidR="00CF1DFA" w:rsidRPr="00AC36A1" w:rsidRDefault="00CF1DFA" w:rsidP="00CF1DFA">
      <w:pPr>
        <w:pStyle w:val="SingleTxt"/>
      </w:pPr>
      <w:r w:rsidRPr="00AC36A1">
        <w:t>64.</w:t>
      </w:r>
      <w:r w:rsidRPr="00AC36A1">
        <w:tab/>
        <w:t>A recent survey</w:t>
      </w:r>
      <w:r w:rsidR="00422429" w:rsidRPr="00AC36A1">
        <w:rPr>
          <w:rStyle w:val="FootnoteReference"/>
        </w:rPr>
        <w:footnoteReference w:id="9"/>
      </w:r>
      <w:r w:rsidRPr="00AC36A1">
        <w:t xml:space="preserve"> indicates that women are not interested in contesting elections even if given an opportunity and that politics is an area which is better suited for men. It is a fact that the current electoral system based on proportional representation poses challenges that are difficult for women to overcome. Public criticism over the existing electoral system based on proportional representation has led to discussions on potential electoral reforms. The proposed mixed electoral system is expected to reduce undue competition among contesters which would eventually encourage more women participation in politics. The conclusion of the conflict in 2009 with the defeat of terrorism and measures taken by the Government since the election of the new President, Maithripala Sirisena on 8th January 2015 for strengthening democracy, good governance and the rule of law legislative measures that would ensure the independence of institutions (including the Elections, Human Rights, Judicial Services, Police Commissions) is likely to gradually increase women’s participation in active politics. However, women participate very actively in political activities such as attending meetings, rallies, canvassing, organizing pocket meetings and a large majority have also shown to have used their franchise with great enthusiasm. </w:t>
      </w:r>
    </w:p>
    <w:p w:rsidR="00CF1DFA" w:rsidRPr="00AC36A1" w:rsidRDefault="00CF1DFA" w:rsidP="00CF1DFA">
      <w:pPr>
        <w:pStyle w:val="SingleTxt"/>
      </w:pPr>
      <w:r w:rsidRPr="00AC36A1">
        <w:t>65.</w:t>
      </w:r>
      <w:r w:rsidRPr="00AC36A1">
        <w:tab/>
        <w:t>Despite the absence of women in large numbers as elected representatives of the people, women’s access to power and decision making is on the increase. There has been a steady increase of women in the Public Service and a steady progression of women in senior positions. The number of women Judges in the higher courts has also increased. Appointments in the Public service are based on merit and seniority. Please see paragraph 3 above.</w:t>
      </w:r>
    </w:p>
    <w:p w:rsidR="00CF1DFA" w:rsidRPr="00AC36A1" w:rsidRDefault="00CF1DFA" w:rsidP="00CF1DFA">
      <w:pPr>
        <w:pStyle w:val="SingleTxt"/>
      </w:pPr>
      <w:r w:rsidRPr="00AC36A1">
        <w:t>66.</w:t>
      </w:r>
      <w:r w:rsidRPr="00AC36A1">
        <w:tab/>
        <w:t>In the field of law, there is a significant number of women in private practice as well as in the State departments including in senior positions in the Attorney General’s department. During the period under review, the following were achieved:</w:t>
      </w:r>
    </w:p>
    <w:p w:rsidR="00CF1DFA" w:rsidRPr="00AC36A1" w:rsidRDefault="00422429" w:rsidP="00CF1DFA">
      <w:pPr>
        <w:pStyle w:val="SingleTxt"/>
      </w:pPr>
      <w:r w:rsidRPr="00AC36A1">
        <w:tab/>
      </w:r>
      <w:r w:rsidR="00CF1DFA" w:rsidRPr="00AC36A1">
        <w:t>a)</w:t>
      </w:r>
      <w:r w:rsidR="00CF1DFA" w:rsidRPr="00AC36A1">
        <w:tab/>
        <w:t>The first appointment of a female Attorney General in 2011;</w:t>
      </w:r>
    </w:p>
    <w:p w:rsidR="00CF1DFA" w:rsidRPr="00AC36A1" w:rsidRDefault="00422429" w:rsidP="00422429">
      <w:pPr>
        <w:pStyle w:val="SingleTxt"/>
        <w:ind w:left="2218" w:hanging="951"/>
      </w:pPr>
      <w:r w:rsidRPr="00AC36A1">
        <w:tab/>
      </w:r>
      <w:r w:rsidRPr="00AC36A1">
        <w:tab/>
      </w:r>
      <w:r w:rsidR="00CF1DFA" w:rsidRPr="00AC36A1">
        <w:t>ii)</w:t>
      </w:r>
      <w:r w:rsidR="00CF1DFA" w:rsidRPr="00AC36A1">
        <w:tab/>
        <w:t>four women appointed to the apex court in the country, the Supreme Court of Sri Lanka, which has a total cadre of eleven;</w:t>
      </w:r>
    </w:p>
    <w:p w:rsidR="00CF1DFA" w:rsidRPr="00AC36A1" w:rsidRDefault="00422429" w:rsidP="00422429">
      <w:pPr>
        <w:pStyle w:val="SingleTxt"/>
        <w:ind w:left="2218" w:hanging="951"/>
      </w:pPr>
      <w:r w:rsidRPr="00AC36A1">
        <w:tab/>
      </w:r>
      <w:r w:rsidRPr="00AC36A1">
        <w:tab/>
      </w:r>
      <w:r w:rsidR="00CF1DFA" w:rsidRPr="00AC36A1">
        <w:t>iii)</w:t>
      </w:r>
      <w:r w:rsidR="00CF1DFA" w:rsidRPr="00AC36A1">
        <w:tab/>
        <w:t>two women appointed as Solicitor General;</w:t>
      </w:r>
    </w:p>
    <w:p w:rsidR="00CF1DFA" w:rsidRPr="00AC36A1" w:rsidRDefault="00422429" w:rsidP="00422429">
      <w:pPr>
        <w:pStyle w:val="SingleTxt"/>
        <w:ind w:left="2218" w:hanging="951"/>
      </w:pPr>
      <w:r w:rsidRPr="00AC36A1">
        <w:tab/>
      </w:r>
      <w:r w:rsidRPr="00AC36A1">
        <w:tab/>
      </w:r>
      <w:r w:rsidR="00CF1DFA" w:rsidRPr="00AC36A1">
        <w:t>iv)</w:t>
      </w:r>
      <w:r w:rsidR="00CF1DFA" w:rsidRPr="00AC36A1">
        <w:tab/>
        <w:t>two women appointed to the Court of Appeal which, in the hierarchy of courts, is a Superior Court below the Supreme Court.</w:t>
      </w:r>
    </w:p>
    <w:p w:rsidR="00422429" w:rsidRPr="00AC36A1" w:rsidRDefault="00422429" w:rsidP="00422429">
      <w:pPr>
        <w:pStyle w:val="SingleTxt"/>
        <w:spacing w:after="0" w:line="120" w:lineRule="exact"/>
        <w:rPr>
          <w:sz w:val="10"/>
        </w:rPr>
      </w:pPr>
    </w:p>
    <w:p w:rsidR="00CF1DFA" w:rsidRPr="00AC36A1" w:rsidRDefault="00422429" w:rsidP="00422429">
      <w:pPr>
        <w:pStyle w:val="H23"/>
        <w:ind w:right="1260"/>
      </w:pPr>
      <w:r w:rsidRPr="00AC36A1">
        <w:tab/>
      </w:r>
      <w:r w:rsidRPr="00AC36A1">
        <w:tab/>
      </w:r>
      <w:r w:rsidR="00CF1DFA" w:rsidRPr="00AC36A1">
        <w:t>Education [Paragraph 33]</w:t>
      </w:r>
    </w:p>
    <w:p w:rsidR="00422429" w:rsidRPr="00AC36A1" w:rsidRDefault="00422429" w:rsidP="00422429">
      <w:pPr>
        <w:pStyle w:val="SingleTxt"/>
        <w:spacing w:after="0" w:line="120" w:lineRule="exact"/>
        <w:rPr>
          <w:sz w:val="10"/>
        </w:rPr>
      </w:pPr>
    </w:p>
    <w:p w:rsidR="00CF1DFA" w:rsidRPr="00AC36A1" w:rsidRDefault="00422429" w:rsidP="00422429">
      <w:pPr>
        <w:pStyle w:val="H23"/>
        <w:ind w:right="1260"/>
        <w:rPr>
          <w:i/>
        </w:rPr>
      </w:pPr>
      <w:r w:rsidRPr="00AC36A1">
        <w:tab/>
      </w:r>
      <w:r w:rsidRPr="00AC36A1">
        <w:tab/>
      </w:r>
      <w:r w:rsidR="00CF1DFA" w:rsidRPr="00AC36A1">
        <w:rPr>
          <w:i/>
        </w:rPr>
        <w:t>Strengthen efforts to provide quality education for girls at each level of the education system and each ethnic group</w:t>
      </w:r>
    </w:p>
    <w:p w:rsidR="00422429" w:rsidRPr="00AC36A1" w:rsidRDefault="00422429" w:rsidP="00422429">
      <w:pPr>
        <w:pStyle w:val="SingleTxt"/>
        <w:spacing w:after="0" w:line="120" w:lineRule="exact"/>
        <w:rPr>
          <w:sz w:val="10"/>
        </w:rPr>
      </w:pPr>
    </w:p>
    <w:p w:rsidR="00CF1DFA" w:rsidRPr="00AC36A1" w:rsidRDefault="00CF1DFA" w:rsidP="00CF1DFA">
      <w:pPr>
        <w:pStyle w:val="SingleTxt"/>
      </w:pPr>
      <w:r w:rsidRPr="00AC36A1">
        <w:t>67.</w:t>
      </w:r>
      <w:r w:rsidRPr="00AC36A1">
        <w:tab/>
        <w:t>Sri Lanka has made progress in achieving gender equality at all levels of education. The ratio of girls to boys ‘enrolment has increased at all levels, and has reached the target of 100</w:t>
      </w:r>
      <w:r w:rsidR="00422429" w:rsidRPr="00AC36A1">
        <w:t xml:space="preserve"> per cent in secondary schools.</w:t>
      </w:r>
      <w:r w:rsidR="00422429" w:rsidRPr="00AC36A1">
        <w:rPr>
          <w:rStyle w:val="FootnoteReference"/>
        </w:rPr>
        <w:footnoteReference w:id="10"/>
      </w:r>
    </w:p>
    <w:p w:rsidR="00CF1DFA" w:rsidRPr="00AC36A1" w:rsidRDefault="00CF1DFA" w:rsidP="00CF1DFA">
      <w:pPr>
        <w:pStyle w:val="SingleTxt"/>
      </w:pPr>
      <w:r w:rsidRPr="00AC36A1">
        <w:t>68.</w:t>
      </w:r>
      <w:r w:rsidRPr="00AC36A1">
        <w:tab/>
        <w:t>The provision of quality education for girls has been deeply entrenched in the education policies of the country over a considerable period. The achievements of girls and women, stand testimony to this fact.</w:t>
      </w:r>
    </w:p>
    <w:p w:rsidR="00CF1DFA" w:rsidRPr="00AC36A1" w:rsidRDefault="00CF1DFA" w:rsidP="00CF1DFA">
      <w:pPr>
        <w:pStyle w:val="SingleTxt"/>
      </w:pPr>
      <w:r w:rsidRPr="00AC36A1">
        <w:t>69.</w:t>
      </w:r>
      <w:r w:rsidRPr="00AC36A1">
        <w:tab/>
        <w:t xml:space="preserve">Children of parents employed in the plantation sector (persons of Indian origin who were brought into Sri Lanka, then Ceylon, during colonial rule to work in tea plantation) who have had a long history of educational disadvantage, now have a high participation rate of 95 per cent in primary education. In the conflict affected North and Eastern provinces, schools have been re-opened since the conclusion of the conflict in 2009 and children including former child combatants recruited by the terrorist group (LTTE) are attending school. The rehabilitation process to increase facilities is ongoing. Female ex-child combatants whose education was disrupted by the LTTE have sat for both General Certificate of Education (GCE) Ordinary Level (O/L) and Advance Level (A/L) examinations conducted by the Department of Examination of Sri Lanka since 2009. The socio-cultural constraints of Muslim children which led to early withdrawal from school have declined but is still evident in pockets in the North West and Eastern provinces. </w:t>
      </w:r>
    </w:p>
    <w:p w:rsidR="00422429" w:rsidRPr="00AC36A1" w:rsidRDefault="00422429" w:rsidP="00422429">
      <w:pPr>
        <w:pStyle w:val="SingleTxt"/>
        <w:spacing w:after="0" w:line="120" w:lineRule="exact"/>
        <w:rPr>
          <w:sz w:val="10"/>
        </w:rPr>
      </w:pPr>
    </w:p>
    <w:p w:rsidR="00CF1DFA" w:rsidRPr="00AC36A1" w:rsidRDefault="00422429" w:rsidP="00422429">
      <w:pPr>
        <w:pStyle w:val="H23"/>
        <w:ind w:right="1260"/>
        <w:rPr>
          <w:i/>
        </w:rPr>
      </w:pPr>
      <w:r w:rsidRPr="00AC36A1">
        <w:tab/>
      </w:r>
      <w:r w:rsidRPr="00AC36A1">
        <w:tab/>
      </w:r>
      <w:r w:rsidR="00CF1DFA" w:rsidRPr="00AC36A1">
        <w:rPr>
          <w:i/>
        </w:rPr>
        <w:t>Continue efforts to overcome gender role stereotyping in the formal education</w:t>
      </w:r>
    </w:p>
    <w:p w:rsidR="00422429" w:rsidRPr="00AC36A1" w:rsidRDefault="00422429" w:rsidP="00422429">
      <w:pPr>
        <w:pStyle w:val="SingleTxt"/>
        <w:spacing w:after="0" w:line="120" w:lineRule="exact"/>
        <w:rPr>
          <w:i/>
          <w:sz w:val="10"/>
        </w:rPr>
      </w:pPr>
    </w:p>
    <w:p w:rsidR="00CF1DFA" w:rsidRPr="00AC36A1" w:rsidRDefault="00CF1DFA" w:rsidP="00CF1DFA">
      <w:pPr>
        <w:pStyle w:val="SingleTxt"/>
      </w:pPr>
      <w:r w:rsidRPr="00AC36A1">
        <w:t>70.</w:t>
      </w:r>
      <w:r w:rsidRPr="00AC36A1">
        <w:tab/>
        <w:t>Sri Lanka’s educational policies provide ample opportunities for women to pursue fields of their choice. Opportunities in the vocational training sector too are open to all irrespective of gender.</w:t>
      </w:r>
    </w:p>
    <w:p w:rsidR="00CF1DFA" w:rsidRPr="00AC36A1" w:rsidRDefault="00CF1DFA" w:rsidP="006B3919">
      <w:pPr>
        <w:pStyle w:val="SingleTxt"/>
        <w:spacing w:line="230" w:lineRule="exact"/>
      </w:pPr>
      <w:r w:rsidRPr="00AC36A1">
        <w:t>71.</w:t>
      </w:r>
      <w:r w:rsidRPr="00AC36A1">
        <w:tab/>
        <w:t>The Asian Development Bank Education Sector Development Programme (2013-2018) in Sri Lanka has its Gender Action Plan which aims to increase the participation of girls in the new Technology stream in Grades 12 and 13, develop gender sensitive training modules and capacity development plans for teachers, especially in non-traditional fields such as technology.</w:t>
      </w:r>
    </w:p>
    <w:p w:rsidR="00CF1DFA" w:rsidRPr="00AC36A1" w:rsidRDefault="00CF1DFA" w:rsidP="006B3919">
      <w:pPr>
        <w:pStyle w:val="SingleTxt"/>
        <w:spacing w:line="230" w:lineRule="exact"/>
      </w:pPr>
      <w:r w:rsidRPr="00AC36A1">
        <w:t>72.</w:t>
      </w:r>
      <w:r w:rsidRPr="00AC36A1">
        <w:tab/>
        <w:t xml:space="preserve">In Universities, female students are a majority in most streams </w:t>
      </w:r>
      <w:r w:rsidR="008435CF" w:rsidRPr="00AC36A1">
        <w:t>—</w:t>
      </w:r>
      <w:r w:rsidRPr="00AC36A1">
        <w:t xml:space="preserve"> Arts 76.7</w:t>
      </w:r>
      <w:r w:rsidR="006B5BEF" w:rsidRPr="00AC36A1">
        <w:t> </w:t>
      </w:r>
      <w:r w:rsidRPr="00AC36A1">
        <w:t xml:space="preserve">per cent; Education 85.2 per cent; Law 50.9 per cent ; Management and Commerce 55.1 per cent; Science 58.5 per cent; Agriculture 61.9 per cent; Medicine 55.8 per cent; Dental Surgery 63.5 per cent; Veterinary medicine 64.4 per cent; Architecture 51.7 per cent; Indigenous medicine 76.6 per cent Para medical 78.1 per cent, totalling to 64 per cent women in these courses. It may be noted that these courses include the sciences. It is only in the Information Technology and Engineering courses that men are in the majority, i.e.47.9 per cent of female students in Information Technology and 24 per cent of female students in Engineering. Given that women are assured complete freedom of choice, the lesser percentage of women in Engineering is not a cause for intervention. </w:t>
      </w:r>
    </w:p>
    <w:p w:rsidR="00422429" w:rsidRPr="00AC36A1" w:rsidRDefault="00422429" w:rsidP="00422429">
      <w:pPr>
        <w:pStyle w:val="SingleTxt"/>
        <w:spacing w:after="0" w:line="120" w:lineRule="exact"/>
        <w:rPr>
          <w:sz w:val="10"/>
        </w:rPr>
      </w:pPr>
    </w:p>
    <w:p w:rsidR="00CF1DFA" w:rsidRPr="00AC36A1" w:rsidRDefault="00422429" w:rsidP="00422429">
      <w:pPr>
        <w:pStyle w:val="H23"/>
        <w:ind w:right="1260"/>
      </w:pPr>
      <w:r w:rsidRPr="00AC36A1">
        <w:tab/>
      </w:r>
      <w:r w:rsidRPr="00AC36A1">
        <w:tab/>
      </w:r>
      <w:r w:rsidR="00CF1DFA" w:rsidRPr="00AC36A1">
        <w:t>Employment [Paragraph 35]</w:t>
      </w:r>
    </w:p>
    <w:p w:rsidR="00422429" w:rsidRPr="00AC36A1" w:rsidRDefault="00422429" w:rsidP="00422429">
      <w:pPr>
        <w:pStyle w:val="SingleTxt"/>
        <w:spacing w:after="0" w:line="120" w:lineRule="exact"/>
        <w:rPr>
          <w:sz w:val="10"/>
        </w:rPr>
      </w:pPr>
    </w:p>
    <w:p w:rsidR="00CF1DFA" w:rsidRPr="00AC36A1" w:rsidRDefault="00422429" w:rsidP="00422429">
      <w:pPr>
        <w:pStyle w:val="H23"/>
        <w:ind w:right="1260"/>
        <w:rPr>
          <w:i/>
        </w:rPr>
      </w:pPr>
      <w:r w:rsidRPr="00AC36A1">
        <w:tab/>
      </w:r>
      <w:r w:rsidRPr="00AC36A1">
        <w:tab/>
      </w:r>
      <w:r w:rsidR="00CF1DFA" w:rsidRPr="00AC36A1">
        <w:rPr>
          <w:i/>
        </w:rPr>
        <w:t>Ensure equal opportunities to men and women in the formal labour market through temporary special measures aimed at eliminating both horizontal and vertical occupational segregation</w:t>
      </w:r>
    </w:p>
    <w:p w:rsidR="00422429" w:rsidRPr="00AC36A1" w:rsidRDefault="00422429" w:rsidP="00422429">
      <w:pPr>
        <w:pStyle w:val="SingleTxt"/>
        <w:spacing w:after="0" w:line="120" w:lineRule="exact"/>
        <w:rPr>
          <w:sz w:val="10"/>
        </w:rPr>
      </w:pPr>
    </w:p>
    <w:p w:rsidR="00CF1DFA" w:rsidRPr="00AC36A1" w:rsidRDefault="00CF1DFA" w:rsidP="006B3919">
      <w:pPr>
        <w:pStyle w:val="SingleTxt"/>
        <w:spacing w:line="230" w:lineRule="exact"/>
      </w:pPr>
      <w:r w:rsidRPr="00AC36A1">
        <w:t>73.</w:t>
      </w:r>
      <w:r w:rsidRPr="00AC36A1">
        <w:tab/>
        <w:t>The Government recognizes that inclusive development rest on ensuring equality of opportunity in work. The government’s vision for development includes employment creation as a key factor based on knowledge and innovation economy. The main state banks, the Bank of Ceylon, Peoples’ Bank and the Regional Development Bank have given loans to over 130,000 women entrepreneurs across the country.</w:t>
      </w:r>
    </w:p>
    <w:p w:rsidR="00422429" w:rsidRPr="00AC36A1" w:rsidRDefault="00422429" w:rsidP="00422429">
      <w:pPr>
        <w:pStyle w:val="SingleTxt"/>
        <w:spacing w:after="0" w:line="120" w:lineRule="exact"/>
        <w:rPr>
          <w:sz w:val="10"/>
        </w:rPr>
      </w:pPr>
    </w:p>
    <w:p w:rsidR="00CF1DFA" w:rsidRPr="00AC36A1" w:rsidRDefault="00422429" w:rsidP="00422429">
      <w:pPr>
        <w:pStyle w:val="H23"/>
        <w:ind w:right="1260"/>
        <w:rPr>
          <w:i/>
        </w:rPr>
      </w:pPr>
      <w:r w:rsidRPr="00AC36A1">
        <w:tab/>
      </w:r>
      <w:r w:rsidRPr="00AC36A1">
        <w:rPr>
          <w:i/>
        </w:rPr>
        <w:tab/>
      </w:r>
      <w:r w:rsidR="00CF1DFA" w:rsidRPr="00AC36A1">
        <w:rPr>
          <w:i/>
        </w:rPr>
        <w:t>Women in the Labour Force</w:t>
      </w:r>
    </w:p>
    <w:p w:rsidR="00422429" w:rsidRPr="00AC36A1" w:rsidRDefault="00422429" w:rsidP="00422429">
      <w:pPr>
        <w:pStyle w:val="SingleTxt"/>
        <w:spacing w:after="0" w:line="120" w:lineRule="exact"/>
        <w:rPr>
          <w:sz w:val="10"/>
        </w:rPr>
      </w:pPr>
    </w:p>
    <w:p w:rsidR="00CF1DFA" w:rsidRPr="00AC36A1" w:rsidRDefault="00CF1DFA" w:rsidP="006B3919">
      <w:pPr>
        <w:pStyle w:val="SingleTxt"/>
        <w:spacing w:line="230" w:lineRule="exact"/>
      </w:pPr>
      <w:r w:rsidRPr="00AC36A1">
        <w:t>74.</w:t>
      </w:r>
      <w:r w:rsidRPr="00AC36A1">
        <w:tab/>
        <w:t>The economically active population of Sri Lanka was estimated to be 8.8</w:t>
      </w:r>
      <w:r w:rsidR="003D6A8B" w:rsidRPr="00AC36A1">
        <w:t> </w:t>
      </w:r>
      <w:r w:rsidRPr="00AC36A1">
        <w:t>million in 2014 of which 34.7 per cent were women and 65.3 per cent were men. Women comprised 75.1 per cent and men comprised 24.9 per cent of the economically inactive population during this period. Women’s participation in the labour force over the last two decades has remained below 40, compared to that</w:t>
      </w:r>
      <w:r w:rsidR="00422429" w:rsidRPr="00AC36A1">
        <w:t xml:space="preserve"> of men which has been over 70.</w:t>
      </w:r>
      <w:r w:rsidR="00422429" w:rsidRPr="00AC36A1">
        <w:rPr>
          <w:rStyle w:val="FootnoteReference"/>
        </w:rPr>
        <w:footnoteReference w:id="11"/>
      </w:r>
    </w:p>
    <w:p w:rsidR="00422429" w:rsidRPr="00AC36A1" w:rsidRDefault="00422429" w:rsidP="00422429">
      <w:pPr>
        <w:pStyle w:val="SingleTxt"/>
        <w:spacing w:after="0" w:line="120" w:lineRule="exact"/>
        <w:rPr>
          <w:sz w:val="10"/>
        </w:rPr>
      </w:pPr>
    </w:p>
    <w:p w:rsidR="00CF1DFA" w:rsidRPr="00AC36A1" w:rsidRDefault="00422429" w:rsidP="00422429">
      <w:pPr>
        <w:pStyle w:val="H23"/>
        <w:ind w:right="1260"/>
        <w:rPr>
          <w:b w:val="0"/>
        </w:rPr>
      </w:pPr>
      <w:r w:rsidRPr="00AC36A1">
        <w:tab/>
      </w:r>
      <w:r w:rsidRPr="00AC36A1">
        <w:tab/>
      </w:r>
      <w:r w:rsidR="00CF1DFA" w:rsidRPr="00AC36A1">
        <w:rPr>
          <w:b w:val="0"/>
        </w:rPr>
        <w:t>Table 4</w:t>
      </w:r>
    </w:p>
    <w:p w:rsidR="00CF1DFA" w:rsidRPr="00AC36A1" w:rsidRDefault="00422429" w:rsidP="00422429">
      <w:pPr>
        <w:pStyle w:val="H23"/>
        <w:ind w:right="1260"/>
      </w:pPr>
      <w:r w:rsidRPr="00AC36A1">
        <w:tab/>
      </w:r>
      <w:r w:rsidRPr="00AC36A1">
        <w:tab/>
      </w:r>
      <w:r w:rsidR="00CF1DFA" w:rsidRPr="00AC36A1">
        <w:t>Labour Force Participation Rate (LFPR)</w:t>
      </w:r>
    </w:p>
    <w:p w:rsidR="00422429" w:rsidRPr="00AC36A1" w:rsidRDefault="00422429" w:rsidP="00422429">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6B3919" w:rsidRPr="00AC36A1" w:rsidTr="006B3919">
        <w:trPr>
          <w:tblHeader/>
        </w:trPr>
        <w:tc>
          <w:tcPr>
            <w:tcW w:w="3660" w:type="dxa"/>
            <w:tcBorders>
              <w:top w:val="single" w:sz="4" w:space="0" w:color="auto"/>
              <w:bottom w:val="single" w:sz="12" w:space="0" w:color="auto"/>
            </w:tcBorders>
            <w:shd w:val="clear" w:color="auto" w:fill="auto"/>
            <w:vAlign w:val="bottom"/>
          </w:tcPr>
          <w:p w:rsidR="006B3919" w:rsidRPr="00AC36A1" w:rsidRDefault="006B3919" w:rsidP="006B3919">
            <w:pPr>
              <w:spacing w:before="81" w:after="81" w:line="160" w:lineRule="exact"/>
              <w:ind w:right="40"/>
              <w:rPr>
                <w:i/>
                <w:sz w:val="14"/>
              </w:rPr>
            </w:pPr>
            <w:r w:rsidRPr="00AC36A1">
              <w:rPr>
                <w:i/>
                <w:sz w:val="14"/>
              </w:rPr>
              <w:t>Year</w:t>
            </w:r>
          </w:p>
        </w:tc>
        <w:tc>
          <w:tcPr>
            <w:tcW w:w="3660" w:type="dxa"/>
            <w:tcBorders>
              <w:top w:val="single" w:sz="4" w:space="0" w:color="auto"/>
              <w:bottom w:val="single" w:sz="12" w:space="0" w:color="auto"/>
            </w:tcBorders>
            <w:shd w:val="clear" w:color="auto" w:fill="auto"/>
            <w:vAlign w:val="bottom"/>
          </w:tcPr>
          <w:p w:rsidR="006B3919" w:rsidRPr="00AC36A1" w:rsidRDefault="006B3919" w:rsidP="006B3919">
            <w:pPr>
              <w:spacing w:before="81" w:after="81" w:line="160" w:lineRule="exact"/>
              <w:ind w:right="43"/>
              <w:jc w:val="right"/>
              <w:rPr>
                <w:i/>
                <w:sz w:val="14"/>
              </w:rPr>
            </w:pPr>
            <w:r w:rsidRPr="00AC36A1">
              <w:rPr>
                <w:i/>
                <w:sz w:val="14"/>
              </w:rPr>
              <w:t>LFPR</w:t>
            </w:r>
            <w:r w:rsidRPr="00AC36A1">
              <w:rPr>
                <w:rStyle w:val="FootnoteReference"/>
                <w:i/>
                <w:sz w:val="14"/>
              </w:rPr>
              <w:footnoteReference w:id="12"/>
            </w:r>
            <w:r w:rsidRPr="00AC36A1">
              <w:rPr>
                <w:i/>
                <w:sz w:val="14"/>
              </w:rPr>
              <w:t>- Female %</w:t>
            </w:r>
          </w:p>
        </w:tc>
      </w:tr>
      <w:tr w:rsidR="006B3919" w:rsidRPr="00AC36A1" w:rsidTr="006B3919">
        <w:trPr>
          <w:trHeight w:hRule="exact" w:val="115"/>
          <w:tblHeader/>
        </w:trPr>
        <w:tc>
          <w:tcPr>
            <w:tcW w:w="3660" w:type="dxa"/>
            <w:tcBorders>
              <w:top w:val="single" w:sz="12" w:space="0" w:color="auto"/>
            </w:tcBorders>
            <w:shd w:val="clear" w:color="auto" w:fill="auto"/>
            <w:vAlign w:val="bottom"/>
          </w:tcPr>
          <w:p w:rsidR="006B3919" w:rsidRPr="00AC36A1" w:rsidRDefault="006B3919" w:rsidP="006B3919">
            <w:pPr>
              <w:spacing w:before="40" w:after="40" w:line="210" w:lineRule="exact"/>
              <w:ind w:right="40"/>
              <w:rPr>
                <w:sz w:val="17"/>
              </w:rPr>
            </w:pPr>
          </w:p>
        </w:tc>
        <w:tc>
          <w:tcPr>
            <w:tcW w:w="3660" w:type="dxa"/>
            <w:tcBorders>
              <w:top w:val="single" w:sz="12" w:space="0" w:color="auto"/>
            </w:tcBorders>
            <w:shd w:val="clear" w:color="auto" w:fill="auto"/>
            <w:vAlign w:val="bottom"/>
          </w:tcPr>
          <w:p w:rsidR="006B3919" w:rsidRPr="00AC36A1" w:rsidRDefault="006B3919" w:rsidP="006B3919">
            <w:pPr>
              <w:spacing w:before="40" w:after="40" w:line="210" w:lineRule="exact"/>
              <w:ind w:right="43"/>
              <w:jc w:val="right"/>
              <w:rPr>
                <w:sz w:val="17"/>
              </w:rPr>
            </w:pPr>
          </w:p>
        </w:tc>
      </w:tr>
      <w:tr w:rsidR="006B3919" w:rsidRPr="00AC36A1" w:rsidTr="006B3919">
        <w:tc>
          <w:tcPr>
            <w:tcW w:w="3660" w:type="dxa"/>
            <w:shd w:val="clear" w:color="auto" w:fill="auto"/>
            <w:vAlign w:val="bottom"/>
          </w:tcPr>
          <w:p w:rsidR="006B3919" w:rsidRPr="00AC36A1" w:rsidRDefault="006B3919" w:rsidP="006B3919">
            <w:pPr>
              <w:tabs>
                <w:tab w:val="left" w:pos="288"/>
                <w:tab w:val="left" w:pos="576"/>
                <w:tab w:val="left" w:pos="864"/>
                <w:tab w:val="left" w:pos="1152"/>
              </w:tabs>
              <w:spacing w:before="40" w:after="40" w:line="210" w:lineRule="exact"/>
              <w:ind w:right="40"/>
              <w:rPr>
                <w:sz w:val="17"/>
              </w:rPr>
            </w:pPr>
            <w:r w:rsidRPr="00AC36A1">
              <w:rPr>
                <w:sz w:val="17"/>
              </w:rPr>
              <w:t>*2014 (2nd Quarter)</w:t>
            </w:r>
          </w:p>
        </w:tc>
        <w:tc>
          <w:tcPr>
            <w:tcW w:w="3660" w:type="dxa"/>
            <w:shd w:val="clear" w:color="auto" w:fill="auto"/>
            <w:vAlign w:val="bottom"/>
          </w:tcPr>
          <w:p w:rsidR="006B3919" w:rsidRPr="00AC36A1" w:rsidRDefault="006B3919" w:rsidP="006B3919">
            <w:pPr>
              <w:tabs>
                <w:tab w:val="left" w:pos="288"/>
                <w:tab w:val="left" w:pos="576"/>
                <w:tab w:val="left" w:pos="864"/>
                <w:tab w:val="left" w:pos="1152"/>
              </w:tabs>
              <w:spacing w:before="40" w:after="40" w:line="210" w:lineRule="exact"/>
              <w:ind w:right="43"/>
              <w:jc w:val="right"/>
              <w:rPr>
                <w:sz w:val="17"/>
              </w:rPr>
            </w:pPr>
            <w:r w:rsidRPr="00AC36A1">
              <w:rPr>
                <w:sz w:val="17"/>
              </w:rPr>
              <w:t>34.7</w:t>
            </w:r>
          </w:p>
        </w:tc>
      </w:tr>
      <w:tr w:rsidR="006B3919" w:rsidRPr="00AC36A1" w:rsidTr="006B3919">
        <w:tc>
          <w:tcPr>
            <w:tcW w:w="3660" w:type="dxa"/>
            <w:shd w:val="clear" w:color="auto" w:fill="auto"/>
            <w:vAlign w:val="bottom"/>
          </w:tcPr>
          <w:p w:rsidR="006B3919" w:rsidRPr="00AC36A1" w:rsidRDefault="006B3919" w:rsidP="006B3919">
            <w:pPr>
              <w:tabs>
                <w:tab w:val="left" w:pos="288"/>
                <w:tab w:val="left" w:pos="576"/>
                <w:tab w:val="left" w:pos="864"/>
                <w:tab w:val="left" w:pos="1152"/>
              </w:tabs>
              <w:spacing w:before="40" w:after="40" w:line="210" w:lineRule="exact"/>
              <w:ind w:right="40"/>
              <w:rPr>
                <w:sz w:val="17"/>
              </w:rPr>
            </w:pPr>
            <w:r w:rsidRPr="00AC36A1">
              <w:rPr>
                <w:sz w:val="17"/>
              </w:rPr>
              <w:t>*2010</w:t>
            </w:r>
          </w:p>
        </w:tc>
        <w:tc>
          <w:tcPr>
            <w:tcW w:w="3660" w:type="dxa"/>
            <w:shd w:val="clear" w:color="auto" w:fill="auto"/>
            <w:vAlign w:val="bottom"/>
          </w:tcPr>
          <w:p w:rsidR="006B3919" w:rsidRPr="00AC36A1" w:rsidRDefault="006B3919" w:rsidP="006B3919">
            <w:pPr>
              <w:tabs>
                <w:tab w:val="left" w:pos="288"/>
                <w:tab w:val="left" w:pos="576"/>
                <w:tab w:val="left" w:pos="864"/>
                <w:tab w:val="left" w:pos="1152"/>
              </w:tabs>
              <w:spacing w:before="40" w:after="40" w:line="210" w:lineRule="exact"/>
              <w:ind w:right="43"/>
              <w:jc w:val="right"/>
              <w:rPr>
                <w:sz w:val="17"/>
              </w:rPr>
            </w:pPr>
            <w:r w:rsidRPr="00AC36A1">
              <w:rPr>
                <w:sz w:val="17"/>
              </w:rPr>
              <w:t>34.4</w:t>
            </w:r>
          </w:p>
        </w:tc>
      </w:tr>
      <w:tr w:rsidR="006B3919" w:rsidRPr="00AC36A1" w:rsidTr="006B3919">
        <w:tc>
          <w:tcPr>
            <w:tcW w:w="3660" w:type="dxa"/>
            <w:shd w:val="clear" w:color="auto" w:fill="auto"/>
            <w:vAlign w:val="bottom"/>
          </w:tcPr>
          <w:p w:rsidR="006B3919" w:rsidRPr="00AC36A1" w:rsidRDefault="006B3919" w:rsidP="006B3919">
            <w:pPr>
              <w:tabs>
                <w:tab w:val="left" w:pos="288"/>
                <w:tab w:val="left" w:pos="576"/>
                <w:tab w:val="left" w:pos="864"/>
                <w:tab w:val="left" w:pos="1152"/>
              </w:tabs>
              <w:spacing w:before="40" w:after="40" w:line="210" w:lineRule="exact"/>
              <w:ind w:right="40"/>
              <w:rPr>
                <w:sz w:val="17"/>
              </w:rPr>
            </w:pPr>
            <w:r w:rsidRPr="00AC36A1">
              <w:rPr>
                <w:sz w:val="17"/>
              </w:rPr>
              <w:t>*2006</w:t>
            </w:r>
          </w:p>
        </w:tc>
        <w:tc>
          <w:tcPr>
            <w:tcW w:w="3660" w:type="dxa"/>
            <w:shd w:val="clear" w:color="auto" w:fill="auto"/>
            <w:vAlign w:val="bottom"/>
          </w:tcPr>
          <w:p w:rsidR="006B3919" w:rsidRPr="00AC36A1" w:rsidRDefault="006B3919" w:rsidP="006B3919">
            <w:pPr>
              <w:tabs>
                <w:tab w:val="left" w:pos="288"/>
                <w:tab w:val="left" w:pos="576"/>
                <w:tab w:val="left" w:pos="864"/>
                <w:tab w:val="left" w:pos="1152"/>
              </w:tabs>
              <w:spacing w:before="40" w:after="40" w:line="210" w:lineRule="exact"/>
              <w:ind w:right="43"/>
              <w:jc w:val="right"/>
              <w:rPr>
                <w:sz w:val="17"/>
              </w:rPr>
            </w:pPr>
            <w:r w:rsidRPr="00AC36A1">
              <w:rPr>
                <w:sz w:val="17"/>
              </w:rPr>
              <w:t>39.5</w:t>
            </w:r>
          </w:p>
        </w:tc>
      </w:tr>
      <w:tr w:rsidR="006B3919" w:rsidRPr="00AC36A1" w:rsidTr="006B3919">
        <w:tc>
          <w:tcPr>
            <w:tcW w:w="3660" w:type="dxa"/>
            <w:shd w:val="clear" w:color="auto" w:fill="auto"/>
            <w:vAlign w:val="bottom"/>
          </w:tcPr>
          <w:p w:rsidR="006B3919" w:rsidRPr="00AC36A1" w:rsidRDefault="006B3919" w:rsidP="006B3919">
            <w:pPr>
              <w:tabs>
                <w:tab w:val="left" w:pos="288"/>
                <w:tab w:val="left" w:pos="576"/>
                <w:tab w:val="left" w:pos="864"/>
                <w:tab w:val="left" w:pos="1152"/>
              </w:tabs>
              <w:spacing w:before="40" w:after="40" w:line="210" w:lineRule="exact"/>
              <w:ind w:right="40"/>
              <w:rPr>
                <w:sz w:val="17"/>
              </w:rPr>
            </w:pPr>
            <w:r w:rsidRPr="00AC36A1">
              <w:rPr>
                <w:sz w:val="17"/>
              </w:rPr>
              <w:t>**2003</w:t>
            </w:r>
          </w:p>
        </w:tc>
        <w:tc>
          <w:tcPr>
            <w:tcW w:w="3660" w:type="dxa"/>
            <w:shd w:val="clear" w:color="auto" w:fill="auto"/>
            <w:vAlign w:val="bottom"/>
          </w:tcPr>
          <w:p w:rsidR="006B3919" w:rsidRPr="00AC36A1" w:rsidRDefault="006B3919" w:rsidP="006B3919">
            <w:pPr>
              <w:tabs>
                <w:tab w:val="left" w:pos="288"/>
                <w:tab w:val="left" w:pos="576"/>
                <w:tab w:val="left" w:pos="864"/>
                <w:tab w:val="left" w:pos="1152"/>
              </w:tabs>
              <w:spacing w:before="40" w:after="40" w:line="210" w:lineRule="exact"/>
              <w:ind w:right="43"/>
              <w:jc w:val="right"/>
              <w:rPr>
                <w:sz w:val="17"/>
              </w:rPr>
            </w:pPr>
            <w:r w:rsidRPr="00AC36A1">
              <w:rPr>
                <w:sz w:val="17"/>
              </w:rPr>
              <w:t>24.0</w:t>
            </w:r>
          </w:p>
        </w:tc>
      </w:tr>
      <w:tr w:rsidR="006B3919" w:rsidRPr="00AC36A1" w:rsidTr="006B3919">
        <w:tc>
          <w:tcPr>
            <w:tcW w:w="3660" w:type="dxa"/>
            <w:tcBorders>
              <w:bottom w:val="single" w:sz="12" w:space="0" w:color="auto"/>
            </w:tcBorders>
            <w:shd w:val="clear" w:color="auto" w:fill="auto"/>
            <w:vAlign w:val="bottom"/>
          </w:tcPr>
          <w:p w:rsidR="006B3919" w:rsidRPr="00AC36A1" w:rsidRDefault="006B3919" w:rsidP="006B3919">
            <w:pPr>
              <w:tabs>
                <w:tab w:val="left" w:pos="288"/>
                <w:tab w:val="left" w:pos="576"/>
                <w:tab w:val="left" w:pos="864"/>
                <w:tab w:val="left" w:pos="1152"/>
              </w:tabs>
              <w:spacing w:before="40" w:after="40" w:line="210" w:lineRule="exact"/>
              <w:ind w:right="40"/>
              <w:rPr>
                <w:sz w:val="17"/>
              </w:rPr>
            </w:pPr>
            <w:r w:rsidRPr="00AC36A1">
              <w:rPr>
                <w:sz w:val="17"/>
              </w:rPr>
              <w:t>**1996/97</w:t>
            </w:r>
          </w:p>
        </w:tc>
        <w:tc>
          <w:tcPr>
            <w:tcW w:w="3660" w:type="dxa"/>
            <w:tcBorders>
              <w:bottom w:val="single" w:sz="12" w:space="0" w:color="auto"/>
            </w:tcBorders>
            <w:shd w:val="clear" w:color="auto" w:fill="auto"/>
            <w:vAlign w:val="bottom"/>
          </w:tcPr>
          <w:p w:rsidR="006B3919" w:rsidRPr="00AC36A1" w:rsidRDefault="006B3919" w:rsidP="006B3919">
            <w:pPr>
              <w:tabs>
                <w:tab w:val="left" w:pos="288"/>
                <w:tab w:val="left" w:pos="576"/>
                <w:tab w:val="left" w:pos="864"/>
                <w:tab w:val="left" w:pos="1152"/>
              </w:tabs>
              <w:spacing w:before="40" w:after="40" w:line="210" w:lineRule="exact"/>
              <w:ind w:right="43"/>
              <w:jc w:val="right"/>
              <w:rPr>
                <w:sz w:val="17"/>
              </w:rPr>
            </w:pPr>
            <w:r w:rsidRPr="00AC36A1">
              <w:rPr>
                <w:sz w:val="17"/>
              </w:rPr>
              <w:t>27.3</w:t>
            </w:r>
          </w:p>
        </w:tc>
      </w:tr>
    </w:tbl>
    <w:p w:rsidR="006B3919" w:rsidRPr="00AC36A1" w:rsidRDefault="006B3919" w:rsidP="006B3919">
      <w:pPr>
        <w:pStyle w:val="SingleTxt"/>
        <w:spacing w:after="0" w:line="120" w:lineRule="exact"/>
        <w:rPr>
          <w:sz w:val="10"/>
        </w:rPr>
      </w:pPr>
    </w:p>
    <w:p w:rsidR="00CF1DFA" w:rsidRPr="00AC36A1" w:rsidRDefault="006B3919" w:rsidP="006B3919">
      <w:pPr>
        <w:pStyle w:val="FootnoteText"/>
        <w:tabs>
          <w:tab w:val="clear" w:pos="418"/>
          <w:tab w:val="right" w:pos="1476"/>
          <w:tab w:val="left" w:pos="1548"/>
          <w:tab w:val="right" w:pos="1836"/>
          <w:tab w:val="left" w:pos="1908"/>
        </w:tabs>
        <w:ind w:left="1548" w:right="1267" w:hanging="288"/>
      </w:pPr>
      <w:r w:rsidRPr="00AC36A1">
        <w:tab/>
      </w:r>
      <w:r w:rsidR="00CF1DFA" w:rsidRPr="00AC36A1">
        <w:t>*</w:t>
      </w:r>
      <w:r w:rsidRPr="00AC36A1">
        <w:tab/>
      </w:r>
      <w:r w:rsidR="00CF1DFA" w:rsidRPr="00AC36A1">
        <w:t xml:space="preserve">Dept. of Census and Statistics </w:t>
      </w:r>
      <w:r w:rsidRPr="00AC36A1">
        <w:t>(2014). ** Central Bank (2011).</w:t>
      </w:r>
      <w:r w:rsidRPr="00AC36A1">
        <w:rPr>
          <w:rStyle w:val="FootnoteReference"/>
        </w:rPr>
        <w:footnoteReference w:id="13"/>
      </w:r>
    </w:p>
    <w:p w:rsidR="00BF2421" w:rsidRPr="00BF2421" w:rsidRDefault="00BF2421" w:rsidP="00BF2421">
      <w:pPr>
        <w:pStyle w:val="SingleTxt"/>
        <w:spacing w:after="0" w:line="120" w:lineRule="exact"/>
        <w:rPr>
          <w:sz w:val="10"/>
        </w:rPr>
      </w:pPr>
    </w:p>
    <w:p w:rsidR="00BF2421" w:rsidRPr="00BF2421" w:rsidRDefault="00BF2421" w:rsidP="00BF2421">
      <w:pPr>
        <w:pStyle w:val="SingleTxt"/>
        <w:spacing w:after="0" w:line="120" w:lineRule="exact"/>
        <w:rPr>
          <w:sz w:val="10"/>
        </w:rPr>
      </w:pPr>
    </w:p>
    <w:p w:rsidR="00CF1DFA" w:rsidRPr="00AC36A1" w:rsidRDefault="00CF1DFA" w:rsidP="00CF1DFA">
      <w:pPr>
        <w:pStyle w:val="SingleTxt"/>
        <w:rPr>
          <w:i/>
        </w:rPr>
      </w:pPr>
      <w:r w:rsidRPr="00AC36A1">
        <w:t>75.</w:t>
      </w:r>
      <w:r w:rsidRPr="00AC36A1">
        <w:tab/>
        <w:t>Of the economically active population, women comprised 32.9 per cent in the urban sector, 34.7 per cent in the rural sector and 42.4 per cent in the estate sector. In more detail, women comprise 31.5 per cent of the labour force in the agricultural sector, 26.4 per cent in the industrial sector and 42.1 per cent of the services sector.</w:t>
      </w:r>
      <w:r w:rsidR="006B3919" w:rsidRPr="00AC36A1">
        <w:rPr>
          <w:rStyle w:val="FootnoteReference"/>
        </w:rPr>
        <w:footnoteReference w:id="14"/>
      </w:r>
      <w:r w:rsidRPr="00AC36A1">
        <w:t xml:space="preserve"> </w:t>
      </w:r>
      <w:r w:rsidRPr="00AC36A1">
        <w:rPr>
          <w:i/>
        </w:rPr>
        <w:t>More details are set out under in Part 2 of this report, under Article 11.</w:t>
      </w:r>
    </w:p>
    <w:p w:rsidR="006B3919" w:rsidRPr="00AC36A1" w:rsidRDefault="006B3919" w:rsidP="006B3919">
      <w:pPr>
        <w:pStyle w:val="SingleTxt"/>
        <w:spacing w:after="0" w:line="120" w:lineRule="exact"/>
        <w:rPr>
          <w:sz w:val="10"/>
        </w:rPr>
      </w:pPr>
    </w:p>
    <w:p w:rsidR="00CF1DFA" w:rsidRPr="00AC36A1" w:rsidRDefault="006B3919" w:rsidP="006B3919">
      <w:pPr>
        <w:pStyle w:val="H23"/>
        <w:ind w:right="1260"/>
        <w:rPr>
          <w:i/>
        </w:rPr>
      </w:pPr>
      <w:r w:rsidRPr="00AC36A1">
        <w:tab/>
      </w:r>
      <w:r w:rsidRPr="00AC36A1">
        <w:tab/>
      </w:r>
      <w:r w:rsidR="00CF1DFA" w:rsidRPr="00AC36A1">
        <w:rPr>
          <w:i/>
        </w:rPr>
        <w:t>Elaborate a Plan of Action for the protection of women working in the informal sector including women’s access to social security and other benefits</w:t>
      </w:r>
    </w:p>
    <w:p w:rsidR="006B3919" w:rsidRPr="00AC36A1" w:rsidRDefault="006B3919" w:rsidP="006B3919">
      <w:pPr>
        <w:pStyle w:val="SingleTxt"/>
        <w:spacing w:after="0" w:line="120" w:lineRule="exact"/>
        <w:rPr>
          <w:sz w:val="10"/>
        </w:rPr>
      </w:pPr>
    </w:p>
    <w:p w:rsidR="00CF1DFA" w:rsidRPr="00AC36A1" w:rsidRDefault="00CF1DFA" w:rsidP="00CF1DFA">
      <w:pPr>
        <w:pStyle w:val="SingleTxt"/>
      </w:pPr>
      <w:r w:rsidRPr="00AC36A1">
        <w:t>76.</w:t>
      </w:r>
      <w:r w:rsidRPr="00AC36A1">
        <w:tab/>
        <w:t>Funds have been allocated for a self-loan scheme for women in 2014 Budget enabling women to obtain a loan up to Rs. 250,000 for self-employment. A number of micro credit programmes have been introduced for women by the Government through state banks who may not have earlier been involved in market related work. The Sri Lanka Women’s Bureau programme 2011-2014 has included war widows and female headed families as a specific category of vulnerable women in the post war context requiring urgent economic support. Programmes have included support for livestock and animal husbandry, revolving credit schemes for income generation, technical training for women entrepreneurs, economic employment for potential migrant workers and fisheries sector women’s development. The Ministry of Labour has recognized the need to incorporate ILO convention 1889, which specifically addresses the right of domestic workers and has initiated discussions with Trade Unions and lobby groups, regarding the regularization of employment of domestic workers.</w:t>
      </w:r>
    </w:p>
    <w:p w:rsidR="00CF1DFA" w:rsidRPr="00AC36A1" w:rsidRDefault="00CF1DFA" w:rsidP="00CF1DFA">
      <w:pPr>
        <w:pStyle w:val="SingleTxt"/>
      </w:pPr>
      <w:r w:rsidRPr="00AC36A1">
        <w:t>As 23.4 per cent of households are headed by women, the Government, last month (March 2015) set up a National Committee on Female-Headed Households and a National Centre for Female Headed Households enabling female headed households to integrate with the workforce and access sustainable livelihoods.</w:t>
      </w:r>
    </w:p>
    <w:p w:rsidR="00CF1DFA" w:rsidRPr="00AC36A1" w:rsidRDefault="00CF1DFA" w:rsidP="00CF1DFA">
      <w:pPr>
        <w:pStyle w:val="SingleTxt"/>
        <w:rPr>
          <w:i/>
        </w:rPr>
      </w:pPr>
      <w:r w:rsidRPr="00AC36A1">
        <w:rPr>
          <w:i/>
        </w:rPr>
        <w:t>More details of programmes initiated for women are set out under Chapter 2 of this Report under Article 14 - “Rural Women”.</w:t>
      </w:r>
    </w:p>
    <w:p w:rsidR="006B3919" w:rsidRPr="00AC36A1" w:rsidRDefault="006B3919" w:rsidP="006B3919">
      <w:pPr>
        <w:pStyle w:val="SingleTxt"/>
        <w:spacing w:after="0" w:line="120" w:lineRule="exact"/>
        <w:rPr>
          <w:sz w:val="10"/>
        </w:rPr>
      </w:pPr>
    </w:p>
    <w:p w:rsidR="00CF1DFA" w:rsidRPr="00AC36A1" w:rsidRDefault="006B3919" w:rsidP="006B3919">
      <w:pPr>
        <w:pStyle w:val="H23"/>
        <w:ind w:right="1260"/>
        <w:rPr>
          <w:i/>
        </w:rPr>
      </w:pPr>
      <w:r w:rsidRPr="00AC36A1">
        <w:tab/>
      </w:r>
      <w:r w:rsidRPr="00AC36A1">
        <w:tab/>
      </w:r>
      <w:r w:rsidR="00CF1DFA" w:rsidRPr="00AC36A1">
        <w:rPr>
          <w:i/>
        </w:rPr>
        <w:t>Report on legislative and other measures taken to protect women from sexual harassment in the workplace</w:t>
      </w:r>
    </w:p>
    <w:p w:rsidR="006B3919" w:rsidRPr="00AC36A1" w:rsidRDefault="006B3919" w:rsidP="006B3919">
      <w:pPr>
        <w:pStyle w:val="SingleTxt"/>
        <w:spacing w:after="0" w:line="120" w:lineRule="exact"/>
        <w:rPr>
          <w:i/>
          <w:sz w:val="10"/>
        </w:rPr>
      </w:pPr>
    </w:p>
    <w:p w:rsidR="00CF1DFA" w:rsidRPr="00AC36A1" w:rsidRDefault="00CF1DFA" w:rsidP="00CF1DFA">
      <w:pPr>
        <w:pStyle w:val="SingleTxt"/>
      </w:pPr>
      <w:r w:rsidRPr="00AC36A1">
        <w:t>77.</w:t>
      </w:r>
      <w:r w:rsidRPr="00AC36A1">
        <w:tab/>
        <w:t>As has been stated in previous Reports, Sexual Harassment was criminali</w:t>
      </w:r>
      <w:r w:rsidR="006B5BEF" w:rsidRPr="00AC36A1">
        <w:t>z</w:t>
      </w:r>
      <w:r w:rsidRPr="00AC36A1">
        <w:t>ed as an offence under the Penal Code in 1995. In 2014 the M/WA initiated discussions with all other government Ministries to establish committees to address issues related to sexual harassment under the purview of an Additional Secretary of each Ministry to provide awareness to the staff, to motivate them to report such cases and to carry out investigations.</w:t>
      </w:r>
    </w:p>
    <w:p w:rsidR="00CF1DFA" w:rsidRPr="00AC36A1" w:rsidRDefault="00CF1DFA" w:rsidP="00CF1DFA">
      <w:pPr>
        <w:pStyle w:val="SingleTxt"/>
      </w:pPr>
      <w:r w:rsidRPr="00AC36A1">
        <w:t>78.</w:t>
      </w:r>
      <w:r w:rsidRPr="00AC36A1">
        <w:tab/>
        <w:t xml:space="preserve">The Ministry of Labour with the ILO and the Employers Federation of Ceylon (EFC) worked together to bring about policies and a code of conduct and guidelines for the prevention of and to respond to sexual harassment at the workplace during 2012-2014. </w:t>
      </w:r>
    </w:p>
    <w:p w:rsidR="00CF1DFA" w:rsidRPr="00AC36A1" w:rsidRDefault="00CF1DFA" w:rsidP="00CF1DFA">
      <w:pPr>
        <w:pStyle w:val="SingleTxt"/>
      </w:pPr>
      <w:r w:rsidRPr="00AC36A1">
        <w:t>79.</w:t>
      </w:r>
      <w:r w:rsidRPr="00AC36A1">
        <w:tab/>
        <w:t xml:space="preserve">The Ministry of Labour has been conducting awareness raising programmes on prevention of sexual harassment at the workplace for its own employees while EFC has conducted similar programmes with private sector institutions. </w:t>
      </w:r>
    </w:p>
    <w:p w:rsidR="00CF1DFA" w:rsidRPr="00AC36A1" w:rsidRDefault="006B3919" w:rsidP="008345D3">
      <w:pPr>
        <w:pStyle w:val="H23"/>
        <w:ind w:right="1260"/>
      </w:pPr>
      <w:r w:rsidRPr="00AC36A1">
        <w:tab/>
      </w:r>
      <w:r w:rsidRPr="00AC36A1">
        <w:tab/>
      </w:r>
      <w:r w:rsidR="00CF1DFA" w:rsidRPr="00AC36A1">
        <w:t>Health [Paragraph 37]</w:t>
      </w:r>
    </w:p>
    <w:p w:rsidR="006B3919" w:rsidRPr="00AC36A1" w:rsidRDefault="006B3919" w:rsidP="008345D3">
      <w:pPr>
        <w:pStyle w:val="SingleTxt"/>
        <w:keepNext/>
        <w:keepLines/>
        <w:spacing w:after="0" w:line="120" w:lineRule="exact"/>
        <w:rPr>
          <w:sz w:val="10"/>
        </w:rPr>
      </w:pPr>
    </w:p>
    <w:p w:rsidR="00CF1DFA" w:rsidRPr="00AC36A1" w:rsidRDefault="006B3919" w:rsidP="008345D3">
      <w:pPr>
        <w:pStyle w:val="H23"/>
        <w:ind w:right="1260"/>
        <w:rPr>
          <w:i/>
        </w:rPr>
      </w:pPr>
      <w:r w:rsidRPr="00AC36A1">
        <w:tab/>
      </w:r>
      <w:r w:rsidRPr="00AC36A1">
        <w:tab/>
      </w:r>
      <w:r w:rsidR="00CF1DFA" w:rsidRPr="00AC36A1">
        <w:rPr>
          <w:i/>
        </w:rPr>
        <w:t>Ensure that family planning and reproductive health education are widely promoted, in particular for internally displaced women and girls as well as women working in less developed and conflict-affected areas, with special attention to the prevention of early pregnancies of girls and the control of sexually transmitted diseases and HIV/AIDS</w:t>
      </w:r>
    </w:p>
    <w:p w:rsidR="006B3919" w:rsidRPr="00AC36A1" w:rsidRDefault="006B3919" w:rsidP="006B3919">
      <w:pPr>
        <w:pStyle w:val="SingleTxt"/>
        <w:spacing w:after="0" w:line="120" w:lineRule="exact"/>
        <w:rPr>
          <w:sz w:val="10"/>
        </w:rPr>
      </w:pPr>
    </w:p>
    <w:p w:rsidR="00CF1DFA" w:rsidRPr="00AC36A1" w:rsidRDefault="00CF1DFA" w:rsidP="00CF1DFA">
      <w:pPr>
        <w:pStyle w:val="SingleTxt"/>
      </w:pPr>
      <w:r w:rsidRPr="00AC36A1">
        <w:t>80.</w:t>
      </w:r>
      <w:r w:rsidRPr="00AC36A1">
        <w:tab/>
        <w:t xml:space="preserve">A comprehensive programme is being implemented by the Family Health Bureau to promote family planning and reproductive health education. This is an important component of the national health policy. </w:t>
      </w:r>
    </w:p>
    <w:p w:rsidR="006B3919" w:rsidRPr="00AC36A1" w:rsidRDefault="006B3919" w:rsidP="006B3919">
      <w:pPr>
        <w:pStyle w:val="SingleTxt"/>
        <w:spacing w:after="0" w:line="120" w:lineRule="exact"/>
        <w:rPr>
          <w:sz w:val="10"/>
        </w:rPr>
      </w:pPr>
    </w:p>
    <w:p w:rsidR="00CF1DFA" w:rsidRPr="00AC36A1" w:rsidRDefault="006B3919" w:rsidP="006B3919">
      <w:pPr>
        <w:pStyle w:val="H4"/>
        <w:ind w:right="1260"/>
      </w:pPr>
      <w:r w:rsidRPr="00AC36A1">
        <w:tab/>
      </w:r>
      <w:r w:rsidRPr="00AC36A1">
        <w:tab/>
      </w:r>
      <w:r w:rsidR="00CF1DFA" w:rsidRPr="00AC36A1">
        <w:t>More details are set out under Part 2 of this Report under Article 12 - “Health”</w:t>
      </w:r>
    </w:p>
    <w:p w:rsidR="006B3919" w:rsidRPr="00AC36A1" w:rsidRDefault="006B3919" w:rsidP="006B3919">
      <w:pPr>
        <w:pStyle w:val="SingleTxt"/>
        <w:spacing w:after="0" w:line="120" w:lineRule="exact"/>
        <w:rPr>
          <w:sz w:val="10"/>
        </w:rPr>
      </w:pPr>
    </w:p>
    <w:p w:rsidR="00CF1DFA" w:rsidRPr="00AC36A1" w:rsidRDefault="00CF1DFA" w:rsidP="00CF1DFA">
      <w:pPr>
        <w:pStyle w:val="SingleTxt"/>
      </w:pPr>
      <w:r w:rsidRPr="00AC36A1">
        <w:t>81.</w:t>
      </w:r>
      <w:r w:rsidRPr="00AC36A1">
        <w:tab/>
        <w:t>The teenage pregnancy rate (i.e. Number of teenage pregnancies as a % of the total pregnancies) has shown a decreasing trend over the last five years, 7.7 per cent</w:t>
      </w:r>
      <w:r w:rsidR="006B3919" w:rsidRPr="00AC36A1">
        <w:t xml:space="preserve"> in 2007to 5.3 per cent in 2013</w:t>
      </w:r>
      <w:r w:rsidRPr="00AC36A1">
        <w:t>.</w:t>
      </w:r>
      <w:r w:rsidR="006B3919" w:rsidRPr="00AC36A1">
        <w:rPr>
          <w:rStyle w:val="FootnoteReference"/>
        </w:rPr>
        <w:footnoteReference w:id="15"/>
      </w:r>
      <w:r w:rsidR="006B3919" w:rsidRPr="00AC36A1">
        <w:t xml:space="preserve"> </w:t>
      </w:r>
      <w:r w:rsidRPr="00AC36A1">
        <w:t xml:space="preserve">The contraceptive prevalence rate in 2013 was 64.9 per cent (modern method </w:t>
      </w:r>
      <w:r w:rsidR="008435CF" w:rsidRPr="00AC36A1">
        <w:t>—</w:t>
      </w:r>
      <w:r w:rsidRPr="00AC36A1">
        <w:t xml:space="preserve"> 55.4 per cent; traditional method </w:t>
      </w:r>
      <w:r w:rsidR="008435CF" w:rsidRPr="00AC36A1">
        <w:t>—</w:t>
      </w:r>
      <w:r w:rsidRPr="00AC36A1">
        <w:t xml:space="preserve"> 9.5 per cent)</w:t>
      </w:r>
      <w:r w:rsidR="006B3919" w:rsidRPr="00AC36A1">
        <w:rPr>
          <w:rStyle w:val="FootnoteReference"/>
        </w:rPr>
        <w:footnoteReference w:id="16"/>
      </w:r>
      <w:r w:rsidRPr="00AC36A1">
        <w:t xml:space="preserve"> and has been static over the past five years. The target rate is 72 per cent to achieve a total fertility rate of 2.1 which is regarded as the replacement level. Approximately 5 per cent increase in the use of any contraceptive method was observed from year 2007 to 2013. </w:t>
      </w:r>
    </w:p>
    <w:p w:rsidR="006B3919" w:rsidRPr="00AC36A1" w:rsidRDefault="006B3919" w:rsidP="006B3919">
      <w:pPr>
        <w:pStyle w:val="SingleTxt"/>
        <w:spacing w:after="0" w:line="120" w:lineRule="exact"/>
        <w:rPr>
          <w:sz w:val="10"/>
        </w:rPr>
      </w:pPr>
    </w:p>
    <w:p w:rsidR="00CF1DFA" w:rsidRPr="00AC36A1" w:rsidRDefault="006B3919" w:rsidP="006B3919">
      <w:pPr>
        <w:pStyle w:val="H23"/>
        <w:ind w:right="1260"/>
        <w:rPr>
          <w:i/>
        </w:rPr>
      </w:pPr>
      <w:r w:rsidRPr="00AC36A1">
        <w:tab/>
      </w:r>
      <w:r w:rsidRPr="00AC36A1">
        <w:tab/>
      </w:r>
      <w:r w:rsidR="00CF1DFA" w:rsidRPr="00AC36A1">
        <w:rPr>
          <w:i/>
        </w:rPr>
        <w:t>Reduce maternal mortality rates by identifying and addressing causes of maternal death</w:t>
      </w:r>
    </w:p>
    <w:p w:rsidR="006B3919" w:rsidRPr="00AC36A1" w:rsidRDefault="006B3919" w:rsidP="006B3919">
      <w:pPr>
        <w:pStyle w:val="SingleTxt"/>
        <w:spacing w:after="0" w:line="120" w:lineRule="exact"/>
        <w:rPr>
          <w:sz w:val="10"/>
        </w:rPr>
      </w:pPr>
    </w:p>
    <w:p w:rsidR="00CF1DFA" w:rsidRPr="00AC36A1" w:rsidRDefault="00CF1DFA" w:rsidP="006B3919">
      <w:pPr>
        <w:pStyle w:val="SingleTxt"/>
        <w:spacing w:line="230" w:lineRule="exact"/>
      </w:pPr>
      <w:r w:rsidRPr="00AC36A1">
        <w:t>82.</w:t>
      </w:r>
      <w:r w:rsidRPr="00AC36A1">
        <w:tab/>
        <w:t>The United Nations in Sri Lanka has reported that “according to the Family Health Bureau of the Ministry of Health the maternal mortality ratio has declined from 92 deaths per 100,000 live</w:t>
      </w:r>
      <w:r w:rsidR="006B3919" w:rsidRPr="00AC36A1">
        <w:t xml:space="preserve"> births in 1990 to 33.3 in 2010.</w:t>
      </w:r>
      <w:r w:rsidR="006B3919" w:rsidRPr="00AC36A1">
        <w:rPr>
          <w:rStyle w:val="FootnoteReference"/>
        </w:rPr>
        <w:footnoteReference w:id="17"/>
      </w:r>
    </w:p>
    <w:p w:rsidR="00CF1DFA" w:rsidRPr="00AC36A1" w:rsidRDefault="00CF1DFA" w:rsidP="006B3919">
      <w:pPr>
        <w:pStyle w:val="SingleTxt"/>
        <w:spacing w:line="230" w:lineRule="exact"/>
      </w:pPr>
      <w:r w:rsidRPr="00AC36A1">
        <w:t>83.</w:t>
      </w:r>
      <w:r w:rsidRPr="00AC36A1">
        <w:tab/>
        <w:t>Factors such as socio-economic development, free education and related high literacy rate, free health services, control of communicable diseases and well organized primary health care systems have been attributed to this success. Sri Lanka has in place an efficient Maternal Mortality Surveillance and Review system which has contributed to identify the causes and necessary interventions. A fundamental aspect of maternal mortality surveillance is the utilization of the findings which are of policy concerns to relevant technical and administrative groups and providing feedback to those who provide services to women for corrective actions. At the National Maternal Mortality Reviews conducted at district level by the Family Health Bureau in collaboration with technical experts from the Sri Lanka College of Obstetricians and Gynaecologists and other relevant professional bodies, the cause of death is confirmed and the associated factors that may have contributed to the death are discussed to prevent such incidents in future. The proportion of births attended by skilled health workers was 99.8 per cent in 2010 and therefore, almost at the level of the target undertaken as the Millennium Development Goals. It has been noted that virtually all births in Sri Lanka involve institutional deliveries, and doctors attend to more than 70 per cent of deliveries</w:t>
      </w:r>
      <w:r w:rsidR="006B3919" w:rsidRPr="00AC36A1">
        <w:t>.</w:t>
      </w:r>
      <w:r w:rsidR="006B3919" w:rsidRPr="00AC36A1">
        <w:rPr>
          <w:rStyle w:val="FootnoteReference"/>
        </w:rPr>
        <w:footnoteReference w:id="18"/>
      </w:r>
    </w:p>
    <w:p w:rsidR="00CF1DFA" w:rsidRPr="00AC36A1" w:rsidRDefault="007826E2" w:rsidP="007826E2">
      <w:pPr>
        <w:pStyle w:val="H23"/>
        <w:ind w:right="1260"/>
        <w:rPr>
          <w:i/>
        </w:rPr>
      </w:pPr>
      <w:r w:rsidRPr="00AC36A1">
        <w:tab/>
      </w:r>
      <w:r w:rsidRPr="00AC36A1">
        <w:tab/>
      </w:r>
      <w:r w:rsidR="00CF1DFA" w:rsidRPr="00AC36A1">
        <w:rPr>
          <w:i/>
        </w:rPr>
        <w:t>Measures taken to ensure that women do not seek unsafe medical procedures (abortion) due to lack of appropriate services for fertility control</w:t>
      </w:r>
    </w:p>
    <w:p w:rsidR="007826E2" w:rsidRPr="00AC36A1" w:rsidRDefault="007826E2" w:rsidP="007826E2">
      <w:pPr>
        <w:pStyle w:val="SingleTxt"/>
        <w:spacing w:after="0" w:line="120" w:lineRule="exact"/>
        <w:rPr>
          <w:sz w:val="10"/>
        </w:rPr>
      </w:pPr>
    </w:p>
    <w:p w:rsidR="00CF1DFA" w:rsidRPr="00AC36A1" w:rsidRDefault="00CF1DFA" w:rsidP="00CF1DFA">
      <w:pPr>
        <w:pStyle w:val="SingleTxt"/>
      </w:pPr>
      <w:r w:rsidRPr="00AC36A1">
        <w:t>84.</w:t>
      </w:r>
      <w:r w:rsidRPr="00AC36A1">
        <w:tab/>
        <w:t>Family Planning (FP) was accepted as a part of the national health policy in 1965, and its service components were integrated into Maternal Child Health (MCH) services. The programme offers a wide range of modern contraceptive methods enabling all couples to have a desired number of children with optimal spacing whilst preventing unintended pregnancies. Family Planning services also include services for sub-fertile couples.</w:t>
      </w:r>
    </w:p>
    <w:p w:rsidR="007826E2" w:rsidRPr="00AC36A1" w:rsidRDefault="007826E2" w:rsidP="007826E2">
      <w:pPr>
        <w:pStyle w:val="SingleTxt"/>
        <w:spacing w:after="0" w:line="120" w:lineRule="exact"/>
        <w:rPr>
          <w:sz w:val="10"/>
        </w:rPr>
      </w:pPr>
    </w:p>
    <w:p w:rsidR="00CF1DFA" w:rsidRPr="00AC36A1" w:rsidRDefault="007826E2" w:rsidP="007826E2">
      <w:pPr>
        <w:pStyle w:val="H23"/>
        <w:ind w:right="1260"/>
        <w:rPr>
          <w:i/>
        </w:rPr>
      </w:pPr>
      <w:r w:rsidRPr="00AC36A1">
        <w:tab/>
      </w:r>
      <w:r w:rsidRPr="00AC36A1">
        <w:tab/>
      </w:r>
      <w:r w:rsidR="00CF1DFA" w:rsidRPr="00AC36A1">
        <w:rPr>
          <w:i/>
        </w:rPr>
        <w:t>Law relating to abortion</w:t>
      </w:r>
    </w:p>
    <w:p w:rsidR="007826E2" w:rsidRPr="00AC36A1" w:rsidRDefault="007826E2" w:rsidP="007826E2">
      <w:pPr>
        <w:pStyle w:val="SingleTxt"/>
        <w:spacing w:after="0" w:line="120" w:lineRule="exact"/>
        <w:rPr>
          <w:sz w:val="10"/>
        </w:rPr>
      </w:pPr>
    </w:p>
    <w:p w:rsidR="00CF1DFA" w:rsidRPr="00AC36A1" w:rsidRDefault="00CF1DFA" w:rsidP="00CF1DFA">
      <w:pPr>
        <w:pStyle w:val="SingleTxt"/>
      </w:pPr>
      <w:r w:rsidRPr="00AC36A1">
        <w:t>85.</w:t>
      </w:r>
      <w:r w:rsidRPr="00AC36A1">
        <w:tab/>
        <w:t>The Law Commission has formulated a comprehensive draft Bill recommending the liberalization of the current strict approach contained in the Penal Code. The proposal has been formulated in consultation with medical professionals and recommends that termination of pregnancies be permitted in limited circumstances such as rape and where the foetus is established to have congenital abnormalities. A policy decision on the proposals is awaited.</w:t>
      </w:r>
    </w:p>
    <w:p w:rsidR="007826E2" w:rsidRPr="00AC36A1" w:rsidRDefault="007826E2" w:rsidP="007826E2">
      <w:pPr>
        <w:pStyle w:val="SingleTxt"/>
        <w:spacing w:after="0" w:line="120" w:lineRule="exact"/>
        <w:rPr>
          <w:sz w:val="10"/>
        </w:rPr>
      </w:pPr>
    </w:p>
    <w:p w:rsidR="00CF1DFA" w:rsidRPr="00AC36A1" w:rsidRDefault="007826E2" w:rsidP="007826E2">
      <w:pPr>
        <w:pStyle w:val="H23"/>
        <w:ind w:right="1260"/>
      </w:pPr>
      <w:r w:rsidRPr="00AC36A1">
        <w:tab/>
      </w:r>
      <w:r w:rsidRPr="00AC36A1">
        <w:tab/>
      </w:r>
      <w:r w:rsidR="00CF1DFA" w:rsidRPr="00AC36A1">
        <w:t>Rural women [Paragraph 39]</w:t>
      </w:r>
    </w:p>
    <w:p w:rsidR="007826E2" w:rsidRPr="00AC36A1" w:rsidRDefault="007826E2" w:rsidP="007826E2">
      <w:pPr>
        <w:pStyle w:val="SingleTxt"/>
        <w:spacing w:after="0" w:line="120" w:lineRule="exact"/>
        <w:rPr>
          <w:sz w:val="10"/>
        </w:rPr>
      </w:pPr>
    </w:p>
    <w:p w:rsidR="00CF1DFA" w:rsidRPr="00AC36A1" w:rsidRDefault="007826E2" w:rsidP="007826E2">
      <w:pPr>
        <w:pStyle w:val="H23"/>
        <w:ind w:right="1260"/>
        <w:rPr>
          <w:i/>
        </w:rPr>
      </w:pPr>
      <w:r w:rsidRPr="00AC36A1">
        <w:tab/>
      </w:r>
      <w:r w:rsidRPr="00AC36A1">
        <w:tab/>
      </w:r>
      <w:r w:rsidR="00CF1DFA" w:rsidRPr="00AC36A1">
        <w:rPr>
          <w:i/>
        </w:rPr>
        <w:t>Ensure that a gender perspective is included in the National Development Agenda</w:t>
      </w:r>
    </w:p>
    <w:p w:rsidR="007826E2" w:rsidRPr="00AC36A1" w:rsidRDefault="007826E2" w:rsidP="007826E2">
      <w:pPr>
        <w:pStyle w:val="SingleTxt"/>
        <w:spacing w:after="0" w:line="120" w:lineRule="exact"/>
        <w:rPr>
          <w:sz w:val="10"/>
        </w:rPr>
      </w:pPr>
    </w:p>
    <w:p w:rsidR="00CF1DFA" w:rsidRPr="00AC36A1" w:rsidRDefault="007826E2" w:rsidP="007826E2">
      <w:pPr>
        <w:pStyle w:val="H23"/>
        <w:ind w:right="1260"/>
        <w:rPr>
          <w:i/>
        </w:rPr>
      </w:pPr>
      <w:r w:rsidRPr="00AC36A1">
        <w:tab/>
      </w:r>
      <w:r w:rsidRPr="00AC36A1">
        <w:tab/>
      </w:r>
      <w:r w:rsidR="00CF1DFA" w:rsidRPr="00AC36A1">
        <w:rPr>
          <w:i/>
        </w:rPr>
        <w:t>Develop policies and programmes including income generation a scheme, to improve the situation of women heads of households and older women</w:t>
      </w:r>
    </w:p>
    <w:p w:rsidR="007826E2" w:rsidRPr="00AC36A1" w:rsidRDefault="007826E2" w:rsidP="007826E2">
      <w:pPr>
        <w:pStyle w:val="SingleTxt"/>
        <w:spacing w:after="0" w:line="120" w:lineRule="exact"/>
        <w:rPr>
          <w:sz w:val="10"/>
        </w:rPr>
      </w:pPr>
    </w:p>
    <w:p w:rsidR="00CF1DFA" w:rsidRPr="00AC36A1" w:rsidRDefault="00CF1DFA" w:rsidP="00CF1DFA">
      <w:pPr>
        <w:pStyle w:val="SingleTxt"/>
      </w:pPr>
      <w:r w:rsidRPr="00AC36A1">
        <w:t>86.</w:t>
      </w:r>
      <w:r w:rsidRPr="00AC36A1">
        <w:tab/>
        <w:t>According to the 2012 census of population and housing, the 71.8 per cent of Sri Lankans li</w:t>
      </w:r>
      <w:r w:rsidR="007826E2" w:rsidRPr="00AC36A1">
        <w:t>ve in areas demarcated as rural</w:t>
      </w:r>
      <w:r w:rsidRPr="00AC36A1">
        <w:t>.</w:t>
      </w:r>
      <w:r w:rsidR="007826E2" w:rsidRPr="00AC36A1">
        <w:rPr>
          <w:rStyle w:val="FootnoteReference"/>
        </w:rPr>
        <w:footnoteReference w:id="19"/>
      </w:r>
      <w:r w:rsidRPr="00AC36A1">
        <w:t xml:space="preserve"> Of this number 51.43 per cent are women with 10.4 per cent below the age of 15 years and 6.7 </w:t>
      </w:r>
      <w:r w:rsidR="007826E2" w:rsidRPr="00AC36A1">
        <w:t>per cent over 65</w:t>
      </w:r>
      <w:r w:rsidRPr="00AC36A1">
        <w:t>.</w:t>
      </w:r>
      <w:r w:rsidR="007826E2" w:rsidRPr="00AC36A1">
        <w:rPr>
          <w:rStyle w:val="FootnoteReference"/>
        </w:rPr>
        <w:footnoteReference w:id="20"/>
      </w:r>
    </w:p>
    <w:p w:rsidR="00CF1DFA" w:rsidRPr="00AC36A1" w:rsidRDefault="00CF1DFA" w:rsidP="00CF1DFA">
      <w:pPr>
        <w:pStyle w:val="SingleTxt"/>
      </w:pPr>
      <w:r w:rsidRPr="00AC36A1">
        <w:t>87.</w:t>
      </w:r>
      <w:r w:rsidRPr="00AC36A1">
        <w:tab/>
        <w:t>In this context the current development framework</w:t>
      </w:r>
      <w:r w:rsidR="00CD3F04" w:rsidRPr="00AC36A1">
        <w:rPr>
          <w:rStyle w:val="FootnoteReference"/>
        </w:rPr>
        <w:footnoteReference w:id="21"/>
      </w:r>
      <w:r w:rsidRPr="00AC36A1">
        <w:t xml:space="preserve"> envisages ‘rural centric development with the objectives of improving the livelihoods of the people, ensuring that economic and social benefits reach every strata of the society and ensuring access to basic social services, empowerment and protection of poor and vulnerable through pro poor, pro regional public spending’. </w:t>
      </w:r>
    </w:p>
    <w:p w:rsidR="00CF1DFA" w:rsidRPr="00AC36A1" w:rsidRDefault="00CF1DFA" w:rsidP="00CF1DFA">
      <w:pPr>
        <w:pStyle w:val="SingleTxt"/>
      </w:pPr>
      <w:r w:rsidRPr="00AC36A1">
        <w:t>88.</w:t>
      </w:r>
      <w:r w:rsidRPr="00AC36A1">
        <w:tab/>
        <w:t xml:space="preserve">To improve the institutional framework to implement development activities, the </w:t>
      </w:r>
      <w:r w:rsidRPr="00AC36A1">
        <w:rPr>
          <w:i/>
        </w:rPr>
        <w:t>Divi Neguma</w:t>
      </w:r>
      <w:r w:rsidRPr="00AC36A1">
        <w:t xml:space="preserve"> Development Department was established in early 2014 by consolidating the </w:t>
      </w:r>
      <w:r w:rsidRPr="00AC36A1">
        <w:rPr>
          <w:i/>
        </w:rPr>
        <w:t>Samurdhi</w:t>
      </w:r>
      <w:r w:rsidRPr="00AC36A1">
        <w:t xml:space="preserve"> Development Authority, </w:t>
      </w:r>
      <w:r w:rsidRPr="00AC36A1">
        <w:rPr>
          <w:i/>
        </w:rPr>
        <w:t>Udarata</w:t>
      </w:r>
      <w:r w:rsidRPr="00AC36A1">
        <w:t xml:space="preserve"> Development Authority and Southern Development Authority with six regional divisions to address the socio-economic disparities in the regions. Rural development is undertaken by several Ministries, departments and the provincial administration.</w:t>
      </w:r>
    </w:p>
    <w:p w:rsidR="00CF1DFA" w:rsidRPr="00AC36A1" w:rsidRDefault="00CF1DFA" w:rsidP="00CF1DFA">
      <w:pPr>
        <w:pStyle w:val="SingleTxt"/>
      </w:pPr>
      <w:r w:rsidRPr="00AC36A1">
        <w:t>89.</w:t>
      </w:r>
      <w:r w:rsidRPr="00AC36A1">
        <w:tab/>
        <w:t xml:space="preserve">The main programmes are the </w:t>
      </w:r>
      <w:r w:rsidRPr="00AC36A1">
        <w:rPr>
          <w:i/>
        </w:rPr>
        <w:t>Divi Neguma</w:t>
      </w:r>
      <w:r w:rsidRPr="00AC36A1">
        <w:t xml:space="preserve"> (livelihood development), </w:t>
      </w:r>
      <w:r w:rsidRPr="00AC36A1">
        <w:rPr>
          <w:i/>
        </w:rPr>
        <w:t>Gama Neguma</w:t>
      </w:r>
      <w:r w:rsidRPr="00AC36A1">
        <w:t xml:space="preserve"> (village development), </w:t>
      </w:r>
      <w:r w:rsidRPr="00AC36A1">
        <w:rPr>
          <w:i/>
        </w:rPr>
        <w:t>Maga Neguma</w:t>
      </w:r>
      <w:r w:rsidRPr="00AC36A1">
        <w:t xml:space="preserve"> (road development). Villages have been identified as growth centres of the rural economy. In 2012, the </w:t>
      </w:r>
      <w:r w:rsidRPr="00AC36A1">
        <w:rPr>
          <w:i/>
        </w:rPr>
        <w:t>Gama Neguma</w:t>
      </w:r>
      <w:r w:rsidRPr="00AC36A1">
        <w:t xml:space="preserve"> changed the approach to implement one development project in each village with each project costing Rs. 1 million, to cater to the emerging needs of the villages. Fourteen thousand development projects have been selected to be implemented in all 14,000 Grama Niladari Divisions with the participation of community organizations. Effective integration of the rural economy with emerging economic sectors in urban centres to increase the productivity and competitiveness of the Small and Medium Enterprise (SME) sector that would also lead to the diversification of livelihood options is one of the strategies to achieve a regionally balanced development. Several programmes are operational to improve the livelihoods of the people by strengthening the family economy,</w:t>
      </w:r>
      <w:r w:rsidR="00604735" w:rsidRPr="00AC36A1">
        <w:rPr>
          <w:rStyle w:val="FootnoteReference"/>
        </w:rPr>
        <w:footnoteReference w:id="22"/>
      </w:r>
      <w:r w:rsidRPr="00AC36A1">
        <w:t xml:space="preserve"> reducing regional disparities, improving infrastructure facilities through people centric development. </w:t>
      </w:r>
    </w:p>
    <w:p w:rsidR="00CF1DFA" w:rsidRPr="00AC36A1" w:rsidRDefault="00CF1DFA" w:rsidP="00CF1DFA">
      <w:pPr>
        <w:pStyle w:val="SingleTxt"/>
      </w:pPr>
      <w:r w:rsidRPr="00AC36A1">
        <w:t>90.</w:t>
      </w:r>
      <w:r w:rsidRPr="00AC36A1">
        <w:tab/>
        <w:t>A participatory approach to decision making process is being taken to identify priorities that would lead to improved governance, transparency and accountability at the village level. A higher growth rate from 2010 to 2013, integrated rural development, and improvements in education, health and standard of living resulted in poverty levels, both consumption and multidimensional,</w:t>
      </w:r>
      <w:r w:rsidR="00604735" w:rsidRPr="00AC36A1">
        <w:rPr>
          <w:rStyle w:val="FootnoteReference"/>
        </w:rPr>
        <w:footnoteReference w:id="23"/>
      </w:r>
      <w:r w:rsidRPr="00AC36A1">
        <w:t xml:space="preserve"> declining in the country from 8.9 per cent in 2009/10 to 1.8 per cent in 2013</w:t>
      </w:r>
      <w:r w:rsidR="00604735" w:rsidRPr="00AC36A1">
        <w:rPr>
          <w:rStyle w:val="FootnoteReference"/>
        </w:rPr>
        <w:footnoteReference w:id="24"/>
      </w:r>
      <w:r w:rsidRPr="00AC36A1">
        <w:t xml:space="preserve"> and reduced the absolute numbers of the poor. Income inequality declined at national level as well as at provincial level. The extreme poverty indicator, US$ 1.25 a day had also declined to 3.3 per cent while those below US$ 2.0 a day had declined to 18.9 per cent in 2013 indicating that the living conditions across sectors had improved. </w:t>
      </w:r>
    </w:p>
    <w:p w:rsidR="00CF1DFA" w:rsidRPr="00AC36A1" w:rsidRDefault="00CF1DFA" w:rsidP="00CF1DFA">
      <w:pPr>
        <w:pStyle w:val="SingleTxt"/>
      </w:pPr>
      <w:r w:rsidRPr="00AC36A1">
        <w:t>91.</w:t>
      </w:r>
      <w:r w:rsidRPr="00AC36A1">
        <w:tab/>
        <w:t>Records indicate that poverty at the national level declined from 26.1 per cent in 1990-1991 to 6.7 per cent in 2012-2013. The Urban sector achieved the related target under Millennium Development Goals by the year 2000. However, the rural sector achieved this target by 2008.</w:t>
      </w:r>
      <w:r w:rsidR="00604735" w:rsidRPr="00AC36A1">
        <w:rPr>
          <w:rStyle w:val="FootnoteReference"/>
        </w:rPr>
        <w:footnoteReference w:id="25"/>
      </w:r>
      <w:r w:rsidRPr="00AC36A1">
        <w:t xml:space="preserve"> Inclusive development strategies, a 46 per cent increase in public expenditure from 2011 to 2013 to address multidimensional poverty had a positive outcome on low income households. However some provincial and district disparities persist especially in former conflict affected areas except Jaffna district, and in the Monaragala district in the Uva province.</w:t>
      </w:r>
    </w:p>
    <w:p w:rsidR="00CF1DFA" w:rsidRPr="00AC36A1" w:rsidRDefault="00CF1DFA" w:rsidP="00CF1DFA">
      <w:pPr>
        <w:pStyle w:val="SingleTxt"/>
      </w:pPr>
      <w:r w:rsidRPr="00AC36A1">
        <w:t>92.</w:t>
      </w:r>
      <w:r w:rsidRPr="00AC36A1">
        <w:tab/>
        <w:t xml:space="preserve">There was hardly any difference in the poverty rates for males and females in the urban and rural sector but women in the estate sector were poorer than males. </w:t>
      </w:r>
    </w:p>
    <w:p w:rsidR="00CF1DFA" w:rsidRPr="00AC36A1" w:rsidRDefault="00CF1DFA" w:rsidP="00CF1DFA">
      <w:pPr>
        <w:pStyle w:val="SingleTxt"/>
      </w:pPr>
      <w:r w:rsidRPr="00AC36A1">
        <w:t>93.</w:t>
      </w:r>
      <w:r w:rsidRPr="00AC36A1">
        <w:tab/>
        <w:t>Poverty levels in Sri Lanka have been declining since 1995 despite the armed conflict that lasted for nearly three decades till 2009. National poverty declined from 28.8 per cent in 1995 (outside the conflict affected areas of the Northern and Eastern Provinces) to 6.7 per cent in 2013 (island-wide) while poverty in the rural sector declined from 30.9 per cent to 7.6 per cent during the same period. The highest poverty head count ratio for 2012/13 at 10.9 per cent was reported from the estate sector and the lowest from the urban sector at 2.1 per cent. By district, the highest poverty was in the conflict affected districts of Mullaitivu (28.8 per cent) Mannar (20.1 per cent) and Batticaloa (19.4 per cent). However, poverty levels had increased in the non-conflict affected districts of Anuradhapura and Polonnaruwa in the North Central Province and Monaragala district in the Uva Province with the highest poverty level at 20.8 per cent in the latter district.</w:t>
      </w:r>
      <w:r w:rsidR="00604735" w:rsidRPr="00AC36A1">
        <w:rPr>
          <w:rStyle w:val="FootnoteReference"/>
        </w:rPr>
        <w:footnoteReference w:id="26"/>
      </w:r>
    </w:p>
    <w:p w:rsidR="00604735" w:rsidRPr="00AC36A1" w:rsidRDefault="00604735" w:rsidP="00604735">
      <w:pPr>
        <w:pStyle w:val="SingleTxt"/>
        <w:spacing w:after="0" w:line="120" w:lineRule="exact"/>
        <w:rPr>
          <w:sz w:val="10"/>
        </w:rPr>
      </w:pPr>
    </w:p>
    <w:p w:rsidR="00CF1DFA" w:rsidRPr="00AC36A1" w:rsidRDefault="00604735" w:rsidP="00604735">
      <w:pPr>
        <w:pStyle w:val="H23"/>
        <w:ind w:right="1260"/>
        <w:rPr>
          <w:i/>
        </w:rPr>
      </w:pPr>
      <w:r w:rsidRPr="00AC36A1">
        <w:tab/>
      </w:r>
      <w:r w:rsidRPr="00AC36A1">
        <w:tab/>
      </w:r>
      <w:r w:rsidR="00CF1DFA" w:rsidRPr="00AC36A1">
        <w:rPr>
          <w:i/>
        </w:rPr>
        <w:t>Abolish the concept of “head of household” in administrative practice and recognize joint or co-ownership of land</w:t>
      </w:r>
    </w:p>
    <w:p w:rsidR="00604735" w:rsidRPr="00AC36A1" w:rsidRDefault="00604735" w:rsidP="00604735">
      <w:pPr>
        <w:pStyle w:val="SingleTxt"/>
        <w:spacing w:after="0" w:line="120" w:lineRule="exact"/>
        <w:rPr>
          <w:sz w:val="10"/>
        </w:rPr>
      </w:pPr>
    </w:p>
    <w:p w:rsidR="00CF1DFA" w:rsidRPr="00AC36A1" w:rsidRDefault="00CF1DFA" w:rsidP="00CF1DFA">
      <w:pPr>
        <w:pStyle w:val="SingleTxt"/>
      </w:pPr>
      <w:r w:rsidRPr="00AC36A1">
        <w:t>94.</w:t>
      </w:r>
      <w:r w:rsidRPr="00AC36A1">
        <w:tab/>
        <w:t>There is no legal definition of this term ‘head of household’ which is used loosely at the will of the person providing information. The former Ministry of Child Development and Women’s Affairs has collected information from relevant government institutions to identify discriminatory issues. Since the election of the new government, (January 2015) the Ministry has been re-constituted as a standalone Ministry of Women’s Affairs (M/WA) and this matter will be given due consideration.</w:t>
      </w:r>
    </w:p>
    <w:p w:rsidR="003D01C0" w:rsidRPr="00AC36A1" w:rsidRDefault="003D01C0" w:rsidP="003D01C0">
      <w:pPr>
        <w:pStyle w:val="SingleTxt"/>
        <w:spacing w:after="0" w:line="120" w:lineRule="exact"/>
        <w:rPr>
          <w:sz w:val="10"/>
        </w:rPr>
      </w:pPr>
    </w:p>
    <w:p w:rsidR="00CF1DFA" w:rsidRPr="00AC36A1" w:rsidRDefault="003D01C0" w:rsidP="003D01C0">
      <w:pPr>
        <w:pStyle w:val="H23"/>
        <w:ind w:right="1260"/>
        <w:rPr>
          <w:i/>
        </w:rPr>
      </w:pPr>
      <w:r w:rsidRPr="00AC36A1">
        <w:tab/>
      </w:r>
      <w:r w:rsidRPr="00AC36A1">
        <w:tab/>
      </w:r>
      <w:r w:rsidR="00CF1DFA" w:rsidRPr="00AC36A1">
        <w:rPr>
          <w:i/>
        </w:rPr>
        <w:t>Amend the LDO in order to ensure that joint or co-ownership be granted to both spouses when State allocates land to married couples</w:t>
      </w:r>
    </w:p>
    <w:p w:rsidR="003D01C0" w:rsidRPr="00AC36A1" w:rsidRDefault="003D01C0" w:rsidP="003D01C0">
      <w:pPr>
        <w:pStyle w:val="SingleTxt"/>
        <w:spacing w:after="0" w:line="120" w:lineRule="exact"/>
        <w:rPr>
          <w:sz w:val="10"/>
        </w:rPr>
      </w:pPr>
    </w:p>
    <w:p w:rsidR="00CF1DFA" w:rsidRPr="00AC36A1" w:rsidRDefault="00CF1DFA" w:rsidP="00CF1DFA">
      <w:pPr>
        <w:pStyle w:val="SingleTxt"/>
      </w:pPr>
      <w:r w:rsidRPr="00AC36A1">
        <w:t>95.</w:t>
      </w:r>
      <w:r w:rsidRPr="00AC36A1">
        <w:tab/>
        <w:t>The proposed amendment to the LDO has been referred to the Provincial Authorities and their views are being sought. Please see paragraph 21</w:t>
      </w:r>
      <w:r w:rsidR="00094D02" w:rsidRPr="00AC36A1">
        <w:t xml:space="preserve"> </w:t>
      </w:r>
      <w:r w:rsidRPr="00AC36A1">
        <w:t>above.</w:t>
      </w:r>
    </w:p>
    <w:p w:rsidR="003D01C0" w:rsidRPr="00AC36A1" w:rsidRDefault="003D01C0" w:rsidP="003D01C0">
      <w:pPr>
        <w:pStyle w:val="SingleTxt"/>
        <w:spacing w:after="0" w:line="120" w:lineRule="exact"/>
        <w:rPr>
          <w:sz w:val="10"/>
        </w:rPr>
      </w:pPr>
    </w:p>
    <w:p w:rsidR="00CF1DFA" w:rsidRPr="00AC36A1" w:rsidRDefault="003D01C0" w:rsidP="003D01C0">
      <w:pPr>
        <w:pStyle w:val="H23"/>
        <w:ind w:right="1260"/>
      </w:pPr>
      <w:r w:rsidRPr="00AC36A1">
        <w:tab/>
      </w:r>
      <w:r w:rsidRPr="00AC36A1">
        <w:tab/>
      </w:r>
      <w:r w:rsidR="00CF1DFA" w:rsidRPr="00AC36A1">
        <w:t>Impact of conflict on women [Paragraph 41]</w:t>
      </w:r>
    </w:p>
    <w:p w:rsidR="003D01C0" w:rsidRPr="00AC36A1" w:rsidRDefault="003D01C0" w:rsidP="003D01C0">
      <w:pPr>
        <w:pStyle w:val="SingleTxt"/>
        <w:spacing w:after="0" w:line="120" w:lineRule="exact"/>
        <w:rPr>
          <w:sz w:val="10"/>
        </w:rPr>
      </w:pPr>
    </w:p>
    <w:p w:rsidR="00CF1DFA" w:rsidRPr="00AC36A1" w:rsidRDefault="00CF1DFA" w:rsidP="00CF1DFA">
      <w:pPr>
        <w:pStyle w:val="SingleTxt"/>
      </w:pPr>
      <w:r w:rsidRPr="00AC36A1">
        <w:t>96.</w:t>
      </w:r>
      <w:r w:rsidRPr="00AC36A1">
        <w:tab/>
        <w:t>Sri Lanka has progressed considerably from the situation that prevailed as at the time of the 48th Session in January 2011. Comprehensive reports on the manner in which post conflict issues have been handled, with regard to matters of IDPs, sexual violence, resettlement and rehabilitation have been submitted by Sri Lanka to the UN Human Rights Council regularly, since the end of the conflict. The interventions and programmes that benefitted both women and men were adequately explained therein.</w:t>
      </w:r>
    </w:p>
    <w:p w:rsidR="00CF1DFA" w:rsidRPr="00AC36A1" w:rsidRDefault="00CF1DFA" w:rsidP="00CF1DFA">
      <w:pPr>
        <w:pStyle w:val="SingleTxt"/>
      </w:pPr>
      <w:r w:rsidRPr="00AC36A1">
        <w:t>97.</w:t>
      </w:r>
      <w:r w:rsidRPr="00AC36A1">
        <w:tab/>
        <w:t>The Government of Sri Lanka wishes to state that with complete normalcy returning to the areas affected by the conflict, the intensity of the issues related to the protection of women in the former conflict affected areas have reduced today. The last batch of the IDPs were resettled in their villages in Mullaitivu on 24</w:t>
      </w:r>
      <w:r w:rsidR="003D6A8B" w:rsidRPr="00AC36A1">
        <w:t> </w:t>
      </w:r>
      <w:r w:rsidRPr="00AC36A1">
        <w:t>September 2012. A total of 1,186 persons from 361 families were thus resettled. With this last batch of IDPs, the Government has resettled a total of 767,748 (226,824 families) IDPs.</w:t>
      </w:r>
    </w:p>
    <w:p w:rsidR="00CF1DFA" w:rsidRPr="00AC36A1" w:rsidRDefault="00CF1DFA" w:rsidP="003D01C0">
      <w:pPr>
        <w:pStyle w:val="SingleTxt"/>
        <w:spacing w:line="230" w:lineRule="exact"/>
      </w:pPr>
      <w:r w:rsidRPr="00AC36A1">
        <w:t>98.</w:t>
      </w:r>
      <w:r w:rsidRPr="00AC36A1">
        <w:tab/>
        <w:t>A further 26,056</w:t>
      </w:r>
      <w:r w:rsidR="00560BCE">
        <w:t xml:space="preserve"> </w:t>
      </w:r>
      <w:r w:rsidRPr="00AC36A1">
        <w:t xml:space="preserve">(7,840 families) have chosen to live with host families in various parts of the country, a choice that they are free to enjoy. Land in the high Security Zone in Palali Cantonment has been progressively released since 2010: </w:t>
      </w:r>
    </w:p>
    <w:p w:rsidR="00CF1DFA" w:rsidRPr="00AC36A1" w:rsidRDefault="00CF1DFA" w:rsidP="003D01C0">
      <w:pPr>
        <w:pStyle w:val="SingleTxt"/>
        <w:spacing w:line="230" w:lineRule="exact"/>
      </w:pPr>
      <w:r w:rsidRPr="00AC36A1">
        <w:t>28 October 2010</w:t>
      </w:r>
      <w:r w:rsidRPr="00AC36A1">
        <w:tab/>
        <w:t>:</w:t>
      </w:r>
      <w:r w:rsidRPr="00AC36A1">
        <w:tab/>
        <w:t>370. 65 acres</w:t>
      </w:r>
    </w:p>
    <w:p w:rsidR="00CF1DFA" w:rsidRPr="00AC36A1" w:rsidRDefault="00CF1DFA" w:rsidP="003D01C0">
      <w:pPr>
        <w:pStyle w:val="SingleTxt"/>
        <w:spacing w:line="230" w:lineRule="exact"/>
      </w:pPr>
      <w:r w:rsidRPr="00AC36A1">
        <w:t>27 November 2011</w:t>
      </w:r>
      <w:r w:rsidRPr="00AC36A1">
        <w:tab/>
        <w:t>:</w:t>
      </w:r>
      <w:r w:rsidRPr="00AC36A1">
        <w:tab/>
        <w:t>1952. 13 acres</w:t>
      </w:r>
    </w:p>
    <w:p w:rsidR="00CF1DFA" w:rsidRPr="00AC36A1" w:rsidRDefault="00CF1DFA" w:rsidP="003D01C0">
      <w:pPr>
        <w:pStyle w:val="SingleTxt"/>
        <w:spacing w:line="230" w:lineRule="exact"/>
      </w:pPr>
      <w:r w:rsidRPr="00AC36A1">
        <w:t>09 May 2011</w:t>
      </w:r>
      <w:r w:rsidRPr="00AC36A1">
        <w:tab/>
      </w:r>
      <w:r w:rsidRPr="00AC36A1">
        <w:tab/>
        <w:t>:</w:t>
      </w:r>
      <w:r w:rsidRPr="00AC36A1">
        <w:tab/>
        <w:t>1971.9 acres</w:t>
      </w:r>
    </w:p>
    <w:p w:rsidR="00CF1DFA" w:rsidRPr="00AC36A1" w:rsidRDefault="00CF1DFA" w:rsidP="003D01C0">
      <w:pPr>
        <w:pStyle w:val="SingleTxt"/>
        <w:spacing w:line="230" w:lineRule="exact"/>
      </w:pPr>
      <w:r w:rsidRPr="00AC36A1">
        <w:t>06 October 2014</w:t>
      </w:r>
      <w:r w:rsidRPr="00AC36A1">
        <w:tab/>
        <w:t>:</w:t>
      </w:r>
      <w:r w:rsidRPr="00AC36A1">
        <w:tab/>
        <w:t>345.94 acres</w:t>
      </w:r>
    </w:p>
    <w:p w:rsidR="00CF1DFA" w:rsidRPr="00AC36A1" w:rsidRDefault="00CF1DFA" w:rsidP="003D01C0">
      <w:pPr>
        <w:pStyle w:val="SingleTxt"/>
        <w:spacing w:line="230" w:lineRule="exact"/>
      </w:pPr>
      <w:r w:rsidRPr="00AC36A1">
        <w:t>29 November 2011</w:t>
      </w:r>
      <w:r w:rsidRPr="00AC36A1">
        <w:tab/>
        <w:t>:</w:t>
      </w:r>
      <w:r w:rsidRPr="00AC36A1">
        <w:tab/>
        <w:t>617.76 acres</w:t>
      </w:r>
    </w:p>
    <w:p w:rsidR="00CF1DFA" w:rsidRPr="00AC36A1" w:rsidRDefault="00CF1DFA" w:rsidP="003D01C0">
      <w:pPr>
        <w:pStyle w:val="SingleTxt"/>
        <w:spacing w:line="230" w:lineRule="exact"/>
      </w:pPr>
      <w:r w:rsidRPr="00AC36A1">
        <w:t>23 March 2015</w:t>
      </w:r>
      <w:r w:rsidRPr="00AC36A1">
        <w:tab/>
      </w:r>
      <w:r w:rsidR="003D01C0" w:rsidRPr="00AC36A1">
        <w:tab/>
      </w:r>
      <w:r w:rsidRPr="00AC36A1">
        <w:t>:</w:t>
      </w:r>
      <w:r w:rsidRPr="00AC36A1">
        <w:tab/>
        <w:t>430 acres</w:t>
      </w:r>
    </w:p>
    <w:p w:rsidR="00CF1DFA" w:rsidRPr="00AC36A1" w:rsidRDefault="00CF1DFA" w:rsidP="003D01C0">
      <w:pPr>
        <w:pStyle w:val="SingleTxt"/>
        <w:spacing w:line="230" w:lineRule="exact"/>
      </w:pPr>
      <w:r w:rsidRPr="00AC36A1">
        <w:t>10 April 2015</w:t>
      </w:r>
      <w:r w:rsidRPr="00AC36A1">
        <w:tab/>
      </w:r>
      <w:r w:rsidRPr="00AC36A1">
        <w:tab/>
        <w:t>:</w:t>
      </w:r>
      <w:r w:rsidRPr="00AC36A1">
        <w:tab/>
        <w:t>570 acres</w:t>
      </w:r>
    </w:p>
    <w:p w:rsidR="00CF1DFA" w:rsidRPr="00AC36A1" w:rsidRDefault="00CF1DFA" w:rsidP="00CF1DFA">
      <w:pPr>
        <w:pStyle w:val="SingleTxt"/>
      </w:pPr>
      <w:r w:rsidRPr="00AC36A1">
        <w:t>99.</w:t>
      </w:r>
      <w:r w:rsidRPr="00AC36A1">
        <w:tab/>
        <w:t>With regard to the rehabilitation and reintegration of ex-combatants, from approximately 12,000 persons, as of 11th August 2014, only 114 beneficiaries (112</w:t>
      </w:r>
      <w:r w:rsidR="003D6A8B" w:rsidRPr="00AC36A1">
        <w:t> </w:t>
      </w:r>
      <w:r w:rsidRPr="00AC36A1">
        <w:t xml:space="preserve">male and 2 female), are undergoing rehabilitationand84 are under legal proceedings (judicially mandated custody, remanded or bail out). The child combatants (both male and female) released were afforded the opportunity of a formal education and all of them have been reintegrated with their families. </w:t>
      </w:r>
    </w:p>
    <w:p w:rsidR="00CF1DFA" w:rsidRPr="00AC36A1" w:rsidRDefault="00CF1DFA" w:rsidP="00CF1DFA">
      <w:pPr>
        <w:pStyle w:val="SingleTxt"/>
      </w:pPr>
      <w:r w:rsidRPr="00AC36A1">
        <w:t>100.</w:t>
      </w:r>
      <w:r w:rsidRPr="00AC36A1">
        <w:tab/>
        <w:t>A database of beneficiaries has been established and self-employment and micro-enterprise assistance has been provided to 611 single parents in the Northern Province and 128 in the Eastern Province. Special vocational and non-formal training programmes are conducted for women who have not been able to continue with their formal education due to conflict. 27,000 women headed families in the North have been benefited from this programme.</w:t>
      </w:r>
    </w:p>
    <w:p w:rsidR="00CF1DFA" w:rsidRPr="00AC36A1" w:rsidRDefault="00CF1DFA" w:rsidP="00CF1DFA">
      <w:pPr>
        <w:pStyle w:val="SingleTxt"/>
      </w:pPr>
      <w:r w:rsidRPr="00AC36A1">
        <w:t>101.</w:t>
      </w:r>
      <w:r w:rsidRPr="00AC36A1">
        <w:tab/>
        <w:t xml:space="preserve">Attention was paid to reunification of families, with married ex-combatants being given the opportunity to re-join with their spouses, children and parents at special rehabilitation centres called ‘Peace Villages’ e.g. Kaithady in Jaffna. This enabled many beneficiaries to continue their rehabilitation without any disruption to their family life. </w:t>
      </w:r>
    </w:p>
    <w:p w:rsidR="00CF1DFA" w:rsidRPr="00AC36A1" w:rsidRDefault="00CF1DFA" w:rsidP="00CF1DFA">
      <w:pPr>
        <w:pStyle w:val="SingleTxt"/>
        <w:rPr>
          <w:b/>
          <w:i/>
        </w:rPr>
      </w:pPr>
      <w:r w:rsidRPr="00AC36A1">
        <w:t>102.</w:t>
      </w:r>
      <w:r w:rsidRPr="00AC36A1">
        <w:tab/>
      </w:r>
      <w:r w:rsidRPr="00AC36A1">
        <w:rPr>
          <w:b/>
          <w:i/>
        </w:rPr>
        <w:t>Protection of women ex-combatants from human rights violations</w:t>
      </w:r>
    </w:p>
    <w:p w:rsidR="00CF1DFA" w:rsidRPr="00AC36A1" w:rsidRDefault="00CF1DFA" w:rsidP="00CF1DFA">
      <w:pPr>
        <w:pStyle w:val="SingleTxt"/>
      </w:pPr>
      <w:r w:rsidRPr="00AC36A1">
        <w:t>Following the end of the conflict, the Government of Sri Lanka adhered to a policy of treating all surrendered child ex-combatants including females who had been forcefully conscripted by the LTTE, as victims and not perpetrators. Every possible effort was taken to look into their welfare and future. Having appreciated the circumstances under which most of them were compelled to take arms, the Government made a strong commitment to re-integrate them with the civilian society after a suitable rehabilitation programme. The Government set up the Bureau of the Commissioner General of Rehabilitation (BCGR) to rehabilitate and reintegrate both male and female ex-combatants. Originally the Ministry of Defence initiated this programme with the collaboration of the Ministry of Justice. Subsequently this task was undertaken by the Ministry of Rehabilitation and Prison Reforms in April 2010. Initially around twenty four Protective Accommodation and Rehabilitation Centres (PARCs) were set up in rehabilitating ex-combatants.</w:t>
      </w:r>
    </w:p>
    <w:p w:rsidR="00CF1DFA" w:rsidRPr="00AC36A1" w:rsidRDefault="00CF1DFA" w:rsidP="00CF1DFA">
      <w:pPr>
        <w:pStyle w:val="SingleTxt"/>
      </w:pPr>
      <w:r w:rsidRPr="00AC36A1">
        <w:t>103.</w:t>
      </w:r>
      <w:r w:rsidRPr="00AC36A1">
        <w:tab/>
        <w:t>By the end of July 2014, 11,971 (9,694 male and 2,277 female) ex-combatants, which included 594 LTTE child ex-combatants (364 male and 230 female) have been rehabilitated and reintegrated into society. 272 out of 594 child ex-combatants, opted continuing their formal education, were re-inducted into the studies. 322 out 594 child ex-combatants were inducted into vocational training programmes. The rehabilitation programmes were carried out with the assistance of UNICEF, IOM, NAITA (National Apprenticeship and Industrial Training Authority) and some NGOs. The reintegration of child combatants was successfully completed by 18th</w:t>
      </w:r>
      <w:r w:rsidR="003D6A8B" w:rsidRPr="00AC36A1">
        <w:t> </w:t>
      </w:r>
      <w:r w:rsidRPr="00AC36A1">
        <w:t>May 2010.</w:t>
      </w:r>
    </w:p>
    <w:p w:rsidR="00CF1DFA" w:rsidRPr="00AC36A1" w:rsidRDefault="00CF1DFA" w:rsidP="00CF1DFA">
      <w:pPr>
        <w:pStyle w:val="SingleTxt"/>
      </w:pPr>
      <w:r w:rsidRPr="00AC36A1">
        <w:t>104.</w:t>
      </w:r>
      <w:r w:rsidRPr="00AC36A1">
        <w:tab/>
        <w:t>In view of the need to make the rehabilitated women ex-combatants employable, special vocational training programmes were organized for them in the fields such as bridal and hair dressing, modelling, beauty and make up, nursery management, and Juki machine operations. Some of them were given on the job training to make way for absorption into permanent cadres in their respective institutions. Some opted for foreign employment after requisite training.</w:t>
      </w:r>
    </w:p>
    <w:p w:rsidR="00CF1DFA" w:rsidRPr="00AC36A1" w:rsidRDefault="00CF1DFA" w:rsidP="00CF1DFA">
      <w:pPr>
        <w:pStyle w:val="SingleTxt"/>
      </w:pPr>
      <w:r w:rsidRPr="00AC36A1">
        <w:t>105.</w:t>
      </w:r>
      <w:r w:rsidRPr="00AC36A1">
        <w:tab/>
        <w:t>Female ex-combatants whose education was disrupted by the LTTE have sat for both General Certificate of Education (GCE) Ordinary Level (O/L) and Advance Level (A/L) examinations conducted by the Department of Examination of Sri Lanka since 2009. 212 out of 361 ex-combatants passed O/L in 2010. In which 65</w:t>
      </w:r>
      <w:r w:rsidR="003D6A8B" w:rsidRPr="00AC36A1">
        <w:t> </w:t>
      </w:r>
      <w:r w:rsidRPr="00AC36A1">
        <w:t>were female ex-combatants. Having sat for A/L examination, 37 ex-combatants qualified for entering the universities in 2010. In which, 29 were female ex</w:t>
      </w:r>
      <w:r w:rsidR="00AB0969" w:rsidRPr="00AC36A1">
        <w:noBreakHyphen/>
      </w:r>
      <w:r w:rsidRPr="00AC36A1">
        <w:t xml:space="preserve">combatants. Subsequently, in 2011 another 5 ex-combatants passed the A/L </w:t>
      </w:r>
      <w:r w:rsidR="006B5BEF" w:rsidRPr="00AC36A1">
        <w:t>examination including</w:t>
      </w:r>
      <w:r w:rsidR="003D01C0" w:rsidRPr="00AC36A1">
        <w:t xml:space="preserve"> </w:t>
      </w:r>
      <w:r w:rsidRPr="00AC36A1">
        <w:t>1 female ex-combatant.</w:t>
      </w:r>
    </w:p>
    <w:p w:rsidR="00CF1DFA" w:rsidRPr="00AC36A1" w:rsidRDefault="00CF1DFA" w:rsidP="00CF1DFA">
      <w:pPr>
        <w:pStyle w:val="SingleTxt"/>
      </w:pPr>
      <w:r w:rsidRPr="00AC36A1">
        <w:t>106.</w:t>
      </w:r>
      <w:r w:rsidRPr="00AC36A1">
        <w:tab/>
        <w:t>After two years of comprehensive rehabilitation, 665 ex-combatants were recruited to the Civil Security Department voluntarily and 129 of them were females.</w:t>
      </w:r>
    </w:p>
    <w:p w:rsidR="00CF1DFA" w:rsidRPr="00AC36A1" w:rsidRDefault="00CF1DFA" w:rsidP="00CF1DFA">
      <w:pPr>
        <w:pStyle w:val="SingleTxt"/>
      </w:pPr>
      <w:r w:rsidRPr="00AC36A1">
        <w:t>107.</w:t>
      </w:r>
      <w:r w:rsidRPr="00AC36A1">
        <w:tab/>
        <w:t xml:space="preserve">Conflict affected widows and disabled women are given priority in beneficiary selection for above projects (20 marks are allocated for widows in the beneficiary selection criteria). </w:t>
      </w:r>
    </w:p>
    <w:p w:rsidR="00CF1DFA" w:rsidRPr="00AC36A1" w:rsidRDefault="00CF1DFA" w:rsidP="00CF1DFA">
      <w:pPr>
        <w:pStyle w:val="SingleTxt"/>
        <w:rPr>
          <w:i/>
        </w:rPr>
      </w:pPr>
      <w:r w:rsidRPr="00AC36A1">
        <w:t>108.</w:t>
      </w:r>
      <w:r w:rsidRPr="00AC36A1">
        <w:tab/>
      </w:r>
      <w:r w:rsidRPr="00AC36A1">
        <w:rPr>
          <w:b/>
          <w:i/>
        </w:rPr>
        <w:t>Investigation of acts of violence including acts of sexual violence by private actors as well as armed forces</w:t>
      </w:r>
    </w:p>
    <w:p w:rsidR="00CF1DFA" w:rsidRPr="00AC36A1" w:rsidRDefault="00CF1DFA" w:rsidP="00CF1DFA">
      <w:pPr>
        <w:pStyle w:val="SingleTxt"/>
      </w:pPr>
      <w:r w:rsidRPr="00AC36A1">
        <w:t>A comprehensive study undertaken of incidents of sexual offenses in the North by the Ministry of Defence has revealed the following:</w:t>
      </w:r>
    </w:p>
    <w:p w:rsidR="00CF1DFA" w:rsidRPr="005D3325" w:rsidRDefault="00CF1DFA" w:rsidP="00CF1DFA">
      <w:pPr>
        <w:pStyle w:val="SingleTxt"/>
        <w:rPr>
          <w:i/>
        </w:rPr>
      </w:pPr>
      <w:r w:rsidRPr="005D3325">
        <w:rPr>
          <w:i/>
        </w:rPr>
        <w:t>Sexual Violence in the Northern Province</w:t>
      </w:r>
    </w:p>
    <w:p w:rsidR="00CF1DFA" w:rsidRPr="00AC36A1" w:rsidRDefault="003D01C0" w:rsidP="00CF1DFA">
      <w:pPr>
        <w:pStyle w:val="SingleTxt"/>
      </w:pPr>
      <w:r w:rsidRPr="00AC36A1">
        <w:tab/>
      </w:r>
      <w:r w:rsidR="00CF1DFA" w:rsidRPr="00AC36A1">
        <w:t>a.</w:t>
      </w:r>
      <w:r w:rsidR="00CF1DFA" w:rsidRPr="00AC36A1">
        <w:tab/>
        <w:t>Cases reported during the conflict period</w:t>
      </w:r>
      <w:r w:rsidR="00CF1DFA" w:rsidRPr="00AC36A1">
        <w:tab/>
        <w:t>-</w:t>
      </w:r>
      <w:r w:rsidR="00CF1DFA" w:rsidRPr="00AC36A1">
        <w:tab/>
        <w:t xml:space="preserve">119 (125 accused), </w:t>
      </w:r>
    </w:p>
    <w:p w:rsidR="00CF1DFA" w:rsidRPr="00AC36A1" w:rsidRDefault="003D01C0" w:rsidP="00CF1DFA">
      <w:pPr>
        <w:pStyle w:val="SingleTxt"/>
      </w:pPr>
      <w:r w:rsidRPr="00AC36A1">
        <w:tab/>
      </w:r>
      <w:r w:rsidRPr="00AC36A1">
        <w:tab/>
      </w:r>
      <w:r w:rsidR="00CF1DFA" w:rsidRPr="00AC36A1">
        <w:t>1 January 2007 to 18 May 2009.</w:t>
      </w:r>
    </w:p>
    <w:p w:rsidR="00CF1DFA" w:rsidRPr="00AC36A1" w:rsidRDefault="003D01C0" w:rsidP="00CF1DFA">
      <w:pPr>
        <w:pStyle w:val="SingleTxt"/>
      </w:pPr>
      <w:r w:rsidRPr="00AC36A1">
        <w:tab/>
      </w:r>
      <w:r w:rsidR="00CF1DFA" w:rsidRPr="00AC36A1">
        <w:t>b.</w:t>
      </w:r>
      <w:r w:rsidR="00CF1DFA" w:rsidRPr="00AC36A1">
        <w:tab/>
        <w:t>Cases reported in the post-conflict period</w:t>
      </w:r>
      <w:r w:rsidR="00CF1DFA" w:rsidRPr="00AC36A1">
        <w:tab/>
        <w:t>-</w:t>
      </w:r>
      <w:r w:rsidR="00CF1DFA" w:rsidRPr="00AC36A1">
        <w:tab/>
        <w:t xml:space="preserve">256 (307 accused) </w:t>
      </w:r>
    </w:p>
    <w:p w:rsidR="00CF1DFA" w:rsidRPr="00AC36A1" w:rsidRDefault="003D01C0" w:rsidP="00CF1DFA">
      <w:pPr>
        <w:pStyle w:val="SingleTxt"/>
      </w:pPr>
      <w:r w:rsidRPr="00AC36A1">
        <w:tab/>
      </w:r>
      <w:r w:rsidRPr="00AC36A1">
        <w:tab/>
      </w:r>
      <w:r w:rsidR="00CF1DFA" w:rsidRPr="00AC36A1">
        <w:t>19 May 2009 to 31 May 2012.</w:t>
      </w:r>
    </w:p>
    <w:p w:rsidR="00CF1DFA" w:rsidRPr="00AC36A1" w:rsidRDefault="00CF1DFA" w:rsidP="00CF1DFA">
      <w:pPr>
        <w:pStyle w:val="SingleTxt"/>
      </w:pPr>
      <w:r w:rsidRPr="00AC36A1">
        <w:t>109.</w:t>
      </w:r>
      <w:r w:rsidRPr="00AC36A1">
        <w:tab/>
        <w:t xml:space="preserve">During the </w:t>
      </w:r>
      <w:r w:rsidR="003D01C0" w:rsidRPr="00AC36A1">
        <w:t>conflict period (January 2007-</w:t>
      </w:r>
      <w:r w:rsidRPr="00AC36A1">
        <w:t>May 2009), 7 Security Forces personnel were reported to have been involved in 12 incidents of sexual violence in North and East areas. In the p</w:t>
      </w:r>
      <w:r w:rsidR="003D01C0" w:rsidRPr="00AC36A1">
        <w:t>ost conflict period (May 2009-</w:t>
      </w:r>
      <w:r w:rsidRPr="00AC36A1">
        <w:t xml:space="preserve">May 2012), 10 Security Forces personnel were reported to have been involved in 6 incidents of sexual violence in the North. This is out of a total of 307 persons accused in 256 incidents in the entire Northern Province. </w:t>
      </w:r>
    </w:p>
    <w:p w:rsidR="00CF1DFA" w:rsidRPr="00AC36A1" w:rsidRDefault="00CF1DFA" w:rsidP="00CF1DFA">
      <w:pPr>
        <w:pStyle w:val="SingleTxt"/>
      </w:pPr>
      <w:r w:rsidRPr="00AC36A1">
        <w:t>110.</w:t>
      </w:r>
      <w:r w:rsidRPr="00AC36A1">
        <w:tab/>
        <w:t>The involvement of Security Forces personnel as a percentage of the total accused stands at 5.6 per cent in the conflict period and 3.3 per cent in the post conflict period. This decline demonstrates that the allegation that the presence of the security forces in the North contributes to the insecurity of women and girls has no truth.</w:t>
      </w:r>
    </w:p>
    <w:p w:rsidR="00CF1DFA" w:rsidRPr="00AC36A1" w:rsidRDefault="00CF1DFA" w:rsidP="00CF1DFA">
      <w:pPr>
        <w:pStyle w:val="SingleTxt"/>
      </w:pPr>
      <w:r w:rsidRPr="00AC36A1">
        <w:t>111.</w:t>
      </w:r>
      <w:r w:rsidRPr="00AC36A1">
        <w:tab/>
        <w:t>However, since the election of the new President in January 2015, steps have been taken to strengthen civilian administration in the Northern and Eastern Provinces. Civilian governors were appointed to both provinces, engagement of the military in civilian activity has ceased and further steps are being taken in this regard.</w:t>
      </w:r>
    </w:p>
    <w:p w:rsidR="00CF1DFA" w:rsidRPr="00AC36A1" w:rsidRDefault="00CF1DFA" w:rsidP="00CF1DFA">
      <w:pPr>
        <w:pStyle w:val="SingleTxt"/>
      </w:pPr>
      <w:r w:rsidRPr="00AC36A1">
        <w:t>112.</w:t>
      </w:r>
      <w:r w:rsidRPr="00AC36A1">
        <w:tab/>
        <w:t>As regards the comment by the Committee that the Ministry of Child Development and Women’s Empowerment is not a member of the Consultative Committee on Humanitarian Assistance (CCHA) which consists of representatives of relevant Ministries, it may be noted that the CCHA which was constituted for coordinating humanitarian assistance during the conflict, does not function anymore.</w:t>
      </w:r>
    </w:p>
    <w:p w:rsidR="003D01C0" w:rsidRPr="00AC36A1" w:rsidRDefault="003D01C0" w:rsidP="003D01C0">
      <w:pPr>
        <w:pStyle w:val="SingleTxt"/>
        <w:spacing w:after="0" w:line="120" w:lineRule="exact"/>
        <w:rPr>
          <w:sz w:val="10"/>
        </w:rPr>
      </w:pPr>
    </w:p>
    <w:p w:rsidR="00CF1DFA" w:rsidRPr="00AC36A1" w:rsidRDefault="003D01C0" w:rsidP="003D01C0">
      <w:pPr>
        <w:pStyle w:val="H23"/>
        <w:ind w:right="1260"/>
        <w:rPr>
          <w:i/>
        </w:rPr>
      </w:pPr>
      <w:r w:rsidRPr="00AC36A1">
        <w:tab/>
      </w:r>
      <w:r w:rsidRPr="00AC36A1">
        <w:tab/>
      </w:r>
      <w:r w:rsidR="00CF1DFA" w:rsidRPr="00AC36A1">
        <w:rPr>
          <w:i/>
        </w:rPr>
        <w:t>Establishing counselling centres for women</w:t>
      </w:r>
    </w:p>
    <w:p w:rsidR="003D01C0" w:rsidRPr="00AC36A1" w:rsidRDefault="003D01C0" w:rsidP="003D01C0">
      <w:pPr>
        <w:pStyle w:val="SingleTxt"/>
        <w:spacing w:after="0" w:line="120" w:lineRule="exact"/>
        <w:rPr>
          <w:sz w:val="10"/>
        </w:rPr>
      </w:pPr>
    </w:p>
    <w:p w:rsidR="00CF1DFA" w:rsidRPr="00AC36A1" w:rsidRDefault="00CF1DFA" w:rsidP="00CF1DFA">
      <w:pPr>
        <w:pStyle w:val="SingleTxt"/>
      </w:pPr>
      <w:r w:rsidRPr="00AC36A1">
        <w:t>113.</w:t>
      </w:r>
      <w:r w:rsidRPr="00AC36A1">
        <w:tab/>
        <w:t>The M/WA is in the process of setting up counselling centres in selected districts to provide counselling for victims of violence. Counselling and psychosocial support were given to number of women at the Poonthottam rehabilitation centre in Vavuniya District. Furthermore, awareness programs on the Prevention of Domestic Violence Act, have also been conducted for the Counselling Officers attached to the Ministry of Social Services, Welfare and Livestock Development and the M/WA.</w:t>
      </w:r>
    </w:p>
    <w:p w:rsidR="00CF1DFA" w:rsidRPr="00AC36A1" w:rsidRDefault="00CF1DFA" w:rsidP="00CF1DFA">
      <w:pPr>
        <w:pStyle w:val="SingleTxt"/>
      </w:pPr>
      <w:r w:rsidRPr="00AC36A1">
        <w:t>114.</w:t>
      </w:r>
      <w:r w:rsidRPr="00AC36A1">
        <w:tab/>
        <w:t xml:space="preserve">The Ministry of Social Services conducts different types of counselling programmes under its National Counselling Unit (NCU), including Preventive Counselling; Treatment Counselling, and Capacity Building Counselling in the Northern Province. This is aimed at reducing school drop-outs, domestic violence, crime rate, improving mental health, and social integration in the resettled areas, especially among war-affected persons. In this exercise, the priority is given to single-parents with dependent children and elders. </w:t>
      </w:r>
    </w:p>
    <w:p w:rsidR="00CF1DFA" w:rsidRPr="00AC36A1" w:rsidRDefault="00CF1DFA" w:rsidP="00CF1DFA">
      <w:pPr>
        <w:pStyle w:val="SingleTxt"/>
      </w:pPr>
      <w:r w:rsidRPr="00AC36A1">
        <w:t>115.</w:t>
      </w:r>
      <w:r w:rsidRPr="00AC36A1">
        <w:tab/>
        <w:t xml:space="preserve">By January 2014, a total of 70,891 individuals in the Northern Province and 32,230 individuals in the Eastern Province have been benefited during their displacement as well as in the resettlement (during last five years) through this programme. The NCU has also provided its services to 2,643 LTTE ex-combatants. </w:t>
      </w:r>
    </w:p>
    <w:p w:rsidR="00CF1DFA" w:rsidRPr="00AC36A1" w:rsidRDefault="00CF1DFA" w:rsidP="00CF1DFA">
      <w:pPr>
        <w:pStyle w:val="SingleTxt"/>
      </w:pPr>
      <w:r w:rsidRPr="00AC36A1">
        <w:t>116.</w:t>
      </w:r>
      <w:r w:rsidRPr="00AC36A1">
        <w:tab/>
        <w:t xml:space="preserve">Under the NCU, 200 Counsellors have been employed and 700 Counsellors are serving though other Government Institutions, NGOs and the private sector Island-wide. NCU has also trained 2,297 volunteers at village level to provide counselling services to the needy people as of January 2014. </w:t>
      </w:r>
    </w:p>
    <w:p w:rsidR="00CF1DFA" w:rsidRPr="00AC36A1" w:rsidRDefault="00CF1DFA" w:rsidP="00CF1DFA">
      <w:pPr>
        <w:pStyle w:val="SingleTxt"/>
      </w:pPr>
      <w:r w:rsidRPr="00AC36A1">
        <w:t>117.</w:t>
      </w:r>
      <w:r w:rsidRPr="00AC36A1">
        <w:tab/>
        <w:t>National Institute of Social Development (NISD) of the Ministry of Social Services conducts several higher education programmes including Master in Social Works, Bachelor in Social Work, Diploma in Women Empowerment, and Diploma in Child Protection. 823 field officers in the Government and NGOs sectors have already been offered educational programmes by the end of January 2014.</w:t>
      </w:r>
    </w:p>
    <w:p w:rsidR="00CF1DFA" w:rsidRPr="00AC36A1" w:rsidRDefault="00CF1DFA" w:rsidP="00CF1DFA">
      <w:pPr>
        <w:pStyle w:val="SingleTxt"/>
      </w:pPr>
      <w:r w:rsidRPr="00AC36A1">
        <w:t>118.</w:t>
      </w:r>
      <w:r w:rsidRPr="00AC36A1">
        <w:tab/>
        <w:t xml:space="preserve">Currently, 27 and 28 Social Care Centres are in operation in the Northern Province and in the Eastern Province respectively. The Ministry of Social Services in collaboration with UNICEF has assisted a considerable number of single-parent families in the North and East, including financial assistance, self-employment and empowering women through these centres. </w:t>
      </w:r>
    </w:p>
    <w:p w:rsidR="00CF1DFA" w:rsidRPr="00AC36A1" w:rsidRDefault="00CF1DFA" w:rsidP="00CF1DFA">
      <w:pPr>
        <w:pStyle w:val="SingleTxt"/>
      </w:pPr>
      <w:r w:rsidRPr="00AC36A1">
        <w:t>119.</w:t>
      </w:r>
      <w:r w:rsidRPr="00AC36A1">
        <w:tab/>
        <w:t>The Government, under the new President elected in January 2015 is taking steps to work with the UN and other international organizations including the ICRC to enhance psycho-social support.</w:t>
      </w:r>
    </w:p>
    <w:p w:rsidR="007D5227" w:rsidRPr="00AC36A1" w:rsidRDefault="007D5227" w:rsidP="007D5227">
      <w:pPr>
        <w:pStyle w:val="SingleTxt"/>
        <w:spacing w:after="0" w:line="120" w:lineRule="exact"/>
        <w:rPr>
          <w:sz w:val="10"/>
        </w:rPr>
      </w:pPr>
    </w:p>
    <w:p w:rsidR="00CF1DFA" w:rsidRPr="00AC36A1" w:rsidRDefault="007D5227" w:rsidP="007D5227">
      <w:pPr>
        <w:pStyle w:val="H23"/>
        <w:ind w:right="1260"/>
        <w:rPr>
          <w:i/>
        </w:rPr>
      </w:pPr>
      <w:r w:rsidRPr="00AC36A1">
        <w:tab/>
      </w:r>
      <w:r w:rsidRPr="00AC36A1">
        <w:tab/>
      </w:r>
      <w:r w:rsidR="00CF1DFA" w:rsidRPr="00AC36A1">
        <w:rPr>
          <w:i/>
        </w:rPr>
        <w:t>Inclusion of provisions for economic and social rights in post-conflict reconstruction including through the adoption of temporary special measures</w:t>
      </w:r>
    </w:p>
    <w:p w:rsidR="007D5227" w:rsidRPr="00AC36A1" w:rsidRDefault="007D5227" w:rsidP="007D5227">
      <w:pPr>
        <w:pStyle w:val="SingleTxt"/>
        <w:spacing w:after="0" w:line="120" w:lineRule="exact"/>
        <w:rPr>
          <w:sz w:val="10"/>
        </w:rPr>
      </w:pPr>
    </w:p>
    <w:p w:rsidR="00CF1DFA" w:rsidRPr="00AC36A1" w:rsidRDefault="00CF1DFA" w:rsidP="00CF1DFA">
      <w:pPr>
        <w:pStyle w:val="SingleTxt"/>
      </w:pPr>
      <w:r w:rsidRPr="00AC36A1">
        <w:t>120.</w:t>
      </w:r>
      <w:r w:rsidRPr="00AC36A1">
        <w:tab/>
        <w:t>Several livelihood and income generating projects were implemented since May 2009 by several ministries addressing the needs of women and their economic and social rights, particularly women-headed households in Northern and Eastern provinces. Some of the examples are as follows:</w:t>
      </w:r>
    </w:p>
    <w:p w:rsidR="00CF1DFA" w:rsidRPr="00AC36A1" w:rsidRDefault="00CF1DFA" w:rsidP="00CF1DFA">
      <w:pPr>
        <w:pStyle w:val="SingleTxt"/>
      </w:pPr>
      <w:r w:rsidRPr="00AC36A1">
        <w:t>-</w:t>
      </w:r>
      <w:r w:rsidR="000C76E9" w:rsidRPr="00AC36A1">
        <w:t>“</w:t>
      </w:r>
      <w:r w:rsidRPr="00AC36A1">
        <w:rPr>
          <w:i/>
        </w:rPr>
        <w:t>Single Parent Families Development Programme</w:t>
      </w:r>
      <w:r w:rsidRPr="00AC36A1">
        <w:t xml:space="preserve">”, operating under then the Ministry of Social Services, provided self-employment assistance and Micro Enterprise Assistance during the period January-June 2014, to 208 single parents from the Northern Province and 18 single parents from the Eastern Province, making the total number of beneficiaries to 533 individuals in the Northern Province and 92 individuals in the Eastern Province from 2009 to date. </w:t>
      </w:r>
    </w:p>
    <w:p w:rsidR="00CF1DFA" w:rsidRPr="00AC36A1" w:rsidRDefault="007D5227" w:rsidP="007D5227">
      <w:pPr>
        <w:pStyle w:val="SingleTxt"/>
        <w:tabs>
          <w:tab w:val="right" w:pos="1685"/>
        </w:tabs>
        <w:ind w:left="1742" w:hanging="475"/>
      </w:pPr>
      <w:r w:rsidRPr="00AC36A1">
        <w:tab/>
      </w:r>
      <w:r w:rsidR="00CF1DFA" w:rsidRPr="00AC36A1">
        <w:t>•</w:t>
      </w:r>
      <w:r w:rsidR="00CF1DFA" w:rsidRPr="00AC36A1">
        <w:tab/>
        <w:t>livelihood programmes for women-headed households have been extended to Jaffna, Mannar, Vauniya, Mullaitivu, Kilinochchi, Batticaloa, Ampara, Trincomalee, Karainagar, Vadamarachchi East (Marudankeni), Vavuniya</w:t>
      </w:r>
      <w:r w:rsidR="008435CF" w:rsidRPr="00AC36A1">
        <w:t xml:space="preserve"> —</w:t>
      </w:r>
      <w:r w:rsidR="00CF1DFA" w:rsidRPr="00AC36A1">
        <w:t xml:space="preserve">Vengalasettikulam, Batticaloa </w:t>
      </w:r>
      <w:r w:rsidR="008435CF" w:rsidRPr="00AC36A1">
        <w:t xml:space="preserve">— </w:t>
      </w:r>
      <w:r w:rsidR="00CF1DFA" w:rsidRPr="00AC36A1">
        <w:t>Manmunai</w:t>
      </w:r>
      <w:r w:rsidR="006B5BEF" w:rsidRPr="00AC36A1">
        <w:t xml:space="preserve"> </w:t>
      </w:r>
      <w:r w:rsidR="00CF1DFA" w:rsidRPr="00AC36A1">
        <w:t xml:space="preserve">Pattu, Wakarai, Kilinochchi </w:t>
      </w:r>
      <w:r w:rsidR="008435CF" w:rsidRPr="00AC36A1">
        <w:t>—</w:t>
      </w:r>
      <w:r w:rsidR="00CF1DFA" w:rsidRPr="00AC36A1">
        <w:t xml:space="preserve"> Pachchileipalli, Mannar</w:t>
      </w:r>
      <w:r w:rsidR="008435CF" w:rsidRPr="00AC36A1">
        <w:t xml:space="preserve"> — </w:t>
      </w:r>
      <w:r w:rsidR="00CF1DFA" w:rsidRPr="00AC36A1">
        <w:t>Nanttan. They continue in Porathive</w:t>
      </w:r>
      <w:r w:rsidR="006B5BEF" w:rsidRPr="00AC36A1">
        <w:t xml:space="preserve"> </w:t>
      </w:r>
      <w:r w:rsidR="00CF1DFA" w:rsidRPr="00AC36A1">
        <w:t>Pattu, Kandawali, Kopay, Velanai, Karaveddhi, Maritimepattu, Kalmunai Tamil, Erawurpattu, Thenmarachchi, Kanthale, Kuchchaweli, Vengalasettikulam, Koraleipattu and Uduwil. Revolving credits have been issued for 283 women.</w:t>
      </w:r>
    </w:p>
    <w:p w:rsidR="00CF1DFA" w:rsidRPr="00AC36A1" w:rsidRDefault="007D5227" w:rsidP="007D5227">
      <w:pPr>
        <w:pStyle w:val="SingleTxt"/>
        <w:tabs>
          <w:tab w:val="right" w:pos="1685"/>
        </w:tabs>
        <w:ind w:left="1742" w:hanging="475"/>
      </w:pPr>
      <w:r w:rsidRPr="00AC36A1">
        <w:tab/>
      </w:r>
      <w:r w:rsidR="00CF1DFA" w:rsidRPr="00AC36A1">
        <w:t>•</w:t>
      </w:r>
      <w:r w:rsidR="00CF1DFA" w:rsidRPr="00AC36A1">
        <w:tab/>
        <w:t>the former Ministry of Child Development &amp; Women’s Affairs and Care International commenced a Special Development Programme mainly targeting widows and women-headed families in Kilinochchi and Mullaitivu. Social empowerment of women is carried out through awareness programmes on cash management, reproductive health, alcohol abuse and prevention of gender based violence.</w:t>
      </w:r>
    </w:p>
    <w:p w:rsidR="00CF1DFA" w:rsidRPr="00AC36A1" w:rsidRDefault="007D5227" w:rsidP="007D5227">
      <w:pPr>
        <w:pStyle w:val="SingleTxt"/>
        <w:tabs>
          <w:tab w:val="right" w:pos="1685"/>
        </w:tabs>
        <w:ind w:left="1742" w:hanging="475"/>
      </w:pPr>
      <w:r w:rsidRPr="00AC36A1">
        <w:tab/>
      </w:r>
      <w:r w:rsidR="00CF1DFA" w:rsidRPr="00AC36A1">
        <w:t>•</w:t>
      </w:r>
      <w:r w:rsidR="00CF1DFA" w:rsidRPr="00AC36A1">
        <w:tab/>
        <w:t xml:space="preserve">information on women-headed households in Northern Province used for provision of livelihood assistance under the </w:t>
      </w:r>
      <w:r w:rsidR="00CF1DFA" w:rsidRPr="00AC36A1">
        <w:rPr>
          <w:i/>
        </w:rPr>
        <w:t>Divi Neguma</w:t>
      </w:r>
      <w:r w:rsidR="00CF1DFA" w:rsidRPr="00AC36A1">
        <w:t xml:space="preserve"> programme of then the Ministry of Economic Development.</w:t>
      </w:r>
    </w:p>
    <w:p w:rsidR="00CF1DFA" w:rsidRPr="00AC36A1" w:rsidRDefault="00CF1DFA" w:rsidP="00CF1DFA">
      <w:pPr>
        <w:pStyle w:val="SingleTxt"/>
      </w:pPr>
      <w:r w:rsidRPr="00AC36A1">
        <w:t>121.</w:t>
      </w:r>
      <w:r w:rsidRPr="00AC36A1">
        <w:tab/>
        <w:t>In collaboration with the former Ministry of Economic Development, the M/WA has developed programmes targeting the widows and female-headed households in the conflict affected areas. This joint programme was designed as a component of the ‘Divi Neguma’ programme of the former Ministry of Economic Development. The objectives of this programme are as follows;</w:t>
      </w:r>
    </w:p>
    <w:p w:rsidR="00CF1DFA" w:rsidRPr="00AC36A1" w:rsidRDefault="007D5227" w:rsidP="007D5227">
      <w:pPr>
        <w:pStyle w:val="SingleTxt"/>
        <w:tabs>
          <w:tab w:val="right" w:pos="1685"/>
        </w:tabs>
        <w:ind w:left="1742" w:hanging="475"/>
      </w:pPr>
      <w:r w:rsidRPr="00AC36A1">
        <w:tab/>
      </w:r>
      <w:r w:rsidR="00CF1DFA" w:rsidRPr="00AC36A1">
        <w:t>•</w:t>
      </w:r>
      <w:r w:rsidR="00CF1DFA" w:rsidRPr="00AC36A1">
        <w:tab/>
        <w:t>introduce new projects at the community level for income generation targeting the women headed families and widows;</w:t>
      </w:r>
    </w:p>
    <w:p w:rsidR="00CF1DFA" w:rsidRPr="00AC36A1" w:rsidRDefault="007D5227" w:rsidP="007D5227">
      <w:pPr>
        <w:pStyle w:val="SingleTxt"/>
        <w:tabs>
          <w:tab w:val="right" w:pos="1685"/>
        </w:tabs>
        <w:ind w:left="1742" w:hanging="475"/>
      </w:pPr>
      <w:r w:rsidRPr="00AC36A1">
        <w:tab/>
      </w:r>
      <w:r w:rsidR="00CF1DFA" w:rsidRPr="00AC36A1">
        <w:t>•</w:t>
      </w:r>
      <w:r w:rsidR="00CF1DFA" w:rsidRPr="00AC36A1">
        <w:tab/>
        <w:t>enhance and promote the self-employment schemes which already exist;</w:t>
      </w:r>
    </w:p>
    <w:p w:rsidR="00CF1DFA" w:rsidRPr="00AC36A1" w:rsidRDefault="007D5227" w:rsidP="007D5227">
      <w:pPr>
        <w:pStyle w:val="SingleTxt"/>
        <w:tabs>
          <w:tab w:val="right" w:pos="1685"/>
        </w:tabs>
        <w:ind w:left="1742" w:hanging="475"/>
      </w:pPr>
      <w:r w:rsidRPr="00AC36A1">
        <w:tab/>
      </w:r>
      <w:r w:rsidR="00CF1DFA" w:rsidRPr="00AC36A1">
        <w:t>•</w:t>
      </w:r>
      <w:r w:rsidR="00CF1DFA" w:rsidRPr="00AC36A1">
        <w:tab/>
        <w:t>provide vocational training and entrepreneurship training for women identified under the ‘Divi Neguma’ programme;</w:t>
      </w:r>
    </w:p>
    <w:p w:rsidR="00CF1DFA" w:rsidRPr="00AC36A1" w:rsidRDefault="007D5227" w:rsidP="007D5227">
      <w:pPr>
        <w:pStyle w:val="SingleTxt"/>
        <w:tabs>
          <w:tab w:val="right" w:pos="1685"/>
        </w:tabs>
        <w:ind w:left="1742" w:hanging="475"/>
      </w:pPr>
      <w:r w:rsidRPr="00AC36A1">
        <w:tab/>
      </w:r>
      <w:r w:rsidR="00CF1DFA" w:rsidRPr="00AC36A1">
        <w:t>•</w:t>
      </w:r>
      <w:r w:rsidR="00CF1DFA" w:rsidRPr="00AC36A1">
        <w:tab/>
        <w:t>set up markets under the ‘Divi Neguma’ programme for women who have already commenced self-employment;</w:t>
      </w:r>
    </w:p>
    <w:p w:rsidR="00CF1DFA" w:rsidRPr="00AC36A1" w:rsidRDefault="007D5227" w:rsidP="007D5227">
      <w:pPr>
        <w:pStyle w:val="SingleTxt"/>
        <w:tabs>
          <w:tab w:val="right" w:pos="1685"/>
        </w:tabs>
        <w:ind w:left="1742" w:hanging="475"/>
      </w:pPr>
      <w:r w:rsidRPr="00AC36A1">
        <w:tab/>
      </w:r>
      <w:r w:rsidR="00CF1DFA" w:rsidRPr="00AC36A1">
        <w:t>•</w:t>
      </w:r>
      <w:r w:rsidR="00CF1DFA" w:rsidRPr="00AC36A1">
        <w:tab/>
        <w:t>monitor the implementation of above programmes through the officers at the field level who are attached to the Ministry and other women societies set up by the Ministry.</w:t>
      </w:r>
    </w:p>
    <w:p w:rsidR="00CF1DFA" w:rsidRPr="00AC36A1" w:rsidRDefault="007D5227" w:rsidP="007D5227">
      <w:pPr>
        <w:pStyle w:val="SingleTxt"/>
        <w:ind w:left="1742" w:hanging="475"/>
      </w:pPr>
      <w:r w:rsidRPr="00AC36A1">
        <w:tab/>
      </w:r>
      <w:r w:rsidR="00CF1DFA" w:rsidRPr="00AC36A1">
        <w:t>Both financial and technical support for the above programmes were provided by the Ministry of Economic Development under the ‘Divi Neguma’ programme.</w:t>
      </w:r>
    </w:p>
    <w:p w:rsidR="007D5227" w:rsidRPr="00AC36A1" w:rsidRDefault="007D5227">
      <w:pPr>
        <w:suppressAutoHyphens w:val="0"/>
        <w:spacing w:line="240" w:lineRule="auto"/>
      </w:pPr>
      <w:r w:rsidRPr="00AC36A1">
        <w:br w:type="page"/>
      </w:r>
    </w:p>
    <w:p w:rsidR="00CF1DFA" w:rsidRPr="00AC36A1" w:rsidRDefault="007D5227" w:rsidP="007D5227">
      <w:pPr>
        <w:pStyle w:val="H23"/>
        <w:ind w:right="1260"/>
      </w:pPr>
      <w:r w:rsidRPr="00AC36A1">
        <w:tab/>
      </w:r>
      <w:r w:rsidRPr="00AC36A1">
        <w:tab/>
      </w:r>
      <w:r w:rsidR="00CF1DFA" w:rsidRPr="00AC36A1">
        <w:t>Migrant women [Paragraph 43]</w:t>
      </w:r>
    </w:p>
    <w:p w:rsidR="007D5227" w:rsidRPr="00AC36A1" w:rsidRDefault="007D5227" w:rsidP="007D5227">
      <w:pPr>
        <w:pStyle w:val="SingleTxt"/>
        <w:spacing w:after="0" w:line="120" w:lineRule="exact"/>
        <w:rPr>
          <w:sz w:val="10"/>
        </w:rPr>
      </w:pPr>
    </w:p>
    <w:p w:rsidR="00CF1DFA" w:rsidRPr="00AC36A1" w:rsidRDefault="007D5227" w:rsidP="007D5227">
      <w:pPr>
        <w:pStyle w:val="H23"/>
        <w:ind w:right="1260"/>
        <w:rPr>
          <w:i/>
        </w:rPr>
      </w:pPr>
      <w:r w:rsidRPr="00AC36A1">
        <w:tab/>
      </w:r>
      <w:r w:rsidRPr="00AC36A1">
        <w:tab/>
      </w:r>
      <w:r w:rsidR="00CF1DFA" w:rsidRPr="00AC36A1">
        <w:rPr>
          <w:i/>
        </w:rPr>
        <w:t>Adopt a rights based approach to empower women migrant workers through implementing bilateral conventions with recipient countries and assisting migrant women who seek redress</w:t>
      </w:r>
    </w:p>
    <w:p w:rsidR="007D5227" w:rsidRPr="00AC36A1" w:rsidRDefault="007D5227" w:rsidP="007D5227">
      <w:pPr>
        <w:pStyle w:val="SingleTxt"/>
        <w:spacing w:after="0" w:line="120" w:lineRule="exact"/>
        <w:rPr>
          <w:sz w:val="10"/>
        </w:rPr>
      </w:pPr>
    </w:p>
    <w:p w:rsidR="00CF1DFA" w:rsidRPr="00AC36A1" w:rsidRDefault="00CF1DFA" w:rsidP="00CF1DFA">
      <w:pPr>
        <w:pStyle w:val="SingleTxt"/>
      </w:pPr>
      <w:r w:rsidRPr="00AC36A1">
        <w:t>122.</w:t>
      </w:r>
      <w:r w:rsidRPr="00AC36A1">
        <w:tab/>
        <w:t>On protection of migrant workers, Memoranda of Understanding (MoU) with the following countries have been entered into-</w:t>
      </w:r>
    </w:p>
    <w:p w:rsidR="00CF1DFA" w:rsidRPr="00AC36A1" w:rsidRDefault="007D5227" w:rsidP="00CF1DFA">
      <w:pPr>
        <w:pStyle w:val="SingleTxt"/>
      </w:pPr>
      <w:r w:rsidRPr="00AC36A1">
        <w:tab/>
      </w:r>
      <w:r w:rsidR="00CF1DFA" w:rsidRPr="00AC36A1">
        <w:t>1)</w:t>
      </w:r>
      <w:r w:rsidR="00CF1DFA" w:rsidRPr="00AC36A1">
        <w:tab/>
        <w:t>With the Govt. of Italy</w:t>
      </w:r>
      <w:r w:rsidR="00CF1DFA" w:rsidRPr="00AC36A1">
        <w:tab/>
        <w:t xml:space="preserve"> </w:t>
      </w:r>
      <w:r w:rsidR="00CF1DFA" w:rsidRPr="00AC36A1">
        <w:tab/>
      </w:r>
      <w:r w:rsidR="008435CF" w:rsidRPr="00AC36A1">
        <w:t>—</w:t>
      </w:r>
      <w:r w:rsidR="00CF1DFA" w:rsidRPr="00AC36A1">
        <w:t xml:space="preserve"> on 18 October, 2011</w:t>
      </w:r>
    </w:p>
    <w:p w:rsidR="00CF1DFA" w:rsidRPr="00AC36A1" w:rsidRDefault="007D5227" w:rsidP="00CF1DFA">
      <w:pPr>
        <w:pStyle w:val="SingleTxt"/>
      </w:pPr>
      <w:r w:rsidRPr="00AC36A1">
        <w:tab/>
        <w:t>2)</w:t>
      </w:r>
      <w:r w:rsidRPr="00AC36A1">
        <w:tab/>
        <w:t>With the State of Kuwait</w:t>
      </w:r>
      <w:r w:rsidRPr="00AC36A1">
        <w:tab/>
      </w:r>
      <w:r w:rsidRPr="00AC36A1">
        <w:tab/>
      </w:r>
      <w:r w:rsidR="008435CF" w:rsidRPr="00AC36A1">
        <w:t>—</w:t>
      </w:r>
      <w:r w:rsidR="00CF1DFA" w:rsidRPr="00AC36A1">
        <w:t xml:space="preserve"> on 10 May 2012</w:t>
      </w:r>
    </w:p>
    <w:p w:rsidR="00CF1DFA" w:rsidRPr="00AC36A1" w:rsidRDefault="007D5227" w:rsidP="00CF1DFA">
      <w:pPr>
        <w:pStyle w:val="SingleTxt"/>
      </w:pPr>
      <w:r w:rsidRPr="00AC36A1">
        <w:tab/>
      </w:r>
      <w:r w:rsidR="00CF1DFA" w:rsidRPr="00AC36A1">
        <w:t>3)</w:t>
      </w:r>
      <w:r w:rsidR="00CF1DFA" w:rsidRPr="00AC36A1">
        <w:tab/>
        <w:t xml:space="preserve">With Republic of Iraq </w:t>
      </w:r>
      <w:r w:rsidR="00CF1DFA" w:rsidRPr="00AC36A1">
        <w:tab/>
      </w:r>
      <w:r w:rsidR="00CF1DFA" w:rsidRPr="00AC36A1">
        <w:tab/>
      </w:r>
      <w:r w:rsidR="008435CF" w:rsidRPr="00AC36A1">
        <w:t>—</w:t>
      </w:r>
      <w:r w:rsidR="00CF1DFA" w:rsidRPr="00AC36A1">
        <w:t xml:space="preserve"> on 5 September, 2013</w:t>
      </w:r>
    </w:p>
    <w:p w:rsidR="00CF1DFA" w:rsidRPr="00AC36A1" w:rsidRDefault="007D5227" w:rsidP="00CF1DFA">
      <w:pPr>
        <w:pStyle w:val="SingleTxt"/>
      </w:pPr>
      <w:r w:rsidRPr="00AC36A1">
        <w:tab/>
      </w:r>
      <w:r w:rsidR="00CF1DFA" w:rsidRPr="00AC36A1">
        <w:t>4)</w:t>
      </w:r>
      <w:r w:rsidR="00CF1DFA" w:rsidRPr="00AC36A1">
        <w:tab/>
        <w:t>With Sultana of Oman</w:t>
      </w:r>
      <w:r w:rsidR="00CF1DFA" w:rsidRPr="00AC36A1">
        <w:tab/>
      </w:r>
      <w:r w:rsidR="00CF1DFA" w:rsidRPr="00AC36A1">
        <w:tab/>
        <w:t xml:space="preserve"> </w:t>
      </w:r>
      <w:r w:rsidR="008435CF" w:rsidRPr="00AC36A1">
        <w:t>—</w:t>
      </w:r>
      <w:r w:rsidR="00CF1DFA" w:rsidRPr="00AC36A1">
        <w:t xml:space="preserve"> on 22 June 2014</w:t>
      </w:r>
    </w:p>
    <w:p w:rsidR="00CF1DFA" w:rsidRPr="00AC36A1" w:rsidRDefault="00CF1DFA" w:rsidP="00CF1DFA">
      <w:pPr>
        <w:pStyle w:val="SingleTxt"/>
      </w:pPr>
      <w:r w:rsidRPr="00AC36A1">
        <w:t>123.</w:t>
      </w:r>
      <w:r w:rsidRPr="00AC36A1">
        <w:tab/>
        <w:t>Realizing that the women who are in younger ages have the potential of facing vulnerable situations, the minimum age limit of females leaving for foreign employment as domestic workers was increased with effect from 08.05.2013 as follows;</w:t>
      </w:r>
    </w:p>
    <w:p w:rsidR="00CF1DFA" w:rsidRPr="00AC36A1" w:rsidRDefault="007D5227" w:rsidP="00CF1DFA">
      <w:pPr>
        <w:pStyle w:val="SingleTxt"/>
      </w:pPr>
      <w:r w:rsidRPr="00AC36A1">
        <w:tab/>
      </w:r>
      <w:r w:rsidR="00CF1DFA" w:rsidRPr="00AC36A1">
        <w:t>Kingdom of Saudi Arabia</w:t>
      </w:r>
      <w:r w:rsidR="00CF1DFA" w:rsidRPr="00AC36A1">
        <w:tab/>
      </w:r>
      <w:r w:rsidRPr="00AC36A1">
        <w:tab/>
      </w:r>
      <w:r w:rsidR="00CF1DFA" w:rsidRPr="00AC36A1">
        <w:t xml:space="preserve">: from 21 years to 25 years </w:t>
      </w:r>
    </w:p>
    <w:p w:rsidR="00CF1DFA" w:rsidRPr="00AC36A1" w:rsidRDefault="007D5227" w:rsidP="00CF1DFA">
      <w:pPr>
        <w:pStyle w:val="SingleTxt"/>
      </w:pPr>
      <w:r w:rsidRPr="00AC36A1">
        <w:tab/>
      </w:r>
      <w:r w:rsidR="00CF1DFA" w:rsidRPr="00AC36A1">
        <w:t>Other Middle East countries</w:t>
      </w:r>
      <w:r w:rsidR="00CF1DFA" w:rsidRPr="00AC36A1">
        <w:tab/>
        <w:t>: from 21 years to 23 years</w:t>
      </w:r>
    </w:p>
    <w:p w:rsidR="00CF1DFA" w:rsidRPr="00AC36A1" w:rsidRDefault="007D5227" w:rsidP="00CF1DFA">
      <w:pPr>
        <w:pStyle w:val="SingleTxt"/>
      </w:pPr>
      <w:r w:rsidRPr="00AC36A1">
        <w:tab/>
      </w:r>
      <w:r w:rsidR="00CF1DFA" w:rsidRPr="00AC36A1">
        <w:t>Other countries</w:t>
      </w:r>
      <w:r w:rsidR="00CF1DFA" w:rsidRPr="00AC36A1">
        <w:tab/>
      </w:r>
      <w:r w:rsidR="00CF1DFA" w:rsidRPr="00AC36A1">
        <w:tab/>
      </w:r>
      <w:r w:rsidRPr="00AC36A1">
        <w:tab/>
      </w:r>
      <w:r w:rsidRPr="00AC36A1">
        <w:tab/>
      </w:r>
      <w:r w:rsidR="00CF1DFA" w:rsidRPr="00AC36A1">
        <w:t>: 21 years</w:t>
      </w:r>
    </w:p>
    <w:p w:rsidR="00CF1DFA" w:rsidRPr="00AC36A1" w:rsidRDefault="00CF1DFA" w:rsidP="00CF1DFA">
      <w:pPr>
        <w:pStyle w:val="SingleTxt"/>
      </w:pPr>
      <w:r w:rsidRPr="00AC36A1">
        <w:t>124.</w:t>
      </w:r>
      <w:r w:rsidRPr="00AC36A1">
        <w:tab/>
        <w:t>The Government has implemented several steps including the following through the SLBFE in governing employment agencies to minimize illegal practices. The SLBFE is the main arm of the Government that works for; (a)</w:t>
      </w:r>
      <w:r w:rsidR="003D6A8B" w:rsidRPr="00AC36A1">
        <w:t> </w:t>
      </w:r>
      <w:r w:rsidRPr="00AC36A1">
        <w:t>promotion of foreign employment opportunities for Sri Lanka (b) governance and regulations of foreign employment industry in Sri Lanka and (c) protection and welfare of migrant workers and their family members;</w:t>
      </w:r>
    </w:p>
    <w:p w:rsidR="00CF1DFA" w:rsidRPr="00AC36A1" w:rsidRDefault="007D5227" w:rsidP="007D5227">
      <w:pPr>
        <w:pStyle w:val="SingleTxt"/>
        <w:tabs>
          <w:tab w:val="right" w:pos="1685"/>
        </w:tabs>
        <w:ind w:left="1742" w:hanging="475"/>
      </w:pPr>
      <w:r w:rsidRPr="00AC36A1">
        <w:tab/>
      </w:r>
      <w:r w:rsidR="00CF1DFA" w:rsidRPr="00AC36A1">
        <w:t>•</w:t>
      </w:r>
      <w:r w:rsidR="00CF1DFA" w:rsidRPr="00AC36A1">
        <w:tab/>
        <w:t>a valid license is compulsory to carryout employment business by foreign employment agencies;</w:t>
      </w:r>
    </w:p>
    <w:p w:rsidR="00CF1DFA" w:rsidRPr="00AC36A1" w:rsidRDefault="007D5227" w:rsidP="007D5227">
      <w:pPr>
        <w:pStyle w:val="SingleTxt"/>
        <w:tabs>
          <w:tab w:val="right" w:pos="1685"/>
        </w:tabs>
        <w:ind w:left="1742" w:hanging="475"/>
      </w:pPr>
      <w:r w:rsidRPr="00AC36A1">
        <w:tab/>
      </w:r>
      <w:r w:rsidR="00CF1DFA" w:rsidRPr="00AC36A1">
        <w:t>•</w:t>
      </w:r>
      <w:r w:rsidR="00CF1DFA" w:rsidRPr="00AC36A1">
        <w:tab/>
        <w:t>activities of all foreign employment agencies are regulated by the Act of the SLFEB;</w:t>
      </w:r>
    </w:p>
    <w:p w:rsidR="00CF1DFA" w:rsidRPr="00AC36A1" w:rsidRDefault="007D5227" w:rsidP="007D5227">
      <w:pPr>
        <w:pStyle w:val="SingleTxt"/>
        <w:tabs>
          <w:tab w:val="right" w:pos="1685"/>
        </w:tabs>
        <w:ind w:left="1742" w:hanging="475"/>
      </w:pPr>
      <w:r w:rsidRPr="00AC36A1">
        <w:tab/>
      </w:r>
      <w:r w:rsidR="00CF1DFA" w:rsidRPr="00AC36A1">
        <w:t>•</w:t>
      </w:r>
      <w:r w:rsidR="00CF1DFA" w:rsidRPr="00AC36A1">
        <w:tab/>
        <w:t>all foreign employment agencies are graded according to their activities by the SLFEB;</w:t>
      </w:r>
    </w:p>
    <w:p w:rsidR="00CF1DFA" w:rsidRPr="00AC36A1" w:rsidRDefault="007D5227" w:rsidP="007D5227">
      <w:pPr>
        <w:pStyle w:val="SingleTxt"/>
        <w:tabs>
          <w:tab w:val="right" w:pos="1685"/>
        </w:tabs>
        <w:ind w:left="1742" w:hanging="475"/>
      </w:pPr>
      <w:r w:rsidRPr="00AC36A1">
        <w:tab/>
      </w:r>
      <w:r w:rsidR="00CF1DFA" w:rsidRPr="00AC36A1">
        <w:t>•</w:t>
      </w:r>
      <w:r w:rsidR="00CF1DFA" w:rsidRPr="00AC36A1">
        <w:tab/>
        <w:t>introducing guidelines to be followed by agencies to safeguard the rights of the workers and their welfare;</w:t>
      </w:r>
    </w:p>
    <w:p w:rsidR="00CF1DFA" w:rsidRPr="00AC36A1" w:rsidRDefault="007D5227" w:rsidP="007D5227">
      <w:pPr>
        <w:pStyle w:val="SingleTxt"/>
        <w:tabs>
          <w:tab w:val="right" w:pos="1685"/>
        </w:tabs>
        <w:ind w:left="1742" w:hanging="475"/>
      </w:pPr>
      <w:r w:rsidRPr="00AC36A1">
        <w:tab/>
      </w:r>
      <w:r w:rsidR="00CF1DFA" w:rsidRPr="00AC36A1">
        <w:t>•</w:t>
      </w:r>
      <w:r w:rsidR="00CF1DFA" w:rsidRPr="00AC36A1">
        <w:tab/>
        <w:t>monitoring and taking action against foreign employment agencies when they violate guidelines in the industry;</w:t>
      </w:r>
    </w:p>
    <w:p w:rsidR="00CF1DFA" w:rsidRPr="00AC36A1" w:rsidRDefault="007D5227" w:rsidP="007D5227">
      <w:pPr>
        <w:pStyle w:val="SingleTxt"/>
        <w:tabs>
          <w:tab w:val="right" w:pos="1685"/>
        </w:tabs>
        <w:ind w:left="1742" w:hanging="475"/>
      </w:pPr>
      <w:r w:rsidRPr="00AC36A1">
        <w:tab/>
      </w:r>
      <w:r w:rsidR="00CF1DFA" w:rsidRPr="00AC36A1">
        <w:t>•</w:t>
      </w:r>
      <w:r w:rsidR="00CF1DFA" w:rsidRPr="00AC36A1">
        <w:tab/>
        <w:t xml:space="preserve">a quota system was imposed with effect from 15.04.2013 in order to maintaining a quality of recruiting of migrant workers through Licensed Foreign Agencies to Middle Eastern countries; </w:t>
      </w:r>
    </w:p>
    <w:p w:rsidR="00CF1DFA" w:rsidRPr="00AC36A1" w:rsidRDefault="007D5227" w:rsidP="007D5227">
      <w:pPr>
        <w:pStyle w:val="SingleTxt"/>
        <w:tabs>
          <w:tab w:val="right" w:pos="1685"/>
        </w:tabs>
        <w:ind w:left="1742" w:hanging="475"/>
      </w:pPr>
      <w:r w:rsidRPr="00AC36A1">
        <w:tab/>
      </w:r>
      <w:r w:rsidR="00CF1DFA" w:rsidRPr="00AC36A1">
        <w:t>•</w:t>
      </w:r>
      <w:r w:rsidR="00CF1DFA" w:rsidRPr="00AC36A1">
        <w:tab/>
        <w:t>a refundable security deposit of US$ 1000(o</w:t>
      </w:r>
      <w:r w:rsidR="003D6A8B" w:rsidRPr="00AC36A1">
        <w:t>r non-refundable deposit of US$ </w:t>
      </w:r>
      <w:r w:rsidR="00CF1DFA" w:rsidRPr="00AC36A1">
        <w:t>500 as an alternative) by employer for direct recruitment of females for employment in Middle East as domestic workers, was made compulsory with effect from 01.06.2012;</w:t>
      </w:r>
    </w:p>
    <w:p w:rsidR="00CF1DFA" w:rsidRPr="00AC36A1" w:rsidRDefault="007D5227" w:rsidP="007D5227">
      <w:pPr>
        <w:pStyle w:val="SingleTxt"/>
        <w:tabs>
          <w:tab w:val="right" w:pos="1685"/>
        </w:tabs>
        <w:ind w:left="1742" w:hanging="475"/>
      </w:pPr>
      <w:r w:rsidRPr="00AC36A1">
        <w:tab/>
      </w:r>
      <w:r w:rsidR="00CF1DFA" w:rsidRPr="00AC36A1">
        <w:t>•</w:t>
      </w:r>
      <w:r w:rsidR="00CF1DFA" w:rsidRPr="00AC36A1">
        <w:tab/>
        <w:t>submission of a Family background Report by females leaving for foreign employment as domestic workers was made mandatory with effect from 15.07.2013. This was introduced in ensuring the protection of small children (below 5 years of age) who are left behind by mothers, leaving for foreign employments.</w:t>
      </w:r>
    </w:p>
    <w:p w:rsidR="00CF1DFA" w:rsidRPr="00AC36A1" w:rsidRDefault="00CF1DFA" w:rsidP="00CF1DFA">
      <w:pPr>
        <w:pStyle w:val="SingleTxt"/>
      </w:pPr>
      <w:r w:rsidRPr="00AC36A1">
        <w:t>125.</w:t>
      </w:r>
      <w:r w:rsidRPr="00AC36A1">
        <w:tab/>
        <w:t>When the departures for foreign employment are considered from 1995 onwards, it is seen that the share of females is gradually decreasing and the share of departures of male workers is increasing. Departures of female workers have decreased during 2013 by 14.64 per cent and male workers have increased by 21.45</w:t>
      </w:r>
      <w:r w:rsidR="007D5227" w:rsidRPr="00AC36A1">
        <w:t> </w:t>
      </w:r>
      <w:r w:rsidRPr="00AC36A1">
        <w:t>per cent. On the other hand, the departures of housemaids, who are mostly vulnerable to ill-treatments and un-protective situations, has decreased by 18.33 per cent in 2013.This shows a transition from female dominance in departures for foreign employment in mid-1990 to male dominance by 2013.</w:t>
      </w:r>
    </w:p>
    <w:p w:rsidR="00CF1DFA" w:rsidRPr="00AC36A1" w:rsidRDefault="00CF1DFA" w:rsidP="00CF1DFA">
      <w:pPr>
        <w:pStyle w:val="SingleTxt"/>
      </w:pPr>
      <w:r w:rsidRPr="00AC36A1">
        <w:t>126.</w:t>
      </w:r>
      <w:r w:rsidRPr="00AC36A1">
        <w:tab/>
        <w:t>Many initiatives that were introduced with comprehensive details that were submitted in Sri Lanka’s 5th, 6th and 7th combined Report, continue to be implemented.</w:t>
      </w:r>
    </w:p>
    <w:p w:rsidR="007D5227" w:rsidRPr="00AC36A1" w:rsidRDefault="007D5227" w:rsidP="007D5227">
      <w:pPr>
        <w:pStyle w:val="SingleTxt"/>
        <w:spacing w:after="0" w:line="120" w:lineRule="exact"/>
        <w:rPr>
          <w:sz w:val="10"/>
        </w:rPr>
      </w:pPr>
    </w:p>
    <w:p w:rsidR="00CF1DFA" w:rsidRPr="00AC36A1" w:rsidRDefault="007D5227" w:rsidP="007D5227">
      <w:pPr>
        <w:pStyle w:val="H23"/>
        <w:ind w:right="1260"/>
      </w:pPr>
      <w:r w:rsidRPr="00AC36A1">
        <w:tab/>
      </w:r>
      <w:r w:rsidRPr="00AC36A1">
        <w:tab/>
      </w:r>
      <w:r w:rsidR="00CF1DFA" w:rsidRPr="00AC36A1">
        <w:t>Marriage and family relations [Paragraph 45]</w:t>
      </w:r>
    </w:p>
    <w:p w:rsidR="007D5227" w:rsidRPr="00AC36A1" w:rsidRDefault="007D5227" w:rsidP="007D5227">
      <w:pPr>
        <w:pStyle w:val="SingleTxt"/>
        <w:spacing w:after="0" w:line="120" w:lineRule="exact"/>
        <w:rPr>
          <w:sz w:val="10"/>
        </w:rPr>
      </w:pPr>
    </w:p>
    <w:p w:rsidR="00CF1DFA" w:rsidRPr="00AC36A1" w:rsidRDefault="007D5227" w:rsidP="007D5227">
      <w:pPr>
        <w:pStyle w:val="H23"/>
        <w:ind w:right="1260"/>
        <w:rPr>
          <w:i/>
        </w:rPr>
      </w:pPr>
      <w:r w:rsidRPr="00AC36A1">
        <w:rPr>
          <w:i/>
        </w:rPr>
        <w:tab/>
      </w:r>
      <w:r w:rsidRPr="00AC36A1">
        <w:rPr>
          <w:i/>
        </w:rPr>
        <w:tab/>
      </w:r>
      <w:r w:rsidR="00CF1DFA" w:rsidRPr="00AC36A1">
        <w:rPr>
          <w:i/>
        </w:rPr>
        <w:t>Amend the Muslim personal law regarding polygamy and early marriage</w:t>
      </w:r>
    </w:p>
    <w:p w:rsidR="007D5227" w:rsidRPr="00AC36A1" w:rsidRDefault="007D5227" w:rsidP="007D5227">
      <w:pPr>
        <w:pStyle w:val="SingleTxt"/>
        <w:spacing w:after="0" w:line="120" w:lineRule="exact"/>
        <w:rPr>
          <w:i/>
          <w:sz w:val="10"/>
        </w:rPr>
      </w:pPr>
    </w:p>
    <w:p w:rsidR="00CF1DFA" w:rsidRPr="00AC36A1" w:rsidRDefault="007D5227" w:rsidP="007D5227">
      <w:pPr>
        <w:pStyle w:val="H23"/>
        <w:ind w:right="1260"/>
        <w:rPr>
          <w:i/>
        </w:rPr>
      </w:pPr>
      <w:r w:rsidRPr="00AC36A1">
        <w:rPr>
          <w:i/>
        </w:rPr>
        <w:tab/>
      </w:r>
      <w:r w:rsidRPr="00AC36A1">
        <w:rPr>
          <w:i/>
        </w:rPr>
        <w:tab/>
      </w:r>
      <w:r w:rsidR="00CF1DFA" w:rsidRPr="00AC36A1">
        <w:rPr>
          <w:i/>
        </w:rPr>
        <w:t>Amend Thesawalamai law which requires husbands consent for women to appear in court or undertake any transaction</w:t>
      </w:r>
    </w:p>
    <w:p w:rsidR="007D5227" w:rsidRPr="00AC36A1" w:rsidRDefault="007D5227" w:rsidP="007D5227">
      <w:pPr>
        <w:pStyle w:val="SingleTxt"/>
        <w:spacing w:after="0" w:line="120" w:lineRule="exact"/>
        <w:rPr>
          <w:i/>
          <w:sz w:val="10"/>
        </w:rPr>
      </w:pPr>
    </w:p>
    <w:p w:rsidR="00CF1DFA" w:rsidRPr="00AC36A1" w:rsidRDefault="007D5227" w:rsidP="007D5227">
      <w:pPr>
        <w:pStyle w:val="H23"/>
        <w:ind w:right="1260"/>
        <w:rPr>
          <w:i/>
        </w:rPr>
      </w:pPr>
      <w:r w:rsidRPr="00AC36A1">
        <w:rPr>
          <w:i/>
        </w:rPr>
        <w:tab/>
      </w:r>
      <w:r w:rsidRPr="00AC36A1">
        <w:rPr>
          <w:i/>
        </w:rPr>
        <w:tab/>
      </w:r>
      <w:r w:rsidR="00CF1DFA" w:rsidRPr="00AC36A1">
        <w:rPr>
          <w:i/>
        </w:rPr>
        <w:t>Consider preparing a unified family code in which equal right of inheritance, property and land are addressed as well as polygamy and early marriage with a view to abolishing them</w:t>
      </w:r>
    </w:p>
    <w:p w:rsidR="007D5227" w:rsidRPr="00AC36A1" w:rsidRDefault="007D5227" w:rsidP="007D5227">
      <w:pPr>
        <w:pStyle w:val="SingleTxt"/>
        <w:spacing w:after="0" w:line="120" w:lineRule="exact"/>
        <w:rPr>
          <w:sz w:val="10"/>
        </w:rPr>
      </w:pPr>
    </w:p>
    <w:p w:rsidR="00CF1DFA" w:rsidRPr="00AC36A1" w:rsidRDefault="00CF1DFA" w:rsidP="00CF1DFA">
      <w:pPr>
        <w:pStyle w:val="SingleTxt"/>
      </w:pPr>
      <w:r w:rsidRPr="00AC36A1">
        <w:t>127.</w:t>
      </w:r>
      <w:r w:rsidRPr="00AC36A1">
        <w:tab/>
        <w:t xml:space="preserve">Sri Lanka’s approaches in reforming personal laws remain as stated in its previous periodic reports and are clarified above under “Discriminatory laws”. </w:t>
      </w:r>
    </w:p>
    <w:p w:rsidR="007D5227" w:rsidRPr="00AC36A1" w:rsidRDefault="007D5227" w:rsidP="007D5227">
      <w:pPr>
        <w:pStyle w:val="SingleTxt"/>
        <w:spacing w:after="0" w:line="120" w:lineRule="exact"/>
        <w:rPr>
          <w:sz w:val="10"/>
        </w:rPr>
      </w:pPr>
    </w:p>
    <w:p w:rsidR="00CF1DFA" w:rsidRPr="00AC36A1" w:rsidRDefault="007D5227" w:rsidP="007D5227">
      <w:pPr>
        <w:pStyle w:val="H23"/>
        <w:ind w:right="1260"/>
        <w:rPr>
          <w:i/>
        </w:rPr>
      </w:pPr>
      <w:r w:rsidRPr="00AC36A1">
        <w:tab/>
      </w:r>
      <w:r w:rsidRPr="00AC36A1">
        <w:tab/>
      </w:r>
      <w:r w:rsidR="00CF1DFA" w:rsidRPr="00AC36A1">
        <w:rPr>
          <w:i/>
        </w:rPr>
        <w:t>Ensure women’s participation in the law reform process</w:t>
      </w:r>
    </w:p>
    <w:p w:rsidR="007D5227" w:rsidRPr="00AC36A1" w:rsidRDefault="007D5227" w:rsidP="007D5227">
      <w:pPr>
        <w:pStyle w:val="SingleTxt"/>
        <w:spacing w:after="0" w:line="120" w:lineRule="exact"/>
        <w:rPr>
          <w:sz w:val="10"/>
        </w:rPr>
      </w:pPr>
    </w:p>
    <w:p w:rsidR="00CF1DFA" w:rsidRPr="00AC36A1" w:rsidRDefault="00CF1DFA" w:rsidP="00CF1DFA">
      <w:pPr>
        <w:pStyle w:val="SingleTxt"/>
      </w:pPr>
      <w:r w:rsidRPr="00AC36A1">
        <w:t>128.</w:t>
      </w:r>
      <w:r w:rsidRPr="00AC36A1">
        <w:tab/>
        <w:t xml:space="preserve">There is absolutely no deterrent to women’s participation in the law reform process. In fact 82 per cent in the legal draftsman’s Department are women officers, while 40 per cent of lawyers and 34 per </w:t>
      </w:r>
      <w:r w:rsidR="006B5BEF" w:rsidRPr="00AC36A1">
        <w:t>cent of</w:t>
      </w:r>
      <w:r w:rsidRPr="00AC36A1">
        <w:t xml:space="preserve"> legal official in the AG’s Department are women.</w:t>
      </w:r>
    </w:p>
    <w:p w:rsidR="007D5227" w:rsidRPr="00AC36A1" w:rsidRDefault="007D5227" w:rsidP="007D5227">
      <w:pPr>
        <w:pStyle w:val="SingleTxt"/>
        <w:spacing w:after="0" w:line="120" w:lineRule="exact"/>
        <w:rPr>
          <w:sz w:val="10"/>
        </w:rPr>
      </w:pPr>
    </w:p>
    <w:p w:rsidR="00CF1DFA" w:rsidRPr="00AC36A1" w:rsidRDefault="007D5227" w:rsidP="007D5227">
      <w:pPr>
        <w:pStyle w:val="H23"/>
        <w:ind w:right="1260"/>
        <w:rPr>
          <w:i/>
        </w:rPr>
      </w:pPr>
      <w:r w:rsidRPr="00AC36A1">
        <w:tab/>
      </w:r>
      <w:r w:rsidRPr="00AC36A1">
        <w:tab/>
      </w:r>
      <w:r w:rsidR="00CF1DFA" w:rsidRPr="00AC36A1">
        <w:rPr>
          <w:i/>
        </w:rPr>
        <w:t>Report on efforts undertaken to recognize no-fault divorce and enhance women’s economic rights upon divorce</w:t>
      </w:r>
    </w:p>
    <w:p w:rsidR="007D5227" w:rsidRPr="00AC36A1" w:rsidRDefault="007D5227" w:rsidP="007D5227">
      <w:pPr>
        <w:pStyle w:val="SingleTxt"/>
        <w:spacing w:after="0" w:line="120" w:lineRule="exact"/>
        <w:rPr>
          <w:sz w:val="10"/>
        </w:rPr>
      </w:pPr>
    </w:p>
    <w:p w:rsidR="00CF1DFA" w:rsidRPr="00AC36A1" w:rsidRDefault="00CF1DFA" w:rsidP="00CF1DFA">
      <w:pPr>
        <w:pStyle w:val="SingleTxt"/>
      </w:pPr>
      <w:r w:rsidRPr="00AC36A1">
        <w:t>129.</w:t>
      </w:r>
      <w:r w:rsidRPr="00AC36A1">
        <w:tab/>
        <w:t xml:space="preserve">The Law Commission has formulated a draft Bill which recognizes the concept of marital breakdown as a ground for divorce. The Bill is under consideration. </w:t>
      </w:r>
    </w:p>
    <w:p w:rsidR="007D5227" w:rsidRPr="00AC36A1" w:rsidRDefault="007D5227" w:rsidP="007D5227">
      <w:pPr>
        <w:pStyle w:val="SingleTxt"/>
        <w:spacing w:after="0" w:line="120" w:lineRule="exact"/>
        <w:rPr>
          <w:sz w:val="10"/>
        </w:rPr>
      </w:pPr>
    </w:p>
    <w:p w:rsidR="00CF1DFA" w:rsidRPr="00AC36A1" w:rsidRDefault="007D5227" w:rsidP="007D5227">
      <w:pPr>
        <w:pStyle w:val="H23"/>
        <w:ind w:right="1260"/>
      </w:pPr>
      <w:r w:rsidRPr="00AC36A1">
        <w:tab/>
      </w:r>
      <w:r w:rsidRPr="00AC36A1">
        <w:tab/>
      </w:r>
      <w:r w:rsidR="00CF1DFA" w:rsidRPr="00AC36A1">
        <w:t>Data collection and analysis [Paragraph 47]</w:t>
      </w:r>
    </w:p>
    <w:p w:rsidR="007D5227" w:rsidRPr="00AC36A1" w:rsidRDefault="007D5227" w:rsidP="007D5227">
      <w:pPr>
        <w:pStyle w:val="SingleTxt"/>
        <w:spacing w:after="0" w:line="120" w:lineRule="exact"/>
        <w:rPr>
          <w:sz w:val="10"/>
        </w:rPr>
      </w:pPr>
    </w:p>
    <w:p w:rsidR="00CF1DFA" w:rsidRPr="00AC36A1" w:rsidRDefault="00CF1DFA" w:rsidP="00CF1DFA">
      <w:pPr>
        <w:pStyle w:val="SingleTxt"/>
      </w:pPr>
      <w:r w:rsidRPr="00AC36A1">
        <w:t>130.</w:t>
      </w:r>
      <w:r w:rsidRPr="00AC36A1">
        <w:tab/>
        <w:t xml:space="preserve">There is considerable disaggregated data being compiled in respect of all sectors and more disaggregated data is being sought for monitoring and evaluation purposes and to determine policy changes. </w:t>
      </w:r>
    </w:p>
    <w:p w:rsidR="007D5227" w:rsidRPr="00AC36A1" w:rsidRDefault="007D5227">
      <w:pPr>
        <w:suppressAutoHyphens w:val="0"/>
        <w:spacing w:line="240" w:lineRule="auto"/>
      </w:pPr>
      <w:r w:rsidRPr="00AC36A1">
        <w:br w:type="page"/>
      </w:r>
    </w:p>
    <w:p w:rsidR="00CF1DFA" w:rsidRPr="00AC36A1" w:rsidRDefault="007D5227" w:rsidP="007D5227">
      <w:pPr>
        <w:pStyle w:val="H23"/>
        <w:ind w:right="1260"/>
      </w:pPr>
      <w:r w:rsidRPr="00AC36A1">
        <w:tab/>
      </w:r>
      <w:r w:rsidRPr="00AC36A1">
        <w:tab/>
      </w:r>
      <w:r w:rsidR="00CF1DFA" w:rsidRPr="00AC36A1">
        <w:t>Amendment to Article 20(1) of the Convention [Paragraph 48]</w:t>
      </w:r>
    </w:p>
    <w:p w:rsidR="007D5227" w:rsidRPr="00AC36A1" w:rsidRDefault="007D5227" w:rsidP="007D5227">
      <w:pPr>
        <w:pStyle w:val="SingleTxt"/>
        <w:spacing w:after="0" w:line="120" w:lineRule="exact"/>
        <w:rPr>
          <w:sz w:val="10"/>
        </w:rPr>
      </w:pPr>
    </w:p>
    <w:p w:rsidR="00CF1DFA" w:rsidRPr="00AC36A1" w:rsidRDefault="00CF1DFA" w:rsidP="00CF1DFA">
      <w:pPr>
        <w:pStyle w:val="SingleTxt"/>
      </w:pPr>
      <w:r w:rsidRPr="00AC36A1">
        <w:t>131.</w:t>
      </w:r>
      <w:r w:rsidRPr="00AC36A1">
        <w:tab/>
        <w:t>Process of Sri Lanka accepting the amendment is expected to be completed latest by end of May 2015.</w:t>
      </w:r>
    </w:p>
    <w:p w:rsidR="007D5227" w:rsidRPr="00AC36A1" w:rsidRDefault="007D5227" w:rsidP="007D5227">
      <w:pPr>
        <w:pStyle w:val="SingleTxt"/>
        <w:spacing w:after="0" w:line="120" w:lineRule="exact"/>
        <w:rPr>
          <w:sz w:val="10"/>
        </w:rPr>
      </w:pPr>
    </w:p>
    <w:p w:rsidR="00CF1DFA" w:rsidRPr="00AC36A1" w:rsidRDefault="007D5227" w:rsidP="007D5227">
      <w:pPr>
        <w:pStyle w:val="H23"/>
        <w:ind w:right="1260"/>
      </w:pPr>
      <w:r w:rsidRPr="00AC36A1">
        <w:tab/>
      </w:r>
      <w:r w:rsidRPr="00AC36A1">
        <w:tab/>
      </w:r>
      <w:r w:rsidR="00CF1DFA" w:rsidRPr="00AC36A1">
        <w:t>Beijing Declaration and Platform for Action [Paragraph 49]</w:t>
      </w:r>
    </w:p>
    <w:p w:rsidR="007D5227" w:rsidRPr="00AC36A1" w:rsidRDefault="007D5227" w:rsidP="007D5227">
      <w:pPr>
        <w:pStyle w:val="SingleTxt"/>
        <w:spacing w:after="0" w:line="120" w:lineRule="exact"/>
        <w:rPr>
          <w:sz w:val="10"/>
        </w:rPr>
      </w:pPr>
    </w:p>
    <w:p w:rsidR="00CF1DFA" w:rsidRPr="00AC36A1" w:rsidRDefault="007D5227" w:rsidP="007D5227">
      <w:pPr>
        <w:pStyle w:val="H23"/>
        <w:ind w:right="1260"/>
        <w:rPr>
          <w:i/>
        </w:rPr>
      </w:pPr>
      <w:r w:rsidRPr="00AC36A1">
        <w:tab/>
      </w:r>
      <w:r w:rsidRPr="00AC36A1">
        <w:tab/>
      </w:r>
      <w:r w:rsidR="00CF1DFA" w:rsidRPr="00AC36A1">
        <w:rPr>
          <w:i/>
        </w:rPr>
        <w:t>Fully utilize above which reinforce the provisions of the Convention and include information thereon in its next periodic Report</w:t>
      </w:r>
    </w:p>
    <w:p w:rsidR="007D5227" w:rsidRPr="00AC36A1" w:rsidRDefault="007D5227" w:rsidP="007D5227">
      <w:pPr>
        <w:pStyle w:val="SingleTxt"/>
        <w:spacing w:after="0" w:line="120" w:lineRule="exact"/>
        <w:rPr>
          <w:sz w:val="10"/>
        </w:rPr>
      </w:pPr>
    </w:p>
    <w:p w:rsidR="00CF1DFA" w:rsidRPr="00AC36A1" w:rsidRDefault="00CF1DFA" w:rsidP="00CF1DFA">
      <w:pPr>
        <w:pStyle w:val="SingleTxt"/>
      </w:pPr>
      <w:r w:rsidRPr="00AC36A1">
        <w:t>132.</w:t>
      </w:r>
      <w:r w:rsidRPr="00AC36A1">
        <w:tab/>
        <w:t>The three priority areas that the M/W is currently working on are:</w:t>
      </w:r>
    </w:p>
    <w:p w:rsidR="00CF1DFA" w:rsidRPr="00AC36A1" w:rsidRDefault="007D5227" w:rsidP="00CF1DFA">
      <w:pPr>
        <w:pStyle w:val="SingleTxt"/>
      </w:pPr>
      <w:r w:rsidRPr="00AC36A1">
        <w:tab/>
      </w:r>
      <w:r w:rsidR="00CF1DFA" w:rsidRPr="00AC36A1">
        <w:t>(i)</w:t>
      </w:r>
      <w:r w:rsidR="00CF1DFA" w:rsidRPr="00AC36A1">
        <w:tab/>
        <w:t>Women’s economic empowerment;</w:t>
      </w:r>
    </w:p>
    <w:p w:rsidR="00CF1DFA" w:rsidRPr="00AC36A1" w:rsidRDefault="007D5227" w:rsidP="00CF1DFA">
      <w:pPr>
        <w:pStyle w:val="SingleTxt"/>
      </w:pPr>
      <w:r w:rsidRPr="00AC36A1">
        <w:tab/>
      </w:r>
      <w:r w:rsidR="00CF1DFA" w:rsidRPr="00AC36A1">
        <w:t>(ii)</w:t>
      </w:r>
      <w:r w:rsidR="00CF1DFA" w:rsidRPr="00AC36A1">
        <w:tab/>
        <w:t>Elimination of violence against women and girls;</w:t>
      </w:r>
    </w:p>
    <w:p w:rsidR="00CF1DFA" w:rsidRPr="00AC36A1" w:rsidRDefault="007D5227" w:rsidP="007D5227">
      <w:pPr>
        <w:pStyle w:val="SingleTxt"/>
        <w:ind w:left="1742" w:hanging="475"/>
      </w:pPr>
      <w:r w:rsidRPr="00AC36A1">
        <w:tab/>
      </w:r>
      <w:r w:rsidR="00CF1DFA" w:rsidRPr="00AC36A1">
        <w:t>(iii)</w:t>
      </w:r>
      <w:r w:rsidR="00CF1DFA" w:rsidRPr="00AC36A1">
        <w:tab/>
        <w:t xml:space="preserve">Women’s engagement in public and political life. These are within the twelve 12 critical areas in the Beijing Platform for Action. </w:t>
      </w:r>
    </w:p>
    <w:p w:rsidR="00CF1DFA" w:rsidRPr="00AC36A1" w:rsidRDefault="00CF1DFA" w:rsidP="00CF1DFA">
      <w:pPr>
        <w:pStyle w:val="SingleTxt"/>
      </w:pPr>
      <w:r w:rsidRPr="00AC36A1">
        <w:t>133.</w:t>
      </w:r>
      <w:r w:rsidRPr="00AC36A1">
        <w:tab/>
        <w:t>The National Plan of Action for Women is based on the Beijing Declaration and Platform for Action and has been approved by the Cabinet1996. The decision of the Cabinet was to focus on vulnerable groups, and hence the Action Plan focuses on female headed households, war affected women and poor women. Most of the activities of the Ministry have focused on addressing the socio economic empowerment of these categories as well as enhancing the recognition of the rights of women.</w:t>
      </w:r>
    </w:p>
    <w:p w:rsidR="00CF1DFA" w:rsidRPr="00AC36A1" w:rsidRDefault="00CF1DFA" w:rsidP="00CF1DFA">
      <w:pPr>
        <w:pStyle w:val="SingleTxt"/>
      </w:pPr>
      <w:r w:rsidRPr="00AC36A1">
        <w:t>134.</w:t>
      </w:r>
      <w:r w:rsidRPr="00AC36A1">
        <w:tab/>
        <w:t>The progress report on Sri Lanka in line with the Beijing Action Plan is being formulated by the Women’s Affairs Ministry to mark the 20th anniversary of the Beijing Women’s Conference held in 1995. The progress report is being formulated under 12 areas of issues related to women. The study will focus on finding to find out as to what the rest of the women who are 52 per cent of the Sri Lankan population, are doing for a living.</w:t>
      </w:r>
    </w:p>
    <w:p w:rsidR="007D5227" w:rsidRPr="00AC36A1" w:rsidRDefault="007D5227" w:rsidP="007D5227">
      <w:pPr>
        <w:pStyle w:val="SingleTxt"/>
        <w:spacing w:after="0" w:line="120" w:lineRule="exact"/>
        <w:rPr>
          <w:sz w:val="10"/>
        </w:rPr>
      </w:pPr>
    </w:p>
    <w:p w:rsidR="007D5227" w:rsidRPr="00AC36A1" w:rsidRDefault="007D5227" w:rsidP="007D5227">
      <w:pPr>
        <w:pStyle w:val="SingleTxt"/>
        <w:spacing w:after="0" w:line="120" w:lineRule="exact"/>
        <w:rPr>
          <w:sz w:val="10"/>
        </w:rPr>
      </w:pPr>
    </w:p>
    <w:p w:rsidR="00CF1DFA" w:rsidRPr="00AC36A1" w:rsidRDefault="00CF1DFA" w:rsidP="007D5227">
      <w:pPr>
        <w:pStyle w:val="H1"/>
        <w:ind w:right="1260"/>
      </w:pPr>
      <w:r w:rsidRPr="00AC36A1">
        <w:tab/>
      </w:r>
      <w:r w:rsidRPr="00AC36A1">
        <w:tab/>
        <w:t>Part II</w:t>
      </w:r>
    </w:p>
    <w:p w:rsidR="00CF1DFA" w:rsidRPr="00AC36A1" w:rsidRDefault="00CF1DFA" w:rsidP="007D5227">
      <w:pPr>
        <w:pStyle w:val="H1"/>
        <w:ind w:right="1260"/>
      </w:pPr>
      <w:r w:rsidRPr="00AC36A1">
        <w:tab/>
      </w:r>
      <w:r w:rsidRPr="00AC36A1">
        <w:tab/>
        <w:t>Progress since last periodic report</w:t>
      </w:r>
    </w:p>
    <w:p w:rsidR="007D5227" w:rsidRPr="00AC36A1" w:rsidRDefault="007D5227" w:rsidP="007D5227">
      <w:pPr>
        <w:pStyle w:val="SingleTxt"/>
        <w:spacing w:after="0" w:line="120" w:lineRule="exact"/>
        <w:rPr>
          <w:sz w:val="10"/>
        </w:rPr>
      </w:pPr>
    </w:p>
    <w:p w:rsidR="007D5227" w:rsidRPr="00AC36A1" w:rsidRDefault="007D5227" w:rsidP="007D5227">
      <w:pPr>
        <w:pStyle w:val="SingleTxt"/>
        <w:spacing w:after="0" w:line="120" w:lineRule="exact"/>
        <w:rPr>
          <w:sz w:val="10"/>
        </w:rPr>
      </w:pPr>
    </w:p>
    <w:p w:rsidR="00CF1DFA" w:rsidRPr="00AC36A1" w:rsidRDefault="00CF1DFA" w:rsidP="007D5227">
      <w:pPr>
        <w:pStyle w:val="H23"/>
        <w:ind w:right="1260"/>
      </w:pPr>
      <w:r w:rsidRPr="00AC36A1">
        <w:tab/>
      </w:r>
      <w:r w:rsidRPr="00AC36A1">
        <w:tab/>
        <w:t xml:space="preserve">Articles 2 and 3 </w:t>
      </w:r>
    </w:p>
    <w:p w:rsidR="007D5227" w:rsidRPr="00AC36A1" w:rsidRDefault="007D5227" w:rsidP="007D5227">
      <w:pPr>
        <w:pStyle w:val="SingleTxt"/>
        <w:spacing w:after="0" w:line="120" w:lineRule="exact"/>
        <w:rPr>
          <w:sz w:val="10"/>
        </w:rPr>
      </w:pPr>
    </w:p>
    <w:p w:rsidR="00CF1DFA" w:rsidRPr="00AC36A1" w:rsidRDefault="007D5227" w:rsidP="007D5227">
      <w:pPr>
        <w:pStyle w:val="H23"/>
        <w:ind w:right="1260"/>
      </w:pPr>
      <w:r w:rsidRPr="00AC36A1">
        <w:tab/>
      </w:r>
      <w:r w:rsidRPr="00AC36A1">
        <w:tab/>
      </w:r>
      <w:r w:rsidR="00CF1DFA" w:rsidRPr="00AC36A1">
        <w:t>Elimination of discrimination and right to fully participate in all fields</w:t>
      </w:r>
    </w:p>
    <w:p w:rsidR="007D5227" w:rsidRPr="00AC36A1" w:rsidRDefault="007D5227" w:rsidP="007D5227">
      <w:pPr>
        <w:pStyle w:val="SingleTxt"/>
        <w:spacing w:after="0" w:line="120" w:lineRule="exact"/>
        <w:rPr>
          <w:sz w:val="10"/>
        </w:rPr>
      </w:pPr>
    </w:p>
    <w:p w:rsidR="00CF1DFA" w:rsidRPr="00AC36A1" w:rsidRDefault="00CF1DFA" w:rsidP="00CF1DFA">
      <w:pPr>
        <w:pStyle w:val="SingleTxt"/>
      </w:pPr>
      <w:r w:rsidRPr="00AC36A1">
        <w:t>135.</w:t>
      </w:r>
      <w:r w:rsidRPr="00AC36A1">
        <w:tab/>
        <w:t>Sri Lanka’s comprehensive legal regime recognizing equality before the law and its anti-discrimination policies have continually been focused on ensuring effective and meaningful implementation. The capacity and skills of the partners in the administration of justice process continue to be enhanced through several appropriate programmes as referred to in Part 1.</w:t>
      </w:r>
    </w:p>
    <w:p w:rsidR="007D5227" w:rsidRPr="00AC36A1" w:rsidRDefault="007D5227" w:rsidP="007D5227">
      <w:pPr>
        <w:pStyle w:val="SingleTxt"/>
        <w:spacing w:after="0" w:line="120" w:lineRule="exact"/>
        <w:rPr>
          <w:sz w:val="10"/>
        </w:rPr>
      </w:pPr>
    </w:p>
    <w:p w:rsidR="00CF1DFA" w:rsidRPr="00AC36A1" w:rsidRDefault="00CF1DFA" w:rsidP="007D5227">
      <w:pPr>
        <w:pStyle w:val="H23"/>
        <w:ind w:right="1260"/>
      </w:pPr>
      <w:r w:rsidRPr="00AC36A1">
        <w:tab/>
      </w:r>
      <w:r w:rsidRPr="00AC36A1">
        <w:tab/>
        <w:t>Article 4</w:t>
      </w:r>
    </w:p>
    <w:p w:rsidR="007D5227" w:rsidRPr="00AC36A1" w:rsidRDefault="007D5227" w:rsidP="007D5227">
      <w:pPr>
        <w:pStyle w:val="SingleTxt"/>
        <w:spacing w:after="0" w:line="120" w:lineRule="exact"/>
        <w:rPr>
          <w:sz w:val="10"/>
        </w:rPr>
      </w:pPr>
    </w:p>
    <w:p w:rsidR="00CF1DFA" w:rsidRPr="00AC36A1" w:rsidRDefault="007D5227" w:rsidP="007D5227">
      <w:pPr>
        <w:pStyle w:val="H23"/>
        <w:ind w:right="1260"/>
      </w:pPr>
      <w:r w:rsidRPr="00AC36A1">
        <w:tab/>
      </w:r>
      <w:r w:rsidRPr="00AC36A1">
        <w:tab/>
      </w:r>
      <w:r w:rsidR="00CF1DFA" w:rsidRPr="00AC36A1">
        <w:t>Temporary special measures</w:t>
      </w:r>
    </w:p>
    <w:p w:rsidR="007D5227" w:rsidRPr="00AC36A1" w:rsidRDefault="007D5227" w:rsidP="007D5227">
      <w:pPr>
        <w:pStyle w:val="SingleTxt"/>
        <w:spacing w:after="0" w:line="120" w:lineRule="exact"/>
        <w:rPr>
          <w:sz w:val="10"/>
        </w:rPr>
      </w:pPr>
    </w:p>
    <w:p w:rsidR="00CF1DFA" w:rsidRPr="00AC36A1" w:rsidRDefault="00CF1DFA" w:rsidP="00CF1DFA">
      <w:pPr>
        <w:pStyle w:val="SingleTxt"/>
      </w:pPr>
      <w:r w:rsidRPr="00AC36A1">
        <w:t>136.</w:t>
      </w:r>
      <w:r w:rsidRPr="00AC36A1">
        <w:tab/>
        <w:t xml:space="preserve">Temporary special measures are recognized as legitimate interventions in terms of the Constitution. However, no such measures have been considered, and the approach has been to incorporate necessary measures as national policy. </w:t>
      </w:r>
    </w:p>
    <w:p w:rsidR="007D5227" w:rsidRPr="00AC36A1" w:rsidRDefault="007D5227">
      <w:pPr>
        <w:suppressAutoHyphens w:val="0"/>
        <w:spacing w:line="240" w:lineRule="auto"/>
      </w:pPr>
      <w:r w:rsidRPr="00AC36A1">
        <w:br w:type="page"/>
      </w:r>
    </w:p>
    <w:p w:rsidR="00CF1DFA" w:rsidRPr="00AC36A1" w:rsidRDefault="00CF1DFA" w:rsidP="007D5227">
      <w:pPr>
        <w:pStyle w:val="H23"/>
        <w:ind w:right="1260"/>
      </w:pPr>
      <w:r w:rsidRPr="00AC36A1">
        <w:tab/>
      </w:r>
      <w:r w:rsidRPr="00AC36A1">
        <w:tab/>
        <w:t>Article 5</w:t>
      </w:r>
    </w:p>
    <w:p w:rsidR="007D5227" w:rsidRPr="00AC36A1" w:rsidRDefault="007D5227" w:rsidP="007D5227">
      <w:pPr>
        <w:pStyle w:val="SingleTxt"/>
        <w:spacing w:after="0" w:line="120" w:lineRule="exact"/>
        <w:rPr>
          <w:sz w:val="10"/>
        </w:rPr>
      </w:pPr>
    </w:p>
    <w:p w:rsidR="00CF1DFA" w:rsidRPr="00AC36A1" w:rsidRDefault="007D5227" w:rsidP="007D5227">
      <w:pPr>
        <w:pStyle w:val="H23"/>
        <w:ind w:right="1260"/>
      </w:pPr>
      <w:r w:rsidRPr="00AC36A1">
        <w:tab/>
      </w:r>
      <w:r w:rsidRPr="00AC36A1">
        <w:tab/>
      </w:r>
      <w:r w:rsidR="00CF1DFA" w:rsidRPr="00AC36A1">
        <w:t>Elimination of prejudices and customary and other practices</w:t>
      </w:r>
    </w:p>
    <w:p w:rsidR="007D5227" w:rsidRPr="00AC36A1" w:rsidRDefault="007D5227" w:rsidP="007D5227">
      <w:pPr>
        <w:pStyle w:val="SingleTxt"/>
        <w:spacing w:after="0" w:line="120" w:lineRule="exact"/>
        <w:rPr>
          <w:sz w:val="10"/>
        </w:rPr>
      </w:pPr>
    </w:p>
    <w:p w:rsidR="00CF1DFA" w:rsidRPr="00AC36A1" w:rsidRDefault="00CF1DFA" w:rsidP="00CF1DFA">
      <w:pPr>
        <w:pStyle w:val="SingleTxt"/>
      </w:pPr>
      <w:r w:rsidRPr="00AC36A1">
        <w:t>137.</w:t>
      </w:r>
      <w:r w:rsidRPr="00AC36A1">
        <w:tab/>
        <w:t>Social and cultural patterns that were based on perceived superiority of men has eroded to a large extent and continue to erode with significant numbers of women acquiring high educational qualifications and securing employment in positions compatible with their qualifications. As successful progress has been achieved through national progressive policies, it is believed that permitting natural progression of the status of women is an approach that will produce sustainable results.</w:t>
      </w:r>
    </w:p>
    <w:p w:rsidR="007D5227" w:rsidRPr="00AC36A1" w:rsidRDefault="007D5227" w:rsidP="007D5227">
      <w:pPr>
        <w:pStyle w:val="SingleTxt"/>
        <w:spacing w:after="0" w:line="120" w:lineRule="exact"/>
        <w:rPr>
          <w:sz w:val="10"/>
        </w:rPr>
      </w:pPr>
    </w:p>
    <w:p w:rsidR="00CF1DFA" w:rsidRPr="00AC36A1" w:rsidRDefault="00CF1DFA" w:rsidP="007D5227">
      <w:pPr>
        <w:pStyle w:val="H23"/>
        <w:ind w:right="1260"/>
      </w:pPr>
      <w:r w:rsidRPr="00AC36A1">
        <w:tab/>
      </w:r>
      <w:r w:rsidRPr="00AC36A1">
        <w:tab/>
        <w:t>Article 6</w:t>
      </w:r>
    </w:p>
    <w:p w:rsidR="007D5227" w:rsidRPr="00AC36A1" w:rsidRDefault="007D5227" w:rsidP="007D5227">
      <w:pPr>
        <w:pStyle w:val="SingleTxt"/>
        <w:spacing w:after="0" w:line="120" w:lineRule="exact"/>
        <w:rPr>
          <w:sz w:val="10"/>
        </w:rPr>
      </w:pPr>
    </w:p>
    <w:p w:rsidR="00CF1DFA" w:rsidRPr="00AC36A1" w:rsidRDefault="007D5227" w:rsidP="007D5227">
      <w:pPr>
        <w:pStyle w:val="H23"/>
        <w:ind w:right="1260"/>
      </w:pPr>
      <w:r w:rsidRPr="00AC36A1">
        <w:tab/>
      </w:r>
      <w:r w:rsidRPr="00AC36A1">
        <w:tab/>
      </w:r>
      <w:r w:rsidR="00CF1DFA" w:rsidRPr="00AC36A1">
        <w:t xml:space="preserve">Suppression of trafficking and exploitation of prostitution </w:t>
      </w:r>
    </w:p>
    <w:p w:rsidR="007D5227" w:rsidRPr="00AC36A1" w:rsidRDefault="007D5227" w:rsidP="007D5227">
      <w:pPr>
        <w:pStyle w:val="SingleTxt"/>
        <w:spacing w:after="0" w:line="120" w:lineRule="exact"/>
        <w:rPr>
          <w:sz w:val="10"/>
        </w:rPr>
      </w:pPr>
    </w:p>
    <w:p w:rsidR="00CF1DFA" w:rsidRPr="00AC36A1" w:rsidRDefault="00CF1DFA" w:rsidP="00CF1DFA">
      <w:pPr>
        <w:pStyle w:val="SingleTxt"/>
      </w:pPr>
      <w:r w:rsidRPr="00AC36A1">
        <w:t>138.</w:t>
      </w:r>
      <w:r w:rsidRPr="00AC36A1">
        <w:tab/>
        <w:t>Considerable progress has been achieved to deal with the offence of trafficking as has been enumerated in Part 1 of this Report.</w:t>
      </w:r>
    </w:p>
    <w:p w:rsidR="007D5227" w:rsidRPr="00AC36A1" w:rsidRDefault="007D5227" w:rsidP="007D5227">
      <w:pPr>
        <w:pStyle w:val="SingleTxt"/>
        <w:spacing w:after="0" w:line="120" w:lineRule="exact"/>
        <w:rPr>
          <w:sz w:val="10"/>
        </w:rPr>
      </w:pPr>
    </w:p>
    <w:p w:rsidR="00CF1DFA" w:rsidRPr="00AC36A1" w:rsidRDefault="00CF1DFA" w:rsidP="007D5227">
      <w:pPr>
        <w:pStyle w:val="H23"/>
        <w:ind w:right="1260"/>
      </w:pPr>
      <w:r w:rsidRPr="00AC36A1">
        <w:tab/>
      </w:r>
      <w:r w:rsidRPr="00AC36A1">
        <w:tab/>
        <w:t>Article 7</w:t>
      </w:r>
    </w:p>
    <w:p w:rsidR="007D5227" w:rsidRPr="00AC36A1" w:rsidRDefault="007D5227" w:rsidP="007D5227">
      <w:pPr>
        <w:pStyle w:val="SingleTxt"/>
        <w:spacing w:after="0" w:line="120" w:lineRule="exact"/>
        <w:rPr>
          <w:sz w:val="10"/>
        </w:rPr>
      </w:pPr>
    </w:p>
    <w:p w:rsidR="00CF1DFA" w:rsidRPr="00AC36A1" w:rsidRDefault="007D5227" w:rsidP="007D5227">
      <w:pPr>
        <w:pStyle w:val="H23"/>
        <w:ind w:right="1260"/>
      </w:pPr>
      <w:r w:rsidRPr="00AC36A1">
        <w:tab/>
      </w:r>
      <w:r w:rsidRPr="00AC36A1">
        <w:tab/>
      </w:r>
      <w:r w:rsidR="00CF1DFA" w:rsidRPr="00AC36A1">
        <w:t>Equal rights to vote and participate in political and public life</w:t>
      </w:r>
    </w:p>
    <w:p w:rsidR="007D5227" w:rsidRPr="00AC36A1" w:rsidRDefault="007D5227" w:rsidP="007D5227">
      <w:pPr>
        <w:pStyle w:val="SingleTxt"/>
        <w:spacing w:after="0" w:line="120" w:lineRule="exact"/>
        <w:rPr>
          <w:sz w:val="10"/>
        </w:rPr>
      </w:pPr>
    </w:p>
    <w:p w:rsidR="00CF1DFA" w:rsidRPr="00AC36A1" w:rsidRDefault="00CF1DFA" w:rsidP="00CF1DFA">
      <w:pPr>
        <w:pStyle w:val="SingleTxt"/>
      </w:pPr>
      <w:r w:rsidRPr="00AC36A1">
        <w:t>139.</w:t>
      </w:r>
      <w:r w:rsidRPr="00AC36A1">
        <w:tab/>
        <w:t xml:space="preserve">Sri Lankan women have equal rights with men in respect of the areas referred to in paragraphs (a) to (c) of this Article. The women have also shown their strength in participating in political life other than in the area of presenting themselves for election. As has been enumerated in Part 1, although many initiatives have been made to encourage women to enter the political arena, there has been a reluctance on the part of women to stand for election to Parliament and at Provincial and lower elected bodies. </w:t>
      </w:r>
    </w:p>
    <w:p w:rsidR="00CF1DFA" w:rsidRPr="00AC36A1" w:rsidRDefault="00CF1DFA" w:rsidP="00CF1DFA">
      <w:pPr>
        <w:pStyle w:val="SingleTxt"/>
      </w:pPr>
      <w:r w:rsidRPr="00AC36A1">
        <w:t>140.</w:t>
      </w:r>
      <w:r w:rsidRPr="00AC36A1">
        <w:tab/>
        <w:t>However, continuous attention is being made to encourage women to assume public officers as Members of Parliament and Provincial bodies. As explained at paragraph 60, it is likely that participation will increase with the implementation of the Work Plan of the Women’s Parliamentary Caucus Women do participate in decision making specially at policy level. Entering the national and provincial legislatures is not the only way or the most significant way in which the voice and issues that impact women can be addressed. Despite the statistically low figure of women legislators, it is noted that for more than 22 out of the 67 years since Sri Lanka gained independence, executive power in the country has been wielded by elected women leaders. (Prime Minister Sirimavo Bandaranaike, the world’s first elected female Prime Minister; President Chandrika Bandaranaike Kumaratunga, Sri Lanka’s first female executive President governed from 1994 to 2005. She now plays an important role in the reconciliation process).</w:t>
      </w:r>
    </w:p>
    <w:p w:rsidR="007D5227" w:rsidRPr="00AC36A1" w:rsidRDefault="007D5227" w:rsidP="007D5227">
      <w:pPr>
        <w:pStyle w:val="SingleTxt"/>
        <w:spacing w:after="0" w:line="120" w:lineRule="exact"/>
        <w:rPr>
          <w:sz w:val="10"/>
        </w:rPr>
      </w:pPr>
    </w:p>
    <w:p w:rsidR="00CF1DFA" w:rsidRPr="00AC36A1" w:rsidRDefault="00CF1DFA" w:rsidP="007D5227">
      <w:pPr>
        <w:pStyle w:val="H23"/>
        <w:ind w:right="1260"/>
      </w:pPr>
      <w:r w:rsidRPr="00AC36A1">
        <w:tab/>
      </w:r>
      <w:r w:rsidRPr="00AC36A1">
        <w:tab/>
        <w:t>Article 8</w:t>
      </w:r>
    </w:p>
    <w:p w:rsidR="007D5227" w:rsidRPr="00AC36A1" w:rsidRDefault="007D5227" w:rsidP="007D5227">
      <w:pPr>
        <w:pStyle w:val="SingleTxt"/>
        <w:spacing w:after="0" w:line="120" w:lineRule="exact"/>
        <w:rPr>
          <w:sz w:val="10"/>
        </w:rPr>
      </w:pPr>
    </w:p>
    <w:p w:rsidR="00CF1DFA" w:rsidRPr="00AC36A1" w:rsidRDefault="007D5227" w:rsidP="007D5227">
      <w:pPr>
        <w:pStyle w:val="H23"/>
        <w:ind w:right="1260"/>
      </w:pPr>
      <w:r w:rsidRPr="00AC36A1">
        <w:tab/>
      </w:r>
      <w:r w:rsidRPr="00AC36A1">
        <w:tab/>
      </w:r>
      <w:r w:rsidR="00CF1DFA" w:rsidRPr="00AC36A1">
        <w:t>Equal rights to represent Government</w:t>
      </w:r>
    </w:p>
    <w:p w:rsidR="007D5227" w:rsidRPr="00AC36A1" w:rsidRDefault="007D5227" w:rsidP="007D5227">
      <w:pPr>
        <w:pStyle w:val="SingleTxt"/>
        <w:spacing w:after="0" w:line="120" w:lineRule="exact"/>
        <w:rPr>
          <w:sz w:val="10"/>
        </w:rPr>
      </w:pPr>
    </w:p>
    <w:p w:rsidR="00CF1DFA" w:rsidRPr="00AC36A1" w:rsidRDefault="00CF1DFA" w:rsidP="00CF1DFA">
      <w:pPr>
        <w:pStyle w:val="SingleTxt"/>
      </w:pPr>
      <w:r w:rsidRPr="00AC36A1">
        <w:t>141.</w:t>
      </w:r>
      <w:r w:rsidRPr="00AC36A1">
        <w:tab/>
        <w:t>Universal adult franchise was introduced in Sri Lanka (then Ceylon) in 1931. Women’s right to vote has been guaranteed and there has never been any obstacle to their active participation at all elections and public referenda and to be eligible for election to all public elected bodies.</w:t>
      </w:r>
    </w:p>
    <w:p w:rsidR="00CF1DFA" w:rsidRPr="00AC36A1" w:rsidRDefault="00CF1DFA" w:rsidP="00CF1DFA">
      <w:pPr>
        <w:pStyle w:val="SingleTxt"/>
      </w:pPr>
      <w:r w:rsidRPr="00AC36A1">
        <w:t>142.</w:t>
      </w:r>
      <w:r w:rsidRPr="00AC36A1">
        <w:tab/>
        <w:t>Sri Lankan women are free to participate in the formulation of government policy and their implementation thereof and to hold public office and perform all public functions at all levels of government. A detailed description has already been given in Part I of this report.</w:t>
      </w:r>
    </w:p>
    <w:p w:rsidR="00CF1DFA" w:rsidRPr="00AC36A1" w:rsidRDefault="00CF1DFA" w:rsidP="00CF1DFA">
      <w:pPr>
        <w:pStyle w:val="SingleTxt"/>
      </w:pPr>
      <w:r w:rsidRPr="00AC36A1">
        <w:t>143.</w:t>
      </w:r>
      <w:r w:rsidRPr="00AC36A1">
        <w:tab/>
        <w:t>That position continues and women are well represented at international level and have complete freedom to participate in the work of international organizations, including in UN Peacekeeping. With the Government’s policy of enhanced cooperation with international organizations and participation in international processes, the Government envisages increased participation of women in these processes including peacekeeping.</w:t>
      </w:r>
    </w:p>
    <w:p w:rsidR="00637808" w:rsidRPr="00AC36A1" w:rsidRDefault="00637808" w:rsidP="00637808">
      <w:pPr>
        <w:pStyle w:val="SingleTxt"/>
        <w:spacing w:after="0" w:line="120" w:lineRule="exact"/>
        <w:rPr>
          <w:sz w:val="10"/>
        </w:rPr>
      </w:pPr>
    </w:p>
    <w:p w:rsidR="00CF1DFA" w:rsidRPr="00AC36A1" w:rsidRDefault="00CF1DFA" w:rsidP="00637808">
      <w:pPr>
        <w:pStyle w:val="H23"/>
        <w:ind w:right="1260"/>
      </w:pPr>
      <w:r w:rsidRPr="00AC36A1">
        <w:tab/>
      </w:r>
      <w:r w:rsidRPr="00AC36A1">
        <w:tab/>
        <w:t>Article 9</w:t>
      </w:r>
    </w:p>
    <w:p w:rsidR="00637808" w:rsidRPr="00AC36A1" w:rsidRDefault="00637808" w:rsidP="00637808">
      <w:pPr>
        <w:pStyle w:val="SingleTxt"/>
        <w:spacing w:after="0" w:line="120" w:lineRule="exact"/>
        <w:rPr>
          <w:sz w:val="10"/>
        </w:rPr>
      </w:pPr>
    </w:p>
    <w:p w:rsidR="00CF1DFA" w:rsidRPr="00AC36A1" w:rsidRDefault="00637808" w:rsidP="00637808">
      <w:pPr>
        <w:pStyle w:val="H23"/>
        <w:ind w:right="1260"/>
      </w:pPr>
      <w:r w:rsidRPr="00AC36A1">
        <w:tab/>
      </w:r>
      <w:r w:rsidRPr="00AC36A1">
        <w:tab/>
      </w:r>
      <w:r w:rsidR="00CF1DFA" w:rsidRPr="00AC36A1">
        <w:t>Equal rights regarding nationality</w:t>
      </w:r>
    </w:p>
    <w:p w:rsidR="00637808" w:rsidRPr="00AC36A1" w:rsidRDefault="00637808" w:rsidP="00637808">
      <w:pPr>
        <w:pStyle w:val="SingleTxt"/>
        <w:spacing w:after="0" w:line="120" w:lineRule="exact"/>
        <w:rPr>
          <w:sz w:val="10"/>
        </w:rPr>
      </w:pPr>
    </w:p>
    <w:p w:rsidR="00CF1DFA" w:rsidRPr="00AC36A1" w:rsidRDefault="00CF1DFA" w:rsidP="00CF1DFA">
      <w:pPr>
        <w:pStyle w:val="SingleTxt"/>
      </w:pPr>
      <w:r w:rsidRPr="00AC36A1">
        <w:t>144.</w:t>
      </w:r>
      <w:r w:rsidRPr="00AC36A1">
        <w:tab/>
        <w:t>The position of absolute equality has been ensured by law and practice. Women have all rights to decide the nationality irrespective of their marriage. Women have equal rights with men with respect to the nationality of their children, as guaranteed by the 2003, No 16 Citizenship (amended) Act.</w:t>
      </w:r>
    </w:p>
    <w:p w:rsidR="00637808" w:rsidRPr="00AC36A1" w:rsidRDefault="00637808" w:rsidP="00637808">
      <w:pPr>
        <w:pStyle w:val="SingleTxt"/>
        <w:spacing w:after="0" w:line="120" w:lineRule="exact"/>
        <w:rPr>
          <w:sz w:val="10"/>
        </w:rPr>
      </w:pPr>
    </w:p>
    <w:p w:rsidR="00CF1DFA" w:rsidRPr="00AC36A1" w:rsidRDefault="00CF1DFA" w:rsidP="00637808">
      <w:pPr>
        <w:pStyle w:val="H23"/>
        <w:ind w:right="1260"/>
      </w:pPr>
      <w:r w:rsidRPr="00AC36A1">
        <w:tab/>
      </w:r>
      <w:r w:rsidRPr="00AC36A1">
        <w:tab/>
        <w:t>Article 10</w:t>
      </w:r>
    </w:p>
    <w:p w:rsidR="00637808" w:rsidRPr="00AC36A1" w:rsidRDefault="00637808" w:rsidP="00637808">
      <w:pPr>
        <w:pStyle w:val="SingleTxt"/>
        <w:spacing w:after="0" w:line="120" w:lineRule="exact"/>
        <w:rPr>
          <w:sz w:val="10"/>
        </w:rPr>
      </w:pPr>
    </w:p>
    <w:p w:rsidR="00CF1DFA" w:rsidRPr="00AC36A1" w:rsidRDefault="00637808" w:rsidP="00637808">
      <w:pPr>
        <w:pStyle w:val="H23"/>
        <w:ind w:right="1260"/>
      </w:pPr>
      <w:r w:rsidRPr="00AC36A1">
        <w:tab/>
      </w:r>
      <w:r w:rsidRPr="00AC36A1">
        <w:tab/>
      </w:r>
      <w:r w:rsidR="00CF1DFA" w:rsidRPr="00AC36A1">
        <w:t>Equal rights to education</w:t>
      </w:r>
    </w:p>
    <w:p w:rsidR="00637808" w:rsidRPr="00AC36A1" w:rsidRDefault="00637808" w:rsidP="00637808">
      <w:pPr>
        <w:pStyle w:val="SingleTxt"/>
        <w:spacing w:after="0" w:line="120" w:lineRule="exact"/>
        <w:rPr>
          <w:sz w:val="10"/>
        </w:rPr>
      </w:pPr>
    </w:p>
    <w:p w:rsidR="00CF1DFA" w:rsidRPr="00AC36A1" w:rsidRDefault="00CF1DFA" w:rsidP="00CF1DFA">
      <w:pPr>
        <w:pStyle w:val="SingleTxt"/>
      </w:pPr>
      <w:r w:rsidRPr="00AC36A1">
        <w:t>145.</w:t>
      </w:r>
      <w:r w:rsidRPr="00AC36A1">
        <w:tab/>
        <w:t xml:space="preserve">There continues to be a policy of no-discrimination in education. In fact the Statistics with regard to the achievements of girls in secondary schools and women in higher education continues to show significant progress. </w:t>
      </w:r>
    </w:p>
    <w:p w:rsidR="00637808" w:rsidRPr="00AC36A1" w:rsidRDefault="00637808" w:rsidP="00637808">
      <w:pPr>
        <w:pStyle w:val="SingleTxt"/>
        <w:spacing w:after="0" w:line="120" w:lineRule="exact"/>
        <w:rPr>
          <w:sz w:val="10"/>
        </w:rPr>
      </w:pPr>
    </w:p>
    <w:p w:rsidR="00CF1DFA" w:rsidRPr="00AC36A1" w:rsidRDefault="00637808" w:rsidP="00637808">
      <w:pPr>
        <w:pStyle w:val="H23"/>
        <w:ind w:right="1260"/>
      </w:pPr>
      <w:r w:rsidRPr="00AC36A1">
        <w:tab/>
      </w:r>
      <w:r w:rsidRPr="00AC36A1">
        <w:tab/>
      </w:r>
      <w:r w:rsidR="00CF1DFA" w:rsidRPr="00AC36A1">
        <w:t>Access to Education</w:t>
      </w:r>
    </w:p>
    <w:p w:rsidR="00637808" w:rsidRPr="00AC36A1" w:rsidRDefault="00637808" w:rsidP="00637808">
      <w:pPr>
        <w:pStyle w:val="SingleTxt"/>
        <w:spacing w:after="0" w:line="120" w:lineRule="exact"/>
        <w:rPr>
          <w:sz w:val="10"/>
        </w:rPr>
      </w:pPr>
    </w:p>
    <w:p w:rsidR="00CF1DFA" w:rsidRPr="00AC36A1" w:rsidRDefault="00637808" w:rsidP="00637808">
      <w:pPr>
        <w:pStyle w:val="H23"/>
        <w:ind w:right="1260"/>
        <w:rPr>
          <w:i/>
        </w:rPr>
      </w:pPr>
      <w:r w:rsidRPr="00AC36A1">
        <w:tab/>
      </w:r>
      <w:r w:rsidRPr="00AC36A1">
        <w:tab/>
      </w:r>
      <w:r w:rsidR="00CF1DFA" w:rsidRPr="00AC36A1">
        <w:rPr>
          <w:i/>
        </w:rPr>
        <w:t>Trends in enrolment, retention and performance</w:t>
      </w:r>
    </w:p>
    <w:p w:rsidR="00637808" w:rsidRPr="00AC36A1" w:rsidRDefault="00637808" w:rsidP="00637808">
      <w:pPr>
        <w:pStyle w:val="SingleTxt"/>
        <w:spacing w:after="0" w:line="120" w:lineRule="exact"/>
        <w:rPr>
          <w:sz w:val="10"/>
        </w:rPr>
      </w:pPr>
    </w:p>
    <w:p w:rsidR="00CF1DFA" w:rsidRPr="00AC36A1" w:rsidRDefault="00CF1DFA" w:rsidP="00CF1DFA">
      <w:pPr>
        <w:pStyle w:val="SingleTxt"/>
      </w:pPr>
      <w:r w:rsidRPr="00AC36A1">
        <w:t>146.</w:t>
      </w:r>
      <w:r w:rsidRPr="00AC36A1">
        <w:tab/>
        <w:t xml:space="preserve">As previously reported there are no legal barriers to schooling for girls in the nearly 10,000 state schools and in other private schools. The fact that 96 per cent of schools are co-educational has facilitated the access of girls to schools. </w:t>
      </w:r>
    </w:p>
    <w:p w:rsidR="00CF1DFA" w:rsidRPr="00AC36A1" w:rsidRDefault="00CF1DFA" w:rsidP="00CF1DFA">
      <w:pPr>
        <w:pStyle w:val="SingleTxt"/>
      </w:pPr>
      <w:r w:rsidRPr="00AC36A1">
        <w:t>147.</w:t>
      </w:r>
      <w:r w:rsidRPr="00AC36A1">
        <w:tab/>
        <w:t xml:space="preserve">The very satisfactory state of girl’s education is evidenced from the data set out below. </w:t>
      </w:r>
    </w:p>
    <w:p w:rsidR="00637808" w:rsidRPr="00AC36A1" w:rsidRDefault="00637808" w:rsidP="00637808">
      <w:pPr>
        <w:pStyle w:val="SingleTxt"/>
        <w:spacing w:after="0" w:line="120" w:lineRule="exact"/>
        <w:rPr>
          <w:sz w:val="10"/>
        </w:rPr>
      </w:pPr>
    </w:p>
    <w:p w:rsidR="00CF1DFA" w:rsidRPr="00AC36A1" w:rsidRDefault="00637808" w:rsidP="00637808">
      <w:pPr>
        <w:pStyle w:val="H23"/>
        <w:ind w:right="1260"/>
        <w:rPr>
          <w:b w:val="0"/>
        </w:rPr>
      </w:pPr>
      <w:r w:rsidRPr="00AC36A1">
        <w:tab/>
      </w:r>
      <w:r w:rsidRPr="00AC36A1">
        <w:tab/>
      </w:r>
      <w:r w:rsidR="00CF1DFA" w:rsidRPr="00AC36A1">
        <w:rPr>
          <w:b w:val="0"/>
        </w:rPr>
        <w:t>Table 1</w:t>
      </w:r>
    </w:p>
    <w:p w:rsidR="00CF1DFA" w:rsidRPr="00AC36A1" w:rsidRDefault="00637808" w:rsidP="00637808">
      <w:pPr>
        <w:pStyle w:val="H23"/>
        <w:ind w:right="1260"/>
      </w:pPr>
      <w:r w:rsidRPr="00AC36A1">
        <w:tab/>
      </w:r>
      <w:r w:rsidRPr="00AC36A1">
        <w:tab/>
      </w:r>
      <w:r w:rsidR="00CF1DFA" w:rsidRPr="00AC36A1">
        <w:t>Net Enrolment Rate in Primary Education by Gender, 2012</w:t>
      </w:r>
    </w:p>
    <w:p w:rsidR="00637808" w:rsidRPr="00AC36A1" w:rsidRDefault="00637808" w:rsidP="00637808">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637808" w:rsidRPr="00AC36A1" w:rsidTr="00637808">
        <w:trPr>
          <w:tblHeader/>
        </w:trPr>
        <w:tc>
          <w:tcPr>
            <w:tcW w:w="1830" w:type="dxa"/>
            <w:tcBorders>
              <w:top w:val="single" w:sz="4" w:space="0" w:color="auto"/>
              <w:bottom w:val="single" w:sz="12" w:space="0" w:color="auto"/>
            </w:tcBorders>
            <w:shd w:val="clear" w:color="auto" w:fill="auto"/>
            <w:vAlign w:val="bottom"/>
          </w:tcPr>
          <w:p w:rsidR="00637808" w:rsidRPr="00AC36A1" w:rsidRDefault="00637808" w:rsidP="00637808">
            <w:pPr>
              <w:spacing w:before="81" w:after="81" w:line="160" w:lineRule="exact"/>
              <w:ind w:right="40"/>
              <w:rPr>
                <w:i/>
                <w:sz w:val="14"/>
              </w:rPr>
            </w:pPr>
            <w:r w:rsidRPr="00AC36A1">
              <w:rPr>
                <w:i/>
                <w:sz w:val="14"/>
              </w:rPr>
              <w:t>Gender</w:t>
            </w:r>
          </w:p>
        </w:tc>
        <w:tc>
          <w:tcPr>
            <w:tcW w:w="1830" w:type="dxa"/>
            <w:tcBorders>
              <w:top w:val="single" w:sz="4" w:space="0" w:color="auto"/>
              <w:bottom w:val="single" w:sz="12" w:space="0" w:color="auto"/>
            </w:tcBorders>
            <w:shd w:val="clear" w:color="auto" w:fill="auto"/>
            <w:vAlign w:val="bottom"/>
          </w:tcPr>
          <w:p w:rsidR="00637808" w:rsidRPr="00AC36A1" w:rsidRDefault="00637808" w:rsidP="00637808">
            <w:pPr>
              <w:spacing w:before="81" w:after="81" w:line="160" w:lineRule="exact"/>
              <w:ind w:right="43"/>
              <w:jc w:val="right"/>
              <w:rPr>
                <w:i/>
                <w:sz w:val="14"/>
              </w:rPr>
            </w:pPr>
            <w:r w:rsidRPr="00AC36A1">
              <w:rPr>
                <w:i/>
                <w:sz w:val="14"/>
              </w:rPr>
              <w:t xml:space="preserve">Population under primary level </w:t>
            </w:r>
          </w:p>
        </w:tc>
        <w:tc>
          <w:tcPr>
            <w:tcW w:w="1830" w:type="dxa"/>
            <w:tcBorders>
              <w:top w:val="single" w:sz="4" w:space="0" w:color="auto"/>
              <w:bottom w:val="single" w:sz="12" w:space="0" w:color="auto"/>
            </w:tcBorders>
            <w:shd w:val="clear" w:color="auto" w:fill="auto"/>
            <w:vAlign w:val="bottom"/>
          </w:tcPr>
          <w:p w:rsidR="00637808" w:rsidRPr="00AC36A1" w:rsidRDefault="00637808" w:rsidP="00637808">
            <w:pPr>
              <w:spacing w:before="81" w:after="81" w:line="160" w:lineRule="exact"/>
              <w:ind w:right="43"/>
              <w:jc w:val="right"/>
              <w:rPr>
                <w:i/>
                <w:sz w:val="14"/>
              </w:rPr>
            </w:pPr>
            <w:r w:rsidRPr="00AC36A1">
              <w:rPr>
                <w:i/>
                <w:sz w:val="14"/>
              </w:rPr>
              <w:t>Attending school</w:t>
            </w:r>
          </w:p>
        </w:tc>
        <w:tc>
          <w:tcPr>
            <w:tcW w:w="1830" w:type="dxa"/>
            <w:tcBorders>
              <w:top w:val="single" w:sz="4" w:space="0" w:color="auto"/>
              <w:bottom w:val="single" w:sz="12" w:space="0" w:color="auto"/>
            </w:tcBorders>
            <w:shd w:val="clear" w:color="auto" w:fill="auto"/>
            <w:vAlign w:val="bottom"/>
          </w:tcPr>
          <w:p w:rsidR="00637808" w:rsidRPr="00AC36A1" w:rsidRDefault="00637808" w:rsidP="00637808">
            <w:pPr>
              <w:spacing w:before="81" w:line="160" w:lineRule="exact"/>
              <w:ind w:right="43"/>
              <w:jc w:val="right"/>
              <w:rPr>
                <w:i/>
                <w:sz w:val="14"/>
              </w:rPr>
            </w:pPr>
            <w:r w:rsidRPr="00AC36A1">
              <w:rPr>
                <w:i/>
                <w:sz w:val="14"/>
              </w:rPr>
              <w:t xml:space="preserve">Net enrolment rate </w:t>
            </w:r>
          </w:p>
          <w:p w:rsidR="00637808" w:rsidRPr="00AC36A1" w:rsidRDefault="00637808" w:rsidP="00637808">
            <w:pPr>
              <w:spacing w:after="81" w:line="160" w:lineRule="exact"/>
              <w:ind w:right="43"/>
              <w:jc w:val="right"/>
              <w:rPr>
                <w:i/>
                <w:sz w:val="14"/>
              </w:rPr>
            </w:pPr>
            <w:r w:rsidRPr="00AC36A1">
              <w:rPr>
                <w:i/>
                <w:sz w:val="14"/>
              </w:rPr>
              <w:t>(per cent)</w:t>
            </w:r>
          </w:p>
        </w:tc>
      </w:tr>
      <w:tr w:rsidR="00637808" w:rsidRPr="00AC36A1" w:rsidTr="00637808">
        <w:trPr>
          <w:trHeight w:hRule="exact" w:val="115"/>
          <w:tblHeader/>
        </w:trPr>
        <w:tc>
          <w:tcPr>
            <w:tcW w:w="1830" w:type="dxa"/>
            <w:tcBorders>
              <w:top w:val="single" w:sz="12" w:space="0" w:color="auto"/>
            </w:tcBorders>
            <w:shd w:val="clear" w:color="auto" w:fill="auto"/>
            <w:vAlign w:val="bottom"/>
          </w:tcPr>
          <w:p w:rsidR="00637808" w:rsidRPr="00AC36A1" w:rsidRDefault="00637808" w:rsidP="00637808">
            <w:pPr>
              <w:spacing w:before="40" w:after="40" w:line="210" w:lineRule="exact"/>
              <w:ind w:right="40"/>
              <w:rPr>
                <w:sz w:val="17"/>
              </w:rPr>
            </w:pPr>
          </w:p>
        </w:tc>
        <w:tc>
          <w:tcPr>
            <w:tcW w:w="1830" w:type="dxa"/>
            <w:tcBorders>
              <w:top w:val="single" w:sz="12" w:space="0" w:color="auto"/>
            </w:tcBorders>
            <w:shd w:val="clear" w:color="auto" w:fill="auto"/>
            <w:vAlign w:val="bottom"/>
          </w:tcPr>
          <w:p w:rsidR="00637808" w:rsidRPr="00AC36A1" w:rsidRDefault="00637808" w:rsidP="00637808">
            <w:pPr>
              <w:spacing w:before="40" w:after="40" w:line="210" w:lineRule="exact"/>
              <w:ind w:right="43"/>
              <w:jc w:val="right"/>
              <w:rPr>
                <w:sz w:val="17"/>
              </w:rPr>
            </w:pPr>
          </w:p>
        </w:tc>
        <w:tc>
          <w:tcPr>
            <w:tcW w:w="1830" w:type="dxa"/>
            <w:tcBorders>
              <w:top w:val="single" w:sz="12" w:space="0" w:color="auto"/>
            </w:tcBorders>
            <w:shd w:val="clear" w:color="auto" w:fill="auto"/>
            <w:vAlign w:val="bottom"/>
          </w:tcPr>
          <w:p w:rsidR="00637808" w:rsidRPr="00AC36A1" w:rsidRDefault="00637808" w:rsidP="00637808">
            <w:pPr>
              <w:spacing w:before="40" w:after="40" w:line="210" w:lineRule="exact"/>
              <w:ind w:right="43"/>
              <w:jc w:val="right"/>
              <w:rPr>
                <w:sz w:val="17"/>
              </w:rPr>
            </w:pPr>
          </w:p>
        </w:tc>
        <w:tc>
          <w:tcPr>
            <w:tcW w:w="1830" w:type="dxa"/>
            <w:tcBorders>
              <w:top w:val="single" w:sz="12" w:space="0" w:color="auto"/>
            </w:tcBorders>
            <w:shd w:val="clear" w:color="auto" w:fill="auto"/>
            <w:vAlign w:val="bottom"/>
          </w:tcPr>
          <w:p w:rsidR="00637808" w:rsidRPr="00AC36A1" w:rsidRDefault="00637808" w:rsidP="00637808">
            <w:pPr>
              <w:spacing w:before="40" w:after="40" w:line="210" w:lineRule="exact"/>
              <w:ind w:right="43"/>
              <w:jc w:val="right"/>
              <w:rPr>
                <w:sz w:val="17"/>
              </w:rPr>
            </w:pPr>
          </w:p>
        </w:tc>
      </w:tr>
      <w:tr w:rsidR="00637808" w:rsidRPr="00AC36A1" w:rsidTr="00637808">
        <w:tc>
          <w:tcPr>
            <w:tcW w:w="183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0"/>
              <w:rPr>
                <w:sz w:val="17"/>
              </w:rPr>
            </w:pPr>
            <w:r w:rsidRPr="00AC36A1">
              <w:rPr>
                <w:sz w:val="17"/>
              </w:rPr>
              <w:t xml:space="preserve">Male </w:t>
            </w:r>
          </w:p>
        </w:tc>
        <w:tc>
          <w:tcPr>
            <w:tcW w:w="183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3"/>
              <w:jc w:val="right"/>
              <w:rPr>
                <w:sz w:val="17"/>
              </w:rPr>
            </w:pPr>
            <w:r w:rsidRPr="00AC36A1">
              <w:rPr>
                <w:sz w:val="17"/>
              </w:rPr>
              <w:t>1 043 728</w:t>
            </w:r>
          </w:p>
        </w:tc>
        <w:tc>
          <w:tcPr>
            <w:tcW w:w="183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3"/>
              <w:jc w:val="right"/>
              <w:rPr>
                <w:sz w:val="17"/>
              </w:rPr>
            </w:pPr>
            <w:r w:rsidRPr="00AC36A1">
              <w:rPr>
                <w:sz w:val="17"/>
              </w:rPr>
              <w:t>1 010 780</w:t>
            </w:r>
          </w:p>
        </w:tc>
        <w:tc>
          <w:tcPr>
            <w:tcW w:w="183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3"/>
              <w:jc w:val="right"/>
              <w:rPr>
                <w:sz w:val="17"/>
              </w:rPr>
            </w:pPr>
            <w:r w:rsidRPr="00AC36A1">
              <w:rPr>
                <w:sz w:val="17"/>
              </w:rPr>
              <w:t>96.8</w:t>
            </w:r>
          </w:p>
        </w:tc>
      </w:tr>
      <w:tr w:rsidR="00637808" w:rsidRPr="00AC36A1" w:rsidTr="00637808">
        <w:tc>
          <w:tcPr>
            <w:tcW w:w="1830" w:type="dxa"/>
            <w:tcBorders>
              <w:bottom w:val="single" w:sz="12" w:space="0" w:color="auto"/>
            </w:tcBorders>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0"/>
              <w:rPr>
                <w:sz w:val="17"/>
              </w:rPr>
            </w:pPr>
            <w:r w:rsidRPr="00AC36A1">
              <w:rPr>
                <w:sz w:val="17"/>
              </w:rPr>
              <w:t xml:space="preserve">Female </w:t>
            </w:r>
          </w:p>
        </w:tc>
        <w:tc>
          <w:tcPr>
            <w:tcW w:w="1830" w:type="dxa"/>
            <w:tcBorders>
              <w:bottom w:val="single" w:sz="12" w:space="0" w:color="auto"/>
            </w:tcBorders>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3"/>
              <w:jc w:val="right"/>
              <w:rPr>
                <w:sz w:val="17"/>
              </w:rPr>
            </w:pPr>
            <w:r w:rsidRPr="00AC36A1">
              <w:rPr>
                <w:sz w:val="17"/>
              </w:rPr>
              <w:t>1 016 076</w:t>
            </w:r>
          </w:p>
        </w:tc>
        <w:tc>
          <w:tcPr>
            <w:tcW w:w="1830" w:type="dxa"/>
            <w:tcBorders>
              <w:bottom w:val="single" w:sz="12" w:space="0" w:color="auto"/>
            </w:tcBorders>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3"/>
              <w:jc w:val="right"/>
              <w:rPr>
                <w:sz w:val="17"/>
              </w:rPr>
            </w:pPr>
            <w:r w:rsidRPr="00AC36A1">
              <w:rPr>
                <w:sz w:val="17"/>
              </w:rPr>
              <w:t>984 785</w:t>
            </w:r>
          </w:p>
        </w:tc>
        <w:tc>
          <w:tcPr>
            <w:tcW w:w="1830" w:type="dxa"/>
            <w:tcBorders>
              <w:bottom w:val="single" w:sz="12" w:space="0" w:color="auto"/>
            </w:tcBorders>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3"/>
              <w:jc w:val="right"/>
              <w:rPr>
                <w:sz w:val="17"/>
              </w:rPr>
            </w:pPr>
            <w:r w:rsidRPr="00AC36A1">
              <w:rPr>
                <w:sz w:val="17"/>
              </w:rPr>
              <w:t>96.9</w:t>
            </w:r>
          </w:p>
        </w:tc>
      </w:tr>
    </w:tbl>
    <w:p w:rsidR="00637808" w:rsidRPr="00CB797D" w:rsidRDefault="00637808" w:rsidP="00CB797D">
      <w:pPr>
        <w:pStyle w:val="SingleTxt"/>
        <w:spacing w:after="0" w:line="120" w:lineRule="exact"/>
        <w:rPr>
          <w:sz w:val="10"/>
        </w:rPr>
      </w:pPr>
    </w:p>
    <w:p w:rsidR="00CB797D" w:rsidRPr="00CB797D" w:rsidRDefault="00CB797D" w:rsidP="00CB797D">
      <w:pPr>
        <w:pStyle w:val="SingleTxt"/>
        <w:spacing w:after="0" w:line="120" w:lineRule="exact"/>
        <w:rPr>
          <w:i/>
          <w:sz w:val="10"/>
        </w:rPr>
      </w:pPr>
    </w:p>
    <w:p w:rsidR="00637808" w:rsidRPr="00AC36A1" w:rsidRDefault="00CB797D" w:rsidP="00CF1DFA">
      <w:pPr>
        <w:pStyle w:val="SingleTxt"/>
      </w:pPr>
      <w:r w:rsidRPr="00AC36A1">
        <w:rPr>
          <w:i/>
        </w:rPr>
        <w:t>The net enrolment ratio is defined as the percentage of official primary/secondary school age children who are enrolled in primary/secondary school</w:t>
      </w:r>
      <w:r>
        <w:rPr>
          <w:i/>
        </w:rPr>
        <w:t>.</w:t>
      </w:r>
    </w:p>
    <w:p w:rsidR="00637808" w:rsidRPr="00AC36A1" w:rsidRDefault="00637808">
      <w:pPr>
        <w:suppressAutoHyphens w:val="0"/>
        <w:spacing w:line="240" w:lineRule="auto"/>
      </w:pPr>
      <w:r w:rsidRPr="00AC36A1">
        <w:br w:type="page"/>
      </w:r>
    </w:p>
    <w:p w:rsidR="00CF1DFA" w:rsidRPr="00AC36A1" w:rsidRDefault="00637808" w:rsidP="00637808">
      <w:pPr>
        <w:pStyle w:val="H23"/>
        <w:ind w:right="1260"/>
        <w:rPr>
          <w:b w:val="0"/>
        </w:rPr>
      </w:pPr>
      <w:r w:rsidRPr="00AC36A1">
        <w:tab/>
      </w:r>
      <w:r w:rsidRPr="00AC36A1">
        <w:tab/>
      </w:r>
      <w:r w:rsidR="00CF1DFA" w:rsidRPr="00AC36A1">
        <w:rPr>
          <w:b w:val="0"/>
        </w:rPr>
        <w:t>Table</w:t>
      </w:r>
      <w:r w:rsidR="007461EA">
        <w:rPr>
          <w:b w:val="0"/>
        </w:rPr>
        <w:t xml:space="preserve"> </w:t>
      </w:r>
      <w:r w:rsidR="00CF1DFA" w:rsidRPr="00AC36A1">
        <w:rPr>
          <w:b w:val="0"/>
        </w:rPr>
        <w:t>2</w:t>
      </w:r>
    </w:p>
    <w:p w:rsidR="00CF1DFA" w:rsidRPr="00AC36A1" w:rsidRDefault="00637808" w:rsidP="00637808">
      <w:pPr>
        <w:pStyle w:val="H23"/>
        <w:ind w:right="1260"/>
      </w:pPr>
      <w:r w:rsidRPr="00AC36A1">
        <w:tab/>
      </w:r>
      <w:r w:rsidRPr="00AC36A1">
        <w:tab/>
      </w:r>
      <w:r w:rsidR="00CF1DFA" w:rsidRPr="00AC36A1">
        <w:t xml:space="preserve">School enrolment of girls </w:t>
      </w:r>
      <w:r w:rsidRPr="00AC36A1">
        <w:t>—</w:t>
      </w:r>
      <w:r w:rsidR="00CF1DFA" w:rsidRPr="00AC36A1">
        <w:t xml:space="preserve"> 2013</w:t>
      </w:r>
    </w:p>
    <w:p w:rsidR="00637808" w:rsidRPr="00AC36A1" w:rsidRDefault="00637808" w:rsidP="00637808">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637808" w:rsidRPr="00AC36A1" w:rsidTr="00637808">
        <w:trPr>
          <w:tblHeader/>
        </w:trPr>
        <w:tc>
          <w:tcPr>
            <w:tcW w:w="3660" w:type="dxa"/>
            <w:tcBorders>
              <w:top w:val="single" w:sz="4" w:space="0" w:color="auto"/>
              <w:bottom w:val="single" w:sz="12" w:space="0" w:color="auto"/>
            </w:tcBorders>
            <w:shd w:val="clear" w:color="auto" w:fill="auto"/>
            <w:vAlign w:val="bottom"/>
          </w:tcPr>
          <w:p w:rsidR="00637808" w:rsidRPr="00AC36A1" w:rsidRDefault="00637808" w:rsidP="00637808">
            <w:pPr>
              <w:spacing w:before="81" w:after="81" w:line="160" w:lineRule="exact"/>
              <w:ind w:right="40"/>
              <w:rPr>
                <w:i/>
                <w:sz w:val="14"/>
              </w:rPr>
            </w:pPr>
            <w:r w:rsidRPr="00AC36A1">
              <w:rPr>
                <w:i/>
                <w:sz w:val="14"/>
              </w:rPr>
              <w:t>Educational Levels</w:t>
            </w:r>
          </w:p>
        </w:tc>
        <w:tc>
          <w:tcPr>
            <w:tcW w:w="3660" w:type="dxa"/>
            <w:tcBorders>
              <w:top w:val="single" w:sz="4" w:space="0" w:color="auto"/>
              <w:bottom w:val="single" w:sz="12" w:space="0" w:color="auto"/>
            </w:tcBorders>
            <w:shd w:val="clear" w:color="auto" w:fill="auto"/>
            <w:vAlign w:val="bottom"/>
          </w:tcPr>
          <w:p w:rsidR="00637808" w:rsidRPr="00AC36A1" w:rsidRDefault="00637808" w:rsidP="00637808">
            <w:pPr>
              <w:spacing w:before="81" w:after="81" w:line="160" w:lineRule="exact"/>
              <w:ind w:right="43"/>
              <w:jc w:val="right"/>
              <w:rPr>
                <w:i/>
                <w:sz w:val="14"/>
              </w:rPr>
            </w:pPr>
            <w:r w:rsidRPr="00AC36A1">
              <w:rPr>
                <w:i/>
                <w:sz w:val="14"/>
              </w:rPr>
              <w:t xml:space="preserve">% of girls </w:t>
            </w:r>
          </w:p>
        </w:tc>
      </w:tr>
      <w:tr w:rsidR="00637808" w:rsidRPr="00AC36A1" w:rsidTr="00637808">
        <w:trPr>
          <w:trHeight w:hRule="exact" w:val="115"/>
          <w:tblHeader/>
        </w:trPr>
        <w:tc>
          <w:tcPr>
            <w:tcW w:w="3660" w:type="dxa"/>
            <w:tcBorders>
              <w:top w:val="single" w:sz="12" w:space="0" w:color="auto"/>
            </w:tcBorders>
            <w:shd w:val="clear" w:color="auto" w:fill="auto"/>
            <w:vAlign w:val="bottom"/>
          </w:tcPr>
          <w:p w:rsidR="00637808" w:rsidRPr="00AC36A1" w:rsidRDefault="00637808" w:rsidP="00637808">
            <w:pPr>
              <w:spacing w:before="40" w:after="40" w:line="210" w:lineRule="exact"/>
              <w:ind w:right="40"/>
              <w:rPr>
                <w:sz w:val="17"/>
              </w:rPr>
            </w:pPr>
          </w:p>
        </w:tc>
        <w:tc>
          <w:tcPr>
            <w:tcW w:w="3660" w:type="dxa"/>
            <w:tcBorders>
              <w:top w:val="single" w:sz="12" w:space="0" w:color="auto"/>
            </w:tcBorders>
            <w:shd w:val="clear" w:color="auto" w:fill="auto"/>
            <w:vAlign w:val="bottom"/>
          </w:tcPr>
          <w:p w:rsidR="00637808" w:rsidRPr="00AC36A1" w:rsidRDefault="00637808" w:rsidP="00637808">
            <w:pPr>
              <w:spacing w:before="40" w:after="40" w:line="210" w:lineRule="exact"/>
              <w:ind w:right="43"/>
              <w:jc w:val="right"/>
              <w:rPr>
                <w:sz w:val="17"/>
              </w:rPr>
            </w:pPr>
          </w:p>
        </w:tc>
      </w:tr>
      <w:tr w:rsidR="00637808" w:rsidRPr="00AC36A1" w:rsidTr="00637808">
        <w:tc>
          <w:tcPr>
            <w:tcW w:w="366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0"/>
              <w:rPr>
                <w:sz w:val="17"/>
              </w:rPr>
            </w:pPr>
            <w:r w:rsidRPr="00AC36A1">
              <w:rPr>
                <w:sz w:val="17"/>
              </w:rPr>
              <w:t>Grades 1-5</w:t>
            </w:r>
          </w:p>
        </w:tc>
        <w:tc>
          <w:tcPr>
            <w:tcW w:w="366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3"/>
              <w:jc w:val="right"/>
              <w:rPr>
                <w:sz w:val="17"/>
              </w:rPr>
            </w:pPr>
            <w:r w:rsidRPr="00AC36A1">
              <w:rPr>
                <w:sz w:val="17"/>
              </w:rPr>
              <w:t xml:space="preserve"> 49.2 %</w:t>
            </w:r>
          </w:p>
        </w:tc>
      </w:tr>
      <w:tr w:rsidR="00637808" w:rsidRPr="00AC36A1" w:rsidTr="00637808">
        <w:tc>
          <w:tcPr>
            <w:tcW w:w="366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0"/>
              <w:rPr>
                <w:sz w:val="17"/>
              </w:rPr>
            </w:pPr>
            <w:r w:rsidRPr="00AC36A1">
              <w:rPr>
                <w:sz w:val="17"/>
              </w:rPr>
              <w:t>Grades 6-9</w:t>
            </w:r>
          </w:p>
        </w:tc>
        <w:tc>
          <w:tcPr>
            <w:tcW w:w="366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3"/>
              <w:jc w:val="right"/>
              <w:rPr>
                <w:sz w:val="17"/>
              </w:rPr>
            </w:pPr>
            <w:r w:rsidRPr="00AC36A1">
              <w:rPr>
                <w:sz w:val="17"/>
              </w:rPr>
              <w:t xml:space="preserve"> 49.7 %</w:t>
            </w:r>
          </w:p>
        </w:tc>
      </w:tr>
      <w:tr w:rsidR="00637808" w:rsidRPr="00AC36A1" w:rsidTr="00637808">
        <w:tc>
          <w:tcPr>
            <w:tcW w:w="366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0"/>
              <w:rPr>
                <w:sz w:val="17"/>
              </w:rPr>
            </w:pPr>
            <w:r w:rsidRPr="00AC36A1">
              <w:rPr>
                <w:sz w:val="17"/>
              </w:rPr>
              <w:t>Grades 10-11</w:t>
            </w:r>
          </w:p>
        </w:tc>
        <w:tc>
          <w:tcPr>
            <w:tcW w:w="366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3"/>
              <w:jc w:val="right"/>
              <w:rPr>
                <w:sz w:val="17"/>
              </w:rPr>
            </w:pPr>
            <w:r w:rsidRPr="00AC36A1">
              <w:rPr>
                <w:sz w:val="17"/>
              </w:rPr>
              <w:t xml:space="preserve"> 50.6 %</w:t>
            </w:r>
          </w:p>
        </w:tc>
      </w:tr>
      <w:tr w:rsidR="00637808" w:rsidRPr="00AC36A1" w:rsidTr="00637808">
        <w:tc>
          <w:tcPr>
            <w:tcW w:w="366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0"/>
              <w:rPr>
                <w:sz w:val="17"/>
              </w:rPr>
            </w:pPr>
            <w:r w:rsidRPr="00AC36A1">
              <w:rPr>
                <w:sz w:val="17"/>
              </w:rPr>
              <w:t>Grades 12-13 Science</w:t>
            </w:r>
          </w:p>
        </w:tc>
        <w:tc>
          <w:tcPr>
            <w:tcW w:w="366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3"/>
              <w:jc w:val="right"/>
              <w:rPr>
                <w:sz w:val="17"/>
              </w:rPr>
            </w:pPr>
            <w:r w:rsidRPr="00AC36A1">
              <w:rPr>
                <w:sz w:val="17"/>
              </w:rPr>
              <w:t xml:space="preserve"> 49.9 %</w:t>
            </w:r>
          </w:p>
        </w:tc>
      </w:tr>
      <w:tr w:rsidR="00637808" w:rsidRPr="00AC36A1" w:rsidTr="00637808">
        <w:tc>
          <w:tcPr>
            <w:tcW w:w="366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0"/>
              <w:rPr>
                <w:sz w:val="17"/>
              </w:rPr>
            </w:pPr>
            <w:r w:rsidRPr="00AC36A1">
              <w:rPr>
                <w:sz w:val="17"/>
              </w:rPr>
              <w:t>Grades 12-13 Arts</w:t>
            </w:r>
          </w:p>
        </w:tc>
        <w:tc>
          <w:tcPr>
            <w:tcW w:w="366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3"/>
              <w:jc w:val="right"/>
              <w:rPr>
                <w:sz w:val="17"/>
              </w:rPr>
            </w:pPr>
            <w:r w:rsidRPr="00AC36A1">
              <w:rPr>
                <w:sz w:val="17"/>
              </w:rPr>
              <w:t xml:space="preserve"> 65.1 %</w:t>
            </w:r>
          </w:p>
        </w:tc>
      </w:tr>
      <w:tr w:rsidR="00637808" w:rsidRPr="00AC36A1" w:rsidTr="00637808">
        <w:tc>
          <w:tcPr>
            <w:tcW w:w="366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0"/>
              <w:rPr>
                <w:sz w:val="17"/>
              </w:rPr>
            </w:pPr>
            <w:r w:rsidRPr="00AC36A1">
              <w:rPr>
                <w:sz w:val="17"/>
              </w:rPr>
              <w:t>Grades 12-13 Commerce</w:t>
            </w:r>
          </w:p>
        </w:tc>
        <w:tc>
          <w:tcPr>
            <w:tcW w:w="366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3"/>
              <w:jc w:val="right"/>
              <w:rPr>
                <w:sz w:val="17"/>
              </w:rPr>
            </w:pPr>
            <w:r w:rsidRPr="00AC36A1">
              <w:rPr>
                <w:sz w:val="17"/>
              </w:rPr>
              <w:t xml:space="preserve"> 48.6 %</w:t>
            </w:r>
          </w:p>
        </w:tc>
      </w:tr>
      <w:tr w:rsidR="00637808" w:rsidRPr="00AC36A1" w:rsidTr="00637808">
        <w:tc>
          <w:tcPr>
            <w:tcW w:w="366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0"/>
              <w:rPr>
                <w:sz w:val="17"/>
              </w:rPr>
            </w:pPr>
            <w:r w:rsidRPr="00AC36A1">
              <w:rPr>
                <w:sz w:val="17"/>
              </w:rPr>
              <w:t>Grades 12-13 Technical</w:t>
            </w:r>
          </w:p>
        </w:tc>
        <w:tc>
          <w:tcPr>
            <w:tcW w:w="366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3"/>
              <w:jc w:val="right"/>
              <w:rPr>
                <w:sz w:val="17"/>
              </w:rPr>
            </w:pPr>
            <w:r w:rsidRPr="00AC36A1">
              <w:rPr>
                <w:sz w:val="17"/>
              </w:rPr>
              <w:t xml:space="preserve"> 40.6 %</w:t>
            </w:r>
          </w:p>
        </w:tc>
      </w:tr>
      <w:tr w:rsidR="00637808" w:rsidRPr="00AC36A1" w:rsidTr="00637808">
        <w:tc>
          <w:tcPr>
            <w:tcW w:w="366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0"/>
              <w:rPr>
                <w:sz w:val="17"/>
              </w:rPr>
            </w:pPr>
            <w:r w:rsidRPr="00AC36A1">
              <w:rPr>
                <w:sz w:val="17"/>
              </w:rPr>
              <w:t>Grades 12-13 Total</w:t>
            </w:r>
          </w:p>
        </w:tc>
        <w:tc>
          <w:tcPr>
            <w:tcW w:w="366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3"/>
              <w:jc w:val="right"/>
              <w:rPr>
                <w:sz w:val="17"/>
              </w:rPr>
            </w:pPr>
            <w:r w:rsidRPr="00AC36A1">
              <w:rPr>
                <w:sz w:val="17"/>
              </w:rPr>
              <w:t xml:space="preserve"> 56.6 %</w:t>
            </w:r>
          </w:p>
        </w:tc>
      </w:tr>
      <w:tr w:rsidR="00637808" w:rsidRPr="00AC36A1" w:rsidTr="00637808">
        <w:tc>
          <w:tcPr>
            <w:tcW w:w="3660" w:type="dxa"/>
            <w:tcBorders>
              <w:bottom w:val="single" w:sz="12" w:space="0" w:color="auto"/>
            </w:tcBorders>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0"/>
              <w:rPr>
                <w:sz w:val="17"/>
              </w:rPr>
            </w:pPr>
            <w:r w:rsidRPr="00AC36A1">
              <w:rPr>
                <w:sz w:val="17"/>
              </w:rPr>
              <w:t>Grades 1-13 Total</w:t>
            </w:r>
          </w:p>
        </w:tc>
        <w:tc>
          <w:tcPr>
            <w:tcW w:w="3660" w:type="dxa"/>
            <w:tcBorders>
              <w:bottom w:val="single" w:sz="12" w:space="0" w:color="auto"/>
            </w:tcBorders>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3"/>
              <w:jc w:val="right"/>
              <w:rPr>
                <w:sz w:val="17"/>
              </w:rPr>
            </w:pPr>
            <w:r w:rsidRPr="00AC36A1">
              <w:rPr>
                <w:sz w:val="17"/>
              </w:rPr>
              <w:t xml:space="preserve"> 50.4 %</w:t>
            </w:r>
          </w:p>
        </w:tc>
      </w:tr>
    </w:tbl>
    <w:p w:rsidR="00637808" w:rsidRPr="00AC36A1" w:rsidRDefault="00637808" w:rsidP="00637808">
      <w:pPr>
        <w:pStyle w:val="SingleTxt"/>
        <w:spacing w:after="0" w:line="120" w:lineRule="exact"/>
        <w:rPr>
          <w:sz w:val="10"/>
        </w:rPr>
      </w:pPr>
    </w:p>
    <w:p w:rsidR="00CF1DFA" w:rsidRPr="00AC36A1" w:rsidRDefault="00CF1DFA" w:rsidP="00637808">
      <w:pPr>
        <w:pStyle w:val="FootnoteText"/>
        <w:tabs>
          <w:tab w:val="clear" w:pos="418"/>
          <w:tab w:val="right" w:pos="1476"/>
          <w:tab w:val="left" w:pos="1548"/>
          <w:tab w:val="right" w:pos="1836"/>
          <w:tab w:val="left" w:pos="1908"/>
        </w:tabs>
        <w:ind w:left="1548" w:right="1267" w:hanging="288"/>
      </w:pPr>
      <w:r w:rsidRPr="00AC36A1">
        <w:rPr>
          <w:b/>
          <w:i/>
        </w:rPr>
        <w:t>Source</w:t>
      </w:r>
      <w:r w:rsidRPr="00AC36A1">
        <w:rPr>
          <w:i/>
        </w:rPr>
        <w:t>: Ministry of Education Annual School Census, 2013</w:t>
      </w:r>
      <w:r w:rsidR="00530E89" w:rsidRPr="00AC36A1">
        <w:t>.</w:t>
      </w:r>
    </w:p>
    <w:p w:rsidR="00637808" w:rsidRPr="00AC36A1" w:rsidRDefault="00637808" w:rsidP="00637808">
      <w:pPr>
        <w:pStyle w:val="SingleTxt"/>
        <w:spacing w:after="0" w:line="120" w:lineRule="exact"/>
        <w:rPr>
          <w:sz w:val="10"/>
        </w:rPr>
      </w:pPr>
    </w:p>
    <w:p w:rsidR="00637808" w:rsidRPr="00AC36A1" w:rsidRDefault="00637808" w:rsidP="00637808">
      <w:pPr>
        <w:pStyle w:val="SingleTxt"/>
        <w:spacing w:after="0" w:line="120" w:lineRule="exact"/>
        <w:rPr>
          <w:sz w:val="10"/>
        </w:rPr>
      </w:pPr>
    </w:p>
    <w:p w:rsidR="00CF1DFA" w:rsidRPr="00AC36A1" w:rsidRDefault="00637808" w:rsidP="00637808">
      <w:pPr>
        <w:pStyle w:val="H23"/>
        <w:ind w:right="1260"/>
        <w:rPr>
          <w:b w:val="0"/>
        </w:rPr>
      </w:pPr>
      <w:r w:rsidRPr="00AC36A1">
        <w:tab/>
      </w:r>
      <w:r w:rsidRPr="00AC36A1">
        <w:tab/>
      </w:r>
      <w:r w:rsidR="00CF1DFA" w:rsidRPr="00AC36A1">
        <w:rPr>
          <w:b w:val="0"/>
        </w:rPr>
        <w:t>Table 3</w:t>
      </w:r>
    </w:p>
    <w:p w:rsidR="00CF1DFA" w:rsidRPr="00AC36A1" w:rsidRDefault="00637808" w:rsidP="00637808">
      <w:pPr>
        <w:pStyle w:val="H23"/>
        <w:ind w:right="1260"/>
      </w:pPr>
      <w:r w:rsidRPr="00AC36A1">
        <w:tab/>
      </w:r>
      <w:r w:rsidRPr="00AC36A1">
        <w:tab/>
      </w:r>
      <w:r w:rsidR="00CF1DFA" w:rsidRPr="00AC36A1">
        <w:t>School Enrolment by Province, 2013</w:t>
      </w:r>
    </w:p>
    <w:p w:rsidR="00637808" w:rsidRPr="00AC36A1" w:rsidRDefault="00637808" w:rsidP="00637808">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637808" w:rsidRPr="00AC36A1" w:rsidTr="00637808">
        <w:trPr>
          <w:tblHeader/>
        </w:trPr>
        <w:tc>
          <w:tcPr>
            <w:tcW w:w="1830" w:type="dxa"/>
            <w:tcBorders>
              <w:top w:val="single" w:sz="4" w:space="0" w:color="auto"/>
              <w:bottom w:val="single" w:sz="12" w:space="0" w:color="auto"/>
            </w:tcBorders>
            <w:shd w:val="clear" w:color="auto" w:fill="auto"/>
            <w:vAlign w:val="bottom"/>
          </w:tcPr>
          <w:p w:rsidR="00637808" w:rsidRPr="00AC36A1" w:rsidRDefault="00637808" w:rsidP="00637808">
            <w:pPr>
              <w:spacing w:before="81" w:after="81" w:line="160" w:lineRule="exact"/>
              <w:ind w:right="40"/>
              <w:rPr>
                <w:i/>
                <w:sz w:val="14"/>
              </w:rPr>
            </w:pPr>
            <w:r w:rsidRPr="00AC36A1">
              <w:rPr>
                <w:i/>
                <w:sz w:val="14"/>
              </w:rPr>
              <w:t>Province</w:t>
            </w:r>
          </w:p>
        </w:tc>
        <w:tc>
          <w:tcPr>
            <w:tcW w:w="1830" w:type="dxa"/>
            <w:tcBorders>
              <w:top w:val="single" w:sz="4" w:space="0" w:color="auto"/>
              <w:bottom w:val="single" w:sz="12" w:space="0" w:color="auto"/>
            </w:tcBorders>
            <w:shd w:val="clear" w:color="auto" w:fill="auto"/>
            <w:vAlign w:val="bottom"/>
          </w:tcPr>
          <w:p w:rsidR="00637808" w:rsidRPr="00AC36A1" w:rsidRDefault="00637808" w:rsidP="00637808">
            <w:pPr>
              <w:spacing w:before="81" w:line="160" w:lineRule="exact"/>
              <w:ind w:right="43"/>
              <w:jc w:val="right"/>
              <w:rPr>
                <w:i/>
                <w:sz w:val="14"/>
              </w:rPr>
            </w:pPr>
            <w:r w:rsidRPr="00AC36A1">
              <w:rPr>
                <w:i/>
                <w:sz w:val="14"/>
              </w:rPr>
              <w:t>Total</w:t>
            </w:r>
          </w:p>
          <w:p w:rsidR="00637808" w:rsidRPr="00AC36A1" w:rsidRDefault="00637808" w:rsidP="00637808">
            <w:pPr>
              <w:spacing w:after="81" w:line="160" w:lineRule="exact"/>
              <w:ind w:right="43"/>
              <w:jc w:val="right"/>
              <w:rPr>
                <w:i/>
                <w:sz w:val="14"/>
              </w:rPr>
            </w:pPr>
            <w:r w:rsidRPr="00AC36A1">
              <w:rPr>
                <w:i/>
                <w:sz w:val="14"/>
              </w:rPr>
              <w:t>No.</w:t>
            </w:r>
          </w:p>
        </w:tc>
        <w:tc>
          <w:tcPr>
            <w:tcW w:w="1830" w:type="dxa"/>
            <w:tcBorders>
              <w:top w:val="single" w:sz="4" w:space="0" w:color="auto"/>
              <w:bottom w:val="single" w:sz="12" w:space="0" w:color="auto"/>
            </w:tcBorders>
            <w:shd w:val="clear" w:color="auto" w:fill="auto"/>
            <w:vAlign w:val="bottom"/>
          </w:tcPr>
          <w:p w:rsidR="00637808" w:rsidRPr="00AC36A1" w:rsidRDefault="00637808" w:rsidP="00637808">
            <w:pPr>
              <w:spacing w:before="81" w:line="160" w:lineRule="exact"/>
              <w:ind w:right="43"/>
              <w:jc w:val="right"/>
              <w:rPr>
                <w:i/>
                <w:sz w:val="14"/>
              </w:rPr>
            </w:pPr>
            <w:r w:rsidRPr="00AC36A1">
              <w:rPr>
                <w:i/>
                <w:sz w:val="14"/>
              </w:rPr>
              <w:t>% of</w:t>
            </w:r>
          </w:p>
          <w:p w:rsidR="00637808" w:rsidRPr="00AC36A1" w:rsidRDefault="00637808" w:rsidP="00637808">
            <w:pPr>
              <w:spacing w:after="81" w:line="160" w:lineRule="exact"/>
              <w:ind w:right="43"/>
              <w:jc w:val="right"/>
              <w:rPr>
                <w:i/>
                <w:sz w:val="14"/>
              </w:rPr>
            </w:pPr>
            <w:r w:rsidRPr="00AC36A1">
              <w:rPr>
                <w:i/>
                <w:sz w:val="14"/>
              </w:rPr>
              <w:t>Girls</w:t>
            </w:r>
          </w:p>
        </w:tc>
        <w:tc>
          <w:tcPr>
            <w:tcW w:w="1830" w:type="dxa"/>
            <w:tcBorders>
              <w:top w:val="single" w:sz="4" w:space="0" w:color="auto"/>
              <w:bottom w:val="single" w:sz="12" w:space="0" w:color="auto"/>
            </w:tcBorders>
            <w:shd w:val="clear" w:color="auto" w:fill="auto"/>
            <w:vAlign w:val="bottom"/>
          </w:tcPr>
          <w:p w:rsidR="00637808" w:rsidRPr="00AC36A1" w:rsidRDefault="00637808" w:rsidP="00637808">
            <w:pPr>
              <w:spacing w:before="81" w:line="160" w:lineRule="exact"/>
              <w:ind w:right="43"/>
              <w:jc w:val="right"/>
              <w:rPr>
                <w:i/>
                <w:sz w:val="14"/>
              </w:rPr>
            </w:pPr>
            <w:r w:rsidRPr="00AC36A1">
              <w:rPr>
                <w:i/>
                <w:sz w:val="14"/>
              </w:rPr>
              <w:t xml:space="preserve">% of </w:t>
            </w:r>
          </w:p>
          <w:p w:rsidR="00637808" w:rsidRPr="00AC36A1" w:rsidRDefault="00637808" w:rsidP="00637808">
            <w:pPr>
              <w:spacing w:after="81" w:line="160" w:lineRule="exact"/>
              <w:ind w:right="43"/>
              <w:jc w:val="right"/>
              <w:rPr>
                <w:i/>
                <w:sz w:val="14"/>
              </w:rPr>
            </w:pPr>
            <w:r w:rsidRPr="00AC36A1">
              <w:rPr>
                <w:i/>
                <w:sz w:val="14"/>
              </w:rPr>
              <w:t>Boys</w:t>
            </w:r>
          </w:p>
        </w:tc>
      </w:tr>
      <w:tr w:rsidR="00637808" w:rsidRPr="00AC36A1" w:rsidTr="00637808">
        <w:trPr>
          <w:trHeight w:hRule="exact" w:val="115"/>
          <w:tblHeader/>
        </w:trPr>
        <w:tc>
          <w:tcPr>
            <w:tcW w:w="1830" w:type="dxa"/>
            <w:tcBorders>
              <w:top w:val="single" w:sz="12" w:space="0" w:color="auto"/>
            </w:tcBorders>
            <w:shd w:val="clear" w:color="auto" w:fill="auto"/>
            <w:vAlign w:val="bottom"/>
          </w:tcPr>
          <w:p w:rsidR="00637808" w:rsidRPr="00AC36A1" w:rsidRDefault="00637808" w:rsidP="00637808">
            <w:pPr>
              <w:spacing w:before="40" w:after="40" w:line="210" w:lineRule="exact"/>
              <w:ind w:right="40"/>
              <w:rPr>
                <w:sz w:val="17"/>
              </w:rPr>
            </w:pPr>
          </w:p>
        </w:tc>
        <w:tc>
          <w:tcPr>
            <w:tcW w:w="1830" w:type="dxa"/>
            <w:tcBorders>
              <w:top w:val="single" w:sz="12" w:space="0" w:color="auto"/>
            </w:tcBorders>
            <w:shd w:val="clear" w:color="auto" w:fill="auto"/>
            <w:vAlign w:val="bottom"/>
          </w:tcPr>
          <w:p w:rsidR="00637808" w:rsidRPr="00AC36A1" w:rsidRDefault="00637808" w:rsidP="00637808">
            <w:pPr>
              <w:spacing w:before="40" w:after="40" w:line="210" w:lineRule="exact"/>
              <w:ind w:right="43"/>
              <w:jc w:val="right"/>
              <w:rPr>
                <w:sz w:val="17"/>
              </w:rPr>
            </w:pPr>
          </w:p>
        </w:tc>
        <w:tc>
          <w:tcPr>
            <w:tcW w:w="1830" w:type="dxa"/>
            <w:tcBorders>
              <w:top w:val="single" w:sz="12" w:space="0" w:color="auto"/>
            </w:tcBorders>
            <w:shd w:val="clear" w:color="auto" w:fill="auto"/>
            <w:vAlign w:val="bottom"/>
          </w:tcPr>
          <w:p w:rsidR="00637808" w:rsidRPr="00AC36A1" w:rsidRDefault="00637808" w:rsidP="00637808">
            <w:pPr>
              <w:spacing w:before="40" w:after="40" w:line="210" w:lineRule="exact"/>
              <w:ind w:right="43"/>
              <w:jc w:val="right"/>
              <w:rPr>
                <w:sz w:val="17"/>
              </w:rPr>
            </w:pPr>
          </w:p>
        </w:tc>
        <w:tc>
          <w:tcPr>
            <w:tcW w:w="1830" w:type="dxa"/>
            <w:tcBorders>
              <w:top w:val="single" w:sz="12" w:space="0" w:color="auto"/>
            </w:tcBorders>
            <w:shd w:val="clear" w:color="auto" w:fill="auto"/>
            <w:vAlign w:val="bottom"/>
          </w:tcPr>
          <w:p w:rsidR="00637808" w:rsidRPr="00AC36A1" w:rsidRDefault="00637808" w:rsidP="00637808">
            <w:pPr>
              <w:spacing w:before="40" w:after="40" w:line="210" w:lineRule="exact"/>
              <w:ind w:right="43"/>
              <w:jc w:val="right"/>
              <w:rPr>
                <w:sz w:val="17"/>
              </w:rPr>
            </w:pPr>
          </w:p>
        </w:tc>
      </w:tr>
      <w:tr w:rsidR="00637808" w:rsidRPr="00AC36A1" w:rsidTr="00637808">
        <w:tc>
          <w:tcPr>
            <w:tcW w:w="183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0"/>
              <w:rPr>
                <w:sz w:val="17"/>
              </w:rPr>
            </w:pPr>
            <w:r w:rsidRPr="00AC36A1">
              <w:rPr>
                <w:sz w:val="17"/>
              </w:rPr>
              <w:t>Western</w:t>
            </w:r>
          </w:p>
        </w:tc>
        <w:tc>
          <w:tcPr>
            <w:tcW w:w="183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3"/>
              <w:jc w:val="right"/>
              <w:rPr>
                <w:sz w:val="17"/>
              </w:rPr>
            </w:pPr>
            <w:r w:rsidRPr="00AC36A1">
              <w:rPr>
                <w:sz w:val="17"/>
              </w:rPr>
              <w:t>945 843</w:t>
            </w:r>
          </w:p>
        </w:tc>
        <w:tc>
          <w:tcPr>
            <w:tcW w:w="183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3"/>
              <w:jc w:val="right"/>
              <w:rPr>
                <w:sz w:val="17"/>
              </w:rPr>
            </w:pPr>
            <w:r w:rsidRPr="00AC36A1">
              <w:rPr>
                <w:sz w:val="17"/>
              </w:rPr>
              <w:t>50.2</w:t>
            </w:r>
          </w:p>
        </w:tc>
        <w:tc>
          <w:tcPr>
            <w:tcW w:w="183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3"/>
              <w:jc w:val="right"/>
              <w:rPr>
                <w:sz w:val="17"/>
              </w:rPr>
            </w:pPr>
            <w:r w:rsidRPr="00AC36A1">
              <w:rPr>
                <w:sz w:val="17"/>
              </w:rPr>
              <w:t>49.8</w:t>
            </w:r>
          </w:p>
        </w:tc>
      </w:tr>
      <w:tr w:rsidR="00637808" w:rsidRPr="00AC36A1" w:rsidTr="00637808">
        <w:tc>
          <w:tcPr>
            <w:tcW w:w="183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0"/>
              <w:rPr>
                <w:sz w:val="17"/>
              </w:rPr>
            </w:pPr>
            <w:r w:rsidRPr="00AC36A1">
              <w:rPr>
                <w:sz w:val="17"/>
              </w:rPr>
              <w:t>Central</w:t>
            </w:r>
          </w:p>
        </w:tc>
        <w:tc>
          <w:tcPr>
            <w:tcW w:w="183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3"/>
              <w:jc w:val="right"/>
              <w:rPr>
                <w:sz w:val="17"/>
              </w:rPr>
            </w:pPr>
            <w:r w:rsidRPr="00AC36A1">
              <w:rPr>
                <w:sz w:val="17"/>
              </w:rPr>
              <w:t>529 568</w:t>
            </w:r>
          </w:p>
        </w:tc>
        <w:tc>
          <w:tcPr>
            <w:tcW w:w="183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3"/>
              <w:jc w:val="right"/>
              <w:rPr>
                <w:sz w:val="17"/>
              </w:rPr>
            </w:pPr>
            <w:r w:rsidRPr="00AC36A1">
              <w:rPr>
                <w:sz w:val="17"/>
              </w:rPr>
              <w:t>50.7</w:t>
            </w:r>
          </w:p>
        </w:tc>
        <w:tc>
          <w:tcPr>
            <w:tcW w:w="183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3"/>
              <w:jc w:val="right"/>
              <w:rPr>
                <w:sz w:val="17"/>
              </w:rPr>
            </w:pPr>
            <w:r w:rsidRPr="00AC36A1">
              <w:rPr>
                <w:sz w:val="17"/>
              </w:rPr>
              <w:t>49.3</w:t>
            </w:r>
          </w:p>
        </w:tc>
      </w:tr>
      <w:tr w:rsidR="00637808" w:rsidRPr="00AC36A1" w:rsidTr="00637808">
        <w:tc>
          <w:tcPr>
            <w:tcW w:w="183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0"/>
              <w:rPr>
                <w:sz w:val="17"/>
              </w:rPr>
            </w:pPr>
            <w:r w:rsidRPr="00AC36A1">
              <w:rPr>
                <w:sz w:val="17"/>
              </w:rPr>
              <w:t>Southern</w:t>
            </w:r>
          </w:p>
        </w:tc>
        <w:tc>
          <w:tcPr>
            <w:tcW w:w="183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3"/>
              <w:jc w:val="right"/>
              <w:rPr>
                <w:sz w:val="17"/>
              </w:rPr>
            </w:pPr>
            <w:r w:rsidRPr="00AC36A1">
              <w:rPr>
                <w:sz w:val="17"/>
              </w:rPr>
              <w:t>513 466</w:t>
            </w:r>
          </w:p>
        </w:tc>
        <w:tc>
          <w:tcPr>
            <w:tcW w:w="183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3"/>
              <w:jc w:val="right"/>
              <w:rPr>
                <w:sz w:val="17"/>
              </w:rPr>
            </w:pPr>
            <w:r w:rsidRPr="00AC36A1">
              <w:rPr>
                <w:sz w:val="17"/>
              </w:rPr>
              <w:t>50.2</w:t>
            </w:r>
          </w:p>
        </w:tc>
        <w:tc>
          <w:tcPr>
            <w:tcW w:w="183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3"/>
              <w:jc w:val="right"/>
              <w:rPr>
                <w:sz w:val="17"/>
              </w:rPr>
            </w:pPr>
            <w:r w:rsidRPr="00AC36A1">
              <w:rPr>
                <w:sz w:val="17"/>
              </w:rPr>
              <w:t>49.8</w:t>
            </w:r>
          </w:p>
        </w:tc>
      </w:tr>
      <w:tr w:rsidR="00637808" w:rsidRPr="00AC36A1" w:rsidTr="00637808">
        <w:tc>
          <w:tcPr>
            <w:tcW w:w="183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0"/>
              <w:rPr>
                <w:sz w:val="17"/>
              </w:rPr>
            </w:pPr>
            <w:r w:rsidRPr="00AC36A1">
              <w:rPr>
                <w:sz w:val="17"/>
              </w:rPr>
              <w:t>Northern</w:t>
            </w:r>
          </w:p>
        </w:tc>
        <w:tc>
          <w:tcPr>
            <w:tcW w:w="183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3"/>
              <w:jc w:val="right"/>
              <w:rPr>
                <w:sz w:val="17"/>
              </w:rPr>
            </w:pPr>
            <w:r w:rsidRPr="00AC36A1">
              <w:rPr>
                <w:sz w:val="17"/>
              </w:rPr>
              <w:t>249 431</w:t>
            </w:r>
          </w:p>
        </w:tc>
        <w:tc>
          <w:tcPr>
            <w:tcW w:w="183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3"/>
              <w:jc w:val="right"/>
              <w:rPr>
                <w:sz w:val="17"/>
              </w:rPr>
            </w:pPr>
            <w:r w:rsidRPr="00AC36A1">
              <w:rPr>
                <w:sz w:val="17"/>
              </w:rPr>
              <w:t>50.7</w:t>
            </w:r>
          </w:p>
        </w:tc>
        <w:tc>
          <w:tcPr>
            <w:tcW w:w="183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3"/>
              <w:jc w:val="right"/>
              <w:rPr>
                <w:sz w:val="17"/>
              </w:rPr>
            </w:pPr>
            <w:r w:rsidRPr="00AC36A1">
              <w:rPr>
                <w:sz w:val="17"/>
              </w:rPr>
              <w:t>49.3</w:t>
            </w:r>
          </w:p>
        </w:tc>
      </w:tr>
      <w:tr w:rsidR="00637808" w:rsidRPr="00AC36A1" w:rsidTr="00637808">
        <w:tc>
          <w:tcPr>
            <w:tcW w:w="183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0"/>
              <w:rPr>
                <w:sz w:val="17"/>
              </w:rPr>
            </w:pPr>
            <w:r w:rsidRPr="00AC36A1">
              <w:rPr>
                <w:sz w:val="17"/>
              </w:rPr>
              <w:t>Eastern</w:t>
            </w:r>
          </w:p>
        </w:tc>
        <w:tc>
          <w:tcPr>
            <w:tcW w:w="183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3"/>
              <w:jc w:val="right"/>
              <w:rPr>
                <w:sz w:val="17"/>
              </w:rPr>
            </w:pPr>
            <w:r w:rsidRPr="00AC36A1">
              <w:rPr>
                <w:sz w:val="17"/>
              </w:rPr>
              <w:t>388 498</w:t>
            </w:r>
          </w:p>
        </w:tc>
        <w:tc>
          <w:tcPr>
            <w:tcW w:w="183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3"/>
              <w:jc w:val="right"/>
              <w:rPr>
                <w:sz w:val="17"/>
              </w:rPr>
            </w:pPr>
            <w:r w:rsidRPr="00AC36A1">
              <w:rPr>
                <w:sz w:val="17"/>
              </w:rPr>
              <w:t>49.9</w:t>
            </w:r>
          </w:p>
        </w:tc>
        <w:tc>
          <w:tcPr>
            <w:tcW w:w="183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3"/>
              <w:jc w:val="right"/>
              <w:rPr>
                <w:sz w:val="17"/>
              </w:rPr>
            </w:pPr>
            <w:r w:rsidRPr="00AC36A1">
              <w:rPr>
                <w:sz w:val="17"/>
              </w:rPr>
              <w:t>50.1</w:t>
            </w:r>
          </w:p>
        </w:tc>
      </w:tr>
      <w:tr w:rsidR="00637808" w:rsidRPr="00AC36A1" w:rsidTr="00637808">
        <w:tc>
          <w:tcPr>
            <w:tcW w:w="183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0"/>
              <w:rPr>
                <w:sz w:val="17"/>
              </w:rPr>
            </w:pPr>
            <w:r w:rsidRPr="00AC36A1">
              <w:rPr>
                <w:sz w:val="17"/>
              </w:rPr>
              <w:t>North Western</w:t>
            </w:r>
          </w:p>
        </w:tc>
        <w:tc>
          <w:tcPr>
            <w:tcW w:w="183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3"/>
              <w:jc w:val="right"/>
              <w:rPr>
                <w:sz w:val="17"/>
              </w:rPr>
            </w:pPr>
            <w:r w:rsidRPr="00AC36A1">
              <w:rPr>
                <w:sz w:val="17"/>
              </w:rPr>
              <w:t>485 962</w:t>
            </w:r>
          </w:p>
        </w:tc>
        <w:tc>
          <w:tcPr>
            <w:tcW w:w="183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3"/>
              <w:jc w:val="right"/>
              <w:rPr>
                <w:sz w:val="17"/>
              </w:rPr>
            </w:pPr>
            <w:r w:rsidRPr="00AC36A1">
              <w:rPr>
                <w:sz w:val="17"/>
              </w:rPr>
              <w:t>50.3</w:t>
            </w:r>
          </w:p>
        </w:tc>
        <w:tc>
          <w:tcPr>
            <w:tcW w:w="183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3"/>
              <w:jc w:val="right"/>
              <w:rPr>
                <w:sz w:val="17"/>
              </w:rPr>
            </w:pPr>
            <w:r w:rsidRPr="00AC36A1">
              <w:rPr>
                <w:sz w:val="17"/>
              </w:rPr>
              <w:t>49.7</w:t>
            </w:r>
          </w:p>
        </w:tc>
      </w:tr>
      <w:tr w:rsidR="00637808" w:rsidRPr="00AC36A1" w:rsidTr="00637808">
        <w:tc>
          <w:tcPr>
            <w:tcW w:w="183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0"/>
              <w:rPr>
                <w:sz w:val="17"/>
              </w:rPr>
            </w:pPr>
            <w:r w:rsidRPr="00AC36A1">
              <w:rPr>
                <w:sz w:val="17"/>
              </w:rPr>
              <w:t>North Central</w:t>
            </w:r>
          </w:p>
        </w:tc>
        <w:tc>
          <w:tcPr>
            <w:tcW w:w="183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3"/>
              <w:jc w:val="right"/>
              <w:rPr>
                <w:sz w:val="17"/>
              </w:rPr>
            </w:pPr>
            <w:r w:rsidRPr="00AC36A1">
              <w:rPr>
                <w:sz w:val="17"/>
              </w:rPr>
              <w:t>270 328</w:t>
            </w:r>
          </w:p>
        </w:tc>
        <w:tc>
          <w:tcPr>
            <w:tcW w:w="183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3"/>
              <w:jc w:val="right"/>
              <w:rPr>
                <w:sz w:val="17"/>
              </w:rPr>
            </w:pPr>
            <w:r w:rsidRPr="00AC36A1">
              <w:rPr>
                <w:sz w:val="17"/>
              </w:rPr>
              <w:t>50.5</w:t>
            </w:r>
          </w:p>
        </w:tc>
        <w:tc>
          <w:tcPr>
            <w:tcW w:w="183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3"/>
              <w:jc w:val="right"/>
              <w:rPr>
                <w:sz w:val="17"/>
              </w:rPr>
            </w:pPr>
            <w:r w:rsidRPr="00AC36A1">
              <w:rPr>
                <w:sz w:val="17"/>
              </w:rPr>
              <w:t>49.5</w:t>
            </w:r>
          </w:p>
        </w:tc>
      </w:tr>
      <w:tr w:rsidR="00637808" w:rsidRPr="00AC36A1" w:rsidTr="00637808">
        <w:tc>
          <w:tcPr>
            <w:tcW w:w="183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0"/>
              <w:rPr>
                <w:sz w:val="17"/>
              </w:rPr>
            </w:pPr>
            <w:r w:rsidRPr="00AC36A1">
              <w:rPr>
                <w:sz w:val="17"/>
              </w:rPr>
              <w:t>Uva</w:t>
            </w:r>
          </w:p>
        </w:tc>
        <w:tc>
          <w:tcPr>
            <w:tcW w:w="183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3"/>
              <w:jc w:val="right"/>
              <w:rPr>
                <w:sz w:val="17"/>
              </w:rPr>
            </w:pPr>
            <w:r w:rsidRPr="00AC36A1">
              <w:rPr>
                <w:sz w:val="17"/>
              </w:rPr>
              <w:t>279 560</w:t>
            </w:r>
          </w:p>
        </w:tc>
        <w:tc>
          <w:tcPr>
            <w:tcW w:w="183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3"/>
              <w:jc w:val="right"/>
              <w:rPr>
                <w:sz w:val="17"/>
              </w:rPr>
            </w:pPr>
            <w:r w:rsidRPr="00AC36A1">
              <w:rPr>
                <w:sz w:val="17"/>
              </w:rPr>
              <w:t>51.1</w:t>
            </w:r>
          </w:p>
        </w:tc>
        <w:tc>
          <w:tcPr>
            <w:tcW w:w="183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3"/>
              <w:jc w:val="right"/>
              <w:rPr>
                <w:sz w:val="17"/>
              </w:rPr>
            </w:pPr>
            <w:r w:rsidRPr="00AC36A1">
              <w:rPr>
                <w:sz w:val="17"/>
              </w:rPr>
              <w:t>48.9</w:t>
            </w:r>
          </w:p>
        </w:tc>
      </w:tr>
      <w:tr w:rsidR="00637808" w:rsidRPr="00AC36A1" w:rsidTr="00637808">
        <w:tc>
          <w:tcPr>
            <w:tcW w:w="183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0"/>
              <w:rPr>
                <w:sz w:val="17"/>
              </w:rPr>
            </w:pPr>
            <w:r w:rsidRPr="00AC36A1">
              <w:rPr>
                <w:sz w:val="17"/>
              </w:rPr>
              <w:t>Sabaragamuwa</w:t>
            </w:r>
          </w:p>
        </w:tc>
        <w:tc>
          <w:tcPr>
            <w:tcW w:w="183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3"/>
              <w:jc w:val="right"/>
              <w:rPr>
                <w:sz w:val="17"/>
              </w:rPr>
            </w:pPr>
            <w:r w:rsidRPr="00AC36A1">
              <w:rPr>
                <w:sz w:val="17"/>
              </w:rPr>
              <w:t>374 345</w:t>
            </w:r>
          </w:p>
        </w:tc>
        <w:tc>
          <w:tcPr>
            <w:tcW w:w="183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3"/>
              <w:jc w:val="right"/>
              <w:rPr>
                <w:sz w:val="17"/>
              </w:rPr>
            </w:pPr>
            <w:r w:rsidRPr="00AC36A1">
              <w:rPr>
                <w:sz w:val="17"/>
              </w:rPr>
              <w:t>50.7</w:t>
            </w:r>
          </w:p>
        </w:tc>
        <w:tc>
          <w:tcPr>
            <w:tcW w:w="1830" w:type="dxa"/>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3"/>
              <w:jc w:val="right"/>
              <w:rPr>
                <w:sz w:val="17"/>
              </w:rPr>
            </w:pPr>
            <w:r w:rsidRPr="00AC36A1">
              <w:rPr>
                <w:sz w:val="17"/>
              </w:rPr>
              <w:t>49.3</w:t>
            </w:r>
          </w:p>
        </w:tc>
      </w:tr>
      <w:tr w:rsidR="00637808" w:rsidRPr="00AC36A1" w:rsidTr="00637808">
        <w:tc>
          <w:tcPr>
            <w:tcW w:w="1830" w:type="dxa"/>
            <w:tcBorders>
              <w:bottom w:val="single" w:sz="12" w:space="0" w:color="auto"/>
            </w:tcBorders>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0"/>
              <w:rPr>
                <w:sz w:val="17"/>
              </w:rPr>
            </w:pPr>
            <w:r w:rsidRPr="00AC36A1">
              <w:rPr>
                <w:sz w:val="17"/>
              </w:rPr>
              <w:t>Sri Lanka</w:t>
            </w:r>
          </w:p>
        </w:tc>
        <w:tc>
          <w:tcPr>
            <w:tcW w:w="1830" w:type="dxa"/>
            <w:tcBorders>
              <w:bottom w:val="single" w:sz="12" w:space="0" w:color="auto"/>
            </w:tcBorders>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3"/>
              <w:jc w:val="right"/>
              <w:rPr>
                <w:sz w:val="17"/>
              </w:rPr>
            </w:pPr>
            <w:r w:rsidRPr="00AC36A1">
              <w:rPr>
                <w:sz w:val="17"/>
              </w:rPr>
              <w:t>4 037 001</w:t>
            </w:r>
          </w:p>
        </w:tc>
        <w:tc>
          <w:tcPr>
            <w:tcW w:w="1830" w:type="dxa"/>
            <w:tcBorders>
              <w:bottom w:val="single" w:sz="12" w:space="0" w:color="auto"/>
            </w:tcBorders>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3"/>
              <w:jc w:val="right"/>
              <w:rPr>
                <w:sz w:val="17"/>
              </w:rPr>
            </w:pPr>
            <w:r w:rsidRPr="00AC36A1">
              <w:rPr>
                <w:sz w:val="17"/>
              </w:rPr>
              <w:t>50.4</w:t>
            </w:r>
          </w:p>
        </w:tc>
        <w:tc>
          <w:tcPr>
            <w:tcW w:w="1830" w:type="dxa"/>
            <w:tcBorders>
              <w:bottom w:val="single" w:sz="12" w:space="0" w:color="auto"/>
            </w:tcBorders>
            <w:shd w:val="clear" w:color="auto" w:fill="auto"/>
            <w:vAlign w:val="bottom"/>
          </w:tcPr>
          <w:p w:rsidR="00637808" w:rsidRPr="00AC36A1" w:rsidRDefault="00637808" w:rsidP="00637808">
            <w:pPr>
              <w:tabs>
                <w:tab w:val="left" w:pos="288"/>
                <w:tab w:val="left" w:pos="576"/>
                <w:tab w:val="left" w:pos="864"/>
                <w:tab w:val="left" w:pos="1152"/>
              </w:tabs>
              <w:spacing w:before="40" w:after="40" w:line="210" w:lineRule="exact"/>
              <w:ind w:right="43"/>
              <w:jc w:val="right"/>
              <w:rPr>
                <w:sz w:val="17"/>
              </w:rPr>
            </w:pPr>
            <w:r w:rsidRPr="00AC36A1">
              <w:rPr>
                <w:sz w:val="17"/>
              </w:rPr>
              <w:t>49.6</w:t>
            </w:r>
          </w:p>
        </w:tc>
      </w:tr>
    </w:tbl>
    <w:p w:rsidR="00637808" w:rsidRPr="00AC36A1" w:rsidRDefault="00637808" w:rsidP="00637808">
      <w:pPr>
        <w:pStyle w:val="SingleTxt"/>
        <w:spacing w:after="0" w:line="120" w:lineRule="exact"/>
        <w:rPr>
          <w:sz w:val="10"/>
        </w:rPr>
      </w:pPr>
    </w:p>
    <w:p w:rsidR="00CF1DFA" w:rsidRPr="00AC36A1" w:rsidRDefault="00CF1DFA" w:rsidP="00637808">
      <w:pPr>
        <w:pStyle w:val="FootnoteText"/>
        <w:tabs>
          <w:tab w:val="clear" w:pos="418"/>
          <w:tab w:val="right" w:pos="1476"/>
          <w:tab w:val="left" w:pos="1548"/>
          <w:tab w:val="right" w:pos="1836"/>
          <w:tab w:val="left" w:pos="1908"/>
        </w:tabs>
        <w:ind w:left="1548" w:right="1267" w:hanging="288"/>
        <w:rPr>
          <w:i/>
        </w:rPr>
      </w:pPr>
      <w:r w:rsidRPr="00AC36A1">
        <w:rPr>
          <w:i/>
        </w:rPr>
        <w:t>Note</w:t>
      </w:r>
      <w:r w:rsidRPr="00AC36A1">
        <w:rPr>
          <w:i/>
        </w:rPr>
        <w:tab/>
        <w:t>: Government Schools only</w:t>
      </w:r>
      <w:r w:rsidR="00AB5032" w:rsidRPr="00AB5032">
        <w:t>.</w:t>
      </w:r>
    </w:p>
    <w:p w:rsidR="00CF1DFA" w:rsidRPr="00AC36A1" w:rsidRDefault="00CF1DFA" w:rsidP="00637808">
      <w:pPr>
        <w:pStyle w:val="FootnoteText"/>
        <w:tabs>
          <w:tab w:val="clear" w:pos="418"/>
          <w:tab w:val="right" w:pos="1476"/>
          <w:tab w:val="left" w:pos="1548"/>
          <w:tab w:val="right" w:pos="1836"/>
          <w:tab w:val="left" w:pos="1908"/>
        </w:tabs>
        <w:ind w:left="1548" w:right="1267" w:hanging="288"/>
        <w:rPr>
          <w:i/>
        </w:rPr>
      </w:pPr>
      <w:r w:rsidRPr="00AC36A1">
        <w:rPr>
          <w:i/>
        </w:rPr>
        <w:t>Source: Research and Development Branch, Department of Examinations</w:t>
      </w:r>
      <w:r w:rsidR="00AB5032" w:rsidRPr="00AB5032">
        <w:t>.</w:t>
      </w:r>
    </w:p>
    <w:p w:rsidR="00637808" w:rsidRPr="00AC36A1" w:rsidRDefault="00637808" w:rsidP="00637808">
      <w:pPr>
        <w:pStyle w:val="SingleTxt"/>
        <w:spacing w:after="0" w:line="120" w:lineRule="exact"/>
        <w:rPr>
          <w:sz w:val="10"/>
        </w:rPr>
      </w:pPr>
    </w:p>
    <w:p w:rsidR="00637808" w:rsidRPr="00AC36A1" w:rsidRDefault="00637808" w:rsidP="00637808">
      <w:pPr>
        <w:pStyle w:val="SingleTxt"/>
        <w:spacing w:after="0" w:line="120" w:lineRule="exact"/>
        <w:rPr>
          <w:sz w:val="10"/>
        </w:rPr>
      </w:pPr>
    </w:p>
    <w:p w:rsidR="00CF1DFA" w:rsidRPr="00AC36A1" w:rsidRDefault="00637808" w:rsidP="00637808">
      <w:pPr>
        <w:pStyle w:val="H23"/>
        <w:ind w:right="1260"/>
        <w:rPr>
          <w:b w:val="0"/>
        </w:rPr>
      </w:pPr>
      <w:r w:rsidRPr="00AC36A1">
        <w:tab/>
      </w:r>
      <w:r w:rsidRPr="00AC36A1">
        <w:tab/>
      </w:r>
      <w:r w:rsidR="00CF1DFA" w:rsidRPr="00AC36A1">
        <w:rPr>
          <w:b w:val="0"/>
        </w:rPr>
        <w:t>Table 4</w:t>
      </w:r>
    </w:p>
    <w:p w:rsidR="00CF1DFA" w:rsidRPr="00AC36A1" w:rsidRDefault="00637808" w:rsidP="00637808">
      <w:pPr>
        <w:pStyle w:val="H23"/>
        <w:ind w:right="1260"/>
      </w:pPr>
      <w:r w:rsidRPr="00AC36A1">
        <w:tab/>
      </w:r>
      <w:r w:rsidRPr="00AC36A1">
        <w:tab/>
      </w:r>
      <w:r w:rsidR="00CF1DFA" w:rsidRPr="00AC36A1">
        <w:t>School Enrolment by Grade, 2013</w:t>
      </w:r>
    </w:p>
    <w:p w:rsidR="00637808" w:rsidRPr="00AC36A1" w:rsidRDefault="00637808" w:rsidP="00637808">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220"/>
        <w:gridCol w:w="1759"/>
        <w:gridCol w:w="1085"/>
        <w:gridCol w:w="1085"/>
        <w:gridCol w:w="1085"/>
        <w:gridCol w:w="1086"/>
      </w:tblGrid>
      <w:tr w:rsidR="00DA0250" w:rsidRPr="00AC36A1" w:rsidTr="00DA0250">
        <w:trPr>
          <w:tblHeader/>
        </w:trPr>
        <w:tc>
          <w:tcPr>
            <w:tcW w:w="1220" w:type="dxa"/>
            <w:tcBorders>
              <w:top w:val="single" w:sz="4" w:space="0" w:color="auto"/>
              <w:bottom w:val="single" w:sz="12" w:space="0" w:color="auto"/>
            </w:tcBorders>
            <w:shd w:val="clear" w:color="auto" w:fill="auto"/>
            <w:vAlign w:val="bottom"/>
          </w:tcPr>
          <w:p w:rsidR="00DA0250" w:rsidRPr="00AC36A1" w:rsidRDefault="00DA0250" w:rsidP="00DA0250">
            <w:pPr>
              <w:spacing w:before="81" w:after="81" w:line="160" w:lineRule="exact"/>
              <w:ind w:right="40"/>
              <w:rPr>
                <w:i/>
                <w:sz w:val="14"/>
              </w:rPr>
            </w:pPr>
          </w:p>
        </w:tc>
        <w:tc>
          <w:tcPr>
            <w:tcW w:w="1759" w:type="dxa"/>
            <w:tcBorders>
              <w:top w:val="single" w:sz="4" w:space="0" w:color="auto"/>
              <w:bottom w:val="single" w:sz="12" w:space="0" w:color="auto"/>
            </w:tcBorders>
            <w:shd w:val="clear" w:color="auto" w:fill="auto"/>
            <w:vAlign w:val="bottom"/>
          </w:tcPr>
          <w:p w:rsidR="00DA0250" w:rsidRPr="00AC36A1" w:rsidRDefault="00DA0250" w:rsidP="00DA0250">
            <w:pPr>
              <w:spacing w:before="81" w:after="81" w:line="160" w:lineRule="exact"/>
              <w:ind w:right="43"/>
              <w:rPr>
                <w:i/>
                <w:sz w:val="14"/>
              </w:rPr>
            </w:pPr>
            <w:r w:rsidRPr="00AC36A1">
              <w:rPr>
                <w:i/>
                <w:sz w:val="14"/>
              </w:rPr>
              <w:t>Grade</w:t>
            </w:r>
          </w:p>
        </w:tc>
        <w:tc>
          <w:tcPr>
            <w:tcW w:w="1085" w:type="dxa"/>
            <w:tcBorders>
              <w:top w:val="single" w:sz="4" w:space="0" w:color="auto"/>
              <w:bottom w:val="single" w:sz="12" w:space="0" w:color="auto"/>
            </w:tcBorders>
            <w:shd w:val="clear" w:color="auto" w:fill="auto"/>
            <w:vAlign w:val="bottom"/>
          </w:tcPr>
          <w:p w:rsidR="00DA0250" w:rsidRPr="00AC36A1" w:rsidRDefault="00DA0250" w:rsidP="00DA0250">
            <w:pPr>
              <w:spacing w:before="81" w:after="81" w:line="160" w:lineRule="exact"/>
              <w:ind w:right="43"/>
              <w:jc w:val="right"/>
              <w:rPr>
                <w:i/>
                <w:sz w:val="14"/>
              </w:rPr>
            </w:pPr>
            <w:r w:rsidRPr="00AC36A1">
              <w:rPr>
                <w:i/>
                <w:sz w:val="14"/>
              </w:rPr>
              <w:t>Total No.</w:t>
            </w:r>
          </w:p>
        </w:tc>
        <w:tc>
          <w:tcPr>
            <w:tcW w:w="1085" w:type="dxa"/>
            <w:tcBorders>
              <w:top w:val="single" w:sz="4" w:space="0" w:color="auto"/>
              <w:bottom w:val="single" w:sz="12" w:space="0" w:color="auto"/>
            </w:tcBorders>
            <w:shd w:val="clear" w:color="auto" w:fill="auto"/>
            <w:vAlign w:val="bottom"/>
          </w:tcPr>
          <w:p w:rsidR="00DA0250" w:rsidRPr="00AC36A1" w:rsidRDefault="00DA0250" w:rsidP="00DA0250">
            <w:pPr>
              <w:spacing w:before="81" w:after="81" w:line="160" w:lineRule="exact"/>
              <w:ind w:right="43"/>
              <w:jc w:val="right"/>
              <w:rPr>
                <w:i/>
                <w:sz w:val="14"/>
              </w:rPr>
            </w:pPr>
            <w:r w:rsidRPr="00AC36A1">
              <w:rPr>
                <w:i/>
                <w:sz w:val="14"/>
              </w:rPr>
              <w:t>No. of Girls</w:t>
            </w:r>
          </w:p>
        </w:tc>
        <w:tc>
          <w:tcPr>
            <w:tcW w:w="1085" w:type="dxa"/>
            <w:tcBorders>
              <w:top w:val="single" w:sz="4" w:space="0" w:color="auto"/>
              <w:bottom w:val="single" w:sz="12" w:space="0" w:color="auto"/>
            </w:tcBorders>
            <w:shd w:val="clear" w:color="auto" w:fill="auto"/>
            <w:vAlign w:val="bottom"/>
          </w:tcPr>
          <w:p w:rsidR="00DA0250" w:rsidRPr="00AC36A1" w:rsidRDefault="00DA0250" w:rsidP="00DA0250">
            <w:pPr>
              <w:spacing w:before="81" w:after="81" w:line="160" w:lineRule="exact"/>
              <w:ind w:right="43"/>
              <w:jc w:val="right"/>
              <w:rPr>
                <w:i/>
                <w:sz w:val="14"/>
              </w:rPr>
            </w:pPr>
            <w:r w:rsidRPr="00AC36A1">
              <w:rPr>
                <w:i/>
                <w:sz w:val="14"/>
              </w:rPr>
              <w:t>No. of Boys</w:t>
            </w:r>
          </w:p>
        </w:tc>
        <w:tc>
          <w:tcPr>
            <w:tcW w:w="1086" w:type="dxa"/>
            <w:tcBorders>
              <w:top w:val="single" w:sz="4" w:space="0" w:color="auto"/>
              <w:bottom w:val="single" w:sz="12" w:space="0" w:color="auto"/>
            </w:tcBorders>
            <w:shd w:val="clear" w:color="auto" w:fill="auto"/>
            <w:vAlign w:val="bottom"/>
          </w:tcPr>
          <w:p w:rsidR="00DA0250" w:rsidRPr="00AC36A1" w:rsidRDefault="00DA0250" w:rsidP="00DA0250">
            <w:pPr>
              <w:spacing w:before="81" w:line="160" w:lineRule="exact"/>
              <w:ind w:right="43"/>
              <w:jc w:val="right"/>
              <w:rPr>
                <w:i/>
                <w:sz w:val="14"/>
              </w:rPr>
            </w:pPr>
            <w:r w:rsidRPr="00AC36A1">
              <w:rPr>
                <w:i/>
                <w:sz w:val="14"/>
              </w:rPr>
              <w:t>Girls/</w:t>
            </w:r>
          </w:p>
          <w:p w:rsidR="00DA0250" w:rsidRPr="00AC36A1" w:rsidRDefault="00DA0250" w:rsidP="00DA0250">
            <w:pPr>
              <w:spacing w:after="81" w:line="160" w:lineRule="exact"/>
              <w:ind w:right="43"/>
              <w:jc w:val="right"/>
              <w:rPr>
                <w:i/>
                <w:sz w:val="14"/>
              </w:rPr>
            </w:pPr>
            <w:r w:rsidRPr="00AC36A1">
              <w:rPr>
                <w:i/>
                <w:sz w:val="14"/>
              </w:rPr>
              <w:t>100 boys</w:t>
            </w:r>
          </w:p>
        </w:tc>
      </w:tr>
      <w:tr w:rsidR="00DA0250" w:rsidRPr="00AC36A1" w:rsidTr="00DA0250">
        <w:trPr>
          <w:cantSplit/>
          <w:trHeight w:hRule="exact" w:val="115"/>
          <w:tblHeader/>
        </w:trPr>
        <w:tc>
          <w:tcPr>
            <w:tcW w:w="1220" w:type="dxa"/>
            <w:tcBorders>
              <w:top w:val="single" w:sz="12" w:space="0" w:color="auto"/>
            </w:tcBorders>
            <w:shd w:val="clear" w:color="auto" w:fill="auto"/>
            <w:textDirection w:val="btLr"/>
            <w:vAlign w:val="bottom"/>
          </w:tcPr>
          <w:p w:rsidR="00DA0250" w:rsidRPr="00AC36A1" w:rsidRDefault="00DA0250" w:rsidP="00DA0250">
            <w:pPr>
              <w:spacing w:before="40" w:after="40" w:line="210" w:lineRule="exact"/>
              <w:ind w:right="40"/>
              <w:rPr>
                <w:sz w:val="17"/>
              </w:rPr>
            </w:pPr>
          </w:p>
        </w:tc>
        <w:tc>
          <w:tcPr>
            <w:tcW w:w="1759" w:type="dxa"/>
            <w:tcBorders>
              <w:top w:val="single" w:sz="12" w:space="0" w:color="auto"/>
            </w:tcBorders>
            <w:shd w:val="clear" w:color="auto" w:fill="auto"/>
            <w:vAlign w:val="bottom"/>
          </w:tcPr>
          <w:p w:rsidR="00DA0250" w:rsidRPr="00AC36A1" w:rsidRDefault="00DA0250" w:rsidP="00DA0250">
            <w:pPr>
              <w:spacing w:before="40" w:after="40" w:line="210" w:lineRule="exact"/>
              <w:ind w:right="43"/>
              <w:rPr>
                <w:sz w:val="17"/>
              </w:rPr>
            </w:pPr>
          </w:p>
        </w:tc>
        <w:tc>
          <w:tcPr>
            <w:tcW w:w="1085" w:type="dxa"/>
            <w:tcBorders>
              <w:top w:val="single" w:sz="12" w:space="0" w:color="auto"/>
            </w:tcBorders>
            <w:shd w:val="clear" w:color="auto" w:fill="auto"/>
            <w:vAlign w:val="bottom"/>
          </w:tcPr>
          <w:p w:rsidR="00DA0250" w:rsidRPr="00AC36A1" w:rsidRDefault="00DA0250" w:rsidP="00DA0250">
            <w:pPr>
              <w:spacing w:before="40" w:after="40" w:line="210" w:lineRule="exact"/>
              <w:ind w:right="43"/>
              <w:jc w:val="right"/>
              <w:rPr>
                <w:sz w:val="17"/>
              </w:rPr>
            </w:pPr>
          </w:p>
        </w:tc>
        <w:tc>
          <w:tcPr>
            <w:tcW w:w="1085" w:type="dxa"/>
            <w:tcBorders>
              <w:top w:val="single" w:sz="12" w:space="0" w:color="auto"/>
            </w:tcBorders>
            <w:shd w:val="clear" w:color="auto" w:fill="auto"/>
            <w:vAlign w:val="bottom"/>
          </w:tcPr>
          <w:p w:rsidR="00DA0250" w:rsidRPr="00AC36A1" w:rsidRDefault="00DA0250" w:rsidP="00DA0250">
            <w:pPr>
              <w:spacing w:before="40" w:after="40" w:line="210" w:lineRule="exact"/>
              <w:ind w:right="43"/>
              <w:jc w:val="right"/>
              <w:rPr>
                <w:sz w:val="17"/>
              </w:rPr>
            </w:pPr>
          </w:p>
        </w:tc>
        <w:tc>
          <w:tcPr>
            <w:tcW w:w="1085" w:type="dxa"/>
            <w:tcBorders>
              <w:top w:val="single" w:sz="12" w:space="0" w:color="auto"/>
            </w:tcBorders>
            <w:shd w:val="clear" w:color="auto" w:fill="auto"/>
            <w:vAlign w:val="bottom"/>
          </w:tcPr>
          <w:p w:rsidR="00DA0250" w:rsidRPr="00AC36A1" w:rsidRDefault="00DA0250" w:rsidP="00DA0250">
            <w:pPr>
              <w:spacing w:before="40" w:after="40" w:line="210" w:lineRule="exact"/>
              <w:ind w:right="43"/>
              <w:jc w:val="right"/>
              <w:rPr>
                <w:sz w:val="17"/>
              </w:rPr>
            </w:pPr>
          </w:p>
        </w:tc>
        <w:tc>
          <w:tcPr>
            <w:tcW w:w="1086" w:type="dxa"/>
            <w:tcBorders>
              <w:top w:val="single" w:sz="12" w:space="0" w:color="auto"/>
            </w:tcBorders>
            <w:shd w:val="clear" w:color="auto" w:fill="auto"/>
            <w:vAlign w:val="bottom"/>
          </w:tcPr>
          <w:p w:rsidR="00DA0250" w:rsidRPr="00AC36A1" w:rsidRDefault="00DA0250" w:rsidP="00DA0250">
            <w:pPr>
              <w:spacing w:before="40" w:after="40" w:line="210" w:lineRule="exact"/>
              <w:ind w:right="43"/>
              <w:jc w:val="right"/>
              <w:rPr>
                <w:sz w:val="17"/>
              </w:rPr>
            </w:pPr>
          </w:p>
        </w:tc>
      </w:tr>
      <w:tr w:rsidR="00DA0250" w:rsidRPr="00AC36A1" w:rsidTr="00AA22CA">
        <w:tc>
          <w:tcPr>
            <w:tcW w:w="1220" w:type="dxa"/>
            <w:vMerge w:val="restart"/>
            <w:shd w:val="clear" w:color="auto" w:fill="auto"/>
            <w:textDirection w:val="btLr"/>
          </w:tcPr>
          <w:p w:rsidR="00DA0250" w:rsidRPr="00AC36A1" w:rsidRDefault="00DA0250" w:rsidP="00AA22CA">
            <w:pPr>
              <w:tabs>
                <w:tab w:val="left" w:pos="288"/>
                <w:tab w:val="left" w:pos="576"/>
                <w:tab w:val="left" w:pos="864"/>
                <w:tab w:val="left" w:pos="1152"/>
              </w:tabs>
              <w:spacing w:before="40" w:after="40" w:line="210" w:lineRule="exact"/>
              <w:ind w:right="40"/>
              <w:jc w:val="center"/>
              <w:rPr>
                <w:b/>
                <w:sz w:val="17"/>
              </w:rPr>
            </w:pPr>
            <w:r w:rsidRPr="00AC36A1">
              <w:rPr>
                <w:b/>
                <w:sz w:val="17"/>
              </w:rPr>
              <w:t>Primary</w:t>
            </w:r>
          </w:p>
        </w:tc>
        <w:tc>
          <w:tcPr>
            <w:tcW w:w="1759"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rPr>
                <w:sz w:val="17"/>
              </w:rPr>
            </w:pPr>
            <w:r w:rsidRPr="00AC36A1">
              <w:rPr>
                <w:sz w:val="17"/>
              </w:rPr>
              <w:t>Grade 1</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351 407</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172 717</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178 690</w:t>
            </w:r>
          </w:p>
        </w:tc>
        <w:tc>
          <w:tcPr>
            <w:tcW w:w="1086"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96.7</w:t>
            </w:r>
          </w:p>
        </w:tc>
      </w:tr>
      <w:tr w:rsidR="00DA0250" w:rsidRPr="00AC36A1" w:rsidTr="00DA0250">
        <w:tc>
          <w:tcPr>
            <w:tcW w:w="1220" w:type="dxa"/>
            <w:vMerge/>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0"/>
              <w:rPr>
                <w:b/>
                <w:sz w:val="17"/>
              </w:rPr>
            </w:pPr>
          </w:p>
        </w:tc>
        <w:tc>
          <w:tcPr>
            <w:tcW w:w="1759"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rPr>
                <w:sz w:val="17"/>
              </w:rPr>
            </w:pPr>
            <w:r w:rsidRPr="00AC36A1">
              <w:rPr>
                <w:sz w:val="17"/>
              </w:rPr>
              <w:t>Grade 2</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349 098</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171 541</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177 557</w:t>
            </w:r>
          </w:p>
        </w:tc>
        <w:tc>
          <w:tcPr>
            <w:tcW w:w="1086"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96.6</w:t>
            </w:r>
          </w:p>
        </w:tc>
      </w:tr>
      <w:tr w:rsidR="00DA0250" w:rsidRPr="00AC36A1" w:rsidTr="00DA0250">
        <w:tc>
          <w:tcPr>
            <w:tcW w:w="1220" w:type="dxa"/>
            <w:vMerge/>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0"/>
              <w:rPr>
                <w:b/>
                <w:sz w:val="17"/>
              </w:rPr>
            </w:pPr>
          </w:p>
        </w:tc>
        <w:tc>
          <w:tcPr>
            <w:tcW w:w="1759"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rPr>
                <w:sz w:val="17"/>
              </w:rPr>
            </w:pPr>
            <w:r w:rsidRPr="00AC36A1">
              <w:rPr>
                <w:sz w:val="17"/>
              </w:rPr>
              <w:t>Grade 3</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341 025</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167 955</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173 070</w:t>
            </w:r>
          </w:p>
        </w:tc>
        <w:tc>
          <w:tcPr>
            <w:tcW w:w="1086"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97.0</w:t>
            </w:r>
          </w:p>
        </w:tc>
      </w:tr>
      <w:tr w:rsidR="00DA0250" w:rsidRPr="00AC36A1" w:rsidTr="00DA0250">
        <w:tc>
          <w:tcPr>
            <w:tcW w:w="1220" w:type="dxa"/>
            <w:vMerge/>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0"/>
              <w:rPr>
                <w:b/>
                <w:sz w:val="17"/>
              </w:rPr>
            </w:pPr>
          </w:p>
        </w:tc>
        <w:tc>
          <w:tcPr>
            <w:tcW w:w="1759"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rPr>
                <w:sz w:val="17"/>
              </w:rPr>
            </w:pPr>
            <w:r w:rsidRPr="00AC36A1">
              <w:rPr>
                <w:sz w:val="17"/>
              </w:rPr>
              <w:t>Grade 4</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337 361</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166 201</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171 160</w:t>
            </w:r>
          </w:p>
        </w:tc>
        <w:tc>
          <w:tcPr>
            <w:tcW w:w="1086"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97.1</w:t>
            </w:r>
          </w:p>
        </w:tc>
      </w:tr>
      <w:tr w:rsidR="00DA0250" w:rsidRPr="00AC36A1" w:rsidTr="00DA0250">
        <w:tc>
          <w:tcPr>
            <w:tcW w:w="1220" w:type="dxa"/>
            <w:vMerge/>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0"/>
              <w:rPr>
                <w:b/>
                <w:sz w:val="17"/>
              </w:rPr>
            </w:pPr>
          </w:p>
        </w:tc>
        <w:tc>
          <w:tcPr>
            <w:tcW w:w="1759"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rPr>
                <w:sz w:val="17"/>
              </w:rPr>
            </w:pPr>
            <w:r w:rsidRPr="00AC36A1">
              <w:rPr>
                <w:sz w:val="17"/>
              </w:rPr>
              <w:t>Grade 5</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334 407</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164 646</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169 761</w:t>
            </w:r>
          </w:p>
        </w:tc>
        <w:tc>
          <w:tcPr>
            <w:tcW w:w="1086"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97.0</w:t>
            </w:r>
          </w:p>
        </w:tc>
      </w:tr>
      <w:tr w:rsidR="00DA0250" w:rsidRPr="00AC36A1" w:rsidTr="00AA22CA">
        <w:tc>
          <w:tcPr>
            <w:tcW w:w="1220" w:type="dxa"/>
            <w:vMerge w:val="restart"/>
            <w:shd w:val="clear" w:color="auto" w:fill="auto"/>
            <w:textDirection w:val="btLr"/>
          </w:tcPr>
          <w:p w:rsidR="00DA0250" w:rsidRPr="00AC36A1" w:rsidRDefault="00DA0250" w:rsidP="00AA22CA">
            <w:pPr>
              <w:keepNext/>
              <w:keepLines/>
              <w:tabs>
                <w:tab w:val="left" w:pos="288"/>
                <w:tab w:val="left" w:pos="576"/>
                <w:tab w:val="left" w:pos="864"/>
                <w:tab w:val="left" w:pos="1152"/>
              </w:tabs>
              <w:spacing w:before="40" w:after="40" w:line="210" w:lineRule="exact"/>
              <w:ind w:right="40"/>
              <w:jc w:val="center"/>
              <w:rPr>
                <w:b/>
                <w:sz w:val="17"/>
              </w:rPr>
            </w:pPr>
            <w:r w:rsidRPr="00AC36A1">
              <w:rPr>
                <w:b/>
                <w:sz w:val="17"/>
              </w:rPr>
              <w:t>Secondary</w:t>
            </w:r>
          </w:p>
        </w:tc>
        <w:tc>
          <w:tcPr>
            <w:tcW w:w="1759" w:type="dxa"/>
            <w:shd w:val="clear" w:color="auto" w:fill="auto"/>
            <w:vAlign w:val="bottom"/>
          </w:tcPr>
          <w:p w:rsidR="00DA0250" w:rsidRPr="00AC36A1" w:rsidRDefault="00DA0250" w:rsidP="00DA0250">
            <w:pPr>
              <w:keepNext/>
              <w:keepLines/>
              <w:tabs>
                <w:tab w:val="left" w:pos="288"/>
                <w:tab w:val="left" w:pos="576"/>
                <w:tab w:val="left" w:pos="864"/>
                <w:tab w:val="left" w:pos="1152"/>
              </w:tabs>
              <w:spacing w:before="40" w:after="40" w:line="210" w:lineRule="exact"/>
              <w:ind w:right="43"/>
              <w:rPr>
                <w:sz w:val="17"/>
              </w:rPr>
            </w:pPr>
            <w:r w:rsidRPr="00AC36A1">
              <w:rPr>
                <w:sz w:val="17"/>
              </w:rPr>
              <w:t>Grade 6</w:t>
            </w:r>
          </w:p>
        </w:tc>
        <w:tc>
          <w:tcPr>
            <w:tcW w:w="1085" w:type="dxa"/>
            <w:shd w:val="clear" w:color="auto" w:fill="auto"/>
            <w:vAlign w:val="bottom"/>
          </w:tcPr>
          <w:p w:rsidR="00DA0250" w:rsidRPr="00AC36A1" w:rsidRDefault="00DA0250" w:rsidP="00DA0250">
            <w:pPr>
              <w:keepNext/>
              <w:keepLines/>
              <w:tabs>
                <w:tab w:val="left" w:pos="288"/>
                <w:tab w:val="left" w:pos="576"/>
                <w:tab w:val="left" w:pos="864"/>
                <w:tab w:val="left" w:pos="1152"/>
              </w:tabs>
              <w:spacing w:before="40" w:after="40" w:line="210" w:lineRule="exact"/>
              <w:ind w:right="43"/>
              <w:jc w:val="right"/>
              <w:rPr>
                <w:sz w:val="17"/>
              </w:rPr>
            </w:pPr>
            <w:r w:rsidRPr="00AC36A1">
              <w:rPr>
                <w:sz w:val="17"/>
              </w:rPr>
              <w:t>350 240</w:t>
            </w:r>
          </w:p>
        </w:tc>
        <w:tc>
          <w:tcPr>
            <w:tcW w:w="1085" w:type="dxa"/>
            <w:shd w:val="clear" w:color="auto" w:fill="auto"/>
            <w:vAlign w:val="bottom"/>
          </w:tcPr>
          <w:p w:rsidR="00DA0250" w:rsidRPr="00AC36A1" w:rsidRDefault="00DA0250" w:rsidP="00DA0250">
            <w:pPr>
              <w:keepNext/>
              <w:keepLines/>
              <w:tabs>
                <w:tab w:val="left" w:pos="288"/>
                <w:tab w:val="left" w:pos="576"/>
                <w:tab w:val="left" w:pos="864"/>
                <w:tab w:val="left" w:pos="1152"/>
              </w:tabs>
              <w:spacing w:before="40" w:after="40" w:line="210" w:lineRule="exact"/>
              <w:ind w:right="43"/>
              <w:jc w:val="right"/>
              <w:rPr>
                <w:sz w:val="17"/>
              </w:rPr>
            </w:pPr>
            <w:r w:rsidRPr="00AC36A1">
              <w:rPr>
                <w:sz w:val="17"/>
              </w:rPr>
              <w:t>163 331</w:t>
            </w:r>
          </w:p>
        </w:tc>
        <w:tc>
          <w:tcPr>
            <w:tcW w:w="1085" w:type="dxa"/>
            <w:shd w:val="clear" w:color="auto" w:fill="auto"/>
            <w:vAlign w:val="bottom"/>
          </w:tcPr>
          <w:p w:rsidR="00DA0250" w:rsidRPr="00AC36A1" w:rsidRDefault="00DA0250" w:rsidP="00DA0250">
            <w:pPr>
              <w:keepNext/>
              <w:keepLines/>
              <w:tabs>
                <w:tab w:val="left" w:pos="288"/>
                <w:tab w:val="left" w:pos="576"/>
                <w:tab w:val="left" w:pos="864"/>
                <w:tab w:val="left" w:pos="1152"/>
              </w:tabs>
              <w:spacing w:before="40" w:after="40" w:line="210" w:lineRule="exact"/>
              <w:ind w:right="43"/>
              <w:jc w:val="right"/>
              <w:rPr>
                <w:sz w:val="17"/>
              </w:rPr>
            </w:pPr>
            <w:r w:rsidRPr="00AC36A1">
              <w:rPr>
                <w:sz w:val="17"/>
              </w:rPr>
              <w:t>166 909</w:t>
            </w:r>
          </w:p>
        </w:tc>
        <w:tc>
          <w:tcPr>
            <w:tcW w:w="1086" w:type="dxa"/>
            <w:shd w:val="clear" w:color="auto" w:fill="auto"/>
            <w:vAlign w:val="bottom"/>
          </w:tcPr>
          <w:p w:rsidR="00DA0250" w:rsidRPr="00AC36A1" w:rsidRDefault="00DA0250" w:rsidP="00DA0250">
            <w:pPr>
              <w:keepNext/>
              <w:keepLines/>
              <w:tabs>
                <w:tab w:val="left" w:pos="288"/>
                <w:tab w:val="left" w:pos="576"/>
                <w:tab w:val="left" w:pos="864"/>
                <w:tab w:val="left" w:pos="1152"/>
              </w:tabs>
              <w:spacing w:before="40" w:after="40" w:line="210" w:lineRule="exact"/>
              <w:ind w:right="43"/>
              <w:jc w:val="right"/>
              <w:rPr>
                <w:sz w:val="17"/>
              </w:rPr>
            </w:pPr>
            <w:r w:rsidRPr="00AC36A1">
              <w:rPr>
                <w:sz w:val="17"/>
              </w:rPr>
              <w:t>97.9</w:t>
            </w:r>
          </w:p>
        </w:tc>
      </w:tr>
      <w:tr w:rsidR="00DA0250" w:rsidRPr="00AC36A1" w:rsidTr="00DA0250">
        <w:tc>
          <w:tcPr>
            <w:tcW w:w="1220" w:type="dxa"/>
            <w:vMerge/>
            <w:shd w:val="clear" w:color="auto" w:fill="auto"/>
            <w:vAlign w:val="bottom"/>
          </w:tcPr>
          <w:p w:rsidR="00DA0250" w:rsidRPr="00AC36A1" w:rsidRDefault="00DA0250" w:rsidP="00DA0250">
            <w:pPr>
              <w:keepNext/>
              <w:keepLines/>
              <w:tabs>
                <w:tab w:val="left" w:pos="288"/>
                <w:tab w:val="left" w:pos="576"/>
                <w:tab w:val="left" w:pos="864"/>
                <w:tab w:val="left" w:pos="1152"/>
              </w:tabs>
              <w:spacing w:before="40" w:after="40" w:line="210" w:lineRule="exact"/>
              <w:ind w:right="40"/>
              <w:rPr>
                <w:sz w:val="17"/>
              </w:rPr>
            </w:pPr>
          </w:p>
        </w:tc>
        <w:tc>
          <w:tcPr>
            <w:tcW w:w="1759" w:type="dxa"/>
            <w:shd w:val="clear" w:color="auto" w:fill="auto"/>
            <w:vAlign w:val="bottom"/>
          </w:tcPr>
          <w:p w:rsidR="00DA0250" w:rsidRPr="00AC36A1" w:rsidRDefault="00DA0250" w:rsidP="00DA0250">
            <w:pPr>
              <w:keepNext/>
              <w:keepLines/>
              <w:tabs>
                <w:tab w:val="left" w:pos="288"/>
                <w:tab w:val="left" w:pos="576"/>
                <w:tab w:val="left" w:pos="864"/>
                <w:tab w:val="left" w:pos="1152"/>
              </w:tabs>
              <w:spacing w:before="40" w:after="40" w:line="210" w:lineRule="exact"/>
              <w:ind w:right="43"/>
              <w:rPr>
                <w:sz w:val="17"/>
              </w:rPr>
            </w:pPr>
            <w:r w:rsidRPr="00AC36A1">
              <w:rPr>
                <w:sz w:val="17"/>
              </w:rPr>
              <w:t>Grade 7</w:t>
            </w:r>
          </w:p>
        </w:tc>
        <w:tc>
          <w:tcPr>
            <w:tcW w:w="1085" w:type="dxa"/>
            <w:shd w:val="clear" w:color="auto" w:fill="auto"/>
            <w:vAlign w:val="bottom"/>
          </w:tcPr>
          <w:p w:rsidR="00DA0250" w:rsidRPr="00AC36A1" w:rsidRDefault="00DA0250" w:rsidP="00DA0250">
            <w:pPr>
              <w:keepNext/>
              <w:keepLines/>
              <w:tabs>
                <w:tab w:val="left" w:pos="288"/>
                <w:tab w:val="left" w:pos="576"/>
                <w:tab w:val="left" w:pos="864"/>
                <w:tab w:val="left" w:pos="1152"/>
              </w:tabs>
              <w:spacing w:before="40" w:after="40" w:line="210" w:lineRule="exact"/>
              <w:ind w:right="43"/>
              <w:jc w:val="right"/>
              <w:rPr>
                <w:sz w:val="17"/>
              </w:rPr>
            </w:pPr>
            <w:r w:rsidRPr="00AC36A1">
              <w:rPr>
                <w:sz w:val="17"/>
              </w:rPr>
              <w:t>329 201</w:t>
            </w:r>
          </w:p>
        </w:tc>
        <w:tc>
          <w:tcPr>
            <w:tcW w:w="1085" w:type="dxa"/>
            <w:shd w:val="clear" w:color="auto" w:fill="auto"/>
            <w:vAlign w:val="bottom"/>
          </w:tcPr>
          <w:p w:rsidR="00DA0250" w:rsidRPr="00AC36A1" w:rsidRDefault="00DA0250" w:rsidP="00DA0250">
            <w:pPr>
              <w:keepNext/>
              <w:keepLines/>
              <w:tabs>
                <w:tab w:val="left" w:pos="288"/>
                <w:tab w:val="left" w:pos="576"/>
                <w:tab w:val="left" w:pos="864"/>
                <w:tab w:val="left" w:pos="1152"/>
              </w:tabs>
              <w:spacing w:before="40" w:after="40" w:line="210" w:lineRule="exact"/>
              <w:ind w:right="43"/>
              <w:jc w:val="right"/>
              <w:rPr>
                <w:sz w:val="17"/>
              </w:rPr>
            </w:pPr>
            <w:r w:rsidRPr="00AC36A1">
              <w:rPr>
                <w:sz w:val="17"/>
              </w:rPr>
              <w:t>162 801</w:t>
            </w:r>
          </w:p>
        </w:tc>
        <w:tc>
          <w:tcPr>
            <w:tcW w:w="1085" w:type="dxa"/>
            <w:shd w:val="clear" w:color="auto" w:fill="auto"/>
            <w:vAlign w:val="bottom"/>
          </w:tcPr>
          <w:p w:rsidR="00DA0250" w:rsidRPr="00AC36A1" w:rsidRDefault="00DA0250" w:rsidP="00DA0250">
            <w:pPr>
              <w:keepNext/>
              <w:keepLines/>
              <w:tabs>
                <w:tab w:val="left" w:pos="288"/>
                <w:tab w:val="left" w:pos="576"/>
                <w:tab w:val="left" w:pos="864"/>
                <w:tab w:val="left" w:pos="1152"/>
              </w:tabs>
              <w:spacing w:before="40" w:after="40" w:line="210" w:lineRule="exact"/>
              <w:ind w:right="43"/>
              <w:jc w:val="right"/>
              <w:rPr>
                <w:sz w:val="17"/>
              </w:rPr>
            </w:pPr>
            <w:r w:rsidRPr="00AC36A1">
              <w:rPr>
                <w:sz w:val="17"/>
              </w:rPr>
              <w:t>166 400</w:t>
            </w:r>
          </w:p>
        </w:tc>
        <w:tc>
          <w:tcPr>
            <w:tcW w:w="1086" w:type="dxa"/>
            <w:shd w:val="clear" w:color="auto" w:fill="auto"/>
            <w:vAlign w:val="bottom"/>
          </w:tcPr>
          <w:p w:rsidR="00DA0250" w:rsidRPr="00AC36A1" w:rsidRDefault="00DA0250" w:rsidP="00DA0250">
            <w:pPr>
              <w:keepNext/>
              <w:keepLines/>
              <w:tabs>
                <w:tab w:val="left" w:pos="288"/>
                <w:tab w:val="left" w:pos="576"/>
                <w:tab w:val="left" w:pos="864"/>
                <w:tab w:val="left" w:pos="1152"/>
              </w:tabs>
              <w:spacing w:before="40" w:after="40" w:line="210" w:lineRule="exact"/>
              <w:ind w:right="43"/>
              <w:jc w:val="right"/>
              <w:rPr>
                <w:sz w:val="17"/>
              </w:rPr>
            </w:pPr>
            <w:r w:rsidRPr="00AC36A1">
              <w:rPr>
                <w:sz w:val="17"/>
              </w:rPr>
              <w:t>97.8</w:t>
            </w:r>
          </w:p>
        </w:tc>
      </w:tr>
      <w:tr w:rsidR="00DA0250" w:rsidRPr="00AC36A1" w:rsidTr="00DA0250">
        <w:tc>
          <w:tcPr>
            <w:tcW w:w="1220" w:type="dxa"/>
            <w:vMerge/>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0"/>
              <w:rPr>
                <w:sz w:val="17"/>
              </w:rPr>
            </w:pPr>
          </w:p>
        </w:tc>
        <w:tc>
          <w:tcPr>
            <w:tcW w:w="1759"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rPr>
                <w:sz w:val="17"/>
              </w:rPr>
            </w:pPr>
            <w:r w:rsidRPr="00AC36A1">
              <w:rPr>
                <w:sz w:val="17"/>
              </w:rPr>
              <w:t>Grade 8</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315 981</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157 147</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158 834</w:t>
            </w:r>
          </w:p>
        </w:tc>
        <w:tc>
          <w:tcPr>
            <w:tcW w:w="1086"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98.9</w:t>
            </w:r>
          </w:p>
        </w:tc>
      </w:tr>
      <w:tr w:rsidR="00DA0250" w:rsidRPr="00AC36A1" w:rsidTr="00DA0250">
        <w:tc>
          <w:tcPr>
            <w:tcW w:w="1220" w:type="dxa"/>
            <w:vMerge/>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0"/>
              <w:rPr>
                <w:sz w:val="17"/>
              </w:rPr>
            </w:pPr>
          </w:p>
        </w:tc>
        <w:tc>
          <w:tcPr>
            <w:tcW w:w="1759"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rPr>
                <w:sz w:val="17"/>
              </w:rPr>
            </w:pPr>
            <w:r w:rsidRPr="00AC36A1">
              <w:rPr>
                <w:sz w:val="17"/>
              </w:rPr>
              <w:t>Grade 9</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297 223</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148 738</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148 485</w:t>
            </w:r>
          </w:p>
        </w:tc>
        <w:tc>
          <w:tcPr>
            <w:tcW w:w="1086"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100.2</w:t>
            </w:r>
          </w:p>
        </w:tc>
      </w:tr>
      <w:tr w:rsidR="00DA0250" w:rsidRPr="00AC36A1" w:rsidTr="00DA0250">
        <w:tc>
          <w:tcPr>
            <w:tcW w:w="1220" w:type="dxa"/>
            <w:vMerge/>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0"/>
              <w:rPr>
                <w:sz w:val="17"/>
              </w:rPr>
            </w:pPr>
          </w:p>
        </w:tc>
        <w:tc>
          <w:tcPr>
            <w:tcW w:w="1759"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rPr>
                <w:sz w:val="17"/>
              </w:rPr>
            </w:pPr>
            <w:r w:rsidRPr="00AC36A1">
              <w:rPr>
                <w:sz w:val="17"/>
              </w:rPr>
              <w:t>Grade 10</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274 399</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158 424</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136 175</w:t>
            </w:r>
          </w:p>
        </w:tc>
        <w:tc>
          <w:tcPr>
            <w:tcW w:w="1086"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101.7</w:t>
            </w:r>
          </w:p>
        </w:tc>
      </w:tr>
      <w:tr w:rsidR="00DA0250" w:rsidRPr="00AC36A1" w:rsidTr="00DA0250">
        <w:tc>
          <w:tcPr>
            <w:tcW w:w="1220" w:type="dxa"/>
            <w:vMerge/>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0"/>
              <w:rPr>
                <w:sz w:val="17"/>
              </w:rPr>
            </w:pPr>
          </w:p>
        </w:tc>
        <w:tc>
          <w:tcPr>
            <w:tcW w:w="1759"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rPr>
                <w:sz w:val="17"/>
              </w:rPr>
            </w:pPr>
            <w:r w:rsidRPr="00AC36A1">
              <w:rPr>
                <w:sz w:val="17"/>
              </w:rPr>
              <w:t>Grade 11</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267 918</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136 147</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131 371</w:t>
            </w:r>
          </w:p>
        </w:tc>
        <w:tc>
          <w:tcPr>
            <w:tcW w:w="1086"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103.9</w:t>
            </w:r>
          </w:p>
        </w:tc>
      </w:tr>
      <w:tr w:rsidR="00DA0250" w:rsidRPr="00AC36A1" w:rsidTr="00DA0250">
        <w:tc>
          <w:tcPr>
            <w:tcW w:w="1220" w:type="dxa"/>
            <w:vMerge/>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0"/>
              <w:rPr>
                <w:sz w:val="17"/>
              </w:rPr>
            </w:pPr>
          </w:p>
        </w:tc>
        <w:tc>
          <w:tcPr>
            <w:tcW w:w="1759"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rPr>
                <w:sz w:val="17"/>
              </w:rPr>
            </w:pPr>
            <w:r w:rsidRPr="00AC36A1">
              <w:rPr>
                <w:sz w:val="17"/>
              </w:rPr>
              <w:t>Grade 11 repeaters</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24 723</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12 248</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12 475</w:t>
            </w:r>
          </w:p>
        </w:tc>
        <w:tc>
          <w:tcPr>
            <w:tcW w:w="1086"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98.2</w:t>
            </w:r>
          </w:p>
        </w:tc>
      </w:tr>
      <w:tr w:rsidR="00DA0250" w:rsidRPr="00AC36A1" w:rsidTr="00DA0250">
        <w:tc>
          <w:tcPr>
            <w:tcW w:w="1220" w:type="dxa"/>
            <w:vMerge/>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0"/>
              <w:rPr>
                <w:sz w:val="17"/>
              </w:rPr>
            </w:pPr>
          </w:p>
        </w:tc>
        <w:tc>
          <w:tcPr>
            <w:tcW w:w="1759"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rPr>
                <w:sz w:val="17"/>
              </w:rPr>
            </w:pPr>
            <w:r w:rsidRPr="00AC36A1">
              <w:rPr>
                <w:sz w:val="17"/>
              </w:rPr>
              <w:t>Grade 12 Science</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36 401</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18 558</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17 843</w:t>
            </w:r>
          </w:p>
        </w:tc>
        <w:tc>
          <w:tcPr>
            <w:tcW w:w="1086"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104.0</w:t>
            </w:r>
          </w:p>
        </w:tc>
      </w:tr>
      <w:tr w:rsidR="00DA0250" w:rsidRPr="00AC36A1" w:rsidTr="00DA0250">
        <w:tc>
          <w:tcPr>
            <w:tcW w:w="1220" w:type="dxa"/>
            <w:vMerge/>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0"/>
              <w:rPr>
                <w:sz w:val="17"/>
              </w:rPr>
            </w:pPr>
          </w:p>
        </w:tc>
        <w:tc>
          <w:tcPr>
            <w:tcW w:w="1759"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rPr>
                <w:sz w:val="17"/>
              </w:rPr>
            </w:pPr>
            <w:r w:rsidRPr="00AC36A1">
              <w:rPr>
                <w:sz w:val="17"/>
              </w:rPr>
              <w:t>Grade 12 Arts</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74 805</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48 550</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26 255</w:t>
            </w:r>
          </w:p>
        </w:tc>
        <w:tc>
          <w:tcPr>
            <w:tcW w:w="1086"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104.9</w:t>
            </w:r>
          </w:p>
        </w:tc>
      </w:tr>
      <w:tr w:rsidR="00DA0250" w:rsidRPr="00AC36A1" w:rsidTr="00DA0250">
        <w:tc>
          <w:tcPr>
            <w:tcW w:w="1220" w:type="dxa"/>
            <w:vMerge/>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0"/>
              <w:rPr>
                <w:sz w:val="17"/>
              </w:rPr>
            </w:pPr>
          </w:p>
        </w:tc>
        <w:tc>
          <w:tcPr>
            <w:tcW w:w="1759"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rPr>
                <w:sz w:val="17"/>
              </w:rPr>
            </w:pPr>
            <w:r w:rsidRPr="00AC36A1">
              <w:rPr>
                <w:sz w:val="17"/>
              </w:rPr>
              <w:t>Grade 12 Commerce</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37 143</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18 540</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18 603</w:t>
            </w:r>
          </w:p>
        </w:tc>
        <w:tc>
          <w:tcPr>
            <w:tcW w:w="1086"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99.7</w:t>
            </w:r>
          </w:p>
        </w:tc>
      </w:tr>
      <w:tr w:rsidR="00DA0250" w:rsidRPr="00AC36A1" w:rsidTr="00DA0250">
        <w:tc>
          <w:tcPr>
            <w:tcW w:w="1220" w:type="dxa"/>
            <w:vMerge/>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0"/>
              <w:rPr>
                <w:sz w:val="17"/>
              </w:rPr>
            </w:pPr>
          </w:p>
        </w:tc>
        <w:tc>
          <w:tcPr>
            <w:tcW w:w="1759"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rPr>
                <w:sz w:val="17"/>
              </w:rPr>
            </w:pPr>
            <w:r w:rsidRPr="00AC36A1">
              <w:rPr>
                <w:sz w:val="17"/>
              </w:rPr>
              <w:t xml:space="preserve">Grade 12 Technology </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7 006</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2 846</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4 160</w:t>
            </w:r>
          </w:p>
        </w:tc>
        <w:tc>
          <w:tcPr>
            <w:tcW w:w="1086"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68.4</w:t>
            </w:r>
          </w:p>
        </w:tc>
      </w:tr>
      <w:tr w:rsidR="00DA0250" w:rsidRPr="00AC36A1" w:rsidTr="00DA0250">
        <w:tc>
          <w:tcPr>
            <w:tcW w:w="1220" w:type="dxa"/>
            <w:vMerge/>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0"/>
              <w:rPr>
                <w:sz w:val="17"/>
              </w:rPr>
            </w:pPr>
          </w:p>
        </w:tc>
        <w:tc>
          <w:tcPr>
            <w:tcW w:w="1759"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rPr>
                <w:sz w:val="17"/>
              </w:rPr>
            </w:pPr>
            <w:r w:rsidRPr="00AC36A1">
              <w:rPr>
                <w:sz w:val="17"/>
              </w:rPr>
              <w:t>Grade 13 Science</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78 906</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38 994</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39 912</w:t>
            </w:r>
          </w:p>
        </w:tc>
        <w:tc>
          <w:tcPr>
            <w:tcW w:w="1086"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97.7</w:t>
            </w:r>
          </w:p>
        </w:tc>
      </w:tr>
      <w:tr w:rsidR="00DA0250" w:rsidRPr="00AC36A1" w:rsidTr="00DA0250">
        <w:tc>
          <w:tcPr>
            <w:tcW w:w="1220" w:type="dxa"/>
            <w:vMerge/>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0"/>
              <w:rPr>
                <w:sz w:val="17"/>
              </w:rPr>
            </w:pPr>
          </w:p>
        </w:tc>
        <w:tc>
          <w:tcPr>
            <w:tcW w:w="1759"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rPr>
                <w:sz w:val="17"/>
              </w:rPr>
            </w:pPr>
            <w:r w:rsidRPr="00AC36A1">
              <w:rPr>
                <w:sz w:val="17"/>
              </w:rPr>
              <w:t>Grade 13 Arts</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152 128</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99 120</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53 008</w:t>
            </w:r>
          </w:p>
        </w:tc>
        <w:tc>
          <w:tcPr>
            <w:tcW w:w="1086"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187.0</w:t>
            </w:r>
          </w:p>
        </w:tc>
      </w:tr>
      <w:tr w:rsidR="00DA0250" w:rsidRPr="00AC36A1" w:rsidTr="00DA0250">
        <w:tc>
          <w:tcPr>
            <w:tcW w:w="1220" w:type="dxa"/>
            <w:vMerge/>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0"/>
              <w:rPr>
                <w:sz w:val="17"/>
              </w:rPr>
            </w:pPr>
          </w:p>
        </w:tc>
        <w:tc>
          <w:tcPr>
            <w:tcW w:w="1759"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rPr>
                <w:sz w:val="17"/>
              </w:rPr>
            </w:pPr>
            <w:r w:rsidRPr="00AC36A1">
              <w:rPr>
                <w:sz w:val="17"/>
              </w:rPr>
              <w:t>Grade 13 Commerce</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92 052</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44 191</w:t>
            </w:r>
          </w:p>
        </w:tc>
        <w:tc>
          <w:tcPr>
            <w:tcW w:w="1085"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47 861</w:t>
            </w:r>
          </w:p>
        </w:tc>
        <w:tc>
          <w:tcPr>
            <w:tcW w:w="1086" w:type="dxa"/>
            <w:shd w:val="clear" w:color="auto" w:fill="auto"/>
            <w:vAlign w:val="bottom"/>
          </w:tcPr>
          <w:p w:rsidR="00DA0250" w:rsidRPr="00AC36A1" w:rsidRDefault="00DA0250" w:rsidP="00DA0250">
            <w:pPr>
              <w:tabs>
                <w:tab w:val="left" w:pos="288"/>
                <w:tab w:val="left" w:pos="576"/>
                <w:tab w:val="left" w:pos="864"/>
                <w:tab w:val="left" w:pos="1152"/>
              </w:tabs>
              <w:spacing w:before="40" w:after="40" w:line="210" w:lineRule="exact"/>
              <w:ind w:right="43"/>
              <w:jc w:val="right"/>
              <w:rPr>
                <w:sz w:val="17"/>
              </w:rPr>
            </w:pPr>
            <w:r w:rsidRPr="00AC36A1">
              <w:rPr>
                <w:sz w:val="17"/>
              </w:rPr>
              <w:t>92.3</w:t>
            </w:r>
          </w:p>
        </w:tc>
      </w:tr>
      <w:tr w:rsidR="00DA0250" w:rsidRPr="00AC36A1" w:rsidTr="00DA0250">
        <w:tc>
          <w:tcPr>
            <w:tcW w:w="1220" w:type="dxa"/>
            <w:tcBorders>
              <w:bottom w:val="single" w:sz="4" w:space="0" w:color="auto"/>
            </w:tcBorders>
            <w:shd w:val="clear" w:color="auto" w:fill="auto"/>
            <w:vAlign w:val="bottom"/>
          </w:tcPr>
          <w:p w:rsidR="00DA0250" w:rsidRPr="00AC36A1" w:rsidRDefault="00DA0250" w:rsidP="00DA0250">
            <w:pPr>
              <w:tabs>
                <w:tab w:val="left" w:pos="288"/>
                <w:tab w:val="left" w:pos="576"/>
                <w:tab w:val="left" w:pos="864"/>
                <w:tab w:val="left" w:pos="1152"/>
              </w:tabs>
              <w:spacing w:before="40" w:after="82" w:line="210" w:lineRule="exact"/>
              <w:ind w:right="40"/>
              <w:rPr>
                <w:b/>
                <w:sz w:val="17"/>
              </w:rPr>
            </w:pPr>
            <w:r w:rsidRPr="00AC36A1">
              <w:rPr>
                <w:b/>
                <w:sz w:val="17"/>
              </w:rPr>
              <w:t>For disabled students</w:t>
            </w:r>
          </w:p>
        </w:tc>
        <w:tc>
          <w:tcPr>
            <w:tcW w:w="1759" w:type="dxa"/>
            <w:tcBorders>
              <w:bottom w:val="single" w:sz="4" w:space="0" w:color="auto"/>
            </w:tcBorders>
            <w:shd w:val="clear" w:color="auto" w:fill="auto"/>
            <w:vAlign w:val="bottom"/>
          </w:tcPr>
          <w:p w:rsidR="00DA0250" w:rsidRPr="00AC36A1" w:rsidRDefault="00DA0250" w:rsidP="00DA0250">
            <w:pPr>
              <w:tabs>
                <w:tab w:val="left" w:pos="288"/>
                <w:tab w:val="left" w:pos="576"/>
                <w:tab w:val="left" w:pos="864"/>
                <w:tab w:val="left" w:pos="1152"/>
              </w:tabs>
              <w:spacing w:before="40" w:after="82" w:line="210" w:lineRule="exact"/>
              <w:ind w:right="43"/>
              <w:rPr>
                <w:sz w:val="17"/>
              </w:rPr>
            </w:pPr>
            <w:r w:rsidRPr="00AC36A1">
              <w:rPr>
                <w:sz w:val="17"/>
              </w:rPr>
              <w:t>Special Education</w:t>
            </w:r>
          </w:p>
        </w:tc>
        <w:tc>
          <w:tcPr>
            <w:tcW w:w="1085" w:type="dxa"/>
            <w:tcBorders>
              <w:bottom w:val="single" w:sz="4" w:space="0" w:color="auto"/>
            </w:tcBorders>
            <w:shd w:val="clear" w:color="auto" w:fill="auto"/>
            <w:vAlign w:val="bottom"/>
          </w:tcPr>
          <w:p w:rsidR="00DA0250" w:rsidRPr="00AC36A1" w:rsidRDefault="00DA0250" w:rsidP="00DA0250">
            <w:pPr>
              <w:tabs>
                <w:tab w:val="left" w:pos="288"/>
                <w:tab w:val="left" w:pos="576"/>
                <w:tab w:val="left" w:pos="864"/>
                <w:tab w:val="left" w:pos="1152"/>
              </w:tabs>
              <w:spacing w:before="40" w:after="82" w:line="210" w:lineRule="exact"/>
              <w:ind w:right="43"/>
              <w:jc w:val="right"/>
              <w:rPr>
                <w:sz w:val="17"/>
              </w:rPr>
            </w:pPr>
            <w:r w:rsidRPr="00AC36A1">
              <w:rPr>
                <w:sz w:val="17"/>
              </w:rPr>
              <w:t>5 377</w:t>
            </w:r>
          </w:p>
        </w:tc>
        <w:tc>
          <w:tcPr>
            <w:tcW w:w="1085" w:type="dxa"/>
            <w:tcBorders>
              <w:bottom w:val="single" w:sz="4" w:space="0" w:color="auto"/>
            </w:tcBorders>
            <w:shd w:val="clear" w:color="auto" w:fill="auto"/>
            <w:vAlign w:val="bottom"/>
          </w:tcPr>
          <w:p w:rsidR="00DA0250" w:rsidRPr="00AC36A1" w:rsidRDefault="00DA0250" w:rsidP="00DA0250">
            <w:pPr>
              <w:tabs>
                <w:tab w:val="left" w:pos="288"/>
                <w:tab w:val="left" w:pos="576"/>
                <w:tab w:val="left" w:pos="864"/>
                <w:tab w:val="left" w:pos="1152"/>
              </w:tabs>
              <w:spacing w:before="40" w:after="82" w:line="210" w:lineRule="exact"/>
              <w:ind w:right="43"/>
              <w:jc w:val="right"/>
              <w:rPr>
                <w:sz w:val="17"/>
              </w:rPr>
            </w:pPr>
            <w:r w:rsidRPr="00AC36A1">
              <w:rPr>
                <w:sz w:val="17"/>
              </w:rPr>
              <w:t>2 191</w:t>
            </w:r>
          </w:p>
        </w:tc>
        <w:tc>
          <w:tcPr>
            <w:tcW w:w="1085" w:type="dxa"/>
            <w:tcBorders>
              <w:bottom w:val="single" w:sz="4" w:space="0" w:color="auto"/>
            </w:tcBorders>
            <w:shd w:val="clear" w:color="auto" w:fill="auto"/>
            <w:vAlign w:val="bottom"/>
          </w:tcPr>
          <w:p w:rsidR="00DA0250" w:rsidRPr="00AC36A1" w:rsidRDefault="00DA0250" w:rsidP="00DA0250">
            <w:pPr>
              <w:tabs>
                <w:tab w:val="left" w:pos="288"/>
                <w:tab w:val="left" w:pos="576"/>
                <w:tab w:val="left" w:pos="864"/>
                <w:tab w:val="left" w:pos="1152"/>
              </w:tabs>
              <w:spacing w:before="40" w:after="82" w:line="210" w:lineRule="exact"/>
              <w:ind w:right="43"/>
              <w:jc w:val="right"/>
              <w:rPr>
                <w:sz w:val="17"/>
              </w:rPr>
            </w:pPr>
            <w:r w:rsidRPr="00AC36A1">
              <w:rPr>
                <w:sz w:val="17"/>
              </w:rPr>
              <w:t>3 186</w:t>
            </w:r>
          </w:p>
        </w:tc>
        <w:tc>
          <w:tcPr>
            <w:tcW w:w="1086" w:type="dxa"/>
            <w:tcBorders>
              <w:bottom w:val="single" w:sz="4" w:space="0" w:color="auto"/>
            </w:tcBorders>
            <w:shd w:val="clear" w:color="auto" w:fill="auto"/>
            <w:vAlign w:val="bottom"/>
          </w:tcPr>
          <w:p w:rsidR="00DA0250" w:rsidRPr="00AC36A1" w:rsidRDefault="00DA0250" w:rsidP="00DA0250">
            <w:pPr>
              <w:tabs>
                <w:tab w:val="left" w:pos="288"/>
                <w:tab w:val="left" w:pos="576"/>
                <w:tab w:val="left" w:pos="864"/>
                <w:tab w:val="left" w:pos="1152"/>
              </w:tabs>
              <w:spacing w:before="40" w:after="82" w:line="210" w:lineRule="exact"/>
              <w:ind w:right="43"/>
              <w:jc w:val="right"/>
              <w:rPr>
                <w:sz w:val="17"/>
              </w:rPr>
            </w:pPr>
            <w:r w:rsidRPr="00AC36A1">
              <w:rPr>
                <w:sz w:val="17"/>
              </w:rPr>
              <w:t>68.8</w:t>
            </w:r>
          </w:p>
        </w:tc>
      </w:tr>
      <w:tr w:rsidR="00DA0250" w:rsidRPr="00AC36A1" w:rsidTr="00DA0250">
        <w:tc>
          <w:tcPr>
            <w:tcW w:w="1220" w:type="dxa"/>
            <w:tcBorders>
              <w:top w:val="single" w:sz="4" w:space="0" w:color="auto"/>
              <w:bottom w:val="single" w:sz="12" w:space="0" w:color="auto"/>
            </w:tcBorders>
            <w:shd w:val="clear" w:color="auto" w:fill="auto"/>
            <w:vAlign w:val="bottom"/>
          </w:tcPr>
          <w:p w:rsidR="00DA0250" w:rsidRPr="00AC36A1" w:rsidRDefault="00DA0250" w:rsidP="00DA0250">
            <w:pPr>
              <w:tabs>
                <w:tab w:val="left" w:pos="288"/>
                <w:tab w:val="left" w:pos="576"/>
                <w:tab w:val="left" w:pos="864"/>
                <w:tab w:val="left" w:pos="1152"/>
              </w:tabs>
              <w:spacing w:before="82" w:after="82" w:line="210" w:lineRule="exact"/>
              <w:ind w:right="40"/>
              <w:rPr>
                <w:b/>
                <w:sz w:val="17"/>
              </w:rPr>
            </w:pPr>
          </w:p>
        </w:tc>
        <w:tc>
          <w:tcPr>
            <w:tcW w:w="1759" w:type="dxa"/>
            <w:tcBorders>
              <w:top w:val="single" w:sz="4" w:space="0" w:color="auto"/>
              <w:bottom w:val="single" w:sz="12" w:space="0" w:color="auto"/>
            </w:tcBorders>
            <w:shd w:val="clear" w:color="auto" w:fill="auto"/>
            <w:vAlign w:val="bottom"/>
          </w:tcPr>
          <w:p w:rsidR="00DA0250" w:rsidRPr="00AC36A1" w:rsidRDefault="00DA0250" w:rsidP="00DA0250">
            <w:pPr>
              <w:tabs>
                <w:tab w:val="left" w:pos="288"/>
                <w:tab w:val="left" w:pos="576"/>
                <w:tab w:val="left" w:pos="864"/>
                <w:tab w:val="left" w:pos="1152"/>
              </w:tabs>
              <w:spacing w:before="82" w:after="82" w:line="210" w:lineRule="exact"/>
              <w:ind w:right="43"/>
              <w:rPr>
                <w:b/>
                <w:sz w:val="17"/>
              </w:rPr>
            </w:pPr>
            <w:r w:rsidRPr="00AC36A1">
              <w:rPr>
                <w:b/>
                <w:sz w:val="17"/>
              </w:rPr>
              <w:tab/>
              <w:t>Total</w:t>
            </w:r>
          </w:p>
        </w:tc>
        <w:tc>
          <w:tcPr>
            <w:tcW w:w="1085" w:type="dxa"/>
            <w:tcBorders>
              <w:top w:val="single" w:sz="4" w:space="0" w:color="auto"/>
              <w:bottom w:val="single" w:sz="12" w:space="0" w:color="auto"/>
            </w:tcBorders>
            <w:shd w:val="clear" w:color="auto" w:fill="auto"/>
            <w:vAlign w:val="bottom"/>
          </w:tcPr>
          <w:p w:rsidR="00DA0250" w:rsidRPr="00AC36A1" w:rsidRDefault="00DA0250" w:rsidP="00DA0250">
            <w:pPr>
              <w:tabs>
                <w:tab w:val="left" w:pos="288"/>
                <w:tab w:val="left" w:pos="576"/>
                <w:tab w:val="left" w:pos="864"/>
                <w:tab w:val="left" w:pos="1152"/>
              </w:tabs>
              <w:spacing w:before="82" w:after="82" w:line="210" w:lineRule="exact"/>
              <w:ind w:right="43"/>
              <w:jc w:val="right"/>
              <w:rPr>
                <w:b/>
                <w:sz w:val="17"/>
              </w:rPr>
            </w:pPr>
            <w:r w:rsidRPr="00AC36A1">
              <w:rPr>
                <w:b/>
                <w:sz w:val="17"/>
              </w:rPr>
              <w:t>4 037 001</w:t>
            </w:r>
          </w:p>
        </w:tc>
        <w:tc>
          <w:tcPr>
            <w:tcW w:w="1085" w:type="dxa"/>
            <w:tcBorders>
              <w:top w:val="single" w:sz="4" w:space="0" w:color="auto"/>
              <w:bottom w:val="single" w:sz="12" w:space="0" w:color="auto"/>
            </w:tcBorders>
            <w:shd w:val="clear" w:color="auto" w:fill="auto"/>
            <w:vAlign w:val="bottom"/>
          </w:tcPr>
          <w:p w:rsidR="00DA0250" w:rsidRPr="00AC36A1" w:rsidRDefault="00DA0250" w:rsidP="00DA0250">
            <w:pPr>
              <w:tabs>
                <w:tab w:val="left" w:pos="288"/>
                <w:tab w:val="left" w:pos="576"/>
                <w:tab w:val="left" w:pos="864"/>
                <w:tab w:val="left" w:pos="1152"/>
              </w:tabs>
              <w:spacing w:before="82" w:after="82" w:line="210" w:lineRule="exact"/>
              <w:ind w:right="43"/>
              <w:jc w:val="right"/>
              <w:rPr>
                <w:b/>
                <w:sz w:val="17"/>
              </w:rPr>
            </w:pPr>
            <w:r w:rsidRPr="00AC36A1">
              <w:rPr>
                <w:b/>
                <w:sz w:val="17"/>
              </w:rPr>
              <w:t>2 035 186</w:t>
            </w:r>
          </w:p>
        </w:tc>
        <w:tc>
          <w:tcPr>
            <w:tcW w:w="1085" w:type="dxa"/>
            <w:tcBorders>
              <w:top w:val="single" w:sz="4" w:space="0" w:color="auto"/>
              <w:bottom w:val="single" w:sz="12" w:space="0" w:color="auto"/>
            </w:tcBorders>
            <w:shd w:val="clear" w:color="auto" w:fill="auto"/>
            <w:vAlign w:val="bottom"/>
          </w:tcPr>
          <w:p w:rsidR="00DA0250" w:rsidRPr="00AC36A1" w:rsidRDefault="00DA0250" w:rsidP="00DA0250">
            <w:pPr>
              <w:tabs>
                <w:tab w:val="left" w:pos="288"/>
                <w:tab w:val="left" w:pos="576"/>
                <w:tab w:val="left" w:pos="864"/>
                <w:tab w:val="left" w:pos="1152"/>
              </w:tabs>
              <w:spacing w:before="82" w:after="82" w:line="210" w:lineRule="exact"/>
              <w:ind w:right="43"/>
              <w:jc w:val="right"/>
              <w:rPr>
                <w:b/>
                <w:sz w:val="17"/>
              </w:rPr>
            </w:pPr>
            <w:r w:rsidRPr="00AC36A1">
              <w:rPr>
                <w:b/>
                <w:sz w:val="17"/>
              </w:rPr>
              <w:t>2 001 715</w:t>
            </w:r>
          </w:p>
        </w:tc>
        <w:tc>
          <w:tcPr>
            <w:tcW w:w="1086" w:type="dxa"/>
            <w:tcBorders>
              <w:top w:val="single" w:sz="4" w:space="0" w:color="auto"/>
              <w:bottom w:val="single" w:sz="12" w:space="0" w:color="auto"/>
            </w:tcBorders>
            <w:shd w:val="clear" w:color="auto" w:fill="auto"/>
            <w:vAlign w:val="bottom"/>
          </w:tcPr>
          <w:p w:rsidR="00DA0250" w:rsidRPr="00AC36A1" w:rsidRDefault="00DA0250" w:rsidP="00DA0250">
            <w:pPr>
              <w:tabs>
                <w:tab w:val="left" w:pos="288"/>
                <w:tab w:val="left" w:pos="576"/>
                <w:tab w:val="left" w:pos="864"/>
                <w:tab w:val="left" w:pos="1152"/>
              </w:tabs>
              <w:spacing w:before="82" w:after="82" w:line="210" w:lineRule="exact"/>
              <w:ind w:right="43"/>
              <w:jc w:val="right"/>
              <w:rPr>
                <w:b/>
                <w:sz w:val="17"/>
              </w:rPr>
            </w:pPr>
            <w:r w:rsidRPr="00AC36A1">
              <w:rPr>
                <w:b/>
                <w:sz w:val="17"/>
              </w:rPr>
              <w:t>101.7</w:t>
            </w:r>
          </w:p>
        </w:tc>
      </w:tr>
    </w:tbl>
    <w:p w:rsidR="00DA0250" w:rsidRPr="00AC36A1" w:rsidRDefault="00DA0250" w:rsidP="00DA0250">
      <w:pPr>
        <w:pStyle w:val="SingleTxt"/>
        <w:spacing w:after="0" w:line="120" w:lineRule="exact"/>
        <w:rPr>
          <w:sz w:val="10"/>
        </w:rPr>
      </w:pPr>
    </w:p>
    <w:p w:rsidR="00CF1DFA" w:rsidRPr="00AB5032" w:rsidRDefault="00CF1DFA" w:rsidP="00DA0250">
      <w:pPr>
        <w:pStyle w:val="FootnoteText"/>
        <w:tabs>
          <w:tab w:val="clear" w:pos="418"/>
          <w:tab w:val="right" w:pos="1476"/>
          <w:tab w:val="left" w:pos="1548"/>
          <w:tab w:val="right" w:pos="1836"/>
          <w:tab w:val="left" w:pos="1908"/>
        </w:tabs>
        <w:ind w:left="1548" w:right="1267" w:hanging="288"/>
      </w:pPr>
      <w:r w:rsidRPr="00AC36A1">
        <w:rPr>
          <w:b/>
          <w:i/>
        </w:rPr>
        <w:t>Note</w:t>
      </w:r>
      <w:r w:rsidRPr="00AC36A1">
        <w:t xml:space="preserve">: </w:t>
      </w:r>
      <w:r w:rsidRPr="00AC36A1">
        <w:rPr>
          <w:i/>
        </w:rPr>
        <w:t>Government Schools only. Source: School Census 2013 - Ministry of Education</w:t>
      </w:r>
      <w:r w:rsidR="00AB5032">
        <w:t>.</w:t>
      </w:r>
    </w:p>
    <w:p w:rsidR="00DA0250" w:rsidRPr="00AC36A1" w:rsidRDefault="00DA0250" w:rsidP="00DA0250">
      <w:pPr>
        <w:pStyle w:val="SingleTxt"/>
        <w:spacing w:after="0" w:line="120" w:lineRule="exact"/>
        <w:rPr>
          <w:sz w:val="10"/>
        </w:rPr>
      </w:pPr>
    </w:p>
    <w:p w:rsidR="00DA0250" w:rsidRPr="00AC36A1" w:rsidRDefault="00DA0250" w:rsidP="00DA0250">
      <w:pPr>
        <w:pStyle w:val="SingleTxt"/>
        <w:spacing w:after="0" w:line="120" w:lineRule="exact"/>
        <w:rPr>
          <w:sz w:val="10"/>
        </w:rPr>
      </w:pPr>
    </w:p>
    <w:p w:rsidR="00CF1DFA" w:rsidRPr="00AC36A1" w:rsidRDefault="00DA0250" w:rsidP="00DA0250">
      <w:pPr>
        <w:pStyle w:val="H23"/>
        <w:ind w:right="1260"/>
        <w:rPr>
          <w:i/>
        </w:rPr>
      </w:pPr>
      <w:r w:rsidRPr="00AC36A1">
        <w:tab/>
      </w:r>
      <w:r w:rsidRPr="00AC36A1">
        <w:tab/>
      </w:r>
      <w:r w:rsidR="00CF1DFA" w:rsidRPr="00AC36A1">
        <w:rPr>
          <w:i/>
        </w:rPr>
        <w:t>Participation rates</w:t>
      </w:r>
    </w:p>
    <w:p w:rsidR="00DA0250" w:rsidRPr="00AC36A1" w:rsidRDefault="00DA0250" w:rsidP="00DA0250">
      <w:pPr>
        <w:pStyle w:val="SingleTxt"/>
        <w:spacing w:after="0" w:line="120" w:lineRule="exact"/>
        <w:rPr>
          <w:sz w:val="10"/>
        </w:rPr>
      </w:pPr>
    </w:p>
    <w:p w:rsidR="00CF1DFA" w:rsidRPr="00AC36A1" w:rsidRDefault="00CF1DFA" w:rsidP="00CF1DFA">
      <w:pPr>
        <w:pStyle w:val="SingleTxt"/>
      </w:pPr>
      <w:r w:rsidRPr="00AC36A1">
        <w:t>148.</w:t>
      </w:r>
      <w:r w:rsidRPr="00AC36A1">
        <w:tab/>
        <w:t xml:space="preserve">Of the 5-14 age group participation rates are reported to be 98.0 per cent for girls and 98.8 per cent for boys. </w:t>
      </w:r>
    </w:p>
    <w:p w:rsidR="00DA0250" w:rsidRPr="00AC36A1" w:rsidRDefault="00DA0250" w:rsidP="00DA0250">
      <w:pPr>
        <w:pStyle w:val="SingleTxt"/>
        <w:spacing w:after="0" w:line="120" w:lineRule="exact"/>
        <w:rPr>
          <w:sz w:val="10"/>
        </w:rPr>
      </w:pPr>
    </w:p>
    <w:p w:rsidR="00CF1DFA" w:rsidRPr="00AC36A1" w:rsidRDefault="00DA0250" w:rsidP="00DA0250">
      <w:pPr>
        <w:pStyle w:val="H23"/>
        <w:ind w:right="1260"/>
        <w:rPr>
          <w:i/>
        </w:rPr>
      </w:pPr>
      <w:r w:rsidRPr="00AC36A1">
        <w:tab/>
      </w:r>
      <w:r w:rsidRPr="00AC36A1">
        <w:tab/>
      </w:r>
      <w:r w:rsidR="00CF1DFA" w:rsidRPr="00AC36A1">
        <w:rPr>
          <w:i/>
        </w:rPr>
        <w:t xml:space="preserve">Retention/Survival rates </w:t>
      </w:r>
    </w:p>
    <w:p w:rsidR="00DA0250" w:rsidRPr="00AC36A1" w:rsidRDefault="00DA0250" w:rsidP="00DA0250">
      <w:pPr>
        <w:pStyle w:val="SingleTxt"/>
        <w:spacing w:after="0" w:line="120" w:lineRule="exact"/>
        <w:rPr>
          <w:sz w:val="10"/>
        </w:rPr>
      </w:pPr>
    </w:p>
    <w:p w:rsidR="00CF1DFA" w:rsidRPr="00AC36A1" w:rsidRDefault="00CF1DFA" w:rsidP="00CF1DFA">
      <w:pPr>
        <w:pStyle w:val="SingleTxt"/>
      </w:pPr>
      <w:r w:rsidRPr="00AC36A1">
        <w:t>149.</w:t>
      </w:r>
      <w:r w:rsidRPr="00AC36A1">
        <w:tab/>
        <w:t xml:space="preserve">At the end of Grade 5 (primary education), the overall rate had increased to 98.6 per cent (98.9 per cent girls and 98.3 per cent boys), at the end of Grade 9 to 91.9 per cent (93.9 per cent girls and 90.1 per cent boys) and at the end of Grade 10 to 89.4 per cent (91.9 per cent girls and 86.9 per cent boys) in 2013. There is parity in enrolment till Grade 11 but retention rates indicate that more boys drop out in the higher grades. </w:t>
      </w:r>
    </w:p>
    <w:p w:rsidR="009A7A6D" w:rsidRPr="00AC36A1" w:rsidRDefault="009A7A6D" w:rsidP="009A7A6D">
      <w:pPr>
        <w:pStyle w:val="SingleTxt"/>
        <w:spacing w:after="0" w:line="120" w:lineRule="exact"/>
        <w:rPr>
          <w:sz w:val="10"/>
        </w:rPr>
      </w:pPr>
    </w:p>
    <w:p w:rsidR="00CF1DFA" w:rsidRPr="00AC36A1" w:rsidRDefault="009A7A6D" w:rsidP="009A7A6D">
      <w:pPr>
        <w:pStyle w:val="H23"/>
        <w:ind w:right="1260"/>
        <w:rPr>
          <w:i/>
        </w:rPr>
      </w:pPr>
      <w:r w:rsidRPr="00AC36A1">
        <w:tab/>
      </w:r>
      <w:r w:rsidRPr="00AC36A1">
        <w:tab/>
      </w:r>
      <w:r w:rsidR="00CF1DFA" w:rsidRPr="00AC36A1">
        <w:rPr>
          <w:i/>
        </w:rPr>
        <w:t>Performance in primary and secondary Education</w:t>
      </w:r>
    </w:p>
    <w:p w:rsidR="009A7A6D" w:rsidRPr="00AC36A1" w:rsidRDefault="009A7A6D" w:rsidP="009A7A6D">
      <w:pPr>
        <w:pStyle w:val="SingleTxt"/>
        <w:spacing w:after="0" w:line="120" w:lineRule="exact"/>
        <w:rPr>
          <w:sz w:val="10"/>
        </w:rPr>
      </w:pPr>
    </w:p>
    <w:p w:rsidR="00CF1DFA" w:rsidRPr="00AC36A1" w:rsidRDefault="00CF1DFA" w:rsidP="00CF1DFA">
      <w:pPr>
        <w:pStyle w:val="SingleTxt"/>
      </w:pPr>
      <w:r w:rsidRPr="00AC36A1">
        <w:t>150.</w:t>
      </w:r>
      <w:r w:rsidRPr="00AC36A1">
        <w:tab/>
        <w:t>Records indicate that girls perform better than boys at all levels, the gender gap widening at senior secondary school examinations.</w:t>
      </w:r>
    </w:p>
    <w:p w:rsidR="009A7A6D" w:rsidRPr="00AC36A1" w:rsidRDefault="009A7A6D" w:rsidP="009A7A6D">
      <w:pPr>
        <w:pStyle w:val="SingleTxt"/>
        <w:spacing w:after="0" w:line="120" w:lineRule="exact"/>
        <w:rPr>
          <w:sz w:val="10"/>
        </w:rPr>
      </w:pPr>
    </w:p>
    <w:p w:rsidR="009A7A6D" w:rsidRPr="00AC36A1" w:rsidRDefault="009A7A6D">
      <w:pPr>
        <w:suppressAutoHyphens w:val="0"/>
        <w:spacing w:line="240" w:lineRule="auto"/>
        <w:rPr>
          <w:b/>
          <w:spacing w:val="2"/>
        </w:rPr>
      </w:pPr>
      <w:r w:rsidRPr="00AC36A1">
        <w:br w:type="page"/>
      </w:r>
    </w:p>
    <w:p w:rsidR="00CF1DFA" w:rsidRPr="00AC36A1" w:rsidRDefault="009A7A6D" w:rsidP="009A7A6D">
      <w:pPr>
        <w:pStyle w:val="H23"/>
        <w:ind w:right="1260"/>
        <w:rPr>
          <w:b w:val="0"/>
        </w:rPr>
      </w:pPr>
      <w:r w:rsidRPr="00AC36A1">
        <w:tab/>
      </w:r>
      <w:r w:rsidRPr="00AC36A1">
        <w:tab/>
      </w:r>
      <w:r w:rsidR="00CF1DFA" w:rsidRPr="00AC36A1">
        <w:rPr>
          <w:b w:val="0"/>
        </w:rPr>
        <w:t>Table 5</w:t>
      </w:r>
    </w:p>
    <w:p w:rsidR="00CF1DFA" w:rsidRPr="00AC36A1" w:rsidRDefault="009A7A6D" w:rsidP="009A7A6D">
      <w:pPr>
        <w:pStyle w:val="H23"/>
        <w:ind w:right="1260"/>
      </w:pPr>
      <w:r w:rsidRPr="00AC36A1">
        <w:tab/>
      </w:r>
      <w:r w:rsidRPr="00AC36A1">
        <w:tab/>
      </w:r>
      <w:r w:rsidR="00CF1DFA" w:rsidRPr="00AC36A1">
        <w:t xml:space="preserve">Grade 5 Scholarship Examination </w:t>
      </w:r>
      <w:r w:rsidR="008435CF" w:rsidRPr="00AC36A1">
        <w:t>—</w:t>
      </w:r>
      <w:r w:rsidR="00CF1DFA" w:rsidRPr="00AC36A1">
        <w:t xml:space="preserve"> 2014</w:t>
      </w:r>
    </w:p>
    <w:p w:rsidR="00CF1DFA" w:rsidRPr="00AC36A1" w:rsidRDefault="009A7A6D" w:rsidP="009A7A6D">
      <w:pPr>
        <w:pStyle w:val="H23"/>
        <w:ind w:right="1260"/>
      </w:pPr>
      <w:r w:rsidRPr="00AC36A1">
        <w:tab/>
      </w:r>
      <w:r w:rsidRPr="00AC36A1">
        <w:tab/>
      </w:r>
      <w:r w:rsidR="00CF1DFA" w:rsidRPr="00AC36A1">
        <w:t>Performance of Candidates</w:t>
      </w:r>
    </w:p>
    <w:p w:rsidR="009A7A6D" w:rsidRPr="00AC36A1" w:rsidRDefault="009A7A6D" w:rsidP="009A7A6D">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046"/>
        <w:gridCol w:w="1046"/>
        <w:gridCol w:w="116"/>
        <w:gridCol w:w="930"/>
        <w:gridCol w:w="1046"/>
        <w:gridCol w:w="82"/>
        <w:gridCol w:w="964"/>
        <w:gridCol w:w="134"/>
        <w:gridCol w:w="912"/>
        <w:gridCol w:w="1046"/>
      </w:tblGrid>
      <w:tr w:rsidR="009A7A6D" w:rsidRPr="00AC36A1" w:rsidTr="009A7A6D">
        <w:trPr>
          <w:tblHeader/>
        </w:trPr>
        <w:tc>
          <w:tcPr>
            <w:tcW w:w="1046" w:type="dxa"/>
            <w:tcBorders>
              <w:top w:val="single" w:sz="4" w:space="0" w:color="auto"/>
            </w:tcBorders>
            <w:shd w:val="clear" w:color="auto" w:fill="auto"/>
            <w:vAlign w:val="bottom"/>
          </w:tcPr>
          <w:p w:rsidR="009A7A6D" w:rsidRPr="00AC36A1" w:rsidRDefault="009A7A6D" w:rsidP="009A7A6D">
            <w:pPr>
              <w:spacing w:before="81" w:after="81" w:line="160" w:lineRule="exact"/>
              <w:ind w:right="40"/>
              <w:rPr>
                <w:i/>
                <w:sz w:val="14"/>
              </w:rPr>
            </w:pPr>
          </w:p>
        </w:tc>
        <w:tc>
          <w:tcPr>
            <w:tcW w:w="3138" w:type="dxa"/>
            <w:gridSpan w:val="4"/>
            <w:tcBorders>
              <w:top w:val="single" w:sz="4" w:space="0" w:color="auto"/>
              <w:bottom w:val="single" w:sz="4" w:space="0" w:color="auto"/>
            </w:tcBorders>
            <w:shd w:val="clear" w:color="auto" w:fill="auto"/>
            <w:vAlign w:val="bottom"/>
          </w:tcPr>
          <w:p w:rsidR="009A7A6D" w:rsidRPr="00AC36A1" w:rsidRDefault="009A7A6D" w:rsidP="009A7A6D">
            <w:pPr>
              <w:spacing w:before="81" w:after="81" w:line="160" w:lineRule="exact"/>
              <w:ind w:right="43"/>
              <w:jc w:val="center"/>
              <w:rPr>
                <w:i/>
                <w:sz w:val="14"/>
              </w:rPr>
            </w:pPr>
            <w:r w:rsidRPr="00AC36A1">
              <w:rPr>
                <w:i/>
                <w:sz w:val="14"/>
              </w:rPr>
              <w:t>Male</w:t>
            </w:r>
          </w:p>
        </w:tc>
        <w:tc>
          <w:tcPr>
            <w:tcW w:w="82" w:type="dxa"/>
            <w:tcBorders>
              <w:top w:val="single" w:sz="4" w:space="0" w:color="auto"/>
            </w:tcBorders>
            <w:shd w:val="clear" w:color="auto" w:fill="auto"/>
            <w:vAlign w:val="bottom"/>
          </w:tcPr>
          <w:p w:rsidR="009A7A6D" w:rsidRPr="00AC36A1" w:rsidRDefault="009A7A6D" w:rsidP="009A7A6D">
            <w:pPr>
              <w:spacing w:before="81" w:after="81" w:line="160" w:lineRule="exact"/>
              <w:ind w:right="43"/>
              <w:jc w:val="right"/>
              <w:rPr>
                <w:i/>
                <w:sz w:val="14"/>
              </w:rPr>
            </w:pPr>
          </w:p>
        </w:tc>
        <w:tc>
          <w:tcPr>
            <w:tcW w:w="3056" w:type="dxa"/>
            <w:gridSpan w:val="4"/>
            <w:tcBorders>
              <w:top w:val="single" w:sz="4" w:space="0" w:color="auto"/>
              <w:bottom w:val="single" w:sz="4" w:space="0" w:color="auto"/>
            </w:tcBorders>
            <w:shd w:val="clear" w:color="auto" w:fill="auto"/>
            <w:vAlign w:val="bottom"/>
          </w:tcPr>
          <w:p w:rsidR="009A7A6D" w:rsidRPr="00AC36A1" w:rsidRDefault="009A7A6D" w:rsidP="009A7A6D">
            <w:pPr>
              <w:spacing w:before="81" w:after="81" w:line="160" w:lineRule="exact"/>
              <w:ind w:right="43"/>
              <w:jc w:val="center"/>
              <w:rPr>
                <w:i/>
                <w:sz w:val="14"/>
              </w:rPr>
            </w:pPr>
            <w:r w:rsidRPr="00AC36A1">
              <w:rPr>
                <w:i/>
                <w:sz w:val="14"/>
              </w:rPr>
              <w:t>Female</w:t>
            </w:r>
          </w:p>
        </w:tc>
      </w:tr>
      <w:tr w:rsidR="00530E89" w:rsidRPr="00AC36A1" w:rsidTr="0076467B">
        <w:trPr>
          <w:tblHeader/>
        </w:trPr>
        <w:tc>
          <w:tcPr>
            <w:tcW w:w="1046" w:type="dxa"/>
            <w:shd w:val="clear" w:color="auto" w:fill="auto"/>
            <w:vAlign w:val="bottom"/>
          </w:tcPr>
          <w:p w:rsidR="00530E89" w:rsidRPr="00AC36A1" w:rsidRDefault="00530E89" w:rsidP="009A7A6D">
            <w:pPr>
              <w:spacing w:before="81" w:after="81" w:line="160" w:lineRule="exact"/>
              <w:ind w:right="40"/>
              <w:rPr>
                <w:i/>
                <w:sz w:val="14"/>
              </w:rPr>
            </w:pPr>
          </w:p>
        </w:tc>
        <w:tc>
          <w:tcPr>
            <w:tcW w:w="1046" w:type="dxa"/>
            <w:tcBorders>
              <w:top w:val="single" w:sz="4" w:space="0" w:color="auto"/>
            </w:tcBorders>
            <w:shd w:val="clear" w:color="auto" w:fill="auto"/>
            <w:vAlign w:val="bottom"/>
          </w:tcPr>
          <w:p w:rsidR="00530E89" w:rsidRPr="00AC36A1" w:rsidRDefault="00530E89" w:rsidP="009A7A6D">
            <w:pPr>
              <w:spacing w:before="81" w:after="81" w:line="160" w:lineRule="exact"/>
              <w:ind w:right="43"/>
              <w:jc w:val="right"/>
              <w:rPr>
                <w:i/>
                <w:sz w:val="14"/>
              </w:rPr>
            </w:pPr>
          </w:p>
        </w:tc>
        <w:tc>
          <w:tcPr>
            <w:tcW w:w="116" w:type="dxa"/>
            <w:tcBorders>
              <w:top w:val="single" w:sz="4" w:space="0" w:color="auto"/>
            </w:tcBorders>
            <w:shd w:val="clear" w:color="auto" w:fill="auto"/>
            <w:vAlign w:val="bottom"/>
          </w:tcPr>
          <w:p w:rsidR="00530E89" w:rsidRPr="00AC36A1" w:rsidRDefault="00530E89" w:rsidP="009A7A6D">
            <w:pPr>
              <w:spacing w:before="81" w:after="81" w:line="160" w:lineRule="exact"/>
              <w:ind w:right="43"/>
              <w:jc w:val="center"/>
              <w:rPr>
                <w:i/>
                <w:sz w:val="14"/>
              </w:rPr>
            </w:pPr>
          </w:p>
        </w:tc>
        <w:tc>
          <w:tcPr>
            <w:tcW w:w="1976" w:type="dxa"/>
            <w:gridSpan w:val="2"/>
            <w:tcBorders>
              <w:top w:val="single" w:sz="4" w:space="0" w:color="auto"/>
              <w:bottom w:val="single" w:sz="4" w:space="0" w:color="auto"/>
            </w:tcBorders>
            <w:shd w:val="clear" w:color="auto" w:fill="auto"/>
            <w:vAlign w:val="bottom"/>
          </w:tcPr>
          <w:p w:rsidR="00530E89" w:rsidRPr="00AC36A1" w:rsidRDefault="00530E89" w:rsidP="009A7A6D">
            <w:pPr>
              <w:spacing w:before="81" w:after="81" w:line="160" w:lineRule="exact"/>
              <w:ind w:right="43"/>
              <w:jc w:val="center"/>
              <w:rPr>
                <w:i/>
                <w:sz w:val="14"/>
              </w:rPr>
            </w:pPr>
            <w:r w:rsidRPr="00AC36A1">
              <w:rPr>
                <w:i/>
                <w:sz w:val="14"/>
              </w:rPr>
              <w:t>Above Cut Off</w:t>
            </w:r>
          </w:p>
        </w:tc>
        <w:tc>
          <w:tcPr>
            <w:tcW w:w="1046" w:type="dxa"/>
            <w:gridSpan w:val="2"/>
            <w:shd w:val="clear" w:color="auto" w:fill="auto"/>
            <w:vAlign w:val="bottom"/>
          </w:tcPr>
          <w:p w:rsidR="00530E89" w:rsidRPr="00AC36A1" w:rsidRDefault="00530E89" w:rsidP="009A7A6D">
            <w:pPr>
              <w:spacing w:before="81" w:after="81" w:line="160" w:lineRule="exact"/>
              <w:ind w:right="43"/>
              <w:jc w:val="right"/>
              <w:rPr>
                <w:i/>
                <w:sz w:val="14"/>
              </w:rPr>
            </w:pPr>
          </w:p>
        </w:tc>
        <w:tc>
          <w:tcPr>
            <w:tcW w:w="134" w:type="dxa"/>
            <w:shd w:val="clear" w:color="auto" w:fill="auto"/>
            <w:vAlign w:val="bottom"/>
          </w:tcPr>
          <w:p w:rsidR="00530E89" w:rsidRPr="00AC36A1" w:rsidRDefault="00530E89" w:rsidP="009A7A6D">
            <w:pPr>
              <w:spacing w:before="81" w:after="81" w:line="160" w:lineRule="exact"/>
              <w:ind w:right="43"/>
              <w:jc w:val="center"/>
              <w:rPr>
                <w:i/>
                <w:sz w:val="14"/>
              </w:rPr>
            </w:pPr>
          </w:p>
        </w:tc>
        <w:tc>
          <w:tcPr>
            <w:tcW w:w="1958" w:type="dxa"/>
            <w:gridSpan w:val="2"/>
            <w:tcBorders>
              <w:bottom w:val="single" w:sz="4" w:space="0" w:color="auto"/>
            </w:tcBorders>
            <w:shd w:val="clear" w:color="auto" w:fill="auto"/>
            <w:vAlign w:val="bottom"/>
          </w:tcPr>
          <w:p w:rsidR="00530E89" w:rsidRPr="00AC36A1" w:rsidRDefault="00530E89" w:rsidP="009A7A6D">
            <w:pPr>
              <w:spacing w:before="81" w:after="81" w:line="160" w:lineRule="exact"/>
              <w:ind w:right="43"/>
              <w:jc w:val="center"/>
              <w:rPr>
                <w:i/>
                <w:sz w:val="14"/>
              </w:rPr>
            </w:pPr>
            <w:r w:rsidRPr="00AC36A1">
              <w:rPr>
                <w:i/>
                <w:sz w:val="14"/>
              </w:rPr>
              <w:t>Above Cut Off</w:t>
            </w:r>
          </w:p>
        </w:tc>
      </w:tr>
      <w:tr w:rsidR="009A7A6D" w:rsidRPr="00AC36A1" w:rsidTr="00530E89">
        <w:trPr>
          <w:tblHeader/>
        </w:trPr>
        <w:tc>
          <w:tcPr>
            <w:tcW w:w="1046" w:type="dxa"/>
            <w:tcBorders>
              <w:bottom w:val="single" w:sz="12" w:space="0" w:color="auto"/>
            </w:tcBorders>
            <w:shd w:val="clear" w:color="auto" w:fill="auto"/>
            <w:vAlign w:val="bottom"/>
          </w:tcPr>
          <w:p w:rsidR="009A7A6D" w:rsidRPr="00AC36A1" w:rsidRDefault="008D7EB4" w:rsidP="009A7A6D">
            <w:pPr>
              <w:spacing w:before="81" w:after="81" w:line="160" w:lineRule="exact"/>
              <w:ind w:right="40"/>
              <w:rPr>
                <w:i/>
                <w:sz w:val="14"/>
              </w:rPr>
            </w:pPr>
            <w:r>
              <w:rPr>
                <w:i/>
                <w:sz w:val="14"/>
              </w:rPr>
              <w:t>Year</w:t>
            </w:r>
          </w:p>
        </w:tc>
        <w:tc>
          <w:tcPr>
            <w:tcW w:w="1046" w:type="dxa"/>
            <w:tcBorders>
              <w:bottom w:val="single" w:sz="12" w:space="0" w:color="auto"/>
            </w:tcBorders>
            <w:shd w:val="clear" w:color="auto" w:fill="auto"/>
            <w:vAlign w:val="bottom"/>
          </w:tcPr>
          <w:p w:rsidR="009A7A6D" w:rsidRPr="00AC36A1" w:rsidRDefault="009A7A6D" w:rsidP="009A7A6D">
            <w:pPr>
              <w:spacing w:before="81" w:after="81" w:line="160" w:lineRule="exact"/>
              <w:ind w:right="43"/>
              <w:jc w:val="right"/>
              <w:rPr>
                <w:i/>
                <w:sz w:val="14"/>
              </w:rPr>
            </w:pPr>
            <w:r w:rsidRPr="00AC36A1">
              <w:rPr>
                <w:i/>
                <w:sz w:val="14"/>
              </w:rPr>
              <w:t>Number Sat</w:t>
            </w:r>
          </w:p>
        </w:tc>
        <w:tc>
          <w:tcPr>
            <w:tcW w:w="1046" w:type="dxa"/>
            <w:gridSpan w:val="2"/>
            <w:tcBorders>
              <w:bottom w:val="single" w:sz="12" w:space="0" w:color="auto"/>
            </w:tcBorders>
            <w:shd w:val="clear" w:color="auto" w:fill="auto"/>
            <w:vAlign w:val="bottom"/>
          </w:tcPr>
          <w:p w:rsidR="009A7A6D" w:rsidRPr="00AC36A1" w:rsidRDefault="009A7A6D" w:rsidP="009A7A6D">
            <w:pPr>
              <w:spacing w:before="81" w:after="81" w:line="160" w:lineRule="exact"/>
              <w:ind w:right="43"/>
              <w:jc w:val="right"/>
              <w:rPr>
                <w:i/>
                <w:sz w:val="14"/>
              </w:rPr>
            </w:pPr>
            <w:r w:rsidRPr="00AC36A1">
              <w:rPr>
                <w:i/>
                <w:sz w:val="14"/>
              </w:rPr>
              <w:t>Number</w:t>
            </w:r>
          </w:p>
        </w:tc>
        <w:tc>
          <w:tcPr>
            <w:tcW w:w="1046" w:type="dxa"/>
            <w:tcBorders>
              <w:bottom w:val="single" w:sz="12" w:space="0" w:color="auto"/>
            </w:tcBorders>
            <w:shd w:val="clear" w:color="auto" w:fill="auto"/>
            <w:vAlign w:val="bottom"/>
          </w:tcPr>
          <w:p w:rsidR="009A7A6D" w:rsidRPr="00AC36A1" w:rsidRDefault="009A7A6D" w:rsidP="009A7A6D">
            <w:pPr>
              <w:spacing w:before="81" w:after="81" w:line="160" w:lineRule="exact"/>
              <w:ind w:right="43"/>
              <w:jc w:val="right"/>
              <w:rPr>
                <w:i/>
                <w:sz w:val="14"/>
              </w:rPr>
            </w:pPr>
            <w:r w:rsidRPr="00AC36A1">
              <w:rPr>
                <w:i/>
                <w:sz w:val="14"/>
              </w:rPr>
              <w:t>%</w:t>
            </w:r>
          </w:p>
        </w:tc>
        <w:tc>
          <w:tcPr>
            <w:tcW w:w="1046" w:type="dxa"/>
            <w:gridSpan w:val="2"/>
            <w:tcBorders>
              <w:bottom w:val="single" w:sz="12" w:space="0" w:color="auto"/>
            </w:tcBorders>
            <w:shd w:val="clear" w:color="auto" w:fill="auto"/>
            <w:vAlign w:val="bottom"/>
          </w:tcPr>
          <w:p w:rsidR="009A7A6D" w:rsidRPr="00AC36A1" w:rsidRDefault="009A7A6D" w:rsidP="009A7A6D">
            <w:pPr>
              <w:spacing w:before="81" w:after="81" w:line="160" w:lineRule="exact"/>
              <w:ind w:right="43"/>
              <w:jc w:val="right"/>
              <w:rPr>
                <w:i/>
                <w:sz w:val="14"/>
              </w:rPr>
            </w:pPr>
            <w:r w:rsidRPr="00AC36A1">
              <w:rPr>
                <w:i/>
                <w:sz w:val="14"/>
              </w:rPr>
              <w:t>Number Sat</w:t>
            </w:r>
          </w:p>
        </w:tc>
        <w:tc>
          <w:tcPr>
            <w:tcW w:w="1046" w:type="dxa"/>
            <w:gridSpan w:val="2"/>
            <w:tcBorders>
              <w:bottom w:val="single" w:sz="12" w:space="0" w:color="auto"/>
            </w:tcBorders>
            <w:shd w:val="clear" w:color="auto" w:fill="auto"/>
            <w:vAlign w:val="bottom"/>
          </w:tcPr>
          <w:p w:rsidR="009A7A6D" w:rsidRPr="00AC36A1" w:rsidRDefault="009A7A6D" w:rsidP="009A7A6D">
            <w:pPr>
              <w:spacing w:before="81" w:after="81" w:line="160" w:lineRule="exact"/>
              <w:ind w:right="43"/>
              <w:jc w:val="right"/>
              <w:rPr>
                <w:i/>
                <w:sz w:val="14"/>
              </w:rPr>
            </w:pPr>
            <w:r w:rsidRPr="00AC36A1">
              <w:rPr>
                <w:i/>
                <w:sz w:val="14"/>
              </w:rPr>
              <w:t>Number</w:t>
            </w:r>
          </w:p>
        </w:tc>
        <w:tc>
          <w:tcPr>
            <w:tcW w:w="1046" w:type="dxa"/>
            <w:tcBorders>
              <w:bottom w:val="single" w:sz="12" w:space="0" w:color="auto"/>
            </w:tcBorders>
            <w:shd w:val="clear" w:color="auto" w:fill="auto"/>
            <w:vAlign w:val="bottom"/>
          </w:tcPr>
          <w:p w:rsidR="009A7A6D" w:rsidRPr="00AC36A1" w:rsidRDefault="009A7A6D" w:rsidP="009A7A6D">
            <w:pPr>
              <w:spacing w:before="81" w:after="81" w:line="160" w:lineRule="exact"/>
              <w:ind w:right="43"/>
              <w:jc w:val="right"/>
              <w:rPr>
                <w:i/>
                <w:sz w:val="14"/>
              </w:rPr>
            </w:pPr>
            <w:r w:rsidRPr="00AC36A1">
              <w:rPr>
                <w:i/>
                <w:sz w:val="14"/>
              </w:rPr>
              <w:t>%</w:t>
            </w:r>
          </w:p>
        </w:tc>
      </w:tr>
      <w:tr w:rsidR="009A7A6D" w:rsidRPr="00AC36A1" w:rsidTr="009A7A6D">
        <w:trPr>
          <w:trHeight w:hRule="exact" w:val="115"/>
          <w:tblHeader/>
        </w:trPr>
        <w:tc>
          <w:tcPr>
            <w:tcW w:w="1046" w:type="dxa"/>
            <w:tcBorders>
              <w:top w:val="single" w:sz="12" w:space="0" w:color="auto"/>
            </w:tcBorders>
            <w:shd w:val="clear" w:color="auto" w:fill="auto"/>
            <w:vAlign w:val="bottom"/>
          </w:tcPr>
          <w:p w:rsidR="009A7A6D" w:rsidRPr="00AC36A1" w:rsidRDefault="009A7A6D" w:rsidP="009A7A6D">
            <w:pPr>
              <w:spacing w:before="40" w:after="40" w:line="210" w:lineRule="exact"/>
              <w:ind w:right="40"/>
              <w:rPr>
                <w:sz w:val="17"/>
              </w:rPr>
            </w:pPr>
          </w:p>
        </w:tc>
        <w:tc>
          <w:tcPr>
            <w:tcW w:w="1046" w:type="dxa"/>
            <w:tcBorders>
              <w:top w:val="single" w:sz="12" w:space="0" w:color="auto"/>
            </w:tcBorders>
            <w:shd w:val="clear" w:color="auto" w:fill="auto"/>
            <w:vAlign w:val="bottom"/>
          </w:tcPr>
          <w:p w:rsidR="009A7A6D" w:rsidRPr="00AC36A1" w:rsidRDefault="009A7A6D" w:rsidP="009A7A6D">
            <w:pPr>
              <w:spacing w:before="40" w:after="40" w:line="210" w:lineRule="exact"/>
              <w:ind w:right="43"/>
              <w:jc w:val="right"/>
              <w:rPr>
                <w:sz w:val="17"/>
              </w:rPr>
            </w:pPr>
          </w:p>
        </w:tc>
        <w:tc>
          <w:tcPr>
            <w:tcW w:w="1046" w:type="dxa"/>
            <w:gridSpan w:val="2"/>
            <w:tcBorders>
              <w:top w:val="single" w:sz="12" w:space="0" w:color="auto"/>
            </w:tcBorders>
            <w:shd w:val="clear" w:color="auto" w:fill="auto"/>
            <w:vAlign w:val="bottom"/>
          </w:tcPr>
          <w:p w:rsidR="009A7A6D" w:rsidRPr="00AC36A1" w:rsidRDefault="009A7A6D" w:rsidP="009A7A6D">
            <w:pPr>
              <w:spacing w:before="40" w:after="40" w:line="210" w:lineRule="exact"/>
              <w:ind w:right="43"/>
              <w:jc w:val="right"/>
              <w:rPr>
                <w:sz w:val="17"/>
              </w:rPr>
            </w:pPr>
          </w:p>
        </w:tc>
        <w:tc>
          <w:tcPr>
            <w:tcW w:w="1046" w:type="dxa"/>
            <w:tcBorders>
              <w:top w:val="single" w:sz="12" w:space="0" w:color="auto"/>
            </w:tcBorders>
            <w:shd w:val="clear" w:color="auto" w:fill="auto"/>
            <w:vAlign w:val="bottom"/>
          </w:tcPr>
          <w:p w:rsidR="009A7A6D" w:rsidRPr="00AC36A1" w:rsidRDefault="009A7A6D" w:rsidP="009A7A6D">
            <w:pPr>
              <w:spacing w:before="40" w:after="40" w:line="210" w:lineRule="exact"/>
              <w:ind w:right="43"/>
              <w:jc w:val="right"/>
              <w:rPr>
                <w:sz w:val="17"/>
              </w:rPr>
            </w:pPr>
          </w:p>
        </w:tc>
        <w:tc>
          <w:tcPr>
            <w:tcW w:w="1046" w:type="dxa"/>
            <w:gridSpan w:val="2"/>
            <w:tcBorders>
              <w:top w:val="single" w:sz="12" w:space="0" w:color="auto"/>
            </w:tcBorders>
            <w:shd w:val="clear" w:color="auto" w:fill="auto"/>
            <w:vAlign w:val="bottom"/>
          </w:tcPr>
          <w:p w:rsidR="009A7A6D" w:rsidRPr="00AC36A1" w:rsidRDefault="009A7A6D" w:rsidP="009A7A6D">
            <w:pPr>
              <w:spacing w:before="40" w:after="40" w:line="210" w:lineRule="exact"/>
              <w:ind w:right="43"/>
              <w:jc w:val="right"/>
              <w:rPr>
                <w:sz w:val="17"/>
              </w:rPr>
            </w:pPr>
          </w:p>
        </w:tc>
        <w:tc>
          <w:tcPr>
            <w:tcW w:w="1046" w:type="dxa"/>
            <w:gridSpan w:val="2"/>
            <w:tcBorders>
              <w:top w:val="single" w:sz="12" w:space="0" w:color="auto"/>
            </w:tcBorders>
            <w:shd w:val="clear" w:color="auto" w:fill="auto"/>
            <w:vAlign w:val="bottom"/>
          </w:tcPr>
          <w:p w:rsidR="009A7A6D" w:rsidRPr="00AC36A1" w:rsidRDefault="009A7A6D" w:rsidP="009A7A6D">
            <w:pPr>
              <w:spacing w:before="40" w:after="40" w:line="210" w:lineRule="exact"/>
              <w:ind w:right="43"/>
              <w:jc w:val="right"/>
              <w:rPr>
                <w:sz w:val="17"/>
              </w:rPr>
            </w:pPr>
          </w:p>
        </w:tc>
        <w:tc>
          <w:tcPr>
            <w:tcW w:w="1046" w:type="dxa"/>
            <w:tcBorders>
              <w:top w:val="single" w:sz="12" w:space="0" w:color="auto"/>
            </w:tcBorders>
            <w:shd w:val="clear" w:color="auto" w:fill="auto"/>
            <w:vAlign w:val="bottom"/>
          </w:tcPr>
          <w:p w:rsidR="009A7A6D" w:rsidRPr="00AC36A1" w:rsidRDefault="009A7A6D" w:rsidP="009A7A6D">
            <w:pPr>
              <w:spacing w:before="40" w:after="40" w:line="210" w:lineRule="exact"/>
              <w:ind w:right="43"/>
              <w:jc w:val="right"/>
              <w:rPr>
                <w:sz w:val="17"/>
              </w:rPr>
            </w:pPr>
          </w:p>
        </w:tc>
      </w:tr>
      <w:tr w:rsidR="009A7A6D" w:rsidRPr="00AC36A1" w:rsidTr="009A7A6D">
        <w:tc>
          <w:tcPr>
            <w:tcW w:w="1046" w:type="dxa"/>
            <w:tcBorders>
              <w:bottom w:val="single" w:sz="12" w:space="0" w:color="auto"/>
            </w:tcBorders>
            <w:shd w:val="clear" w:color="auto" w:fill="auto"/>
            <w:vAlign w:val="bottom"/>
          </w:tcPr>
          <w:p w:rsidR="009A7A6D" w:rsidRPr="00AC36A1" w:rsidRDefault="009A7A6D" w:rsidP="009A7A6D">
            <w:pPr>
              <w:tabs>
                <w:tab w:val="left" w:pos="288"/>
                <w:tab w:val="left" w:pos="576"/>
                <w:tab w:val="left" w:pos="864"/>
                <w:tab w:val="left" w:pos="1152"/>
              </w:tabs>
              <w:spacing w:before="40" w:after="40" w:line="210" w:lineRule="exact"/>
              <w:ind w:right="40"/>
              <w:rPr>
                <w:sz w:val="17"/>
              </w:rPr>
            </w:pPr>
            <w:r w:rsidRPr="00AC36A1">
              <w:rPr>
                <w:sz w:val="17"/>
              </w:rPr>
              <w:t>2014</w:t>
            </w:r>
          </w:p>
        </w:tc>
        <w:tc>
          <w:tcPr>
            <w:tcW w:w="1046" w:type="dxa"/>
            <w:tcBorders>
              <w:bottom w:val="single" w:sz="12" w:space="0" w:color="auto"/>
            </w:tcBorders>
            <w:shd w:val="clear" w:color="auto" w:fill="auto"/>
            <w:vAlign w:val="bottom"/>
          </w:tcPr>
          <w:p w:rsidR="009A7A6D" w:rsidRPr="00AC36A1" w:rsidRDefault="009A7A6D" w:rsidP="009A7A6D">
            <w:pPr>
              <w:tabs>
                <w:tab w:val="left" w:pos="288"/>
                <w:tab w:val="left" w:pos="576"/>
                <w:tab w:val="left" w:pos="864"/>
                <w:tab w:val="left" w:pos="1152"/>
              </w:tabs>
              <w:spacing w:before="40" w:after="40" w:line="210" w:lineRule="exact"/>
              <w:ind w:right="43"/>
              <w:jc w:val="right"/>
              <w:rPr>
                <w:sz w:val="17"/>
              </w:rPr>
            </w:pPr>
            <w:r w:rsidRPr="00AC36A1">
              <w:rPr>
                <w:sz w:val="17"/>
              </w:rPr>
              <w:t>164 582</w:t>
            </w:r>
          </w:p>
        </w:tc>
        <w:tc>
          <w:tcPr>
            <w:tcW w:w="1046" w:type="dxa"/>
            <w:gridSpan w:val="2"/>
            <w:tcBorders>
              <w:bottom w:val="single" w:sz="12" w:space="0" w:color="auto"/>
            </w:tcBorders>
            <w:shd w:val="clear" w:color="auto" w:fill="auto"/>
            <w:vAlign w:val="bottom"/>
          </w:tcPr>
          <w:p w:rsidR="009A7A6D" w:rsidRPr="00AC36A1" w:rsidRDefault="009A7A6D" w:rsidP="009A7A6D">
            <w:pPr>
              <w:tabs>
                <w:tab w:val="left" w:pos="288"/>
                <w:tab w:val="left" w:pos="576"/>
                <w:tab w:val="left" w:pos="864"/>
                <w:tab w:val="left" w:pos="1152"/>
              </w:tabs>
              <w:spacing w:before="40" w:after="40" w:line="210" w:lineRule="exact"/>
              <w:ind w:right="43"/>
              <w:jc w:val="right"/>
              <w:rPr>
                <w:sz w:val="17"/>
              </w:rPr>
            </w:pPr>
            <w:r w:rsidRPr="00AC36A1">
              <w:rPr>
                <w:sz w:val="17"/>
              </w:rPr>
              <w:t>15 289</w:t>
            </w:r>
          </w:p>
        </w:tc>
        <w:tc>
          <w:tcPr>
            <w:tcW w:w="1046" w:type="dxa"/>
            <w:tcBorders>
              <w:bottom w:val="single" w:sz="12" w:space="0" w:color="auto"/>
            </w:tcBorders>
            <w:shd w:val="clear" w:color="auto" w:fill="auto"/>
            <w:vAlign w:val="bottom"/>
          </w:tcPr>
          <w:p w:rsidR="009A7A6D" w:rsidRPr="00AC36A1" w:rsidRDefault="009A7A6D" w:rsidP="009A7A6D">
            <w:pPr>
              <w:tabs>
                <w:tab w:val="left" w:pos="288"/>
                <w:tab w:val="left" w:pos="576"/>
                <w:tab w:val="left" w:pos="864"/>
                <w:tab w:val="left" w:pos="1152"/>
              </w:tabs>
              <w:spacing w:before="40" w:after="40" w:line="210" w:lineRule="exact"/>
              <w:ind w:right="43"/>
              <w:jc w:val="right"/>
              <w:rPr>
                <w:sz w:val="17"/>
              </w:rPr>
            </w:pPr>
            <w:r w:rsidRPr="00AC36A1">
              <w:rPr>
                <w:sz w:val="17"/>
              </w:rPr>
              <w:t>9.29</w:t>
            </w:r>
          </w:p>
        </w:tc>
        <w:tc>
          <w:tcPr>
            <w:tcW w:w="1046" w:type="dxa"/>
            <w:gridSpan w:val="2"/>
            <w:tcBorders>
              <w:bottom w:val="single" w:sz="12" w:space="0" w:color="auto"/>
            </w:tcBorders>
            <w:shd w:val="clear" w:color="auto" w:fill="auto"/>
            <w:vAlign w:val="bottom"/>
          </w:tcPr>
          <w:p w:rsidR="009A7A6D" w:rsidRPr="00AC36A1" w:rsidRDefault="009A7A6D" w:rsidP="009A7A6D">
            <w:pPr>
              <w:tabs>
                <w:tab w:val="left" w:pos="288"/>
                <w:tab w:val="left" w:pos="576"/>
                <w:tab w:val="left" w:pos="864"/>
                <w:tab w:val="left" w:pos="1152"/>
              </w:tabs>
              <w:spacing w:before="40" w:after="40" w:line="210" w:lineRule="exact"/>
              <w:ind w:right="43"/>
              <w:jc w:val="right"/>
              <w:rPr>
                <w:sz w:val="17"/>
              </w:rPr>
            </w:pPr>
            <w:r w:rsidRPr="00AC36A1">
              <w:rPr>
                <w:sz w:val="17"/>
              </w:rPr>
              <w:t>163 066</w:t>
            </w:r>
          </w:p>
        </w:tc>
        <w:tc>
          <w:tcPr>
            <w:tcW w:w="1046" w:type="dxa"/>
            <w:gridSpan w:val="2"/>
            <w:tcBorders>
              <w:bottom w:val="single" w:sz="12" w:space="0" w:color="auto"/>
            </w:tcBorders>
            <w:shd w:val="clear" w:color="auto" w:fill="auto"/>
            <w:vAlign w:val="bottom"/>
          </w:tcPr>
          <w:p w:rsidR="009A7A6D" w:rsidRPr="00AC36A1" w:rsidRDefault="009A7A6D" w:rsidP="009A7A6D">
            <w:pPr>
              <w:tabs>
                <w:tab w:val="left" w:pos="288"/>
                <w:tab w:val="left" w:pos="576"/>
                <w:tab w:val="left" w:pos="864"/>
                <w:tab w:val="left" w:pos="1152"/>
              </w:tabs>
              <w:spacing w:before="40" w:after="40" w:line="210" w:lineRule="exact"/>
              <w:ind w:right="43"/>
              <w:jc w:val="right"/>
              <w:rPr>
                <w:sz w:val="17"/>
              </w:rPr>
            </w:pPr>
            <w:r w:rsidRPr="00AC36A1">
              <w:rPr>
                <w:sz w:val="17"/>
              </w:rPr>
              <w:t>17 446</w:t>
            </w:r>
          </w:p>
        </w:tc>
        <w:tc>
          <w:tcPr>
            <w:tcW w:w="1046" w:type="dxa"/>
            <w:tcBorders>
              <w:bottom w:val="single" w:sz="12" w:space="0" w:color="auto"/>
            </w:tcBorders>
            <w:shd w:val="clear" w:color="auto" w:fill="auto"/>
            <w:vAlign w:val="bottom"/>
          </w:tcPr>
          <w:p w:rsidR="009A7A6D" w:rsidRPr="00AC36A1" w:rsidRDefault="009A7A6D" w:rsidP="009A7A6D">
            <w:pPr>
              <w:tabs>
                <w:tab w:val="left" w:pos="288"/>
                <w:tab w:val="left" w:pos="576"/>
                <w:tab w:val="left" w:pos="864"/>
                <w:tab w:val="left" w:pos="1152"/>
              </w:tabs>
              <w:spacing w:before="40" w:after="40" w:line="210" w:lineRule="exact"/>
              <w:ind w:right="43"/>
              <w:jc w:val="right"/>
              <w:rPr>
                <w:sz w:val="17"/>
              </w:rPr>
            </w:pPr>
            <w:r w:rsidRPr="00AC36A1">
              <w:rPr>
                <w:sz w:val="17"/>
              </w:rPr>
              <w:t>10.70</w:t>
            </w:r>
          </w:p>
        </w:tc>
      </w:tr>
    </w:tbl>
    <w:p w:rsidR="009A7A6D" w:rsidRPr="00AC36A1" w:rsidRDefault="009A7A6D" w:rsidP="009A7A6D">
      <w:pPr>
        <w:pStyle w:val="SingleTxt"/>
        <w:spacing w:after="0" w:line="120" w:lineRule="exact"/>
        <w:rPr>
          <w:sz w:val="10"/>
        </w:rPr>
      </w:pPr>
    </w:p>
    <w:p w:rsidR="00CF1DFA" w:rsidRPr="00AC36A1" w:rsidRDefault="00CF1DFA" w:rsidP="009A7A6D">
      <w:pPr>
        <w:pStyle w:val="FootnoteText"/>
        <w:tabs>
          <w:tab w:val="clear" w:pos="418"/>
          <w:tab w:val="right" w:pos="1476"/>
          <w:tab w:val="left" w:pos="1548"/>
          <w:tab w:val="right" w:pos="1836"/>
          <w:tab w:val="left" w:pos="1908"/>
        </w:tabs>
        <w:ind w:left="1548" w:right="1267" w:hanging="288"/>
        <w:rPr>
          <w:i/>
        </w:rPr>
      </w:pPr>
      <w:r w:rsidRPr="00AC36A1">
        <w:rPr>
          <w:b/>
          <w:i/>
        </w:rPr>
        <w:t>Source</w:t>
      </w:r>
      <w:r w:rsidRPr="00AC36A1">
        <w:rPr>
          <w:i/>
        </w:rPr>
        <w:t>: Research and Development Branch, Department of Examinations</w:t>
      </w:r>
      <w:r w:rsidR="009A7A6D" w:rsidRPr="00AC36A1">
        <w:rPr>
          <w:i/>
        </w:rPr>
        <w:t>.</w:t>
      </w:r>
    </w:p>
    <w:p w:rsidR="009A7A6D" w:rsidRPr="00AC36A1" w:rsidRDefault="009A7A6D" w:rsidP="009A7A6D">
      <w:pPr>
        <w:pStyle w:val="SingleTxt"/>
        <w:spacing w:after="0" w:line="120" w:lineRule="exact"/>
        <w:rPr>
          <w:sz w:val="10"/>
        </w:rPr>
      </w:pPr>
    </w:p>
    <w:p w:rsidR="009A7A6D" w:rsidRPr="00AC36A1" w:rsidRDefault="009A7A6D" w:rsidP="009A7A6D">
      <w:pPr>
        <w:pStyle w:val="SingleTxt"/>
        <w:spacing w:after="0" w:line="120" w:lineRule="exact"/>
        <w:rPr>
          <w:sz w:val="10"/>
        </w:rPr>
      </w:pPr>
    </w:p>
    <w:p w:rsidR="00CF1DFA" w:rsidRPr="00AC36A1" w:rsidRDefault="009A7A6D" w:rsidP="009A7A6D">
      <w:pPr>
        <w:pStyle w:val="H23"/>
        <w:ind w:right="1260"/>
        <w:rPr>
          <w:b w:val="0"/>
        </w:rPr>
      </w:pPr>
      <w:r w:rsidRPr="00AC36A1">
        <w:tab/>
      </w:r>
      <w:r w:rsidRPr="00AC36A1">
        <w:tab/>
      </w:r>
      <w:r w:rsidR="00CF1DFA" w:rsidRPr="00AC36A1">
        <w:rPr>
          <w:b w:val="0"/>
        </w:rPr>
        <w:t>Table 6</w:t>
      </w:r>
    </w:p>
    <w:p w:rsidR="00CF1DFA" w:rsidRPr="00AC36A1" w:rsidRDefault="009A7A6D" w:rsidP="009A7A6D">
      <w:pPr>
        <w:pStyle w:val="H23"/>
        <w:ind w:right="1260"/>
      </w:pPr>
      <w:r w:rsidRPr="00AC36A1">
        <w:tab/>
      </w:r>
      <w:r w:rsidRPr="00AC36A1">
        <w:tab/>
      </w:r>
      <w:r w:rsidR="00CF1DFA" w:rsidRPr="00AC36A1">
        <w:t>Percentage distribution of Population aged 5 yrs, and above according to Education Attainment and Sex, 2012</w:t>
      </w:r>
    </w:p>
    <w:p w:rsidR="009A7A6D" w:rsidRPr="00AC36A1" w:rsidRDefault="009A7A6D" w:rsidP="009A7A6D">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547"/>
        <w:gridCol w:w="1591"/>
        <w:gridCol w:w="1591"/>
        <w:gridCol w:w="1591"/>
      </w:tblGrid>
      <w:tr w:rsidR="009A7A6D" w:rsidRPr="00AC36A1" w:rsidTr="005709F0">
        <w:trPr>
          <w:tblHeader/>
        </w:trPr>
        <w:tc>
          <w:tcPr>
            <w:tcW w:w="2547" w:type="dxa"/>
            <w:tcBorders>
              <w:top w:val="single" w:sz="4" w:space="0" w:color="auto"/>
              <w:bottom w:val="single" w:sz="12" w:space="0" w:color="auto"/>
            </w:tcBorders>
            <w:shd w:val="clear" w:color="auto" w:fill="auto"/>
            <w:vAlign w:val="bottom"/>
          </w:tcPr>
          <w:p w:rsidR="009A7A6D" w:rsidRPr="00AC36A1" w:rsidRDefault="009A7A6D" w:rsidP="009A7A6D">
            <w:pPr>
              <w:spacing w:before="81" w:after="81" w:line="160" w:lineRule="exact"/>
              <w:ind w:right="40"/>
              <w:rPr>
                <w:i/>
                <w:sz w:val="14"/>
              </w:rPr>
            </w:pPr>
            <w:r w:rsidRPr="00AC36A1">
              <w:rPr>
                <w:i/>
                <w:sz w:val="14"/>
              </w:rPr>
              <w:t>Level of education</w:t>
            </w:r>
          </w:p>
        </w:tc>
        <w:tc>
          <w:tcPr>
            <w:tcW w:w="1591" w:type="dxa"/>
            <w:tcBorders>
              <w:top w:val="single" w:sz="4" w:space="0" w:color="auto"/>
              <w:bottom w:val="single" w:sz="12" w:space="0" w:color="auto"/>
            </w:tcBorders>
            <w:shd w:val="clear" w:color="auto" w:fill="auto"/>
            <w:vAlign w:val="bottom"/>
          </w:tcPr>
          <w:p w:rsidR="009A7A6D" w:rsidRPr="00AC36A1" w:rsidRDefault="009A7A6D" w:rsidP="009A7A6D">
            <w:pPr>
              <w:spacing w:before="81" w:after="81" w:line="160" w:lineRule="exact"/>
              <w:ind w:right="43"/>
              <w:jc w:val="right"/>
              <w:rPr>
                <w:i/>
                <w:sz w:val="14"/>
              </w:rPr>
            </w:pPr>
            <w:r w:rsidRPr="00AC36A1">
              <w:rPr>
                <w:i/>
                <w:sz w:val="14"/>
              </w:rPr>
              <w:t xml:space="preserve">Population aged 5 yrs &amp; above </w:t>
            </w:r>
          </w:p>
        </w:tc>
        <w:tc>
          <w:tcPr>
            <w:tcW w:w="1591" w:type="dxa"/>
            <w:tcBorders>
              <w:top w:val="single" w:sz="4" w:space="0" w:color="auto"/>
              <w:bottom w:val="single" w:sz="12" w:space="0" w:color="auto"/>
            </w:tcBorders>
            <w:shd w:val="clear" w:color="auto" w:fill="auto"/>
            <w:vAlign w:val="bottom"/>
          </w:tcPr>
          <w:p w:rsidR="009A7A6D" w:rsidRPr="00AC36A1" w:rsidRDefault="009A7A6D" w:rsidP="009A7A6D">
            <w:pPr>
              <w:spacing w:before="81" w:line="160" w:lineRule="exact"/>
              <w:ind w:right="43"/>
              <w:jc w:val="right"/>
              <w:rPr>
                <w:i/>
                <w:sz w:val="14"/>
              </w:rPr>
            </w:pPr>
            <w:r w:rsidRPr="00AC36A1">
              <w:rPr>
                <w:i/>
                <w:sz w:val="14"/>
              </w:rPr>
              <w:t>Women</w:t>
            </w:r>
          </w:p>
          <w:p w:rsidR="009A7A6D" w:rsidRPr="00AC36A1" w:rsidRDefault="009A7A6D" w:rsidP="009A7A6D">
            <w:pPr>
              <w:spacing w:after="81" w:line="160" w:lineRule="exact"/>
              <w:ind w:right="43"/>
              <w:jc w:val="right"/>
              <w:rPr>
                <w:i/>
                <w:sz w:val="14"/>
              </w:rPr>
            </w:pPr>
            <w:r w:rsidRPr="00AC36A1">
              <w:rPr>
                <w:i/>
                <w:sz w:val="14"/>
              </w:rPr>
              <w:t>%</w:t>
            </w:r>
          </w:p>
        </w:tc>
        <w:tc>
          <w:tcPr>
            <w:tcW w:w="1591" w:type="dxa"/>
            <w:tcBorders>
              <w:top w:val="single" w:sz="4" w:space="0" w:color="auto"/>
              <w:bottom w:val="single" w:sz="12" w:space="0" w:color="auto"/>
            </w:tcBorders>
            <w:shd w:val="clear" w:color="auto" w:fill="auto"/>
            <w:vAlign w:val="bottom"/>
          </w:tcPr>
          <w:p w:rsidR="009A7A6D" w:rsidRPr="00AC36A1" w:rsidRDefault="009A7A6D" w:rsidP="009A7A6D">
            <w:pPr>
              <w:spacing w:before="81" w:line="160" w:lineRule="exact"/>
              <w:ind w:right="43"/>
              <w:jc w:val="right"/>
              <w:rPr>
                <w:i/>
                <w:sz w:val="14"/>
              </w:rPr>
            </w:pPr>
            <w:r w:rsidRPr="00AC36A1">
              <w:rPr>
                <w:i/>
                <w:sz w:val="14"/>
              </w:rPr>
              <w:t>Men</w:t>
            </w:r>
          </w:p>
          <w:p w:rsidR="009A7A6D" w:rsidRPr="00AC36A1" w:rsidRDefault="009A7A6D" w:rsidP="009A7A6D">
            <w:pPr>
              <w:spacing w:after="81" w:line="160" w:lineRule="exact"/>
              <w:ind w:right="43"/>
              <w:jc w:val="right"/>
              <w:rPr>
                <w:i/>
                <w:sz w:val="14"/>
              </w:rPr>
            </w:pPr>
            <w:r w:rsidRPr="00AC36A1">
              <w:rPr>
                <w:i/>
                <w:sz w:val="14"/>
              </w:rPr>
              <w:t>%</w:t>
            </w:r>
          </w:p>
        </w:tc>
      </w:tr>
      <w:tr w:rsidR="009A7A6D" w:rsidRPr="00AC36A1" w:rsidTr="005709F0">
        <w:trPr>
          <w:trHeight w:hRule="exact" w:val="115"/>
          <w:tblHeader/>
        </w:trPr>
        <w:tc>
          <w:tcPr>
            <w:tcW w:w="2547" w:type="dxa"/>
            <w:tcBorders>
              <w:top w:val="single" w:sz="12" w:space="0" w:color="auto"/>
            </w:tcBorders>
            <w:shd w:val="clear" w:color="auto" w:fill="auto"/>
            <w:vAlign w:val="bottom"/>
          </w:tcPr>
          <w:p w:rsidR="009A7A6D" w:rsidRPr="00AC36A1" w:rsidRDefault="009A7A6D" w:rsidP="009A7A6D">
            <w:pPr>
              <w:spacing w:before="40" w:after="40" w:line="210" w:lineRule="exact"/>
              <w:ind w:right="40"/>
              <w:rPr>
                <w:sz w:val="17"/>
              </w:rPr>
            </w:pPr>
          </w:p>
        </w:tc>
        <w:tc>
          <w:tcPr>
            <w:tcW w:w="1591" w:type="dxa"/>
            <w:tcBorders>
              <w:top w:val="single" w:sz="12" w:space="0" w:color="auto"/>
            </w:tcBorders>
            <w:shd w:val="clear" w:color="auto" w:fill="auto"/>
            <w:vAlign w:val="bottom"/>
          </w:tcPr>
          <w:p w:rsidR="009A7A6D" w:rsidRPr="00AC36A1" w:rsidRDefault="009A7A6D" w:rsidP="009A7A6D">
            <w:pPr>
              <w:spacing w:before="40" w:after="40" w:line="210" w:lineRule="exact"/>
              <w:ind w:right="43"/>
              <w:jc w:val="right"/>
              <w:rPr>
                <w:sz w:val="17"/>
              </w:rPr>
            </w:pPr>
          </w:p>
        </w:tc>
        <w:tc>
          <w:tcPr>
            <w:tcW w:w="1591" w:type="dxa"/>
            <w:tcBorders>
              <w:top w:val="single" w:sz="12" w:space="0" w:color="auto"/>
            </w:tcBorders>
            <w:shd w:val="clear" w:color="auto" w:fill="auto"/>
            <w:vAlign w:val="bottom"/>
          </w:tcPr>
          <w:p w:rsidR="009A7A6D" w:rsidRPr="00AC36A1" w:rsidRDefault="009A7A6D" w:rsidP="009A7A6D">
            <w:pPr>
              <w:spacing w:before="40" w:after="40" w:line="210" w:lineRule="exact"/>
              <w:ind w:right="43"/>
              <w:jc w:val="right"/>
              <w:rPr>
                <w:sz w:val="17"/>
              </w:rPr>
            </w:pPr>
          </w:p>
        </w:tc>
        <w:tc>
          <w:tcPr>
            <w:tcW w:w="1591" w:type="dxa"/>
            <w:tcBorders>
              <w:top w:val="single" w:sz="12" w:space="0" w:color="auto"/>
            </w:tcBorders>
            <w:shd w:val="clear" w:color="auto" w:fill="auto"/>
            <w:vAlign w:val="bottom"/>
          </w:tcPr>
          <w:p w:rsidR="009A7A6D" w:rsidRPr="00AC36A1" w:rsidRDefault="009A7A6D" w:rsidP="009A7A6D">
            <w:pPr>
              <w:spacing w:before="40" w:after="40" w:line="210" w:lineRule="exact"/>
              <w:ind w:right="43"/>
              <w:jc w:val="right"/>
              <w:rPr>
                <w:sz w:val="17"/>
              </w:rPr>
            </w:pPr>
          </w:p>
        </w:tc>
      </w:tr>
      <w:tr w:rsidR="009A7A6D" w:rsidRPr="00AC36A1" w:rsidTr="005709F0">
        <w:tc>
          <w:tcPr>
            <w:tcW w:w="2547" w:type="dxa"/>
            <w:shd w:val="clear" w:color="auto" w:fill="auto"/>
            <w:vAlign w:val="bottom"/>
          </w:tcPr>
          <w:p w:rsidR="009A7A6D" w:rsidRPr="00AC36A1" w:rsidRDefault="009A7A6D" w:rsidP="009A7A6D">
            <w:pPr>
              <w:tabs>
                <w:tab w:val="left" w:pos="288"/>
                <w:tab w:val="left" w:pos="576"/>
                <w:tab w:val="left" w:pos="864"/>
                <w:tab w:val="left" w:pos="1152"/>
              </w:tabs>
              <w:spacing w:before="40" w:after="40" w:line="210" w:lineRule="exact"/>
              <w:ind w:right="40"/>
              <w:rPr>
                <w:sz w:val="17"/>
              </w:rPr>
            </w:pPr>
            <w:r w:rsidRPr="00AC36A1">
              <w:rPr>
                <w:sz w:val="17"/>
              </w:rPr>
              <w:t>Total</w:t>
            </w:r>
          </w:p>
        </w:tc>
        <w:tc>
          <w:tcPr>
            <w:tcW w:w="1591" w:type="dxa"/>
            <w:shd w:val="clear" w:color="auto" w:fill="auto"/>
            <w:vAlign w:val="bottom"/>
          </w:tcPr>
          <w:p w:rsidR="009A7A6D" w:rsidRPr="00AC36A1" w:rsidRDefault="009A7A6D" w:rsidP="005709F0">
            <w:pPr>
              <w:tabs>
                <w:tab w:val="left" w:pos="288"/>
                <w:tab w:val="left" w:pos="576"/>
                <w:tab w:val="left" w:pos="864"/>
                <w:tab w:val="left" w:pos="1152"/>
              </w:tabs>
              <w:spacing w:before="40" w:after="40" w:line="210" w:lineRule="exact"/>
              <w:ind w:right="43"/>
              <w:jc w:val="right"/>
              <w:rPr>
                <w:sz w:val="17"/>
              </w:rPr>
            </w:pPr>
            <w:r w:rsidRPr="00AC36A1">
              <w:rPr>
                <w:sz w:val="17"/>
              </w:rPr>
              <w:t>18</w:t>
            </w:r>
            <w:r w:rsidR="005709F0" w:rsidRPr="00AC36A1">
              <w:rPr>
                <w:sz w:val="17"/>
              </w:rPr>
              <w:t xml:space="preserve"> </w:t>
            </w:r>
            <w:r w:rsidRPr="00AC36A1">
              <w:rPr>
                <w:sz w:val="17"/>
              </w:rPr>
              <w:t>527</w:t>
            </w:r>
            <w:r w:rsidR="005709F0" w:rsidRPr="00AC36A1">
              <w:rPr>
                <w:sz w:val="17"/>
              </w:rPr>
              <w:t xml:space="preserve"> </w:t>
            </w:r>
            <w:r w:rsidRPr="00AC36A1">
              <w:rPr>
                <w:sz w:val="17"/>
              </w:rPr>
              <w:t>683</w:t>
            </w:r>
          </w:p>
        </w:tc>
        <w:tc>
          <w:tcPr>
            <w:tcW w:w="1591" w:type="dxa"/>
            <w:shd w:val="clear" w:color="auto" w:fill="auto"/>
            <w:vAlign w:val="bottom"/>
          </w:tcPr>
          <w:p w:rsidR="009A7A6D" w:rsidRPr="00AC36A1" w:rsidRDefault="009A7A6D" w:rsidP="005709F0">
            <w:pPr>
              <w:tabs>
                <w:tab w:val="left" w:pos="288"/>
                <w:tab w:val="left" w:pos="576"/>
                <w:tab w:val="left" w:pos="864"/>
                <w:tab w:val="left" w:pos="1152"/>
              </w:tabs>
              <w:spacing w:before="40" w:after="40" w:line="210" w:lineRule="exact"/>
              <w:ind w:right="43"/>
              <w:jc w:val="right"/>
              <w:rPr>
                <w:sz w:val="17"/>
              </w:rPr>
            </w:pPr>
            <w:r w:rsidRPr="00AC36A1">
              <w:rPr>
                <w:sz w:val="17"/>
              </w:rPr>
              <w:t>9</w:t>
            </w:r>
            <w:r w:rsidR="005709F0" w:rsidRPr="00AC36A1">
              <w:rPr>
                <w:sz w:val="17"/>
              </w:rPr>
              <w:t xml:space="preserve"> </w:t>
            </w:r>
            <w:r w:rsidRPr="00AC36A1">
              <w:rPr>
                <w:sz w:val="17"/>
              </w:rPr>
              <w:t>598</w:t>
            </w:r>
            <w:r w:rsidR="005709F0" w:rsidRPr="00AC36A1">
              <w:rPr>
                <w:sz w:val="17"/>
              </w:rPr>
              <w:t xml:space="preserve"> </w:t>
            </w:r>
            <w:r w:rsidRPr="00AC36A1">
              <w:rPr>
                <w:sz w:val="17"/>
              </w:rPr>
              <w:t>325</w:t>
            </w:r>
          </w:p>
        </w:tc>
        <w:tc>
          <w:tcPr>
            <w:tcW w:w="1591" w:type="dxa"/>
            <w:shd w:val="clear" w:color="auto" w:fill="auto"/>
            <w:vAlign w:val="bottom"/>
          </w:tcPr>
          <w:p w:rsidR="009A7A6D" w:rsidRPr="00AC36A1" w:rsidRDefault="009A7A6D" w:rsidP="005709F0">
            <w:pPr>
              <w:tabs>
                <w:tab w:val="left" w:pos="288"/>
                <w:tab w:val="left" w:pos="576"/>
                <w:tab w:val="left" w:pos="864"/>
                <w:tab w:val="left" w:pos="1152"/>
              </w:tabs>
              <w:spacing w:before="40" w:after="40" w:line="210" w:lineRule="exact"/>
              <w:ind w:right="43"/>
              <w:jc w:val="right"/>
              <w:rPr>
                <w:sz w:val="17"/>
              </w:rPr>
            </w:pPr>
            <w:r w:rsidRPr="00AC36A1">
              <w:rPr>
                <w:sz w:val="17"/>
              </w:rPr>
              <w:t>8</w:t>
            </w:r>
            <w:r w:rsidR="005709F0" w:rsidRPr="00AC36A1">
              <w:rPr>
                <w:sz w:val="17"/>
              </w:rPr>
              <w:t xml:space="preserve"> </w:t>
            </w:r>
            <w:r w:rsidRPr="00AC36A1">
              <w:rPr>
                <w:sz w:val="17"/>
              </w:rPr>
              <w:t>929</w:t>
            </w:r>
            <w:r w:rsidR="005709F0" w:rsidRPr="00AC36A1">
              <w:rPr>
                <w:sz w:val="17"/>
              </w:rPr>
              <w:t xml:space="preserve"> </w:t>
            </w:r>
            <w:r w:rsidRPr="00AC36A1">
              <w:rPr>
                <w:sz w:val="17"/>
              </w:rPr>
              <w:t>358</w:t>
            </w:r>
          </w:p>
        </w:tc>
      </w:tr>
      <w:tr w:rsidR="009A7A6D" w:rsidRPr="00AC36A1" w:rsidTr="005709F0">
        <w:tc>
          <w:tcPr>
            <w:tcW w:w="2547" w:type="dxa"/>
            <w:shd w:val="clear" w:color="auto" w:fill="auto"/>
            <w:vAlign w:val="bottom"/>
          </w:tcPr>
          <w:p w:rsidR="009A7A6D" w:rsidRPr="00AC36A1" w:rsidRDefault="009A7A6D" w:rsidP="009A7A6D">
            <w:pPr>
              <w:tabs>
                <w:tab w:val="left" w:pos="288"/>
                <w:tab w:val="left" w:pos="576"/>
                <w:tab w:val="left" w:pos="864"/>
                <w:tab w:val="left" w:pos="1152"/>
              </w:tabs>
              <w:spacing w:before="40" w:after="40" w:line="210" w:lineRule="exact"/>
              <w:ind w:right="40"/>
              <w:rPr>
                <w:sz w:val="17"/>
              </w:rPr>
            </w:pPr>
            <w:r w:rsidRPr="00AC36A1">
              <w:rPr>
                <w:sz w:val="17"/>
              </w:rPr>
              <w:t>No schooling</w:t>
            </w:r>
          </w:p>
        </w:tc>
        <w:tc>
          <w:tcPr>
            <w:tcW w:w="1591" w:type="dxa"/>
            <w:shd w:val="clear" w:color="auto" w:fill="auto"/>
            <w:vAlign w:val="bottom"/>
          </w:tcPr>
          <w:p w:rsidR="009A7A6D" w:rsidRPr="00AC36A1" w:rsidRDefault="009A7A6D" w:rsidP="009A7A6D">
            <w:pPr>
              <w:tabs>
                <w:tab w:val="left" w:pos="288"/>
                <w:tab w:val="left" w:pos="576"/>
                <w:tab w:val="left" w:pos="864"/>
                <w:tab w:val="left" w:pos="1152"/>
              </w:tabs>
              <w:spacing w:before="40" w:after="40" w:line="210" w:lineRule="exact"/>
              <w:ind w:right="43"/>
              <w:jc w:val="right"/>
              <w:rPr>
                <w:sz w:val="17"/>
              </w:rPr>
            </w:pPr>
            <w:r w:rsidRPr="00AC36A1">
              <w:rPr>
                <w:sz w:val="17"/>
              </w:rPr>
              <w:t>3.8</w:t>
            </w:r>
          </w:p>
        </w:tc>
        <w:tc>
          <w:tcPr>
            <w:tcW w:w="1591" w:type="dxa"/>
            <w:shd w:val="clear" w:color="auto" w:fill="auto"/>
            <w:vAlign w:val="bottom"/>
          </w:tcPr>
          <w:p w:rsidR="009A7A6D" w:rsidRPr="00AC36A1" w:rsidRDefault="009A7A6D" w:rsidP="009A7A6D">
            <w:pPr>
              <w:tabs>
                <w:tab w:val="left" w:pos="288"/>
                <w:tab w:val="left" w:pos="576"/>
                <w:tab w:val="left" w:pos="864"/>
                <w:tab w:val="left" w:pos="1152"/>
              </w:tabs>
              <w:spacing w:before="40" w:after="40" w:line="210" w:lineRule="exact"/>
              <w:ind w:right="43"/>
              <w:jc w:val="right"/>
              <w:rPr>
                <w:sz w:val="17"/>
              </w:rPr>
            </w:pPr>
            <w:r w:rsidRPr="00AC36A1">
              <w:rPr>
                <w:sz w:val="17"/>
              </w:rPr>
              <w:t>4.8</w:t>
            </w:r>
          </w:p>
        </w:tc>
        <w:tc>
          <w:tcPr>
            <w:tcW w:w="1591" w:type="dxa"/>
            <w:shd w:val="clear" w:color="auto" w:fill="auto"/>
            <w:vAlign w:val="bottom"/>
          </w:tcPr>
          <w:p w:rsidR="009A7A6D" w:rsidRPr="00AC36A1" w:rsidRDefault="009A7A6D" w:rsidP="009A7A6D">
            <w:pPr>
              <w:tabs>
                <w:tab w:val="left" w:pos="288"/>
                <w:tab w:val="left" w:pos="576"/>
                <w:tab w:val="left" w:pos="864"/>
                <w:tab w:val="left" w:pos="1152"/>
              </w:tabs>
              <w:spacing w:before="40" w:after="40" w:line="210" w:lineRule="exact"/>
              <w:ind w:right="43"/>
              <w:jc w:val="right"/>
              <w:rPr>
                <w:sz w:val="17"/>
              </w:rPr>
            </w:pPr>
            <w:r w:rsidRPr="00AC36A1">
              <w:rPr>
                <w:sz w:val="17"/>
              </w:rPr>
              <w:t>2.7</w:t>
            </w:r>
          </w:p>
        </w:tc>
      </w:tr>
      <w:tr w:rsidR="009A7A6D" w:rsidRPr="00AC36A1" w:rsidTr="005709F0">
        <w:tc>
          <w:tcPr>
            <w:tcW w:w="2547" w:type="dxa"/>
            <w:shd w:val="clear" w:color="auto" w:fill="auto"/>
            <w:vAlign w:val="bottom"/>
          </w:tcPr>
          <w:p w:rsidR="009A7A6D" w:rsidRPr="00AC36A1" w:rsidRDefault="009A7A6D" w:rsidP="009A7A6D">
            <w:pPr>
              <w:tabs>
                <w:tab w:val="left" w:pos="288"/>
                <w:tab w:val="left" w:pos="576"/>
                <w:tab w:val="left" w:pos="864"/>
                <w:tab w:val="left" w:pos="1152"/>
              </w:tabs>
              <w:spacing w:before="40" w:after="40" w:line="210" w:lineRule="exact"/>
              <w:ind w:right="40"/>
              <w:rPr>
                <w:sz w:val="17"/>
              </w:rPr>
            </w:pPr>
            <w:r w:rsidRPr="00AC36A1">
              <w:rPr>
                <w:sz w:val="17"/>
              </w:rPr>
              <w:t>Grade 1-5</w:t>
            </w:r>
          </w:p>
        </w:tc>
        <w:tc>
          <w:tcPr>
            <w:tcW w:w="1591" w:type="dxa"/>
            <w:shd w:val="clear" w:color="auto" w:fill="auto"/>
            <w:vAlign w:val="bottom"/>
          </w:tcPr>
          <w:p w:rsidR="009A7A6D" w:rsidRPr="00AC36A1" w:rsidRDefault="009A7A6D" w:rsidP="009A7A6D">
            <w:pPr>
              <w:tabs>
                <w:tab w:val="left" w:pos="288"/>
                <w:tab w:val="left" w:pos="576"/>
                <w:tab w:val="left" w:pos="864"/>
                <w:tab w:val="left" w:pos="1152"/>
              </w:tabs>
              <w:spacing w:before="40" w:after="40" w:line="210" w:lineRule="exact"/>
              <w:ind w:right="43"/>
              <w:jc w:val="right"/>
              <w:rPr>
                <w:sz w:val="17"/>
              </w:rPr>
            </w:pPr>
            <w:r w:rsidRPr="00AC36A1">
              <w:rPr>
                <w:sz w:val="17"/>
              </w:rPr>
              <w:t>23.6</w:t>
            </w:r>
          </w:p>
        </w:tc>
        <w:tc>
          <w:tcPr>
            <w:tcW w:w="1591" w:type="dxa"/>
            <w:shd w:val="clear" w:color="auto" w:fill="auto"/>
            <w:vAlign w:val="bottom"/>
          </w:tcPr>
          <w:p w:rsidR="009A7A6D" w:rsidRPr="00AC36A1" w:rsidRDefault="009A7A6D" w:rsidP="009A7A6D">
            <w:pPr>
              <w:tabs>
                <w:tab w:val="left" w:pos="288"/>
                <w:tab w:val="left" w:pos="576"/>
                <w:tab w:val="left" w:pos="864"/>
                <w:tab w:val="left" w:pos="1152"/>
              </w:tabs>
              <w:spacing w:before="40" w:after="40" w:line="210" w:lineRule="exact"/>
              <w:ind w:right="43"/>
              <w:jc w:val="right"/>
              <w:rPr>
                <w:sz w:val="17"/>
              </w:rPr>
            </w:pPr>
            <w:r w:rsidRPr="00AC36A1">
              <w:rPr>
                <w:sz w:val="17"/>
              </w:rPr>
              <w:t>22.9</w:t>
            </w:r>
          </w:p>
        </w:tc>
        <w:tc>
          <w:tcPr>
            <w:tcW w:w="1591" w:type="dxa"/>
            <w:shd w:val="clear" w:color="auto" w:fill="auto"/>
            <w:vAlign w:val="bottom"/>
          </w:tcPr>
          <w:p w:rsidR="009A7A6D" w:rsidRPr="00AC36A1" w:rsidRDefault="009A7A6D" w:rsidP="009A7A6D">
            <w:pPr>
              <w:tabs>
                <w:tab w:val="left" w:pos="288"/>
                <w:tab w:val="left" w:pos="576"/>
                <w:tab w:val="left" w:pos="864"/>
                <w:tab w:val="left" w:pos="1152"/>
              </w:tabs>
              <w:spacing w:before="40" w:after="40" w:line="210" w:lineRule="exact"/>
              <w:ind w:right="43"/>
              <w:jc w:val="right"/>
              <w:rPr>
                <w:sz w:val="17"/>
              </w:rPr>
            </w:pPr>
            <w:r w:rsidRPr="00AC36A1">
              <w:rPr>
                <w:sz w:val="17"/>
              </w:rPr>
              <w:t>24.2</w:t>
            </w:r>
          </w:p>
        </w:tc>
      </w:tr>
      <w:tr w:rsidR="009A7A6D" w:rsidRPr="00AC36A1" w:rsidTr="005709F0">
        <w:tc>
          <w:tcPr>
            <w:tcW w:w="2547" w:type="dxa"/>
            <w:shd w:val="clear" w:color="auto" w:fill="auto"/>
            <w:vAlign w:val="bottom"/>
          </w:tcPr>
          <w:p w:rsidR="009A7A6D" w:rsidRPr="00AC36A1" w:rsidRDefault="009A7A6D" w:rsidP="009A7A6D">
            <w:pPr>
              <w:tabs>
                <w:tab w:val="left" w:pos="288"/>
                <w:tab w:val="left" w:pos="576"/>
                <w:tab w:val="left" w:pos="864"/>
                <w:tab w:val="left" w:pos="1152"/>
              </w:tabs>
              <w:spacing w:before="40" w:after="40" w:line="210" w:lineRule="exact"/>
              <w:ind w:right="40"/>
              <w:rPr>
                <w:sz w:val="17"/>
              </w:rPr>
            </w:pPr>
            <w:r w:rsidRPr="00AC36A1">
              <w:rPr>
                <w:sz w:val="17"/>
              </w:rPr>
              <w:t>Grade 6-10</w:t>
            </w:r>
          </w:p>
        </w:tc>
        <w:tc>
          <w:tcPr>
            <w:tcW w:w="1591" w:type="dxa"/>
            <w:shd w:val="clear" w:color="auto" w:fill="auto"/>
            <w:vAlign w:val="bottom"/>
          </w:tcPr>
          <w:p w:rsidR="009A7A6D" w:rsidRPr="00AC36A1" w:rsidRDefault="009A7A6D" w:rsidP="009A7A6D">
            <w:pPr>
              <w:tabs>
                <w:tab w:val="left" w:pos="288"/>
                <w:tab w:val="left" w:pos="576"/>
                <w:tab w:val="left" w:pos="864"/>
                <w:tab w:val="left" w:pos="1152"/>
              </w:tabs>
              <w:spacing w:before="40" w:after="40" w:line="210" w:lineRule="exact"/>
              <w:ind w:right="43"/>
              <w:jc w:val="right"/>
              <w:rPr>
                <w:sz w:val="17"/>
              </w:rPr>
            </w:pPr>
            <w:r w:rsidRPr="00AC36A1">
              <w:rPr>
                <w:sz w:val="17"/>
              </w:rPr>
              <w:t>40.7</w:t>
            </w:r>
          </w:p>
        </w:tc>
        <w:tc>
          <w:tcPr>
            <w:tcW w:w="1591" w:type="dxa"/>
            <w:shd w:val="clear" w:color="auto" w:fill="auto"/>
            <w:vAlign w:val="bottom"/>
          </w:tcPr>
          <w:p w:rsidR="009A7A6D" w:rsidRPr="00AC36A1" w:rsidRDefault="009A7A6D" w:rsidP="009A7A6D">
            <w:pPr>
              <w:tabs>
                <w:tab w:val="left" w:pos="288"/>
                <w:tab w:val="left" w:pos="576"/>
                <w:tab w:val="left" w:pos="864"/>
                <w:tab w:val="left" w:pos="1152"/>
              </w:tabs>
              <w:spacing w:before="40" w:after="40" w:line="210" w:lineRule="exact"/>
              <w:ind w:right="43"/>
              <w:jc w:val="right"/>
              <w:rPr>
                <w:sz w:val="17"/>
              </w:rPr>
            </w:pPr>
            <w:r w:rsidRPr="00AC36A1">
              <w:rPr>
                <w:sz w:val="17"/>
              </w:rPr>
              <w:t>38.8</w:t>
            </w:r>
          </w:p>
        </w:tc>
        <w:tc>
          <w:tcPr>
            <w:tcW w:w="1591" w:type="dxa"/>
            <w:shd w:val="clear" w:color="auto" w:fill="auto"/>
            <w:vAlign w:val="bottom"/>
          </w:tcPr>
          <w:p w:rsidR="009A7A6D" w:rsidRPr="00AC36A1" w:rsidRDefault="009A7A6D" w:rsidP="009A7A6D">
            <w:pPr>
              <w:tabs>
                <w:tab w:val="left" w:pos="288"/>
                <w:tab w:val="left" w:pos="576"/>
                <w:tab w:val="left" w:pos="864"/>
                <w:tab w:val="left" w:pos="1152"/>
              </w:tabs>
              <w:spacing w:before="40" w:after="40" w:line="210" w:lineRule="exact"/>
              <w:ind w:right="43"/>
              <w:jc w:val="right"/>
              <w:rPr>
                <w:sz w:val="17"/>
              </w:rPr>
            </w:pPr>
            <w:r w:rsidRPr="00AC36A1">
              <w:rPr>
                <w:sz w:val="17"/>
              </w:rPr>
              <w:t>42.7</w:t>
            </w:r>
          </w:p>
        </w:tc>
      </w:tr>
      <w:tr w:rsidR="009A7A6D" w:rsidRPr="00AC36A1" w:rsidTr="005709F0">
        <w:tc>
          <w:tcPr>
            <w:tcW w:w="2547" w:type="dxa"/>
            <w:shd w:val="clear" w:color="auto" w:fill="auto"/>
            <w:vAlign w:val="bottom"/>
          </w:tcPr>
          <w:p w:rsidR="009A7A6D" w:rsidRPr="00AC36A1" w:rsidRDefault="009A7A6D" w:rsidP="009A7A6D">
            <w:pPr>
              <w:tabs>
                <w:tab w:val="left" w:pos="288"/>
                <w:tab w:val="left" w:pos="576"/>
                <w:tab w:val="left" w:pos="864"/>
                <w:tab w:val="left" w:pos="1152"/>
              </w:tabs>
              <w:spacing w:before="40" w:after="40" w:line="210" w:lineRule="exact"/>
              <w:ind w:right="40"/>
              <w:rPr>
                <w:sz w:val="17"/>
              </w:rPr>
            </w:pPr>
            <w:r w:rsidRPr="00AC36A1">
              <w:rPr>
                <w:sz w:val="17"/>
              </w:rPr>
              <w:t>G.C.E. (O/L) or equivalent</w:t>
            </w:r>
          </w:p>
        </w:tc>
        <w:tc>
          <w:tcPr>
            <w:tcW w:w="1591" w:type="dxa"/>
            <w:shd w:val="clear" w:color="auto" w:fill="auto"/>
            <w:vAlign w:val="bottom"/>
          </w:tcPr>
          <w:p w:rsidR="009A7A6D" w:rsidRPr="00AC36A1" w:rsidRDefault="009A7A6D" w:rsidP="009A7A6D">
            <w:pPr>
              <w:tabs>
                <w:tab w:val="left" w:pos="288"/>
                <w:tab w:val="left" w:pos="576"/>
                <w:tab w:val="left" w:pos="864"/>
                <w:tab w:val="left" w:pos="1152"/>
              </w:tabs>
              <w:spacing w:before="40" w:after="40" w:line="210" w:lineRule="exact"/>
              <w:ind w:right="43"/>
              <w:jc w:val="right"/>
              <w:rPr>
                <w:sz w:val="17"/>
              </w:rPr>
            </w:pPr>
            <w:r w:rsidRPr="00AC36A1">
              <w:rPr>
                <w:sz w:val="17"/>
              </w:rPr>
              <w:t>17.0</w:t>
            </w:r>
          </w:p>
        </w:tc>
        <w:tc>
          <w:tcPr>
            <w:tcW w:w="1591" w:type="dxa"/>
            <w:shd w:val="clear" w:color="auto" w:fill="auto"/>
            <w:vAlign w:val="bottom"/>
          </w:tcPr>
          <w:p w:rsidR="009A7A6D" w:rsidRPr="00AC36A1" w:rsidRDefault="009A7A6D" w:rsidP="009A7A6D">
            <w:pPr>
              <w:tabs>
                <w:tab w:val="left" w:pos="288"/>
                <w:tab w:val="left" w:pos="576"/>
                <w:tab w:val="left" w:pos="864"/>
                <w:tab w:val="left" w:pos="1152"/>
              </w:tabs>
              <w:spacing w:before="40" w:after="40" w:line="210" w:lineRule="exact"/>
              <w:ind w:right="43"/>
              <w:jc w:val="right"/>
              <w:rPr>
                <w:sz w:val="17"/>
              </w:rPr>
            </w:pPr>
            <w:r w:rsidRPr="00AC36A1">
              <w:rPr>
                <w:sz w:val="17"/>
              </w:rPr>
              <w:t>17.2</w:t>
            </w:r>
          </w:p>
        </w:tc>
        <w:tc>
          <w:tcPr>
            <w:tcW w:w="1591" w:type="dxa"/>
            <w:shd w:val="clear" w:color="auto" w:fill="auto"/>
            <w:vAlign w:val="bottom"/>
          </w:tcPr>
          <w:p w:rsidR="009A7A6D" w:rsidRPr="00AC36A1" w:rsidRDefault="009A7A6D" w:rsidP="009A7A6D">
            <w:pPr>
              <w:tabs>
                <w:tab w:val="left" w:pos="288"/>
                <w:tab w:val="left" w:pos="576"/>
                <w:tab w:val="left" w:pos="864"/>
                <w:tab w:val="left" w:pos="1152"/>
              </w:tabs>
              <w:spacing w:before="40" w:after="40" w:line="210" w:lineRule="exact"/>
              <w:ind w:right="43"/>
              <w:jc w:val="right"/>
              <w:rPr>
                <w:sz w:val="17"/>
              </w:rPr>
            </w:pPr>
            <w:r w:rsidRPr="00AC36A1">
              <w:rPr>
                <w:sz w:val="17"/>
              </w:rPr>
              <w:t>1+.8</w:t>
            </w:r>
          </w:p>
        </w:tc>
      </w:tr>
      <w:tr w:rsidR="009A7A6D" w:rsidRPr="00AC36A1" w:rsidTr="005709F0">
        <w:tc>
          <w:tcPr>
            <w:tcW w:w="2547" w:type="dxa"/>
            <w:shd w:val="clear" w:color="auto" w:fill="auto"/>
            <w:vAlign w:val="bottom"/>
          </w:tcPr>
          <w:p w:rsidR="009A7A6D" w:rsidRPr="00AC36A1" w:rsidRDefault="009A7A6D" w:rsidP="009A7A6D">
            <w:pPr>
              <w:tabs>
                <w:tab w:val="left" w:pos="288"/>
                <w:tab w:val="left" w:pos="576"/>
                <w:tab w:val="left" w:pos="864"/>
                <w:tab w:val="left" w:pos="1152"/>
              </w:tabs>
              <w:spacing w:before="40" w:after="40" w:line="210" w:lineRule="exact"/>
              <w:ind w:right="40"/>
              <w:rPr>
                <w:sz w:val="17"/>
              </w:rPr>
            </w:pPr>
            <w:r w:rsidRPr="00AC36A1">
              <w:rPr>
                <w:sz w:val="17"/>
              </w:rPr>
              <w:t>G.C.E. (A/L) or equivalent</w:t>
            </w:r>
          </w:p>
        </w:tc>
        <w:tc>
          <w:tcPr>
            <w:tcW w:w="1591" w:type="dxa"/>
            <w:shd w:val="clear" w:color="auto" w:fill="auto"/>
            <w:vAlign w:val="bottom"/>
          </w:tcPr>
          <w:p w:rsidR="009A7A6D" w:rsidRPr="00AC36A1" w:rsidRDefault="009A7A6D" w:rsidP="009A7A6D">
            <w:pPr>
              <w:tabs>
                <w:tab w:val="left" w:pos="288"/>
                <w:tab w:val="left" w:pos="576"/>
                <w:tab w:val="left" w:pos="864"/>
                <w:tab w:val="left" w:pos="1152"/>
              </w:tabs>
              <w:spacing w:before="40" w:after="40" w:line="210" w:lineRule="exact"/>
              <w:ind w:right="43"/>
              <w:jc w:val="right"/>
              <w:rPr>
                <w:sz w:val="17"/>
              </w:rPr>
            </w:pPr>
            <w:r w:rsidRPr="00AC36A1">
              <w:rPr>
                <w:sz w:val="17"/>
              </w:rPr>
              <w:t>12.3</w:t>
            </w:r>
          </w:p>
        </w:tc>
        <w:tc>
          <w:tcPr>
            <w:tcW w:w="1591" w:type="dxa"/>
            <w:shd w:val="clear" w:color="auto" w:fill="auto"/>
            <w:vAlign w:val="bottom"/>
          </w:tcPr>
          <w:p w:rsidR="009A7A6D" w:rsidRPr="00AC36A1" w:rsidRDefault="009A7A6D" w:rsidP="009A7A6D">
            <w:pPr>
              <w:tabs>
                <w:tab w:val="left" w:pos="288"/>
                <w:tab w:val="left" w:pos="576"/>
                <w:tab w:val="left" w:pos="864"/>
                <w:tab w:val="left" w:pos="1152"/>
              </w:tabs>
              <w:spacing w:before="40" w:after="40" w:line="210" w:lineRule="exact"/>
              <w:ind w:right="43"/>
              <w:jc w:val="right"/>
              <w:rPr>
                <w:sz w:val="17"/>
              </w:rPr>
            </w:pPr>
            <w:r w:rsidRPr="00AC36A1">
              <w:rPr>
                <w:sz w:val="17"/>
              </w:rPr>
              <w:t>13.6</w:t>
            </w:r>
          </w:p>
        </w:tc>
        <w:tc>
          <w:tcPr>
            <w:tcW w:w="1591" w:type="dxa"/>
            <w:shd w:val="clear" w:color="auto" w:fill="auto"/>
            <w:vAlign w:val="bottom"/>
          </w:tcPr>
          <w:p w:rsidR="009A7A6D" w:rsidRPr="00AC36A1" w:rsidRDefault="009A7A6D" w:rsidP="009A7A6D">
            <w:pPr>
              <w:tabs>
                <w:tab w:val="left" w:pos="288"/>
                <w:tab w:val="left" w:pos="576"/>
                <w:tab w:val="left" w:pos="864"/>
                <w:tab w:val="left" w:pos="1152"/>
              </w:tabs>
              <w:spacing w:before="40" w:after="40" w:line="210" w:lineRule="exact"/>
              <w:ind w:right="43"/>
              <w:jc w:val="right"/>
              <w:rPr>
                <w:sz w:val="17"/>
              </w:rPr>
            </w:pPr>
            <w:r w:rsidRPr="00AC36A1">
              <w:rPr>
                <w:sz w:val="17"/>
              </w:rPr>
              <w:t>10.9</w:t>
            </w:r>
          </w:p>
        </w:tc>
      </w:tr>
      <w:tr w:rsidR="009A7A6D" w:rsidRPr="00AC36A1" w:rsidTr="005709F0">
        <w:tc>
          <w:tcPr>
            <w:tcW w:w="2547" w:type="dxa"/>
            <w:shd w:val="clear" w:color="auto" w:fill="auto"/>
            <w:vAlign w:val="bottom"/>
          </w:tcPr>
          <w:p w:rsidR="009A7A6D" w:rsidRPr="00AC36A1" w:rsidRDefault="009A7A6D" w:rsidP="009A7A6D">
            <w:pPr>
              <w:tabs>
                <w:tab w:val="left" w:pos="288"/>
                <w:tab w:val="left" w:pos="576"/>
                <w:tab w:val="left" w:pos="864"/>
                <w:tab w:val="left" w:pos="1152"/>
              </w:tabs>
              <w:spacing w:before="40" w:after="40" w:line="210" w:lineRule="exact"/>
              <w:ind w:right="40"/>
              <w:rPr>
                <w:sz w:val="17"/>
              </w:rPr>
            </w:pPr>
            <w:r w:rsidRPr="00AC36A1">
              <w:rPr>
                <w:sz w:val="17"/>
              </w:rPr>
              <w:t>Degree and Above</w:t>
            </w:r>
          </w:p>
        </w:tc>
        <w:tc>
          <w:tcPr>
            <w:tcW w:w="1591" w:type="dxa"/>
            <w:shd w:val="clear" w:color="auto" w:fill="auto"/>
            <w:vAlign w:val="bottom"/>
          </w:tcPr>
          <w:p w:rsidR="009A7A6D" w:rsidRPr="00AC36A1" w:rsidRDefault="009A7A6D" w:rsidP="009A7A6D">
            <w:pPr>
              <w:tabs>
                <w:tab w:val="left" w:pos="288"/>
                <w:tab w:val="left" w:pos="576"/>
                <w:tab w:val="left" w:pos="864"/>
                <w:tab w:val="left" w:pos="1152"/>
              </w:tabs>
              <w:spacing w:before="40" w:after="40" w:line="210" w:lineRule="exact"/>
              <w:ind w:right="43"/>
              <w:jc w:val="right"/>
              <w:rPr>
                <w:sz w:val="17"/>
              </w:rPr>
            </w:pPr>
            <w:r w:rsidRPr="00AC36A1">
              <w:rPr>
                <w:sz w:val="17"/>
              </w:rPr>
              <w:t>2.7</w:t>
            </w:r>
          </w:p>
        </w:tc>
        <w:tc>
          <w:tcPr>
            <w:tcW w:w="1591" w:type="dxa"/>
            <w:shd w:val="clear" w:color="auto" w:fill="auto"/>
            <w:vAlign w:val="bottom"/>
          </w:tcPr>
          <w:p w:rsidR="009A7A6D" w:rsidRPr="00AC36A1" w:rsidRDefault="009A7A6D" w:rsidP="009A7A6D">
            <w:pPr>
              <w:tabs>
                <w:tab w:val="left" w:pos="288"/>
                <w:tab w:val="left" w:pos="576"/>
                <w:tab w:val="left" w:pos="864"/>
                <w:tab w:val="left" w:pos="1152"/>
              </w:tabs>
              <w:spacing w:before="40" w:after="40" w:line="210" w:lineRule="exact"/>
              <w:ind w:right="43"/>
              <w:jc w:val="right"/>
              <w:rPr>
                <w:sz w:val="17"/>
              </w:rPr>
            </w:pPr>
            <w:r w:rsidRPr="00AC36A1">
              <w:rPr>
                <w:sz w:val="17"/>
              </w:rPr>
              <w:t>2.7</w:t>
            </w:r>
          </w:p>
        </w:tc>
        <w:tc>
          <w:tcPr>
            <w:tcW w:w="1591" w:type="dxa"/>
            <w:shd w:val="clear" w:color="auto" w:fill="auto"/>
            <w:vAlign w:val="bottom"/>
          </w:tcPr>
          <w:p w:rsidR="009A7A6D" w:rsidRPr="00AC36A1" w:rsidRDefault="009A7A6D" w:rsidP="009A7A6D">
            <w:pPr>
              <w:tabs>
                <w:tab w:val="left" w:pos="288"/>
                <w:tab w:val="left" w:pos="576"/>
                <w:tab w:val="left" w:pos="864"/>
                <w:tab w:val="left" w:pos="1152"/>
              </w:tabs>
              <w:spacing w:before="40" w:after="40" w:line="210" w:lineRule="exact"/>
              <w:ind w:right="43"/>
              <w:jc w:val="right"/>
              <w:rPr>
                <w:sz w:val="17"/>
              </w:rPr>
            </w:pPr>
            <w:r w:rsidRPr="00AC36A1">
              <w:rPr>
                <w:sz w:val="17"/>
              </w:rPr>
              <w:t>2.6</w:t>
            </w:r>
          </w:p>
        </w:tc>
      </w:tr>
      <w:tr w:rsidR="009A7A6D" w:rsidRPr="00AC36A1" w:rsidTr="005709F0">
        <w:tc>
          <w:tcPr>
            <w:tcW w:w="2547" w:type="dxa"/>
            <w:tcBorders>
              <w:bottom w:val="single" w:sz="12" w:space="0" w:color="auto"/>
            </w:tcBorders>
            <w:shd w:val="clear" w:color="auto" w:fill="auto"/>
            <w:vAlign w:val="bottom"/>
          </w:tcPr>
          <w:p w:rsidR="009A7A6D" w:rsidRPr="00AC36A1" w:rsidRDefault="009A7A6D" w:rsidP="009A7A6D">
            <w:pPr>
              <w:tabs>
                <w:tab w:val="left" w:pos="288"/>
                <w:tab w:val="left" w:pos="576"/>
                <w:tab w:val="left" w:pos="864"/>
                <w:tab w:val="left" w:pos="1152"/>
              </w:tabs>
              <w:spacing w:before="40" w:after="40" w:line="210" w:lineRule="exact"/>
              <w:ind w:right="40"/>
              <w:rPr>
                <w:sz w:val="17"/>
              </w:rPr>
            </w:pPr>
            <w:r w:rsidRPr="00AC36A1">
              <w:rPr>
                <w:sz w:val="17"/>
              </w:rPr>
              <w:t>%</w:t>
            </w:r>
          </w:p>
        </w:tc>
        <w:tc>
          <w:tcPr>
            <w:tcW w:w="1591" w:type="dxa"/>
            <w:tcBorders>
              <w:bottom w:val="single" w:sz="12" w:space="0" w:color="auto"/>
            </w:tcBorders>
            <w:shd w:val="clear" w:color="auto" w:fill="auto"/>
            <w:vAlign w:val="bottom"/>
          </w:tcPr>
          <w:p w:rsidR="009A7A6D" w:rsidRPr="00AC36A1" w:rsidRDefault="009A7A6D" w:rsidP="009A7A6D">
            <w:pPr>
              <w:tabs>
                <w:tab w:val="left" w:pos="288"/>
                <w:tab w:val="left" w:pos="576"/>
                <w:tab w:val="left" w:pos="864"/>
                <w:tab w:val="left" w:pos="1152"/>
              </w:tabs>
              <w:spacing w:before="40" w:after="40" w:line="210" w:lineRule="exact"/>
              <w:ind w:right="43"/>
              <w:jc w:val="right"/>
              <w:rPr>
                <w:sz w:val="17"/>
              </w:rPr>
            </w:pPr>
            <w:r w:rsidRPr="00AC36A1">
              <w:rPr>
                <w:sz w:val="17"/>
              </w:rPr>
              <w:t>100.0</w:t>
            </w:r>
          </w:p>
        </w:tc>
        <w:tc>
          <w:tcPr>
            <w:tcW w:w="1591" w:type="dxa"/>
            <w:tcBorders>
              <w:bottom w:val="single" w:sz="12" w:space="0" w:color="auto"/>
            </w:tcBorders>
            <w:shd w:val="clear" w:color="auto" w:fill="auto"/>
            <w:vAlign w:val="bottom"/>
          </w:tcPr>
          <w:p w:rsidR="009A7A6D" w:rsidRPr="00AC36A1" w:rsidRDefault="009A7A6D" w:rsidP="009A7A6D">
            <w:pPr>
              <w:tabs>
                <w:tab w:val="left" w:pos="288"/>
                <w:tab w:val="left" w:pos="576"/>
                <w:tab w:val="left" w:pos="864"/>
                <w:tab w:val="left" w:pos="1152"/>
              </w:tabs>
              <w:spacing w:before="40" w:after="40" w:line="210" w:lineRule="exact"/>
              <w:ind w:right="43"/>
              <w:jc w:val="right"/>
              <w:rPr>
                <w:sz w:val="17"/>
              </w:rPr>
            </w:pPr>
            <w:r w:rsidRPr="00AC36A1">
              <w:rPr>
                <w:sz w:val="17"/>
              </w:rPr>
              <w:t>100.0</w:t>
            </w:r>
          </w:p>
        </w:tc>
        <w:tc>
          <w:tcPr>
            <w:tcW w:w="1591" w:type="dxa"/>
            <w:tcBorders>
              <w:bottom w:val="single" w:sz="12" w:space="0" w:color="auto"/>
            </w:tcBorders>
            <w:shd w:val="clear" w:color="auto" w:fill="auto"/>
            <w:vAlign w:val="bottom"/>
          </w:tcPr>
          <w:p w:rsidR="009A7A6D" w:rsidRPr="00AC36A1" w:rsidRDefault="009A7A6D" w:rsidP="009A7A6D">
            <w:pPr>
              <w:tabs>
                <w:tab w:val="left" w:pos="288"/>
                <w:tab w:val="left" w:pos="576"/>
                <w:tab w:val="left" w:pos="864"/>
                <w:tab w:val="left" w:pos="1152"/>
              </w:tabs>
              <w:spacing w:before="40" w:after="40" w:line="210" w:lineRule="exact"/>
              <w:ind w:right="43"/>
              <w:jc w:val="right"/>
              <w:rPr>
                <w:sz w:val="17"/>
              </w:rPr>
            </w:pPr>
            <w:r w:rsidRPr="00AC36A1">
              <w:rPr>
                <w:sz w:val="17"/>
              </w:rPr>
              <w:t>100.0</w:t>
            </w:r>
          </w:p>
        </w:tc>
      </w:tr>
    </w:tbl>
    <w:p w:rsidR="005709F0" w:rsidRPr="00AC36A1" w:rsidRDefault="005709F0" w:rsidP="005709F0">
      <w:pPr>
        <w:pStyle w:val="SingleTxt"/>
        <w:spacing w:after="0" w:line="120" w:lineRule="exact"/>
        <w:rPr>
          <w:sz w:val="10"/>
        </w:rPr>
      </w:pPr>
    </w:p>
    <w:p w:rsidR="00CF1DFA" w:rsidRPr="00AC36A1" w:rsidRDefault="00CF1DFA" w:rsidP="005709F0">
      <w:pPr>
        <w:pStyle w:val="FootnoteText"/>
        <w:tabs>
          <w:tab w:val="clear" w:pos="418"/>
          <w:tab w:val="right" w:pos="1476"/>
          <w:tab w:val="left" w:pos="1548"/>
          <w:tab w:val="right" w:pos="1836"/>
          <w:tab w:val="left" w:pos="1908"/>
        </w:tabs>
        <w:ind w:left="1548" w:right="1267" w:hanging="288"/>
        <w:rPr>
          <w:i/>
        </w:rPr>
      </w:pPr>
      <w:r w:rsidRPr="00AC36A1">
        <w:rPr>
          <w:b/>
          <w:i/>
        </w:rPr>
        <w:t>Note</w:t>
      </w:r>
      <w:r w:rsidRPr="00AC36A1">
        <w:rPr>
          <w:i/>
        </w:rPr>
        <w:t>: Provisional data based on 5 per cent sample</w:t>
      </w:r>
      <w:r w:rsidR="005709F0" w:rsidRPr="00AC36A1">
        <w:rPr>
          <w:i/>
        </w:rPr>
        <w:t>.</w:t>
      </w:r>
    </w:p>
    <w:p w:rsidR="005709F0" w:rsidRPr="00AC36A1" w:rsidRDefault="005709F0" w:rsidP="005709F0">
      <w:pPr>
        <w:pStyle w:val="SingleTxt"/>
        <w:spacing w:after="0" w:line="120" w:lineRule="exact"/>
        <w:rPr>
          <w:sz w:val="10"/>
        </w:rPr>
      </w:pPr>
    </w:p>
    <w:p w:rsidR="005709F0" w:rsidRPr="00AC36A1" w:rsidRDefault="005709F0" w:rsidP="005709F0">
      <w:pPr>
        <w:pStyle w:val="SingleTxt"/>
        <w:spacing w:after="0" w:line="120" w:lineRule="exact"/>
        <w:rPr>
          <w:sz w:val="10"/>
        </w:rPr>
      </w:pPr>
    </w:p>
    <w:p w:rsidR="00CF1DFA" w:rsidRPr="00AC36A1" w:rsidRDefault="00CF1DFA" w:rsidP="00CF1DFA">
      <w:pPr>
        <w:pStyle w:val="SingleTxt"/>
      </w:pPr>
      <w:r w:rsidRPr="00AC36A1">
        <w:t>Census of Population and Housing 2012. Department of Census and Statistic</w:t>
      </w:r>
    </w:p>
    <w:p w:rsidR="005709F0" w:rsidRPr="00AC36A1" w:rsidRDefault="005709F0" w:rsidP="005709F0">
      <w:pPr>
        <w:pStyle w:val="SingleTxt"/>
        <w:spacing w:after="0" w:line="120" w:lineRule="exact"/>
        <w:rPr>
          <w:sz w:val="10"/>
        </w:rPr>
      </w:pPr>
    </w:p>
    <w:p w:rsidR="00CF1DFA" w:rsidRPr="00AC36A1" w:rsidRDefault="005709F0" w:rsidP="005709F0">
      <w:pPr>
        <w:pStyle w:val="H23"/>
        <w:ind w:right="1260"/>
      </w:pPr>
      <w:r w:rsidRPr="00AC36A1">
        <w:tab/>
      </w:r>
      <w:r w:rsidRPr="00AC36A1">
        <w:tab/>
      </w:r>
      <w:r w:rsidR="00CF1DFA" w:rsidRPr="00AC36A1">
        <w:t>Higher education</w:t>
      </w:r>
    </w:p>
    <w:p w:rsidR="005709F0" w:rsidRPr="00AC36A1" w:rsidRDefault="005709F0" w:rsidP="005709F0">
      <w:pPr>
        <w:pStyle w:val="SingleTxt"/>
        <w:spacing w:after="0" w:line="120" w:lineRule="exact"/>
        <w:rPr>
          <w:sz w:val="10"/>
        </w:rPr>
      </w:pPr>
    </w:p>
    <w:p w:rsidR="00CF1DFA" w:rsidRPr="00AC36A1" w:rsidRDefault="00CF1DFA" w:rsidP="00CF1DFA">
      <w:pPr>
        <w:pStyle w:val="SingleTxt"/>
      </w:pPr>
      <w:r w:rsidRPr="00AC36A1">
        <w:t>151.</w:t>
      </w:r>
      <w:r w:rsidRPr="00AC36A1">
        <w:tab/>
        <w:t>Sri Lanka has fifteen public universities and five institutes attached to them which provide education free of charge to undergraduate students. The total student population in 2013 was 97,119 of which 58,601 (60.3 per cent) were women. Unmet demand as a consequence of lack of adequate facilities is seen in the large number of external students preparing for degrees of a few universities -118,595 of whom 82,498 (69.6 per cent) are women. Of the number of post graduate students 40 per cent were women in 2012.</w:t>
      </w:r>
    </w:p>
    <w:p w:rsidR="00CF1DFA" w:rsidRPr="00AC36A1" w:rsidRDefault="00CF1DFA" w:rsidP="00CF1DFA">
      <w:pPr>
        <w:pStyle w:val="SingleTxt"/>
      </w:pPr>
      <w:r w:rsidRPr="00AC36A1">
        <w:t>152.</w:t>
      </w:r>
      <w:r w:rsidRPr="00AC36A1">
        <w:tab/>
        <w:t xml:space="preserve">As seen in Table 7, women students are the majority in most courses. The exceptions are in </w:t>
      </w:r>
      <w:r w:rsidRPr="00AC36A1">
        <w:rPr>
          <w:i/>
        </w:rPr>
        <w:t>Information Technology</w:t>
      </w:r>
      <w:r w:rsidRPr="00AC36A1">
        <w:t xml:space="preserve"> in which there has been a rapid increase in recent years and near equality has been achieved, and </w:t>
      </w:r>
      <w:r w:rsidRPr="00AC36A1">
        <w:rPr>
          <w:i/>
        </w:rPr>
        <w:t>engineering</w:t>
      </w:r>
      <w:r w:rsidRPr="00AC36A1">
        <w:t xml:space="preserve"> which has seen little change over the years. </w:t>
      </w:r>
    </w:p>
    <w:p w:rsidR="005709F0" w:rsidRPr="00AC36A1" w:rsidRDefault="005709F0">
      <w:pPr>
        <w:suppressAutoHyphens w:val="0"/>
        <w:spacing w:line="240" w:lineRule="auto"/>
      </w:pPr>
      <w:r w:rsidRPr="00AC36A1">
        <w:br w:type="page"/>
      </w:r>
    </w:p>
    <w:p w:rsidR="00CF1DFA" w:rsidRPr="00AC36A1" w:rsidRDefault="005709F0" w:rsidP="005709F0">
      <w:pPr>
        <w:pStyle w:val="H23"/>
        <w:ind w:right="1260"/>
        <w:rPr>
          <w:b w:val="0"/>
        </w:rPr>
      </w:pPr>
      <w:r w:rsidRPr="00AC36A1">
        <w:tab/>
      </w:r>
      <w:r w:rsidRPr="00AC36A1">
        <w:tab/>
      </w:r>
      <w:r w:rsidR="00CF1DFA" w:rsidRPr="00AC36A1">
        <w:rPr>
          <w:b w:val="0"/>
        </w:rPr>
        <w:t>Table 7</w:t>
      </w:r>
    </w:p>
    <w:p w:rsidR="00CF1DFA" w:rsidRPr="00AC36A1" w:rsidRDefault="005709F0" w:rsidP="005709F0">
      <w:pPr>
        <w:pStyle w:val="H23"/>
        <w:ind w:right="1260"/>
      </w:pPr>
      <w:r w:rsidRPr="00AC36A1">
        <w:tab/>
      </w:r>
      <w:r w:rsidRPr="00AC36A1">
        <w:tab/>
      </w:r>
      <w:r w:rsidR="00CF1DFA" w:rsidRPr="00AC36A1">
        <w:t>Total Enrolment by courses (2013)</w:t>
      </w:r>
    </w:p>
    <w:p w:rsidR="005709F0" w:rsidRPr="00AC36A1" w:rsidRDefault="005709F0" w:rsidP="005709F0">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5709F0" w:rsidRPr="00AC36A1" w:rsidTr="005709F0">
        <w:trPr>
          <w:tblHeader/>
        </w:trPr>
        <w:tc>
          <w:tcPr>
            <w:tcW w:w="2440" w:type="dxa"/>
            <w:tcBorders>
              <w:top w:val="single" w:sz="4" w:space="0" w:color="auto"/>
              <w:bottom w:val="single" w:sz="12" w:space="0" w:color="auto"/>
            </w:tcBorders>
            <w:shd w:val="clear" w:color="auto" w:fill="auto"/>
            <w:vAlign w:val="bottom"/>
          </w:tcPr>
          <w:p w:rsidR="005709F0" w:rsidRPr="00AC36A1" w:rsidRDefault="005709F0" w:rsidP="005709F0">
            <w:pPr>
              <w:spacing w:before="81" w:after="81" w:line="160" w:lineRule="exact"/>
              <w:ind w:right="40"/>
              <w:rPr>
                <w:i/>
                <w:sz w:val="14"/>
              </w:rPr>
            </w:pPr>
            <w:r w:rsidRPr="00AC36A1">
              <w:rPr>
                <w:i/>
                <w:sz w:val="14"/>
              </w:rPr>
              <w:t>Academic courses</w:t>
            </w:r>
          </w:p>
        </w:tc>
        <w:tc>
          <w:tcPr>
            <w:tcW w:w="2440" w:type="dxa"/>
            <w:tcBorders>
              <w:top w:val="single" w:sz="4" w:space="0" w:color="auto"/>
              <w:bottom w:val="single" w:sz="12" w:space="0" w:color="auto"/>
            </w:tcBorders>
            <w:shd w:val="clear" w:color="auto" w:fill="auto"/>
            <w:vAlign w:val="bottom"/>
          </w:tcPr>
          <w:p w:rsidR="005709F0" w:rsidRPr="00AC36A1" w:rsidRDefault="005709F0" w:rsidP="005709F0">
            <w:pPr>
              <w:spacing w:before="81" w:after="81" w:line="160" w:lineRule="exact"/>
              <w:ind w:right="43"/>
              <w:jc w:val="right"/>
              <w:rPr>
                <w:i/>
                <w:sz w:val="14"/>
              </w:rPr>
            </w:pPr>
            <w:r w:rsidRPr="00AC36A1">
              <w:rPr>
                <w:i/>
                <w:sz w:val="14"/>
              </w:rPr>
              <w:t>Total no. of students</w:t>
            </w:r>
          </w:p>
        </w:tc>
        <w:tc>
          <w:tcPr>
            <w:tcW w:w="2440" w:type="dxa"/>
            <w:tcBorders>
              <w:top w:val="single" w:sz="4" w:space="0" w:color="auto"/>
              <w:bottom w:val="single" w:sz="12" w:space="0" w:color="auto"/>
            </w:tcBorders>
            <w:shd w:val="clear" w:color="auto" w:fill="auto"/>
            <w:vAlign w:val="bottom"/>
          </w:tcPr>
          <w:p w:rsidR="005709F0" w:rsidRPr="00AC36A1" w:rsidRDefault="005709F0" w:rsidP="005709F0">
            <w:pPr>
              <w:spacing w:before="81" w:after="81" w:line="160" w:lineRule="exact"/>
              <w:ind w:right="43"/>
              <w:jc w:val="right"/>
              <w:rPr>
                <w:i/>
                <w:sz w:val="14"/>
              </w:rPr>
            </w:pPr>
            <w:r w:rsidRPr="00AC36A1">
              <w:rPr>
                <w:i/>
                <w:sz w:val="14"/>
              </w:rPr>
              <w:t>% of Women</w:t>
            </w:r>
          </w:p>
        </w:tc>
      </w:tr>
      <w:tr w:rsidR="005709F0" w:rsidRPr="00AC36A1" w:rsidTr="005709F0">
        <w:trPr>
          <w:trHeight w:hRule="exact" w:val="115"/>
          <w:tblHeader/>
        </w:trPr>
        <w:tc>
          <w:tcPr>
            <w:tcW w:w="2440" w:type="dxa"/>
            <w:tcBorders>
              <w:top w:val="single" w:sz="12" w:space="0" w:color="auto"/>
            </w:tcBorders>
            <w:shd w:val="clear" w:color="auto" w:fill="auto"/>
            <w:vAlign w:val="bottom"/>
          </w:tcPr>
          <w:p w:rsidR="005709F0" w:rsidRPr="00AC36A1" w:rsidRDefault="005709F0" w:rsidP="005709F0">
            <w:pPr>
              <w:spacing w:before="40" w:after="40" w:line="210" w:lineRule="exact"/>
              <w:ind w:right="40"/>
              <w:rPr>
                <w:sz w:val="17"/>
              </w:rPr>
            </w:pPr>
          </w:p>
        </w:tc>
        <w:tc>
          <w:tcPr>
            <w:tcW w:w="2440" w:type="dxa"/>
            <w:tcBorders>
              <w:top w:val="single" w:sz="12" w:space="0" w:color="auto"/>
            </w:tcBorders>
            <w:shd w:val="clear" w:color="auto" w:fill="auto"/>
            <w:vAlign w:val="bottom"/>
          </w:tcPr>
          <w:p w:rsidR="005709F0" w:rsidRPr="00AC36A1" w:rsidRDefault="005709F0" w:rsidP="005709F0">
            <w:pPr>
              <w:spacing w:before="40" w:after="40" w:line="210" w:lineRule="exact"/>
              <w:ind w:right="43"/>
              <w:jc w:val="right"/>
              <w:rPr>
                <w:sz w:val="17"/>
              </w:rPr>
            </w:pPr>
          </w:p>
        </w:tc>
        <w:tc>
          <w:tcPr>
            <w:tcW w:w="2440" w:type="dxa"/>
            <w:tcBorders>
              <w:top w:val="single" w:sz="12" w:space="0" w:color="auto"/>
            </w:tcBorders>
            <w:shd w:val="clear" w:color="auto" w:fill="auto"/>
            <w:vAlign w:val="bottom"/>
          </w:tcPr>
          <w:p w:rsidR="005709F0" w:rsidRPr="00AC36A1" w:rsidRDefault="005709F0" w:rsidP="005709F0">
            <w:pPr>
              <w:spacing w:before="40" w:after="40" w:line="210" w:lineRule="exact"/>
              <w:ind w:right="43"/>
              <w:jc w:val="right"/>
              <w:rPr>
                <w:sz w:val="17"/>
              </w:rPr>
            </w:pPr>
          </w:p>
        </w:tc>
      </w:tr>
      <w:tr w:rsidR="005709F0" w:rsidRPr="00AC36A1" w:rsidTr="005709F0">
        <w:tc>
          <w:tcPr>
            <w:tcW w:w="2440" w:type="dxa"/>
            <w:shd w:val="clear" w:color="auto" w:fill="auto"/>
            <w:vAlign w:val="bottom"/>
          </w:tcPr>
          <w:p w:rsidR="005709F0" w:rsidRPr="00AC36A1" w:rsidRDefault="005709F0" w:rsidP="005709F0">
            <w:pPr>
              <w:tabs>
                <w:tab w:val="left" w:pos="288"/>
                <w:tab w:val="left" w:pos="576"/>
                <w:tab w:val="left" w:pos="864"/>
                <w:tab w:val="left" w:pos="1152"/>
              </w:tabs>
              <w:spacing w:before="40" w:after="40" w:line="210" w:lineRule="exact"/>
              <w:ind w:right="40"/>
              <w:rPr>
                <w:sz w:val="17"/>
              </w:rPr>
            </w:pPr>
            <w:r w:rsidRPr="00AC36A1">
              <w:rPr>
                <w:sz w:val="17"/>
              </w:rPr>
              <w:t>Arts</w:t>
            </w:r>
          </w:p>
        </w:tc>
        <w:tc>
          <w:tcPr>
            <w:tcW w:w="2440" w:type="dxa"/>
            <w:shd w:val="clear" w:color="auto" w:fill="auto"/>
            <w:vAlign w:val="bottom"/>
          </w:tcPr>
          <w:p w:rsidR="005709F0" w:rsidRPr="00AC36A1" w:rsidRDefault="005709F0" w:rsidP="005709F0">
            <w:pPr>
              <w:tabs>
                <w:tab w:val="left" w:pos="288"/>
                <w:tab w:val="left" w:pos="576"/>
                <w:tab w:val="left" w:pos="864"/>
                <w:tab w:val="left" w:pos="1152"/>
              </w:tabs>
              <w:spacing w:before="40" w:after="40" w:line="210" w:lineRule="exact"/>
              <w:ind w:right="43"/>
              <w:jc w:val="right"/>
              <w:rPr>
                <w:sz w:val="17"/>
              </w:rPr>
            </w:pPr>
            <w:r w:rsidRPr="00AC36A1">
              <w:rPr>
                <w:sz w:val="17"/>
              </w:rPr>
              <w:t>26 617</w:t>
            </w:r>
          </w:p>
        </w:tc>
        <w:tc>
          <w:tcPr>
            <w:tcW w:w="2440" w:type="dxa"/>
            <w:shd w:val="clear" w:color="auto" w:fill="auto"/>
            <w:vAlign w:val="bottom"/>
          </w:tcPr>
          <w:p w:rsidR="005709F0" w:rsidRPr="00AC36A1" w:rsidRDefault="005709F0" w:rsidP="005709F0">
            <w:pPr>
              <w:tabs>
                <w:tab w:val="left" w:pos="288"/>
                <w:tab w:val="left" w:pos="576"/>
                <w:tab w:val="left" w:pos="864"/>
                <w:tab w:val="left" w:pos="1152"/>
              </w:tabs>
              <w:spacing w:before="40" w:after="40" w:line="210" w:lineRule="exact"/>
              <w:ind w:right="43"/>
              <w:jc w:val="right"/>
              <w:rPr>
                <w:sz w:val="17"/>
              </w:rPr>
            </w:pPr>
            <w:r w:rsidRPr="00AC36A1">
              <w:rPr>
                <w:sz w:val="17"/>
              </w:rPr>
              <w:t>76.7</w:t>
            </w:r>
          </w:p>
        </w:tc>
      </w:tr>
      <w:tr w:rsidR="005709F0" w:rsidRPr="00AC36A1" w:rsidTr="005709F0">
        <w:tc>
          <w:tcPr>
            <w:tcW w:w="2440" w:type="dxa"/>
            <w:shd w:val="clear" w:color="auto" w:fill="auto"/>
            <w:vAlign w:val="bottom"/>
          </w:tcPr>
          <w:p w:rsidR="005709F0" w:rsidRPr="00AC36A1" w:rsidRDefault="005709F0" w:rsidP="005709F0">
            <w:pPr>
              <w:tabs>
                <w:tab w:val="left" w:pos="288"/>
                <w:tab w:val="left" w:pos="576"/>
                <w:tab w:val="left" w:pos="864"/>
                <w:tab w:val="left" w:pos="1152"/>
              </w:tabs>
              <w:spacing w:before="40" w:after="40" w:line="210" w:lineRule="exact"/>
              <w:ind w:right="40"/>
              <w:rPr>
                <w:sz w:val="17"/>
              </w:rPr>
            </w:pPr>
            <w:r w:rsidRPr="00AC36A1">
              <w:rPr>
                <w:sz w:val="17"/>
              </w:rPr>
              <w:t>Education</w:t>
            </w:r>
          </w:p>
        </w:tc>
        <w:tc>
          <w:tcPr>
            <w:tcW w:w="2440" w:type="dxa"/>
            <w:shd w:val="clear" w:color="auto" w:fill="auto"/>
            <w:vAlign w:val="bottom"/>
          </w:tcPr>
          <w:p w:rsidR="005709F0" w:rsidRPr="00AC36A1" w:rsidRDefault="005709F0" w:rsidP="005709F0">
            <w:pPr>
              <w:tabs>
                <w:tab w:val="left" w:pos="288"/>
                <w:tab w:val="left" w:pos="576"/>
                <w:tab w:val="left" w:pos="864"/>
                <w:tab w:val="left" w:pos="1152"/>
              </w:tabs>
              <w:spacing w:before="40" w:after="40" w:line="210" w:lineRule="exact"/>
              <w:ind w:right="43"/>
              <w:jc w:val="right"/>
              <w:rPr>
                <w:sz w:val="17"/>
              </w:rPr>
            </w:pPr>
            <w:r w:rsidRPr="00AC36A1">
              <w:rPr>
                <w:sz w:val="17"/>
              </w:rPr>
              <w:t>467</w:t>
            </w:r>
          </w:p>
        </w:tc>
        <w:tc>
          <w:tcPr>
            <w:tcW w:w="2440" w:type="dxa"/>
            <w:shd w:val="clear" w:color="auto" w:fill="auto"/>
            <w:vAlign w:val="bottom"/>
          </w:tcPr>
          <w:p w:rsidR="005709F0" w:rsidRPr="00AC36A1" w:rsidRDefault="005709F0" w:rsidP="005709F0">
            <w:pPr>
              <w:tabs>
                <w:tab w:val="left" w:pos="288"/>
                <w:tab w:val="left" w:pos="576"/>
                <w:tab w:val="left" w:pos="864"/>
                <w:tab w:val="left" w:pos="1152"/>
              </w:tabs>
              <w:spacing w:before="40" w:after="40" w:line="210" w:lineRule="exact"/>
              <w:ind w:right="43"/>
              <w:jc w:val="right"/>
              <w:rPr>
                <w:sz w:val="17"/>
              </w:rPr>
            </w:pPr>
            <w:r w:rsidRPr="00AC36A1">
              <w:rPr>
                <w:sz w:val="17"/>
              </w:rPr>
              <w:t>85.2</w:t>
            </w:r>
          </w:p>
        </w:tc>
      </w:tr>
      <w:tr w:rsidR="005709F0" w:rsidRPr="00AC36A1" w:rsidTr="005709F0">
        <w:tc>
          <w:tcPr>
            <w:tcW w:w="2440" w:type="dxa"/>
            <w:shd w:val="clear" w:color="auto" w:fill="auto"/>
            <w:vAlign w:val="bottom"/>
          </w:tcPr>
          <w:p w:rsidR="005709F0" w:rsidRPr="00AC36A1" w:rsidRDefault="005709F0" w:rsidP="005709F0">
            <w:pPr>
              <w:tabs>
                <w:tab w:val="left" w:pos="288"/>
                <w:tab w:val="left" w:pos="576"/>
                <w:tab w:val="left" w:pos="864"/>
                <w:tab w:val="left" w:pos="1152"/>
              </w:tabs>
              <w:spacing w:before="40" w:after="40" w:line="210" w:lineRule="exact"/>
              <w:ind w:right="40"/>
              <w:rPr>
                <w:sz w:val="17"/>
              </w:rPr>
            </w:pPr>
            <w:r w:rsidRPr="00AC36A1">
              <w:rPr>
                <w:sz w:val="17"/>
              </w:rPr>
              <w:t>Law</w:t>
            </w:r>
          </w:p>
        </w:tc>
        <w:tc>
          <w:tcPr>
            <w:tcW w:w="2440" w:type="dxa"/>
            <w:shd w:val="clear" w:color="auto" w:fill="auto"/>
            <w:vAlign w:val="bottom"/>
          </w:tcPr>
          <w:p w:rsidR="005709F0" w:rsidRPr="00AC36A1" w:rsidRDefault="005709F0" w:rsidP="005709F0">
            <w:pPr>
              <w:tabs>
                <w:tab w:val="left" w:pos="288"/>
                <w:tab w:val="left" w:pos="576"/>
                <w:tab w:val="left" w:pos="864"/>
                <w:tab w:val="left" w:pos="1152"/>
              </w:tabs>
              <w:spacing w:before="40" w:after="40" w:line="210" w:lineRule="exact"/>
              <w:ind w:right="43"/>
              <w:jc w:val="right"/>
              <w:rPr>
                <w:sz w:val="17"/>
              </w:rPr>
            </w:pPr>
            <w:r w:rsidRPr="00AC36A1">
              <w:rPr>
                <w:sz w:val="17"/>
              </w:rPr>
              <w:t>5 426</w:t>
            </w:r>
          </w:p>
        </w:tc>
        <w:tc>
          <w:tcPr>
            <w:tcW w:w="2440" w:type="dxa"/>
            <w:shd w:val="clear" w:color="auto" w:fill="auto"/>
            <w:vAlign w:val="bottom"/>
          </w:tcPr>
          <w:p w:rsidR="005709F0" w:rsidRPr="00AC36A1" w:rsidRDefault="005709F0" w:rsidP="005709F0">
            <w:pPr>
              <w:tabs>
                <w:tab w:val="left" w:pos="288"/>
                <w:tab w:val="left" w:pos="576"/>
                <w:tab w:val="left" w:pos="864"/>
                <w:tab w:val="left" w:pos="1152"/>
              </w:tabs>
              <w:spacing w:before="40" w:after="40" w:line="210" w:lineRule="exact"/>
              <w:ind w:right="43"/>
              <w:jc w:val="right"/>
              <w:rPr>
                <w:sz w:val="17"/>
              </w:rPr>
            </w:pPr>
            <w:r w:rsidRPr="00AC36A1">
              <w:rPr>
                <w:sz w:val="17"/>
              </w:rPr>
              <w:t>50.9</w:t>
            </w:r>
          </w:p>
        </w:tc>
      </w:tr>
      <w:tr w:rsidR="005709F0" w:rsidRPr="00AC36A1" w:rsidTr="005709F0">
        <w:tc>
          <w:tcPr>
            <w:tcW w:w="2440" w:type="dxa"/>
            <w:shd w:val="clear" w:color="auto" w:fill="auto"/>
            <w:vAlign w:val="bottom"/>
          </w:tcPr>
          <w:p w:rsidR="005709F0" w:rsidRPr="00AC36A1" w:rsidRDefault="005709F0" w:rsidP="005709F0">
            <w:pPr>
              <w:tabs>
                <w:tab w:val="left" w:pos="288"/>
                <w:tab w:val="left" w:pos="576"/>
                <w:tab w:val="left" w:pos="864"/>
                <w:tab w:val="left" w:pos="1152"/>
              </w:tabs>
              <w:spacing w:before="40" w:after="40" w:line="210" w:lineRule="exact"/>
              <w:ind w:right="40"/>
              <w:rPr>
                <w:sz w:val="17"/>
              </w:rPr>
            </w:pPr>
            <w:r w:rsidRPr="00AC36A1">
              <w:rPr>
                <w:sz w:val="17"/>
              </w:rPr>
              <w:t>Management &amp; Commerce</w:t>
            </w:r>
          </w:p>
        </w:tc>
        <w:tc>
          <w:tcPr>
            <w:tcW w:w="2440" w:type="dxa"/>
            <w:shd w:val="clear" w:color="auto" w:fill="auto"/>
            <w:vAlign w:val="bottom"/>
          </w:tcPr>
          <w:p w:rsidR="005709F0" w:rsidRPr="00AC36A1" w:rsidRDefault="005709F0" w:rsidP="005709F0">
            <w:pPr>
              <w:tabs>
                <w:tab w:val="left" w:pos="288"/>
                <w:tab w:val="left" w:pos="576"/>
                <w:tab w:val="left" w:pos="864"/>
                <w:tab w:val="left" w:pos="1152"/>
              </w:tabs>
              <w:spacing w:before="40" w:after="40" w:line="210" w:lineRule="exact"/>
              <w:ind w:right="43"/>
              <w:jc w:val="right"/>
              <w:rPr>
                <w:sz w:val="17"/>
              </w:rPr>
            </w:pPr>
            <w:r w:rsidRPr="00AC36A1">
              <w:rPr>
                <w:sz w:val="17"/>
              </w:rPr>
              <w:t>19 887</w:t>
            </w:r>
          </w:p>
        </w:tc>
        <w:tc>
          <w:tcPr>
            <w:tcW w:w="2440" w:type="dxa"/>
            <w:shd w:val="clear" w:color="auto" w:fill="auto"/>
            <w:vAlign w:val="bottom"/>
          </w:tcPr>
          <w:p w:rsidR="005709F0" w:rsidRPr="00AC36A1" w:rsidRDefault="005709F0" w:rsidP="005709F0">
            <w:pPr>
              <w:tabs>
                <w:tab w:val="left" w:pos="288"/>
                <w:tab w:val="left" w:pos="576"/>
                <w:tab w:val="left" w:pos="864"/>
                <w:tab w:val="left" w:pos="1152"/>
              </w:tabs>
              <w:spacing w:before="40" w:after="40" w:line="210" w:lineRule="exact"/>
              <w:ind w:right="43"/>
              <w:jc w:val="right"/>
              <w:rPr>
                <w:sz w:val="17"/>
              </w:rPr>
            </w:pPr>
            <w:r w:rsidRPr="00AC36A1">
              <w:rPr>
                <w:sz w:val="17"/>
              </w:rPr>
              <w:t>55.1</w:t>
            </w:r>
          </w:p>
        </w:tc>
      </w:tr>
      <w:tr w:rsidR="005709F0" w:rsidRPr="00AC36A1" w:rsidTr="005709F0">
        <w:tc>
          <w:tcPr>
            <w:tcW w:w="2440" w:type="dxa"/>
            <w:shd w:val="clear" w:color="auto" w:fill="auto"/>
            <w:vAlign w:val="bottom"/>
          </w:tcPr>
          <w:p w:rsidR="005709F0" w:rsidRPr="00AC36A1" w:rsidRDefault="005709F0" w:rsidP="005709F0">
            <w:pPr>
              <w:tabs>
                <w:tab w:val="left" w:pos="288"/>
                <w:tab w:val="left" w:pos="576"/>
                <w:tab w:val="left" w:pos="864"/>
                <w:tab w:val="left" w:pos="1152"/>
              </w:tabs>
              <w:spacing w:before="40" w:after="40" w:line="210" w:lineRule="exact"/>
              <w:ind w:right="40"/>
              <w:rPr>
                <w:sz w:val="17"/>
              </w:rPr>
            </w:pPr>
            <w:r w:rsidRPr="00AC36A1">
              <w:rPr>
                <w:sz w:val="17"/>
              </w:rPr>
              <w:t>Science</w:t>
            </w:r>
          </w:p>
        </w:tc>
        <w:tc>
          <w:tcPr>
            <w:tcW w:w="2440" w:type="dxa"/>
            <w:shd w:val="clear" w:color="auto" w:fill="auto"/>
            <w:vAlign w:val="bottom"/>
          </w:tcPr>
          <w:p w:rsidR="005709F0" w:rsidRPr="00AC36A1" w:rsidRDefault="005709F0" w:rsidP="005709F0">
            <w:pPr>
              <w:tabs>
                <w:tab w:val="left" w:pos="288"/>
                <w:tab w:val="left" w:pos="576"/>
                <w:tab w:val="left" w:pos="864"/>
                <w:tab w:val="left" w:pos="1152"/>
              </w:tabs>
              <w:spacing w:before="40" w:after="40" w:line="210" w:lineRule="exact"/>
              <w:ind w:right="43"/>
              <w:jc w:val="right"/>
              <w:rPr>
                <w:sz w:val="17"/>
              </w:rPr>
            </w:pPr>
            <w:r w:rsidRPr="00AC36A1">
              <w:rPr>
                <w:sz w:val="17"/>
              </w:rPr>
              <w:t>15 507</w:t>
            </w:r>
          </w:p>
        </w:tc>
        <w:tc>
          <w:tcPr>
            <w:tcW w:w="2440" w:type="dxa"/>
            <w:shd w:val="clear" w:color="auto" w:fill="auto"/>
            <w:vAlign w:val="bottom"/>
          </w:tcPr>
          <w:p w:rsidR="005709F0" w:rsidRPr="00AC36A1" w:rsidRDefault="005709F0" w:rsidP="005709F0">
            <w:pPr>
              <w:tabs>
                <w:tab w:val="left" w:pos="288"/>
                <w:tab w:val="left" w:pos="576"/>
                <w:tab w:val="left" w:pos="864"/>
                <w:tab w:val="left" w:pos="1152"/>
              </w:tabs>
              <w:spacing w:before="40" w:after="40" w:line="210" w:lineRule="exact"/>
              <w:ind w:right="43"/>
              <w:jc w:val="right"/>
              <w:rPr>
                <w:sz w:val="17"/>
              </w:rPr>
            </w:pPr>
            <w:r w:rsidRPr="00AC36A1">
              <w:rPr>
                <w:sz w:val="17"/>
              </w:rPr>
              <w:t>58.5</w:t>
            </w:r>
          </w:p>
        </w:tc>
      </w:tr>
      <w:tr w:rsidR="005709F0" w:rsidRPr="00AC36A1" w:rsidTr="005709F0">
        <w:tc>
          <w:tcPr>
            <w:tcW w:w="2440" w:type="dxa"/>
            <w:shd w:val="clear" w:color="auto" w:fill="auto"/>
            <w:vAlign w:val="bottom"/>
          </w:tcPr>
          <w:p w:rsidR="005709F0" w:rsidRPr="00AC36A1" w:rsidRDefault="005709F0" w:rsidP="005709F0">
            <w:pPr>
              <w:tabs>
                <w:tab w:val="left" w:pos="288"/>
                <w:tab w:val="left" w:pos="576"/>
                <w:tab w:val="left" w:pos="864"/>
                <w:tab w:val="left" w:pos="1152"/>
              </w:tabs>
              <w:spacing w:before="40" w:after="40" w:line="210" w:lineRule="exact"/>
              <w:ind w:right="40"/>
              <w:rPr>
                <w:sz w:val="17"/>
              </w:rPr>
            </w:pPr>
            <w:r w:rsidRPr="00AC36A1">
              <w:rPr>
                <w:sz w:val="17"/>
              </w:rPr>
              <w:t>Agriculture</w:t>
            </w:r>
          </w:p>
        </w:tc>
        <w:tc>
          <w:tcPr>
            <w:tcW w:w="2440" w:type="dxa"/>
            <w:shd w:val="clear" w:color="auto" w:fill="auto"/>
            <w:vAlign w:val="bottom"/>
          </w:tcPr>
          <w:p w:rsidR="005709F0" w:rsidRPr="00AC36A1" w:rsidRDefault="005709F0" w:rsidP="005709F0">
            <w:pPr>
              <w:tabs>
                <w:tab w:val="left" w:pos="288"/>
                <w:tab w:val="left" w:pos="576"/>
                <w:tab w:val="left" w:pos="864"/>
                <w:tab w:val="left" w:pos="1152"/>
              </w:tabs>
              <w:spacing w:before="40" w:after="40" w:line="210" w:lineRule="exact"/>
              <w:ind w:right="43"/>
              <w:jc w:val="right"/>
              <w:rPr>
                <w:sz w:val="17"/>
              </w:rPr>
            </w:pPr>
            <w:r w:rsidRPr="00AC36A1">
              <w:rPr>
                <w:sz w:val="17"/>
              </w:rPr>
              <w:t>3 872</w:t>
            </w:r>
          </w:p>
        </w:tc>
        <w:tc>
          <w:tcPr>
            <w:tcW w:w="2440" w:type="dxa"/>
            <w:shd w:val="clear" w:color="auto" w:fill="auto"/>
            <w:vAlign w:val="bottom"/>
          </w:tcPr>
          <w:p w:rsidR="005709F0" w:rsidRPr="00AC36A1" w:rsidRDefault="005709F0" w:rsidP="005709F0">
            <w:pPr>
              <w:tabs>
                <w:tab w:val="left" w:pos="288"/>
                <w:tab w:val="left" w:pos="576"/>
                <w:tab w:val="left" w:pos="864"/>
                <w:tab w:val="left" w:pos="1152"/>
              </w:tabs>
              <w:spacing w:before="40" w:after="40" w:line="210" w:lineRule="exact"/>
              <w:ind w:right="43"/>
              <w:jc w:val="right"/>
              <w:rPr>
                <w:sz w:val="17"/>
              </w:rPr>
            </w:pPr>
            <w:r w:rsidRPr="00AC36A1">
              <w:rPr>
                <w:sz w:val="17"/>
              </w:rPr>
              <w:t>61.9</w:t>
            </w:r>
          </w:p>
        </w:tc>
      </w:tr>
      <w:tr w:rsidR="005709F0" w:rsidRPr="00AC36A1" w:rsidTr="005709F0">
        <w:tc>
          <w:tcPr>
            <w:tcW w:w="2440" w:type="dxa"/>
            <w:shd w:val="clear" w:color="auto" w:fill="auto"/>
            <w:vAlign w:val="bottom"/>
          </w:tcPr>
          <w:p w:rsidR="005709F0" w:rsidRPr="00AC36A1" w:rsidRDefault="005709F0" w:rsidP="005709F0">
            <w:pPr>
              <w:tabs>
                <w:tab w:val="left" w:pos="288"/>
                <w:tab w:val="left" w:pos="576"/>
                <w:tab w:val="left" w:pos="864"/>
                <w:tab w:val="left" w:pos="1152"/>
              </w:tabs>
              <w:spacing w:before="40" w:after="40" w:line="210" w:lineRule="exact"/>
              <w:ind w:right="40"/>
              <w:rPr>
                <w:sz w:val="17"/>
              </w:rPr>
            </w:pPr>
            <w:r w:rsidRPr="00AC36A1">
              <w:rPr>
                <w:sz w:val="17"/>
              </w:rPr>
              <w:t>Medicine</w:t>
            </w:r>
          </w:p>
        </w:tc>
        <w:tc>
          <w:tcPr>
            <w:tcW w:w="2440" w:type="dxa"/>
            <w:shd w:val="clear" w:color="auto" w:fill="auto"/>
            <w:vAlign w:val="bottom"/>
          </w:tcPr>
          <w:p w:rsidR="005709F0" w:rsidRPr="00AC36A1" w:rsidRDefault="005709F0" w:rsidP="005709F0">
            <w:pPr>
              <w:tabs>
                <w:tab w:val="left" w:pos="288"/>
                <w:tab w:val="left" w:pos="576"/>
                <w:tab w:val="left" w:pos="864"/>
                <w:tab w:val="left" w:pos="1152"/>
              </w:tabs>
              <w:spacing w:before="40" w:after="40" w:line="210" w:lineRule="exact"/>
              <w:ind w:right="43"/>
              <w:jc w:val="right"/>
              <w:rPr>
                <w:sz w:val="17"/>
              </w:rPr>
            </w:pPr>
            <w:r w:rsidRPr="00AC36A1">
              <w:rPr>
                <w:sz w:val="17"/>
              </w:rPr>
              <w:t>6 164</w:t>
            </w:r>
          </w:p>
        </w:tc>
        <w:tc>
          <w:tcPr>
            <w:tcW w:w="2440" w:type="dxa"/>
            <w:shd w:val="clear" w:color="auto" w:fill="auto"/>
            <w:vAlign w:val="bottom"/>
          </w:tcPr>
          <w:p w:rsidR="005709F0" w:rsidRPr="00AC36A1" w:rsidRDefault="005709F0" w:rsidP="005709F0">
            <w:pPr>
              <w:tabs>
                <w:tab w:val="left" w:pos="288"/>
                <w:tab w:val="left" w:pos="576"/>
                <w:tab w:val="left" w:pos="864"/>
                <w:tab w:val="left" w:pos="1152"/>
              </w:tabs>
              <w:spacing w:before="40" w:after="40" w:line="210" w:lineRule="exact"/>
              <w:ind w:right="43"/>
              <w:jc w:val="right"/>
              <w:rPr>
                <w:sz w:val="17"/>
              </w:rPr>
            </w:pPr>
            <w:r w:rsidRPr="00AC36A1">
              <w:rPr>
                <w:sz w:val="17"/>
              </w:rPr>
              <w:t>55.8</w:t>
            </w:r>
          </w:p>
        </w:tc>
      </w:tr>
      <w:tr w:rsidR="005709F0" w:rsidRPr="00AC36A1" w:rsidTr="005709F0">
        <w:tc>
          <w:tcPr>
            <w:tcW w:w="2440" w:type="dxa"/>
            <w:shd w:val="clear" w:color="auto" w:fill="auto"/>
            <w:vAlign w:val="bottom"/>
          </w:tcPr>
          <w:p w:rsidR="005709F0" w:rsidRPr="00AC36A1" w:rsidRDefault="005709F0" w:rsidP="005709F0">
            <w:pPr>
              <w:tabs>
                <w:tab w:val="left" w:pos="288"/>
                <w:tab w:val="left" w:pos="576"/>
                <w:tab w:val="left" w:pos="864"/>
                <w:tab w:val="left" w:pos="1152"/>
              </w:tabs>
              <w:spacing w:before="40" w:after="40" w:line="210" w:lineRule="exact"/>
              <w:ind w:right="40"/>
              <w:rPr>
                <w:sz w:val="17"/>
              </w:rPr>
            </w:pPr>
            <w:r w:rsidRPr="00AC36A1">
              <w:rPr>
                <w:sz w:val="17"/>
              </w:rPr>
              <w:t>Dental Surgery</w:t>
            </w:r>
          </w:p>
        </w:tc>
        <w:tc>
          <w:tcPr>
            <w:tcW w:w="2440" w:type="dxa"/>
            <w:shd w:val="clear" w:color="auto" w:fill="auto"/>
            <w:vAlign w:val="bottom"/>
          </w:tcPr>
          <w:p w:rsidR="005709F0" w:rsidRPr="00AC36A1" w:rsidRDefault="005709F0" w:rsidP="005709F0">
            <w:pPr>
              <w:tabs>
                <w:tab w:val="left" w:pos="288"/>
                <w:tab w:val="left" w:pos="576"/>
                <w:tab w:val="left" w:pos="864"/>
                <w:tab w:val="left" w:pos="1152"/>
              </w:tabs>
              <w:spacing w:before="40" w:after="40" w:line="210" w:lineRule="exact"/>
              <w:ind w:right="43"/>
              <w:jc w:val="right"/>
              <w:rPr>
                <w:sz w:val="17"/>
              </w:rPr>
            </w:pPr>
            <w:r w:rsidRPr="00AC36A1">
              <w:rPr>
                <w:sz w:val="17"/>
              </w:rPr>
              <w:t>416</w:t>
            </w:r>
          </w:p>
        </w:tc>
        <w:tc>
          <w:tcPr>
            <w:tcW w:w="2440" w:type="dxa"/>
            <w:shd w:val="clear" w:color="auto" w:fill="auto"/>
            <w:vAlign w:val="bottom"/>
          </w:tcPr>
          <w:p w:rsidR="005709F0" w:rsidRPr="00AC36A1" w:rsidRDefault="005709F0" w:rsidP="005709F0">
            <w:pPr>
              <w:tabs>
                <w:tab w:val="left" w:pos="288"/>
                <w:tab w:val="left" w:pos="576"/>
                <w:tab w:val="left" w:pos="864"/>
                <w:tab w:val="left" w:pos="1152"/>
              </w:tabs>
              <w:spacing w:before="40" w:after="40" w:line="210" w:lineRule="exact"/>
              <w:ind w:right="43"/>
              <w:jc w:val="right"/>
              <w:rPr>
                <w:sz w:val="17"/>
              </w:rPr>
            </w:pPr>
            <w:r w:rsidRPr="00AC36A1">
              <w:rPr>
                <w:sz w:val="17"/>
              </w:rPr>
              <w:t>63.5</w:t>
            </w:r>
          </w:p>
        </w:tc>
      </w:tr>
      <w:tr w:rsidR="005709F0" w:rsidRPr="00AC36A1" w:rsidTr="005709F0">
        <w:tc>
          <w:tcPr>
            <w:tcW w:w="2440" w:type="dxa"/>
            <w:shd w:val="clear" w:color="auto" w:fill="auto"/>
            <w:vAlign w:val="bottom"/>
          </w:tcPr>
          <w:p w:rsidR="005709F0" w:rsidRPr="00AC36A1" w:rsidRDefault="005709F0" w:rsidP="005709F0">
            <w:pPr>
              <w:tabs>
                <w:tab w:val="left" w:pos="288"/>
                <w:tab w:val="left" w:pos="576"/>
                <w:tab w:val="left" w:pos="864"/>
                <w:tab w:val="left" w:pos="1152"/>
              </w:tabs>
              <w:spacing w:before="40" w:after="40" w:line="210" w:lineRule="exact"/>
              <w:ind w:right="40"/>
              <w:rPr>
                <w:sz w:val="17"/>
              </w:rPr>
            </w:pPr>
            <w:r w:rsidRPr="00AC36A1">
              <w:rPr>
                <w:sz w:val="17"/>
              </w:rPr>
              <w:t>Veterinary medicine</w:t>
            </w:r>
          </w:p>
        </w:tc>
        <w:tc>
          <w:tcPr>
            <w:tcW w:w="2440" w:type="dxa"/>
            <w:shd w:val="clear" w:color="auto" w:fill="auto"/>
            <w:vAlign w:val="bottom"/>
          </w:tcPr>
          <w:p w:rsidR="005709F0" w:rsidRPr="00AC36A1" w:rsidRDefault="005709F0" w:rsidP="005709F0">
            <w:pPr>
              <w:tabs>
                <w:tab w:val="left" w:pos="288"/>
                <w:tab w:val="left" w:pos="576"/>
                <w:tab w:val="left" w:pos="864"/>
                <w:tab w:val="left" w:pos="1152"/>
              </w:tabs>
              <w:spacing w:before="40" w:after="40" w:line="210" w:lineRule="exact"/>
              <w:ind w:right="43"/>
              <w:jc w:val="right"/>
              <w:rPr>
                <w:sz w:val="17"/>
              </w:rPr>
            </w:pPr>
            <w:r w:rsidRPr="00AC36A1">
              <w:rPr>
                <w:sz w:val="17"/>
              </w:rPr>
              <w:t>295</w:t>
            </w:r>
          </w:p>
        </w:tc>
        <w:tc>
          <w:tcPr>
            <w:tcW w:w="2440" w:type="dxa"/>
            <w:shd w:val="clear" w:color="auto" w:fill="auto"/>
            <w:vAlign w:val="bottom"/>
          </w:tcPr>
          <w:p w:rsidR="005709F0" w:rsidRPr="00AC36A1" w:rsidRDefault="005709F0" w:rsidP="005709F0">
            <w:pPr>
              <w:tabs>
                <w:tab w:val="left" w:pos="288"/>
                <w:tab w:val="left" w:pos="576"/>
                <w:tab w:val="left" w:pos="864"/>
                <w:tab w:val="left" w:pos="1152"/>
              </w:tabs>
              <w:spacing w:before="40" w:after="40" w:line="210" w:lineRule="exact"/>
              <w:ind w:right="43"/>
              <w:jc w:val="right"/>
              <w:rPr>
                <w:sz w:val="17"/>
              </w:rPr>
            </w:pPr>
            <w:r w:rsidRPr="00AC36A1">
              <w:rPr>
                <w:sz w:val="17"/>
              </w:rPr>
              <w:t>64.4</w:t>
            </w:r>
          </w:p>
        </w:tc>
      </w:tr>
      <w:tr w:rsidR="005709F0" w:rsidRPr="00AC36A1" w:rsidTr="005709F0">
        <w:tc>
          <w:tcPr>
            <w:tcW w:w="2440" w:type="dxa"/>
            <w:shd w:val="clear" w:color="auto" w:fill="auto"/>
            <w:vAlign w:val="bottom"/>
          </w:tcPr>
          <w:p w:rsidR="005709F0" w:rsidRPr="00AC36A1" w:rsidRDefault="005709F0" w:rsidP="005709F0">
            <w:pPr>
              <w:tabs>
                <w:tab w:val="left" w:pos="288"/>
                <w:tab w:val="left" w:pos="576"/>
                <w:tab w:val="left" w:pos="864"/>
                <w:tab w:val="left" w:pos="1152"/>
              </w:tabs>
              <w:spacing w:before="40" w:after="40" w:line="210" w:lineRule="exact"/>
              <w:ind w:right="40"/>
              <w:rPr>
                <w:sz w:val="17"/>
              </w:rPr>
            </w:pPr>
            <w:r w:rsidRPr="00AC36A1">
              <w:rPr>
                <w:sz w:val="17"/>
              </w:rPr>
              <w:t>Information Technology</w:t>
            </w:r>
          </w:p>
        </w:tc>
        <w:tc>
          <w:tcPr>
            <w:tcW w:w="2440" w:type="dxa"/>
            <w:shd w:val="clear" w:color="auto" w:fill="auto"/>
            <w:vAlign w:val="bottom"/>
          </w:tcPr>
          <w:p w:rsidR="005709F0" w:rsidRPr="00AC36A1" w:rsidRDefault="005709F0" w:rsidP="005709F0">
            <w:pPr>
              <w:tabs>
                <w:tab w:val="left" w:pos="288"/>
                <w:tab w:val="left" w:pos="576"/>
                <w:tab w:val="left" w:pos="864"/>
                <w:tab w:val="left" w:pos="1152"/>
              </w:tabs>
              <w:spacing w:before="40" w:after="40" w:line="210" w:lineRule="exact"/>
              <w:ind w:right="43"/>
              <w:jc w:val="right"/>
              <w:rPr>
                <w:sz w:val="17"/>
              </w:rPr>
            </w:pPr>
            <w:r w:rsidRPr="00AC36A1">
              <w:rPr>
                <w:sz w:val="17"/>
              </w:rPr>
              <w:t>3 344</w:t>
            </w:r>
          </w:p>
        </w:tc>
        <w:tc>
          <w:tcPr>
            <w:tcW w:w="2440" w:type="dxa"/>
            <w:shd w:val="clear" w:color="auto" w:fill="auto"/>
            <w:vAlign w:val="bottom"/>
          </w:tcPr>
          <w:p w:rsidR="005709F0" w:rsidRPr="00AC36A1" w:rsidRDefault="005709F0" w:rsidP="005709F0">
            <w:pPr>
              <w:tabs>
                <w:tab w:val="left" w:pos="288"/>
                <w:tab w:val="left" w:pos="576"/>
                <w:tab w:val="left" w:pos="864"/>
                <w:tab w:val="left" w:pos="1152"/>
              </w:tabs>
              <w:spacing w:before="40" w:after="40" w:line="210" w:lineRule="exact"/>
              <w:ind w:right="43"/>
              <w:jc w:val="right"/>
              <w:rPr>
                <w:sz w:val="17"/>
              </w:rPr>
            </w:pPr>
            <w:r w:rsidRPr="00AC36A1">
              <w:rPr>
                <w:sz w:val="17"/>
              </w:rPr>
              <w:t>47.9</w:t>
            </w:r>
          </w:p>
        </w:tc>
      </w:tr>
      <w:tr w:rsidR="005709F0" w:rsidRPr="00AC36A1" w:rsidTr="005709F0">
        <w:tc>
          <w:tcPr>
            <w:tcW w:w="2440" w:type="dxa"/>
            <w:shd w:val="clear" w:color="auto" w:fill="auto"/>
            <w:vAlign w:val="bottom"/>
          </w:tcPr>
          <w:p w:rsidR="005709F0" w:rsidRPr="00AC36A1" w:rsidRDefault="005709F0" w:rsidP="005709F0">
            <w:pPr>
              <w:tabs>
                <w:tab w:val="left" w:pos="288"/>
                <w:tab w:val="left" w:pos="576"/>
                <w:tab w:val="left" w:pos="864"/>
                <w:tab w:val="left" w:pos="1152"/>
              </w:tabs>
              <w:spacing w:before="40" w:after="40" w:line="210" w:lineRule="exact"/>
              <w:ind w:right="40"/>
              <w:rPr>
                <w:sz w:val="17"/>
              </w:rPr>
            </w:pPr>
            <w:r w:rsidRPr="00AC36A1">
              <w:rPr>
                <w:sz w:val="17"/>
              </w:rPr>
              <w:t>Engineering</w:t>
            </w:r>
          </w:p>
        </w:tc>
        <w:tc>
          <w:tcPr>
            <w:tcW w:w="2440" w:type="dxa"/>
            <w:shd w:val="clear" w:color="auto" w:fill="auto"/>
            <w:vAlign w:val="bottom"/>
          </w:tcPr>
          <w:p w:rsidR="005709F0" w:rsidRPr="00AC36A1" w:rsidRDefault="005709F0" w:rsidP="005709F0">
            <w:pPr>
              <w:tabs>
                <w:tab w:val="left" w:pos="288"/>
                <w:tab w:val="left" w:pos="576"/>
                <w:tab w:val="left" w:pos="864"/>
                <w:tab w:val="left" w:pos="1152"/>
              </w:tabs>
              <w:spacing w:before="40" w:after="40" w:line="210" w:lineRule="exact"/>
              <w:ind w:right="43"/>
              <w:jc w:val="right"/>
              <w:rPr>
                <w:sz w:val="17"/>
              </w:rPr>
            </w:pPr>
            <w:r w:rsidRPr="00AC36A1">
              <w:rPr>
                <w:sz w:val="17"/>
              </w:rPr>
              <w:t>8 188</w:t>
            </w:r>
          </w:p>
        </w:tc>
        <w:tc>
          <w:tcPr>
            <w:tcW w:w="2440" w:type="dxa"/>
            <w:shd w:val="clear" w:color="auto" w:fill="auto"/>
            <w:vAlign w:val="bottom"/>
          </w:tcPr>
          <w:p w:rsidR="005709F0" w:rsidRPr="00AC36A1" w:rsidRDefault="005709F0" w:rsidP="005709F0">
            <w:pPr>
              <w:tabs>
                <w:tab w:val="left" w:pos="288"/>
                <w:tab w:val="left" w:pos="576"/>
                <w:tab w:val="left" w:pos="864"/>
                <w:tab w:val="left" w:pos="1152"/>
              </w:tabs>
              <w:spacing w:before="40" w:after="40" w:line="210" w:lineRule="exact"/>
              <w:ind w:right="43"/>
              <w:jc w:val="right"/>
              <w:rPr>
                <w:sz w:val="17"/>
              </w:rPr>
            </w:pPr>
            <w:r w:rsidRPr="00AC36A1">
              <w:rPr>
                <w:sz w:val="17"/>
              </w:rPr>
              <w:t>24.0</w:t>
            </w:r>
          </w:p>
        </w:tc>
      </w:tr>
      <w:tr w:rsidR="005709F0" w:rsidRPr="00AC36A1" w:rsidTr="005709F0">
        <w:tc>
          <w:tcPr>
            <w:tcW w:w="2440" w:type="dxa"/>
            <w:shd w:val="clear" w:color="auto" w:fill="auto"/>
            <w:vAlign w:val="bottom"/>
          </w:tcPr>
          <w:p w:rsidR="005709F0" w:rsidRPr="00AC36A1" w:rsidRDefault="005709F0" w:rsidP="005709F0">
            <w:pPr>
              <w:tabs>
                <w:tab w:val="left" w:pos="288"/>
                <w:tab w:val="left" w:pos="576"/>
                <w:tab w:val="left" w:pos="864"/>
                <w:tab w:val="left" w:pos="1152"/>
              </w:tabs>
              <w:spacing w:before="40" w:after="40" w:line="210" w:lineRule="exact"/>
              <w:ind w:right="40"/>
              <w:rPr>
                <w:sz w:val="17"/>
              </w:rPr>
            </w:pPr>
            <w:r w:rsidRPr="00AC36A1">
              <w:rPr>
                <w:sz w:val="17"/>
              </w:rPr>
              <w:t>Architecture</w:t>
            </w:r>
          </w:p>
        </w:tc>
        <w:tc>
          <w:tcPr>
            <w:tcW w:w="2440" w:type="dxa"/>
            <w:shd w:val="clear" w:color="auto" w:fill="auto"/>
            <w:vAlign w:val="bottom"/>
          </w:tcPr>
          <w:p w:rsidR="005709F0" w:rsidRPr="00AC36A1" w:rsidRDefault="005709F0" w:rsidP="005709F0">
            <w:pPr>
              <w:tabs>
                <w:tab w:val="left" w:pos="288"/>
                <w:tab w:val="left" w:pos="576"/>
                <w:tab w:val="left" w:pos="864"/>
                <w:tab w:val="left" w:pos="1152"/>
              </w:tabs>
              <w:spacing w:before="40" w:after="40" w:line="210" w:lineRule="exact"/>
              <w:ind w:right="43"/>
              <w:jc w:val="right"/>
              <w:rPr>
                <w:sz w:val="17"/>
              </w:rPr>
            </w:pPr>
            <w:r w:rsidRPr="00AC36A1">
              <w:rPr>
                <w:sz w:val="17"/>
              </w:rPr>
              <w:t>1 376</w:t>
            </w:r>
          </w:p>
        </w:tc>
        <w:tc>
          <w:tcPr>
            <w:tcW w:w="2440" w:type="dxa"/>
            <w:shd w:val="clear" w:color="auto" w:fill="auto"/>
            <w:vAlign w:val="bottom"/>
          </w:tcPr>
          <w:p w:rsidR="005709F0" w:rsidRPr="00AC36A1" w:rsidRDefault="005709F0" w:rsidP="005709F0">
            <w:pPr>
              <w:tabs>
                <w:tab w:val="left" w:pos="288"/>
                <w:tab w:val="left" w:pos="576"/>
                <w:tab w:val="left" w:pos="864"/>
                <w:tab w:val="left" w:pos="1152"/>
              </w:tabs>
              <w:spacing w:before="40" w:after="40" w:line="210" w:lineRule="exact"/>
              <w:ind w:right="43"/>
              <w:jc w:val="right"/>
              <w:rPr>
                <w:sz w:val="17"/>
              </w:rPr>
            </w:pPr>
            <w:r w:rsidRPr="00AC36A1">
              <w:rPr>
                <w:sz w:val="17"/>
              </w:rPr>
              <w:t>51.7</w:t>
            </w:r>
          </w:p>
        </w:tc>
      </w:tr>
      <w:tr w:rsidR="005709F0" w:rsidRPr="00AC36A1" w:rsidTr="005709F0">
        <w:tc>
          <w:tcPr>
            <w:tcW w:w="2440" w:type="dxa"/>
            <w:shd w:val="clear" w:color="auto" w:fill="auto"/>
            <w:vAlign w:val="bottom"/>
          </w:tcPr>
          <w:p w:rsidR="005709F0" w:rsidRPr="00AC36A1" w:rsidRDefault="005709F0" w:rsidP="005709F0">
            <w:pPr>
              <w:tabs>
                <w:tab w:val="left" w:pos="288"/>
                <w:tab w:val="left" w:pos="576"/>
                <w:tab w:val="left" w:pos="864"/>
                <w:tab w:val="left" w:pos="1152"/>
              </w:tabs>
              <w:spacing w:before="40" w:after="40" w:line="210" w:lineRule="exact"/>
              <w:ind w:right="40"/>
              <w:rPr>
                <w:sz w:val="17"/>
              </w:rPr>
            </w:pPr>
            <w:r w:rsidRPr="00AC36A1">
              <w:rPr>
                <w:sz w:val="17"/>
              </w:rPr>
              <w:t>Indigenous Medicine</w:t>
            </w:r>
          </w:p>
        </w:tc>
        <w:tc>
          <w:tcPr>
            <w:tcW w:w="2440" w:type="dxa"/>
            <w:shd w:val="clear" w:color="auto" w:fill="auto"/>
            <w:vAlign w:val="bottom"/>
          </w:tcPr>
          <w:p w:rsidR="005709F0" w:rsidRPr="00AC36A1" w:rsidRDefault="005709F0" w:rsidP="005709F0">
            <w:pPr>
              <w:tabs>
                <w:tab w:val="left" w:pos="288"/>
                <w:tab w:val="left" w:pos="576"/>
                <w:tab w:val="left" w:pos="864"/>
                <w:tab w:val="left" w:pos="1152"/>
              </w:tabs>
              <w:spacing w:before="40" w:after="40" w:line="210" w:lineRule="exact"/>
              <w:ind w:right="43"/>
              <w:jc w:val="right"/>
              <w:rPr>
                <w:sz w:val="17"/>
              </w:rPr>
            </w:pPr>
            <w:r w:rsidRPr="00AC36A1">
              <w:rPr>
                <w:sz w:val="17"/>
              </w:rPr>
              <w:t>1 403</w:t>
            </w:r>
          </w:p>
        </w:tc>
        <w:tc>
          <w:tcPr>
            <w:tcW w:w="2440" w:type="dxa"/>
            <w:shd w:val="clear" w:color="auto" w:fill="auto"/>
            <w:vAlign w:val="bottom"/>
          </w:tcPr>
          <w:p w:rsidR="005709F0" w:rsidRPr="00AC36A1" w:rsidRDefault="005709F0" w:rsidP="005709F0">
            <w:pPr>
              <w:tabs>
                <w:tab w:val="left" w:pos="288"/>
                <w:tab w:val="left" w:pos="576"/>
                <w:tab w:val="left" w:pos="864"/>
                <w:tab w:val="left" w:pos="1152"/>
              </w:tabs>
              <w:spacing w:before="40" w:after="40" w:line="210" w:lineRule="exact"/>
              <w:ind w:right="43"/>
              <w:jc w:val="right"/>
              <w:rPr>
                <w:sz w:val="17"/>
              </w:rPr>
            </w:pPr>
            <w:r w:rsidRPr="00AC36A1">
              <w:rPr>
                <w:sz w:val="17"/>
              </w:rPr>
              <w:t>76.6</w:t>
            </w:r>
          </w:p>
        </w:tc>
      </w:tr>
      <w:tr w:rsidR="005709F0" w:rsidRPr="00AC36A1" w:rsidTr="005709F0">
        <w:tc>
          <w:tcPr>
            <w:tcW w:w="2440" w:type="dxa"/>
            <w:tcBorders>
              <w:bottom w:val="single" w:sz="4" w:space="0" w:color="auto"/>
            </w:tcBorders>
            <w:shd w:val="clear" w:color="auto" w:fill="auto"/>
            <w:vAlign w:val="bottom"/>
          </w:tcPr>
          <w:p w:rsidR="005709F0" w:rsidRPr="00AC36A1" w:rsidRDefault="005709F0" w:rsidP="005709F0">
            <w:pPr>
              <w:tabs>
                <w:tab w:val="left" w:pos="288"/>
                <w:tab w:val="left" w:pos="576"/>
                <w:tab w:val="left" w:pos="864"/>
                <w:tab w:val="left" w:pos="1152"/>
              </w:tabs>
              <w:spacing w:before="40" w:after="81" w:line="210" w:lineRule="exact"/>
              <w:ind w:right="40"/>
              <w:rPr>
                <w:sz w:val="17"/>
              </w:rPr>
            </w:pPr>
            <w:r w:rsidRPr="00AC36A1">
              <w:rPr>
                <w:sz w:val="17"/>
              </w:rPr>
              <w:t>Para Medical</w:t>
            </w:r>
          </w:p>
        </w:tc>
        <w:tc>
          <w:tcPr>
            <w:tcW w:w="2440" w:type="dxa"/>
            <w:tcBorders>
              <w:bottom w:val="single" w:sz="4" w:space="0" w:color="auto"/>
            </w:tcBorders>
            <w:shd w:val="clear" w:color="auto" w:fill="auto"/>
            <w:vAlign w:val="bottom"/>
          </w:tcPr>
          <w:p w:rsidR="005709F0" w:rsidRPr="00AC36A1" w:rsidRDefault="005709F0" w:rsidP="005709F0">
            <w:pPr>
              <w:tabs>
                <w:tab w:val="left" w:pos="288"/>
                <w:tab w:val="left" w:pos="576"/>
                <w:tab w:val="left" w:pos="864"/>
                <w:tab w:val="left" w:pos="1152"/>
              </w:tabs>
              <w:spacing w:before="40" w:after="81" w:line="210" w:lineRule="exact"/>
              <w:ind w:right="43"/>
              <w:jc w:val="right"/>
              <w:rPr>
                <w:sz w:val="17"/>
              </w:rPr>
            </w:pPr>
            <w:r w:rsidRPr="00AC36A1">
              <w:rPr>
                <w:sz w:val="17"/>
              </w:rPr>
              <w:t>4 162</w:t>
            </w:r>
          </w:p>
        </w:tc>
        <w:tc>
          <w:tcPr>
            <w:tcW w:w="2440" w:type="dxa"/>
            <w:tcBorders>
              <w:bottom w:val="single" w:sz="4" w:space="0" w:color="auto"/>
            </w:tcBorders>
            <w:shd w:val="clear" w:color="auto" w:fill="auto"/>
            <w:vAlign w:val="bottom"/>
          </w:tcPr>
          <w:p w:rsidR="005709F0" w:rsidRPr="00AC36A1" w:rsidRDefault="005709F0" w:rsidP="005709F0">
            <w:pPr>
              <w:tabs>
                <w:tab w:val="left" w:pos="288"/>
                <w:tab w:val="left" w:pos="576"/>
                <w:tab w:val="left" w:pos="864"/>
                <w:tab w:val="left" w:pos="1152"/>
              </w:tabs>
              <w:spacing w:before="40" w:after="81" w:line="210" w:lineRule="exact"/>
              <w:ind w:right="43"/>
              <w:jc w:val="right"/>
              <w:rPr>
                <w:sz w:val="17"/>
              </w:rPr>
            </w:pPr>
            <w:r w:rsidRPr="00AC36A1">
              <w:rPr>
                <w:sz w:val="17"/>
              </w:rPr>
              <w:t>78.1</w:t>
            </w:r>
          </w:p>
        </w:tc>
      </w:tr>
      <w:tr w:rsidR="005709F0" w:rsidRPr="00AC36A1" w:rsidTr="005709F0">
        <w:tc>
          <w:tcPr>
            <w:tcW w:w="2440" w:type="dxa"/>
            <w:tcBorders>
              <w:top w:val="single" w:sz="4" w:space="0" w:color="auto"/>
              <w:bottom w:val="single" w:sz="12" w:space="0" w:color="auto"/>
            </w:tcBorders>
            <w:shd w:val="clear" w:color="auto" w:fill="auto"/>
            <w:vAlign w:val="bottom"/>
          </w:tcPr>
          <w:p w:rsidR="005709F0" w:rsidRPr="00AC36A1" w:rsidRDefault="005709F0" w:rsidP="005709F0">
            <w:pPr>
              <w:tabs>
                <w:tab w:val="left" w:pos="288"/>
                <w:tab w:val="left" w:pos="576"/>
                <w:tab w:val="left" w:pos="864"/>
                <w:tab w:val="left" w:pos="1152"/>
              </w:tabs>
              <w:spacing w:before="81" w:after="81" w:line="210" w:lineRule="exact"/>
              <w:ind w:right="40"/>
              <w:rPr>
                <w:b/>
                <w:sz w:val="17"/>
              </w:rPr>
            </w:pPr>
            <w:r w:rsidRPr="00AC36A1">
              <w:rPr>
                <w:b/>
                <w:sz w:val="17"/>
              </w:rPr>
              <w:tab/>
              <w:t>Total</w:t>
            </w:r>
          </w:p>
        </w:tc>
        <w:tc>
          <w:tcPr>
            <w:tcW w:w="2440" w:type="dxa"/>
            <w:tcBorders>
              <w:top w:val="single" w:sz="4" w:space="0" w:color="auto"/>
              <w:bottom w:val="single" w:sz="12" w:space="0" w:color="auto"/>
            </w:tcBorders>
            <w:shd w:val="clear" w:color="auto" w:fill="auto"/>
            <w:vAlign w:val="bottom"/>
          </w:tcPr>
          <w:p w:rsidR="005709F0" w:rsidRPr="00AC36A1" w:rsidRDefault="005709F0" w:rsidP="005709F0">
            <w:pPr>
              <w:tabs>
                <w:tab w:val="left" w:pos="288"/>
                <w:tab w:val="left" w:pos="576"/>
                <w:tab w:val="left" w:pos="864"/>
                <w:tab w:val="left" w:pos="1152"/>
              </w:tabs>
              <w:spacing w:before="81" w:after="81" w:line="210" w:lineRule="exact"/>
              <w:ind w:right="43"/>
              <w:jc w:val="right"/>
              <w:rPr>
                <w:b/>
                <w:sz w:val="17"/>
              </w:rPr>
            </w:pPr>
            <w:r w:rsidRPr="00AC36A1">
              <w:rPr>
                <w:b/>
                <w:sz w:val="17"/>
              </w:rPr>
              <w:t>97</w:t>
            </w:r>
            <w:r w:rsidR="0076467B" w:rsidRPr="00AC36A1">
              <w:rPr>
                <w:b/>
                <w:sz w:val="17"/>
              </w:rPr>
              <w:t xml:space="preserve"> </w:t>
            </w:r>
            <w:r w:rsidRPr="00AC36A1">
              <w:rPr>
                <w:b/>
                <w:sz w:val="17"/>
              </w:rPr>
              <w:t>119</w:t>
            </w:r>
          </w:p>
        </w:tc>
        <w:tc>
          <w:tcPr>
            <w:tcW w:w="2440" w:type="dxa"/>
            <w:tcBorders>
              <w:top w:val="single" w:sz="4" w:space="0" w:color="auto"/>
              <w:bottom w:val="single" w:sz="12" w:space="0" w:color="auto"/>
            </w:tcBorders>
            <w:shd w:val="clear" w:color="auto" w:fill="auto"/>
            <w:vAlign w:val="bottom"/>
          </w:tcPr>
          <w:p w:rsidR="005709F0" w:rsidRPr="00AC36A1" w:rsidRDefault="005709F0" w:rsidP="005709F0">
            <w:pPr>
              <w:tabs>
                <w:tab w:val="left" w:pos="288"/>
                <w:tab w:val="left" w:pos="576"/>
                <w:tab w:val="left" w:pos="864"/>
                <w:tab w:val="left" w:pos="1152"/>
              </w:tabs>
              <w:spacing w:before="81" w:after="81" w:line="210" w:lineRule="exact"/>
              <w:ind w:right="43"/>
              <w:jc w:val="right"/>
              <w:rPr>
                <w:b/>
                <w:sz w:val="17"/>
              </w:rPr>
            </w:pPr>
            <w:r w:rsidRPr="00AC36A1">
              <w:rPr>
                <w:b/>
                <w:sz w:val="17"/>
              </w:rPr>
              <w:t>60.3</w:t>
            </w:r>
          </w:p>
        </w:tc>
      </w:tr>
    </w:tbl>
    <w:p w:rsidR="005709F0" w:rsidRPr="00AC36A1" w:rsidRDefault="005709F0" w:rsidP="005709F0">
      <w:pPr>
        <w:pStyle w:val="SingleTxt"/>
        <w:spacing w:after="0" w:line="120" w:lineRule="exact"/>
        <w:rPr>
          <w:sz w:val="10"/>
        </w:rPr>
      </w:pPr>
    </w:p>
    <w:p w:rsidR="00CF1DFA" w:rsidRPr="00AC36A1" w:rsidRDefault="00CF1DFA" w:rsidP="005709F0">
      <w:pPr>
        <w:pStyle w:val="FootnoteText"/>
        <w:tabs>
          <w:tab w:val="clear" w:pos="418"/>
          <w:tab w:val="right" w:pos="1476"/>
          <w:tab w:val="left" w:pos="1548"/>
          <w:tab w:val="right" w:pos="1836"/>
          <w:tab w:val="left" w:pos="1908"/>
        </w:tabs>
        <w:ind w:left="1548" w:right="1267" w:hanging="288"/>
        <w:rPr>
          <w:i/>
        </w:rPr>
      </w:pPr>
      <w:r w:rsidRPr="00AC36A1">
        <w:rPr>
          <w:b/>
          <w:i/>
        </w:rPr>
        <w:t>Source</w:t>
      </w:r>
      <w:r w:rsidRPr="00AC36A1">
        <w:rPr>
          <w:i/>
        </w:rPr>
        <w:t>: University Grants Commission Handbook, 2013</w:t>
      </w:r>
      <w:r w:rsidR="005709F0" w:rsidRPr="00AC36A1">
        <w:rPr>
          <w:i/>
        </w:rPr>
        <w:t>.</w:t>
      </w:r>
    </w:p>
    <w:p w:rsidR="005709F0" w:rsidRPr="00AC36A1" w:rsidRDefault="005709F0" w:rsidP="005709F0">
      <w:pPr>
        <w:pStyle w:val="SingleTxt"/>
        <w:spacing w:after="0" w:line="120" w:lineRule="exact"/>
        <w:rPr>
          <w:sz w:val="10"/>
        </w:rPr>
      </w:pPr>
    </w:p>
    <w:p w:rsidR="005709F0" w:rsidRPr="00AC36A1" w:rsidRDefault="005709F0" w:rsidP="005709F0">
      <w:pPr>
        <w:pStyle w:val="SingleTxt"/>
        <w:spacing w:after="0" w:line="120" w:lineRule="exact"/>
        <w:rPr>
          <w:sz w:val="10"/>
        </w:rPr>
      </w:pPr>
    </w:p>
    <w:p w:rsidR="00CF1DFA" w:rsidRPr="00AC36A1" w:rsidRDefault="005709F0" w:rsidP="005709F0">
      <w:pPr>
        <w:pStyle w:val="H23"/>
        <w:ind w:right="1260"/>
      </w:pPr>
      <w:r w:rsidRPr="00AC36A1">
        <w:tab/>
      </w:r>
      <w:r w:rsidRPr="00AC36A1">
        <w:tab/>
      </w:r>
      <w:r w:rsidR="00CF1DFA" w:rsidRPr="00AC36A1">
        <w:t>Technical-Vocational Education</w:t>
      </w:r>
    </w:p>
    <w:p w:rsidR="005709F0" w:rsidRPr="00AC36A1" w:rsidRDefault="005709F0" w:rsidP="005709F0">
      <w:pPr>
        <w:pStyle w:val="SingleTxt"/>
        <w:spacing w:after="0" w:line="120" w:lineRule="exact"/>
        <w:rPr>
          <w:sz w:val="10"/>
        </w:rPr>
      </w:pPr>
    </w:p>
    <w:p w:rsidR="00CF1DFA" w:rsidRPr="00AC36A1" w:rsidRDefault="00CF1DFA" w:rsidP="00CF1DFA">
      <w:pPr>
        <w:pStyle w:val="SingleTxt"/>
      </w:pPr>
      <w:r w:rsidRPr="00AC36A1">
        <w:t>153.</w:t>
      </w:r>
      <w:r w:rsidRPr="00AC36A1">
        <w:tab/>
        <w:t xml:space="preserve">The new structure created at the beginning of this century </w:t>
      </w:r>
      <w:r w:rsidR="003D6A8B" w:rsidRPr="00AC36A1">
        <w:t>—</w:t>
      </w:r>
      <w:r w:rsidRPr="00AC36A1">
        <w:t xml:space="preserve"> </w:t>
      </w:r>
      <w:r w:rsidRPr="00AC36A1">
        <w:rPr>
          <w:i/>
        </w:rPr>
        <w:t>the National Vocational Qualification Levels 1-7 Scheme</w:t>
      </w:r>
      <w:r w:rsidRPr="00AC36A1">
        <w:t>- has offered an alternate path to higher education. Nevertheless the data presented in the figures pertaining to Technical Colleges and the programmes offered by the Vocational Training Authority (VTA) indicate that women are still opting for the conventional ‘feminine appropriate’ courses leading to traditional jobs. The concentration is in courses such as sewing and secretarial, courses. The only significant change has been the selection of Information Technology courses by large numbers of women chiefly at level 4 skills, and not yet at the levels that offer an avenue to middle level technician jobs or higher skills. A limited number of women apply for technician or technology courses. The same gender imbalances are seen in the programmes of the National Apprenticeship and Industry Training Authority (NAITA) and the Sri Lanka Advanced Institutes for Technical Training (SLIATE).</w:t>
      </w:r>
    </w:p>
    <w:p w:rsidR="005709F0" w:rsidRPr="00AC36A1" w:rsidRDefault="005709F0" w:rsidP="005709F0">
      <w:pPr>
        <w:pStyle w:val="SingleTxt"/>
        <w:spacing w:after="0" w:line="120" w:lineRule="exact"/>
        <w:rPr>
          <w:sz w:val="10"/>
        </w:rPr>
      </w:pPr>
    </w:p>
    <w:p w:rsidR="00CF1DFA" w:rsidRPr="00AC36A1" w:rsidRDefault="005709F0" w:rsidP="005709F0">
      <w:pPr>
        <w:pStyle w:val="H23"/>
        <w:ind w:right="1260"/>
        <w:rPr>
          <w:b w:val="0"/>
        </w:rPr>
      </w:pPr>
      <w:r w:rsidRPr="00AC36A1">
        <w:tab/>
      </w:r>
      <w:r w:rsidRPr="00AC36A1">
        <w:tab/>
      </w:r>
      <w:r w:rsidR="00CF1DFA" w:rsidRPr="00AC36A1">
        <w:rPr>
          <w:b w:val="0"/>
        </w:rPr>
        <w:t>Table 8</w:t>
      </w:r>
    </w:p>
    <w:p w:rsidR="00CF1DFA" w:rsidRPr="00AC36A1" w:rsidRDefault="005709F0" w:rsidP="005709F0">
      <w:pPr>
        <w:pStyle w:val="H23"/>
        <w:ind w:right="1260"/>
      </w:pPr>
      <w:r w:rsidRPr="00AC36A1">
        <w:tab/>
      </w:r>
      <w:r w:rsidRPr="00AC36A1">
        <w:tab/>
      </w:r>
      <w:r w:rsidR="00CF1DFA" w:rsidRPr="00AC36A1">
        <w:t>Technical-Vocational Education</w:t>
      </w:r>
    </w:p>
    <w:p w:rsidR="005709F0" w:rsidRPr="00AC36A1" w:rsidRDefault="005709F0" w:rsidP="005709F0">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935"/>
        <w:gridCol w:w="897"/>
        <w:gridCol w:w="898"/>
        <w:gridCol w:w="898"/>
        <w:gridCol w:w="61"/>
        <w:gridCol w:w="837"/>
        <w:gridCol w:w="898"/>
        <w:gridCol w:w="898"/>
      </w:tblGrid>
      <w:tr w:rsidR="001B65C5" w:rsidRPr="00AC36A1" w:rsidTr="00BE0F6B">
        <w:trPr>
          <w:tblHeader/>
        </w:trPr>
        <w:tc>
          <w:tcPr>
            <w:tcW w:w="1935" w:type="dxa"/>
            <w:tcBorders>
              <w:top w:val="single" w:sz="4" w:space="0" w:color="auto"/>
            </w:tcBorders>
            <w:shd w:val="clear" w:color="auto" w:fill="auto"/>
            <w:vAlign w:val="bottom"/>
          </w:tcPr>
          <w:p w:rsidR="001B65C5" w:rsidRPr="00AC36A1" w:rsidRDefault="001B65C5" w:rsidP="001B65C5">
            <w:pPr>
              <w:spacing w:before="81" w:after="81" w:line="160" w:lineRule="exact"/>
              <w:ind w:right="40"/>
              <w:rPr>
                <w:i/>
                <w:sz w:val="14"/>
              </w:rPr>
            </w:pPr>
          </w:p>
        </w:tc>
        <w:tc>
          <w:tcPr>
            <w:tcW w:w="2693" w:type="dxa"/>
            <w:gridSpan w:val="3"/>
            <w:tcBorders>
              <w:top w:val="single" w:sz="4" w:space="0" w:color="auto"/>
              <w:bottom w:val="single" w:sz="4" w:space="0" w:color="auto"/>
            </w:tcBorders>
            <w:shd w:val="clear" w:color="auto" w:fill="auto"/>
            <w:vAlign w:val="bottom"/>
          </w:tcPr>
          <w:p w:rsidR="001B65C5" w:rsidRPr="00AC36A1" w:rsidRDefault="001B65C5" w:rsidP="001B65C5">
            <w:pPr>
              <w:spacing w:before="81" w:after="81" w:line="160" w:lineRule="exact"/>
              <w:ind w:right="43"/>
              <w:jc w:val="center"/>
              <w:rPr>
                <w:i/>
                <w:sz w:val="14"/>
              </w:rPr>
            </w:pPr>
            <w:r w:rsidRPr="00AC36A1">
              <w:rPr>
                <w:i/>
                <w:sz w:val="14"/>
              </w:rPr>
              <w:t>2011</w:t>
            </w:r>
          </w:p>
        </w:tc>
        <w:tc>
          <w:tcPr>
            <w:tcW w:w="61" w:type="dxa"/>
            <w:tcBorders>
              <w:top w:val="single" w:sz="4" w:space="0" w:color="auto"/>
            </w:tcBorders>
            <w:shd w:val="clear" w:color="auto" w:fill="auto"/>
            <w:vAlign w:val="bottom"/>
          </w:tcPr>
          <w:p w:rsidR="001B65C5" w:rsidRPr="00AC36A1" w:rsidRDefault="001B65C5" w:rsidP="001B65C5">
            <w:pPr>
              <w:spacing w:before="81" w:after="81" w:line="160" w:lineRule="exact"/>
              <w:ind w:right="43"/>
              <w:jc w:val="right"/>
              <w:rPr>
                <w:i/>
                <w:sz w:val="14"/>
              </w:rPr>
            </w:pPr>
          </w:p>
        </w:tc>
        <w:tc>
          <w:tcPr>
            <w:tcW w:w="2633" w:type="dxa"/>
            <w:gridSpan w:val="3"/>
            <w:tcBorders>
              <w:top w:val="single" w:sz="4" w:space="0" w:color="auto"/>
              <w:bottom w:val="single" w:sz="4" w:space="0" w:color="auto"/>
            </w:tcBorders>
            <w:shd w:val="clear" w:color="auto" w:fill="auto"/>
            <w:vAlign w:val="bottom"/>
          </w:tcPr>
          <w:p w:rsidR="001B65C5" w:rsidRPr="00AC36A1" w:rsidRDefault="001B65C5" w:rsidP="001B65C5">
            <w:pPr>
              <w:spacing w:before="81" w:after="81" w:line="160" w:lineRule="exact"/>
              <w:ind w:right="43"/>
              <w:jc w:val="center"/>
              <w:rPr>
                <w:i/>
                <w:sz w:val="14"/>
              </w:rPr>
            </w:pPr>
            <w:r w:rsidRPr="00AC36A1">
              <w:rPr>
                <w:i/>
                <w:sz w:val="14"/>
              </w:rPr>
              <w:t>2012</w:t>
            </w:r>
          </w:p>
        </w:tc>
      </w:tr>
      <w:tr w:rsidR="001B65C5" w:rsidRPr="00AC36A1" w:rsidTr="001B65C5">
        <w:trPr>
          <w:tblHeader/>
        </w:trPr>
        <w:tc>
          <w:tcPr>
            <w:tcW w:w="1935" w:type="dxa"/>
            <w:tcBorders>
              <w:bottom w:val="single" w:sz="12" w:space="0" w:color="auto"/>
            </w:tcBorders>
            <w:shd w:val="clear" w:color="auto" w:fill="auto"/>
            <w:vAlign w:val="bottom"/>
          </w:tcPr>
          <w:p w:rsidR="005709F0" w:rsidRPr="00AC36A1" w:rsidRDefault="005709F0" w:rsidP="001B65C5">
            <w:pPr>
              <w:spacing w:before="81" w:after="81" w:line="160" w:lineRule="exact"/>
              <w:ind w:right="40"/>
              <w:rPr>
                <w:i/>
                <w:sz w:val="14"/>
              </w:rPr>
            </w:pPr>
            <w:r w:rsidRPr="00AC36A1">
              <w:rPr>
                <w:i/>
                <w:sz w:val="14"/>
              </w:rPr>
              <w:t>Characteristics</w:t>
            </w:r>
          </w:p>
        </w:tc>
        <w:tc>
          <w:tcPr>
            <w:tcW w:w="897" w:type="dxa"/>
            <w:tcBorders>
              <w:top w:val="single" w:sz="4" w:space="0" w:color="auto"/>
              <w:bottom w:val="single" w:sz="12" w:space="0" w:color="auto"/>
            </w:tcBorders>
            <w:shd w:val="clear" w:color="auto" w:fill="auto"/>
            <w:vAlign w:val="bottom"/>
          </w:tcPr>
          <w:p w:rsidR="005709F0" w:rsidRPr="00AC36A1" w:rsidRDefault="005709F0" w:rsidP="001B65C5">
            <w:pPr>
              <w:spacing w:before="81" w:after="81" w:line="160" w:lineRule="exact"/>
              <w:ind w:right="43"/>
              <w:jc w:val="right"/>
              <w:rPr>
                <w:i/>
                <w:sz w:val="14"/>
              </w:rPr>
            </w:pPr>
            <w:r w:rsidRPr="00AC36A1">
              <w:rPr>
                <w:i/>
                <w:sz w:val="14"/>
              </w:rPr>
              <w:t>Total No.</w:t>
            </w:r>
          </w:p>
        </w:tc>
        <w:tc>
          <w:tcPr>
            <w:tcW w:w="898" w:type="dxa"/>
            <w:tcBorders>
              <w:top w:val="single" w:sz="4" w:space="0" w:color="auto"/>
              <w:bottom w:val="single" w:sz="12" w:space="0" w:color="auto"/>
            </w:tcBorders>
            <w:shd w:val="clear" w:color="auto" w:fill="auto"/>
            <w:vAlign w:val="bottom"/>
          </w:tcPr>
          <w:p w:rsidR="005709F0" w:rsidRPr="00AC36A1" w:rsidRDefault="005709F0" w:rsidP="001B65C5">
            <w:pPr>
              <w:spacing w:before="81" w:after="81" w:line="160" w:lineRule="exact"/>
              <w:ind w:right="43"/>
              <w:jc w:val="right"/>
              <w:rPr>
                <w:i/>
                <w:sz w:val="14"/>
              </w:rPr>
            </w:pPr>
            <w:r w:rsidRPr="00AC36A1">
              <w:rPr>
                <w:i/>
                <w:sz w:val="14"/>
              </w:rPr>
              <w:t>No. of Women</w:t>
            </w:r>
          </w:p>
        </w:tc>
        <w:tc>
          <w:tcPr>
            <w:tcW w:w="898" w:type="dxa"/>
            <w:tcBorders>
              <w:top w:val="single" w:sz="4" w:space="0" w:color="auto"/>
              <w:bottom w:val="single" w:sz="12" w:space="0" w:color="auto"/>
            </w:tcBorders>
            <w:shd w:val="clear" w:color="auto" w:fill="auto"/>
            <w:vAlign w:val="bottom"/>
          </w:tcPr>
          <w:p w:rsidR="005709F0" w:rsidRPr="00AC36A1" w:rsidRDefault="005709F0" w:rsidP="001B65C5">
            <w:pPr>
              <w:spacing w:before="81" w:line="160" w:lineRule="exact"/>
              <w:ind w:right="43"/>
              <w:jc w:val="right"/>
              <w:rPr>
                <w:i/>
                <w:sz w:val="14"/>
              </w:rPr>
            </w:pPr>
            <w:r w:rsidRPr="00AC36A1">
              <w:rPr>
                <w:i/>
                <w:sz w:val="14"/>
              </w:rPr>
              <w:t>% of</w:t>
            </w:r>
          </w:p>
          <w:p w:rsidR="005709F0" w:rsidRPr="00AC36A1" w:rsidRDefault="005709F0" w:rsidP="001B65C5">
            <w:pPr>
              <w:spacing w:after="81" w:line="160" w:lineRule="exact"/>
              <w:ind w:right="43"/>
              <w:jc w:val="right"/>
              <w:rPr>
                <w:i/>
                <w:sz w:val="14"/>
              </w:rPr>
            </w:pPr>
            <w:r w:rsidRPr="00AC36A1">
              <w:rPr>
                <w:i/>
                <w:sz w:val="14"/>
              </w:rPr>
              <w:t xml:space="preserve">Women </w:t>
            </w:r>
          </w:p>
        </w:tc>
        <w:tc>
          <w:tcPr>
            <w:tcW w:w="898" w:type="dxa"/>
            <w:gridSpan w:val="2"/>
            <w:tcBorders>
              <w:bottom w:val="single" w:sz="12" w:space="0" w:color="auto"/>
            </w:tcBorders>
            <w:shd w:val="clear" w:color="auto" w:fill="auto"/>
            <w:vAlign w:val="bottom"/>
          </w:tcPr>
          <w:p w:rsidR="005709F0" w:rsidRPr="00AC36A1" w:rsidRDefault="005709F0" w:rsidP="001B65C5">
            <w:pPr>
              <w:spacing w:before="81" w:after="81" w:line="160" w:lineRule="exact"/>
              <w:ind w:right="43"/>
              <w:jc w:val="right"/>
              <w:rPr>
                <w:i/>
                <w:sz w:val="14"/>
              </w:rPr>
            </w:pPr>
            <w:r w:rsidRPr="00AC36A1">
              <w:rPr>
                <w:i/>
                <w:sz w:val="14"/>
              </w:rPr>
              <w:t>Total No.</w:t>
            </w:r>
          </w:p>
        </w:tc>
        <w:tc>
          <w:tcPr>
            <w:tcW w:w="898" w:type="dxa"/>
            <w:tcBorders>
              <w:bottom w:val="single" w:sz="12" w:space="0" w:color="auto"/>
            </w:tcBorders>
            <w:shd w:val="clear" w:color="auto" w:fill="auto"/>
            <w:vAlign w:val="bottom"/>
          </w:tcPr>
          <w:p w:rsidR="005709F0" w:rsidRPr="00AC36A1" w:rsidRDefault="005709F0" w:rsidP="001B65C5">
            <w:pPr>
              <w:spacing w:before="81" w:after="81" w:line="160" w:lineRule="exact"/>
              <w:ind w:right="43"/>
              <w:jc w:val="right"/>
              <w:rPr>
                <w:i/>
                <w:sz w:val="14"/>
              </w:rPr>
            </w:pPr>
            <w:r w:rsidRPr="00AC36A1">
              <w:rPr>
                <w:i/>
                <w:sz w:val="14"/>
              </w:rPr>
              <w:t>No. of Women</w:t>
            </w:r>
          </w:p>
        </w:tc>
        <w:tc>
          <w:tcPr>
            <w:tcW w:w="898" w:type="dxa"/>
            <w:tcBorders>
              <w:bottom w:val="single" w:sz="12" w:space="0" w:color="auto"/>
            </w:tcBorders>
            <w:shd w:val="clear" w:color="auto" w:fill="auto"/>
            <w:vAlign w:val="bottom"/>
          </w:tcPr>
          <w:p w:rsidR="005709F0" w:rsidRPr="00AC36A1" w:rsidRDefault="005709F0" w:rsidP="001B65C5">
            <w:pPr>
              <w:spacing w:before="81" w:after="81" w:line="160" w:lineRule="exact"/>
              <w:ind w:right="43"/>
              <w:jc w:val="right"/>
              <w:rPr>
                <w:i/>
                <w:sz w:val="14"/>
              </w:rPr>
            </w:pPr>
            <w:r w:rsidRPr="00AC36A1">
              <w:rPr>
                <w:i/>
                <w:sz w:val="14"/>
              </w:rPr>
              <w:t>% of Women</w:t>
            </w:r>
          </w:p>
        </w:tc>
      </w:tr>
      <w:tr w:rsidR="001B65C5" w:rsidRPr="00AC36A1" w:rsidTr="001B65C5">
        <w:trPr>
          <w:trHeight w:hRule="exact" w:val="115"/>
          <w:tblHeader/>
        </w:trPr>
        <w:tc>
          <w:tcPr>
            <w:tcW w:w="1935" w:type="dxa"/>
            <w:tcBorders>
              <w:top w:val="single" w:sz="12" w:space="0" w:color="auto"/>
            </w:tcBorders>
            <w:shd w:val="clear" w:color="auto" w:fill="auto"/>
            <w:vAlign w:val="bottom"/>
          </w:tcPr>
          <w:p w:rsidR="001B65C5" w:rsidRPr="00AC36A1" w:rsidRDefault="001B65C5" w:rsidP="001B65C5">
            <w:pPr>
              <w:spacing w:before="40" w:after="40" w:line="210" w:lineRule="exact"/>
              <w:ind w:right="40"/>
              <w:rPr>
                <w:sz w:val="17"/>
              </w:rPr>
            </w:pPr>
          </w:p>
        </w:tc>
        <w:tc>
          <w:tcPr>
            <w:tcW w:w="897" w:type="dxa"/>
            <w:tcBorders>
              <w:top w:val="single" w:sz="12" w:space="0" w:color="auto"/>
            </w:tcBorders>
            <w:shd w:val="clear" w:color="auto" w:fill="auto"/>
            <w:vAlign w:val="bottom"/>
          </w:tcPr>
          <w:p w:rsidR="001B65C5" w:rsidRPr="00AC36A1" w:rsidRDefault="001B65C5" w:rsidP="001B65C5">
            <w:pPr>
              <w:spacing w:before="40" w:after="40" w:line="210" w:lineRule="exact"/>
              <w:ind w:right="43"/>
              <w:jc w:val="right"/>
              <w:rPr>
                <w:sz w:val="17"/>
              </w:rPr>
            </w:pPr>
          </w:p>
        </w:tc>
        <w:tc>
          <w:tcPr>
            <w:tcW w:w="898" w:type="dxa"/>
            <w:tcBorders>
              <w:top w:val="single" w:sz="12" w:space="0" w:color="auto"/>
            </w:tcBorders>
            <w:shd w:val="clear" w:color="auto" w:fill="auto"/>
            <w:vAlign w:val="bottom"/>
          </w:tcPr>
          <w:p w:rsidR="001B65C5" w:rsidRPr="00AC36A1" w:rsidRDefault="001B65C5" w:rsidP="001B65C5">
            <w:pPr>
              <w:spacing w:before="40" w:after="40" w:line="210" w:lineRule="exact"/>
              <w:ind w:right="43"/>
              <w:jc w:val="right"/>
              <w:rPr>
                <w:sz w:val="17"/>
              </w:rPr>
            </w:pPr>
          </w:p>
        </w:tc>
        <w:tc>
          <w:tcPr>
            <w:tcW w:w="898" w:type="dxa"/>
            <w:tcBorders>
              <w:top w:val="single" w:sz="12" w:space="0" w:color="auto"/>
            </w:tcBorders>
            <w:shd w:val="clear" w:color="auto" w:fill="auto"/>
            <w:vAlign w:val="bottom"/>
          </w:tcPr>
          <w:p w:rsidR="001B65C5" w:rsidRPr="00AC36A1" w:rsidRDefault="001B65C5" w:rsidP="001B65C5">
            <w:pPr>
              <w:spacing w:before="40" w:after="40" w:line="210" w:lineRule="exact"/>
              <w:ind w:right="43"/>
              <w:jc w:val="right"/>
              <w:rPr>
                <w:sz w:val="17"/>
              </w:rPr>
            </w:pPr>
          </w:p>
        </w:tc>
        <w:tc>
          <w:tcPr>
            <w:tcW w:w="898" w:type="dxa"/>
            <w:gridSpan w:val="2"/>
            <w:tcBorders>
              <w:top w:val="single" w:sz="12" w:space="0" w:color="auto"/>
            </w:tcBorders>
            <w:shd w:val="clear" w:color="auto" w:fill="auto"/>
            <w:vAlign w:val="bottom"/>
          </w:tcPr>
          <w:p w:rsidR="001B65C5" w:rsidRPr="00AC36A1" w:rsidRDefault="001B65C5" w:rsidP="001B65C5">
            <w:pPr>
              <w:spacing w:before="40" w:after="40" w:line="210" w:lineRule="exact"/>
              <w:ind w:right="43"/>
              <w:jc w:val="right"/>
              <w:rPr>
                <w:sz w:val="17"/>
              </w:rPr>
            </w:pPr>
          </w:p>
        </w:tc>
        <w:tc>
          <w:tcPr>
            <w:tcW w:w="898" w:type="dxa"/>
            <w:tcBorders>
              <w:top w:val="single" w:sz="12" w:space="0" w:color="auto"/>
            </w:tcBorders>
            <w:shd w:val="clear" w:color="auto" w:fill="auto"/>
            <w:vAlign w:val="bottom"/>
          </w:tcPr>
          <w:p w:rsidR="001B65C5" w:rsidRPr="00AC36A1" w:rsidRDefault="001B65C5" w:rsidP="001B65C5">
            <w:pPr>
              <w:spacing w:before="40" w:after="40" w:line="210" w:lineRule="exact"/>
              <w:ind w:right="43"/>
              <w:jc w:val="right"/>
              <w:rPr>
                <w:sz w:val="17"/>
              </w:rPr>
            </w:pPr>
          </w:p>
        </w:tc>
        <w:tc>
          <w:tcPr>
            <w:tcW w:w="898" w:type="dxa"/>
            <w:tcBorders>
              <w:top w:val="single" w:sz="12" w:space="0" w:color="auto"/>
            </w:tcBorders>
            <w:shd w:val="clear" w:color="auto" w:fill="auto"/>
            <w:vAlign w:val="bottom"/>
          </w:tcPr>
          <w:p w:rsidR="001B65C5" w:rsidRPr="00AC36A1" w:rsidRDefault="001B65C5" w:rsidP="001B65C5">
            <w:pPr>
              <w:spacing w:before="40" w:after="40" w:line="210" w:lineRule="exact"/>
              <w:ind w:right="43"/>
              <w:jc w:val="right"/>
              <w:rPr>
                <w:sz w:val="17"/>
              </w:rPr>
            </w:pPr>
          </w:p>
        </w:tc>
      </w:tr>
      <w:tr w:rsidR="001B65C5" w:rsidRPr="00AC36A1" w:rsidTr="001B65C5">
        <w:tc>
          <w:tcPr>
            <w:tcW w:w="1935" w:type="dxa"/>
            <w:shd w:val="clear" w:color="auto" w:fill="auto"/>
            <w:vAlign w:val="bottom"/>
          </w:tcPr>
          <w:p w:rsidR="005709F0" w:rsidRPr="00AC36A1" w:rsidRDefault="005709F0" w:rsidP="001B65C5">
            <w:pPr>
              <w:tabs>
                <w:tab w:val="left" w:pos="288"/>
                <w:tab w:val="left" w:pos="576"/>
                <w:tab w:val="left" w:pos="864"/>
                <w:tab w:val="left" w:pos="1152"/>
              </w:tabs>
              <w:spacing w:before="40" w:after="40" w:line="210" w:lineRule="exact"/>
              <w:ind w:right="40"/>
              <w:rPr>
                <w:sz w:val="17"/>
              </w:rPr>
            </w:pPr>
            <w:r w:rsidRPr="00AC36A1">
              <w:rPr>
                <w:sz w:val="17"/>
              </w:rPr>
              <w:t>Certificate</w:t>
            </w:r>
          </w:p>
        </w:tc>
        <w:tc>
          <w:tcPr>
            <w:tcW w:w="897" w:type="dxa"/>
            <w:shd w:val="clear" w:color="auto" w:fill="auto"/>
            <w:vAlign w:val="bottom"/>
          </w:tcPr>
          <w:p w:rsidR="005709F0" w:rsidRPr="00AC36A1" w:rsidRDefault="005709F0" w:rsidP="003D6A8B">
            <w:pPr>
              <w:tabs>
                <w:tab w:val="left" w:pos="288"/>
                <w:tab w:val="left" w:pos="576"/>
                <w:tab w:val="left" w:pos="864"/>
                <w:tab w:val="left" w:pos="1152"/>
              </w:tabs>
              <w:spacing w:before="40" w:after="40" w:line="210" w:lineRule="exact"/>
              <w:ind w:right="43"/>
              <w:jc w:val="right"/>
              <w:rPr>
                <w:sz w:val="17"/>
              </w:rPr>
            </w:pPr>
            <w:r w:rsidRPr="00AC36A1">
              <w:rPr>
                <w:sz w:val="17"/>
              </w:rPr>
              <w:t>7</w:t>
            </w:r>
            <w:r w:rsidR="003D6A8B" w:rsidRPr="00AC36A1">
              <w:rPr>
                <w:sz w:val="17"/>
              </w:rPr>
              <w:t xml:space="preserve"> </w:t>
            </w:r>
            <w:r w:rsidRPr="00AC36A1">
              <w:rPr>
                <w:sz w:val="17"/>
              </w:rPr>
              <w:t>736</w:t>
            </w:r>
          </w:p>
        </w:tc>
        <w:tc>
          <w:tcPr>
            <w:tcW w:w="898" w:type="dxa"/>
            <w:shd w:val="clear" w:color="auto" w:fill="auto"/>
            <w:vAlign w:val="bottom"/>
          </w:tcPr>
          <w:p w:rsidR="005709F0" w:rsidRPr="00AC36A1" w:rsidRDefault="005709F0" w:rsidP="003D6A8B">
            <w:pPr>
              <w:tabs>
                <w:tab w:val="left" w:pos="288"/>
                <w:tab w:val="left" w:pos="576"/>
                <w:tab w:val="left" w:pos="864"/>
                <w:tab w:val="left" w:pos="1152"/>
              </w:tabs>
              <w:spacing w:before="40" w:after="40" w:line="210" w:lineRule="exact"/>
              <w:ind w:right="43"/>
              <w:jc w:val="right"/>
              <w:rPr>
                <w:sz w:val="17"/>
              </w:rPr>
            </w:pPr>
            <w:r w:rsidRPr="00AC36A1">
              <w:rPr>
                <w:sz w:val="17"/>
              </w:rPr>
              <w:t>5</w:t>
            </w:r>
            <w:r w:rsidR="003D6A8B" w:rsidRPr="00AC36A1">
              <w:rPr>
                <w:sz w:val="17"/>
              </w:rPr>
              <w:t xml:space="preserve"> </w:t>
            </w:r>
            <w:r w:rsidRPr="00AC36A1">
              <w:rPr>
                <w:sz w:val="17"/>
              </w:rPr>
              <w:t>415</w:t>
            </w:r>
          </w:p>
        </w:tc>
        <w:tc>
          <w:tcPr>
            <w:tcW w:w="898" w:type="dxa"/>
            <w:shd w:val="clear" w:color="auto" w:fill="auto"/>
            <w:vAlign w:val="bottom"/>
          </w:tcPr>
          <w:p w:rsidR="005709F0" w:rsidRPr="00AC36A1" w:rsidRDefault="005709F0" w:rsidP="001B65C5">
            <w:pPr>
              <w:tabs>
                <w:tab w:val="left" w:pos="288"/>
                <w:tab w:val="left" w:pos="576"/>
                <w:tab w:val="left" w:pos="864"/>
                <w:tab w:val="left" w:pos="1152"/>
              </w:tabs>
              <w:spacing w:before="40" w:after="40" w:line="210" w:lineRule="exact"/>
              <w:ind w:right="43"/>
              <w:jc w:val="right"/>
              <w:rPr>
                <w:sz w:val="17"/>
              </w:rPr>
            </w:pPr>
            <w:r w:rsidRPr="00AC36A1">
              <w:rPr>
                <w:sz w:val="17"/>
              </w:rPr>
              <w:t>70</w:t>
            </w:r>
          </w:p>
        </w:tc>
        <w:tc>
          <w:tcPr>
            <w:tcW w:w="898" w:type="dxa"/>
            <w:gridSpan w:val="2"/>
            <w:shd w:val="clear" w:color="auto" w:fill="auto"/>
            <w:vAlign w:val="bottom"/>
          </w:tcPr>
          <w:p w:rsidR="005709F0" w:rsidRPr="00AC36A1" w:rsidRDefault="005709F0" w:rsidP="003D6A8B">
            <w:pPr>
              <w:tabs>
                <w:tab w:val="left" w:pos="288"/>
                <w:tab w:val="left" w:pos="576"/>
                <w:tab w:val="left" w:pos="864"/>
                <w:tab w:val="left" w:pos="1152"/>
              </w:tabs>
              <w:spacing w:before="40" w:after="40" w:line="210" w:lineRule="exact"/>
              <w:ind w:right="43"/>
              <w:jc w:val="right"/>
              <w:rPr>
                <w:sz w:val="17"/>
              </w:rPr>
            </w:pPr>
            <w:r w:rsidRPr="00AC36A1">
              <w:rPr>
                <w:sz w:val="17"/>
              </w:rPr>
              <w:t>10</w:t>
            </w:r>
            <w:r w:rsidR="003D6A8B" w:rsidRPr="00AC36A1">
              <w:rPr>
                <w:sz w:val="17"/>
              </w:rPr>
              <w:t xml:space="preserve"> </w:t>
            </w:r>
            <w:r w:rsidRPr="00AC36A1">
              <w:rPr>
                <w:sz w:val="17"/>
              </w:rPr>
              <w:t>161</w:t>
            </w:r>
          </w:p>
        </w:tc>
        <w:tc>
          <w:tcPr>
            <w:tcW w:w="898" w:type="dxa"/>
            <w:shd w:val="clear" w:color="auto" w:fill="auto"/>
            <w:vAlign w:val="bottom"/>
          </w:tcPr>
          <w:p w:rsidR="005709F0" w:rsidRPr="00AC36A1" w:rsidRDefault="005709F0" w:rsidP="001B65C5">
            <w:pPr>
              <w:tabs>
                <w:tab w:val="left" w:pos="288"/>
                <w:tab w:val="left" w:pos="576"/>
                <w:tab w:val="left" w:pos="864"/>
                <w:tab w:val="left" w:pos="1152"/>
              </w:tabs>
              <w:spacing w:before="40" w:after="40" w:line="210" w:lineRule="exact"/>
              <w:ind w:right="43"/>
              <w:jc w:val="right"/>
              <w:rPr>
                <w:sz w:val="17"/>
              </w:rPr>
            </w:pPr>
            <w:r w:rsidRPr="00AC36A1">
              <w:rPr>
                <w:sz w:val="17"/>
              </w:rPr>
              <w:t>6</w:t>
            </w:r>
            <w:r w:rsidR="003D6A8B" w:rsidRPr="00AC36A1">
              <w:rPr>
                <w:sz w:val="17"/>
              </w:rPr>
              <w:t xml:space="preserve"> </w:t>
            </w:r>
            <w:r w:rsidRPr="00AC36A1">
              <w:rPr>
                <w:sz w:val="17"/>
              </w:rPr>
              <w:t>174</w:t>
            </w:r>
          </w:p>
        </w:tc>
        <w:tc>
          <w:tcPr>
            <w:tcW w:w="898" w:type="dxa"/>
            <w:shd w:val="clear" w:color="auto" w:fill="auto"/>
            <w:vAlign w:val="bottom"/>
          </w:tcPr>
          <w:p w:rsidR="005709F0" w:rsidRPr="00AC36A1" w:rsidRDefault="005709F0" w:rsidP="001B65C5">
            <w:pPr>
              <w:tabs>
                <w:tab w:val="left" w:pos="288"/>
                <w:tab w:val="left" w:pos="576"/>
                <w:tab w:val="left" w:pos="864"/>
                <w:tab w:val="left" w:pos="1152"/>
              </w:tabs>
              <w:spacing w:before="40" w:after="40" w:line="210" w:lineRule="exact"/>
              <w:ind w:right="43"/>
              <w:jc w:val="right"/>
              <w:rPr>
                <w:sz w:val="17"/>
              </w:rPr>
            </w:pPr>
            <w:r w:rsidRPr="00AC36A1">
              <w:rPr>
                <w:sz w:val="17"/>
              </w:rPr>
              <w:t>61</w:t>
            </w:r>
          </w:p>
        </w:tc>
      </w:tr>
      <w:tr w:rsidR="001B65C5" w:rsidRPr="00AC36A1" w:rsidTr="001B65C5">
        <w:tc>
          <w:tcPr>
            <w:tcW w:w="1935" w:type="dxa"/>
            <w:shd w:val="clear" w:color="auto" w:fill="auto"/>
            <w:vAlign w:val="bottom"/>
          </w:tcPr>
          <w:p w:rsidR="005709F0" w:rsidRPr="00AC36A1" w:rsidRDefault="005709F0" w:rsidP="001B65C5">
            <w:pPr>
              <w:tabs>
                <w:tab w:val="left" w:pos="288"/>
                <w:tab w:val="left" w:pos="576"/>
                <w:tab w:val="left" w:pos="864"/>
                <w:tab w:val="left" w:pos="1152"/>
              </w:tabs>
              <w:spacing w:before="40" w:after="40" w:line="210" w:lineRule="exact"/>
              <w:ind w:right="40"/>
              <w:rPr>
                <w:sz w:val="17"/>
              </w:rPr>
            </w:pPr>
            <w:r w:rsidRPr="00AC36A1">
              <w:rPr>
                <w:sz w:val="17"/>
              </w:rPr>
              <w:t>Diploma</w:t>
            </w:r>
          </w:p>
        </w:tc>
        <w:tc>
          <w:tcPr>
            <w:tcW w:w="897" w:type="dxa"/>
            <w:shd w:val="clear" w:color="auto" w:fill="auto"/>
            <w:vAlign w:val="bottom"/>
          </w:tcPr>
          <w:p w:rsidR="005709F0" w:rsidRPr="00AC36A1" w:rsidRDefault="005709F0" w:rsidP="003D6A8B">
            <w:pPr>
              <w:tabs>
                <w:tab w:val="left" w:pos="288"/>
                <w:tab w:val="left" w:pos="576"/>
                <w:tab w:val="left" w:pos="864"/>
                <w:tab w:val="left" w:pos="1152"/>
              </w:tabs>
              <w:spacing w:before="40" w:after="40" w:line="210" w:lineRule="exact"/>
              <w:ind w:right="43"/>
              <w:jc w:val="right"/>
              <w:rPr>
                <w:sz w:val="17"/>
              </w:rPr>
            </w:pPr>
            <w:r w:rsidRPr="00AC36A1">
              <w:rPr>
                <w:sz w:val="17"/>
              </w:rPr>
              <w:t>3</w:t>
            </w:r>
            <w:r w:rsidR="003D6A8B" w:rsidRPr="00AC36A1">
              <w:rPr>
                <w:sz w:val="17"/>
              </w:rPr>
              <w:t xml:space="preserve"> </w:t>
            </w:r>
            <w:r w:rsidRPr="00AC36A1">
              <w:rPr>
                <w:sz w:val="17"/>
              </w:rPr>
              <w:t>160</w:t>
            </w:r>
          </w:p>
        </w:tc>
        <w:tc>
          <w:tcPr>
            <w:tcW w:w="898" w:type="dxa"/>
            <w:shd w:val="clear" w:color="auto" w:fill="auto"/>
            <w:vAlign w:val="bottom"/>
          </w:tcPr>
          <w:p w:rsidR="005709F0" w:rsidRPr="00AC36A1" w:rsidRDefault="005709F0" w:rsidP="003D6A8B">
            <w:pPr>
              <w:tabs>
                <w:tab w:val="left" w:pos="288"/>
                <w:tab w:val="left" w:pos="576"/>
                <w:tab w:val="left" w:pos="864"/>
                <w:tab w:val="left" w:pos="1152"/>
              </w:tabs>
              <w:spacing w:before="40" w:after="40" w:line="210" w:lineRule="exact"/>
              <w:ind w:right="43"/>
              <w:jc w:val="right"/>
              <w:rPr>
                <w:sz w:val="17"/>
              </w:rPr>
            </w:pPr>
            <w:r w:rsidRPr="00AC36A1">
              <w:rPr>
                <w:sz w:val="17"/>
              </w:rPr>
              <w:t>1</w:t>
            </w:r>
            <w:r w:rsidR="003D6A8B" w:rsidRPr="00AC36A1">
              <w:rPr>
                <w:sz w:val="17"/>
              </w:rPr>
              <w:t xml:space="preserve"> </w:t>
            </w:r>
            <w:r w:rsidRPr="00AC36A1">
              <w:rPr>
                <w:sz w:val="17"/>
              </w:rPr>
              <w:t>429</w:t>
            </w:r>
          </w:p>
        </w:tc>
        <w:tc>
          <w:tcPr>
            <w:tcW w:w="898" w:type="dxa"/>
            <w:shd w:val="clear" w:color="auto" w:fill="auto"/>
            <w:vAlign w:val="bottom"/>
          </w:tcPr>
          <w:p w:rsidR="005709F0" w:rsidRPr="00AC36A1" w:rsidRDefault="005709F0" w:rsidP="001B65C5">
            <w:pPr>
              <w:tabs>
                <w:tab w:val="left" w:pos="288"/>
                <w:tab w:val="left" w:pos="576"/>
                <w:tab w:val="left" w:pos="864"/>
                <w:tab w:val="left" w:pos="1152"/>
              </w:tabs>
              <w:spacing w:before="40" w:after="40" w:line="210" w:lineRule="exact"/>
              <w:ind w:right="43"/>
              <w:jc w:val="right"/>
              <w:rPr>
                <w:sz w:val="17"/>
              </w:rPr>
            </w:pPr>
            <w:r w:rsidRPr="00AC36A1">
              <w:rPr>
                <w:sz w:val="17"/>
              </w:rPr>
              <w:t>45</w:t>
            </w:r>
          </w:p>
        </w:tc>
        <w:tc>
          <w:tcPr>
            <w:tcW w:w="898" w:type="dxa"/>
            <w:gridSpan w:val="2"/>
            <w:shd w:val="clear" w:color="auto" w:fill="auto"/>
            <w:vAlign w:val="bottom"/>
          </w:tcPr>
          <w:p w:rsidR="005709F0" w:rsidRPr="00AC36A1" w:rsidRDefault="005709F0" w:rsidP="003D6A8B">
            <w:pPr>
              <w:tabs>
                <w:tab w:val="left" w:pos="288"/>
                <w:tab w:val="left" w:pos="576"/>
                <w:tab w:val="left" w:pos="864"/>
                <w:tab w:val="left" w:pos="1152"/>
              </w:tabs>
              <w:spacing w:before="40" w:after="40" w:line="210" w:lineRule="exact"/>
              <w:ind w:right="43"/>
              <w:jc w:val="right"/>
              <w:rPr>
                <w:sz w:val="17"/>
              </w:rPr>
            </w:pPr>
            <w:r w:rsidRPr="00AC36A1">
              <w:rPr>
                <w:sz w:val="17"/>
              </w:rPr>
              <w:t>3</w:t>
            </w:r>
            <w:r w:rsidR="003D6A8B" w:rsidRPr="00AC36A1">
              <w:rPr>
                <w:sz w:val="17"/>
              </w:rPr>
              <w:t xml:space="preserve"> </w:t>
            </w:r>
            <w:r w:rsidRPr="00AC36A1">
              <w:rPr>
                <w:sz w:val="17"/>
              </w:rPr>
              <w:t>632</w:t>
            </w:r>
          </w:p>
        </w:tc>
        <w:tc>
          <w:tcPr>
            <w:tcW w:w="898" w:type="dxa"/>
            <w:shd w:val="clear" w:color="auto" w:fill="auto"/>
            <w:vAlign w:val="bottom"/>
          </w:tcPr>
          <w:p w:rsidR="005709F0" w:rsidRPr="00AC36A1" w:rsidRDefault="005709F0" w:rsidP="001B65C5">
            <w:pPr>
              <w:tabs>
                <w:tab w:val="left" w:pos="288"/>
                <w:tab w:val="left" w:pos="576"/>
                <w:tab w:val="left" w:pos="864"/>
                <w:tab w:val="left" w:pos="1152"/>
              </w:tabs>
              <w:spacing w:before="40" w:after="40" w:line="210" w:lineRule="exact"/>
              <w:ind w:right="43"/>
              <w:jc w:val="right"/>
              <w:rPr>
                <w:sz w:val="17"/>
              </w:rPr>
            </w:pPr>
            <w:r w:rsidRPr="00AC36A1">
              <w:rPr>
                <w:sz w:val="17"/>
              </w:rPr>
              <w:t>1</w:t>
            </w:r>
            <w:r w:rsidR="003D6A8B" w:rsidRPr="00AC36A1">
              <w:rPr>
                <w:sz w:val="17"/>
              </w:rPr>
              <w:t xml:space="preserve"> </w:t>
            </w:r>
            <w:r w:rsidRPr="00AC36A1">
              <w:rPr>
                <w:sz w:val="17"/>
              </w:rPr>
              <w:t>517</w:t>
            </w:r>
          </w:p>
        </w:tc>
        <w:tc>
          <w:tcPr>
            <w:tcW w:w="898" w:type="dxa"/>
            <w:shd w:val="clear" w:color="auto" w:fill="auto"/>
            <w:vAlign w:val="bottom"/>
          </w:tcPr>
          <w:p w:rsidR="005709F0" w:rsidRPr="00AC36A1" w:rsidRDefault="005709F0" w:rsidP="001B65C5">
            <w:pPr>
              <w:tabs>
                <w:tab w:val="left" w:pos="288"/>
                <w:tab w:val="left" w:pos="576"/>
                <w:tab w:val="left" w:pos="864"/>
                <w:tab w:val="left" w:pos="1152"/>
              </w:tabs>
              <w:spacing w:before="40" w:after="40" w:line="210" w:lineRule="exact"/>
              <w:ind w:right="43"/>
              <w:jc w:val="right"/>
              <w:rPr>
                <w:sz w:val="17"/>
              </w:rPr>
            </w:pPr>
            <w:r w:rsidRPr="00AC36A1">
              <w:rPr>
                <w:sz w:val="17"/>
              </w:rPr>
              <w:t>42</w:t>
            </w:r>
          </w:p>
        </w:tc>
      </w:tr>
      <w:tr w:rsidR="001B65C5" w:rsidRPr="00AC36A1" w:rsidTr="001B65C5">
        <w:tc>
          <w:tcPr>
            <w:tcW w:w="1935" w:type="dxa"/>
            <w:shd w:val="clear" w:color="auto" w:fill="auto"/>
            <w:vAlign w:val="bottom"/>
          </w:tcPr>
          <w:p w:rsidR="005709F0" w:rsidRPr="00AC36A1" w:rsidRDefault="005709F0" w:rsidP="001B65C5">
            <w:pPr>
              <w:tabs>
                <w:tab w:val="left" w:pos="288"/>
                <w:tab w:val="left" w:pos="576"/>
                <w:tab w:val="left" w:pos="864"/>
                <w:tab w:val="left" w:pos="1152"/>
              </w:tabs>
              <w:spacing w:before="40" w:after="40" w:line="210" w:lineRule="exact"/>
              <w:ind w:right="40"/>
              <w:rPr>
                <w:sz w:val="17"/>
              </w:rPr>
            </w:pPr>
            <w:r w:rsidRPr="00AC36A1">
              <w:rPr>
                <w:sz w:val="17"/>
              </w:rPr>
              <w:t>Bachelor Degree</w:t>
            </w:r>
          </w:p>
        </w:tc>
        <w:tc>
          <w:tcPr>
            <w:tcW w:w="897" w:type="dxa"/>
            <w:shd w:val="clear" w:color="auto" w:fill="auto"/>
            <w:vAlign w:val="bottom"/>
          </w:tcPr>
          <w:p w:rsidR="005709F0" w:rsidRPr="00AC36A1" w:rsidRDefault="005709F0" w:rsidP="001B65C5">
            <w:pPr>
              <w:tabs>
                <w:tab w:val="left" w:pos="288"/>
                <w:tab w:val="left" w:pos="576"/>
                <w:tab w:val="left" w:pos="864"/>
                <w:tab w:val="left" w:pos="1152"/>
              </w:tabs>
              <w:spacing w:before="40" w:after="40" w:line="210" w:lineRule="exact"/>
              <w:ind w:right="43"/>
              <w:jc w:val="right"/>
              <w:rPr>
                <w:sz w:val="17"/>
              </w:rPr>
            </w:pPr>
            <w:r w:rsidRPr="00AC36A1">
              <w:rPr>
                <w:sz w:val="17"/>
              </w:rPr>
              <w:t>14</w:t>
            </w:r>
            <w:r w:rsidR="003D6A8B" w:rsidRPr="00AC36A1">
              <w:rPr>
                <w:sz w:val="17"/>
              </w:rPr>
              <w:t xml:space="preserve"> </w:t>
            </w:r>
            <w:r w:rsidRPr="00AC36A1">
              <w:rPr>
                <w:sz w:val="17"/>
              </w:rPr>
              <w:t>915</w:t>
            </w:r>
          </w:p>
        </w:tc>
        <w:tc>
          <w:tcPr>
            <w:tcW w:w="898" w:type="dxa"/>
            <w:shd w:val="clear" w:color="auto" w:fill="auto"/>
            <w:vAlign w:val="bottom"/>
          </w:tcPr>
          <w:p w:rsidR="005709F0" w:rsidRPr="00AC36A1" w:rsidRDefault="005709F0" w:rsidP="001B65C5">
            <w:pPr>
              <w:tabs>
                <w:tab w:val="left" w:pos="288"/>
                <w:tab w:val="left" w:pos="576"/>
                <w:tab w:val="left" w:pos="864"/>
                <w:tab w:val="left" w:pos="1152"/>
              </w:tabs>
              <w:spacing w:before="40" w:after="40" w:line="210" w:lineRule="exact"/>
              <w:ind w:right="43"/>
              <w:jc w:val="right"/>
              <w:rPr>
                <w:sz w:val="17"/>
              </w:rPr>
            </w:pPr>
            <w:r w:rsidRPr="00AC36A1">
              <w:rPr>
                <w:sz w:val="17"/>
              </w:rPr>
              <w:t>8</w:t>
            </w:r>
            <w:r w:rsidR="003D6A8B" w:rsidRPr="00AC36A1">
              <w:rPr>
                <w:sz w:val="17"/>
              </w:rPr>
              <w:t xml:space="preserve"> </w:t>
            </w:r>
            <w:r w:rsidRPr="00AC36A1">
              <w:rPr>
                <w:sz w:val="17"/>
              </w:rPr>
              <w:t>309</w:t>
            </w:r>
          </w:p>
        </w:tc>
        <w:tc>
          <w:tcPr>
            <w:tcW w:w="898" w:type="dxa"/>
            <w:shd w:val="clear" w:color="auto" w:fill="auto"/>
            <w:vAlign w:val="bottom"/>
          </w:tcPr>
          <w:p w:rsidR="005709F0" w:rsidRPr="00AC36A1" w:rsidRDefault="005709F0" w:rsidP="001B65C5">
            <w:pPr>
              <w:tabs>
                <w:tab w:val="left" w:pos="288"/>
                <w:tab w:val="left" w:pos="576"/>
                <w:tab w:val="left" w:pos="864"/>
                <w:tab w:val="left" w:pos="1152"/>
              </w:tabs>
              <w:spacing w:before="40" w:after="40" w:line="210" w:lineRule="exact"/>
              <w:ind w:right="43"/>
              <w:jc w:val="right"/>
              <w:rPr>
                <w:sz w:val="17"/>
              </w:rPr>
            </w:pPr>
            <w:r w:rsidRPr="00AC36A1">
              <w:rPr>
                <w:sz w:val="17"/>
              </w:rPr>
              <w:t>56</w:t>
            </w:r>
          </w:p>
        </w:tc>
        <w:tc>
          <w:tcPr>
            <w:tcW w:w="898" w:type="dxa"/>
            <w:gridSpan w:val="2"/>
            <w:shd w:val="clear" w:color="auto" w:fill="auto"/>
            <w:vAlign w:val="bottom"/>
          </w:tcPr>
          <w:p w:rsidR="005709F0" w:rsidRPr="00AC36A1" w:rsidRDefault="005709F0" w:rsidP="001B65C5">
            <w:pPr>
              <w:tabs>
                <w:tab w:val="left" w:pos="288"/>
                <w:tab w:val="left" w:pos="576"/>
                <w:tab w:val="left" w:pos="864"/>
                <w:tab w:val="left" w:pos="1152"/>
              </w:tabs>
              <w:spacing w:before="40" w:after="40" w:line="210" w:lineRule="exact"/>
              <w:ind w:right="43"/>
              <w:jc w:val="right"/>
              <w:rPr>
                <w:sz w:val="17"/>
              </w:rPr>
            </w:pPr>
            <w:r w:rsidRPr="00AC36A1">
              <w:rPr>
                <w:sz w:val="17"/>
              </w:rPr>
              <w:t>15</w:t>
            </w:r>
            <w:r w:rsidR="003D6A8B" w:rsidRPr="00AC36A1">
              <w:rPr>
                <w:sz w:val="17"/>
              </w:rPr>
              <w:t xml:space="preserve"> </w:t>
            </w:r>
            <w:r w:rsidRPr="00AC36A1">
              <w:rPr>
                <w:sz w:val="17"/>
              </w:rPr>
              <w:t>418</w:t>
            </w:r>
          </w:p>
        </w:tc>
        <w:tc>
          <w:tcPr>
            <w:tcW w:w="898" w:type="dxa"/>
            <w:shd w:val="clear" w:color="auto" w:fill="auto"/>
            <w:vAlign w:val="bottom"/>
          </w:tcPr>
          <w:p w:rsidR="005709F0" w:rsidRPr="00AC36A1" w:rsidRDefault="005709F0" w:rsidP="001B65C5">
            <w:pPr>
              <w:tabs>
                <w:tab w:val="left" w:pos="288"/>
                <w:tab w:val="left" w:pos="576"/>
                <w:tab w:val="left" w:pos="864"/>
                <w:tab w:val="left" w:pos="1152"/>
              </w:tabs>
              <w:spacing w:before="40" w:after="40" w:line="210" w:lineRule="exact"/>
              <w:ind w:right="43"/>
              <w:jc w:val="right"/>
              <w:rPr>
                <w:sz w:val="17"/>
              </w:rPr>
            </w:pPr>
            <w:r w:rsidRPr="00AC36A1">
              <w:rPr>
                <w:sz w:val="17"/>
              </w:rPr>
              <w:t>8</w:t>
            </w:r>
            <w:r w:rsidR="003D6A8B" w:rsidRPr="00AC36A1">
              <w:rPr>
                <w:sz w:val="17"/>
              </w:rPr>
              <w:t xml:space="preserve"> </w:t>
            </w:r>
            <w:r w:rsidRPr="00AC36A1">
              <w:rPr>
                <w:sz w:val="17"/>
              </w:rPr>
              <w:t>823</w:t>
            </w:r>
          </w:p>
        </w:tc>
        <w:tc>
          <w:tcPr>
            <w:tcW w:w="898" w:type="dxa"/>
            <w:shd w:val="clear" w:color="auto" w:fill="auto"/>
            <w:vAlign w:val="bottom"/>
          </w:tcPr>
          <w:p w:rsidR="005709F0" w:rsidRPr="00AC36A1" w:rsidRDefault="005709F0" w:rsidP="001B65C5">
            <w:pPr>
              <w:tabs>
                <w:tab w:val="left" w:pos="288"/>
                <w:tab w:val="left" w:pos="576"/>
                <w:tab w:val="left" w:pos="864"/>
                <w:tab w:val="left" w:pos="1152"/>
              </w:tabs>
              <w:spacing w:before="40" w:after="40" w:line="210" w:lineRule="exact"/>
              <w:ind w:right="43"/>
              <w:jc w:val="right"/>
              <w:rPr>
                <w:sz w:val="17"/>
              </w:rPr>
            </w:pPr>
            <w:r w:rsidRPr="00AC36A1">
              <w:rPr>
                <w:sz w:val="17"/>
              </w:rPr>
              <w:t>57</w:t>
            </w:r>
          </w:p>
        </w:tc>
      </w:tr>
      <w:tr w:rsidR="001B65C5" w:rsidRPr="00AC36A1" w:rsidTr="001B65C5">
        <w:tc>
          <w:tcPr>
            <w:tcW w:w="1935" w:type="dxa"/>
            <w:shd w:val="clear" w:color="auto" w:fill="auto"/>
            <w:vAlign w:val="bottom"/>
          </w:tcPr>
          <w:p w:rsidR="005709F0" w:rsidRPr="00AC36A1" w:rsidRDefault="005709F0" w:rsidP="001B65C5">
            <w:pPr>
              <w:tabs>
                <w:tab w:val="left" w:pos="288"/>
                <w:tab w:val="left" w:pos="576"/>
                <w:tab w:val="left" w:pos="864"/>
                <w:tab w:val="left" w:pos="1152"/>
              </w:tabs>
              <w:spacing w:before="40" w:after="40" w:line="210" w:lineRule="exact"/>
              <w:ind w:right="40"/>
              <w:rPr>
                <w:sz w:val="17"/>
              </w:rPr>
            </w:pPr>
            <w:r w:rsidRPr="00AC36A1">
              <w:rPr>
                <w:sz w:val="17"/>
              </w:rPr>
              <w:t>Postgraduate Diploma</w:t>
            </w:r>
          </w:p>
        </w:tc>
        <w:tc>
          <w:tcPr>
            <w:tcW w:w="897" w:type="dxa"/>
            <w:shd w:val="clear" w:color="auto" w:fill="auto"/>
            <w:vAlign w:val="bottom"/>
          </w:tcPr>
          <w:p w:rsidR="005709F0" w:rsidRPr="00AC36A1" w:rsidRDefault="005709F0" w:rsidP="001B65C5">
            <w:pPr>
              <w:tabs>
                <w:tab w:val="left" w:pos="288"/>
                <w:tab w:val="left" w:pos="576"/>
                <w:tab w:val="left" w:pos="864"/>
                <w:tab w:val="left" w:pos="1152"/>
              </w:tabs>
              <w:spacing w:before="40" w:after="40" w:line="210" w:lineRule="exact"/>
              <w:ind w:right="43"/>
              <w:jc w:val="right"/>
              <w:rPr>
                <w:sz w:val="17"/>
              </w:rPr>
            </w:pPr>
            <w:r w:rsidRPr="00AC36A1">
              <w:rPr>
                <w:sz w:val="17"/>
              </w:rPr>
              <w:t>4</w:t>
            </w:r>
            <w:r w:rsidR="003D6A8B" w:rsidRPr="00AC36A1">
              <w:rPr>
                <w:sz w:val="17"/>
              </w:rPr>
              <w:t xml:space="preserve"> </w:t>
            </w:r>
            <w:r w:rsidRPr="00AC36A1">
              <w:rPr>
                <w:sz w:val="17"/>
              </w:rPr>
              <w:t>912</w:t>
            </w:r>
          </w:p>
        </w:tc>
        <w:tc>
          <w:tcPr>
            <w:tcW w:w="898" w:type="dxa"/>
            <w:shd w:val="clear" w:color="auto" w:fill="auto"/>
            <w:vAlign w:val="bottom"/>
          </w:tcPr>
          <w:p w:rsidR="005709F0" w:rsidRPr="00AC36A1" w:rsidRDefault="005709F0" w:rsidP="001B65C5">
            <w:pPr>
              <w:tabs>
                <w:tab w:val="left" w:pos="288"/>
                <w:tab w:val="left" w:pos="576"/>
                <w:tab w:val="left" w:pos="864"/>
                <w:tab w:val="left" w:pos="1152"/>
              </w:tabs>
              <w:spacing w:before="40" w:after="40" w:line="210" w:lineRule="exact"/>
              <w:ind w:right="43"/>
              <w:jc w:val="right"/>
              <w:rPr>
                <w:sz w:val="17"/>
              </w:rPr>
            </w:pPr>
            <w:r w:rsidRPr="00AC36A1">
              <w:rPr>
                <w:sz w:val="17"/>
              </w:rPr>
              <w:t>3</w:t>
            </w:r>
            <w:r w:rsidR="003D6A8B" w:rsidRPr="00AC36A1">
              <w:rPr>
                <w:sz w:val="17"/>
              </w:rPr>
              <w:t xml:space="preserve"> </w:t>
            </w:r>
            <w:r w:rsidRPr="00AC36A1">
              <w:rPr>
                <w:sz w:val="17"/>
              </w:rPr>
              <w:t>480</w:t>
            </w:r>
          </w:p>
        </w:tc>
        <w:tc>
          <w:tcPr>
            <w:tcW w:w="898" w:type="dxa"/>
            <w:shd w:val="clear" w:color="auto" w:fill="auto"/>
            <w:vAlign w:val="bottom"/>
          </w:tcPr>
          <w:p w:rsidR="005709F0" w:rsidRPr="00AC36A1" w:rsidRDefault="005709F0" w:rsidP="001B65C5">
            <w:pPr>
              <w:tabs>
                <w:tab w:val="left" w:pos="288"/>
                <w:tab w:val="left" w:pos="576"/>
                <w:tab w:val="left" w:pos="864"/>
                <w:tab w:val="left" w:pos="1152"/>
              </w:tabs>
              <w:spacing w:before="40" w:after="40" w:line="210" w:lineRule="exact"/>
              <w:ind w:right="43"/>
              <w:jc w:val="right"/>
              <w:rPr>
                <w:sz w:val="17"/>
              </w:rPr>
            </w:pPr>
            <w:r w:rsidRPr="00AC36A1">
              <w:rPr>
                <w:sz w:val="17"/>
              </w:rPr>
              <w:t>71</w:t>
            </w:r>
          </w:p>
        </w:tc>
        <w:tc>
          <w:tcPr>
            <w:tcW w:w="898" w:type="dxa"/>
            <w:gridSpan w:val="2"/>
            <w:shd w:val="clear" w:color="auto" w:fill="auto"/>
            <w:vAlign w:val="bottom"/>
          </w:tcPr>
          <w:p w:rsidR="005709F0" w:rsidRPr="00AC36A1" w:rsidRDefault="005709F0" w:rsidP="001B65C5">
            <w:pPr>
              <w:tabs>
                <w:tab w:val="left" w:pos="288"/>
                <w:tab w:val="left" w:pos="576"/>
                <w:tab w:val="left" w:pos="864"/>
                <w:tab w:val="left" w:pos="1152"/>
              </w:tabs>
              <w:spacing w:before="40" w:after="40" w:line="210" w:lineRule="exact"/>
              <w:ind w:right="43"/>
              <w:jc w:val="right"/>
              <w:rPr>
                <w:sz w:val="17"/>
              </w:rPr>
            </w:pPr>
            <w:r w:rsidRPr="00AC36A1">
              <w:rPr>
                <w:sz w:val="17"/>
              </w:rPr>
              <w:t>5</w:t>
            </w:r>
            <w:r w:rsidR="003D6A8B" w:rsidRPr="00AC36A1">
              <w:rPr>
                <w:sz w:val="17"/>
              </w:rPr>
              <w:t xml:space="preserve"> </w:t>
            </w:r>
            <w:r w:rsidRPr="00AC36A1">
              <w:rPr>
                <w:sz w:val="17"/>
              </w:rPr>
              <w:t>564</w:t>
            </w:r>
          </w:p>
        </w:tc>
        <w:tc>
          <w:tcPr>
            <w:tcW w:w="898" w:type="dxa"/>
            <w:shd w:val="clear" w:color="auto" w:fill="auto"/>
            <w:vAlign w:val="bottom"/>
          </w:tcPr>
          <w:p w:rsidR="005709F0" w:rsidRPr="00AC36A1" w:rsidRDefault="005709F0" w:rsidP="001B65C5">
            <w:pPr>
              <w:tabs>
                <w:tab w:val="left" w:pos="288"/>
                <w:tab w:val="left" w:pos="576"/>
                <w:tab w:val="left" w:pos="864"/>
                <w:tab w:val="left" w:pos="1152"/>
              </w:tabs>
              <w:spacing w:before="40" w:after="40" w:line="210" w:lineRule="exact"/>
              <w:ind w:right="43"/>
              <w:jc w:val="right"/>
              <w:rPr>
                <w:sz w:val="17"/>
              </w:rPr>
            </w:pPr>
            <w:r w:rsidRPr="00AC36A1">
              <w:rPr>
                <w:sz w:val="17"/>
              </w:rPr>
              <w:t>3</w:t>
            </w:r>
            <w:r w:rsidR="003D6A8B" w:rsidRPr="00AC36A1">
              <w:rPr>
                <w:sz w:val="17"/>
              </w:rPr>
              <w:t xml:space="preserve"> </w:t>
            </w:r>
            <w:r w:rsidRPr="00AC36A1">
              <w:rPr>
                <w:sz w:val="17"/>
              </w:rPr>
              <w:t>783</w:t>
            </w:r>
          </w:p>
        </w:tc>
        <w:tc>
          <w:tcPr>
            <w:tcW w:w="898" w:type="dxa"/>
            <w:shd w:val="clear" w:color="auto" w:fill="auto"/>
            <w:vAlign w:val="bottom"/>
          </w:tcPr>
          <w:p w:rsidR="005709F0" w:rsidRPr="00AC36A1" w:rsidRDefault="005709F0" w:rsidP="001B65C5">
            <w:pPr>
              <w:tabs>
                <w:tab w:val="left" w:pos="288"/>
                <w:tab w:val="left" w:pos="576"/>
                <w:tab w:val="left" w:pos="864"/>
                <w:tab w:val="left" w:pos="1152"/>
              </w:tabs>
              <w:spacing w:before="40" w:after="40" w:line="210" w:lineRule="exact"/>
              <w:ind w:right="43"/>
              <w:jc w:val="right"/>
              <w:rPr>
                <w:sz w:val="17"/>
              </w:rPr>
            </w:pPr>
            <w:r w:rsidRPr="00AC36A1">
              <w:rPr>
                <w:sz w:val="17"/>
              </w:rPr>
              <w:t>68</w:t>
            </w:r>
          </w:p>
        </w:tc>
      </w:tr>
      <w:tr w:rsidR="001B65C5" w:rsidRPr="00AC36A1" w:rsidTr="001B65C5">
        <w:tc>
          <w:tcPr>
            <w:tcW w:w="1935" w:type="dxa"/>
            <w:tcBorders>
              <w:bottom w:val="single" w:sz="12" w:space="0" w:color="auto"/>
            </w:tcBorders>
            <w:shd w:val="clear" w:color="auto" w:fill="auto"/>
            <w:vAlign w:val="bottom"/>
          </w:tcPr>
          <w:p w:rsidR="005709F0" w:rsidRPr="00AC36A1" w:rsidRDefault="005709F0" w:rsidP="001B65C5">
            <w:pPr>
              <w:tabs>
                <w:tab w:val="left" w:pos="288"/>
                <w:tab w:val="left" w:pos="576"/>
                <w:tab w:val="left" w:pos="864"/>
                <w:tab w:val="left" w:pos="1152"/>
              </w:tabs>
              <w:spacing w:before="40" w:after="40" w:line="210" w:lineRule="exact"/>
              <w:ind w:right="40"/>
              <w:rPr>
                <w:sz w:val="17"/>
              </w:rPr>
            </w:pPr>
            <w:r w:rsidRPr="00AC36A1">
              <w:rPr>
                <w:sz w:val="17"/>
              </w:rPr>
              <w:t xml:space="preserve">Higher Degree </w:t>
            </w:r>
          </w:p>
        </w:tc>
        <w:tc>
          <w:tcPr>
            <w:tcW w:w="897" w:type="dxa"/>
            <w:tcBorders>
              <w:bottom w:val="single" w:sz="12" w:space="0" w:color="auto"/>
            </w:tcBorders>
            <w:shd w:val="clear" w:color="auto" w:fill="auto"/>
            <w:vAlign w:val="bottom"/>
          </w:tcPr>
          <w:p w:rsidR="005709F0" w:rsidRPr="00AC36A1" w:rsidRDefault="005709F0" w:rsidP="001B65C5">
            <w:pPr>
              <w:tabs>
                <w:tab w:val="left" w:pos="288"/>
                <w:tab w:val="left" w:pos="576"/>
                <w:tab w:val="left" w:pos="864"/>
                <w:tab w:val="left" w:pos="1152"/>
              </w:tabs>
              <w:spacing w:before="40" w:after="40" w:line="210" w:lineRule="exact"/>
              <w:ind w:right="43"/>
              <w:jc w:val="right"/>
              <w:rPr>
                <w:sz w:val="17"/>
              </w:rPr>
            </w:pPr>
            <w:r w:rsidRPr="00AC36A1">
              <w:rPr>
                <w:sz w:val="17"/>
              </w:rPr>
              <w:t>887</w:t>
            </w:r>
          </w:p>
        </w:tc>
        <w:tc>
          <w:tcPr>
            <w:tcW w:w="898" w:type="dxa"/>
            <w:tcBorders>
              <w:bottom w:val="single" w:sz="12" w:space="0" w:color="auto"/>
            </w:tcBorders>
            <w:shd w:val="clear" w:color="auto" w:fill="auto"/>
            <w:vAlign w:val="bottom"/>
          </w:tcPr>
          <w:p w:rsidR="005709F0" w:rsidRPr="00AC36A1" w:rsidRDefault="005709F0" w:rsidP="001B65C5">
            <w:pPr>
              <w:tabs>
                <w:tab w:val="left" w:pos="288"/>
                <w:tab w:val="left" w:pos="576"/>
                <w:tab w:val="left" w:pos="864"/>
                <w:tab w:val="left" w:pos="1152"/>
              </w:tabs>
              <w:spacing w:before="40" w:after="40" w:line="210" w:lineRule="exact"/>
              <w:ind w:right="43"/>
              <w:jc w:val="right"/>
              <w:rPr>
                <w:sz w:val="17"/>
              </w:rPr>
            </w:pPr>
            <w:r w:rsidRPr="00AC36A1">
              <w:rPr>
                <w:sz w:val="17"/>
              </w:rPr>
              <w:t>391</w:t>
            </w:r>
          </w:p>
        </w:tc>
        <w:tc>
          <w:tcPr>
            <w:tcW w:w="898" w:type="dxa"/>
            <w:tcBorders>
              <w:bottom w:val="single" w:sz="12" w:space="0" w:color="auto"/>
            </w:tcBorders>
            <w:shd w:val="clear" w:color="auto" w:fill="auto"/>
            <w:vAlign w:val="bottom"/>
          </w:tcPr>
          <w:p w:rsidR="005709F0" w:rsidRPr="00AC36A1" w:rsidRDefault="005709F0" w:rsidP="001B65C5">
            <w:pPr>
              <w:tabs>
                <w:tab w:val="left" w:pos="288"/>
                <w:tab w:val="left" w:pos="576"/>
                <w:tab w:val="left" w:pos="864"/>
                <w:tab w:val="left" w:pos="1152"/>
              </w:tabs>
              <w:spacing w:before="40" w:after="40" w:line="210" w:lineRule="exact"/>
              <w:ind w:right="43"/>
              <w:jc w:val="right"/>
              <w:rPr>
                <w:sz w:val="17"/>
              </w:rPr>
            </w:pPr>
            <w:r w:rsidRPr="00AC36A1">
              <w:rPr>
                <w:sz w:val="17"/>
              </w:rPr>
              <w:t>44</w:t>
            </w:r>
          </w:p>
        </w:tc>
        <w:tc>
          <w:tcPr>
            <w:tcW w:w="898" w:type="dxa"/>
            <w:gridSpan w:val="2"/>
            <w:tcBorders>
              <w:bottom w:val="single" w:sz="12" w:space="0" w:color="auto"/>
            </w:tcBorders>
            <w:shd w:val="clear" w:color="auto" w:fill="auto"/>
            <w:vAlign w:val="bottom"/>
          </w:tcPr>
          <w:p w:rsidR="005709F0" w:rsidRPr="00AC36A1" w:rsidRDefault="005709F0" w:rsidP="001B65C5">
            <w:pPr>
              <w:tabs>
                <w:tab w:val="left" w:pos="288"/>
                <w:tab w:val="left" w:pos="576"/>
                <w:tab w:val="left" w:pos="864"/>
                <w:tab w:val="left" w:pos="1152"/>
              </w:tabs>
              <w:spacing w:before="40" w:after="40" w:line="210" w:lineRule="exact"/>
              <w:ind w:right="43"/>
              <w:jc w:val="right"/>
              <w:rPr>
                <w:sz w:val="17"/>
              </w:rPr>
            </w:pPr>
            <w:r w:rsidRPr="00AC36A1">
              <w:rPr>
                <w:sz w:val="17"/>
              </w:rPr>
              <w:t>890</w:t>
            </w:r>
          </w:p>
        </w:tc>
        <w:tc>
          <w:tcPr>
            <w:tcW w:w="898" w:type="dxa"/>
            <w:tcBorders>
              <w:bottom w:val="single" w:sz="12" w:space="0" w:color="auto"/>
            </w:tcBorders>
            <w:shd w:val="clear" w:color="auto" w:fill="auto"/>
            <w:vAlign w:val="bottom"/>
          </w:tcPr>
          <w:p w:rsidR="005709F0" w:rsidRPr="00AC36A1" w:rsidRDefault="005709F0" w:rsidP="001B65C5">
            <w:pPr>
              <w:tabs>
                <w:tab w:val="left" w:pos="288"/>
                <w:tab w:val="left" w:pos="576"/>
                <w:tab w:val="left" w:pos="864"/>
                <w:tab w:val="left" w:pos="1152"/>
              </w:tabs>
              <w:spacing w:before="40" w:after="40" w:line="210" w:lineRule="exact"/>
              <w:ind w:right="43"/>
              <w:jc w:val="right"/>
              <w:rPr>
                <w:sz w:val="17"/>
              </w:rPr>
            </w:pPr>
            <w:r w:rsidRPr="00AC36A1">
              <w:rPr>
                <w:sz w:val="17"/>
              </w:rPr>
              <w:t>397</w:t>
            </w:r>
          </w:p>
        </w:tc>
        <w:tc>
          <w:tcPr>
            <w:tcW w:w="898" w:type="dxa"/>
            <w:tcBorders>
              <w:bottom w:val="single" w:sz="12" w:space="0" w:color="auto"/>
            </w:tcBorders>
            <w:shd w:val="clear" w:color="auto" w:fill="auto"/>
            <w:vAlign w:val="bottom"/>
          </w:tcPr>
          <w:p w:rsidR="005709F0" w:rsidRPr="00AC36A1" w:rsidRDefault="005709F0" w:rsidP="001B65C5">
            <w:pPr>
              <w:tabs>
                <w:tab w:val="left" w:pos="288"/>
                <w:tab w:val="left" w:pos="576"/>
                <w:tab w:val="left" w:pos="864"/>
                <w:tab w:val="left" w:pos="1152"/>
              </w:tabs>
              <w:spacing w:before="40" w:after="40" w:line="210" w:lineRule="exact"/>
              <w:ind w:right="43"/>
              <w:jc w:val="right"/>
              <w:rPr>
                <w:sz w:val="17"/>
              </w:rPr>
            </w:pPr>
            <w:r w:rsidRPr="00AC36A1">
              <w:rPr>
                <w:sz w:val="17"/>
              </w:rPr>
              <w:t>45</w:t>
            </w:r>
          </w:p>
        </w:tc>
      </w:tr>
    </w:tbl>
    <w:p w:rsidR="001B65C5" w:rsidRPr="00AC36A1" w:rsidRDefault="001B65C5" w:rsidP="001B65C5">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113"/>
        </w:tabs>
        <w:spacing w:after="0" w:line="120" w:lineRule="exact"/>
        <w:rPr>
          <w:sz w:val="10"/>
        </w:rPr>
      </w:pPr>
      <w:r w:rsidRPr="00AC36A1">
        <w:rPr>
          <w:sz w:val="10"/>
        </w:rPr>
        <w:tab/>
      </w:r>
    </w:p>
    <w:p w:rsidR="00CF1DFA" w:rsidRPr="00AC36A1" w:rsidRDefault="00CF1DFA" w:rsidP="001B65C5">
      <w:pPr>
        <w:pStyle w:val="FootnoteText"/>
        <w:tabs>
          <w:tab w:val="clear" w:pos="418"/>
          <w:tab w:val="right" w:pos="1476"/>
          <w:tab w:val="left" w:pos="1548"/>
          <w:tab w:val="right" w:pos="1836"/>
          <w:tab w:val="left" w:pos="1908"/>
        </w:tabs>
        <w:ind w:left="1548" w:right="1267" w:hanging="288"/>
        <w:rPr>
          <w:i/>
        </w:rPr>
      </w:pPr>
      <w:r w:rsidRPr="00AC36A1">
        <w:rPr>
          <w:b/>
          <w:i/>
        </w:rPr>
        <w:t>Source</w:t>
      </w:r>
      <w:r w:rsidRPr="00AC36A1">
        <w:rPr>
          <w:i/>
        </w:rPr>
        <w:t>: Sri Lanka University Statistics- Ministry of Higher Education</w:t>
      </w:r>
      <w:r w:rsidR="001B65C5" w:rsidRPr="00AC36A1">
        <w:rPr>
          <w:i/>
        </w:rPr>
        <w:t>.</w:t>
      </w:r>
    </w:p>
    <w:p w:rsidR="001B65C5" w:rsidRPr="00AC36A1" w:rsidRDefault="001B65C5" w:rsidP="001B65C5">
      <w:pPr>
        <w:pStyle w:val="SingleTxt"/>
        <w:spacing w:after="0" w:line="120" w:lineRule="exact"/>
        <w:rPr>
          <w:sz w:val="10"/>
        </w:rPr>
      </w:pPr>
    </w:p>
    <w:p w:rsidR="001B65C5" w:rsidRPr="00AC36A1" w:rsidRDefault="001B65C5" w:rsidP="001B65C5">
      <w:pPr>
        <w:pStyle w:val="SingleTxt"/>
        <w:spacing w:after="0" w:line="120" w:lineRule="exact"/>
        <w:rPr>
          <w:sz w:val="10"/>
        </w:rPr>
      </w:pPr>
    </w:p>
    <w:p w:rsidR="00CF1DFA" w:rsidRPr="00AC36A1" w:rsidRDefault="001B65C5" w:rsidP="001B65C5">
      <w:pPr>
        <w:pStyle w:val="H23"/>
        <w:ind w:right="1260"/>
        <w:rPr>
          <w:b w:val="0"/>
        </w:rPr>
      </w:pPr>
      <w:r w:rsidRPr="00AC36A1">
        <w:tab/>
      </w:r>
      <w:r w:rsidRPr="00AC36A1">
        <w:tab/>
      </w:r>
      <w:r w:rsidR="00CF1DFA" w:rsidRPr="00AC36A1">
        <w:rPr>
          <w:b w:val="0"/>
        </w:rPr>
        <w:t>Table 9</w:t>
      </w:r>
    </w:p>
    <w:p w:rsidR="00CF1DFA" w:rsidRPr="00AC36A1" w:rsidRDefault="001B65C5" w:rsidP="001B65C5">
      <w:pPr>
        <w:pStyle w:val="H23"/>
        <w:ind w:right="1260"/>
      </w:pPr>
      <w:r w:rsidRPr="00AC36A1">
        <w:tab/>
      </w:r>
      <w:r w:rsidRPr="00AC36A1">
        <w:tab/>
      </w:r>
      <w:r w:rsidR="00CF1DFA" w:rsidRPr="00AC36A1">
        <w:t xml:space="preserve">Vocational and Technical Training </w:t>
      </w:r>
      <w:r w:rsidRPr="00AC36A1">
        <w:t>—</w:t>
      </w:r>
      <w:r w:rsidR="00CF1DFA" w:rsidRPr="00AC36A1">
        <w:t xml:space="preserve"> 2013 in selected Public Sector Training</w:t>
      </w:r>
      <w:r w:rsidRPr="00AC36A1">
        <w:t> </w:t>
      </w:r>
      <w:r w:rsidR="00CF1DFA" w:rsidRPr="00AC36A1">
        <w:t>Organizations</w:t>
      </w:r>
    </w:p>
    <w:p w:rsidR="001B65C5" w:rsidRPr="00AC36A1" w:rsidRDefault="001B65C5" w:rsidP="001B65C5">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239"/>
        <w:gridCol w:w="770"/>
        <w:gridCol w:w="770"/>
        <w:gridCol w:w="80"/>
        <w:gridCol w:w="690"/>
        <w:gridCol w:w="771"/>
      </w:tblGrid>
      <w:tr w:rsidR="001B65C5" w:rsidRPr="00AC36A1" w:rsidTr="001B65C5">
        <w:trPr>
          <w:tblHeader/>
        </w:trPr>
        <w:tc>
          <w:tcPr>
            <w:tcW w:w="4239" w:type="dxa"/>
            <w:tcBorders>
              <w:top w:val="single" w:sz="4" w:space="0" w:color="auto"/>
            </w:tcBorders>
            <w:shd w:val="clear" w:color="auto" w:fill="auto"/>
            <w:vAlign w:val="bottom"/>
          </w:tcPr>
          <w:p w:rsidR="001B65C5" w:rsidRPr="00AC36A1" w:rsidRDefault="001B65C5" w:rsidP="001B65C5">
            <w:pPr>
              <w:spacing w:before="81" w:after="81" w:line="160" w:lineRule="exact"/>
              <w:ind w:right="40"/>
              <w:rPr>
                <w:i/>
                <w:sz w:val="14"/>
              </w:rPr>
            </w:pPr>
          </w:p>
        </w:tc>
        <w:tc>
          <w:tcPr>
            <w:tcW w:w="1540" w:type="dxa"/>
            <w:gridSpan w:val="2"/>
            <w:tcBorders>
              <w:top w:val="single" w:sz="4" w:space="0" w:color="auto"/>
              <w:bottom w:val="single" w:sz="4" w:space="0" w:color="auto"/>
            </w:tcBorders>
            <w:shd w:val="clear" w:color="auto" w:fill="auto"/>
            <w:vAlign w:val="bottom"/>
          </w:tcPr>
          <w:p w:rsidR="001B65C5" w:rsidRPr="00AC36A1" w:rsidRDefault="001B65C5" w:rsidP="001B65C5">
            <w:pPr>
              <w:spacing w:before="81" w:after="81" w:line="160" w:lineRule="exact"/>
              <w:ind w:right="43"/>
              <w:jc w:val="center"/>
              <w:rPr>
                <w:i/>
                <w:sz w:val="14"/>
              </w:rPr>
            </w:pPr>
            <w:r w:rsidRPr="00AC36A1">
              <w:rPr>
                <w:i/>
                <w:sz w:val="14"/>
              </w:rPr>
              <w:t>Recruited</w:t>
            </w:r>
          </w:p>
        </w:tc>
        <w:tc>
          <w:tcPr>
            <w:tcW w:w="80" w:type="dxa"/>
            <w:tcBorders>
              <w:top w:val="single" w:sz="4" w:space="0" w:color="auto"/>
            </w:tcBorders>
            <w:shd w:val="clear" w:color="auto" w:fill="auto"/>
            <w:vAlign w:val="bottom"/>
          </w:tcPr>
          <w:p w:rsidR="001B65C5" w:rsidRPr="00AC36A1" w:rsidRDefault="001B65C5" w:rsidP="001B65C5">
            <w:pPr>
              <w:spacing w:before="81" w:after="81" w:line="160" w:lineRule="exact"/>
              <w:ind w:right="43"/>
              <w:jc w:val="right"/>
              <w:rPr>
                <w:i/>
                <w:sz w:val="14"/>
              </w:rPr>
            </w:pPr>
          </w:p>
        </w:tc>
        <w:tc>
          <w:tcPr>
            <w:tcW w:w="1461" w:type="dxa"/>
            <w:gridSpan w:val="2"/>
            <w:tcBorders>
              <w:top w:val="single" w:sz="4" w:space="0" w:color="auto"/>
              <w:bottom w:val="single" w:sz="4" w:space="0" w:color="auto"/>
            </w:tcBorders>
            <w:shd w:val="clear" w:color="auto" w:fill="auto"/>
            <w:vAlign w:val="bottom"/>
          </w:tcPr>
          <w:p w:rsidR="001B65C5" w:rsidRPr="00AC36A1" w:rsidRDefault="001B65C5" w:rsidP="001B65C5">
            <w:pPr>
              <w:spacing w:before="81" w:after="81" w:line="160" w:lineRule="exact"/>
              <w:ind w:right="43"/>
              <w:jc w:val="center"/>
              <w:rPr>
                <w:i/>
                <w:sz w:val="14"/>
              </w:rPr>
            </w:pPr>
            <w:r w:rsidRPr="00AC36A1">
              <w:rPr>
                <w:i/>
                <w:sz w:val="14"/>
              </w:rPr>
              <w:t>Completed</w:t>
            </w:r>
          </w:p>
        </w:tc>
      </w:tr>
      <w:tr w:rsidR="001B65C5" w:rsidRPr="00AC36A1" w:rsidTr="001B65C5">
        <w:trPr>
          <w:tblHeader/>
        </w:trPr>
        <w:tc>
          <w:tcPr>
            <w:tcW w:w="4239" w:type="dxa"/>
            <w:tcBorders>
              <w:bottom w:val="single" w:sz="12" w:space="0" w:color="auto"/>
            </w:tcBorders>
            <w:shd w:val="clear" w:color="auto" w:fill="auto"/>
            <w:vAlign w:val="bottom"/>
          </w:tcPr>
          <w:p w:rsidR="001B65C5" w:rsidRPr="00AC36A1" w:rsidRDefault="001B65C5" w:rsidP="001B65C5">
            <w:pPr>
              <w:spacing w:before="81" w:after="81" w:line="160" w:lineRule="exact"/>
              <w:ind w:right="40"/>
              <w:rPr>
                <w:i/>
                <w:sz w:val="14"/>
              </w:rPr>
            </w:pPr>
            <w:r w:rsidRPr="00AC36A1">
              <w:rPr>
                <w:i/>
                <w:sz w:val="14"/>
              </w:rPr>
              <w:t>Institute</w:t>
            </w:r>
          </w:p>
        </w:tc>
        <w:tc>
          <w:tcPr>
            <w:tcW w:w="770" w:type="dxa"/>
            <w:tcBorders>
              <w:top w:val="single" w:sz="4" w:space="0" w:color="auto"/>
              <w:bottom w:val="single" w:sz="12" w:space="0" w:color="auto"/>
            </w:tcBorders>
            <w:shd w:val="clear" w:color="auto" w:fill="auto"/>
            <w:vAlign w:val="bottom"/>
          </w:tcPr>
          <w:p w:rsidR="001B65C5" w:rsidRPr="00AC36A1" w:rsidRDefault="001B65C5" w:rsidP="001B65C5">
            <w:pPr>
              <w:spacing w:before="81" w:after="81" w:line="160" w:lineRule="exact"/>
              <w:ind w:right="43"/>
              <w:jc w:val="right"/>
              <w:rPr>
                <w:i/>
                <w:sz w:val="14"/>
              </w:rPr>
            </w:pPr>
            <w:r w:rsidRPr="00AC36A1">
              <w:rPr>
                <w:i/>
                <w:sz w:val="14"/>
              </w:rPr>
              <w:t>Total No.</w:t>
            </w:r>
          </w:p>
        </w:tc>
        <w:tc>
          <w:tcPr>
            <w:tcW w:w="770" w:type="dxa"/>
            <w:tcBorders>
              <w:top w:val="single" w:sz="4" w:space="0" w:color="auto"/>
              <w:bottom w:val="single" w:sz="12" w:space="0" w:color="auto"/>
            </w:tcBorders>
            <w:shd w:val="clear" w:color="auto" w:fill="auto"/>
            <w:vAlign w:val="bottom"/>
          </w:tcPr>
          <w:p w:rsidR="001B65C5" w:rsidRPr="00AC36A1" w:rsidRDefault="001B65C5" w:rsidP="001B65C5">
            <w:pPr>
              <w:spacing w:before="81" w:after="81" w:line="160" w:lineRule="exact"/>
              <w:ind w:right="43"/>
              <w:jc w:val="right"/>
              <w:rPr>
                <w:i/>
                <w:sz w:val="14"/>
              </w:rPr>
            </w:pPr>
            <w:r w:rsidRPr="00AC36A1">
              <w:rPr>
                <w:i/>
                <w:sz w:val="14"/>
              </w:rPr>
              <w:t xml:space="preserve">% of Women </w:t>
            </w:r>
          </w:p>
        </w:tc>
        <w:tc>
          <w:tcPr>
            <w:tcW w:w="770" w:type="dxa"/>
            <w:gridSpan w:val="2"/>
            <w:tcBorders>
              <w:bottom w:val="single" w:sz="12" w:space="0" w:color="auto"/>
            </w:tcBorders>
            <w:shd w:val="clear" w:color="auto" w:fill="auto"/>
            <w:vAlign w:val="bottom"/>
          </w:tcPr>
          <w:p w:rsidR="001B65C5" w:rsidRPr="00AC36A1" w:rsidRDefault="001B65C5" w:rsidP="001B65C5">
            <w:pPr>
              <w:spacing w:before="81" w:after="81" w:line="160" w:lineRule="exact"/>
              <w:ind w:right="43"/>
              <w:jc w:val="right"/>
              <w:rPr>
                <w:i/>
                <w:sz w:val="14"/>
              </w:rPr>
            </w:pPr>
            <w:r w:rsidRPr="00AC36A1">
              <w:rPr>
                <w:i/>
                <w:sz w:val="14"/>
              </w:rPr>
              <w:t>Total No.</w:t>
            </w:r>
          </w:p>
        </w:tc>
        <w:tc>
          <w:tcPr>
            <w:tcW w:w="771" w:type="dxa"/>
            <w:tcBorders>
              <w:bottom w:val="single" w:sz="12" w:space="0" w:color="auto"/>
            </w:tcBorders>
            <w:shd w:val="clear" w:color="auto" w:fill="auto"/>
            <w:vAlign w:val="bottom"/>
          </w:tcPr>
          <w:p w:rsidR="001B65C5" w:rsidRPr="00AC36A1" w:rsidRDefault="001B65C5" w:rsidP="001B65C5">
            <w:pPr>
              <w:spacing w:before="81" w:after="81" w:line="160" w:lineRule="exact"/>
              <w:ind w:right="43"/>
              <w:jc w:val="right"/>
              <w:rPr>
                <w:i/>
                <w:sz w:val="14"/>
              </w:rPr>
            </w:pPr>
            <w:r w:rsidRPr="00AC36A1">
              <w:rPr>
                <w:i/>
                <w:sz w:val="14"/>
              </w:rPr>
              <w:t>% of Women</w:t>
            </w:r>
          </w:p>
        </w:tc>
      </w:tr>
      <w:tr w:rsidR="001B65C5" w:rsidRPr="00AC36A1" w:rsidTr="001B65C5">
        <w:trPr>
          <w:trHeight w:hRule="exact" w:val="115"/>
          <w:tblHeader/>
        </w:trPr>
        <w:tc>
          <w:tcPr>
            <w:tcW w:w="4239" w:type="dxa"/>
            <w:tcBorders>
              <w:top w:val="single" w:sz="12" w:space="0" w:color="auto"/>
            </w:tcBorders>
            <w:shd w:val="clear" w:color="auto" w:fill="auto"/>
            <w:vAlign w:val="bottom"/>
          </w:tcPr>
          <w:p w:rsidR="001B65C5" w:rsidRPr="00AC36A1" w:rsidRDefault="001B65C5" w:rsidP="001B65C5">
            <w:pPr>
              <w:spacing w:before="40" w:after="40" w:line="210" w:lineRule="exact"/>
              <w:ind w:right="40"/>
              <w:rPr>
                <w:sz w:val="17"/>
              </w:rPr>
            </w:pPr>
          </w:p>
        </w:tc>
        <w:tc>
          <w:tcPr>
            <w:tcW w:w="770" w:type="dxa"/>
            <w:tcBorders>
              <w:top w:val="single" w:sz="12" w:space="0" w:color="auto"/>
            </w:tcBorders>
            <w:shd w:val="clear" w:color="auto" w:fill="auto"/>
            <w:vAlign w:val="bottom"/>
          </w:tcPr>
          <w:p w:rsidR="001B65C5" w:rsidRPr="00AC36A1" w:rsidRDefault="001B65C5" w:rsidP="001B65C5">
            <w:pPr>
              <w:spacing w:before="40" w:after="40" w:line="210" w:lineRule="exact"/>
              <w:ind w:right="43"/>
              <w:jc w:val="right"/>
              <w:rPr>
                <w:sz w:val="17"/>
              </w:rPr>
            </w:pPr>
          </w:p>
        </w:tc>
        <w:tc>
          <w:tcPr>
            <w:tcW w:w="770" w:type="dxa"/>
            <w:tcBorders>
              <w:top w:val="single" w:sz="12" w:space="0" w:color="auto"/>
            </w:tcBorders>
            <w:shd w:val="clear" w:color="auto" w:fill="auto"/>
            <w:vAlign w:val="bottom"/>
          </w:tcPr>
          <w:p w:rsidR="001B65C5" w:rsidRPr="00AC36A1" w:rsidRDefault="001B65C5" w:rsidP="001B65C5">
            <w:pPr>
              <w:spacing w:before="40" w:after="40" w:line="210" w:lineRule="exact"/>
              <w:ind w:right="43"/>
              <w:jc w:val="right"/>
              <w:rPr>
                <w:sz w:val="17"/>
              </w:rPr>
            </w:pPr>
          </w:p>
        </w:tc>
        <w:tc>
          <w:tcPr>
            <w:tcW w:w="770" w:type="dxa"/>
            <w:gridSpan w:val="2"/>
            <w:tcBorders>
              <w:top w:val="single" w:sz="12" w:space="0" w:color="auto"/>
            </w:tcBorders>
            <w:shd w:val="clear" w:color="auto" w:fill="auto"/>
            <w:vAlign w:val="bottom"/>
          </w:tcPr>
          <w:p w:rsidR="001B65C5" w:rsidRPr="00AC36A1" w:rsidRDefault="001B65C5" w:rsidP="001B65C5">
            <w:pPr>
              <w:spacing w:before="40" w:after="40" w:line="210" w:lineRule="exact"/>
              <w:ind w:right="43"/>
              <w:jc w:val="right"/>
              <w:rPr>
                <w:sz w:val="17"/>
              </w:rPr>
            </w:pPr>
          </w:p>
        </w:tc>
        <w:tc>
          <w:tcPr>
            <w:tcW w:w="771" w:type="dxa"/>
            <w:tcBorders>
              <w:top w:val="single" w:sz="12" w:space="0" w:color="auto"/>
            </w:tcBorders>
            <w:shd w:val="clear" w:color="auto" w:fill="auto"/>
            <w:vAlign w:val="bottom"/>
          </w:tcPr>
          <w:p w:rsidR="001B65C5" w:rsidRPr="00AC36A1" w:rsidRDefault="001B65C5" w:rsidP="001B65C5">
            <w:pPr>
              <w:spacing w:before="40" w:after="40" w:line="210" w:lineRule="exact"/>
              <w:ind w:right="43"/>
              <w:jc w:val="right"/>
              <w:rPr>
                <w:sz w:val="17"/>
              </w:rPr>
            </w:pPr>
          </w:p>
        </w:tc>
      </w:tr>
      <w:tr w:rsidR="001B65C5" w:rsidRPr="00AC36A1" w:rsidTr="001B65C5">
        <w:tc>
          <w:tcPr>
            <w:tcW w:w="4239" w:type="dxa"/>
            <w:shd w:val="clear" w:color="auto" w:fill="auto"/>
            <w:vAlign w:val="bottom"/>
          </w:tcPr>
          <w:p w:rsidR="001B65C5" w:rsidRPr="00AC36A1" w:rsidRDefault="001B65C5" w:rsidP="001B65C5">
            <w:pPr>
              <w:tabs>
                <w:tab w:val="left" w:pos="288"/>
                <w:tab w:val="left" w:pos="576"/>
                <w:tab w:val="left" w:pos="864"/>
                <w:tab w:val="left" w:pos="1152"/>
              </w:tabs>
              <w:spacing w:before="40" w:after="40" w:line="210" w:lineRule="exact"/>
              <w:ind w:right="40"/>
              <w:rPr>
                <w:sz w:val="17"/>
              </w:rPr>
            </w:pPr>
            <w:r w:rsidRPr="00AC36A1">
              <w:rPr>
                <w:sz w:val="17"/>
              </w:rPr>
              <w:t>Vocational Training Authority</w:t>
            </w:r>
          </w:p>
        </w:tc>
        <w:tc>
          <w:tcPr>
            <w:tcW w:w="770" w:type="dxa"/>
            <w:shd w:val="clear" w:color="auto" w:fill="auto"/>
            <w:vAlign w:val="bottom"/>
          </w:tcPr>
          <w:p w:rsidR="001B65C5" w:rsidRPr="00AC36A1" w:rsidRDefault="001B65C5" w:rsidP="001B65C5">
            <w:pPr>
              <w:tabs>
                <w:tab w:val="left" w:pos="288"/>
                <w:tab w:val="left" w:pos="576"/>
                <w:tab w:val="left" w:pos="864"/>
                <w:tab w:val="left" w:pos="1152"/>
              </w:tabs>
              <w:spacing w:before="40" w:after="40" w:line="210" w:lineRule="exact"/>
              <w:ind w:right="43"/>
              <w:jc w:val="right"/>
              <w:rPr>
                <w:sz w:val="17"/>
              </w:rPr>
            </w:pPr>
            <w:r w:rsidRPr="00AC36A1">
              <w:rPr>
                <w:sz w:val="17"/>
              </w:rPr>
              <w:t>28 080</w:t>
            </w:r>
          </w:p>
        </w:tc>
        <w:tc>
          <w:tcPr>
            <w:tcW w:w="770" w:type="dxa"/>
            <w:shd w:val="clear" w:color="auto" w:fill="auto"/>
            <w:vAlign w:val="bottom"/>
          </w:tcPr>
          <w:p w:rsidR="001B65C5" w:rsidRPr="00AC36A1" w:rsidRDefault="001B65C5" w:rsidP="001B65C5">
            <w:pPr>
              <w:tabs>
                <w:tab w:val="left" w:pos="288"/>
                <w:tab w:val="left" w:pos="576"/>
                <w:tab w:val="left" w:pos="864"/>
                <w:tab w:val="left" w:pos="1152"/>
              </w:tabs>
              <w:spacing w:before="40" w:after="40" w:line="210" w:lineRule="exact"/>
              <w:ind w:right="43"/>
              <w:jc w:val="right"/>
              <w:rPr>
                <w:sz w:val="17"/>
              </w:rPr>
            </w:pPr>
            <w:r w:rsidRPr="00AC36A1">
              <w:rPr>
                <w:sz w:val="17"/>
              </w:rPr>
              <w:t>40.29</w:t>
            </w:r>
          </w:p>
        </w:tc>
        <w:tc>
          <w:tcPr>
            <w:tcW w:w="770" w:type="dxa"/>
            <w:gridSpan w:val="2"/>
            <w:shd w:val="clear" w:color="auto" w:fill="auto"/>
            <w:vAlign w:val="bottom"/>
          </w:tcPr>
          <w:p w:rsidR="001B65C5" w:rsidRPr="00AC36A1" w:rsidRDefault="001B65C5" w:rsidP="001B65C5">
            <w:pPr>
              <w:tabs>
                <w:tab w:val="left" w:pos="288"/>
                <w:tab w:val="left" w:pos="576"/>
                <w:tab w:val="left" w:pos="864"/>
                <w:tab w:val="left" w:pos="1152"/>
              </w:tabs>
              <w:spacing w:before="40" w:after="40" w:line="210" w:lineRule="exact"/>
              <w:ind w:right="43"/>
              <w:jc w:val="right"/>
              <w:rPr>
                <w:sz w:val="17"/>
              </w:rPr>
            </w:pPr>
            <w:r w:rsidRPr="00AC36A1">
              <w:rPr>
                <w:sz w:val="17"/>
              </w:rPr>
              <w:t>23 332</w:t>
            </w:r>
          </w:p>
        </w:tc>
        <w:tc>
          <w:tcPr>
            <w:tcW w:w="771" w:type="dxa"/>
            <w:shd w:val="clear" w:color="auto" w:fill="auto"/>
            <w:vAlign w:val="bottom"/>
          </w:tcPr>
          <w:p w:rsidR="001B65C5" w:rsidRPr="00AC36A1" w:rsidRDefault="001B65C5" w:rsidP="001B65C5">
            <w:pPr>
              <w:tabs>
                <w:tab w:val="left" w:pos="288"/>
                <w:tab w:val="left" w:pos="576"/>
                <w:tab w:val="left" w:pos="864"/>
                <w:tab w:val="left" w:pos="1152"/>
              </w:tabs>
              <w:spacing w:before="40" w:after="40" w:line="210" w:lineRule="exact"/>
              <w:ind w:right="43"/>
              <w:jc w:val="right"/>
              <w:rPr>
                <w:sz w:val="17"/>
              </w:rPr>
            </w:pPr>
            <w:r w:rsidRPr="00AC36A1">
              <w:rPr>
                <w:sz w:val="17"/>
              </w:rPr>
              <w:t>41.20</w:t>
            </w:r>
          </w:p>
        </w:tc>
      </w:tr>
      <w:tr w:rsidR="001B65C5" w:rsidRPr="00AC36A1" w:rsidTr="001B65C5">
        <w:tc>
          <w:tcPr>
            <w:tcW w:w="4239" w:type="dxa"/>
            <w:shd w:val="clear" w:color="auto" w:fill="auto"/>
            <w:vAlign w:val="bottom"/>
          </w:tcPr>
          <w:p w:rsidR="001B65C5" w:rsidRPr="00AC36A1" w:rsidRDefault="001B65C5" w:rsidP="001B65C5">
            <w:pPr>
              <w:tabs>
                <w:tab w:val="left" w:pos="288"/>
                <w:tab w:val="left" w:pos="576"/>
                <w:tab w:val="left" w:pos="864"/>
                <w:tab w:val="left" w:pos="1152"/>
              </w:tabs>
              <w:spacing w:before="40" w:after="40" w:line="210" w:lineRule="exact"/>
              <w:ind w:right="40"/>
              <w:rPr>
                <w:sz w:val="17"/>
              </w:rPr>
            </w:pPr>
            <w:r w:rsidRPr="00AC36A1">
              <w:rPr>
                <w:sz w:val="17"/>
              </w:rPr>
              <w:t>National Youth Services Council</w:t>
            </w:r>
          </w:p>
        </w:tc>
        <w:tc>
          <w:tcPr>
            <w:tcW w:w="770" w:type="dxa"/>
            <w:shd w:val="clear" w:color="auto" w:fill="auto"/>
            <w:vAlign w:val="bottom"/>
          </w:tcPr>
          <w:p w:rsidR="001B65C5" w:rsidRPr="00AC36A1" w:rsidRDefault="001B65C5" w:rsidP="001B65C5">
            <w:pPr>
              <w:tabs>
                <w:tab w:val="left" w:pos="288"/>
                <w:tab w:val="left" w:pos="576"/>
                <w:tab w:val="left" w:pos="864"/>
                <w:tab w:val="left" w:pos="1152"/>
              </w:tabs>
              <w:spacing w:before="40" w:after="40" w:line="210" w:lineRule="exact"/>
              <w:ind w:right="43"/>
              <w:jc w:val="right"/>
              <w:rPr>
                <w:sz w:val="17"/>
              </w:rPr>
            </w:pPr>
            <w:r w:rsidRPr="00AC36A1">
              <w:rPr>
                <w:sz w:val="17"/>
              </w:rPr>
              <w:t>20 158</w:t>
            </w:r>
          </w:p>
        </w:tc>
        <w:tc>
          <w:tcPr>
            <w:tcW w:w="770" w:type="dxa"/>
            <w:shd w:val="clear" w:color="auto" w:fill="auto"/>
            <w:vAlign w:val="bottom"/>
          </w:tcPr>
          <w:p w:rsidR="001B65C5" w:rsidRPr="00AC36A1" w:rsidRDefault="001B65C5" w:rsidP="001B65C5">
            <w:pPr>
              <w:tabs>
                <w:tab w:val="left" w:pos="288"/>
                <w:tab w:val="left" w:pos="576"/>
                <w:tab w:val="left" w:pos="864"/>
                <w:tab w:val="left" w:pos="1152"/>
              </w:tabs>
              <w:spacing w:before="40" w:after="40" w:line="210" w:lineRule="exact"/>
              <w:ind w:right="43"/>
              <w:jc w:val="right"/>
              <w:rPr>
                <w:sz w:val="17"/>
              </w:rPr>
            </w:pPr>
            <w:r w:rsidRPr="00AC36A1">
              <w:rPr>
                <w:sz w:val="17"/>
              </w:rPr>
              <w:t>53.03</w:t>
            </w:r>
          </w:p>
        </w:tc>
        <w:tc>
          <w:tcPr>
            <w:tcW w:w="770" w:type="dxa"/>
            <w:gridSpan w:val="2"/>
            <w:shd w:val="clear" w:color="auto" w:fill="auto"/>
            <w:vAlign w:val="bottom"/>
          </w:tcPr>
          <w:p w:rsidR="001B65C5" w:rsidRPr="00AC36A1" w:rsidRDefault="001B65C5" w:rsidP="001B65C5">
            <w:pPr>
              <w:tabs>
                <w:tab w:val="left" w:pos="288"/>
                <w:tab w:val="left" w:pos="576"/>
                <w:tab w:val="left" w:pos="864"/>
                <w:tab w:val="left" w:pos="1152"/>
              </w:tabs>
              <w:spacing w:before="40" w:after="40" w:line="210" w:lineRule="exact"/>
              <w:ind w:right="43"/>
              <w:jc w:val="right"/>
              <w:rPr>
                <w:sz w:val="17"/>
              </w:rPr>
            </w:pPr>
            <w:r w:rsidRPr="00AC36A1">
              <w:rPr>
                <w:sz w:val="17"/>
              </w:rPr>
              <w:t>14 679</w:t>
            </w:r>
          </w:p>
        </w:tc>
        <w:tc>
          <w:tcPr>
            <w:tcW w:w="771" w:type="dxa"/>
            <w:shd w:val="clear" w:color="auto" w:fill="auto"/>
            <w:vAlign w:val="bottom"/>
          </w:tcPr>
          <w:p w:rsidR="001B65C5" w:rsidRPr="00AC36A1" w:rsidRDefault="001B65C5" w:rsidP="001B65C5">
            <w:pPr>
              <w:tabs>
                <w:tab w:val="left" w:pos="288"/>
                <w:tab w:val="left" w:pos="576"/>
                <w:tab w:val="left" w:pos="864"/>
                <w:tab w:val="left" w:pos="1152"/>
              </w:tabs>
              <w:spacing w:before="40" w:after="40" w:line="210" w:lineRule="exact"/>
              <w:ind w:right="43"/>
              <w:jc w:val="right"/>
              <w:rPr>
                <w:sz w:val="17"/>
              </w:rPr>
            </w:pPr>
            <w:r w:rsidRPr="00AC36A1">
              <w:rPr>
                <w:sz w:val="17"/>
              </w:rPr>
              <w:t>59.55</w:t>
            </w:r>
          </w:p>
        </w:tc>
      </w:tr>
      <w:tr w:rsidR="001B65C5" w:rsidRPr="00AC36A1" w:rsidTr="001B65C5">
        <w:tc>
          <w:tcPr>
            <w:tcW w:w="4239" w:type="dxa"/>
            <w:shd w:val="clear" w:color="auto" w:fill="auto"/>
            <w:vAlign w:val="bottom"/>
          </w:tcPr>
          <w:p w:rsidR="001B65C5" w:rsidRPr="00AC36A1" w:rsidRDefault="001B65C5" w:rsidP="001B65C5">
            <w:pPr>
              <w:tabs>
                <w:tab w:val="left" w:pos="288"/>
                <w:tab w:val="left" w:pos="576"/>
                <w:tab w:val="left" w:pos="864"/>
                <w:tab w:val="left" w:pos="1152"/>
              </w:tabs>
              <w:spacing w:before="40" w:after="40" w:line="210" w:lineRule="exact"/>
              <w:ind w:right="40"/>
              <w:rPr>
                <w:sz w:val="17"/>
              </w:rPr>
            </w:pPr>
            <w:r w:rsidRPr="00AC36A1">
              <w:rPr>
                <w:sz w:val="17"/>
              </w:rPr>
              <w:t>National Apprenticeship &amp; Industrial Training Authority</w:t>
            </w:r>
          </w:p>
        </w:tc>
        <w:tc>
          <w:tcPr>
            <w:tcW w:w="770" w:type="dxa"/>
            <w:shd w:val="clear" w:color="auto" w:fill="auto"/>
            <w:vAlign w:val="bottom"/>
          </w:tcPr>
          <w:p w:rsidR="001B65C5" w:rsidRPr="00AC36A1" w:rsidRDefault="001B65C5" w:rsidP="001B65C5">
            <w:pPr>
              <w:tabs>
                <w:tab w:val="left" w:pos="288"/>
                <w:tab w:val="left" w:pos="576"/>
                <w:tab w:val="left" w:pos="864"/>
                <w:tab w:val="left" w:pos="1152"/>
              </w:tabs>
              <w:spacing w:before="40" w:after="40" w:line="210" w:lineRule="exact"/>
              <w:ind w:right="43"/>
              <w:jc w:val="right"/>
              <w:rPr>
                <w:sz w:val="17"/>
              </w:rPr>
            </w:pPr>
            <w:r w:rsidRPr="00AC36A1">
              <w:rPr>
                <w:sz w:val="17"/>
              </w:rPr>
              <w:t>23 613</w:t>
            </w:r>
          </w:p>
        </w:tc>
        <w:tc>
          <w:tcPr>
            <w:tcW w:w="770" w:type="dxa"/>
            <w:shd w:val="clear" w:color="auto" w:fill="auto"/>
            <w:vAlign w:val="bottom"/>
          </w:tcPr>
          <w:p w:rsidR="001B65C5" w:rsidRPr="00AC36A1" w:rsidRDefault="001B65C5" w:rsidP="001B65C5">
            <w:pPr>
              <w:tabs>
                <w:tab w:val="left" w:pos="288"/>
                <w:tab w:val="left" w:pos="576"/>
                <w:tab w:val="left" w:pos="864"/>
                <w:tab w:val="left" w:pos="1152"/>
              </w:tabs>
              <w:spacing w:before="40" w:after="40" w:line="210" w:lineRule="exact"/>
              <w:ind w:right="43"/>
              <w:jc w:val="right"/>
              <w:rPr>
                <w:sz w:val="17"/>
              </w:rPr>
            </w:pPr>
            <w:r w:rsidRPr="00AC36A1">
              <w:rPr>
                <w:sz w:val="17"/>
              </w:rPr>
              <w:t>44.77</w:t>
            </w:r>
          </w:p>
        </w:tc>
        <w:tc>
          <w:tcPr>
            <w:tcW w:w="770" w:type="dxa"/>
            <w:gridSpan w:val="2"/>
            <w:shd w:val="clear" w:color="auto" w:fill="auto"/>
            <w:vAlign w:val="bottom"/>
          </w:tcPr>
          <w:p w:rsidR="001B65C5" w:rsidRPr="00AC36A1" w:rsidRDefault="001B65C5" w:rsidP="001B65C5">
            <w:pPr>
              <w:tabs>
                <w:tab w:val="left" w:pos="288"/>
                <w:tab w:val="left" w:pos="576"/>
                <w:tab w:val="left" w:pos="864"/>
                <w:tab w:val="left" w:pos="1152"/>
              </w:tabs>
              <w:spacing w:before="40" w:after="40" w:line="210" w:lineRule="exact"/>
              <w:ind w:right="43"/>
              <w:jc w:val="right"/>
              <w:rPr>
                <w:sz w:val="17"/>
              </w:rPr>
            </w:pPr>
            <w:r w:rsidRPr="00AC36A1">
              <w:rPr>
                <w:sz w:val="17"/>
              </w:rPr>
              <w:t>19 652</w:t>
            </w:r>
          </w:p>
        </w:tc>
        <w:tc>
          <w:tcPr>
            <w:tcW w:w="771" w:type="dxa"/>
            <w:shd w:val="clear" w:color="auto" w:fill="auto"/>
            <w:vAlign w:val="bottom"/>
          </w:tcPr>
          <w:p w:rsidR="001B65C5" w:rsidRPr="00AC36A1" w:rsidRDefault="001B65C5" w:rsidP="001B65C5">
            <w:pPr>
              <w:tabs>
                <w:tab w:val="left" w:pos="288"/>
                <w:tab w:val="left" w:pos="576"/>
                <w:tab w:val="left" w:pos="864"/>
                <w:tab w:val="left" w:pos="1152"/>
              </w:tabs>
              <w:spacing w:before="40" w:after="40" w:line="210" w:lineRule="exact"/>
              <w:ind w:right="43"/>
              <w:jc w:val="right"/>
              <w:rPr>
                <w:sz w:val="17"/>
              </w:rPr>
            </w:pPr>
            <w:r w:rsidRPr="00AC36A1">
              <w:rPr>
                <w:sz w:val="17"/>
              </w:rPr>
              <w:t>48.65</w:t>
            </w:r>
          </w:p>
        </w:tc>
      </w:tr>
      <w:tr w:rsidR="001B65C5" w:rsidRPr="00AC36A1" w:rsidTr="001B65C5">
        <w:tc>
          <w:tcPr>
            <w:tcW w:w="4239" w:type="dxa"/>
            <w:shd w:val="clear" w:color="auto" w:fill="auto"/>
            <w:vAlign w:val="bottom"/>
          </w:tcPr>
          <w:p w:rsidR="001B65C5" w:rsidRPr="00AC36A1" w:rsidRDefault="001B65C5" w:rsidP="001B65C5">
            <w:pPr>
              <w:tabs>
                <w:tab w:val="left" w:pos="288"/>
                <w:tab w:val="left" w:pos="576"/>
                <w:tab w:val="left" w:pos="864"/>
                <w:tab w:val="left" w:pos="1152"/>
              </w:tabs>
              <w:spacing w:before="40" w:after="40" w:line="210" w:lineRule="exact"/>
              <w:ind w:right="40"/>
              <w:rPr>
                <w:sz w:val="17"/>
              </w:rPr>
            </w:pPr>
            <w:r w:rsidRPr="00AC36A1">
              <w:rPr>
                <w:sz w:val="17"/>
              </w:rPr>
              <w:t>Department of Technical Education and Training</w:t>
            </w:r>
          </w:p>
        </w:tc>
        <w:tc>
          <w:tcPr>
            <w:tcW w:w="770" w:type="dxa"/>
            <w:shd w:val="clear" w:color="auto" w:fill="auto"/>
            <w:vAlign w:val="bottom"/>
          </w:tcPr>
          <w:p w:rsidR="001B65C5" w:rsidRPr="00AC36A1" w:rsidRDefault="001B65C5" w:rsidP="001B65C5">
            <w:pPr>
              <w:tabs>
                <w:tab w:val="left" w:pos="288"/>
                <w:tab w:val="left" w:pos="576"/>
                <w:tab w:val="left" w:pos="864"/>
                <w:tab w:val="left" w:pos="1152"/>
              </w:tabs>
              <w:spacing w:before="40" w:after="40" w:line="210" w:lineRule="exact"/>
              <w:ind w:right="43"/>
              <w:jc w:val="right"/>
              <w:rPr>
                <w:sz w:val="17"/>
              </w:rPr>
            </w:pPr>
            <w:r w:rsidRPr="00AC36A1">
              <w:rPr>
                <w:sz w:val="17"/>
              </w:rPr>
              <w:t>22 736</w:t>
            </w:r>
          </w:p>
        </w:tc>
        <w:tc>
          <w:tcPr>
            <w:tcW w:w="770" w:type="dxa"/>
            <w:shd w:val="clear" w:color="auto" w:fill="auto"/>
            <w:vAlign w:val="bottom"/>
          </w:tcPr>
          <w:p w:rsidR="001B65C5" w:rsidRPr="00AC36A1" w:rsidRDefault="001B65C5" w:rsidP="001B65C5">
            <w:pPr>
              <w:tabs>
                <w:tab w:val="left" w:pos="288"/>
                <w:tab w:val="left" w:pos="576"/>
                <w:tab w:val="left" w:pos="864"/>
                <w:tab w:val="left" w:pos="1152"/>
              </w:tabs>
              <w:spacing w:before="40" w:after="40" w:line="210" w:lineRule="exact"/>
              <w:ind w:right="43"/>
              <w:jc w:val="right"/>
              <w:rPr>
                <w:sz w:val="17"/>
              </w:rPr>
            </w:pPr>
            <w:r w:rsidRPr="00AC36A1">
              <w:rPr>
                <w:sz w:val="17"/>
              </w:rPr>
              <w:t>41.34</w:t>
            </w:r>
          </w:p>
        </w:tc>
        <w:tc>
          <w:tcPr>
            <w:tcW w:w="770" w:type="dxa"/>
            <w:gridSpan w:val="2"/>
            <w:shd w:val="clear" w:color="auto" w:fill="auto"/>
            <w:vAlign w:val="bottom"/>
          </w:tcPr>
          <w:p w:rsidR="001B65C5" w:rsidRPr="00AC36A1" w:rsidRDefault="001B65C5" w:rsidP="001B65C5">
            <w:pPr>
              <w:tabs>
                <w:tab w:val="left" w:pos="288"/>
                <w:tab w:val="left" w:pos="576"/>
                <w:tab w:val="left" w:pos="864"/>
                <w:tab w:val="left" w:pos="1152"/>
              </w:tabs>
              <w:spacing w:before="40" w:after="40" w:line="210" w:lineRule="exact"/>
              <w:ind w:right="43"/>
              <w:jc w:val="right"/>
              <w:rPr>
                <w:sz w:val="17"/>
              </w:rPr>
            </w:pPr>
            <w:r w:rsidRPr="00AC36A1">
              <w:rPr>
                <w:sz w:val="17"/>
              </w:rPr>
              <w:t>14 900</w:t>
            </w:r>
          </w:p>
        </w:tc>
        <w:tc>
          <w:tcPr>
            <w:tcW w:w="771" w:type="dxa"/>
            <w:shd w:val="clear" w:color="auto" w:fill="auto"/>
            <w:vAlign w:val="bottom"/>
          </w:tcPr>
          <w:p w:rsidR="001B65C5" w:rsidRPr="00AC36A1" w:rsidRDefault="001B65C5" w:rsidP="001B65C5">
            <w:pPr>
              <w:tabs>
                <w:tab w:val="left" w:pos="288"/>
                <w:tab w:val="left" w:pos="576"/>
                <w:tab w:val="left" w:pos="864"/>
                <w:tab w:val="left" w:pos="1152"/>
              </w:tabs>
              <w:spacing w:before="40" w:after="40" w:line="210" w:lineRule="exact"/>
              <w:ind w:right="43"/>
              <w:jc w:val="right"/>
              <w:rPr>
                <w:sz w:val="17"/>
              </w:rPr>
            </w:pPr>
            <w:r w:rsidRPr="00AC36A1">
              <w:rPr>
                <w:sz w:val="17"/>
              </w:rPr>
              <w:t>40.28</w:t>
            </w:r>
          </w:p>
        </w:tc>
      </w:tr>
      <w:tr w:rsidR="001B65C5" w:rsidRPr="00AC36A1" w:rsidTr="001B65C5">
        <w:tc>
          <w:tcPr>
            <w:tcW w:w="4239" w:type="dxa"/>
            <w:shd w:val="clear" w:color="auto" w:fill="auto"/>
            <w:vAlign w:val="bottom"/>
          </w:tcPr>
          <w:p w:rsidR="001B65C5" w:rsidRPr="00AC36A1" w:rsidRDefault="001B65C5" w:rsidP="001B65C5">
            <w:pPr>
              <w:tabs>
                <w:tab w:val="left" w:pos="288"/>
                <w:tab w:val="left" w:pos="576"/>
                <w:tab w:val="left" w:pos="864"/>
                <w:tab w:val="left" w:pos="1152"/>
              </w:tabs>
              <w:spacing w:before="40" w:after="40" w:line="210" w:lineRule="exact"/>
              <w:ind w:right="40"/>
              <w:rPr>
                <w:sz w:val="17"/>
              </w:rPr>
            </w:pPr>
            <w:r w:rsidRPr="00AC36A1">
              <w:rPr>
                <w:sz w:val="17"/>
              </w:rPr>
              <w:t>Ceylon German Technical Training Institute</w:t>
            </w:r>
          </w:p>
        </w:tc>
        <w:tc>
          <w:tcPr>
            <w:tcW w:w="770" w:type="dxa"/>
            <w:shd w:val="clear" w:color="auto" w:fill="auto"/>
            <w:vAlign w:val="bottom"/>
          </w:tcPr>
          <w:p w:rsidR="001B65C5" w:rsidRPr="00AC36A1" w:rsidRDefault="001B65C5" w:rsidP="001B65C5">
            <w:pPr>
              <w:tabs>
                <w:tab w:val="left" w:pos="288"/>
                <w:tab w:val="left" w:pos="576"/>
                <w:tab w:val="left" w:pos="864"/>
                <w:tab w:val="left" w:pos="1152"/>
              </w:tabs>
              <w:spacing w:before="40" w:after="40" w:line="210" w:lineRule="exact"/>
              <w:ind w:right="43"/>
              <w:jc w:val="right"/>
              <w:rPr>
                <w:sz w:val="17"/>
              </w:rPr>
            </w:pPr>
            <w:r w:rsidRPr="00AC36A1">
              <w:rPr>
                <w:sz w:val="17"/>
              </w:rPr>
              <w:t>4 516</w:t>
            </w:r>
          </w:p>
        </w:tc>
        <w:tc>
          <w:tcPr>
            <w:tcW w:w="770" w:type="dxa"/>
            <w:shd w:val="clear" w:color="auto" w:fill="auto"/>
            <w:vAlign w:val="bottom"/>
          </w:tcPr>
          <w:p w:rsidR="001B65C5" w:rsidRPr="00AC36A1" w:rsidRDefault="001B65C5" w:rsidP="001B65C5">
            <w:pPr>
              <w:tabs>
                <w:tab w:val="left" w:pos="288"/>
                <w:tab w:val="left" w:pos="576"/>
                <w:tab w:val="left" w:pos="864"/>
                <w:tab w:val="left" w:pos="1152"/>
              </w:tabs>
              <w:spacing w:before="40" w:after="40" w:line="210" w:lineRule="exact"/>
              <w:ind w:right="43"/>
              <w:jc w:val="right"/>
              <w:rPr>
                <w:sz w:val="17"/>
              </w:rPr>
            </w:pPr>
            <w:r w:rsidRPr="00AC36A1">
              <w:rPr>
                <w:sz w:val="17"/>
              </w:rPr>
              <w:t>0.75</w:t>
            </w:r>
          </w:p>
        </w:tc>
        <w:tc>
          <w:tcPr>
            <w:tcW w:w="770" w:type="dxa"/>
            <w:gridSpan w:val="2"/>
            <w:shd w:val="clear" w:color="auto" w:fill="auto"/>
            <w:vAlign w:val="bottom"/>
          </w:tcPr>
          <w:p w:rsidR="001B65C5" w:rsidRPr="00AC36A1" w:rsidRDefault="001B65C5" w:rsidP="001B65C5">
            <w:pPr>
              <w:tabs>
                <w:tab w:val="left" w:pos="288"/>
                <w:tab w:val="left" w:pos="576"/>
                <w:tab w:val="left" w:pos="864"/>
                <w:tab w:val="left" w:pos="1152"/>
              </w:tabs>
              <w:spacing w:before="40" w:after="40" w:line="210" w:lineRule="exact"/>
              <w:ind w:right="43"/>
              <w:jc w:val="right"/>
              <w:rPr>
                <w:sz w:val="17"/>
              </w:rPr>
            </w:pPr>
            <w:r w:rsidRPr="00AC36A1">
              <w:rPr>
                <w:sz w:val="17"/>
              </w:rPr>
              <w:t>2 887</w:t>
            </w:r>
          </w:p>
        </w:tc>
        <w:tc>
          <w:tcPr>
            <w:tcW w:w="771" w:type="dxa"/>
            <w:shd w:val="clear" w:color="auto" w:fill="auto"/>
            <w:vAlign w:val="bottom"/>
          </w:tcPr>
          <w:p w:rsidR="001B65C5" w:rsidRPr="00AC36A1" w:rsidRDefault="001B65C5" w:rsidP="001B65C5">
            <w:pPr>
              <w:tabs>
                <w:tab w:val="left" w:pos="288"/>
                <w:tab w:val="left" w:pos="576"/>
                <w:tab w:val="left" w:pos="864"/>
                <w:tab w:val="left" w:pos="1152"/>
              </w:tabs>
              <w:spacing w:before="40" w:after="40" w:line="210" w:lineRule="exact"/>
              <w:ind w:right="43"/>
              <w:jc w:val="right"/>
              <w:rPr>
                <w:sz w:val="17"/>
              </w:rPr>
            </w:pPr>
            <w:r w:rsidRPr="00AC36A1">
              <w:rPr>
                <w:sz w:val="17"/>
              </w:rPr>
              <w:t>0.76</w:t>
            </w:r>
          </w:p>
        </w:tc>
      </w:tr>
      <w:tr w:rsidR="001B65C5" w:rsidRPr="00AC36A1" w:rsidTr="001B65C5">
        <w:tc>
          <w:tcPr>
            <w:tcW w:w="4239" w:type="dxa"/>
            <w:shd w:val="clear" w:color="auto" w:fill="auto"/>
            <w:vAlign w:val="bottom"/>
          </w:tcPr>
          <w:p w:rsidR="001B65C5" w:rsidRPr="00AC36A1" w:rsidRDefault="001B65C5" w:rsidP="001B65C5">
            <w:pPr>
              <w:tabs>
                <w:tab w:val="left" w:pos="288"/>
                <w:tab w:val="left" w:pos="576"/>
                <w:tab w:val="left" w:pos="864"/>
                <w:tab w:val="left" w:pos="1152"/>
              </w:tabs>
              <w:spacing w:before="40" w:after="40" w:line="210" w:lineRule="exact"/>
              <w:ind w:right="40"/>
              <w:rPr>
                <w:sz w:val="17"/>
              </w:rPr>
            </w:pPr>
            <w:r w:rsidRPr="00AC36A1">
              <w:rPr>
                <w:sz w:val="17"/>
              </w:rPr>
              <w:t>Sri Lanka Institute of Printing*</w:t>
            </w:r>
          </w:p>
        </w:tc>
        <w:tc>
          <w:tcPr>
            <w:tcW w:w="770" w:type="dxa"/>
            <w:shd w:val="clear" w:color="auto" w:fill="auto"/>
            <w:vAlign w:val="bottom"/>
          </w:tcPr>
          <w:p w:rsidR="001B65C5" w:rsidRPr="00AC36A1" w:rsidRDefault="001B65C5" w:rsidP="001B65C5">
            <w:pPr>
              <w:tabs>
                <w:tab w:val="left" w:pos="288"/>
                <w:tab w:val="left" w:pos="576"/>
                <w:tab w:val="left" w:pos="864"/>
                <w:tab w:val="left" w:pos="1152"/>
              </w:tabs>
              <w:spacing w:before="40" w:after="40" w:line="210" w:lineRule="exact"/>
              <w:ind w:right="43"/>
              <w:jc w:val="right"/>
              <w:rPr>
                <w:sz w:val="17"/>
              </w:rPr>
            </w:pPr>
            <w:r w:rsidRPr="00AC36A1">
              <w:rPr>
                <w:sz w:val="17"/>
              </w:rPr>
              <w:t>786</w:t>
            </w:r>
          </w:p>
        </w:tc>
        <w:tc>
          <w:tcPr>
            <w:tcW w:w="770" w:type="dxa"/>
            <w:shd w:val="clear" w:color="auto" w:fill="auto"/>
            <w:vAlign w:val="bottom"/>
          </w:tcPr>
          <w:p w:rsidR="001B65C5" w:rsidRPr="00AC36A1" w:rsidRDefault="001B65C5" w:rsidP="001B65C5">
            <w:pPr>
              <w:tabs>
                <w:tab w:val="left" w:pos="288"/>
                <w:tab w:val="left" w:pos="576"/>
                <w:tab w:val="left" w:pos="864"/>
                <w:tab w:val="left" w:pos="1152"/>
              </w:tabs>
              <w:spacing w:before="40" w:after="40" w:line="210" w:lineRule="exact"/>
              <w:ind w:right="43"/>
              <w:jc w:val="right"/>
              <w:rPr>
                <w:sz w:val="17"/>
              </w:rPr>
            </w:pPr>
            <w:r w:rsidRPr="00AC36A1">
              <w:rPr>
                <w:sz w:val="17"/>
              </w:rPr>
              <w:t>28.75</w:t>
            </w:r>
          </w:p>
        </w:tc>
        <w:tc>
          <w:tcPr>
            <w:tcW w:w="770" w:type="dxa"/>
            <w:gridSpan w:val="2"/>
            <w:shd w:val="clear" w:color="auto" w:fill="auto"/>
            <w:vAlign w:val="bottom"/>
          </w:tcPr>
          <w:p w:rsidR="001B65C5" w:rsidRPr="00AC36A1" w:rsidRDefault="001B65C5" w:rsidP="001B65C5">
            <w:pPr>
              <w:tabs>
                <w:tab w:val="left" w:pos="288"/>
                <w:tab w:val="left" w:pos="576"/>
                <w:tab w:val="left" w:pos="864"/>
                <w:tab w:val="left" w:pos="1152"/>
              </w:tabs>
              <w:spacing w:before="40" w:after="40" w:line="210" w:lineRule="exact"/>
              <w:ind w:right="43"/>
              <w:jc w:val="right"/>
              <w:rPr>
                <w:sz w:val="17"/>
              </w:rPr>
            </w:pPr>
            <w:r w:rsidRPr="00AC36A1">
              <w:rPr>
                <w:sz w:val="17"/>
              </w:rPr>
              <w:t>–</w:t>
            </w:r>
          </w:p>
        </w:tc>
        <w:tc>
          <w:tcPr>
            <w:tcW w:w="771" w:type="dxa"/>
            <w:shd w:val="clear" w:color="auto" w:fill="auto"/>
            <w:vAlign w:val="bottom"/>
          </w:tcPr>
          <w:p w:rsidR="001B65C5" w:rsidRPr="00AC36A1" w:rsidRDefault="001B65C5" w:rsidP="001B65C5">
            <w:pPr>
              <w:tabs>
                <w:tab w:val="left" w:pos="288"/>
                <w:tab w:val="left" w:pos="576"/>
                <w:tab w:val="left" w:pos="864"/>
                <w:tab w:val="left" w:pos="1152"/>
              </w:tabs>
              <w:spacing w:before="40" w:after="40" w:line="210" w:lineRule="exact"/>
              <w:ind w:right="43"/>
              <w:jc w:val="right"/>
              <w:rPr>
                <w:sz w:val="17"/>
              </w:rPr>
            </w:pPr>
            <w:r w:rsidRPr="00AC36A1">
              <w:rPr>
                <w:sz w:val="17"/>
              </w:rPr>
              <w:t>–</w:t>
            </w:r>
          </w:p>
        </w:tc>
      </w:tr>
      <w:tr w:rsidR="001B65C5" w:rsidRPr="00AC36A1" w:rsidTr="001B65C5">
        <w:tc>
          <w:tcPr>
            <w:tcW w:w="4239" w:type="dxa"/>
            <w:shd w:val="clear" w:color="auto" w:fill="auto"/>
            <w:vAlign w:val="bottom"/>
          </w:tcPr>
          <w:p w:rsidR="001B65C5" w:rsidRPr="00AC36A1" w:rsidRDefault="001B65C5" w:rsidP="001B65C5">
            <w:pPr>
              <w:tabs>
                <w:tab w:val="left" w:pos="288"/>
                <w:tab w:val="left" w:pos="576"/>
                <w:tab w:val="left" w:pos="864"/>
                <w:tab w:val="left" w:pos="1152"/>
              </w:tabs>
              <w:spacing w:before="40" w:after="40" w:line="210" w:lineRule="exact"/>
              <w:ind w:right="40"/>
              <w:rPr>
                <w:sz w:val="17"/>
              </w:rPr>
            </w:pPr>
            <w:r w:rsidRPr="00AC36A1">
              <w:rPr>
                <w:sz w:val="17"/>
              </w:rPr>
              <w:t>National Institute of Business Management</w:t>
            </w:r>
          </w:p>
        </w:tc>
        <w:tc>
          <w:tcPr>
            <w:tcW w:w="770" w:type="dxa"/>
            <w:shd w:val="clear" w:color="auto" w:fill="auto"/>
            <w:vAlign w:val="bottom"/>
          </w:tcPr>
          <w:p w:rsidR="001B65C5" w:rsidRPr="00AC36A1" w:rsidRDefault="001B65C5" w:rsidP="001B65C5">
            <w:pPr>
              <w:tabs>
                <w:tab w:val="left" w:pos="288"/>
                <w:tab w:val="left" w:pos="576"/>
                <w:tab w:val="left" w:pos="864"/>
                <w:tab w:val="left" w:pos="1152"/>
              </w:tabs>
              <w:spacing w:before="40" w:after="40" w:line="210" w:lineRule="exact"/>
              <w:ind w:right="43"/>
              <w:jc w:val="right"/>
              <w:rPr>
                <w:sz w:val="17"/>
              </w:rPr>
            </w:pPr>
            <w:r w:rsidRPr="00AC36A1">
              <w:rPr>
                <w:sz w:val="17"/>
              </w:rPr>
              <w:t>10 954</w:t>
            </w:r>
          </w:p>
        </w:tc>
        <w:tc>
          <w:tcPr>
            <w:tcW w:w="770" w:type="dxa"/>
            <w:shd w:val="clear" w:color="auto" w:fill="auto"/>
            <w:vAlign w:val="bottom"/>
          </w:tcPr>
          <w:p w:rsidR="001B65C5" w:rsidRPr="00AC36A1" w:rsidRDefault="001B65C5" w:rsidP="001B65C5">
            <w:pPr>
              <w:tabs>
                <w:tab w:val="left" w:pos="288"/>
                <w:tab w:val="left" w:pos="576"/>
                <w:tab w:val="left" w:pos="864"/>
                <w:tab w:val="left" w:pos="1152"/>
              </w:tabs>
              <w:spacing w:before="40" w:after="40" w:line="210" w:lineRule="exact"/>
              <w:ind w:right="43"/>
              <w:jc w:val="right"/>
              <w:rPr>
                <w:sz w:val="17"/>
              </w:rPr>
            </w:pPr>
            <w:r w:rsidRPr="00AC36A1">
              <w:rPr>
                <w:sz w:val="17"/>
              </w:rPr>
              <w:t>44.92</w:t>
            </w:r>
          </w:p>
        </w:tc>
        <w:tc>
          <w:tcPr>
            <w:tcW w:w="770" w:type="dxa"/>
            <w:gridSpan w:val="2"/>
            <w:shd w:val="clear" w:color="auto" w:fill="auto"/>
            <w:vAlign w:val="bottom"/>
          </w:tcPr>
          <w:p w:rsidR="001B65C5" w:rsidRPr="00AC36A1" w:rsidRDefault="001B65C5" w:rsidP="001B65C5">
            <w:pPr>
              <w:tabs>
                <w:tab w:val="left" w:pos="288"/>
                <w:tab w:val="left" w:pos="576"/>
                <w:tab w:val="left" w:pos="864"/>
                <w:tab w:val="left" w:pos="1152"/>
              </w:tabs>
              <w:spacing w:before="40" w:after="40" w:line="210" w:lineRule="exact"/>
              <w:ind w:right="43"/>
              <w:jc w:val="right"/>
              <w:rPr>
                <w:sz w:val="17"/>
              </w:rPr>
            </w:pPr>
            <w:r w:rsidRPr="00AC36A1">
              <w:rPr>
                <w:sz w:val="17"/>
              </w:rPr>
              <w:t>4 410</w:t>
            </w:r>
          </w:p>
        </w:tc>
        <w:tc>
          <w:tcPr>
            <w:tcW w:w="771" w:type="dxa"/>
            <w:shd w:val="clear" w:color="auto" w:fill="auto"/>
            <w:vAlign w:val="bottom"/>
          </w:tcPr>
          <w:p w:rsidR="001B65C5" w:rsidRPr="00AC36A1" w:rsidRDefault="001B65C5" w:rsidP="001B65C5">
            <w:pPr>
              <w:tabs>
                <w:tab w:val="left" w:pos="288"/>
                <w:tab w:val="left" w:pos="576"/>
                <w:tab w:val="left" w:pos="864"/>
                <w:tab w:val="left" w:pos="1152"/>
              </w:tabs>
              <w:spacing w:before="40" w:after="40" w:line="210" w:lineRule="exact"/>
              <w:ind w:right="43"/>
              <w:jc w:val="right"/>
              <w:rPr>
                <w:sz w:val="17"/>
              </w:rPr>
            </w:pPr>
            <w:r w:rsidRPr="00AC36A1">
              <w:rPr>
                <w:sz w:val="17"/>
              </w:rPr>
              <w:t>47.05</w:t>
            </w:r>
          </w:p>
        </w:tc>
      </w:tr>
      <w:tr w:rsidR="001B65C5" w:rsidRPr="00AC36A1" w:rsidTr="001B65C5">
        <w:tc>
          <w:tcPr>
            <w:tcW w:w="4239" w:type="dxa"/>
            <w:shd w:val="clear" w:color="auto" w:fill="auto"/>
            <w:vAlign w:val="bottom"/>
          </w:tcPr>
          <w:p w:rsidR="001B65C5" w:rsidRPr="00AC36A1" w:rsidRDefault="001B65C5" w:rsidP="001B65C5">
            <w:pPr>
              <w:tabs>
                <w:tab w:val="left" w:pos="288"/>
                <w:tab w:val="left" w:pos="576"/>
                <w:tab w:val="left" w:pos="864"/>
                <w:tab w:val="left" w:pos="1152"/>
              </w:tabs>
              <w:spacing w:before="40" w:after="40" w:line="210" w:lineRule="exact"/>
              <w:ind w:right="40"/>
              <w:rPr>
                <w:sz w:val="17"/>
              </w:rPr>
            </w:pPr>
            <w:r w:rsidRPr="00AC36A1">
              <w:rPr>
                <w:sz w:val="17"/>
              </w:rPr>
              <w:t>National Institute of Fisheries and Nautical Engineering</w:t>
            </w:r>
          </w:p>
        </w:tc>
        <w:tc>
          <w:tcPr>
            <w:tcW w:w="770" w:type="dxa"/>
            <w:shd w:val="clear" w:color="auto" w:fill="auto"/>
            <w:vAlign w:val="bottom"/>
          </w:tcPr>
          <w:p w:rsidR="001B65C5" w:rsidRPr="00AC36A1" w:rsidRDefault="001B65C5" w:rsidP="001B65C5">
            <w:pPr>
              <w:tabs>
                <w:tab w:val="left" w:pos="288"/>
                <w:tab w:val="left" w:pos="576"/>
                <w:tab w:val="left" w:pos="864"/>
                <w:tab w:val="left" w:pos="1152"/>
              </w:tabs>
              <w:spacing w:before="40" w:after="40" w:line="210" w:lineRule="exact"/>
              <w:ind w:right="43"/>
              <w:jc w:val="right"/>
              <w:rPr>
                <w:sz w:val="17"/>
              </w:rPr>
            </w:pPr>
            <w:r w:rsidRPr="00AC36A1">
              <w:rPr>
                <w:sz w:val="17"/>
              </w:rPr>
              <w:t>2 123</w:t>
            </w:r>
          </w:p>
        </w:tc>
        <w:tc>
          <w:tcPr>
            <w:tcW w:w="770" w:type="dxa"/>
            <w:shd w:val="clear" w:color="auto" w:fill="auto"/>
            <w:vAlign w:val="bottom"/>
          </w:tcPr>
          <w:p w:rsidR="001B65C5" w:rsidRPr="00AC36A1" w:rsidRDefault="001B65C5" w:rsidP="001B65C5">
            <w:pPr>
              <w:tabs>
                <w:tab w:val="left" w:pos="288"/>
                <w:tab w:val="left" w:pos="576"/>
                <w:tab w:val="left" w:pos="864"/>
                <w:tab w:val="left" w:pos="1152"/>
              </w:tabs>
              <w:spacing w:before="40" w:after="40" w:line="210" w:lineRule="exact"/>
              <w:ind w:right="43"/>
              <w:jc w:val="right"/>
              <w:rPr>
                <w:sz w:val="17"/>
              </w:rPr>
            </w:pPr>
            <w:r w:rsidRPr="00AC36A1">
              <w:rPr>
                <w:sz w:val="17"/>
              </w:rPr>
              <w:t>10.83</w:t>
            </w:r>
          </w:p>
        </w:tc>
        <w:tc>
          <w:tcPr>
            <w:tcW w:w="770" w:type="dxa"/>
            <w:gridSpan w:val="2"/>
            <w:shd w:val="clear" w:color="auto" w:fill="auto"/>
            <w:vAlign w:val="bottom"/>
          </w:tcPr>
          <w:p w:rsidR="001B65C5" w:rsidRPr="00AC36A1" w:rsidRDefault="001B65C5" w:rsidP="001B65C5">
            <w:pPr>
              <w:tabs>
                <w:tab w:val="left" w:pos="288"/>
                <w:tab w:val="left" w:pos="576"/>
                <w:tab w:val="left" w:pos="864"/>
                <w:tab w:val="left" w:pos="1152"/>
              </w:tabs>
              <w:spacing w:before="40" w:after="40" w:line="210" w:lineRule="exact"/>
              <w:ind w:right="43"/>
              <w:jc w:val="right"/>
              <w:rPr>
                <w:sz w:val="17"/>
              </w:rPr>
            </w:pPr>
            <w:r w:rsidRPr="00AC36A1">
              <w:rPr>
                <w:sz w:val="17"/>
              </w:rPr>
              <w:t>1 619</w:t>
            </w:r>
          </w:p>
        </w:tc>
        <w:tc>
          <w:tcPr>
            <w:tcW w:w="771" w:type="dxa"/>
            <w:shd w:val="clear" w:color="auto" w:fill="auto"/>
            <w:vAlign w:val="bottom"/>
          </w:tcPr>
          <w:p w:rsidR="001B65C5" w:rsidRPr="00AC36A1" w:rsidRDefault="001B65C5" w:rsidP="001B65C5">
            <w:pPr>
              <w:tabs>
                <w:tab w:val="left" w:pos="288"/>
                <w:tab w:val="left" w:pos="576"/>
                <w:tab w:val="left" w:pos="864"/>
                <w:tab w:val="left" w:pos="1152"/>
              </w:tabs>
              <w:spacing w:before="40" w:after="40" w:line="210" w:lineRule="exact"/>
              <w:ind w:right="43"/>
              <w:jc w:val="right"/>
              <w:rPr>
                <w:sz w:val="17"/>
              </w:rPr>
            </w:pPr>
            <w:r w:rsidRPr="00AC36A1">
              <w:rPr>
                <w:sz w:val="17"/>
              </w:rPr>
              <w:t>14.95</w:t>
            </w:r>
          </w:p>
        </w:tc>
      </w:tr>
      <w:tr w:rsidR="001B65C5" w:rsidRPr="00AC36A1" w:rsidTr="001B65C5">
        <w:tc>
          <w:tcPr>
            <w:tcW w:w="4239" w:type="dxa"/>
            <w:tcBorders>
              <w:bottom w:val="single" w:sz="12" w:space="0" w:color="auto"/>
            </w:tcBorders>
            <w:shd w:val="clear" w:color="auto" w:fill="auto"/>
            <w:vAlign w:val="bottom"/>
          </w:tcPr>
          <w:p w:rsidR="001B65C5" w:rsidRPr="00AC36A1" w:rsidRDefault="001B65C5" w:rsidP="001B65C5">
            <w:pPr>
              <w:tabs>
                <w:tab w:val="left" w:pos="288"/>
                <w:tab w:val="left" w:pos="576"/>
                <w:tab w:val="left" w:pos="864"/>
                <w:tab w:val="left" w:pos="1152"/>
              </w:tabs>
              <w:spacing w:before="40" w:after="40" w:line="210" w:lineRule="exact"/>
              <w:ind w:right="40"/>
              <w:rPr>
                <w:sz w:val="17"/>
              </w:rPr>
            </w:pPr>
            <w:r w:rsidRPr="00AC36A1">
              <w:rPr>
                <w:sz w:val="17"/>
              </w:rPr>
              <w:t>University of Vocational Technology*</w:t>
            </w:r>
          </w:p>
        </w:tc>
        <w:tc>
          <w:tcPr>
            <w:tcW w:w="770" w:type="dxa"/>
            <w:tcBorders>
              <w:bottom w:val="single" w:sz="12" w:space="0" w:color="auto"/>
            </w:tcBorders>
            <w:shd w:val="clear" w:color="auto" w:fill="auto"/>
            <w:vAlign w:val="bottom"/>
          </w:tcPr>
          <w:p w:rsidR="001B65C5" w:rsidRPr="00AC36A1" w:rsidRDefault="001B65C5" w:rsidP="001B65C5">
            <w:pPr>
              <w:tabs>
                <w:tab w:val="left" w:pos="288"/>
                <w:tab w:val="left" w:pos="576"/>
                <w:tab w:val="left" w:pos="864"/>
                <w:tab w:val="left" w:pos="1152"/>
              </w:tabs>
              <w:spacing w:before="40" w:after="40" w:line="210" w:lineRule="exact"/>
              <w:ind w:right="43"/>
              <w:jc w:val="right"/>
              <w:rPr>
                <w:sz w:val="17"/>
              </w:rPr>
            </w:pPr>
            <w:r w:rsidRPr="00AC36A1">
              <w:rPr>
                <w:sz w:val="17"/>
              </w:rPr>
              <w:t>572</w:t>
            </w:r>
          </w:p>
        </w:tc>
        <w:tc>
          <w:tcPr>
            <w:tcW w:w="770" w:type="dxa"/>
            <w:tcBorders>
              <w:bottom w:val="single" w:sz="12" w:space="0" w:color="auto"/>
            </w:tcBorders>
            <w:shd w:val="clear" w:color="auto" w:fill="auto"/>
            <w:vAlign w:val="bottom"/>
          </w:tcPr>
          <w:p w:rsidR="001B65C5" w:rsidRPr="00AC36A1" w:rsidRDefault="001B65C5" w:rsidP="001B65C5">
            <w:pPr>
              <w:tabs>
                <w:tab w:val="left" w:pos="288"/>
                <w:tab w:val="left" w:pos="576"/>
                <w:tab w:val="left" w:pos="864"/>
                <w:tab w:val="left" w:pos="1152"/>
              </w:tabs>
              <w:spacing w:before="40" w:after="40" w:line="210" w:lineRule="exact"/>
              <w:ind w:right="43"/>
              <w:jc w:val="right"/>
              <w:rPr>
                <w:sz w:val="17"/>
              </w:rPr>
            </w:pPr>
            <w:r w:rsidRPr="00AC36A1">
              <w:rPr>
                <w:sz w:val="17"/>
              </w:rPr>
              <w:t>27.97</w:t>
            </w:r>
          </w:p>
        </w:tc>
        <w:tc>
          <w:tcPr>
            <w:tcW w:w="770" w:type="dxa"/>
            <w:gridSpan w:val="2"/>
            <w:tcBorders>
              <w:bottom w:val="single" w:sz="12" w:space="0" w:color="auto"/>
            </w:tcBorders>
            <w:shd w:val="clear" w:color="auto" w:fill="auto"/>
            <w:vAlign w:val="bottom"/>
          </w:tcPr>
          <w:p w:rsidR="001B65C5" w:rsidRPr="00AC36A1" w:rsidRDefault="001B65C5" w:rsidP="001B65C5">
            <w:pPr>
              <w:tabs>
                <w:tab w:val="left" w:pos="288"/>
                <w:tab w:val="left" w:pos="576"/>
                <w:tab w:val="left" w:pos="864"/>
                <w:tab w:val="left" w:pos="1152"/>
              </w:tabs>
              <w:spacing w:before="40" w:after="40" w:line="210" w:lineRule="exact"/>
              <w:ind w:right="43"/>
              <w:jc w:val="right"/>
              <w:rPr>
                <w:sz w:val="17"/>
              </w:rPr>
            </w:pPr>
            <w:r w:rsidRPr="00AC36A1">
              <w:rPr>
                <w:sz w:val="17"/>
              </w:rPr>
              <w:t>–</w:t>
            </w:r>
          </w:p>
        </w:tc>
        <w:tc>
          <w:tcPr>
            <w:tcW w:w="771" w:type="dxa"/>
            <w:tcBorders>
              <w:bottom w:val="single" w:sz="12" w:space="0" w:color="auto"/>
            </w:tcBorders>
            <w:shd w:val="clear" w:color="auto" w:fill="auto"/>
            <w:vAlign w:val="bottom"/>
          </w:tcPr>
          <w:p w:rsidR="001B65C5" w:rsidRPr="00AC36A1" w:rsidRDefault="001B65C5" w:rsidP="001B65C5">
            <w:pPr>
              <w:tabs>
                <w:tab w:val="left" w:pos="288"/>
                <w:tab w:val="left" w:pos="576"/>
                <w:tab w:val="left" w:pos="864"/>
                <w:tab w:val="left" w:pos="1152"/>
              </w:tabs>
              <w:spacing w:before="40" w:after="40" w:line="210" w:lineRule="exact"/>
              <w:ind w:right="43"/>
              <w:jc w:val="right"/>
              <w:rPr>
                <w:sz w:val="17"/>
              </w:rPr>
            </w:pPr>
            <w:r w:rsidRPr="00AC36A1">
              <w:rPr>
                <w:sz w:val="17"/>
              </w:rPr>
              <w:t>–</w:t>
            </w:r>
          </w:p>
        </w:tc>
      </w:tr>
    </w:tbl>
    <w:p w:rsidR="001B65C5" w:rsidRPr="00AC36A1" w:rsidRDefault="001B65C5" w:rsidP="001B65C5">
      <w:pPr>
        <w:pStyle w:val="SingleTxt"/>
        <w:spacing w:after="0" w:line="120" w:lineRule="exact"/>
        <w:rPr>
          <w:sz w:val="10"/>
        </w:rPr>
      </w:pPr>
    </w:p>
    <w:p w:rsidR="001B65C5" w:rsidRPr="00AC36A1" w:rsidRDefault="001B65C5" w:rsidP="001B65C5">
      <w:pPr>
        <w:pStyle w:val="FootnoteText"/>
        <w:tabs>
          <w:tab w:val="clear" w:pos="418"/>
          <w:tab w:val="right" w:pos="1476"/>
          <w:tab w:val="left" w:pos="1548"/>
          <w:tab w:val="right" w:pos="1836"/>
          <w:tab w:val="left" w:pos="1908"/>
        </w:tabs>
        <w:ind w:left="1548" w:right="1267" w:hanging="288"/>
        <w:rPr>
          <w:i/>
        </w:rPr>
      </w:pPr>
      <w:r w:rsidRPr="00AC36A1">
        <w:rPr>
          <w:b/>
          <w:i/>
        </w:rPr>
        <w:t>Source</w:t>
      </w:r>
      <w:r w:rsidRPr="00AC36A1">
        <w:rPr>
          <w:i/>
        </w:rPr>
        <w:t>: Ministry of Youth Affairs and Skills Development.</w:t>
      </w:r>
    </w:p>
    <w:p w:rsidR="00CF1DFA" w:rsidRPr="00AC36A1" w:rsidRDefault="001B65C5" w:rsidP="001B65C5">
      <w:pPr>
        <w:pStyle w:val="FootnoteText"/>
        <w:tabs>
          <w:tab w:val="clear" w:pos="418"/>
          <w:tab w:val="right" w:pos="1476"/>
          <w:tab w:val="left" w:pos="1548"/>
          <w:tab w:val="right" w:pos="1836"/>
          <w:tab w:val="left" w:pos="1908"/>
        </w:tabs>
        <w:ind w:left="1548" w:right="1267" w:hanging="288"/>
        <w:rPr>
          <w:i/>
        </w:rPr>
      </w:pPr>
      <w:r w:rsidRPr="00AC36A1">
        <w:rPr>
          <w:i/>
        </w:rPr>
        <w:tab/>
      </w:r>
      <w:r w:rsidR="00CF1DFA" w:rsidRPr="00AC36A1">
        <w:rPr>
          <w:i/>
        </w:rPr>
        <w:t xml:space="preserve">* </w:t>
      </w:r>
      <w:r w:rsidRPr="00AC36A1">
        <w:rPr>
          <w:i/>
        </w:rPr>
        <w:tab/>
      </w:r>
      <w:r w:rsidR="00CF1DFA" w:rsidRPr="00AC36A1">
        <w:rPr>
          <w:i/>
        </w:rPr>
        <w:t>Other students are still continuing the courses.</w:t>
      </w:r>
    </w:p>
    <w:p w:rsidR="001B65C5" w:rsidRPr="00AC36A1" w:rsidRDefault="001B65C5" w:rsidP="001B65C5">
      <w:pPr>
        <w:pStyle w:val="SingleTxt"/>
        <w:spacing w:after="0" w:line="120" w:lineRule="exact"/>
        <w:rPr>
          <w:sz w:val="10"/>
        </w:rPr>
      </w:pPr>
    </w:p>
    <w:p w:rsidR="001B65C5" w:rsidRPr="00AC36A1" w:rsidRDefault="001B65C5" w:rsidP="001B65C5">
      <w:pPr>
        <w:pStyle w:val="SingleTxt"/>
        <w:spacing w:after="0" w:line="120" w:lineRule="exact"/>
        <w:rPr>
          <w:sz w:val="10"/>
        </w:rPr>
      </w:pPr>
    </w:p>
    <w:p w:rsidR="00CF1DFA" w:rsidRPr="00AC36A1" w:rsidRDefault="00CF1DFA" w:rsidP="001B65C5">
      <w:pPr>
        <w:pStyle w:val="H23"/>
        <w:ind w:right="1260"/>
      </w:pPr>
      <w:r w:rsidRPr="00AC36A1">
        <w:tab/>
      </w:r>
      <w:r w:rsidRPr="00AC36A1">
        <w:tab/>
        <w:t>Article 11</w:t>
      </w:r>
    </w:p>
    <w:p w:rsidR="001B65C5" w:rsidRPr="00AC36A1" w:rsidRDefault="001B65C5" w:rsidP="001B65C5">
      <w:pPr>
        <w:pStyle w:val="SingleTxt"/>
        <w:spacing w:after="0" w:line="120" w:lineRule="exact"/>
        <w:rPr>
          <w:sz w:val="10"/>
        </w:rPr>
      </w:pPr>
    </w:p>
    <w:p w:rsidR="00CF1DFA" w:rsidRPr="00AC36A1" w:rsidRDefault="001B65C5" w:rsidP="001B65C5">
      <w:pPr>
        <w:pStyle w:val="H23"/>
        <w:ind w:right="1260"/>
      </w:pPr>
      <w:r w:rsidRPr="00AC36A1">
        <w:tab/>
      </w:r>
      <w:r w:rsidRPr="00AC36A1">
        <w:tab/>
      </w:r>
      <w:r w:rsidR="00CF1DFA" w:rsidRPr="00AC36A1">
        <w:t>Equal rights to employment</w:t>
      </w:r>
    </w:p>
    <w:p w:rsidR="001B65C5" w:rsidRPr="00AC36A1" w:rsidRDefault="001B65C5" w:rsidP="001B65C5">
      <w:pPr>
        <w:pStyle w:val="SingleTxt"/>
        <w:spacing w:after="0" w:line="120" w:lineRule="exact"/>
        <w:rPr>
          <w:sz w:val="10"/>
        </w:rPr>
      </w:pPr>
    </w:p>
    <w:p w:rsidR="00CF1DFA" w:rsidRPr="00AC36A1" w:rsidRDefault="00CF1DFA" w:rsidP="00CF1DFA">
      <w:pPr>
        <w:pStyle w:val="SingleTxt"/>
      </w:pPr>
      <w:r w:rsidRPr="00AC36A1">
        <w:t>154.</w:t>
      </w:r>
      <w:r w:rsidRPr="00AC36A1">
        <w:tab/>
        <w:t xml:space="preserve">Sri Lanka continues to have a non-discrimination policy in the employment sector. </w:t>
      </w:r>
    </w:p>
    <w:p w:rsidR="001B65C5" w:rsidRPr="00AC36A1" w:rsidRDefault="001B65C5" w:rsidP="001B65C5">
      <w:pPr>
        <w:pStyle w:val="SingleTxt"/>
        <w:spacing w:after="0" w:line="120" w:lineRule="exact"/>
        <w:rPr>
          <w:sz w:val="10"/>
        </w:rPr>
      </w:pPr>
    </w:p>
    <w:p w:rsidR="00CF1DFA" w:rsidRPr="00AC36A1" w:rsidRDefault="001B65C5" w:rsidP="001B65C5">
      <w:pPr>
        <w:pStyle w:val="H23"/>
        <w:ind w:right="1260"/>
      </w:pPr>
      <w:r w:rsidRPr="00AC36A1">
        <w:tab/>
      </w:r>
      <w:r w:rsidRPr="00AC36A1">
        <w:tab/>
      </w:r>
      <w:r w:rsidR="00CF1DFA" w:rsidRPr="00AC36A1">
        <w:t>Labour Force Participation</w:t>
      </w:r>
    </w:p>
    <w:p w:rsidR="001B65C5" w:rsidRPr="00AC36A1" w:rsidRDefault="001B65C5" w:rsidP="001B65C5">
      <w:pPr>
        <w:pStyle w:val="SingleTxt"/>
        <w:spacing w:after="0" w:line="120" w:lineRule="exact"/>
        <w:rPr>
          <w:sz w:val="10"/>
        </w:rPr>
      </w:pPr>
    </w:p>
    <w:p w:rsidR="00CF1DFA" w:rsidRPr="00AC36A1" w:rsidRDefault="001B65C5" w:rsidP="001B65C5">
      <w:pPr>
        <w:pStyle w:val="H23"/>
        <w:ind w:right="1260"/>
        <w:rPr>
          <w:b w:val="0"/>
        </w:rPr>
      </w:pPr>
      <w:r w:rsidRPr="00AC36A1">
        <w:tab/>
      </w:r>
      <w:r w:rsidRPr="00AC36A1">
        <w:tab/>
      </w:r>
      <w:r w:rsidR="00CF1DFA" w:rsidRPr="00AC36A1">
        <w:rPr>
          <w:b w:val="0"/>
        </w:rPr>
        <w:t>Table 10</w:t>
      </w:r>
    </w:p>
    <w:p w:rsidR="00CF1DFA" w:rsidRPr="00AC36A1" w:rsidRDefault="001B65C5" w:rsidP="001B65C5">
      <w:pPr>
        <w:pStyle w:val="H23"/>
        <w:ind w:right="1260"/>
      </w:pPr>
      <w:r w:rsidRPr="00AC36A1">
        <w:tab/>
      </w:r>
      <w:r w:rsidRPr="00AC36A1">
        <w:tab/>
      </w:r>
      <w:r w:rsidR="00CF1DFA" w:rsidRPr="00AC36A1">
        <w:t xml:space="preserve">Summary of Labour Force characteristics </w:t>
      </w:r>
      <w:r w:rsidRPr="00AC36A1">
        <w:t>—</w:t>
      </w:r>
      <w:r w:rsidR="00CF1DFA" w:rsidRPr="00AC36A1">
        <w:t xml:space="preserve"> 2013</w:t>
      </w:r>
    </w:p>
    <w:p w:rsidR="001B65C5" w:rsidRPr="00AC36A1" w:rsidRDefault="001B65C5" w:rsidP="001B65C5">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547"/>
        <w:gridCol w:w="954"/>
        <w:gridCol w:w="955"/>
        <w:gridCol w:w="954"/>
        <w:gridCol w:w="955"/>
        <w:gridCol w:w="955"/>
      </w:tblGrid>
      <w:tr w:rsidR="005266C8" w:rsidRPr="00AC36A1" w:rsidTr="005266C8">
        <w:trPr>
          <w:tblHeader/>
        </w:trPr>
        <w:tc>
          <w:tcPr>
            <w:tcW w:w="2547" w:type="dxa"/>
            <w:tcBorders>
              <w:top w:val="single" w:sz="4" w:space="0" w:color="auto"/>
              <w:bottom w:val="single" w:sz="12" w:space="0" w:color="auto"/>
            </w:tcBorders>
            <w:shd w:val="clear" w:color="auto" w:fill="auto"/>
            <w:vAlign w:val="bottom"/>
          </w:tcPr>
          <w:p w:rsidR="005266C8" w:rsidRPr="00AC36A1" w:rsidRDefault="005266C8" w:rsidP="005266C8">
            <w:pPr>
              <w:spacing w:before="81" w:after="81" w:line="160" w:lineRule="exact"/>
              <w:ind w:right="40"/>
              <w:rPr>
                <w:i/>
                <w:sz w:val="14"/>
              </w:rPr>
            </w:pPr>
            <w:r w:rsidRPr="00AC36A1">
              <w:rPr>
                <w:i/>
                <w:sz w:val="14"/>
              </w:rPr>
              <w:t>Indicator</w:t>
            </w:r>
          </w:p>
        </w:tc>
        <w:tc>
          <w:tcPr>
            <w:tcW w:w="954" w:type="dxa"/>
            <w:tcBorders>
              <w:top w:val="single" w:sz="4" w:space="0" w:color="auto"/>
              <w:bottom w:val="single" w:sz="12" w:space="0" w:color="auto"/>
            </w:tcBorders>
            <w:shd w:val="clear" w:color="auto" w:fill="auto"/>
            <w:vAlign w:val="bottom"/>
          </w:tcPr>
          <w:p w:rsidR="005266C8" w:rsidRPr="00AC36A1" w:rsidRDefault="005266C8" w:rsidP="005266C8">
            <w:pPr>
              <w:spacing w:before="81" w:after="81" w:line="160" w:lineRule="exact"/>
              <w:ind w:right="43"/>
              <w:jc w:val="right"/>
              <w:rPr>
                <w:i/>
                <w:sz w:val="14"/>
              </w:rPr>
            </w:pPr>
            <w:r w:rsidRPr="00AC36A1">
              <w:rPr>
                <w:i/>
                <w:sz w:val="14"/>
              </w:rPr>
              <w:t>Total</w:t>
            </w:r>
          </w:p>
        </w:tc>
        <w:tc>
          <w:tcPr>
            <w:tcW w:w="955" w:type="dxa"/>
            <w:tcBorders>
              <w:top w:val="single" w:sz="4" w:space="0" w:color="auto"/>
              <w:bottom w:val="single" w:sz="12" w:space="0" w:color="auto"/>
            </w:tcBorders>
            <w:shd w:val="clear" w:color="auto" w:fill="auto"/>
            <w:vAlign w:val="bottom"/>
          </w:tcPr>
          <w:p w:rsidR="005266C8" w:rsidRPr="00AC36A1" w:rsidRDefault="005266C8" w:rsidP="005266C8">
            <w:pPr>
              <w:spacing w:before="81" w:after="81" w:line="160" w:lineRule="exact"/>
              <w:ind w:right="43"/>
              <w:jc w:val="right"/>
              <w:rPr>
                <w:i/>
                <w:sz w:val="14"/>
              </w:rPr>
            </w:pPr>
            <w:r w:rsidRPr="00AC36A1">
              <w:rPr>
                <w:i/>
                <w:sz w:val="14"/>
              </w:rPr>
              <w:t>Male</w:t>
            </w:r>
          </w:p>
        </w:tc>
        <w:tc>
          <w:tcPr>
            <w:tcW w:w="954" w:type="dxa"/>
            <w:tcBorders>
              <w:top w:val="single" w:sz="4" w:space="0" w:color="auto"/>
              <w:bottom w:val="single" w:sz="12" w:space="0" w:color="auto"/>
            </w:tcBorders>
            <w:shd w:val="clear" w:color="auto" w:fill="auto"/>
            <w:vAlign w:val="bottom"/>
          </w:tcPr>
          <w:p w:rsidR="005266C8" w:rsidRPr="00AC36A1" w:rsidRDefault="005266C8" w:rsidP="005266C8">
            <w:pPr>
              <w:spacing w:before="81" w:after="81" w:line="160" w:lineRule="exact"/>
              <w:ind w:right="43"/>
              <w:jc w:val="right"/>
              <w:rPr>
                <w:i/>
                <w:sz w:val="14"/>
              </w:rPr>
            </w:pPr>
            <w:r w:rsidRPr="00AC36A1">
              <w:rPr>
                <w:i/>
                <w:sz w:val="14"/>
              </w:rPr>
              <w:t>Female</w:t>
            </w:r>
          </w:p>
        </w:tc>
        <w:tc>
          <w:tcPr>
            <w:tcW w:w="955" w:type="dxa"/>
            <w:tcBorders>
              <w:top w:val="single" w:sz="4" w:space="0" w:color="auto"/>
              <w:bottom w:val="single" w:sz="12" w:space="0" w:color="auto"/>
            </w:tcBorders>
            <w:shd w:val="clear" w:color="auto" w:fill="auto"/>
            <w:vAlign w:val="bottom"/>
          </w:tcPr>
          <w:p w:rsidR="005266C8" w:rsidRPr="00AC36A1" w:rsidRDefault="005266C8" w:rsidP="005266C8">
            <w:pPr>
              <w:spacing w:before="81" w:after="81" w:line="160" w:lineRule="exact"/>
              <w:ind w:right="43"/>
              <w:jc w:val="right"/>
              <w:rPr>
                <w:i/>
                <w:sz w:val="14"/>
              </w:rPr>
            </w:pPr>
            <w:r w:rsidRPr="00AC36A1">
              <w:rPr>
                <w:i/>
                <w:sz w:val="14"/>
              </w:rPr>
              <w:t>Urban</w:t>
            </w:r>
          </w:p>
        </w:tc>
        <w:tc>
          <w:tcPr>
            <w:tcW w:w="955" w:type="dxa"/>
            <w:tcBorders>
              <w:top w:val="single" w:sz="4" w:space="0" w:color="auto"/>
              <w:bottom w:val="single" w:sz="12" w:space="0" w:color="auto"/>
            </w:tcBorders>
            <w:shd w:val="clear" w:color="auto" w:fill="auto"/>
            <w:vAlign w:val="bottom"/>
          </w:tcPr>
          <w:p w:rsidR="005266C8" w:rsidRPr="00AC36A1" w:rsidRDefault="005266C8" w:rsidP="005266C8">
            <w:pPr>
              <w:spacing w:before="81" w:after="81" w:line="160" w:lineRule="exact"/>
              <w:ind w:right="43"/>
              <w:jc w:val="right"/>
              <w:rPr>
                <w:i/>
                <w:sz w:val="14"/>
              </w:rPr>
            </w:pPr>
            <w:r w:rsidRPr="00AC36A1">
              <w:rPr>
                <w:i/>
                <w:sz w:val="14"/>
              </w:rPr>
              <w:t>Rural</w:t>
            </w:r>
          </w:p>
        </w:tc>
      </w:tr>
      <w:tr w:rsidR="005266C8" w:rsidRPr="00AC36A1" w:rsidTr="005266C8">
        <w:trPr>
          <w:trHeight w:hRule="exact" w:val="115"/>
          <w:tblHeader/>
        </w:trPr>
        <w:tc>
          <w:tcPr>
            <w:tcW w:w="2547" w:type="dxa"/>
            <w:tcBorders>
              <w:top w:val="single" w:sz="12" w:space="0" w:color="auto"/>
            </w:tcBorders>
            <w:shd w:val="clear" w:color="auto" w:fill="auto"/>
            <w:vAlign w:val="bottom"/>
          </w:tcPr>
          <w:p w:rsidR="005266C8" w:rsidRPr="00AC36A1" w:rsidRDefault="005266C8" w:rsidP="005266C8">
            <w:pPr>
              <w:spacing w:before="40" w:after="40" w:line="210" w:lineRule="exact"/>
              <w:ind w:right="40"/>
              <w:rPr>
                <w:sz w:val="17"/>
              </w:rPr>
            </w:pPr>
          </w:p>
        </w:tc>
        <w:tc>
          <w:tcPr>
            <w:tcW w:w="954" w:type="dxa"/>
            <w:tcBorders>
              <w:top w:val="single" w:sz="12" w:space="0" w:color="auto"/>
            </w:tcBorders>
            <w:shd w:val="clear" w:color="auto" w:fill="auto"/>
            <w:vAlign w:val="bottom"/>
          </w:tcPr>
          <w:p w:rsidR="005266C8" w:rsidRPr="00AC36A1" w:rsidRDefault="005266C8" w:rsidP="005266C8">
            <w:pPr>
              <w:spacing w:before="40" w:after="40" w:line="210" w:lineRule="exact"/>
              <w:ind w:right="43"/>
              <w:jc w:val="right"/>
              <w:rPr>
                <w:sz w:val="17"/>
              </w:rPr>
            </w:pPr>
          </w:p>
        </w:tc>
        <w:tc>
          <w:tcPr>
            <w:tcW w:w="955" w:type="dxa"/>
            <w:tcBorders>
              <w:top w:val="single" w:sz="12" w:space="0" w:color="auto"/>
            </w:tcBorders>
            <w:shd w:val="clear" w:color="auto" w:fill="auto"/>
            <w:vAlign w:val="bottom"/>
          </w:tcPr>
          <w:p w:rsidR="005266C8" w:rsidRPr="00AC36A1" w:rsidRDefault="005266C8" w:rsidP="005266C8">
            <w:pPr>
              <w:spacing w:before="40" w:after="40" w:line="210" w:lineRule="exact"/>
              <w:ind w:right="43"/>
              <w:jc w:val="right"/>
              <w:rPr>
                <w:sz w:val="17"/>
              </w:rPr>
            </w:pPr>
          </w:p>
        </w:tc>
        <w:tc>
          <w:tcPr>
            <w:tcW w:w="954" w:type="dxa"/>
            <w:tcBorders>
              <w:top w:val="single" w:sz="12" w:space="0" w:color="auto"/>
            </w:tcBorders>
            <w:shd w:val="clear" w:color="auto" w:fill="auto"/>
            <w:vAlign w:val="bottom"/>
          </w:tcPr>
          <w:p w:rsidR="005266C8" w:rsidRPr="00AC36A1" w:rsidRDefault="005266C8" w:rsidP="005266C8">
            <w:pPr>
              <w:spacing w:before="40" w:after="40" w:line="210" w:lineRule="exact"/>
              <w:ind w:right="43"/>
              <w:jc w:val="right"/>
              <w:rPr>
                <w:sz w:val="17"/>
              </w:rPr>
            </w:pPr>
          </w:p>
        </w:tc>
        <w:tc>
          <w:tcPr>
            <w:tcW w:w="955" w:type="dxa"/>
            <w:tcBorders>
              <w:top w:val="single" w:sz="12" w:space="0" w:color="auto"/>
            </w:tcBorders>
            <w:shd w:val="clear" w:color="auto" w:fill="auto"/>
            <w:vAlign w:val="bottom"/>
          </w:tcPr>
          <w:p w:rsidR="005266C8" w:rsidRPr="00AC36A1" w:rsidRDefault="005266C8" w:rsidP="005266C8">
            <w:pPr>
              <w:spacing w:before="40" w:after="40" w:line="210" w:lineRule="exact"/>
              <w:ind w:right="43"/>
              <w:jc w:val="right"/>
              <w:rPr>
                <w:sz w:val="17"/>
              </w:rPr>
            </w:pPr>
          </w:p>
        </w:tc>
        <w:tc>
          <w:tcPr>
            <w:tcW w:w="955" w:type="dxa"/>
            <w:tcBorders>
              <w:top w:val="single" w:sz="12" w:space="0" w:color="auto"/>
            </w:tcBorders>
            <w:shd w:val="clear" w:color="auto" w:fill="auto"/>
            <w:vAlign w:val="bottom"/>
          </w:tcPr>
          <w:p w:rsidR="005266C8" w:rsidRPr="00AC36A1" w:rsidRDefault="005266C8" w:rsidP="005266C8">
            <w:pPr>
              <w:spacing w:before="40" w:after="40" w:line="210" w:lineRule="exact"/>
              <w:ind w:right="43"/>
              <w:jc w:val="right"/>
              <w:rPr>
                <w:sz w:val="17"/>
              </w:rPr>
            </w:pPr>
          </w:p>
        </w:tc>
      </w:tr>
      <w:tr w:rsidR="005266C8" w:rsidRPr="00AC36A1" w:rsidTr="005266C8">
        <w:tc>
          <w:tcPr>
            <w:tcW w:w="2547"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0"/>
              <w:rPr>
                <w:sz w:val="17"/>
              </w:rPr>
            </w:pPr>
            <w:r w:rsidRPr="00AC36A1">
              <w:rPr>
                <w:sz w:val="17"/>
              </w:rPr>
              <w:t xml:space="preserve">Population (15 years &amp; over) </w:t>
            </w:r>
          </w:p>
        </w:tc>
        <w:tc>
          <w:tcPr>
            <w:tcW w:w="954"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 xml:space="preserve">16 359 761 </w:t>
            </w:r>
          </w:p>
        </w:tc>
        <w:tc>
          <w:tcPr>
            <w:tcW w:w="955"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 xml:space="preserve">7 577 344 </w:t>
            </w:r>
          </w:p>
        </w:tc>
        <w:tc>
          <w:tcPr>
            <w:tcW w:w="954"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 xml:space="preserve">8 782 417 </w:t>
            </w:r>
          </w:p>
        </w:tc>
        <w:tc>
          <w:tcPr>
            <w:tcW w:w="955"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 xml:space="preserve">2 813 020 </w:t>
            </w:r>
          </w:p>
        </w:tc>
        <w:tc>
          <w:tcPr>
            <w:tcW w:w="955"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 xml:space="preserve">13 546 741 </w:t>
            </w:r>
          </w:p>
        </w:tc>
      </w:tr>
      <w:tr w:rsidR="005266C8" w:rsidRPr="00AC36A1" w:rsidTr="005266C8">
        <w:tc>
          <w:tcPr>
            <w:tcW w:w="2547"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0"/>
              <w:rPr>
                <w:sz w:val="17"/>
              </w:rPr>
            </w:pPr>
            <w:r w:rsidRPr="00AC36A1">
              <w:rPr>
                <w:sz w:val="17"/>
              </w:rPr>
              <w:t xml:space="preserve">Labour force in this age group </w:t>
            </w:r>
          </w:p>
        </w:tc>
        <w:tc>
          <w:tcPr>
            <w:tcW w:w="954"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 xml:space="preserve">8 802 113 </w:t>
            </w:r>
          </w:p>
        </w:tc>
        <w:tc>
          <w:tcPr>
            <w:tcW w:w="955"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 xml:space="preserve">5 677 815 </w:t>
            </w:r>
          </w:p>
        </w:tc>
        <w:tc>
          <w:tcPr>
            <w:tcW w:w="954"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 xml:space="preserve">3 124 298 </w:t>
            </w:r>
          </w:p>
        </w:tc>
        <w:tc>
          <w:tcPr>
            <w:tcW w:w="955"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 xml:space="preserve">1 345 015 </w:t>
            </w:r>
          </w:p>
        </w:tc>
        <w:tc>
          <w:tcPr>
            <w:tcW w:w="955"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 xml:space="preserve">7 457 098 </w:t>
            </w:r>
          </w:p>
        </w:tc>
      </w:tr>
      <w:tr w:rsidR="005266C8" w:rsidRPr="00AC36A1" w:rsidTr="005266C8">
        <w:tc>
          <w:tcPr>
            <w:tcW w:w="2547"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0"/>
              <w:rPr>
                <w:sz w:val="17"/>
              </w:rPr>
            </w:pPr>
            <w:r w:rsidRPr="00AC36A1">
              <w:rPr>
                <w:sz w:val="17"/>
              </w:rPr>
              <w:t xml:space="preserve">Labour force participation rate </w:t>
            </w:r>
          </w:p>
        </w:tc>
        <w:tc>
          <w:tcPr>
            <w:tcW w:w="954"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 xml:space="preserve">53.8 </w:t>
            </w:r>
          </w:p>
        </w:tc>
        <w:tc>
          <w:tcPr>
            <w:tcW w:w="955"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 xml:space="preserve">74.9 </w:t>
            </w:r>
          </w:p>
        </w:tc>
        <w:tc>
          <w:tcPr>
            <w:tcW w:w="954"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 xml:space="preserve">35.6 </w:t>
            </w:r>
          </w:p>
        </w:tc>
        <w:tc>
          <w:tcPr>
            <w:tcW w:w="955"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 xml:space="preserve">47.8 </w:t>
            </w:r>
          </w:p>
        </w:tc>
        <w:tc>
          <w:tcPr>
            <w:tcW w:w="955"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 xml:space="preserve">55.0 </w:t>
            </w:r>
          </w:p>
        </w:tc>
      </w:tr>
      <w:tr w:rsidR="005266C8" w:rsidRPr="00AC36A1" w:rsidTr="005266C8">
        <w:tc>
          <w:tcPr>
            <w:tcW w:w="2547"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0"/>
              <w:rPr>
                <w:sz w:val="17"/>
              </w:rPr>
            </w:pPr>
            <w:r w:rsidRPr="00AC36A1">
              <w:rPr>
                <w:sz w:val="17"/>
              </w:rPr>
              <w:t xml:space="preserve">Employed population </w:t>
            </w:r>
          </w:p>
        </w:tc>
        <w:tc>
          <w:tcPr>
            <w:tcW w:w="954"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 xml:space="preserve">8 417 674 </w:t>
            </w:r>
          </w:p>
        </w:tc>
        <w:tc>
          <w:tcPr>
            <w:tcW w:w="955"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 xml:space="preserve">5 498 815 </w:t>
            </w:r>
          </w:p>
        </w:tc>
        <w:tc>
          <w:tcPr>
            <w:tcW w:w="954"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 xml:space="preserve">2 918 859 </w:t>
            </w:r>
          </w:p>
        </w:tc>
        <w:tc>
          <w:tcPr>
            <w:tcW w:w="955"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 xml:space="preserve">1 290 425 </w:t>
            </w:r>
          </w:p>
        </w:tc>
        <w:tc>
          <w:tcPr>
            <w:tcW w:w="955"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 xml:space="preserve">7 127 249 </w:t>
            </w:r>
          </w:p>
        </w:tc>
      </w:tr>
      <w:tr w:rsidR="005266C8" w:rsidRPr="00AC36A1" w:rsidTr="005266C8">
        <w:tc>
          <w:tcPr>
            <w:tcW w:w="2547"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0"/>
              <w:rPr>
                <w:sz w:val="17"/>
              </w:rPr>
            </w:pPr>
            <w:r w:rsidRPr="00AC36A1">
              <w:rPr>
                <w:sz w:val="17"/>
              </w:rPr>
              <w:t xml:space="preserve">Employment rate </w:t>
            </w:r>
          </w:p>
        </w:tc>
        <w:tc>
          <w:tcPr>
            <w:tcW w:w="954"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 xml:space="preserve">95.6 </w:t>
            </w:r>
          </w:p>
        </w:tc>
        <w:tc>
          <w:tcPr>
            <w:tcW w:w="955"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 xml:space="preserve">96.8 </w:t>
            </w:r>
          </w:p>
        </w:tc>
        <w:tc>
          <w:tcPr>
            <w:tcW w:w="954"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 xml:space="preserve">93.4 </w:t>
            </w:r>
          </w:p>
        </w:tc>
        <w:tc>
          <w:tcPr>
            <w:tcW w:w="955"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 xml:space="preserve">95.9 </w:t>
            </w:r>
          </w:p>
        </w:tc>
        <w:tc>
          <w:tcPr>
            <w:tcW w:w="955"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 xml:space="preserve">95.6 </w:t>
            </w:r>
          </w:p>
        </w:tc>
      </w:tr>
      <w:tr w:rsidR="005266C8" w:rsidRPr="00AC36A1" w:rsidTr="005266C8">
        <w:tc>
          <w:tcPr>
            <w:tcW w:w="2547"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0"/>
              <w:rPr>
                <w:sz w:val="17"/>
              </w:rPr>
            </w:pPr>
            <w:r w:rsidRPr="00AC36A1">
              <w:rPr>
                <w:sz w:val="17"/>
              </w:rPr>
              <w:t xml:space="preserve">Unemployed population </w:t>
            </w:r>
          </w:p>
        </w:tc>
        <w:tc>
          <w:tcPr>
            <w:tcW w:w="954"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 xml:space="preserve">384 439 </w:t>
            </w:r>
          </w:p>
        </w:tc>
        <w:tc>
          <w:tcPr>
            <w:tcW w:w="955"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 xml:space="preserve">179 000 </w:t>
            </w:r>
          </w:p>
        </w:tc>
        <w:tc>
          <w:tcPr>
            <w:tcW w:w="954"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 xml:space="preserve">205 439 </w:t>
            </w:r>
          </w:p>
        </w:tc>
        <w:tc>
          <w:tcPr>
            <w:tcW w:w="955"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 xml:space="preserve">54 590 </w:t>
            </w:r>
          </w:p>
        </w:tc>
        <w:tc>
          <w:tcPr>
            <w:tcW w:w="955"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 xml:space="preserve">329 849 </w:t>
            </w:r>
          </w:p>
        </w:tc>
      </w:tr>
      <w:tr w:rsidR="005266C8" w:rsidRPr="00AC36A1" w:rsidTr="005266C8">
        <w:tc>
          <w:tcPr>
            <w:tcW w:w="2547"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0"/>
              <w:rPr>
                <w:sz w:val="17"/>
              </w:rPr>
            </w:pPr>
            <w:r w:rsidRPr="00AC36A1">
              <w:rPr>
                <w:sz w:val="17"/>
              </w:rPr>
              <w:t xml:space="preserve">Unemployment rate </w:t>
            </w:r>
          </w:p>
        </w:tc>
        <w:tc>
          <w:tcPr>
            <w:tcW w:w="954"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 xml:space="preserve">4.4 </w:t>
            </w:r>
          </w:p>
        </w:tc>
        <w:tc>
          <w:tcPr>
            <w:tcW w:w="955"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 xml:space="preserve">3.2 </w:t>
            </w:r>
          </w:p>
        </w:tc>
        <w:tc>
          <w:tcPr>
            <w:tcW w:w="954"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 xml:space="preserve">6.6 </w:t>
            </w:r>
          </w:p>
        </w:tc>
        <w:tc>
          <w:tcPr>
            <w:tcW w:w="955"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 xml:space="preserve">4.1 </w:t>
            </w:r>
          </w:p>
        </w:tc>
        <w:tc>
          <w:tcPr>
            <w:tcW w:w="955"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 xml:space="preserve">4.4 </w:t>
            </w:r>
          </w:p>
        </w:tc>
      </w:tr>
      <w:tr w:rsidR="005266C8" w:rsidRPr="00AC36A1" w:rsidTr="005266C8">
        <w:tc>
          <w:tcPr>
            <w:tcW w:w="2547" w:type="dxa"/>
            <w:tcBorders>
              <w:bottom w:val="single" w:sz="12" w:space="0" w:color="auto"/>
            </w:tcBorders>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0"/>
              <w:rPr>
                <w:sz w:val="17"/>
              </w:rPr>
            </w:pPr>
            <w:r w:rsidRPr="00AC36A1">
              <w:rPr>
                <w:sz w:val="17"/>
              </w:rPr>
              <w:t xml:space="preserve">Not in labour force </w:t>
            </w:r>
          </w:p>
        </w:tc>
        <w:tc>
          <w:tcPr>
            <w:tcW w:w="954" w:type="dxa"/>
            <w:tcBorders>
              <w:bottom w:val="single" w:sz="12" w:space="0" w:color="auto"/>
            </w:tcBorders>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 xml:space="preserve">7 557 648 </w:t>
            </w:r>
          </w:p>
        </w:tc>
        <w:tc>
          <w:tcPr>
            <w:tcW w:w="955" w:type="dxa"/>
            <w:tcBorders>
              <w:bottom w:val="single" w:sz="12" w:space="0" w:color="auto"/>
            </w:tcBorders>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 xml:space="preserve">1 899 529 </w:t>
            </w:r>
          </w:p>
        </w:tc>
        <w:tc>
          <w:tcPr>
            <w:tcW w:w="954" w:type="dxa"/>
            <w:tcBorders>
              <w:bottom w:val="single" w:sz="12" w:space="0" w:color="auto"/>
            </w:tcBorders>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 xml:space="preserve">5 658 119 </w:t>
            </w:r>
          </w:p>
        </w:tc>
        <w:tc>
          <w:tcPr>
            <w:tcW w:w="955" w:type="dxa"/>
            <w:tcBorders>
              <w:bottom w:val="single" w:sz="12" w:space="0" w:color="auto"/>
            </w:tcBorders>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 xml:space="preserve">1 468 005 </w:t>
            </w:r>
          </w:p>
        </w:tc>
        <w:tc>
          <w:tcPr>
            <w:tcW w:w="955" w:type="dxa"/>
            <w:tcBorders>
              <w:bottom w:val="single" w:sz="12" w:space="0" w:color="auto"/>
            </w:tcBorders>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 xml:space="preserve">6 089 643 </w:t>
            </w:r>
          </w:p>
        </w:tc>
      </w:tr>
    </w:tbl>
    <w:p w:rsidR="005266C8" w:rsidRPr="00AC36A1" w:rsidRDefault="005266C8" w:rsidP="005266C8">
      <w:pPr>
        <w:pStyle w:val="SingleTxt"/>
        <w:spacing w:after="0" w:line="120" w:lineRule="exact"/>
        <w:rPr>
          <w:sz w:val="10"/>
        </w:rPr>
      </w:pPr>
    </w:p>
    <w:p w:rsidR="00CF1DFA" w:rsidRPr="00AC36A1" w:rsidRDefault="00CF1DFA" w:rsidP="005266C8">
      <w:pPr>
        <w:pStyle w:val="FootnoteText"/>
        <w:tabs>
          <w:tab w:val="clear" w:pos="418"/>
          <w:tab w:val="right" w:pos="1476"/>
          <w:tab w:val="left" w:pos="1548"/>
          <w:tab w:val="right" w:pos="1836"/>
          <w:tab w:val="left" w:pos="1908"/>
        </w:tabs>
        <w:ind w:left="1548" w:right="1267" w:hanging="288"/>
        <w:rPr>
          <w:i/>
        </w:rPr>
      </w:pPr>
      <w:r w:rsidRPr="00AC36A1">
        <w:rPr>
          <w:i/>
        </w:rPr>
        <w:t>All districts are included. 15 years &amp; over population</w:t>
      </w:r>
      <w:r w:rsidR="005266C8" w:rsidRPr="00AC36A1">
        <w:rPr>
          <w:i/>
        </w:rPr>
        <w:t>.</w:t>
      </w:r>
    </w:p>
    <w:p w:rsidR="005266C8" w:rsidRPr="00AC36A1" w:rsidRDefault="005266C8" w:rsidP="005266C8">
      <w:pPr>
        <w:pStyle w:val="SingleTxt"/>
        <w:spacing w:after="0" w:line="120" w:lineRule="exact"/>
        <w:rPr>
          <w:sz w:val="10"/>
        </w:rPr>
      </w:pPr>
    </w:p>
    <w:p w:rsidR="005266C8" w:rsidRPr="00AC36A1" w:rsidRDefault="005266C8" w:rsidP="005266C8">
      <w:pPr>
        <w:pStyle w:val="SingleTxt"/>
        <w:spacing w:after="0" w:line="120" w:lineRule="exact"/>
        <w:rPr>
          <w:sz w:val="10"/>
        </w:rPr>
      </w:pPr>
    </w:p>
    <w:p w:rsidR="00CF1DFA" w:rsidRPr="00AC36A1" w:rsidRDefault="005266C8" w:rsidP="005266C8">
      <w:pPr>
        <w:pStyle w:val="H23"/>
        <w:ind w:right="1260"/>
        <w:rPr>
          <w:b w:val="0"/>
        </w:rPr>
      </w:pPr>
      <w:r w:rsidRPr="00AC36A1">
        <w:tab/>
      </w:r>
      <w:r w:rsidRPr="00AC36A1">
        <w:tab/>
      </w:r>
      <w:r w:rsidR="00CF1DFA" w:rsidRPr="00AC36A1">
        <w:rPr>
          <w:b w:val="0"/>
        </w:rPr>
        <w:t>Table 11</w:t>
      </w:r>
    </w:p>
    <w:p w:rsidR="00CF1DFA" w:rsidRPr="00AC36A1" w:rsidRDefault="005266C8" w:rsidP="005266C8">
      <w:pPr>
        <w:pStyle w:val="H23"/>
        <w:ind w:right="1260"/>
      </w:pPr>
      <w:r w:rsidRPr="00AC36A1">
        <w:tab/>
      </w:r>
      <w:r w:rsidRPr="00AC36A1">
        <w:tab/>
      </w:r>
      <w:r w:rsidR="00CF1DFA" w:rsidRPr="00AC36A1">
        <w:t>Labour Force by Educational level</w:t>
      </w:r>
    </w:p>
    <w:p w:rsidR="005266C8" w:rsidRPr="00AC36A1" w:rsidRDefault="005266C8" w:rsidP="005266C8">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76467B" w:rsidRPr="00AC36A1" w:rsidTr="0076467B">
        <w:trPr>
          <w:tblHeader/>
        </w:trPr>
        <w:tc>
          <w:tcPr>
            <w:tcW w:w="1464" w:type="dxa"/>
            <w:tcBorders>
              <w:top w:val="single" w:sz="4" w:space="0" w:color="auto"/>
            </w:tcBorders>
            <w:shd w:val="clear" w:color="auto" w:fill="auto"/>
            <w:vAlign w:val="bottom"/>
          </w:tcPr>
          <w:p w:rsidR="0076467B" w:rsidRPr="00AC36A1" w:rsidRDefault="0076467B" w:rsidP="005266C8">
            <w:pPr>
              <w:spacing w:before="81" w:after="81" w:line="160" w:lineRule="exact"/>
              <w:ind w:right="40"/>
              <w:rPr>
                <w:i/>
                <w:sz w:val="14"/>
              </w:rPr>
            </w:pPr>
          </w:p>
        </w:tc>
        <w:tc>
          <w:tcPr>
            <w:tcW w:w="2928" w:type="dxa"/>
            <w:gridSpan w:val="2"/>
            <w:tcBorders>
              <w:top w:val="single" w:sz="4" w:space="0" w:color="auto"/>
              <w:bottom w:val="single" w:sz="4" w:space="0" w:color="auto"/>
            </w:tcBorders>
            <w:shd w:val="clear" w:color="auto" w:fill="auto"/>
            <w:vAlign w:val="bottom"/>
          </w:tcPr>
          <w:p w:rsidR="0076467B" w:rsidRPr="00AC36A1" w:rsidRDefault="0076467B" w:rsidP="0076467B">
            <w:pPr>
              <w:spacing w:before="81" w:after="81" w:line="160" w:lineRule="exact"/>
              <w:ind w:right="43"/>
              <w:jc w:val="center"/>
              <w:rPr>
                <w:i/>
                <w:sz w:val="14"/>
              </w:rPr>
            </w:pPr>
            <w:r w:rsidRPr="00AC36A1">
              <w:rPr>
                <w:i/>
                <w:sz w:val="14"/>
              </w:rPr>
              <w:t>Total labour force</w:t>
            </w:r>
          </w:p>
        </w:tc>
        <w:tc>
          <w:tcPr>
            <w:tcW w:w="1464" w:type="dxa"/>
            <w:tcBorders>
              <w:top w:val="single" w:sz="4" w:space="0" w:color="auto"/>
            </w:tcBorders>
            <w:shd w:val="clear" w:color="auto" w:fill="auto"/>
            <w:vAlign w:val="bottom"/>
          </w:tcPr>
          <w:p w:rsidR="0076467B" w:rsidRPr="00AC36A1" w:rsidRDefault="0076467B" w:rsidP="005266C8">
            <w:pPr>
              <w:spacing w:before="81" w:after="81" w:line="160" w:lineRule="exact"/>
              <w:ind w:right="43"/>
              <w:jc w:val="right"/>
              <w:rPr>
                <w:i/>
                <w:sz w:val="14"/>
              </w:rPr>
            </w:pPr>
          </w:p>
        </w:tc>
        <w:tc>
          <w:tcPr>
            <w:tcW w:w="1464" w:type="dxa"/>
            <w:tcBorders>
              <w:top w:val="single" w:sz="4" w:space="0" w:color="auto"/>
            </w:tcBorders>
            <w:shd w:val="clear" w:color="auto" w:fill="auto"/>
            <w:vAlign w:val="bottom"/>
          </w:tcPr>
          <w:p w:rsidR="0076467B" w:rsidRPr="00AC36A1" w:rsidRDefault="0076467B" w:rsidP="005266C8">
            <w:pPr>
              <w:spacing w:before="81" w:after="81" w:line="160" w:lineRule="exact"/>
              <w:ind w:right="43"/>
              <w:jc w:val="right"/>
              <w:rPr>
                <w:i/>
                <w:sz w:val="14"/>
              </w:rPr>
            </w:pPr>
          </w:p>
        </w:tc>
      </w:tr>
      <w:tr w:rsidR="005266C8" w:rsidRPr="00AC36A1" w:rsidTr="0076467B">
        <w:trPr>
          <w:tblHeader/>
        </w:trPr>
        <w:tc>
          <w:tcPr>
            <w:tcW w:w="1464" w:type="dxa"/>
            <w:tcBorders>
              <w:bottom w:val="single" w:sz="12" w:space="0" w:color="auto"/>
            </w:tcBorders>
            <w:shd w:val="clear" w:color="auto" w:fill="auto"/>
            <w:vAlign w:val="bottom"/>
          </w:tcPr>
          <w:p w:rsidR="005266C8" w:rsidRPr="00AC36A1" w:rsidRDefault="005266C8" w:rsidP="005266C8">
            <w:pPr>
              <w:spacing w:before="81" w:after="81" w:line="160" w:lineRule="exact"/>
              <w:ind w:right="40"/>
              <w:rPr>
                <w:i/>
                <w:sz w:val="14"/>
              </w:rPr>
            </w:pPr>
            <w:r w:rsidRPr="00AC36A1">
              <w:rPr>
                <w:i/>
                <w:sz w:val="14"/>
              </w:rPr>
              <w:t>Level of education</w:t>
            </w:r>
          </w:p>
        </w:tc>
        <w:tc>
          <w:tcPr>
            <w:tcW w:w="1464" w:type="dxa"/>
            <w:tcBorders>
              <w:top w:val="single" w:sz="4" w:space="0" w:color="auto"/>
              <w:bottom w:val="single" w:sz="12" w:space="0" w:color="auto"/>
            </w:tcBorders>
            <w:shd w:val="clear" w:color="auto" w:fill="auto"/>
            <w:vAlign w:val="bottom"/>
          </w:tcPr>
          <w:p w:rsidR="005266C8" w:rsidRPr="00AC36A1" w:rsidRDefault="005266C8" w:rsidP="005266C8">
            <w:pPr>
              <w:spacing w:before="81" w:after="81" w:line="160" w:lineRule="exact"/>
              <w:ind w:right="43"/>
              <w:jc w:val="right"/>
              <w:rPr>
                <w:i/>
                <w:sz w:val="14"/>
              </w:rPr>
            </w:pPr>
            <w:r w:rsidRPr="00AC36A1">
              <w:rPr>
                <w:i/>
                <w:sz w:val="14"/>
              </w:rPr>
              <w:t>Total number</w:t>
            </w:r>
          </w:p>
        </w:tc>
        <w:tc>
          <w:tcPr>
            <w:tcW w:w="1464" w:type="dxa"/>
            <w:tcBorders>
              <w:top w:val="single" w:sz="4" w:space="0" w:color="auto"/>
              <w:bottom w:val="single" w:sz="12" w:space="0" w:color="auto"/>
            </w:tcBorders>
            <w:shd w:val="clear" w:color="auto" w:fill="auto"/>
            <w:vAlign w:val="bottom"/>
          </w:tcPr>
          <w:p w:rsidR="005266C8" w:rsidRPr="00AC36A1" w:rsidRDefault="005266C8" w:rsidP="005266C8">
            <w:pPr>
              <w:spacing w:before="81" w:after="81" w:line="160" w:lineRule="exact"/>
              <w:ind w:right="43"/>
              <w:jc w:val="right"/>
              <w:rPr>
                <w:i/>
                <w:sz w:val="14"/>
              </w:rPr>
            </w:pPr>
            <w:r w:rsidRPr="00AC36A1">
              <w:rPr>
                <w:i/>
                <w:sz w:val="14"/>
              </w:rPr>
              <w:t>Women as a % of the total</w:t>
            </w:r>
          </w:p>
        </w:tc>
        <w:tc>
          <w:tcPr>
            <w:tcW w:w="1464" w:type="dxa"/>
            <w:tcBorders>
              <w:bottom w:val="single" w:sz="12" w:space="0" w:color="auto"/>
            </w:tcBorders>
            <w:shd w:val="clear" w:color="auto" w:fill="auto"/>
            <w:vAlign w:val="bottom"/>
          </w:tcPr>
          <w:p w:rsidR="005266C8" w:rsidRPr="00AC36A1" w:rsidRDefault="005266C8" w:rsidP="005266C8">
            <w:pPr>
              <w:spacing w:before="81" w:after="81" w:line="160" w:lineRule="exact"/>
              <w:ind w:right="43"/>
              <w:jc w:val="right"/>
              <w:rPr>
                <w:i/>
                <w:sz w:val="14"/>
              </w:rPr>
            </w:pPr>
            <w:r w:rsidRPr="00AC36A1">
              <w:rPr>
                <w:i/>
                <w:sz w:val="14"/>
              </w:rPr>
              <w:t>Women %</w:t>
            </w:r>
          </w:p>
        </w:tc>
        <w:tc>
          <w:tcPr>
            <w:tcW w:w="1464" w:type="dxa"/>
            <w:tcBorders>
              <w:bottom w:val="single" w:sz="12" w:space="0" w:color="auto"/>
            </w:tcBorders>
            <w:shd w:val="clear" w:color="auto" w:fill="auto"/>
            <w:vAlign w:val="bottom"/>
          </w:tcPr>
          <w:p w:rsidR="005266C8" w:rsidRPr="00AC36A1" w:rsidRDefault="005266C8" w:rsidP="005266C8">
            <w:pPr>
              <w:spacing w:before="81" w:after="81" w:line="160" w:lineRule="exact"/>
              <w:ind w:right="43"/>
              <w:jc w:val="right"/>
              <w:rPr>
                <w:i/>
                <w:sz w:val="14"/>
              </w:rPr>
            </w:pPr>
            <w:r w:rsidRPr="00AC36A1">
              <w:rPr>
                <w:i/>
                <w:sz w:val="14"/>
              </w:rPr>
              <w:t>Men %</w:t>
            </w:r>
          </w:p>
        </w:tc>
      </w:tr>
      <w:tr w:rsidR="005266C8" w:rsidRPr="00AC36A1" w:rsidTr="005266C8">
        <w:trPr>
          <w:trHeight w:hRule="exact" w:val="115"/>
          <w:tblHeader/>
        </w:trPr>
        <w:tc>
          <w:tcPr>
            <w:tcW w:w="1464" w:type="dxa"/>
            <w:tcBorders>
              <w:top w:val="single" w:sz="12" w:space="0" w:color="auto"/>
            </w:tcBorders>
            <w:shd w:val="clear" w:color="auto" w:fill="auto"/>
            <w:vAlign w:val="bottom"/>
          </w:tcPr>
          <w:p w:rsidR="005266C8" w:rsidRPr="00AC36A1" w:rsidRDefault="005266C8" w:rsidP="005266C8">
            <w:pPr>
              <w:spacing w:before="40" w:after="40" w:line="210" w:lineRule="exact"/>
              <w:ind w:right="40"/>
              <w:rPr>
                <w:sz w:val="17"/>
              </w:rPr>
            </w:pPr>
          </w:p>
        </w:tc>
        <w:tc>
          <w:tcPr>
            <w:tcW w:w="1464" w:type="dxa"/>
            <w:tcBorders>
              <w:top w:val="single" w:sz="12" w:space="0" w:color="auto"/>
            </w:tcBorders>
            <w:shd w:val="clear" w:color="auto" w:fill="auto"/>
            <w:vAlign w:val="bottom"/>
          </w:tcPr>
          <w:p w:rsidR="005266C8" w:rsidRPr="00AC36A1" w:rsidRDefault="005266C8" w:rsidP="005266C8">
            <w:pPr>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5266C8" w:rsidRPr="00AC36A1" w:rsidRDefault="005266C8" w:rsidP="005266C8">
            <w:pPr>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5266C8" w:rsidRPr="00AC36A1" w:rsidRDefault="005266C8" w:rsidP="005266C8">
            <w:pPr>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5266C8" w:rsidRPr="00AC36A1" w:rsidRDefault="005266C8" w:rsidP="005266C8">
            <w:pPr>
              <w:spacing w:before="40" w:after="40" w:line="210" w:lineRule="exact"/>
              <w:ind w:right="43"/>
              <w:jc w:val="right"/>
              <w:rPr>
                <w:sz w:val="17"/>
              </w:rPr>
            </w:pPr>
          </w:p>
        </w:tc>
      </w:tr>
      <w:tr w:rsidR="005266C8" w:rsidRPr="00AC36A1" w:rsidTr="005266C8">
        <w:tc>
          <w:tcPr>
            <w:tcW w:w="1464"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0"/>
              <w:rPr>
                <w:sz w:val="17"/>
              </w:rPr>
            </w:pPr>
            <w:r w:rsidRPr="00AC36A1">
              <w:rPr>
                <w:sz w:val="17"/>
              </w:rPr>
              <w:t>Below Grade 6</w:t>
            </w:r>
          </w:p>
        </w:tc>
        <w:tc>
          <w:tcPr>
            <w:tcW w:w="1464"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1 520 454</w:t>
            </w:r>
          </w:p>
        </w:tc>
        <w:tc>
          <w:tcPr>
            <w:tcW w:w="1464"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35.9</w:t>
            </w:r>
          </w:p>
        </w:tc>
        <w:tc>
          <w:tcPr>
            <w:tcW w:w="1464"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17.5</w:t>
            </w:r>
          </w:p>
        </w:tc>
        <w:tc>
          <w:tcPr>
            <w:tcW w:w="1464"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17.2</w:t>
            </w:r>
          </w:p>
        </w:tc>
      </w:tr>
      <w:tr w:rsidR="005266C8" w:rsidRPr="00AC36A1" w:rsidTr="005266C8">
        <w:tc>
          <w:tcPr>
            <w:tcW w:w="1464"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0"/>
              <w:rPr>
                <w:sz w:val="17"/>
              </w:rPr>
            </w:pPr>
            <w:r w:rsidRPr="00AC36A1">
              <w:rPr>
                <w:sz w:val="17"/>
              </w:rPr>
              <w:t>Grade 6-10</w:t>
            </w:r>
          </w:p>
        </w:tc>
        <w:tc>
          <w:tcPr>
            <w:tcW w:w="1464"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4 166 119</w:t>
            </w:r>
          </w:p>
        </w:tc>
        <w:tc>
          <w:tcPr>
            <w:tcW w:w="1464"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30.2</w:t>
            </w:r>
          </w:p>
        </w:tc>
        <w:tc>
          <w:tcPr>
            <w:tcW w:w="1464"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40.3</w:t>
            </w:r>
          </w:p>
        </w:tc>
        <w:tc>
          <w:tcPr>
            <w:tcW w:w="1464"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51.2</w:t>
            </w:r>
          </w:p>
        </w:tc>
      </w:tr>
      <w:tr w:rsidR="005266C8" w:rsidRPr="00AC36A1" w:rsidTr="005266C8">
        <w:tc>
          <w:tcPr>
            <w:tcW w:w="1464"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0"/>
              <w:rPr>
                <w:sz w:val="17"/>
              </w:rPr>
            </w:pPr>
            <w:r w:rsidRPr="00AC36A1">
              <w:rPr>
                <w:sz w:val="17"/>
              </w:rPr>
              <w:t>GCE (O/L)</w:t>
            </w:r>
          </w:p>
        </w:tc>
        <w:tc>
          <w:tcPr>
            <w:tcW w:w="1464"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1 432 651</w:t>
            </w:r>
          </w:p>
        </w:tc>
        <w:tc>
          <w:tcPr>
            <w:tcW w:w="1464"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34.9</w:t>
            </w:r>
          </w:p>
        </w:tc>
        <w:tc>
          <w:tcPr>
            <w:tcW w:w="1464"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16.0</w:t>
            </w:r>
          </w:p>
        </w:tc>
        <w:tc>
          <w:tcPr>
            <w:tcW w:w="1464"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16.4</w:t>
            </w:r>
          </w:p>
        </w:tc>
      </w:tr>
      <w:tr w:rsidR="005266C8" w:rsidRPr="00AC36A1" w:rsidTr="005266C8">
        <w:tc>
          <w:tcPr>
            <w:tcW w:w="1464"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0"/>
              <w:rPr>
                <w:sz w:val="17"/>
              </w:rPr>
            </w:pPr>
            <w:r w:rsidRPr="00AC36A1">
              <w:rPr>
                <w:sz w:val="17"/>
              </w:rPr>
              <w:t>GCE (A/L)</w:t>
            </w:r>
          </w:p>
        </w:tc>
        <w:tc>
          <w:tcPr>
            <w:tcW w:w="1464"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1 291 531</w:t>
            </w:r>
          </w:p>
        </w:tc>
        <w:tc>
          <w:tcPr>
            <w:tcW w:w="1464"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47.5</w:t>
            </w:r>
          </w:p>
        </w:tc>
        <w:tc>
          <w:tcPr>
            <w:tcW w:w="1464"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19.6</w:t>
            </w:r>
          </w:p>
        </w:tc>
        <w:tc>
          <w:tcPr>
            <w:tcW w:w="1464" w:type="dxa"/>
            <w:shd w:val="clear" w:color="auto" w:fill="auto"/>
            <w:vAlign w:val="bottom"/>
          </w:tcPr>
          <w:p w:rsidR="005266C8" w:rsidRPr="00AC36A1" w:rsidRDefault="005266C8" w:rsidP="005266C8">
            <w:pPr>
              <w:tabs>
                <w:tab w:val="left" w:pos="288"/>
                <w:tab w:val="left" w:pos="576"/>
                <w:tab w:val="left" w:pos="864"/>
                <w:tab w:val="left" w:pos="1152"/>
              </w:tabs>
              <w:spacing w:before="40" w:after="40" w:line="210" w:lineRule="exact"/>
              <w:ind w:right="43"/>
              <w:jc w:val="right"/>
              <w:rPr>
                <w:sz w:val="17"/>
              </w:rPr>
            </w:pPr>
            <w:r w:rsidRPr="00AC36A1">
              <w:rPr>
                <w:sz w:val="17"/>
              </w:rPr>
              <w:t>12.0</w:t>
            </w:r>
          </w:p>
        </w:tc>
      </w:tr>
      <w:tr w:rsidR="005266C8" w:rsidRPr="00AC36A1" w:rsidTr="005266C8">
        <w:tc>
          <w:tcPr>
            <w:tcW w:w="1464" w:type="dxa"/>
            <w:tcBorders>
              <w:bottom w:val="single" w:sz="4" w:space="0" w:color="auto"/>
            </w:tcBorders>
            <w:shd w:val="clear" w:color="auto" w:fill="auto"/>
            <w:vAlign w:val="bottom"/>
          </w:tcPr>
          <w:p w:rsidR="005266C8" w:rsidRPr="00AC36A1" w:rsidRDefault="005266C8" w:rsidP="005266C8">
            <w:pPr>
              <w:tabs>
                <w:tab w:val="left" w:pos="288"/>
                <w:tab w:val="left" w:pos="576"/>
                <w:tab w:val="left" w:pos="864"/>
                <w:tab w:val="left" w:pos="1152"/>
              </w:tabs>
              <w:spacing w:before="40" w:after="81" w:line="210" w:lineRule="exact"/>
              <w:ind w:right="40"/>
              <w:rPr>
                <w:sz w:val="17"/>
              </w:rPr>
            </w:pPr>
            <w:r w:rsidRPr="00AC36A1">
              <w:rPr>
                <w:sz w:val="17"/>
              </w:rPr>
              <w:t>Degree &amp; above</w:t>
            </w:r>
          </w:p>
        </w:tc>
        <w:tc>
          <w:tcPr>
            <w:tcW w:w="1464" w:type="dxa"/>
            <w:tcBorders>
              <w:bottom w:val="single" w:sz="4" w:space="0" w:color="auto"/>
            </w:tcBorders>
            <w:shd w:val="clear" w:color="auto" w:fill="auto"/>
            <w:vAlign w:val="bottom"/>
          </w:tcPr>
          <w:p w:rsidR="005266C8" w:rsidRPr="00AC36A1" w:rsidRDefault="005266C8" w:rsidP="005266C8">
            <w:pPr>
              <w:tabs>
                <w:tab w:val="left" w:pos="288"/>
                <w:tab w:val="left" w:pos="576"/>
                <w:tab w:val="left" w:pos="864"/>
                <w:tab w:val="left" w:pos="1152"/>
              </w:tabs>
              <w:spacing w:before="40" w:after="81" w:line="210" w:lineRule="exact"/>
              <w:ind w:right="43"/>
              <w:jc w:val="right"/>
              <w:rPr>
                <w:sz w:val="17"/>
              </w:rPr>
            </w:pPr>
            <w:r w:rsidRPr="00AC36A1">
              <w:rPr>
                <w:sz w:val="17"/>
              </w:rPr>
              <w:t>391 358</w:t>
            </w:r>
          </w:p>
        </w:tc>
        <w:tc>
          <w:tcPr>
            <w:tcW w:w="1464" w:type="dxa"/>
            <w:tcBorders>
              <w:bottom w:val="single" w:sz="4" w:space="0" w:color="auto"/>
            </w:tcBorders>
            <w:shd w:val="clear" w:color="auto" w:fill="auto"/>
            <w:vAlign w:val="bottom"/>
          </w:tcPr>
          <w:p w:rsidR="005266C8" w:rsidRPr="00AC36A1" w:rsidRDefault="005266C8" w:rsidP="005266C8">
            <w:pPr>
              <w:tabs>
                <w:tab w:val="left" w:pos="288"/>
                <w:tab w:val="left" w:pos="576"/>
                <w:tab w:val="left" w:pos="864"/>
                <w:tab w:val="left" w:pos="1152"/>
              </w:tabs>
              <w:spacing w:before="40" w:after="81" w:line="210" w:lineRule="exact"/>
              <w:ind w:right="43"/>
              <w:jc w:val="right"/>
              <w:rPr>
                <w:sz w:val="17"/>
              </w:rPr>
            </w:pPr>
            <w:r w:rsidRPr="00AC36A1">
              <w:rPr>
                <w:sz w:val="17"/>
              </w:rPr>
              <w:t>52.9</w:t>
            </w:r>
          </w:p>
        </w:tc>
        <w:tc>
          <w:tcPr>
            <w:tcW w:w="1464" w:type="dxa"/>
            <w:tcBorders>
              <w:bottom w:val="single" w:sz="4" w:space="0" w:color="auto"/>
            </w:tcBorders>
            <w:shd w:val="clear" w:color="auto" w:fill="auto"/>
            <w:vAlign w:val="bottom"/>
          </w:tcPr>
          <w:p w:rsidR="005266C8" w:rsidRPr="00AC36A1" w:rsidRDefault="005266C8" w:rsidP="005266C8">
            <w:pPr>
              <w:tabs>
                <w:tab w:val="left" w:pos="288"/>
                <w:tab w:val="left" w:pos="576"/>
                <w:tab w:val="left" w:pos="864"/>
                <w:tab w:val="left" w:pos="1152"/>
              </w:tabs>
              <w:spacing w:before="40" w:after="81" w:line="210" w:lineRule="exact"/>
              <w:ind w:right="43"/>
              <w:jc w:val="right"/>
              <w:rPr>
                <w:sz w:val="17"/>
              </w:rPr>
            </w:pPr>
            <w:r w:rsidRPr="00AC36A1">
              <w:rPr>
                <w:sz w:val="17"/>
              </w:rPr>
              <w:t>6.6</w:t>
            </w:r>
          </w:p>
        </w:tc>
        <w:tc>
          <w:tcPr>
            <w:tcW w:w="1464" w:type="dxa"/>
            <w:tcBorders>
              <w:bottom w:val="single" w:sz="4" w:space="0" w:color="auto"/>
            </w:tcBorders>
            <w:shd w:val="clear" w:color="auto" w:fill="auto"/>
            <w:vAlign w:val="bottom"/>
          </w:tcPr>
          <w:p w:rsidR="005266C8" w:rsidRPr="00AC36A1" w:rsidRDefault="005266C8" w:rsidP="005266C8">
            <w:pPr>
              <w:tabs>
                <w:tab w:val="left" w:pos="288"/>
                <w:tab w:val="left" w:pos="576"/>
                <w:tab w:val="left" w:pos="864"/>
                <w:tab w:val="left" w:pos="1152"/>
              </w:tabs>
              <w:spacing w:before="40" w:after="81" w:line="210" w:lineRule="exact"/>
              <w:ind w:right="43"/>
              <w:jc w:val="right"/>
              <w:rPr>
                <w:sz w:val="17"/>
              </w:rPr>
            </w:pPr>
            <w:r w:rsidRPr="00AC36A1">
              <w:rPr>
                <w:sz w:val="17"/>
              </w:rPr>
              <w:t>3.2</w:t>
            </w:r>
          </w:p>
        </w:tc>
      </w:tr>
      <w:tr w:rsidR="005266C8" w:rsidRPr="00AC36A1" w:rsidTr="005266C8">
        <w:tc>
          <w:tcPr>
            <w:tcW w:w="1464" w:type="dxa"/>
            <w:tcBorders>
              <w:top w:val="single" w:sz="4" w:space="0" w:color="auto"/>
              <w:bottom w:val="single" w:sz="12" w:space="0" w:color="auto"/>
            </w:tcBorders>
            <w:shd w:val="clear" w:color="auto" w:fill="auto"/>
            <w:vAlign w:val="bottom"/>
          </w:tcPr>
          <w:p w:rsidR="005266C8" w:rsidRPr="00AC36A1" w:rsidRDefault="005266C8" w:rsidP="005266C8">
            <w:pPr>
              <w:tabs>
                <w:tab w:val="left" w:pos="288"/>
                <w:tab w:val="left" w:pos="576"/>
                <w:tab w:val="left" w:pos="864"/>
                <w:tab w:val="left" w:pos="1152"/>
              </w:tabs>
              <w:spacing w:before="81" w:after="81" w:line="210" w:lineRule="exact"/>
              <w:ind w:right="40"/>
              <w:rPr>
                <w:b/>
                <w:sz w:val="17"/>
              </w:rPr>
            </w:pPr>
            <w:r w:rsidRPr="00AC36A1">
              <w:rPr>
                <w:b/>
                <w:sz w:val="17"/>
              </w:rPr>
              <w:tab/>
              <w:t>Total</w:t>
            </w:r>
          </w:p>
        </w:tc>
        <w:tc>
          <w:tcPr>
            <w:tcW w:w="1464" w:type="dxa"/>
            <w:tcBorders>
              <w:top w:val="single" w:sz="4" w:space="0" w:color="auto"/>
              <w:bottom w:val="single" w:sz="12" w:space="0" w:color="auto"/>
            </w:tcBorders>
            <w:shd w:val="clear" w:color="auto" w:fill="auto"/>
            <w:vAlign w:val="bottom"/>
          </w:tcPr>
          <w:p w:rsidR="005266C8" w:rsidRPr="00AC36A1" w:rsidRDefault="005266C8" w:rsidP="005266C8">
            <w:pPr>
              <w:tabs>
                <w:tab w:val="left" w:pos="288"/>
                <w:tab w:val="left" w:pos="576"/>
                <w:tab w:val="left" w:pos="864"/>
                <w:tab w:val="left" w:pos="1152"/>
              </w:tabs>
              <w:spacing w:before="81" w:after="81" w:line="210" w:lineRule="exact"/>
              <w:ind w:right="43"/>
              <w:jc w:val="right"/>
              <w:rPr>
                <w:b/>
                <w:sz w:val="17"/>
              </w:rPr>
            </w:pPr>
            <w:r w:rsidRPr="00AC36A1">
              <w:rPr>
                <w:b/>
                <w:sz w:val="17"/>
              </w:rPr>
              <w:t>8 802 113</w:t>
            </w:r>
          </w:p>
        </w:tc>
        <w:tc>
          <w:tcPr>
            <w:tcW w:w="1464" w:type="dxa"/>
            <w:tcBorders>
              <w:top w:val="single" w:sz="4" w:space="0" w:color="auto"/>
              <w:bottom w:val="single" w:sz="12" w:space="0" w:color="auto"/>
            </w:tcBorders>
            <w:shd w:val="clear" w:color="auto" w:fill="auto"/>
            <w:vAlign w:val="bottom"/>
          </w:tcPr>
          <w:p w:rsidR="005266C8" w:rsidRPr="00AC36A1" w:rsidRDefault="005266C8" w:rsidP="005266C8">
            <w:pPr>
              <w:tabs>
                <w:tab w:val="left" w:pos="288"/>
                <w:tab w:val="left" w:pos="576"/>
                <w:tab w:val="left" w:pos="864"/>
                <w:tab w:val="left" w:pos="1152"/>
              </w:tabs>
              <w:spacing w:before="81" w:after="81" w:line="210" w:lineRule="exact"/>
              <w:ind w:right="43"/>
              <w:jc w:val="right"/>
              <w:rPr>
                <w:b/>
                <w:sz w:val="17"/>
              </w:rPr>
            </w:pPr>
            <w:r w:rsidRPr="00AC36A1">
              <w:rPr>
                <w:b/>
                <w:sz w:val="17"/>
              </w:rPr>
              <w:t>35.5</w:t>
            </w:r>
          </w:p>
        </w:tc>
        <w:tc>
          <w:tcPr>
            <w:tcW w:w="1464" w:type="dxa"/>
            <w:tcBorders>
              <w:top w:val="single" w:sz="4" w:space="0" w:color="auto"/>
              <w:bottom w:val="single" w:sz="12" w:space="0" w:color="auto"/>
            </w:tcBorders>
            <w:shd w:val="clear" w:color="auto" w:fill="auto"/>
            <w:vAlign w:val="bottom"/>
          </w:tcPr>
          <w:p w:rsidR="005266C8" w:rsidRPr="00AC36A1" w:rsidRDefault="005266C8" w:rsidP="005266C8">
            <w:pPr>
              <w:tabs>
                <w:tab w:val="left" w:pos="288"/>
                <w:tab w:val="left" w:pos="576"/>
                <w:tab w:val="left" w:pos="864"/>
                <w:tab w:val="left" w:pos="1152"/>
              </w:tabs>
              <w:spacing w:before="81" w:after="81" w:line="210" w:lineRule="exact"/>
              <w:ind w:right="43"/>
              <w:jc w:val="right"/>
              <w:rPr>
                <w:b/>
                <w:sz w:val="17"/>
              </w:rPr>
            </w:pPr>
            <w:r w:rsidRPr="00AC36A1">
              <w:rPr>
                <w:b/>
                <w:sz w:val="17"/>
              </w:rPr>
              <w:t>100.0</w:t>
            </w:r>
          </w:p>
        </w:tc>
        <w:tc>
          <w:tcPr>
            <w:tcW w:w="1464" w:type="dxa"/>
            <w:tcBorders>
              <w:top w:val="single" w:sz="4" w:space="0" w:color="auto"/>
              <w:bottom w:val="single" w:sz="12" w:space="0" w:color="auto"/>
            </w:tcBorders>
            <w:shd w:val="clear" w:color="auto" w:fill="auto"/>
            <w:vAlign w:val="bottom"/>
          </w:tcPr>
          <w:p w:rsidR="005266C8" w:rsidRPr="00AC36A1" w:rsidRDefault="005266C8" w:rsidP="005266C8">
            <w:pPr>
              <w:tabs>
                <w:tab w:val="left" w:pos="288"/>
                <w:tab w:val="left" w:pos="576"/>
                <w:tab w:val="left" w:pos="864"/>
                <w:tab w:val="left" w:pos="1152"/>
              </w:tabs>
              <w:spacing w:before="81" w:after="81" w:line="210" w:lineRule="exact"/>
              <w:ind w:right="43"/>
              <w:jc w:val="right"/>
              <w:rPr>
                <w:b/>
                <w:sz w:val="17"/>
              </w:rPr>
            </w:pPr>
            <w:r w:rsidRPr="00AC36A1">
              <w:rPr>
                <w:b/>
                <w:sz w:val="17"/>
              </w:rPr>
              <w:t>100.0</w:t>
            </w:r>
          </w:p>
        </w:tc>
      </w:tr>
    </w:tbl>
    <w:p w:rsidR="00BE0F6B" w:rsidRPr="00AC36A1" w:rsidRDefault="00BE0F6B" w:rsidP="00BE0F6B">
      <w:pPr>
        <w:pStyle w:val="SingleTxt"/>
        <w:spacing w:after="0" w:line="120" w:lineRule="exact"/>
        <w:rPr>
          <w:sz w:val="10"/>
        </w:rPr>
      </w:pPr>
    </w:p>
    <w:p w:rsidR="00CF1DFA" w:rsidRPr="00AC36A1" w:rsidRDefault="00CF1DFA" w:rsidP="00BE0F6B">
      <w:pPr>
        <w:pStyle w:val="FootnoteText"/>
        <w:tabs>
          <w:tab w:val="clear" w:pos="418"/>
          <w:tab w:val="right" w:pos="1476"/>
          <w:tab w:val="left" w:pos="1548"/>
          <w:tab w:val="right" w:pos="1836"/>
          <w:tab w:val="left" w:pos="1908"/>
        </w:tabs>
        <w:ind w:left="1548" w:right="1267" w:hanging="288"/>
        <w:rPr>
          <w:i/>
        </w:rPr>
      </w:pPr>
      <w:r w:rsidRPr="00AC36A1">
        <w:rPr>
          <w:b/>
          <w:i/>
        </w:rPr>
        <w:t>Source</w:t>
      </w:r>
      <w:r w:rsidRPr="00AC36A1">
        <w:rPr>
          <w:i/>
        </w:rPr>
        <w:t xml:space="preserve">: Sri Lanka Labour Force Survey </w:t>
      </w:r>
      <w:r w:rsidR="00BE0F6B" w:rsidRPr="00AC36A1">
        <w:rPr>
          <w:i/>
        </w:rPr>
        <w:t>—</w:t>
      </w:r>
      <w:r w:rsidRPr="00AC36A1">
        <w:rPr>
          <w:i/>
        </w:rPr>
        <w:t xml:space="preserve"> 2013. Dept. of Census and Statistics, Sri Lanka.</w:t>
      </w:r>
    </w:p>
    <w:p w:rsidR="00BE0F6B" w:rsidRPr="00AC36A1" w:rsidRDefault="00BE0F6B" w:rsidP="00BE0F6B">
      <w:pPr>
        <w:pStyle w:val="SingleTxt"/>
        <w:spacing w:after="0" w:line="120" w:lineRule="exact"/>
        <w:rPr>
          <w:sz w:val="10"/>
        </w:rPr>
      </w:pPr>
    </w:p>
    <w:p w:rsidR="00BE0F6B" w:rsidRPr="00AC36A1" w:rsidRDefault="00BE0F6B" w:rsidP="00BE0F6B">
      <w:pPr>
        <w:pStyle w:val="SingleTxt"/>
        <w:spacing w:after="0" w:line="120" w:lineRule="exact"/>
        <w:rPr>
          <w:sz w:val="10"/>
        </w:rPr>
      </w:pPr>
    </w:p>
    <w:p w:rsidR="00CF1DFA" w:rsidRPr="00AC36A1" w:rsidRDefault="00BE0F6B" w:rsidP="00BE0F6B">
      <w:pPr>
        <w:pStyle w:val="H23"/>
        <w:ind w:right="1260"/>
        <w:rPr>
          <w:b w:val="0"/>
        </w:rPr>
      </w:pPr>
      <w:r w:rsidRPr="00AC36A1">
        <w:tab/>
      </w:r>
      <w:r w:rsidRPr="00AC36A1">
        <w:tab/>
      </w:r>
      <w:r w:rsidR="00CF1DFA" w:rsidRPr="00AC36A1">
        <w:rPr>
          <w:b w:val="0"/>
        </w:rPr>
        <w:t>Table 12</w:t>
      </w:r>
    </w:p>
    <w:p w:rsidR="00CF1DFA" w:rsidRPr="00AC36A1" w:rsidRDefault="00BE0F6B" w:rsidP="00BE0F6B">
      <w:pPr>
        <w:pStyle w:val="H23"/>
        <w:ind w:right="1260"/>
      </w:pPr>
      <w:r w:rsidRPr="00AC36A1">
        <w:tab/>
      </w:r>
      <w:r w:rsidRPr="00AC36A1">
        <w:tab/>
      </w:r>
      <w:r w:rsidR="00CF1DFA" w:rsidRPr="00AC36A1">
        <w:t xml:space="preserve">Labour Force participation rate by Sector </w:t>
      </w:r>
      <w:r w:rsidRPr="00AC36A1">
        <w:t>—</w:t>
      </w:r>
      <w:r w:rsidR="00CF1DFA" w:rsidRPr="00AC36A1">
        <w:t xml:space="preserve"> 2013</w:t>
      </w:r>
    </w:p>
    <w:p w:rsidR="00BE0F6B" w:rsidRPr="00AC36A1" w:rsidRDefault="00BE0F6B" w:rsidP="00BE0F6B">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BE0F6B" w:rsidRPr="00AC36A1" w:rsidTr="00BE0F6B">
        <w:trPr>
          <w:tblHeader/>
        </w:trPr>
        <w:tc>
          <w:tcPr>
            <w:tcW w:w="2440" w:type="dxa"/>
            <w:tcBorders>
              <w:top w:val="single" w:sz="4" w:space="0" w:color="auto"/>
              <w:bottom w:val="single" w:sz="12" w:space="0" w:color="auto"/>
            </w:tcBorders>
            <w:shd w:val="clear" w:color="auto" w:fill="auto"/>
            <w:vAlign w:val="bottom"/>
          </w:tcPr>
          <w:p w:rsidR="00BE0F6B" w:rsidRPr="00AC36A1" w:rsidRDefault="00BE0F6B" w:rsidP="00BE0F6B">
            <w:pPr>
              <w:spacing w:before="81" w:after="81" w:line="160" w:lineRule="exact"/>
              <w:ind w:right="40"/>
              <w:rPr>
                <w:i/>
                <w:sz w:val="14"/>
              </w:rPr>
            </w:pPr>
            <w:r w:rsidRPr="00AC36A1">
              <w:rPr>
                <w:i/>
                <w:sz w:val="14"/>
              </w:rPr>
              <w:t>Sector</w:t>
            </w:r>
          </w:p>
        </w:tc>
        <w:tc>
          <w:tcPr>
            <w:tcW w:w="2440" w:type="dxa"/>
            <w:tcBorders>
              <w:top w:val="single" w:sz="4" w:space="0" w:color="auto"/>
              <w:bottom w:val="single" w:sz="12" w:space="0" w:color="auto"/>
            </w:tcBorders>
            <w:shd w:val="clear" w:color="auto" w:fill="auto"/>
            <w:vAlign w:val="bottom"/>
          </w:tcPr>
          <w:p w:rsidR="00BE0F6B" w:rsidRPr="00AC36A1" w:rsidRDefault="00BE0F6B" w:rsidP="00BE0F6B">
            <w:pPr>
              <w:spacing w:before="81" w:after="81" w:line="160" w:lineRule="exact"/>
              <w:ind w:right="43"/>
              <w:jc w:val="right"/>
              <w:rPr>
                <w:i/>
                <w:sz w:val="14"/>
              </w:rPr>
            </w:pPr>
            <w:r w:rsidRPr="00AC36A1">
              <w:rPr>
                <w:i/>
                <w:sz w:val="14"/>
              </w:rPr>
              <w:t>Men</w:t>
            </w:r>
          </w:p>
        </w:tc>
        <w:tc>
          <w:tcPr>
            <w:tcW w:w="2440" w:type="dxa"/>
            <w:tcBorders>
              <w:top w:val="single" w:sz="4" w:space="0" w:color="auto"/>
              <w:bottom w:val="single" w:sz="12" w:space="0" w:color="auto"/>
            </w:tcBorders>
            <w:shd w:val="clear" w:color="auto" w:fill="auto"/>
            <w:vAlign w:val="bottom"/>
          </w:tcPr>
          <w:p w:rsidR="00BE0F6B" w:rsidRPr="00AC36A1" w:rsidRDefault="00BE0F6B" w:rsidP="00BE0F6B">
            <w:pPr>
              <w:spacing w:before="81" w:after="81" w:line="160" w:lineRule="exact"/>
              <w:ind w:right="43"/>
              <w:jc w:val="right"/>
              <w:rPr>
                <w:i/>
                <w:sz w:val="14"/>
              </w:rPr>
            </w:pPr>
            <w:r w:rsidRPr="00AC36A1">
              <w:rPr>
                <w:i/>
                <w:sz w:val="14"/>
              </w:rPr>
              <w:t>Women</w:t>
            </w:r>
          </w:p>
        </w:tc>
      </w:tr>
      <w:tr w:rsidR="00BE0F6B" w:rsidRPr="00AC36A1" w:rsidTr="00BE0F6B">
        <w:trPr>
          <w:trHeight w:hRule="exact" w:val="115"/>
          <w:tblHeader/>
        </w:trPr>
        <w:tc>
          <w:tcPr>
            <w:tcW w:w="2440" w:type="dxa"/>
            <w:tcBorders>
              <w:top w:val="single" w:sz="12" w:space="0" w:color="auto"/>
            </w:tcBorders>
            <w:shd w:val="clear" w:color="auto" w:fill="auto"/>
            <w:vAlign w:val="bottom"/>
          </w:tcPr>
          <w:p w:rsidR="00BE0F6B" w:rsidRPr="00AC36A1" w:rsidRDefault="00BE0F6B" w:rsidP="00BE0F6B">
            <w:pPr>
              <w:spacing w:before="40" w:after="40" w:line="210" w:lineRule="exact"/>
              <w:ind w:right="40"/>
              <w:rPr>
                <w:sz w:val="17"/>
              </w:rPr>
            </w:pPr>
          </w:p>
        </w:tc>
        <w:tc>
          <w:tcPr>
            <w:tcW w:w="2440" w:type="dxa"/>
            <w:tcBorders>
              <w:top w:val="single" w:sz="12" w:space="0" w:color="auto"/>
            </w:tcBorders>
            <w:shd w:val="clear" w:color="auto" w:fill="auto"/>
            <w:vAlign w:val="bottom"/>
          </w:tcPr>
          <w:p w:rsidR="00BE0F6B" w:rsidRPr="00AC36A1" w:rsidRDefault="00BE0F6B" w:rsidP="00BE0F6B">
            <w:pPr>
              <w:spacing w:before="40" w:after="40" w:line="210" w:lineRule="exact"/>
              <w:ind w:right="43"/>
              <w:jc w:val="right"/>
              <w:rPr>
                <w:sz w:val="17"/>
              </w:rPr>
            </w:pPr>
          </w:p>
        </w:tc>
        <w:tc>
          <w:tcPr>
            <w:tcW w:w="2440" w:type="dxa"/>
            <w:tcBorders>
              <w:top w:val="single" w:sz="12" w:space="0" w:color="auto"/>
            </w:tcBorders>
            <w:shd w:val="clear" w:color="auto" w:fill="auto"/>
            <w:vAlign w:val="bottom"/>
          </w:tcPr>
          <w:p w:rsidR="00BE0F6B" w:rsidRPr="00AC36A1" w:rsidRDefault="00BE0F6B" w:rsidP="00BE0F6B">
            <w:pPr>
              <w:spacing w:before="40" w:after="40" w:line="210" w:lineRule="exact"/>
              <w:ind w:right="43"/>
              <w:jc w:val="right"/>
              <w:rPr>
                <w:sz w:val="17"/>
              </w:rPr>
            </w:pPr>
          </w:p>
        </w:tc>
      </w:tr>
      <w:tr w:rsidR="00BE0F6B" w:rsidRPr="00AC36A1" w:rsidTr="00BE0F6B">
        <w:tc>
          <w:tcPr>
            <w:tcW w:w="2440" w:type="dxa"/>
            <w:shd w:val="clear" w:color="auto" w:fill="auto"/>
            <w:vAlign w:val="bottom"/>
          </w:tcPr>
          <w:p w:rsidR="00BE0F6B" w:rsidRPr="00AC36A1" w:rsidRDefault="00BE0F6B" w:rsidP="00BE0F6B">
            <w:pPr>
              <w:tabs>
                <w:tab w:val="left" w:pos="288"/>
                <w:tab w:val="left" w:pos="576"/>
                <w:tab w:val="left" w:pos="864"/>
                <w:tab w:val="left" w:pos="1152"/>
              </w:tabs>
              <w:spacing w:before="40" w:after="40" w:line="210" w:lineRule="exact"/>
              <w:ind w:right="40"/>
              <w:rPr>
                <w:sz w:val="17"/>
              </w:rPr>
            </w:pPr>
            <w:r w:rsidRPr="00AC36A1">
              <w:rPr>
                <w:sz w:val="17"/>
              </w:rPr>
              <w:t>Urban</w:t>
            </w:r>
          </w:p>
        </w:tc>
        <w:tc>
          <w:tcPr>
            <w:tcW w:w="2440" w:type="dxa"/>
            <w:shd w:val="clear" w:color="auto" w:fill="auto"/>
            <w:vAlign w:val="bottom"/>
          </w:tcPr>
          <w:p w:rsidR="00BE0F6B" w:rsidRPr="00AC36A1" w:rsidRDefault="00BE0F6B" w:rsidP="00BE0F6B">
            <w:pPr>
              <w:tabs>
                <w:tab w:val="left" w:pos="288"/>
                <w:tab w:val="left" w:pos="576"/>
                <w:tab w:val="left" w:pos="864"/>
                <w:tab w:val="left" w:pos="1152"/>
              </w:tabs>
              <w:spacing w:before="40" w:after="40" w:line="210" w:lineRule="exact"/>
              <w:ind w:right="43"/>
              <w:jc w:val="right"/>
              <w:rPr>
                <w:sz w:val="17"/>
              </w:rPr>
            </w:pPr>
            <w:r w:rsidRPr="00AC36A1">
              <w:rPr>
                <w:sz w:val="17"/>
              </w:rPr>
              <w:t>70.3</w:t>
            </w:r>
          </w:p>
        </w:tc>
        <w:tc>
          <w:tcPr>
            <w:tcW w:w="2440" w:type="dxa"/>
            <w:shd w:val="clear" w:color="auto" w:fill="auto"/>
            <w:vAlign w:val="bottom"/>
          </w:tcPr>
          <w:p w:rsidR="00BE0F6B" w:rsidRPr="00AC36A1" w:rsidRDefault="00BE0F6B" w:rsidP="00BE0F6B">
            <w:pPr>
              <w:tabs>
                <w:tab w:val="left" w:pos="288"/>
                <w:tab w:val="left" w:pos="576"/>
                <w:tab w:val="left" w:pos="864"/>
                <w:tab w:val="left" w:pos="1152"/>
              </w:tabs>
              <w:spacing w:before="40" w:after="40" w:line="210" w:lineRule="exact"/>
              <w:ind w:right="43"/>
              <w:jc w:val="right"/>
              <w:rPr>
                <w:sz w:val="17"/>
              </w:rPr>
            </w:pPr>
            <w:r w:rsidRPr="00AC36A1">
              <w:rPr>
                <w:sz w:val="17"/>
              </w:rPr>
              <w:t>27.7</w:t>
            </w:r>
          </w:p>
        </w:tc>
      </w:tr>
      <w:tr w:rsidR="00BE0F6B" w:rsidRPr="00AC36A1" w:rsidTr="00BE0F6B">
        <w:tc>
          <w:tcPr>
            <w:tcW w:w="2440" w:type="dxa"/>
            <w:shd w:val="clear" w:color="auto" w:fill="auto"/>
            <w:vAlign w:val="bottom"/>
          </w:tcPr>
          <w:p w:rsidR="00BE0F6B" w:rsidRPr="00AC36A1" w:rsidRDefault="00BE0F6B" w:rsidP="00BE0F6B">
            <w:pPr>
              <w:tabs>
                <w:tab w:val="left" w:pos="288"/>
                <w:tab w:val="left" w:pos="576"/>
                <w:tab w:val="left" w:pos="864"/>
                <w:tab w:val="left" w:pos="1152"/>
              </w:tabs>
              <w:spacing w:before="40" w:after="40" w:line="210" w:lineRule="exact"/>
              <w:ind w:right="40"/>
              <w:rPr>
                <w:sz w:val="17"/>
              </w:rPr>
            </w:pPr>
            <w:r w:rsidRPr="00AC36A1">
              <w:rPr>
                <w:sz w:val="17"/>
              </w:rPr>
              <w:t>Rural</w:t>
            </w:r>
          </w:p>
        </w:tc>
        <w:tc>
          <w:tcPr>
            <w:tcW w:w="2440" w:type="dxa"/>
            <w:shd w:val="clear" w:color="auto" w:fill="auto"/>
            <w:vAlign w:val="bottom"/>
          </w:tcPr>
          <w:p w:rsidR="00BE0F6B" w:rsidRPr="00AC36A1" w:rsidRDefault="00BE0F6B" w:rsidP="00BE0F6B">
            <w:pPr>
              <w:tabs>
                <w:tab w:val="left" w:pos="288"/>
                <w:tab w:val="left" w:pos="576"/>
                <w:tab w:val="left" w:pos="864"/>
                <w:tab w:val="left" w:pos="1152"/>
              </w:tabs>
              <w:spacing w:before="40" w:after="40" w:line="210" w:lineRule="exact"/>
              <w:ind w:right="43"/>
              <w:jc w:val="right"/>
              <w:rPr>
                <w:sz w:val="17"/>
              </w:rPr>
            </w:pPr>
            <w:r w:rsidRPr="00AC36A1">
              <w:rPr>
                <w:sz w:val="17"/>
              </w:rPr>
              <w:t>76.0</w:t>
            </w:r>
          </w:p>
        </w:tc>
        <w:tc>
          <w:tcPr>
            <w:tcW w:w="2440" w:type="dxa"/>
            <w:shd w:val="clear" w:color="auto" w:fill="auto"/>
            <w:vAlign w:val="bottom"/>
          </w:tcPr>
          <w:p w:rsidR="00BE0F6B" w:rsidRPr="00AC36A1" w:rsidRDefault="00BE0F6B" w:rsidP="00BE0F6B">
            <w:pPr>
              <w:tabs>
                <w:tab w:val="left" w:pos="288"/>
                <w:tab w:val="left" w:pos="576"/>
                <w:tab w:val="left" w:pos="864"/>
                <w:tab w:val="left" w:pos="1152"/>
              </w:tabs>
              <w:spacing w:before="40" w:after="40" w:line="210" w:lineRule="exact"/>
              <w:ind w:right="43"/>
              <w:jc w:val="right"/>
              <w:rPr>
                <w:sz w:val="17"/>
              </w:rPr>
            </w:pPr>
            <w:r w:rsidRPr="00AC36A1">
              <w:rPr>
                <w:sz w:val="17"/>
              </w:rPr>
              <w:t>36.5</w:t>
            </w:r>
          </w:p>
        </w:tc>
      </w:tr>
      <w:tr w:rsidR="00BE0F6B" w:rsidRPr="00AC36A1" w:rsidTr="00BE0F6B">
        <w:tc>
          <w:tcPr>
            <w:tcW w:w="2440" w:type="dxa"/>
            <w:tcBorders>
              <w:bottom w:val="single" w:sz="4" w:space="0" w:color="auto"/>
            </w:tcBorders>
            <w:shd w:val="clear" w:color="auto" w:fill="auto"/>
            <w:vAlign w:val="bottom"/>
          </w:tcPr>
          <w:p w:rsidR="00BE0F6B" w:rsidRPr="00AC36A1" w:rsidRDefault="00BE0F6B" w:rsidP="00BE0F6B">
            <w:pPr>
              <w:tabs>
                <w:tab w:val="left" w:pos="288"/>
                <w:tab w:val="left" w:pos="576"/>
                <w:tab w:val="left" w:pos="864"/>
                <w:tab w:val="left" w:pos="1152"/>
              </w:tabs>
              <w:spacing w:before="40" w:after="81" w:line="210" w:lineRule="exact"/>
              <w:ind w:right="40"/>
              <w:rPr>
                <w:sz w:val="17"/>
              </w:rPr>
            </w:pPr>
            <w:r w:rsidRPr="00AC36A1">
              <w:rPr>
                <w:sz w:val="17"/>
              </w:rPr>
              <w:t>Estate</w:t>
            </w:r>
          </w:p>
        </w:tc>
        <w:tc>
          <w:tcPr>
            <w:tcW w:w="2440" w:type="dxa"/>
            <w:tcBorders>
              <w:bottom w:val="single" w:sz="4" w:space="0" w:color="auto"/>
            </w:tcBorders>
            <w:shd w:val="clear" w:color="auto" w:fill="auto"/>
            <w:vAlign w:val="bottom"/>
          </w:tcPr>
          <w:p w:rsidR="00BE0F6B" w:rsidRPr="00AC36A1" w:rsidRDefault="00BE0F6B" w:rsidP="00BE0F6B">
            <w:pPr>
              <w:tabs>
                <w:tab w:val="left" w:pos="288"/>
                <w:tab w:val="left" w:pos="576"/>
                <w:tab w:val="left" w:pos="864"/>
                <w:tab w:val="left" w:pos="1152"/>
              </w:tabs>
              <w:spacing w:before="40" w:after="81" w:line="210" w:lineRule="exact"/>
              <w:ind w:right="43"/>
              <w:jc w:val="right"/>
              <w:rPr>
                <w:sz w:val="17"/>
              </w:rPr>
            </w:pPr>
            <w:r w:rsidRPr="00AC36A1">
              <w:rPr>
                <w:sz w:val="17"/>
              </w:rPr>
              <w:t>74.2</w:t>
            </w:r>
          </w:p>
        </w:tc>
        <w:tc>
          <w:tcPr>
            <w:tcW w:w="2440" w:type="dxa"/>
            <w:tcBorders>
              <w:bottom w:val="single" w:sz="4" w:space="0" w:color="auto"/>
            </w:tcBorders>
            <w:shd w:val="clear" w:color="auto" w:fill="auto"/>
            <w:vAlign w:val="bottom"/>
          </w:tcPr>
          <w:p w:rsidR="00BE0F6B" w:rsidRPr="00AC36A1" w:rsidRDefault="00BE0F6B" w:rsidP="00BE0F6B">
            <w:pPr>
              <w:tabs>
                <w:tab w:val="left" w:pos="288"/>
                <w:tab w:val="left" w:pos="576"/>
                <w:tab w:val="left" w:pos="864"/>
                <w:tab w:val="left" w:pos="1152"/>
              </w:tabs>
              <w:spacing w:before="40" w:after="81" w:line="210" w:lineRule="exact"/>
              <w:ind w:right="43"/>
              <w:jc w:val="right"/>
              <w:rPr>
                <w:sz w:val="17"/>
              </w:rPr>
            </w:pPr>
            <w:r w:rsidRPr="00AC36A1">
              <w:rPr>
                <w:sz w:val="17"/>
              </w:rPr>
              <w:t>52.9</w:t>
            </w:r>
          </w:p>
        </w:tc>
      </w:tr>
      <w:tr w:rsidR="00BE0F6B" w:rsidRPr="00AC36A1" w:rsidTr="00BE0F6B">
        <w:tc>
          <w:tcPr>
            <w:tcW w:w="2440" w:type="dxa"/>
            <w:tcBorders>
              <w:top w:val="single" w:sz="4" w:space="0" w:color="auto"/>
              <w:bottom w:val="single" w:sz="12" w:space="0" w:color="auto"/>
            </w:tcBorders>
            <w:shd w:val="clear" w:color="auto" w:fill="auto"/>
            <w:vAlign w:val="bottom"/>
          </w:tcPr>
          <w:p w:rsidR="00BE0F6B" w:rsidRPr="00AC36A1" w:rsidRDefault="00BE0F6B" w:rsidP="00BE0F6B">
            <w:pPr>
              <w:tabs>
                <w:tab w:val="left" w:pos="288"/>
                <w:tab w:val="left" w:pos="576"/>
                <w:tab w:val="left" w:pos="864"/>
                <w:tab w:val="left" w:pos="1152"/>
              </w:tabs>
              <w:spacing w:before="81" w:after="81" w:line="210" w:lineRule="exact"/>
              <w:ind w:right="40"/>
              <w:rPr>
                <w:b/>
                <w:sz w:val="17"/>
              </w:rPr>
            </w:pPr>
            <w:r w:rsidRPr="00AC36A1">
              <w:rPr>
                <w:b/>
                <w:sz w:val="17"/>
              </w:rPr>
              <w:tab/>
              <w:t>Total</w:t>
            </w:r>
          </w:p>
        </w:tc>
        <w:tc>
          <w:tcPr>
            <w:tcW w:w="2440" w:type="dxa"/>
            <w:tcBorders>
              <w:top w:val="single" w:sz="4" w:space="0" w:color="auto"/>
              <w:bottom w:val="single" w:sz="12" w:space="0" w:color="auto"/>
            </w:tcBorders>
            <w:shd w:val="clear" w:color="auto" w:fill="auto"/>
            <w:vAlign w:val="bottom"/>
          </w:tcPr>
          <w:p w:rsidR="00BE0F6B" w:rsidRPr="00AC36A1" w:rsidRDefault="00BE0F6B" w:rsidP="00BE0F6B">
            <w:pPr>
              <w:tabs>
                <w:tab w:val="left" w:pos="288"/>
                <w:tab w:val="left" w:pos="576"/>
                <w:tab w:val="left" w:pos="864"/>
                <w:tab w:val="left" w:pos="1152"/>
              </w:tabs>
              <w:spacing w:before="81" w:after="81" w:line="210" w:lineRule="exact"/>
              <w:ind w:right="43"/>
              <w:jc w:val="right"/>
              <w:rPr>
                <w:b/>
                <w:sz w:val="17"/>
              </w:rPr>
            </w:pPr>
            <w:r w:rsidRPr="00AC36A1">
              <w:rPr>
                <w:b/>
                <w:sz w:val="17"/>
              </w:rPr>
              <w:t>74.9</w:t>
            </w:r>
          </w:p>
        </w:tc>
        <w:tc>
          <w:tcPr>
            <w:tcW w:w="2440" w:type="dxa"/>
            <w:tcBorders>
              <w:top w:val="single" w:sz="4" w:space="0" w:color="auto"/>
              <w:bottom w:val="single" w:sz="12" w:space="0" w:color="auto"/>
            </w:tcBorders>
            <w:shd w:val="clear" w:color="auto" w:fill="auto"/>
            <w:vAlign w:val="bottom"/>
          </w:tcPr>
          <w:p w:rsidR="00BE0F6B" w:rsidRPr="00AC36A1" w:rsidRDefault="00BE0F6B" w:rsidP="00BE0F6B">
            <w:pPr>
              <w:tabs>
                <w:tab w:val="left" w:pos="288"/>
                <w:tab w:val="left" w:pos="576"/>
                <w:tab w:val="left" w:pos="864"/>
                <w:tab w:val="left" w:pos="1152"/>
              </w:tabs>
              <w:spacing w:before="81" w:after="81" w:line="210" w:lineRule="exact"/>
              <w:ind w:right="43"/>
              <w:jc w:val="right"/>
              <w:rPr>
                <w:b/>
                <w:sz w:val="17"/>
              </w:rPr>
            </w:pPr>
            <w:r w:rsidRPr="00AC36A1">
              <w:rPr>
                <w:b/>
                <w:sz w:val="17"/>
              </w:rPr>
              <w:t>35.6</w:t>
            </w:r>
          </w:p>
        </w:tc>
      </w:tr>
    </w:tbl>
    <w:p w:rsidR="00BE0F6B" w:rsidRPr="00AC36A1" w:rsidRDefault="00BE0F6B" w:rsidP="00BE0F6B">
      <w:pPr>
        <w:pStyle w:val="SingleTxt"/>
        <w:spacing w:after="0" w:line="120" w:lineRule="exact"/>
        <w:rPr>
          <w:sz w:val="10"/>
        </w:rPr>
      </w:pPr>
    </w:p>
    <w:p w:rsidR="00CF1DFA" w:rsidRPr="00AC36A1" w:rsidRDefault="00CF1DFA" w:rsidP="00BE0F6B">
      <w:pPr>
        <w:pStyle w:val="FootnoteText"/>
        <w:tabs>
          <w:tab w:val="clear" w:pos="418"/>
          <w:tab w:val="right" w:pos="1476"/>
          <w:tab w:val="left" w:pos="1548"/>
          <w:tab w:val="right" w:pos="1836"/>
          <w:tab w:val="left" w:pos="1908"/>
        </w:tabs>
        <w:ind w:left="1548" w:right="1267" w:hanging="288"/>
        <w:rPr>
          <w:i/>
        </w:rPr>
      </w:pPr>
      <w:r w:rsidRPr="00AC36A1">
        <w:rPr>
          <w:b/>
          <w:i/>
        </w:rPr>
        <w:t>Source</w:t>
      </w:r>
      <w:r w:rsidRPr="00AC36A1">
        <w:rPr>
          <w:i/>
        </w:rPr>
        <w:t xml:space="preserve">: Sri Lanka Labour Force Survey </w:t>
      </w:r>
      <w:r w:rsidR="00BE0F6B" w:rsidRPr="00AC36A1">
        <w:rPr>
          <w:i/>
        </w:rPr>
        <w:t>—</w:t>
      </w:r>
      <w:r w:rsidRPr="00AC36A1">
        <w:rPr>
          <w:i/>
        </w:rPr>
        <w:t xml:space="preserve"> 2013. Dept. of Census and Statistics, Sri Lanka</w:t>
      </w:r>
      <w:r w:rsidR="0076467B" w:rsidRPr="00AC36A1">
        <w:rPr>
          <w:i/>
        </w:rPr>
        <w:t>.</w:t>
      </w:r>
    </w:p>
    <w:p w:rsidR="00BE0F6B" w:rsidRPr="00AC36A1" w:rsidRDefault="00BE0F6B" w:rsidP="00BE0F6B">
      <w:pPr>
        <w:pStyle w:val="SingleTxt"/>
        <w:spacing w:after="0" w:line="120" w:lineRule="exact"/>
        <w:rPr>
          <w:sz w:val="10"/>
        </w:rPr>
      </w:pPr>
    </w:p>
    <w:p w:rsidR="00BE0F6B" w:rsidRPr="00AC36A1" w:rsidRDefault="00BE0F6B" w:rsidP="00BE0F6B">
      <w:pPr>
        <w:pStyle w:val="SingleTxt"/>
        <w:spacing w:after="0" w:line="120" w:lineRule="exact"/>
        <w:rPr>
          <w:sz w:val="10"/>
        </w:rPr>
      </w:pPr>
    </w:p>
    <w:p w:rsidR="00CF1DFA" w:rsidRPr="00AC36A1" w:rsidRDefault="00CF1DFA" w:rsidP="00CF1DFA">
      <w:pPr>
        <w:pStyle w:val="SingleTxt"/>
      </w:pPr>
      <w:r w:rsidRPr="00AC36A1">
        <w:t>155.</w:t>
      </w:r>
      <w:r w:rsidRPr="00AC36A1">
        <w:tab/>
        <w:t>At any given time, the Labour Force</w:t>
      </w:r>
      <w:r w:rsidR="00BE0F6B" w:rsidRPr="00AC36A1">
        <w:rPr>
          <w:rStyle w:val="FootnoteReference"/>
        </w:rPr>
        <w:footnoteReference w:id="27"/>
      </w:r>
      <w:r w:rsidRPr="00AC36A1">
        <w:t xml:space="preserve"> participation rate of women has been half of that of men. On a consideration of educational attainments of the workforce, it is seen that women with higher levels of qualifications account for larger percentages in the workforce. </w:t>
      </w:r>
    </w:p>
    <w:p w:rsidR="00CF1DFA" w:rsidRPr="00AC36A1" w:rsidRDefault="00CF1DFA" w:rsidP="00CF1DFA">
      <w:pPr>
        <w:pStyle w:val="SingleTxt"/>
      </w:pPr>
      <w:r w:rsidRPr="00AC36A1">
        <w:t>156.</w:t>
      </w:r>
      <w:r w:rsidRPr="00AC36A1">
        <w:tab/>
        <w:t xml:space="preserve">The labour force participation of women in the plantation sector is the highest at 42.4 per cent. </w:t>
      </w:r>
    </w:p>
    <w:p w:rsidR="00CF1DFA" w:rsidRPr="00AC36A1" w:rsidRDefault="00CF1DFA" w:rsidP="00CF1DFA">
      <w:pPr>
        <w:pStyle w:val="SingleTxt"/>
      </w:pPr>
      <w:r w:rsidRPr="00AC36A1">
        <w:t>157.</w:t>
      </w:r>
      <w:r w:rsidRPr="00AC36A1">
        <w:tab/>
        <w:t>As at 2013, the estimated economically a</w:t>
      </w:r>
      <w:r w:rsidR="003D6A8B" w:rsidRPr="00AC36A1">
        <w:t>ctive population was around 8.8 </w:t>
      </w:r>
      <w:r w:rsidRPr="00AC36A1">
        <w:t>million, with 64.5 per cent (5.7 million) of that number being males, and 35.5</w:t>
      </w:r>
      <w:r w:rsidR="003D6A8B" w:rsidRPr="00AC36A1">
        <w:t> </w:t>
      </w:r>
      <w:r w:rsidRPr="00AC36A1">
        <w:t>per cent (3.1 million) being females.</w:t>
      </w:r>
    </w:p>
    <w:p w:rsidR="00CF1DFA" w:rsidRPr="00AC36A1" w:rsidRDefault="00CF1DFA" w:rsidP="00CF1DFA">
      <w:pPr>
        <w:pStyle w:val="SingleTxt"/>
      </w:pPr>
      <w:r w:rsidRPr="00AC36A1">
        <w:t>158.</w:t>
      </w:r>
      <w:r w:rsidRPr="00AC36A1">
        <w:tab/>
        <w:t>The development policy has a target of increasing the labour force participation of women to 40 per cent. The unemployment rate for women (7.7 per cent) is more than twice as much</w:t>
      </w:r>
      <w:r w:rsidR="009A3244" w:rsidRPr="00AC36A1">
        <w:t xml:space="preserve"> as that for men (3.5 per cent)</w:t>
      </w:r>
      <w:r w:rsidRPr="00AC36A1">
        <w:t>.</w:t>
      </w:r>
      <w:r w:rsidR="009A3244" w:rsidRPr="00AC36A1">
        <w:rPr>
          <w:rStyle w:val="FootnoteReference"/>
        </w:rPr>
        <w:footnoteReference w:id="28"/>
      </w:r>
      <w:r w:rsidRPr="00AC36A1">
        <w:t xml:space="preserve"> Women in the labour force are, however, engaged in low paid work, in the plantations and in the garment sector. In addition, twice as many women engage in unpaid family work and this is higher in the agricultural provinces, the North Central and Uva. Women also form a larger bulk of those migrating, especially to the Middle Eastern countries, as housemaids. </w:t>
      </w:r>
    </w:p>
    <w:p w:rsidR="00CF1DFA" w:rsidRPr="00AC36A1" w:rsidRDefault="00CF1DFA" w:rsidP="00CF1DFA">
      <w:pPr>
        <w:pStyle w:val="SingleTxt"/>
      </w:pPr>
      <w:r w:rsidRPr="00AC36A1">
        <w:t>159.</w:t>
      </w:r>
      <w:r w:rsidRPr="00AC36A1">
        <w:tab/>
        <w:t>The National Human Resources and Employment Policy for Sri Lanka, 2012, a ten year horizon plan, which states that a policy objective is to ‘enable women to participate in the labour market and access jobs that pay better’, has for the first time, attempted to mainstream gender in employment policies and refers to the need to overcome attitudinal barriers to achieve these objectives.</w:t>
      </w:r>
    </w:p>
    <w:p w:rsidR="00CF1DFA" w:rsidRPr="00AC36A1" w:rsidRDefault="00CF1DFA" w:rsidP="00CF1DFA">
      <w:pPr>
        <w:pStyle w:val="SingleTxt"/>
      </w:pPr>
      <w:r w:rsidRPr="00AC36A1">
        <w:t>160.</w:t>
      </w:r>
      <w:r w:rsidRPr="00AC36A1">
        <w:tab/>
        <w:t>Persistent and sustainable policies which provide equal opportunities for women as well as the significant successes that women have achieved in education have contributed to the decline of unemployment. The Government also implements many self-employment programmes through line Ministries that have empowered women to be self-employed. Examples of these are programmes implemented by the Ministry of Technology and Research which implements a technology transfer programme (</w:t>
      </w:r>
      <w:r w:rsidRPr="00AC36A1">
        <w:rPr>
          <w:i/>
        </w:rPr>
        <w:t>Vidatha</w:t>
      </w:r>
      <w:r w:rsidRPr="00AC36A1">
        <w:t xml:space="preserve">) and the Ministry of Rural Development which conducts skills development programmes. </w:t>
      </w:r>
    </w:p>
    <w:p w:rsidR="009A3244" w:rsidRPr="00AC36A1" w:rsidRDefault="009A3244" w:rsidP="009A3244">
      <w:pPr>
        <w:pStyle w:val="SingleTxt"/>
        <w:spacing w:after="0" w:line="120" w:lineRule="exact"/>
        <w:rPr>
          <w:sz w:val="10"/>
        </w:rPr>
      </w:pPr>
    </w:p>
    <w:p w:rsidR="00CF1DFA" w:rsidRPr="00AC36A1" w:rsidRDefault="009A3244" w:rsidP="009A3244">
      <w:pPr>
        <w:pStyle w:val="H23"/>
        <w:ind w:right="1260"/>
        <w:rPr>
          <w:i/>
        </w:rPr>
      </w:pPr>
      <w:r w:rsidRPr="00AC36A1">
        <w:tab/>
      </w:r>
      <w:r w:rsidRPr="00AC36A1">
        <w:tab/>
      </w:r>
      <w:r w:rsidR="00CF1DFA" w:rsidRPr="00AC36A1">
        <w:rPr>
          <w:i/>
        </w:rPr>
        <w:t>Women ‘outside’ the Labour Force/E</w:t>
      </w:r>
      <w:r w:rsidRPr="00AC36A1">
        <w:rPr>
          <w:i/>
        </w:rPr>
        <w:t>conomically Inactive Population</w:t>
      </w:r>
    </w:p>
    <w:p w:rsidR="009A3244" w:rsidRPr="00AC36A1" w:rsidRDefault="009A3244" w:rsidP="009A3244">
      <w:pPr>
        <w:pStyle w:val="SingleTxt"/>
        <w:spacing w:after="0" w:line="120" w:lineRule="exact"/>
        <w:rPr>
          <w:sz w:val="10"/>
        </w:rPr>
      </w:pPr>
    </w:p>
    <w:p w:rsidR="00CF1DFA" w:rsidRPr="00AC36A1" w:rsidRDefault="00CF1DFA" w:rsidP="00CF1DFA">
      <w:pPr>
        <w:pStyle w:val="SingleTxt"/>
      </w:pPr>
      <w:r w:rsidRPr="00AC36A1">
        <w:t>161.</w:t>
      </w:r>
      <w:r w:rsidRPr="00AC36A1">
        <w:tab/>
        <w:t>Women engaged in housework are not included in the definition of ‘economically active’ population. This effectively removes almost 75 per cent of the female population over the age of 15 and overlooks the economic value of housework. Women employed as waged domestic workers are included in the labour force but in contrast, housewives who perform the same functions are not. There is a need to recognise work performed in the home hitherto primarily by women in their gendered roles as mothers, wives and daughters, as an essential component of both the household and the national economy through the formulation of criteria that gives economic value to this area of activity. This would enhance social and economic status of women in the country and could pave the way to counter gender based social discriminatory practices and acknowledge and recognize full time housewives as significant to national economic development.</w:t>
      </w:r>
    </w:p>
    <w:p w:rsidR="009A3244" w:rsidRPr="00AC36A1" w:rsidRDefault="009A3244" w:rsidP="009A3244">
      <w:pPr>
        <w:pStyle w:val="SingleTxt"/>
        <w:spacing w:after="0" w:line="120" w:lineRule="exact"/>
        <w:rPr>
          <w:sz w:val="10"/>
        </w:rPr>
      </w:pPr>
    </w:p>
    <w:p w:rsidR="00CF1DFA" w:rsidRPr="00AC36A1" w:rsidRDefault="00CF1DFA" w:rsidP="009A3244">
      <w:pPr>
        <w:pStyle w:val="H23"/>
        <w:ind w:right="1260"/>
      </w:pPr>
      <w:r w:rsidRPr="00AC36A1">
        <w:tab/>
      </w:r>
      <w:r w:rsidRPr="00AC36A1">
        <w:tab/>
        <w:t>Article 12</w:t>
      </w:r>
    </w:p>
    <w:p w:rsidR="009A3244" w:rsidRPr="00AC36A1" w:rsidRDefault="009A3244" w:rsidP="009A3244">
      <w:pPr>
        <w:pStyle w:val="SingleTxt"/>
        <w:spacing w:after="0" w:line="120" w:lineRule="exact"/>
        <w:rPr>
          <w:sz w:val="10"/>
        </w:rPr>
      </w:pPr>
    </w:p>
    <w:p w:rsidR="00CF1DFA" w:rsidRPr="00AC36A1" w:rsidRDefault="009A3244" w:rsidP="009A3244">
      <w:pPr>
        <w:pStyle w:val="H23"/>
        <w:ind w:right="1260"/>
      </w:pPr>
      <w:r w:rsidRPr="00AC36A1">
        <w:tab/>
      </w:r>
      <w:r w:rsidRPr="00AC36A1">
        <w:tab/>
      </w:r>
      <w:r w:rsidR="00CF1DFA" w:rsidRPr="00AC36A1">
        <w:t>Equal rights to access health care</w:t>
      </w:r>
    </w:p>
    <w:p w:rsidR="009A3244" w:rsidRPr="00AC36A1" w:rsidRDefault="009A3244" w:rsidP="009A3244">
      <w:pPr>
        <w:pStyle w:val="SingleTxt"/>
        <w:spacing w:after="0" w:line="120" w:lineRule="exact"/>
        <w:rPr>
          <w:sz w:val="10"/>
        </w:rPr>
      </w:pPr>
    </w:p>
    <w:p w:rsidR="00CF1DFA" w:rsidRPr="00AC36A1" w:rsidRDefault="00CF1DFA" w:rsidP="00CF1DFA">
      <w:pPr>
        <w:pStyle w:val="SingleTxt"/>
      </w:pPr>
      <w:r w:rsidRPr="00AC36A1">
        <w:t>162.</w:t>
      </w:r>
      <w:r w:rsidRPr="00AC36A1">
        <w:tab/>
        <w:t xml:space="preserve">The Sri Lankan Government continues to provide free universal health services to its people and continues to sustain a strong primary health care network. The results have produced significant achievements. The Government continues to be the main provider of health care services which are free at the point of delivery to all citizens without discrimination, through the many institutions established island wide. </w:t>
      </w:r>
    </w:p>
    <w:p w:rsidR="009A3244" w:rsidRPr="00AC36A1" w:rsidRDefault="009A3244" w:rsidP="009A3244">
      <w:pPr>
        <w:pStyle w:val="SingleTxt"/>
        <w:spacing w:after="0" w:line="120" w:lineRule="exact"/>
        <w:rPr>
          <w:sz w:val="10"/>
        </w:rPr>
      </w:pPr>
    </w:p>
    <w:p w:rsidR="009A3244" w:rsidRPr="00AC36A1" w:rsidRDefault="009A3244">
      <w:pPr>
        <w:suppressAutoHyphens w:val="0"/>
        <w:spacing w:line="240" w:lineRule="auto"/>
        <w:rPr>
          <w:b/>
          <w:spacing w:val="2"/>
        </w:rPr>
      </w:pPr>
      <w:r w:rsidRPr="00AC36A1">
        <w:br w:type="page"/>
      </w:r>
    </w:p>
    <w:p w:rsidR="00CF1DFA" w:rsidRPr="00AC36A1" w:rsidRDefault="009A3244" w:rsidP="009A3244">
      <w:pPr>
        <w:pStyle w:val="H23"/>
        <w:ind w:right="1260"/>
      </w:pPr>
      <w:r w:rsidRPr="00AC36A1">
        <w:tab/>
      </w:r>
      <w:r w:rsidRPr="00AC36A1">
        <w:tab/>
      </w:r>
      <w:r w:rsidR="00CF1DFA" w:rsidRPr="00AC36A1">
        <w:t>Network of services</w:t>
      </w:r>
    </w:p>
    <w:p w:rsidR="009A3244" w:rsidRPr="00AC36A1" w:rsidRDefault="009A3244" w:rsidP="009A3244">
      <w:pPr>
        <w:pStyle w:val="SingleTxt"/>
        <w:spacing w:after="0" w:line="120" w:lineRule="exact"/>
        <w:rPr>
          <w:sz w:val="10"/>
        </w:rPr>
      </w:pPr>
    </w:p>
    <w:p w:rsidR="00CF1DFA" w:rsidRPr="00AC36A1" w:rsidRDefault="00CF1DFA" w:rsidP="00CF1DFA">
      <w:pPr>
        <w:pStyle w:val="SingleTxt"/>
      </w:pPr>
      <w:r w:rsidRPr="00AC36A1">
        <w:t>163.</w:t>
      </w:r>
      <w:r w:rsidRPr="00AC36A1">
        <w:tab/>
        <w:t>At the national level, the Family Health Bureau is the central organization of the Ministry of Health responsible for planning, coordination, monitoring and evaluation of maternal and child health and family planning programmes. At provincial level, the Provincial Director of Health Services is the departmental head and are assisted by Regional Directors of Health services within a District and services continue to be provided through a network of medical institutions and Health Units.</w:t>
      </w:r>
    </w:p>
    <w:p w:rsidR="009A3244" w:rsidRPr="00AC36A1" w:rsidRDefault="009A3244" w:rsidP="009A3244">
      <w:pPr>
        <w:pStyle w:val="SingleTxt"/>
        <w:spacing w:after="0" w:line="120" w:lineRule="exact"/>
        <w:rPr>
          <w:sz w:val="10"/>
        </w:rPr>
      </w:pPr>
    </w:p>
    <w:p w:rsidR="00CF1DFA" w:rsidRPr="00AC36A1" w:rsidRDefault="009A3244" w:rsidP="009A3244">
      <w:pPr>
        <w:pStyle w:val="H23"/>
        <w:ind w:right="1260"/>
      </w:pPr>
      <w:r w:rsidRPr="00AC36A1">
        <w:tab/>
      </w:r>
      <w:r w:rsidRPr="00AC36A1">
        <w:tab/>
      </w:r>
      <w:r w:rsidR="00CF1DFA" w:rsidRPr="00AC36A1">
        <w:t>Maternal and Child Healthcare (MCH)</w:t>
      </w:r>
    </w:p>
    <w:p w:rsidR="009A3244" w:rsidRPr="00AC36A1" w:rsidRDefault="009A3244" w:rsidP="009A3244">
      <w:pPr>
        <w:pStyle w:val="SingleTxt"/>
        <w:spacing w:after="0" w:line="120" w:lineRule="exact"/>
        <w:rPr>
          <w:sz w:val="10"/>
        </w:rPr>
      </w:pPr>
    </w:p>
    <w:p w:rsidR="00CF1DFA" w:rsidRPr="00AC36A1" w:rsidRDefault="00CF1DFA" w:rsidP="00CF1DFA">
      <w:pPr>
        <w:pStyle w:val="SingleTxt"/>
      </w:pPr>
      <w:r w:rsidRPr="00AC36A1">
        <w:t>164.</w:t>
      </w:r>
      <w:r w:rsidRPr="00AC36A1">
        <w:tab/>
        <w:t xml:space="preserve">The Public Health Midwife (PHM) is the “front line” health worker providing domiciliary care to mothers and children within the community. Each PHM functions within a defined area with a population of 2,000 to 5,000. Through systematic home visits the PHM provides care to pregnant women, newborns, infants and pre-school children and also offers planning services. The PHM also distributes contraceptives and follows-up contraceptive users within her area. She also ensures that women above 35 years attend the </w:t>
      </w:r>
      <w:r w:rsidRPr="00AC36A1">
        <w:rPr>
          <w:i/>
        </w:rPr>
        <w:t>Well Woman</w:t>
      </w:r>
      <w:r w:rsidRPr="00AC36A1">
        <w:t xml:space="preserve"> Clinic and follows up to monitor that instructions are carried out. This system has been well developed and has been effective in delivering preventive and promotive maternal and child health services to the population and has received recognition as a model for other developing countries.</w:t>
      </w:r>
    </w:p>
    <w:p w:rsidR="00CF1DFA" w:rsidRPr="00AC36A1" w:rsidRDefault="00CF1DFA" w:rsidP="00CF1DFA">
      <w:pPr>
        <w:pStyle w:val="SingleTxt"/>
      </w:pPr>
      <w:r w:rsidRPr="00AC36A1">
        <w:t>165.</w:t>
      </w:r>
      <w:r w:rsidRPr="00AC36A1">
        <w:tab/>
        <w:t xml:space="preserve">The Maternal and Child Health policy is an important component of the National Health Policy of Sri Lanka. In terms of the Policy framework strategic plans have been formulated for </w:t>
      </w:r>
      <w:r w:rsidRPr="00AC36A1">
        <w:rPr>
          <w:i/>
        </w:rPr>
        <w:t>Maternal and Newborn Health</w:t>
      </w:r>
      <w:r w:rsidRPr="00AC36A1">
        <w:t xml:space="preserve"> and </w:t>
      </w:r>
      <w:r w:rsidRPr="00AC36A1">
        <w:rPr>
          <w:i/>
        </w:rPr>
        <w:t>Child Health</w:t>
      </w:r>
      <w:r w:rsidRPr="00AC36A1">
        <w:t>. The following technical committees have been appointed to obtain recommendations to address issues within the subject area of the Committee-</w:t>
      </w:r>
    </w:p>
    <w:p w:rsidR="00CF1DFA" w:rsidRPr="00AC36A1" w:rsidRDefault="007B1EFA" w:rsidP="00CF1DFA">
      <w:pPr>
        <w:pStyle w:val="SingleTxt"/>
      </w:pPr>
      <w:r w:rsidRPr="00AC36A1">
        <w:tab/>
      </w:r>
      <w:r w:rsidR="00CF1DFA" w:rsidRPr="00AC36A1">
        <w:t>a)</w:t>
      </w:r>
      <w:r w:rsidR="00CF1DFA" w:rsidRPr="00AC36A1">
        <w:tab/>
        <w:t>Technical Advisory Committee on Maternal Health and Family Planning</w:t>
      </w:r>
    </w:p>
    <w:p w:rsidR="00CF1DFA" w:rsidRPr="00AC36A1" w:rsidRDefault="007B1EFA" w:rsidP="00CF1DFA">
      <w:pPr>
        <w:pStyle w:val="SingleTxt"/>
      </w:pPr>
      <w:r w:rsidRPr="00AC36A1">
        <w:tab/>
      </w:r>
      <w:r w:rsidR="00CF1DFA" w:rsidRPr="00AC36A1">
        <w:t>b)</w:t>
      </w:r>
      <w:r w:rsidR="00CF1DFA" w:rsidRPr="00AC36A1">
        <w:tab/>
        <w:t>Technical Advisory Committee on New Born and Child Health</w:t>
      </w:r>
    </w:p>
    <w:p w:rsidR="00CF1DFA" w:rsidRPr="00AC36A1" w:rsidRDefault="007B1EFA" w:rsidP="00CF1DFA">
      <w:pPr>
        <w:pStyle w:val="SingleTxt"/>
      </w:pPr>
      <w:r w:rsidRPr="00AC36A1">
        <w:tab/>
      </w:r>
      <w:r w:rsidR="00CF1DFA" w:rsidRPr="00AC36A1">
        <w:t>c)</w:t>
      </w:r>
      <w:r w:rsidR="00CF1DFA" w:rsidRPr="00AC36A1">
        <w:tab/>
        <w:t>Working Committee on School Health</w:t>
      </w:r>
    </w:p>
    <w:p w:rsidR="00CF1DFA" w:rsidRPr="00AC36A1" w:rsidRDefault="007B1EFA" w:rsidP="00CF1DFA">
      <w:pPr>
        <w:pStyle w:val="SingleTxt"/>
      </w:pPr>
      <w:r w:rsidRPr="00AC36A1">
        <w:tab/>
      </w:r>
      <w:r w:rsidR="00CF1DFA" w:rsidRPr="00AC36A1">
        <w:t>d)</w:t>
      </w:r>
      <w:r w:rsidR="00CF1DFA" w:rsidRPr="00AC36A1">
        <w:tab/>
        <w:t>Working Committee on Well Women Clinic</w:t>
      </w:r>
    </w:p>
    <w:p w:rsidR="00CF1DFA" w:rsidRPr="00AC36A1" w:rsidRDefault="007B1EFA" w:rsidP="007B1EFA">
      <w:pPr>
        <w:pStyle w:val="SingleTxt"/>
        <w:ind w:left="1742" w:hanging="475"/>
      </w:pPr>
      <w:r w:rsidRPr="00AC36A1">
        <w:tab/>
      </w:r>
      <w:r w:rsidR="00CF1DFA" w:rsidRPr="00AC36A1">
        <w:t>e)</w:t>
      </w:r>
      <w:r w:rsidR="00CF1DFA" w:rsidRPr="00AC36A1">
        <w:tab/>
        <w:t xml:space="preserve">Monitoring Committee </w:t>
      </w:r>
      <w:r w:rsidR="008435CF" w:rsidRPr="00AC36A1">
        <w:t>—</w:t>
      </w:r>
      <w:r w:rsidR="00CF1DFA" w:rsidRPr="00AC36A1">
        <w:t xml:space="preserve"> Sri Lanka code for promotion protection and support for breast feeding and marketing of designated products.</w:t>
      </w:r>
    </w:p>
    <w:p w:rsidR="00CF1DFA" w:rsidRPr="00AC36A1" w:rsidRDefault="00CF1DFA" w:rsidP="00CF1DFA">
      <w:pPr>
        <w:pStyle w:val="SingleTxt"/>
      </w:pPr>
      <w:r w:rsidRPr="00AC36A1">
        <w:t>166.</w:t>
      </w:r>
      <w:r w:rsidRPr="00AC36A1">
        <w:tab/>
        <w:t xml:space="preserve">The progressive policy framework and sustained focus on effective implementation has resulted in very favourable achievements. </w:t>
      </w:r>
    </w:p>
    <w:p w:rsidR="00CF1DFA" w:rsidRPr="00AC36A1" w:rsidRDefault="007B1EFA" w:rsidP="00CF1DFA">
      <w:pPr>
        <w:pStyle w:val="SingleTxt"/>
      </w:pPr>
      <w:r w:rsidRPr="00AC36A1">
        <w:tab/>
      </w:r>
      <w:r w:rsidR="00CF1DFA" w:rsidRPr="00AC36A1">
        <w:t>The Crude Death Rate for 2012(Provisional) was 6.0 per 1,000 persons.</w:t>
      </w:r>
    </w:p>
    <w:p w:rsidR="00CF1DFA" w:rsidRPr="00AC36A1" w:rsidRDefault="007B1EFA" w:rsidP="007B1EFA">
      <w:pPr>
        <w:pStyle w:val="SingleTxt"/>
        <w:ind w:left="1742" w:hanging="475"/>
      </w:pPr>
      <w:r w:rsidRPr="00AC36A1">
        <w:tab/>
      </w:r>
      <w:r w:rsidR="00CF1DFA" w:rsidRPr="00AC36A1">
        <w:t>Maternal Mortality Ratio (MMR) for the year 2012 is 37.7 per 100,000 live births.</w:t>
      </w:r>
    </w:p>
    <w:p w:rsidR="00CF1DFA" w:rsidRPr="00AC36A1" w:rsidRDefault="007B1EFA" w:rsidP="00CF1DFA">
      <w:pPr>
        <w:pStyle w:val="SingleTxt"/>
      </w:pPr>
      <w:r w:rsidRPr="00AC36A1">
        <w:tab/>
      </w:r>
      <w:r w:rsidR="00CF1DFA" w:rsidRPr="00AC36A1">
        <w:t xml:space="preserve">Average number of clinic visits per mother (2012) </w:t>
      </w:r>
      <w:r w:rsidR="008435CF" w:rsidRPr="00AC36A1">
        <w:t>—</w:t>
      </w:r>
      <w:r w:rsidR="00CF1DFA" w:rsidRPr="00AC36A1">
        <w:t xml:space="preserve"> 6.8 per cent </w:t>
      </w:r>
    </w:p>
    <w:p w:rsidR="00CF1DFA" w:rsidRPr="00AC36A1" w:rsidRDefault="007B1EFA" w:rsidP="00CF1DFA">
      <w:pPr>
        <w:pStyle w:val="SingleTxt"/>
      </w:pPr>
      <w:r w:rsidRPr="00AC36A1">
        <w:tab/>
      </w:r>
      <w:r w:rsidR="00CF1DFA" w:rsidRPr="00AC36A1">
        <w:t xml:space="preserve">Average number of antenatal home visits per mother by a PHM (2012) </w:t>
      </w:r>
      <w:r w:rsidR="008435CF" w:rsidRPr="00AC36A1">
        <w:t>—</w:t>
      </w:r>
      <w:r w:rsidR="00CF1DFA" w:rsidRPr="00AC36A1">
        <w:t xml:space="preserve"> 5 </w:t>
      </w:r>
    </w:p>
    <w:p w:rsidR="00CF1DFA" w:rsidRPr="00AC36A1" w:rsidRDefault="007B1EFA" w:rsidP="00CF1DFA">
      <w:pPr>
        <w:pStyle w:val="SingleTxt"/>
      </w:pPr>
      <w:r w:rsidRPr="00AC36A1">
        <w:tab/>
      </w:r>
      <w:r w:rsidR="00CF1DFA" w:rsidRPr="00AC36A1">
        <w:t xml:space="preserve">Live births in Government hospitals (2012) </w:t>
      </w:r>
      <w:r w:rsidR="008435CF" w:rsidRPr="00AC36A1">
        <w:t>—</w:t>
      </w:r>
      <w:r w:rsidR="00CF1DFA" w:rsidRPr="00AC36A1">
        <w:t xml:space="preserve"> 95.75 per cent</w:t>
      </w:r>
    </w:p>
    <w:p w:rsidR="00CF1DFA" w:rsidRPr="00AC36A1" w:rsidRDefault="007B1EFA" w:rsidP="00CF1DFA">
      <w:pPr>
        <w:pStyle w:val="SingleTxt"/>
      </w:pPr>
      <w:r w:rsidRPr="00AC36A1">
        <w:tab/>
      </w:r>
      <w:r w:rsidR="00CF1DFA" w:rsidRPr="00AC36A1">
        <w:t xml:space="preserve">Births attended by skilled health personnel </w:t>
      </w:r>
      <w:r w:rsidR="008435CF" w:rsidRPr="00AC36A1">
        <w:t>—</w:t>
      </w:r>
      <w:r w:rsidR="00CF1DFA" w:rsidRPr="00AC36A1">
        <w:t xml:space="preserve"> 98.6 per cent (2006) (D&amp;HS)</w:t>
      </w:r>
    </w:p>
    <w:p w:rsidR="00CF1DFA" w:rsidRPr="00AC36A1" w:rsidRDefault="00CF1DFA" w:rsidP="00CF1DFA">
      <w:pPr>
        <w:pStyle w:val="SingleTxt"/>
      </w:pPr>
      <w:r w:rsidRPr="00AC36A1">
        <w:t>167.</w:t>
      </w:r>
      <w:r w:rsidRPr="00AC36A1">
        <w:tab/>
        <w:t>Issues related to maternal and child nutrition are also forwarded to the Nutrition Steering Committee chaired by the Secretary of the Ministry of Health and from there to the Presidential Nutrition Secretariat.</w:t>
      </w:r>
    </w:p>
    <w:p w:rsidR="007B1EFA" w:rsidRPr="00AC36A1" w:rsidRDefault="007B1EFA" w:rsidP="007B1EFA">
      <w:pPr>
        <w:pStyle w:val="SingleTxt"/>
        <w:spacing w:after="0" w:line="120" w:lineRule="exact"/>
        <w:rPr>
          <w:sz w:val="10"/>
        </w:rPr>
      </w:pPr>
    </w:p>
    <w:p w:rsidR="00CF1DFA" w:rsidRPr="00AC36A1" w:rsidRDefault="007B1EFA" w:rsidP="007B1EFA">
      <w:pPr>
        <w:pStyle w:val="H23"/>
        <w:ind w:right="1260"/>
      </w:pPr>
      <w:r w:rsidRPr="00AC36A1">
        <w:tab/>
      </w:r>
      <w:r w:rsidRPr="00AC36A1">
        <w:tab/>
        <w:t>Family Health Programme</w:t>
      </w:r>
      <w:r w:rsidRPr="00AC36A1">
        <w:rPr>
          <w:rStyle w:val="FootnoteReference"/>
          <w:b w:val="0"/>
        </w:rPr>
        <w:footnoteReference w:id="29"/>
      </w:r>
    </w:p>
    <w:p w:rsidR="007B1EFA" w:rsidRPr="00AC36A1" w:rsidRDefault="007B1EFA" w:rsidP="007B1EFA">
      <w:pPr>
        <w:pStyle w:val="SingleTxt"/>
        <w:spacing w:after="0" w:line="120" w:lineRule="exact"/>
        <w:rPr>
          <w:sz w:val="10"/>
        </w:rPr>
      </w:pPr>
    </w:p>
    <w:p w:rsidR="00CF1DFA" w:rsidRPr="00AC36A1" w:rsidRDefault="00CF1DFA" w:rsidP="00CF1DFA">
      <w:pPr>
        <w:pStyle w:val="SingleTxt"/>
      </w:pPr>
      <w:r w:rsidRPr="00AC36A1">
        <w:t>168.</w:t>
      </w:r>
      <w:r w:rsidRPr="00AC36A1">
        <w:tab/>
        <w:t>The basic units of service care provision are eligible families and the schools in a given health area. An eligible family is defined as a family with a couple either legally married or living together where the woman is between 15 to 49 years of age or with a child under 5 years of age. A family with a pregnant or a cohabiting woman irrespective of marital status and age or single women either widowed, divorced or separated are also considered under an eligible family. Interventions in improving maternal and child health commence from the pre-conception stage. A new package of interventions for “preconception care” has been piloted and introduced to the Family Health Programme in 2012 to promote health of women and their partners to enter pregnancy in optimal health, and to maintain it throughout the life course. The main strategy used to fulfil this is by ensuring women of childbearing age and their partners receiving a comprehensive package of pre-conception care. The care includes creating awareness, health promotion, screening and appropriate mediations to reduce risk factors that might affect future pregnancies of the reproductive aged women. This package is introduced to extend the maternal health continuum prior to pregnancy to reduce indices such as maternal mortality, infant mortality and low birth weight into lower indices. The new package would–</w:t>
      </w:r>
    </w:p>
    <w:p w:rsidR="00CF1DFA" w:rsidRPr="00AC36A1" w:rsidRDefault="007B1EFA" w:rsidP="007B1EFA">
      <w:pPr>
        <w:pStyle w:val="SingleTxt"/>
        <w:tabs>
          <w:tab w:val="right" w:pos="1685"/>
        </w:tabs>
        <w:ind w:left="1742" w:hanging="475"/>
      </w:pPr>
      <w:r w:rsidRPr="00AC36A1">
        <w:tab/>
      </w:r>
      <w:r w:rsidR="00CF1DFA" w:rsidRPr="00AC36A1">
        <w:t>•</w:t>
      </w:r>
      <w:r w:rsidR="00CF1DFA" w:rsidRPr="00AC36A1">
        <w:tab/>
        <w:t>Improve knowledge and attitudes of men and women especially in relation to pre-conception health which would lead to behavioural changes.</w:t>
      </w:r>
    </w:p>
    <w:p w:rsidR="00CF1DFA" w:rsidRPr="00AC36A1" w:rsidRDefault="007B1EFA" w:rsidP="007B1EFA">
      <w:pPr>
        <w:pStyle w:val="SingleTxt"/>
        <w:tabs>
          <w:tab w:val="right" w:pos="1685"/>
        </w:tabs>
        <w:ind w:left="1742" w:hanging="475"/>
      </w:pPr>
      <w:r w:rsidRPr="00AC36A1">
        <w:tab/>
      </w:r>
      <w:r w:rsidR="00CF1DFA" w:rsidRPr="00AC36A1">
        <w:t>•</w:t>
      </w:r>
      <w:r w:rsidR="00CF1DFA" w:rsidRPr="00AC36A1">
        <w:tab/>
        <w:t>Ensure that all newly wedded couples receive pre-conception care services (health promotion, evidence based risk screening, interventions, etc.); to Improve the health of women before pregnancy by giving pre-conception care.</w:t>
      </w:r>
    </w:p>
    <w:p w:rsidR="00CF1DFA" w:rsidRPr="00AC36A1" w:rsidRDefault="007B1EFA" w:rsidP="007B1EFA">
      <w:pPr>
        <w:pStyle w:val="SingleTxt"/>
        <w:tabs>
          <w:tab w:val="right" w:pos="1685"/>
        </w:tabs>
        <w:ind w:left="1742" w:hanging="475"/>
      </w:pPr>
      <w:r w:rsidRPr="00AC36A1">
        <w:tab/>
      </w:r>
      <w:r w:rsidR="00CF1DFA" w:rsidRPr="00AC36A1">
        <w:t>•</w:t>
      </w:r>
      <w:r w:rsidR="00CF1DFA" w:rsidRPr="00AC36A1">
        <w:tab/>
        <w:t>Detect the health problems of the couple to prevent, minimize, treat or correct the health problems before they attain parenthood.</w:t>
      </w:r>
    </w:p>
    <w:p w:rsidR="00CF1DFA" w:rsidRPr="00AC36A1" w:rsidRDefault="00CF1DFA" w:rsidP="00CF1DFA">
      <w:pPr>
        <w:pStyle w:val="SingleTxt"/>
      </w:pPr>
      <w:r w:rsidRPr="00AC36A1">
        <w:t>169.</w:t>
      </w:r>
      <w:r w:rsidRPr="00AC36A1">
        <w:tab/>
        <w:t>Maternal care has been one of the main focus areas of the programme from its inception. Hence the public health system of Sri Lanka is well-geared to provide services for pregnant and postpartum mothers. Maternal care package was revised to include best evidence into practice and scaled up implementation was done during the year 2012. The care for pregnant mothers begins with the registration of pregnant mothers with field PHM either at field or clinic and a standard package of interventions is offered to them. These interventions include, preliminary clinical assessment and screening for health and clinical risks in pregnancy, monitoring of maternal and foetal wellbeing in subsequent visits, tetanus immunization, nutrition supplementation, referral of high risk pregnancies for specialist care, providing information and counselling for pregnancy related issues and delivery planning.</w:t>
      </w:r>
    </w:p>
    <w:p w:rsidR="00CF1DFA" w:rsidRPr="00AC36A1" w:rsidRDefault="00CF1DFA" w:rsidP="00CF1DFA">
      <w:pPr>
        <w:pStyle w:val="SingleTxt"/>
      </w:pPr>
      <w:r w:rsidRPr="00AC36A1">
        <w:t>170.</w:t>
      </w:r>
      <w:r w:rsidRPr="00AC36A1">
        <w:tab/>
        <w:t>The very high percentage of pregnant mothers registered with Public Health Midwife (PHM) for care during 2012 (94 per cent) indicates that the majority of pregnant women are in contact with the services offered by the FHP. Of them over 90 per cent registered for care before 12 weeks of amenorrhea and this number has been rising over the last few years. Protection for Rubella with immunization before pregnancy, protection for Tetanus, antenatal screening for Syphilis and testing for blood group at the time of delivery has reached almost universal coverage. The proportion of teenage mothers among the registered pregnancies has shown a marginal decrease but remained around 6 per cent.</w:t>
      </w:r>
    </w:p>
    <w:p w:rsidR="007B1EFA" w:rsidRPr="00AC36A1" w:rsidRDefault="007B1EFA" w:rsidP="007B1EFA">
      <w:pPr>
        <w:pStyle w:val="SingleTxt"/>
        <w:spacing w:after="0" w:line="120" w:lineRule="exact"/>
        <w:rPr>
          <w:sz w:val="10"/>
        </w:rPr>
      </w:pPr>
    </w:p>
    <w:p w:rsidR="00CF1DFA" w:rsidRPr="00AC36A1" w:rsidRDefault="007B1EFA" w:rsidP="007B1EFA">
      <w:pPr>
        <w:pStyle w:val="H23"/>
        <w:ind w:right="1260"/>
      </w:pPr>
      <w:r w:rsidRPr="00AC36A1">
        <w:tab/>
      </w:r>
      <w:r w:rsidRPr="00AC36A1">
        <w:tab/>
      </w:r>
      <w:r w:rsidR="00CF1DFA" w:rsidRPr="00AC36A1">
        <w:t>Pregnancy outcome and postpartum care</w:t>
      </w:r>
    </w:p>
    <w:p w:rsidR="007B1EFA" w:rsidRPr="00AC36A1" w:rsidRDefault="007B1EFA" w:rsidP="007B1EFA">
      <w:pPr>
        <w:pStyle w:val="SingleTxt"/>
        <w:spacing w:after="0" w:line="120" w:lineRule="exact"/>
        <w:rPr>
          <w:sz w:val="10"/>
        </w:rPr>
      </w:pPr>
    </w:p>
    <w:p w:rsidR="00CF1DFA" w:rsidRPr="00AC36A1" w:rsidRDefault="00CF1DFA" w:rsidP="00CF1DFA">
      <w:pPr>
        <w:pStyle w:val="SingleTxt"/>
      </w:pPr>
      <w:r w:rsidRPr="00AC36A1">
        <w:t>171.</w:t>
      </w:r>
      <w:r w:rsidRPr="00AC36A1">
        <w:tab/>
        <w:t>PHM reports the pregnancy outcome of the pregnant mothers registered with her for care, and pays a recommended number of follow up visits to ensure the health and wellbeing of the mother and infant.</w:t>
      </w:r>
    </w:p>
    <w:p w:rsidR="007B1EFA" w:rsidRPr="00AC36A1" w:rsidRDefault="007B1EFA" w:rsidP="007B1EFA">
      <w:pPr>
        <w:pStyle w:val="SingleTxt"/>
        <w:spacing w:after="0" w:line="120" w:lineRule="exact"/>
        <w:rPr>
          <w:sz w:val="10"/>
        </w:rPr>
      </w:pPr>
    </w:p>
    <w:p w:rsidR="00CF1DFA" w:rsidRPr="00AC36A1" w:rsidRDefault="007B1EFA" w:rsidP="007B1EFA">
      <w:pPr>
        <w:pStyle w:val="H23"/>
        <w:ind w:right="1260"/>
        <w:rPr>
          <w:b w:val="0"/>
        </w:rPr>
      </w:pPr>
      <w:r w:rsidRPr="00AC36A1">
        <w:tab/>
      </w:r>
      <w:r w:rsidRPr="00AC36A1">
        <w:tab/>
      </w:r>
      <w:r w:rsidR="00CF1DFA" w:rsidRPr="00AC36A1">
        <w:rPr>
          <w:b w:val="0"/>
        </w:rPr>
        <w:t>Table 13</w:t>
      </w:r>
    </w:p>
    <w:p w:rsidR="00CF1DFA" w:rsidRPr="00AC36A1" w:rsidRDefault="007B1EFA" w:rsidP="007B1EFA">
      <w:pPr>
        <w:pStyle w:val="H23"/>
        <w:ind w:right="1260"/>
      </w:pPr>
      <w:r w:rsidRPr="00AC36A1">
        <w:tab/>
      </w:r>
      <w:r w:rsidRPr="00AC36A1">
        <w:tab/>
      </w:r>
      <w:r w:rsidR="00CF1DFA" w:rsidRPr="00AC36A1">
        <w:t>Pregnancy Outcome and Postpartum Care for Mothers Registered during 2008</w:t>
      </w:r>
      <w:r w:rsidRPr="00AC36A1">
        <w:noBreakHyphen/>
      </w:r>
      <w:r w:rsidR="00CF1DFA" w:rsidRPr="00AC36A1">
        <w:t>2012</w:t>
      </w:r>
    </w:p>
    <w:p w:rsidR="007B1EFA" w:rsidRPr="00AC36A1" w:rsidRDefault="007B1EFA" w:rsidP="007B1EFA">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311"/>
        <w:gridCol w:w="601"/>
        <w:gridCol w:w="602"/>
        <w:gridCol w:w="602"/>
        <w:gridCol w:w="602"/>
        <w:gridCol w:w="602"/>
      </w:tblGrid>
      <w:tr w:rsidR="00F35032" w:rsidRPr="00AC36A1" w:rsidTr="00F35032">
        <w:trPr>
          <w:tblHeader/>
        </w:trPr>
        <w:tc>
          <w:tcPr>
            <w:tcW w:w="4311" w:type="dxa"/>
            <w:tcBorders>
              <w:top w:val="single" w:sz="4" w:space="0" w:color="auto"/>
              <w:bottom w:val="single" w:sz="12" w:space="0" w:color="auto"/>
            </w:tcBorders>
            <w:shd w:val="clear" w:color="auto" w:fill="auto"/>
            <w:vAlign w:val="bottom"/>
          </w:tcPr>
          <w:p w:rsidR="00F35032" w:rsidRPr="00AC36A1" w:rsidRDefault="00F35032" w:rsidP="00F35032">
            <w:pPr>
              <w:spacing w:before="81" w:after="81" w:line="160" w:lineRule="exact"/>
              <w:ind w:right="40"/>
              <w:rPr>
                <w:i/>
                <w:sz w:val="14"/>
              </w:rPr>
            </w:pPr>
            <w:r w:rsidRPr="00AC36A1">
              <w:rPr>
                <w:i/>
                <w:sz w:val="14"/>
              </w:rPr>
              <w:t>Indicator</w:t>
            </w:r>
          </w:p>
        </w:tc>
        <w:tc>
          <w:tcPr>
            <w:tcW w:w="601" w:type="dxa"/>
            <w:tcBorders>
              <w:top w:val="single" w:sz="4" w:space="0" w:color="auto"/>
              <w:bottom w:val="single" w:sz="12" w:space="0" w:color="auto"/>
            </w:tcBorders>
            <w:shd w:val="clear" w:color="auto" w:fill="auto"/>
            <w:vAlign w:val="bottom"/>
          </w:tcPr>
          <w:p w:rsidR="00F35032" w:rsidRPr="00AC36A1" w:rsidRDefault="00F35032" w:rsidP="00F35032">
            <w:pPr>
              <w:spacing w:before="81" w:after="81" w:line="160" w:lineRule="exact"/>
              <w:ind w:right="43"/>
              <w:jc w:val="right"/>
              <w:rPr>
                <w:i/>
                <w:sz w:val="14"/>
              </w:rPr>
            </w:pPr>
            <w:r w:rsidRPr="00AC36A1">
              <w:rPr>
                <w:i/>
                <w:sz w:val="14"/>
              </w:rPr>
              <w:t>2008</w:t>
            </w:r>
          </w:p>
        </w:tc>
        <w:tc>
          <w:tcPr>
            <w:tcW w:w="602" w:type="dxa"/>
            <w:tcBorders>
              <w:top w:val="single" w:sz="4" w:space="0" w:color="auto"/>
              <w:bottom w:val="single" w:sz="12" w:space="0" w:color="auto"/>
            </w:tcBorders>
            <w:shd w:val="clear" w:color="auto" w:fill="auto"/>
            <w:vAlign w:val="bottom"/>
          </w:tcPr>
          <w:p w:rsidR="00F35032" w:rsidRPr="00AC36A1" w:rsidRDefault="00F35032" w:rsidP="00F35032">
            <w:pPr>
              <w:spacing w:before="81" w:after="81" w:line="160" w:lineRule="exact"/>
              <w:ind w:right="43"/>
              <w:jc w:val="right"/>
              <w:rPr>
                <w:i/>
                <w:sz w:val="14"/>
              </w:rPr>
            </w:pPr>
            <w:r w:rsidRPr="00AC36A1">
              <w:rPr>
                <w:i/>
                <w:sz w:val="14"/>
              </w:rPr>
              <w:t>2009</w:t>
            </w:r>
          </w:p>
        </w:tc>
        <w:tc>
          <w:tcPr>
            <w:tcW w:w="602" w:type="dxa"/>
            <w:tcBorders>
              <w:top w:val="single" w:sz="4" w:space="0" w:color="auto"/>
              <w:bottom w:val="single" w:sz="12" w:space="0" w:color="auto"/>
            </w:tcBorders>
            <w:shd w:val="clear" w:color="auto" w:fill="auto"/>
            <w:vAlign w:val="bottom"/>
          </w:tcPr>
          <w:p w:rsidR="00F35032" w:rsidRPr="00AC36A1" w:rsidRDefault="00F35032" w:rsidP="00F35032">
            <w:pPr>
              <w:spacing w:before="81" w:after="81" w:line="160" w:lineRule="exact"/>
              <w:ind w:right="43"/>
              <w:jc w:val="right"/>
              <w:rPr>
                <w:i/>
                <w:sz w:val="14"/>
              </w:rPr>
            </w:pPr>
            <w:r w:rsidRPr="00AC36A1">
              <w:rPr>
                <w:i/>
                <w:sz w:val="14"/>
              </w:rPr>
              <w:t>2010</w:t>
            </w:r>
          </w:p>
        </w:tc>
        <w:tc>
          <w:tcPr>
            <w:tcW w:w="602" w:type="dxa"/>
            <w:tcBorders>
              <w:top w:val="single" w:sz="4" w:space="0" w:color="auto"/>
              <w:bottom w:val="single" w:sz="12" w:space="0" w:color="auto"/>
            </w:tcBorders>
            <w:shd w:val="clear" w:color="auto" w:fill="auto"/>
            <w:vAlign w:val="bottom"/>
          </w:tcPr>
          <w:p w:rsidR="00F35032" w:rsidRPr="00AC36A1" w:rsidRDefault="00F35032" w:rsidP="00F35032">
            <w:pPr>
              <w:spacing w:before="81" w:after="81" w:line="160" w:lineRule="exact"/>
              <w:ind w:right="43"/>
              <w:jc w:val="right"/>
              <w:rPr>
                <w:i/>
                <w:sz w:val="14"/>
              </w:rPr>
            </w:pPr>
            <w:r w:rsidRPr="00AC36A1">
              <w:rPr>
                <w:i/>
                <w:sz w:val="14"/>
              </w:rPr>
              <w:t>2011</w:t>
            </w:r>
          </w:p>
        </w:tc>
        <w:tc>
          <w:tcPr>
            <w:tcW w:w="602" w:type="dxa"/>
            <w:tcBorders>
              <w:top w:val="single" w:sz="4" w:space="0" w:color="auto"/>
              <w:bottom w:val="single" w:sz="12" w:space="0" w:color="auto"/>
            </w:tcBorders>
            <w:shd w:val="clear" w:color="auto" w:fill="auto"/>
            <w:vAlign w:val="bottom"/>
          </w:tcPr>
          <w:p w:rsidR="00F35032" w:rsidRPr="00AC36A1" w:rsidRDefault="00F35032" w:rsidP="00F35032">
            <w:pPr>
              <w:spacing w:before="81" w:after="81" w:line="160" w:lineRule="exact"/>
              <w:ind w:right="43"/>
              <w:jc w:val="right"/>
              <w:rPr>
                <w:i/>
                <w:sz w:val="14"/>
              </w:rPr>
            </w:pPr>
            <w:r w:rsidRPr="00AC36A1">
              <w:rPr>
                <w:i/>
                <w:sz w:val="14"/>
              </w:rPr>
              <w:t>2012</w:t>
            </w:r>
          </w:p>
        </w:tc>
      </w:tr>
      <w:tr w:rsidR="00F35032" w:rsidRPr="00AC36A1" w:rsidTr="00F35032">
        <w:trPr>
          <w:trHeight w:hRule="exact" w:val="115"/>
          <w:tblHeader/>
        </w:trPr>
        <w:tc>
          <w:tcPr>
            <w:tcW w:w="4311" w:type="dxa"/>
            <w:tcBorders>
              <w:top w:val="single" w:sz="12" w:space="0" w:color="auto"/>
            </w:tcBorders>
            <w:shd w:val="clear" w:color="auto" w:fill="auto"/>
            <w:vAlign w:val="bottom"/>
          </w:tcPr>
          <w:p w:rsidR="00F35032" w:rsidRPr="00AC36A1" w:rsidRDefault="00F35032" w:rsidP="00F35032">
            <w:pPr>
              <w:spacing w:before="40" w:after="40" w:line="210" w:lineRule="exact"/>
              <w:ind w:right="40"/>
              <w:rPr>
                <w:sz w:val="17"/>
              </w:rPr>
            </w:pPr>
          </w:p>
        </w:tc>
        <w:tc>
          <w:tcPr>
            <w:tcW w:w="601" w:type="dxa"/>
            <w:tcBorders>
              <w:top w:val="single" w:sz="12" w:space="0" w:color="auto"/>
            </w:tcBorders>
            <w:shd w:val="clear" w:color="auto" w:fill="auto"/>
            <w:vAlign w:val="bottom"/>
          </w:tcPr>
          <w:p w:rsidR="00F35032" w:rsidRPr="00AC36A1" w:rsidRDefault="00F35032" w:rsidP="00F35032">
            <w:pPr>
              <w:spacing w:before="40" w:after="40" w:line="210" w:lineRule="exact"/>
              <w:ind w:right="43"/>
              <w:jc w:val="right"/>
              <w:rPr>
                <w:sz w:val="17"/>
              </w:rPr>
            </w:pPr>
          </w:p>
        </w:tc>
        <w:tc>
          <w:tcPr>
            <w:tcW w:w="602" w:type="dxa"/>
            <w:tcBorders>
              <w:top w:val="single" w:sz="12" w:space="0" w:color="auto"/>
            </w:tcBorders>
            <w:shd w:val="clear" w:color="auto" w:fill="auto"/>
            <w:vAlign w:val="bottom"/>
          </w:tcPr>
          <w:p w:rsidR="00F35032" w:rsidRPr="00AC36A1" w:rsidRDefault="00F35032" w:rsidP="00F35032">
            <w:pPr>
              <w:spacing w:before="40" w:after="40" w:line="210" w:lineRule="exact"/>
              <w:ind w:right="43"/>
              <w:jc w:val="right"/>
              <w:rPr>
                <w:sz w:val="17"/>
              </w:rPr>
            </w:pPr>
          </w:p>
        </w:tc>
        <w:tc>
          <w:tcPr>
            <w:tcW w:w="602" w:type="dxa"/>
            <w:tcBorders>
              <w:top w:val="single" w:sz="12" w:space="0" w:color="auto"/>
            </w:tcBorders>
            <w:shd w:val="clear" w:color="auto" w:fill="auto"/>
            <w:vAlign w:val="bottom"/>
          </w:tcPr>
          <w:p w:rsidR="00F35032" w:rsidRPr="00AC36A1" w:rsidRDefault="00F35032" w:rsidP="00F35032">
            <w:pPr>
              <w:spacing w:before="40" w:after="40" w:line="210" w:lineRule="exact"/>
              <w:ind w:right="43"/>
              <w:jc w:val="right"/>
              <w:rPr>
                <w:sz w:val="17"/>
              </w:rPr>
            </w:pPr>
          </w:p>
        </w:tc>
        <w:tc>
          <w:tcPr>
            <w:tcW w:w="602" w:type="dxa"/>
            <w:tcBorders>
              <w:top w:val="single" w:sz="12" w:space="0" w:color="auto"/>
            </w:tcBorders>
            <w:shd w:val="clear" w:color="auto" w:fill="auto"/>
            <w:vAlign w:val="bottom"/>
          </w:tcPr>
          <w:p w:rsidR="00F35032" w:rsidRPr="00AC36A1" w:rsidRDefault="00F35032" w:rsidP="00F35032">
            <w:pPr>
              <w:spacing w:before="40" w:after="40" w:line="210" w:lineRule="exact"/>
              <w:ind w:right="43"/>
              <w:jc w:val="right"/>
              <w:rPr>
                <w:sz w:val="17"/>
              </w:rPr>
            </w:pPr>
          </w:p>
        </w:tc>
        <w:tc>
          <w:tcPr>
            <w:tcW w:w="602" w:type="dxa"/>
            <w:tcBorders>
              <w:top w:val="single" w:sz="12" w:space="0" w:color="auto"/>
            </w:tcBorders>
            <w:shd w:val="clear" w:color="auto" w:fill="auto"/>
            <w:vAlign w:val="bottom"/>
          </w:tcPr>
          <w:p w:rsidR="00F35032" w:rsidRPr="00AC36A1" w:rsidRDefault="00F35032" w:rsidP="00F35032">
            <w:pPr>
              <w:spacing w:before="40" w:after="40" w:line="210" w:lineRule="exact"/>
              <w:ind w:right="43"/>
              <w:jc w:val="right"/>
              <w:rPr>
                <w:sz w:val="17"/>
              </w:rPr>
            </w:pPr>
          </w:p>
        </w:tc>
      </w:tr>
      <w:tr w:rsidR="00F35032" w:rsidRPr="00AC36A1" w:rsidTr="00F35032">
        <w:tc>
          <w:tcPr>
            <w:tcW w:w="4311" w:type="dxa"/>
            <w:shd w:val="clear" w:color="auto" w:fill="auto"/>
            <w:vAlign w:val="bottom"/>
          </w:tcPr>
          <w:p w:rsidR="00F35032" w:rsidRPr="00AC36A1" w:rsidRDefault="00F35032" w:rsidP="00F35032">
            <w:pPr>
              <w:tabs>
                <w:tab w:val="left" w:pos="288"/>
                <w:tab w:val="left" w:pos="576"/>
                <w:tab w:val="left" w:pos="864"/>
                <w:tab w:val="left" w:pos="1152"/>
              </w:tabs>
              <w:spacing w:before="40" w:after="40" w:line="210" w:lineRule="exact"/>
              <w:ind w:right="40"/>
              <w:rPr>
                <w:sz w:val="17"/>
              </w:rPr>
            </w:pPr>
            <w:r w:rsidRPr="00AC36A1">
              <w:rPr>
                <w:sz w:val="17"/>
              </w:rPr>
              <w:t>Pregnancy outcome reported as a % of registered pregnancies</w:t>
            </w:r>
          </w:p>
        </w:tc>
        <w:tc>
          <w:tcPr>
            <w:tcW w:w="601" w:type="dxa"/>
            <w:shd w:val="clear" w:color="auto" w:fill="auto"/>
            <w:vAlign w:val="bottom"/>
          </w:tcPr>
          <w:p w:rsidR="00F35032" w:rsidRPr="00AC36A1" w:rsidRDefault="00F35032" w:rsidP="00F35032">
            <w:pPr>
              <w:tabs>
                <w:tab w:val="left" w:pos="288"/>
                <w:tab w:val="left" w:pos="576"/>
                <w:tab w:val="left" w:pos="864"/>
                <w:tab w:val="left" w:pos="1152"/>
              </w:tabs>
              <w:spacing w:before="40" w:after="40" w:line="210" w:lineRule="exact"/>
              <w:ind w:right="43"/>
              <w:jc w:val="right"/>
              <w:rPr>
                <w:sz w:val="17"/>
              </w:rPr>
            </w:pPr>
            <w:r w:rsidRPr="00AC36A1">
              <w:rPr>
                <w:sz w:val="17"/>
              </w:rPr>
              <w:t>89.1</w:t>
            </w:r>
          </w:p>
        </w:tc>
        <w:tc>
          <w:tcPr>
            <w:tcW w:w="602" w:type="dxa"/>
            <w:shd w:val="clear" w:color="auto" w:fill="auto"/>
            <w:vAlign w:val="bottom"/>
          </w:tcPr>
          <w:p w:rsidR="00F35032" w:rsidRPr="00AC36A1" w:rsidRDefault="00F35032" w:rsidP="00F35032">
            <w:pPr>
              <w:tabs>
                <w:tab w:val="left" w:pos="288"/>
                <w:tab w:val="left" w:pos="576"/>
                <w:tab w:val="left" w:pos="864"/>
                <w:tab w:val="left" w:pos="1152"/>
              </w:tabs>
              <w:spacing w:before="40" w:after="40" w:line="210" w:lineRule="exact"/>
              <w:ind w:right="43"/>
              <w:jc w:val="right"/>
              <w:rPr>
                <w:sz w:val="17"/>
              </w:rPr>
            </w:pPr>
            <w:r w:rsidRPr="00AC36A1">
              <w:rPr>
                <w:sz w:val="17"/>
              </w:rPr>
              <w:t>89.3</w:t>
            </w:r>
          </w:p>
        </w:tc>
        <w:tc>
          <w:tcPr>
            <w:tcW w:w="602" w:type="dxa"/>
            <w:shd w:val="clear" w:color="auto" w:fill="auto"/>
            <w:vAlign w:val="bottom"/>
          </w:tcPr>
          <w:p w:rsidR="00F35032" w:rsidRPr="00AC36A1" w:rsidRDefault="00F35032" w:rsidP="00F35032">
            <w:pPr>
              <w:tabs>
                <w:tab w:val="left" w:pos="288"/>
                <w:tab w:val="left" w:pos="576"/>
                <w:tab w:val="left" w:pos="864"/>
                <w:tab w:val="left" w:pos="1152"/>
              </w:tabs>
              <w:spacing w:before="40" w:after="40" w:line="210" w:lineRule="exact"/>
              <w:ind w:right="43"/>
              <w:jc w:val="right"/>
              <w:rPr>
                <w:sz w:val="17"/>
              </w:rPr>
            </w:pPr>
            <w:r w:rsidRPr="00AC36A1">
              <w:rPr>
                <w:sz w:val="17"/>
              </w:rPr>
              <w:t>88.0</w:t>
            </w:r>
          </w:p>
        </w:tc>
        <w:tc>
          <w:tcPr>
            <w:tcW w:w="602" w:type="dxa"/>
            <w:shd w:val="clear" w:color="auto" w:fill="auto"/>
            <w:vAlign w:val="bottom"/>
          </w:tcPr>
          <w:p w:rsidR="00F35032" w:rsidRPr="00AC36A1" w:rsidRDefault="00F35032" w:rsidP="00F35032">
            <w:pPr>
              <w:tabs>
                <w:tab w:val="left" w:pos="288"/>
                <w:tab w:val="left" w:pos="576"/>
                <w:tab w:val="left" w:pos="864"/>
                <w:tab w:val="left" w:pos="1152"/>
              </w:tabs>
              <w:spacing w:before="40" w:after="40" w:line="210" w:lineRule="exact"/>
              <w:ind w:right="43"/>
              <w:jc w:val="right"/>
              <w:rPr>
                <w:sz w:val="17"/>
              </w:rPr>
            </w:pPr>
            <w:r w:rsidRPr="00AC36A1">
              <w:rPr>
                <w:sz w:val="17"/>
              </w:rPr>
              <w:t>88.7</w:t>
            </w:r>
          </w:p>
        </w:tc>
        <w:tc>
          <w:tcPr>
            <w:tcW w:w="602" w:type="dxa"/>
            <w:shd w:val="clear" w:color="auto" w:fill="auto"/>
            <w:vAlign w:val="bottom"/>
          </w:tcPr>
          <w:p w:rsidR="00F35032" w:rsidRPr="00AC36A1" w:rsidRDefault="00F35032" w:rsidP="00F35032">
            <w:pPr>
              <w:tabs>
                <w:tab w:val="left" w:pos="288"/>
                <w:tab w:val="left" w:pos="576"/>
                <w:tab w:val="left" w:pos="864"/>
                <w:tab w:val="left" w:pos="1152"/>
              </w:tabs>
              <w:spacing w:before="40" w:after="40" w:line="210" w:lineRule="exact"/>
              <w:ind w:right="43"/>
              <w:jc w:val="right"/>
              <w:rPr>
                <w:sz w:val="17"/>
              </w:rPr>
            </w:pPr>
            <w:r w:rsidRPr="00AC36A1">
              <w:rPr>
                <w:sz w:val="17"/>
              </w:rPr>
              <w:t>88.8</w:t>
            </w:r>
          </w:p>
        </w:tc>
      </w:tr>
      <w:tr w:rsidR="00F35032" w:rsidRPr="00AC36A1" w:rsidTr="00F35032">
        <w:tc>
          <w:tcPr>
            <w:tcW w:w="4311" w:type="dxa"/>
            <w:shd w:val="clear" w:color="auto" w:fill="auto"/>
            <w:vAlign w:val="bottom"/>
          </w:tcPr>
          <w:p w:rsidR="00F35032" w:rsidRPr="00AC36A1" w:rsidRDefault="00F35032" w:rsidP="00F35032">
            <w:pPr>
              <w:tabs>
                <w:tab w:val="left" w:pos="288"/>
                <w:tab w:val="left" w:pos="576"/>
                <w:tab w:val="left" w:pos="864"/>
                <w:tab w:val="left" w:pos="1152"/>
              </w:tabs>
              <w:spacing w:before="40" w:after="40" w:line="210" w:lineRule="exact"/>
              <w:ind w:right="40"/>
              <w:rPr>
                <w:sz w:val="17"/>
              </w:rPr>
            </w:pPr>
            <w:r w:rsidRPr="00AC36A1">
              <w:rPr>
                <w:sz w:val="17"/>
              </w:rPr>
              <w:t xml:space="preserve">Institutional deliveries as a % of total reported deliveries </w:t>
            </w:r>
          </w:p>
        </w:tc>
        <w:tc>
          <w:tcPr>
            <w:tcW w:w="601" w:type="dxa"/>
            <w:shd w:val="clear" w:color="auto" w:fill="auto"/>
            <w:vAlign w:val="bottom"/>
          </w:tcPr>
          <w:p w:rsidR="00F35032" w:rsidRPr="00AC36A1" w:rsidRDefault="00F35032" w:rsidP="00F35032">
            <w:pPr>
              <w:tabs>
                <w:tab w:val="left" w:pos="288"/>
                <w:tab w:val="left" w:pos="576"/>
                <w:tab w:val="left" w:pos="864"/>
                <w:tab w:val="left" w:pos="1152"/>
              </w:tabs>
              <w:spacing w:before="40" w:after="40" w:line="210" w:lineRule="exact"/>
              <w:ind w:right="43"/>
              <w:jc w:val="right"/>
              <w:rPr>
                <w:sz w:val="17"/>
              </w:rPr>
            </w:pPr>
            <w:r w:rsidRPr="00AC36A1">
              <w:rPr>
                <w:sz w:val="17"/>
              </w:rPr>
              <w:t>99.6</w:t>
            </w:r>
          </w:p>
        </w:tc>
        <w:tc>
          <w:tcPr>
            <w:tcW w:w="602" w:type="dxa"/>
            <w:shd w:val="clear" w:color="auto" w:fill="auto"/>
            <w:vAlign w:val="bottom"/>
          </w:tcPr>
          <w:p w:rsidR="00F35032" w:rsidRPr="00AC36A1" w:rsidRDefault="00F35032" w:rsidP="00F35032">
            <w:pPr>
              <w:tabs>
                <w:tab w:val="left" w:pos="288"/>
                <w:tab w:val="left" w:pos="576"/>
                <w:tab w:val="left" w:pos="864"/>
                <w:tab w:val="left" w:pos="1152"/>
              </w:tabs>
              <w:spacing w:before="40" w:after="40" w:line="210" w:lineRule="exact"/>
              <w:ind w:right="43"/>
              <w:jc w:val="right"/>
              <w:rPr>
                <w:sz w:val="17"/>
              </w:rPr>
            </w:pPr>
            <w:r w:rsidRPr="00AC36A1">
              <w:rPr>
                <w:sz w:val="17"/>
              </w:rPr>
              <w:t>99.7</w:t>
            </w:r>
          </w:p>
        </w:tc>
        <w:tc>
          <w:tcPr>
            <w:tcW w:w="602" w:type="dxa"/>
            <w:shd w:val="clear" w:color="auto" w:fill="auto"/>
            <w:vAlign w:val="bottom"/>
          </w:tcPr>
          <w:p w:rsidR="00F35032" w:rsidRPr="00AC36A1" w:rsidRDefault="00F35032" w:rsidP="00F35032">
            <w:pPr>
              <w:tabs>
                <w:tab w:val="left" w:pos="288"/>
                <w:tab w:val="left" w:pos="576"/>
                <w:tab w:val="left" w:pos="864"/>
                <w:tab w:val="left" w:pos="1152"/>
              </w:tabs>
              <w:spacing w:before="40" w:after="40" w:line="210" w:lineRule="exact"/>
              <w:ind w:right="43"/>
              <w:jc w:val="right"/>
              <w:rPr>
                <w:sz w:val="17"/>
              </w:rPr>
            </w:pPr>
            <w:r w:rsidRPr="00AC36A1">
              <w:rPr>
                <w:sz w:val="17"/>
              </w:rPr>
              <w:t>99.8</w:t>
            </w:r>
          </w:p>
        </w:tc>
        <w:tc>
          <w:tcPr>
            <w:tcW w:w="602" w:type="dxa"/>
            <w:shd w:val="clear" w:color="auto" w:fill="auto"/>
            <w:vAlign w:val="bottom"/>
          </w:tcPr>
          <w:p w:rsidR="00F35032" w:rsidRPr="00AC36A1" w:rsidRDefault="00F35032" w:rsidP="00F35032">
            <w:pPr>
              <w:tabs>
                <w:tab w:val="left" w:pos="288"/>
                <w:tab w:val="left" w:pos="576"/>
                <w:tab w:val="left" w:pos="864"/>
                <w:tab w:val="left" w:pos="1152"/>
              </w:tabs>
              <w:spacing w:before="40" w:after="40" w:line="210" w:lineRule="exact"/>
              <w:ind w:right="43"/>
              <w:jc w:val="right"/>
              <w:rPr>
                <w:sz w:val="17"/>
              </w:rPr>
            </w:pPr>
            <w:r w:rsidRPr="00AC36A1">
              <w:rPr>
                <w:sz w:val="17"/>
              </w:rPr>
              <w:t>99.9</w:t>
            </w:r>
          </w:p>
        </w:tc>
        <w:tc>
          <w:tcPr>
            <w:tcW w:w="602" w:type="dxa"/>
            <w:shd w:val="clear" w:color="auto" w:fill="auto"/>
            <w:vAlign w:val="bottom"/>
          </w:tcPr>
          <w:p w:rsidR="00F35032" w:rsidRPr="00AC36A1" w:rsidRDefault="00F35032" w:rsidP="00F35032">
            <w:pPr>
              <w:tabs>
                <w:tab w:val="left" w:pos="288"/>
                <w:tab w:val="left" w:pos="576"/>
                <w:tab w:val="left" w:pos="864"/>
                <w:tab w:val="left" w:pos="1152"/>
              </w:tabs>
              <w:spacing w:before="40" w:after="40" w:line="210" w:lineRule="exact"/>
              <w:ind w:right="43"/>
              <w:jc w:val="right"/>
              <w:rPr>
                <w:sz w:val="17"/>
              </w:rPr>
            </w:pPr>
            <w:r w:rsidRPr="00AC36A1">
              <w:rPr>
                <w:sz w:val="17"/>
              </w:rPr>
              <w:t>99.9</w:t>
            </w:r>
          </w:p>
        </w:tc>
      </w:tr>
      <w:tr w:rsidR="00F35032" w:rsidRPr="00AC36A1" w:rsidTr="00F35032">
        <w:tc>
          <w:tcPr>
            <w:tcW w:w="4311" w:type="dxa"/>
            <w:shd w:val="clear" w:color="auto" w:fill="auto"/>
            <w:vAlign w:val="bottom"/>
          </w:tcPr>
          <w:p w:rsidR="00F35032" w:rsidRPr="00AC36A1" w:rsidRDefault="00F35032" w:rsidP="00F35032">
            <w:pPr>
              <w:tabs>
                <w:tab w:val="left" w:pos="288"/>
                <w:tab w:val="left" w:pos="576"/>
                <w:tab w:val="left" w:pos="864"/>
                <w:tab w:val="left" w:pos="1152"/>
              </w:tabs>
              <w:spacing w:before="40" w:after="40" w:line="210" w:lineRule="exact"/>
              <w:ind w:right="40"/>
              <w:rPr>
                <w:sz w:val="17"/>
              </w:rPr>
            </w:pPr>
            <w:r w:rsidRPr="00AC36A1">
              <w:rPr>
                <w:sz w:val="17"/>
              </w:rPr>
              <w:t>Caesarean sections as a % of total institutional deliveries reported</w:t>
            </w:r>
          </w:p>
        </w:tc>
        <w:tc>
          <w:tcPr>
            <w:tcW w:w="601" w:type="dxa"/>
            <w:shd w:val="clear" w:color="auto" w:fill="auto"/>
            <w:vAlign w:val="bottom"/>
          </w:tcPr>
          <w:p w:rsidR="00F35032" w:rsidRPr="00AC36A1" w:rsidRDefault="00F35032" w:rsidP="00F35032">
            <w:pPr>
              <w:tabs>
                <w:tab w:val="left" w:pos="288"/>
                <w:tab w:val="left" w:pos="576"/>
                <w:tab w:val="left" w:pos="864"/>
                <w:tab w:val="left" w:pos="1152"/>
              </w:tabs>
              <w:spacing w:before="40" w:after="40" w:line="210" w:lineRule="exact"/>
              <w:ind w:right="43"/>
              <w:jc w:val="right"/>
              <w:rPr>
                <w:sz w:val="17"/>
              </w:rPr>
            </w:pPr>
            <w:r w:rsidRPr="00AC36A1">
              <w:rPr>
                <w:sz w:val="17"/>
              </w:rPr>
              <w:t>24.3</w:t>
            </w:r>
          </w:p>
        </w:tc>
        <w:tc>
          <w:tcPr>
            <w:tcW w:w="602" w:type="dxa"/>
            <w:shd w:val="clear" w:color="auto" w:fill="auto"/>
            <w:vAlign w:val="bottom"/>
          </w:tcPr>
          <w:p w:rsidR="00F35032" w:rsidRPr="00AC36A1" w:rsidRDefault="00F35032" w:rsidP="00F35032">
            <w:pPr>
              <w:tabs>
                <w:tab w:val="left" w:pos="288"/>
                <w:tab w:val="left" w:pos="576"/>
                <w:tab w:val="left" w:pos="864"/>
                <w:tab w:val="left" w:pos="1152"/>
              </w:tabs>
              <w:spacing w:before="40" w:after="40" w:line="210" w:lineRule="exact"/>
              <w:ind w:right="43"/>
              <w:jc w:val="right"/>
              <w:rPr>
                <w:sz w:val="17"/>
              </w:rPr>
            </w:pPr>
            <w:r w:rsidRPr="00AC36A1">
              <w:rPr>
                <w:sz w:val="17"/>
              </w:rPr>
              <w:t>25.8</w:t>
            </w:r>
          </w:p>
        </w:tc>
        <w:tc>
          <w:tcPr>
            <w:tcW w:w="602" w:type="dxa"/>
            <w:shd w:val="clear" w:color="auto" w:fill="auto"/>
            <w:vAlign w:val="bottom"/>
          </w:tcPr>
          <w:p w:rsidR="00F35032" w:rsidRPr="00AC36A1" w:rsidRDefault="00F35032" w:rsidP="00F35032">
            <w:pPr>
              <w:tabs>
                <w:tab w:val="left" w:pos="288"/>
                <w:tab w:val="left" w:pos="576"/>
                <w:tab w:val="left" w:pos="864"/>
                <w:tab w:val="left" w:pos="1152"/>
              </w:tabs>
              <w:spacing w:before="40" w:after="40" w:line="210" w:lineRule="exact"/>
              <w:ind w:right="43"/>
              <w:jc w:val="right"/>
              <w:rPr>
                <w:sz w:val="17"/>
              </w:rPr>
            </w:pPr>
            <w:r w:rsidRPr="00AC36A1">
              <w:rPr>
                <w:sz w:val="17"/>
              </w:rPr>
              <w:t>27.0</w:t>
            </w:r>
          </w:p>
        </w:tc>
        <w:tc>
          <w:tcPr>
            <w:tcW w:w="602" w:type="dxa"/>
            <w:shd w:val="clear" w:color="auto" w:fill="auto"/>
            <w:vAlign w:val="bottom"/>
          </w:tcPr>
          <w:p w:rsidR="00F35032" w:rsidRPr="00AC36A1" w:rsidRDefault="00F35032" w:rsidP="00F35032">
            <w:pPr>
              <w:tabs>
                <w:tab w:val="left" w:pos="288"/>
                <w:tab w:val="left" w:pos="576"/>
                <w:tab w:val="left" w:pos="864"/>
                <w:tab w:val="left" w:pos="1152"/>
              </w:tabs>
              <w:spacing w:before="40" w:after="40" w:line="210" w:lineRule="exact"/>
              <w:ind w:right="43"/>
              <w:jc w:val="right"/>
              <w:rPr>
                <w:sz w:val="17"/>
              </w:rPr>
            </w:pPr>
            <w:r w:rsidRPr="00AC36A1">
              <w:rPr>
                <w:sz w:val="17"/>
              </w:rPr>
              <w:t>27.7</w:t>
            </w:r>
          </w:p>
        </w:tc>
        <w:tc>
          <w:tcPr>
            <w:tcW w:w="602" w:type="dxa"/>
            <w:shd w:val="clear" w:color="auto" w:fill="auto"/>
            <w:vAlign w:val="bottom"/>
          </w:tcPr>
          <w:p w:rsidR="00F35032" w:rsidRPr="00AC36A1" w:rsidRDefault="00F35032" w:rsidP="00F35032">
            <w:pPr>
              <w:tabs>
                <w:tab w:val="left" w:pos="288"/>
                <w:tab w:val="left" w:pos="576"/>
                <w:tab w:val="left" w:pos="864"/>
                <w:tab w:val="left" w:pos="1152"/>
              </w:tabs>
              <w:spacing w:before="40" w:after="40" w:line="210" w:lineRule="exact"/>
              <w:ind w:right="43"/>
              <w:jc w:val="right"/>
              <w:rPr>
                <w:sz w:val="17"/>
              </w:rPr>
            </w:pPr>
            <w:r w:rsidRPr="00AC36A1">
              <w:rPr>
                <w:sz w:val="17"/>
              </w:rPr>
              <w:t>28.7</w:t>
            </w:r>
          </w:p>
        </w:tc>
      </w:tr>
      <w:tr w:rsidR="00F35032" w:rsidRPr="00AC36A1" w:rsidTr="00F35032">
        <w:tc>
          <w:tcPr>
            <w:tcW w:w="4311" w:type="dxa"/>
            <w:shd w:val="clear" w:color="auto" w:fill="auto"/>
            <w:vAlign w:val="bottom"/>
          </w:tcPr>
          <w:p w:rsidR="00F35032" w:rsidRPr="00AC36A1" w:rsidRDefault="00F35032" w:rsidP="00F35032">
            <w:pPr>
              <w:tabs>
                <w:tab w:val="left" w:pos="288"/>
                <w:tab w:val="left" w:pos="576"/>
                <w:tab w:val="left" w:pos="864"/>
                <w:tab w:val="left" w:pos="1152"/>
              </w:tabs>
              <w:spacing w:before="40" w:after="40" w:line="210" w:lineRule="exact"/>
              <w:ind w:right="40"/>
              <w:rPr>
                <w:sz w:val="17"/>
              </w:rPr>
            </w:pPr>
            <w:r w:rsidRPr="00AC36A1">
              <w:rPr>
                <w:sz w:val="17"/>
              </w:rPr>
              <w:t xml:space="preserve">Postpartum mothers receiving at least 1 visit by PHM during 1st 10 days as a % of estimated births </w:t>
            </w:r>
          </w:p>
        </w:tc>
        <w:tc>
          <w:tcPr>
            <w:tcW w:w="601" w:type="dxa"/>
            <w:shd w:val="clear" w:color="auto" w:fill="auto"/>
            <w:vAlign w:val="bottom"/>
          </w:tcPr>
          <w:p w:rsidR="00F35032" w:rsidRPr="00AC36A1" w:rsidRDefault="00F35032" w:rsidP="00F35032">
            <w:pPr>
              <w:tabs>
                <w:tab w:val="left" w:pos="288"/>
                <w:tab w:val="left" w:pos="576"/>
                <w:tab w:val="left" w:pos="864"/>
                <w:tab w:val="left" w:pos="1152"/>
              </w:tabs>
              <w:spacing w:before="40" w:after="40" w:line="210" w:lineRule="exact"/>
              <w:ind w:right="43"/>
              <w:jc w:val="right"/>
              <w:rPr>
                <w:sz w:val="17"/>
              </w:rPr>
            </w:pPr>
            <w:r w:rsidRPr="00AC36A1">
              <w:rPr>
                <w:sz w:val="17"/>
              </w:rPr>
              <w:t>79.4</w:t>
            </w:r>
          </w:p>
        </w:tc>
        <w:tc>
          <w:tcPr>
            <w:tcW w:w="602" w:type="dxa"/>
            <w:shd w:val="clear" w:color="auto" w:fill="auto"/>
            <w:vAlign w:val="bottom"/>
          </w:tcPr>
          <w:p w:rsidR="00F35032" w:rsidRPr="00AC36A1" w:rsidRDefault="00F35032" w:rsidP="00F35032">
            <w:pPr>
              <w:tabs>
                <w:tab w:val="left" w:pos="288"/>
                <w:tab w:val="left" w:pos="576"/>
                <w:tab w:val="left" w:pos="864"/>
                <w:tab w:val="left" w:pos="1152"/>
              </w:tabs>
              <w:spacing w:before="40" w:after="40" w:line="210" w:lineRule="exact"/>
              <w:ind w:right="43"/>
              <w:jc w:val="right"/>
              <w:rPr>
                <w:sz w:val="17"/>
              </w:rPr>
            </w:pPr>
            <w:r w:rsidRPr="00AC36A1">
              <w:rPr>
                <w:sz w:val="17"/>
              </w:rPr>
              <w:t>75.9</w:t>
            </w:r>
          </w:p>
        </w:tc>
        <w:tc>
          <w:tcPr>
            <w:tcW w:w="602" w:type="dxa"/>
            <w:shd w:val="clear" w:color="auto" w:fill="auto"/>
            <w:vAlign w:val="bottom"/>
          </w:tcPr>
          <w:p w:rsidR="00F35032" w:rsidRPr="00AC36A1" w:rsidRDefault="00F35032" w:rsidP="00F35032">
            <w:pPr>
              <w:tabs>
                <w:tab w:val="left" w:pos="288"/>
                <w:tab w:val="left" w:pos="576"/>
                <w:tab w:val="left" w:pos="864"/>
                <w:tab w:val="left" w:pos="1152"/>
              </w:tabs>
              <w:spacing w:before="40" w:after="40" w:line="210" w:lineRule="exact"/>
              <w:ind w:right="43"/>
              <w:jc w:val="right"/>
              <w:rPr>
                <w:sz w:val="17"/>
              </w:rPr>
            </w:pPr>
            <w:r w:rsidRPr="00AC36A1">
              <w:rPr>
                <w:sz w:val="17"/>
              </w:rPr>
              <w:t>75.0</w:t>
            </w:r>
          </w:p>
        </w:tc>
        <w:tc>
          <w:tcPr>
            <w:tcW w:w="602" w:type="dxa"/>
            <w:shd w:val="clear" w:color="auto" w:fill="auto"/>
            <w:vAlign w:val="bottom"/>
          </w:tcPr>
          <w:p w:rsidR="00F35032" w:rsidRPr="00AC36A1" w:rsidRDefault="00F35032" w:rsidP="00F35032">
            <w:pPr>
              <w:tabs>
                <w:tab w:val="left" w:pos="288"/>
                <w:tab w:val="left" w:pos="576"/>
                <w:tab w:val="left" w:pos="864"/>
                <w:tab w:val="left" w:pos="1152"/>
              </w:tabs>
              <w:spacing w:before="40" w:after="40" w:line="210" w:lineRule="exact"/>
              <w:ind w:right="43"/>
              <w:jc w:val="right"/>
              <w:rPr>
                <w:sz w:val="17"/>
              </w:rPr>
            </w:pPr>
            <w:r w:rsidRPr="00AC36A1">
              <w:rPr>
                <w:sz w:val="17"/>
              </w:rPr>
              <w:t>77.4</w:t>
            </w:r>
          </w:p>
        </w:tc>
        <w:tc>
          <w:tcPr>
            <w:tcW w:w="602" w:type="dxa"/>
            <w:shd w:val="clear" w:color="auto" w:fill="auto"/>
            <w:vAlign w:val="bottom"/>
          </w:tcPr>
          <w:p w:rsidR="00F35032" w:rsidRPr="00AC36A1" w:rsidRDefault="00F35032" w:rsidP="00F35032">
            <w:pPr>
              <w:tabs>
                <w:tab w:val="left" w:pos="288"/>
                <w:tab w:val="left" w:pos="576"/>
                <w:tab w:val="left" w:pos="864"/>
                <w:tab w:val="left" w:pos="1152"/>
              </w:tabs>
              <w:spacing w:before="40" w:after="40" w:line="210" w:lineRule="exact"/>
              <w:ind w:right="43"/>
              <w:jc w:val="right"/>
              <w:rPr>
                <w:sz w:val="17"/>
              </w:rPr>
            </w:pPr>
            <w:r w:rsidRPr="00AC36A1">
              <w:rPr>
                <w:sz w:val="17"/>
              </w:rPr>
              <w:t>77.3</w:t>
            </w:r>
          </w:p>
        </w:tc>
      </w:tr>
      <w:tr w:rsidR="00F35032" w:rsidRPr="00AC36A1" w:rsidTr="00F35032">
        <w:tc>
          <w:tcPr>
            <w:tcW w:w="4311" w:type="dxa"/>
            <w:shd w:val="clear" w:color="auto" w:fill="auto"/>
            <w:vAlign w:val="bottom"/>
          </w:tcPr>
          <w:p w:rsidR="00F35032" w:rsidRPr="00AC36A1" w:rsidRDefault="00F35032" w:rsidP="00F35032">
            <w:pPr>
              <w:tabs>
                <w:tab w:val="left" w:pos="288"/>
                <w:tab w:val="left" w:pos="576"/>
                <w:tab w:val="left" w:pos="864"/>
                <w:tab w:val="left" w:pos="1152"/>
              </w:tabs>
              <w:spacing w:before="40" w:after="40" w:line="210" w:lineRule="exact"/>
              <w:ind w:right="40"/>
              <w:rPr>
                <w:sz w:val="17"/>
              </w:rPr>
            </w:pPr>
            <w:r w:rsidRPr="00AC36A1">
              <w:rPr>
                <w:sz w:val="17"/>
              </w:rPr>
              <w:t>LSCS as a % of total reported deliveries</w:t>
            </w:r>
          </w:p>
        </w:tc>
        <w:tc>
          <w:tcPr>
            <w:tcW w:w="601" w:type="dxa"/>
            <w:shd w:val="clear" w:color="auto" w:fill="auto"/>
            <w:vAlign w:val="bottom"/>
          </w:tcPr>
          <w:p w:rsidR="00F35032" w:rsidRPr="00AC36A1" w:rsidRDefault="00F35032" w:rsidP="00F35032">
            <w:pPr>
              <w:tabs>
                <w:tab w:val="left" w:pos="288"/>
                <w:tab w:val="left" w:pos="576"/>
                <w:tab w:val="left" w:pos="864"/>
                <w:tab w:val="left" w:pos="1152"/>
              </w:tabs>
              <w:spacing w:before="40" w:after="40" w:line="210" w:lineRule="exact"/>
              <w:ind w:right="43"/>
              <w:jc w:val="right"/>
              <w:rPr>
                <w:sz w:val="17"/>
              </w:rPr>
            </w:pPr>
            <w:r w:rsidRPr="00AC36A1">
              <w:rPr>
                <w:sz w:val="17"/>
              </w:rPr>
              <w:t>25.8</w:t>
            </w:r>
          </w:p>
        </w:tc>
        <w:tc>
          <w:tcPr>
            <w:tcW w:w="602" w:type="dxa"/>
            <w:shd w:val="clear" w:color="auto" w:fill="auto"/>
            <w:vAlign w:val="bottom"/>
          </w:tcPr>
          <w:p w:rsidR="00F35032" w:rsidRPr="00AC36A1" w:rsidRDefault="00F35032" w:rsidP="00F35032">
            <w:pPr>
              <w:tabs>
                <w:tab w:val="left" w:pos="288"/>
                <w:tab w:val="left" w:pos="576"/>
                <w:tab w:val="left" w:pos="864"/>
                <w:tab w:val="left" w:pos="1152"/>
              </w:tabs>
              <w:spacing w:before="40" w:after="40" w:line="210" w:lineRule="exact"/>
              <w:ind w:right="43"/>
              <w:jc w:val="right"/>
              <w:rPr>
                <w:sz w:val="17"/>
              </w:rPr>
            </w:pPr>
            <w:r w:rsidRPr="00AC36A1">
              <w:rPr>
                <w:sz w:val="17"/>
              </w:rPr>
              <w:t>27.0</w:t>
            </w:r>
          </w:p>
        </w:tc>
        <w:tc>
          <w:tcPr>
            <w:tcW w:w="602" w:type="dxa"/>
            <w:shd w:val="clear" w:color="auto" w:fill="auto"/>
            <w:vAlign w:val="bottom"/>
          </w:tcPr>
          <w:p w:rsidR="00F35032" w:rsidRPr="00AC36A1" w:rsidRDefault="00F35032" w:rsidP="00F35032">
            <w:pPr>
              <w:tabs>
                <w:tab w:val="left" w:pos="288"/>
                <w:tab w:val="left" w:pos="576"/>
                <w:tab w:val="left" w:pos="864"/>
                <w:tab w:val="left" w:pos="1152"/>
              </w:tabs>
              <w:spacing w:before="40" w:after="40" w:line="210" w:lineRule="exact"/>
              <w:ind w:right="43"/>
              <w:jc w:val="right"/>
              <w:rPr>
                <w:sz w:val="17"/>
              </w:rPr>
            </w:pPr>
            <w:r w:rsidRPr="00AC36A1">
              <w:rPr>
                <w:sz w:val="17"/>
              </w:rPr>
              <w:t>27.7</w:t>
            </w:r>
          </w:p>
        </w:tc>
        <w:tc>
          <w:tcPr>
            <w:tcW w:w="602" w:type="dxa"/>
            <w:shd w:val="clear" w:color="auto" w:fill="auto"/>
            <w:vAlign w:val="bottom"/>
          </w:tcPr>
          <w:p w:rsidR="00F35032" w:rsidRPr="00AC36A1" w:rsidRDefault="00F35032" w:rsidP="00F35032">
            <w:pPr>
              <w:tabs>
                <w:tab w:val="left" w:pos="288"/>
                <w:tab w:val="left" w:pos="576"/>
                <w:tab w:val="left" w:pos="864"/>
                <w:tab w:val="left" w:pos="1152"/>
              </w:tabs>
              <w:spacing w:before="40" w:after="40" w:line="210" w:lineRule="exact"/>
              <w:ind w:right="43"/>
              <w:jc w:val="right"/>
              <w:rPr>
                <w:sz w:val="17"/>
              </w:rPr>
            </w:pPr>
            <w:r w:rsidRPr="00AC36A1">
              <w:rPr>
                <w:sz w:val="17"/>
              </w:rPr>
              <w:t>28.7</w:t>
            </w:r>
          </w:p>
        </w:tc>
        <w:tc>
          <w:tcPr>
            <w:tcW w:w="602" w:type="dxa"/>
            <w:shd w:val="clear" w:color="auto" w:fill="auto"/>
            <w:vAlign w:val="bottom"/>
          </w:tcPr>
          <w:p w:rsidR="00F35032" w:rsidRPr="00AC36A1" w:rsidRDefault="00F35032" w:rsidP="00F35032">
            <w:pPr>
              <w:tabs>
                <w:tab w:val="left" w:pos="288"/>
                <w:tab w:val="left" w:pos="576"/>
                <w:tab w:val="left" w:pos="864"/>
                <w:tab w:val="left" w:pos="1152"/>
              </w:tabs>
              <w:spacing w:before="40" w:after="40" w:line="210" w:lineRule="exact"/>
              <w:ind w:right="43"/>
              <w:jc w:val="right"/>
              <w:rPr>
                <w:sz w:val="17"/>
              </w:rPr>
            </w:pPr>
            <w:r w:rsidRPr="00AC36A1">
              <w:rPr>
                <w:sz w:val="17"/>
              </w:rPr>
              <w:t>30.5</w:t>
            </w:r>
          </w:p>
        </w:tc>
      </w:tr>
      <w:tr w:rsidR="00F35032" w:rsidRPr="00AC36A1" w:rsidTr="00F35032">
        <w:tc>
          <w:tcPr>
            <w:tcW w:w="4311" w:type="dxa"/>
            <w:tcBorders>
              <w:bottom w:val="single" w:sz="12" w:space="0" w:color="auto"/>
            </w:tcBorders>
            <w:shd w:val="clear" w:color="auto" w:fill="auto"/>
            <w:vAlign w:val="bottom"/>
          </w:tcPr>
          <w:p w:rsidR="00F35032" w:rsidRPr="00AC36A1" w:rsidRDefault="00F35032" w:rsidP="00F35032">
            <w:pPr>
              <w:tabs>
                <w:tab w:val="left" w:pos="288"/>
                <w:tab w:val="left" w:pos="576"/>
                <w:tab w:val="left" w:pos="864"/>
                <w:tab w:val="left" w:pos="1152"/>
              </w:tabs>
              <w:spacing w:before="40" w:after="40" w:line="210" w:lineRule="exact"/>
              <w:ind w:right="40"/>
              <w:rPr>
                <w:sz w:val="17"/>
              </w:rPr>
            </w:pPr>
            <w:r w:rsidRPr="00AC36A1">
              <w:rPr>
                <w:sz w:val="17"/>
              </w:rPr>
              <w:t>Average number of home visits during first 10 postpartum days</w:t>
            </w:r>
          </w:p>
        </w:tc>
        <w:tc>
          <w:tcPr>
            <w:tcW w:w="601" w:type="dxa"/>
            <w:tcBorders>
              <w:bottom w:val="single" w:sz="12" w:space="0" w:color="auto"/>
            </w:tcBorders>
            <w:shd w:val="clear" w:color="auto" w:fill="auto"/>
            <w:vAlign w:val="bottom"/>
          </w:tcPr>
          <w:p w:rsidR="00F35032" w:rsidRPr="00AC36A1" w:rsidRDefault="00F35032" w:rsidP="00F35032">
            <w:pPr>
              <w:tabs>
                <w:tab w:val="left" w:pos="288"/>
                <w:tab w:val="left" w:pos="576"/>
                <w:tab w:val="left" w:pos="864"/>
                <w:tab w:val="left" w:pos="1152"/>
              </w:tabs>
              <w:spacing w:before="40" w:after="40" w:line="210" w:lineRule="exact"/>
              <w:ind w:right="43"/>
              <w:jc w:val="right"/>
              <w:rPr>
                <w:sz w:val="17"/>
              </w:rPr>
            </w:pPr>
            <w:r w:rsidRPr="00AC36A1">
              <w:rPr>
                <w:sz w:val="17"/>
              </w:rPr>
              <w:t>1.8</w:t>
            </w:r>
          </w:p>
        </w:tc>
        <w:tc>
          <w:tcPr>
            <w:tcW w:w="602" w:type="dxa"/>
            <w:tcBorders>
              <w:bottom w:val="single" w:sz="12" w:space="0" w:color="auto"/>
            </w:tcBorders>
            <w:shd w:val="clear" w:color="auto" w:fill="auto"/>
            <w:vAlign w:val="bottom"/>
          </w:tcPr>
          <w:p w:rsidR="00F35032" w:rsidRPr="00AC36A1" w:rsidRDefault="00F35032" w:rsidP="00F35032">
            <w:pPr>
              <w:tabs>
                <w:tab w:val="left" w:pos="288"/>
                <w:tab w:val="left" w:pos="576"/>
                <w:tab w:val="left" w:pos="864"/>
                <w:tab w:val="left" w:pos="1152"/>
              </w:tabs>
              <w:spacing w:before="40" w:after="40" w:line="210" w:lineRule="exact"/>
              <w:ind w:right="43"/>
              <w:jc w:val="right"/>
              <w:rPr>
                <w:sz w:val="17"/>
              </w:rPr>
            </w:pPr>
            <w:r w:rsidRPr="00AC36A1">
              <w:rPr>
                <w:sz w:val="17"/>
              </w:rPr>
              <w:t>1.8</w:t>
            </w:r>
          </w:p>
        </w:tc>
        <w:tc>
          <w:tcPr>
            <w:tcW w:w="602" w:type="dxa"/>
            <w:tcBorders>
              <w:bottom w:val="single" w:sz="12" w:space="0" w:color="auto"/>
            </w:tcBorders>
            <w:shd w:val="clear" w:color="auto" w:fill="auto"/>
            <w:vAlign w:val="bottom"/>
          </w:tcPr>
          <w:p w:rsidR="00F35032" w:rsidRPr="00AC36A1" w:rsidRDefault="00F35032" w:rsidP="00F35032">
            <w:pPr>
              <w:tabs>
                <w:tab w:val="left" w:pos="288"/>
                <w:tab w:val="left" w:pos="576"/>
                <w:tab w:val="left" w:pos="864"/>
                <w:tab w:val="left" w:pos="1152"/>
              </w:tabs>
              <w:spacing w:before="40" w:after="40" w:line="210" w:lineRule="exact"/>
              <w:ind w:right="43"/>
              <w:jc w:val="right"/>
              <w:rPr>
                <w:sz w:val="17"/>
              </w:rPr>
            </w:pPr>
            <w:r w:rsidRPr="00AC36A1">
              <w:rPr>
                <w:sz w:val="17"/>
              </w:rPr>
              <w:t>1.8</w:t>
            </w:r>
          </w:p>
        </w:tc>
        <w:tc>
          <w:tcPr>
            <w:tcW w:w="602" w:type="dxa"/>
            <w:tcBorders>
              <w:bottom w:val="single" w:sz="12" w:space="0" w:color="auto"/>
            </w:tcBorders>
            <w:shd w:val="clear" w:color="auto" w:fill="auto"/>
            <w:vAlign w:val="bottom"/>
          </w:tcPr>
          <w:p w:rsidR="00F35032" w:rsidRPr="00AC36A1" w:rsidRDefault="00F35032" w:rsidP="00F35032">
            <w:pPr>
              <w:tabs>
                <w:tab w:val="left" w:pos="288"/>
                <w:tab w:val="left" w:pos="576"/>
                <w:tab w:val="left" w:pos="864"/>
                <w:tab w:val="left" w:pos="1152"/>
              </w:tabs>
              <w:spacing w:before="40" w:after="40" w:line="210" w:lineRule="exact"/>
              <w:ind w:right="43"/>
              <w:jc w:val="right"/>
              <w:rPr>
                <w:sz w:val="17"/>
              </w:rPr>
            </w:pPr>
            <w:r w:rsidRPr="00AC36A1">
              <w:rPr>
                <w:sz w:val="17"/>
              </w:rPr>
              <w:t>1.8</w:t>
            </w:r>
          </w:p>
        </w:tc>
        <w:tc>
          <w:tcPr>
            <w:tcW w:w="602" w:type="dxa"/>
            <w:tcBorders>
              <w:bottom w:val="single" w:sz="12" w:space="0" w:color="auto"/>
            </w:tcBorders>
            <w:shd w:val="clear" w:color="auto" w:fill="auto"/>
            <w:vAlign w:val="bottom"/>
          </w:tcPr>
          <w:p w:rsidR="00F35032" w:rsidRPr="00AC36A1" w:rsidRDefault="00F35032" w:rsidP="00F35032">
            <w:pPr>
              <w:tabs>
                <w:tab w:val="left" w:pos="288"/>
                <w:tab w:val="left" w:pos="576"/>
                <w:tab w:val="left" w:pos="864"/>
                <w:tab w:val="left" w:pos="1152"/>
              </w:tabs>
              <w:spacing w:before="40" w:after="40" w:line="210" w:lineRule="exact"/>
              <w:ind w:right="43"/>
              <w:jc w:val="right"/>
              <w:rPr>
                <w:sz w:val="17"/>
              </w:rPr>
            </w:pPr>
            <w:r w:rsidRPr="00AC36A1">
              <w:rPr>
                <w:sz w:val="17"/>
              </w:rPr>
              <w:t>1.7</w:t>
            </w:r>
          </w:p>
        </w:tc>
      </w:tr>
    </w:tbl>
    <w:p w:rsidR="00F35032" w:rsidRPr="00AC36A1" w:rsidRDefault="00F35032" w:rsidP="00F35032">
      <w:pPr>
        <w:pStyle w:val="SingleTxt"/>
        <w:spacing w:after="0" w:line="120" w:lineRule="exact"/>
        <w:rPr>
          <w:sz w:val="10"/>
        </w:rPr>
      </w:pPr>
    </w:p>
    <w:p w:rsidR="00F35032" w:rsidRPr="00AC36A1" w:rsidRDefault="00F35032" w:rsidP="00F35032">
      <w:pPr>
        <w:pStyle w:val="SingleTxt"/>
        <w:spacing w:after="0" w:line="120" w:lineRule="exact"/>
        <w:rPr>
          <w:sz w:val="10"/>
        </w:rPr>
      </w:pPr>
    </w:p>
    <w:p w:rsidR="00CF1DFA" w:rsidRPr="00AC36A1" w:rsidRDefault="00CF1DFA" w:rsidP="00CF1DFA">
      <w:pPr>
        <w:pStyle w:val="SingleTxt"/>
      </w:pPr>
      <w:r w:rsidRPr="00AC36A1">
        <w:t>172.</w:t>
      </w:r>
      <w:r w:rsidRPr="00AC36A1">
        <w:tab/>
        <w:t>Post-partum care given during these field visits includes, assessment of general health, breastfeeding, signs of post-partum complications and common illnesses, followed by relevant advice and referrals if necessary. Pregnancy outcome was reported for 89.4 per cent of pregnancies registered with PHM. Almost all reported deliveries had taken place in institutions and three out of ten reported deliveries were Caesarean sections. Approximately 77 per cent of mothers were visited at home by PHMs at least once during the first 10 postpartum days and the average number of postpartum home visits was 2 per mother.</w:t>
      </w:r>
    </w:p>
    <w:p w:rsidR="00CF1DFA" w:rsidRPr="00AC36A1" w:rsidRDefault="00CF1DFA" w:rsidP="00CF1DFA">
      <w:pPr>
        <w:pStyle w:val="SingleTxt"/>
      </w:pPr>
      <w:r w:rsidRPr="00AC36A1">
        <w:t>173.</w:t>
      </w:r>
      <w:r w:rsidRPr="00AC36A1">
        <w:tab/>
        <w:t>A greater majority of registered mothers (95 per cent) visited a field antenatal clinic at least once during pregnancy and average field clinic visit per mother was 7. Registered pregnant mothers were visited at least once at home by PHMs and average number of home visits per mother by PHMs was 5.</w:t>
      </w:r>
    </w:p>
    <w:p w:rsidR="00F35032" w:rsidRPr="00AC36A1" w:rsidRDefault="00F35032" w:rsidP="00F35032">
      <w:pPr>
        <w:pStyle w:val="SingleTxt"/>
        <w:spacing w:after="0" w:line="120" w:lineRule="exact"/>
        <w:rPr>
          <w:sz w:val="10"/>
        </w:rPr>
      </w:pPr>
    </w:p>
    <w:p w:rsidR="00CF1DFA" w:rsidRPr="00AC36A1" w:rsidRDefault="00F35032" w:rsidP="00F35032">
      <w:pPr>
        <w:pStyle w:val="H23"/>
        <w:ind w:right="1260"/>
      </w:pPr>
      <w:r w:rsidRPr="00AC36A1">
        <w:tab/>
      </w:r>
      <w:r w:rsidRPr="00AC36A1">
        <w:tab/>
      </w:r>
      <w:r w:rsidR="00CF1DFA" w:rsidRPr="00AC36A1">
        <w:t>Maternal Mortality</w:t>
      </w:r>
    </w:p>
    <w:p w:rsidR="00F35032" w:rsidRPr="00AC36A1" w:rsidRDefault="00F35032" w:rsidP="00F35032">
      <w:pPr>
        <w:pStyle w:val="SingleTxt"/>
        <w:spacing w:after="0" w:line="120" w:lineRule="exact"/>
        <w:rPr>
          <w:sz w:val="10"/>
        </w:rPr>
      </w:pPr>
    </w:p>
    <w:p w:rsidR="00CF1DFA" w:rsidRPr="00AC36A1" w:rsidRDefault="00CF1DFA" w:rsidP="00CF1DFA">
      <w:pPr>
        <w:pStyle w:val="SingleTxt"/>
      </w:pPr>
      <w:r w:rsidRPr="00AC36A1">
        <w:t>174.</w:t>
      </w:r>
      <w:r w:rsidRPr="00AC36A1">
        <w:tab/>
        <w:t xml:space="preserve">The MMR stands at 33 for 100,000 live births for the year 2010. Sri Lanka has achieved one of the lowest maternal mortality rates in the developing world at a very low cost. Out of the confirmed 134 deaths, the majority (62.7 per cent) were direct maternal deaths. Obstetric haemorrhages, septic abortions and hypertensive disorders were among the leading direct causes of maternal deaths in 2012. Indirect causes accounted for 37.3 per cent of deaths and heart disease complicating pregnancy was the main indirect cause. Intrapartum deaths were minimal (4 per cent) while the highest number of reported maternal deaths occurred during postpartum period (69.0 per cent), highlighting the importance of concentrating on postpartum interventions to prevent maternal deaths. </w:t>
      </w:r>
    </w:p>
    <w:p w:rsidR="00F35032" w:rsidRPr="00AC36A1" w:rsidRDefault="00F35032" w:rsidP="00F35032">
      <w:pPr>
        <w:pStyle w:val="SingleTxt"/>
        <w:spacing w:after="0" w:line="120" w:lineRule="exact"/>
        <w:rPr>
          <w:sz w:val="10"/>
        </w:rPr>
      </w:pPr>
    </w:p>
    <w:p w:rsidR="00CF1DFA" w:rsidRPr="00AC36A1" w:rsidRDefault="00CF1DFA" w:rsidP="00F35032">
      <w:pPr>
        <w:pStyle w:val="H23"/>
        <w:ind w:right="1260"/>
      </w:pPr>
      <w:r w:rsidRPr="00AC36A1">
        <w:tab/>
      </w:r>
      <w:r w:rsidRPr="00AC36A1">
        <w:tab/>
        <w:t>Article 13</w:t>
      </w:r>
    </w:p>
    <w:p w:rsidR="00F35032" w:rsidRPr="00AC36A1" w:rsidRDefault="00F35032" w:rsidP="00F35032">
      <w:pPr>
        <w:pStyle w:val="SingleTxt"/>
        <w:spacing w:after="0" w:line="120" w:lineRule="exact"/>
        <w:rPr>
          <w:sz w:val="10"/>
        </w:rPr>
      </w:pPr>
    </w:p>
    <w:p w:rsidR="00CF1DFA" w:rsidRPr="00AC36A1" w:rsidRDefault="00F35032" w:rsidP="00F35032">
      <w:pPr>
        <w:pStyle w:val="H23"/>
        <w:ind w:right="1260"/>
      </w:pPr>
      <w:r w:rsidRPr="00AC36A1">
        <w:tab/>
      </w:r>
      <w:r w:rsidRPr="00AC36A1">
        <w:tab/>
      </w:r>
      <w:r w:rsidR="00CF1DFA" w:rsidRPr="00AC36A1">
        <w:t>Equal rights in areas of economic and social life</w:t>
      </w:r>
    </w:p>
    <w:p w:rsidR="00F35032" w:rsidRPr="00AC36A1" w:rsidRDefault="00F35032" w:rsidP="00F35032">
      <w:pPr>
        <w:pStyle w:val="SingleTxt"/>
        <w:spacing w:after="0" w:line="120" w:lineRule="exact"/>
        <w:rPr>
          <w:sz w:val="10"/>
        </w:rPr>
      </w:pPr>
    </w:p>
    <w:p w:rsidR="00CF1DFA" w:rsidRPr="00AC36A1" w:rsidRDefault="00CF1DFA" w:rsidP="00CF1DFA">
      <w:pPr>
        <w:pStyle w:val="SingleTxt"/>
      </w:pPr>
      <w:r w:rsidRPr="00AC36A1">
        <w:t>175.</w:t>
      </w:r>
      <w:r w:rsidRPr="00AC36A1">
        <w:tab/>
        <w:t xml:space="preserve">The status remains the same. As reported above, many poverty alleviation and economic empowerment programmes are being implemented for women. </w:t>
      </w:r>
    </w:p>
    <w:p w:rsidR="00F35032" w:rsidRPr="00AC36A1" w:rsidRDefault="00F35032" w:rsidP="00F35032">
      <w:pPr>
        <w:pStyle w:val="SingleTxt"/>
        <w:spacing w:after="0" w:line="120" w:lineRule="exact"/>
        <w:rPr>
          <w:sz w:val="10"/>
        </w:rPr>
      </w:pPr>
    </w:p>
    <w:p w:rsidR="00CF1DFA" w:rsidRPr="00AC36A1" w:rsidRDefault="00CF1DFA" w:rsidP="00F35032">
      <w:pPr>
        <w:pStyle w:val="H23"/>
        <w:ind w:right="1260"/>
      </w:pPr>
      <w:r w:rsidRPr="00AC36A1">
        <w:tab/>
      </w:r>
      <w:r w:rsidRPr="00AC36A1">
        <w:tab/>
        <w:t>Article 14</w:t>
      </w:r>
    </w:p>
    <w:p w:rsidR="00F35032" w:rsidRPr="00AC36A1" w:rsidRDefault="00F35032" w:rsidP="00F35032">
      <w:pPr>
        <w:pStyle w:val="SingleTxt"/>
        <w:spacing w:after="0" w:line="120" w:lineRule="exact"/>
        <w:rPr>
          <w:sz w:val="10"/>
        </w:rPr>
      </w:pPr>
    </w:p>
    <w:p w:rsidR="00CF1DFA" w:rsidRPr="00AC36A1" w:rsidRDefault="00F35032" w:rsidP="00F35032">
      <w:pPr>
        <w:pStyle w:val="H23"/>
        <w:ind w:right="1260"/>
      </w:pPr>
      <w:r w:rsidRPr="00AC36A1">
        <w:tab/>
      </w:r>
      <w:r w:rsidRPr="00AC36A1">
        <w:tab/>
      </w:r>
      <w:r w:rsidR="00CF1DFA" w:rsidRPr="00AC36A1">
        <w:t>Equal rights to benefit from rural development</w:t>
      </w:r>
    </w:p>
    <w:p w:rsidR="00F35032" w:rsidRPr="00AC36A1" w:rsidRDefault="00F35032" w:rsidP="00F35032">
      <w:pPr>
        <w:pStyle w:val="SingleTxt"/>
        <w:spacing w:after="0" w:line="120" w:lineRule="exact"/>
        <w:rPr>
          <w:sz w:val="10"/>
        </w:rPr>
      </w:pPr>
    </w:p>
    <w:p w:rsidR="00CF1DFA" w:rsidRPr="00AC36A1" w:rsidRDefault="00CF1DFA" w:rsidP="00CF1DFA">
      <w:pPr>
        <w:pStyle w:val="SingleTxt"/>
      </w:pPr>
      <w:r w:rsidRPr="00AC36A1">
        <w:t>176.</w:t>
      </w:r>
      <w:r w:rsidRPr="00AC36A1">
        <w:tab/>
        <w:t xml:space="preserve">As set out above, many special programmes targeting women have been formulated and are being implemented. </w:t>
      </w:r>
    </w:p>
    <w:p w:rsidR="008435CF" w:rsidRPr="00AC36A1" w:rsidRDefault="008435CF" w:rsidP="008435CF">
      <w:pPr>
        <w:pStyle w:val="SingleTxt"/>
        <w:spacing w:after="0" w:line="120" w:lineRule="exact"/>
        <w:rPr>
          <w:sz w:val="10"/>
        </w:rPr>
      </w:pPr>
    </w:p>
    <w:p w:rsidR="00CF1DFA" w:rsidRPr="00AC36A1" w:rsidRDefault="00CF1DFA" w:rsidP="008435CF">
      <w:pPr>
        <w:pStyle w:val="H23"/>
        <w:ind w:right="1260"/>
      </w:pPr>
      <w:r w:rsidRPr="00AC36A1">
        <w:tab/>
      </w:r>
      <w:r w:rsidRPr="00AC36A1">
        <w:tab/>
        <w:t>Article 15</w:t>
      </w:r>
    </w:p>
    <w:p w:rsidR="008435CF" w:rsidRPr="00AC36A1" w:rsidRDefault="008435CF" w:rsidP="008435CF">
      <w:pPr>
        <w:pStyle w:val="SingleTxt"/>
        <w:spacing w:after="0" w:line="120" w:lineRule="exact"/>
        <w:rPr>
          <w:sz w:val="10"/>
        </w:rPr>
      </w:pPr>
    </w:p>
    <w:p w:rsidR="00CF1DFA" w:rsidRPr="00AC36A1" w:rsidRDefault="008435CF" w:rsidP="008435CF">
      <w:pPr>
        <w:pStyle w:val="H23"/>
        <w:ind w:right="1260"/>
      </w:pPr>
      <w:r w:rsidRPr="00AC36A1">
        <w:tab/>
      </w:r>
      <w:r w:rsidRPr="00AC36A1">
        <w:tab/>
      </w:r>
      <w:r w:rsidR="00CF1DFA" w:rsidRPr="00AC36A1">
        <w:t>Equal rights with re. to legal capacity in civil matters</w:t>
      </w:r>
    </w:p>
    <w:p w:rsidR="008435CF" w:rsidRPr="00AC36A1" w:rsidRDefault="008435CF" w:rsidP="008435CF">
      <w:pPr>
        <w:pStyle w:val="SingleTxt"/>
        <w:spacing w:after="0" w:line="120" w:lineRule="exact"/>
        <w:rPr>
          <w:sz w:val="10"/>
        </w:rPr>
      </w:pPr>
    </w:p>
    <w:p w:rsidR="00CF1DFA" w:rsidRPr="00AC36A1" w:rsidRDefault="00CF1DFA" w:rsidP="00CF1DFA">
      <w:pPr>
        <w:pStyle w:val="SingleTxt"/>
      </w:pPr>
      <w:r w:rsidRPr="00AC36A1">
        <w:t>177.</w:t>
      </w:r>
      <w:r w:rsidRPr="00AC36A1">
        <w:tab/>
        <w:t>The status remains the same.</w:t>
      </w:r>
    </w:p>
    <w:p w:rsidR="008435CF" w:rsidRPr="00AC36A1" w:rsidRDefault="008435CF" w:rsidP="008435CF">
      <w:pPr>
        <w:pStyle w:val="SingleTxt"/>
        <w:spacing w:after="0" w:line="120" w:lineRule="exact"/>
        <w:rPr>
          <w:sz w:val="10"/>
        </w:rPr>
      </w:pPr>
    </w:p>
    <w:p w:rsidR="00CF1DFA" w:rsidRPr="00AC36A1" w:rsidRDefault="00CF1DFA" w:rsidP="008435CF">
      <w:pPr>
        <w:pStyle w:val="H23"/>
        <w:ind w:right="1260"/>
      </w:pPr>
      <w:r w:rsidRPr="00AC36A1">
        <w:tab/>
      </w:r>
      <w:r w:rsidRPr="00AC36A1">
        <w:tab/>
        <w:t>Article 16</w:t>
      </w:r>
    </w:p>
    <w:p w:rsidR="008435CF" w:rsidRPr="00AC36A1" w:rsidRDefault="008435CF" w:rsidP="008435CF">
      <w:pPr>
        <w:pStyle w:val="SingleTxt"/>
        <w:spacing w:after="0" w:line="120" w:lineRule="exact"/>
        <w:rPr>
          <w:sz w:val="10"/>
        </w:rPr>
      </w:pPr>
    </w:p>
    <w:p w:rsidR="00CF1DFA" w:rsidRPr="00AC36A1" w:rsidRDefault="008435CF" w:rsidP="008435CF">
      <w:pPr>
        <w:pStyle w:val="H23"/>
        <w:ind w:right="1260"/>
      </w:pPr>
      <w:r w:rsidRPr="00AC36A1">
        <w:tab/>
      </w:r>
      <w:r w:rsidRPr="00AC36A1">
        <w:tab/>
      </w:r>
      <w:r w:rsidR="00CF1DFA" w:rsidRPr="00AC36A1">
        <w:t>Equal rights in respect of marriage and family relations</w:t>
      </w:r>
    </w:p>
    <w:p w:rsidR="008435CF" w:rsidRPr="00AC36A1" w:rsidRDefault="008435CF" w:rsidP="008435CF">
      <w:pPr>
        <w:pStyle w:val="SingleTxt"/>
        <w:spacing w:after="0" w:line="120" w:lineRule="exact"/>
        <w:rPr>
          <w:sz w:val="10"/>
        </w:rPr>
      </w:pPr>
    </w:p>
    <w:p w:rsidR="00CF1DFA" w:rsidRPr="00AC36A1" w:rsidRDefault="00CF1DFA" w:rsidP="00CF1DFA">
      <w:pPr>
        <w:pStyle w:val="SingleTxt"/>
      </w:pPr>
      <w:r w:rsidRPr="00AC36A1">
        <w:t>178.</w:t>
      </w:r>
      <w:r w:rsidRPr="00AC36A1">
        <w:tab/>
        <w:t>The status remains the same.</w:t>
      </w:r>
    </w:p>
    <w:p w:rsidR="008435CF" w:rsidRPr="00AC36A1" w:rsidRDefault="008435CF" w:rsidP="008435CF">
      <w:pPr>
        <w:pStyle w:val="SingleTxt"/>
        <w:spacing w:after="0" w:line="120" w:lineRule="exact"/>
        <w:rPr>
          <w:sz w:val="10"/>
        </w:rPr>
      </w:pPr>
    </w:p>
    <w:p w:rsidR="00CF1DFA" w:rsidRPr="00AC36A1" w:rsidRDefault="00CF1DFA" w:rsidP="008435CF">
      <w:pPr>
        <w:pStyle w:val="H23"/>
        <w:ind w:right="1260"/>
      </w:pPr>
      <w:r w:rsidRPr="00AC36A1">
        <w:tab/>
      </w:r>
      <w:r w:rsidRPr="00AC36A1">
        <w:tab/>
        <w:t>Conclusion</w:t>
      </w:r>
    </w:p>
    <w:p w:rsidR="008435CF" w:rsidRPr="00AC36A1" w:rsidRDefault="008435CF" w:rsidP="008435CF">
      <w:pPr>
        <w:pStyle w:val="SingleTxt"/>
        <w:spacing w:after="0" w:line="120" w:lineRule="exact"/>
        <w:rPr>
          <w:sz w:val="10"/>
        </w:rPr>
      </w:pPr>
    </w:p>
    <w:p w:rsidR="00CF1DFA" w:rsidRPr="00AC36A1" w:rsidRDefault="00CF1DFA" w:rsidP="00CF1DFA">
      <w:pPr>
        <w:pStyle w:val="SingleTxt"/>
      </w:pPr>
      <w:r w:rsidRPr="00AC36A1">
        <w:t>179.</w:t>
      </w:r>
      <w:r w:rsidRPr="00AC36A1">
        <w:tab/>
        <w:t xml:space="preserve">Sri Lanka’s women are more visible as a formidable voice in the community and in positions of leadership. Although the numbers in certain areas, such as in the area of </w:t>
      </w:r>
      <w:r w:rsidRPr="00AC36A1">
        <w:rPr>
          <w:i/>
        </w:rPr>
        <w:t>political participation</w:t>
      </w:r>
      <w:r w:rsidRPr="00AC36A1">
        <w:t>, may not by itself be impressive, those in key positions have succeeded in surfacing women’s issues and have been heard. The objective is to have exemplary women in key positions who are pro-active and highlight issues of concern but at the same time, increase numbers.</w:t>
      </w:r>
    </w:p>
    <w:p w:rsidR="00CF1DFA" w:rsidRPr="00AC36A1" w:rsidRDefault="00CF1DFA" w:rsidP="00CF1DFA">
      <w:pPr>
        <w:pStyle w:val="SingleTxt"/>
      </w:pPr>
      <w:r w:rsidRPr="00AC36A1">
        <w:t>180.</w:t>
      </w:r>
      <w:r w:rsidRPr="00AC36A1">
        <w:tab/>
        <w:t xml:space="preserve">At the January 2015 Presidential elections, one of the candidates (current President) issued a special Declaration outlining a “New era for women”, in which he gave the assurance that steps will be taken to address concerns of women such as the prevention of violence, sexual harassment and abuse of women and children, unemployment, economic relief, concerns of women headed households, of migrant women, of women in the estate sector and of war widows and improving the nutrition of pregnant women. These issues are now being addressed with renewed vigour since the election of the President in January 2015.The fact that a special set of proposals was so issued, is an indication of an acceptance that women in this country matter and that there is a serious commitment to address issues of concern. Women were a formidable component of the electorate that voted at the January 2015 Presidential election. Their presence was seen in large numbers at pre-election meetings and at the poll. </w:t>
      </w:r>
    </w:p>
    <w:p w:rsidR="00CF1DFA" w:rsidRPr="00AC36A1" w:rsidRDefault="00CF1DFA" w:rsidP="00CF1DFA">
      <w:pPr>
        <w:pStyle w:val="SingleTxt"/>
      </w:pPr>
      <w:r w:rsidRPr="00AC36A1">
        <w:t>181.</w:t>
      </w:r>
      <w:r w:rsidRPr="00AC36A1">
        <w:tab/>
        <w:t>Sri Lanka acknowledges and accepts the challenges, before the country in the area of women’s issues and remains committed to address issues with international assistance. Sri Lanka will continue in its endeavour to improve many aspects relating to women notably, effective implementation of laws to combat violence against women including domestic violence, the economic empowerment of rural women, the situation of women headed households, war widows and also increased involvement of women in reconciliation and rehabilitation processes which are vital to the country’s sustainable development especially as a nation that has achieved a demographic dividend and a country with a sex ratio favourable to women.</w:t>
      </w:r>
    </w:p>
    <w:p w:rsidR="00DD5A99" w:rsidRPr="00AC36A1" w:rsidRDefault="008435CF" w:rsidP="00CF1DFA">
      <w:pPr>
        <w:pStyle w:val="SingleTxt"/>
      </w:pPr>
      <w:r w:rsidRPr="00AC36A1">
        <w:rPr>
          <w:noProof/>
          <w:w w:val="100"/>
          <w:lang w:val="en-US"/>
        </w:rPr>
        <mc:AlternateContent>
          <mc:Choice Requires="wps">
            <w:drawing>
              <wp:anchor distT="0" distB="0" distL="114300" distR="114300" simplePos="0" relativeHeight="251660288" behindDoc="0" locked="0" layoutInCell="1" allowOverlap="1" wp14:anchorId="6566D507" wp14:editId="350755EB">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DD5A99" w:rsidRPr="00AC36A1" w:rsidSect="00DD5A99">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6-16T13:55:00Z" w:initials="Start">
    <w:p w:rsidR="007006C9" w:rsidRDefault="007006C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NO&gt;&gt;N1515677E&lt;&lt;ODS JOB NO&gt;&gt;</w:t>
      </w:r>
    </w:p>
    <w:p w:rsidR="007006C9" w:rsidRDefault="007006C9">
      <w:pPr>
        <w:pStyle w:val="CommentText"/>
      </w:pPr>
      <w:r>
        <w:t>&lt;&lt;ODS DOC SYMBOL1&gt;&gt;CEDAW/C/LKA/8&lt;&lt;ODS DOC SYMBOL1&gt;&gt;</w:t>
      </w:r>
    </w:p>
    <w:p w:rsidR="007006C9" w:rsidRDefault="007006C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6C9" w:rsidRDefault="007006C9">
      <w:r>
        <w:separator/>
      </w:r>
    </w:p>
  </w:endnote>
  <w:endnote w:type="continuationSeparator" w:id="0">
    <w:p w:rsidR="007006C9" w:rsidRDefault="0070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006C9" w:rsidTr="00DD5A99">
      <w:tc>
        <w:tcPr>
          <w:tcW w:w="5028" w:type="dxa"/>
          <w:shd w:val="clear" w:color="auto" w:fill="auto"/>
        </w:tcPr>
        <w:p w:rsidR="007006C9" w:rsidRPr="00DD5A99" w:rsidRDefault="007006C9" w:rsidP="00DD5A9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15-08476</w:t>
          </w:r>
          <w:r>
            <w:rPr>
              <w:b w:val="0"/>
              <w:w w:val="103"/>
              <w:sz w:val="14"/>
            </w:rPr>
            <w:fldChar w:fldCharType="end"/>
          </w:r>
        </w:p>
      </w:tc>
      <w:tc>
        <w:tcPr>
          <w:tcW w:w="5028" w:type="dxa"/>
          <w:shd w:val="clear" w:color="auto" w:fill="auto"/>
        </w:tcPr>
        <w:p w:rsidR="007006C9" w:rsidRPr="00DD5A99" w:rsidRDefault="007006C9" w:rsidP="00DD5A99">
          <w:pPr>
            <w:pStyle w:val="Footer"/>
            <w:rPr>
              <w:w w:val="103"/>
            </w:rPr>
          </w:pPr>
          <w:r>
            <w:rPr>
              <w:w w:val="103"/>
            </w:rPr>
            <w:fldChar w:fldCharType="begin"/>
          </w:r>
          <w:r>
            <w:rPr>
              <w:w w:val="103"/>
            </w:rPr>
            <w:instrText xml:space="preserve"> PAGE  \* Arabic  \* MERGEFORMAT </w:instrText>
          </w:r>
          <w:r>
            <w:rPr>
              <w:w w:val="103"/>
            </w:rPr>
            <w:fldChar w:fldCharType="separate"/>
          </w:r>
          <w:r w:rsidR="00B80C68">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80C68">
            <w:rPr>
              <w:w w:val="103"/>
            </w:rPr>
            <w:t>2</w:t>
          </w:r>
          <w:r>
            <w:rPr>
              <w:w w:val="103"/>
            </w:rPr>
            <w:fldChar w:fldCharType="end"/>
          </w:r>
        </w:p>
      </w:tc>
    </w:tr>
  </w:tbl>
  <w:p w:rsidR="007006C9" w:rsidRPr="00DD5A99" w:rsidRDefault="007006C9" w:rsidP="00DD5A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006C9" w:rsidTr="00DD5A99">
      <w:tc>
        <w:tcPr>
          <w:tcW w:w="5028" w:type="dxa"/>
          <w:shd w:val="clear" w:color="auto" w:fill="auto"/>
        </w:tcPr>
        <w:p w:rsidR="007006C9" w:rsidRPr="00DD5A99" w:rsidRDefault="007006C9" w:rsidP="00DD5A9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B2A4F">
            <w:rPr>
              <w:w w:val="103"/>
            </w:rPr>
            <w:t>45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B2A4F">
            <w:rPr>
              <w:w w:val="103"/>
            </w:rPr>
            <w:t>45</w:t>
          </w:r>
          <w:r>
            <w:rPr>
              <w:w w:val="103"/>
            </w:rPr>
            <w:fldChar w:fldCharType="end"/>
          </w:r>
        </w:p>
      </w:tc>
      <w:tc>
        <w:tcPr>
          <w:tcW w:w="5028" w:type="dxa"/>
          <w:shd w:val="clear" w:color="auto" w:fill="auto"/>
        </w:tcPr>
        <w:p w:rsidR="007006C9" w:rsidRPr="00DD5A99" w:rsidRDefault="007006C9" w:rsidP="00DD5A9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15-08476</w:t>
          </w:r>
          <w:r>
            <w:rPr>
              <w:b w:val="0"/>
              <w:w w:val="103"/>
              <w:sz w:val="14"/>
            </w:rPr>
            <w:fldChar w:fldCharType="end"/>
          </w:r>
        </w:p>
      </w:tc>
    </w:tr>
  </w:tbl>
  <w:p w:rsidR="007006C9" w:rsidRPr="00DD5A99" w:rsidRDefault="007006C9" w:rsidP="00DD5A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7006C9" w:rsidTr="00DD5A99">
      <w:tc>
        <w:tcPr>
          <w:tcW w:w="3801" w:type="dxa"/>
        </w:tcPr>
        <w:p w:rsidR="007006C9" w:rsidRDefault="007006C9" w:rsidP="00DD5A99">
          <w:pPr>
            <w:pStyle w:val="ReleaseDate"/>
          </w:pPr>
          <w:r>
            <w:rPr>
              <w:noProof/>
              <w:lang w:val="en-US"/>
            </w:rPr>
            <w:drawing>
              <wp:anchor distT="0" distB="0" distL="114300" distR="114300" simplePos="0" relativeHeight="251658240" behindDoc="0" locked="0" layoutInCell="1" allowOverlap="1" wp14:anchorId="0FE86159" wp14:editId="60EB4E4D">
                <wp:simplePos x="0" y="0"/>
                <wp:positionH relativeFrom="column">
                  <wp:posOffset>5531150</wp:posOffset>
                </wp:positionH>
                <wp:positionV relativeFrom="paragraph">
                  <wp:posOffset>-369152</wp:posOffset>
                </wp:positionV>
                <wp:extent cx="694690" cy="694690"/>
                <wp:effectExtent l="0" t="0" r="0" b="0"/>
                <wp:wrapNone/>
                <wp:docPr id="3" name="Picture 3" descr="http://undocs.org/m2/QRCode2.ashx?DS=CEDAW/C/LKA/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LKA/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15-08476 (E)    170615    </w:t>
          </w:r>
        </w:p>
        <w:p w:rsidR="007006C9" w:rsidRPr="00DD5A99" w:rsidRDefault="007006C9" w:rsidP="00DD5A99">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*1508476*</w:t>
          </w:r>
        </w:p>
      </w:tc>
      <w:tc>
        <w:tcPr>
          <w:tcW w:w="5028" w:type="dxa"/>
        </w:tcPr>
        <w:p w:rsidR="007006C9" w:rsidRDefault="007006C9" w:rsidP="00DD5A99">
          <w:pPr>
            <w:pStyle w:val="Footer"/>
            <w:jc w:val="right"/>
            <w:rPr>
              <w:b w:val="0"/>
              <w:sz w:val="20"/>
            </w:rPr>
          </w:pPr>
          <w:r>
            <w:rPr>
              <w:b w:val="0"/>
              <w:sz w:val="20"/>
            </w:rPr>
            <w:drawing>
              <wp:inline distT="0" distB="0" distL="0" distR="0" wp14:anchorId="3E27B7F0" wp14:editId="14C85578">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7006C9" w:rsidRPr="00DD5A99" w:rsidRDefault="007006C9" w:rsidP="00DD5A99">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6C9" w:rsidRPr="006B3919" w:rsidRDefault="007006C9" w:rsidP="006B3919">
      <w:pPr>
        <w:pStyle w:val="Footer"/>
        <w:spacing w:after="80"/>
        <w:ind w:left="792"/>
        <w:rPr>
          <w:sz w:val="16"/>
        </w:rPr>
      </w:pPr>
      <w:r w:rsidRPr="006B3919">
        <w:rPr>
          <w:sz w:val="16"/>
        </w:rPr>
        <w:t>__________________</w:t>
      </w:r>
    </w:p>
  </w:footnote>
  <w:footnote w:type="continuationSeparator" w:id="0">
    <w:p w:rsidR="007006C9" w:rsidRPr="006B3919" w:rsidRDefault="007006C9" w:rsidP="006B3919">
      <w:pPr>
        <w:pStyle w:val="Footer"/>
        <w:spacing w:after="80"/>
        <w:ind w:left="792"/>
        <w:rPr>
          <w:sz w:val="16"/>
        </w:rPr>
      </w:pPr>
      <w:r w:rsidRPr="006B3919">
        <w:rPr>
          <w:sz w:val="16"/>
        </w:rPr>
        <w:t>__________________</w:t>
      </w:r>
    </w:p>
  </w:footnote>
  <w:footnote w:id="1">
    <w:p w:rsidR="007006C9" w:rsidRPr="008E7D5E" w:rsidRDefault="007006C9" w:rsidP="006B3919">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8E7D5E">
        <w:t xml:space="preserve">Millennium Development Country Report 2014 published by United Nations Sri Lanka </w:t>
      </w:r>
      <w:r>
        <w:t>—</w:t>
      </w:r>
      <w:r w:rsidRPr="008E7D5E">
        <w:t xml:space="preserve"> 2015. Page 102.</w:t>
      </w:r>
    </w:p>
  </w:footnote>
  <w:footnote w:id="2">
    <w:p w:rsidR="007006C9" w:rsidRPr="008E7D5E" w:rsidRDefault="007006C9" w:rsidP="006B3919">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Millennium Development Country Report 2014 published by United Nations Sri Lanka — 2015. Page 103.</w:t>
      </w:r>
    </w:p>
  </w:footnote>
  <w:footnote w:id="3">
    <w:p w:rsidR="007006C9" w:rsidRPr="008E7D5E" w:rsidRDefault="007006C9" w:rsidP="006B3919">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8E7D5E">
        <w:t>Family Health Bureau, Sri Lanka</w:t>
      </w:r>
      <w:r>
        <w:t>.</w:t>
      </w:r>
    </w:p>
  </w:footnote>
  <w:footnote w:id="4">
    <w:p w:rsidR="007006C9" w:rsidRPr="00A37594" w:rsidRDefault="007006C9" w:rsidP="006B3919">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A37594">
        <w:t>Weerawansa vs. The Attorney General and Others (2000) 1 Sri LR 387</w:t>
      </w:r>
      <w:r>
        <w:t>.</w:t>
      </w:r>
    </w:p>
  </w:footnote>
  <w:footnote w:id="5">
    <w:p w:rsidR="007006C9" w:rsidRPr="00A37594" w:rsidRDefault="007006C9" w:rsidP="006B3919">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S.C. Ref. No. 01/2008.</w:t>
      </w:r>
    </w:p>
  </w:footnote>
  <w:footnote w:id="6">
    <w:p w:rsidR="007006C9" w:rsidRPr="00FA76D5" w:rsidRDefault="007006C9" w:rsidP="006B3919">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FA76D5">
        <w:t>Attorney General’s Department, Sri Lanka</w:t>
      </w:r>
      <w:r>
        <w:t>.</w:t>
      </w:r>
    </w:p>
  </w:footnote>
  <w:footnote w:id="7">
    <w:p w:rsidR="007006C9" w:rsidRPr="00FA76D5" w:rsidRDefault="007006C9" w:rsidP="006B3919">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FA76D5">
        <w:t>Department of Police, Sri Lanka</w:t>
      </w:r>
      <w:r>
        <w:t>.</w:t>
      </w:r>
    </w:p>
  </w:footnote>
  <w:footnote w:id="8">
    <w:p w:rsidR="007006C9" w:rsidRPr="00B63AAB" w:rsidRDefault="007006C9" w:rsidP="006B3919">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B63AAB">
        <w:t>Criminal Records Division of the Department of Police, Sri Lanka</w:t>
      </w:r>
      <w:r>
        <w:t>.</w:t>
      </w:r>
    </w:p>
  </w:footnote>
  <w:footnote w:id="9">
    <w:p w:rsidR="007006C9" w:rsidRPr="00422429" w:rsidRDefault="007006C9" w:rsidP="006B3919">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422429">
        <w:t>Survey conducted by the International Centre for Ethnic Studies (2008)</w:t>
      </w:r>
      <w:r>
        <w:t>.</w:t>
      </w:r>
    </w:p>
  </w:footnote>
  <w:footnote w:id="10">
    <w:p w:rsidR="007006C9" w:rsidRPr="00422429" w:rsidRDefault="007006C9" w:rsidP="006B3919">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422429">
        <w:t xml:space="preserve">Millennium Development Country Report 2014 published by United Nations, Sri Lanka </w:t>
      </w:r>
      <w:r>
        <w:t>—</w:t>
      </w:r>
      <w:r w:rsidRPr="00422429">
        <w:t xml:space="preserve"> 2015. Page 81.</w:t>
      </w:r>
    </w:p>
  </w:footnote>
  <w:footnote w:id="11">
    <w:p w:rsidR="007006C9" w:rsidRPr="00422429" w:rsidRDefault="007006C9" w:rsidP="006B3919">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422429">
        <w:t>Department of Census and Statistics (2014) Sri Lanka. Labour Force and Status of Household Population under 15 years of Age and Over</w:t>
      </w:r>
      <w:r>
        <w:t>.</w:t>
      </w:r>
    </w:p>
  </w:footnote>
  <w:footnote w:id="12">
    <w:p w:rsidR="007006C9" w:rsidRPr="006B3919" w:rsidRDefault="007006C9" w:rsidP="006B3919">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6B3919">
        <w:t>Labour Force Participation Rate</w:t>
      </w:r>
      <w:r>
        <w:t>.</w:t>
      </w:r>
    </w:p>
  </w:footnote>
  <w:footnote w:id="13">
    <w:p w:rsidR="007006C9" w:rsidRPr="006B3919" w:rsidRDefault="007006C9" w:rsidP="006B391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B3919">
        <w:t>Central Bank of Sri Lanka (2011).Sri Lanka Socio-economic Data Vol. XXXXV.</w:t>
      </w:r>
    </w:p>
  </w:footnote>
  <w:footnote w:id="14">
    <w:p w:rsidR="007006C9" w:rsidRPr="006B3919" w:rsidRDefault="007006C9" w:rsidP="006B391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B3919">
        <w:t>Department of Census and Statistics (2014).Distribution of Employed Population by Employment Sector (2nd Quarter).Table 7.</w:t>
      </w:r>
    </w:p>
  </w:footnote>
  <w:footnote w:id="15">
    <w:p w:rsidR="007006C9" w:rsidRPr="006B3919" w:rsidRDefault="007006C9" w:rsidP="006B391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B3919">
        <w:t>Annual Report on Family Health 2013, Family Health Bureau, Sri Lanka</w:t>
      </w:r>
      <w:r>
        <w:t>.</w:t>
      </w:r>
    </w:p>
  </w:footnote>
  <w:footnote w:id="16">
    <w:p w:rsidR="007006C9" w:rsidRPr="006B3919" w:rsidRDefault="007006C9" w:rsidP="006B391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B3919">
        <w:t>Annual Report on Family Health 2013, Family Health Bureau, Sri Lanka</w:t>
      </w:r>
      <w:r>
        <w:t>.</w:t>
      </w:r>
    </w:p>
  </w:footnote>
  <w:footnote w:id="17">
    <w:p w:rsidR="007006C9" w:rsidRPr="006B3919" w:rsidRDefault="007006C9" w:rsidP="006B391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B3919">
        <w:t xml:space="preserve">Millennium Development Country Report 2014 published by United Nations Sri Lanka </w:t>
      </w:r>
      <w:r>
        <w:t>—</w:t>
      </w:r>
      <w:r w:rsidRPr="006B3919">
        <w:t xml:space="preserve"> 2015. Page 103.</w:t>
      </w:r>
    </w:p>
  </w:footnote>
  <w:footnote w:id="18">
    <w:p w:rsidR="007006C9" w:rsidRPr="006B3919" w:rsidRDefault="007006C9" w:rsidP="006B391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B3919">
        <w:t xml:space="preserve">Millennium Development Country Report 2014 published by United Nations Sri Lanka </w:t>
      </w:r>
      <w:r>
        <w:t>—</w:t>
      </w:r>
      <w:r w:rsidRPr="006B3919">
        <w:t xml:space="preserve"> 2015. Page 103.</w:t>
      </w:r>
    </w:p>
  </w:footnote>
  <w:footnote w:id="19">
    <w:p w:rsidR="007006C9" w:rsidRPr="007826E2" w:rsidRDefault="007006C9" w:rsidP="007826E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826E2">
        <w:t>Rural and urban areas in Sri Lanka are demarcated according to administrative boundaries with all areas other than areas with a Municipal or an Urban Council and estates being rural.</w:t>
      </w:r>
    </w:p>
  </w:footnote>
  <w:footnote w:id="20">
    <w:p w:rsidR="007006C9" w:rsidRPr="007826E2" w:rsidRDefault="007006C9" w:rsidP="007826E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826E2">
        <w:t>http://sis.statistics.gov.lk/statHtml/statHtml.do.</w:t>
      </w:r>
    </w:p>
  </w:footnote>
  <w:footnote w:id="21">
    <w:p w:rsidR="007006C9" w:rsidRPr="00CD3F04" w:rsidRDefault="007006C9" w:rsidP="00CD3F0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D3F04">
        <w:t>Ministry of Finance and Planning, Department of National Planning 2010.Sri Lanka: the emerging wonder of Asia, The development policy framework.</w:t>
      </w:r>
    </w:p>
  </w:footnote>
  <w:footnote w:id="22">
    <w:p w:rsidR="007006C9" w:rsidRPr="00604735" w:rsidRDefault="007006C9" w:rsidP="0060473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04735">
        <w:t>For example the backyard home gardening programme that reaches 2.5 mn households</w:t>
      </w:r>
      <w:r>
        <w:t>.</w:t>
      </w:r>
    </w:p>
  </w:footnote>
  <w:footnote w:id="23">
    <w:p w:rsidR="007006C9" w:rsidRPr="00604735" w:rsidRDefault="007006C9" w:rsidP="0060473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04735">
        <w:t>Taking into account schooling, access to safe water, sanitation, cooking fuel, housing and assets etc.</w:t>
      </w:r>
    </w:p>
  </w:footnote>
  <w:footnote w:id="24">
    <w:p w:rsidR="007006C9" w:rsidRPr="00604735" w:rsidRDefault="007006C9" w:rsidP="0060473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04735">
        <w:t>28.8 per cent in 1995/96 to 15.2 per cent in 2006/07 Rural and urban areas in Sri Lanka are demarcated according to administrative boundaries with all areas other than areas with a Municipal or an Urban Council and estates being rural.</w:t>
      </w:r>
      <w:r>
        <w:t xml:space="preserve"> See </w:t>
      </w:r>
      <w:r w:rsidRPr="00604735">
        <w:t>http://sis.statistics.gov.lk/statHtml/</w:t>
      </w:r>
      <w:r>
        <w:br/>
      </w:r>
      <w:r w:rsidRPr="00604735">
        <w:t>statHtml.do.</w:t>
      </w:r>
    </w:p>
  </w:footnote>
  <w:footnote w:id="25">
    <w:p w:rsidR="007006C9" w:rsidRPr="00604735" w:rsidRDefault="007006C9" w:rsidP="0060473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04735">
        <w:t xml:space="preserve">Millennium Development Country Report 2014 published by United Nations Sri Lanka </w:t>
      </w:r>
      <w:r>
        <w:t>—</w:t>
      </w:r>
      <w:r w:rsidRPr="00604735">
        <w:t xml:space="preserve"> 2015. Page 37</w:t>
      </w:r>
      <w:r>
        <w:t>.</w:t>
      </w:r>
    </w:p>
  </w:footnote>
  <w:footnote w:id="26">
    <w:p w:rsidR="007006C9" w:rsidRPr="00604735" w:rsidRDefault="007006C9" w:rsidP="0060473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04735">
        <w:t xml:space="preserve">Department of </w:t>
      </w:r>
      <w:r>
        <w:t>c</w:t>
      </w:r>
      <w:r w:rsidRPr="00604735">
        <w:t>ensus and Statistics, Poverty Head Count Ratio Brief 2014).</w:t>
      </w:r>
    </w:p>
  </w:footnote>
  <w:footnote w:id="27">
    <w:p w:rsidR="007006C9" w:rsidRPr="00BE0F6B" w:rsidRDefault="007006C9" w:rsidP="00BE0F6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A3244">
        <w:t>Labour Force is expressed as the economically active population aged 15 years &amp; over.</w:t>
      </w:r>
    </w:p>
  </w:footnote>
  <w:footnote w:id="28">
    <w:p w:rsidR="007006C9" w:rsidRPr="009A3244" w:rsidRDefault="007006C9" w:rsidP="009A324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A3244">
        <w:t>Department of Census and Statistics, Sri Lanka 2011</w:t>
      </w:r>
      <w:r>
        <w:t>.</w:t>
      </w:r>
    </w:p>
  </w:footnote>
  <w:footnote w:id="29">
    <w:p w:rsidR="007006C9" w:rsidRPr="007B1EFA" w:rsidRDefault="007006C9" w:rsidP="007B1EF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B1EFA">
        <w:t xml:space="preserve">All information from the </w:t>
      </w:r>
      <w:r w:rsidRPr="007B1EFA">
        <w:rPr>
          <w:i/>
        </w:rPr>
        <w:t>Annual Health Bulletin, 2012 — Ministry of Health</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7006C9" w:rsidTr="00DD5A99">
      <w:trPr>
        <w:trHeight w:hRule="exact" w:val="864"/>
      </w:trPr>
      <w:tc>
        <w:tcPr>
          <w:tcW w:w="4838" w:type="dxa"/>
          <w:shd w:val="clear" w:color="auto" w:fill="auto"/>
          <w:vAlign w:val="bottom"/>
        </w:tcPr>
        <w:p w:rsidR="007006C9" w:rsidRPr="00DD5A99" w:rsidRDefault="007006C9" w:rsidP="00DD5A99">
          <w:pPr>
            <w:pStyle w:val="Header"/>
            <w:spacing w:after="80"/>
            <w:rPr>
              <w:b/>
            </w:rPr>
          </w:pPr>
          <w:r>
            <w:rPr>
              <w:b/>
            </w:rPr>
            <w:fldChar w:fldCharType="begin"/>
          </w:r>
          <w:r>
            <w:rPr>
              <w:b/>
            </w:rPr>
            <w:instrText xml:space="preserve"> DOCVARIABLE "sss1" \* MERGEFORMAT </w:instrText>
          </w:r>
          <w:r>
            <w:rPr>
              <w:b/>
            </w:rPr>
            <w:fldChar w:fldCharType="separate"/>
          </w:r>
          <w:r>
            <w:rPr>
              <w:b/>
            </w:rPr>
            <w:t>CEDAW/C/LKA/8</w:t>
          </w:r>
          <w:r>
            <w:rPr>
              <w:b/>
            </w:rPr>
            <w:fldChar w:fldCharType="end"/>
          </w:r>
        </w:p>
      </w:tc>
      <w:tc>
        <w:tcPr>
          <w:tcW w:w="5028" w:type="dxa"/>
          <w:shd w:val="clear" w:color="auto" w:fill="auto"/>
          <w:vAlign w:val="bottom"/>
        </w:tcPr>
        <w:p w:rsidR="007006C9" w:rsidRDefault="007006C9" w:rsidP="00DD5A99">
          <w:pPr>
            <w:pStyle w:val="Header"/>
          </w:pPr>
        </w:p>
      </w:tc>
    </w:tr>
  </w:tbl>
  <w:p w:rsidR="007006C9" w:rsidRPr="00DD5A99" w:rsidRDefault="007006C9" w:rsidP="00DD5A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7006C9" w:rsidTr="00DD5A99">
      <w:trPr>
        <w:trHeight w:hRule="exact" w:val="864"/>
      </w:trPr>
      <w:tc>
        <w:tcPr>
          <w:tcW w:w="4838" w:type="dxa"/>
          <w:shd w:val="clear" w:color="auto" w:fill="auto"/>
          <w:vAlign w:val="bottom"/>
        </w:tcPr>
        <w:p w:rsidR="007006C9" w:rsidRDefault="007006C9" w:rsidP="00DD5A99">
          <w:pPr>
            <w:pStyle w:val="Header"/>
          </w:pPr>
        </w:p>
      </w:tc>
      <w:tc>
        <w:tcPr>
          <w:tcW w:w="5028" w:type="dxa"/>
          <w:shd w:val="clear" w:color="auto" w:fill="auto"/>
          <w:vAlign w:val="bottom"/>
        </w:tcPr>
        <w:p w:rsidR="007006C9" w:rsidRPr="00DD5A99" w:rsidRDefault="007006C9" w:rsidP="00DD5A99">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CEDAW/C/LKA/8</w:t>
          </w:r>
          <w:r>
            <w:rPr>
              <w:b/>
            </w:rPr>
            <w:fldChar w:fldCharType="end"/>
          </w:r>
        </w:p>
      </w:tc>
    </w:tr>
  </w:tbl>
  <w:p w:rsidR="007006C9" w:rsidRPr="00DD5A99" w:rsidRDefault="007006C9" w:rsidP="00DD5A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7006C9" w:rsidTr="00DD5A99">
      <w:trPr>
        <w:trHeight w:hRule="exact" w:val="864"/>
      </w:trPr>
      <w:tc>
        <w:tcPr>
          <w:tcW w:w="1267" w:type="dxa"/>
          <w:tcBorders>
            <w:bottom w:val="single" w:sz="4" w:space="0" w:color="auto"/>
          </w:tcBorders>
          <w:shd w:val="clear" w:color="auto" w:fill="auto"/>
          <w:vAlign w:val="bottom"/>
        </w:tcPr>
        <w:p w:rsidR="007006C9" w:rsidRDefault="007006C9" w:rsidP="00DD5A99">
          <w:pPr>
            <w:pStyle w:val="Header"/>
            <w:spacing w:after="120"/>
          </w:pPr>
        </w:p>
      </w:tc>
      <w:tc>
        <w:tcPr>
          <w:tcW w:w="1872" w:type="dxa"/>
          <w:tcBorders>
            <w:bottom w:val="single" w:sz="4" w:space="0" w:color="auto"/>
          </w:tcBorders>
          <w:shd w:val="clear" w:color="auto" w:fill="auto"/>
          <w:vAlign w:val="bottom"/>
        </w:tcPr>
        <w:p w:rsidR="007006C9" w:rsidRPr="00DD5A99" w:rsidRDefault="007006C9" w:rsidP="00DD5A9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7006C9" w:rsidRDefault="007006C9" w:rsidP="00DD5A99">
          <w:pPr>
            <w:pStyle w:val="Header"/>
            <w:spacing w:after="120"/>
          </w:pPr>
        </w:p>
      </w:tc>
      <w:tc>
        <w:tcPr>
          <w:tcW w:w="6523" w:type="dxa"/>
          <w:gridSpan w:val="4"/>
          <w:tcBorders>
            <w:bottom w:val="single" w:sz="4" w:space="0" w:color="auto"/>
          </w:tcBorders>
          <w:shd w:val="clear" w:color="auto" w:fill="auto"/>
          <w:vAlign w:val="bottom"/>
        </w:tcPr>
        <w:p w:rsidR="007006C9" w:rsidRPr="00DD5A99" w:rsidRDefault="007006C9" w:rsidP="00DD5A99">
          <w:pPr>
            <w:spacing w:after="80" w:line="240" w:lineRule="auto"/>
            <w:jc w:val="right"/>
            <w:rPr>
              <w:position w:val="-4"/>
            </w:rPr>
          </w:pPr>
          <w:r>
            <w:rPr>
              <w:position w:val="-4"/>
              <w:sz w:val="40"/>
            </w:rPr>
            <w:t>CEDAW</w:t>
          </w:r>
          <w:r>
            <w:rPr>
              <w:position w:val="-4"/>
            </w:rPr>
            <w:t>/C/LKA/8</w:t>
          </w:r>
        </w:p>
      </w:tc>
    </w:tr>
    <w:tr w:rsidR="007006C9" w:rsidRPr="00DD5A99" w:rsidTr="00DD5A99">
      <w:trPr>
        <w:gridAfter w:val="1"/>
        <w:wAfter w:w="28" w:type="dxa"/>
        <w:trHeight w:hRule="exact" w:val="2880"/>
      </w:trPr>
      <w:tc>
        <w:tcPr>
          <w:tcW w:w="1267" w:type="dxa"/>
          <w:tcBorders>
            <w:top w:val="single" w:sz="4" w:space="0" w:color="auto"/>
            <w:bottom w:val="single" w:sz="12" w:space="0" w:color="auto"/>
          </w:tcBorders>
          <w:shd w:val="clear" w:color="auto" w:fill="auto"/>
        </w:tcPr>
        <w:p w:rsidR="007006C9" w:rsidRPr="00DD5A99" w:rsidRDefault="007006C9" w:rsidP="00DD5A99">
          <w:pPr>
            <w:pStyle w:val="Header"/>
            <w:spacing w:before="109"/>
            <w:jc w:val="center"/>
          </w:pPr>
          <w:r>
            <w:t xml:space="preserve"> </w:t>
          </w:r>
          <w:r>
            <w:drawing>
              <wp:inline distT="0" distB="0" distL="0" distR="0" wp14:anchorId="6297F57E" wp14:editId="7AB1BE8F">
                <wp:extent cx="711200"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006C9" w:rsidRPr="00DD5A99" w:rsidRDefault="007006C9" w:rsidP="00DD5A99">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7006C9" w:rsidRPr="00DD5A99" w:rsidRDefault="007006C9" w:rsidP="00DD5A99">
          <w:pPr>
            <w:pStyle w:val="Header"/>
            <w:spacing w:before="109"/>
          </w:pPr>
        </w:p>
      </w:tc>
      <w:tc>
        <w:tcPr>
          <w:tcW w:w="3140" w:type="dxa"/>
          <w:tcBorders>
            <w:top w:val="single" w:sz="4" w:space="0" w:color="auto"/>
            <w:bottom w:val="single" w:sz="12" w:space="0" w:color="auto"/>
          </w:tcBorders>
          <w:shd w:val="clear" w:color="auto" w:fill="auto"/>
        </w:tcPr>
        <w:p w:rsidR="007006C9" w:rsidRDefault="007006C9" w:rsidP="00DD5A99">
          <w:pPr>
            <w:pStyle w:val="Distribution"/>
            <w:rPr>
              <w:color w:val="010000"/>
            </w:rPr>
          </w:pPr>
          <w:r>
            <w:rPr>
              <w:color w:val="010000"/>
            </w:rPr>
            <w:t>Distr.: General</w:t>
          </w:r>
        </w:p>
        <w:p w:rsidR="007006C9" w:rsidRDefault="007006C9" w:rsidP="00DD5A99">
          <w:pPr>
            <w:pStyle w:val="Publication"/>
            <w:rPr>
              <w:color w:val="010000"/>
            </w:rPr>
          </w:pPr>
          <w:r>
            <w:rPr>
              <w:color w:val="010000"/>
            </w:rPr>
            <w:t>29 May 2015</w:t>
          </w:r>
        </w:p>
        <w:p w:rsidR="007006C9" w:rsidRDefault="007006C9" w:rsidP="00DD5A99"/>
        <w:p w:rsidR="007006C9" w:rsidRDefault="007006C9" w:rsidP="00DD5A99">
          <w:pPr>
            <w:pStyle w:val="Original"/>
            <w:rPr>
              <w:color w:val="010000"/>
            </w:rPr>
          </w:pPr>
          <w:r>
            <w:rPr>
              <w:color w:val="010000"/>
            </w:rPr>
            <w:t>Original: English</w:t>
          </w:r>
        </w:p>
        <w:p w:rsidR="007006C9" w:rsidRPr="00DD5A99" w:rsidRDefault="007006C9" w:rsidP="00DD5A99"/>
      </w:tc>
    </w:tr>
  </w:tbl>
  <w:p w:rsidR="007006C9" w:rsidRPr="00DD5A99" w:rsidRDefault="007006C9" w:rsidP="00DD5A9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2942"/>
    <w:multiLevelType w:val="multilevel"/>
    <w:tmpl w:val="19C645B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7577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08476*"/>
    <w:docVar w:name="CreationDt" w:val="16/06/2015 1:55: PM"/>
    <w:docVar w:name="DocCategory" w:val="Doc"/>
    <w:docVar w:name="DocType" w:val="Final"/>
    <w:docVar w:name="DutyStation" w:val="New York"/>
    <w:docVar w:name="FooterJN" w:val="15-08476"/>
    <w:docVar w:name="jobn" w:val="15-08476 (E)"/>
    <w:docVar w:name="jobnDT" w:val="15-08476 (E)   160615"/>
    <w:docVar w:name="jobnDTDT" w:val="15-08476 (E)   160615   160615"/>
    <w:docVar w:name="JobNo" w:val="1508476E"/>
    <w:docVar w:name="JobNo2" w:val="1515677E"/>
    <w:docVar w:name="LocalDrive" w:val="0"/>
    <w:docVar w:name="OandT" w:val=" "/>
    <w:docVar w:name="PaperSize" w:val="Letter"/>
    <w:docVar w:name="sss1" w:val="CEDAW/C/LKA/8"/>
    <w:docVar w:name="sss2" w:val="-"/>
    <w:docVar w:name="Symbol1" w:val="CEDAW/C/LKA/8"/>
    <w:docVar w:name="Symbol2" w:val="-"/>
  </w:docVars>
  <w:rsids>
    <w:rsidRoot w:val="009063FC"/>
    <w:rsid w:val="0000301C"/>
    <w:rsid w:val="000044BD"/>
    <w:rsid w:val="00010CB2"/>
    <w:rsid w:val="00013C9F"/>
    <w:rsid w:val="0001793F"/>
    <w:rsid w:val="00021540"/>
    <w:rsid w:val="000243C1"/>
    <w:rsid w:val="00024B08"/>
    <w:rsid w:val="00025848"/>
    <w:rsid w:val="0003242E"/>
    <w:rsid w:val="00041CAB"/>
    <w:rsid w:val="00051981"/>
    <w:rsid w:val="00051D6F"/>
    <w:rsid w:val="00054828"/>
    <w:rsid w:val="00057FD3"/>
    <w:rsid w:val="00060FB4"/>
    <w:rsid w:val="00062E0F"/>
    <w:rsid w:val="00073B00"/>
    <w:rsid w:val="00077DB0"/>
    <w:rsid w:val="00081CC0"/>
    <w:rsid w:val="0009142F"/>
    <w:rsid w:val="000930EA"/>
    <w:rsid w:val="00094D02"/>
    <w:rsid w:val="00096611"/>
    <w:rsid w:val="000B2AB1"/>
    <w:rsid w:val="000B6F32"/>
    <w:rsid w:val="000C30BC"/>
    <w:rsid w:val="000C76E9"/>
    <w:rsid w:val="000E3E97"/>
    <w:rsid w:val="000E4DB4"/>
    <w:rsid w:val="000E578F"/>
    <w:rsid w:val="000E6736"/>
    <w:rsid w:val="000E7174"/>
    <w:rsid w:val="000E7A9B"/>
    <w:rsid w:val="000F0681"/>
    <w:rsid w:val="000F6E1A"/>
    <w:rsid w:val="00104C2F"/>
    <w:rsid w:val="00105C9B"/>
    <w:rsid w:val="00107D5F"/>
    <w:rsid w:val="0011241F"/>
    <w:rsid w:val="00113764"/>
    <w:rsid w:val="00114F9E"/>
    <w:rsid w:val="0011565A"/>
    <w:rsid w:val="0012032E"/>
    <w:rsid w:val="001208CF"/>
    <w:rsid w:val="0012652C"/>
    <w:rsid w:val="00132F77"/>
    <w:rsid w:val="00135DA1"/>
    <w:rsid w:val="00146E4B"/>
    <w:rsid w:val="001505B6"/>
    <w:rsid w:val="00154A7D"/>
    <w:rsid w:val="00163673"/>
    <w:rsid w:val="00164BCE"/>
    <w:rsid w:val="001652E9"/>
    <w:rsid w:val="001653FB"/>
    <w:rsid w:val="0017380E"/>
    <w:rsid w:val="001745C0"/>
    <w:rsid w:val="001809B5"/>
    <w:rsid w:val="00182B15"/>
    <w:rsid w:val="00184193"/>
    <w:rsid w:val="001917A6"/>
    <w:rsid w:val="0019245C"/>
    <w:rsid w:val="00192845"/>
    <w:rsid w:val="0019359F"/>
    <w:rsid w:val="001936F0"/>
    <w:rsid w:val="00196A9E"/>
    <w:rsid w:val="00197346"/>
    <w:rsid w:val="001A077F"/>
    <w:rsid w:val="001A3542"/>
    <w:rsid w:val="001A5D2D"/>
    <w:rsid w:val="001B071E"/>
    <w:rsid w:val="001B0B41"/>
    <w:rsid w:val="001B1926"/>
    <w:rsid w:val="001B1FD5"/>
    <w:rsid w:val="001B2AEA"/>
    <w:rsid w:val="001B3651"/>
    <w:rsid w:val="001B65C5"/>
    <w:rsid w:val="001B6CFE"/>
    <w:rsid w:val="001C0012"/>
    <w:rsid w:val="001C266D"/>
    <w:rsid w:val="001C26F7"/>
    <w:rsid w:val="001C2E7D"/>
    <w:rsid w:val="001C39CD"/>
    <w:rsid w:val="001D4790"/>
    <w:rsid w:val="001D7216"/>
    <w:rsid w:val="001E077C"/>
    <w:rsid w:val="001E0B55"/>
    <w:rsid w:val="001E4D56"/>
    <w:rsid w:val="001E5AE9"/>
    <w:rsid w:val="001E5F0D"/>
    <w:rsid w:val="001E6CDB"/>
    <w:rsid w:val="001F2BDA"/>
    <w:rsid w:val="001F5FE7"/>
    <w:rsid w:val="001F670D"/>
    <w:rsid w:val="001F6818"/>
    <w:rsid w:val="001F6E66"/>
    <w:rsid w:val="001F7C50"/>
    <w:rsid w:val="001F7CCF"/>
    <w:rsid w:val="00211F3F"/>
    <w:rsid w:val="00213104"/>
    <w:rsid w:val="002141E3"/>
    <w:rsid w:val="00223E81"/>
    <w:rsid w:val="00225B63"/>
    <w:rsid w:val="0023145C"/>
    <w:rsid w:val="00232F19"/>
    <w:rsid w:val="002346A6"/>
    <w:rsid w:val="00234C5B"/>
    <w:rsid w:val="00236DA6"/>
    <w:rsid w:val="00243655"/>
    <w:rsid w:val="002453F5"/>
    <w:rsid w:val="002508E9"/>
    <w:rsid w:val="00251A44"/>
    <w:rsid w:val="00254277"/>
    <w:rsid w:val="0025759D"/>
    <w:rsid w:val="00264279"/>
    <w:rsid w:val="002713B7"/>
    <w:rsid w:val="0027290F"/>
    <w:rsid w:val="00274B66"/>
    <w:rsid w:val="00275106"/>
    <w:rsid w:val="00275598"/>
    <w:rsid w:val="00276B79"/>
    <w:rsid w:val="00281885"/>
    <w:rsid w:val="00284AF2"/>
    <w:rsid w:val="002877DA"/>
    <w:rsid w:val="00296E6C"/>
    <w:rsid w:val="002A2A24"/>
    <w:rsid w:val="002A5739"/>
    <w:rsid w:val="002A5DBE"/>
    <w:rsid w:val="002B4B8E"/>
    <w:rsid w:val="002B649C"/>
    <w:rsid w:val="002B77DF"/>
    <w:rsid w:val="002C0552"/>
    <w:rsid w:val="002C12A1"/>
    <w:rsid w:val="002D25CC"/>
    <w:rsid w:val="002D4228"/>
    <w:rsid w:val="002D4776"/>
    <w:rsid w:val="002E1C17"/>
    <w:rsid w:val="002F0531"/>
    <w:rsid w:val="002F18FF"/>
    <w:rsid w:val="00303242"/>
    <w:rsid w:val="00312D4B"/>
    <w:rsid w:val="00314F83"/>
    <w:rsid w:val="00315D0B"/>
    <w:rsid w:val="00316C23"/>
    <w:rsid w:val="00321A47"/>
    <w:rsid w:val="003245CB"/>
    <w:rsid w:val="003268E2"/>
    <w:rsid w:val="00326A29"/>
    <w:rsid w:val="0032749A"/>
    <w:rsid w:val="00327EBA"/>
    <w:rsid w:val="00332088"/>
    <w:rsid w:val="003345CC"/>
    <w:rsid w:val="00341AF8"/>
    <w:rsid w:val="003466DC"/>
    <w:rsid w:val="00347DD3"/>
    <w:rsid w:val="00350876"/>
    <w:rsid w:val="00357AA1"/>
    <w:rsid w:val="00365017"/>
    <w:rsid w:val="003769DF"/>
    <w:rsid w:val="0037786A"/>
    <w:rsid w:val="00387FE0"/>
    <w:rsid w:val="003928D1"/>
    <w:rsid w:val="003A5087"/>
    <w:rsid w:val="003B0DE7"/>
    <w:rsid w:val="003B102B"/>
    <w:rsid w:val="003B2A4F"/>
    <w:rsid w:val="003C05E2"/>
    <w:rsid w:val="003C3A7D"/>
    <w:rsid w:val="003C43F7"/>
    <w:rsid w:val="003D01C0"/>
    <w:rsid w:val="003D6A8B"/>
    <w:rsid w:val="003D7F08"/>
    <w:rsid w:val="003E0D98"/>
    <w:rsid w:val="003E3F89"/>
    <w:rsid w:val="003E78BF"/>
    <w:rsid w:val="003F1E2B"/>
    <w:rsid w:val="003F49AB"/>
    <w:rsid w:val="003F4EDB"/>
    <w:rsid w:val="00401E19"/>
    <w:rsid w:val="00407301"/>
    <w:rsid w:val="00410A02"/>
    <w:rsid w:val="00412ACF"/>
    <w:rsid w:val="00414F44"/>
    <w:rsid w:val="0041500E"/>
    <w:rsid w:val="00422429"/>
    <w:rsid w:val="00434183"/>
    <w:rsid w:val="00434B40"/>
    <w:rsid w:val="00436FEA"/>
    <w:rsid w:val="00441580"/>
    <w:rsid w:val="00441EF4"/>
    <w:rsid w:val="004423AB"/>
    <w:rsid w:val="00443A4A"/>
    <w:rsid w:val="00444725"/>
    <w:rsid w:val="004472AD"/>
    <w:rsid w:val="0045397A"/>
    <w:rsid w:val="00453E64"/>
    <w:rsid w:val="00455CD0"/>
    <w:rsid w:val="00457ADA"/>
    <w:rsid w:val="0046711A"/>
    <w:rsid w:val="004677E2"/>
    <w:rsid w:val="00470EE0"/>
    <w:rsid w:val="004726F5"/>
    <w:rsid w:val="0047572C"/>
    <w:rsid w:val="004774B3"/>
    <w:rsid w:val="00477F9F"/>
    <w:rsid w:val="004831A5"/>
    <w:rsid w:val="00487D0A"/>
    <w:rsid w:val="004907C3"/>
    <w:rsid w:val="00492648"/>
    <w:rsid w:val="00494C70"/>
    <w:rsid w:val="00496B26"/>
    <w:rsid w:val="00497BF5"/>
    <w:rsid w:val="004A06AE"/>
    <w:rsid w:val="004A36EA"/>
    <w:rsid w:val="004A5068"/>
    <w:rsid w:val="004A635B"/>
    <w:rsid w:val="004A6F00"/>
    <w:rsid w:val="004B6AB6"/>
    <w:rsid w:val="004B732D"/>
    <w:rsid w:val="004C0A4B"/>
    <w:rsid w:val="004C599F"/>
    <w:rsid w:val="004C7A38"/>
    <w:rsid w:val="004C7E05"/>
    <w:rsid w:val="004D0839"/>
    <w:rsid w:val="004D0C85"/>
    <w:rsid w:val="004D2970"/>
    <w:rsid w:val="004D3027"/>
    <w:rsid w:val="004D580C"/>
    <w:rsid w:val="004D5846"/>
    <w:rsid w:val="004D7A08"/>
    <w:rsid w:val="004E669B"/>
    <w:rsid w:val="004F09C3"/>
    <w:rsid w:val="004F269C"/>
    <w:rsid w:val="004F2B25"/>
    <w:rsid w:val="004F4085"/>
    <w:rsid w:val="004F4AA8"/>
    <w:rsid w:val="004F71A8"/>
    <w:rsid w:val="00502499"/>
    <w:rsid w:val="00511E5A"/>
    <w:rsid w:val="00514854"/>
    <w:rsid w:val="005200EA"/>
    <w:rsid w:val="005266C8"/>
    <w:rsid w:val="005300F6"/>
    <w:rsid w:val="00530E89"/>
    <w:rsid w:val="00534D74"/>
    <w:rsid w:val="00537D2B"/>
    <w:rsid w:val="00541089"/>
    <w:rsid w:val="00542A9C"/>
    <w:rsid w:val="00543905"/>
    <w:rsid w:val="00546F5D"/>
    <w:rsid w:val="005473D3"/>
    <w:rsid w:val="005513EE"/>
    <w:rsid w:val="0055474C"/>
    <w:rsid w:val="00554CEC"/>
    <w:rsid w:val="0055753C"/>
    <w:rsid w:val="00560BCE"/>
    <w:rsid w:val="005619C0"/>
    <w:rsid w:val="00566B69"/>
    <w:rsid w:val="00567F84"/>
    <w:rsid w:val="005709F0"/>
    <w:rsid w:val="005729BA"/>
    <w:rsid w:val="0057512C"/>
    <w:rsid w:val="0057577B"/>
    <w:rsid w:val="005827E6"/>
    <w:rsid w:val="00583963"/>
    <w:rsid w:val="00586902"/>
    <w:rsid w:val="00586986"/>
    <w:rsid w:val="00591C19"/>
    <w:rsid w:val="00594A53"/>
    <w:rsid w:val="00595BC5"/>
    <w:rsid w:val="005A3D90"/>
    <w:rsid w:val="005B426E"/>
    <w:rsid w:val="005B500B"/>
    <w:rsid w:val="005B6B7F"/>
    <w:rsid w:val="005C2441"/>
    <w:rsid w:val="005C394D"/>
    <w:rsid w:val="005C639D"/>
    <w:rsid w:val="005C76B7"/>
    <w:rsid w:val="005D0BE5"/>
    <w:rsid w:val="005D3325"/>
    <w:rsid w:val="005D3D41"/>
    <w:rsid w:val="005E0744"/>
    <w:rsid w:val="005E360C"/>
    <w:rsid w:val="005F03CA"/>
    <w:rsid w:val="005F5764"/>
    <w:rsid w:val="005F6860"/>
    <w:rsid w:val="00600132"/>
    <w:rsid w:val="00601E37"/>
    <w:rsid w:val="0060256A"/>
    <w:rsid w:val="006035F9"/>
    <w:rsid w:val="0060441D"/>
    <w:rsid w:val="00604735"/>
    <w:rsid w:val="00605495"/>
    <w:rsid w:val="00605A8B"/>
    <w:rsid w:val="00610819"/>
    <w:rsid w:val="00610AC8"/>
    <w:rsid w:val="0061160A"/>
    <w:rsid w:val="006208E6"/>
    <w:rsid w:val="0062207B"/>
    <w:rsid w:val="006242A5"/>
    <w:rsid w:val="0062527E"/>
    <w:rsid w:val="00634617"/>
    <w:rsid w:val="00634FA8"/>
    <w:rsid w:val="00637808"/>
    <w:rsid w:val="00645A2F"/>
    <w:rsid w:val="006520C7"/>
    <w:rsid w:val="00653B25"/>
    <w:rsid w:val="00656459"/>
    <w:rsid w:val="0066134F"/>
    <w:rsid w:val="0066368E"/>
    <w:rsid w:val="00665391"/>
    <w:rsid w:val="0067014A"/>
    <w:rsid w:val="00673A86"/>
    <w:rsid w:val="00673D70"/>
    <w:rsid w:val="006759ED"/>
    <w:rsid w:val="00677C8D"/>
    <w:rsid w:val="006845F9"/>
    <w:rsid w:val="006904DC"/>
    <w:rsid w:val="00694DAB"/>
    <w:rsid w:val="00696C4F"/>
    <w:rsid w:val="00696DA0"/>
    <w:rsid w:val="0069758C"/>
    <w:rsid w:val="006A012D"/>
    <w:rsid w:val="006A33A3"/>
    <w:rsid w:val="006A45EA"/>
    <w:rsid w:val="006A630B"/>
    <w:rsid w:val="006A7C03"/>
    <w:rsid w:val="006B3919"/>
    <w:rsid w:val="006B4FAA"/>
    <w:rsid w:val="006B513C"/>
    <w:rsid w:val="006B5BEF"/>
    <w:rsid w:val="006B6CD0"/>
    <w:rsid w:val="006B6EDE"/>
    <w:rsid w:val="006C3723"/>
    <w:rsid w:val="006D42DA"/>
    <w:rsid w:val="006D74B5"/>
    <w:rsid w:val="006D766E"/>
    <w:rsid w:val="006E0E18"/>
    <w:rsid w:val="006E5457"/>
    <w:rsid w:val="006F40EA"/>
    <w:rsid w:val="006F6266"/>
    <w:rsid w:val="007006C9"/>
    <w:rsid w:val="00702C5A"/>
    <w:rsid w:val="00704652"/>
    <w:rsid w:val="007222CF"/>
    <w:rsid w:val="00724074"/>
    <w:rsid w:val="00730B23"/>
    <w:rsid w:val="0073789A"/>
    <w:rsid w:val="007417DD"/>
    <w:rsid w:val="007461EA"/>
    <w:rsid w:val="007608D8"/>
    <w:rsid w:val="00762AAE"/>
    <w:rsid w:val="0076467B"/>
    <w:rsid w:val="0076482E"/>
    <w:rsid w:val="007669B0"/>
    <w:rsid w:val="0078007F"/>
    <w:rsid w:val="00780BE7"/>
    <w:rsid w:val="007826E2"/>
    <w:rsid w:val="0078480B"/>
    <w:rsid w:val="00787D22"/>
    <w:rsid w:val="0079386A"/>
    <w:rsid w:val="00795305"/>
    <w:rsid w:val="00796A8E"/>
    <w:rsid w:val="007A4518"/>
    <w:rsid w:val="007A4F17"/>
    <w:rsid w:val="007A5254"/>
    <w:rsid w:val="007A6F6C"/>
    <w:rsid w:val="007B1EFA"/>
    <w:rsid w:val="007B3AC6"/>
    <w:rsid w:val="007B6885"/>
    <w:rsid w:val="007C5499"/>
    <w:rsid w:val="007C78B7"/>
    <w:rsid w:val="007D5227"/>
    <w:rsid w:val="007D586B"/>
    <w:rsid w:val="007D5E0A"/>
    <w:rsid w:val="007D7C7B"/>
    <w:rsid w:val="007E3D89"/>
    <w:rsid w:val="007E46AE"/>
    <w:rsid w:val="007E4893"/>
    <w:rsid w:val="007E5210"/>
    <w:rsid w:val="007E7AFA"/>
    <w:rsid w:val="007F23CE"/>
    <w:rsid w:val="007F3C8D"/>
    <w:rsid w:val="007F4A1D"/>
    <w:rsid w:val="007F621D"/>
    <w:rsid w:val="007F6537"/>
    <w:rsid w:val="00810F2C"/>
    <w:rsid w:val="00826ECD"/>
    <w:rsid w:val="008345D3"/>
    <w:rsid w:val="00835605"/>
    <w:rsid w:val="00836679"/>
    <w:rsid w:val="00837F18"/>
    <w:rsid w:val="008435CF"/>
    <w:rsid w:val="008446CE"/>
    <w:rsid w:val="00844846"/>
    <w:rsid w:val="0084786F"/>
    <w:rsid w:val="00852178"/>
    <w:rsid w:val="0085451D"/>
    <w:rsid w:val="00854EC8"/>
    <w:rsid w:val="008603B4"/>
    <w:rsid w:val="008640BE"/>
    <w:rsid w:val="008642D7"/>
    <w:rsid w:val="0086531E"/>
    <w:rsid w:val="00865C17"/>
    <w:rsid w:val="00867748"/>
    <w:rsid w:val="00874731"/>
    <w:rsid w:val="00875D2D"/>
    <w:rsid w:val="0088069E"/>
    <w:rsid w:val="00880CB5"/>
    <w:rsid w:val="00882652"/>
    <w:rsid w:val="00882A7B"/>
    <w:rsid w:val="00885F41"/>
    <w:rsid w:val="008915FF"/>
    <w:rsid w:val="00896C72"/>
    <w:rsid w:val="008971FD"/>
    <w:rsid w:val="008A7260"/>
    <w:rsid w:val="008A7B66"/>
    <w:rsid w:val="008B026E"/>
    <w:rsid w:val="008B22EF"/>
    <w:rsid w:val="008B38BA"/>
    <w:rsid w:val="008C0422"/>
    <w:rsid w:val="008C04D4"/>
    <w:rsid w:val="008C3E90"/>
    <w:rsid w:val="008C4CE3"/>
    <w:rsid w:val="008C51E7"/>
    <w:rsid w:val="008C7168"/>
    <w:rsid w:val="008D006F"/>
    <w:rsid w:val="008D2798"/>
    <w:rsid w:val="008D7EB4"/>
    <w:rsid w:val="008E2435"/>
    <w:rsid w:val="008E2700"/>
    <w:rsid w:val="008E4C20"/>
    <w:rsid w:val="008E7D5E"/>
    <w:rsid w:val="008F3AD2"/>
    <w:rsid w:val="008F78FD"/>
    <w:rsid w:val="00902F4F"/>
    <w:rsid w:val="009063FC"/>
    <w:rsid w:val="009117E9"/>
    <w:rsid w:val="00916EBB"/>
    <w:rsid w:val="00920276"/>
    <w:rsid w:val="0092264E"/>
    <w:rsid w:val="00923331"/>
    <w:rsid w:val="00924CEA"/>
    <w:rsid w:val="00926CD2"/>
    <w:rsid w:val="00933F9A"/>
    <w:rsid w:val="00935F51"/>
    <w:rsid w:val="00936E96"/>
    <w:rsid w:val="00941EDA"/>
    <w:rsid w:val="00945C9B"/>
    <w:rsid w:val="00955C4C"/>
    <w:rsid w:val="009567F0"/>
    <w:rsid w:val="00956D53"/>
    <w:rsid w:val="00956E52"/>
    <w:rsid w:val="00956E53"/>
    <w:rsid w:val="00961D71"/>
    <w:rsid w:val="00961E03"/>
    <w:rsid w:val="00963A67"/>
    <w:rsid w:val="009642DF"/>
    <w:rsid w:val="00966C76"/>
    <w:rsid w:val="009824C8"/>
    <w:rsid w:val="00987852"/>
    <w:rsid w:val="00993D85"/>
    <w:rsid w:val="009946BE"/>
    <w:rsid w:val="009A08DF"/>
    <w:rsid w:val="009A3244"/>
    <w:rsid w:val="009A64C4"/>
    <w:rsid w:val="009A7A6D"/>
    <w:rsid w:val="009C20D0"/>
    <w:rsid w:val="009C219D"/>
    <w:rsid w:val="009C4614"/>
    <w:rsid w:val="009D161F"/>
    <w:rsid w:val="009D23EF"/>
    <w:rsid w:val="009D7F7A"/>
    <w:rsid w:val="009E1D8F"/>
    <w:rsid w:val="009E1EC0"/>
    <w:rsid w:val="009E6C4F"/>
    <w:rsid w:val="009E70E6"/>
    <w:rsid w:val="009F0EFA"/>
    <w:rsid w:val="009F11CF"/>
    <w:rsid w:val="009F1279"/>
    <w:rsid w:val="009F68B5"/>
    <w:rsid w:val="00A0449E"/>
    <w:rsid w:val="00A05B1C"/>
    <w:rsid w:val="00A07847"/>
    <w:rsid w:val="00A12857"/>
    <w:rsid w:val="00A24811"/>
    <w:rsid w:val="00A251C7"/>
    <w:rsid w:val="00A26996"/>
    <w:rsid w:val="00A274FC"/>
    <w:rsid w:val="00A33C7F"/>
    <w:rsid w:val="00A35945"/>
    <w:rsid w:val="00A37594"/>
    <w:rsid w:val="00A42868"/>
    <w:rsid w:val="00A44A1E"/>
    <w:rsid w:val="00A4565A"/>
    <w:rsid w:val="00A50ED5"/>
    <w:rsid w:val="00A52CCD"/>
    <w:rsid w:val="00A554A0"/>
    <w:rsid w:val="00A56356"/>
    <w:rsid w:val="00A5745C"/>
    <w:rsid w:val="00A653A2"/>
    <w:rsid w:val="00A675FD"/>
    <w:rsid w:val="00A74979"/>
    <w:rsid w:val="00A7696A"/>
    <w:rsid w:val="00A769C4"/>
    <w:rsid w:val="00A77FFB"/>
    <w:rsid w:val="00A81690"/>
    <w:rsid w:val="00A83C88"/>
    <w:rsid w:val="00A90C30"/>
    <w:rsid w:val="00AA22CA"/>
    <w:rsid w:val="00AA4BEA"/>
    <w:rsid w:val="00AA5215"/>
    <w:rsid w:val="00AB0969"/>
    <w:rsid w:val="00AB2280"/>
    <w:rsid w:val="00AB5032"/>
    <w:rsid w:val="00AB546D"/>
    <w:rsid w:val="00AC1F01"/>
    <w:rsid w:val="00AC36A1"/>
    <w:rsid w:val="00AC3BFA"/>
    <w:rsid w:val="00AC508D"/>
    <w:rsid w:val="00AD4C00"/>
    <w:rsid w:val="00AD7301"/>
    <w:rsid w:val="00AE00C7"/>
    <w:rsid w:val="00AE1D5D"/>
    <w:rsid w:val="00AE6470"/>
    <w:rsid w:val="00AE6AFF"/>
    <w:rsid w:val="00AF2C23"/>
    <w:rsid w:val="00AF6C82"/>
    <w:rsid w:val="00AF7784"/>
    <w:rsid w:val="00B01E48"/>
    <w:rsid w:val="00B10B5D"/>
    <w:rsid w:val="00B12549"/>
    <w:rsid w:val="00B13D70"/>
    <w:rsid w:val="00B150ED"/>
    <w:rsid w:val="00B16B46"/>
    <w:rsid w:val="00B170A3"/>
    <w:rsid w:val="00B228EB"/>
    <w:rsid w:val="00B24A17"/>
    <w:rsid w:val="00B263AF"/>
    <w:rsid w:val="00B27C06"/>
    <w:rsid w:val="00B377FF"/>
    <w:rsid w:val="00B37801"/>
    <w:rsid w:val="00B434BE"/>
    <w:rsid w:val="00B44C9A"/>
    <w:rsid w:val="00B518D4"/>
    <w:rsid w:val="00B51E41"/>
    <w:rsid w:val="00B52F52"/>
    <w:rsid w:val="00B53945"/>
    <w:rsid w:val="00B62DB0"/>
    <w:rsid w:val="00B63AAB"/>
    <w:rsid w:val="00B63FF7"/>
    <w:rsid w:val="00B6608A"/>
    <w:rsid w:val="00B67B92"/>
    <w:rsid w:val="00B704AF"/>
    <w:rsid w:val="00B72250"/>
    <w:rsid w:val="00B76E81"/>
    <w:rsid w:val="00B8044B"/>
    <w:rsid w:val="00B80C68"/>
    <w:rsid w:val="00B81452"/>
    <w:rsid w:val="00B8270B"/>
    <w:rsid w:val="00B82AC7"/>
    <w:rsid w:val="00B8709A"/>
    <w:rsid w:val="00B93E9A"/>
    <w:rsid w:val="00BA0F90"/>
    <w:rsid w:val="00BB1AD4"/>
    <w:rsid w:val="00BB3145"/>
    <w:rsid w:val="00BC44EE"/>
    <w:rsid w:val="00BD0908"/>
    <w:rsid w:val="00BD0DCE"/>
    <w:rsid w:val="00BD2782"/>
    <w:rsid w:val="00BD54BF"/>
    <w:rsid w:val="00BE0DC8"/>
    <w:rsid w:val="00BE0F6B"/>
    <w:rsid w:val="00BE79D1"/>
    <w:rsid w:val="00BF2421"/>
    <w:rsid w:val="00BF4169"/>
    <w:rsid w:val="00BF472E"/>
    <w:rsid w:val="00BF7DFA"/>
    <w:rsid w:val="00C03CD1"/>
    <w:rsid w:val="00C11584"/>
    <w:rsid w:val="00C12789"/>
    <w:rsid w:val="00C15933"/>
    <w:rsid w:val="00C167E7"/>
    <w:rsid w:val="00C20B4C"/>
    <w:rsid w:val="00C2494E"/>
    <w:rsid w:val="00C24D28"/>
    <w:rsid w:val="00C27D47"/>
    <w:rsid w:val="00C307BD"/>
    <w:rsid w:val="00C35789"/>
    <w:rsid w:val="00C42166"/>
    <w:rsid w:val="00C421CA"/>
    <w:rsid w:val="00C433B8"/>
    <w:rsid w:val="00C4446E"/>
    <w:rsid w:val="00C51E36"/>
    <w:rsid w:val="00C61226"/>
    <w:rsid w:val="00C643AB"/>
    <w:rsid w:val="00C65EDC"/>
    <w:rsid w:val="00C717CE"/>
    <w:rsid w:val="00C72EF9"/>
    <w:rsid w:val="00C819A4"/>
    <w:rsid w:val="00C870AF"/>
    <w:rsid w:val="00C903D3"/>
    <w:rsid w:val="00C91CCF"/>
    <w:rsid w:val="00C926AF"/>
    <w:rsid w:val="00CA07E4"/>
    <w:rsid w:val="00CA605D"/>
    <w:rsid w:val="00CA72F7"/>
    <w:rsid w:val="00CB0E45"/>
    <w:rsid w:val="00CB797D"/>
    <w:rsid w:val="00CC1C6D"/>
    <w:rsid w:val="00CC4AF3"/>
    <w:rsid w:val="00CC5B87"/>
    <w:rsid w:val="00CD362B"/>
    <w:rsid w:val="00CD39B2"/>
    <w:rsid w:val="00CD3B11"/>
    <w:rsid w:val="00CD3F04"/>
    <w:rsid w:val="00CD5CFD"/>
    <w:rsid w:val="00CD5D29"/>
    <w:rsid w:val="00CD7F8F"/>
    <w:rsid w:val="00CE1B29"/>
    <w:rsid w:val="00CF08B0"/>
    <w:rsid w:val="00CF1DFA"/>
    <w:rsid w:val="00CF2576"/>
    <w:rsid w:val="00CF734C"/>
    <w:rsid w:val="00D048A7"/>
    <w:rsid w:val="00D05C08"/>
    <w:rsid w:val="00D151CD"/>
    <w:rsid w:val="00D20003"/>
    <w:rsid w:val="00D244DC"/>
    <w:rsid w:val="00D269E0"/>
    <w:rsid w:val="00D379B4"/>
    <w:rsid w:val="00D40316"/>
    <w:rsid w:val="00D413BF"/>
    <w:rsid w:val="00D426B1"/>
    <w:rsid w:val="00D43BD4"/>
    <w:rsid w:val="00D44AD6"/>
    <w:rsid w:val="00D513B3"/>
    <w:rsid w:val="00D54B65"/>
    <w:rsid w:val="00D703FE"/>
    <w:rsid w:val="00D750EB"/>
    <w:rsid w:val="00D77BBA"/>
    <w:rsid w:val="00D84F53"/>
    <w:rsid w:val="00D86EAE"/>
    <w:rsid w:val="00D94AF5"/>
    <w:rsid w:val="00DA0250"/>
    <w:rsid w:val="00DA2FC4"/>
    <w:rsid w:val="00DA58BE"/>
    <w:rsid w:val="00DA7E22"/>
    <w:rsid w:val="00DB0521"/>
    <w:rsid w:val="00DB32C6"/>
    <w:rsid w:val="00DB537B"/>
    <w:rsid w:val="00DC15F1"/>
    <w:rsid w:val="00DC220C"/>
    <w:rsid w:val="00DD0B1F"/>
    <w:rsid w:val="00DD53BD"/>
    <w:rsid w:val="00DD5A99"/>
    <w:rsid w:val="00DE0C29"/>
    <w:rsid w:val="00E02BE4"/>
    <w:rsid w:val="00E049B4"/>
    <w:rsid w:val="00E0514B"/>
    <w:rsid w:val="00E05A3F"/>
    <w:rsid w:val="00E05FB1"/>
    <w:rsid w:val="00E06DAD"/>
    <w:rsid w:val="00E103B0"/>
    <w:rsid w:val="00E1107B"/>
    <w:rsid w:val="00E2569F"/>
    <w:rsid w:val="00E34A2A"/>
    <w:rsid w:val="00E35AF0"/>
    <w:rsid w:val="00E362B3"/>
    <w:rsid w:val="00E37EE7"/>
    <w:rsid w:val="00E43688"/>
    <w:rsid w:val="00E456C6"/>
    <w:rsid w:val="00E47B5C"/>
    <w:rsid w:val="00E5289B"/>
    <w:rsid w:val="00E535FA"/>
    <w:rsid w:val="00E5377F"/>
    <w:rsid w:val="00E56BA7"/>
    <w:rsid w:val="00E5771D"/>
    <w:rsid w:val="00E63FCD"/>
    <w:rsid w:val="00E64F8A"/>
    <w:rsid w:val="00E67750"/>
    <w:rsid w:val="00E677E7"/>
    <w:rsid w:val="00E75CA7"/>
    <w:rsid w:val="00E763F4"/>
    <w:rsid w:val="00E76523"/>
    <w:rsid w:val="00E76A46"/>
    <w:rsid w:val="00E76B5C"/>
    <w:rsid w:val="00E836AF"/>
    <w:rsid w:val="00E85601"/>
    <w:rsid w:val="00E85EF4"/>
    <w:rsid w:val="00E86E91"/>
    <w:rsid w:val="00E94566"/>
    <w:rsid w:val="00E94860"/>
    <w:rsid w:val="00EA19C9"/>
    <w:rsid w:val="00EA63A7"/>
    <w:rsid w:val="00EA659F"/>
    <w:rsid w:val="00EB1E10"/>
    <w:rsid w:val="00EB7547"/>
    <w:rsid w:val="00EB7684"/>
    <w:rsid w:val="00EC008D"/>
    <w:rsid w:val="00EC2B23"/>
    <w:rsid w:val="00EC4A17"/>
    <w:rsid w:val="00EC744D"/>
    <w:rsid w:val="00ED1D3A"/>
    <w:rsid w:val="00ED256B"/>
    <w:rsid w:val="00ED53B9"/>
    <w:rsid w:val="00EE0440"/>
    <w:rsid w:val="00EE08E8"/>
    <w:rsid w:val="00EE6196"/>
    <w:rsid w:val="00EE77A2"/>
    <w:rsid w:val="00EF31CF"/>
    <w:rsid w:val="00EF478C"/>
    <w:rsid w:val="00EF4C0F"/>
    <w:rsid w:val="00EF63BE"/>
    <w:rsid w:val="00EF7692"/>
    <w:rsid w:val="00F12DCE"/>
    <w:rsid w:val="00F12FAD"/>
    <w:rsid w:val="00F13B57"/>
    <w:rsid w:val="00F15BA0"/>
    <w:rsid w:val="00F16A17"/>
    <w:rsid w:val="00F20E96"/>
    <w:rsid w:val="00F260C9"/>
    <w:rsid w:val="00F272B2"/>
    <w:rsid w:val="00F30B11"/>
    <w:rsid w:val="00F31418"/>
    <w:rsid w:val="00F32DEE"/>
    <w:rsid w:val="00F34519"/>
    <w:rsid w:val="00F35032"/>
    <w:rsid w:val="00F44F26"/>
    <w:rsid w:val="00F45C7C"/>
    <w:rsid w:val="00F5385D"/>
    <w:rsid w:val="00F573A4"/>
    <w:rsid w:val="00F67DD9"/>
    <w:rsid w:val="00F7009B"/>
    <w:rsid w:val="00F70C0E"/>
    <w:rsid w:val="00F7137F"/>
    <w:rsid w:val="00F724E2"/>
    <w:rsid w:val="00F73835"/>
    <w:rsid w:val="00F742F9"/>
    <w:rsid w:val="00F82744"/>
    <w:rsid w:val="00F8507F"/>
    <w:rsid w:val="00F864B6"/>
    <w:rsid w:val="00F90544"/>
    <w:rsid w:val="00F9421B"/>
    <w:rsid w:val="00F9791A"/>
    <w:rsid w:val="00FA02D8"/>
    <w:rsid w:val="00FA2355"/>
    <w:rsid w:val="00FA2933"/>
    <w:rsid w:val="00FA76D5"/>
    <w:rsid w:val="00FB05EA"/>
    <w:rsid w:val="00FB2AE2"/>
    <w:rsid w:val="00FC3370"/>
    <w:rsid w:val="00FC3C0B"/>
    <w:rsid w:val="00FC43F4"/>
    <w:rsid w:val="00FC527B"/>
    <w:rsid w:val="00FC62E0"/>
    <w:rsid w:val="00FD4657"/>
    <w:rsid w:val="00FD78CF"/>
    <w:rsid w:val="00FF1C46"/>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BFA"/>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CF1DFA"/>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F1DFA"/>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CF1DFA"/>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
    <w:uiPriority w:val="99"/>
    <w:qFormat/>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f"/>
    <w:basedOn w:val="Normal"/>
    <w:link w:val="FootnoteTextChar"/>
    <w:qFormat/>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586986"/>
    <w:pPr>
      <w:numPr>
        <w:numId w:val="2"/>
      </w:numPr>
      <w:tabs>
        <w:tab w:val="left" w:pos="2217"/>
      </w:tabs>
      <w:spacing w:after="120"/>
      <w:ind w:left="1746" w:right="1264" w:hanging="130"/>
      <w:mirrorIndents/>
      <w:jc w:val="both"/>
    </w:pPr>
  </w:style>
  <w:style w:type="paragraph" w:customStyle="1" w:styleId="Bullet2">
    <w:name w:val="Bullet 2"/>
    <w:basedOn w:val="Normal"/>
    <w:qFormat/>
    <w:rsid w:val="00586986"/>
    <w:pPr>
      <w:numPr>
        <w:numId w:val="1"/>
      </w:numPr>
      <w:tabs>
        <w:tab w:val="left" w:pos="2217"/>
      </w:tabs>
      <w:spacing w:after="120"/>
      <w:ind w:left="2217" w:right="1264" w:hanging="130"/>
      <w:jc w:val="both"/>
    </w:pPr>
  </w:style>
  <w:style w:type="paragraph" w:styleId="CommentText">
    <w:name w:val="annotation text"/>
    <w:basedOn w:val="Normal"/>
    <w:link w:val="CommentTextChar"/>
    <w:rsid w:val="00DD5A99"/>
    <w:pPr>
      <w:spacing w:line="240" w:lineRule="auto"/>
    </w:pPr>
  </w:style>
  <w:style w:type="character" w:customStyle="1" w:styleId="CommentTextChar">
    <w:name w:val="Comment Text Char"/>
    <w:basedOn w:val="DefaultParagraphFont"/>
    <w:link w:val="CommentText"/>
    <w:rsid w:val="00DD5A99"/>
    <w:rPr>
      <w:spacing w:val="4"/>
      <w:w w:val="103"/>
      <w:kern w:val="14"/>
      <w:lang w:val="en-GB"/>
    </w:rPr>
  </w:style>
  <w:style w:type="paragraph" w:styleId="CommentSubject">
    <w:name w:val="annotation subject"/>
    <w:basedOn w:val="CommentText"/>
    <w:next w:val="CommentText"/>
    <w:link w:val="CommentSubjectChar"/>
    <w:rsid w:val="00DD5A99"/>
    <w:rPr>
      <w:b/>
      <w:bCs/>
    </w:rPr>
  </w:style>
  <w:style w:type="character" w:customStyle="1" w:styleId="CommentSubjectChar">
    <w:name w:val="Comment Subject Char"/>
    <w:basedOn w:val="CommentTextChar"/>
    <w:link w:val="CommentSubject"/>
    <w:rsid w:val="00DD5A99"/>
    <w:rPr>
      <w:b/>
      <w:bCs/>
      <w:spacing w:val="4"/>
      <w:w w:val="103"/>
      <w:kern w:val="14"/>
      <w:lang w:val="en-GB"/>
    </w:rPr>
  </w:style>
  <w:style w:type="character" w:customStyle="1" w:styleId="Heading7Char">
    <w:name w:val="Heading 7 Char"/>
    <w:basedOn w:val="DefaultParagraphFont"/>
    <w:link w:val="Heading7"/>
    <w:semiHidden/>
    <w:rsid w:val="00CF1DFA"/>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CF1DFA"/>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CF1DFA"/>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CF1DFA"/>
    <w:pPr>
      <w:ind w:left="720"/>
      <w:contextualSpacing/>
    </w:pPr>
  </w:style>
  <w:style w:type="paragraph" w:customStyle="1" w:styleId="SingleTxtG">
    <w:name w:val="_ Single Txt_G"/>
    <w:basedOn w:val="Normal"/>
    <w:rsid w:val="00956E52"/>
    <w:pPr>
      <w:spacing w:after="120" w:line="240" w:lineRule="atLeast"/>
      <w:ind w:left="1134" w:right="1134"/>
      <w:jc w:val="both"/>
    </w:pPr>
    <w:rPr>
      <w:rFonts w:eastAsia="Times New Roman"/>
      <w:spacing w:val="0"/>
      <w:w w:val="100"/>
      <w:kern w:val="0"/>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
    <w:link w:val="FootnoteText"/>
    <w:rsid w:val="006B3919"/>
    <w:rPr>
      <w:spacing w:val="5"/>
      <w:w w:val="103"/>
      <w:kern w:val="14"/>
      <w:sz w:val="17"/>
      <w:lang w:val="en-GB"/>
    </w:rPr>
  </w:style>
  <w:style w:type="character" w:styleId="FollowedHyperlink">
    <w:name w:val="FollowedHyperlink"/>
    <w:basedOn w:val="DefaultParagraphFont"/>
    <w:rsid w:val="008435CF"/>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BFA"/>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CF1DFA"/>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F1DFA"/>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CF1DFA"/>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
    <w:uiPriority w:val="99"/>
    <w:qFormat/>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f"/>
    <w:basedOn w:val="Normal"/>
    <w:link w:val="FootnoteTextChar"/>
    <w:qFormat/>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586986"/>
    <w:pPr>
      <w:numPr>
        <w:numId w:val="2"/>
      </w:numPr>
      <w:tabs>
        <w:tab w:val="left" w:pos="2217"/>
      </w:tabs>
      <w:spacing w:after="120"/>
      <w:ind w:left="1746" w:right="1264" w:hanging="130"/>
      <w:mirrorIndents/>
      <w:jc w:val="both"/>
    </w:pPr>
  </w:style>
  <w:style w:type="paragraph" w:customStyle="1" w:styleId="Bullet2">
    <w:name w:val="Bullet 2"/>
    <w:basedOn w:val="Normal"/>
    <w:qFormat/>
    <w:rsid w:val="00586986"/>
    <w:pPr>
      <w:numPr>
        <w:numId w:val="1"/>
      </w:numPr>
      <w:tabs>
        <w:tab w:val="left" w:pos="2217"/>
      </w:tabs>
      <w:spacing w:after="120"/>
      <w:ind w:left="2217" w:right="1264" w:hanging="130"/>
      <w:jc w:val="both"/>
    </w:pPr>
  </w:style>
  <w:style w:type="paragraph" w:styleId="CommentText">
    <w:name w:val="annotation text"/>
    <w:basedOn w:val="Normal"/>
    <w:link w:val="CommentTextChar"/>
    <w:rsid w:val="00DD5A99"/>
    <w:pPr>
      <w:spacing w:line="240" w:lineRule="auto"/>
    </w:pPr>
  </w:style>
  <w:style w:type="character" w:customStyle="1" w:styleId="CommentTextChar">
    <w:name w:val="Comment Text Char"/>
    <w:basedOn w:val="DefaultParagraphFont"/>
    <w:link w:val="CommentText"/>
    <w:rsid w:val="00DD5A99"/>
    <w:rPr>
      <w:spacing w:val="4"/>
      <w:w w:val="103"/>
      <w:kern w:val="14"/>
      <w:lang w:val="en-GB"/>
    </w:rPr>
  </w:style>
  <w:style w:type="paragraph" w:styleId="CommentSubject">
    <w:name w:val="annotation subject"/>
    <w:basedOn w:val="CommentText"/>
    <w:next w:val="CommentText"/>
    <w:link w:val="CommentSubjectChar"/>
    <w:rsid w:val="00DD5A99"/>
    <w:rPr>
      <w:b/>
      <w:bCs/>
    </w:rPr>
  </w:style>
  <w:style w:type="character" w:customStyle="1" w:styleId="CommentSubjectChar">
    <w:name w:val="Comment Subject Char"/>
    <w:basedOn w:val="CommentTextChar"/>
    <w:link w:val="CommentSubject"/>
    <w:rsid w:val="00DD5A99"/>
    <w:rPr>
      <w:b/>
      <w:bCs/>
      <w:spacing w:val="4"/>
      <w:w w:val="103"/>
      <w:kern w:val="14"/>
      <w:lang w:val="en-GB"/>
    </w:rPr>
  </w:style>
  <w:style w:type="character" w:customStyle="1" w:styleId="Heading7Char">
    <w:name w:val="Heading 7 Char"/>
    <w:basedOn w:val="DefaultParagraphFont"/>
    <w:link w:val="Heading7"/>
    <w:semiHidden/>
    <w:rsid w:val="00CF1DFA"/>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CF1DFA"/>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CF1DFA"/>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CF1DFA"/>
    <w:pPr>
      <w:ind w:left="720"/>
      <w:contextualSpacing/>
    </w:pPr>
  </w:style>
  <w:style w:type="paragraph" w:customStyle="1" w:styleId="SingleTxtG">
    <w:name w:val="_ Single Txt_G"/>
    <w:basedOn w:val="Normal"/>
    <w:rsid w:val="00956E52"/>
    <w:pPr>
      <w:spacing w:after="120" w:line="240" w:lineRule="atLeast"/>
      <w:ind w:left="1134" w:right="1134"/>
      <w:jc w:val="both"/>
    </w:pPr>
    <w:rPr>
      <w:rFonts w:eastAsia="Times New Roman"/>
      <w:spacing w:val="0"/>
      <w:w w:val="100"/>
      <w:kern w:val="0"/>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
    <w:link w:val="FootnoteText"/>
    <w:rsid w:val="006B3919"/>
    <w:rPr>
      <w:spacing w:val="5"/>
      <w:w w:val="103"/>
      <w:kern w:val="14"/>
      <w:sz w:val="17"/>
      <w:lang w:val="en-GB"/>
    </w:rPr>
  </w:style>
  <w:style w:type="character" w:styleId="FollowedHyperlink">
    <w:name w:val="FollowedHyperlink"/>
    <w:basedOn w:val="DefaultParagraphFont"/>
    <w:rsid w:val="008435CF"/>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CEDAW/C/LKA/CO/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42127-B458-418F-9A3D-8209F749A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16932</Words>
  <Characters>96515</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113221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Test</dc:creator>
  <cp:lastModifiedBy>English Text Processing Front Desk2</cp:lastModifiedBy>
  <cp:revision>21</cp:revision>
  <cp:lastPrinted>2015-06-17T20:16:00Z</cp:lastPrinted>
  <dcterms:created xsi:type="dcterms:W3CDTF">2015-06-17T19:49:00Z</dcterms:created>
  <dcterms:modified xsi:type="dcterms:W3CDTF">2015-06-17T21:11:00Z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1508476</vt:lpwstr>
  </property>
  <property fmtid="{D5CDD505-2E9C-101B-9397-08002B2CF9AE}" pid="3" name="ODSRefJobNo">
    <vt:lpwstr>1515677E</vt:lpwstr>
  </property>
  <property fmtid="{D5CDD505-2E9C-101B-9397-08002B2CF9AE}" pid="4" name="Symbol1">
    <vt:lpwstr>CEDAW/C/LKA/8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29 May 2015</vt:lpwstr>
  </property>
  <property fmtid="{D5CDD505-2E9C-101B-9397-08002B2CF9AE}" pid="9" name="Original">
    <vt:lpwstr>English</vt:lpwstr>
  </property>
  <property fmtid="{D5CDD505-2E9C-101B-9397-08002B2CF9AE}" pid="10" name="Release Date">
    <vt:lpwstr>160615</vt:lpwstr>
  </property>
  <property fmtid="{D5CDD505-2E9C-101B-9397-08002B2CF9AE}" pid="11" name="Comment">
    <vt:lpwstr/>
  </property>
  <property fmtid="{D5CDD505-2E9C-101B-9397-08002B2CF9AE}" pid="12" name="DraftPages">
    <vt:lpwstr>46 pgs (FINAL)</vt:lpwstr>
  </property>
  <property fmtid="{D5CDD505-2E9C-101B-9397-08002B2CF9AE}" pid="13" name="Operator">
    <vt:lpwstr>jg (F)</vt:lpwstr>
  </property>
</Properties>
</file>