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000000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</w:pPr>
            <w:r>
              <w:rPr>
                <w:sz w:val="40"/>
                <w:szCs w:val="40"/>
              </w:rPr>
              <w:t>C</w:t>
            </w:r>
            <w:r>
              <w:rPr>
                <w:sz w:val="40"/>
                <w:szCs w:val="40"/>
                <w:lang w:val="en-US"/>
              </w:rPr>
              <w:t>EDAW</w:t>
            </w:r>
            <w:r>
              <w:t>/</w:t>
            </w:r>
            <w:r>
              <w:fldChar w:fldCharType="begin"/>
            </w:r>
            <w:r>
              <w:instrText xml:space="preserve"> FILLIN  "Введите часть символа после CRC/"  \* MERGEFORMAT </w:instrText>
            </w:r>
            <w:r>
              <w:fldChar w:fldCharType="separate"/>
            </w:r>
            <w:proofErr w:type="spellStart"/>
            <w:r>
              <w:t>C</w:t>
            </w:r>
            <w:proofErr w:type="spellEnd"/>
            <w:r>
              <w:t>/</w:t>
            </w:r>
            <w:proofErr w:type="spellStart"/>
            <w:r>
              <w:t>LIE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/4</w:t>
            </w:r>
            <w:r>
              <w:fldChar w:fldCharType="end"/>
            </w:r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всех форм дискриминации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5 April 2011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r>
              <w:rPr>
                <w:lang w:val="en-US"/>
              </w:rPr>
              <w:t>Russian</w:t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t xml:space="preserve">: </w:t>
            </w: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000000" w:rsidRDefault="00000000"/>
        </w:tc>
      </w:tr>
    </w:tbl>
    <w:p w:rsidR="00000000" w:rsidRDefault="0000000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ликвидации дискриминации </w:t>
      </w:r>
      <w:r>
        <w:rPr>
          <w:b/>
          <w:sz w:val="24"/>
          <w:szCs w:val="24"/>
        </w:rPr>
        <w:br/>
        <w:t>в отношении женщин</w:t>
      </w:r>
    </w:p>
    <w:p w:rsidR="00000000" w:rsidRDefault="00000000">
      <w:pPr>
        <w:rPr>
          <w:b/>
        </w:rPr>
      </w:pPr>
      <w:r>
        <w:rPr>
          <w:b/>
        </w:rPr>
        <w:t>Сорок восьмая сессия</w:t>
      </w:r>
    </w:p>
    <w:p w:rsidR="00000000" w:rsidRDefault="00000000">
      <w:r>
        <w:t>17 января − 4 февраля 2011 года</w:t>
      </w:r>
    </w:p>
    <w:p w:rsidR="00000000" w:rsidRDefault="00000000">
      <w:pPr>
        <w:pStyle w:val="HChGR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000000" w:rsidRDefault="00000000">
      <w:pPr>
        <w:pStyle w:val="H1GR"/>
      </w:pPr>
      <w:r>
        <w:tab/>
      </w:r>
      <w:r>
        <w:tab/>
        <w:t>Лихтенштейн</w:t>
      </w:r>
    </w:p>
    <w:p w:rsidR="00000000" w:rsidRDefault="00000000">
      <w:pPr>
        <w:pStyle w:val="SingleTxtGR"/>
      </w:pPr>
      <w:r>
        <w:t>1.</w:t>
      </w:r>
      <w:r>
        <w:tab/>
        <w:t>Комитет рассмотрел четвертый периодический доклад Лихтенштейна (</w:t>
      </w:r>
      <w:proofErr w:type="spellStart"/>
      <w:r>
        <w:rPr>
          <w:lang w:val="en-GB"/>
        </w:rPr>
        <w:t>CEDAW</w:t>
      </w:r>
      <w:proofErr w:type="spellEnd"/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LIE</w:t>
      </w:r>
      <w:r>
        <w:t>/4) на своих 965-м и 966-м заседаниях, состоявшихся 20 января 2011 года (</w:t>
      </w:r>
      <w:proofErr w:type="spellStart"/>
      <w:r>
        <w:rPr>
          <w:lang w:val="en-GB"/>
        </w:rPr>
        <w:t>CEDAW</w:t>
      </w:r>
      <w:proofErr w:type="spellEnd"/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SR</w:t>
      </w:r>
      <w:r>
        <w:t>.965 и 966). Подготовленный Комитетом перечень в</w:t>
      </w:r>
      <w:r>
        <w:t>о</w:t>
      </w:r>
      <w:r>
        <w:t xml:space="preserve">просов и тем содержится в документе </w:t>
      </w:r>
      <w:proofErr w:type="spellStart"/>
      <w:r>
        <w:rPr>
          <w:lang w:val="en-GB"/>
        </w:rPr>
        <w:t>CEDAW</w:t>
      </w:r>
      <w:proofErr w:type="spellEnd"/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LIE</w:t>
      </w:r>
      <w:r>
        <w:t>/</w:t>
      </w:r>
      <w:r>
        <w:rPr>
          <w:lang w:val="en-GB"/>
        </w:rPr>
        <w:t>Q</w:t>
      </w:r>
      <w:r>
        <w:t>/4, а ответы правител</w:t>
      </w:r>
      <w:r>
        <w:t>ь</w:t>
      </w:r>
      <w:r>
        <w:t xml:space="preserve">ства Лихтенштейна − в документе </w:t>
      </w:r>
      <w:proofErr w:type="spellStart"/>
      <w:r>
        <w:rPr>
          <w:lang w:val="en-GB"/>
        </w:rPr>
        <w:t>CEDAW</w:t>
      </w:r>
      <w:proofErr w:type="spellEnd"/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LIE</w:t>
      </w:r>
      <w:r>
        <w:t>/</w:t>
      </w:r>
      <w:r>
        <w:rPr>
          <w:lang w:val="en-GB"/>
        </w:rPr>
        <w:t>Q</w:t>
      </w:r>
      <w:r>
        <w:t>/4/</w:t>
      </w:r>
      <w:r>
        <w:rPr>
          <w:lang w:val="en-GB"/>
        </w:rPr>
        <w:t>Add</w:t>
      </w:r>
      <w:r>
        <w:t>.1.</w:t>
      </w:r>
    </w:p>
    <w:p w:rsidR="00000000" w:rsidRDefault="00000000">
      <w:pPr>
        <w:pStyle w:val="H1GR"/>
      </w:pPr>
      <w:r>
        <w:tab/>
      </w:r>
      <w:r>
        <w:rPr>
          <w:lang w:val="en-GB"/>
        </w:rPr>
        <w:t>A</w:t>
      </w:r>
      <w:r>
        <w:t>.</w:t>
      </w:r>
      <w:r>
        <w:tab/>
        <w:t>Введение</w:t>
      </w:r>
    </w:p>
    <w:p w:rsidR="00000000" w:rsidRDefault="00000000">
      <w:pPr>
        <w:pStyle w:val="SingleTxtGR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его четвертого периодического доклада, который носит подробный х</w:t>
      </w:r>
      <w:r>
        <w:t>а</w:t>
      </w:r>
      <w:r>
        <w:t>рактер, составлен в соответствии с руководящими указаниями Комитета по по</w:t>
      </w:r>
      <w:r>
        <w:t>д</w:t>
      </w:r>
      <w:r>
        <w:t>готовке докладов и содержит ссылки на предыдущие заключительные замеч</w:t>
      </w:r>
      <w:r>
        <w:t>а</w:t>
      </w:r>
      <w:r>
        <w:t>ния, хотя в нем и отсутствуют статистические данные в разбивке по полу и к</w:t>
      </w:r>
      <w:r>
        <w:t>о</w:t>
      </w:r>
      <w:r>
        <w:t>личественные сведения о положении детей в ряде областей, охватываемых Ко</w:t>
      </w:r>
      <w:r>
        <w:t>н</w:t>
      </w:r>
      <w:r>
        <w:t>венцией, в частности в отношении женщин из находящихся в неблагопр</w:t>
      </w:r>
      <w:r>
        <w:t>и</w:t>
      </w:r>
      <w:r>
        <w:t>ятном положении групп. Комитет выражает признательность государству-участнику за устное представление, письменные ответы на перечень тем и на вопросы, з</w:t>
      </w:r>
      <w:r>
        <w:t>а</w:t>
      </w:r>
      <w:r>
        <w:t xml:space="preserve">тронутые </w:t>
      </w:r>
      <w:proofErr w:type="spellStart"/>
      <w:r>
        <w:t>предсессионной</w:t>
      </w:r>
      <w:proofErr w:type="spellEnd"/>
      <w:r>
        <w:t xml:space="preserve"> Рабочей группой Комитета, а также за дополнител</w:t>
      </w:r>
      <w:r>
        <w:t>ь</w:t>
      </w:r>
      <w:r>
        <w:t>ные разъяснения по вопросам, заданным членами Комитета в ус</w:t>
      </w:r>
      <w:r>
        <w:t>т</w:t>
      </w:r>
      <w:r>
        <w:t>ной форме.</w:t>
      </w:r>
    </w:p>
    <w:p w:rsidR="00000000" w:rsidRDefault="00000000">
      <w:pPr>
        <w:pStyle w:val="SingleTxtGR"/>
      </w:pPr>
      <w:r>
        <w:t>3.</w:t>
      </w:r>
      <w:r>
        <w:tab/>
        <w:t>Комитет признателен государству-участнику за направление делегации во главе с Директором Управления иностранных дел Княжества Лихтенштейн, в состав которой входил также Директор Управления по обеспечению равных возможностей. Высоко оценивая конструктивный диалог, состоявшийся между делегацией и членами Комитета, Комитет сожалеет, однако, о том, что некот</w:t>
      </w:r>
      <w:r>
        <w:t>о</w:t>
      </w:r>
      <w:r>
        <w:t>рые поднятые вопросы остались без ответа и что не на все вопросы были пол</w:t>
      </w:r>
      <w:r>
        <w:t>у</w:t>
      </w:r>
      <w:r>
        <w:t>чены ясные и точные ответы.</w:t>
      </w:r>
    </w:p>
    <w:p w:rsidR="00000000" w:rsidRDefault="00000000">
      <w:pPr>
        <w:pStyle w:val="SingleTxtGR"/>
      </w:pPr>
      <w:r>
        <w:t>4.</w:t>
      </w:r>
      <w:r>
        <w:tab/>
        <w:t>Комитет приветствует признание государством-участником позитивного вклада неправительс</w:t>
      </w:r>
      <w:r>
        <w:t>т</w:t>
      </w:r>
      <w:r>
        <w:t>венных женских и правозащитных организаций в дело осуществления Конвенции в государстве-участнике.</w:t>
      </w:r>
    </w:p>
    <w:p w:rsidR="00000000" w:rsidRDefault="00000000">
      <w:pPr>
        <w:pStyle w:val="H1GR"/>
      </w:pPr>
      <w:r>
        <w:tab/>
      </w:r>
      <w:r>
        <w:rPr>
          <w:lang w:val="en-GB"/>
        </w:rPr>
        <w:t>B</w:t>
      </w:r>
      <w:r>
        <w:t>.</w:t>
      </w:r>
      <w:r>
        <w:tab/>
        <w:t>Позитивные аспекты</w:t>
      </w:r>
    </w:p>
    <w:p w:rsidR="00000000" w:rsidRDefault="00000000">
      <w:pPr>
        <w:pStyle w:val="SingleTxtGR"/>
      </w:pPr>
      <w:r>
        <w:t>5.</w:t>
      </w:r>
      <w:r>
        <w:tab/>
        <w:t>Комитет приветствует ратификацию государством-участником Протокола о предупреждении и пресечении торговли людьми, особенно женщинами и детьми, и наказании за нее, дополняющего Конвенцию Организации Объед</w:t>
      </w:r>
      <w:r>
        <w:t>и</w:t>
      </w:r>
      <w:r>
        <w:t>ненных Наций против транснациональной организованной преступности.</w:t>
      </w:r>
    </w:p>
    <w:p w:rsidR="00000000" w:rsidRDefault="00000000">
      <w:pPr>
        <w:pStyle w:val="SingleTxtGR"/>
      </w:pPr>
      <w:r>
        <w:t>6.</w:t>
      </w:r>
      <w:r>
        <w:tab/>
        <w:t>Комитет признателен государству-участнику за осуществление проекта, направленного на сокращение масштабов эксплуатации в секторе ночных кл</w:t>
      </w:r>
      <w:r>
        <w:t>у</w:t>
      </w:r>
      <w:r>
        <w:t>бов и на обеспечение потенциальным жертвам торговли людьми доступа к ко</w:t>
      </w:r>
      <w:r>
        <w:t>н</w:t>
      </w:r>
      <w:r>
        <w:t>сультативным услугам и программам по оказанию помощи, а также за реализ</w:t>
      </w:r>
      <w:r>
        <w:t>а</w:t>
      </w:r>
      <w:r>
        <w:t>цию проектов по повышению уровня информированности населения в целом о проблематике торговли женщинами.</w:t>
      </w:r>
    </w:p>
    <w:p w:rsidR="00000000" w:rsidRDefault="00000000">
      <w:pPr>
        <w:pStyle w:val="SingleTxtGR"/>
      </w:pPr>
      <w:r>
        <w:t>7.</w:t>
      </w:r>
      <w:r>
        <w:tab/>
        <w:t>Комитет приветствует последовательную поддержку государством-участником женских проектов и поощрение прав человека женщин в рамках его международного сотрудничества в области оказания гуманитарной помощи и развития, на цели которого в 2009 году было выделено приблизительно 0,6% валового национального дохода государства-участника.</w:t>
      </w:r>
    </w:p>
    <w:p w:rsidR="00000000" w:rsidRDefault="00000000">
      <w:pPr>
        <w:pStyle w:val="H1GR"/>
      </w:pPr>
      <w:r>
        <w:tab/>
      </w:r>
      <w:r>
        <w:rPr>
          <w:lang w:val="en-GB"/>
        </w:rPr>
        <w:t>C</w:t>
      </w:r>
      <w:r>
        <w:t>.</w:t>
      </w:r>
      <w:r>
        <w:tab/>
        <w:t>Основные проблемные области и рекомендации</w:t>
      </w:r>
    </w:p>
    <w:p w:rsidR="00000000" w:rsidRDefault="00000000">
      <w:pPr>
        <w:pStyle w:val="SingleTxtGR"/>
        <w:rPr>
          <w:b/>
          <w:bCs/>
        </w:rPr>
      </w:pPr>
      <w:r>
        <w:rPr>
          <w:bCs/>
        </w:rPr>
        <w:t>8.</w:t>
      </w:r>
      <w:r>
        <w:rPr>
          <w:b/>
          <w:bCs/>
        </w:rPr>
        <w:tab/>
      </w:r>
      <w:r>
        <w:rPr>
          <w:b/>
        </w:rPr>
        <w:t>Комитет</w:t>
      </w:r>
      <w:r>
        <w:rPr>
          <w:b/>
          <w:bCs/>
        </w:rPr>
        <w:t xml:space="preserve"> напоминает об обязанности государства-участника систем</w:t>
      </w:r>
      <w:r>
        <w:rPr>
          <w:b/>
          <w:bCs/>
        </w:rPr>
        <w:t>а</w:t>
      </w:r>
      <w:r>
        <w:rPr>
          <w:b/>
          <w:bCs/>
        </w:rPr>
        <w:t>тически и постоянно осуществлять все положения Конвенции и полагает, что озабоченности и рекомендации, изложенные в настоящих заключ</w:t>
      </w:r>
      <w:r>
        <w:rPr>
          <w:b/>
          <w:bCs/>
        </w:rPr>
        <w:t>и</w:t>
      </w:r>
      <w:r>
        <w:rPr>
          <w:b/>
          <w:bCs/>
        </w:rPr>
        <w:t>тельных замечаниях, требуют, чтобы государство-участник уделяло им первостепенное внимание с настоящего времени и до представления сл</w:t>
      </w:r>
      <w:r>
        <w:rPr>
          <w:b/>
          <w:bCs/>
        </w:rPr>
        <w:t>е</w:t>
      </w:r>
      <w:r>
        <w:rPr>
          <w:b/>
          <w:bCs/>
        </w:rPr>
        <w:t xml:space="preserve">дующего периодического доклада. Соответственно, </w:t>
      </w:r>
      <w:r>
        <w:rPr>
          <w:b/>
        </w:rPr>
        <w:t>Комитет</w:t>
      </w:r>
      <w:r>
        <w:rPr>
          <w:b/>
          <w:bCs/>
        </w:rPr>
        <w:t xml:space="preserve"> настоятельно призывает государство-участник, в рамках деятельности по осуществл</w:t>
      </w:r>
      <w:r>
        <w:rPr>
          <w:b/>
          <w:bCs/>
        </w:rPr>
        <w:t>е</w:t>
      </w:r>
      <w:r>
        <w:rPr>
          <w:b/>
          <w:bCs/>
        </w:rPr>
        <w:t>нию данных положений, сосредоточить внимание на этих областях и вкл</w:t>
      </w:r>
      <w:r>
        <w:rPr>
          <w:b/>
          <w:bCs/>
        </w:rPr>
        <w:t>ю</w:t>
      </w:r>
      <w:r>
        <w:rPr>
          <w:b/>
          <w:bCs/>
        </w:rPr>
        <w:t>чить в его следующий периодический доклад информацию о принятых м</w:t>
      </w:r>
      <w:r>
        <w:rPr>
          <w:b/>
          <w:bCs/>
        </w:rPr>
        <w:t>е</w:t>
      </w:r>
      <w:r>
        <w:rPr>
          <w:b/>
          <w:bCs/>
        </w:rPr>
        <w:t xml:space="preserve">рах и достигнутых результатах. </w:t>
      </w:r>
      <w:r>
        <w:rPr>
          <w:b/>
        </w:rPr>
        <w:t>Комитет</w:t>
      </w:r>
      <w:r>
        <w:rPr>
          <w:b/>
          <w:bCs/>
        </w:rPr>
        <w:t xml:space="preserve"> призывает государство-участник направить настоящие заключительные замечания всем компетентным г</w:t>
      </w:r>
      <w:r>
        <w:rPr>
          <w:b/>
          <w:bCs/>
        </w:rPr>
        <w:t>о</w:t>
      </w:r>
      <w:r>
        <w:rPr>
          <w:b/>
          <w:bCs/>
        </w:rPr>
        <w:t>сударственным ведомствам, парламенту и судебным органам в целях обе</w:t>
      </w:r>
      <w:r>
        <w:rPr>
          <w:b/>
          <w:bCs/>
        </w:rPr>
        <w:t>с</w:t>
      </w:r>
      <w:r>
        <w:rPr>
          <w:b/>
          <w:bCs/>
        </w:rPr>
        <w:t>печения их вс</w:t>
      </w:r>
      <w:r>
        <w:rPr>
          <w:b/>
          <w:bCs/>
        </w:rPr>
        <w:t>е</w:t>
      </w:r>
      <w:r>
        <w:rPr>
          <w:b/>
          <w:bCs/>
        </w:rPr>
        <w:t>стороннего осуществления.</w:t>
      </w:r>
    </w:p>
    <w:p w:rsidR="00000000" w:rsidRDefault="00000000">
      <w:pPr>
        <w:pStyle w:val="H23GR"/>
      </w:pPr>
      <w:r>
        <w:tab/>
      </w:r>
      <w:r>
        <w:tab/>
        <w:t>Парламент</w:t>
      </w:r>
    </w:p>
    <w:p w:rsidR="00000000" w:rsidRDefault="00000000">
      <w:pPr>
        <w:pStyle w:val="SingleTxtGR"/>
        <w:rPr>
          <w:b/>
          <w:bCs/>
        </w:rPr>
      </w:pPr>
      <w:r>
        <w:rPr>
          <w:bCs/>
        </w:rPr>
        <w:t>9.</w:t>
      </w:r>
      <w:r>
        <w:rPr>
          <w:b/>
          <w:bCs/>
        </w:rPr>
        <w:tab/>
        <w:t>Вновь подтверждая, что на правительство возлагается основная об</w:t>
      </w:r>
      <w:r>
        <w:rPr>
          <w:b/>
          <w:bCs/>
        </w:rPr>
        <w:t>я</w:t>
      </w:r>
      <w:r>
        <w:rPr>
          <w:b/>
          <w:bCs/>
        </w:rPr>
        <w:t>занность и ответственность за всестороннее выполнение обязательств г</w:t>
      </w:r>
      <w:r>
        <w:rPr>
          <w:b/>
          <w:bCs/>
        </w:rPr>
        <w:t>о</w:t>
      </w:r>
      <w:r>
        <w:rPr>
          <w:b/>
          <w:bCs/>
        </w:rPr>
        <w:t xml:space="preserve">сударства-участника по Конвенции, </w:t>
      </w:r>
      <w:r>
        <w:rPr>
          <w:b/>
        </w:rPr>
        <w:t>Комитет</w:t>
      </w:r>
      <w:r>
        <w:rPr>
          <w:b/>
          <w:bCs/>
        </w:rPr>
        <w:t xml:space="preserve"> подчеркивает, что Конвенция носит обязательный характер для всех ветвей власти, и предлагает гос</w:t>
      </w:r>
      <w:r>
        <w:rPr>
          <w:b/>
          <w:bCs/>
        </w:rPr>
        <w:t>у</w:t>
      </w:r>
      <w:r>
        <w:rPr>
          <w:b/>
          <w:bCs/>
        </w:rPr>
        <w:t>дарству-участнику рекомендовать его парламенту, в соответствии с его процедурами и в случае необходимости, принять необходимые меры для осуществления настоящих заключительных замечаний и для подготовки следующего доклада государства-участника по Конвенции.</w:t>
      </w:r>
    </w:p>
    <w:p w:rsidR="00000000" w:rsidRDefault="00000000">
      <w:pPr>
        <w:pStyle w:val="H23GR"/>
      </w:pPr>
      <w:r>
        <w:tab/>
      </w:r>
      <w:r>
        <w:tab/>
        <w:t>Пропаганда Конвенции и Факультативного протокола к ней</w:t>
      </w:r>
    </w:p>
    <w:p w:rsidR="00000000" w:rsidRDefault="00000000">
      <w:pPr>
        <w:pStyle w:val="SingleTxtGR"/>
      </w:pPr>
      <w:r>
        <w:t>10.</w:t>
      </w:r>
      <w:r>
        <w:tab/>
        <w:t>Как и в предыдущих заключительных замечаниях (</w:t>
      </w:r>
      <w:proofErr w:type="spellStart"/>
      <w:r>
        <w:rPr>
          <w:lang w:val="en-GB"/>
        </w:rPr>
        <w:t>CEDAW</w:t>
      </w:r>
      <w:proofErr w:type="spellEnd"/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LIE</w:t>
      </w:r>
      <w:r>
        <w:t>/</w:t>
      </w:r>
      <w:r>
        <w:rPr>
          <w:lang w:val="en-GB"/>
        </w:rPr>
        <w:t>CO</w:t>
      </w:r>
      <w:r>
        <w:t>/3, пункт 9) Комитет вновь выражает беспокойство в связи с тем, что, хотя пол</w:t>
      </w:r>
      <w:r>
        <w:t>о</w:t>
      </w:r>
      <w:r>
        <w:t>жения Конвенции могут применяться напрямую, им не придаются такое же зн</w:t>
      </w:r>
      <w:r>
        <w:t>а</w:t>
      </w:r>
      <w:r>
        <w:t>чение и внимание, как региональным юридическим документам, в частности Европейской конвенции о правах человека и основных свободах, и, соответс</w:t>
      </w:r>
      <w:r>
        <w:t>т</w:t>
      </w:r>
      <w:r>
        <w:t>венно, они регулярно не используются в качестве юридического обоснования для принятия мер, в том числе законодательных и политических, которые н</w:t>
      </w:r>
      <w:r>
        <w:t>а</w:t>
      </w:r>
      <w:r>
        <w:t xml:space="preserve">правлены на ликвидацию дискриминации в отношении женщин и на поощрение </w:t>
      </w:r>
      <w:proofErr w:type="spellStart"/>
      <w:r>
        <w:t>гендерного</w:t>
      </w:r>
      <w:proofErr w:type="spellEnd"/>
      <w:r>
        <w:t xml:space="preserve"> равенства в государстве-участнике. Комитет также повторяет свою обеспокоенность тем, что положения Конвенции не используются в судебных разбирательствах, что свидетельствует о сохраняющейся недостаточной и</w:t>
      </w:r>
      <w:r>
        <w:t>н</w:t>
      </w:r>
      <w:r>
        <w:t>формированности самих женщин, работников судебных органов и юристов о правах женщин, закрепленных в Конвенции и в Факультативном протоколе к ней, а также о принятых Комитетом общих р</w:t>
      </w:r>
      <w:r>
        <w:t>е</w:t>
      </w:r>
      <w:r>
        <w:t xml:space="preserve">комендациях. </w:t>
      </w:r>
    </w:p>
    <w:p w:rsidR="00000000" w:rsidRDefault="00000000">
      <w:pPr>
        <w:pStyle w:val="SingleTxtGR"/>
        <w:rPr>
          <w:b/>
        </w:rPr>
      </w:pPr>
      <w:r>
        <w:t>11.</w:t>
      </w:r>
      <w:r>
        <w:tab/>
      </w:r>
      <w:r>
        <w:rPr>
          <w:b/>
        </w:rPr>
        <w:t>Повторяя свою предыдущую рекомендацию, Комитет призывает г</w:t>
      </w:r>
      <w:r>
        <w:rPr>
          <w:b/>
        </w:rPr>
        <w:t>о</w:t>
      </w:r>
      <w:r>
        <w:rPr>
          <w:b/>
        </w:rPr>
        <w:t>сударство-участник признать Конвенцию, в дополнение к соответству</w:t>
      </w:r>
      <w:r>
        <w:rPr>
          <w:b/>
        </w:rPr>
        <w:t>ю</w:t>
      </w:r>
      <w:r>
        <w:rPr>
          <w:b/>
        </w:rPr>
        <w:t>щим международным обязательствам, в качестве наиболее важного и имеющего обязательную юридическую силу правозащитного документа о ликвидации дискриминации в отношении женщин и о достижении реал</w:t>
      </w:r>
      <w:r>
        <w:rPr>
          <w:b/>
        </w:rPr>
        <w:t>ь</w:t>
      </w:r>
      <w:r>
        <w:rPr>
          <w:b/>
        </w:rPr>
        <w:t xml:space="preserve">ного </w:t>
      </w:r>
      <w:proofErr w:type="spellStart"/>
      <w:r>
        <w:rPr>
          <w:b/>
        </w:rPr>
        <w:t>гендерного</w:t>
      </w:r>
      <w:proofErr w:type="spellEnd"/>
      <w:r>
        <w:rPr>
          <w:b/>
        </w:rPr>
        <w:t xml:space="preserve"> равенства и инкорпорировать все основные положения Конвенции во внутригосударственное законодательство. Комитет особенно настоятельно призывает государство-участник уделить Конвенции более серьезное внимание в процессе пересмотра Закона о </w:t>
      </w:r>
      <w:proofErr w:type="spellStart"/>
      <w:r>
        <w:rPr>
          <w:b/>
        </w:rPr>
        <w:t>гендерном</w:t>
      </w:r>
      <w:proofErr w:type="spellEnd"/>
      <w:r>
        <w:rPr>
          <w:b/>
        </w:rPr>
        <w:t xml:space="preserve"> равенстве. Кроме того, он призывает государство-участник обеспечить, чтобы изуч</w:t>
      </w:r>
      <w:r>
        <w:rPr>
          <w:b/>
        </w:rPr>
        <w:t>е</w:t>
      </w:r>
      <w:r>
        <w:rPr>
          <w:b/>
        </w:rPr>
        <w:t>ние положений Конвенции и Факультативного протокола к ней, а также общих рекомендаций Комитета и соображений, принятых по отдельным сообщениям и расследованиям, было включено в программу подготовки судей, адвокатов и прокуроров, с тем чтобы они могли непосредственно применять положения Конвенции. Кроме того, он вновь просит государс</w:t>
      </w:r>
      <w:r>
        <w:rPr>
          <w:b/>
        </w:rPr>
        <w:t>т</w:t>
      </w:r>
      <w:r>
        <w:rPr>
          <w:b/>
        </w:rPr>
        <w:t>во-участник повысить уровень информированности женщин об их правах, закрепленных в Конвенции, и о процедурах представления сообщений и проведения расследований, предусмотренных в Факультативном проток</w:t>
      </w:r>
      <w:r>
        <w:rPr>
          <w:b/>
        </w:rPr>
        <w:t>о</w:t>
      </w:r>
      <w:r>
        <w:rPr>
          <w:b/>
        </w:rPr>
        <w:t>ле.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>Оговорки</w:t>
      </w:r>
    </w:p>
    <w:p w:rsidR="00000000" w:rsidRDefault="00000000">
      <w:pPr>
        <w:pStyle w:val="SingleTxtGR"/>
      </w:pPr>
      <w:r>
        <w:t>12.</w:t>
      </w:r>
      <w:r>
        <w:tab/>
        <w:t>Отмечая, что наследование трона Княжеского дома Лихтенштейна рег</w:t>
      </w:r>
      <w:r>
        <w:t>у</w:t>
      </w:r>
      <w:r>
        <w:t>лируется специальным нормативным актом, Комитет по-прежнему обеспокоен сохранением той оговорки государства-участника к статье 1 Конвенции, в кот</w:t>
      </w:r>
      <w:r>
        <w:t>о</w:t>
      </w:r>
      <w:r>
        <w:t>рой отрицается право женщин на наследование трона. Он выр</w:t>
      </w:r>
      <w:r>
        <w:t>а</w:t>
      </w:r>
      <w:r>
        <w:t>жает особое беспокойство в связи с серьезным символическим значением такого исключ</w:t>
      </w:r>
      <w:r>
        <w:t>е</w:t>
      </w:r>
      <w:r>
        <w:t>ния и его потенциальным воздействием на осуществление Конвенции в целом в г</w:t>
      </w:r>
      <w:r>
        <w:t>о</w:t>
      </w:r>
      <w:r>
        <w:t>сударстве-участнике.</w:t>
      </w:r>
    </w:p>
    <w:p w:rsidR="00000000" w:rsidRDefault="00000000">
      <w:pPr>
        <w:pStyle w:val="SingleTxtGR"/>
        <w:rPr>
          <w:b/>
        </w:rPr>
      </w:pPr>
      <w:r>
        <w:t>13.</w:t>
      </w:r>
      <w:r>
        <w:tab/>
      </w:r>
      <w:r>
        <w:rPr>
          <w:b/>
        </w:rPr>
        <w:t>Комитет повторяет свою предыдущую рекомендацию и призывает государство-участник активизировать усилия для отзыва его оговорки к статье 1 Конвенции.</w:t>
      </w:r>
    </w:p>
    <w:p w:rsidR="00000000" w:rsidRDefault="00000000">
      <w:pPr>
        <w:pStyle w:val="H23GR"/>
      </w:pPr>
      <w:r>
        <w:tab/>
      </w:r>
      <w:r>
        <w:tab/>
        <w:t>Национальный механизм принятия мер для улучшения положения женщин</w:t>
      </w:r>
    </w:p>
    <w:p w:rsidR="00000000" w:rsidRDefault="00000000">
      <w:pPr>
        <w:pStyle w:val="SingleTxtGR"/>
      </w:pPr>
      <w:r>
        <w:t>14.</w:t>
      </w:r>
      <w:r>
        <w:tab/>
        <w:t>Комитет обеспокоен тем, что в отсутствие специального органа по поо</w:t>
      </w:r>
      <w:r>
        <w:t>щ</w:t>
      </w:r>
      <w:r>
        <w:t>рению прав женщин расширение мандата Управления по обеспечению равных возможностей (</w:t>
      </w:r>
      <w:proofErr w:type="spellStart"/>
      <w:r>
        <w:t>УРВ</w:t>
      </w:r>
      <w:proofErr w:type="spellEnd"/>
      <w:r>
        <w:t xml:space="preserve">), которое ранее занималось исключительно вопросами </w:t>
      </w:r>
      <w:proofErr w:type="spellStart"/>
      <w:r>
        <w:t>ге</w:t>
      </w:r>
      <w:r>
        <w:t>н</w:t>
      </w:r>
      <w:r>
        <w:t>дерного</w:t>
      </w:r>
      <w:proofErr w:type="spellEnd"/>
      <w:r>
        <w:t xml:space="preserve"> равенства, а теперь решает широкий круг проблем, связанных с ди</w:t>
      </w:r>
      <w:r>
        <w:t>с</w:t>
      </w:r>
      <w:r>
        <w:t>криминацией, привело, возможно, к ослаблению национального механизма принятия мер для улучшения положения женщин в государстве-участнике. К</w:t>
      </w:r>
      <w:r>
        <w:t>о</w:t>
      </w:r>
      <w:r>
        <w:t xml:space="preserve">митет отмечает, что лишь один штатный сотрудник </w:t>
      </w:r>
      <w:proofErr w:type="spellStart"/>
      <w:r>
        <w:t>УРВ</w:t>
      </w:r>
      <w:proofErr w:type="spellEnd"/>
      <w:r>
        <w:t xml:space="preserve"> занимается вопросами </w:t>
      </w:r>
      <w:proofErr w:type="spellStart"/>
      <w:r>
        <w:t>гендерного</w:t>
      </w:r>
      <w:proofErr w:type="spellEnd"/>
      <w:r>
        <w:t xml:space="preserve"> равенства и что у </w:t>
      </w:r>
      <w:proofErr w:type="spellStart"/>
      <w:r>
        <w:t>УРВ</w:t>
      </w:r>
      <w:proofErr w:type="spellEnd"/>
      <w:r>
        <w:t xml:space="preserve"> нет полномочий рассматривать жалобы на нарушения прав женщин. В этой связи Комитет выражает также беспокойство в связи с отсутствием в государстве-участнике независимого национального пр</w:t>
      </w:r>
      <w:r>
        <w:t>а</w:t>
      </w:r>
      <w:r>
        <w:t>возащитного учреждения.</w:t>
      </w:r>
    </w:p>
    <w:p w:rsidR="00000000" w:rsidRDefault="00000000">
      <w:pPr>
        <w:pStyle w:val="SingleTxtGR"/>
        <w:rPr>
          <w:b/>
        </w:rPr>
      </w:pPr>
      <w:r>
        <w:t>15.</w:t>
      </w:r>
      <w:r>
        <w:tab/>
      </w:r>
      <w:r>
        <w:rPr>
          <w:b/>
        </w:rPr>
        <w:t>Ссылаясь на свою Общую рекомендацию № 6 (1988 год) и на руков</w:t>
      </w:r>
      <w:r>
        <w:rPr>
          <w:b/>
        </w:rPr>
        <w:t>о</w:t>
      </w:r>
      <w:r>
        <w:rPr>
          <w:b/>
        </w:rPr>
        <w:t>дящие указания, содержащиеся в Пекинской платформе действий, в час</w:t>
      </w:r>
      <w:r>
        <w:rPr>
          <w:b/>
        </w:rPr>
        <w:t>т</w:t>
      </w:r>
      <w:r>
        <w:rPr>
          <w:b/>
        </w:rPr>
        <w:t>ности в отношении создания необходимых условий для эффективного функционирования национальных механизмов, в том числе посредством выделения надлежащих кадров и финансирования, а также на свою О</w:t>
      </w:r>
      <w:r>
        <w:rPr>
          <w:b/>
        </w:rPr>
        <w:t>б</w:t>
      </w:r>
      <w:r>
        <w:rPr>
          <w:b/>
        </w:rPr>
        <w:t>щую рекомендацию № 28 (2010 год), Комитет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необходимые меры, с тем чтобы Управление по обе</w:t>
      </w:r>
      <w:r>
        <w:rPr>
          <w:b/>
        </w:rPr>
        <w:t>с</w:t>
      </w:r>
      <w:r>
        <w:rPr>
          <w:b/>
        </w:rPr>
        <w:t>печению равных возмо</w:t>
      </w:r>
      <w:r>
        <w:rPr>
          <w:b/>
        </w:rPr>
        <w:t>ж</w:t>
      </w:r>
      <w:r>
        <w:rPr>
          <w:b/>
        </w:rPr>
        <w:t xml:space="preserve">ностей уделяло приоритетное внимание вопросам прав женщин на защиту от дискриминации и на </w:t>
      </w:r>
      <w:proofErr w:type="spellStart"/>
      <w:r>
        <w:rPr>
          <w:b/>
        </w:rPr>
        <w:t>гендерное</w:t>
      </w:r>
      <w:proofErr w:type="spellEnd"/>
      <w:r>
        <w:rPr>
          <w:b/>
        </w:rPr>
        <w:t xml:space="preserve"> равенство, к</w:t>
      </w:r>
      <w:r>
        <w:rPr>
          <w:b/>
        </w:rPr>
        <w:t>о</w:t>
      </w:r>
      <w:r>
        <w:rPr>
          <w:b/>
        </w:rPr>
        <w:t>торое охватывает все иные мотивы дискриминации, и расширить возмо</w:t>
      </w:r>
      <w:r>
        <w:rPr>
          <w:b/>
        </w:rPr>
        <w:t>ж</w:t>
      </w:r>
      <w:r>
        <w:rPr>
          <w:b/>
        </w:rPr>
        <w:t xml:space="preserve">ности Управления в плане разработки и осуществления законодательства и политических мер в области </w:t>
      </w:r>
      <w:proofErr w:type="spellStart"/>
      <w:r>
        <w:rPr>
          <w:b/>
        </w:rPr>
        <w:t>гендерного</w:t>
      </w:r>
      <w:proofErr w:type="spellEnd"/>
      <w:r>
        <w:rPr>
          <w:b/>
        </w:rPr>
        <w:t xml:space="preserve"> равенства, оказанию консульт</w:t>
      </w:r>
      <w:r>
        <w:rPr>
          <w:b/>
        </w:rPr>
        <w:t>а</w:t>
      </w:r>
      <w:r>
        <w:rPr>
          <w:b/>
        </w:rPr>
        <w:t>тивных услуг, координации и контролирования их подготовки и принятия;</w:t>
      </w:r>
    </w:p>
    <w:p w:rsidR="00000000" w:rsidRDefault="00000000">
      <w:pPr>
        <w:pStyle w:val="SingleTxtGR"/>
      </w:pP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>)</w:t>
      </w:r>
      <w:r>
        <w:rPr>
          <w:b/>
        </w:rPr>
        <w:tab/>
        <w:t xml:space="preserve">рассмотреть вопрос о создании независимого национального правозащитного учреждения в соответствии с Парижскими принципами </w:t>
      </w:r>
      <w:r>
        <w:rPr>
          <w:b/>
          <w:bCs/>
        </w:rPr>
        <w:t>(резолюция 48/134 Генеральной Ассамблеи от 20 декабря 1993 года, прил</w:t>
      </w:r>
      <w:r>
        <w:rPr>
          <w:b/>
          <w:bCs/>
        </w:rPr>
        <w:t>о</w:t>
      </w:r>
      <w:r>
        <w:rPr>
          <w:b/>
          <w:bCs/>
        </w:rPr>
        <w:t>жение) или иного специального органа для рассмотрения представленных женщинами жалоб на предполагаемые нарушения их прав человека и формул</w:t>
      </w:r>
      <w:r>
        <w:rPr>
          <w:b/>
          <w:bCs/>
        </w:rPr>
        <w:t>и</w:t>
      </w:r>
      <w:r>
        <w:rPr>
          <w:b/>
          <w:bCs/>
        </w:rPr>
        <w:t>рования по ним мнений и рекомендаций.</w:t>
      </w:r>
    </w:p>
    <w:p w:rsidR="00000000" w:rsidRDefault="00000000">
      <w:pPr>
        <w:pStyle w:val="H23GR"/>
      </w:pPr>
      <w:r>
        <w:tab/>
      </w:r>
      <w:r>
        <w:tab/>
        <w:t>Временные специальные меры</w:t>
      </w:r>
    </w:p>
    <w:p w:rsidR="00000000" w:rsidRDefault="00000000">
      <w:pPr>
        <w:pStyle w:val="SingleTxtGR"/>
      </w:pPr>
      <w:r>
        <w:t>16.</w:t>
      </w:r>
      <w:r>
        <w:tab/>
        <w:t>Комитет вновь выражает беспокойство в связи с ограниченным примен</w:t>
      </w:r>
      <w:r>
        <w:t>е</w:t>
      </w:r>
      <w:r>
        <w:t>нием государством-участником пункта 1 статьи 4 Конвенции, в частности по поводу непринятия временных специальных мер для поощрения участия же</w:t>
      </w:r>
      <w:r>
        <w:t>н</w:t>
      </w:r>
      <w:r>
        <w:t>щин в политической и экономической жизни, а также для ликвидации де-факто ди</w:t>
      </w:r>
      <w:r>
        <w:t>с</w:t>
      </w:r>
      <w:r>
        <w:t xml:space="preserve">криминации в отношении находящихся в неблагоприятном положении групп женщин. </w:t>
      </w:r>
    </w:p>
    <w:p w:rsidR="00000000" w:rsidRDefault="00000000">
      <w:pPr>
        <w:pStyle w:val="SingleTxtGR"/>
        <w:rPr>
          <w:b/>
        </w:rPr>
      </w:pPr>
      <w:r>
        <w:t>17.</w:t>
      </w:r>
      <w:r>
        <w:tab/>
      </w:r>
      <w:r>
        <w:rPr>
          <w:b/>
        </w:rPr>
        <w:t>Комитет рекомендует государству-участнику активизировать прин</w:t>
      </w:r>
      <w:r>
        <w:rPr>
          <w:b/>
        </w:rPr>
        <w:t>я</w:t>
      </w:r>
      <w:r>
        <w:rPr>
          <w:b/>
        </w:rPr>
        <w:t>тие временных специальных мер в соответствии с пунктом 1 статьи 4 Ко</w:t>
      </w:r>
      <w:r>
        <w:rPr>
          <w:b/>
        </w:rPr>
        <w:t>н</w:t>
      </w:r>
      <w:r>
        <w:rPr>
          <w:b/>
        </w:rPr>
        <w:t>венции и разработанной Комитетом Общей рекомендацией № 25 (2004 г</w:t>
      </w:r>
      <w:r>
        <w:rPr>
          <w:b/>
        </w:rPr>
        <w:t>о</w:t>
      </w:r>
      <w:r>
        <w:rPr>
          <w:b/>
        </w:rPr>
        <w:t>да) во всех областях, охватываемых Конвенцией, где женщины недостато</w:t>
      </w:r>
      <w:r>
        <w:rPr>
          <w:b/>
        </w:rPr>
        <w:t>ч</w:t>
      </w:r>
      <w:r>
        <w:rPr>
          <w:b/>
        </w:rPr>
        <w:t>но представлены или находятся в неблагоприятном положении. С этой ц</w:t>
      </w:r>
      <w:r>
        <w:rPr>
          <w:b/>
        </w:rPr>
        <w:t>е</w:t>
      </w:r>
      <w:r>
        <w:rPr>
          <w:b/>
        </w:rPr>
        <w:t>лью он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на основе имеющихся данных и исследований определить об</w:t>
      </w:r>
      <w:r>
        <w:rPr>
          <w:b/>
        </w:rPr>
        <w:t>я</w:t>
      </w:r>
      <w:r>
        <w:rPr>
          <w:b/>
        </w:rPr>
        <w:t>зательные по срокам целевые показатели и выделить достаточные ресурсы для осуществления таких стратегий, как программы по обеспечению охв</w:t>
      </w:r>
      <w:r>
        <w:rPr>
          <w:b/>
        </w:rPr>
        <w:t>а</w:t>
      </w:r>
      <w:r>
        <w:rPr>
          <w:b/>
        </w:rPr>
        <w:t>та и поддержки, разработка стимулов, квот и иных действенных мер, н</w:t>
      </w:r>
      <w:r>
        <w:rPr>
          <w:b/>
        </w:rPr>
        <w:t>а</w:t>
      </w:r>
      <w:r>
        <w:rPr>
          <w:b/>
        </w:rPr>
        <w:t>правленных на достижение существенного равенства мужчин и женщин в этих о</w:t>
      </w:r>
      <w:r>
        <w:rPr>
          <w:b/>
        </w:rPr>
        <w:t>б</w:t>
      </w:r>
      <w:r>
        <w:rPr>
          <w:b/>
        </w:rPr>
        <w:t>ластях;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>)</w:t>
      </w:r>
      <w:r>
        <w:rPr>
          <w:b/>
        </w:rPr>
        <w:tab/>
        <w:t>повысить уровень информированности членов парламента, г</w:t>
      </w:r>
      <w:r>
        <w:rPr>
          <w:b/>
        </w:rPr>
        <w:t>о</w:t>
      </w:r>
      <w:r>
        <w:rPr>
          <w:b/>
        </w:rPr>
        <w:t>сударственных должностных лиц с директивными полномочиями, работ</w:t>
      </w:r>
      <w:r>
        <w:rPr>
          <w:b/>
        </w:rPr>
        <w:t>о</w:t>
      </w:r>
      <w:r>
        <w:rPr>
          <w:b/>
        </w:rPr>
        <w:t>дателей и населения в целом о необходимости принятия временных спец</w:t>
      </w:r>
      <w:r>
        <w:rPr>
          <w:b/>
        </w:rPr>
        <w:t>и</w:t>
      </w:r>
      <w:r>
        <w:rPr>
          <w:b/>
        </w:rPr>
        <w:t>альных мер и включить в его следующий периодический доклад всеобъе</w:t>
      </w:r>
      <w:r>
        <w:rPr>
          <w:b/>
        </w:rPr>
        <w:t>м</w:t>
      </w:r>
      <w:r>
        <w:rPr>
          <w:b/>
        </w:rPr>
        <w:t>лющую информацию о принятии таких мер, в частности когда определе</w:t>
      </w:r>
      <w:r>
        <w:rPr>
          <w:b/>
        </w:rPr>
        <w:t>н</w:t>
      </w:r>
      <w:r>
        <w:rPr>
          <w:b/>
        </w:rPr>
        <w:t>ные государством-участником политика и меры не дают желаемого эффе</w:t>
      </w:r>
      <w:r>
        <w:rPr>
          <w:b/>
        </w:rPr>
        <w:t>к</w:t>
      </w:r>
      <w:r>
        <w:rPr>
          <w:b/>
        </w:rPr>
        <w:t>та и результата в связи с соответствующими положениями Конвенции, а также об их воздействии.</w:t>
      </w:r>
    </w:p>
    <w:p w:rsidR="00000000" w:rsidRDefault="00000000">
      <w:pPr>
        <w:pStyle w:val="H23GR"/>
      </w:pPr>
      <w:r>
        <w:tab/>
      </w:r>
      <w:r>
        <w:tab/>
        <w:t>Стереотипы и дискриминационные виды практики</w:t>
      </w:r>
    </w:p>
    <w:p w:rsidR="00000000" w:rsidRDefault="00000000">
      <w:pPr>
        <w:pStyle w:val="SingleTxtGR"/>
      </w:pPr>
      <w:r>
        <w:t>18.</w:t>
      </w:r>
      <w:r>
        <w:tab/>
        <w:t>Отмечая, что государство-участник начало осуществление различных проектов и инициатив в целях искоренения тех традиционных стереотипных представлений о роли мужчин и женщин в семье и в обществе, которые ди</w:t>
      </w:r>
      <w:r>
        <w:t>с</w:t>
      </w:r>
      <w:r>
        <w:t xml:space="preserve">криминируют женщин и закрепляют </w:t>
      </w:r>
      <w:proofErr w:type="spellStart"/>
      <w:r>
        <w:t>гендерное</w:t>
      </w:r>
      <w:proofErr w:type="spellEnd"/>
      <w:r>
        <w:t xml:space="preserve"> неравенство, Комитет вновь в</w:t>
      </w:r>
      <w:r>
        <w:t>ы</w:t>
      </w:r>
      <w:r>
        <w:t>ражает беспокойство в связи с сохранением патриархальных стереотипов, о</w:t>
      </w:r>
      <w:r>
        <w:t>т</w:t>
      </w:r>
      <w:r>
        <w:t>ражающих ограниченную эффективность таких мер в целом ряде областей, включая ограниченное участие мужчин в воспитании детей и в в</w:t>
      </w:r>
      <w:r>
        <w:t>ы</w:t>
      </w:r>
      <w:r>
        <w:t>полнении других домашних обязанностей.</w:t>
      </w:r>
    </w:p>
    <w:p w:rsidR="00000000" w:rsidRDefault="00000000">
      <w:pPr>
        <w:pStyle w:val="SingleTxtGR"/>
        <w:rPr>
          <w:b/>
        </w:rPr>
      </w:pPr>
      <w:r>
        <w:t>19.</w:t>
      </w:r>
      <w:r>
        <w:tab/>
      </w:r>
      <w:r>
        <w:rPr>
          <w:b/>
        </w:rPr>
        <w:t>Комитет призывает государство-участник: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еще более активизировать его усилия в рамках проведения вс</w:t>
      </w:r>
      <w:r>
        <w:rPr>
          <w:b/>
        </w:rPr>
        <w:t>е</w:t>
      </w:r>
      <w:r>
        <w:rPr>
          <w:b/>
        </w:rPr>
        <w:t>объемлющей политики по принятию действенных и последовательных мер, с тем чтобы женщины и мужчины, девочки и мальчики преодолели стереотипные представления о роли и ответственности мужчин и женщин в семье и в обществе, в частности в областях, где женщины находятся в наиболее неблаг</w:t>
      </w:r>
      <w:r>
        <w:rPr>
          <w:b/>
        </w:rPr>
        <w:t>о</w:t>
      </w:r>
      <w:r>
        <w:rPr>
          <w:b/>
        </w:rPr>
        <w:t>приятном положении;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>)</w:t>
      </w:r>
      <w:r>
        <w:rPr>
          <w:b/>
        </w:rPr>
        <w:tab/>
        <w:t>расширить его сотрудничество с гражданским обществом и женскими организациями, политическими партиями, работниками сферы образования, частным сектором и средствами массовой информации в ц</w:t>
      </w:r>
      <w:r>
        <w:rPr>
          <w:b/>
        </w:rPr>
        <w:t>е</w:t>
      </w:r>
      <w:r>
        <w:rPr>
          <w:b/>
        </w:rPr>
        <w:t>лях распространения адресной информации среди населения в целом и среди таких конкретных заинтересованных сторон, как директивные о</w:t>
      </w:r>
      <w:r>
        <w:rPr>
          <w:b/>
        </w:rPr>
        <w:t>р</w:t>
      </w:r>
      <w:r>
        <w:rPr>
          <w:b/>
        </w:rPr>
        <w:t>ганы, работодатели, находящиеся в неблагоприятном положении женщины и молодежь, а также разработать более комплексную стратегию по искор</w:t>
      </w:r>
      <w:r>
        <w:rPr>
          <w:b/>
        </w:rPr>
        <w:t>е</w:t>
      </w:r>
      <w:r>
        <w:rPr>
          <w:b/>
        </w:rPr>
        <w:t xml:space="preserve">нению дискриминационных </w:t>
      </w:r>
      <w:proofErr w:type="spellStart"/>
      <w:r>
        <w:rPr>
          <w:b/>
        </w:rPr>
        <w:t>гендерных</w:t>
      </w:r>
      <w:proofErr w:type="spellEnd"/>
      <w:r>
        <w:rPr>
          <w:b/>
        </w:rPr>
        <w:t xml:space="preserve"> стереотипов во всех секторах, ос</w:t>
      </w:r>
      <w:r>
        <w:rPr>
          <w:b/>
        </w:rPr>
        <w:t>о</w:t>
      </w:r>
      <w:r>
        <w:rPr>
          <w:b/>
        </w:rPr>
        <w:t>бенно применительно к находящимся в неблагоприятном положении гру</w:t>
      </w:r>
      <w:r>
        <w:rPr>
          <w:b/>
        </w:rPr>
        <w:t>п</w:t>
      </w:r>
      <w:r>
        <w:rPr>
          <w:b/>
        </w:rPr>
        <w:t>пам женщин;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провести информационно-разъяснительные кампании для пр</w:t>
      </w:r>
      <w:r>
        <w:rPr>
          <w:b/>
        </w:rPr>
        <w:t>о</w:t>
      </w:r>
      <w:r>
        <w:rPr>
          <w:b/>
        </w:rPr>
        <w:t>паганды ответственного подхода со стороны отцов и для обращения вн</w:t>
      </w:r>
      <w:r>
        <w:rPr>
          <w:b/>
        </w:rPr>
        <w:t>и</w:t>
      </w:r>
      <w:r>
        <w:rPr>
          <w:b/>
        </w:rPr>
        <w:t>мания работодателей и работников на возможность использования гибкого графика работы как женщинами, так и мужчинами, с тем чтобы не только исключительно женщ</w:t>
      </w:r>
      <w:r>
        <w:rPr>
          <w:b/>
        </w:rPr>
        <w:t>и</w:t>
      </w:r>
      <w:r>
        <w:rPr>
          <w:b/>
        </w:rPr>
        <w:t>ны трудились неполный рабочий день.</w:t>
      </w:r>
    </w:p>
    <w:p w:rsidR="00000000" w:rsidRDefault="00000000">
      <w:pPr>
        <w:pStyle w:val="H23GR"/>
      </w:pPr>
      <w:r>
        <w:tab/>
      </w:r>
      <w:r>
        <w:tab/>
        <w:t>Насилие в отношении женщин</w:t>
      </w:r>
    </w:p>
    <w:p w:rsidR="00000000" w:rsidRDefault="00000000">
      <w:pPr>
        <w:pStyle w:val="SingleTxtGR"/>
      </w:pPr>
      <w:r>
        <w:t>20.</w:t>
      </w:r>
      <w:r>
        <w:tab/>
        <w:t>Отмечая, что текущий пересмотр законодательства государства-участника о сексуальных преступлениях предусматривает автоматическое возбуждение преследования за такие правонарушения, как сопряженные с риском угрозы в адрес ближайших родственников, домогательства, изнасилования или акты се</w:t>
      </w:r>
      <w:r>
        <w:t>к</w:t>
      </w:r>
      <w:r>
        <w:t>суального насилия в отношении партнеров по браку или родственников, Ком</w:t>
      </w:r>
      <w:r>
        <w:t>и</w:t>
      </w:r>
      <w:r>
        <w:t xml:space="preserve">тет обеспокоен тем, что не все правонарушения, совершенные в контексте внутрисемейного, сексуального и иного </w:t>
      </w:r>
      <w:proofErr w:type="spellStart"/>
      <w:r>
        <w:t>гендерного</w:t>
      </w:r>
      <w:proofErr w:type="spellEnd"/>
      <w:r>
        <w:t xml:space="preserve"> насилия, охватываются н</w:t>
      </w:r>
      <w:r>
        <w:t>о</w:t>
      </w:r>
      <w:r>
        <w:t xml:space="preserve">выми положениями. </w:t>
      </w:r>
    </w:p>
    <w:p w:rsidR="00000000" w:rsidRDefault="00000000">
      <w:pPr>
        <w:pStyle w:val="SingleTxtGR"/>
        <w:rPr>
          <w:b/>
        </w:rPr>
      </w:pPr>
      <w:r>
        <w:t>21.</w:t>
      </w:r>
      <w:r>
        <w:tab/>
      </w:r>
      <w:r>
        <w:rPr>
          <w:b/>
        </w:rPr>
        <w:t>В соответствии с его Общей рекомендацией № 19 (1992 года) о нас</w:t>
      </w:r>
      <w:r>
        <w:rPr>
          <w:b/>
        </w:rPr>
        <w:t>и</w:t>
      </w:r>
      <w:r>
        <w:rPr>
          <w:b/>
        </w:rPr>
        <w:t xml:space="preserve">лии в отношении женщин Комитет рекомендует государству-участнику рассмотреть вопрос о введении процедуры автоматического возбуждения преследования за все акты внутрисемейного, сексуального и иного </w:t>
      </w:r>
      <w:proofErr w:type="spellStart"/>
      <w:r>
        <w:rPr>
          <w:b/>
        </w:rPr>
        <w:t>генде</w:t>
      </w:r>
      <w:r>
        <w:rPr>
          <w:b/>
        </w:rPr>
        <w:t>р</w:t>
      </w:r>
      <w:r>
        <w:rPr>
          <w:b/>
        </w:rPr>
        <w:t>ного</w:t>
      </w:r>
      <w:proofErr w:type="spellEnd"/>
      <w:r>
        <w:rPr>
          <w:b/>
        </w:rPr>
        <w:t xml:space="preserve"> насилия, за умышленное лишение жертв защиты или </w:t>
      </w:r>
      <w:proofErr w:type="spellStart"/>
      <w:r>
        <w:rPr>
          <w:b/>
        </w:rPr>
        <w:t>подвержение</w:t>
      </w:r>
      <w:proofErr w:type="spellEnd"/>
      <w:r>
        <w:rPr>
          <w:b/>
        </w:rPr>
        <w:t xml:space="preserve"> их такому насилию. Он далее рекомендует государству-участнику организ</w:t>
      </w:r>
      <w:r>
        <w:rPr>
          <w:b/>
        </w:rPr>
        <w:t>о</w:t>
      </w:r>
      <w:r>
        <w:rPr>
          <w:b/>
        </w:rPr>
        <w:t>вать подготовку судей, прокуроров и сотрудников полиции по вопросам строгого соблюдения соответствующих положений уголовного законод</w:t>
      </w:r>
      <w:r>
        <w:rPr>
          <w:b/>
        </w:rPr>
        <w:t>а</w:t>
      </w:r>
      <w:r>
        <w:rPr>
          <w:b/>
        </w:rPr>
        <w:t>тельства, а</w:t>
      </w:r>
      <w:r>
        <w:rPr>
          <w:b/>
        </w:rPr>
        <w:t>к</w:t>
      </w:r>
      <w:r>
        <w:rPr>
          <w:b/>
        </w:rPr>
        <w:t>тивизировать поддержку и помощь жертвам внутрисемейного и сексуального насилия, а также ускорить процедуру принятия подгото</w:t>
      </w:r>
      <w:r>
        <w:rPr>
          <w:b/>
        </w:rPr>
        <w:t>в</w:t>
      </w:r>
      <w:r>
        <w:rPr>
          <w:b/>
        </w:rPr>
        <w:t>ленного в 2008 году национального плана действий по борьбе с насилием в отнош</w:t>
      </w:r>
      <w:r>
        <w:rPr>
          <w:b/>
        </w:rPr>
        <w:t>е</w:t>
      </w:r>
      <w:r>
        <w:rPr>
          <w:b/>
        </w:rPr>
        <w:t>нии женщин.</w:t>
      </w:r>
    </w:p>
    <w:p w:rsidR="00000000" w:rsidRDefault="00000000">
      <w:pPr>
        <w:pStyle w:val="SingleTxtGR"/>
      </w:pPr>
      <w:r>
        <w:t>22.</w:t>
      </w:r>
      <w:r>
        <w:tab/>
        <w:t>Комитет с беспокойством отмечает, что у женщин из других стран, кот</w:t>
      </w:r>
      <w:r>
        <w:t>о</w:t>
      </w:r>
      <w:r>
        <w:t>рые стали жертвами внутрисемейного насилия и которые вышли замуж за по</w:t>
      </w:r>
      <w:r>
        <w:t>д</w:t>
      </w:r>
      <w:r>
        <w:t>данного Лихтенштейна менее пяти лет назад, может быть изъят вид на жител</w:t>
      </w:r>
      <w:r>
        <w:t>ь</w:t>
      </w:r>
      <w:r>
        <w:t xml:space="preserve">ство после расторжения брака, если они не сумеют подтвердить свой статус жертвы или привести иные важные обоснования личного свойства. </w:t>
      </w:r>
    </w:p>
    <w:p w:rsidR="00000000" w:rsidRDefault="00000000">
      <w:pPr>
        <w:pStyle w:val="SingleTxtGR"/>
        <w:rPr>
          <w:b/>
        </w:rPr>
      </w:pPr>
      <w:r>
        <w:t>23.</w:t>
      </w:r>
      <w:r>
        <w:tab/>
      </w:r>
      <w:r>
        <w:rPr>
          <w:b/>
        </w:rPr>
        <w:t>Комитет рекомендует государству-участнику обеспечить, чтобы же</w:t>
      </w:r>
      <w:r>
        <w:rPr>
          <w:b/>
        </w:rPr>
        <w:t>н</w:t>
      </w:r>
      <w:r>
        <w:rPr>
          <w:b/>
        </w:rPr>
        <w:t>щины из других стран, которые предположительно стали жертвами супр</w:t>
      </w:r>
      <w:r>
        <w:rPr>
          <w:b/>
        </w:rPr>
        <w:t>у</w:t>
      </w:r>
      <w:r>
        <w:rPr>
          <w:b/>
        </w:rPr>
        <w:t>жеского насилия, имели доступ к правовой помощи и защите и, соответс</w:t>
      </w:r>
      <w:r>
        <w:rPr>
          <w:b/>
        </w:rPr>
        <w:t>т</w:t>
      </w:r>
      <w:r>
        <w:rPr>
          <w:b/>
        </w:rPr>
        <w:t>венно, могли подтвердить свой статус жертвы для сохранения своего вида на жительство после расторжения брака.</w:t>
      </w:r>
    </w:p>
    <w:p w:rsidR="00000000" w:rsidRDefault="00000000">
      <w:pPr>
        <w:pStyle w:val="SingleTxtGR"/>
      </w:pPr>
      <w:r>
        <w:t>24.</w:t>
      </w:r>
      <w:r>
        <w:tab/>
        <w:t>Комитет обеспокоен сообщениями о том, что в рамках процедуры пр</w:t>
      </w:r>
      <w:r>
        <w:t>е</w:t>
      </w:r>
      <w:r>
        <w:t>доставления убежища в государстве-участнике регулярно не идентифицирую</w:t>
      </w:r>
      <w:r>
        <w:t>т</w:t>
      </w:r>
      <w:r>
        <w:t xml:space="preserve">ся жертвы сексуального и иного </w:t>
      </w:r>
      <w:proofErr w:type="spellStart"/>
      <w:r>
        <w:t>гендерного</w:t>
      </w:r>
      <w:proofErr w:type="spellEnd"/>
      <w:r>
        <w:t xml:space="preserve"> нас</w:t>
      </w:r>
      <w:r>
        <w:t>и</w:t>
      </w:r>
      <w:r>
        <w:t>лия, поскольку ходатайства об убежище систематически отклоняются по формальным причинам или из-за о</w:t>
      </w:r>
      <w:r>
        <w:t>т</w:t>
      </w:r>
      <w:r>
        <w:t>сутствия достоверности в описании заявителем его маршрута приезда в Ли</w:t>
      </w:r>
      <w:r>
        <w:t>х</w:t>
      </w:r>
      <w:r>
        <w:t>тенштейн.</w:t>
      </w:r>
    </w:p>
    <w:p w:rsidR="00000000" w:rsidRDefault="00000000">
      <w:pPr>
        <w:pStyle w:val="SingleTxtGR"/>
        <w:rPr>
          <w:b/>
        </w:rPr>
      </w:pPr>
      <w:r>
        <w:t>25.</w:t>
      </w:r>
      <w:r>
        <w:tab/>
      </w:r>
      <w:r>
        <w:rPr>
          <w:b/>
        </w:rPr>
        <w:t>Комитет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применять стандартную процедуру идентификации жертв се</w:t>
      </w:r>
      <w:r>
        <w:rPr>
          <w:b/>
        </w:rPr>
        <w:t>к</w:t>
      </w:r>
      <w:r>
        <w:rPr>
          <w:b/>
        </w:rPr>
        <w:t xml:space="preserve">суального или </w:t>
      </w:r>
      <w:proofErr w:type="spellStart"/>
      <w:r>
        <w:rPr>
          <w:b/>
        </w:rPr>
        <w:t>гендерного</w:t>
      </w:r>
      <w:proofErr w:type="spellEnd"/>
      <w:r>
        <w:rPr>
          <w:b/>
        </w:rPr>
        <w:t xml:space="preserve"> насилия при рассмотрении приемлемости ход</w:t>
      </w:r>
      <w:r>
        <w:rPr>
          <w:b/>
        </w:rPr>
        <w:t>а</w:t>
      </w:r>
      <w:r>
        <w:rPr>
          <w:b/>
        </w:rPr>
        <w:t>тайств об убежище по формальным основаниям или вопроса о возвращ</w:t>
      </w:r>
      <w:r>
        <w:rPr>
          <w:b/>
        </w:rPr>
        <w:t>е</w:t>
      </w:r>
      <w:r>
        <w:rPr>
          <w:b/>
        </w:rPr>
        <w:t>нии заявителей;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>)</w:t>
      </w:r>
      <w:r>
        <w:rPr>
          <w:b/>
        </w:rPr>
        <w:tab/>
        <w:t>обеспечить, чтобы потребности в международной защите опр</w:t>
      </w:r>
      <w:r>
        <w:rPr>
          <w:b/>
        </w:rPr>
        <w:t>е</w:t>
      </w:r>
      <w:r>
        <w:rPr>
          <w:b/>
        </w:rPr>
        <w:t xml:space="preserve">делялись комплексным образом, в том числе посредством рассмотрения ходатайств об убежище с учетом аспектов сексуального или </w:t>
      </w:r>
      <w:proofErr w:type="spellStart"/>
      <w:r>
        <w:rPr>
          <w:b/>
        </w:rPr>
        <w:t>гендерного</w:t>
      </w:r>
      <w:proofErr w:type="spellEnd"/>
      <w:r>
        <w:rPr>
          <w:b/>
        </w:rPr>
        <w:t xml:space="preserve"> н</w:t>
      </w:r>
      <w:r>
        <w:rPr>
          <w:b/>
        </w:rPr>
        <w:t>а</w:t>
      </w:r>
      <w:r>
        <w:rPr>
          <w:b/>
        </w:rPr>
        <w:t>силия и принятия во внимание фактического положения ходатайствующих об убежище женщин и девочек в их странах происхождения;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 xml:space="preserve">обеспечить применение учитывающего </w:t>
      </w:r>
      <w:proofErr w:type="spellStart"/>
      <w:r>
        <w:rPr>
          <w:b/>
        </w:rPr>
        <w:t>гендерные</w:t>
      </w:r>
      <w:proofErr w:type="spellEnd"/>
      <w:r>
        <w:rPr>
          <w:b/>
        </w:rPr>
        <w:t xml:space="preserve"> аспекты подхода в рамках всей процедуры определения статуса беженца посредс</w:t>
      </w:r>
      <w:r>
        <w:rPr>
          <w:b/>
        </w:rPr>
        <w:t>т</w:t>
      </w:r>
      <w:r>
        <w:rPr>
          <w:b/>
        </w:rPr>
        <w:t>вом предоставления таких особых прав, как право ходатайствующих об убежище женщин на консультативную помощь в соответствии с пунктом 6 статьи 23 принятого в государстве-участнике Закона о беженцах.</w:t>
      </w:r>
    </w:p>
    <w:p w:rsidR="00000000" w:rsidRDefault="00000000">
      <w:pPr>
        <w:pStyle w:val="H23GR"/>
      </w:pPr>
      <w:r>
        <w:tab/>
      </w:r>
      <w:r>
        <w:tab/>
        <w:t>Торговля людьми и эксплуатация проституции</w:t>
      </w:r>
    </w:p>
    <w:p w:rsidR="00000000" w:rsidRDefault="00000000">
      <w:pPr>
        <w:pStyle w:val="SingleTxtGR"/>
      </w:pPr>
      <w:r>
        <w:t>26.</w:t>
      </w:r>
      <w:r>
        <w:tab/>
        <w:t>Комитет отмечает, что усилия государства-участника по предупреждению и пресечению торговли женщинами и девочками, особенно в целях сексуальной эксплуатации и принудительного труда, сконцентрированы до настоящего вр</w:t>
      </w:r>
      <w:r>
        <w:t>е</w:t>
      </w:r>
      <w:r>
        <w:t>мени на танцовщицах ночных клубов и не учитывают особую уязвимость стр</w:t>
      </w:r>
      <w:r>
        <w:t>е</w:t>
      </w:r>
      <w:r>
        <w:t>мящихся найти убежище женщин и девочек. Комитет обеспокоен сообщениями о том, что в некоторых случаях власти оказывают давление на просителей уб</w:t>
      </w:r>
      <w:r>
        <w:t>е</w:t>
      </w:r>
      <w:r>
        <w:t>жища, в том числе женщин, чтобы они покинули территорию государства-участника, а это, соответственно, повышает риск того, что эти лица станут жер</w:t>
      </w:r>
      <w:r>
        <w:t>т</w:t>
      </w:r>
      <w:r>
        <w:t>вами торговли людьми.</w:t>
      </w:r>
    </w:p>
    <w:p w:rsidR="00000000" w:rsidRDefault="00000000">
      <w:pPr>
        <w:pStyle w:val="SingleTxtGR"/>
        <w:rPr>
          <w:b/>
        </w:rPr>
      </w:pPr>
      <w:r>
        <w:t>27.</w:t>
      </w:r>
      <w:r>
        <w:tab/>
      </w:r>
      <w:r>
        <w:rPr>
          <w:b/>
        </w:rPr>
        <w:t>Комитет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обеспечить, чтобы женщины и девочки, которые стали жер</w:t>
      </w:r>
      <w:r>
        <w:rPr>
          <w:b/>
        </w:rPr>
        <w:t>т</w:t>
      </w:r>
      <w:r>
        <w:rPr>
          <w:b/>
        </w:rPr>
        <w:t>вами торговли или опасаются быть проданными после возвращения в их страну происхождения, и ходатайства которых о международной защите подпадают под определение беженца в Конвенции о статусе беженцев, были признаны беженцами и им было предоставлено убежище;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) </w:t>
      </w:r>
      <w:r>
        <w:rPr>
          <w:b/>
        </w:rPr>
        <w:tab/>
        <w:t>создать механизмы идентификации жертв торговли людьми, а также механизмы содействия, с тем чтобы ходатайства об убежище ра</w:t>
      </w:r>
      <w:r>
        <w:rPr>
          <w:b/>
        </w:rPr>
        <w:t>с</w:t>
      </w:r>
      <w:r>
        <w:rPr>
          <w:b/>
        </w:rPr>
        <w:t xml:space="preserve">сматривались с учетом возрастных и </w:t>
      </w:r>
      <w:proofErr w:type="spellStart"/>
      <w:r>
        <w:rPr>
          <w:b/>
        </w:rPr>
        <w:t>гендерных</w:t>
      </w:r>
      <w:proofErr w:type="spellEnd"/>
      <w:r>
        <w:rPr>
          <w:b/>
        </w:rPr>
        <w:t xml:space="preserve"> аспектов в целях удовл</w:t>
      </w:r>
      <w:r>
        <w:rPr>
          <w:b/>
        </w:rPr>
        <w:t>е</w:t>
      </w:r>
      <w:r>
        <w:rPr>
          <w:b/>
        </w:rPr>
        <w:t>творения потребностей в особой защите тех женщин и девочек, которые стали жертвами торговли людьми, и гарантировать им защиту от высы</w:t>
      </w:r>
      <w:r>
        <w:rPr>
          <w:b/>
        </w:rPr>
        <w:t>л</w:t>
      </w:r>
      <w:r>
        <w:rPr>
          <w:b/>
        </w:rPr>
        <w:t>ки;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повысить уровень информированности просителей уб</w:t>
      </w:r>
      <w:r>
        <w:rPr>
          <w:b/>
        </w:rPr>
        <w:t>е</w:t>
      </w:r>
      <w:r>
        <w:rPr>
          <w:b/>
        </w:rPr>
        <w:t>жища и организовать подготовку сотрудников полиции и иммиграционной службы о высокой степени риска того, что просители убежища станут жертвами торговли людьми;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d</w:t>
      </w:r>
      <w:proofErr w:type="spellEnd"/>
      <w:r>
        <w:rPr>
          <w:b/>
        </w:rPr>
        <w:t>)</w:t>
      </w:r>
      <w:r>
        <w:rPr>
          <w:b/>
        </w:rPr>
        <w:tab/>
        <w:t>обеспечить, чтобы всем жертвам торговли людьми выдавались временные виды на жительство, обеспечивались защита и поддержка;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активизировать его усилия по ратификации Факультативного протокола к Конвенции о правах ребенка, касающегося торговли детьми, детской проституции и детской порнографии.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>Участие в политической и общественной жизни</w:t>
      </w:r>
    </w:p>
    <w:p w:rsidR="00000000" w:rsidRDefault="00000000">
      <w:pPr>
        <w:pStyle w:val="SingleTxtGR"/>
      </w:pPr>
      <w:r>
        <w:t>28.</w:t>
      </w:r>
      <w:r>
        <w:tab/>
        <w:t>Комитет сохраняет беспокойство в связи с тем, что женщины по-прежнему довольно слабо представлены в парламенте, муниципальных сов</w:t>
      </w:r>
      <w:r>
        <w:t>е</w:t>
      </w:r>
      <w:r>
        <w:t>тах, правительстве, национальных комиссиях и консультативных советах, а также на руководящих должностях в государственных органах, в том числе на диплом</w:t>
      </w:r>
      <w:r>
        <w:t>а</w:t>
      </w:r>
      <w:r>
        <w:t>тической службе. Кроме того, Комитет обеспокоен тем, что в настоящее время нет ни одной женщины-мэра и ни один специальный комитет парламента не з</w:t>
      </w:r>
      <w:r>
        <w:t>а</w:t>
      </w:r>
      <w:r>
        <w:t xml:space="preserve">нимается вопросами </w:t>
      </w:r>
      <w:proofErr w:type="spellStart"/>
      <w:r>
        <w:t>гендерного</w:t>
      </w:r>
      <w:proofErr w:type="spellEnd"/>
      <w:r>
        <w:t xml:space="preserve"> равенства. Он принимает к сведению поясн</w:t>
      </w:r>
      <w:r>
        <w:t>е</w:t>
      </w:r>
      <w:r>
        <w:t>ние государства-участника о том, что для участия в политической жизни же</w:t>
      </w:r>
      <w:r>
        <w:t>н</w:t>
      </w:r>
      <w:r>
        <w:t>щины зачастую слишком перегружены профессиональными и семейными об</w:t>
      </w:r>
      <w:r>
        <w:t>я</w:t>
      </w:r>
      <w:r>
        <w:t>занностями.</w:t>
      </w:r>
    </w:p>
    <w:p w:rsidR="00000000" w:rsidRDefault="00000000">
      <w:pPr>
        <w:pStyle w:val="SingleTxtGR"/>
        <w:rPr>
          <w:b/>
        </w:rPr>
      </w:pPr>
      <w:r>
        <w:t>29.</w:t>
      </w:r>
      <w:r>
        <w:tab/>
      </w:r>
      <w:r>
        <w:rPr>
          <w:b/>
        </w:rPr>
        <w:t>Комитет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в соответствии с пунктом 1 статьи 4 Конвенции и ра</w:t>
      </w:r>
      <w:r>
        <w:rPr>
          <w:b/>
        </w:rPr>
        <w:t>з</w:t>
      </w:r>
      <w:r>
        <w:rPr>
          <w:b/>
        </w:rPr>
        <w:t>работанной Комитетом Общей рекомендацией № 25 такие временные сп</w:t>
      </w:r>
      <w:r>
        <w:rPr>
          <w:b/>
        </w:rPr>
        <w:t>е</w:t>
      </w:r>
      <w:r>
        <w:rPr>
          <w:b/>
        </w:rPr>
        <w:t xml:space="preserve">циальные меры, как введение обязательных квот, внедрение системы </w:t>
      </w:r>
      <w:proofErr w:type="spellStart"/>
      <w:r>
        <w:rPr>
          <w:b/>
        </w:rPr>
        <w:t>ге</w:t>
      </w:r>
      <w:r>
        <w:rPr>
          <w:b/>
        </w:rPr>
        <w:t>н</w:t>
      </w:r>
      <w:r>
        <w:rPr>
          <w:b/>
        </w:rPr>
        <w:t>дерного</w:t>
      </w:r>
      <w:proofErr w:type="spellEnd"/>
      <w:r>
        <w:rPr>
          <w:b/>
        </w:rPr>
        <w:t xml:space="preserve"> паритета для лиц, назначаемых в государственные органы, и п</w:t>
      </w:r>
      <w:r>
        <w:rPr>
          <w:b/>
        </w:rPr>
        <w:t>о</w:t>
      </w:r>
      <w:r>
        <w:rPr>
          <w:b/>
        </w:rPr>
        <w:t>становка финансирования политических партий в зависимость от равного представительства женщин в их внутренних инстанциях и в списках ка</w:t>
      </w:r>
      <w:r>
        <w:rPr>
          <w:b/>
        </w:rPr>
        <w:t>н</w:t>
      </w:r>
      <w:r>
        <w:rPr>
          <w:b/>
        </w:rPr>
        <w:t>дидатов в целях расширения представительства женщин на руководящих должн</w:t>
      </w:r>
      <w:r>
        <w:rPr>
          <w:b/>
        </w:rPr>
        <w:t>о</w:t>
      </w:r>
      <w:r>
        <w:rPr>
          <w:b/>
        </w:rPr>
        <w:t>стях в избираемых и назначаемых политических органах;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организовать подготовку по вопросам </w:t>
      </w:r>
      <w:proofErr w:type="spellStart"/>
      <w:r>
        <w:rPr>
          <w:b/>
        </w:rPr>
        <w:t>гендерного</w:t>
      </w:r>
      <w:proofErr w:type="spellEnd"/>
      <w:r>
        <w:rPr>
          <w:b/>
        </w:rPr>
        <w:t xml:space="preserve"> равенства для гражданских служащих и политиков, особенно для мужчин, в целях укрепления понимания того, что всестороннее и равноправное участие мужчин и женщин в политической и общественной жизни является одним из необходимых условий всеобъемлющего осуществления Конвенции и, с</w:t>
      </w:r>
      <w:r>
        <w:rPr>
          <w:b/>
        </w:rPr>
        <w:t>о</w:t>
      </w:r>
      <w:r>
        <w:rPr>
          <w:b/>
        </w:rPr>
        <w:t>ответственно, создает более благоприятные возможности для участия же</w:t>
      </w:r>
      <w:r>
        <w:rPr>
          <w:b/>
        </w:rPr>
        <w:t>н</w:t>
      </w:r>
      <w:r>
        <w:rPr>
          <w:b/>
        </w:rPr>
        <w:t xml:space="preserve">щин в политической и общественной жизни. </w:t>
      </w:r>
    </w:p>
    <w:p w:rsidR="00000000" w:rsidRDefault="00000000">
      <w:pPr>
        <w:pStyle w:val="H23GR"/>
      </w:pPr>
      <w:r>
        <w:tab/>
      </w:r>
      <w:r>
        <w:tab/>
        <w:t>Образование</w:t>
      </w:r>
    </w:p>
    <w:p w:rsidR="00000000" w:rsidRDefault="00000000">
      <w:pPr>
        <w:pStyle w:val="SingleTxtGR"/>
      </w:pPr>
      <w:r>
        <w:t>30.</w:t>
      </w:r>
      <w:r>
        <w:tab/>
        <w:t>Комитет с беспокойством отмечает, что женщины и девочки по-прежнему выбирают учебные специализации и профессиональную подготовку, в которых женщины традиционно занимают доминирующее положение. Комитет также обеспокоен тем, что усилия, которые государство-участник продолжает прил</w:t>
      </w:r>
      <w:r>
        <w:t>а</w:t>
      </w:r>
      <w:r>
        <w:t>гать для решения проблемы стереотипного выбора образования, могут лишь усилить учебные и профессиональные предпочтения, которых традиционно придерживаются мужчины и женщины.</w:t>
      </w:r>
    </w:p>
    <w:p w:rsidR="00000000" w:rsidRDefault="00000000">
      <w:pPr>
        <w:pStyle w:val="SingleTxtGR"/>
        <w:rPr>
          <w:b/>
        </w:rPr>
      </w:pPr>
      <w:r>
        <w:t>31.</w:t>
      </w:r>
      <w:r>
        <w:tab/>
      </w:r>
      <w:r>
        <w:rPr>
          <w:b/>
        </w:rPr>
        <w:t>Комитет рекомендует государству-участнику активизировать его усилия, направленные на диверсификацию образовательного и професси</w:t>
      </w:r>
      <w:r>
        <w:rPr>
          <w:b/>
        </w:rPr>
        <w:t>о</w:t>
      </w:r>
      <w:r>
        <w:rPr>
          <w:b/>
        </w:rPr>
        <w:t>нального выбора мужчин и женщин, а также принять дополнительные м</w:t>
      </w:r>
      <w:r>
        <w:rPr>
          <w:b/>
        </w:rPr>
        <w:t>е</w:t>
      </w:r>
      <w:r>
        <w:rPr>
          <w:b/>
        </w:rPr>
        <w:t xml:space="preserve">ры для поощрения выбора мужчинами и женщинами не типичных с </w:t>
      </w:r>
      <w:proofErr w:type="spellStart"/>
      <w:r>
        <w:rPr>
          <w:b/>
        </w:rPr>
        <w:t>ге</w:t>
      </w:r>
      <w:r>
        <w:rPr>
          <w:b/>
        </w:rPr>
        <w:t>н</w:t>
      </w:r>
      <w:r>
        <w:rPr>
          <w:b/>
        </w:rPr>
        <w:t>дерной</w:t>
      </w:r>
      <w:proofErr w:type="spellEnd"/>
      <w:r>
        <w:rPr>
          <w:b/>
        </w:rPr>
        <w:t xml:space="preserve"> точки зрения учебных и профессиональных специализаций.</w:t>
      </w:r>
    </w:p>
    <w:p w:rsidR="00000000" w:rsidRDefault="00000000">
      <w:pPr>
        <w:pStyle w:val="SingleTxtGR"/>
      </w:pPr>
      <w:r>
        <w:t>32.</w:t>
      </w:r>
      <w:r>
        <w:tab/>
        <w:t>Комитет с беспокойством отмечает малочисленность женщин, продо</w:t>
      </w:r>
      <w:r>
        <w:t>л</w:t>
      </w:r>
      <w:r>
        <w:t>жающих или завершивших обучение в аспирантуре, отсутствие женщин-профессоров и членов Университетского совета, низкую долю женщин среди заведующих учебными кафедрами, лекторов, доцентов и университетских а</w:t>
      </w:r>
      <w:r>
        <w:t>д</w:t>
      </w:r>
      <w:r>
        <w:t xml:space="preserve">министраторов, а также сожалеет в связи с сообщениями о недавнем урезании бюджетных ассигнований на принятие мер по поощрению </w:t>
      </w:r>
      <w:proofErr w:type="spellStart"/>
      <w:r>
        <w:t>гендерного</w:t>
      </w:r>
      <w:proofErr w:type="spellEnd"/>
      <w:r>
        <w:t xml:space="preserve"> равенства и разнообразия в Университете Лихте</w:t>
      </w:r>
      <w:r>
        <w:t>н</w:t>
      </w:r>
      <w:r>
        <w:t>штейна.</w:t>
      </w:r>
    </w:p>
    <w:p w:rsidR="00000000" w:rsidRDefault="00000000">
      <w:pPr>
        <w:pStyle w:val="SingleTxtGR"/>
        <w:rPr>
          <w:b/>
        </w:rPr>
      </w:pPr>
      <w:r>
        <w:t>33.</w:t>
      </w:r>
      <w:r>
        <w:tab/>
      </w:r>
      <w:r>
        <w:rPr>
          <w:b/>
        </w:rPr>
        <w:t>Комитет рекомендует государству-участнику принять действенные меры в целях: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поощрения обучения женщин для получения учебных степеней магистра и доктора;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) </w:t>
      </w:r>
      <w:r>
        <w:rPr>
          <w:b/>
        </w:rPr>
        <w:tab/>
        <w:t>поощрения занятия женщинами должностей профессоров, зав</w:t>
      </w:r>
      <w:r>
        <w:rPr>
          <w:b/>
        </w:rPr>
        <w:t>е</w:t>
      </w:r>
      <w:r>
        <w:rPr>
          <w:b/>
        </w:rPr>
        <w:t>дующих кафедрами, лекторов и доцентов, а также руководящих админис</w:t>
      </w:r>
      <w:r>
        <w:rPr>
          <w:b/>
        </w:rPr>
        <w:t>т</w:t>
      </w:r>
      <w:r>
        <w:rPr>
          <w:b/>
        </w:rPr>
        <w:t>ративных постов в Университете;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 xml:space="preserve">соблюдения принципа </w:t>
      </w:r>
      <w:proofErr w:type="spellStart"/>
      <w:r>
        <w:rPr>
          <w:b/>
        </w:rPr>
        <w:t>гендерного</w:t>
      </w:r>
      <w:proofErr w:type="spellEnd"/>
      <w:r>
        <w:rPr>
          <w:b/>
        </w:rPr>
        <w:t xml:space="preserve"> паритета при назначении членов Университетского совета;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d</w:t>
      </w:r>
      <w:proofErr w:type="spellEnd"/>
      <w:r>
        <w:rPr>
          <w:b/>
        </w:rPr>
        <w:t>)</w:t>
      </w:r>
      <w:r>
        <w:rPr>
          <w:b/>
        </w:rPr>
        <w:tab/>
        <w:t>выделения надлежащего финансирования и ресурсов для сп</w:t>
      </w:r>
      <w:r>
        <w:rPr>
          <w:b/>
        </w:rPr>
        <w:t>е</w:t>
      </w:r>
      <w:r>
        <w:rPr>
          <w:b/>
        </w:rPr>
        <w:t xml:space="preserve">циальных программ и фондов по поощрению </w:t>
      </w:r>
      <w:proofErr w:type="spellStart"/>
      <w:r>
        <w:rPr>
          <w:b/>
        </w:rPr>
        <w:t>гендерного</w:t>
      </w:r>
      <w:proofErr w:type="spellEnd"/>
      <w:r>
        <w:rPr>
          <w:b/>
        </w:rPr>
        <w:t xml:space="preserve"> равенства и ра</w:t>
      </w:r>
      <w:r>
        <w:rPr>
          <w:b/>
        </w:rPr>
        <w:t>з</w:t>
      </w:r>
      <w:r>
        <w:rPr>
          <w:b/>
        </w:rPr>
        <w:t>нообразия в высших учебных заведениях государства-участника.</w:t>
      </w:r>
    </w:p>
    <w:p w:rsidR="00000000" w:rsidRDefault="00000000">
      <w:pPr>
        <w:pStyle w:val="H23GR"/>
      </w:pPr>
      <w:r>
        <w:tab/>
      </w:r>
      <w:r>
        <w:tab/>
        <w:t>Занятость</w:t>
      </w:r>
    </w:p>
    <w:p w:rsidR="00000000" w:rsidRDefault="00000000">
      <w:pPr>
        <w:pStyle w:val="SingleTxtGR"/>
      </w:pPr>
      <w:r>
        <w:t>34.</w:t>
      </w:r>
      <w:r>
        <w:tab/>
        <w:t>Комитет вновь выражает беспокойство в связи с сохраняющимися разл</w:t>
      </w:r>
      <w:r>
        <w:t>и</w:t>
      </w:r>
      <w:r>
        <w:t>чиями в оплате труда мужчин и женщин и по поводу сохраняющейся горизо</w:t>
      </w:r>
      <w:r>
        <w:t>н</w:t>
      </w:r>
      <w:r>
        <w:t>тальной и вертикальной сегрегации на рынке труда, где женщины преимущес</w:t>
      </w:r>
      <w:r>
        <w:t>т</w:t>
      </w:r>
      <w:r>
        <w:t>венно выполняют низкооплачиваемую работу и трудятся во внеурочное время, что негативно влияет на их профессиональный рост и пенсионные выплаты. Отмечая низкий уровень безработицы в государстве-участнике, Комитет ко</w:t>
      </w:r>
      <w:r>
        <w:t>н</w:t>
      </w:r>
      <w:r>
        <w:t>статир</w:t>
      </w:r>
      <w:r>
        <w:t>у</w:t>
      </w:r>
      <w:r>
        <w:t>ет, что безработица среди женщин выше, чем среди мужчин.</w:t>
      </w:r>
    </w:p>
    <w:p w:rsidR="00000000" w:rsidRDefault="00000000">
      <w:pPr>
        <w:pStyle w:val="SingleTxtGR"/>
        <w:rPr>
          <w:b/>
        </w:rPr>
      </w:pPr>
      <w:r>
        <w:t>35.</w:t>
      </w:r>
      <w:r>
        <w:tab/>
      </w:r>
      <w:r>
        <w:rPr>
          <w:b/>
        </w:rPr>
        <w:t>Комитет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осуществлять политику и принять все необходимые меры, в том числе временные специальные меры в соответствии с пунктом 1 ст</w:t>
      </w:r>
      <w:r>
        <w:rPr>
          <w:b/>
        </w:rPr>
        <w:t>а</w:t>
      </w:r>
      <w:r>
        <w:rPr>
          <w:b/>
        </w:rPr>
        <w:t>тьи 4 Конвенции и с разработанной Комитетом Общей рекомендац</w:t>
      </w:r>
      <w:r>
        <w:rPr>
          <w:b/>
        </w:rPr>
        <w:t>и</w:t>
      </w:r>
      <w:r>
        <w:rPr>
          <w:b/>
        </w:rPr>
        <w:t>ей № 25, определив обязательные по срокам целевые показатели и крит</w:t>
      </w:r>
      <w:r>
        <w:rPr>
          <w:b/>
        </w:rPr>
        <w:t>е</w:t>
      </w:r>
      <w:r>
        <w:rPr>
          <w:b/>
        </w:rPr>
        <w:t>рии для достижения реального равенства между мужчинами и женщинами на рынке труда, ликвидации профессиональной сегрегации и сокращения разл</w:t>
      </w:r>
      <w:r>
        <w:rPr>
          <w:b/>
        </w:rPr>
        <w:t>и</w:t>
      </w:r>
      <w:r>
        <w:rPr>
          <w:b/>
        </w:rPr>
        <w:t>чий в оплате труда мужчин и женщин;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) </w:t>
      </w:r>
      <w:r>
        <w:rPr>
          <w:b/>
        </w:rPr>
        <w:tab/>
        <w:t>принять меры для ликвидации любых негативных последствий внеурочной работы женщин, особенно в плане возможностей их профе</w:t>
      </w:r>
      <w:r>
        <w:rPr>
          <w:b/>
        </w:rPr>
        <w:t>с</w:t>
      </w:r>
      <w:r>
        <w:rPr>
          <w:b/>
        </w:rPr>
        <w:t>сионального роста, а также пенсионных выплат и иных пособий по соц</w:t>
      </w:r>
      <w:r>
        <w:rPr>
          <w:b/>
        </w:rPr>
        <w:t>и</w:t>
      </w:r>
      <w:r>
        <w:rPr>
          <w:b/>
        </w:rPr>
        <w:t>альному обеспечению;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рассмотреть вопрос о вступлении в Международную организ</w:t>
      </w:r>
      <w:r>
        <w:rPr>
          <w:b/>
        </w:rPr>
        <w:t>а</w:t>
      </w:r>
      <w:r>
        <w:rPr>
          <w:b/>
        </w:rPr>
        <w:t>цию труда и о ратификации принятых МОТ Конвенции № 100 (1951 года) о равном вознаграждении, Конвенции № 111 (1958 года) о дискриминации в области труда и занятий и Конвенции № 156 (1981 года) о трудящихся с с</w:t>
      </w:r>
      <w:r>
        <w:rPr>
          <w:b/>
        </w:rPr>
        <w:t>е</w:t>
      </w:r>
      <w:r>
        <w:rPr>
          <w:b/>
        </w:rPr>
        <w:t>мейными обязанностями.</w:t>
      </w:r>
    </w:p>
    <w:p w:rsidR="00000000" w:rsidRDefault="00000000">
      <w:pPr>
        <w:pStyle w:val="SingleTxtGR"/>
      </w:pPr>
      <w:r>
        <w:t>36.</w:t>
      </w:r>
      <w:r>
        <w:tab/>
        <w:t xml:space="preserve">Комитет обеспокоен недостатком государственных </w:t>
      </w:r>
      <w:proofErr w:type="spellStart"/>
      <w:r>
        <w:t>ясель</w:t>
      </w:r>
      <w:proofErr w:type="spellEnd"/>
      <w:r>
        <w:t xml:space="preserve"> и дневных школ, а также ограниченной эффективностью мер по поощрению участия отцов в воспитании детей и в выполнении других домашних обязанностей. </w:t>
      </w:r>
    </w:p>
    <w:p w:rsidR="00000000" w:rsidRDefault="00000000">
      <w:pPr>
        <w:pStyle w:val="SingleTxtGR"/>
        <w:rPr>
          <w:b/>
        </w:rPr>
      </w:pPr>
      <w:r>
        <w:t>37.</w:t>
      </w:r>
      <w:r>
        <w:tab/>
      </w:r>
      <w:r>
        <w:rPr>
          <w:b/>
        </w:rPr>
        <w:t>Комитет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 xml:space="preserve">увеличить число и вместимость государственных </w:t>
      </w:r>
      <w:proofErr w:type="spellStart"/>
      <w:r>
        <w:rPr>
          <w:b/>
        </w:rPr>
        <w:t>ясель</w:t>
      </w:r>
      <w:proofErr w:type="spellEnd"/>
      <w:r>
        <w:rPr>
          <w:b/>
        </w:rPr>
        <w:t xml:space="preserve"> и дне</w:t>
      </w:r>
      <w:r>
        <w:rPr>
          <w:b/>
        </w:rPr>
        <w:t>в</w:t>
      </w:r>
      <w:r>
        <w:rPr>
          <w:b/>
        </w:rPr>
        <w:t>ных школ;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) </w:t>
      </w:r>
      <w:r>
        <w:rPr>
          <w:b/>
        </w:rPr>
        <w:tab/>
        <w:t>обеспечить, чтобы в государственном и частном секторах не только женщины, но и мужчины могли работать по гибкому графику и во внеурочное время, а также чтобы были приняты меры для поощрения и</w:t>
      </w:r>
      <w:r>
        <w:rPr>
          <w:b/>
        </w:rPr>
        <w:t>с</w:t>
      </w:r>
      <w:r>
        <w:rPr>
          <w:b/>
        </w:rPr>
        <w:t>пользования мужч</w:t>
      </w:r>
      <w:r>
        <w:rPr>
          <w:b/>
        </w:rPr>
        <w:t>и</w:t>
      </w:r>
      <w:r>
        <w:rPr>
          <w:b/>
        </w:rPr>
        <w:t>нами такой возможности;</w:t>
      </w:r>
    </w:p>
    <w:p w:rsidR="00000000" w:rsidRDefault="00000000">
      <w:pPr>
        <w:pStyle w:val="SingleTxtGR"/>
        <w:rPr>
          <w:b/>
        </w:rPr>
      </w:pPr>
      <w:r>
        <w:tab/>
      </w:r>
      <w:r>
        <w:rPr>
          <w:b/>
        </w:rPr>
        <w:t>с)</w:t>
      </w:r>
      <w:r>
        <w:rPr>
          <w:b/>
        </w:rPr>
        <w:tab/>
        <w:t>поощрять ответственный подход отцов, в том числе посредс</w:t>
      </w:r>
      <w:r>
        <w:rPr>
          <w:b/>
        </w:rPr>
        <w:t>т</w:t>
      </w:r>
      <w:r>
        <w:rPr>
          <w:b/>
        </w:rPr>
        <w:t>вом введения таких стимулов, как предоставление отцам оплачиваемого отпуска для ухода за ребенком, с тем чтобы они более активно участв</w:t>
      </w:r>
      <w:r>
        <w:rPr>
          <w:b/>
        </w:rPr>
        <w:t>о</w:t>
      </w:r>
      <w:r>
        <w:rPr>
          <w:b/>
        </w:rPr>
        <w:t>вали в воспитании детей и выполняли иные домашние обязанности на равн</w:t>
      </w:r>
      <w:r>
        <w:rPr>
          <w:b/>
        </w:rPr>
        <w:t>о</w:t>
      </w:r>
      <w:r>
        <w:rPr>
          <w:b/>
        </w:rPr>
        <w:t>правной основе.</w:t>
      </w:r>
    </w:p>
    <w:p w:rsidR="00000000" w:rsidRDefault="00000000">
      <w:pPr>
        <w:pStyle w:val="H23GR"/>
      </w:pPr>
      <w:r>
        <w:tab/>
      </w:r>
      <w:r>
        <w:tab/>
        <w:t>Здравоохранение</w:t>
      </w:r>
    </w:p>
    <w:p w:rsidR="00000000" w:rsidRDefault="00000000">
      <w:pPr>
        <w:pStyle w:val="SingleTxtGR"/>
      </w:pPr>
      <w:r>
        <w:t>38.</w:t>
      </w:r>
      <w:r>
        <w:tab/>
        <w:t>Комитет отмечает медлительность, которую проявляют рабочие группы по урегулированию связанных с беременностью конфликтов при нахождении решений для декриминализации абортов. Он также с беспокойством отмечает, что контрацептивные средства, как правило, бесплатно не распространяются и что женщины из находящихся в неблагоприятном положении групп, включая женщин-инвалидов и женщин-мигрантов, иногда сталкиваются с трудностями в получении доступа к услугам в области сексуального и репродуктивного здор</w:t>
      </w:r>
      <w:r>
        <w:t>о</w:t>
      </w:r>
      <w:r>
        <w:t>вья и к информации.</w:t>
      </w:r>
    </w:p>
    <w:p w:rsidR="00000000" w:rsidRDefault="00000000">
      <w:pPr>
        <w:pStyle w:val="SingleTxtGR"/>
        <w:rPr>
          <w:b/>
        </w:rPr>
      </w:pPr>
      <w:r>
        <w:t>39.</w:t>
      </w:r>
      <w:r>
        <w:tab/>
      </w:r>
      <w:r>
        <w:rPr>
          <w:b/>
        </w:rPr>
        <w:t>В соответствии со своими предыдущими заключительными замеч</w:t>
      </w:r>
      <w:r>
        <w:rPr>
          <w:b/>
        </w:rPr>
        <w:t>а</w:t>
      </w:r>
      <w:r>
        <w:rPr>
          <w:b/>
        </w:rPr>
        <w:t>ниями (</w:t>
      </w:r>
      <w:proofErr w:type="spellStart"/>
      <w:r>
        <w:rPr>
          <w:b/>
        </w:rPr>
        <w:t>CEDAW</w:t>
      </w:r>
      <w:proofErr w:type="spellEnd"/>
      <w:r>
        <w:rPr>
          <w:b/>
        </w:rPr>
        <w:t>/</w:t>
      </w:r>
      <w:proofErr w:type="spellStart"/>
      <w:r>
        <w:rPr>
          <w:b/>
        </w:rPr>
        <w:t>C</w:t>
      </w:r>
      <w:proofErr w:type="spellEnd"/>
      <w:r>
        <w:rPr>
          <w:b/>
        </w:rPr>
        <w:t>/</w:t>
      </w:r>
      <w:proofErr w:type="spellStart"/>
      <w:r>
        <w:rPr>
          <w:b/>
        </w:rPr>
        <w:t>LIE</w:t>
      </w:r>
      <w:proofErr w:type="spellEnd"/>
      <w:r>
        <w:rPr>
          <w:b/>
        </w:rPr>
        <w:t>/</w:t>
      </w:r>
      <w:proofErr w:type="spellStart"/>
      <w:r>
        <w:rPr>
          <w:b/>
        </w:rPr>
        <w:t>CO</w:t>
      </w:r>
      <w:proofErr w:type="spellEnd"/>
      <w:r>
        <w:rPr>
          <w:b/>
        </w:rPr>
        <w:t>/3, пункт 26) и своей Общей рекомендацией № 24 (1999 года) Комитет призывает государство-участник: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ускорить процедуру пересмотра законодательства об абортах в целях отмены положений о наказании женщин, сделавших аборт;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) </w:t>
      </w:r>
      <w:r>
        <w:rPr>
          <w:b/>
        </w:rPr>
        <w:tab/>
        <w:t>обеспечить, чтобы все женщины и девочки, включая подрос</w:t>
      </w:r>
      <w:r>
        <w:rPr>
          <w:b/>
        </w:rPr>
        <w:t>т</w:t>
      </w:r>
      <w:r>
        <w:rPr>
          <w:b/>
        </w:rPr>
        <w:t>ков, женщин-инвалидов и женщин-мигрантов, имели бесплатный и нео</w:t>
      </w:r>
      <w:r>
        <w:rPr>
          <w:b/>
        </w:rPr>
        <w:t>г</w:t>
      </w:r>
      <w:r>
        <w:rPr>
          <w:b/>
        </w:rPr>
        <w:t>раниченный доступ к контрацептивным средствам, а также к услугам в области сексуального и репродуктивного здоровья и к информации, изл</w:t>
      </w:r>
      <w:r>
        <w:rPr>
          <w:b/>
        </w:rPr>
        <w:t>о</w:t>
      </w:r>
      <w:r>
        <w:rPr>
          <w:b/>
        </w:rPr>
        <w:t>женной в доступной для них форме.</w:t>
      </w:r>
    </w:p>
    <w:p w:rsidR="00000000" w:rsidRDefault="00000000">
      <w:pPr>
        <w:pStyle w:val="H23GR"/>
      </w:pPr>
      <w:r>
        <w:tab/>
      </w:r>
      <w:r>
        <w:tab/>
        <w:t>Находящиеся в неблагоприятном положении группы женщин</w:t>
      </w:r>
    </w:p>
    <w:p w:rsidR="00000000" w:rsidRDefault="00000000">
      <w:pPr>
        <w:pStyle w:val="SingleTxtGR"/>
      </w:pPr>
      <w:r>
        <w:t>40.</w:t>
      </w:r>
      <w:r>
        <w:tab/>
        <w:t>Комитет обеспокоен наличием де-факто дискриминации, которой подве</w:t>
      </w:r>
      <w:r>
        <w:t>р</w:t>
      </w:r>
      <w:r>
        <w:t>гаются определенные находящиеся в неблагоприятном положении группы женщин, особенно престарелые женщины, женщины-инвалиды и женщины-мигранты, в таких сферах, как образование, занятость и здравоохранение, а также их особой уязвимостью к актам насилия и злоупотреблениям. Он также обеспокоен тем, что условия приема просителей убежища, в частности женщин и детей, не всегда являются адекватными.</w:t>
      </w:r>
    </w:p>
    <w:p w:rsidR="00000000" w:rsidRDefault="00000000">
      <w:pPr>
        <w:pStyle w:val="SingleTxtGR"/>
        <w:rPr>
          <w:b/>
        </w:rPr>
      </w:pPr>
      <w:r>
        <w:t>41.</w:t>
      </w:r>
      <w:r>
        <w:tab/>
      </w:r>
      <w:r>
        <w:rPr>
          <w:b/>
        </w:rPr>
        <w:t>Комитет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собрать дезагрегированные данные о положении таких же</w:t>
      </w:r>
      <w:r>
        <w:rPr>
          <w:b/>
        </w:rPr>
        <w:t>н</w:t>
      </w:r>
      <w:r>
        <w:rPr>
          <w:b/>
        </w:rPr>
        <w:t>щин, страдающих от самых разных форм дискриминации, как престар</w:t>
      </w:r>
      <w:r>
        <w:rPr>
          <w:b/>
        </w:rPr>
        <w:t>е</w:t>
      </w:r>
      <w:r>
        <w:rPr>
          <w:b/>
        </w:rPr>
        <w:t>лые женщины, женщины-инвалиды и женщины-мигранты, а также пр</w:t>
      </w:r>
      <w:r>
        <w:rPr>
          <w:b/>
        </w:rPr>
        <w:t>и</w:t>
      </w:r>
      <w:r>
        <w:rPr>
          <w:b/>
        </w:rPr>
        <w:t>нять действенные меры, в том числе временные специальные меры, для ликвидации такой дискриминации, в частности в сферах образования, з</w:t>
      </w:r>
      <w:r>
        <w:rPr>
          <w:b/>
        </w:rPr>
        <w:t>а</w:t>
      </w:r>
      <w:r>
        <w:rPr>
          <w:b/>
        </w:rPr>
        <w:t>нятости и здравоохранения, и обеспечить им защиту от актов насилия и злоупотреблений;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) </w:t>
      </w:r>
      <w:r>
        <w:rPr>
          <w:b/>
        </w:rPr>
        <w:tab/>
        <w:t>обеспечить адекватные условия приема просителей убежища, в частности семей и разлученных детей, при всестороннем учете особых п</w:t>
      </w:r>
      <w:r>
        <w:rPr>
          <w:b/>
        </w:rPr>
        <w:t>о</w:t>
      </w:r>
      <w:r>
        <w:rPr>
          <w:b/>
        </w:rPr>
        <w:t>требностей женщин и девочек.</w:t>
      </w:r>
    </w:p>
    <w:p w:rsidR="00000000" w:rsidRDefault="00000000">
      <w:pPr>
        <w:pStyle w:val="H23GR"/>
      </w:pPr>
      <w:r>
        <w:tab/>
      </w:r>
      <w:r>
        <w:tab/>
        <w:t>Брак и семейные отношения</w:t>
      </w:r>
    </w:p>
    <w:p w:rsidR="00000000" w:rsidRDefault="00000000">
      <w:pPr>
        <w:pStyle w:val="SingleTxtGR"/>
      </w:pPr>
      <w:r>
        <w:t>42.</w:t>
      </w:r>
      <w:r>
        <w:tab/>
        <w:t>Комитет отмечает отсутствие информации об определении и сфере охвата понятия о совместном супружеском имуществе, в частности о том, относятся ли к такой собственности, подлежащей разделу в равных долях после развода, пенсионные и страховые выплаты, а также иные связанные с профессиональной деятельностью активы; и существует ли какой-либо правовой механизм ко</w:t>
      </w:r>
      <w:r>
        <w:t>м</w:t>
      </w:r>
      <w:r>
        <w:t xml:space="preserve">пенсации тех экономических различий между супругами, которые обусловлены существующей </w:t>
      </w:r>
      <w:proofErr w:type="spellStart"/>
      <w:r>
        <w:t>гендерной</w:t>
      </w:r>
      <w:proofErr w:type="spellEnd"/>
      <w:r>
        <w:t xml:space="preserve"> сегрегацией на рынке труда, и тем, что неоплачива</w:t>
      </w:r>
      <w:r>
        <w:t>е</w:t>
      </w:r>
      <w:r>
        <w:t>мую работу выполняют в основном женщины. Комитет также с беспокойством отмечает, что в соответствии с режимом раздела собственности, который де-факто применяется к партнерским отношениям, женщинам угрожает риск о</w:t>
      </w:r>
      <w:r>
        <w:t>с</w:t>
      </w:r>
      <w:r>
        <w:t>таться без эффективной защиты в случае распада партнерского союза. Комитет также обеспокоен тем, что в рамках текущего пересмотра положений о род</w:t>
      </w:r>
      <w:r>
        <w:t>и</w:t>
      </w:r>
      <w:r>
        <w:t>тельской опеке явно не учитываются результаты сравнительного исследования.</w:t>
      </w:r>
    </w:p>
    <w:p w:rsidR="00000000" w:rsidRDefault="00000000">
      <w:pPr>
        <w:pStyle w:val="SingleTxtGR"/>
        <w:rPr>
          <w:b/>
        </w:rPr>
      </w:pPr>
      <w:r>
        <w:t>43.</w:t>
      </w:r>
      <w:r>
        <w:tab/>
      </w:r>
      <w:r>
        <w:rPr>
          <w:b/>
        </w:rPr>
        <w:t>Ссылаясь на свою Общую рекомендацию № 21 (1994 года), Комитет рекомендует государству-участнику: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 xml:space="preserve">провести исследование экономических последствий развода для двух супругов с </w:t>
      </w:r>
      <w:proofErr w:type="spellStart"/>
      <w:r>
        <w:rPr>
          <w:b/>
        </w:rPr>
        <w:t>уделением</w:t>
      </w:r>
      <w:proofErr w:type="spellEnd"/>
      <w:r>
        <w:rPr>
          <w:b/>
        </w:rPr>
        <w:t xml:space="preserve"> особого внимания более благоприятному пол</w:t>
      </w:r>
      <w:r>
        <w:rPr>
          <w:b/>
        </w:rPr>
        <w:t>о</w:t>
      </w:r>
      <w:r>
        <w:rPr>
          <w:b/>
        </w:rPr>
        <w:t>жению супругов-мужчин в плане их личного развития и получения дохода вследствие непрерывной и осуществляемой в течение полного рабочего дня профессиональной деятельности и включить в его следующий периодич</w:t>
      </w:r>
      <w:r>
        <w:rPr>
          <w:b/>
        </w:rPr>
        <w:t>е</w:t>
      </w:r>
      <w:r>
        <w:rPr>
          <w:b/>
        </w:rPr>
        <w:t>ский доклад информацию о результатах такого исследования;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>)</w:t>
      </w:r>
      <w:r>
        <w:rPr>
          <w:b/>
        </w:rPr>
        <w:tab/>
        <w:t>обеспечить, чтобы понятие о совместном супружеском имущ</w:t>
      </w:r>
      <w:r>
        <w:rPr>
          <w:b/>
        </w:rPr>
        <w:t>е</w:t>
      </w:r>
      <w:r>
        <w:rPr>
          <w:b/>
        </w:rPr>
        <w:t>стве охватывало нематериальное имущество, включая пенсионные и стр</w:t>
      </w:r>
      <w:r>
        <w:rPr>
          <w:b/>
        </w:rPr>
        <w:t>а</w:t>
      </w:r>
      <w:r>
        <w:rPr>
          <w:b/>
        </w:rPr>
        <w:t>ховые выплаты и другие связанные с профессиональной деятельностью активы, и принять, в случае необходимости, дополнительные юридические меры для компенсации того, что неоплачиваемую работу выполняют пр</w:t>
      </w:r>
      <w:r>
        <w:rPr>
          <w:b/>
        </w:rPr>
        <w:t>е</w:t>
      </w:r>
      <w:r>
        <w:rPr>
          <w:b/>
        </w:rPr>
        <w:t>имущ</w:t>
      </w:r>
      <w:r>
        <w:rPr>
          <w:b/>
        </w:rPr>
        <w:t>е</w:t>
      </w:r>
      <w:r>
        <w:rPr>
          <w:b/>
        </w:rPr>
        <w:t>ственно женщины;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еще более активизировать его усилия для повышения уровня информированности женщин о рисках вступления в де-факто долгосро</w:t>
      </w:r>
      <w:r>
        <w:rPr>
          <w:b/>
        </w:rPr>
        <w:t>ч</w:t>
      </w:r>
      <w:r>
        <w:rPr>
          <w:b/>
        </w:rPr>
        <w:t>ные партнерские отношения, в частности о потенциальных различиях в уровнях защиты в случае распада таких партнерских союзов;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</w:r>
      <w:proofErr w:type="spellStart"/>
      <w:r>
        <w:rPr>
          <w:b/>
        </w:rPr>
        <w:t>d</w:t>
      </w:r>
      <w:proofErr w:type="spellEnd"/>
      <w:r>
        <w:rPr>
          <w:b/>
        </w:rPr>
        <w:t>)</w:t>
      </w:r>
      <w:r>
        <w:rPr>
          <w:b/>
        </w:rPr>
        <w:tab/>
        <w:t>проанализировать в рамках текущего пересмотра положений о родительской опеке международное сравнительное исследование потенц</w:t>
      </w:r>
      <w:r>
        <w:rPr>
          <w:b/>
        </w:rPr>
        <w:t>и</w:t>
      </w:r>
      <w:r>
        <w:rPr>
          <w:b/>
        </w:rPr>
        <w:t>ально негативных последствий совместной опеки для женщин и детей.</w:t>
      </w:r>
    </w:p>
    <w:p w:rsidR="00000000" w:rsidRDefault="00000000">
      <w:pPr>
        <w:pStyle w:val="H23GR"/>
      </w:pPr>
      <w:r>
        <w:tab/>
      </w:r>
      <w:r>
        <w:tab/>
        <w:t>Распространение информации</w:t>
      </w:r>
    </w:p>
    <w:p w:rsidR="00000000" w:rsidRDefault="00000000">
      <w:pPr>
        <w:pStyle w:val="SingleTxtGR"/>
        <w:rPr>
          <w:b/>
        </w:rPr>
      </w:pPr>
      <w:r>
        <w:t>44.</w:t>
      </w:r>
      <w:r>
        <w:tab/>
      </w:r>
      <w:r>
        <w:rPr>
          <w:b/>
        </w:rPr>
        <w:t>Комитет просит обеспечить широкое распространение в Лихте</w:t>
      </w:r>
      <w:r>
        <w:rPr>
          <w:b/>
        </w:rPr>
        <w:t>н</w:t>
      </w:r>
      <w:r>
        <w:rPr>
          <w:b/>
        </w:rPr>
        <w:t>штейне настоящих заключительных замечаний для информирования гос</w:t>
      </w:r>
      <w:r>
        <w:rPr>
          <w:b/>
        </w:rPr>
        <w:t>у</w:t>
      </w:r>
      <w:r>
        <w:rPr>
          <w:b/>
        </w:rPr>
        <w:t>дарственных должностных лиц, политиков, членов парламента, предст</w:t>
      </w:r>
      <w:r>
        <w:rPr>
          <w:b/>
        </w:rPr>
        <w:t>а</w:t>
      </w:r>
      <w:r>
        <w:rPr>
          <w:b/>
        </w:rPr>
        <w:t>вителей женских и правозащитных организаций и населения в целом о м</w:t>
      </w:r>
      <w:r>
        <w:rPr>
          <w:b/>
        </w:rPr>
        <w:t>е</w:t>
      </w:r>
      <w:r>
        <w:rPr>
          <w:b/>
        </w:rPr>
        <w:t>рах, принятых для обеспечения де-юре и де-факто равенства женщин, а также о дополнительных усилиях, которые необходимо приложить в этой связи. Комитет рекомендует, чтобы при распространении информации б</w:t>
      </w:r>
      <w:r>
        <w:rPr>
          <w:b/>
        </w:rPr>
        <w:t>ы</w:t>
      </w:r>
      <w:r>
        <w:rPr>
          <w:b/>
        </w:rPr>
        <w:t>ли охвачены и местные общины. Государству-участнику предлагается пр</w:t>
      </w:r>
      <w:r>
        <w:rPr>
          <w:b/>
        </w:rPr>
        <w:t>о</w:t>
      </w:r>
      <w:r>
        <w:rPr>
          <w:b/>
        </w:rPr>
        <w:t>вести серию совещаний для обсуждения прогресса, достигнутого в реал</w:t>
      </w:r>
      <w:r>
        <w:rPr>
          <w:b/>
        </w:rPr>
        <w:t>и</w:t>
      </w:r>
      <w:r>
        <w:rPr>
          <w:b/>
        </w:rPr>
        <w:t>зации настоящих замечаний. Комитет просит государство-участник пр</w:t>
      </w:r>
      <w:r>
        <w:rPr>
          <w:b/>
        </w:rPr>
        <w:t>о</w:t>
      </w:r>
      <w:r>
        <w:rPr>
          <w:b/>
        </w:rPr>
        <w:t>должать обеспечивать широкое распространение, в частности среди же</w:t>
      </w:r>
      <w:r>
        <w:rPr>
          <w:b/>
        </w:rPr>
        <w:t>н</w:t>
      </w:r>
      <w:r>
        <w:rPr>
          <w:b/>
        </w:rPr>
        <w:t>ских и правозащитных организаций, общих рекомендаций Комитета, П</w:t>
      </w:r>
      <w:r>
        <w:rPr>
          <w:b/>
        </w:rPr>
        <w:t>е</w:t>
      </w:r>
      <w:r>
        <w:rPr>
          <w:b/>
        </w:rPr>
        <w:t>кинской де</w:t>
      </w:r>
      <w:r>
        <w:rPr>
          <w:b/>
        </w:rPr>
        <w:t>к</w:t>
      </w:r>
      <w:r>
        <w:rPr>
          <w:b/>
        </w:rPr>
        <w:t>ларации и Платформы действий, а также итогов двадцать третьей спец</w:t>
      </w:r>
      <w:r>
        <w:rPr>
          <w:b/>
        </w:rPr>
        <w:t>и</w:t>
      </w:r>
      <w:r>
        <w:rPr>
          <w:b/>
        </w:rPr>
        <w:t xml:space="preserve">альной сессии Генеральной Ассамблеи по теме "Женщины в 2000 году: равенство между мужчинами и женщинами, развитие и мир в </w:t>
      </w:r>
      <w:r>
        <w:rPr>
          <w:b/>
          <w:lang w:val="en-US"/>
        </w:rPr>
        <w:t>XXI</w:t>
      </w:r>
      <w:r>
        <w:rPr>
          <w:b/>
        </w:rPr>
        <w:t xml:space="preserve"> веке".</w:t>
      </w:r>
    </w:p>
    <w:p w:rsidR="00000000" w:rsidRDefault="00000000">
      <w:pPr>
        <w:pStyle w:val="H23GR"/>
      </w:pPr>
      <w:r>
        <w:tab/>
      </w:r>
      <w:r>
        <w:tab/>
        <w:t>Ратификация других договоров</w:t>
      </w:r>
    </w:p>
    <w:p w:rsidR="00000000" w:rsidRDefault="00000000">
      <w:pPr>
        <w:pStyle w:val="SingleTxtGR"/>
        <w:rPr>
          <w:b/>
        </w:rPr>
      </w:pPr>
      <w:r>
        <w:t>45.</w:t>
      </w:r>
      <w:r>
        <w:tab/>
      </w:r>
      <w:r>
        <w:rPr>
          <w:b/>
        </w:rPr>
        <w:t>Комитет отмечает, что присоединение государства-участника к дев</w:t>
      </w:r>
      <w:r>
        <w:rPr>
          <w:b/>
        </w:rPr>
        <w:t>я</w:t>
      </w:r>
      <w:r>
        <w:rPr>
          <w:b/>
        </w:rPr>
        <w:t>ти основным международным договорам о правах человека</w:t>
      </w:r>
      <w:r>
        <w:rPr>
          <w:b/>
          <w:vertAlign w:val="superscript"/>
        </w:rPr>
        <w:footnoteReference w:id="1"/>
      </w:r>
      <w:r>
        <w:rPr>
          <w:b/>
        </w:rPr>
        <w:t xml:space="preserve"> будет спосо</w:t>
      </w:r>
      <w:r>
        <w:rPr>
          <w:b/>
        </w:rPr>
        <w:t>б</w:t>
      </w:r>
      <w:r>
        <w:rPr>
          <w:b/>
        </w:rPr>
        <w:t>ствовать осуществлению женщинами их прав и основных свобод во всех сферах жизни. Поэтому Комитет рекомендует государству-участнику ра</w:t>
      </w:r>
      <w:r>
        <w:rPr>
          <w:b/>
        </w:rPr>
        <w:t>с</w:t>
      </w:r>
      <w:r>
        <w:rPr>
          <w:b/>
        </w:rPr>
        <w:t>смотреть вопрос о ратификации договоров, участником которых оно еще не является, т.е. Конвенции о правах инвалидов, Международной конве</w:t>
      </w:r>
      <w:r>
        <w:rPr>
          <w:b/>
        </w:rPr>
        <w:t>н</w:t>
      </w:r>
      <w:r>
        <w:rPr>
          <w:b/>
        </w:rPr>
        <w:t>ции о защите прав всех трудящихся-мигрантов и членов их семей и Ме</w:t>
      </w:r>
      <w:r>
        <w:rPr>
          <w:b/>
        </w:rPr>
        <w:t>ж</w:t>
      </w:r>
      <w:r>
        <w:rPr>
          <w:b/>
        </w:rPr>
        <w:t>дународной конвенции для защиты всех лиц от насильственных исчезн</w:t>
      </w:r>
      <w:r>
        <w:rPr>
          <w:b/>
        </w:rPr>
        <w:t>о</w:t>
      </w:r>
      <w:r>
        <w:rPr>
          <w:b/>
        </w:rPr>
        <w:t xml:space="preserve">вений. </w:t>
      </w:r>
    </w:p>
    <w:p w:rsidR="00000000" w:rsidRDefault="00000000">
      <w:pPr>
        <w:pStyle w:val="H23GR"/>
      </w:pPr>
      <w:r>
        <w:tab/>
      </w:r>
      <w:r>
        <w:tab/>
        <w:t>Последующая деятельность в связи с заключительными замечаниями</w:t>
      </w:r>
    </w:p>
    <w:p w:rsidR="00000000" w:rsidRDefault="00000000">
      <w:pPr>
        <w:pStyle w:val="SingleTxtGR"/>
        <w:rPr>
          <w:b/>
        </w:rPr>
      </w:pPr>
      <w:r>
        <w:t>46.</w:t>
      </w:r>
      <w:r>
        <w:tab/>
      </w:r>
      <w:r>
        <w:rPr>
          <w:b/>
        </w:rPr>
        <w:t>Комитет просит государство-участник представить в течение двух лет письменную информацию о мерах, принятых во исполнение рекоме</w:t>
      </w:r>
      <w:r>
        <w:rPr>
          <w:b/>
        </w:rPr>
        <w:t>н</w:t>
      </w:r>
      <w:r>
        <w:rPr>
          <w:b/>
        </w:rPr>
        <w:t>даций, содержащихся в пунктах 25 и 29 выше.</w:t>
      </w:r>
    </w:p>
    <w:p w:rsidR="00000000" w:rsidRDefault="00000000">
      <w:pPr>
        <w:pStyle w:val="H23GR"/>
      </w:pPr>
      <w:r>
        <w:tab/>
      </w:r>
      <w:r>
        <w:tab/>
        <w:t>Подготовка следующего доклада</w:t>
      </w:r>
    </w:p>
    <w:p w:rsidR="00000000" w:rsidRDefault="00000000">
      <w:pPr>
        <w:pStyle w:val="SingleTxtGR"/>
        <w:rPr>
          <w:b/>
        </w:rPr>
      </w:pPr>
      <w:r>
        <w:t>47.</w:t>
      </w:r>
      <w:r>
        <w:tab/>
      </w:r>
      <w:r>
        <w:rPr>
          <w:b/>
        </w:rPr>
        <w:t>Комитет просит государство-участник обеспечить участие всех мин</w:t>
      </w:r>
      <w:r>
        <w:rPr>
          <w:b/>
        </w:rPr>
        <w:t>и</w:t>
      </w:r>
      <w:r>
        <w:rPr>
          <w:b/>
        </w:rPr>
        <w:t>стерств и государственных органов в подготовке его следующего период</w:t>
      </w:r>
      <w:r>
        <w:rPr>
          <w:b/>
        </w:rPr>
        <w:t>и</w:t>
      </w:r>
      <w:r>
        <w:rPr>
          <w:b/>
        </w:rPr>
        <w:t>ческого доклада, а также одновременно провести консультации с разли</w:t>
      </w:r>
      <w:r>
        <w:rPr>
          <w:b/>
        </w:rPr>
        <w:t>ч</w:t>
      </w:r>
      <w:r>
        <w:rPr>
          <w:b/>
        </w:rPr>
        <w:t>ными женскими и правозащитными организациями.</w:t>
      </w:r>
    </w:p>
    <w:p w:rsidR="00000000" w:rsidRDefault="00000000">
      <w:pPr>
        <w:pStyle w:val="SingleTxtGR"/>
        <w:rPr>
          <w:b/>
        </w:rPr>
      </w:pPr>
      <w:r>
        <w:t>48.</w:t>
      </w:r>
      <w:r>
        <w:tab/>
      </w:r>
      <w:r>
        <w:rPr>
          <w:b/>
        </w:rPr>
        <w:t>Комитет просит государство-участник ответить в его следующем п</w:t>
      </w:r>
      <w:r>
        <w:rPr>
          <w:b/>
        </w:rPr>
        <w:t>е</w:t>
      </w:r>
      <w:r>
        <w:rPr>
          <w:b/>
        </w:rPr>
        <w:t>риодическом докладе, представляемом в соответствии со статьей 18 Ко</w:t>
      </w:r>
      <w:r>
        <w:rPr>
          <w:b/>
        </w:rPr>
        <w:t>н</w:t>
      </w:r>
      <w:r>
        <w:rPr>
          <w:b/>
        </w:rPr>
        <w:t>венции, на озабоченности, изложенные в настоящих заключительных з</w:t>
      </w:r>
      <w:r>
        <w:rPr>
          <w:b/>
        </w:rPr>
        <w:t>а</w:t>
      </w:r>
      <w:r>
        <w:rPr>
          <w:b/>
        </w:rPr>
        <w:t>мечаниях. Комитет предлагает государству-участнику представить его сл</w:t>
      </w:r>
      <w:r>
        <w:rPr>
          <w:b/>
        </w:rPr>
        <w:t>е</w:t>
      </w:r>
      <w:r>
        <w:rPr>
          <w:b/>
        </w:rPr>
        <w:t>дующий периодический доклад в феврале 2015 года.</w:t>
      </w:r>
    </w:p>
    <w:p w:rsidR="00000000" w:rsidRDefault="00000000">
      <w:pPr>
        <w:pStyle w:val="SingleTxtGR"/>
        <w:rPr>
          <w:b/>
        </w:rPr>
      </w:pPr>
      <w:r>
        <w:t>49.</w:t>
      </w:r>
      <w:r>
        <w:tab/>
      </w:r>
      <w:r>
        <w:rPr>
          <w:b/>
        </w:rPr>
        <w:t>Комитет просит государство-участник следовать согласованным р</w:t>
      </w:r>
      <w:r>
        <w:rPr>
          <w:b/>
        </w:rPr>
        <w:t>у</w:t>
      </w:r>
      <w:r>
        <w:rPr>
          <w:b/>
        </w:rPr>
        <w:t>ководящим указаниям, касающимся представления докладов согласно м</w:t>
      </w:r>
      <w:r>
        <w:rPr>
          <w:b/>
        </w:rPr>
        <w:t>е</w:t>
      </w:r>
      <w:r>
        <w:rPr>
          <w:b/>
        </w:rPr>
        <w:t>ждународным договорам о правах человека, включая руководящие указ</w:t>
      </w:r>
      <w:r>
        <w:rPr>
          <w:b/>
        </w:rPr>
        <w:t>а</w:t>
      </w:r>
      <w:r>
        <w:rPr>
          <w:b/>
        </w:rPr>
        <w:t xml:space="preserve">ния, касающиеся общего базового документа и документов по конкретным договорам, одобренным на пятом </w:t>
      </w:r>
      <w:proofErr w:type="spellStart"/>
      <w:r>
        <w:rPr>
          <w:b/>
        </w:rPr>
        <w:t>Межкомитетском</w:t>
      </w:r>
      <w:proofErr w:type="spellEnd"/>
      <w:r>
        <w:rPr>
          <w:b/>
        </w:rPr>
        <w:t xml:space="preserve"> совещании договорных органов по правам человека в июне 2006 года (</w:t>
      </w:r>
      <w:proofErr w:type="spellStart"/>
      <w:r>
        <w:rPr>
          <w:b/>
          <w:bCs/>
          <w:lang w:val="en-GB"/>
        </w:rPr>
        <w:t>HRI</w:t>
      </w:r>
      <w:proofErr w:type="spellEnd"/>
      <w:r>
        <w:rPr>
          <w:b/>
          <w:bCs/>
        </w:rPr>
        <w:t>/</w:t>
      </w:r>
      <w:r>
        <w:rPr>
          <w:b/>
          <w:bCs/>
          <w:lang w:val="en-GB"/>
        </w:rPr>
        <w:t>MC</w:t>
      </w:r>
      <w:r>
        <w:rPr>
          <w:b/>
          <w:bCs/>
        </w:rPr>
        <w:t xml:space="preserve">/2006/3 и </w:t>
      </w:r>
      <w:proofErr w:type="spellStart"/>
      <w:r>
        <w:rPr>
          <w:b/>
          <w:bCs/>
          <w:lang w:val="en-GB"/>
        </w:rPr>
        <w:t>Corr</w:t>
      </w:r>
      <w:proofErr w:type="spellEnd"/>
      <w:r>
        <w:rPr>
          <w:b/>
          <w:bCs/>
        </w:rPr>
        <w:t>.1</w:t>
      </w:r>
      <w:r>
        <w:rPr>
          <w:b/>
        </w:rPr>
        <w:t>). Руководящие указания о представлении докладов по конкретным догов</w:t>
      </w:r>
      <w:r>
        <w:rPr>
          <w:b/>
        </w:rPr>
        <w:t>о</w:t>
      </w:r>
      <w:r>
        <w:rPr>
          <w:b/>
        </w:rPr>
        <w:t>рам, принятые Комитетом на его сороковой сессии в январе 2008 года (</w:t>
      </w:r>
      <w:r>
        <w:rPr>
          <w:b/>
          <w:bCs/>
          <w:lang w:val="en-GB"/>
        </w:rPr>
        <w:t>A</w:t>
      </w:r>
      <w:r>
        <w:rPr>
          <w:b/>
          <w:bCs/>
        </w:rPr>
        <w:t xml:space="preserve">/63/38, приложение </w:t>
      </w:r>
      <w:r>
        <w:rPr>
          <w:b/>
          <w:bCs/>
          <w:lang w:val="en-GB"/>
        </w:rPr>
        <w:t>I</w:t>
      </w:r>
      <w:r>
        <w:rPr>
          <w:b/>
        </w:rPr>
        <w:t>), должны применяться с учетом согласованных р</w:t>
      </w:r>
      <w:r>
        <w:rPr>
          <w:b/>
        </w:rPr>
        <w:t>у</w:t>
      </w:r>
      <w:r>
        <w:rPr>
          <w:b/>
        </w:rPr>
        <w:t>ководящих принципов, касающихся общего базового документа. В сов</w:t>
      </w:r>
      <w:r>
        <w:rPr>
          <w:b/>
        </w:rPr>
        <w:t>о</w:t>
      </w:r>
      <w:r>
        <w:rPr>
          <w:b/>
        </w:rPr>
        <w:t>купности эти документы являются согласованными руководящими указ</w:t>
      </w:r>
      <w:r>
        <w:rPr>
          <w:b/>
        </w:rPr>
        <w:t>а</w:t>
      </w:r>
      <w:r>
        <w:rPr>
          <w:b/>
        </w:rPr>
        <w:t>ниями о представлении докладов в соответствии с Конвенцией о ликвид</w:t>
      </w:r>
      <w:r>
        <w:rPr>
          <w:b/>
        </w:rPr>
        <w:t>а</w:t>
      </w:r>
      <w:r>
        <w:rPr>
          <w:b/>
        </w:rPr>
        <w:t>ции всех форм дискриминации в отношении женщин. Объем документа по конкретному договору не должен превышать 40 страниц, а объем общего базового документа − 80 страниц.</w:t>
      </w:r>
    </w:p>
    <w:p w:rsidR="00000000" w:rsidRDefault="000000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00000">
      <w:pPr>
        <w:pStyle w:val="SingleTxtGR"/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</w:r>
    <w:r>
      <w:rPr>
        <w:szCs w:val="16"/>
        <w:lang w:val="en-US"/>
      </w:rPr>
      <w:t>GE.11-41873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lang w:val="en-US"/>
      </w:rPr>
      <w:t>GE.11-41873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sz w:val="20"/>
        <w:lang w:val="en-US"/>
      </w:rPr>
    </w:pPr>
    <w:r>
      <w:rPr>
        <w:sz w:val="20"/>
        <w:lang w:val="en-US"/>
      </w:rPr>
      <w:t>GE.11-41873  (R)  030511  050511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  <w:footnote w:id="1">
    <w:p w:rsidR="00000000" w:rsidRDefault="0000000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CEDAW/C/LIE/CO/4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ab/>
      <w:t>CEDAW/C/LIE/CO/4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12</Pages>
  <Words>4806</Words>
  <Characters>27398</Characters>
  <Application>Microsoft Office Word</Application>
  <DocSecurity>4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1141873</vt:lpstr>
    </vt:vector>
  </TitlesOfParts>
  <Company>CSD</Company>
  <LinksUpToDate>false</LinksUpToDate>
  <CharactersWithSpaces>32140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1141873</dc:title>
  <dc:subject>Скурихин</dc:subject>
  <dc:creator>Chvets</dc:creator>
  <cp:keywords/>
  <dc:description/>
  <cp:lastModifiedBy>Tatiana Chvets</cp:lastModifiedBy>
  <cp:revision>2</cp:revision>
  <cp:lastPrinted>2011-05-05T07:19:00Z</cp:lastPrinted>
  <dcterms:created xsi:type="dcterms:W3CDTF">2011-05-05T07:29:00Z</dcterms:created>
  <dcterms:modified xsi:type="dcterms:W3CDTF">2011-05-05T07:29:00Z</dcterms:modified>
</cp:coreProperties>
</file>