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E342F" w14:textId="77777777" w:rsidR="00BD154A" w:rsidRDefault="00BD154A" w:rsidP="00BD154A">
      <w:pPr>
        <w:spacing w:line="60" w:lineRule="exact"/>
        <w:rPr>
          <w:color w:val="010000"/>
          <w:sz w:val="2"/>
        </w:rPr>
        <w:sectPr w:rsidR="00BD154A" w:rsidSect="00E70B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14:paraId="322D2B2A" w14:textId="0155A4E4" w:rsidR="00E70BAA" w:rsidRPr="00E70BAA" w:rsidRDefault="00E70BAA" w:rsidP="00D8799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4440"/>
      </w:pPr>
      <w:r w:rsidRPr="00E70BAA">
        <w:t>Комитет по ликвидации дискриминации в</w:t>
      </w:r>
      <w:r>
        <w:rPr>
          <w:lang w:val="en-US"/>
        </w:rPr>
        <w:t> </w:t>
      </w:r>
      <w:r w:rsidRPr="00E70BAA">
        <w:t>отношении женщин</w:t>
      </w:r>
    </w:p>
    <w:p w14:paraId="76C1A607" w14:textId="77777777" w:rsidR="00E70BAA" w:rsidRPr="00E70BAA" w:rsidRDefault="00E70BAA" w:rsidP="00E70BAA">
      <w:pPr>
        <w:pStyle w:val="SingleTxt"/>
        <w:spacing w:after="0" w:line="120" w:lineRule="exact"/>
        <w:rPr>
          <w:b/>
          <w:sz w:val="10"/>
        </w:rPr>
      </w:pPr>
    </w:p>
    <w:p w14:paraId="15D8B560" w14:textId="77777777" w:rsidR="00E70BAA" w:rsidRPr="00E70BAA" w:rsidRDefault="00E70BAA" w:rsidP="00E70BAA">
      <w:pPr>
        <w:pStyle w:val="SingleTxt"/>
        <w:spacing w:after="0" w:line="120" w:lineRule="exact"/>
        <w:rPr>
          <w:b/>
          <w:sz w:val="10"/>
        </w:rPr>
      </w:pPr>
    </w:p>
    <w:p w14:paraId="282D72AE" w14:textId="77777777" w:rsidR="00E70BAA" w:rsidRPr="00E70BAA" w:rsidRDefault="00E70BAA" w:rsidP="00E70BAA">
      <w:pPr>
        <w:pStyle w:val="SingleTxt"/>
        <w:spacing w:after="0" w:line="120" w:lineRule="exact"/>
        <w:rPr>
          <w:b/>
          <w:sz w:val="10"/>
        </w:rPr>
      </w:pPr>
    </w:p>
    <w:p w14:paraId="09DDC84C" w14:textId="5EAD7F06" w:rsidR="00E70BAA" w:rsidRPr="00E70BAA" w:rsidRDefault="00E70BAA" w:rsidP="009858FA">
      <w:pPr>
        <w:pStyle w:val="TitleHCH"/>
      </w:pPr>
      <w:r w:rsidRPr="00E70BAA">
        <w:tab/>
      </w:r>
      <w:r w:rsidRPr="00E70BAA">
        <w:tab/>
        <w:t>Заключительные замечания по шестому периодическому докладу Литвы</w:t>
      </w:r>
      <w:r w:rsidR="003E2080" w:rsidRPr="00474C5E">
        <w:rPr>
          <w:bCs/>
          <w:position w:val="4"/>
          <w:szCs w:val="20"/>
        </w:rPr>
        <w:footnoteReference w:customMarkFollows="1" w:id="1"/>
        <w:t>*</w:t>
      </w:r>
    </w:p>
    <w:p w14:paraId="467C9A10" w14:textId="77777777" w:rsidR="00E70BAA" w:rsidRPr="00E70BAA" w:rsidRDefault="00E70BAA" w:rsidP="00E70BAA">
      <w:pPr>
        <w:pStyle w:val="SingleTxt"/>
        <w:spacing w:after="0" w:line="120" w:lineRule="exact"/>
        <w:rPr>
          <w:sz w:val="10"/>
        </w:rPr>
      </w:pPr>
    </w:p>
    <w:p w14:paraId="6CA7FB53" w14:textId="77777777" w:rsidR="00E70BAA" w:rsidRPr="00E70BAA" w:rsidRDefault="00E70BAA" w:rsidP="00E70BAA">
      <w:pPr>
        <w:pStyle w:val="SingleTxt"/>
        <w:spacing w:after="0" w:line="120" w:lineRule="exact"/>
        <w:rPr>
          <w:sz w:val="10"/>
        </w:rPr>
      </w:pPr>
    </w:p>
    <w:p w14:paraId="1C59BD84" w14:textId="7A4E2143" w:rsidR="00E70BAA" w:rsidRPr="00E70BAA" w:rsidRDefault="00E70BAA" w:rsidP="00E70BAA">
      <w:pPr>
        <w:pStyle w:val="SingleTxt"/>
      </w:pPr>
      <w:r w:rsidRPr="00E70BAA">
        <w:t>1.</w:t>
      </w:r>
      <w:r w:rsidRPr="00E70BAA">
        <w:tab/>
        <w:t>Комитет рассмотрел шестой периодический доклад Литвы (</w:t>
      </w:r>
      <w:hyperlink r:id="rId16" w:history="1">
        <w:r w:rsidRPr="00E70BAA">
          <w:rPr>
            <w:rStyle w:val="Hyperlink"/>
          </w:rPr>
          <w:t>CEDAW/C/LTU/6</w:t>
        </w:r>
      </w:hyperlink>
      <w:r w:rsidRPr="00E70BAA">
        <w:t>) на своих 1734-м и 1735-м заседаниях (см.</w:t>
      </w:r>
      <w:r w:rsidR="003E2080">
        <w:rPr>
          <w:lang w:val="en-US"/>
        </w:rPr>
        <w:t> </w:t>
      </w:r>
      <w:hyperlink r:id="rId17" w:history="1">
        <w:r w:rsidRPr="00E70BAA">
          <w:rPr>
            <w:rStyle w:val="Hyperlink"/>
          </w:rPr>
          <w:t>CEDAW/C/SR.1734</w:t>
        </w:r>
      </w:hyperlink>
      <w:r w:rsidRPr="00E70BAA">
        <w:t xml:space="preserve"> и </w:t>
      </w:r>
      <w:hyperlink r:id="rId18" w:history="1">
        <w:r w:rsidRPr="00E70BAA">
          <w:rPr>
            <w:rStyle w:val="Hyperlink"/>
          </w:rPr>
          <w:t>CEDAW/C/SR.1735</w:t>
        </w:r>
      </w:hyperlink>
      <w:r w:rsidRPr="00E70BAA">
        <w:t>), состоявшихся 31 октября 2019</w:t>
      </w:r>
      <w:r w:rsidR="003E2080">
        <w:rPr>
          <w:lang w:val="en-US"/>
        </w:rPr>
        <w:t> </w:t>
      </w:r>
      <w:r w:rsidRPr="00E70BAA">
        <w:t xml:space="preserve">года. Перечень тем и вопросов, поднятых </w:t>
      </w:r>
      <w:proofErr w:type="spellStart"/>
      <w:r w:rsidRPr="00E70BAA">
        <w:t>предсессионной</w:t>
      </w:r>
      <w:proofErr w:type="spellEnd"/>
      <w:r w:rsidRPr="00E70BAA">
        <w:t xml:space="preserve"> рабочей группой, содержится в документе </w:t>
      </w:r>
      <w:hyperlink r:id="rId19" w:history="1">
        <w:r w:rsidRPr="00E70BAA">
          <w:rPr>
            <w:rStyle w:val="Hyperlink"/>
          </w:rPr>
          <w:t>CEDAW/C/LTU/Q/6</w:t>
        </w:r>
      </w:hyperlink>
      <w:r w:rsidRPr="00E70BAA">
        <w:t>, а ответы Литвы</w:t>
      </w:r>
      <w:r w:rsidR="003E2080">
        <w:rPr>
          <w:lang w:val="en-US"/>
        </w:rPr>
        <w:t> </w:t>
      </w:r>
      <w:r w:rsidR="003E2080" w:rsidRPr="003E2080">
        <w:t>—</w:t>
      </w:r>
      <w:r w:rsidRPr="00E70BAA">
        <w:t xml:space="preserve"> в документе</w:t>
      </w:r>
      <w:r w:rsidR="003E2080">
        <w:rPr>
          <w:lang w:val="en-US"/>
        </w:rPr>
        <w:t> </w:t>
      </w:r>
      <w:hyperlink r:id="rId20" w:history="1">
        <w:r w:rsidRPr="00E70BAA">
          <w:rPr>
            <w:rStyle w:val="Hyperlink"/>
          </w:rPr>
          <w:t>CEDAW/C/LTU/Q/6/Add.1</w:t>
        </w:r>
      </w:hyperlink>
      <w:r w:rsidRPr="00E70BAA">
        <w:t>.</w:t>
      </w:r>
    </w:p>
    <w:p w14:paraId="0EFE1C7C" w14:textId="77777777" w:rsidR="003E2080" w:rsidRPr="003E2080" w:rsidRDefault="003E2080" w:rsidP="003E2080">
      <w:pPr>
        <w:pStyle w:val="SingleTxt"/>
        <w:spacing w:after="0" w:line="120" w:lineRule="exact"/>
        <w:rPr>
          <w:b/>
          <w:sz w:val="10"/>
        </w:rPr>
      </w:pPr>
    </w:p>
    <w:p w14:paraId="60C52EAD" w14:textId="77777777" w:rsidR="003E2080" w:rsidRPr="003E2080" w:rsidRDefault="003E2080" w:rsidP="003E2080">
      <w:pPr>
        <w:pStyle w:val="SingleTxt"/>
        <w:spacing w:after="0" w:line="120" w:lineRule="exact"/>
        <w:rPr>
          <w:b/>
          <w:sz w:val="10"/>
        </w:rPr>
      </w:pPr>
    </w:p>
    <w:p w14:paraId="39C82361" w14:textId="19683D9D" w:rsidR="00E70BAA" w:rsidRPr="00E70BAA" w:rsidRDefault="003E208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70BAA" w:rsidRPr="00E70BAA">
        <w:t>A.</w:t>
      </w:r>
      <w:r w:rsidR="00E70BAA" w:rsidRPr="00E70BAA">
        <w:tab/>
        <w:t>Введение</w:t>
      </w:r>
    </w:p>
    <w:p w14:paraId="42B52B0A" w14:textId="77777777" w:rsidR="003E2080" w:rsidRPr="003E2080" w:rsidRDefault="003E2080" w:rsidP="003E2080">
      <w:pPr>
        <w:pStyle w:val="SingleTxt"/>
        <w:spacing w:after="0" w:line="120" w:lineRule="exact"/>
        <w:rPr>
          <w:sz w:val="10"/>
        </w:rPr>
      </w:pPr>
    </w:p>
    <w:p w14:paraId="446CA3F1" w14:textId="77777777" w:rsidR="003E2080" w:rsidRPr="003E2080" w:rsidRDefault="003E2080" w:rsidP="003E2080">
      <w:pPr>
        <w:pStyle w:val="SingleTxt"/>
        <w:spacing w:after="0" w:line="120" w:lineRule="exact"/>
        <w:rPr>
          <w:sz w:val="10"/>
        </w:rPr>
      </w:pPr>
    </w:p>
    <w:p w14:paraId="4E022371" w14:textId="225EF962" w:rsidR="00E70BAA" w:rsidRPr="00E70BAA" w:rsidRDefault="00E70BAA" w:rsidP="00E70BAA">
      <w:pPr>
        <w:pStyle w:val="SingleTxt"/>
      </w:pPr>
      <w:r w:rsidRPr="00E70BAA">
        <w:t>2.</w:t>
      </w:r>
      <w:r w:rsidRPr="00E70BAA">
        <w:tab/>
        <w:t>Комитет выражает признательность государству — участнику Конвенции за представление им своего шестого периодического доклада. Он также благодарит государство-участник за представленные доклад о последующих действиях (</w:t>
      </w:r>
      <w:hyperlink r:id="rId21" w:history="1">
        <w:r w:rsidRPr="00E70BAA">
          <w:rPr>
            <w:rStyle w:val="Hyperlink"/>
          </w:rPr>
          <w:t>CEDAW/C/LTU/CO/5/Add.1</w:t>
        </w:r>
      </w:hyperlink>
      <w:r w:rsidRPr="00E70BAA">
        <w:t xml:space="preserve">) и письменные ответы в связи с перечнем тем и вопросов, поднятых предсессионной рабочей группой по его шестому периодическому докладу, а также за сделанное делегацией устное сообщение и </w:t>
      </w:r>
      <w:r w:rsidRPr="00E70BAA">
        <w:lastRenderedPageBreak/>
        <w:t>дополнительные разъяснения, представленные в ответ на вопросы, которые были заданы членами Комитета в устной форме в ходе диалога.</w:t>
      </w:r>
    </w:p>
    <w:p w14:paraId="431692C6" w14:textId="22BE43C5" w:rsidR="00E70BAA" w:rsidRPr="00E70BAA" w:rsidRDefault="00E70BAA" w:rsidP="00E70BAA">
      <w:pPr>
        <w:pStyle w:val="SingleTxt"/>
      </w:pPr>
      <w:r w:rsidRPr="00E70BAA">
        <w:t>3.</w:t>
      </w:r>
      <w:r w:rsidRPr="00E70BAA">
        <w:tab/>
        <w:t>Комитет выражает признательность государству-участнику за направление делегации высокого уровня, которую возглавлял заместитель министра социального обеспечения и труда Литвы Эйтвидас Бингелис и в состав которой входили</w:t>
      </w:r>
      <w:r w:rsidR="0071709C">
        <w:t xml:space="preserve"> </w:t>
      </w:r>
      <w:r w:rsidR="0071709C" w:rsidRPr="00E70BAA">
        <w:t>П</w:t>
      </w:r>
      <w:r w:rsidRPr="00E70BAA">
        <w:t>остоянный представитель Литвы при Отделении Организации Объединенных Наций и других международных организациях в Женеве Андрюс Кривас, а также представители Министерства иностранных дел, Министерства социального обеспечения и труда, Министерства здравоохранения, Министерства внутренних дел, Министерства юстиции, Бюро уголовной полиции, Государственной инспекции труда, Национального агентства образования, члены Комитета Сейма</w:t>
      </w:r>
      <w:r w:rsidR="0071709C">
        <w:t xml:space="preserve"> </w:t>
      </w:r>
      <w:r w:rsidR="0071709C" w:rsidRPr="00E70BAA">
        <w:t>(</w:t>
      </w:r>
      <w:r w:rsidRPr="00E70BAA">
        <w:t>Парламента) по правам человека и</w:t>
      </w:r>
      <w:r w:rsidR="0071709C">
        <w:t xml:space="preserve"> </w:t>
      </w:r>
      <w:r w:rsidR="0071709C" w:rsidRPr="00E70BAA">
        <w:t>п</w:t>
      </w:r>
      <w:r w:rsidRPr="00E70BAA">
        <w:t>редставители Постоянного представительства Литвы при Отделении Организации Объединенных Наций и других международных организациях в Женеве.</w:t>
      </w:r>
    </w:p>
    <w:p w14:paraId="54097EE9" w14:textId="14957159" w:rsidR="00E70BAA" w:rsidRPr="00E70BAA" w:rsidRDefault="003E2080" w:rsidP="003E208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70BAA" w:rsidRPr="00E70BAA">
        <w:t>B.</w:t>
      </w:r>
      <w:r w:rsidR="00E70BAA" w:rsidRPr="00E70BAA">
        <w:tab/>
        <w:t>Позитивные аспекты</w:t>
      </w:r>
    </w:p>
    <w:p w14:paraId="1E215038" w14:textId="77777777" w:rsidR="003E2080" w:rsidRPr="003E2080" w:rsidRDefault="003E2080" w:rsidP="003E2080">
      <w:pPr>
        <w:pStyle w:val="SingleTxt"/>
        <w:spacing w:after="0" w:line="120" w:lineRule="exact"/>
        <w:rPr>
          <w:sz w:val="10"/>
        </w:rPr>
      </w:pPr>
    </w:p>
    <w:p w14:paraId="0429ACF2" w14:textId="77777777" w:rsidR="003E2080" w:rsidRPr="003E2080" w:rsidRDefault="003E2080" w:rsidP="003E2080">
      <w:pPr>
        <w:pStyle w:val="SingleTxt"/>
        <w:spacing w:after="0" w:line="120" w:lineRule="exact"/>
        <w:rPr>
          <w:sz w:val="10"/>
        </w:rPr>
      </w:pPr>
    </w:p>
    <w:p w14:paraId="0B568757" w14:textId="3091E9C3" w:rsidR="00E70BAA" w:rsidRPr="00E70BAA" w:rsidRDefault="00E70BAA" w:rsidP="00E70BAA">
      <w:pPr>
        <w:pStyle w:val="SingleTxt"/>
      </w:pPr>
      <w:r w:rsidRPr="00E70BAA">
        <w:t>4.</w:t>
      </w:r>
      <w:r w:rsidRPr="00E70BAA">
        <w:tab/>
        <w:t>Комитет приветствует прогресс в проведении законодательных реформ, достигнутый за период после рассмотрения им в 2014 году пятого периодического доклада государства-участника (</w:t>
      </w:r>
      <w:hyperlink r:id="rId22" w:history="1">
        <w:r w:rsidRPr="00E70BAA">
          <w:rPr>
            <w:rStyle w:val="Hyperlink"/>
          </w:rPr>
          <w:t>CEDAW/C/LTU/5</w:t>
        </w:r>
      </w:hyperlink>
      <w:r w:rsidRPr="00E70BAA">
        <w:t>), включая, в частности, принятие следующего:</w:t>
      </w:r>
    </w:p>
    <w:p w14:paraId="1192CE27" w14:textId="77777777" w:rsidR="00E70BAA" w:rsidRPr="00E70BAA" w:rsidRDefault="00E70BAA" w:rsidP="00E70BAA">
      <w:pPr>
        <w:pStyle w:val="SingleTxt"/>
      </w:pPr>
      <w:r w:rsidRPr="00E70BAA">
        <w:tab/>
        <w:t>а)</w:t>
      </w:r>
      <w:r w:rsidRPr="00E70BAA">
        <w:tab/>
        <w:t>поправок к Закону о равном обращении и Закону о равных возможностях для женщин и мужчин:</w:t>
      </w:r>
    </w:p>
    <w:p w14:paraId="47FB74D3" w14:textId="0A3BF616" w:rsidR="00E70BAA" w:rsidRPr="00E70BAA" w:rsidRDefault="003E2080" w:rsidP="003E2080">
      <w:pPr>
        <w:pStyle w:val="SingleTxt"/>
        <w:ind w:left="1742" w:hanging="475"/>
      </w:pPr>
      <w:r>
        <w:tab/>
      </w:r>
      <w:r w:rsidR="00E70BAA" w:rsidRPr="00E70BAA">
        <w:t>i)</w:t>
      </w:r>
      <w:r w:rsidR="00E70BAA" w:rsidRPr="00E70BAA">
        <w:tab/>
        <w:t xml:space="preserve">поправки о расширении сферы компетенции Омбудсмена по </w:t>
      </w:r>
      <w:r w:rsidR="00E70BAA" w:rsidRPr="00E70BAA">
        <w:lastRenderedPageBreak/>
        <w:t>вопросам о равных возможностях для отслеживания хода осуществления Конвенции о правах инвалидов, в том числе в отношении женщин-инвалидов и девочек-инвалидов,</w:t>
      </w:r>
      <w:r>
        <w:rPr>
          <w:lang w:val="en-US"/>
        </w:rPr>
        <w:t> </w:t>
      </w:r>
      <w:r w:rsidRPr="003E2080">
        <w:t xml:space="preserve">— </w:t>
      </w:r>
      <w:r w:rsidR="00E70BAA" w:rsidRPr="00E70BAA">
        <w:t xml:space="preserve">в 2019 году; </w:t>
      </w:r>
    </w:p>
    <w:p w14:paraId="14BDA782" w14:textId="4F1838EE" w:rsidR="00E70BAA" w:rsidRPr="00E70BAA" w:rsidRDefault="003E2080" w:rsidP="003E2080">
      <w:pPr>
        <w:pStyle w:val="SingleTxt"/>
        <w:ind w:left="1742" w:hanging="475"/>
      </w:pPr>
      <w:r>
        <w:tab/>
      </w:r>
      <w:r w:rsidR="00E70BAA" w:rsidRPr="00E70BAA">
        <w:t>ii)</w:t>
      </w:r>
      <w:r w:rsidR="00E70BAA" w:rsidRPr="00E70BAA">
        <w:tab/>
        <w:t>поправки об обеспечении защиты от сексуальных домогательств не только работников и государственных служащих, занятых на срочных контрактах, но и лиц, ищущих работу,</w:t>
      </w:r>
      <w:r w:rsidR="00132A4D">
        <w:rPr>
          <w:lang w:val="en-US"/>
        </w:rPr>
        <w:t> </w:t>
      </w:r>
      <w:r w:rsidR="00132A4D" w:rsidRPr="009858FA">
        <w:t xml:space="preserve">— </w:t>
      </w:r>
      <w:r w:rsidR="00E70BAA" w:rsidRPr="00E70BAA">
        <w:t>в 2017 году;</w:t>
      </w:r>
      <w:r w:rsidR="00E70BAA" w:rsidRPr="00E70BAA">
        <w:tab/>
      </w:r>
    </w:p>
    <w:p w14:paraId="4ACFEC6F" w14:textId="6F4CDC72" w:rsidR="00E70BAA" w:rsidRPr="00E70BAA" w:rsidRDefault="003E2080" w:rsidP="003E2080">
      <w:pPr>
        <w:pStyle w:val="SingleTxt"/>
        <w:ind w:left="1742" w:hanging="475"/>
      </w:pPr>
      <w:r>
        <w:tab/>
      </w:r>
      <w:r w:rsidR="00E70BAA" w:rsidRPr="00E70BAA">
        <w:t>iii)</w:t>
      </w:r>
      <w:r w:rsidR="00E70BAA" w:rsidRPr="00E70BAA">
        <w:tab/>
        <w:t>поправки с уточнением, что понятие дискриминации включает дискриминацию в отношении женщин по признакам беременности и материнства и что на рабочем месте запрещены не только сексуальное домогательство, но и домогательства в других формах,</w:t>
      </w:r>
      <w:r w:rsidR="00132A4D">
        <w:rPr>
          <w:lang w:val="en-US"/>
        </w:rPr>
        <w:t> </w:t>
      </w:r>
      <w:r w:rsidR="00132A4D" w:rsidRPr="009858FA">
        <w:t>—</w:t>
      </w:r>
      <w:r w:rsidR="00E70BAA" w:rsidRPr="00E70BAA">
        <w:t xml:space="preserve"> в 2016 году; </w:t>
      </w:r>
    </w:p>
    <w:p w14:paraId="25AE3FBC" w14:textId="7F1A9636" w:rsidR="00E70BAA" w:rsidRPr="00E70BAA" w:rsidRDefault="003E2080" w:rsidP="003E2080">
      <w:pPr>
        <w:pStyle w:val="SingleTxt"/>
        <w:ind w:left="1742" w:hanging="475"/>
      </w:pPr>
      <w:r>
        <w:tab/>
      </w:r>
      <w:r w:rsidR="00E70BAA" w:rsidRPr="00E70BAA">
        <w:t>iv)</w:t>
      </w:r>
      <w:r w:rsidR="00E70BAA" w:rsidRPr="00E70BAA">
        <w:tab/>
        <w:t>поправки, обязывающей государственные учреждения, в том числе муниципального уровня, предусматривать меры по обеспечению равенства возможностей для женщин и мужчин, в документах стратегического планирования и/или стратегических планах действий, а также предупреждению и пресечению сексуальных домогательств в школах, высших учебных заведениях и на рабочем месте,</w:t>
      </w:r>
      <w:r>
        <w:t xml:space="preserve"> — </w:t>
      </w:r>
      <w:r w:rsidR="00E70BAA" w:rsidRPr="00E70BAA">
        <w:t>в 2014 году;</w:t>
      </w:r>
      <w:bookmarkStart w:id="1" w:name="_Hlk24623404"/>
      <w:bookmarkEnd w:id="1"/>
    </w:p>
    <w:p w14:paraId="28CFC7DF" w14:textId="4CADA6F6" w:rsidR="00E70BAA" w:rsidRPr="00E70BAA" w:rsidRDefault="003E2080" w:rsidP="00E70BAA">
      <w:pPr>
        <w:pStyle w:val="SingleTxt"/>
      </w:pPr>
      <w:r>
        <w:tab/>
      </w:r>
      <w:r w:rsidR="00E70BAA" w:rsidRPr="00E70BAA">
        <w:t>b)</w:t>
      </w:r>
      <w:r w:rsidR="00E70BAA" w:rsidRPr="00E70BAA">
        <w:tab/>
        <w:t>поправок к Уголовному кодексу:</w:t>
      </w:r>
    </w:p>
    <w:p w14:paraId="46336ECF" w14:textId="0538F1BA" w:rsidR="00E70BAA" w:rsidRPr="00E70BAA" w:rsidRDefault="003E2080" w:rsidP="003E2080">
      <w:pPr>
        <w:pStyle w:val="SingleTxt"/>
        <w:ind w:left="1742" w:hanging="475"/>
      </w:pPr>
      <w:r>
        <w:tab/>
      </w:r>
      <w:r w:rsidR="00E70BAA" w:rsidRPr="00E70BAA">
        <w:t>i)</w:t>
      </w:r>
      <w:r w:rsidR="00E70BAA" w:rsidRPr="00E70BAA">
        <w:tab/>
        <w:t>поправки об установлении уголовной ответственности за акты дискриминации или подстрекательства к ненависти по признакам, в частности, пола, гендерной принадлежности и сексуальной ориентации,</w:t>
      </w:r>
      <w:r>
        <w:rPr>
          <w:lang w:val="en-US"/>
        </w:rPr>
        <w:t> </w:t>
      </w:r>
      <w:r w:rsidRPr="003E2080">
        <w:t xml:space="preserve">— </w:t>
      </w:r>
      <w:r w:rsidR="00E70BAA" w:rsidRPr="00E70BAA">
        <w:t>в 2017</w:t>
      </w:r>
      <w:r>
        <w:rPr>
          <w:lang w:val="en-US"/>
        </w:rPr>
        <w:t> </w:t>
      </w:r>
      <w:r w:rsidR="00E70BAA" w:rsidRPr="00E70BAA">
        <w:t>году;</w:t>
      </w:r>
    </w:p>
    <w:p w14:paraId="3E2EC8E6" w14:textId="72B20762" w:rsidR="00E70BAA" w:rsidRPr="00E70BAA" w:rsidRDefault="003E2080" w:rsidP="003E2080">
      <w:pPr>
        <w:pStyle w:val="SingleTxt"/>
        <w:ind w:left="1742" w:hanging="475"/>
      </w:pPr>
      <w:r>
        <w:lastRenderedPageBreak/>
        <w:tab/>
      </w:r>
      <w:r w:rsidR="00E70BAA" w:rsidRPr="00E70BAA">
        <w:t>ii)</w:t>
      </w:r>
      <w:r w:rsidR="00E70BAA" w:rsidRPr="00E70BAA">
        <w:tab/>
        <w:t>поправки, предусматривающей вынесение временных судебных защитных предписаний в случаях бытового насилия, в том числе обязывающих нарушителя проживать отдельно от жертвы и не приближаться к жертве,</w:t>
      </w:r>
      <w:r w:rsidR="00445A48">
        <w:rPr>
          <w:lang w:val="en-US"/>
        </w:rPr>
        <w:t> </w:t>
      </w:r>
      <w:r w:rsidR="00445A48" w:rsidRPr="009858FA">
        <w:t>—</w:t>
      </w:r>
      <w:r w:rsidR="00E70BAA" w:rsidRPr="00E70BAA">
        <w:t xml:space="preserve"> в 2015 году;</w:t>
      </w:r>
      <w:bookmarkStart w:id="2" w:name="_Hlk24634917"/>
      <w:bookmarkEnd w:id="2"/>
    </w:p>
    <w:p w14:paraId="23DE0742" w14:textId="19EA571B" w:rsidR="00E70BAA" w:rsidRPr="00E70BAA" w:rsidRDefault="003E2080" w:rsidP="00E70BAA">
      <w:pPr>
        <w:pStyle w:val="SingleTxt"/>
      </w:pPr>
      <w:r>
        <w:tab/>
      </w:r>
      <w:r w:rsidR="00E70BAA" w:rsidRPr="00E70BAA">
        <w:t>c)</w:t>
      </w:r>
      <w:r w:rsidR="00E70BAA" w:rsidRPr="00E70BAA">
        <w:tab/>
        <w:t>поправок к Уголовно-процессуальному кодексу, упраздняющих практику предъявления обвинений в частном порядке применительно к определенным составам преступления, благодаря чему женщины, пострадавшие от гендерного насилия, включая семейно-бытовое насилие, больше не обязаны давать показания в суде в рамках соответствующего уголовного судопроизводства,</w:t>
      </w:r>
      <w:r>
        <w:rPr>
          <w:lang w:val="en-US"/>
        </w:rPr>
        <w:t> </w:t>
      </w:r>
      <w:r w:rsidRPr="003E2080">
        <w:t xml:space="preserve">— </w:t>
      </w:r>
      <w:r w:rsidR="00E70BAA" w:rsidRPr="00E70BAA">
        <w:t>в 2017 году;</w:t>
      </w:r>
    </w:p>
    <w:p w14:paraId="17C93171" w14:textId="63FBF82A" w:rsidR="00E70BAA" w:rsidRPr="00E70BAA" w:rsidRDefault="003E2080" w:rsidP="00E70BAA">
      <w:pPr>
        <w:pStyle w:val="SingleTxt"/>
      </w:pPr>
      <w:r>
        <w:tab/>
      </w:r>
      <w:r w:rsidR="00E70BAA" w:rsidRPr="00E70BAA">
        <w:t>d)</w:t>
      </w:r>
      <w:r w:rsidR="00E70BAA" w:rsidRPr="00E70BAA">
        <w:tab/>
        <w:t>поправок к Закону о защите от насилия в семье, направленных на улучшение межведомственной координации, междисциплинарной подготовки и защиты пострадавших на этапе до начала предварительного следствия,</w:t>
      </w:r>
      <w:r>
        <w:rPr>
          <w:lang w:val="en-US"/>
        </w:rPr>
        <w:t> </w:t>
      </w:r>
      <w:r w:rsidRPr="003E2080">
        <w:t xml:space="preserve">— </w:t>
      </w:r>
      <w:r w:rsidR="00E70BAA" w:rsidRPr="00E70BAA">
        <w:t>в 2016</w:t>
      </w:r>
      <w:r>
        <w:rPr>
          <w:lang w:val="en-US"/>
        </w:rPr>
        <w:t> </w:t>
      </w:r>
      <w:r w:rsidR="00E70BAA" w:rsidRPr="00E70BAA">
        <w:t>году;</w:t>
      </w:r>
    </w:p>
    <w:p w14:paraId="1C7A73F3" w14:textId="08A8B2F3" w:rsidR="00E70BAA" w:rsidRPr="00E70BAA" w:rsidRDefault="003E2080" w:rsidP="00E70BAA">
      <w:pPr>
        <w:pStyle w:val="SingleTxt"/>
      </w:pPr>
      <w:r>
        <w:tab/>
      </w:r>
      <w:r w:rsidR="00E70BAA" w:rsidRPr="00E70BAA">
        <w:t>e)</w:t>
      </w:r>
      <w:r w:rsidR="00E70BAA" w:rsidRPr="00E70BAA">
        <w:tab/>
        <w:t>акта о внесении изменений в Закон об утверждении, вступлении в силу и осуществлении Кодекса об административных правонарушениях, направленных на их согласование его положений с поправками к Закону о равном обращении и Закону о равных возможностях для женщин и мужчин,</w:t>
      </w:r>
      <w:r>
        <w:rPr>
          <w:lang w:val="en-US"/>
        </w:rPr>
        <w:t> </w:t>
      </w:r>
      <w:r w:rsidRPr="003E2080">
        <w:t xml:space="preserve">— </w:t>
      </w:r>
      <w:r w:rsidR="00E70BAA" w:rsidRPr="00E70BAA">
        <w:t>в 2016 году.</w:t>
      </w:r>
    </w:p>
    <w:p w14:paraId="20BEF816" w14:textId="77777777" w:rsidR="00E70BAA" w:rsidRPr="00E70BAA" w:rsidRDefault="00E70BAA" w:rsidP="00E70BAA">
      <w:pPr>
        <w:pStyle w:val="SingleTxt"/>
      </w:pPr>
      <w:r w:rsidRPr="00E70BAA">
        <w:t>5.</w:t>
      </w:r>
      <w:r w:rsidRPr="00E70BAA">
        <w:tab/>
        <w:t>Комитет приветствует усилия государства-участника по совершенствованию своей институциональной и политической системы в целях скорейшей ликвидации дискриминации в отношении женщин и достижения гендерного равенства, а именно принятие:</w:t>
      </w:r>
    </w:p>
    <w:p w14:paraId="5940306B" w14:textId="32D2321D" w:rsidR="00E70BAA" w:rsidRPr="00E70BAA" w:rsidRDefault="00E70BAA" w:rsidP="00E70BAA">
      <w:pPr>
        <w:pStyle w:val="SingleTxt"/>
      </w:pPr>
      <w:r w:rsidRPr="00E70BAA">
        <w:tab/>
        <w:t>а)</w:t>
      </w:r>
      <w:r w:rsidRPr="00E70BAA">
        <w:tab/>
        <w:t>плана действий на период 2018-2021 годов по реализации</w:t>
      </w:r>
      <w:r w:rsidR="0071709C">
        <w:t xml:space="preserve"> </w:t>
      </w:r>
      <w:r w:rsidR="0071709C" w:rsidRPr="00E70BAA">
        <w:t>Н</w:t>
      </w:r>
      <w:r w:rsidRPr="00E70BAA">
        <w:t xml:space="preserve">ациональной программы по обеспечению равных </w:t>
      </w:r>
      <w:r w:rsidRPr="00E70BAA">
        <w:lastRenderedPageBreak/>
        <w:t>возможностей для женщин и мужчин на 2015</w:t>
      </w:r>
      <w:r w:rsidR="00802A06" w:rsidRPr="009858FA">
        <w:t>–</w:t>
      </w:r>
      <w:r w:rsidRPr="00E70BAA">
        <w:t>2021 годы, предусматривающего, в частности, частичное финансирование проектов отвечающих установленным требованиям организаций гражданского общества, занимающихся вопросами поощрения равенства женщин и мужчин, и принятие мер по искоренению стереотипов в системе образования,</w:t>
      </w:r>
      <w:r w:rsidR="003E2080">
        <w:rPr>
          <w:lang w:val="en-US"/>
        </w:rPr>
        <w:t> </w:t>
      </w:r>
      <w:r w:rsidR="003E2080" w:rsidRPr="003E2080">
        <w:t xml:space="preserve">— </w:t>
      </w:r>
      <w:r w:rsidRPr="00E70BAA">
        <w:t>в 2018 году;</w:t>
      </w:r>
      <w:bookmarkStart w:id="3" w:name="_Hlk24725502"/>
      <w:bookmarkEnd w:id="3"/>
    </w:p>
    <w:p w14:paraId="0E8E5D34" w14:textId="44D95196" w:rsidR="00E70BAA" w:rsidRPr="00E70BAA" w:rsidRDefault="00E70BAA" w:rsidP="00E70BAA">
      <w:pPr>
        <w:pStyle w:val="SingleTxt"/>
      </w:pPr>
      <w:r w:rsidRPr="00E70BAA">
        <w:tab/>
        <w:t>b)</w:t>
      </w:r>
      <w:r w:rsidRPr="00E70BAA">
        <w:tab/>
        <w:t>поправок к плану действий по осуществлению национальной программы по предупреждению насилия в семье и оказанию помощи пострадавшим на 2014</w:t>
      </w:r>
      <w:r w:rsidR="00D40686" w:rsidRPr="009858FA">
        <w:t>–</w:t>
      </w:r>
      <w:r w:rsidRPr="00E70BAA">
        <w:t>2020 годы, направленных на недопущение ситуации, при которой Конвенция Совета Европы о предупреждении и пресечении насилия в отношении женщин и насилия в семье (Стамбульская конвенция), которую государство-участник подписало, но еще не ратифицировало, была бы лишена своего объекта и цели,</w:t>
      </w:r>
      <w:r w:rsidR="003E2080">
        <w:t xml:space="preserve"> — </w:t>
      </w:r>
      <w:r w:rsidRPr="00E70BAA">
        <w:t>в 2018 году;</w:t>
      </w:r>
      <w:bookmarkStart w:id="4" w:name="_Hlk24725524"/>
      <w:bookmarkEnd w:id="4"/>
    </w:p>
    <w:p w14:paraId="069A4FB0" w14:textId="558C5E40" w:rsidR="00E70BAA" w:rsidRPr="00E70BAA" w:rsidRDefault="00E70BAA" w:rsidP="00E70BAA">
      <w:pPr>
        <w:pStyle w:val="SingleTxt"/>
      </w:pPr>
      <w:r w:rsidRPr="00E70BAA">
        <w:tab/>
        <w:t>c)</w:t>
      </w:r>
      <w:r w:rsidRPr="00E70BAA">
        <w:tab/>
        <w:t>добавлений к плану по разработке базы данных показателей для публикации Статистическим управлением Литвы более детальных показателей гендерной статистики</w:t>
      </w:r>
      <w:r w:rsidR="003E2080">
        <w:rPr>
          <w:lang w:val="en-US"/>
        </w:rPr>
        <w:t> </w:t>
      </w:r>
      <w:r w:rsidR="003E2080" w:rsidRPr="003E2080">
        <w:t xml:space="preserve">— </w:t>
      </w:r>
      <w:r w:rsidRPr="00E70BAA">
        <w:t>в 2017году;</w:t>
      </w:r>
      <w:bookmarkStart w:id="5" w:name="_Hlk24725536"/>
      <w:bookmarkEnd w:id="5"/>
    </w:p>
    <w:p w14:paraId="68EFC477" w14:textId="38A1491C" w:rsidR="00E70BAA" w:rsidRPr="00E70BAA" w:rsidRDefault="00E70BAA" w:rsidP="00E70BAA">
      <w:pPr>
        <w:pStyle w:val="SingleTxt"/>
      </w:pPr>
      <w:r w:rsidRPr="00E70BAA">
        <w:tab/>
        <w:t>d)</w:t>
      </w:r>
      <w:r w:rsidRPr="00E70BAA">
        <w:tab/>
        <w:t>программы укрепления общественной безопасности на</w:t>
      </w:r>
      <w:r w:rsidR="003E2080">
        <w:br/>
      </w:r>
      <w:r w:rsidRPr="00E70BAA">
        <w:t>2015</w:t>
      </w:r>
      <w:r w:rsidR="003E2080" w:rsidRPr="003E2080">
        <w:t>–</w:t>
      </w:r>
      <w:r w:rsidRPr="00E70BAA">
        <w:t>2025</w:t>
      </w:r>
      <w:r w:rsidR="003E2080">
        <w:rPr>
          <w:lang w:val="en-US"/>
        </w:rPr>
        <w:t> </w:t>
      </w:r>
      <w:r w:rsidRPr="00E70BAA">
        <w:t>годы, соответствующего межведомственного плана действий 2016</w:t>
      </w:r>
      <w:r w:rsidR="003E2080">
        <w:rPr>
          <w:lang w:val="en-US"/>
        </w:rPr>
        <w:t> </w:t>
      </w:r>
      <w:r w:rsidRPr="00E70BAA">
        <w:t>года, направленного на эффективное противодействие</w:t>
      </w:r>
      <w:r w:rsidR="0071709C">
        <w:t xml:space="preserve"> </w:t>
      </w:r>
      <w:r w:rsidR="0071709C" w:rsidRPr="00E70BAA">
        <w:t>т</w:t>
      </w:r>
      <w:r w:rsidRPr="00E70BAA">
        <w:t>орговле людьми, включая женщин и девочек, и специального образовательного компонента программы по предупреждению и расследованию случаев торговли людьми</w:t>
      </w:r>
      <w:r w:rsidR="003E2080">
        <w:rPr>
          <w:lang w:val="en-US"/>
        </w:rPr>
        <w:t> </w:t>
      </w:r>
      <w:r w:rsidR="003E2080" w:rsidRPr="003E2080">
        <w:t>—</w:t>
      </w:r>
      <w:r w:rsidRPr="00E70BAA">
        <w:t xml:space="preserve"> в 2017 году;</w:t>
      </w:r>
      <w:bookmarkStart w:id="6" w:name="_Hlk24725555"/>
      <w:bookmarkEnd w:id="6"/>
    </w:p>
    <w:p w14:paraId="5150E58B" w14:textId="6B9C0ECB" w:rsidR="00E70BAA" w:rsidRPr="00E70BAA" w:rsidRDefault="00E70BAA" w:rsidP="00E70BAA">
      <w:pPr>
        <w:pStyle w:val="SingleTxt"/>
      </w:pPr>
      <w:r w:rsidRPr="00E70BAA">
        <w:tab/>
        <w:t>e)</w:t>
      </w:r>
      <w:r w:rsidRPr="00E70BAA">
        <w:tab/>
        <w:t>проекта, озаглавленного «Муниципальный кодекс успеха</w:t>
      </w:r>
      <w:r w:rsidR="003E2080">
        <w:t xml:space="preserve"> — </w:t>
      </w:r>
      <w:r w:rsidRPr="00E70BAA">
        <w:t xml:space="preserve">гендерное равенство» и направленного на систематическое сокращение гендерного </w:t>
      </w:r>
      <w:r w:rsidRPr="00E70BAA">
        <w:lastRenderedPageBreak/>
        <w:t>неравенства во всех областях, относящихся к мандату муниципалитетов,</w:t>
      </w:r>
      <w:r w:rsidR="003E2080">
        <w:rPr>
          <w:lang w:val="en-US"/>
        </w:rPr>
        <w:t> </w:t>
      </w:r>
      <w:r w:rsidR="003E2080" w:rsidRPr="003E2080">
        <w:t>—</w:t>
      </w:r>
      <w:r w:rsidRPr="00E70BAA">
        <w:t xml:space="preserve"> в 2016</w:t>
      </w:r>
      <w:r w:rsidR="003E2080">
        <w:rPr>
          <w:lang w:val="en-US"/>
        </w:rPr>
        <w:t> </w:t>
      </w:r>
      <w:r w:rsidRPr="00E70BAA">
        <w:t>году;</w:t>
      </w:r>
    </w:p>
    <w:p w14:paraId="2782D6F2" w14:textId="0A4FB722" w:rsidR="00E70BAA" w:rsidRPr="00E70BAA" w:rsidRDefault="00E70BAA" w:rsidP="00E70BAA">
      <w:pPr>
        <w:pStyle w:val="SingleTxt"/>
      </w:pPr>
      <w:r w:rsidRPr="00E70BAA">
        <w:tab/>
        <w:t>f)</w:t>
      </w:r>
      <w:r w:rsidRPr="00E70BAA">
        <w:tab/>
        <w:t>плана действий по борьбе с торговлей людьми на 2017</w:t>
      </w:r>
      <w:r w:rsidR="003E2080" w:rsidRPr="003E2080">
        <w:t>–</w:t>
      </w:r>
      <w:r w:rsidRPr="00E70BAA">
        <w:t>2019 годы</w:t>
      </w:r>
      <w:r w:rsidR="003E2080">
        <w:rPr>
          <w:lang w:val="en-US"/>
        </w:rPr>
        <w:t> </w:t>
      </w:r>
      <w:r w:rsidR="003E2080" w:rsidRPr="003E2080">
        <w:t xml:space="preserve">— </w:t>
      </w:r>
      <w:r w:rsidRPr="00E70BAA">
        <w:t>в 2016 году.</w:t>
      </w:r>
      <w:r w:rsidRPr="00E70BAA">
        <w:tab/>
      </w:r>
      <w:bookmarkStart w:id="7" w:name="_Hlk24725567"/>
      <w:bookmarkEnd w:id="7"/>
    </w:p>
    <w:p w14:paraId="250472BD" w14:textId="77777777" w:rsidR="003E2080" w:rsidRPr="003E2080" w:rsidRDefault="003E2080" w:rsidP="003E2080">
      <w:pPr>
        <w:pStyle w:val="SingleTxt"/>
        <w:spacing w:after="0" w:line="120" w:lineRule="exact"/>
        <w:rPr>
          <w:b/>
          <w:sz w:val="10"/>
        </w:rPr>
      </w:pPr>
    </w:p>
    <w:p w14:paraId="7AB4F025" w14:textId="77777777" w:rsidR="003E2080" w:rsidRPr="003E2080" w:rsidRDefault="003E2080" w:rsidP="003E2080">
      <w:pPr>
        <w:pStyle w:val="SingleTxt"/>
        <w:spacing w:after="0" w:line="120" w:lineRule="exact"/>
        <w:rPr>
          <w:b/>
          <w:sz w:val="10"/>
        </w:rPr>
      </w:pPr>
    </w:p>
    <w:p w14:paraId="617CC666" w14:textId="0A6DB893" w:rsidR="00E70BAA" w:rsidRPr="00E70BAA" w:rsidRDefault="003E2080" w:rsidP="003E208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70BAA" w:rsidRPr="00E70BAA">
        <w:t>C.</w:t>
      </w:r>
      <w:r w:rsidR="00E70BAA" w:rsidRPr="00E70BAA">
        <w:tab/>
        <w:t>Цели в области устойчивого развития</w:t>
      </w:r>
    </w:p>
    <w:p w14:paraId="195F7CA7" w14:textId="77777777" w:rsidR="003E2080" w:rsidRPr="003E2080" w:rsidRDefault="003E2080" w:rsidP="003E2080">
      <w:pPr>
        <w:pStyle w:val="SingleTxt"/>
        <w:spacing w:after="0" w:line="120" w:lineRule="exact"/>
        <w:rPr>
          <w:sz w:val="10"/>
        </w:rPr>
      </w:pPr>
    </w:p>
    <w:p w14:paraId="006005B0" w14:textId="77777777" w:rsidR="003E2080" w:rsidRPr="003E2080" w:rsidRDefault="003E2080" w:rsidP="003E2080">
      <w:pPr>
        <w:pStyle w:val="SingleTxt"/>
        <w:spacing w:after="0" w:line="120" w:lineRule="exact"/>
        <w:rPr>
          <w:sz w:val="10"/>
        </w:rPr>
      </w:pPr>
    </w:p>
    <w:p w14:paraId="0AD411A6" w14:textId="7F3DC94A" w:rsidR="00E70BAA" w:rsidRPr="00E70BAA" w:rsidRDefault="00E70BAA" w:rsidP="00E70BAA">
      <w:pPr>
        <w:pStyle w:val="SingleTxt"/>
      </w:pPr>
      <w:r w:rsidRPr="00E70BAA">
        <w:t>6.</w:t>
      </w:r>
      <w:r w:rsidRPr="00E70BAA">
        <w:tab/>
      </w:r>
      <w:r w:rsidRPr="00E70BAA">
        <w:rPr>
          <w:b/>
          <w:bCs/>
        </w:rPr>
        <w:t>Комитет с удовлетворением отмечает поддержку международным сообществом целей в области устойчивого развития и призывает к обеспечению гендерного равенства де-юре (на законодательном уровне) и де-факто (на практике) в соответствии с положениями Конвенции на протяжении всего процесса осуществления Повестки дня в области устойчивого развития на период до 2030 года.</w:t>
      </w:r>
      <w:r w:rsidRPr="00E70BAA">
        <w:t xml:space="preserve"> </w:t>
      </w:r>
      <w:r w:rsidRPr="00E70BAA">
        <w:rPr>
          <w:b/>
          <w:bCs/>
        </w:rPr>
        <w:t>Комитет напоминает о важности цели 5 в области устойчивого развития и необходимости учитывать принципы равенства и недискриминации в процессе достижения всех 17 целей в области устойчивого развития.</w:t>
      </w:r>
      <w:r w:rsidRPr="00E70BAA">
        <w:t xml:space="preserve"> </w:t>
      </w:r>
      <w:r w:rsidRPr="00E70BAA">
        <w:rPr>
          <w:b/>
          <w:bCs/>
        </w:rPr>
        <w:t>Он настоятельно призывает государство-участник признать, что женщины являются движущей силой его устойчивого развития, и исходя из этого принять соответствующие программные меры и стратегии.</w:t>
      </w:r>
    </w:p>
    <w:p w14:paraId="0377B84C" w14:textId="77777777" w:rsidR="003E2080" w:rsidRDefault="003E2080">
      <w:pPr>
        <w:spacing w:after="200" w:line="276" w:lineRule="auto"/>
        <w:rPr>
          <w:b/>
          <w:sz w:val="24"/>
        </w:rPr>
      </w:pPr>
      <w:r>
        <w:br w:type="page"/>
      </w:r>
    </w:p>
    <w:p w14:paraId="04B5B193" w14:textId="1ED24397" w:rsidR="00E70BAA" w:rsidRPr="00E70BAA" w:rsidRDefault="003E2080" w:rsidP="003E208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E70BAA" w:rsidRPr="00E70BAA">
        <w:t>D.</w:t>
      </w:r>
      <w:r w:rsidR="00E70BAA" w:rsidRPr="00E70BAA">
        <w:tab/>
        <w:t>Парламент</w:t>
      </w:r>
    </w:p>
    <w:p w14:paraId="6B4862B2" w14:textId="77777777" w:rsidR="003E2080" w:rsidRPr="003E2080" w:rsidRDefault="003E2080" w:rsidP="003E2080">
      <w:pPr>
        <w:pStyle w:val="SingleTxt"/>
        <w:spacing w:after="0" w:line="120" w:lineRule="exact"/>
        <w:rPr>
          <w:sz w:val="10"/>
        </w:rPr>
      </w:pPr>
    </w:p>
    <w:p w14:paraId="22C7ED01" w14:textId="77777777" w:rsidR="003E2080" w:rsidRPr="003E2080" w:rsidRDefault="003E2080" w:rsidP="003E2080">
      <w:pPr>
        <w:pStyle w:val="SingleTxt"/>
        <w:spacing w:after="0" w:line="120" w:lineRule="exact"/>
        <w:rPr>
          <w:sz w:val="10"/>
        </w:rPr>
      </w:pPr>
    </w:p>
    <w:p w14:paraId="496A0495" w14:textId="68C1AA6A" w:rsidR="00E70BAA" w:rsidRPr="00E70BAA" w:rsidRDefault="00E70BAA" w:rsidP="00E70BAA">
      <w:pPr>
        <w:pStyle w:val="SingleTxt"/>
        <w:rPr>
          <w:b/>
          <w:bCs/>
        </w:rPr>
      </w:pPr>
      <w:r w:rsidRPr="00E70BAA">
        <w:t>7.</w:t>
      </w:r>
      <w:r w:rsidRPr="00E70BAA">
        <w:tab/>
      </w:r>
      <w:r w:rsidRPr="00E70BAA">
        <w:rPr>
          <w:b/>
          <w:bCs/>
        </w:rPr>
        <w:t xml:space="preserve">Комитет подчеркивает важнейшую роль законодательной власти в обеспечении полного осуществления Конвенции (см. </w:t>
      </w:r>
      <w:hyperlink r:id="rId23" w:history="1">
        <w:r w:rsidRPr="00E70BAA">
          <w:rPr>
            <w:rStyle w:val="Hyperlink"/>
            <w:b/>
            <w:bCs/>
          </w:rPr>
          <w:t>A/65/38</w:t>
        </w:r>
      </w:hyperlink>
      <w:r w:rsidRPr="00E70BAA">
        <w:rPr>
          <w:b/>
          <w:bCs/>
        </w:rPr>
        <w:t>, часть 2, приложение VI).</w:t>
      </w:r>
      <w:r w:rsidRPr="00E70BAA">
        <w:t xml:space="preserve"> </w:t>
      </w:r>
      <w:r w:rsidRPr="00E70BAA">
        <w:rPr>
          <w:b/>
          <w:bCs/>
        </w:rPr>
        <w:t>Он предлагает Сейму в соответствии с его мандатом предпринять необходимые шаги по претворению в жизнь настоящих заключительных замечаний в период до представления следующего периодического доклада в соответствии с Конвенцией.</w:t>
      </w:r>
    </w:p>
    <w:p w14:paraId="182D1829" w14:textId="77777777" w:rsidR="003E2080" w:rsidRPr="003E2080" w:rsidRDefault="003E2080" w:rsidP="003E2080">
      <w:pPr>
        <w:pStyle w:val="SingleTxt"/>
        <w:spacing w:after="0" w:line="120" w:lineRule="exact"/>
        <w:rPr>
          <w:b/>
          <w:sz w:val="10"/>
        </w:rPr>
      </w:pPr>
    </w:p>
    <w:p w14:paraId="6DD53F25" w14:textId="77777777" w:rsidR="003E2080" w:rsidRPr="003E2080" w:rsidRDefault="003E2080" w:rsidP="003E2080">
      <w:pPr>
        <w:pStyle w:val="SingleTxt"/>
        <w:spacing w:after="0" w:line="120" w:lineRule="exact"/>
        <w:rPr>
          <w:b/>
          <w:sz w:val="10"/>
        </w:rPr>
      </w:pPr>
    </w:p>
    <w:p w14:paraId="033E9A1B" w14:textId="435E32EE" w:rsidR="00E70BAA" w:rsidRPr="00E70BAA" w:rsidRDefault="003E2080" w:rsidP="003E208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70BAA" w:rsidRPr="00E70BAA">
        <w:t>E.</w:t>
      </w:r>
      <w:r w:rsidR="00E70BAA" w:rsidRPr="00E70BAA">
        <w:tab/>
        <w:t>Основные вопросы, вызывающие обеспокоенность, и</w:t>
      </w:r>
      <w:r>
        <w:rPr>
          <w:lang w:val="en-US"/>
        </w:rPr>
        <w:t> </w:t>
      </w:r>
      <w:r w:rsidR="00E70BAA" w:rsidRPr="00E70BAA">
        <w:t>рекомендации</w:t>
      </w:r>
    </w:p>
    <w:p w14:paraId="79512DAF" w14:textId="77777777" w:rsidR="003E2080" w:rsidRPr="003E2080" w:rsidRDefault="003E2080" w:rsidP="003E2080">
      <w:pPr>
        <w:pStyle w:val="SingleTxt"/>
        <w:spacing w:after="0" w:line="120" w:lineRule="exact"/>
        <w:rPr>
          <w:b/>
          <w:sz w:val="10"/>
        </w:rPr>
      </w:pPr>
    </w:p>
    <w:p w14:paraId="0AADC6E0" w14:textId="77777777" w:rsidR="003E2080" w:rsidRPr="003E2080" w:rsidRDefault="003E2080" w:rsidP="003E2080">
      <w:pPr>
        <w:pStyle w:val="SingleTxt"/>
        <w:spacing w:after="0" w:line="120" w:lineRule="exact"/>
        <w:rPr>
          <w:b/>
          <w:sz w:val="10"/>
        </w:rPr>
      </w:pPr>
    </w:p>
    <w:p w14:paraId="13AAA659" w14:textId="65D6FD84" w:rsidR="00E70BAA" w:rsidRPr="00E70BAA" w:rsidRDefault="003E2080" w:rsidP="003E20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70BAA" w:rsidRPr="00E70BAA">
        <w:tab/>
        <w:t>Популяризация Конвенции, Факультативного протокола к ней и общих рекомендаций Комитета</w:t>
      </w:r>
    </w:p>
    <w:p w14:paraId="6D634F50" w14:textId="77777777" w:rsidR="003E2080" w:rsidRPr="003E2080" w:rsidRDefault="003E2080" w:rsidP="003E2080">
      <w:pPr>
        <w:pStyle w:val="SingleTxt"/>
        <w:spacing w:after="0" w:line="120" w:lineRule="exact"/>
        <w:rPr>
          <w:sz w:val="10"/>
        </w:rPr>
      </w:pPr>
    </w:p>
    <w:p w14:paraId="4E556ED4" w14:textId="77777777" w:rsidR="003E2080" w:rsidRPr="003E2080" w:rsidRDefault="003E2080" w:rsidP="003E2080">
      <w:pPr>
        <w:pStyle w:val="SingleTxt"/>
        <w:spacing w:after="0" w:line="120" w:lineRule="exact"/>
        <w:rPr>
          <w:sz w:val="10"/>
        </w:rPr>
      </w:pPr>
    </w:p>
    <w:p w14:paraId="14BC6214" w14:textId="15E6B25E" w:rsidR="00E70BAA" w:rsidRPr="00E70BAA" w:rsidRDefault="00E70BAA" w:rsidP="00E70BAA">
      <w:pPr>
        <w:pStyle w:val="SingleTxt"/>
      </w:pPr>
      <w:r w:rsidRPr="00E70BAA">
        <w:t>8.</w:t>
      </w:r>
      <w:r w:rsidRPr="00E70BAA">
        <w:tab/>
        <w:t>Комитет приветствует намерение государства-участника подготовить отдельный план действий по осуществлению настоящих заключительных замечаний. Вместе с тем у Комитета по-прежнему вызывают обеспокоенность следующие моменты:</w:t>
      </w:r>
    </w:p>
    <w:p w14:paraId="1A0B5729" w14:textId="3E899B13" w:rsidR="00E70BAA" w:rsidRPr="00E70BAA" w:rsidRDefault="003E2080" w:rsidP="00E70BAA">
      <w:pPr>
        <w:pStyle w:val="SingleTxt"/>
      </w:pPr>
      <w:r>
        <w:tab/>
      </w:r>
      <w:r w:rsidR="00E70BAA" w:rsidRPr="00E70BAA">
        <w:t>а)</w:t>
      </w:r>
      <w:r w:rsidR="00E70BAA" w:rsidRPr="00E70BAA">
        <w:tab/>
        <w:t xml:space="preserve">отсутствие данных о случаях, в которых на положения Конвенции делались ссылки в ходе судебных разбирательств; </w:t>
      </w:r>
    </w:p>
    <w:p w14:paraId="401B74B8" w14:textId="400EFC7F" w:rsidR="00E70BAA" w:rsidRPr="00E70BAA" w:rsidRDefault="003E2080" w:rsidP="00E70BAA">
      <w:pPr>
        <w:pStyle w:val="SingleTxt"/>
      </w:pPr>
      <w:r>
        <w:tab/>
      </w:r>
      <w:r w:rsidR="00E70BAA" w:rsidRPr="00E70BAA">
        <w:t>b)</w:t>
      </w:r>
      <w:r w:rsidR="00E70BAA" w:rsidRPr="00E70BAA">
        <w:tab/>
        <w:t xml:space="preserve">неинформированность широкой общественности государства-участника о Конвенции в целом, общих рекомендациях и правовой практике Комитета в соответствии с Факультативным протоколом; </w:t>
      </w:r>
    </w:p>
    <w:p w14:paraId="785992DA" w14:textId="19F970C0" w:rsidR="00E70BAA" w:rsidRPr="00E70BAA" w:rsidRDefault="003E2080" w:rsidP="00E70BAA">
      <w:pPr>
        <w:pStyle w:val="SingleTxt"/>
      </w:pPr>
      <w:r>
        <w:tab/>
      </w:r>
      <w:r w:rsidR="00E70BAA" w:rsidRPr="00E70BAA">
        <w:t>c)</w:t>
      </w:r>
      <w:r w:rsidR="00E70BAA" w:rsidRPr="00E70BAA">
        <w:tab/>
        <w:t xml:space="preserve">несистематический характер информационно-разъяснительной и </w:t>
      </w:r>
      <w:r w:rsidR="00E70BAA" w:rsidRPr="00E70BAA">
        <w:lastRenderedPageBreak/>
        <w:t>учебной работы по вопросам осуществления Конвенции.</w:t>
      </w:r>
    </w:p>
    <w:p w14:paraId="1F63B77F" w14:textId="68B396C5" w:rsidR="00E70BAA" w:rsidRPr="00E70BAA" w:rsidRDefault="00E70BAA" w:rsidP="00E70BAA">
      <w:pPr>
        <w:pStyle w:val="SingleTxt"/>
      </w:pPr>
      <w:r w:rsidRPr="00E70BAA">
        <w:t>9.</w:t>
      </w:r>
      <w:r w:rsidRPr="00E70BAA">
        <w:tab/>
      </w:r>
      <w:r w:rsidRPr="00E70BAA">
        <w:rPr>
          <w:b/>
          <w:bCs/>
        </w:rPr>
        <w:t>Подтверждая свои предыдущие рекомендации (</w:t>
      </w:r>
      <w:hyperlink r:id="rId24" w:history="1">
        <w:r w:rsidRPr="00E70BAA">
          <w:rPr>
            <w:rStyle w:val="Hyperlink"/>
            <w:b/>
            <w:bCs/>
          </w:rPr>
          <w:t>CEDAW/C/LTU/CO/5</w:t>
        </w:r>
      </w:hyperlink>
      <w:r w:rsidRPr="00E70BAA">
        <w:rPr>
          <w:b/>
          <w:bCs/>
        </w:rPr>
        <w:t>, пункт 9), Комитет призывает государство-участник:</w:t>
      </w:r>
      <w:bookmarkStart w:id="8" w:name="_Hlk24639041"/>
      <w:bookmarkEnd w:id="8"/>
    </w:p>
    <w:p w14:paraId="4F83582E" w14:textId="601BB32B" w:rsidR="00E70BAA" w:rsidRPr="00E70BAA" w:rsidRDefault="00E70BAA" w:rsidP="00E70BAA">
      <w:pPr>
        <w:pStyle w:val="SingleTxt"/>
        <w:rPr>
          <w:b/>
          <w:bCs/>
        </w:rPr>
      </w:pPr>
      <w:r w:rsidRPr="00E70BAA">
        <w:tab/>
        <w:t>а)</w:t>
      </w:r>
      <w:r w:rsidRPr="00E70BAA">
        <w:tab/>
      </w:r>
      <w:r w:rsidRPr="00E70BAA">
        <w:rPr>
          <w:b/>
          <w:bCs/>
        </w:rPr>
        <w:t>в своем следующем периодическом докладе представить всеобъемлющие данные на ежегодной основе о количестве дел, в ходе разбирательства которых в национальных судах делались ссылки на Конвенцию,</w:t>
      </w:r>
      <w:r w:rsidR="00791D07">
        <w:rPr>
          <w:b/>
          <w:bCs/>
          <w:lang w:val="en-US"/>
        </w:rPr>
        <w:t> </w:t>
      </w:r>
      <w:r w:rsidR="00791D07" w:rsidRPr="009858FA">
        <w:rPr>
          <w:b/>
          <w:bCs/>
        </w:rPr>
        <w:t xml:space="preserve">— </w:t>
      </w:r>
      <w:r w:rsidRPr="00E70BAA">
        <w:rPr>
          <w:b/>
          <w:bCs/>
        </w:rPr>
        <w:t>с момента опубликования настоящих заключительных замечаний;</w:t>
      </w:r>
    </w:p>
    <w:p w14:paraId="7CDABCC4" w14:textId="73079E3E" w:rsidR="00E70BAA" w:rsidRPr="00E70BAA" w:rsidRDefault="003E2080" w:rsidP="00E70BAA">
      <w:pPr>
        <w:pStyle w:val="SingleTxt"/>
        <w:rPr>
          <w:b/>
          <w:bCs/>
        </w:rPr>
      </w:pPr>
      <w:r>
        <w:tab/>
      </w:r>
      <w:r w:rsidR="00E70BAA" w:rsidRPr="00E70BAA">
        <w:t>b)</w:t>
      </w:r>
      <w:r w:rsidR="00E70BAA" w:rsidRPr="00E70BAA">
        <w:tab/>
      </w:r>
      <w:r w:rsidR="00E70BAA" w:rsidRPr="00E70BAA">
        <w:rPr>
          <w:b/>
          <w:bCs/>
        </w:rPr>
        <w:t>обеспечить распространение и более широкую популяризацию Конвенции, Факультативного протокола к ней и заключительных замечаний и общих рекомендаций Комитета, а также его соображений</w:t>
      </w:r>
      <w:r w:rsidR="0071709C">
        <w:rPr>
          <w:b/>
          <w:bCs/>
        </w:rPr>
        <w:t xml:space="preserve"> </w:t>
      </w:r>
      <w:r w:rsidR="0071709C" w:rsidRPr="00E70BAA">
        <w:rPr>
          <w:b/>
          <w:bCs/>
        </w:rPr>
        <w:t>и</w:t>
      </w:r>
      <w:r w:rsidR="00E70BAA" w:rsidRPr="00E70BAA">
        <w:rPr>
          <w:b/>
          <w:bCs/>
        </w:rPr>
        <w:t xml:space="preserve"> рекомендаций по индивидуальным сообщениям и запросам, поступающим в соответствии с Факультативным протоколом, и повышать осведомленность женщин и мужчин об их правах по Конвенции и о средствах правовой защиты, имеющихся в их распоряжении для реализации этих прав;</w:t>
      </w:r>
    </w:p>
    <w:p w14:paraId="6E88A628" w14:textId="4090C61E" w:rsidR="00E70BAA" w:rsidRPr="00E70BAA" w:rsidRDefault="003E2080" w:rsidP="00E70BAA">
      <w:pPr>
        <w:pStyle w:val="SingleTxt"/>
      </w:pPr>
      <w:r>
        <w:tab/>
      </w:r>
      <w:r w:rsidR="00E70BAA" w:rsidRPr="00E70BAA">
        <w:t>c)</w:t>
      </w:r>
      <w:r w:rsidR="00E70BAA" w:rsidRPr="00E70BAA">
        <w:tab/>
      </w:r>
      <w:r w:rsidR="00E70BAA" w:rsidRPr="00E70BAA">
        <w:rPr>
          <w:b/>
          <w:bCs/>
        </w:rPr>
        <w:t>укрепить в этой связи программы по наращиванию потенциала судей, прокуроров, сотрудников полиции и других правоохранительных органов, а также адвокатов.</w:t>
      </w:r>
    </w:p>
    <w:p w14:paraId="51B5CE74" w14:textId="77777777" w:rsidR="003E2080" w:rsidRPr="003E2080" w:rsidRDefault="003E2080" w:rsidP="003E2080">
      <w:pPr>
        <w:pStyle w:val="SingleTxt"/>
        <w:spacing w:after="0" w:line="120" w:lineRule="exact"/>
        <w:rPr>
          <w:b/>
          <w:sz w:val="10"/>
        </w:rPr>
      </w:pPr>
    </w:p>
    <w:p w14:paraId="0B5B4F96" w14:textId="549A5711" w:rsidR="00E70BAA" w:rsidRPr="00E70BAA" w:rsidRDefault="003E2080" w:rsidP="003E20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70BAA" w:rsidRPr="00E70BAA">
        <w:tab/>
        <w:t>Определение равенства и недискриминации</w:t>
      </w:r>
    </w:p>
    <w:p w14:paraId="04380557" w14:textId="77777777" w:rsidR="003E2080" w:rsidRPr="003E2080" w:rsidRDefault="003E2080" w:rsidP="003E2080">
      <w:pPr>
        <w:pStyle w:val="SingleTxt"/>
        <w:spacing w:after="0" w:line="120" w:lineRule="exact"/>
        <w:rPr>
          <w:sz w:val="10"/>
        </w:rPr>
      </w:pPr>
    </w:p>
    <w:p w14:paraId="4908D521" w14:textId="400B152C" w:rsidR="00E70BAA" w:rsidRPr="00E70BAA" w:rsidRDefault="00E70BAA" w:rsidP="00E70BAA">
      <w:pPr>
        <w:pStyle w:val="SingleTxt"/>
      </w:pPr>
      <w:r w:rsidRPr="00E70BAA">
        <w:t>10.</w:t>
      </w:r>
      <w:r w:rsidRPr="00E70BAA">
        <w:tab/>
        <w:t xml:space="preserve">Комитет отмечает улучшения в законодательной базе государства-участника, направленные на обеспечение равенства между женщинами и мужчинами и запрещение гендерной дискриминации, </w:t>
      </w:r>
      <w:r w:rsidRPr="00E70BAA">
        <w:lastRenderedPageBreak/>
        <w:t>включая прямую и косвенную дискриминацию по различным признакам. Вместе с тем он с обеспокоенностью отмечает следующие обстоятельства:</w:t>
      </w:r>
    </w:p>
    <w:p w14:paraId="72E53032" w14:textId="7431919A" w:rsidR="00E70BAA" w:rsidRPr="00E70BAA" w:rsidRDefault="003E2080" w:rsidP="00E70BAA">
      <w:pPr>
        <w:pStyle w:val="SingleTxt"/>
      </w:pPr>
      <w:r>
        <w:tab/>
      </w:r>
      <w:r w:rsidR="00E70BAA" w:rsidRPr="00E70BAA">
        <w:t>а)</w:t>
      </w:r>
      <w:r w:rsidR="00E70BAA" w:rsidRPr="00E70BAA">
        <w:tab/>
        <w:t>Закон о равном обращении и Закон о равных возможностях для женщин и мужчин неприменимы к вопросам семейной и частной жизни, в которых многие женщины нуждаются в правовой защите;</w:t>
      </w:r>
    </w:p>
    <w:p w14:paraId="5D76ECDE" w14:textId="2CABA739" w:rsidR="00E70BAA" w:rsidRPr="00E70BAA" w:rsidRDefault="003E2080" w:rsidP="00E70BAA">
      <w:pPr>
        <w:pStyle w:val="SingleTxt"/>
      </w:pPr>
      <w:r>
        <w:tab/>
      </w:r>
      <w:r w:rsidR="00E70BAA" w:rsidRPr="00E70BAA">
        <w:t>b)</w:t>
      </w:r>
      <w:r w:rsidR="00E70BAA" w:rsidRPr="00E70BAA">
        <w:tab/>
        <w:t>отсутствует законодательство, конкретно запрещающее перекрестную дискриминацию в отношении женщин, а также отсутствует юридическое определение понятий гендера и пола;</w:t>
      </w:r>
    </w:p>
    <w:p w14:paraId="3669E07C" w14:textId="503B0D4C" w:rsidR="00E70BAA" w:rsidRPr="00E70BAA" w:rsidRDefault="003E2080" w:rsidP="00E70BAA">
      <w:pPr>
        <w:pStyle w:val="SingleTxt"/>
      </w:pPr>
      <w:r>
        <w:tab/>
      </w:r>
      <w:r w:rsidR="00E70BAA" w:rsidRPr="00E70BAA">
        <w:t>c)</w:t>
      </w:r>
      <w:r w:rsidR="00E70BAA" w:rsidRPr="00E70BAA">
        <w:tab/>
        <w:t xml:space="preserve">отсутствует законодательство, запрещающее дискриминацию по признаку смены пола, хотя в ряде судебных решений такая дискриминация признается дискриминацией по признаку пола. </w:t>
      </w:r>
    </w:p>
    <w:p w14:paraId="16D5B4BD" w14:textId="77777777" w:rsidR="00E70BAA" w:rsidRPr="00E70BAA" w:rsidRDefault="00E70BAA" w:rsidP="00E70BAA">
      <w:pPr>
        <w:pStyle w:val="SingleTxt"/>
      </w:pPr>
      <w:r w:rsidRPr="00E70BAA">
        <w:t>11.</w:t>
      </w:r>
      <w:r w:rsidRPr="00E70BAA">
        <w:tab/>
      </w:r>
      <w:r w:rsidRPr="00E70BAA">
        <w:rPr>
          <w:b/>
          <w:bCs/>
        </w:rPr>
        <w:t>Комитет рекомендует государству-участнику рассмотреть вопрос о принятии всеобъемлющего законодательства о гендерном равенстве и недискриминации.</w:t>
      </w:r>
      <w:r w:rsidRPr="00E70BAA">
        <w:t xml:space="preserve"> </w:t>
      </w:r>
      <w:r w:rsidRPr="00E70BAA">
        <w:rPr>
          <w:b/>
          <w:bCs/>
        </w:rPr>
        <w:t>Кроме того, он рекомендует государству-участнику:</w:t>
      </w:r>
    </w:p>
    <w:p w14:paraId="1F837946" w14:textId="047A036A" w:rsidR="00E70BAA" w:rsidRPr="00E70BAA" w:rsidRDefault="003E2080" w:rsidP="00E70BAA">
      <w:pPr>
        <w:pStyle w:val="SingleTxt"/>
        <w:rPr>
          <w:b/>
          <w:bCs/>
        </w:rPr>
      </w:pPr>
      <w:r>
        <w:tab/>
      </w:r>
      <w:r w:rsidR="00E70BAA" w:rsidRPr="00E70BAA">
        <w:t>а)</w:t>
      </w:r>
      <w:r w:rsidR="00E70BAA" w:rsidRPr="00E70BAA">
        <w:tab/>
      </w:r>
      <w:r w:rsidR="00E70BAA" w:rsidRPr="00E70BAA">
        <w:rPr>
          <w:b/>
          <w:bCs/>
        </w:rPr>
        <w:t>распространить действие антидискриминационного законодательства и законодательства о равных возможностях на вопросы семейной и частной жизни;</w:t>
      </w:r>
    </w:p>
    <w:p w14:paraId="11D03844" w14:textId="57E1B513" w:rsidR="00E70BAA" w:rsidRPr="00E70BAA" w:rsidRDefault="003E2080" w:rsidP="00E70BAA">
      <w:pPr>
        <w:pStyle w:val="SingleTxt"/>
        <w:rPr>
          <w:b/>
          <w:bCs/>
        </w:rPr>
      </w:pPr>
      <w:r>
        <w:tab/>
      </w:r>
      <w:r w:rsidR="00E70BAA" w:rsidRPr="00E70BAA">
        <w:t>b)</w:t>
      </w:r>
      <w:r w:rsidR="00E70BAA" w:rsidRPr="00E70BAA">
        <w:tab/>
      </w:r>
      <w:r w:rsidR="00E70BAA" w:rsidRPr="00E70BAA">
        <w:rPr>
          <w:b/>
          <w:bCs/>
        </w:rPr>
        <w:t>принять законодательство, прямо защищающее женщин от перекрестной дискриминации, и дать юридическое определение понятиям «гендер» и «пол»;</w:t>
      </w:r>
    </w:p>
    <w:p w14:paraId="7C0B4744" w14:textId="08EC8341" w:rsidR="00E70BAA" w:rsidRPr="00E70BAA" w:rsidRDefault="003E2080" w:rsidP="00E70BAA">
      <w:pPr>
        <w:pStyle w:val="SingleTxt"/>
      </w:pPr>
      <w:r>
        <w:tab/>
      </w:r>
      <w:r w:rsidR="00E70BAA" w:rsidRPr="00E70BAA">
        <w:t>c)</w:t>
      </w:r>
      <w:r w:rsidR="00E70BAA" w:rsidRPr="00E70BAA">
        <w:tab/>
      </w:r>
      <w:r w:rsidR="00E70BAA" w:rsidRPr="00E70BAA">
        <w:rPr>
          <w:b/>
          <w:bCs/>
        </w:rPr>
        <w:t>конкретно признать в законодательстве дискриминацию в отношении женщин на основе изменения пола в качестве гендерной дискриминации.</w:t>
      </w:r>
    </w:p>
    <w:p w14:paraId="24A0526C" w14:textId="77777777" w:rsidR="003E2080" w:rsidRPr="003E2080" w:rsidRDefault="003E2080" w:rsidP="003E2080">
      <w:pPr>
        <w:pStyle w:val="SingleTxt"/>
        <w:spacing w:after="0" w:line="120" w:lineRule="exact"/>
        <w:rPr>
          <w:b/>
          <w:sz w:val="10"/>
        </w:rPr>
      </w:pPr>
    </w:p>
    <w:p w14:paraId="57B9EF3E" w14:textId="0EBE6433" w:rsidR="00E70BAA" w:rsidRPr="00E70BAA" w:rsidRDefault="00E70BAA" w:rsidP="003E20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70BAA">
        <w:tab/>
      </w:r>
      <w:r w:rsidRPr="00E70BAA">
        <w:tab/>
        <w:t xml:space="preserve">Доступ к правосудию и правовые механизмы рассмотрения жалоб </w:t>
      </w:r>
    </w:p>
    <w:p w14:paraId="387215C6" w14:textId="77777777" w:rsidR="003E2080" w:rsidRPr="003E2080" w:rsidRDefault="003E2080" w:rsidP="003E2080">
      <w:pPr>
        <w:pStyle w:val="SingleTxt"/>
        <w:spacing w:after="0" w:line="120" w:lineRule="exact"/>
        <w:rPr>
          <w:sz w:val="10"/>
        </w:rPr>
      </w:pPr>
    </w:p>
    <w:p w14:paraId="131BFAF6" w14:textId="7EE8B2F9" w:rsidR="00E70BAA" w:rsidRPr="00E70BAA" w:rsidRDefault="00E70BAA" w:rsidP="00E70BAA">
      <w:pPr>
        <w:pStyle w:val="SingleTxt"/>
      </w:pPr>
      <w:r w:rsidRPr="00E70BAA">
        <w:t>12.</w:t>
      </w:r>
      <w:r w:rsidRPr="00E70BAA">
        <w:tab/>
        <w:t>Комитет приветствует реформу системы юридической помощи 2019 года, предусматривающую оказание первичной правовой помощи (за исключением ее оказания в ходе</w:t>
      </w:r>
      <w:r w:rsidR="0071709C">
        <w:t xml:space="preserve"> </w:t>
      </w:r>
      <w:r w:rsidR="0071709C" w:rsidRPr="00E70BAA">
        <w:t>с</w:t>
      </w:r>
      <w:r w:rsidRPr="00E70BAA">
        <w:t xml:space="preserve">удебных разбирательств) всем лицам, находящимся в уязвимом положении, включая женщин, и вторичной правовой помощи в ходе судебного разбирательства всем пострадавшим, в частности жертвам гендерного насилия, включая сексуальное и бытовое насилие, и преступлений на почве ненависти, независимо от финансового положения пострадавших. Вместе с тем Комитет отмечает, что в 2018 году Управление Омбудсмена по вопросам о равных возможностях не получало никаких жалоб от женщин или девочек-инвалидов, а также то, что число жалоб на дискриминацию по признаку пола и гендерную дискриминацию в целом было незначительным, отчасти из-за отсутствия региональных и местных отделений Управления Омбудсмена. </w:t>
      </w:r>
    </w:p>
    <w:p w14:paraId="33777640" w14:textId="22F398EF" w:rsidR="00E70BAA" w:rsidRPr="00E70BAA" w:rsidRDefault="00E70BAA" w:rsidP="00E70BAA">
      <w:pPr>
        <w:pStyle w:val="SingleTxt"/>
        <w:rPr>
          <w:b/>
          <w:bCs/>
        </w:rPr>
      </w:pPr>
      <w:r w:rsidRPr="00E70BAA">
        <w:t>13.</w:t>
      </w:r>
      <w:r w:rsidRPr="00E70BAA">
        <w:tab/>
      </w:r>
      <w:r w:rsidRPr="00E70BAA">
        <w:rPr>
          <w:b/>
          <w:bCs/>
        </w:rPr>
        <w:t xml:space="preserve">В свете своей общей рекомендации № </w:t>
      </w:r>
      <w:r w:rsidR="00F91338" w:rsidRPr="00474C5E">
        <w:t>33 (2015)</w:t>
      </w:r>
      <w:r w:rsidRPr="00E70BAA">
        <w:rPr>
          <w:b/>
          <w:bCs/>
        </w:rPr>
        <w:t xml:space="preserve"> о доступе женщин к правосудию Комитет рекомендует государству-участнику:</w:t>
      </w:r>
    </w:p>
    <w:p w14:paraId="090048A6" w14:textId="0BBA2114" w:rsidR="00E70BAA" w:rsidRPr="00E70BAA" w:rsidRDefault="003E2080" w:rsidP="00E70BAA">
      <w:pPr>
        <w:pStyle w:val="SingleTxt"/>
        <w:rPr>
          <w:b/>
          <w:bCs/>
        </w:rPr>
      </w:pPr>
      <w:r>
        <w:tab/>
      </w:r>
      <w:r w:rsidR="00E70BAA" w:rsidRPr="00E70BAA">
        <w:t>а)</w:t>
      </w:r>
      <w:r w:rsidR="00E70BAA" w:rsidRPr="00E70BAA">
        <w:tab/>
      </w:r>
      <w:r w:rsidR="00E70BAA" w:rsidRPr="00E70BAA">
        <w:rPr>
          <w:b/>
          <w:bCs/>
        </w:rPr>
        <w:t>обеспечить полный доступ к правосудию для обездоленных или маргинализованных групп женщин, в частности женщин, принадлежащих к меньшинствам, мигрантов, сельских и пожилых женщин, женщин-инвалидов, лесбиянок, бисексуалок и трансгендеров, а также интерсексов;</w:t>
      </w:r>
    </w:p>
    <w:p w14:paraId="6AEFC226" w14:textId="2E16A437" w:rsidR="00E70BAA" w:rsidRPr="00E70BAA" w:rsidRDefault="003E2080" w:rsidP="00E70BAA">
      <w:pPr>
        <w:pStyle w:val="SingleTxt"/>
        <w:rPr>
          <w:b/>
          <w:bCs/>
        </w:rPr>
      </w:pPr>
      <w:r>
        <w:tab/>
      </w:r>
      <w:r w:rsidR="00E70BAA" w:rsidRPr="00E70BAA">
        <w:t>b)</w:t>
      </w:r>
      <w:r w:rsidR="00E70BAA" w:rsidRPr="00E70BAA">
        <w:tab/>
      </w:r>
      <w:r w:rsidR="00E70BAA" w:rsidRPr="00E70BAA">
        <w:rPr>
          <w:b/>
          <w:bCs/>
        </w:rPr>
        <w:t xml:space="preserve">повысить осведомленность женщин об имеющихся в их распоряжении средствах правовой защиты для </w:t>
      </w:r>
      <w:r w:rsidR="00E70BAA" w:rsidRPr="00E70BAA">
        <w:rPr>
          <w:b/>
          <w:bCs/>
        </w:rPr>
        <w:lastRenderedPageBreak/>
        <w:t>подачи жалоб на нарушения их прав по Конвенции;</w:t>
      </w:r>
    </w:p>
    <w:p w14:paraId="0AF80E57" w14:textId="5E0F2875" w:rsidR="00E70BAA" w:rsidRPr="00E70BAA" w:rsidRDefault="003E2080" w:rsidP="00E70BAA">
      <w:pPr>
        <w:pStyle w:val="SingleTxt"/>
        <w:rPr>
          <w:b/>
          <w:bCs/>
        </w:rPr>
      </w:pPr>
      <w:r>
        <w:tab/>
      </w:r>
      <w:r w:rsidR="00E70BAA" w:rsidRPr="00E70BAA">
        <w:t>c)</w:t>
      </w:r>
      <w:r w:rsidR="00E70BAA" w:rsidRPr="00E70BAA">
        <w:tab/>
      </w:r>
      <w:r w:rsidR="00E70BAA" w:rsidRPr="00E70BAA">
        <w:rPr>
          <w:b/>
          <w:bCs/>
        </w:rPr>
        <w:t>расширить масштабы деятельности</w:t>
      </w:r>
      <w:r w:rsidR="0071709C">
        <w:rPr>
          <w:b/>
          <w:bCs/>
        </w:rPr>
        <w:t xml:space="preserve"> </w:t>
      </w:r>
      <w:r w:rsidR="0071709C" w:rsidRPr="00E70BAA">
        <w:rPr>
          <w:b/>
          <w:bCs/>
        </w:rPr>
        <w:t>У</w:t>
      </w:r>
      <w:r w:rsidR="00E70BAA" w:rsidRPr="00E70BAA">
        <w:rPr>
          <w:b/>
          <w:bCs/>
        </w:rPr>
        <w:t xml:space="preserve">правления Омбудсмена </w:t>
      </w:r>
      <w:bookmarkStart w:id="9" w:name="_Hlk26870102"/>
      <w:r w:rsidR="00E70BAA" w:rsidRPr="00E70BAA">
        <w:rPr>
          <w:b/>
          <w:bCs/>
        </w:rPr>
        <w:t>по вопросам о равных возможностях</w:t>
      </w:r>
      <w:bookmarkEnd w:id="9"/>
      <w:r w:rsidR="00E70BAA" w:rsidRPr="00E70BAA">
        <w:rPr>
          <w:b/>
          <w:bCs/>
        </w:rPr>
        <w:t>, с тем чтобы облегчить доступ к правосудию для всех женщин на региональном и местном уровнях.</w:t>
      </w:r>
    </w:p>
    <w:p w14:paraId="544A285C" w14:textId="77777777" w:rsidR="003E2080" w:rsidRPr="003E2080" w:rsidRDefault="003E2080" w:rsidP="003E2080">
      <w:pPr>
        <w:pStyle w:val="SingleTxt"/>
        <w:spacing w:after="0" w:line="120" w:lineRule="exact"/>
        <w:rPr>
          <w:b/>
          <w:sz w:val="10"/>
        </w:rPr>
      </w:pPr>
    </w:p>
    <w:p w14:paraId="694ACDAF" w14:textId="35A696D7" w:rsidR="00E70BAA" w:rsidRPr="00E70BAA" w:rsidRDefault="003E2080" w:rsidP="003E208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70BAA" w:rsidRPr="00E70BAA">
        <w:tab/>
        <w:t>Национальные механизмы по улучшению положения женщин</w:t>
      </w:r>
    </w:p>
    <w:p w14:paraId="3135AD5F" w14:textId="77777777" w:rsidR="003E2080" w:rsidRPr="003E2080" w:rsidRDefault="003E2080" w:rsidP="003E2080">
      <w:pPr>
        <w:pStyle w:val="SingleTxt"/>
        <w:spacing w:after="0" w:line="120" w:lineRule="exact"/>
        <w:rPr>
          <w:sz w:val="10"/>
        </w:rPr>
      </w:pPr>
    </w:p>
    <w:p w14:paraId="75C1A79C" w14:textId="52F58D2C" w:rsidR="00E70BAA" w:rsidRPr="00E70BAA" w:rsidRDefault="00E70BAA" w:rsidP="00E70BAA">
      <w:pPr>
        <w:pStyle w:val="SingleTxt"/>
      </w:pPr>
      <w:r w:rsidRPr="00E70BAA">
        <w:t>14.</w:t>
      </w:r>
      <w:r w:rsidRPr="00E70BAA">
        <w:tab/>
        <w:t>Комитет приветствует неуклонный рост финансирования неправительственных организаций, занимающихся поощрением гендерного равенства и прав женщин. Он также приветствует проект поправок к Указу об учреждении Комиссии по обеспечению равных возможностей для женщин и мужчин, который, в частности, предусматривает включение в ее состав представителей государства на должностях не ниже уровня заместителя министра. Тем не менее Комитет выражает обеспокоенность по поводу того, что:</w:t>
      </w:r>
    </w:p>
    <w:p w14:paraId="2148013D" w14:textId="2A27575B" w:rsidR="00E70BAA" w:rsidRPr="00E70BAA" w:rsidRDefault="003E2080" w:rsidP="00E70BAA">
      <w:pPr>
        <w:pStyle w:val="SingleTxt"/>
      </w:pPr>
      <w:r>
        <w:tab/>
      </w:r>
      <w:r w:rsidR="00E70BAA" w:rsidRPr="00E70BAA">
        <w:t>а)</w:t>
      </w:r>
      <w:r w:rsidR="00E70BAA" w:rsidRPr="00E70BAA">
        <w:tab/>
        <w:t>Комиссия в качестве контрольного и надзорного органа также принимает непосредственное участие в разработке и осуществлении Плана действий на период 2018</w:t>
      </w:r>
      <w:r w:rsidR="00702C2B">
        <w:t>–</w:t>
      </w:r>
      <w:r w:rsidR="00E70BAA" w:rsidRPr="00E70BAA">
        <w:t>2021 годов по осуществлению четвертой Национальной программы обеспечения равных возможностей для женщин и мужчин на</w:t>
      </w:r>
      <w:r w:rsidR="00702C2B">
        <w:br/>
      </w:r>
      <w:r w:rsidR="00E70BAA" w:rsidRPr="00E70BAA">
        <w:t>2015</w:t>
      </w:r>
      <w:r w:rsidR="00702C2B">
        <w:t>–</w:t>
      </w:r>
      <w:r w:rsidR="00E70BAA" w:rsidRPr="00E70BAA">
        <w:t>2021</w:t>
      </w:r>
      <w:r w:rsidR="00702C2B">
        <w:t> </w:t>
      </w:r>
      <w:r w:rsidR="00E70BAA" w:rsidRPr="00E70BAA">
        <w:t>годы;</w:t>
      </w:r>
    </w:p>
    <w:p w14:paraId="6264347C" w14:textId="4FDC83D3" w:rsidR="00E70BAA" w:rsidRPr="00E70BAA" w:rsidRDefault="003E2080" w:rsidP="00E70BAA">
      <w:pPr>
        <w:pStyle w:val="SingleTxt"/>
      </w:pPr>
      <w:r>
        <w:tab/>
      </w:r>
      <w:r w:rsidR="00E70BAA" w:rsidRPr="00E70BAA">
        <w:t>b)</w:t>
      </w:r>
      <w:r w:rsidR="00E70BAA" w:rsidRPr="00E70BAA">
        <w:tab/>
        <w:t>мандату Омбудсмена по вопросам о равных возможностях придан гендерно нейтральный статус;</w:t>
      </w:r>
    </w:p>
    <w:p w14:paraId="393E6325" w14:textId="18B315BF" w:rsidR="00E70BAA" w:rsidRPr="00E70BAA" w:rsidRDefault="003E2080" w:rsidP="00E70BAA">
      <w:pPr>
        <w:pStyle w:val="SingleTxt"/>
      </w:pPr>
      <w:r>
        <w:tab/>
      </w:r>
      <w:r w:rsidR="00E70BAA" w:rsidRPr="00E70BAA">
        <w:t>с)</w:t>
      </w:r>
      <w:r w:rsidR="00D17EAC">
        <w:tab/>
      </w:r>
      <w:r w:rsidR="00E70BAA" w:rsidRPr="00E70BAA">
        <w:t>отсутствуют всеобъемлющие стратегии составления бюджета и выделения бюджетных ассигнований с учетом гендерных аспектов.</w:t>
      </w:r>
    </w:p>
    <w:p w14:paraId="296E6413" w14:textId="77777777" w:rsidR="00E70BAA" w:rsidRPr="00E70BAA" w:rsidRDefault="00E70BAA" w:rsidP="00E70BAA">
      <w:pPr>
        <w:pStyle w:val="SingleTxt"/>
        <w:rPr>
          <w:b/>
          <w:bCs/>
        </w:rPr>
      </w:pPr>
      <w:r w:rsidRPr="00E70BAA">
        <w:lastRenderedPageBreak/>
        <w:t>15.</w:t>
      </w:r>
      <w:r w:rsidRPr="00E70BAA">
        <w:tab/>
      </w:r>
      <w:r w:rsidRPr="00E70BAA">
        <w:rPr>
          <w:b/>
          <w:bCs/>
        </w:rPr>
        <w:t>Комитет рекомендует государству-участнику:</w:t>
      </w:r>
    </w:p>
    <w:p w14:paraId="0B01FA62" w14:textId="5488FC4E" w:rsidR="00E70BAA" w:rsidRPr="00E70BAA" w:rsidRDefault="003E2080" w:rsidP="00E70BAA">
      <w:pPr>
        <w:pStyle w:val="SingleTxt"/>
        <w:rPr>
          <w:b/>
          <w:bCs/>
        </w:rPr>
      </w:pPr>
      <w:r>
        <w:tab/>
      </w:r>
      <w:r w:rsidR="00E70BAA" w:rsidRPr="00E70BAA">
        <w:t>а)</w:t>
      </w:r>
      <w:r w:rsidR="00E70BAA" w:rsidRPr="00E70BAA">
        <w:tab/>
      </w:r>
      <w:r w:rsidR="00E70BAA" w:rsidRPr="00E70BAA">
        <w:rPr>
          <w:b/>
          <w:bCs/>
        </w:rPr>
        <w:t>в кратчайшие сроки принять проект поправок к Указу о создании Комиссии по обеспечению равных возможностей для женщин и мужчин и уточнить ее мандат, с тем чтобы избежать необоснованного смешения функций мониторинга и разработки политики;</w:t>
      </w:r>
    </w:p>
    <w:p w14:paraId="65EF2E08" w14:textId="26441C79" w:rsidR="00E70BAA" w:rsidRPr="00E70BAA" w:rsidRDefault="003E2080" w:rsidP="00E70BAA">
      <w:pPr>
        <w:pStyle w:val="SingleTxt"/>
        <w:rPr>
          <w:b/>
          <w:bCs/>
        </w:rPr>
      </w:pPr>
      <w:r>
        <w:tab/>
      </w:r>
      <w:r w:rsidR="00E70BAA" w:rsidRPr="00E70BAA">
        <w:t>b)</w:t>
      </w:r>
      <w:r w:rsidR="00E70BAA" w:rsidRPr="00E70BAA">
        <w:tab/>
      </w:r>
      <w:r w:rsidR="00E70BAA" w:rsidRPr="00E70BAA">
        <w:rPr>
          <w:b/>
          <w:bCs/>
        </w:rPr>
        <w:t>принять меры по пересмотру гендерно нейтрального характера мандата Омбудсмена по вопросам о равных возможностях и создать специализированную, учитывающую гендерные аспекты структуру для более эффективной защиты прав женщин и девочек и поощрения гендерного равенства;</w:t>
      </w:r>
    </w:p>
    <w:p w14:paraId="23C5DE19" w14:textId="1E050329" w:rsidR="00E70BAA" w:rsidRPr="00E70BAA" w:rsidRDefault="003E2080" w:rsidP="00E70BAA">
      <w:pPr>
        <w:pStyle w:val="SingleTxt"/>
      </w:pPr>
      <w:r>
        <w:tab/>
      </w:r>
      <w:r w:rsidR="00E70BAA" w:rsidRPr="00E70BAA">
        <w:t>c)</w:t>
      </w:r>
      <w:r w:rsidR="00E70BAA" w:rsidRPr="00E70BAA">
        <w:tab/>
      </w:r>
      <w:r w:rsidR="00E70BAA" w:rsidRPr="00E70BAA">
        <w:rPr>
          <w:b/>
          <w:bCs/>
        </w:rPr>
        <w:t>принять всеобъемлющие стратегии составления бюджета с учетом гендерных факторов, предусматривающие выделение специальных бюджетных ассигнований на осуществление политики, стратегий и программ по обеспечению гендерного равенства и улучшению положения женщин во всех частях государства-участника.</w:t>
      </w:r>
    </w:p>
    <w:p w14:paraId="60EE1A5D" w14:textId="77777777" w:rsidR="009858FA" w:rsidRPr="0030466F" w:rsidRDefault="009858FA" w:rsidP="009858FA">
      <w:pPr>
        <w:pStyle w:val="SingleTxt"/>
        <w:spacing w:after="0" w:line="120" w:lineRule="exact"/>
        <w:rPr>
          <w:sz w:val="10"/>
        </w:rPr>
      </w:pPr>
    </w:p>
    <w:p w14:paraId="29763CE6" w14:textId="77777777" w:rsidR="009858FA" w:rsidRPr="0030466F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0466F">
        <w:tab/>
      </w:r>
      <w:r w:rsidRPr="0030466F">
        <w:tab/>
        <w:t>Национальные органы по правам человека</w:t>
      </w:r>
    </w:p>
    <w:p w14:paraId="380B1899" w14:textId="77777777" w:rsidR="009858FA" w:rsidRPr="0030466F" w:rsidRDefault="009858FA" w:rsidP="009858FA">
      <w:pPr>
        <w:pStyle w:val="SingleTxt"/>
        <w:spacing w:after="0" w:line="120" w:lineRule="exact"/>
        <w:rPr>
          <w:sz w:val="10"/>
        </w:rPr>
      </w:pPr>
    </w:p>
    <w:p w14:paraId="1CBB85A5" w14:textId="77777777" w:rsidR="009858FA" w:rsidRPr="0030466F" w:rsidRDefault="009858FA" w:rsidP="009858FA">
      <w:pPr>
        <w:pStyle w:val="SingleTxt"/>
      </w:pPr>
      <w:r w:rsidRPr="0030466F">
        <w:t>16.</w:t>
      </w:r>
      <w:r w:rsidRPr="0030466F">
        <w:tab/>
        <w:t>Комитет приветствует тот факт, что в 2017</w:t>
      </w:r>
      <w:r>
        <w:rPr>
          <w:lang w:val="en-US"/>
        </w:rPr>
        <w:t> </w:t>
      </w:r>
      <w:r w:rsidRPr="0030466F">
        <w:t>году Управление Омбудсмена Сейма было аккредитовано Глобальной сетью национальных правозащитных учреждений с присвоением ему</w:t>
      </w:r>
      <w:r>
        <w:t xml:space="preserve"> </w:t>
      </w:r>
      <w:r w:rsidRPr="0030466F">
        <w:t>статуса категории «А» в соответствии с принципами, касающимися статуса национальных учреждений, занимающихся поощрением и защитой прав человека (Парижские принципы). В то же время Комитет с обеспокоенностью отмечает следующее:</w:t>
      </w:r>
    </w:p>
    <w:p w14:paraId="6102B92C" w14:textId="77777777" w:rsidR="009858FA" w:rsidRPr="0030466F" w:rsidRDefault="009858FA" w:rsidP="009858FA">
      <w:pPr>
        <w:pStyle w:val="SingleTxt"/>
      </w:pPr>
      <w:r>
        <w:lastRenderedPageBreak/>
        <w:tab/>
      </w:r>
      <w:r w:rsidRPr="0030466F">
        <w:t>а)</w:t>
      </w:r>
      <w:r w:rsidRPr="0030466F">
        <w:tab/>
        <w:t xml:space="preserve">ограниченный характер мандата Управления Омбудсмена Сейма на рассмотрение жалоб женщин, в частности касающихся гендерного насилия, в том числе в частной сфере; </w:t>
      </w:r>
    </w:p>
    <w:p w14:paraId="4086A999" w14:textId="77777777" w:rsidR="009858FA" w:rsidRPr="0030466F" w:rsidRDefault="009858FA" w:rsidP="009858FA">
      <w:pPr>
        <w:pStyle w:val="SingleTxt"/>
      </w:pPr>
      <w:r>
        <w:tab/>
      </w:r>
      <w:r w:rsidRPr="0030466F">
        <w:t>b)</w:t>
      </w:r>
      <w:r w:rsidRPr="0030466F">
        <w:tab/>
        <w:t>недостаточный уровень финансирования Управления Омбудсмена Сейма.</w:t>
      </w:r>
    </w:p>
    <w:p w14:paraId="0272806B" w14:textId="77777777" w:rsidR="00AC7736" w:rsidRDefault="00AC7736">
      <w:pPr>
        <w:spacing w:after="200" w:line="276" w:lineRule="auto"/>
      </w:pPr>
      <w:r>
        <w:br w:type="page"/>
      </w:r>
    </w:p>
    <w:p w14:paraId="0925198B" w14:textId="611F2244" w:rsidR="009858FA" w:rsidRPr="0030466F" w:rsidRDefault="009858FA" w:rsidP="009858FA">
      <w:pPr>
        <w:pStyle w:val="SingleTxt"/>
      </w:pPr>
      <w:r w:rsidRPr="0030466F">
        <w:lastRenderedPageBreak/>
        <w:t>17.</w:t>
      </w:r>
      <w:r w:rsidRPr="0030466F">
        <w:tab/>
      </w:r>
      <w:r w:rsidRPr="0030466F">
        <w:rPr>
          <w:b/>
          <w:bCs/>
        </w:rPr>
        <w:t>Комитет рекомендует государству-участнику:</w:t>
      </w:r>
    </w:p>
    <w:p w14:paraId="6F519D7E" w14:textId="77777777" w:rsidR="009858FA" w:rsidRPr="0030466F" w:rsidRDefault="009858FA" w:rsidP="009858FA">
      <w:pPr>
        <w:pStyle w:val="SingleTxt"/>
        <w:rPr>
          <w:b/>
          <w:bCs/>
        </w:rPr>
      </w:pPr>
      <w:r>
        <w:tab/>
      </w:r>
      <w:r w:rsidRPr="0030466F">
        <w:t>а)</w:t>
      </w:r>
      <w:r w:rsidRPr="0030466F">
        <w:tab/>
      </w:r>
      <w:r w:rsidRPr="0030466F">
        <w:rPr>
          <w:b/>
          <w:bCs/>
        </w:rPr>
        <w:t>распространить мандат Омбудсмена Сейма на получение жалоб женщин, в том числе в частной сфере, и вынесение по ним авторитетных выводов и рекомендаций;</w:t>
      </w:r>
    </w:p>
    <w:p w14:paraId="2913ED3A" w14:textId="77777777" w:rsidR="009858FA" w:rsidRDefault="009858FA" w:rsidP="009858FA">
      <w:pPr>
        <w:pStyle w:val="SingleTxt"/>
        <w:rPr>
          <w:b/>
          <w:bCs/>
        </w:rPr>
      </w:pPr>
      <w:r>
        <w:tab/>
      </w:r>
      <w:r w:rsidRPr="0030466F">
        <w:t>b)</w:t>
      </w:r>
      <w:r w:rsidRPr="0030466F">
        <w:tab/>
      </w:r>
      <w:r w:rsidRPr="0030466F">
        <w:rPr>
          <w:b/>
          <w:bCs/>
        </w:rPr>
        <w:t>увеличить объем людских, технических и финансовых ресурсов Управления Омбудсмена Сейма, с тем чтобы оно могло эффективно выполнять свой мандат по поощрению и защите прав женщин.</w:t>
      </w:r>
    </w:p>
    <w:p w14:paraId="7C8086AF" w14:textId="77777777" w:rsidR="009858FA" w:rsidRPr="0030466F" w:rsidRDefault="009858FA" w:rsidP="009858FA">
      <w:pPr>
        <w:pStyle w:val="SingleTxt"/>
        <w:spacing w:after="0" w:line="120" w:lineRule="exact"/>
        <w:rPr>
          <w:sz w:val="10"/>
        </w:rPr>
      </w:pPr>
    </w:p>
    <w:p w14:paraId="69BBE5C0" w14:textId="77777777" w:rsidR="009858FA" w:rsidRPr="0030466F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0466F">
        <w:tab/>
      </w:r>
      <w:r w:rsidRPr="0030466F">
        <w:tab/>
        <w:t>Временные специальные меры</w:t>
      </w:r>
    </w:p>
    <w:p w14:paraId="6869F274" w14:textId="77777777" w:rsidR="009858FA" w:rsidRPr="0030466F" w:rsidRDefault="009858FA" w:rsidP="009858FA">
      <w:pPr>
        <w:pStyle w:val="SingleTxt"/>
        <w:spacing w:after="0" w:line="120" w:lineRule="exact"/>
        <w:rPr>
          <w:sz w:val="10"/>
        </w:rPr>
      </w:pPr>
    </w:p>
    <w:p w14:paraId="43874812" w14:textId="77777777" w:rsidR="009858FA" w:rsidRPr="0030466F" w:rsidRDefault="009858FA" w:rsidP="009858FA">
      <w:pPr>
        <w:pStyle w:val="SingleTxt"/>
      </w:pPr>
      <w:r w:rsidRPr="0030466F">
        <w:t>18.</w:t>
      </w:r>
      <w:r w:rsidRPr="0030466F">
        <w:tab/>
        <w:t>Комитет по</w:t>
      </w:r>
      <w:r>
        <w:noBreakHyphen/>
      </w:r>
      <w:r w:rsidRPr="0030466F">
        <w:t>прежнему обеспокоен тем, что государство-участник не приняло временных специальных мер для ускорения достижения реального равенства между женщинами и мужчинами, хотя через принятие таких мер проходит общепризнанный путь к устранению исторических гендерных диспропорций и решению взаимосвязанных межсекторальных проблем в области прав человека. Он принимает к сведению представленное государством-участником разъяснение о том, что, как следует из практики его Конституционного суда, для того, чтобы ограничить права человека, нужна соответствующая законодательная основа, тогда как действующий вариант Закона о равных возможностях для женщин и мужчин основывается на том понимании, что этот конкретный закон не является достаточной законодательной основой для принятия временных специальных мер и что требуется принимать специальные дополнительные законодательные акты применительно к любому случаю введения</w:t>
      </w:r>
      <w:r>
        <w:t xml:space="preserve"> </w:t>
      </w:r>
      <w:r w:rsidRPr="0030466F">
        <w:t>таких временных специальных мер.</w:t>
      </w:r>
    </w:p>
    <w:p w14:paraId="37E4C503" w14:textId="4CAC03D8" w:rsidR="009858FA" w:rsidRPr="0030466F" w:rsidRDefault="009858FA" w:rsidP="009858FA">
      <w:pPr>
        <w:pStyle w:val="SingleTxt"/>
      </w:pPr>
      <w:r w:rsidRPr="0030466F">
        <w:lastRenderedPageBreak/>
        <w:t>19.</w:t>
      </w:r>
      <w:r w:rsidRPr="0030466F">
        <w:tab/>
      </w:r>
      <w:r w:rsidRPr="0030466F">
        <w:rPr>
          <w:b/>
          <w:bCs/>
        </w:rPr>
        <w:t>Подтверждая свои предыдущие рекомендации (</w:t>
      </w:r>
      <w:hyperlink r:id="rId25" w:history="1">
        <w:r w:rsidRPr="0030466F">
          <w:rPr>
            <w:rStyle w:val="Hyperlink"/>
            <w:b/>
            <w:bCs/>
          </w:rPr>
          <w:t>CEDAW/C/LTU/CO/5</w:t>
        </w:r>
      </w:hyperlink>
      <w:r w:rsidRPr="0030466F">
        <w:rPr>
          <w:b/>
          <w:bCs/>
        </w:rPr>
        <w:t>, пункт</w:t>
      </w:r>
      <w:r>
        <w:rPr>
          <w:b/>
          <w:bCs/>
        </w:rPr>
        <w:t> </w:t>
      </w:r>
      <w:r w:rsidRPr="0030466F">
        <w:rPr>
          <w:b/>
          <w:bCs/>
        </w:rPr>
        <w:t>19), Комитет рекомендует государству-участнику:</w:t>
      </w:r>
    </w:p>
    <w:p w14:paraId="5E66E233" w14:textId="77777777" w:rsidR="009858FA" w:rsidRPr="0030466F" w:rsidRDefault="009858FA" w:rsidP="009858FA">
      <w:pPr>
        <w:pStyle w:val="SingleTxt"/>
        <w:rPr>
          <w:b/>
          <w:bCs/>
        </w:rPr>
      </w:pPr>
      <w:r>
        <w:tab/>
      </w:r>
      <w:r w:rsidRPr="0030466F">
        <w:t>а)</w:t>
      </w:r>
      <w:r w:rsidRPr="0030466F">
        <w:tab/>
      </w:r>
      <w:r w:rsidRPr="0030466F">
        <w:rPr>
          <w:b/>
          <w:bCs/>
        </w:rPr>
        <w:t>устранить законодательные препятствия для принятия и применения временных специальных мер, обеспечить и стимулировать задействование административных, исполнительных, политических и программных механизмов для содействия обеспечению реального равенства женщин и мужчин в соответствии с его обязательствами по Конвенции;</w:t>
      </w:r>
    </w:p>
    <w:p w14:paraId="2C009DC3" w14:textId="77777777" w:rsidR="009858FA" w:rsidRPr="0030466F" w:rsidRDefault="009858FA" w:rsidP="009858FA">
      <w:pPr>
        <w:pStyle w:val="SingleTxt"/>
        <w:rPr>
          <w:b/>
          <w:bCs/>
        </w:rPr>
      </w:pPr>
      <w:r>
        <w:tab/>
      </w:r>
      <w:r w:rsidRPr="0030466F">
        <w:t>b)</w:t>
      </w:r>
      <w:r w:rsidRPr="0030466F">
        <w:tab/>
      </w:r>
      <w:r w:rsidRPr="0030466F">
        <w:rPr>
          <w:b/>
          <w:bCs/>
        </w:rPr>
        <w:t>повысить осведомленность законодательного органа, директивных органов и других государственных и негосударственных субъектов, включая частный сектор, об использовании временных специальных мер в качестве важнейшего инструмента для решения проблемы дискриминации во всех сферах и достижения реального равенства;</w:t>
      </w:r>
      <w:r w:rsidRPr="0030466F">
        <w:t xml:space="preserve"> </w:t>
      </w:r>
    </w:p>
    <w:p w14:paraId="2EB11683" w14:textId="77777777" w:rsidR="009858FA" w:rsidRDefault="009858FA" w:rsidP="009858FA">
      <w:pPr>
        <w:pStyle w:val="SingleTxt"/>
        <w:rPr>
          <w:b/>
          <w:bCs/>
        </w:rPr>
      </w:pPr>
      <w:r>
        <w:tab/>
      </w:r>
      <w:r w:rsidRPr="0030466F">
        <w:t>c)</w:t>
      </w:r>
      <w:r w:rsidRPr="0030466F">
        <w:tab/>
      </w:r>
      <w:r w:rsidRPr="0030466F">
        <w:rPr>
          <w:b/>
          <w:bCs/>
        </w:rPr>
        <w:t>принять временные специальные меры для поощрения реального равенства женщин и мужчин во всех областях, где женщины недопредставлены или находятся в ущемленном положении, таких как участие в политической и общественной жизни, образование и занятость, и создать механизм для отслеживания их осуществления в соответствии со статьей</w:t>
      </w:r>
      <w:r>
        <w:rPr>
          <w:b/>
          <w:bCs/>
        </w:rPr>
        <w:t> </w:t>
      </w:r>
      <w:r w:rsidRPr="0030466F">
        <w:rPr>
          <w:b/>
          <w:bCs/>
        </w:rPr>
        <w:t>4</w:t>
      </w:r>
      <w:r>
        <w:rPr>
          <w:b/>
          <w:bCs/>
        </w:rPr>
        <w:t> </w:t>
      </w:r>
      <w:r w:rsidRPr="0030466F">
        <w:rPr>
          <w:b/>
          <w:bCs/>
        </w:rPr>
        <w:t>(1) Конвенции и общей рекомендацией №</w:t>
      </w:r>
      <w:r>
        <w:rPr>
          <w:b/>
          <w:bCs/>
        </w:rPr>
        <w:t> </w:t>
      </w:r>
      <w:r w:rsidRPr="0030466F">
        <w:rPr>
          <w:b/>
          <w:bCs/>
        </w:rPr>
        <w:t>25 (2004) Комитета о временных специальных мерах.</w:t>
      </w:r>
    </w:p>
    <w:p w14:paraId="5AB95CCE" w14:textId="77777777" w:rsidR="009858FA" w:rsidRPr="0030466F" w:rsidRDefault="009858FA" w:rsidP="009858FA">
      <w:pPr>
        <w:pStyle w:val="SingleTxt"/>
        <w:spacing w:after="0" w:line="120" w:lineRule="exact"/>
        <w:rPr>
          <w:sz w:val="10"/>
        </w:rPr>
      </w:pPr>
    </w:p>
    <w:p w14:paraId="142A340A" w14:textId="77777777" w:rsidR="009858FA" w:rsidRPr="0030466F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0466F">
        <w:tab/>
      </w:r>
      <w:r w:rsidRPr="0030466F">
        <w:tab/>
        <w:t>Стереотипы</w:t>
      </w:r>
    </w:p>
    <w:p w14:paraId="321B1802" w14:textId="77777777" w:rsidR="009858FA" w:rsidRPr="0030466F" w:rsidRDefault="009858FA" w:rsidP="009858FA">
      <w:pPr>
        <w:pStyle w:val="SingleTxt"/>
        <w:spacing w:after="0" w:line="120" w:lineRule="exact"/>
        <w:rPr>
          <w:sz w:val="10"/>
        </w:rPr>
      </w:pPr>
    </w:p>
    <w:p w14:paraId="5474DD4A" w14:textId="77777777" w:rsidR="009858FA" w:rsidRPr="0030466F" w:rsidRDefault="009858FA" w:rsidP="009858FA">
      <w:pPr>
        <w:pStyle w:val="SingleTxt"/>
      </w:pPr>
      <w:r w:rsidRPr="0030466F">
        <w:t>20.</w:t>
      </w:r>
      <w:r w:rsidRPr="0030466F">
        <w:tab/>
        <w:t xml:space="preserve">Комитет приветствует проведенный Омбудсменом по вопросам </w:t>
      </w:r>
      <w:bookmarkStart w:id="10" w:name="_Hlk26874121"/>
      <w:r w:rsidRPr="0030466F">
        <w:t>о равных возможностях</w:t>
      </w:r>
      <w:bookmarkEnd w:id="10"/>
      <w:r w:rsidRPr="0030466F">
        <w:t xml:space="preserve"> обзор школьных учебников и других учебных материалов, в ходе </w:t>
      </w:r>
      <w:r w:rsidRPr="0030466F">
        <w:lastRenderedPageBreak/>
        <w:t>которого было установлено, что содержащиеся в них гендерные стереотипы влияют на выбор девочками профессии и их перспективы карьерного роста и способствуют сохранению неравенства в оплате труда. Он отмечает намерение государства-участника принять последующие меры по выполнению рекомендаций Омбудсмена. Комитет также приветствует проведение рабочих совещаний для авторов и рецензентов школьных учебников и учебных пособий, подготовку учителей по вопросам преодоления гендерных стереотипов и принятие мер по борьбе с использованием имеющего гендерную подоплеку языка вражды, в том числе в социальных сетях и в Интернете. Вместе с тем Комитет по</w:t>
      </w:r>
      <w:r>
        <w:noBreakHyphen/>
      </w:r>
      <w:r w:rsidRPr="0030466F">
        <w:t xml:space="preserve">прежнему обеспокоен сохранением дискриминационных гендерных стереотипов и патриархальных и сексистских представлений и призывами придерживаться традиционных ролей и ценностных установок для женщин, в том числе в средствах массовой информации, как было выявлено в рамках обследования, проведенного Омбудсменом по вопросам о равных возможностях, и тем, что Закон об укреплении семьи может еще больше закрепить дискриминационные стереотипы в отношении распределения ролей и обязанностей женщин и мужчин в семье и в обществе. </w:t>
      </w:r>
    </w:p>
    <w:p w14:paraId="225A548C" w14:textId="77777777" w:rsidR="009858FA" w:rsidRPr="0030466F" w:rsidRDefault="009858FA" w:rsidP="009858FA">
      <w:pPr>
        <w:pStyle w:val="SingleTxt"/>
      </w:pPr>
      <w:r w:rsidRPr="0030466F">
        <w:t>21.</w:t>
      </w:r>
      <w:r w:rsidRPr="0030466F">
        <w:tab/>
      </w:r>
      <w:r w:rsidRPr="0030466F">
        <w:rPr>
          <w:b/>
          <w:bCs/>
        </w:rPr>
        <w:t>Комитет рекомендует государству-участнику:</w:t>
      </w:r>
    </w:p>
    <w:p w14:paraId="7E6A5194" w14:textId="77777777" w:rsidR="009858FA" w:rsidRPr="0030466F" w:rsidRDefault="009858FA" w:rsidP="009858FA">
      <w:pPr>
        <w:pStyle w:val="SingleTxt"/>
        <w:rPr>
          <w:b/>
          <w:bCs/>
        </w:rPr>
      </w:pPr>
      <w:r>
        <w:tab/>
      </w:r>
      <w:r w:rsidRPr="0030466F">
        <w:t>а)</w:t>
      </w:r>
      <w:r w:rsidRPr="0030466F">
        <w:tab/>
      </w:r>
      <w:r w:rsidRPr="0030466F">
        <w:rPr>
          <w:b/>
          <w:bCs/>
        </w:rPr>
        <w:t>активизировать осуществление мер по устранению стереотипов в системе образования, как это предусмотрено в плане действий на период 2018</w:t>
      </w:r>
      <w:r>
        <w:rPr>
          <w:b/>
          <w:bCs/>
        </w:rPr>
        <w:t>–</w:t>
      </w:r>
      <w:r w:rsidRPr="0030466F">
        <w:rPr>
          <w:b/>
          <w:bCs/>
        </w:rPr>
        <w:t>2021</w:t>
      </w:r>
      <w:r>
        <w:t> </w:t>
      </w:r>
      <w:r w:rsidRPr="0030466F">
        <w:rPr>
          <w:b/>
          <w:bCs/>
        </w:rPr>
        <w:t>годов по осуществлению национальной программы обеспечения равных возможностей для женщин и мужчин на 2015</w:t>
      </w:r>
      <w:r>
        <w:rPr>
          <w:b/>
          <w:bCs/>
        </w:rPr>
        <w:t>–</w:t>
      </w:r>
      <w:r w:rsidRPr="0030466F">
        <w:rPr>
          <w:b/>
          <w:bCs/>
        </w:rPr>
        <w:t>2021</w:t>
      </w:r>
      <w:r>
        <w:rPr>
          <w:b/>
          <w:bCs/>
        </w:rPr>
        <w:t> </w:t>
      </w:r>
      <w:r w:rsidRPr="0030466F">
        <w:rPr>
          <w:b/>
          <w:bCs/>
        </w:rPr>
        <w:t xml:space="preserve">годы, разработать </w:t>
      </w:r>
      <w:r w:rsidRPr="0030466F">
        <w:rPr>
          <w:b/>
          <w:bCs/>
        </w:rPr>
        <w:lastRenderedPageBreak/>
        <w:t>и осуществить конкретный план действий по итогам проведенного Омбудсменом по вопросам равных возможностей обзора школьных материалов и вовлечь экспертов по гендерным вопросам и представителей женских неправительственных организаций в процесс оценки и реформирования школьных программ;</w:t>
      </w:r>
    </w:p>
    <w:p w14:paraId="4FC888FC" w14:textId="77777777" w:rsidR="009858FA" w:rsidRPr="0030466F" w:rsidRDefault="009858FA" w:rsidP="009858FA">
      <w:pPr>
        <w:pStyle w:val="SingleTxt"/>
        <w:rPr>
          <w:b/>
          <w:bCs/>
        </w:rPr>
      </w:pPr>
      <w:r>
        <w:tab/>
      </w:r>
      <w:r w:rsidRPr="0030466F">
        <w:t>b)</w:t>
      </w:r>
      <w:r w:rsidRPr="0030466F">
        <w:tab/>
      </w:r>
      <w:r w:rsidRPr="0030466F">
        <w:rPr>
          <w:b/>
          <w:bCs/>
        </w:rPr>
        <w:t xml:space="preserve">активизировать работу по осуществлению мандата Омбудсмена по вопросам </w:t>
      </w:r>
      <w:bookmarkStart w:id="11" w:name="_Hlk26870424"/>
      <w:r w:rsidRPr="0030466F">
        <w:rPr>
          <w:b/>
          <w:bCs/>
        </w:rPr>
        <w:t xml:space="preserve">о равных возможностях </w:t>
      </w:r>
      <w:bookmarkEnd w:id="11"/>
      <w:r w:rsidRPr="0030466F">
        <w:rPr>
          <w:b/>
          <w:bCs/>
        </w:rPr>
        <w:t>на основании Закона о равном обращении в целях изменения социальных и культурных моделей поведения мужчин и женщин, с тем чтобы устранить дискриминационные стереотипы в отношении распределения ролей и обязанностей женщин и мужчин в семье и обществе;</w:t>
      </w:r>
    </w:p>
    <w:p w14:paraId="5B3C0CE1" w14:textId="77777777" w:rsidR="009858FA" w:rsidRPr="0030466F" w:rsidRDefault="009858FA" w:rsidP="009858FA">
      <w:pPr>
        <w:pStyle w:val="SingleTxt"/>
        <w:rPr>
          <w:b/>
          <w:bCs/>
        </w:rPr>
      </w:pPr>
      <w:r>
        <w:tab/>
      </w:r>
      <w:r w:rsidRPr="0030466F">
        <w:t>c)</w:t>
      </w:r>
      <w:r w:rsidRPr="0030466F">
        <w:tab/>
      </w:r>
      <w:r w:rsidRPr="0030466F">
        <w:rPr>
          <w:b/>
          <w:bCs/>
        </w:rPr>
        <w:t>повышать информированность</w:t>
      </w:r>
      <w:r>
        <w:rPr>
          <w:b/>
          <w:bCs/>
        </w:rPr>
        <w:t xml:space="preserve"> </w:t>
      </w:r>
      <w:r w:rsidRPr="0030466F">
        <w:rPr>
          <w:b/>
          <w:bCs/>
        </w:rPr>
        <w:t>и наращивать потенциал предприятий средств массовой информации, в том числе путем принятия усилий</w:t>
      </w:r>
      <w:r>
        <w:rPr>
          <w:b/>
          <w:bCs/>
        </w:rPr>
        <w:t xml:space="preserve"> </w:t>
      </w:r>
      <w:r w:rsidRPr="0030466F">
        <w:rPr>
          <w:b/>
          <w:bCs/>
        </w:rPr>
        <w:t>по борьбе с гендерными стереотипами в рекламе, материалах средств массовой информации, социальных сетях, радио- и телепрограммах, укреплять сотрудничество в этой области между Омбудсменом по вопросам этики в средствах массовой информации и Омбудсменом по вопросам о равных возможностях</w:t>
      </w:r>
      <w:r>
        <w:rPr>
          <w:b/>
          <w:bCs/>
        </w:rPr>
        <w:t xml:space="preserve"> </w:t>
      </w:r>
      <w:r w:rsidRPr="0030466F">
        <w:rPr>
          <w:b/>
          <w:bCs/>
        </w:rPr>
        <w:t>и привлекать женщин, включая представителей женских неправительственных организаций, к оценке и разработке материалов радио- и телепрограмм, чтобы побудить средства массовой информации к конструктивному изображению женщин в качестве активных участников общественной жизни и решения вопросов, относящихся к сфере жизни частной;</w:t>
      </w:r>
    </w:p>
    <w:p w14:paraId="29C6EBB5" w14:textId="77777777" w:rsidR="009858FA" w:rsidRDefault="009858FA" w:rsidP="009858FA">
      <w:pPr>
        <w:pStyle w:val="SingleTxt"/>
        <w:rPr>
          <w:b/>
          <w:bCs/>
        </w:rPr>
      </w:pPr>
      <w:r>
        <w:lastRenderedPageBreak/>
        <w:tab/>
      </w:r>
      <w:r w:rsidRPr="0030466F">
        <w:t>d)</w:t>
      </w:r>
      <w:r w:rsidRPr="0030466F">
        <w:tab/>
      </w:r>
      <w:r w:rsidRPr="0030466F">
        <w:rPr>
          <w:b/>
          <w:bCs/>
        </w:rPr>
        <w:t>провести исследование по вопросу о воздействии Закона об укреплении семьи на дальнейшее закрепление дискриминационных стереотипов в отношении распределения ролей и обязанностей женщин и мужчин в семье и обществе и представить информацию о результатах этого исследования в своем следующем периодическом докладе.</w:t>
      </w:r>
    </w:p>
    <w:p w14:paraId="4F4D3BAC" w14:textId="77777777" w:rsidR="009858FA" w:rsidRPr="0030466F" w:rsidRDefault="009858FA" w:rsidP="009858FA">
      <w:pPr>
        <w:pStyle w:val="SingleTxt"/>
        <w:spacing w:after="0" w:line="120" w:lineRule="exact"/>
        <w:rPr>
          <w:sz w:val="10"/>
        </w:rPr>
      </w:pPr>
    </w:p>
    <w:p w14:paraId="60F702CF" w14:textId="77777777" w:rsidR="009858FA" w:rsidRPr="0030466F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0466F">
        <w:tab/>
      </w:r>
      <w:r w:rsidRPr="0030466F">
        <w:tab/>
        <w:t>Гендерное насилие в отношении женщин</w:t>
      </w:r>
    </w:p>
    <w:p w14:paraId="7F33AA6B" w14:textId="77777777" w:rsidR="009858FA" w:rsidRPr="0030466F" w:rsidRDefault="009858FA" w:rsidP="009858FA">
      <w:pPr>
        <w:pStyle w:val="SingleTxt"/>
        <w:spacing w:after="0" w:line="120" w:lineRule="exact"/>
        <w:rPr>
          <w:sz w:val="10"/>
        </w:rPr>
      </w:pPr>
    </w:p>
    <w:p w14:paraId="7C1DC84C" w14:textId="77777777" w:rsidR="009858FA" w:rsidRPr="0030466F" w:rsidRDefault="009858FA" w:rsidP="009858FA">
      <w:pPr>
        <w:pStyle w:val="SingleTxt"/>
      </w:pPr>
      <w:r w:rsidRPr="0030466F">
        <w:t>22.</w:t>
      </w:r>
      <w:r w:rsidRPr="0030466F">
        <w:tab/>
        <w:t>Комитет приветствует законодательные меры, принятые государством-участником для борьбы с гендерным насилием в отношении женщин, включая сексуальное насилие и насилие в семье, в том числе меры, основанные на Стамбульской конвенции, такие как законопроект о навязчивом преследовании (сталкинге). В то же время Комитет с обеспокоенностью отмечает следующие моменты:</w:t>
      </w:r>
    </w:p>
    <w:p w14:paraId="1D9A0E5D" w14:textId="77777777" w:rsidR="009858FA" w:rsidRPr="0030466F" w:rsidRDefault="009858FA" w:rsidP="009858FA">
      <w:pPr>
        <w:pStyle w:val="SingleTxt"/>
      </w:pPr>
      <w:r>
        <w:tab/>
      </w:r>
      <w:r w:rsidRPr="0030466F">
        <w:t>а)</w:t>
      </w:r>
      <w:r w:rsidRPr="0030466F">
        <w:tab/>
        <w:t>вопрос о ратификации Стамбульской конвенции, подписанной государством-участником в 2013</w:t>
      </w:r>
      <w:r>
        <w:t> </w:t>
      </w:r>
      <w:r w:rsidRPr="0030466F">
        <w:t xml:space="preserve">году, все еще находится на рассмотрении в парламенте; </w:t>
      </w:r>
    </w:p>
    <w:p w14:paraId="3A25B7EA" w14:textId="77777777" w:rsidR="009858FA" w:rsidRPr="0030466F" w:rsidRDefault="009858FA" w:rsidP="009858FA">
      <w:pPr>
        <w:pStyle w:val="SingleTxt"/>
      </w:pPr>
      <w:r>
        <w:tab/>
      </w:r>
      <w:r w:rsidRPr="0030466F">
        <w:t>b)</w:t>
      </w:r>
      <w:r w:rsidRPr="0030466F">
        <w:tab/>
        <w:t>принятие закона о внесении поправок в Закон о примирительной процедуре посредничества в гражданских спорах может обернуться повторной виктимизацией женщин и девочек, пострадавших от гендерного насилия;</w:t>
      </w:r>
      <w:bookmarkStart w:id="12" w:name="_Hlk24708065"/>
      <w:bookmarkEnd w:id="12"/>
    </w:p>
    <w:p w14:paraId="540D5357" w14:textId="77777777" w:rsidR="009858FA" w:rsidRPr="0030466F" w:rsidRDefault="009858FA" w:rsidP="009858FA">
      <w:pPr>
        <w:pStyle w:val="SingleTxt"/>
      </w:pPr>
      <w:r>
        <w:tab/>
      </w:r>
      <w:r w:rsidRPr="0030466F">
        <w:t>c)</w:t>
      </w:r>
      <w:r w:rsidRPr="0030466F">
        <w:tab/>
        <w:t xml:space="preserve">налицо проблема неадекватности рассмотрения следственными органами случаев гендерного насилия в отношении женщин, в частности сексуального и бытового насилия, как, например, недоведение расследования до конца или невозбуждение уголовного преследования; </w:t>
      </w:r>
    </w:p>
    <w:p w14:paraId="1E430773" w14:textId="77777777" w:rsidR="009858FA" w:rsidRPr="0030466F" w:rsidRDefault="009858FA" w:rsidP="009858FA">
      <w:pPr>
        <w:pStyle w:val="SingleTxt"/>
      </w:pPr>
      <w:r>
        <w:lastRenderedPageBreak/>
        <w:tab/>
      </w:r>
      <w:r w:rsidRPr="0030466F">
        <w:t>d)</w:t>
      </w:r>
      <w:r w:rsidRPr="0030466F">
        <w:tab/>
        <w:t xml:space="preserve">ограничительные или защитные меры в отношении жертв насилия в семье могут быть запрошены сотрудником полиции лишь после начала досудебного расследования, к тому же не обеспечивается исполнение или мониторинг исполнения охранных судебных предписаний, в результате чего пострадавшие от такого насилия женщины могут подвергнуться риску дальнейшего насилия; </w:t>
      </w:r>
    </w:p>
    <w:p w14:paraId="0C818E43" w14:textId="77777777" w:rsidR="009858FA" w:rsidRPr="0030466F" w:rsidRDefault="009858FA" w:rsidP="009858FA">
      <w:pPr>
        <w:pStyle w:val="SingleTxt"/>
      </w:pPr>
      <w:r>
        <w:tab/>
      </w:r>
      <w:r w:rsidRPr="0030466F">
        <w:t>e)</w:t>
      </w:r>
      <w:r w:rsidRPr="0030466F">
        <w:tab/>
        <w:t xml:space="preserve">отсутствует отдельная процедура выдачи охранных судебных предписаний для защиты жертв насилия в семье; </w:t>
      </w:r>
    </w:p>
    <w:p w14:paraId="613B5EC1" w14:textId="77777777" w:rsidR="009858FA" w:rsidRPr="0030466F" w:rsidRDefault="009858FA" w:rsidP="009858FA">
      <w:pPr>
        <w:pStyle w:val="SingleTxt"/>
      </w:pPr>
      <w:r>
        <w:tab/>
      </w:r>
      <w:r w:rsidRPr="0030466F">
        <w:t>f)</w:t>
      </w:r>
      <w:r w:rsidRPr="0030466F">
        <w:tab/>
        <w:t>не обеспечивается достаточное финансирование специальных центров помощи женщинам, пострадавшим от гендерного насилия, и отмечается нехватка специализированных центров поддержки в сельских районах.</w:t>
      </w:r>
    </w:p>
    <w:p w14:paraId="3DAEF7B7" w14:textId="7E1C4E1B" w:rsidR="009858FA" w:rsidRPr="0030466F" w:rsidRDefault="009858FA" w:rsidP="009858FA">
      <w:pPr>
        <w:pStyle w:val="SingleTxt"/>
      </w:pPr>
      <w:bookmarkStart w:id="13" w:name="_Ref23714680"/>
      <w:r w:rsidRPr="0030466F">
        <w:t>23.</w:t>
      </w:r>
      <w:r w:rsidRPr="0030466F">
        <w:tab/>
      </w:r>
      <w:r w:rsidRPr="0030466F">
        <w:rPr>
          <w:b/>
          <w:bCs/>
        </w:rPr>
        <w:t>Вновь подтверждая свои предыдущие рекомендации (</w:t>
      </w:r>
      <w:hyperlink r:id="rId26" w:history="1">
        <w:r w:rsidRPr="0030466F">
          <w:rPr>
            <w:rStyle w:val="Hyperlink"/>
            <w:b/>
            <w:bCs/>
          </w:rPr>
          <w:t>CEDAW/C/LTU/CO/5</w:t>
        </w:r>
      </w:hyperlink>
      <w:r w:rsidRPr="0030466F">
        <w:rPr>
          <w:b/>
          <w:bCs/>
        </w:rPr>
        <w:t>, пункт</w:t>
      </w:r>
      <w:r>
        <w:rPr>
          <w:b/>
          <w:bCs/>
        </w:rPr>
        <w:t> </w:t>
      </w:r>
      <w:r w:rsidRPr="0030466F">
        <w:rPr>
          <w:b/>
          <w:bCs/>
        </w:rPr>
        <w:t>23) и ссылаясь на свою общую рекомендацию</w:t>
      </w:r>
      <w:r>
        <w:rPr>
          <w:b/>
          <w:bCs/>
        </w:rPr>
        <w:t> </w:t>
      </w:r>
      <w:r w:rsidRPr="0030466F">
        <w:rPr>
          <w:b/>
          <w:bCs/>
        </w:rPr>
        <w:t>№</w:t>
      </w:r>
      <w:r>
        <w:rPr>
          <w:b/>
          <w:bCs/>
        </w:rPr>
        <w:t> </w:t>
      </w:r>
      <w:r w:rsidRPr="0030466F">
        <w:rPr>
          <w:b/>
          <w:bCs/>
        </w:rPr>
        <w:t>35 (20</w:t>
      </w:r>
      <w:r>
        <w:rPr>
          <w:b/>
          <w:bCs/>
        </w:rPr>
        <w:t>17</w:t>
      </w:r>
      <w:r w:rsidRPr="0030466F">
        <w:rPr>
          <w:b/>
          <w:bCs/>
        </w:rPr>
        <w:t>)</w:t>
      </w:r>
      <w:r>
        <w:rPr>
          <w:b/>
          <w:bCs/>
        </w:rPr>
        <w:t xml:space="preserve"> </w:t>
      </w:r>
      <w:r w:rsidRPr="0030466F">
        <w:rPr>
          <w:b/>
          <w:bCs/>
        </w:rPr>
        <w:t>о гендерном насилии в отношении женщин, которая обновляет общую рекомендацию №</w:t>
      </w:r>
      <w:r>
        <w:rPr>
          <w:b/>
          <w:bCs/>
        </w:rPr>
        <w:t> </w:t>
      </w:r>
      <w:r w:rsidRPr="0030466F">
        <w:rPr>
          <w:b/>
          <w:bCs/>
        </w:rPr>
        <w:t>19, Комитет призывает государство-участник:</w:t>
      </w:r>
      <w:bookmarkEnd w:id="13"/>
    </w:p>
    <w:p w14:paraId="7C620D01" w14:textId="77777777" w:rsidR="009858FA" w:rsidRPr="0030466F" w:rsidRDefault="009858FA" w:rsidP="009858FA">
      <w:pPr>
        <w:pStyle w:val="SingleTxt"/>
        <w:rPr>
          <w:b/>
          <w:bCs/>
        </w:rPr>
      </w:pPr>
      <w:r>
        <w:tab/>
      </w:r>
      <w:r w:rsidRPr="0030466F">
        <w:t>а)</w:t>
      </w:r>
      <w:r w:rsidRPr="0030466F">
        <w:tab/>
      </w:r>
      <w:r w:rsidRPr="0030466F">
        <w:rPr>
          <w:b/>
          <w:bCs/>
        </w:rPr>
        <w:t>ускорить дальнейшую унификацию законодательства о борьбе с гендерным насилием в отношении женщин в соответствии с Конвенцией, в том числе посредством принятия проекта закона о навязчивом преследовании (сталкинге) и ратификации Стамбульской конвенции;</w:t>
      </w:r>
    </w:p>
    <w:p w14:paraId="5899E449" w14:textId="77777777" w:rsidR="009858FA" w:rsidRPr="0030466F" w:rsidRDefault="009858FA" w:rsidP="009858FA">
      <w:pPr>
        <w:pStyle w:val="SingleTxt"/>
        <w:rPr>
          <w:b/>
          <w:bCs/>
        </w:rPr>
      </w:pPr>
      <w:r>
        <w:tab/>
      </w:r>
      <w:r w:rsidRPr="0030466F">
        <w:t>b)</w:t>
      </w:r>
      <w:r w:rsidRPr="0030466F">
        <w:tab/>
      </w:r>
      <w:r w:rsidRPr="0030466F">
        <w:rPr>
          <w:b/>
          <w:bCs/>
        </w:rPr>
        <w:t xml:space="preserve">уделять приоритетное внимание уголовному преследованию, а не примирению или посредничеству в уголовном судопроизводстве по делам о насилии в семье, провести оценку нового законодательства о примирении и </w:t>
      </w:r>
      <w:r w:rsidRPr="0030466F">
        <w:rPr>
          <w:b/>
          <w:bCs/>
        </w:rPr>
        <w:lastRenderedPageBreak/>
        <w:t>посредничестве на предмет возможного негативного воздействия на женщин, пострадавших от насилия в семье, и представить информацию о результатах этой оценки в своем следующем периодическом докладе;</w:t>
      </w:r>
    </w:p>
    <w:p w14:paraId="22D7A734" w14:textId="77777777" w:rsidR="009858FA" w:rsidRPr="0030466F" w:rsidRDefault="009858FA" w:rsidP="009858FA">
      <w:pPr>
        <w:pStyle w:val="SingleTxt"/>
        <w:rPr>
          <w:b/>
          <w:bCs/>
        </w:rPr>
      </w:pPr>
      <w:r>
        <w:tab/>
      </w:r>
      <w:r w:rsidRPr="0030466F">
        <w:t>c)</w:t>
      </w:r>
      <w:r w:rsidRPr="0030466F">
        <w:tab/>
      </w:r>
      <w:r w:rsidRPr="0030466F">
        <w:rPr>
          <w:b/>
          <w:bCs/>
        </w:rPr>
        <w:t>осуществлять контроль и оценивать эффективность реагирования судебных органов, прокуратуры и полиции на случаи гендерного насилия, включая сексуальное насилие и насилие в семье</w:t>
      </w:r>
      <w:r>
        <w:rPr>
          <w:b/>
          <w:bCs/>
        </w:rPr>
        <w:t>,</w:t>
      </w:r>
      <w:r w:rsidRPr="0030466F">
        <w:rPr>
          <w:b/>
          <w:bCs/>
        </w:rPr>
        <w:t xml:space="preserve"> и ввести в действие обязательные программы по укреплению потенциала судей, прокуроров, сотрудников полиции и других правоохранительных органов в том, что касается строгого соблюдения положений уголовного законодательства о гендерном насилии в отношении женщин, а также в отношении учитывающих гендерные аспекты следственных процедур</w:t>
      </w:r>
      <w:r>
        <w:rPr>
          <w:b/>
          <w:bCs/>
        </w:rPr>
        <w:t>,</w:t>
      </w:r>
      <w:r w:rsidRPr="0030466F">
        <w:rPr>
          <w:b/>
          <w:bCs/>
        </w:rPr>
        <w:t xml:space="preserve"> и обеспечивать эффективное преследование и наказание виновных в совершении всех форм гендерного насилия;</w:t>
      </w:r>
    </w:p>
    <w:p w14:paraId="463631D5" w14:textId="77777777" w:rsidR="009858FA" w:rsidRPr="0030466F" w:rsidRDefault="009858FA" w:rsidP="009858FA">
      <w:pPr>
        <w:pStyle w:val="SingleTxt"/>
        <w:rPr>
          <w:b/>
          <w:bCs/>
        </w:rPr>
      </w:pPr>
      <w:r>
        <w:tab/>
      </w:r>
      <w:r w:rsidRPr="0030466F">
        <w:t>d)</w:t>
      </w:r>
      <w:r w:rsidRPr="0030466F">
        <w:tab/>
      </w:r>
      <w:r w:rsidRPr="0030466F">
        <w:rPr>
          <w:b/>
          <w:bCs/>
        </w:rPr>
        <w:t>отменить требование, согласно которому ограничительные или защитные меры могут быть запрошены полицией лишь после того, как будет начато досудебное расследование, и укреплять механизмы по обеспечению исполнения соответствующих предписаний для защиты женщин, ставших жертвами гендерного насилия, в том числе путем наращивания потенциала судей, прокуроров и сотрудников полиции;</w:t>
      </w:r>
    </w:p>
    <w:p w14:paraId="28229E35" w14:textId="77777777" w:rsidR="009858FA" w:rsidRPr="0030466F" w:rsidRDefault="009858FA" w:rsidP="009858FA">
      <w:pPr>
        <w:pStyle w:val="SingleTxt"/>
        <w:rPr>
          <w:b/>
          <w:bCs/>
        </w:rPr>
      </w:pPr>
      <w:r>
        <w:tab/>
      </w:r>
      <w:r w:rsidRPr="0030466F">
        <w:t>e)</w:t>
      </w:r>
      <w:r w:rsidRPr="0030466F">
        <w:tab/>
      </w:r>
      <w:r w:rsidRPr="0030466F">
        <w:rPr>
          <w:b/>
          <w:bCs/>
        </w:rPr>
        <w:t>принять законодательство, устанавливающее отдельную гражданскую процедуру выдачи судебных защитных предписаний для жертв насилия в семье</w:t>
      </w:r>
      <w:r w:rsidRPr="007B2846">
        <w:rPr>
          <w:b/>
          <w:bCs/>
        </w:rPr>
        <w:t>;</w:t>
      </w:r>
    </w:p>
    <w:p w14:paraId="531C2B53" w14:textId="77777777" w:rsidR="009858FA" w:rsidRDefault="009858FA" w:rsidP="009858FA">
      <w:pPr>
        <w:pStyle w:val="SingleTxt"/>
        <w:rPr>
          <w:b/>
          <w:bCs/>
        </w:rPr>
      </w:pPr>
      <w:r>
        <w:lastRenderedPageBreak/>
        <w:tab/>
      </w:r>
      <w:r w:rsidRPr="0030466F">
        <w:t>f)</w:t>
      </w:r>
      <w:r w:rsidRPr="0030466F">
        <w:tab/>
      </w:r>
      <w:r w:rsidRPr="0030466F">
        <w:rPr>
          <w:b/>
          <w:bCs/>
        </w:rPr>
        <w:t>увеличить финансирование специальных центров помощи женщинам, пострадавшим от гендерного насилия, дабы такие центры могли функционировать эффективно, и увеличить число</w:t>
      </w:r>
      <w:r>
        <w:rPr>
          <w:b/>
          <w:bCs/>
        </w:rPr>
        <w:t xml:space="preserve"> </w:t>
      </w:r>
      <w:r w:rsidRPr="0030466F">
        <w:rPr>
          <w:b/>
          <w:bCs/>
        </w:rPr>
        <w:t>специализированных центров поддержки в сельских районах.</w:t>
      </w:r>
    </w:p>
    <w:p w14:paraId="7AB6E158" w14:textId="77777777" w:rsidR="009858FA" w:rsidRPr="0030466F" w:rsidRDefault="009858FA" w:rsidP="009858FA">
      <w:pPr>
        <w:pStyle w:val="SingleTxt"/>
        <w:spacing w:after="0" w:line="120" w:lineRule="exact"/>
        <w:rPr>
          <w:b/>
          <w:bCs/>
          <w:sz w:val="10"/>
        </w:rPr>
      </w:pPr>
    </w:p>
    <w:p w14:paraId="54EFF723" w14:textId="77777777" w:rsidR="009858FA" w:rsidRPr="0030466F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0466F">
        <w:tab/>
      </w:r>
      <w:r w:rsidRPr="0030466F">
        <w:tab/>
        <w:t xml:space="preserve">Торговля людьми и эксплуатация проституции </w:t>
      </w:r>
    </w:p>
    <w:p w14:paraId="14E8D175" w14:textId="77777777" w:rsidR="009858FA" w:rsidRPr="0030466F" w:rsidRDefault="009858FA" w:rsidP="009858FA">
      <w:pPr>
        <w:pStyle w:val="SingleTxt"/>
        <w:spacing w:after="0" w:line="120" w:lineRule="exact"/>
        <w:rPr>
          <w:sz w:val="10"/>
        </w:rPr>
      </w:pPr>
    </w:p>
    <w:p w14:paraId="42B843E1" w14:textId="77777777" w:rsidR="009858FA" w:rsidRPr="0030466F" w:rsidRDefault="009858FA" w:rsidP="009858FA">
      <w:pPr>
        <w:pStyle w:val="SingleTxt"/>
      </w:pPr>
      <w:r w:rsidRPr="0030466F">
        <w:t>24.</w:t>
      </w:r>
      <w:r w:rsidRPr="0030466F">
        <w:tab/>
        <w:t>Комитет приветствует усилия государства-участника по борьбе с торговлей людьми, в частности женщинами и девочками, в том числе в рамках международного сотрудничества. В частности, он приветствует создание должности национального докладчика по вопросам сбора и публикации статистических данных и учреждение неправительственной организации «Национальная ассоциация по борьбе с торговлей людьми» для оказания поддержки жертвам и мобилизации финансовых средств для соответствующих организаций гражданского общества. Он отмечает намерение государства-участника организовать специализированную подготовку сотрудников при Центре по приему беженцев и просителей убежища по вопросам своевременного выявления и направления жертв торговли людьми, в частности несопровождаемых девочек и мальчиков, в соответствующие службы, и принять новый национальный план действий по борьбе с торговлей людьми на период 2020</w:t>
      </w:r>
      <w:r>
        <w:t>–</w:t>
      </w:r>
      <w:r w:rsidRPr="0030466F">
        <w:t>2023</w:t>
      </w:r>
      <w:r>
        <w:t> </w:t>
      </w:r>
      <w:r w:rsidRPr="0030466F">
        <w:t>годов. Вместе с тем у Комитета по</w:t>
      </w:r>
      <w:r>
        <w:noBreakHyphen/>
      </w:r>
      <w:r w:rsidRPr="0030466F">
        <w:t>прежнему вызывают обеспокоенность:</w:t>
      </w:r>
      <w:bookmarkStart w:id="14" w:name="_Hlk24710178"/>
      <w:bookmarkEnd w:id="14"/>
    </w:p>
    <w:p w14:paraId="3210E86E" w14:textId="77777777" w:rsidR="009858FA" w:rsidRPr="0030466F" w:rsidRDefault="009858FA" w:rsidP="009858FA">
      <w:pPr>
        <w:pStyle w:val="SingleTxt"/>
      </w:pPr>
      <w:r>
        <w:tab/>
      </w:r>
      <w:r w:rsidRPr="0030466F">
        <w:t>а)</w:t>
      </w:r>
      <w:r w:rsidRPr="0030466F">
        <w:tab/>
        <w:t xml:space="preserve">недостаточная защита жертв торговли людьми, включая женщин, на этапах расследования и судебного разбирательства, а также отсутствие у соответствующих правительственных </w:t>
      </w:r>
      <w:r w:rsidRPr="0030466F">
        <w:lastRenderedPageBreak/>
        <w:t>учреждений информации о показателях торговли детьми, в том числе девочками, и понимания этих показателей;</w:t>
      </w:r>
    </w:p>
    <w:p w14:paraId="4DB187B2" w14:textId="77777777" w:rsidR="009858FA" w:rsidRPr="0030466F" w:rsidRDefault="009858FA" w:rsidP="009858FA">
      <w:pPr>
        <w:pStyle w:val="SingleTxt"/>
      </w:pPr>
      <w:r>
        <w:tab/>
      </w:r>
      <w:r w:rsidRPr="0030466F">
        <w:t>b)</w:t>
      </w:r>
      <w:r w:rsidRPr="0030466F">
        <w:tab/>
        <w:t>несостоятельность, особенно в сельских районах, механизмов выявления жертв и их направления к специалистам;</w:t>
      </w:r>
    </w:p>
    <w:p w14:paraId="2EAF994C" w14:textId="77777777" w:rsidR="009858FA" w:rsidRPr="0030466F" w:rsidRDefault="009858FA" w:rsidP="009858FA">
      <w:pPr>
        <w:pStyle w:val="SingleTxt"/>
      </w:pPr>
      <w:r>
        <w:tab/>
      </w:r>
      <w:r w:rsidRPr="0030466F">
        <w:t>c)</w:t>
      </w:r>
      <w:r w:rsidRPr="0030466F">
        <w:tab/>
        <w:t>тот факт, что торговцы людьми все чаще выбирают в качестве мишени безработных и лиц из малообеспеченных семей через социальные сети и Интернет;</w:t>
      </w:r>
    </w:p>
    <w:p w14:paraId="2198C616" w14:textId="77777777" w:rsidR="009858FA" w:rsidRPr="0030466F" w:rsidRDefault="009858FA" w:rsidP="009858FA">
      <w:pPr>
        <w:pStyle w:val="SingleTxt"/>
      </w:pPr>
      <w:r>
        <w:tab/>
      </w:r>
      <w:r w:rsidRPr="0030466F">
        <w:t>d)</w:t>
      </w:r>
      <w:r w:rsidRPr="0030466F">
        <w:tab/>
        <w:t>отсутствие всеобъемлющей информации и понятных данных о количестве проведенных расследований, числе случаев судебного преследования и осуждения лиц, виновных в торговле людьми, и количестве вынесенных им приговоров.</w:t>
      </w:r>
    </w:p>
    <w:p w14:paraId="7CF40CC9" w14:textId="5EB5D70B" w:rsidR="009858FA" w:rsidRPr="0030466F" w:rsidRDefault="009858FA" w:rsidP="009858FA">
      <w:pPr>
        <w:pStyle w:val="SingleTxt"/>
      </w:pPr>
      <w:r w:rsidRPr="0030466F">
        <w:t>25.</w:t>
      </w:r>
      <w:r w:rsidRPr="0030466F">
        <w:tab/>
      </w:r>
      <w:r w:rsidRPr="0030466F">
        <w:rPr>
          <w:b/>
          <w:bCs/>
        </w:rPr>
        <w:t>Ссылаясь на свои предыдущие рекомендации (</w:t>
      </w:r>
      <w:hyperlink r:id="rId27" w:history="1">
        <w:r w:rsidRPr="0030466F">
          <w:rPr>
            <w:rStyle w:val="Hyperlink"/>
            <w:b/>
            <w:bCs/>
          </w:rPr>
          <w:t>CEDAW/C/LTU/CO/5</w:t>
        </w:r>
      </w:hyperlink>
      <w:r w:rsidRPr="0030466F">
        <w:rPr>
          <w:b/>
          <w:bCs/>
        </w:rPr>
        <w:t>, пункт</w:t>
      </w:r>
      <w:r>
        <w:rPr>
          <w:b/>
          <w:bCs/>
        </w:rPr>
        <w:t> </w:t>
      </w:r>
      <w:r w:rsidRPr="0030466F">
        <w:rPr>
          <w:b/>
          <w:bCs/>
        </w:rPr>
        <w:t>19), Комитет рекомендует государству-участнику:</w:t>
      </w:r>
    </w:p>
    <w:p w14:paraId="399B7035" w14:textId="77777777" w:rsidR="009858FA" w:rsidRPr="0030466F" w:rsidRDefault="009858FA" w:rsidP="009858FA">
      <w:pPr>
        <w:pStyle w:val="SingleTxt"/>
      </w:pPr>
      <w:r>
        <w:tab/>
      </w:r>
      <w:r w:rsidRPr="0030466F">
        <w:t>а)</w:t>
      </w:r>
      <w:r w:rsidRPr="0030466F">
        <w:tab/>
      </w:r>
      <w:r w:rsidRPr="0030466F">
        <w:rPr>
          <w:b/>
          <w:bCs/>
        </w:rPr>
        <w:t>продолжать усилия по укреплению учитывающей гендерные аспекты подготовки по всем аспектам вопроса о торговле людьми, в частности женщинами и девочками, для судей, прокуроров, сотрудников полиции, пограничников, социальных работников, психологов, сотрудников по защите детей и специалистов по уходу за детьми, в том числе на муниципальном уровне;</w:t>
      </w:r>
    </w:p>
    <w:p w14:paraId="1B2C7E64" w14:textId="77777777" w:rsidR="009858FA" w:rsidRPr="0030466F" w:rsidRDefault="009858FA" w:rsidP="009858FA">
      <w:pPr>
        <w:pStyle w:val="SingleTxt"/>
      </w:pPr>
      <w:r>
        <w:tab/>
      </w:r>
      <w:r w:rsidRPr="0030466F">
        <w:t>b)</w:t>
      </w:r>
      <w:r w:rsidRPr="0030466F">
        <w:tab/>
      </w:r>
      <w:r w:rsidRPr="0030466F">
        <w:rPr>
          <w:b/>
          <w:bCs/>
        </w:rPr>
        <w:t xml:space="preserve">совершенствовать процедуры своевременного выявления жертв торговли людьми, в частности девочек, и направления их в соответствующие службы, и укреплять службы защиты и поддержки жертв и свидетелей, включая программы медицинского обслуживания, психосоциального консультирования и реабилитации и реинтеграции, независимо от способности или </w:t>
      </w:r>
      <w:r w:rsidRPr="0030466F">
        <w:rPr>
          <w:b/>
          <w:bCs/>
        </w:rPr>
        <w:lastRenderedPageBreak/>
        <w:t>готовности жертвы сотрудничать с органами прокуратуры;</w:t>
      </w:r>
    </w:p>
    <w:p w14:paraId="14F993B4" w14:textId="77777777" w:rsidR="009858FA" w:rsidRPr="0030466F" w:rsidRDefault="009858FA" w:rsidP="009858FA">
      <w:pPr>
        <w:pStyle w:val="SingleTxt"/>
      </w:pPr>
      <w:r>
        <w:tab/>
      </w:r>
      <w:r w:rsidRPr="0030466F">
        <w:t>c)</w:t>
      </w:r>
      <w:r w:rsidRPr="0030466F">
        <w:tab/>
      </w:r>
      <w:r w:rsidRPr="0030466F">
        <w:rPr>
          <w:b/>
          <w:bCs/>
        </w:rPr>
        <w:t>повышать осведомленность, в том числе в школе и семье, об опасности торговли людьми, включая вербовку жертв из числа безработных и малообеспеченных семей через социальные сети и Интернет;</w:t>
      </w:r>
    </w:p>
    <w:p w14:paraId="45A41DE8" w14:textId="77777777" w:rsidR="009858FA" w:rsidRPr="0030466F" w:rsidRDefault="009858FA" w:rsidP="009858FA">
      <w:pPr>
        <w:pStyle w:val="SingleTxt"/>
      </w:pPr>
      <w:r>
        <w:tab/>
      </w:r>
      <w:r w:rsidRPr="0030466F">
        <w:t>d)</w:t>
      </w:r>
      <w:r w:rsidRPr="0030466F">
        <w:tab/>
      </w:r>
      <w:r w:rsidRPr="0030466F">
        <w:rPr>
          <w:b/>
          <w:bCs/>
        </w:rPr>
        <w:t>обеспечить эффективное судебное преследование и надлежащее наказание лиц, виновных в совершении актов торговли людьми, и представить в своем следующем периодическом докладе соответствующие статистические данные в разбивке по полу, возрасту, национальному происхождению, занятости и социальному статусу.</w:t>
      </w:r>
    </w:p>
    <w:p w14:paraId="441C2BFE" w14:textId="77777777" w:rsidR="009858FA" w:rsidRPr="0030466F" w:rsidRDefault="009858FA" w:rsidP="009858FA">
      <w:pPr>
        <w:pStyle w:val="SingleTxt"/>
      </w:pPr>
      <w:r w:rsidRPr="0030466F">
        <w:t>26.</w:t>
      </w:r>
      <w:r w:rsidRPr="0030466F">
        <w:tab/>
        <w:t>Комитет отмечает, что спрос на проституцию подлежит наказанию в соответствии с Кодексом об административных правонарушениях. Вместе с тем он обеспокоен отсутствием информации о мерах, принятых государством-участником с целью снижения спроса на проституцию и отсутствием «программ выхода» для женщин, которые желают прекратить заниматься проституцией. Он также выражает сожаление в связи с отсутствием информации о том, признаются ли женщины, эксплуатируемые в целях проституции, жертвами и обеспечивается ли неразглашение их персональных данных, в том числе в случаях, когда они вызываются в качестве свидетелей в ходе уголовного разбирательства.</w:t>
      </w:r>
    </w:p>
    <w:p w14:paraId="07D07988" w14:textId="77777777" w:rsidR="009858FA" w:rsidRPr="00CA03C3" w:rsidRDefault="009858FA" w:rsidP="009858FA">
      <w:pPr>
        <w:pStyle w:val="SingleTxt"/>
      </w:pPr>
      <w:r w:rsidRPr="0030466F">
        <w:t>27.</w:t>
      </w:r>
      <w:r w:rsidRPr="0030466F">
        <w:tab/>
      </w:r>
      <w:r w:rsidRPr="0030466F">
        <w:rPr>
          <w:b/>
          <w:bCs/>
        </w:rPr>
        <w:t xml:space="preserve">Комитет рекомендует государству-участнику разработать «программы выхода» для женщин, которые желают прекратить заниматься проституцией, в том числе путем содействия обеспечению альтернативных возможностей для </w:t>
      </w:r>
      <w:r w:rsidRPr="0030466F">
        <w:rPr>
          <w:b/>
          <w:bCs/>
        </w:rPr>
        <w:lastRenderedPageBreak/>
        <w:t>получения дохода, и представить в своем следующем периодическом докладе информацию о масштабах проституции в государстве-участнике, мерах, принятых для сокращения спроса на проституцию, декриминализации проституции и признания женщин, занимающихся проституцией,</w:t>
      </w:r>
      <w:r>
        <w:rPr>
          <w:b/>
          <w:bCs/>
        </w:rPr>
        <w:t xml:space="preserve"> </w:t>
      </w:r>
      <w:r w:rsidRPr="0030466F">
        <w:rPr>
          <w:b/>
          <w:bCs/>
        </w:rPr>
        <w:t>в качестве жертв, в том числе путем их включения в программы защиты свидетелей в ходе уголовного разбирательства.</w:t>
      </w:r>
    </w:p>
    <w:p w14:paraId="63D30A1B" w14:textId="77777777" w:rsidR="009858FA" w:rsidRPr="0030466F" w:rsidRDefault="009858FA" w:rsidP="009858FA">
      <w:pPr>
        <w:pStyle w:val="SingleTxt"/>
        <w:spacing w:after="0" w:line="120" w:lineRule="exact"/>
        <w:rPr>
          <w:sz w:val="10"/>
        </w:rPr>
      </w:pPr>
    </w:p>
    <w:p w14:paraId="32379463" w14:textId="77777777" w:rsidR="009858FA" w:rsidRPr="0030466F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0466F">
        <w:tab/>
      </w:r>
      <w:r w:rsidRPr="0030466F">
        <w:tab/>
        <w:t xml:space="preserve">Участие в политической и общественной жизни </w:t>
      </w:r>
    </w:p>
    <w:p w14:paraId="194466FE" w14:textId="77777777" w:rsidR="009858FA" w:rsidRPr="0030466F" w:rsidRDefault="009858FA" w:rsidP="009858FA">
      <w:pPr>
        <w:pStyle w:val="SingleTxt"/>
        <w:spacing w:after="0" w:line="120" w:lineRule="exact"/>
        <w:rPr>
          <w:sz w:val="10"/>
        </w:rPr>
      </w:pPr>
    </w:p>
    <w:p w14:paraId="702FED9F" w14:textId="77777777" w:rsidR="009858FA" w:rsidRPr="0030466F" w:rsidRDefault="009858FA" w:rsidP="009858FA">
      <w:pPr>
        <w:pStyle w:val="SingleTxt"/>
      </w:pPr>
      <w:r w:rsidRPr="0030466F">
        <w:t>28.</w:t>
      </w:r>
      <w:r w:rsidRPr="0030466F">
        <w:tab/>
        <w:t>Комитет приветствует высокий уровень представленности женщин на государственной службе государства-участника. Он отмечает, что на уровне заместителей министра доля женщин составила 42</w:t>
      </w:r>
      <w:r>
        <w:t> </w:t>
      </w:r>
      <w:r w:rsidRPr="0030466F">
        <w:t>процента и что доля женщин среди литовских депутатов Европейского парламента выросла до 27</w:t>
      </w:r>
      <w:r>
        <w:t> </w:t>
      </w:r>
      <w:r w:rsidRPr="0030466F">
        <w:t>процентов. Он также отмечает меры, принятые государством-участником для поощрения участия женщин в политической жизни, в частности организацию мероприятий, касающихся руководящей роли женщин, инициатив по обеспечению баланса между работой и личной жизнью и содействия созданию благоприятных для женщин условий труда. Вместе с тем Комитет обеспокоен тем, что лишь на одну из 14</w:t>
      </w:r>
      <w:r>
        <w:t> </w:t>
      </w:r>
      <w:r w:rsidRPr="0030466F">
        <w:t>должностей министров назначена женщина и что на последних национальных выборах только одна политическая партия ввела добровольные квоты для выдвижения женщин-кандидатов. Наконец, Комитет отмечает пояснение государства-участника о том, что барьеры, препятствующие доступу женщин на государственные руководящие должности, уменьшаются, хотя и не так быстро, как хотелось бы.</w:t>
      </w:r>
    </w:p>
    <w:p w14:paraId="2EE6FC57" w14:textId="77777777" w:rsidR="00AC7736" w:rsidRDefault="00AC7736">
      <w:pPr>
        <w:spacing w:after="200" w:line="276" w:lineRule="auto"/>
      </w:pPr>
      <w:r>
        <w:lastRenderedPageBreak/>
        <w:br w:type="page"/>
      </w:r>
    </w:p>
    <w:p w14:paraId="79BBD44F" w14:textId="0107A33B" w:rsidR="009858FA" w:rsidRPr="00CF04A6" w:rsidRDefault="009858FA" w:rsidP="009858FA">
      <w:pPr>
        <w:pStyle w:val="SingleTxt"/>
      </w:pPr>
      <w:r w:rsidRPr="0030466F">
        <w:lastRenderedPageBreak/>
        <w:t>29.</w:t>
      </w:r>
      <w:r w:rsidRPr="0030466F">
        <w:tab/>
      </w:r>
      <w:r w:rsidRPr="0030466F">
        <w:rPr>
          <w:b/>
          <w:bCs/>
        </w:rPr>
        <w:t>Вновь подтверждая свои предыдущие рекомендации (</w:t>
      </w:r>
      <w:hyperlink r:id="rId28" w:history="1">
        <w:r w:rsidRPr="0030466F">
          <w:rPr>
            <w:rStyle w:val="Hyperlink"/>
            <w:b/>
            <w:bCs/>
          </w:rPr>
          <w:t>CEDAW/C/LTU/CO/5</w:t>
        </w:r>
      </w:hyperlink>
      <w:r w:rsidRPr="0030466F">
        <w:rPr>
          <w:b/>
          <w:bCs/>
        </w:rPr>
        <w:t>, пункт</w:t>
      </w:r>
      <w:r>
        <w:rPr>
          <w:b/>
          <w:bCs/>
        </w:rPr>
        <w:t> </w:t>
      </w:r>
      <w:r w:rsidRPr="0030466F">
        <w:rPr>
          <w:b/>
          <w:bCs/>
        </w:rPr>
        <w:t>29), Комитет рекомендует государству-участнику активизировать свои усилия по увеличению представленности женщин в политической жизни и принять временные специальные меры, включая установление квот для женщин-кандидатов от политических партий и женщин-глав муниципалитетов, для расширения участия женщин, в частности сельских женщин, женщин, принадлежащих к группам этнических меньшинств</w:t>
      </w:r>
      <w:r>
        <w:rPr>
          <w:b/>
          <w:bCs/>
        </w:rPr>
        <w:t>,</w:t>
      </w:r>
      <w:r w:rsidRPr="0030466F">
        <w:rPr>
          <w:b/>
          <w:bCs/>
        </w:rPr>
        <w:t xml:space="preserve"> и женщин-инвалидов, в политической и общественной жизни, включая присвоение женщинам самых высоких дипломатических рангов и</w:t>
      </w:r>
      <w:r>
        <w:rPr>
          <w:b/>
          <w:bCs/>
        </w:rPr>
        <w:t xml:space="preserve"> </w:t>
      </w:r>
      <w:r w:rsidRPr="0030466F">
        <w:rPr>
          <w:b/>
          <w:bCs/>
        </w:rPr>
        <w:t>выдвижение женщин-дипломатов в состав национальных представительных</w:t>
      </w:r>
      <w:r>
        <w:rPr>
          <w:b/>
          <w:bCs/>
        </w:rPr>
        <w:t xml:space="preserve"> </w:t>
      </w:r>
      <w:r w:rsidRPr="0030466F">
        <w:rPr>
          <w:b/>
          <w:bCs/>
        </w:rPr>
        <w:t>и муниципальных органов</w:t>
      </w:r>
      <w:r>
        <w:rPr>
          <w:b/>
          <w:bCs/>
        </w:rPr>
        <w:t xml:space="preserve"> </w:t>
      </w:r>
      <w:r w:rsidRPr="0030466F">
        <w:rPr>
          <w:b/>
          <w:bCs/>
        </w:rPr>
        <w:t>в соответствии с его общей рекомендацией №</w:t>
      </w:r>
      <w:r>
        <w:rPr>
          <w:b/>
          <w:bCs/>
        </w:rPr>
        <w:t> </w:t>
      </w:r>
      <w:r w:rsidRPr="0030466F">
        <w:rPr>
          <w:b/>
          <w:bCs/>
        </w:rPr>
        <w:t>23 (1997), касающейся участия женщин в политической и общественной жизни.</w:t>
      </w:r>
    </w:p>
    <w:p w14:paraId="35CCDBF4" w14:textId="77777777" w:rsidR="009858FA" w:rsidRPr="001B18F9" w:rsidRDefault="009858FA" w:rsidP="009858FA">
      <w:pPr>
        <w:pStyle w:val="SingleTxt"/>
        <w:spacing w:after="0" w:line="120" w:lineRule="exact"/>
        <w:rPr>
          <w:sz w:val="10"/>
        </w:rPr>
      </w:pPr>
    </w:p>
    <w:p w14:paraId="0F1EDFDC" w14:textId="77777777" w:rsidR="009858FA" w:rsidRPr="0030466F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0466F">
        <w:tab/>
      </w:r>
      <w:r w:rsidRPr="0030466F">
        <w:tab/>
        <w:t>Женщины и мир и безопасность</w:t>
      </w:r>
    </w:p>
    <w:p w14:paraId="2E7EA196" w14:textId="77777777" w:rsidR="009858FA" w:rsidRPr="001B18F9" w:rsidRDefault="009858FA" w:rsidP="009858FA">
      <w:pPr>
        <w:pStyle w:val="SingleTxt"/>
        <w:spacing w:after="0" w:line="120" w:lineRule="exact"/>
        <w:rPr>
          <w:sz w:val="10"/>
        </w:rPr>
      </w:pPr>
    </w:p>
    <w:p w14:paraId="0BB35BBE" w14:textId="4B09C6D7" w:rsidR="00BD154A" w:rsidRDefault="009858FA" w:rsidP="009858FA">
      <w:pPr>
        <w:pStyle w:val="SingleTxt"/>
      </w:pPr>
      <w:r w:rsidRPr="0030466F">
        <w:t>30.</w:t>
      </w:r>
      <w:r w:rsidRPr="0030466F">
        <w:tab/>
        <w:t>Комитет с удовлетворением отмечает, что государство-участник является членом ряда неофициальных групп друзей под эгидой Организации Объединенных Наций. Он отмечает, что Литва в настоящее время разрабатывает свой второй национальный план действий по осуществлению повестки дня Совета Безопасности по вопросам женщин и мира и безопасности и что женщины составляют 3,5</w:t>
      </w:r>
      <w:r>
        <w:t> </w:t>
      </w:r>
      <w:r w:rsidRPr="0030466F">
        <w:t>процента литовцев, участвующих в операциях по поддержанию мира.</w:t>
      </w:r>
    </w:p>
    <w:p w14:paraId="0CD43816" w14:textId="52E80FBB" w:rsidR="009858FA" w:rsidRPr="00E91E12" w:rsidRDefault="009858FA" w:rsidP="009858FA">
      <w:pPr>
        <w:pStyle w:val="SingleTxt"/>
        <w:rPr>
          <w:b/>
          <w:bCs/>
        </w:rPr>
      </w:pPr>
      <w:r w:rsidRPr="00E91E12">
        <w:t>31.</w:t>
      </w:r>
      <w:r w:rsidRPr="00E91E12">
        <w:tab/>
      </w:r>
      <w:r w:rsidRPr="00E91E12">
        <w:rPr>
          <w:b/>
          <w:bCs/>
        </w:rPr>
        <w:t xml:space="preserve">Комитет рекомендует государству-участнику установить четкие сроки завершения разработки второго национального плана действий по </w:t>
      </w:r>
      <w:r w:rsidRPr="00E91E12">
        <w:rPr>
          <w:b/>
          <w:bCs/>
        </w:rPr>
        <w:lastRenderedPageBreak/>
        <w:t xml:space="preserve">осуществлению резолюции </w:t>
      </w:r>
      <w:hyperlink r:id="rId29" w:history="1">
        <w:r w:rsidRPr="00E91E12">
          <w:rPr>
            <w:rStyle w:val="Hyperlink"/>
            <w:b/>
            <w:bCs/>
          </w:rPr>
          <w:t>1325 (2000)</w:t>
        </w:r>
      </w:hyperlink>
      <w:r w:rsidRPr="00E91E12">
        <w:rPr>
          <w:b/>
          <w:bCs/>
        </w:rPr>
        <w:t xml:space="preserve"> Совета Безопасности в сотрудничестве с представителями женских организаций и обеспечить, чтобы в нем был учтен весь спектр вопросов, фигурирующих в повестке дня Совета по вопросу о женщинах и мире и безопасности, как это отражено в резолюциях Совета </w:t>
      </w:r>
      <w:hyperlink r:id="rId30" w:history="1">
        <w:r w:rsidRPr="00E91E12">
          <w:rPr>
            <w:rStyle w:val="Hyperlink"/>
            <w:b/>
            <w:bCs/>
          </w:rPr>
          <w:t>1820 (2008)</w:t>
        </w:r>
      </w:hyperlink>
      <w:r w:rsidRPr="00E91E12">
        <w:rPr>
          <w:b/>
          <w:bCs/>
        </w:rPr>
        <w:t xml:space="preserve">, </w:t>
      </w:r>
      <w:hyperlink r:id="rId31" w:history="1">
        <w:r w:rsidRPr="00E91E12">
          <w:rPr>
            <w:rStyle w:val="Hyperlink"/>
            <w:b/>
            <w:bCs/>
          </w:rPr>
          <w:t>1888 (2009)</w:t>
        </w:r>
      </w:hyperlink>
      <w:r w:rsidRPr="00E91E12">
        <w:rPr>
          <w:b/>
          <w:bCs/>
        </w:rPr>
        <w:t xml:space="preserve">, </w:t>
      </w:r>
      <w:hyperlink r:id="rId32" w:history="1">
        <w:r w:rsidRPr="00E91E12">
          <w:rPr>
            <w:rStyle w:val="Hyperlink"/>
            <w:b/>
            <w:bCs/>
          </w:rPr>
          <w:t>1889 (2009)</w:t>
        </w:r>
      </w:hyperlink>
      <w:r w:rsidRPr="00E91E12">
        <w:rPr>
          <w:b/>
          <w:bCs/>
        </w:rPr>
        <w:t xml:space="preserve">, </w:t>
      </w:r>
      <w:hyperlink r:id="rId33" w:history="1">
        <w:r w:rsidRPr="00E91E12">
          <w:rPr>
            <w:rStyle w:val="Hyperlink"/>
            <w:b/>
            <w:bCs/>
          </w:rPr>
          <w:t>1960 (2010)</w:t>
        </w:r>
      </w:hyperlink>
      <w:r w:rsidRPr="00E91E12">
        <w:rPr>
          <w:b/>
          <w:bCs/>
        </w:rPr>
        <w:t xml:space="preserve">, </w:t>
      </w:r>
      <w:hyperlink r:id="rId34" w:history="1">
        <w:r w:rsidRPr="00E91E12">
          <w:rPr>
            <w:rStyle w:val="Hyperlink"/>
            <w:b/>
            <w:bCs/>
          </w:rPr>
          <w:t>2106 (2013)</w:t>
        </w:r>
      </w:hyperlink>
      <w:r w:rsidRPr="00E91E12">
        <w:rPr>
          <w:b/>
          <w:bCs/>
        </w:rPr>
        <w:t xml:space="preserve">, </w:t>
      </w:r>
      <w:hyperlink r:id="rId35" w:history="1">
        <w:r w:rsidRPr="00E91E12">
          <w:rPr>
            <w:rStyle w:val="Hyperlink"/>
            <w:b/>
            <w:bCs/>
          </w:rPr>
          <w:t>2122 (2013)</w:t>
        </w:r>
      </w:hyperlink>
      <w:r w:rsidRPr="00E91E12">
        <w:rPr>
          <w:b/>
          <w:bCs/>
        </w:rPr>
        <w:t xml:space="preserve">, </w:t>
      </w:r>
      <w:hyperlink r:id="rId36" w:history="1">
        <w:r w:rsidRPr="00E91E12">
          <w:rPr>
            <w:rStyle w:val="Hyperlink"/>
            <w:b/>
            <w:bCs/>
          </w:rPr>
          <w:t>2242 (2015)</w:t>
        </w:r>
      </w:hyperlink>
      <w:r w:rsidRPr="00E91E12">
        <w:rPr>
          <w:b/>
          <w:bCs/>
        </w:rPr>
        <w:t xml:space="preserve">, </w:t>
      </w:r>
      <w:hyperlink r:id="rId37" w:history="1">
        <w:r w:rsidRPr="00E91E12">
          <w:rPr>
            <w:rStyle w:val="Hyperlink"/>
            <w:b/>
            <w:bCs/>
          </w:rPr>
          <w:t>2467 (2019)</w:t>
        </w:r>
      </w:hyperlink>
      <w:r w:rsidRPr="00E91E12">
        <w:rPr>
          <w:b/>
          <w:bCs/>
        </w:rPr>
        <w:t xml:space="preserve"> и </w:t>
      </w:r>
      <w:hyperlink r:id="rId38" w:history="1">
        <w:r w:rsidRPr="00E91E12">
          <w:rPr>
            <w:rStyle w:val="Hyperlink"/>
            <w:b/>
            <w:bCs/>
          </w:rPr>
          <w:t>2493 (2019)</w:t>
        </w:r>
      </w:hyperlink>
      <w:r w:rsidRPr="00E91E12">
        <w:rPr>
          <w:b/>
          <w:bCs/>
        </w:rPr>
        <w:t>.</w:t>
      </w:r>
    </w:p>
    <w:p w14:paraId="447861BC" w14:textId="77777777" w:rsidR="009858FA" w:rsidRPr="00E91E12" w:rsidRDefault="009858FA" w:rsidP="009858FA">
      <w:pPr>
        <w:pStyle w:val="SingleTxt"/>
        <w:spacing w:after="0" w:line="120" w:lineRule="exact"/>
        <w:rPr>
          <w:b/>
          <w:sz w:val="10"/>
        </w:rPr>
      </w:pPr>
    </w:p>
    <w:p w14:paraId="594A368C" w14:textId="77777777" w:rsidR="009858FA" w:rsidRPr="00E91E12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1E12">
        <w:tab/>
      </w:r>
      <w:r w:rsidRPr="00E91E12">
        <w:tab/>
        <w:t>Гражданство</w:t>
      </w:r>
    </w:p>
    <w:p w14:paraId="0F1B7D1E" w14:textId="77777777" w:rsidR="009858FA" w:rsidRPr="00E91E12" w:rsidRDefault="009858FA" w:rsidP="009858FA">
      <w:pPr>
        <w:pStyle w:val="SingleTxt"/>
        <w:spacing w:after="0" w:line="120" w:lineRule="exact"/>
        <w:rPr>
          <w:sz w:val="10"/>
        </w:rPr>
      </w:pPr>
    </w:p>
    <w:p w14:paraId="2C9B9CB9" w14:textId="77777777" w:rsidR="009858FA" w:rsidRPr="00E91E12" w:rsidRDefault="009858FA" w:rsidP="009858FA">
      <w:pPr>
        <w:pStyle w:val="SingleTxt"/>
      </w:pPr>
      <w:r w:rsidRPr="00E91E12">
        <w:t>32.</w:t>
      </w:r>
      <w:r w:rsidRPr="00E91E12">
        <w:tab/>
        <w:t xml:space="preserve">Комитет приветствует неуклонное сокращение в государстве-участнике с 2012 года числа лиц без гражданства, включая женщин-апатридов, и принимает к сведению, что литовские женщины могут передавать гражданство своим мужьям-иностранцам. Вместе с тем Комитет обеспокоен по поводу гендерной нейтральности законодательства о гражданстве и того факта, что в законодательство не было внесено никаких изменений, как это было рекомендовано ранее. </w:t>
      </w:r>
    </w:p>
    <w:p w14:paraId="68D84138" w14:textId="2BB0506A" w:rsidR="009858FA" w:rsidRPr="00E91E12" w:rsidRDefault="009858FA" w:rsidP="009858FA">
      <w:pPr>
        <w:pStyle w:val="SingleTxt"/>
        <w:rPr>
          <w:b/>
          <w:bCs/>
        </w:rPr>
      </w:pPr>
      <w:r w:rsidRPr="00E91E12">
        <w:t>33.</w:t>
      </w:r>
      <w:r w:rsidRPr="00E91E12">
        <w:tab/>
      </w:r>
      <w:r w:rsidRPr="00E91E12">
        <w:rPr>
          <w:b/>
          <w:bCs/>
        </w:rPr>
        <w:t>Вновь подтверждая свою предыдущую рекомендацию (</w:t>
      </w:r>
      <w:hyperlink r:id="rId39" w:history="1">
        <w:r w:rsidRPr="00E91E12">
          <w:rPr>
            <w:rStyle w:val="Hyperlink"/>
            <w:b/>
            <w:bCs/>
          </w:rPr>
          <w:t>CEDAW/C/LTU/CO/5</w:t>
        </w:r>
      </w:hyperlink>
      <w:r w:rsidRPr="00E91E12">
        <w:rPr>
          <w:b/>
          <w:bCs/>
        </w:rPr>
        <w:t>, пункт 31), Комитет призывает государство-участник внести поправки в свое национальное законодательство, которые предусматривали бы автоматическое предоставление гражданства всем детям, родившимся в Литве, включая детей рома, которые иначе становились бы апатридами, и привести свое национальное законодательство о гражданстве в соответствие с Конвенцией 1961 года о сокращении безгражданства.</w:t>
      </w:r>
      <w:r w:rsidRPr="00E91E12">
        <w:t xml:space="preserve"> </w:t>
      </w:r>
      <w:r w:rsidRPr="00E91E12">
        <w:rPr>
          <w:b/>
          <w:bCs/>
        </w:rPr>
        <w:t xml:space="preserve">Комитет рекомендует государству-участнику обеспечить, чтобы на праве женщин на гражданство никоим образом не </w:t>
      </w:r>
      <w:r w:rsidRPr="00E91E12">
        <w:rPr>
          <w:b/>
          <w:bCs/>
        </w:rPr>
        <w:lastRenderedPageBreak/>
        <w:t>отражалась гендерная нейтральность закона о гражданстве, в частности посредством организации подготовки всех должностных лиц, занимающихся этим вопросом, по гендерной проблематике и тематике гендерного равенства.</w:t>
      </w:r>
      <w:r w:rsidRPr="00E91E12">
        <w:t xml:space="preserve"> </w:t>
      </w:r>
    </w:p>
    <w:p w14:paraId="2A37BEBE" w14:textId="77777777" w:rsidR="00AC7736" w:rsidRDefault="00AC7736">
      <w:pPr>
        <w:spacing w:after="200" w:line="276" w:lineRule="auto"/>
        <w:rPr>
          <w:b/>
          <w:spacing w:val="2"/>
        </w:rPr>
      </w:pPr>
      <w:r>
        <w:br w:type="page"/>
      </w:r>
    </w:p>
    <w:p w14:paraId="1217E821" w14:textId="6E6B6CBF" w:rsidR="009858FA" w:rsidRPr="00E91E12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1E12">
        <w:lastRenderedPageBreak/>
        <w:tab/>
      </w:r>
      <w:r w:rsidRPr="00E91E12">
        <w:tab/>
        <w:t>Образование</w:t>
      </w:r>
    </w:p>
    <w:p w14:paraId="3A30ECB7" w14:textId="77777777" w:rsidR="009858FA" w:rsidRPr="00E91E12" w:rsidRDefault="009858FA" w:rsidP="009858FA">
      <w:pPr>
        <w:pStyle w:val="SingleTxt"/>
        <w:spacing w:after="0" w:line="120" w:lineRule="exact"/>
        <w:rPr>
          <w:sz w:val="10"/>
        </w:rPr>
      </w:pPr>
    </w:p>
    <w:p w14:paraId="01F60133" w14:textId="77777777" w:rsidR="009858FA" w:rsidRPr="00E91E12" w:rsidRDefault="009858FA" w:rsidP="009858FA">
      <w:pPr>
        <w:pStyle w:val="SingleTxt"/>
      </w:pPr>
      <w:r w:rsidRPr="00E91E12">
        <w:t>34.</w:t>
      </w:r>
      <w:r w:rsidRPr="00E91E12">
        <w:tab/>
        <w:t>Комитет приветствует создание в 2019</w:t>
      </w:r>
      <w:r>
        <w:rPr>
          <w:lang w:val="en-US"/>
        </w:rPr>
        <w:t> </w:t>
      </w:r>
      <w:r w:rsidRPr="00E91E12">
        <w:t>году Национального агентства по вопросам образования, которому также поручено поощрять гендерное равенство и бороться с гендерными стереотипами, а также начало осуществления проекта «Корзина качества», направленного на повышение успеваемости учащихся, включая девочек. Он отмечает высокий процент женщин-исследователей в университетах и растущее число студенток, поступающих в учебные заведения для прохождения обучения по дисциплинам, в которых ранее доминировали мужчины. Вместе с тем Комитет по-прежнему обеспокоен низким числом женщин на ведущих должностях научно-преподавательского состава. Он сожалеет об отсутствии информации об усилиях по повышению уровня интеграции девочек, принадлежащих к группам меньшинств, в частности девочек рома, и девочек-инвалидов в школах, а также о воздействии реформы высшего образования, проведенной в 2017 году, на удовлетворение имеющегося на рынке труда спроса на квалифицированных работниц, включая необходимость реструктуризации программ профессиональной подготовки для женщин.</w:t>
      </w:r>
    </w:p>
    <w:p w14:paraId="5598B766" w14:textId="2609BBA4" w:rsidR="009858FA" w:rsidRPr="00E91E12" w:rsidRDefault="009858FA" w:rsidP="009858FA">
      <w:pPr>
        <w:pStyle w:val="SingleTxt"/>
      </w:pPr>
      <w:r w:rsidRPr="00E91E12">
        <w:t>35.</w:t>
      </w:r>
      <w:r w:rsidRPr="00E91E12">
        <w:tab/>
      </w:r>
      <w:r w:rsidRPr="00E91E12">
        <w:rPr>
          <w:b/>
          <w:bCs/>
        </w:rPr>
        <w:t>Вновь подтверждая свои предыдущие рекомендации (</w:t>
      </w:r>
      <w:hyperlink r:id="rId40" w:history="1">
        <w:r w:rsidRPr="00E91E12">
          <w:rPr>
            <w:rStyle w:val="Hyperlink"/>
            <w:b/>
            <w:bCs/>
          </w:rPr>
          <w:t>CEDAW/C/LTU/CO/5</w:t>
        </w:r>
      </w:hyperlink>
      <w:r w:rsidRPr="00E91E12">
        <w:rPr>
          <w:b/>
          <w:bCs/>
        </w:rPr>
        <w:t xml:space="preserve">, пункт 33) и ссылаясь на свою общую рекомендацию № 36 (2017) о праве девочек и женщин на образование, Комитет рекомендует государству-участнику повышать осведомленность девочек и мальчиков, родителей, учителей и политических лидеров о важности образования девочек на всех уровнях в качестве основы для </w:t>
      </w:r>
      <w:r w:rsidRPr="00E91E12">
        <w:rPr>
          <w:b/>
          <w:bCs/>
        </w:rPr>
        <w:lastRenderedPageBreak/>
        <w:t>расширения их возможностей и рекомендует государству-участнику:</w:t>
      </w:r>
      <w:r w:rsidRPr="00E91E12">
        <w:t xml:space="preserve"> </w:t>
      </w:r>
    </w:p>
    <w:p w14:paraId="5EC0B4E6" w14:textId="77777777" w:rsidR="009858FA" w:rsidRPr="00E91E12" w:rsidRDefault="009858FA" w:rsidP="009858FA">
      <w:pPr>
        <w:pStyle w:val="SingleTxt"/>
        <w:rPr>
          <w:b/>
          <w:bCs/>
        </w:rPr>
      </w:pPr>
      <w:r>
        <w:tab/>
      </w:r>
      <w:r w:rsidRPr="00E91E12">
        <w:t>а)</w:t>
      </w:r>
      <w:r w:rsidRPr="00E91E12">
        <w:tab/>
      </w:r>
      <w:r w:rsidRPr="00E91E12">
        <w:rPr>
          <w:b/>
          <w:bCs/>
        </w:rPr>
        <w:t>продолжать принимать меры по ликвидации дискриминационных гендерных стереотипов и структурных барьеров, которые могут удерживать девочек от прохождения подготовки и освоения профессий в нетрадиционных для них областях на всех уровнях образования;</w:t>
      </w:r>
    </w:p>
    <w:p w14:paraId="21E8BB2A" w14:textId="77777777" w:rsidR="009858FA" w:rsidRPr="00E91E12" w:rsidRDefault="009858FA" w:rsidP="009858FA">
      <w:pPr>
        <w:pStyle w:val="SingleTxt"/>
        <w:rPr>
          <w:b/>
          <w:bCs/>
        </w:rPr>
      </w:pPr>
      <w:r w:rsidRPr="00E91E12">
        <w:tab/>
        <w:t>b)</w:t>
      </w:r>
      <w:r w:rsidRPr="00E91E12">
        <w:tab/>
      </w:r>
      <w:r w:rsidRPr="00E91E12">
        <w:rPr>
          <w:b/>
          <w:bCs/>
        </w:rPr>
        <w:t>рассмотреть возможность принятия временных специальных мер, таких как преференциальный набор и продвижение по службе женщин, для ускорения их назначения на высокие руководящие должности научно-преподавательского состава;</w:t>
      </w:r>
    </w:p>
    <w:p w14:paraId="78610B67" w14:textId="77777777" w:rsidR="009858FA" w:rsidRPr="00E91E12" w:rsidRDefault="009858FA" w:rsidP="009858FA">
      <w:pPr>
        <w:pStyle w:val="SingleTxt"/>
        <w:rPr>
          <w:b/>
          <w:bCs/>
        </w:rPr>
      </w:pPr>
      <w:r>
        <w:tab/>
      </w:r>
      <w:r w:rsidRPr="00E91E12">
        <w:t>c)</w:t>
      </w:r>
      <w:r w:rsidRPr="00E91E12">
        <w:tab/>
      </w:r>
      <w:r w:rsidRPr="00E91E12">
        <w:rPr>
          <w:b/>
          <w:bCs/>
        </w:rPr>
        <w:t>усилить меры по улучшению интеграции девочек и мальчиков рома, а также девочек и мальчиков-инвалидов в общей системе образования, вместо их направления в школы с классами для детей с особыми потребностями, и представить в своем следующем периодическом докладе информацию в разбивке по полу о посещаемости школ и показателях отсева среди детей рома и детей-инвалидов;</w:t>
      </w:r>
      <w:bookmarkStart w:id="15" w:name="_Hlk24717524"/>
      <w:bookmarkEnd w:id="15"/>
    </w:p>
    <w:p w14:paraId="3DFF63C2" w14:textId="77777777" w:rsidR="009858FA" w:rsidRPr="00E91E12" w:rsidRDefault="009858FA" w:rsidP="009858FA">
      <w:pPr>
        <w:pStyle w:val="SingleTxt"/>
      </w:pPr>
      <w:r>
        <w:tab/>
      </w:r>
      <w:r w:rsidRPr="00E91E12">
        <w:t>d)</w:t>
      </w:r>
      <w:r w:rsidRPr="00E91E12">
        <w:tab/>
      </w:r>
      <w:r w:rsidRPr="00E91E12">
        <w:rPr>
          <w:b/>
          <w:bCs/>
        </w:rPr>
        <w:t>в своем следующем периодическом докладе представить информацию о воздействии реформы высшего образования, проведенной в 2017</w:t>
      </w:r>
      <w:r>
        <w:rPr>
          <w:b/>
          <w:bCs/>
          <w:lang w:val="en-US"/>
        </w:rPr>
        <w:t> </w:t>
      </w:r>
      <w:r w:rsidRPr="00E91E12">
        <w:rPr>
          <w:b/>
          <w:bCs/>
        </w:rPr>
        <w:t>году, на удовлетворение имеющегося на рынке труда спроса на квалифицированных работниц.</w:t>
      </w:r>
    </w:p>
    <w:p w14:paraId="09A2CE30" w14:textId="77777777" w:rsidR="009858FA" w:rsidRPr="00E91E12" w:rsidRDefault="009858FA" w:rsidP="009858FA">
      <w:pPr>
        <w:pStyle w:val="SingleTxt"/>
        <w:spacing w:after="0" w:line="120" w:lineRule="exact"/>
        <w:rPr>
          <w:b/>
          <w:sz w:val="10"/>
        </w:rPr>
      </w:pPr>
    </w:p>
    <w:p w14:paraId="45CCD091" w14:textId="77777777" w:rsidR="009858FA" w:rsidRPr="00E91E12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1E12">
        <w:tab/>
      </w:r>
      <w:r w:rsidRPr="00E91E12">
        <w:tab/>
        <w:t>Занятость</w:t>
      </w:r>
    </w:p>
    <w:p w14:paraId="5D6A2F4E" w14:textId="77777777" w:rsidR="009858FA" w:rsidRPr="00E91E12" w:rsidRDefault="009858FA" w:rsidP="009858FA">
      <w:pPr>
        <w:pStyle w:val="SingleTxt"/>
        <w:spacing w:after="0" w:line="120" w:lineRule="exact"/>
        <w:rPr>
          <w:sz w:val="10"/>
        </w:rPr>
      </w:pPr>
    </w:p>
    <w:p w14:paraId="4DA59B00" w14:textId="77777777" w:rsidR="009858FA" w:rsidRPr="00E91E12" w:rsidRDefault="009858FA" w:rsidP="009858FA">
      <w:pPr>
        <w:pStyle w:val="SingleTxt"/>
      </w:pPr>
      <w:r w:rsidRPr="00E91E12">
        <w:t>36.</w:t>
      </w:r>
      <w:r w:rsidRPr="00E91E12">
        <w:tab/>
        <w:t xml:space="preserve">Комитет приветствует тот факт, что уровень занятости среди женщин в </w:t>
      </w:r>
      <w:r>
        <w:br/>
      </w:r>
      <w:r w:rsidRPr="00E91E12">
        <w:t xml:space="preserve">государстве-участнике является самым </w:t>
      </w:r>
      <w:r w:rsidRPr="00E91E12">
        <w:lastRenderedPageBreak/>
        <w:t>высоким в Европейском союзе и почти соответствует уровню занятости среди мужчин, а также введение минимального уровня социального страхования, означающее, в частности, что работающим женщинам, включая занятых неполный рабочий день, должно обеспечиваться социальное страхование на уровне минимальной заработной платы, а также введение изменения, возлагающего бремя доказывания того, что принцип равной оплаты за труд равной ценности соблюдается, на работодателя. Комитет отмечает запланированное повышение к 2026 году пенсионного возраста до 65</w:t>
      </w:r>
      <w:r>
        <w:rPr>
          <w:lang w:val="en-US"/>
        </w:rPr>
        <w:t> </w:t>
      </w:r>
      <w:r w:rsidRPr="00E91E12">
        <w:t>лет как для женщин, так и для мужчин и меры по продвижению женщин на руководящие должности и развитию женского предпринимательства. Вместе с тем у Комитета по-прежнему вызывает обеспокоенность следующее:</w:t>
      </w:r>
    </w:p>
    <w:p w14:paraId="65383CC5" w14:textId="77777777" w:rsidR="009858FA" w:rsidRPr="00E91E12" w:rsidRDefault="009858FA" w:rsidP="009858FA">
      <w:pPr>
        <w:pStyle w:val="SingleTxt"/>
      </w:pPr>
      <w:r>
        <w:tab/>
      </w:r>
      <w:r w:rsidRPr="00E91E12">
        <w:t>а)</w:t>
      </w:r>
      <w:r w:rsidRPr="00E91E12">
        <w:tab/>
        <w:t>сохраняющийся гендерный разрыв в оплате труда и тот факт, что этот разрыв оборачивается снижением уровня пенсионных пособий и окладов на традиционно женских должностях;</w:t>
      </w:r>
    </w:p>
    <w:p w14:paraId="39802F61" w14:textId="77777777" w:rsidR="009858FA" w:rsidRPr="00E91E12" w:rsidRDefault="009858FA" w:rsidP="009858FA">
      <w:pPr>
        <w:pStyle w:val="SingleTxt"/>
      </w:pPr>
      <w:r>
        <w:tab/>
      </w:r>
      <w:r w:rsidRPr="00E91E12">
        <w:t>b)</w:t>
      </w:r>
      <w:r w:rsidRPr="00E91E12">
        <w:tab/>
        <w:t>вертикальная и горизонтальная сегрегация в области занятости и трудности интеграции женщин-мигрантов, женщин рома, сельских женщин, пожилых женщин и женщин-инвалидов в рынок труда;</w:t>
      </w:r>
    </w:p>
    <w:p w14:paraId="05A65F9A" w14:textId="77777777" w:rsidR="009858FA" w:rsidRPr="00E91E12" w:rsidRDefault="009858FA" w:rsidP="009858FA">
      <w:pPr>
        <w:pStyle w:val="SingleTxt"/>
      </w:pPr>
      <w:r>
        <w:tab/>
      </w:r>
      <w:r w:rsidRPr="00E91E12">
        <w:t>c)</w:t>
      </w:r>
      <w:r w:rsidRPr="00E91E12">
        <w:tab/>
        <w:t>отсутствие механизма контроля качества планов по обеспечению равных возможностей со стороны государственных и частных компаний, который согласно измененному Трудовому кодексу является обязательным.</w:t>
      </w:r>
    </w:p>
    <w:p w14:paraId="5AAE55BC" w14:textId="5E7040D8" w:rsidR="009858FA" w:rsidRPr="00E91E12" w:rsidRDefault="009858FA" w:rsidP="009858FA">
      <w:pPr>
        <w:pStyle w:val="SingleTxt"/>
        <w:rPr>
          <w:b/>
          <w:bCs/>
        </w:rPr>
      </w:pPr>
      <w:bookmarkStart w:id="16" w:name="_Ref23706623"/>
      <w:r w:rsidRPr="00E91E12">
        <w:t>37.</w:t>
      </w:r>
      <w:r w:rsidRPr="00E91E12">
        <w:tab/>
      </w:r>
      <w:r w:rsidRPr="00E91E12">
        <w:rPr>
          <w:b/>
          <w:bCs/>
        </w:rPr>
        <w:t>Ссылаясь на свои предыдущие рекомендации (</w:t>
      </w:r>
      <w:hyperlink r:id="rId41" w:history="1">
        <w:r w:rsidRPr="00E91E12">
          <w:rPr>
            <w:rStyle w:val="Hyperlink"/>
            <w:b/>
            <w:bCs/>
          </w:rPr>
          <w:t>CEDAW/C/LTU/CO/5</w:t>
        </w:r>
      </w:hyperlink>
      <w:r w:rsidRPr="00E91E12">
        <w:rPr>
          <w:b/>
          <w:bCs/>
        </w:rPr>
        <w:t>, пункт 35), Комитет рекомендует государству-участнику:</w:t>
      </w:r>
      <w:bookmarkEnd w:id="16"/>
    </w:p>
    <w:p w14:paraId="6D1BEF60" w14:textId="77777777" w:rsidR="009858FA" w:rsidRPr="00E91E12" w:rsidRDefault="009858FA" w:rsidP="009858FA">
      <w:pPr>
        <w:pStyle w:val="SingleTxt"/>
        <w:rPr>
          <w:b/>
          <w:bCs/>
        </w:rPr>
      </w:pPr>
      <w:r>
        <w:lastRenderedPageBreak/>
        <w:tab/>
      </w:r>
      <w:r w:rsidRPr="00E91E12">
        <w:t>а)</w:t>
      </w:r>
      <w:r w:rsidRPr="00E91E12">
        <w:tab/>
      </w:r>
      <w:r w:rsidRPr="00E91E12">
        <w:rPr>
          <w:b/>
          <w:bCs/>
        </w:rPr>
        <w:t>обеспечить соблюдение принципа равной оплаты за труд равной ценности в целях сокращения и окончательного устранения гендерного разрыва в оплате труда, в том числе путем постоянного анализа данных о размерах заработной платы во всех секторах занятости, проведения регулярных проверок условий труда, применения гендерно нейтральных аналитических методов классификации и проведения регулярных обследований заработной платы и информационно-просветительских кампаний в сотрудничестве с ассоциациями работодателей и профсоюзами;</w:t>
      </w:r>
    </w:p>
    <w:p w14:paraId="63BB2D29" w14:textId="77777777" w:rsidR="009858FA" w:rsidRPr="00E91E12" w:rsidRDefault="009858FA" w:rsidP="009858FA">
      <w:pPr>
        <w:pStyle w:val="SingleTxt"/>
        <w:rPr>
          <w:b/>
          <w:bCs/>
        </w:rPr>
      </w:pPr>
      <w:r>
        <w:tab/>
      </w:r>
      <w:r w:rsidRPr="00E91E12">
        <w:t>b)</w:t>
      </w:r>
      <w:r w:rsidRPr="00E91E12">
        <w:tab/>
      </w:r>
      <w:r w:rsidRPr="00E91E12">
        <w:rPr>
          <w:b/>
          <w:bCs/>
        </w:rPr>
        <w:t>ужесточить меры борьбы с горизонтальной и вертикальной профессиональной сегрегацией и расширить доступ на рынок труда для женщин, в том числе женщин, достигших пенсионного возраста, и находящихся в неблагоприятном положении групп женщин, таких как женщины-мигранты, женщины рома, сельские женщины, пожилые женщины и женщины-инвалиды, в том числе в рамках плана действий по интеграции рома в литовское общество на 2015</w:t>
      </w:r>
      <w:r w:rsidRPr="005C3775">
        <w:rPr>
          <w:b/>
          <w:bCs/>
        </w:rPr>
        <w:t>–</w:t>
      </w:r>
      <w:r w:rsidRPr="00E91E12">
        <w:rPr>
          <w:b/>
          <w:bCs/>
        </w:rPr>
        <w:t>2020 годы, который также направлен на расширение экономических возможностей женщин рома;</w:t>
      </w:r>
    </w:p>
    <w:p w14:paraId="1EC05E54" w14:textId="77777777" w:rsidR="009858FA" w:rsidRPr="00E91E12" w:rsidRDefault="009858FA" w:rsidP="009858FA">
      <w:pPr>
        <w:pStyle w:val="SingleTxt"/>
        <w:rPr>
          <w:b/>
          <w:bCs/>
        </w:rPr>
      </w:pPr>
      <w:r>
        <w:tab/>
      </w:r>
      <w:r w:rsidRPr="00E91E12">
        <w:t>c)</w:t>
      </w:r>
      <w:r w:rsidRPr="00E91E12">
        <w:tab/>
      </w:r>
      <w:r w:rsidRPr="00E91E12">
        <w:rPr>
          <w:b/>
          <w:bCs/>
        </w:rPr>
        <w:t>создать эффективные механизмы мониторинга и подотчетности для обеспечения того, чтобы государственные и частные компании выполняли свои обязательства по Трудовому кодексу в отношении разработки планов обеспечения равных возможностей;</w:t>
      </w:r>
    </w:p>
    <w:p w14:paraId="54EF8D96" w14:textId="77777777" w:rsidR="009858FA" w:rsidRPr="00E91E12" w:rsidRDefault="009858FA" w:rsidP="009858FA">
      <w:pPr>
        <w:pStyle w:val="SingleTxt"/>
        <w:rPr>
          <w:b/>
          <w:bCs/>
        </w:rPr>
      </w:pPr>
      <w:r>
        <w:tab/>
      </w:r>
      <w:r w:rsidRPr="00E91E12">
        <w:t>d)</w:t>
      </w:r>
      <w:r w:rsidRPr="00E91E12">
        <w:tab/>
      </w:r>
      <w:r w:rsidRPr="00E91E12">
        <w:rPr>
          <w:b/>
          <w:bCs/>
        </w:rPr>
        <w:t xml:space="preserve">ратифицировать Конвенцию Международной организации труда 2011 </w:t>
      </w:r>
      <w:r w:rsidRPr="00E91E12">
        <w:rPr>
          <w:b/>
          <w:bCs/>
        </w:rPr>
        <w:lastRenderedPageBreak/>
        <w:t>года (№ 189) о достойном труде домашних работников.</w:t>
      </w:r>
    </w:p>
    <w:p w14:paraId="0517A1DE" w14:textId="77777777" w:rsidR="009858FA" w:rsidRPr="00E91E12" w:rsidRDefault="009858FA" w:rsidP="009858FA">
      <w:pPr>
        <w:pStyle w:val="SingleTxt"/>
        <w:spacing w:after="0" w:line="120" w:lineRule="exact"/>
        <w:rPr>
          <w:b/>
          <w:sz w:val="10"/>
        </w:rPr>
      </w:pPr>
    </w:p>
    <w:p w14:paraId="76A9641D" w14:textId="77777777" w:rsidR="009858FA" w:rsidRPr="00E91E12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E91E12">
        <w:t>Здоровье</w:t>
      </w:r>
    </w:p>
    <w:p w14:paraId="5B729BA7" w14:textId="77777777" w:rsidR="009858FA" w:rsidRPr="00E91E12" w:rsidRDefault="009858FA" w:rsidP="009858FA">
      <w:pPr>
        <w:pStyle w:val="SingleTxt"/>
        <w:spacing w:after="0" w:line="120" w:lineRule="exact"/>
        <w:rPr>
          <w:sz w:val="10"/>
        </w:rPr>
      </w:pPr>
    </w:p>
    <w:p w14:paraId="56CA3DE4" w14:textId="77777777" w:rsidR="009858FA" w:rsidRPr="00E91E12" w:rsidRDefault="009858FA" w:rsidP="009858FA">
      <w:pPr>
        <w:pStyle w:val="SingleTxt"/>
      </w:pPr>
      <w:r w:rsidRPr="00E91E12">
        <w:t>38.</w:t>
      </w:r>
      <w:r w:rsidRPr="00E91E12">
        <w:tab/>
        <w:t>Комитет приветствует тот факт, что 48 бюро общественного здравоохранения на всей территории государства-участника в сотрудничестве с неправительственными организациями, общинами и семьями пропагандируют здоровый образ жизни для женщин и девочек и занимаются конкретными вопросами здравоохранения в муниципалитетах, включая профилактику самоубийств. Он также приветствует начатую в 2016 году программу вакцинации от вируса папилломы человека, рассчитанную на девочек в возрасте 11 лет, хотя уровень участия в ней остается низким. Комитет отмечает, что в 2020</w:t>
      </w:r>
      <w:r>
        <w:rPr>
          <w:lang w:val="en-US"/>
        </w:rPr>
        <w:t> </w:t>
      </w:r>
      <w:r w:rsidRPr="00E91E12">
        <w:t>году государство-участник планирует обновить министерские постановления, касающиеся прерывания беременности. Он также отмечает осуществление общей программы просвещения по вопросам здоровья и полового и семейного воспитания на период 2017–2019</w:t>
      </w:r>
      <w:r>
        <w:rPr>
          <w:lang w:val="en-US"/>
        </w:rPr>
        <w:t> </w:t>
      </w:r>
      <w:r w:rsidRPr="00E91E12">
        <w:t>годов и тот факт, что вопрос о возмещении расходов на некоторые виды контрацептивов для девочек и женщин в возрасте от 15 до 19</w:t>
      </w:r>
      <w:r>
        <w:rPr>
          <w:lang w:val="en-US"/>
        </w:rPr>
        <w:t> </w:t>
      </w:r>
      <w:r w:rsidRPr="00E91E12">
        <w:t xml:space="preserve">лет в настоящее время находится на рассмотрении Комитета по возмещению расходов Министерства здравоохранения. Вместе с тем Комитет обеспокоен по поводу все еще ограниченного уровня эффективного доступа, несмотря на существующие системы обязательного медицинского страхования, к основным услугам здравоохранения, включая доступ к услугам в области сексуального и репродуктивного здоровья и к современным средствам контрацепции для девушек и молодых женщин, в том числе для девочек и женщин в сельских районах и женщин и девочек из числа рома, а также доступа к </w:t>
      </w:r>
      <w:r w:rsidRPr="00E91E12">
        <w:lastRenderedPageBreak/>
        <w:t>высококачественным услугам по охране материнского здоровья в период беременности и родов для не имеющих документов женщин-мигрантов, которые не имеют права на участие в действующей в государстве -участнике программе обязательного медицинского страхования.</w:t>
      </w:r>
    </w:p>
    <w:p w14:paraId="27B54712" w14:textId="77777777" w:rsidR="009858FA" w:rsidRPr="00E91E12" w:rsidRDefault="009858FA" w:rsidP="009858FA">
      <w:pPr>
        <w:pStyle w:val="SingleTxt"/>
      </w:pPr>
      <w:r w:rsidRPr="00E91E12">
        <w:t>39.</w:t>
      </w:r>
      <w:r w:rsidRPr="00E91E12">
        <w:tab/>
      </w:r>
      <w:r w:rsidRPr="00E91E12">
        <w:rPr>
          <w:b/>
          <w:bCs/>
        </w:rPr>
        <w:t>Комитет рекомендует государству-участнику:</w:t>
      </w:r>
    </w:p>
    <w:p w14:paraId="70743EF3" w14:textId="77777777" w:rsidR="009858FA" w:rsidRPr="00E91E12" w:rsidRDefault="009858FA" w:rsidP="009858FA">
      <w:pPr>
        <w:pStyle w:val="SingleTxt"/>
        <w:rPr>
          <w:b/>
          <w:bCs/>
        </w:rPr>
      </w:pPr>
      <w:r>
        <w:tab/>
      </w:r>
      <w:r w:rsidRPr="00E91E12">
        <w:t>а)</w:t>
      </w:r>
      <w:r w:rsidRPr="00E91E12">
        <w:tab/>
      </w:r>
      <w:r w:rsidRPr="00E91E12">
        <w:rPr>
          <w:b/>
          <w:bCs/>
        </w:rPr>
        <w:t>обеспечить, чтобы просвещение по вопросам сексуального и репродуктивного здоровья и прав на всех уровнях образования учитывало гендерные аспекты, возрастные особенности и поощряло ответственное сексуальное поведение в целях предупреждения ранней беременности и заболеваний, передаваемых половым путем;</w:t>
      </w:r>
    </w:p>
    <w:p w14:paraId="369FE012" w14:textId="77777777" w:rsidR="009858FA" w:rsidRPr="00E91E12" w:rsidRDefault="009858FA" w:rsidP="009858FA">
      <w:pPr>
        <w:pStyle w:val="SingleTxt"/>
        <w:rPr>
          <w:b/>
          <w:bCs/>
        </w:rPr>
      </w:pPr>
      <w:r>
        <w:tab/>
      </w:r>
      <w:r w:rsidRPr="00E91E12">
        <w:t>b)</w:t>
      </w:r>
      <w:r w:rsidRPr="00E91E12">
        <w:tab/>
      </w:r>
      <w:r w:rsidRPr="00E91E12">
        <w:rPr>
          <w:b/>
          <w:bCs/>
        </w:rPr>
        <w:t>обеспечить доступ всех девочек и молодых женщин к услугам в области сексуального и репродуктивного здоровья и недорогим современным противозачаточным средствам, в частности в сельских районах;</w:t>
      </w:r>
      <w:r w:rsidRPr="00E91E12">
        <w:t xml:space="preserve"> </w:t>
      </w:r>
    </w:p>
    <w:p w14:paraId="2E63ECAE" w14:textId="77777777" w:rsidR="009858FA" w:rsidRPr="00E91E12" w:rsidRDefault="009858FA" w:rsidP="009858FA">
      <w:pPr>
        <w:pStyle w:val="SingleTxt"/>
        <w:rPr>
          <w:b/>
          <w:bCs/>
        </w:rPr>
      </w:pPr>
      <w:r>
        <w:tab/>
      </w:r>
      <w:r w:rsidRPr="00E91E12">
        <w:t>c)</w:t>
      </w:r>
      <w:r w:rsidRPr="00E91E12">
        <w:tab/>
      </w:r>
      <w:r w:rsidRPr="00E91E12">
        <w:rPr>
          <w:b/>
          <w:bCs/>
        </w:rPr>
        <w:t>обеспечить недорогой и, при необходимости, бесплатный доступ женщин-мигрантов, не имеющих документов, к услугам по охране материнского здоровья в период беременности и родов, включая дородовую медицинскую помощь;</w:t>
      </w:r>
    </w:p>
    <w:p w14:paraId="4A7B9664" w14:textId="77777777" w:rsidR="009858FA" w:rsidRPr="00E91E12" w:rsidRDefault="009858FA" w:rsidP="009858FA">
      <w:pPr>
        <w:pStyle w:val="SingleTxt"/>
      </w:pPr>
      <w:r>
        <w:tab/>
      </w:r>
      <w:r w:rsidRPr="00E91E12">
        <w:t>d)</w:t>
      </w:r>
      <w:r w:rsidRPr="00E91E12">
        <w:tab/>
      </w:r>
      <w:r w:rsidRPr="00E91E12">
        <w:rPr>
          <w:b/>
          <w:bCs/>
        </w:rPr>
        <w:t xml:space="preserve">регламентировать прерывание беременности законодательными актами, а не министерскими постановлениями, легализовать аборты в случаях изнасилования, кровосмешения, угрозы жизни и/или здоровью беременной женщины или тяжелых аномалий развития плода и декриминализовать ее во всех других случаях, а также </w:t>
      </w:r>
      <w:r w:rsidRPr="00E91E12">
        <w:rPr>
          <w:b/>
          <w:bCs/>
        </w:rPr>
        <w:lastRenderedPageBreak/>
        <w:t>предоставить женщинам доступ к безопасным абортам и услугам в период после аборта, особенно при возникновении осложнений в результате небезопасных абортов.</w:t>
      </w:r>
    </w:p>
    <w:p w14:paraId="0245699A" w14:textId="77777777" w:rsidR="009858FA" w:rsidRPr="00E91E12" w:rsidRDefault="009858FA" w:rsidP="009858FA">
      <w:pPr>
        <w:pStyle w:val="SingleTxt"/>
        <w:spacing w:after="0" w:line="120" w:lineRule="exact"/>
        <w:rPr>
          <w:b/>
          <w:sz w:val="10"/>
        </w:rPr>
      </w:pPr>
    </w:p>
    <w:p w14:paraId="3BF0E24E" w14:textId="77777777" w:rsidR="009858FA" w:rsidRPr="00E91E12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1E12">
        <w:tab/>
      </w:r>
      <w:r w:rsidRPr="00E91E12">
        <w:tab/>
        <w:t>Экономические и социальные льготы и расширение экономических прав</w:t>
      </w:r>
      <w:r>
        <w:br/>
      </w:r>
      <w:r w:rsidRPr="00E91E12">
        <w:t>и возможностей женщин</w:t>
      </w:r>
    </w:p>
    <w:p w14:paraId="2326AE5F" w14:textId="77777777" w:rsidR="009858FA" w:rsidRPr="00E91E12" w:rsidRDefault="009858FA" w:rsidP="009858FA">
      <w:pPr>
        <w:pStyle w:val="SingleTxt"/>
        <w:spacing w:after="0" w:line="120" w:lineRule="exact"/>
        <w:rPr>
          <w:sz w:val="10"/>
        </w:rPr>
      </w:pPr>
    </w:p>
    <w:p w14:paraId="1DFC2970" w14:textId="77777777" w:rsidR="009858FA" w:rsidRPr="00E91E12" w:rsidRDefault="009858FA" w:rsidP="009858FA">
      <w:pPr>
        <w:pStyle w:val="SingleTxt"/>
      </w:pPr>
      <w:r w:rsidRPr="00E91E12">
        <w:t>40.</w:t>
      </w:r>
      <w:r w:rsidRPr="00E91E12">
        <w:tab/>
        <w:t xml:space="preserve">Комитет приветствует принятие в июне 2019 года пакета базовых услуг для семей, направленного на укрепление социально-экономического положения женщин и предоставление дополнительных социальных льгот матерям с пятью или более детьми. Он также приветствует планы сделать первые два месяца отпуска по уходу за ребенком, включая отпуск для матерей и отцов, не подлежащими передаче для обоих родителей, предоставление бабушкам и дедушкам возможности брать аналогичный отпуск и то, что число отцов, пользующихся отцовским и/или родительским отпуском, быстро растет. Вместе с тем он обеспокоен тем, что выгоды от быстрого экономического развития в государстве-участнике распределяются неравномерно, особенно среди женщин и девочек, принадлежащих к группам меньшинств, женщин в сельских районах, престарелых женщин и женщин-инвалидов, и обеспокоен негативными последствиями сокращения численности и старения населения, в частности в сельских районах, для социальной защиты женщин. </w:t>
      </w:r>
    </w:p>
    <w:p w14:paraId="6DCE66A1" w14:textId="77777777" w:rsidR="009858FA" w:rsidRPr="00E91E12" w:rsidRDefault="009858FA" w:rsidP="009858FA">
      <w:pPr>
        <w:pStyle w:val="SingleTxt"/>
      </w:pPr>
      <w:r w:rsidRPr="00E91E12">
        <w:t>41.</w:t>
      </w:r>
      <w:r w:rsidRPr="00E91E12">
        <w:tab/>
      </w:r>
      <w:r w:rsidRPr="00E91E12">
        <w:rPr>
          <w:b/>
          <w:bCs/>
        </w:rPr>
        <w:t>Комитет рекомендует государству-участнику:</w:t>
      </w:r>
    </w:p>
    <w:p w14:paraId="2244307E" w14:textId="77777777" w:rsidR="009858FA" w:rsidRPr="00E91E12" w:rsidRDefault="009858FA" w:rsidP="009858FA">
      <w:pPr>
        <w:pStyle w:val="SingleTxt"/>
        <w:rPr>
          <w:b/>
          <w:bCs/>
        </w:rPr>
      </w:pPr>
      <w:r>
        <w:tab/>
      </w:r>
      <w:r w:rsidRPr="00E91E12">
        <w:t>а)</w:t>
      </w:r>
      <w:r w:rsidRPr="00E91E12">
        <w:tab/>
      </w:r>
      <w:r w:rsidRPr="00E91E12">
        <w:rPr>
          <w:b/>
          <w:bCs/>
        </w:rPr>
        <w:t xml:space="preserve">обеспечить признание неоплачиваемой работы по уходу, включая уход за детьми и другими иждивенцами, выполняемой женщинами, в частности </w:t>
      </w:r>
      <w:r w:rsidRPr="00E91E12">
        <w:rPr>
          <w:b/>
          <w:bCs/>
        </w:rPr>
        <w:lastRenderedPageBreak/>
        <w:t>сельскими женщинами, и ее учет при расчете их пенсионных прав и социальных пособий, и продолжать усилия по обеспечению женщинам возможности для сочетания семейных и профессиональных обязанностей, в частности путем создания достаточного числа доступных и недорогих детских учреждений, в том числе в сельских районах;</w:t>
      </w:r>
      <w:bookmarkStart w:id="17" w:name="_Hlk24719528"/>
      <w:bookmarkEnd w:id="17"/>
    </w:p>
    <w:p w14:paraId="2D050AF2" w14:textId="77777777" w:rsidR="009858FA" w:rsidRPr="00E91E12" w:rsidRDefault="009858FA" w:rsidP="009858FA">
      <w:pPr>
        <w:pStyle w:val="SingleTxt"/>
        <w:rPr>
          <w:b/>
          <w:bCs/>
        </w:rPr>
      </w:pPr>
      <w:r>
        <w:tab/>
      </w:r>
      <w:r w:rsidRPr="00E91E12">
        <w:t>b)</w:t>
      </w:r>
      <w:r w:rsidRPr="00E91E12">
        <w:tab/>
      </w:r>
      <w:r w:rsidRPr="00E91E12">
        <w:rPr>
          <w:b/>
          <w:bCs/>
        </w:rPr>
        <w:t>разработать политику и программы, направленные на обеспечение того, чтобы женщины пользовались благами экономического развития государства-участника, и на смягчение последствий сокращения численности и старения населения для пенсионного обеспечения и социальных пособий для женщин, в частности престарелых женщин;</w:t>
      </w:r>
    </w:p>
    <w:p w14:paraId="3581B018" w14:textId="77777777" w:rsidR="009858FA" w:rsidRPr="00E91E12" w:rsidRDefault="009858FA" w:rsidP="009858FA">
      <w:pPr>
        <w:pStyle w:val="SingleTxt"/>
        <w:rPr>
          <w:b/>
          <w:bCs/>
        </w:rPr>
      </w:pPr>
      <w:r>
        <w:tab/>
      </w:r>
      <w:r w:rsidRPr="00E91E12">
        <w:t>c)</w:t>
      </w:r>
      <w:r w:rsidRPr="00E91E12">
        <w:tab/>
      </w:r>
      <w:r w:rsidRPr="00E91E12">
        <w:rPr>
          <w:b/>
          <w:bCs/>
        </w:rPr>
        <w:t>разработать конкретные меры для расширения экономических прав и возможностей сельских женщин, в том числе путем создания новых рабочих мест за пределами доминирующего сельскохозяйственного сектора и расширения доступа к высшему образованию, информационно-коммуникационным технологиям и субсидируемому транспорту, и обеспечить их участие в разработке этих стратегий и программ, уделяя внимание женщинам не только как  жертвам или бенефициарам, но и как активным участницам процесса выработки и проведения в жизнь такой политики в соответствии с общей рекомендацией № 34 (2016) Комитета, касающейся прав сельских женщин;</w:t>
      </w:r>
    </w:p>
    <w:p w14:paraId="4B4D5BD0" w14:textId="77777777" w:rsidR="009858FA" w:rsidRPr="00E91E12" w:rsidRDefault="009858FA" w:rsidP="009858FA">
      <w:pPr>
        <w:pStyle w:val="SingleTxt"/>
        <w:rPr>
          <w:b/>
          <w:bCs/>
        </w:rPr>
      </w:pPr>
      <w:r>
        <w:tab/>
      </w:r>
      <w:r w:rsidRPr="00E91E12">
        <w:t>d)</w:t>
      </w:r>
      <w:r w:rsidRPr="00E91E12">
        <w:tab/>
      </w:r>
      <w:r w:rsidRPr="00E91E12">
        <w:rPr>
          <w:b/>
          <w:bCs/>
        </w:rPr>
        <w:t>ускорить процесс ратификации Конвенции 1952 года о минимальных нормах социального обеспечения (№ 102) МОТ.</w:t>
      </w:r>
    </w:p>
    <w:p w14:paraId="71C82542" w14:textId="77777777" w:rsidR="009858FA" w:rsidRPr="00E91E12" w:rsidRDefault="009858FA" w:rsidP="009858FA">
      <w:pPr>
        <w:pStyle w:val="SingleTxt"/>
        <w:spacing w:after="0" w:line="120" w:lineRule="exact"/>
        <w:rPr>
          <w:b/>
          <w:sz w:val="10"/>
        </w:rPr>
      </w:pPr>
    </w:p>
    <w:p w14:paraId="264A47FE" w14:textId="77777777" w:rsidR="009858FA" w:rsidRPr="00E91E12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1E12">
        <w:tab/>
      </w:r>
      <w:r w:rsidRPr="00E91E12">
        <w:tab/>
        <w:t>Женщины-инвалиды</w:t>
      </w:r>
    </w:p>
    <w:p w14:paraId="0AB8AE39" w14:textId="77777777" w:rsidR="009858FA" w:rsidRPr="00E91E12" w:rsidRDefault="009858FA" w:rsidP="009858FA">
      <w:pPr>
        <w:pStyle w:val="SingleTxt"/>
        <w:spacing w:after="0" w:line="120" w:lineRule="exact"/>
        <w:rPr>
          <w:sz w:val="10"/>
        </w:rPr>
      </w:pPr>
    </w:p>
    <w:p w14:paraId="6A00771A" w14:textId="77777777" w:rsidR="009858FA" w:rsidRPr="00E91E12" w:rsidRDefault="009858FA" w:rsidP="009858FA">
      <w:pPr>
        <w:pStyle w:val="SingleTxt"/>
      </w:pPr>
      <w:r w:rsidRPr="00E91E12">
        <w:t>42.</w:t>
      </w:r>
      <w:r w:rsidRPr="00E91E12">
        <w:tab/>
        <w:t>Комитет с удовлетворением отмечает наличие обязательной квоты для трудоустройства инвалидов, включая женщин, на социальных предприятиях и проведение с ними консультаций в рамках законодательных процессов. Вместе с тем у Комитета по-прежнему вызывают обеспокоенность:</w:t>
      </w:r>
    </w:p>
    <w:p w14:paraId="2EE61BB4" w14:textId="77777777" w:rsidR="009858FA" w:rsidRPr="00E91E12" w:rsidRDefault="009858FA" w:rsidP="009858FA">
      <w:pPr>
        <w:pStyle w:val="SingleTxt"/>
      </w:pPr>
      <w:r>
        <w:tab/>
      </w:r>
      <w:r w:rsidRPr="00E91E12">
        <w:t>а)</w:t>
      </w:r>
      <w:r w:rsidRPr="00E91E12">
        <w:tab/>
        <w:t xml:space="preserve">сообщения о женщинах-инвалидах, ставших жертвами принудительных абортов, принудительной стерилизации, изъятия у них детей, сексуальных надругательств со стороны лиц, осуществляющих уход за ними или других лиц, содержащихся в учреждениях по уходу, игнорирования их медицинских и психологических потребностей и принудительного помещения в психиатрические или социальные учреждения; </w:t>
      </w:r>
    </w:p>
    <w:p w14:paraId="4CC19A83" w14:textId="77777777" w:rsidR="009858FA" w:rsidRPr="00E91E12" w:rsidRDefault="009858FA" w:rsidP="009858FA">
      <w:pPr>
        <w:pStyle w:val="SingleTxt"/>
      </w:pPr>
      <w:r>
        <w:tab/>
      </w:r>
      <w:r w:rsidRPr="00E91E12">
        <w:t>b)</w:t>
      </w:r>
      <w:r w:rsidRPr="00E91E12">
        <w:tab/>
        <w:t>отсутствие специальной защиты женщин-инвалидов, в том числе женщин с интеллектуальными или психосоциальными нарушениями, которые являются жертвами гендерного насилия в отношении женщин, в частности сексуального насилия, а также отсутствие специально ориентированных на них услуг;</w:t>
      </w:r>
    </w:p>
    <w:p w14:paraId="3A51706D" w14:textId="77777777" w:rsidR="009858FA" w:rsidRPr="00E91E12" w:rsidRDefault="009858FA" w:rsidP="009858FA">
      <w:pPr>
        <w:pStyle w:val="SingleTxt"/>
      </w:pPr>
      <w:r>
        <w:tab/>
      </w:r>
      <w:r w:rsidRPr="00E91E12">
        <w:t>c)</w:t>
      </w:r>
      <w:r w:rsidRPr="00E91E12">
        <w:tab/>
        <w:t>наличие множественных препятствий для трудоустройства женщин-инвалидов;</w:t>
      </w:r>
    </w:p>
    <w:p w14:paraId="6152E175" w14:textId="77777777" w:rsidR="009858FA" w:rsidRPr="00E91E12" w:rsidRDefault="009858FA" w:rsidP="009858FA">
      <w:pPr>
        <w:pStyle w:val="SingleTxt"/>
      </w:pPr>
      <w:r>
        <w:tab/>
      </w:r>
      <w:r w:rsidRPr="00E91E12">
        <w:t>d)</w:t>
      </w:r>
      <w:r w:rsidRPr="00E91E12">
        <w:tab/>
        <w:t>признание в государстве-участнике недееспособности или ограниченной правоспособности более 4500</w:t>
      </w:r>
      <w:r>
        <w:rPr>
          <w:lang w:val="en-US"/>
        </w:rPr>
        <w:t> </w:t>
      </w:r>
      <w:r w:rsidRPr="00E91E12">
        <w:t>женщин-инвалидов, включая женщин с интеллектуальными и психосоциальными нарушениями, что сказывается на их участии в выборах и лишает их права на вступление в брак и опеку над своими детьми.</w:t>
      </w:r>
    </w:p>
    <w:p w14:paraId="43A039DE" w14:textId="37F9EA7E" w:rsidR="009858FA" w:rsidRPr="00E91E12" w:rsidRDefault="009858FA" w:rsidP="009858FA">
      <w:pPr>
        <w:pStyle w:val="SingleTxt"/>
      </w:pPr>
      <w:bookmarkStart w:id="18" w:name="_Ref23714514"/>
      <w:r w:rsidRPr="00E91E12">
        <w:lastRenderedPageBreak/>
        <w:t>43.</w:t>
      </w:r>
      <w:r w:rsidRPr="00E91E12">
        <w:tab/>
      </w:r>
      <w:r w:rsidRPr="00E91E12">
        <w:rPr>
          <w:b/>
          <w:bCs/>
        </w:rPr>
        <w:t>Ссылаясь на свою предыдущую рекомендацию (</w:t>
      </w:r>
      <w:hyperlink r:id="rId42" w:history="1">
        <w:r w:rsidRPr="00E91E12">
          <w:rPr>
            <w:rStyle w:val="Hyperlink"/>
            <w:b/>
            <w:bCs/>
          </w:rPr>
          <w:t>CEDAW/C/LTU/CO/5</w:t>
        </w:r>
      </w:hyperlink>
      <w:r w:rsidRPr="00E91E12">
        <w:rPr>
          <w:b/>
          <w:bCs/>
        </w:rPr>
        <w:t>, пункт 39 d)), Комитет призывает государство-участник:</w:t>
      </w:r>
      <w:bookmarkEnd w:id="18"/>
    </w:p>
    <w:p w14:paraId="74D8D6DB" w14:textId="77777777" w:rsidR="009858FA" w:rsidRPr="00E91E12" w:rsidRDefault="009858FA" w:rsidP="009858FA">
      <w:pPr>
        <w:pStyle w:val="SingleTxt"/>
        <w:rPr>
          <w:b/>
          <w:bCs/>
        </w:rPr>
      </w:pPr>
      <w:r>
        <w:tab/>
      </w:r>
      <w:r w:rsidRPr="00E91E12">
        <w:t>а)</w:t>
      </w:r>
      <w:r w:rsidRPr="00E91E12">
        <w:tab/>
      </w:r>
      <w:r w:rsidRPr="00E91E12">
        <w:rPr>
          <w:b/>
          <w:bCs/>
        </w:rPr>
        <w:t>усилить меры по обеспечению того, чтобы женщины-инвалиды не подвергались гендерному насилию;</w:t>
      </w:r>
    </w:p>
    <w:p w14:paraId="3DB78E43" w14:textId="77777777" w:rsidR="009858FA" w:rsidRPr="00E91E12" w:rsidRDefault="009858FA" w:rsidP="009858FA">
      <w:pPr>
        <w:pStyle w:val="SingleTxt"/>
        <w:rPr>
          <w:b/>
          <w:bCs/>
        </w:rPr>
      </w:pPr>
      <w:r>
        <w:tab/>
      </w:r>
      <w:r w:rsidRPr="00E91E12">
        <w:t>b)</w:t>
      </w:r>
      <w:r w:rsidRPr="00E91E12">
        <w:tab/>
      </w:r>
      <w:r w:rsidRPr="00E91E12">
        <w:rPr>
          <w:b/>
          <w:bCs/>
        </w:rPr>
        <w:t>обеспечить, чтобы женщины и девочки-инвалиды не подвергались никакому лечению или медицинским процедурам без их свободного, предварительного и осознанного согласия и чтобы те, кто подвергает женщин и девочек-инвалидов принудительным или ненужным процедурам, привлекались к ответственности;</w:t>
      </w:r>
    </w:p>
    <w:p w14:paraId="45D9802C" w14:textId="77777777" w:rsidR="009858FA" w:rsidRPr="00E91E12" w:rsidRDefault="009858FA" w:rsidP="009858FA">
      <w:pPr>
        <w:pStyle w:val="SingleTxt"/>
        <w:rPr>
          <w:b/>
          <w:bCs/>
        </w:rPr>
      </w:pPr>
      <w:r>
        <w:tab/>
      </w:r>
      <w:r w:rsidRPr="00E91E12">
        <w:t>c)</w:t>
      </w:r>
      <w:r w:rsidRPr="00E91E12">
        <w:tab/>
      </w:r>
      <w:r w:rsidRPr="00E91E12">
        <w:rPr>
          <w:b/>
          <w:bCs/>
        </w:rPr>
        <w:t>обеспечить, чтобы женщины-инвалиды имели право свободно и ответственно решать вопрос о числе детей и интервалах между их рождением;</w:t>
      </w:r>
    </w:p>
    <w:p w14:paraId="4416FE09" w14:textId="77777777" w:rsidR="009858FA" w:rsidRPr="00E91E12" w:rsidRDefault="009858FA" w:rsidP="009858FA">
      <w:pPr>
        <w:pStyle w:val="SingleTxt"/>
        <w:rPr>
          <w:b/>
          <w:bCs/>
        </w:rPr>
      </w:pPr>
      <w:r>
        <w:tab/>
      </w:r>
      <w:r w:rsidRPr="00E91E12">
        <w:t>d)</w:t>
      </w:r>
      <w:r w:rsidRPr="00E91E12">
        <w:tab/>
      </w:r>
      <w:r w:rsidRPr="00E91E12">
        <w:rPr>
          <w:b/>
          <w:bCs/>
        </w:rPr>
        <w:t>обеспечить, чтобы женщины и девочки-инвалиды имели право свободно и ответственно решать вопросы, связанные с их сексуальностью, включая сексуальное и репродуктивное здоровье, без принуждения, дискриминации и насилия;</w:t>
      </w:r>
      <w:r w:rsidRPr="00E91E12">
        <w:t xml:space="preserve"> </w:t>
      </w:r>
    </w:p>
    <w:p w14:paraId="411C883F" w14:textId="77777777" w:rsidR="009858FA" w:rsidRPr="00E91E12" w:rsidRDefault="009858FA" w:rsidP="009858FA">
      <w:pPr>
        <w:pStyle w:val="SingleTxt"/>
      </w:pPr>
      <w:r>
        <w:tab/>
      </w:r>
      <w:r w:rsidRPr="00E91E12">
        <w:t>e)</w:t>
      </w:r>
      <w:r w:rsidRPr="00E91E12">
        <w:tab/>
      </w:r>
      <w:r w:rsidRPr="00E91E12">
        <w:rPr>
          <w:b/>
          <w:bCs/>
        </w:rPr>
        <w:t>усилить меры по улучшению доступа женщин и девочек-инвалидов к занятости;</w:t>
      </w:r>
    </w:p>
    <w:p w14:paraId="7EA39EB7" w14:textId="77777777" w:rsidR="009858FA" w:rsidRPr="00E91E12" w:rsidRDefault="009858FA" w:rsidP="009858FA">
      <w:pPr>
        <w:pStyle w:val="SingleTxt"/>
      </w:pPr>
      <w:r>
        <w:tab/>
      </w:r>
      <w:r w:rsidRPr="00E91E12">
        <w:t>f)</w:t>
      </w:r>
      <w:r w:rsidRPr="00E91E12">
        <w:tab/>
      </w:r>
      <w:r w:rsidRPr="00E91E12">
        <w:rPr>
          <w:b/>
          <w:bCs/>
        </w:rPr>
        <w:t>внести в Гражданский кодекс поправки, отменяющие положения о недееспособности инвалидов, в том числе женщин-инвалидов.</w:t>
      </w:r>
    </w:p>
    <w:p w14:paraId="660CDDC5" w14:textId="77777777" w:rsidR="009858FA" w:rsidRPr="00E91E12" w:rsidRDefault="009858FA" w:rsidP="009858FA">
      <w:pPr>
        <w:pStyle w:val="SingleTxt"/>
        <w:spacing w:after="0" w:line="120" w:lineRule="exact"/>
        <w:rPr>
          <w:b/>
          <w:sz w:val="10"/>
        </w:rPr>
      </w:pPr>
    </w:p>
    <w:p w14:paraId="16A4C22F" w14:textId="77777777" w:rsidR="009858FA" w:rsidRPr="00E91E12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1E12">
        <w:tab/>
      </w:r>
      <w:r w:rsidRPr="00E91E12">
        <w:tab/>
        <w:t>Брак и семейные отношения</w:t>
      </w:r>
    </w:p>
    <w:p w14:paraId="49BA42F7" w14:textId="77777777" w:rsidR="009858FA" w:rsidRPr="00E91E12" w:rsidRDefault="009858FA" w:rsidP="009858FA">
      <w:pPr>
        <w:pStyle w:val="SingleTxt"/>
        <w:spacing w:after="0" w:line="120" w:lineRule="exact"/>
        <w:rPr>
          <w:sz w:val="10"/>
        </w:rPr>
      </w:pPr>
    </w:p>
    <w:p w14:paraId="09A7D8EC" w14:textId="77777777" w:rsidR="009858FA" w:rsidRPr="00E91E12" w:rsidRDefault="009858FA" w:rsidP="009858FA">
      <w:pPr>
        <w:pStyle w:val="SingleTxt"/>
      </w:pPr>
      <w:r w:rsidRPr="00E91E12">
        <w:t>44.</w:t>
      </w:r>
      <w:r w:rsidRPr="00E91E12">
        <w:tab/>
        <w:t>Комитет по-прежнему обеспокоен тем, что:</w:t>
      </w:r>
    </w:p>
    <w:p w14:paraId="07398B63" w14:textId="77777777" w:rsidR="009858FA" w:rsidRPr="00E91E12" w:rsidRDefault="009858FA" w:rsidP="009858FA">
      <w:pPr>
        <w:pStyle w:val="SingleTxt"/>
      </w:pPr>
      <w:r>
        <w:lastRenderedPageBreak/>
        <w:tab/>
      </w:r>
      <w:r w:rsidRPr="00E91E12">
        <w:t>а)</w:t>
      </w:r>
      <w:r w:rsidRPr="00E91E12">
        <w:tab/>
        <w:t>в государстве-участнике не признаются нетрадиционные формы семейных отношений;</w:t>
      </w:r>
    </w:p>
    <w:p w14:paraId="45A50A8A" w14:textId="77777777" w:rsidR="009858FA" w:rsidRPr="00E91E12" w:rsidRDefault="009858FA" w:rsidP="009858FA">
      <w:pPr>
        <w:pStyle w:val="SingleTxt"/>
      </w:pPr>
      <w:r>
        <w:tab/>
      </w:r>
      <w:r w:rsidRPr="00E91E12">
        <w:t>b)</w:t>
      </w:r>
      <w:r w:rsidRPr="00E91E12">
        <w:tab/>
        <w:t>по результатам оценки, проведенной Государственной службой по защите прав ребенка и усыновлению, суды могут снизить минимальный возраст согласия на вступление в брак с 18 до 16 лет или, в исключительных случаях, еще ниже, если того требуют существенные обстоятельства, включая беременность девочки, и что на практике девочки, в частности девочки рома, несоразмерно страдают от детских браков. Комитет принимает к сведению разъяснение государства-участника о том, что оно не намерено повышать минимальный возраст вступления в брак до 18 лет без каких-либо исключений.</w:t>
      </w:r>
    </w:p>
    <w:p w14:paraId="67922519" w14:textId="432AD177" w:rsidR="009858FA" w:rsidRPr="00E91E12" w:rsidRDefault="009858FA" w:rsidP="009858FA">
      <w:pPr>
        <w:pStyle w:val="SingleTxt"/>
        <w:rPr>
          <w:b/>
          <w:bCs/>
        </w:rPr>
      </w:pPr>
      <w:r w:rsidRPr="00E91E12">
        <w:t>45.</w:t>
      </w:r>
      <w:r w:rsidRPr="00E91E12">
        <w:tab/>
      </w:r>
      <w:r w:rsidRPr="00E91E12">
        <w:rPr>
          <w:b/>
          <w:bCs/>
        </w:rPr>
        <w:t>Подтверждая свои предыдущие рекомендации (</w:t>
      </w:r>
      <w:hyperlink r:id="rId43" w:history="1">
        <w:r w:rsidRPr="00E91E12">
          <w:rPr>
            <w:rStyle w:val="Hyperlink"/>
            <w:b/>
            <w:bCs/>
          </w:rPr>
          <w:t>CEDAW/C/LTU/CO/5</w:t>
        </w:r>
      </w:hyperlink>
      <w:r w:rsidRPr="00E91E12">
        <w:rPr>
          <w:b/>
          <w:bCs/>
        </w:rPr>
        <w:t>, п</w:t>
      </w:r>
      <w:r>
        <w:rPr>
          <w:b/>
          <w:bCs/>
        </w:rPr>
        <w:t>ункт </w:t>
      </w:r>
      <w:r w:rsidRPr="00E91E12">
        <w:rPr>
          <w:b/>
          <w:bCs/>
        </w:rPr>
        <w:t>41), Комитет призывает государство-участник:</w:t>
      </w:r>
    </w:p>
    <w:p w14:paraId="6CA62F88" w14:textId="77777777" w:rsidR="009858FA" w:rsidRPr="00E91E12" w:rsidRDefault="009858FA" w:rsidP="009858FA">
      <w:pPr>
        <w:pStyle w:val="SingleTxt"/>
        <w:rPr>
          <w:b/>
          <w:bCs/>
        </w:rPr>
      </w:pPr>
      <w:r>
        <w:tab/>
      </w:r>
      <w:r w:rsidRPr="00E91E12">
        <w:t>а)</w:t>
      </w:r>
      <w:r w:rsidRPr="00E91E12">
        <w:tab/>
      </w:r>
      <w:r w:rsidRPr="00E91E12">
        <w:rPr>
          <w:b/>
          <w:bCs/>
        </w:rPr>
        <w:t>признать нетрадиционные формы семейных отношений, помимо брака, включая однополые и фактические союзы, в соответствии с общей рекомендацией № 21 (1994 год) Комитета о равноправии в браке и семейных отношениях и общей рекомендацией № 29 (2013 год) об экономических последствиях вступления в брак, семейных отношений и их расторжения;</w:t>
      </w:r>
    </w:p>
    <w:p w14:paraId="3E7A737C" w14:textId="77777777" w:rsidR="009858FA" w:rsidRPr="00E91E12" w:rsidRDefault="009858FA" w:rsidP="009858FA">
      <w:pPr>
        <w:pStyle w:val="SingleTxt"/>
        <w:rPr>
          <w:b/>
          <w:bCs/>
        </w:rPr>
      </w:pPr>
      <w:r>
        <w:tab/>
      </w:r>
      <w:r w:rsidRPr="00E91E12">
        <w:t>b)</w:t>
      </w:r>
      <w:r w:rsidRPr="00E91E12">
        <w:tab/>
      </w:r>
      <w:r w:rsidRPr="00E91E12">
        <w:rPr>
          <w:b/>
          <w:bCs/>
        </w:rPr>
        <w:t>внести поправки в Гражданский кодекс и повысить минимальный возраст вступления в брак для женщин и мужчин до 18 лет без каких-либо исключений.</w:t>
      </w:r>
    </w:p>
    <w:p w14:paraId="7AAD3848" w14:textId="77777777" w:rsidR="009858FA" w:rsidRPr="00E91E12" w:rsidRDefault="009858FA" w:rsidP="009858FA">
      <w:pPr>
        <w:pStyle w:val="SingleTxt"/>
        <w:spacing w:after="0" w:line="120" w:lineRule="exact"/>
        <w:rPr>
          <w:b/>
          <w:sz w:val="10"/>
        </w:rPr>
      </w:pPr>
    </w:p>
    <w:p w14:paraId="625512FF" w14:textId="77777777" w:rsidR="009858FA" w:rsidRPr="00E91E12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E91E12">
        <w:t>Сбор и анализ данных</w:t>
      </w:r>
    </w:p>
    <w:p w14:paraId="74C6AF9A" w14:textId="77777777" w:rsidR="009858FA" w:rsidRPr="00E91E12" w:rsidRDefault="009858FA" w:rsidP="009858FA">
      <w:pPr>
        <w:pStyle w:val="SingleTxt"/>
        <w:spacing w:after="0" w:line="120" w:lineRule="exact"/>
        <w:rPr>
          <w:sz w:val="10"/>
        </w:rPr>
      </w:pPr>
    </w:p>
    <w:p w14:paraId="054BA787" w14:textId="77777777" w:rsidR="009858FA" w:rsidRPr="00E91E12" w:rsidRDefault="009858FA" w:rsidP="009858FA">
      <w:pPr>
        <w:pStyle w:val="SingleTxt"/>
      </w:pPr>
      <w:r w:rsidRPr="00E91E12">
        <w:lastRenderedPageBreak/>
        <w:t>46.</w:t>
      </w:r>
      <w:r w:rsidRPr="00E91E12">
        <w:tab/>
        <w:t>Комитет приветствует совместный проект Омбудсмена по вопросам о равных возможностях и Статистического управления Литвы по увеличению объема собираемых данных в разбивке по полу и гендерному признаку и публикации карты статистических данных в отношении гендерного равенства и отмечает намерение Статистического управления Литвы усовершенствовать свой портал официальной статистической информации, включив в него новый раздел, посвященный гендерному равенству. Вместе с тем Комитет обеспокоен тем, что данные в разбивке по полу и возрасту в отношении сельских женщин и девочек по-прежнему остаются скудными.</w:t>
      </w:r>
    </w:p>
    <w:p w14:paraId="42668DD4" w14:textId="77777777" w:rsidR="009858FA" w:rsidRPr="00E91E12" w:rsidRDefault="009858FA" w:rsidP="009858FA">
      <w:pPr>
        <w:pStyle w:val="SingleTxt"/>
      </w:pPr>
      <w:r w:rsidRPr="00E91E12">
        <w:t>47.</w:t>
      </w:r>
      <w:r w:rsidRPr="00E91E12">
        <w:tab/>
      </w:r>
      <w:r w:rsidRPr="00E91E12">
        <w:rPr>
          <w:b/>
          <w:bCs/>
        </w:rPr>
        <w:t>Комитет рекомендует Статистическому управлению Литвы оперативно завершить модернизацию своего портала официальной статистической информации, включив в него новый раздел, посвященный гендерному равенству, и включить в свой следующий периодический доклад всеобъемлющие данные с разбивкой по полу и возрасту, в частности в отношении сельских женщин и девочек.</w:t>
      </w:r>
    </w:p>
    <w:p w14:paraId="735BE929" w14:textId="77777777" w:rsidR="009858FA" w:rsidRPr="00E91E12" w:rsidRDefault="009858FA" w:rsidP="009858FA">
      <w:pPr>
        <w:pStyle w:val="SingleTxt"/>
        <w:spacing w:after="0" w:line="120" w:lineRule="exact"/>
        <w:rPr>
          <w:b/>
          <w:sz w:val="10"/>
        </w:rPr>
      </w:pPr>
    </w:p>
    <w:p w14:paraId="280CC05C" w14:textId="77777777" w:rsidR="009858FA" w:rsidRPr="00E91E12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E91E12">
        <w:tab/>
        <w:t xml:space="preserve">Пекинская декларация и Платформа действий </w:t>
      </w:r>
    </w:p>
    <w:p w14:paraId="0C3C43A5" w14:textId="77777777" w:rsidR="009858FA" w:rsidRPr="00E91E12" w:rsidRDefault="009858FA" w:rsidP="009858FA">
      <w:pPr>
        <w:pStyle w:val="SingleTxt"/>
        <w:spacing w:after="0" w:line="120" w:lineRule="exact"/>
        <w:rPr>
          <w:sz w:val="10"/>
        </w:rPr>
      </w:pPr>
    </w:p>
    <w:p w14:paraId="7EFBC995" w14:textId="77777777" w:rsidR="009858FA" w:rsidRPr="00E91E12" w:rsidRDefault="009858FA" w:rsidP="009858FA">
      <w:pPr>
        <w:pStyle w:val="SingleTxt"/>
      </w:pPr>
      <w:r w:rsidRPr="00E91E12">
        <w:t>48.</w:t>
      </w:r>
      <w:r w:rsidRPr="00E91E12">
        <w:tab/>
      </w:r>
      <w:r w:rsidRPr="00E91E12">
        <w:rPr>
          <w:b/>
          <w:bCs/>
        </w:rPr>
        <w:t>Комитет призывает государство-участник использовать Пекинскую декларацию и Платформу действий и провести дальнейшую оценку осуществления Конвенции в контексте 25-летнего обзора хода осуществления Декларации и Платформы в целях достижения реального равенства между женщинами и мужчинами.</w:t>
      </w:r>
    </w:p>
    <w:p w14:paraId="1C71659F" w14:textId="77777777" w:rsidR="009858FA" w:rsidRPr="00E91E12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1E12">
        <w:tab/>
      </w:r>
      <w:r w:rsidRPr="00E91E12">
        <w:tab/>
        <w:t xml:space="preserve">Распространение </w:t>
      </w:r>
    </w:p>
    <w:p w14:paraId="45544E6B" w14:textId="77777777" w:rsidR="009858FA" w:rsidRPr="003F0EF0" w:rsidRDefault="009858FA" w:rsidP="009858FA">
      <w:pPr>
        <w:pStyle w:val="SingleTxt"/>
        <w:spacing w:after="0" w:line="120" w:lineRule="exact"/>
        <w:rPr>
          <w:sz w:val="10"/>
        </w:rPr>
      </w:pPr>
    </w:p>
    <w:p w14:paraId="4E51278D" w14:textId="77777777" w:rsidR="009858FA" w:rsidRPr="00E91E12" w:rsidRDefault="009858FA" w:rsidP="009858FA">
      <w:pPr>
        <w:pStyle w:val="SingleTxt"/>
        <w:rPr>
          <w:b/>
          <w:bCs/>
        </w:rPr>
      </w:pPr>
      <w:r w:rsidRPr="00E91E12">
        <w:lastRenderedPageBreak/>
        <w:t>49.</w:t>
      </w:r>
      <w:r w:rsidRPr="00E91E12">
        <w:tab/>
      </w:r>
      <w:r w:rsidRPr="00E91E12">
        <w:rPr>
          <w:b/>
          <w:bCs/>
        </w:rPr>
        <w:t>Комитет просит государство-участник обеспечить своевременное распространение настоящих заключительных замечаний на официальном языке государства-участника среди соответствующих государственных учреждений на всех уровнях (национальном, региональном и местном), в частности их направление правительству, в министерства, Сейм и судебные органы, с тем чтобы обеспечить их полное осуществление.</w:t>
      </w:r>
    </w:p>
    <w:p w14:paraId="1A672D68" w14:textId="77777777" w:rsidR="009858FA" w:rsidRPr="003F0EF0" w:rsidRDefault="009858FA" w:rsidP="009858FA">
      <w:pPr>
        <w:pStyle w:val="SingleTxt"/>
        <w:spacing w:after="0" w:line="120" w:lineRule="exact"/>
        <w:rPr>
          <w:b/>
          <w:sz w:val="10"/>
        </w:rPr>
      </w:pPr>
    </w:p>
    <w:p w14:paraId="0345B8D0" w14:textId="77777777" w:rsidR="009858FA" w:rsidRPr="00E91E12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E91E12">
        <w:tab/>
        <w:t>Ратификация других договоров</w:t>
      </w:r>
    </w:p>
    <w:p w14:paraId="24CFC8B9" w14:textId="77777777" w:rsidR="009858FA" w:rsidRPr="003F0EF0" w:rsidRDefault="009858FA" w:rsidP="009858FA">
      <w:pPr>
        <w:pStyle w:val="SingleTxt"/>
        <w:spacing w:after="0" w:line="120" w:lineRule="exact"/>
        <w:rPr>
          <w:sz w:val="10"/>
        </w:rPr>
      </w:pPr>
    </w:p>
    <w:p w14:paraId="52542DC9" w14:textId="77777777" w:rsidR="009858FA" w:rsidRPr="00E91E12" w:rsidRDefault="009858FA" w:rsidP="009858FA">
      <w:pPr>
        <w:pStyle w:val="SingleTxt"/>
        <w:rPr>
          <w:b/>
          <w:bCs/>
        </w:rPr>
      </w:pPr>
      <w:r w:rsidRPr="00E91E12">
        <w:t>50.</w:t>
      </w:r>
      <w:r w:rsidRPr="00E91E12">
        <w:tab/>
      </w:r>
      <w:r w:rsidRPr="00E91E12">
        <w:rPr>
          <w:b/>
          <w:bCs/>
        </w:rPr>
        <w:t>Комитет отмечает, что соблюдение государством-участником девяти основных международных документов по правам человека будет способствовать более полному осуществлению женщинами их прав человека и основных свобод во всех сферах жизни</w:t>
      </w:r>
      <w:r w:rsidRPr="00E91E12">
        <w:rPr>
          <w:bCs/>
          <w:vertAlign w:val="superscript"/>
        </w:rPr>
        <w:footnoteReference w:id="2"/>
      </w:r>
      <w:r w:rsidRPr="003F0EF0">
        <w:rPr>
          <w:b/>
          <w:bCs/>
        </w:rPr>
        <w:t>.</w:t>
      </w:r>
      <w:r w:rsidRPr="00E91E12">
        <w:t xml:space="preserve"> </w:t>
      </w:r>
      <w:r w:rsidRPr="00E91E12">
        <w:rPr>
          <w:b/>
          <w:bCs/>
        </w:rPr>
        <w:t>В этой связи Комитет рекомендует государству-участнику ратифицировать Международную конвенцию о защите прав всех трудящихся-мигрантов и членов их семей, участником которой оно пока не является.</w:t>
      </w:r>
    </w:p>
    <w:p w14:paraId="026D5AEE" w14:textId="77777777" w:rsidR="009858FA" w:rsidRPr="003F0EF0" w:rsidRDefault="009858FA" w:rsidP="009858FA">
      <w:pPr>
        <w:pStyle w:val="SingleTxt"/>
        <w:spacing w:after="0" w:line="120" w:lineRule="exact"/>
        <w:rPr>
          <w:b/>
          <w:sz w:val="10"/>
        </w:rPr>
      </w:pPr>
    </w:p>
    <w:p w14:paraId="384606F2" w14:textId="77777777" w:rsidR="009858FA" w:rsidRPr="00E91E12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1E12">
        <w:lastRenderedPageBreak/>
        <w:tab/>
      </w:r>
      <w:r w:rsidRPr="00E91E12">
        <w:tab/>
        <w:t>Последующая деятельность по выполнению заключительных замечаний</w:t>
      </w:r>
    </w:p>
    <w:p w14:paraId="71854B61" w14:textId="77777777" w:rsidR="009858FA" w:rsidRPr="003F0EF0" w:rsidRDefault="009858FA" w:rsidP="009858FA">
      <w:pPr>
        <w:pStyle w:val="SingleTxt"/>
        <w:spacing w:after="0" w:line="120" w:lineRule="exact"/>
        <w:rPr>
          <w:sz w:val="10"/>
        </w:rPr>
      </w:pPr>
    </w:p>
    <w:p w14:paraId="21A9B470" w14:textId="77777777" w:rsidR="009858FA" w:rsidRPr="00E91E12" w:rsidRDefault="009858FA" w:rsidP="009858FA">
      <w:pPr>
        <w:pStyle w:val="SingleTxt"/>
        <w:rPr>
          <w:b/>
          <w:bCs/>
          <w:i/>
          <w:iCs/>
        </w:rPr>
      </w:pPr>
      <w:r w:rsidRPr="00E91E12">
        <w:t>51.</w:t>
      </w:r>
      <w:r w:rsidRPr="00E91E12">
        <w:tab/>
      </w:r>
      <w:r w:rsidRPr="00E91E12">
        <w:rPr>
          <w:b/>
          <w:bCs/>
        </w:rPr>
        <w:t>Комитет просит государство-участник представить в течение двух лет письменную информацию о шагах, предпринятых для выполнения рекомендаций, которые содержатся в пунктах 23 c) и e), 37 b) и 43 d) выше.</w:t>
      </w:r>
      <w:bookmarkStart w:id="19" w:name="_Hlk24721011"/>
      <w:bookmarkEnd w:id="19"/>
    </w:p>
    <w:p w14:paraId="2997F145" w14:textId="77777777" w:rsidR="00AC7736" w:rsidRDefault="00AC7736">
      <w:pPr>
        <w:spacing w:after="200" w:line="276" w:lineRule="auto"/>
        <w:rPr>
          <w:b/>
          <w:spacing w:val="2"/>
        </w:rPr>
      </w:pPr>
      <w:r>
        <w:br w:type="page"/>
      </w:r>
    </w:p>
    <w:p w14:paraId="5AFCE9CA" w14:textId="379D5378" w:rsidR="009858FA" w:rsidRPr="00E91E12" w:rsidRDefault="009858FA" w:rsidP="009858F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91E12">
        <w:lastRenderedPageBreak/>
        <w:tab/>
      </w:r>
      <w:r w:rsidRPr="00E91E12">
        <w:tab/>
        <w:t xml:space="preserve">Подготовка следующего периодического доклада </w:t>
      </w:r>
    </w:p>
    <w:p w14:paraId="33A1C7AB" w14:textId="77777777" w:rsidR="009858FA" w:rsidRPr="003F0EF0" w:rsidRDefault="009858FA" w:rsidP="009858FA">
      <w:pPr>
        <w:pStyle w:val="SingleTxt"/>
        <w:spacing w:after="0" w:line="120" w:lineRule="exact"/>
        <w:rPr>
          <w:sz w:val="10"/>
        </w:rPr>
      </w:pPr>
    </w:p>
    <w:p w14:paraId="6075CA6E" w14:textId="77777777" w:rsidR="009858FA" w:rsidRPr="00E91E12" w:rsidRDefault="009858FA" w:rsidP="009858FA">
      <w:pPr>
        <w:pStyle w:val="SingleTxt"/>
      </w:pPr>
      <w:r w:rsidRPr="00E91E12">
        <w:t>52.</w:t>
      </w:r>
      <w:r w:rsidRPr="00E91E12">
        <w:tab/>
      </w:r>
      <w:r w:rsidRPr="00E91E12">
        <w:rPr>
          <w:b/>
          <w:bCs/>
        </w:rPr>
        <w:t>Комитет предлагает государству-участнику представить свой седьмой периодический доклад в ноябре 2023 года.</w:t>
      </w:r>
      <w:r w:rsidRPr="00E91E12">
        <w:t xml:space="preserve"> </w:t>
      </w:r>
      <w:r w:rsidRPr="00E91E12">
        <w:rPr>
          <w:b/>
          <w:bCs/>
        </w:rPr>
        <w:t>Доклад должен быть представлен в срок и охватывать весь период до момента его представления.</w:t>
      </w:r>
    </w:p>
    <w:p w14:paraId="511E0DA8" w14:textId="0FE2132E" w:rsidR="009858FA" w:rsidRDefault="009858FA" w:rsidP="009858FA">
      <w:pPr>
        <w:pStyle w:val="SingleTxt"/>
        <w:rPr>
          <w:b/>
          <w:bCs/>
        </w:rPr>
      </w:pPr>
      <w:r w:rsidRPr="00E91E12">
        <w:t>53.</w:t>
      </w:r>
      <w:r w:rsidRPr="00E91E12">
        <w:tab/>
      </w:r>
      <w:r w:rsidRPr="00E91E12">
        <w:rPr>
          <w:b/>
          <w:bCs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по правам человека, включая руководящие принципы подготовки общего базового документа и документов по конкретным договорам (см.</w:t>
      </w:r>
      <w:r>
        <w:rPr>
          <w:b/>
          <w:bCs/>
          <w:lang w:val="en-US"/>
        </w:rPr>
        <w:t> </w:t>
      </w:r>
      <w:hyperlink r:id="rId44" w:history="1">
        <w:r w:rsidRPr="00E91E12">
          <w:rPr>
            <w:rStyle w:val="Hyperlink"/>
            <w:b/>
            <w:bCs/>
          </w:rPr>
          <w:t>HRI/GEN/2/Rev.6</w:t>
        </w:r>
      </w:hyperlink>
      <w:r w:rsidRPr="00E91E12">
        <w:rPr>
          <w:b/>
          <w:bCs/>
        </w:rPr>
        <w:t>, глава I).</w:t>
      </w:r>
    </w:p>
    <w:p w14:paraId="309AF72F" w14:textId="3FDB6A98" w:rsidR="009858FA" w:rsidRPr="009858FA" w:rsidRDefault="009858FA" w:rsidP="009858FA">
      <w:pPr>
        <w:pStyle w:val="SingleTxt"/>
        <w:spacing w:after="0" w:line="240" w:lineRule="auto"/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525C1" wp14:editId="3D9F277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F9F1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  <w:bookmarkStart w:id="20" w:name="_GoBack"/>
      <w:bookmarkEnd w:id="20"/>
    </w:p>
    <w:sectPr w:rsidR="009858FA" w:rsidRPr="009858FA" w:rsidSect="00E70BAA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12-10T14:19:00Z" w:initials="Start">
    <w:p w14:paraId="1E5CFF88" w14:textId="77777777" w:rsidR="00551E84" w:rsidRDefault="000C45F9">
      <w:pPr>
        <w:pStyle w:val="CommentText"/>
        <w:rPr>
          <w:lang w:val="en-US"/>
        </w:rPr>
      </w:pPr>
      <w:r>
        <w:fldChar w:fldCharType="begin"/>
      </w:r>
      <w:r w:rsidRPr="00E70BAA">
        <w:rPr>
          <w:rStyle w:val="CommentReference"/>
          <w:lang w:val="en-US"/>
        </w:rPr>
        <w:instrText xml:space="preserve"> </w:instrText>
      </w:r>
      <w:r w:rsidRPr="00E70BAA">
        <w:rPr>
          <w:lang w:val="en-US"/>
        </w:rPr>
        <w:instrText>PAGE \# "'Page: '#'</w:instrText>
      </w:r>
      <w:r w:rsidRPr="00E70BAA">
        <w:rPr>
          <w:lang w:val="en-US"/>
        </w:rPr>
        <w:br/>
        <w:instrText>'"</w:instrText>
      </w:r>
      <w:r w:rsidRPr="00E70BAA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="00551E84">
        <w:rPr>
          <w:lang w:val="en-US"/>
        </w:rPr>
        <w:t>&lt;&lt;ODS JOB NO&gt;&gt;N1936302R&lt;&lt;ODS JOB NO&gt;&gt;</w:t>
      </w:r>
    </w:p>
    <w:p w14:paraId="1F60EB8D" w14:textId="77777777" w:rsidR="00551E84" w:rsidRDefault="00551E84">
      <w:pPr>
        <w:pStyle w:val="CommentText"/>
        <w:rPr>
          <w:lang w:val="en-US"/>
        </w:rPr>
      </w:pPr>
      <w:r>
        <w:rPr>
          <w:lang w:val="en-US"/>
        </w:rPr>
        <w:t>&lt;&lt;ODS DOC SYMBOL1&gt;&gt;CEDAW/C/LTU/CO/6&lt;&lt;ODS DOC SYMBOL1&gt;&gt;</w:t>
      </w:r>
    </w:p>
    <w:p w14:paraId="7ADD4325" w14:textId="64394BF9" w:rsidR="000C45F9" w:rsidRPr="009858FA" w:rsidRDefault="00551E84">
      <w:pPr>
        <w:pStyle w:val="CommentText"/>
        <w:rPr>
          <w:lang w:val="en-US"/>
        </w:rPr>
      </w:pPr>
      <w:r>
        <w:rPr>
          <w:lang w:val="en-US"/>
        </w:rP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DD432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1B665" w14:textId="77777777" w:rsidR="009524A6" w:rsidRDefault="009524A6" w:rsidP="001824A1">
      <w:pPr>
        <w:spacing w:line="240" w:lineRule="auto"/>
      </w:pPr>
      <w:r>
        <w:separator/>
      </w:r>
    </w:p>
  </w:endnote>
  <w:endnote w:type="continuationSeparator" w:id="0">
    <w:p w14:paraId="322D0154" w14:textId="77777777" w:rsidR="009524A6" w:rsidRDefault="009524A6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C45F9" w14:paraId="79CC38B4" w14:textId="77777777" w:rsidTr="00BD154A">
      <w:tc>
        <w:tcPr>
          <w:tcW w:w="4920" w:type="dxa"/>
          <w:shd w:val="clear" w:color="auto" w:fill="auto"/>
          <w:vAlign w:val="bottom"/>
        </w:tcPr>
        <w:p w14:paraId="6F186D9D" w14:textId="77777777" w:rsidR="000C45F9" w:rsidRPr="00BD154A" w:rsidRDefault="000C45F9" w:rsidP="00BD154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91338">
            <w:rPr>
              <w:noProof/>
            </w:rPr>
            <w:t>12</w:t>
          </w:r>
          <w:r>
            <w:fldChar w:fldCharType="end"/>
          </w:r>
          <w:r>
            <w:t>/</w:t>
          </w:r>
          <w:fldSimple w:instr=" NUMPAGES  \* Arabic  \* MERGEFORMAT ">
            <w:r w:rsidR="00F91338">
              <w:rPr>
                <w:noProof/>
              </w:rPr>
              <w:t>19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17322543" w14:textId="296F9EDD" w:rsidR="000C45F9" w:rsidRPr="00BD154A" w:rsidRDefault="00551E84" w:rsidP="00BD154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57C78">
            <w:rPr>
              <w:b w:val="0"/>
              <w:color w:val="000000"/>
              <w:sz w:val="14"/>
            </w:rPr>
            <w:t>19-19545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2AA84887" w14:textId="77777777" w:rsidR="000C45F9" w:rsidRPr="00BD154A" w:rsidRDefault="000C45F9" w:rsidP="00BD1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C45F9" w14:paraId="5025E88C" w14:textId="77777777" w:rsidTr="00BD154A">
      <w:tc>
        <w:tcPr>
          <w:tcW w:w="4920" w:type="dxa"/>
          <w:shd w:val="clear" w:color="auto" w:fill="auto"/>
          <w:vAlign w:val="bottom"/>
        </w:tcPr>
        <w:p w14:paraId="515F8830" w14:textId="1EB8907E" w:rsidR="000C45F9" w:rsidRPr="00BD154A" w:rsidRDefault="00551E84" w:rsidP="00BD154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57C78">
            <w:rPr>
              <w:b w:val="0"/>
              <w:color w:val="000000"/>
              <w:sz w:val="14"/>
            </w:rPr>
            <w:t>19-19545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58F87ED0" w14:textId="77777777" w:rsidR="000C45F9" w:rsidRPr="00BD154A" w:rsidRDefault="000C45F9" w:rsidP="00BD154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91338">
            <w:rPr>
              <w:noProof/>
            </w:rPr>
            <w:t>13</w:t>
          </w:r>
          <w:r>
            <w:fldChar w:fldCharType="end"/>
          </w:r>
          <w:r>
            <w:t>/</w:t>
          </w:r>
          <w:fldSimple w:instr=" NUMPAGES  \* Arabic  \* MERGEFORMAT ">
            <w:r w:rsidR="00F91338">
              <w:rPr>
                <w:noProof/>
              </w:rPr>
              <w:t>19</w:t>
            </w:r>
          </w:fldSimple>
        </w:p>
      </w:tc>
    </w:tr>
  </w:tbl>
  <w:p w14:paraId="59572DC8" w14:textId="77777777" w:rsidR="000C45F9" w:rsidRPr="00BD154A" w:rsidRDefault="000C45F9" w:rsidP="00BD15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0C45F9" w14:paraId="11311A82" w14:textId="77777777" w:rsidTr="00BD154A">
      <w:tc>
        <w:tcPr>
          <w:tcW w:w="3830" w:type="dxa"/>
        </w:tcPr>
        <w:p w14:paraId="0ECF57FD" w14:textId="76961D8A" w:rsidR="000C45F9" w:rsidRDefault="00551E84" w:rsidP="00BD154A">
          <w:pPr>
            <w:pStyle w:val="ReleaseDate"/>
            <w:rPr>
              <w:color w:val="010000"/>
            </w:rPr>
          </w:pPr>
          <w:r>
            <w:rPr>
              <w:rFonts w:ascii="Barcode 3 of 9 by request" w:hAnsi="Barcode 3 of 9 by request"/>
              <w:noProof/>
              <w:spacing w:val="0"/>
              <w:w w:val="100"/>
              <w:sz w:val="24"/>
              <w:szCs w:val="22"/>
            </w:rPr>
            <w:drawing>
              <wp:anchor distT="0" distB="0" distL="114300" distR="114300" simplePos="0" relativeHeight="251658240" behindDoc="0" locked="0" layoutInCell="1" allowOverlap="1" wp14:anchorId="23B2957F" wp14:editId="576F6775">
                <wp:simplePos x="0" y="0"/>
                <wp:positionH relativeFrom="column">
                  <wp:posOffset>5504180</wp:posOffset>
                </wp:positionH>
                <wp:positionV relativeFrom="paragraph">
                  <wp:posOffset>-337820</wp:posOffset>
                </wp:positionV>
                <wp:extent cx="694690" cy="694690"/>
                <wp:effectExtent l="0" t="0" r="0" b="0"/>
                <wp:wrapNone/>
                <wp:docPr id="5" name="Picture 5" descr="https://undocs.org/m2/QRCode2.ashx?DS=CEDAW/C/LTU/CO/6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LTU/CO/6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olor w:val="010000"/>
            </w:rPr>
            <w:fldChar w:fldCharType="begin"/>
          </w:r>
          <w:r>
            <w:rPr>
              <w:color w:val="010000"/>
            </w:rPr>
            <w:instrText xml:space="preserve"> DOCVARIABLE "jobn" \* MERGEFORMAT </w:instrText>
          </w:r>
          <w:r>
            <w:rPr>
              <w:color w:val="010000"/>
            </w:rPr>
            <w:fldChar w:fldCharType="separate"/>
          </w:r>
          <w:r w:rsidR="00257C78">
            <w:rPr>
              <w:color w:val="010000"/>
            </w:rPr>
            <w:t>19-19545 (R)</w:t>
          </w:r>
          <w:r>
            <w:rPr>
              <w:color w:val="010000"/>
            </w:rPr>
            <w:fldChar w:fldCharType="end"/>
          </w:r>
          <w:r w:rsidR="000C45F9">
            <w:rPr>
              <w:color w:val="010000"/>
            </w:rPr>
            <w:t xml:space="preserve">    101219    1</w:t>
          </w:r>
          <w:r w:rsidR="00AC7736">
            <w:rPr>
              <w:color w:val="010000"/>
              <w:lang w:val="en-US"/>
            </w:rPr>
            <w:t>2</w:t>
          </w:r>
          <w:r w:rsidR="000C45F9">
            <w:rPr>
              <w:color w:val="010000"/>
            </w:rPr>
            <w:t>1219</w:t>
          </w:r>
        </w:p>
        <w:p w14:paraId="436F2F8B" w14:textId="36A0E7F3" w:rsidR="000C45F9" w:rsidRPr="00551E84" w:rsidRDefault="00551E84" w:rsidP="00551E84">
          <w:pPr>
            <w:spacing w:before="120" w:line="200" w:lineRule="exact"/>
            <w:rPr>
              <w:rFonts w:ascii="Barcode 3 of 9 by request" w:hAnsi="Barcode 3 of 9 by request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spacing w:val="0"/>
              <w:w w:val="100"/>
              <w:sz w:val="24"/>
            </w:rPr>
            <w:t>*1919545*</w:t>
          </w:r>
        </w:p>
      </w:tc>
      <w:tc>
        <w:tcPr>
          <w:tcW w:w="4920" w:type="dxa"/>
        </w:tcPr>
        <w:p w14:paraId="1B7FCEE6" w14:textId="77777777" w:rsidR="000C45F9" w:rsidRDefault="000C45F9" w:rsidP="00BD154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ru-RU"/>
            </w:rPr>
            <w:drawing>
              <wp:inline distT="0" distB="0" distL="0" distR="0" wp14:anchorId="724E3D68" wp14:editId="3E96A53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D2B59C" w14:textId="77777777" w:rsidR="000C45F9" w:rsidRPr="00BD154A" w:rsidRDefault="000C45F9" w:rsidP="00BD154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0DFA9" w14:textId="77777777" w:rsidR="009524A6" w:rsidRPr="003E2080" w:rsidRDefault="009524A6" w:rsidP="003E2080">
      <w:pPr>
        <w:pStyle w:val="Footer"/>
        <w:spacing w:after="80"/>
        <w:ind w:left="792"/>
      </w:pPr>
      <w:r w:rsidRPr="003E2080">
        <w:t>__________________</w:t>
      </w:r>
    </w:p>
  </w:footnote>
  <w:footnote w:type="continuationSeparator" w:id="0">
    <w:p w14:paraId="6CF4F7E9" w14:textId="77777777" w:rsidR="009524A6" w:rsidRPr="003E2080" w:rsidRDefault="009524A6" w:rsidP="003E2080">
      <w:pPr>
        <w:pStyle w:val="Footer"/>
        <w:spacing w:after="80"/>
        <w:ind w:left="792"/>
      </w:pPr>
      <w:r w:rsidRPr="003E2080">
        <w:t>__________________</w:t>
      </w:r>
    </w:p>
  </w:footnote>
  <w:footnote w:id="1">
    <w:p w14:paraId="40EEE8CA" w14:textId="63964628" w:rsidR="000C45F9" w:rsidRPr="003E2080" w:rsidRDefault="000C45F9" w:rsidP="003E208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</w:r>
      <w:r w:rsidRPr="003E2080">
        <w:t>Приняты Комитетом на его семьдесят четвертой сессии (21 октября</w:t>
      </w:r>
      <w:r>
        <w:t xml:space="preserve"> — </w:t>
      </w:r>
      <w:r w:rsidRPr="003E2080">
        <w:t>8 ноября 2019</w:t>
      </w:r>
      <w:r>
        <w:rPr>
          <w:lang w:val="en-US"/>
        </w:rPr>
        <w:t> </w:t>
      </w:r>
      <w:r w:rsidRPr="003E2080">
        <w:t>года).</w:t>
      </w:r>
    </w:p>
  </w:footnote>
  <w:footnote w:id="2">
    <w:p w14:paraId="3854020B" w14:textId="77777777" w:rsidR="000C45F9" w:rsidRPr="00BA436B" w:rsidRDefault="000C45F9" w:rsidP="009858F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Конвенции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C45F9" w:rsidRPr="00474C5E" w14:paraId="739A92A9" w14:textId="77777777" w:rsidTr="00BD154A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91D2887" w14:textId="125C1E3E" w:rsidR="000C45F9" w:rsidRPr="00E70BAA" w:rsidRDefault="00551E84" w:rsidP="00BD154A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  <w:lang w:val="en-US"/>
            </w:rPr>
            <w:fldChar w:fldCharType="begin"/>
          </w:r>
          <w:r>
            <w:rPr>
              <w:b/>
              <w:lang w:val="en-US"/>
            </w:rPr>
            <w:instrText xml:space="preserve"> DOCVARIABLE "Symbol1" \* MERGEFORMAT </w:instrText>
          </w:r>
          <w:r>
            <w:rPr>
              <w:b/>
              <w:lang w:val="en-US"/>
            </w:rPr>
            <w:fldChar w:fldCharType="separate"/>
          </w:r>
          <w:r w:rsidR="00257C78">
            <w:rPr>
              <w:b/>
              <w:lang w:val="en-US"/>
            </w:rPr>
            <w:t>CEDAW/C/LTU/CO/6</w:t>
          </w:r>
          <w:r>
            <w:rPr>
              <w:b/>
              <w:lang w:val="en-US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0EA88F9F" w14:textId="77777777" w:rsidR="000C45F9" w:rsidRPr="00E70BAA" w:rsidRDefault="000C45F9" w:rsidP="00BD154A">
          <w:pPr>
            <w:pStyle w:val="Header"/>
            <w:rPr>
              <w:lang w:val="en-US"/>
            </w:rPr>
          </w:pPr>
        </w:p>
      </w:tc>
    </w:tr>
  </w:tbl>
  <w:p w14:paraId="0BF95DAD" w14:textId="77777777" w:rsidR="000C45F9" w:rsidRPr="00E70BAA" w:rsidRDefault="000C45F9" w:rsidP="00BD154A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C45F9" w:rsidRPr="00474C5E" w14:paraId="19D8DEB9" w14:textId="77777777" w:rsidTr="00BD154A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72668E5" w14:textId="77777777" w:rsidR="000C45F9" w:rsidRDefault="000C45F9" w:rsidP="00BD154A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3792E7F1" w14:textId="042F0610" w:rsidR="000C45F9" w:rsidRPr="00E70BAA" w:rsidRDefault="00551E84" w:rsidP="00BD154A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  <w:lang w:val="en-US"/>
            </w:rPr>
            <w:fldChar w:fldCharType="begin"/>
          </w:r>
          <w:r>
            <w:rPr>
              <w:b/>
              <w:lang w:val="en-US"/>
            </w:rPr>
            <w:instrText xml:space="preserve"> DOCVARIABLE "Symbol1" \* MERGEFORMAT </w:instrText>
          </w:r>
          <w:r>
            <w:rPr>
              <w:b/>
              <w:lang w:val="en-US"/>
            </w:rPr>
            <w:fldChar w:fldCharType="separate"/>
          </w:r>
          <w:r w:rsidR="00257C78">
            <w:rPr>
              <w:b/>
              <w:lang w:val="en-US"/>
            </w:rPr>
            <w:t>CEDAW/C/LTU/CO/6</w:t>
          </w:r>
          <w:r>
            <w:rPr>
              <w:b/>
              <w:lang w:val="en-US"/>
            </w:rPr>
            <w:fldChar w:fldCharType="end"/>
          </w:r>
        </w:p>
      </w:tc>
    </w:tr>
  </w:tbl>
  <w:p w14:paraId="2FE50E57" w14:textId="77777777" w:rsidR="000C45F9" w:rsidRPr="00E70BAA" w:rsidRDefault="000C45F9" w:rsidP="00BD154A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0C45F9" w:rsidRPr="00474C5E" w14:paraId="7D8A5D99" w14:textId="77777777" w:rsidTr="00BD154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6AAD8B7C" w14:textId="77777777" w:rsidR="000C45F9" w:rsidRPr="00BD154A" w:rsidRDefault="000C45F9" w:rsidP="00BD154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ECD1155" w14:textId="77777777" w:rsidR="000C45F9" w:rsidRDefault="000C45F9" w:rsidP="00BD154A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3C1E9D6E" w14:textId="13CF6B1C" w:rsidR="000C45F9" w:rsidRPr="00551E84" w:rsidRDefault="00551E84" w:rsidP="00551E84">
          <w:pPr>
            <w:pStyle w:val="Header"/>
            <w:spacing w:after="80"/>
            <w:jc w:val="right"/>
            <w:rPr>
              <w:position w:val="-4"/>
              <w:sz w:val="20"/>
              <w:lang w:val="en-US"/>
            </w:rPr>
          </w:pPr>
          <w:r>
            <w:rPr>
              <w:position w:val="-4"/>
              <w:sz w:val="40"/>
              <w:lang w:val="en-US"/>
            </w:rPr>
            <w:t>CEDAW</w:t>
          </w:r>
          <w:r>
            <w:rPr>
              <w:position w:val="-4"/>
              <w:sz w:val="20"/>
              <w:lang w:val="en-US"/>
            </w:rPr>
            <w:t>/C/LTU/CO/6</w:t>
          </w:r>
        </w:p>
      </w:tc>
    </w:tr>
    <w:tr w:rsidR="000C45F9" w:rsidRPr="00257C78" w14:paraId="538AC062" w14:textId="77777777" w:rsidTr="00BD154A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035B237" w14:textId="77777777" w:rsidR="000C45F9" w:rsidRPr="00BD154A" w:rsidRDefault="000C45F9" w:rsidP="00BD154A">
          <w:pPr>
            <w:pStyle w:val="Header"/>
            <w:spacing w:before="120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63AFBF1F" wp14:editId="6843E4C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702B6BA" w14:textId="77777777" w:rsidR="000C45F9" w:rsidRPr="00BD154A" w:rsidRDefault="000C45F9" w:rsidP="00BD154A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E28FA19" w14:textId="77777777" w:rsidR="000C45F9" w:rsidRPr="00BD154A" w:rsidRDefault="000C45F9" w:rsidP="00BD154A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50F8CF1" w14:textId="77777777" w:rsidR="000C45F9" w:rsidRPr="00E70BAA" w:rsidRDefault="000C45F9" w:rsidP="00BD154A">
          <w:pPr>
            <w:pStyle w:val="Distribution"/>
            <w:rPr>
              <w:color w:val="000000"/>
              <w:lang w:val="en-US"/>
            </w:rPr>
          </w:pPr>
          <w:r w:rsidRPr="00E70BAA">
            <w:rPr>
              <w:color w:val="000000"/>
              <w:lang w:val="en-US"/>
            </w:rPr>
            <w:t>Distr.: General</w:t>
          </w:r>
        </w:p>
        <w:p w14:paraId="309EB6C5" w14:textId="763EBD6C" w:rsidR="000C45F9" w:rsidRPr="00E70BAA" w:rsidRDefault="000C45F9" w:rsidP="00BD154A">
          <w:pPr>
            <w:pStyle w:val="Publication"/>
            <w:rPr>
              <w:color w:val="000000"/>
              <w:lang w:val="en-US"/>
            </w:rPr>
          </w:pPr>
          <w:r w:rsidRPr="00474C5E">
            <w:rPr>
              <w:color w:val="000000"/>
              <w:lang w:val="en-US"/>
            </w:rPr>
            <w:t xml:space="preserve">12 </w:t>
          </w:r>
          <w:r>
            <w:rPr>
              <w:color w:val="000000"/>
              <w:lang w:val="en-US"/>
            </w:rPr>
            <w:t>November</w:t>
          </w:r>
          <w:r w:rsidRPr="00E70BAA">
            <w:rPr>
              <w:color w:val="000000"/>
              <w:lang w:val="en-US"/>
            </w:rPr>
            <w:t xml:space="preserve"> 2019</w:t>
          </w:r>
        </w:p>
        <w:p w14:paraId="53D66667" w14:textId="77777777" w:rsidR="000C45F9" w:rsidRPr="00E70BAA" w:rsidRDefault="000C45F9" w:rsidP="00BD154A">
          <w:pPr>
            <w:rPr>
              <w:color w:val="000000"/>
              <w:lang w:val="en-US"/>
            </w:rPr>
          </w:pPr>
          <w:r w:rsidRPr="00E70BAA">
            <w:rPr>
              <w:color w:val="000000"/>
              <w:lang w:val="en-US"/>
            </w:rPr>
            <w:t>Russian</w:t>
          </w:r>
        </w:p>
        <w:p w14:paraId="63235828" w14:textId="219375A4" w:rsidR="000C45F9" w:rsidRPr="00E70BAA" w:rsidRDefault="000C45F9" w:rsidP="00BD154A">
          <w:pPr>
            <w:pStyle w:val="Original"/>
            <w:rPr>
              <w:color w:val="000000"/>
              <w:lang w:val="en-US"/>
            </w:rPr>
          </w:pPr>
          <w:r w:rsidRPr="00E70BAA">
            <w:rPr>
              <w:color w:val="000000"/>
              <w:lang w:val="en-US"/>
            </w:rPr>
            <w:t xml:space="preserve">Original: </w:t>
          </w:r>
          <w:r>
            <w:rPr>
              <w:color w:val="000000"/>
              <w:lang w:val="en-US"/>
            </w:rPr>
            <w:t>English</w:t>
          </w:r>
        </w:p>
        <w:p w14:paraId="5DF9CF18" w14:textId="77777777" w:rsidR="000C45F9" w:rsidRPr="00E70BAA" w:rsidRDefault="000C45F9" w:rsidP="00BD154A">
          <w:pPr>
            <w:rPr>
              <w:lang w:val="en-US"/>
            </w:rPr>
          </w:pPr>
        </w:p>
      </w:tc>
    </w:tr>
  </w:tbl>
  <w:p w14:paraId="0D034253" w14:textId="77777777" w:rsidR="000C45F9" w:rsidRPr="00E70BAA" w:rsidRDefault="000C45F9" w:rsidP="00BD154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926B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GrammaticalErrors/>
  <w:proofState w:spelling="clean" w:grammar="clean"/>
  <w:defaultTabStop w:val="475"/>
  <w:autoHyphenation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1919545"/>
    <w:docVar w:name="CreationDt" w:val="10/12/2019 2:19: PM"/>
    <w:docVar w:name="DocCategory" w:val="Doc"/>
    <w:docVar w:name="DocType" w:val="Final"/>
    <w:docVar w:name="DutyStation" w:val="New York"/>
    <w:docVar w:name="FooterJN" w:val="19-19545"/>
    <w:docVar w:name="jobn" w:val="19-19545 (R)"/>
    <w:docVar w:name="jobnDT" w:val="19-19545 (R)   101219   "/>
    <w:docVar w:name="jobnDTDT" w:val="19-19545 (R)   101219   111219"/>
    <w:docVar w:name="JobNo" w:val="1919545R"/>
    <w:docVar w:name="JobNo2" w:val="1936302R"/>
    <w:docVar w:name="LocalDrive" w:val="0"/>
    <w:docVar w:name="OandT" w:val=" "/>
    <w:docVar w:name="sss1" w:val="CEDAW/C/LTU/CO/6"/>
    <w:docVar w:name="sss2" w:val="-"/>
    <w:docVar w:name="SuppJobNo" w:val="19-19545"/>
    <w:docVar w:name="Symbol1" w:val="CEDAW/C/LTU/CO/6"/>
    <w:docVar w:name="Symbol2" w:val="-"/>
  </w:docVars>
  <w:rsids>
    <w:rsidRoot w:val="00CB03FB"/>
    <w:rsid w:val="00003F8C"/>
    <w:rsid w:val="00057473"/>
    <w:rsid w:val="00060E7E"/>
    <w:rsid w:val="000A1A1B"/>
    <w:rsid w:val="000C45F9"/>
    <w:rsid w:val="000D7B69"/>
    <w:rsid w:val="00132A4D"/>
    <w:rsid w:val="001824A1"/>
    <w:rsid w:val="001B0786"/>
    <w:rsid w:val="001F427A"/>
    <w:rsid w:val="001F7371"/>
    <w:rsid w:val="00204EF2"/>
    <w:rsid w:val="00210AF4"/>
    <w:rsid w:val="00210EC3"/>
    <w:rsid w:val="00215A7D"/>
    <w:rsid w:val="00257C78"/>
    <w:rsid w:val="002D2C61"/>
    <w:rsid w:val="002D7EEA"/>
    <w:rsid w:val="002F4047"/>
    <w:rsid w:val="003218EF"/>
    <w:rsid w:val="00323373"/>
    <w:rsid w:val="00323855"/>
    <w:rsid w:val="003807EF"/>
    <w:rsid w:val="0038495D"/>
    <w:rsid w:val="0038664B"/>
    <w:rsid w:val="003E2080"/>
    <w:rsid w:val="003F7347"/>
    <w:rsid w:val="00400A53"/>
    <w:rsid w:val="004240B1"/>
    <w:rsid w:val="00425FDE"/>
    <w:rsid w:val="004275D7"/>
    <w:rsid w:val="004279A5"/>
    <w:rsid w:val="00431502"/>
    <w:rsid w:val="00432AC6"/>
    <w:rsid w:val="00445A48"/>
    <w:rsid w:val="004731F9"/>
    <w:rsid w:val="00474C5E"/>
    <w:rsid w:val="00542D6F"/>
    <w:rsid w:val="00551E84"/>
    <w:rsid w:val="00553232"/>
    <w:rsid w:val="00554D40"/>
    <w:rsid w:val="005644C2"/>
    <w:rsid w:val="00571999"/>
    <w:rsid w:val="00572FA7"/>
    <w:rsid w:val="005A2266"/>
    <w:rsid w:val="005B58D8"/>
    <w:rsid w:val="0061070F"/>
    <w:rsid w:val="006221D0"/>
    <w:rsid w:val="00635C39"/>
    <w:rsid w:val="00643ABA"/>
    <w:rsid w:val="00643F79"/>
    <w:rsid w:val="00657752"/>
    <w:rsid w:val="006B0972"/>
    <w:rsid w:val="006D4969"/>
    <w:rsid w:val="006E1686"/>
    <w:rsid w:val="006E5CA5"/>
    <w:rsid w:val="00702C2B"/>
    <w:rsid w:val="00705A84"/>
    <w:rsid w:val="0071709C"/>
    <w:rsid w:val="00726630"/>
    <w:rsid w:val="00791D07"/>
    <w:rsid w:val="007D2E54"/>
    <w:rsid w:val="0080025F"/>
    <w:rsid w:val="00802A06"/>
    <w:rsid w:val="0083640B"/>
    <w:rsid w:val="00840363"/>
    <w:rsid w:val="00843551"/>
    <w:rsid w:val="008B4A4B"/>
    <w:rsid w:val="008D7164"/>
    <w:rsid w:val="008E0493"/>
    <w:rsid w:val="008E1D98"/>
    <w:rsid w:val="008E3D70"/>
    <w:rsid w:val="00911DF7"/>
    <w:rsid w:val="009524A6"/>
    <w:rsid w:val="0096420F"/>
    <w:rsid w:val="009707EE"/>
    <w:rsid w:val="00972652"/>
    <w:rsid w:val="009858FA"/>
    <w:rsid w:val="009A1A35"/>
    <w:rsid w:val="009D5859"/>
    <w:rsid w:val="009F077A"/>
    <w:rsid w:val="00A52BAE"/>
    <w:rsid w:val="00A57ABA"/>
    <w:rsid w:val="00A72FF5"/>
    <w:rsid w:val="00AA0CE4"/>
    <w:rsid w:val="00AB1E36"/>
    <w:rsid w:val="00AB68E9"/>
    <w:rsid w:val="00AC1463"/>
    <w:rsid w:val="00AC7736"/>
    <w:rsid w:val="00B306AF"/>
    <w:rsid w:val="00B535EE"/>
    <w:rsid w:val="00B67701"/>
    <w:rsid w:val="00B745E4"/>
    <w:rsid w:val="00B95A96"/>
    <w:rsid w:val="00BD154A"/>
    <w:rsid w:val="00C06BC2"/>
    <w:rsid w:val="00C26FCC"/>
    <w:rsid w:val="00C41769"/>
    <w:rsid w:val="00C45C26"/>
    <w:rsid w:val="00C54064"/>
    <w:rsid w:val="00C71CD0"/>
    <w:rsid w:val="00C76CD3"/>
    <w:rsid w:val="00C961B9"/>
    <w:rsid w:val="00CA4BB0"/>
    <w:rsid w:val="00CB03FB"/>
    <w:rsid w:val="00D11AF9"/>
    <w:rsid w:val="00D17EAC"/>
    <w:rsid w:val="00D40686"/>
    <w:rsid w:val="00D760D3"/>
    <w:rsid w:val="00D82575"/>
    <w:rsid w:val="00D82BC5"/>
    <w:rsid w:val="00D87999"/>
    <w:rsid w:val="00D96F14"/>
    <w:rsid w:val="00DF78D1"/>
    <w:rsid w:val="00E03929"/>
    <w:rsid w:val="00E10D88"/>
    <w:rsid w:val="00E144A8"/>
    <w:rsid w:val="00E25037"/>
    <w:rsid w:val="00E256FD"/>
    <w:rsid w:val="00E70BAA"/>
    <w:rsid w:val="00E720E8"/>
    <w:rsid w:val="00E7414B"/>
    <w:rsid w:val="00EC2A36"/>
    <w:rsid w:val="00ED31CE"/>
    <w:rsid w:val="00EF1631"/>
    <w:rsid w:val="00EF3EDD"/>
    <w:rsid w:val="00F2422B"/>
    <w:rsid w:val="00F60B92"/>
    <w:rsid w:val="00F63321"/>
    <w:rsid w:val="00F81CC1"/>
    <w:rsid w:val="00F91338"/>
    <w:rsid w:val="00FB1E56"/>
    <w:rsid w:val="00FB731E"/>
    <w:rsid w:val="00FC0C91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344CC7C8"/>
  <w15:docId w15:val="{C0180E3E-17C8-4CEC-9D7E-F713FD95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060E7E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60E7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060E7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E7E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060E7E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060E7E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060E7E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060E7E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060E7E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060E7E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060E7E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060E7E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060E7E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060E7E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060E7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060E7E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060E7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060E7E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060E7E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060E7E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060E7E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060E7E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060E7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060E7E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060E7E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060E7E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060E7E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060E7E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060E7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60E7E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060E7E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060E7E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60E7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60E7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60E7E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060E7E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060E7E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060E7E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060E7E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060E7E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060E7E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060E7E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060E7E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060E7E"/>
    <w:rPr>
      <w:szCs w:val="20"/>
    </w:rPr>
  </w:style>
  <w:style w:type="paragraph" w:customStyle="1" w:styleId="Publication">
    <w:name w:val="Publication"/>
    <w:basedOn w:val="Normal"/>
    <w:next w:val="Normal"/>
    <w:qFormat/>
    <w:rsid w:val="00060E7E"/>
  </w:style>
  <w:style w:type="paragraph" w:customStyle="1" w:styleId="ReleaseDate">
    <w:name w:val="ReleaseDate"/>
    <w:basedOn w:val="Normal"/>
    <w:next w:val="Normal"/>
    <w:qFormat/>
    <w:rsid w:val="00060E7E"/>
    <w:rPr>
      <w:szCs w:val="20"/>
    </w:rPr>
  </w:style>
  <w:style w:type="paragraph" w:customStyle="1" w:styleId="Small">
    <w:name w:val="Small"/>
    <w:basedOn w:val="Normal"/>
    <w:next w:val="Normal"/>
    <w:qFormat/>
    <w:rsid w:val="00060E7E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060E7E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060E7E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060E7E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060E7E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060E7E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C961B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AF9"/>
    <w:rPr>
      <w:color w:val="0000FF"/>
      <w:u w:val="none"/>
    </w:rPr>
  </w:style>
  <w:style w:type="character" w:styleId="Hyperlink">
    <w:name w:val="Hyperlink"/>
    <w:basedOn w:val="DefaultParagraphFont"/>
    <w:uiPriority w:val="99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1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54A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54A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ru/CEDAW/C/SR.1735" TargetMode="External"/><Relationship Id="rId26" Type="http://schemas.openxmlformats.org/officeDocument/2006/relationships/hyperlink" Target="https://undocs.org/ru/CEDAW/C/LTU/CO/5" TargetMode="External"/><Relationship Id="rId39" Type="http://schemas.openxmlformats.org/officeDocument/2006/relationships/hyperlink" Target="https://undocs.org/ru/CEDAW/C/LTU/CO/5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ocs.org/CEDAW/C/LTU/CO/5/Add.1" TargetMode="External"/><Relationship Id="rId34" Type="http://schemas.openxmlformats.org/officeDocument/2006/relationships/hyperlink" Target="https://undocs.org/ru/S/RES/2106%20(2013)" TargetMode="External"/><Relationship Id="rId42" Type="http://schemas.openxmlformats.org/officeDocument/2006/relationships/hyperlink" Target="https://undocs.org/ru/CEDAW/C/LTU/CO/5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ru/CEDAW/C/SR.1734" TargetMode="External"/><Relationship Id="rId25" Type="http://schemas.openxmlformats.org/officeDocument/2006/relationships/hyperlink" Target="https://undocs.org/ru/CEDAW/C/LTU/CO/5" TargetMode="External"/><Relationship Id="rId33" Type="http://schemas.openxmlformats.org/officeDocument/2006/relationships/hyperlink" Target="https://undocs.org/ru/S/RES/1960%20(2010)" TargetMode="External"/><Relationship Id="rId38" Type="http://schemas.openxmlformats.org/officeDocument/2006/relationships/hyperlink" Target="https://undocs.org/ru/S/RES/2493%20(2019)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ndocs.org/CEDAW/C/LTU/6" TargetMode="External"/><Relationship Id="rId20" Type="http://schemas.openxmlformats.org/officeDocument/2006/relationships/hyperlink" Target="https://undocs.org/CEDAW/C/LTU/Q/6/Add.1" TargetMode="External"/><Relationship Id="rId29" Type="http://schemas.openxmlformats.org/officeDocument/2006/relationships/hyperlink" Target="https://undocs.org/ru/S/RES/1325%20(2000)" TargetMode="External"/><Relationship Id="rId41" Type="http://schemas.openxmlformats.org/officeDocument/2006/relationships/hyperlink" Target="https://undocs.org/ru/CEDAW/C/LTU/CO/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ru/CEDAW/C/LTU/CO/5" TargetMode="External"/><Relationship Id="rId32" Type="http://schemas.openxmlformats.org/officeDocument/2006/relationships/hyperlink" Target="https://undocs.org/ru/S/RES/1889%20(2009)" TargetMode="External"/><Relationship Id="rId37" Type="http://schemas.openxmlformats.org/officeDocument/2006/relationships/hyperlink" Target="https://undocs.org/ru/S/RES/2467%20(2019)" TargetMode="External"/><Relationship Id="rId40" Type="http://schemas.openxmlformats.org/officeDocument/2006/relationships/hyperlink" Target="https://undocs.org/ru/CEDAW/C/LTU/CO/5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ru/A/65/38" TargetMode="External"/><Relationship Id="rId28" Type="http://schemas.openxmlformats.org/officeDocument/2006/relationships/hyperlink" Target="https://undocs.org/ru/CEDAW/C/LTU/CO/5" TargetMode="External"/><Relationship Id="rId36" Type="http://schemas.openxmlformats.org/officeDocument/2006/relationships/hyperlink" Target="https://undocs.org/ru/S/RES/2242%20(2015)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docs.org/CEDAW/C/LTU/Q/6" TargetMode="External"/><Relationship Id="rId31" Type="http://schemas.openxmlformats.org/officeDocument/2006/relationships/hyperlink" Target="https://undocs.org/ru/S/RES/1888%20(2009)" TargetMode="External"/><Relationship Id="rId44" Type="http://schemas.openxmlformats.org/officeDocument/2006/relationships/hyperlink" Target="https://undocs.org/ru/HRI/GEN/2/Rev.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ru/CEDAW/C/LTU/5" TargetMode="External"/><Relationship Id="rId27" Type="http://schemas.openxmlformats.org/officeDocument/2006/relationships/hyperlink" Target="https://undocs.org/ru/CEDAW/C/LTU/CO/5" TargetMode="External"/><Relationship Id="rId30" Type="http://schemas.openxmlformats.org/officeDocument/2006/relationships/hyperlink" Target="https://undocs.org/ru/S/RES/1820%20(2008)" TargetMode="External"/><Relationship Id="rId35" Type="http://schemas.openxmlformats.org/officeDocument/2006/relationships/hyperlink" Target="https://undocs.org/ru/S/RES/2122%20(2013)" TargetMode="External"/><Relationship Id="rId43" Type="http://schemas.openxmlformats.org/officeDocument/2006/relationships/hyperlink" Target="https://undocs.org/ru/CEDAW/C/LTU/CO/5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6C58-1037-4A4D-9828-E5249251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7936</Words>
  <Characters>45236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Zemlinskaya</dc:creator>
  <cp:lastModifiedBy>Russian Text Processing</cp:lastModifiedBy>
  <cp:revision>3</cp:revision>
  <cp:lastPrinted>2019-12-11T15:19:00Z</cp:lastPrinted>
  <dcterms:created xsi:type="dcterms:W3CDTF">2019-12-11T15:19:00Z</dcterms:created>
  <dcterms:modified xsi:type="dcterms:W3CDTF">2019-12-11T15:20:00Z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1936302R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Operator">
    <vt:lpwstr/>
  </property>
  <property fmtid="{D5CDD505-2E9C-101B-9397-08002B2CF9AE}" pid="6" name="DraftPages">
    <vt:lpwstr> </vt:lpwstr>
  </property>
  <property fmtid="{D5CDD505-2E9C-101B-9397-08002B2CF9AE}" pid="7" name="Comment">
    <vt:lpwstr/>
  </property>
  <property fmtid="{D5CDD505-2E9C-101B-9397-08002B2CF9AE}" pid="8" name="Category">
    <vt:lpwstr>Document</vt:lpwstr>
  </property>
  <property fmtid="{D5CDD505-2E9C-101B-9397-08002B2CF9AE}" pid="9" name="Language">
    <vt:lpwstr>Russian</vt:lpwstr>
  </property>
  <property fmtid="{D5CDD505-2E9C-101B-9397-08002B2CF9AE}" pid="10" name="Symbol1">
    <vt:lpwstr>CEDAW/C/LTU/CO/6</vt:lpwstr>
  </property>
  <property fmtid="{D5CDD505-2E9C-101B-9397-08002B2CF9AE}" pid="11" name="JobNo">
    <vt:lpwstr>1919545R</vt:lpwstr>
  </property>
  <property fmtid="{D5CDD505-2E9C-101B-9397-08002B2CF9AE}" pid="12" name="Distribution">
    <vt:lpwstr>General</vt:lpwstr>
  </property>
  <property fmtid="{D5CDD505-2E9C-101B-9397-08002B2CF9AE}" pid="13" name="Publication Date">
    <vt:lpwstr>12 November 2019</vt:lpwstr>
  </property>
  <property fmtid="{D5CDD505-2E9C-101B-9397-08002B2CF9AE}" pid="14" name="Original">
    <vt:lpwstr>English</vt:lpwstr>
  </property>
  <property fmtid="{D5CDD505-2E9C-101B-9397-08002B2CF9AE}" pid="15" name="Release Date">
    <vt:lpwstr/>
  </property>
  <property fmtid="{D5CDD505-2E9C-101B-9397-08002B2CF9AE}" pid="16" name="Title1">
    <vt:lpwstr>		Заключительные замечания по шестому периодическому докладу Литвы*_x000d_</vt:lpwstr>
  </property>
</Properties>
</file>