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EB7" w:rsidRDefault="00CF5EB7" w:rsidP="006B4497">
      <w:pPr>
        <w:spacing w:line="240" w:lineRule="auto"/>
        <w:rPr>
          <w:sz w:val="6"/>
        </w:rPr>
      </w:pPr>
      <w:r>
        <w:rPr>
          <w:rStyle w:val="CommentReference"/>
        </w:rPr>
        <w:commentReference w:id="0"/>
      </w:r>
    </w:p>
    <w:p w:rsidR="006B4497" w:rsidRPr="00CF5EB7" w:rsidRDefault="006B4497" w:rsidP="00CF5EB7">
      <w:pPr>
        <w:spacing w:line="20" w:lineRule="exact"/>
        <w:rPr>
          <w:sz w:val="2"/>
        </w:rPr>
        <w:sectPr w:rsidR="006B4497" w:rsidRPr="00CF5EB7" w:rsidSect="006B4497">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742" w:right="1195" w:bottom="1898" w:left="1195" w:header="576" w:footer="1030" w:gutter="0"/>
          <w:cols w:space="708"/>
          <w:titlePg/>
          <w:docGrid w:linePitch="360"/>
        </w:sectPr>
      </w:pPr>
    </w:p>
    <w:p w:rsidR="00430B2C" w:rsidRDefault="00430B2C" w:rsidP="00430B2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Pr>
          <w:lang w:val="fr-FR"/>
        </w:rPr>
        <w:t>Comité</w:t>
      </w:r>
      <w:r w:rsidR="001D60DD">
        <w:rPr>
          <w:lang w:val="fr-FR"/>
        </w:rPr>
        <w:t xml:space="preserve"> </w:t>
      </w:r>
      <w:r>
        <w:rPr>
          <w:lang w:val="fr-FR"/>
        </w:rPr>
        <w:t>pour</w:t>
      </w:r>
      <w:r w:rsidR="001D60DD">
        <w:rPr>
          <w:lang w:val="fr-FR"/>
        </w:rPr>
        <w:t xml:space="preserve"> </w:t>
      </w:r>
      <w:r w:rsidR="00D657CF">
        <w:rPr>
          <w:lang w:val="fr-FR"/>
        </w:rPr>
        <w:t>l’élimination de la discrimination</w:t>
      </w:r>
      <w:r>
        <w:rPr>
          <w:lang w:val="fr-FR"/>
        </w:rPr>
        <w:br/>
        <w:t>à</w:t>
      </w:r>
      <w:r w:rsidR="001D60DD">
        <w:rPr>
          <w:lang w:val="fr-FR"/>
        </w:rPr>
        <w:t xml:space="preserve"> </w:t>
      </w:r>
      <w:r>
        <w:rPr>
          <w:lang w:val="fr-FR"/>
        </w:rPr>
        <w:t>l</w:t>
      </w:r>
      <w:r w:rsidR="006645B6">
        <w:rPr>
          <w:vertAlign w:val="superscript"/>
          <w:lang w:val="fr-FR"/>
        </w:rPr>
        <w:t>’</w:t>
      </w:r>
      <w:r>
        <w:rPr>
          <w:lang w:val="fr-FR"/>
        </w:rPr>
        <w:t>égard</w:t>
      </w:r>
      <w:r w:rsidR="001D60DD">
        <w:rPr>
          <w:lang w:val="fr-FR"/>
        </w:rPr>
        <w:t xml:space="preserve"> </w:t>
      </w:r>
      <w:r>
        <w:rPr>
          <w:lang w:val="fr-FR"/>
        </w:rPr>
        <w:t>des</w:t>
      </w:r>
      <w:r w:rsidR="001D60DD">
        <w:rPr>
          <w:lang w:val="fr-FR"/>
        </w:rPr>
        <w:t xml:space="preserve"> </w:t>
      </w:r>
      <w:r>
        <w:rPr>
          <w:lang w:val="fr-FR"/>
        </w:rPr>
        <w:t>femmes</w:t>
      </w:r>
    </w:p>
    <w:p w:rsidR="00430B2C" w:rsidRPr="00375BEF" w:rsidRDefault="00430B2C" w:rsidP="00430B2C">
      <w:pPr>
        <w:pStyle w:val="SingleTxt"/>
        <w:spacing w:after="0" w:line="120" w:lineRule="exact"/>
        <w:rPr>
          <w:sz w:val="10"/>
          <w:lang w:val="fr-FR"/>
        </w:rPr>
      </w:pPr>
    </w:p>
    <w:p w:rsidR="00DA6F2F" w:rsidRPr="00DA6F2F" w:rsidRDefault="00DA6F2F" w:rsidP="00DA6F2F">
      <w:pPr>
        <w:pStyle w:val="SingleTxt"/>
        <w:spacing w:after="0" w:line="120" w:lineRule="exact"/>
        <w:rPr>
          <w:sz w:val="10"/>
          <w:lang w:val="fr-FR"/>
        </w:rPr>
      </w:pPr>
    </w:p>
    <w:p w:rsidR="00430B2C" w:rsidRPr="00375BEF" w:rsidRDefault="00430B2C" w:rsidP="00430B2C">
      <w:pPr>
        <w:pStyle w:val="SingleTxt"/>
        <w:spacing w:after="0" w:line="120" w:lineRule="exact"/>
        <w:rPr>
          <w:sz w:val="10"/>
          <w:lang w:val="fr-FR"/>
        </w:rPr>
      </w:pPr>
    </w:p>
    <w:p w:rsidR="00DA6F2F" w:rsidRPr="00EF568B" w:rsidRDefault="00DA6F2F" w:rsidP="00A27F1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F568B">
        <w:tab/>
      </w:r>
      <w:r w:rsidRPr="00EF568B">
        <w:tab/>
      </w:r>
      <w:r w:rsidR="00826E0F">
        <w:t>Examen des rapports présentés par les États parties</w:t>
      </w:r>
      <w:r w:rsidR="00F65ED6">
        <w:br/>
      </w:r>
      <w:r w:rsidR="00826E0F">
        <w:t>en vertu de l</w:t>
      </w:r>
      <w:r w:rsidR="006645B6">
        <w:t>’</w:t>
      </w:r>
      <w:r w:rsidR="00826E0F">
        <w:t xml:space="preserve">article 18 de la </w:t>
      </w:r>
      <w:r w:rsidR="00CC772D">
        <w:t xml:space="preserve">Convention </w:t>
      </w:r>
      <w:r w:rsidR="00A27F12">
        <w:br/>
      </w:r>
      <w:r w:rsidR="00CC772D">
        <w:t>sur</w:t>
      </w:r>
      <w:r w:rsidR="00826E0F">
        <w:t xml:space="preserve"> l</w:t>
      </w:r>
      <w:r w:rsidR="006645B6">
        <w:t>’</w:t>
      </w:r>
      <w:r w:rsidR="00826E0F">
        <w:t>élimination</w:t>
      </w:r>
      <w:r w:rsidR="00A27F12">
        <w:t xml:space="preserve"> </w:t>
      </w:r>
      <w:r w:rsidR="00826E0F">
        <w:t xml:space="preserve">de toutes les formes de discrimination </w:t>
      </w:r>
      <w:r w:rsidR="00A27F12">
        <w:br/>
      </w:r>
      <w:r w:rsidR="00826E0F">
        <w:t>à l</w:t>
      </w:r>
      <w:r w:rsidR="006645B6">
        <w:t>’</w:t>
      </w:r>
      <w:r w:rsidR="00826E0F">
        <w:t xml:space="preserve">égard </w:t>
      </w:r>
      <w:r w:rsidR="00CC772D">
        <w:t>des femmes</w:t>
      </w:r>
    </w:p>
    <w:p w:rsidR="00DA6F2F" w:rsidRPr="00DA6F2F" w:rsidRDefault="00DA6F2F" w:rsidP="00DA6F2F">
      <w:pPr>
        <w:pStyle w:val="SingleTxt"/>
        <w:spacing w:after="0" w:line="120" w:lineRule="exact"/>
        <w:rPr>
          <w:sz w:val="10"/>
        </w:rPr>
      </w:pPr>
    </w:p>
    <w:p w:rsidR="00DA6F2F" w:rsidRPr="00DA6F2F" w:rsidRDefault="00DA6F2F" w:rsidP="00DA6F2F">
      <w:pPr>
        <w:pStyle w:val="SingleTxt"/>
        <w:spacing w:after="0" w:line="120" w:lineRule="exact"/>
        <w:rPr>
          <w:sz w:val="10"/>
        </w:rPr>
      </w:pPr>
    </w:p>
    <w:p w:rsidR="00817F48" w:rsidRPr="00817F48" w:rsidRDefault="00817F48" w:rsidP="00817F48">
      <w:pPr>
        <w:framePr w:w="9792" w:h="432" w:hSpace="180" w:wrap="around" w:hAnchor="page" w:x="1210" w:yAlign="bottom"/>
        <w:spacing w:line="240" w:lineRule="auto"/>
        <w:rPr>
          <w:sz w:val="10"/>
        </w:rPr>
      </w:pPr>
    </w:p>
    <w:p w:rsidR="00817F48" w:rsidRPr="00817F48" w:rsidRDefault="00817F48" w:rsidP="00817F48">
      <w:pPr>
        <w:framePr w:w="9792" w:h="432" w:hSpace="180" w:wrap="around" w:hAnchor="page" w:x="1210" w:yAlign="bottom"/>
        <w:spacing w:line="240" w:lineRule="auto"/>
        <w:rPr>
          <w:sz w:val="6"/>
        </w:rPr>
      </w:pPr>
      <w:r w:rsidRPr="00817F48">
        <w:rPr>
          <w:noProof/>
          <w:w w:val="100"/>
          <w:sz w:val="6"/>
          <w:lang w:val="en-US"/>
        </w:rPr>
        <w:pict>
          <v:line id="_x0000_s1029" style="position:absolute;z-index:1;mso-position-horizontal-relative:page" from="108pt,-1pt" to="180pt,-1pt" strokeweight=".25pt">
            <w10:wrap anchorx="page"/>
          </v:line>
        </w:pict>
      </w:r>
    </w:p>
    <w:p w:rsidR="00817F48" w:rsidRPr="0055241C" w:rsidRDefault="00817F48" w:rsidP="00B419FD">
      <w:pPr>
        <w:framePr w:w="9792" w:h="432" w:hSpace="180" w:wrap="around" w:hAnchor="page" w:x="1210" w:yAlign="bottom"/>
        <w:tabs>
          <w:tab w:val="right" w:pos="1195"/>
          <w:tab w:val="left" w:pos="1267"/>
          <w:tab w:val="left" w:pos="1742"/>
          <w:tab w:val="left" w:pos="2218"/>
          <w:tab w:val="left" w:pos="2693"/>
          <w:tab w:val="left" w:pos="3182"/>
          <w:tab w:val="left" w:pos="3658"/>
        </w:tabs>
        <w:suppressAutoHyphens/>
        <w:spacing w:line="240" w:lineRule="auto"/>
        <w:ind w:left="1267" w:right="1260" w:hanging="576"/>
        <w:rPr>
          <w:sz w:val="17"/>
        </w:rPr>
      </w:pPr>
      <w:r>
        <w:rPr>
          <w:sz w:val="17"/>
        </w:rPr>
        <w:tab/>
        <w:t>*</w:t>
      </w:r>
      <w:r>
        <w:rPr>
          <w:sz w:val="17"/>
        </w:rPr>
        <w:tab/>
      </w:r>
      <w:r w:rsidR="00826E0F" w:rsidRPr="00826E0F">
        <w:rPr>
          <w:sz w:val="17"/>
        </w:rPr>
        <w:t>La version originale anglaise du présent document n</w:t>
      </w:r>
      <w:r w:rsidR="006645B6">
        <w:rPr>
          <w:sz w:val="17"/>
        </w:rPr>
        <w:t>’</w:t>
      </w:r>
      <w:r w:rsidR="00826E0F" w:rsidRPr="00826E0F">
        <w:rPr>
          <w:sz w:val="17"/>
        </w:rPr>
        <w:t>a pas été revue par les services d</w:t>
      </w:r>
      <w:r w:rsidR="006645B6">
        <w:rPr>
          <w:sz w:val="17"/>
        </w:rPr>
        <w:t>’</w:t>
      </w:r>
      <w:r w:rsidR="00826E0F" w:rsidRPr="00826E0F">
        <w:rPr>
          <w:sz w:val="17"/>
        </w:rPr>
        <w:t>édition</w:t>
      </w:r>
      <w:r w:rsidR="0055241C">
        <w:rPr>
          <w:sz w:val="17"/>
        </w:rPr>
        <w:t>.</w:t>
      </w:r>
    </w:p>
    <w:p w:rsidR="00DA6F2F" w:rsidRPr="00826E0F" w:rsidRDefault="00DA6F2F" w:rsidP="00DA6F2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EF568B">
        <w:tab/>
      </w:r>
      <w:r w:rsidRPr="00EF568B">
        <w:tab/>
      </w:r>
      <w:r w:rsidR="00826E0F" w:rsidRPr="00826E0F">
        <w:t>Liechtenstein</w:t>
      </w:r>
      <w:r w:rsidRPr="00826E0F">
        <w:rPr>
          <w:sz w:val="20"/>
          <w:lang w:val="fr-FR"/>
        </w:rPr>
        <w:t>*</w:t>
      </w:r>
    </w:p>
    <w:p w:rsidR="00DA6F2F" w:rsidRPr="00826E0F" w:rsidRDefault="00DA6F2F" w:rsidP="00DA6F2F">
      <w:pPr>
        <w:pStyle w:val="SingleTxt"/>
        <w:spacing w:after="0" w:line="120" w:lineRule="exact"/>
        <w:rPr>
          <w:sz w:val="10"/>
          <w:lang w:val="fr-FR"/>
        </w:rPr>
      </w:pPr>
    </w:p>
    <w:p w:rsidR="00826E0F" w:rsidRPr="00872599" w:rsidRDefault="00826E0F" w:rsidP="00826E0F">
      <w:pPr>
        <w:pStyle w:val="SingleTxt"/>
        <w:spacing w:after="0" w:line="120" w:lineRule="exact"/>
        <w:rPr>
          <w:sz w:val="24"/>
          <w:szCs w:val="24"/>
          <w:lang w:val="fr-FR"/>
        </w:rPr>
      </w:pPr>
    </w:p>
    <w:p w:rsidR="00826E0F" w:rsidRPr="00872599" w:rsidRDefault="00826E0F" w:rsidP="00826E0F">
      <w:pPr>
        <w:pStyle w:val="SingleTxt"/>
        <w:spacing w:after="0" w:line="120" w:lineRule="exact"/>
        <w:rPr>
          <w:sz w:val="24"/>
          <w:szCs w:val="24"/>
          <w:lang w:val="fr-FR"/>
        </w:rPr>
      </w:pPr>
    </w:p>
    <w:p w:rsidR="00826E0F" w:rsidRPr="00872599" w:rsidRDefault="00826E0F" w:rsidP="00826E0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szCs w:val="24"/>
          <w:lang w:val="fr-FR"/>
        </w:rPr>
      </w:pPr>
      <w:r w:rsidRPr="00872599">
        <w:rPr>
          <w:szCs w:val="24"/>
          <w:lang w:val="fr-FR"/>
        </w:rPr>
        <w:tab/>
      </w:r>
      <w:r w:rsidRPr="00872599">
        <w:rPr>
          <w:szCs w:val="24"/>
          <w:lang w:val="fr-FR"/>
        </w:rPr>
        <w:tab/>
      </w:r>
      <w:r w:rsidRPr="00872599">
        <w:rPr>
          <w:snapToGrid w:val="0"/>
          <w:szCs w:val="24"/>
          <w:lang w:val="fr-FR"/>
        </w:rPr>
        <w:t xml:space="preserve">Quatrième rapport périodique des </w:t>
      </w:r>
      <w:r w:rsidRPr="00872599">
        <w:rPr>
          <w:szCs w:val="24"/>
          <w:lang w:val="fr-FR"/>
        </w:rPr>
        <w:t xml:space="preserve">États </w:t>
      </w:r>
      <w:r w:rsidRPr="00872599">
        <w:rPr>
          <w:snapToGrid w:val="0"/>
          <w:szCs w:val="24"/>
          <w:lang w:val="fr-FR"/>
        </w:rPr>
        <w:t>parties</w:t>
      </w:r>
    </w:p>
    <w:p w:rsidR="00826E0F" w:rsidRPr="00872599" w:rsidRDefault="00826E0F" w:rsidP="00826E0F">
      <w:pPr>
        <w:pStyle w:val="SingleTxt"/>
        <w:rPr>
          <w:lang w:val="fr-FR"/>
        </w:rPr>
      </w:pPr>
    </w:p>
    <w:p w:rsidR="00817F48" w:rsidRPr="00826E0F" w:rsidRDefault="00817F48" w:rsidP="00826E0F">
      <w:pPr>
        <w:pStyle w:val="SingleTxt"/>
        <w:rPr>
          <w:lang w:val="fr-FR"/>
        </w:rPr>
      </w:pPr>
    </w:p>
    <w:p w:rsidR="00817F48" w:rsidRPr="00826E0F" w:rsidRDefault="00817F48" w:rsidP="00DA6F2F">
      <w:pPr>
        <w:pStyle w:val="SingleTxt"/>
        <w:rPr>
          <w:lang w:val="fr-FR"/>
        </w:rPr>
      </w:pPr>
    </w:p>
    <w:p w:rsidR="00497599" w:rsidRDefault="00916AEB" w:rsidP="00497599">
      <w:pPr>
        <w:pStyle w:val="HCh"/>
        <w:spacing w:after="120"/>
      </w:pPr>
      <w:r>
        <w:rPr>
          <w:noProof/>
          <w:w w:val="100"/>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56" type="#_x0000_t75" style="position:absolute;margin-left:399pt;margin-top:268.5pt;width:87.65pt;height:18.15pt;z-index:4">
            <v:imagedata r:id="rId14" o:title="recycle_French"/>
          </v:shape>
        </w:pict>
      </w:r>
      <w:r w:rsidR="00826E0F">
        <w:rPr>
          <w:lang w:val="fr-FR"/>
        </w:rPr>
        <w:br w:type="page"/>
      </w:r>
      <w:r w:rsidR="00497599">
        <w:rPr>
          <w:lang w:val="fr-FR"/>
        </w:rPr>
        <w:t>Table des matières</w:t>
      </w:r>
    </w:p>
    <w:tbl>
      <w:tblPr>
        <w:tblW w:w="9902" w:type="dxa"/>
        <w:tblLayout w:type="fixed"/>
        <w:tblCellMar>
          <w:left w:w="0" w:type="dxa"/>
          <w:right w:w="0" w:type="dxa"/>
        </w:tblCellMar>
        <w:tblLook w:val="0000" w:firstRow="0" w:lastRow="0" w:firstColumn="0" w:lastColumn="0" w:noHBand="0" w:noVBand="0"/>
      </w:tblPr>
      <w:tblGrid>
        <w:gridCol w:w="1060"/>
        <w:gridCol w:w="7315"/>
        <w:gridCol w:w="994"/>
        <w:gridCol w:w="533"/>
      </w:tblGrid>
      <w:tr w:rsidR="00C75C5F" w:rsidRPr="00C75C5F" w:rsidTr="00C75C5F">
        <w:tblPrEx>
          <w:tblCellMar>
            <w:top w:w="0" w:type="dxa"/>
            <w:bottom w:w="0" w:type="dxa"/>
          </w:tblCellMar>
        </w:tblPrEx>
        <w:tc>
          <w:tcPr>
            <w:tcW w:w="1060" w:type="dxa"/>
            <w:shd w:val="clear" w:color="auto" w:fill="auto"/>
          </w:tcPr>
          <w:p w:rsidR="00C75C5F" w:rsidRPr="00C75C5F" w:rsidRDefault="00C75C5F" w:rsidP="00C75C5F">
            <w:pPr>
              <w:spacing w:after="120" w:line="240" w:lineRule="auto"/>
              <w:jc w:val="right"/>
              <w:rPr>
                <w:i/>
                <w:sz w:val="14"/>
              </w:rPr>
            </w:pPr>
          </w:p>
        </w:tc>
        <w:tc>
          <w:tcPr>
            <w:tcW w:w="7315" w:type="dxa"/>
            <w:shd w:val="clear" w:color="auto" w:fill="auto"/>
          </w:tcPr>
          <w:p w:rsidR="00C75C5F" w:rsidRPr="00C75C5F" w:rsidRDefault="00C75C5F" w:rsidP="00C75C5F">
            <w:pPr>
              <w:spacing w:after="120" w:line="240" w:lineRule="auto"/>
              <w:rPr>
                <w:i/>
                <w:sz w:val="14"/>
              </w:rPr>
            </w:pPr>
          </w:p>
        </w:tc>
        <w:tc>
          <w:tcPr>
            <w:tcW w:w="994" w:type="dxa"/>
            <w:shd w:val="clear" w:color="auto" w:fill="auto"/>
          </w:tcPr>
          <w:p w:rsidR="00C75C5F" w:rsidRPr="00C75C5F" w:rsidRDefault="00C75C5F" w:rsidP="00C75C5F">
            <w:pPr>
              <w:spacing w:after="120" w:line="240" w:lineRule="auto"/>
              <w:jc w:val="right"/>
              <w:rPr>
                <w:i/>
                <w:sz w:val="14"/>
              </w:rPr>
            </w:pPr>
          </w:p>
        </w:tc>
        <w:tc>
          <w:tcPr>
            <w:tcW w:w="533" w:type="dxa"/>
            <w:shd w:val="clear" w:color="auto" w:fill="auto"/>
          </w:tcPr>
          <w:p w:rsidR="00C75C5F" w:rsidRPr="00C75C5F" w:rsidRDefault="00C75C5F" w:rsidP="00C75C5F">
            <w:pPr>
              <w:spacing w:after="120" w:line="240" w:lineRule="auto"/>
              <w:jc w:val="right"/>
              <w:rPr>
                <w:i/>
                <w:sz w:val="14"/>
              </w:rPr>
            </w:pPr>
            <w:r>
              <w:rPr>
                <w:i/>
                <w:sz w:val="14"/>
              </w:rPr>
              <w:t>Page</w:t>
            </w:r>
          </w:p>
        </w:tc>
      </w:tr>
      <w:tr w:rsidR="00C75C5F" w:rsidRPr="00C75C5F" w:rsidTr="00C75C5F">
        <w:tblPrEx>
          <w:tblCellMar>
            <w:top w:w="0" w:type="dxa"/>
            <w:bottom w:w="0" w:type="dxa"/>
          </w:tblCellMar>
        </w:tblPrEx>
        <w:tc>
          <w:tcPr>
            <w:tcW w:w="9369" w:type="dxa"/>
            <w:gridSpan w:val="3"/>
            <w:shd w:val="clear" w:color="auto" w:fill="auto"/>
          </w:tcPr>
          <w:p w:rsidR="00C75C5F" w:rsidRPr="00CA2F59" w:rsidRDefault="00755EFA" w:rsidP="00CA2F59">
            <w:pPr>
              <w:tabs>
                <w:tab w:val="left" w:pos="1296"/>
                <w:tab w:val="left" w:pos="1728"/>
                <w:tab w:val="left" w:pos="2160"/>
                <w:tab w:val="right" w:leader="dot" w:pos="9360"/>
              </w:tabs>
              <w:suppressAutoHyphens/>
              <w:spacing w:after="120"/>
              <w:rPr>
                <w:spacing w:val="60"/>
                <w:sz w:val="17"/>
              </w:rPr>
            </w:pPr>
            <w:r>
              <w:tab/>
              <w:t>Avant-propos</w:t>
            </w:r>
            <w:r w:rsidR="00CA2F59">
              <w:rPr>
                <w:spacing w:val="60"/>
                <w:sz w:val="17"/>
              </w:rPr>
              <w:tab/>
            </w:r>
          </w:p>
        </w:tc>
        <w:tc>
          <w:tcPr>
            <w:tcW w:w="533" w:type="dxa"/>
            <w:shd w:val="clear" w:color="auto" w:fill="auto"/>
            <w:vAlign w:val="bottom"/>
          </w:tcPr>
          <w:p w:rsidR="00C75C5F" w:rsidRPr="00C75C5F" w:rsidRDefault="003F1979" w:rsidP="00755EFA">
            <w:pPr>
              <w:spacing w:after="120"/>
              <w:ind w:right="40"/>
              <w:jc w:val="right"/>
            </w:pPr>
            <w:r>
              <w:t>3</w:t>
            </w:r>
          </w:p>
        </w:tc>
      </w:tr>
      <w:tr w:rsidR="00C75C5F" w:rsidRPr="00C75C5F" w:rsidTr="00C75C5F">
        <w:tblPrEx>
          <w:tblCellMar>
            <w:top w:w="0" w:type="dxa"/>
            <w:bottom w:w="0" w:type="dxa"/>
          </w:tblCellMar>
        </w:tblPrEx>
        <w:tc>
          <w:tcPr>
            <w:tcW w:w="9369" w:type="dxa"/>
            <w:gridSpan w:val="3"/>
            <w:shd w:val="clear" w:color="auto" w:fill="auto"/>
          </w:tcPr>
          <w:p w:rsidR="00C75C5F" w:rsidRPr="00C75C5F" w:rsidRDefault="00755EFA" w:rsidP="00B419FD">
            <w:pPr>
              <w:numPr>
                <w:ilvl w:val="0"/>
                <w:numId w:val="3"/>
              </w:numPr>
              <w:tabs>
                <w:tab w:val="left" w:pos="1296"/>
                <w:tab w:val="left" w:pos="1728"/>
                <w:tab w:val="left" w:pos="2160"/>
                <w:tab w:val="left" w:pos="2592"/>
                <w:tab w:val="right" w:leader="dot" w:pos="9360"/>
              </w:tabs>
              <w:suppressAutoHyphens/>
              <w:spacing w:after="120"/>
            </w:pPr>
            <w:r w:rsidRPr="00755EFA">
              <w:t>G</w:t>
            </w:r>
            <w:r>
              <w:t>énéralités sur le Liechtenstein</w:t>
            </w:r>
            <w:r w:rsidR="00B419FD" w:rsidRPr="00E25271">
              <w:rPr>
                <w:spacing w:val="60"/>
              </w:rPr>
              <w:tab/>
            </w:r>
          </w:p>
        </w:tc>
        <w:tc>
          <w:tcPr>
            <w:tcW w:w="533" w:type="dxa"/>
            <w:shd w:val="clear" w:color="auto" w:fill="auto"/>
            <w:vAlign w:val="bottom"/>
          </w:tcPr>
          <w:p w:rsidR="00C75C5F" w:rsidRPr="00C75C5F" w:rsidRDefault="00986714" w:rsidP="00C75C5F">
            <w:pPr>
              <w:spacing w:after="120"/>
              <w:ind w:right="40"/>
              <w:jc w:val="right"/>
            </w:pPr>
            <w:r>
              <w:t>3</w:t>
            </w:r>
          </w:p>
        </w:tc>
      </w:tr>
      <w:tr w:rsidR="00755EFA" w:rsidRPr="00C75C5F" w:rsidTr="00C75C5F">
        <w:tblPrEx>
          <w:tblCellMar>
            <w:top w:w="0" w:type="dxa"/>
            <w:bottom w:w="0" w:type="dxa"/>
          </w:tblCellMar>
        </w:tblPrEx>
        <w:tc>
          <w:tcPr>
            <w:tcW w:w="9369" w:type="dxa"/>
            <w:gridSpan w:val="3"/>
            <w:shd w:val="clear" w:color="auto" w:fill="auto"/>
          </w:tcPr>
          <w:p w:rsidR="00755EFA" w:rsidRPr="00755EFA" w:rsidRDefault="00755EFA" w:rsidP="00B419FD">
            <w:pPr>
              <w:numPr>
                <w:ilvl w:val="1"/>
                <w:numId w:val="3"/>
              </w:numPr>
              <w:tabs>
                <w:tab w:val="left" w:pos="1296"/>
                <w:tab w:val="left" w:pos="2160"/>
                <w:tab w:val="left" w:pos="2592"/>
                <w:tab w:val="left" w:pos="3024"/>
                <w:tab w:val="left" w:pos="3456"/>
                <w:tab w:val="left" w:pos="3888"/>
                <w:tab w:val="left" w:pos="4320"/>
                <w:tab w:val="right" w:leader="dot" w:pos="9360"/>
              </w:tabs>
              <w:suppressAutoHyphens/>
              <w:spacing w:after="120"/>
              <w:rPr>
                <w:i/>
              </w:rPr>
            </w:pPr>
            <w:r w:rsidRPr="00755EFA">
              <w:rPr>
                <w:i/>
              </w:rPr>
              <w:t>Structures politiques et sociales</w:t>
            </w:r>
            <w:r w:rsidR="00B419FD" w:rsidRPr="00E25271">
              <w:rPr>
                <w:spacing w:val="60"/>
              </w:rPr>
              <w:tab/>
            </w:r>
          </w:p>
        </w:tc>
        <w:tc>
          <w:tcPr>
            <w:tcW w:w="533" w:type="dxa"/>
            <w:shd w:val="clear" w:color="auto" w:fill="auto"/>
            <w:vAlign w:val="bottom"/>
          </w:tcPr>
          <w:p w:rsidR="00755EFA" w:rsidRDefault="00986714" w:rsidP="00C75C5F">
            <w:pPr>
              <w:spacing w:after="120"/>
              <w:ind w:right="40"/>
              <w:jc w:val="right"/>
            </w:pPr>
            <w:r>
              <w:t>3</w:t>
            </w:r>
          </w:p>
        </w:tc>
      </w:tr>
      <w:tr w:rsidR="00755EFA" w:rsidRPr="00C75C5F" w:rsidTr="00C75C5F">
        <w:tblPrEx>
          <w:tblCellMar>
            <w:top w:w="0" w:type="dxa"/>
            <w:bottom w:w="0" w:type="dxa"/>
          </w:tblCellMar>
        </w:tblPrEx>
        <w:tc>
          <w:tcPr>
            <w:tcW w:w="9369" w:type="dxa"/>
            <w:gridSpan w:val="3"/>
            <w:shd w:val="clear" w:color="auto" w:fill="auto"/>
          </w:tcPr>
          <w:p w:rsidR="00755EFA" w:rsidRPr="00755EFA" w:rsidRDefault="00755EFA" w:rsidP="00B419FD">
            <w:pPr>
              <w:numPr>
                <w:ilvl w:val="1"/>
                <w:numId w:val="3"/>
              </w:numPr>
              <w:tabs>
                <w:tab w:val="left" w:pos="1296"/>
                <w:tab w:val="left" w:pos="2160"/>
                <w:tab w:val="left" w:pos="2592"/>
                <w:tab w:val="left" w:pos="3024"/>
                <w:tab w:val="left" w:pos="3456"/>
                <w:tab w:val="left" w:pos="3888"/>
                <w:tab w:val="left" w:pos="4320"/>
                <w:tab w:val="right" w:leader="dot" w:pos="9360"/>
              </w:tabs>
              <w:suppressAutoHyphens/>
              <w:spacing w:after="120"/>
              <w:rPr>
                <w:i/>
              </w:rPr>
            </w:pPr>
            <w:r w:rsidRPr="00755EFA">
              <w:rPr>
                <w:i/>
              </w:rPr>
              <w:t>Cadre juridique et institutionnel</w:t>
            </w:r>
            <w:r w:rsidR="00B419FD" w:rsidRPr="00632F47">
              <w:rPr>
                <w:spacing w:val="60"/>
              </w:rPr>
              <w:tab/>
            </w:r>
          </w:p>
        </w:tc>
        <w:tc>
          <w:tcPr>
            <w:tcW w:w="533" w:type="dxa"/>
            <w:shd w:val="clear" w:color="auto" w:fill="auto"/>
            <w:vAlign w:val="bottom"/>
          </w:tcPr>
          <w:p w:rsidR="00755EFA" w:rsidRDefault="00986714" w:rsidP="00C75C5F">
            <w:pPr>
              <w:spacing w:after="120"/>
              <w:ind w:right="40"/>
              <w:jc w:val="right"/>
            </w:pPr>
            <w:r>
              <w:t>5</w:t>
            </w:r>
          </w:p>
        </w:tc>
      </w:tr>
      <w:tr w:rsidR="00755EFA" w:rsidRPr="00C75C5F" w:rsidTr="00C75C5F">
        <w:tblPrEx>
          <w:tblCellMar>
            <w:top w:w="0" w:type="dxa"/>
            <w:bottom w:w="0" w:type="dxa"/>
          </w:tblCellMar>
        </w:tblPrEx>
        <w:tc>
          <w:tcPr>
            <w:tcW w:w="9369" w:type="dxa"/>
            <w:gridSpan w:val="3"/>
            <w:shd w:val="clear" w:color="auto" w:fill="auto"/>
          </w:tcPr>
          <w:p w:rsidR="00755EFA" w:rsidRDefault="00755EFA" w:rsidP="00B419FD">
            <w:pPr>
              <w:numPr>
                <w:ilvl w:val="0"/>
                <w:numId w:val="3"/>
              </w:numPr>
              <w:tabs>
                <w:tab w:val="right" w:pos="1080"/>
                <w:tab w:val="left" w:pos="1296"/>
                <w:tab w:val="right" w:pos="1714"/>
                <w:tab w:val="right" w:leader="dot" w:pos="9360"/>
              </w:tabs>
              <w:suppressAutoHyphens/>
              <w:spacing w:after="120"/>
            </w:pPr>
            <w:r>
              <w:tab/>
              <w:t>Introduction</w:t>
            </w:r>
            <w:r w:rsidR="00B419FD" w:rsidRPr="00632F47">
              <w:rPr>
                <w:spacing w:val="60"/>
              </w:rPr>
              <w:tab/>
            </w:r>
          </w:p>
        </w:tc>
        <w:tc>
          <w:tcPr>
            <w:tcW w:w="533" w:type="dxa"/>
            <w:shd w:val="clear" w:color="auto" w:fill="auto"/>
            <w:vAlign w:val="bottom"/>
          </w:tcPr>
          <w:p w:rsidR="00755EFA" w:rsidRDefault="00986714" w:rsidP="00C75C5F">
            <w:pPr>
              <w:spacing w:after="120"/>
              <w:ind w:right="40"/>
              <w:jc w:val="right"/>
            </w:pPr>
            <w:r>
              <w:t>7</w:t>
            </w:r>
          </w:p>
        </w:tc>
      </w:tr>
      <w:tr w:rsidR="00755EFA" w:rsidRPr="00C75C5F" w:rsidTr="00C75C5F">
        <w:tblPrEx>
          <w:tblCellMar>
            <w:top w:w="0" w:type="dxa"/>
            <w:bottom w:w="0" w:type="dxa"/>
          </w:tblCellMar>
        </w:tblPrEx>
        <w:tc>
          <w:tcPr>
            <w:tcW w:w="9369" w:type="dxa"/>
            <w:gridSpan w:val="3"/>
            <w:shd w:val="clear" w:color="auto" w:fill="auto"/>
          </w:tcPr>
          <w:p w:rsidR="00755EFA" w:rsidRPr="00755EFA" w:rsidRDefault="00755EFA" w:rsidP="00B419FD">
            <w:pPr>
              <w:tabs>
                <w:tab w:val="right" w:pos="1080"/>
                <w:tab w:val="left" w:pos="1296"/>
                <w:tab w:val="right" w:pos="1714"/>
                <w:tab w:val="left" w:pos="2160"/>
                <w:tab w:val="left" w:pos="2592"/>
                <w:tab w:val="left" w:pos="3024"/>
                <w:tab w:val="left" w:pos="3456"/>
                <w:tab w:val="right" w:leader="dot" w:pos="9360"/>
              </w:tabs>
              <w:suppressAutoHyphens/>
              <w:spacing w:after="120"/>
            </w:pPr>
            <w:r>
              <w:tab/>
            </w:r>
            <w:r>
              <w:tab/>
              <w:t>S</w:t>
            </w:r>
            <w:r w:rsidRPr="00755EFA">
              <w:t xml:space="preserve">ituation des femmes au Liechtenstein et mise en </w:t>
            </w:r>
            <w:r w:rsidR="00CC772D" w:rsidRPr="00755EFA">
              <w:t>œuvre</w:t>
            </w:r>
            <w:r w:rsidRPr="00755EFA">
              <w:t xml:space="preserve"> du plan d</w:t>
            </w:r>
            <w:r w:rsidR="006645B6">
              <w:t>’</w:t>
            </w:r>
            <w:r w:rsidRPr="00755EFA">
              <w:t>action de Beijin</w:t>
            </w:r>
            <w:r>
              <w:t>g</w:t>
            </w:r>
            <w:r w:rsidR="00B419FD" w:rsidRPr="00632F47">
              <w:rPr>
                <w:spacing w:val="60"/>
              </w:rPr>
              <w:tab/>
            </w:r>
          </w:p>
        </w:tc>
        <w:tc>
          <w:tcPr>
            <w:tcW w:w="533" w:type="dxa"/>
            <w:shd w:val="clear" w:color="auto" w:fill="auto"/>
            <w:vAlign w:val="bottom"/>
          </w:tcPr>
          <w:p w:rsidR="00755EFA" w:rsidRDefault="00986714" w:rsidP="00C75C5F">
            <w:pPr>
              <w:spacing w:after="120"/>
              <w:ind w:right="40"/>
              <w:jc w:val="right"/>
            </w:pPr>
            <w:r>
              <w:t>7</w:t>
            </w:r>
          </w:p>
        </w:tc>
      </w:tr>
      <w:tr w:rsidR="00755EFA" w:rsidRPr="00C75C5F" w:rsidTr="00C75C5F">
        <w:tblPrEx>
          <w:tblCellMar>
            <w:top w:w="0" w:type="dxa"/>
            <w:bottom w:w="0" w:type="dxa"/>
          </w:tblCellMar>
        </w:tblPrEx>
        <w:tc>
          <w:tcPr>
            <w:tcW w:w="9369" w:type="dxa"/>
            <w:gridSpan w:val="3"/>
            <w:shd w:val="clear" w:color="auto" w:fill="auto"/>
          </w:tcPr>
          <w:p w:rsidR="00755EFA" w:rsidRDefault="00755EFA" w:rsidP="00B419FD">
            <w:pPr>
              <w:pStyle w:val="SingleTxt"/>
              <w:numPr>
                <w:ilvl w:val="0"/>
                <w:numId w:val="3"/>
              </w:numPr>
              <w:tabs>
                <w:tab w:val="right" w:leader="dot" w:pos="9360"/>
              </w:tabs>
            </w:pPr>
            <w:r w:rsidRPr="00755EFA">
              <w:t>Observations concernant les articles individuels de la Convention</w:t>
            </w:r>
            <w:r w:rsidR="00B419FD" w:rsidRPr="00632F47">
              <w:rPr>
                <w:spacing w:val="60"/>
              </w:rPr>
              <w:tab/>
            </w:r>
          </w:p>
        </w:tc>
        <w:tc>
          <w:tcPr>
            <w:tcW w:w="533" w:type="dxa"/>
            <w:shd w:val="clear" w:color="auto" w:fill="auto"/>
            <w:vAlign w:val="bottom"/>
          </w:tcPr>
          <w:p w:rsidR="00755EFA" w:rsidRDefault="00986714" w:rsidP="00755EFA">
            <w:pPr>
              <w:spacing w:after="120"/>
              <w:ind w:right="40"/>
              <w:jc w:val="right"/>
            </w:pPr>
            <w:r>
              <w:t>7</w:t>
            </w:r>
          </w:p>
        </w:tc>
      </w:tr>
      <w:tr w:rsidR="00755EFA" w:rsidRPr="00C75C5F" w:rsidTr="00C75C5F">
        <w:tblPrEx>
          <w:tblCellMar>
            <w:top w:w="0" w:type="dxa"/>
            <w:bottom w:w="0" w:type="dxa"/>
          </w:tblCellMar>
        </w:tblPrEx>
        <w:tc>
          <w:tcPr>
            <w:tcW w:w="9369" w:type="dxa"/>
            <w:gridSpan w:val="3"/>
            <w:shd w:val="clear" w:color="auto" w:fill="auto"/>
          </w:tcPr>
          <w:p w:rsidR="00755EFA" w:rsidRDefault="00755EFA" w:rsidP="00632F47">
            <w:pPr>
              <w:pStyle w:val="SingleTxt"/>
              <w:tabs>
                <w:tab w:val="clear" w:pos="4133"/>
                <w:tab w:val="clear" w:pos="4622"/>
                <w:tab w:val="clear" w:pos="5098"/>
                <w:tab w:val="clear" w:pos="5573"/>
                <w:tab w:val="clear" w:pos="6048"/>
                <w:tab w:val="right" w:leader="dot" w:pos="9360"/>
              </w:tabs>
              <w:ind w:left="2218" w:hanging="951"/>
            </w:pPr>
            <w:r>
              <w:t>Article 2.</w:t>
            </w:r>
            <w:r>
              <w:tab/>
            </w:r>
            <w:r w:rsidR="00497599" w:rsidRPr="00497599">
              <w:t>Mesures de politique générale destinées à éliminer la discrimination à l</w:t>
            </w:r>
            <w:r w:rsidR="006645B6">
              <w:t>’</w:t>
            </w:r>
            <w:r w:rsidR="00497599" w:rsidRPr="00497599">
              <w:t>égard des femmes</w:t>
            </w:r>
            <w:r w:rsidR="00B419FD" w:rsidRPr="00632F47">
              <w:rPr>
                <w:spacing w:val="60"/>
              </w:rPr>
              <w:tab/>
            </w:r>
            <w:r w:rsidR="00B419FD">
              <w:tab/>
            </w:r>
            <w:r w:rsidR="00B419FD">
              <w:tab/>
            </w:r>
            <w:r w:rsidR="00B419FD">
              <w:tab/>
            </w:r>
            <w:r w:rsidR="00B419FD">
              <w:tab/>
            </w:r>
            <w:r w:rsidR="00B419FD">
              <w:tab/>
            </w:r>
          </w:p>
        </w:tc>
        <w:tc>
          <w:tcPr>
            <w:tcW w:w="533" w:type="dxa"/>
            <w:shd w:val="clear" w:color="auto" w:fill="auto"/>
            <w:vAlign w:val="bottom"/>
          </w:tcPr>
          <w:p w:rsidR="00755EFA" w:rsidRDefault="00986714" w:rsidP="00755EFA">
            <w:pPr>
              <w:spacing w:after="120"/>
              <w:ind w:right="40"/>
              <w:jc w:val="right"/>
            </w:pPr>
            <w:r>
              <w:t>7</w:t>
            </w:r>
          </w:p>
        </w:tc>
      </w:tr>
      <w:tr w:rsidR="00755EFA" w:rsidRPr="00C75C5F" w:rsidTr="00C75C5F">
        <w:tblPrEx>
          <w:tblCellMar>
            <w:top w:w="0" w:type="dxa"/>
            <w:bottom w:w="0" w:type="dxa"/>
          </w:tblCellMar>
        </w:tblPrEx>
        <w:tc>
          <w:tcPr>
            <w:tcW w:w="9369" w:type="dxa"/>
            <w:gridSpan w:val="3"/>
            <w:shd w:val="clear" w:color="auto" w:fill="auto"/>
          </w:tcPr>
          <w:p w:rsidR="00755EFA" w:rsidRPr="00497599" w:rsidRDefault="00755EFA" w:rsidP="00B419FD">
            <w:pPr>
              <w:pStyle w:val="SingleTxt"/>
              <w:tabs>
                <w:tab w:val="right" w:leader="dot" w:pos="9360"/>
              </w:tabs>
            </w:pPr>
            <w:r>
              <w:t>Article 3.</w:t>
            </w:r>
            <w:r>
              <w:tab/>
            </w:r>
            <w:r w:rsidR="00497599" w:rsidRPr="00497599">
              <w:t>Assurer le plein développement et le progrès des femmes</w:t>
            </w:r>
            <w:r w:rsidR="00B419FD" w:rsidRPr="00632F47">
              <w:rPr>
                <w:spacing w:val="60"/>
              </w:rPr>
              <w:tab/>
            </w:r>
          </w:p>
        </w:tc>
        <w:tc>
          <w:tcPr>
            <w:tcW w:w="533" w:type="dxa"/>
            <w:shd w:val="clear" w:color="auto" w:fill="auto"/>
            <w:vAlign w:val="bottom"/>
          </w:tcPr>
          <w:p w:rsidR="00755EFA" w:rsidRDefault="00986714" w:rsidP="00755EFA">
            <w:pPr>
              <w:spacing w:after="120"/>
              <w:ind w:right="40"/>
              <w:jc w:val="right"/>
            </w:pPr>
            <w:r>
              <w:t>17</w:t>
            </w:r>
          </w:p>
        </w:tc>
      </w:tr>
      <w:tr w:rsidR="00755EFA" w:rsidRPr="00C75C5F" w:rsidTr="00C75C5F">
        <w:tblPrEx>
          <w:tblCellMar>
            <w:top w:w="0" w:type="dxa"/>
            <w:bottom w:w="0" w:type="dxa"/>
          </w:tblCellMar>
        </w:tblPrEx>
        <w:tc>
          <w:tcPr>
            <w:tcW w:w="9369" w:type="dxa"/>
            <w:gridSpan w:val="3"/>
            <w:shd w:val="clear" w:color="auto" w:fill="auto"/>
          </w:tcPr>
          <w:p w:rsidR="00755EFA" w:rsidRPr="00497599" w:rsidRDefault="00755EFA" w:rsidP="00D764AB">
            <w:pPr>
              <w:pStyle w:val="SingleTxt"/>
              <w:tabs>
                <w:tab w:val="clear" w:pos="3182"/>
                <w:tab w:val="clear" w:pos="3658"/>
                <w:tab w:val="clear" w:pos="4133"/>
                <w:tab w:val="clear" w:pos="4622"/>
                <w:tab w:val="clear" w:pos="5098"/>
                <w:tab w:val="clear" w:pos="5573"/>
                <w:tab w:val="clear" w:pos="6048"/>
                <w:tab w:val="right" w:leader="dot" w:pos="9360"/>
              </w:tabs>
            </w:pPr>
            <w:r>
              <w:t>Article 4.</w:t>
            </w:r>
            <w:r>
              <w:tab/>
            </w:r>
            <w:r w:rsidR="00497599" w:rsidRPr="00497599">
              <w:t>Mesures positives destinées à accélérer la réalisation de l</w:t>
            </w:r>
            <w:r w:rsidR="006645B6">
              <w:t>’</w:t>
            </w:r>
            <w:r w:rsidR="00497599" w:rsidRPr="00497599">
              <w:t>égalité</w:t>
            </w:r>
            <w:r w:rsidR="00497599">
              <w:br/>
            </w:r>
            <w:r w:rsidR="00497599">
              <w:tab/>
            </w:r>
            <w:r w:rsidR="00497599">
              <w:tab/>
            </w:r>
            <w:r w:rsidR="00497599" w:rsidRPr="00497599">
              <w:t>de fait</w:t>
            </w:r>
            <w:r w:rsidR="00B419FD" w:rsidRPr="00632F47">
              <w:rPr>
                <w:spacing w:val="60"/>
              </w:rPr>
              <w:tab/>
            </w:r>
            <w:r w:rsidR="00B419FD">
              <w:tab/>
            </w:r>
            <w:r w:rsidR="00B419FD">
              <w:tab/>
            </w:r>
            <w:r w:rsidR="00B419FD">
              <w:tab/>
            </w:r>
            <w:r w:rsidR="00B419FD">
              <w:tab/>
            </w:r>
            <w:r w:rsidR="00B419FD">
              <w:tab/>
            </w:r>
            <w:r w:rsidR="00B419FD">
              <w:tab/>
            </w:r>
            <w:r w:rsidR="00B419FD">
              <w:tab/>
            </w:r>
          </w:p>
        </w:tc>
        <w:tc>
          <w:tcPr>
            <w:tcW w:w="533" w:type="dxa"/>
            <w:shd w:val="clear" w:color="auto" w:fill="auto"/>
            <w:vAlign w:val="bottom"/>
          </w:tcPr>
          <w:p w:rsidR="00755EFA" w:rsidRDefault="00986714" w:rsidP="00755EFA">
            <w:pPr>
              <w:spacing w:after="120"/>
              <w:ind w:right="40"/>
              <w:jc w:val="right"/>
            </w:pPr>
            <w:r>
              <w:t>19</w:t>
            </w:r>
          </w:p>
        </w:tc>
      </w:tr>
      <w:tr w:rsidR="00755EFA" w:rsidRPr="00C75C5F" w:rsidTr="00C75C5F">
        <w:tblPrEx>
          <w:tblCellMar>
            <w:top w:w="0" w:type="dxa"/>
            <w:bottom w:w="0" w:type="dxa"/>
          </w:tblCellMar>
        </w:tblPrEx>
        <w:tc>
          <w:tcPr>
            <w:tcW w:w="9369" w:type="dxa"/>
            <w:gridSpan w:val="3"/>
            <w:shd w:val="clear" w:color="auto" w:fill="auto"/>
          </w:tcPr>
          <w:p w:rsidR="00755EFA" w:rsidRPr="00497599" w:rsidRDefault="00755EFA" w:rsidP="00B419FD">
            <w:pPr>
              <w:pStyle w:val="SingleTxt"/>
              <w:tabs>
                <w:tab w:val="right" w:leader="dot" w:pos="9360"/>
              </w:tabs>
            </w:pPr>
            <w:r>
              <w:t>Article 5.</w:t>
            </w:r>
            <w:r w:rsidR="00497599">
              <w:tab/>
            </w:r>
            <w:r w:rsidR="00497599" w:rsidRPr="00497599">
              <w:t>Modification des modèles de comportement socioculturel</w:t>
            </w:r>
            <w:r w:rsidR="00B419FD" w:rsidRPr="00632F47">
              <w:rPr>
                <w:spacing w:val="60"/>
              </w:rPr>
              <w:tab/>
            </w:r>
          </w:p>
        </w:tc>
        <w:tc>
          <w:tcPr>
            <w:tcW w:w="533" w:type="dxa"/>
            <w:shd w:val="clear" w:color="auto" w:fill="auto"/>
            <w:vAlign w:val="bottom"/>
          </w:tcPr>
          <w:p w:rsidR="00755EFA" w:rsidRDefault="00986714" w:rsidP="00755EFA">
            <w:pPr>
              <w:spacing w:after="120"/>
              <w:ind w:right="40"/>
              <w:jc w:val="right"/>
            </w:pPr>
            <w:r>
              <w:t>19</w:t>
            </w:r>
          </w:p>
        </w:tc>
      </w:tr>
      <w:tr w:rsidR="00755EFA" w:rsidRPr="00C75C5F" w:rsidTr="00C75C5F">
        <w:tblPrEx>
          <w:tblCellMar>
            <w:top w:w="0" w:type="dxa"/>
            <w:bottom w:w="0" w:type="dxa"/>
          </w:tblCellMar>
        </w:tblPrEx>
        <w:tc>
          <w:tcPr>
            <w:tcW w:w="9369" w:type="dxa"/>
            <w:gridSpan w:val="3"/>
            <w:shd w:val="clear" w:color="auto" w:fill="auto"/>
          </w:tcPr>
          <w:p w:rsidR="00755EFA" w:rsidRDefault="00755EFA" w:rsidP="00D764AB">
            <w:pPr>
              <w:pStyle w:val="SingleTxt"/>
              <w:tabs>
                <w:tab w:val="clear" w:pos="5573"/>
                <w:tab w:val="clear" w:pos="6048"/>
                <w:tab w:val="right" w:leader="dot" w:pos="9360"/>
              </w:tabs>
            </w:pPr>
            <w:r>
              <w:t>Article 6.</w:t>
            </w:r>
            <w:r w:rsidR="00497599">
              <w:tab/>
              <w:t>Élimination de toutes les formes d</w:t>
            </w:r>
            <w:r w:rsidR="006645B6">
              <w:t>’</w:t>
            </w:r>
            <w:r w:rsidR="00497599">
              <w:t>exploitation des femmes</w:t>
            </w:r>
            <w:r w:rsidR="00497599">
              <w:br/>
            </w:r>
            <w:r w:rsidR="00497599">
              <w:tab/>
            </w:r>
            <w:r w:rsidR="00497599">
              <w:tab/>
              <w:t xml:space="preserve">(en particulier la traite des femmes et la prostitution) et de la </w:t>
            </w:r>
            <w:r w:rsidR="00497599">
              <w:br/>
            </w:r>
            <w:r w:rsidR="00497599">
              <w:tab/>
            </w:r>
            <w:r w:rsidR="00497599">
              <w:tab/>
              <w:t>violence à l</w:t>
            </w:r>
            <w:r w:rsidR="006645B6">
              <w:t>’</w:t>
            </w:r>
            <w:r w:rsidR="00497599">
              <w:t>encontre des femmes</w:t>
            </w:r>
            <w:r w:rsidR="00B419FD" w:rsidRPr="00632F47">
              <w:rPr>
                <w:spacing w:val="60"/>
              </w:rPr>
              <w:tab/>
            </w:r>
            <w:r w:rsidR="00B419FD">
              <w:tab/>
            </w:r>
            <w:r w:rsidR="00B419FD">
              <w:tab/>
            </w:r>
          </w:p>
        </w:tc>
        <w:tc>
          <w:tcPr>
            <w:tcW w:w="533" w:type="dxa"/>
            <w:shd w:val="clear" w:color="auto" w:fill="auto"/>
            <w:vAlign w:val="bottom"/>
          </w:tcPr>
          <w:p w:rsidR="00755EFA" w:rsidRDefault="00986714" w:rsidP="00755EFA">
            <w:pPr>
              <w:spacing w:after="120"/>
              <w:ind w:right="40"/>
              <w:jc w:val="right"/>
            </w:pPr>
            <w:r>
              <w:t>23</w:t>
            </w:r>
          </w:p>
        </w:tc>
      </w:tr>
      <w:tr w:rsidR="00755EFA" w:rsidRPr="00C75C5F" w:rsidTr="00C75C5F">
        <w:tblPrEx>
          <w:tblCellMar>
            <w:top w:w="0" w:type="dxa"/>
            <w:bottom w:w="0" w:type="dxa"/>
          </w:tblCellMar>
        </w:tblPrEx>
        <w:tc>
          <w:tcPr>
            <w:tcW w:w="9369" w:type="dxa"/>
            <w:gridSpan w:val="3"/>
            <w:shd w:val="clear" w:color="auto" w:fill="auto"/>
          </w:tcPr>
          <w:p w:rsidR="00755EFA" w:rsidRPr="00497599" w:rsidRDefault="00755EFA" w:rsidP="00D764AB">
            <w:pPr>
              <w:pStyle w:val="SingleTxt"/>
              <w:tabs>
                <w:tab w:val="clear" w:pos="6048"/>
                <w:tab w:val="right" w:leader="dot" w:pos="9360"/>
              </w:tabs>
            </w:pPr>
            <w:r>
              <w:t>Article 7.</w:t>
            </w:r>
            <w:r w:rsidR="00497599">
              <w:tab/>
            </w:r>
            <w:r w:rsidR="00497599" w:rsidRPr="00497599">
              <w:t>Égalité dans la vie politique et publique</w:t>
            </w:r>
            <w:r w:rsidR="00B419FD" w:rsidRPr="00632F47">
              <w:rPr>
                <w:spacing w:val="60"/>
              </w:rPr>
              <w:tab/>
            </w:r>
            <w:r w:rsidR="00B419FD">
              <w:tab/>
            </w:r>
          </w:p>
        </w:tc>
        <w:tc>
          <w:tcPr>
            <w:tcW w:w="533" w:type="dxa"/>
            <w:shd w:val="clear" w:color="auto" w:fill="auto"/>
            <w:vAlign w:val="bottom"/>
          </w:tcPr>
          <w:p w:rsidR="00755EFA" w:rsidRDefault="00986714" w:rsidP="00755EFA">
            <w:pPr>
              <w:spacing w:after="120"/>
              <w:ind w:right="40"/>
              <w:jc w:val="right"/>
            </w:pPr>
            <w:r>
              <w:t>30</w:t>
            </w:r>
          </w:p>
        </w:tc>
      </w:tr>
      <w:tr w:rsidR="00755EFA" w:rsidRPr="00C75C5F" w:rsidTr="00C75C5F">
        <w:tblPrEx>
          <w:tblCellMar>
            <w:top w:w="0" w:type="dxa"/>
            <w:bottom w:w="0" w:type="dxa"/>
          </w:tblCellMar>
        </w:tblPrEx>
        <w:tc>
          <w:tcPr>
            <w:tcW w:w="9369" w:type="dxa"/>
            <w:gridSpan w:val="3"/>
            <w:shd w:val="clear" w:color="auto" w:fill="auto"/>
          </w:tcPr>
          <w:p w:rsidR="00755EFA" w:rsidRPr="00497599" w:rsidRDefault="00755EFA" w:rsidP="00632F47">
            <w:pPr>
              <w:pStyle w:val="SingleTxt"/>
              <w:tabs>
                <w:tab w:val="clear" w:pos="3658"/>
                <w:tab w:val="clear" w:pos="4133"/>
                <w:tab w:val="clear" w:pos="4622"/>
                <w:tab w:val="clear" w:pos="5098"/>
                <w:tab w:val="clear" w:pos="5573"/>
                <w:tab w:val="clear" w:pos="6048"/>
                <w:tab w:val="right" w:leader="dot" w:pos="9360"/>
              </w:tabs>
            </w:pPr>
            <w:r>
              <w:t>Article 8.</w:t>
            </w:r>
            <w:r w:rsidR="00497599">
              <w:tab/>
            </w:r>
            <w:r w:rsidR="00497599" w:rsidRPr="00497599">
              <w:t xml:space="preserve">Participation des femmes au Gouvernement et aux organisations </w:t>
            </w:r>
            <w:r w:rsidR="00986714">
              <w:br/>
            </w:r>
            <w:r w:rsidR="00986714">
              <w:tab/>
            </w:r>
            <w:r w:rsidR="00986714">
              <w:tab/>
              <w:t>internationales</w:t>
            </w:r>
            <w:r w:rsidR="00986714">
              <w:tab/>
            </w:r>
            <w:r w:rsidR="00986714">
              <w:tab/>
            </w:r>
            <w:r w:rsidR="00986714">
              <w:tab/>
            </w:r>
            <w:r w:rsidR="00986714">
              <w:tab/>
            </w:r>
            <w:r w:rsidR="00986714">
              <w:tab/>
            </w:r>
            <w:r w:rsidR="00986714">
              <w:tab/>
            </w:r>
            <w:r w:rsidR="00986714">
              <w:tab/>
            </w:r>
          </w:p>
        </w:tc>
        <w:tc>
          <w:tcPr>
            <w:tcW w:w="533" w:type="dxa"/>
            <w:shd w:val="clear" w:color="auto" w:fill="auto"/>
            <w:vAlign w:val="bottom"/>
          </w:tcPr>
          <w:p w:rsidR="00755EFA" w:rsidRDefault="00986714" w:rsidP="00755EFA">
            <w:pPr>
              <w:spacing w:after="120"/>
              <w:ind w:right="40"/>
              <w:jc w:val="right"/>
            </w:pPr>
            <w:r>
              <w:t>30</w:t>
            </w:r>
          </w:p>
        </w:tc>
      </w:tr>
      <w:tr w:rsidR="00755EFA" w:rsidRPr="00C75C5F" w:rsidTr="00C75C5F">
        <w:tblPrEx>
          <w:tblCellMar>
            <w:top w:w="0" w:type="dxa"/>
            <w:bottom w:w="0" w:type="dxa"/>
          </w:tblCellMar>
        </w:tblPrEx>
        <w:tc>
          <w:tcPr>
            <w:tcW w:w="9369" w:type="dxa"/>
            <w:gridSpan w:val="3"/>
            <w:shd w:val="clear" w:color="auto" w:fill="auto"/>
          </w:tcPr>
          <w:p w:rsidR="00755EFA" w:rsidRPr="00497599" w:rsidRDefault="00755EFA" w:rsidP="00D764AB">
            <w:pPr>
              <w:pStyle w:val="SingleTxt"/>
              <w:tabs>
                <w:tab w:val="clear" w:pos="3658"/>
                <w:tab w:val="clear" w:pos="4133"/>
                <w:tab w:val="clear" w:pos="4622"/>
                <w:tab w:val="clear" w:pos="5098"/>
                <w:tab w:val="clear" w:pos="5573"/>
                <w:tab w:val="clear" w:pos="6048"/>
                <w:tab w:val="right" w:leader="dot" w:pos="9360"/>
              </w:tabs>
            </w:pPr>
            <w:r>
              <w:t>Article 10.</w:t>
            </w:r>
            <w:r w:rsidR="00497599">
              <w:tab/>
            </w:r>
            <w:r w:rsidR="00CC772D" w:rsidRPr="00497599">
              <w:t>Éducation</w:t>
            </w:r>
            <w:r w:rsidR="00B419FD">
              <w:tab/>
            </w:r>
            <w:r w:rsidR="00B419FD" w:rsidRPr="00632F47">
              <w:rPr>
                <w:spacing w:val="60"/>
              </w:rPr>
              <w:tab/>
            </w:r>
            <w:r w:rsidR="00B419FD">
              <w:tab/>
            </w:r>
            <w:r w:rsidR="00B419FD">
              <w:tab/>
            </w:r>
            <w:r w:rsidR="00B419FD">
              <w:tab/>
            </w:r>
            <w:r w:rsidR="00B419FD">
              <w:tab/>
            </w:r>
            <w:r w:rsidR="00B419FD">
              <w:tab/>
            </w:r>
            <w:r w:rsidR="00B419FD">
              <w:tab/>
            </w:r>
          </w:p>
        </w:tc>
        <w:tc>
          <w:tcPr>
            <w:tcW w:w="533" w:type="dxa"/>
            <w:shd w:val="clear" w:color="auto" w:fill="auto"/>
            <w:vAlign w:val="bottom"/>
          </w:tcPr>
          <w:p w:rsidR="00755EFA" w:rsidRDefault="00986714" w:rsidP="00755EFA">
            <w:pPr>
              <w:spacing w:after="120"/>
              <w:ind w:right="40"/>
              <w:jc w:val="right"/>
            </w:pPr>
            <w:r>
              <w:t>35</w:t>
            </w:r>
          </w:p>
        </w:tc>
      </w:tr>
      <w:tr w:rsidR="00755EFA" w:rsidRPr="00C75C5F" w:rsidTr="00C75C5F">
        <w:tblPrEx>
          <w:tblCellMar>
            <w:top w:w="0" w:type="dxa"/>
            <w:bottom w:w="0" w:type="dxa"/>
          </w:tblCellMar>
        </w:tblPrEx>
        <w:tc>
          <w:tcPr>
            <w:tcW w:w="9369" w:type="dxa"/>
            <w:gridSpan w:val="3"/>
            <w:shd w:val="clear" w:color="auto" w:fill="auto"/>
          </w:tcPr>
          <w:p w:rsidR="00755EFA" w:rsidRPr="00497599" w:rsidRDefault="00755EFA" w:rsidP="00D764AB">
            <w:pPr>
              <w:pStyle w:val="SingleTxt"/>
              <w:tabs>
                <w:tab w:val="clear" w:pos="5573"/>
                <w:tab w:val="clear" w:pos="6048"/>
                <w:tab w:val="right" w:leader="dot" w:pos="9360"/>
              </w:tabs>
            </w:pPr>
            <w:r>
              <w:t>Article 11.</w:t>
            </w:r>
            <w:r w:rsidR="00497599">
              <w:tab/>
            </w:r>
            <w:r w:rsidR="00497599" w:rsidRPr="00497599">
              <w:t>Emploi, maternité et sécurité sociale</w:t>
            </w:r>
            <w:r w:rsidR="00B419FD" w:rsidRPr="00632F47">
              <w:rPr>
                <w:spacing w:val="60"/>
              </w:rPr>
              <w:tab/>
            </w:r>
            <w:r w:rsidR="00B419FD">
              <w:tab/>
            </w:r>
            <w:r w:rsidR="00B419FD">
              <w:tab/>
            </w:r>
            <w:r w:rsidR="00B419FD">
              <w:tab/>
            </w:r>
          </w:p>
        </w:tc>
        <w:tc>
          <w:tcPr>
            <w:tcW w:w="533" w:type="dxa"/>
            <w:shd w:val="clear" w:color="auto" w:fill="auto"/>
            <w:vAlign w:val="bottom"/>
          </w:tcPr>
          <w:p w:rsidR="00755EFA" w:rsidRDefault="00986714" w:rsidP="00755EFA">
            <w:pPr>
              <w:spacing w:after="120"/>
              <w:ind w:right="40"/>
              <w:jc w:val="right"/>
            </w:pPr>
            <w:r>
              <w:t>39</w:t>
            </w:r>
          </w:p>
        </w:tc>
      </w:tr>
      <w:tr w:rsidR="00755EFA" w:rsidRPr="00C75C5F" w:rsidTr="00C75C5F">
        <w:tblPrEx>
          <w:tblCellMar>
            <w:top w:w="0" w:type="dxa"/>
            <w:bottom w:w="0" w:type="dxa"/>
          </w:tblCellMar>
        </w:tblPrEx>
        <w:tc>
          <w:tcPr>
            <w:tcW w:w="9369" w:type="dxa"/>
            <w:gridSpan w:val="3"/>
            <w:shd w:val="clear" w:color="auto" w:fill="auto"/>
          </w:tcPr>
          <w:p w:rsidR="00755EFA" w:rsidRDefault="00755EFA" w:rsidP="00D764AB">
            <w:pPr>
              <w:pStyle w:val="SingleTxt"/>
              <w:tabs>
                <w:tab w:val="clear" w:pos="3182"/>
                <w:tab w:val="clear" w:pos="3658"/>
                <w:tab w:val="clear" w:pos="4133"/>
                <w:tab w:val="clear" w:pos="4622"/>
                <w:tab w:val="clear" w:pos="5098"/>
                <w:tab w:val="clear" w:pos="5573"/>
                <w:tab w:val="clear" w:pos="6048"/>
                <w:tab w:val="right" w:leader="dot" w:pos="9360"/>
              </w:tabs>
            </w:pPr>
            <w:r>
              <w:t>Article 12.</w:t>
            </w:r>
            <w:r w:rsidR="00497599">
              <w:tab/>
              <w:t>Santé</w:t>
            </w:r>
            <w:r w:rsidR="00B419FD" w:rsidRPr="00632F47">
              <w:rPr>
                <w:spacing w:val="60"/>
              </w:rPr>
              <w:tab/>
            </w:r>
            <w:r w:rsidR="00B419FD">
              <w:tab/>
            </w:r>
            <w:r w:rsidR="00B419FD">
              <w:tab/>
            </w:r>
            <w:r w:rsidR="00B419FD">
              <w:tab/>
            </w:r>
            <w:r w:rsidR="00B419FD">
              <w:tab/>
            </w:r>
            <w:r w:rsidR="00B419FD">
              <w:tab/>
            </w:r>
            <w:r w:rsidR="00B419FD">
              <w:tab/>
            </w:r>
            <w:r w:rsidR="00B419FD">
              <w:tab/>
            </w:r>
          </w:p>
        </w:tc>
        <w:tc>
          <w:tcPr>
            <w:tcW w:w="533" w:type="dxa"/>
            <w:shd w:val="clear" w:color="auto" w:fill="auto"/>
            <w:vAlign w:val="bottom"/>
          </w:tcPr>
          <w:p w:rsidR="00755EFA" w:rsidRDefault="00986714" w:rsidP="00755EFA">
            <w:pPr>
              <w:spacing w:after="120"/>
              <w:ind w:right="40"/>
              <w:jc w:val="right"/>
            </w:pPr>
            <w:r>
              <w:t>50</w:t>
            </w:r>
          </w:p>
        </w:tc>
      </w:tr>
      <w:tr w:rsidR="00755EFA" w:rsidRPr="00C75C5F" w:rsidTr="00C75C5F">
        <w:tblPrEx>
          <w:tblCellMar>
            <w:top w:w="0" w:type="dxa"/>
            <w:bottom w:w="0" w:type="dxa"/>
          </w:tblCellMar>
        </w:tblPrEx>
        <w:tc>
          <w:tcPr>
            <w:tcW w:w="9369" w:type="dxa"/>
            <w:gridSpan w:val="3"/>
            <w:shd w:val="clear" w:color="auto" w:fill="auto"/>
          </w:tcPr>
          <w:p w:rsidR="00755EFA" w:rsidRPr="00497599" w:rsidRDefault="00755EFA" w:rsidP="00B419FD">
            <w:pPr>
              <w:pStyle w:val="SingleTxt"/>
              <w:tabs>
                <w:tab w:val="right" w:leader="dot" w:pos="9360"/>
              </w:tabs>
            </w:pPr>
            <w:r>
              <w:t>Article 13.</w:t>
            </w:r>
            <w:r w:rsidR="00497599">
              <w:tab/>
            </w:r>
            <w:r w:rsidR="00497599" w:rsidRPr="00497599">
              <w:t xml:space="preserve">Autres domaines de la vie économique et sociale </w:t>
            </w:r>
            <w:r w:rsidR="00497599" w:rsidRPr="00632F47">
              <w:rPr>
                <w:spacing w:val="60"/>
              </w:rPr>
              <w:tab/>
            </w:r>
          </w:p>
        </w:tc>
        <w:tc>
          <w:tcPr>
            <w:tcW w:w="533" w:type="dxa"/>
            <w:shd w:val="clear" w:color="auto" w:fill="auto"/>
            <w:vAlign w:val="bottom"/>
          </w:tcPr>
          <w:p w:rsidR="00755EFA" w:rsidRDefault="00986714" w:rsidP="00755EFA">
            <w:pPr>
              <w:spacing w:after="120"/>
              <w:ind w:right="40"/>
              <w:jc w:val="right"/>
            </w:pPr>
            <w:r>
              <w:t>53</w:t>
            </w:r>
          </w:p>
        </w:tc>
      </w:tr>
      <w:tr w:rsidR="00755EFA" w:rsidRPr="00C75C5F" w:rsidTr="00C75C5F">
        <w:tblPrEx>
          <w:tblCellMar>
            <w:top w:w="0" w:type="dxa"/>
            <w:bottom w:w="0" w:type="dxa"/>
          </w:tblCellMar>
        </w:tblPrEx>
        <w:tc>
          <w:tcPr>
            <w:tcW w:w="9369" w:type="dxa"/>
            <w:gridSpan w:val="3"/>
            <w:shd w:val="clear" w:color="auto" w:fill="auto"/>
          </w:tcPr>
          <w:p w:rsidR="00755EFA" w:rsidRPr="00497599" w:rsidRDefault="00755EFA" w:rsidP="00D764AB">
            <w:pPr>
              <w:pStyle w:val="SingleTxt"/>
              <w:tabs>
                <w:tab w:val="clear" w:pos="5098"/>
                <w:tab w:val="clear" w:pos="5573"/>
                <w:tab w:val="clear" w:pos="6048"/>
                <w:tab w:val="right" w:leader="dot" w:pos="9360"/>
              </w:tabs>
            </w:pPr>
            <w:r>
              <w:t>Article 14.</w:t>
            </w:r>
            <w:r w:rsidR="00497599">
              <w:tab/>
            </w:r>
            <w:r w:rsidR="00497599" w:rsidRPr="00497599">
              <w:t>Promotion des femmes rurales</w:t>
            </w:r>
            <w:r w:rsidR="00B419FD" w:rsidRPr="00632F47">
              <w:rPr>
                <w:spacing w:val="60"/>
              </w:rPr>
              <w:tab/>
            </w:r>
            <w:r w:rsidR="00B419FD">
              <w:tab/>
            </w:r>
            <w:r w:rsidR="00B419FD">
              <w:tab/>
            </w:r>
            <w:r w:rsidR="00B419FD">
              <w:tab/>
            </w:r>
            <w:r w:rsidR="00B419FD">
              <w:tab/>
            </w:r>
          </w:p>
        </w:tc>
        <w:tc>
          <w:tcPr>
            <w:tcW w:w="533" w:type="dxa"/>
            <w:shd w:val="clear" w:color="auto" w:fill="auto"/>
            <w:vAlign w:val="bottom"/>
          </w:tcPr>
          <w:p w:rsidR="00755EFA" w:rsidRDefault="00986714" w:rsidP="00755EFA">
            <w:pPr>
              <w:spacing w:after="120"/>
              <w:ind w:right="40"/>
              <w:jc w:val="right"/>
            </w:pPr>
            <w:r>
              <w:t>53</w:t>
            </w:r>
          </w:p>
        </w:tc>
      </w:tr>
      <w:tr w:rsidR="00755EFA" w:rsidRPr="00C75C5F" w:rsidTr="00C75C5F">
        <w:tblPrEx>
          <w:tblCellMar>
            <w:top w:w="0" w:type="dxa"/>
            <w:bottom w:w="0" w:type="dxa"/>
          </w:tblCellMar>
        </w:tblPrEx>
        <w:tc>
          <w:tcPr>
            <w:tcW w:w="9369" w:type="dxa"/>
            <w:gridSpan w:val="3"/>
            <w:shd w:val="clear" w:color="auto" w:fill="auto"/>
          </w:tcPr>
          <w:p w:rsidR="00755EFA" w:rsidRPr="00497599" w:rsidRDefault="00755EFA" w:rsidP="00673DE2">
            <w:pPr>
              <w:pStyle w:val="SingleTxt"/>
              <w:tabs>
                <w:tab w:val="clear" w:pos="4622"/>
                <w:tab w:val="clear" w:pos="5098"/>
                <w:tab w:val="clear" w:pos="5573"/>
                <w:tab w:val="clear" w:pos="6048"/>
                <w:tab w:val="right" w:leader="dot" w:pos="9360"/>
              </w:tabs>
            </w:pPr>
            <w:r>
              <w:t>Article 16.</w:t>
            </w:r>
            <w:r w:rsidR="00497599">
              <w:tab/>
            </w:r>
            <w:r w:rsidR="00497599" w:rsidRPr="00497599">
              <w:t>Mariage et vie de famille</w:t>
            </w:r>
            <w:r w:rsidR="00B419FD" w:rsidRPr="00632F47">
              <w:rPr>
                <w:spacing w:val="60"/>
              </w:rPr>
              <w:tab/>
            </w:r>
            <w:r w:rsidR="00B419FD">
              <w:tab/>
            </w:r>
            <w:r w:rsidR="00B419FD">
              <w:tab/>
            </w:r>
            <w:r w:rsidR="00B419FD">
              <w:tab/>
            </w:r>
            <w:r w:rsidR="00B419FD">
              <w:tab/>
            </w:r>
          </w:p>
        </w:tc>
        <w:tc>
          <w:tcPr>
            <w:tcW w:w="533" w:type="dxa"/>
            <w:shd w:val="clear" w:color="auto" w:fill="auto"/>
            <w:vAlign w:val="bottom"/>
          </w:tcPr>
          <w:p w:rsidR="00755EFA" w:rsidRDefault="00986714" w:rsidP="00755EFA">
            <w:pPr>
              <w:spacing w:after="120"/>
              <w:ind w:right="40"/>
              <w:jc w:val="right"/>
            </w:pPr>
            <w:r>
              <w:t>54</w:t>
            </w:r>
          </w:p>
        </w:tc>
      </w:tr>
      <w:tr w:rsidR="00755EFA" w:rsidRPr="00C75C5F" w:rsidTr="00C75C5F">
        <w:tblPrEx>
          <w:tblCellMar>
            <w:top w:w="0" w:type="dxa"/>
            <w:bottom w:w="0" w:type="dxa"/>
          </w:tblCellMar>
        </w:tblPrEx>
        <w:tc>
          <w:tcPr>
            <w:tcW w:w="9369" w:type="dxa"/>
            <w:gridSpan w:val="3"/>
            <w:shd w:val="clear" w:color="auto" w:fill="auto"/>
          </w:tcPr>
          <w:p w:rsidR="00755EFA" w:rsidRPr="00497599" w:rsidRDefault="00755EFA" w:rsidP="00D764AB">
            <w:pPr>
              <w:pStyle w:val="SingleTxt"/>
              <w:tabs>
                <w:tab w:val="clear" w:pos="4622"/>
                <w:tab w:val="clear" w:pos="5098"/>
                <w:tab w:val="clear" w:pos="5573"/>
                <w:tab w:val="clear" w:pos="6048"/>
                <w:tab w:val="right" w:leader="dot" w:pos="9360"/>
              </w:tabs>
            </w:pPr>
            <w:r>
              <w:t>Article 24.</w:t>
            </w:r>
            <w:r w:rsidR="00497599">
              <w:tab/>
            </w:r>
            <w:r w:rsidR="00497599" w:rsidRPr="00497599">
              <w:t>Sensibilisation du public</w:t>
            </w:r>
            <w:r w:rsidR="00B419FD" w:rsidRPr="00632F47">
              <w:rPr>
                <w:spacing w:val="60"/>
              </w:rPr>
              <w:tab/>
            </w:r>
            <w:r w:rsidR="00B419FD">
              <w:tab/>
            </w:r>
            <w:r w:rsidR="00B419FD">
              <w:tab/>
            </w:r>
            <w:r w:rsidR="00B419FD">
              <w:tab/>
            </w:r>
            <w:r w:rsidR="00B419FD">
              <w:tab/>
            </w:r>
            <w:r w:rsidR="00B419FD">
              <w:tab/>
            </w:r>
          </w:p>
        </w:tc>
        <w:tc>
          <w:tcPr>
            <w:tcW w:w="533" w:type="dxa"/>
            <w:shd w:val="clear" w:color="auto" w:fill="auto"/>
            <w:vAlign w:val="bottom"/>
          </w:tcPr>
          <w:p w:rsidR="00755EFA" w:rsidRDefault="00986714" w:rsidP="00755EFA">
            <w:pPr>
              <w:spacing w:after="120"/>
              <w:ind w:right="40"/>
              <w:jc w:val="right"/>
            </w:pPr>
            <w:r>
              <w:t>55</w:t>
            </w:r>
          </w:p>
        </w:tc>
      </w:tr>
      <w:tr w:rsidR="00755EFA" w:rsidRPr="00C75C5F" w:rsidTr="00C75C5F">
        <w:tblPrEx>
          <w:tblCellMar>
            <w:top w:w="0" w:type="dxa"/>
            <w:bottom w:w="0" w:type="dxa"/>
          </w:tblCellMar>
        </w:tblPrEx>
        <w:tc>
          <w:tcPr>
            <w:tcW w:w="9369" w:type="dxa"/>
            <w:gridSpan w:val="3"/>
            <w:shd w:val="clear" w:color="auto" w:fill="auto"/>
          </w:tcPr>
          <w:p w:rsidR="00755EFA" w:rsidRDefault="00755EFA" w:rsidP="00D764AB">
            <w:pPr>
              <w:pStyle w:val="SingleTxt"/>
              <w:tabs>
                <w:tab w:val="clear" w:pos="3182"/>
                <w:tab w:val="clear" w:pos="3658"/>
                <w:tab w:val="clear" w:pos="4133"/>
                <w:tab w:val="clear" w:pos="4622"/>
                <w:tab w:val="clear" w:pos="5098"/>
                <w:tab w:val="clear" w:pos="5573"/>
                <w:tab w:val="clear" w:pos="6048"/>
                <w:tab w:val="right" w:leader="dot" w:pos="9360"/>
              </w:tabs>
            </w:pPr>
            <w:r>
              <w:t>Article 28</w:t>
            </w:r>
            <w:r w:rsidR="00497599">
              <w:tab/>
              <w:t>Réserves</w:t>
            </w:r>
            <w:r w:rsidR="00B419FD" w:rsidRPr="00632F47">
              <w:rPr>
                <w:spacing w:val="60"/>
              </w:rPr>
              <w:tab/>
            </w:r>
            <w:r w:rsidR="00B419FD">
              <w:tab/>
            </w:r>
            <w:r w:rsidR="00B419FD">
              <w:tab/>
            </w:r>
            <w:r w:rsidR="00B419FD">
              <w:tab/>
            </w:r>
            <w:r w:rsidR="00B419FD">
              <w:tab/>
            </w:r>
            <w:r w:rsidR="00B419FD">
              <w:tab/>
            </w:r>
            <w:r w:rsidR="00B419FD">
              <w:tab/>
            </w:r>
            <w:r w:rsidR="00B419FD">
              <w:tab/>
            </w:r>
          </w:p>
        </w:tc>
        <w:tc>
          <w:tcPr>
            <w:tcW w:w="533" w:type="dxa"/>
            <w:shd w:val="clear" w:color="auto" w:fill="auto"/>
            <w:vAlign w:val="bottom"/>
          </w:tcPr>
          <w:p w:rsidR="00755EFA" w:rsidRDefault="00986714" w:rsidP="00755EFA">
            <w:pPr>
              <w:spacing w:after="120"/>
              <w:ind w:right="40"/>
              <w:jc w:val="right"/>
            </w:pPr>
            <w:r>
              <w:t>57</w:t>
            </w:r>
          </w:p>
        </w:tc>
      </w:tr>
      <w:tr w:rsidR="00755EFA" w:rsidRPr="00C75C5F" w:rsidTr="00C75C5F">
        <w:tblPrEx>
          <w:tblCellMar>
            <w:top w:w="0" w:type="dxa"/>
            <w:bottom w:w="0" w:type="dxa"/>
          </w:tblCellMar>
        </w:tblPrEx>
        <w:tc>
          <w:tcPr>
            <w:tcW w:w="9369" w:type="dxa"/>
            <w:gridSpan w:val="3"/>
            <w:shd w:val="clear" w:color="auto" w:fill="auto"/>
          </w:tcPr>
          <w:p w:rsidR="00755EFA" w:rsidRDefault="00755EFA" w:rsidP="00D764AB">
            <w:pPr>
              <w:pStyle w:val="SingleTxt"/>
              <w:tabs>
                <w:tab w:val="clear" w:pos="3658"/>
                <w:tab w:val="clear" w:pos="4133"/>
                <w:tab w:val="clear" w:pos="4622"/>
                <w:tab w:val="clear" w:pos="5098"/>
                <w:tab w:val="clear" w:pos="5573"/>
                <w:tab w:val="clear" w:pos="6048"/>
                <w:tab w:val="right" w:leader="dot" w:pos="9360"/>
              </w:tabs>
              <w:ind w:left="720"/>
            </w:pPr>
            <w:r>
              <w:t>Appendice 1</w:t>
            </w:r>
            <w:r w:rsidR="006645B6">
              <w:t> :</w:t>
            </w:r>
            <w:r w:rsidR="00497599">
              <w:t xml:space="preserve"> Textes juridiques</w:t>
            </w:r>
            <w:r w:rsidR="00B419FD" w:rsidRPr="00632F47">
              <w:rPr>
                <w:spacing w:val="60"/>
              </w:rPr>
              <w:tab/>
            </w:r>
            <w:r w:rsidR="00B419FD">
              <w:tab/>
            </w:r>
            <w:r w:rsidR="00B419FD">
              <w:tab/>
            </w:r>
            <w:r w:rsidR="00B419FD">
              <w:tab/>
            </w:r>
            <w:r w:rsidR="00B419FD">
              <w:tab/>
            </w:r>
            <w:r w:rsidR="00B419FD">
              <w:tab/>
            </w:r>
            <w:r w:rsidR="00B419FD">
              <w:tab/>
            </w:r>
          </w:p>
        </w:tc>
        <w:tc>
          <w:tcPr>
            <w:tcW w:w="533" w:type="dxa"/>
            <w:shd w:val="clear" w:color="auto" w:fill="auto"/>
            <w:vAlign w:val="bottom"/>
          </w:tcPr>
          <w:p w:rsidR="00755EFA" w:rsidRDefault="00986714" w:rsidP="00755EFA">
            <w:pPr>
              <w:spacing w:after="120"/>
              <w:ind w:right="40"/>
              <w:jc w:val="right"/>
            </w:pPr>
            <w:r>
              <w:t>58</w:t>
            </w:r>
          </w:p>
        </w:tc>
      </w:tr>
      <w:tr w:rsidR="00755EFA" w:rsidRPr="00C75C5F" w:rsidTr="00C75C5F">
        <w:tblPrEx>
          <w:tblCellMar>
            <w:top w:w="0" w:type="dxa"/>
            <w:bottom w:w="0" w:type="dxa"/>
          </w:tblCellMar>
        </w:tblPrEx>
        <w:tc>
          <w:tcPr>
            <w:tcW w:w="9369" w:type="dxa"/>
            <w:gridSpan w:val="3"/>
            <w:shd w:val="clear" w:color="auto" w:fill="auto"/>
          </w:tcPr>
          <w:p w:rsidR="00755EFA" w:rsidRPr="00497599" w:rsidRDefault="00755EFA" w:rsidP="00D764AB">
            <w:pPr>
              <w:pStyle w:val="SingleTxt"/>
              <w:tabs>
                <w:tab w:val="clear" w:pos="4622"/>
                <w:tab w:val="clear" w:pos="5098"/>
                <w:tab w:val="clear" w:pos="5573"/>
                <w:tab w:val="clear" w:pos="6048"/>
                <w:tab w:val="right" w:leader="dot" w:pos="9360"/>
              </w:tabs>
              <w:ind w:left="720"/>
            </w:pPr>
            <w:r>
              <w:t>Appendi</w:t>
            </w:r>
            <w:r w:rsidR="00497599">
              <w:t>c</w:t>
            </w:r>
            <w:r>
              <w:t>e 2</w:t>
            </w:r>
            <w:r w:rsidR="006645B6">
              <w:t> :</w:t>
            </w:r>
            <w:r w:rsidR="00497599">
              <w:t xml:space="preserve"> </w:t>
            </w:r>
            <w:r w:rsidR="00497599" w:rsidRPr="00497599">
              <w:t>C</w:t>
            </w:r>
            <w:r w:rsidR="00497599">
              <w:t>ontributions du Liechtenstein à des projets intéressant les femmes dans les pays en développement entre 2006 et 2009</w:t>
            </w:r>
            <w:r w:rsidR="00B419FD" w:rsidRPr="00632F47">
              <w:rPr>
                <w:spacing w:val="60"/>
              </w:rPr>
              <w:tab/>
            </w:r>
            <w:r w:rsidR="00B419FD">
              <w:tab/>
            </w:r>
            <w:r w:rsidR="00B419FD">
              <w:tab/>
            </w:r>
            <w:r w:rsidR="00B419FD">
              <w:tab/>
            </w:r>
          </w:p>
        </w:tc>
        <w:tc>
          <w:tcPr>
            <w:tcW w:w="533" w:type="dxa"/>
            <w:shd w:val="clear" w:color="auto" w:fill="auto"/>
            <w:vAlign w:val="bottom"/>
          </w:tcPr>
          <w:p w:rsidR="00755EFA" w:rsidRDefault="00986714" w:rsidP="00755EFA">
            <w:pPr>
              <w:spacing w:after="120"/>
              <w:ind w:right="40"/>
              <w:jc w:val="right"/>
            </w:pPr>
            <w:r>
              <w:t>59</w:t>
            </w:r>
          </w:p>
        </w:tc>
      </w:tr>
      <w:tr w:rsidR="00755EFA" w:rsidRPr="00C75C5F" w:rsidTr="00C75C5F">
        <w:tblPrEx>
          <w:tblCellMar>
            <w:top w:w="0" w:type="dxa"/>
            <w:bottom w:w="0" w:type="dxa"/>
          </w:tblCellMar>
        </w:tblPrEx>
        <w:tc>
          <w:tcPr>
            <w:tcW w:w="9369" w:type="dxa"/>
            <w:gridSpan w:val="3"/>
            <w:shd w:val="clear" w:color="auto" w:fill="auto"/>
          </w:tcPr>
          <w:p w:rsidR="00755EFA" w:rsidRDefault="00755EFA" w:rsidP="00755EFA">
            <w:pPr>
              <w:pStyle w:val="SingleTxt"/>
            </w:pPr>
          </w:p>
        </w:tc>
        <w:tc>
          <w:tcPr>
            <w:tcW w:w="533" w:type="dxa"/>
            <w:shd w:val="clear" w:color="auto" w:fill="auto"/>
            <w:vAlign w:val="bottom"/>
          </w:tcPr>
          <w:p w:rsidR="00755EFA" w:rsidRDefault="00755EFA" w:rsidP="00755EFA">
            <w:pPr>
              <w:spacing w:after="120"/>
              <w:ind w:right="40"/>
              <w:jc w:val="right"/>
            </w:pPr>
          </w:p>
        </w:tc>
      </w:tr>
    </w:tbl>
    <w:p w:rsidR="00DA6F2F" w:rsidRPr="00C75C5F" w:rsidRDefault="00DA6F2F" w:rsidP="00497599">
      <w:pPr>
        <w:pStyle w:val="SingleTxt"/>
      </w:pPr>
    </w:p>
    <w:p w:rsidR="00826E0F" w:rsidRPr="00872599" w:rsidRDefault="00826E0F" w:rsidP="00497599">
      <w:pPr>
        <w:pStyle w:val="SingleTxt"/>
        <w:rPr>
          <w:szCs w:val="24"/>
          <w:lang w:val="fr-FR"/>
        </w:rPr>
      </w:pPr>
    </w:p>
    <w:p w:rsidR="00826E0F" w:rsidRPr="00872599" w:rsidRDefault="00826E0F" w:rsidP="00497599">
      <w:pPr>
        <w:pStyle w:val="SingleTxt"/>
        <w:rPr>
          <w:b/>
          <w:sz w:val="24"/>
          <w:szCs w:val="24"/>
          <w:lang w:val="fr-FR"/>
        </w:rPr>
      </w:pPr>
    </w:p>
    <w:p w:rsidR="00826E0F" w:rsidRPr="00872599" w:rsidRDefault="00873AAA" w:rsidP="00873AA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826E0F" w:rsidRPr="00872599">
        <w:rPr>
          <w:lang w:val="fr-FR"/>
        </w:rPr>
        <w:t>Avant-propos</w:t>
      </w:r>
    </w:p>
    <w:p w:rsidR="00873AAA" w:rsidRPr="00873AAA" w:rsidRDefault="00873AAA" w:rsidP="00873AAA">
      <w:pPr>
        <w:pStyle w:val="SingleTxt"/>
        <w:spacing w:after="0" w:line="120" w:lineRule="exact"/>
        <w:rPr>
          <w:b/>
          <w:sz w:val="10"/>
          <w:lang w:val="fr-FR"/>
        </w:rPr>
      </w:pPr>
    </w:p>
    <w:p w:rsidR="00873AAA" w:rsidRPr="00873AAA" w:rsidRDefault="00873AAA" w:rsidP="00873AAA">
      <w:pPr>
        <w:pStyle w:val="SingleTxt"/>
        <w:spacing w:after="0" w:line="120" w:lineRule="exact"/>
        <w:rPr>
          <w:b/>
          <w:sz w:val="10"/>
          <w:lang w:val="fr-FR"/>
        </w:rPr>
      </w:pPr>
    </w:p>
    <w:p w:rsidR="00826E0F" w:rsidRPr="00872599" w:rsidRDefault="00873AAA" w:rsidP="00497599">
      <w:pPr>
        <w:pStyle w:val="SingleTxt"/>
        <w:rPr>
          <w:lang w:val="fr-FR"/>
        </w:rPr>
      </w:pPr>
      <w:r>
        <w:rPr>
          <w:lang w:val="fr-FR"/>
        </w:rPr>
        <w:tab/>
      </w:r>
      <w:r w:rsidR="00826E0F" w:rsidRPr="00872599">
        <w:rPr>
          <w:lang w:val="fr-FR"/>
        </w:rPr>
        <w:t>Le présent rapport, qui a été adopté par le Gouvernement de la principauté du Liechtenstein le 11 août 2009 est présenté en vertu de l</w:t>
      </w:r>
      <w:r w:rsidR="006645B6">
        <w:rPr>
          <w:lang w:val="fr-FR"/>
        </w:rPr>
        <w:t>’</w:t>
      </w:r>
      <w:r w:rsidR="00826E0F" w:rsidRPr="00872599">
        <w:rPr>
          <w:lang w:val="fr-FR"/>
        </w:rPr>
        <w:t xml:space="preserve">article 18 de </w:t>
      </w:r>
      <w:smartTag w:uri="urn:schemas-microsoft-com:office:smarttags" w:element="PersonName">
        <w:smartTagPr>
          <w:attr w:name="ProductID" w:val="la Convention"/>
        </w:smartTagPr>
        <w:r w:rsidR="00826E0F" w:rsidRPr="00872599">
          <w:rPr>
            <w:lang w:val="fr-FR"/>
          </w:rPr>
          <w:t>la Convention</w:t>
        </w:r>
      </w:smartTag>
      <w:r w:rsidR="00826E0F" w:rsidRPr="00872599">
        <w:rPr>
          <w:lang w:val="fr-FR"/>
        </w:rPr>
        <w:t xml:space="preserve"> sur l</w:t>
      </w:r>
      <w:r w:rsidR="006645B6">
        <w:rPr>
          <w:lang w:val="fr-FR"/>
        </w:rPr>
        <w:t>’</w:t>
      </w:r>
      <w:r w:rsidR="00826E0F" w:rsidRPr="00872599">
        <w:rPr>
          <w:lang w:val="fr-FR"/>
        </w:rPr>
        <w:t>élimination de toutes les formes de discrimination à l</w:t>
      </w:r>
      <w:r w:rsidR="006645B6">
        <w:rPr>
          <w:lang w:val="fr-FR"/>
        </w:rPr>
        <w:t>’</w:t>
      </w:r>
      <w:r w:rsidR="00826E0F" w:rsidRPr="00872599">
        <w:rPr>
          <w:lang w:val="fr-FR"/>
        </w:rPr>
        <w:t xml:space="preserve">égard des femmes du </w:t>
      </w:r>
      <w:r w:rsidR="00826E0F" w:rsidRPr="00F65ED6">
        <w:t>18</w:t>
      </w:r>
      <w:r w:rsidR="00F65ED6">
        <w:t> </w:t>
      </w:r>
      <w:r w:rsidR="00826E0F" w:rsidRPr="00F65ED6">
        <w:t>décembre</w:t>
      </w:r>
      <w:r w:rsidR="00826E0F" w:rsidRPr="00872599">
        <w:rPr>
          <w:lang w:val="fr-FR"/>
        </w:rPr>
        <w:t xml:space="preserve"> 1979. Il s</w:t>
      </w:r>
      <w:r w:rsidR="006645B6">
        <w:rPr>
          <w:lang w:val="fr-FR"/>
        </w:rPr>
        <w:t>’</w:t>
      </w:r>
      <w:r w:rsidR="00826E0F" w:rsidRPr="00872599">
        <w:rPr>
          <w:lang w:val="fr-FR"/>
        </w:rPr>
        <w:t>agit du quatrième rapport périodique présenté par le Liechtenstein qui couvre la période allant de juillet 2006 à mai 2009.</w:t>
      </w:r>
    </w:p>
    <w:p w:rsidR="00826E0F" w:rsidRPr="00872599" w:rsidRDefault="00873AAA" w:rsidP="00497599">
      <w:pPr>
        <w:pStyle w:val="SingleTxt"/>
        <w:rPr>
          <w:lang w:val="fr-FR"/>
        </w:rPr>
      </w:pPr>
      <w:r>
        <w:rPr>
          <w:lang w:val="fr-FR"/>
        </w:rPr>
        <w:tab/>
      </w:r>
      <w:r w:rsidR="00826E0F" w:rsidRPr="00872599">
        <w:rPr>
          <w:lang w:val="fr-FR"/>
        </w:rPr>
        <w:t>Ce rapport a été établi par le Bureau de l</w:t>
      </w:r>
      <w:r w:rsidR="006645B6">
        <w:rPr>
          <w:lang w:val="fr-FR"/>
        </w:rPr>
        <w:t>’</w:t>
      </w:r>
      <w:r w:rsidR="00826E0F" w:rsidRPr="00872599">
        <w:rPr>
          <w:lang w:val="fr-FR"/>
        </w:rPr>
        <w:t>égalité des chances et le Bureau des affaires étrangères sur la base des informations fournies par l</w:t>
      </w:r>
      <w:r w:rsidR="006645B6">
        <w:rPr>
          <w:lang w:val="fr-FR"/>
        </w:rPr>
        <w:t>’</w:t>
      </w:r>
      <w:r w:rsidR="00826E0F" w:rsidRPr="00872599">
        <w:rPr>
          <w:lang w:val="fr-FR"/>
        </w:rPr>
        <w:t>administration nationale et les organismes spécialisés et en collaboration avec les services chargés des domaines concernés. Les organisations non gouvernementales compétentes ont eu la possibilité de faire des observations sur le présent rapport.</w:t>
      </w:r>
    </w:p>
    <w:p w:rsidR="00826E0F" w:rsidRPr="00872599" w:rsidRDefault="00873AAA" w:rsidP="00497599">
      <w:pPr>
        <w:pStyle w:val="SingleTxt"/>
        <w:rPr>
          <w:lang w:val="fr-FR"/>
        </w:rPr>
      </w:pPr>
      <w:r>
        <w:rPr>
          <w:lang w:val="fr-FR"/>
        </w:rPr>
        <w:tab/>
      </w:r>
      <w:r w:rsidR="00826E0F" w:rsidRPr="00872599">
        <w:rPr>
          <w:lang w:val="fr-FR"/>
        </w:rPr>
        <w:t>La première partie du rapport contient des informations générales sur le Liechtenstein ainsi que sur la protection et la promotion des droits de l</w:t>
      </w:r>
      <w:r w:rsidR="006645B6">
        <w:rPr>
          <w:lang w:val="fr-FR"/>
        </w:rPr>
        <w:t>’</w:t>
      </w:r>
      <w:r w:rsidR="00826E0F" w:rsidRPr="00872599">
        <w:rPr>
          <w:lang w:val="fr-FR"/>
        </w:rPr>
        <w:t xml:space="preserve">homme. La deuxième partie a été établie conformément aux lignes directrices figurant dans le document HRI/GEN/2/Rev.5 du 29 mai 2008 qui couvrent les mesures législatives, administratives et autres adoptées pour mettre en </w:t>
      </w:r>
      <w:r w:rsidR="00CC772D" w:rsidRPr="00872599">
        <w:rPr>
          <w:lang w:val="fr-FR"/>
        </w:rPr>
        <w:t>œuvre</w:t>
      </w:r>
      <w:r w:rsidR="00826E0F" w:rsidRPr="00872599">
        <w:rPr>
          <w:lang w:val="fr-FR"/>
        </w:rPr>
        <w:t xml:space="preserve"> </w:t>
      </w:r>
      <w:smartTag w:uri="urn:schemas-microsoft-com:office:smarttags" w:element="PersonName">
        <w:smartTagPr>
          <w:attr w:name="ProductID" w:val="la Convention"/>
        </w:smartTagPr>
        <w:r w:rsidR="00826E0F" w:rsidRPr="00872599">
          <w:rPr>
            <w:lang w:val="fr-FR"/>
          </w:rPr>
          <w:t>la Convention</w:t>
        </w:r>
      </w:smartTag>
      <w:r w:rsidR="00826E0F" w:rsidRPr="00872599">
        <w:rPr>
          <w:lang w:val="fr-FR"/>
        </w:rPr>
        <w:t xml:space="preserve"> et menées à bien au cours de la période considérée. Le présent rapport renvoie aux observations et aux recommandations du Comité pour les deuxième et troisième rapports périodiques du Liechtenstein, que le Comité a examinés à ses 797</w:t>
      </w:r>
      <w:r w:rsidR="00826E0F" w:rsidRPr="008A4E39">
        <w:rPr>
          <w:vertAlign w:val="superscript"/>
          <w:lang w:val="fr-FR"/>
        </w:rPr>
        <w:t>e</w:t>
      </w:r>
      <w:r w:rsidR="00826E0F" w:rsidRPr="00872599">
        <w:rPr>
          <w:lang w:val="fr-FR"/>
        </w:rPr>
        <w:t xml:space="preserve"> et 798</w:t>
      </w:r>
      <w:r w:rsidR="00826E0F" w:rsidRPr="008A4E39">
        <w:rPr>
          <w:vertAlign w:val="superscript"/>
          <w:lang w:val="fr-FR"/>
        </w:rPr>
        <w:t>e</w:t>
      </w:r>
      <w:r w:rsidR="00826E0F" w:rsidRPr="00872599">
        <w:rPr>
          <w:lang w:val="fr-FR"/>
        </w:rPr>
        <w:t xml:space="preserve"> réunions le 26 juillet 2007.</w:t>
      </w:r>
    </w:p>
    <w:p w:rsidR="00AA41FD" w:rsidRPr="00AA41FD" w:rsidRDefault="00AA41FD" w:rsidP="00AA41F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lang w:val="fr-FR"/>
        </w:rPr>
      </w:pPr>
      <w:r>
        <w:rPr>
          <w:lang w:val="fr-FR"/>
        </w:rPr>
        <w:tab/>
      </w:r>
    </w:p>
    <w:p w:rsidR="00826E0F" w:rsidRPr="00872599" w:rsidRDefault="00AA41FD" w:rsidP="00AA41F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826E0F" w:rsidRPr="00872599">
        <w:rPr>
          <w:lang w:val="fr-FR"/>
        </w:rPr>
        <w:t>Gouvernement de la principauté du Liechtenstein</w:t>
      </w:r>
    </w:p>
    <w:p w:rsidR="00AA41FD" w:rsidRPr="00AA41FD" w:rsidRDefault="00AA41FD" w:rsidP="00AA41FD">
      <w:pPr>
        <w:pStyle w:val="SingleTxt"/>
        <w:spacing w:after="0" w:line="120" w:lineRule="exact"/>
        <w:rPr>
          <w:b/>
          <w:sz w:val="10"/>
          <w:lang w:val="fr-FR"/>
        </w:rPr>
      </w:pPr>
    </w:p>
    <w:p w:rsidR="00AA41FD" w:rsidRPr="00AA41FD" w:rsidRDefault="00AA41FD" w:rsidP="00AA41FD">
      <w:pPr>
        <w:pStyle w:val="SingleTxt"/>
        <w:spacing w:after="0" w:line="120" w:lineRule="exact"/>
        <w:rPr>
          <w:b/>
          <w:sz w:val="10"/>
          <w:lang w:val="fr-FR"/>
        </w:rPr>
      </w:pPr>
    </w:p>
    <w:p w:rsidR="00826E0F" w:rsidRPr="00872599" w:rsidRDefault="00AA41FD" w:rsidP="00AA41F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00826E0F" w:rsidRPr="00872599">
        <w:rPr>
          <w:lang w:val="fr-FR"/>
        </w:rPr>
        <w:t>Part I</w:t>
      </w:r>
      <w:r w:rsidR="00A03470">
        <w:rPr>
          <w:lang w:val="fr-FR"/>
        </w:rPr>
        <w:t>.</w:t>
      </w:r>
      <w:r w:rsidR="00826E0F" w:rsidRPr="00872599">
        <w:rPr>
          <w:lang w:val="fr-FR"/>
        </w:rPr>
        <w:tab/>
        <w:t>Informations concernant le pays</w:t>
      </w:r>
    </w:p>
    <w:p w:rsidR="00AA41FD" w:rsidRPr="00AA41FD" w:rsidRDefault="00AA41FD" w:rsidP="00AA41FD">
      <w:pPr>
        <w:pStyle w:val="SingleTxt"/>
        <w:spacing w:after="0" w:line="120" w:lineRule="exact"/>
        <w:rPr>
          <w:sz w:val="10"/>
          <w:lang w:val="fr-FR"/>
        </w:rPr>
      </w:pPr>
    </w:p>
    <w:p w:rsidR="00AA41FD" w:rsidRPr="00AA41FD" w:rsidRDefault="00AA41FD" w:rsidP="00AA41FD">
      <w:pPr>
        <w:pStyle w:val="SingleTxt"/>
        <w:spacing w:after="0" w:line="120" w:lineRule="exact"/>
        <w:rPr>
          <w:sz w:val="10"/>
          <w:lang w:val="fr-FR"/>
        </w:rPr>
      </w:pPr>
    </w:p>
    <w:p w:rsidR="00826E0F" w:rsidRPr="00872599" w:rsidRDefault="00AA41FD" w:rsidP="00AA41F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t>I.</w:t>
      </w:r>
      <w:r>
        <w:rPr>
          <w:lang w:val="fr-FR"/>
        </w:rPr>
        <w:tab/>
      </w:r>
      <w:r w:rsidR="00826E0F" w:rsidRPr="00872599">
        <w:rPr>
          <w:lang w:val="fr-FR"/>
        </w:rPr>
        <w:t>Généralités</w:t>
      </w:r>
    </w:p>
    <w:p w:rsidR="00AA41FD" w:rsidRPr="00AA41FD" w:rsidRDefault="00AA41FD" w:rsidP="00AA41FD">
      <w:pPr>
        <w:pStyle w:val="SingleTxt"/>
        <w:spacing w:after="0" w:line="120" w:lineRule="exact"/>
        <w:rPr>
          <w:sz w:val="10"/>
          <w:lang w:val="fr-FR"/>
        </w:rPr>
      </w:pPr>
    </w:p>
    <w:p w:rsidR="00AA41FD" w:rsidRPr="00AA41FD" w:rsidRDefault="00AA41FD" w:rsidP="00AA41FD">
      <w:pPr>
        <w:pStyle w:val="SingleTxt"/>
        <w:spacing w:after="0" w:line="120" w:lineRule="exact"/>
        <w:rPr>
          <w:sz w:val="10"/>
          <w:lang w:val="fr-FR"/>
        </w:rPr>
      </w:pPr>
    </w:p>
    <w:p w:rsidR="00826E0F" w:rsidRPr="00872599" w:rsidRDefault="00AA41FD" w:rsidP="00AA41F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bookmarkStart w:id="1" w:name="_Toc239741019"/>
      <w:r>
        <w:rPr>
          <w:lang w:val="fr-FR"/>
        </w:rPr>
        <w:tab/>
      </w:r>
      <w:r w:rsidR="00826E0F" w:rsidRPr="00872599">
        <w:rPr>
          <w:lang w:val="fr-FR"/>
        </w:rPr>
        <w:t>1.</w:t>
      </w:r>
      <w:r w:rsidR="00826E0F" w:rsidRPr="00872599">
        <w:rPr>
          <w:lang w:val="fr-FR"/>
        </w:rPr>
        <w:tab/>
        <w:t>Structures</w:t>
      </w:r>
      <w:bookmarkEnd w:id="1"/>
      <w:r w:rsidR="00826E0F" w:rsidRPr="00872599">
        <w:rPr>
          <w:lang w:val="fr-FR"/>
        </w:rPr>
        <w:t xml:space="preserve"> politiques et sociales</w:t>
      </w:r>
    </w:p>
    <w:p w:rsidR="00AA41FD" w:rsidRPr="00AA41FD" w:rsidRDefault="00AA41FD" w:rsidP="00AA41FD">
      <w:pPr>
        <w:pStyle w:val="SingleTxt"/>
        <w:spacing w:after="0" w:line="120" w:lineRule="exact"/>
        <w:rPr>
          <w:sz w:val="10"/>
          <w:lang w:val="fr-FR"/>
        </w:rPr>
      </w:pPr>
    </w:p>
    <w:p w:rsidR="00826E0F" w:rsidRPr="00872599" w:rsidRDefault="00AA41FD" w:rsidP="00497599">
      <w:pPr>
        <w:pStyle w:val="SingleTxt"/>
        <w:rPr>
          <w:lang w:val="fr-FR"/>
        </w:rPr>
      </w:pPr>
      <w:r>
        <w:rPr>
          <w:lang w:val="fr-FR"/>
        </w:rPr>
        <w:tab/>
      </w:r>
      <w:r w:rsidR="00826E0F" w:rsidRPr="00872599">
        <w:rPr>
          <w:lang w:val="fr-FR"/>
        </w:rPr>
        <w:t xml:space="preserve">Le territoire de la principauté du Liechtenstein se situe entre </w:t>
      </w:r>
      <w:smartTag w:uri="urn:schemas-microsoft-com:office:smarttags" w:element="PersonName">
        <w:smartTagPr>
          <w:attr w:name="ProductID" w:val="la Suisse"/>
        </w:smartTagPr>
        <w:r w:rsidR="00826E0F" w:rsidRPr="00872599">
          <w:rPr>
            <w:lang w:val="fr-FR"/>
          </w:rPr>
          <w:t>la Suisse</w:t>
        </w:r>
      </w:smartTag>
      <w:r w:rsidR="00826E0F" w:rsidRPr="00872599">
        <w:rPr>
          <w:lang w:val="fr-FR"/>
        </w:rPr>
        <w:t xml:space="preserve"> et l</w:t>
      </w:r>
      <w:r w:rsidR="006645B6">
        <w:rPr>
          <w:lang w:val="fr-FR"/>
        </w:rPr>
        <w:t>’</w:t>
      </w:r>
      <w:r w:rsidR="00826E0F" w:rsidRPr="00872599">
        <w:rPr>
          <w:lang w:val="fr-FR"/>
        </w:rPr>
        <w:t>Autriche et a une superficie de 160 km². Le Liechtenstein se compose de onze municipalités rurales dont les deux plus importantes ont un peu plus de 5</w:t>
      </w:r>
      <w:r w:rsidR="00F65ED6">
        <w:rPr>
          <w:lang w:val="fr-FR"/>
        </w:rPr>
        <w:t> </w:t>
      </w:r>
      <w:r w:rsidR="00826E0F" w:rsidRPr="00872599">
        <w:rPr>
          <w:lang w:val="fr-FR"/>
        </w:rPr>
        <w:t>000</w:t>
      </w:r>
      <w:r w:rsidR="00F65ED6">
        <w:rPr>
          <w:lang w:val="fr-FR"/>
        </w:rPr>
        <w:t> </w:t>
      </w:r>
      <w:r w:rsidR="00826E0F" w:rsidRPr="00872599">
        <w:rPr>
          <w:lang w:val="fr-FR"/>
        </w:rPr>
        <w:t>habitants. La principauté du Liechtenstein est une monarchie héréditaire constitutionnelle fondée sur un système démocratique et parlementaire. Dans le système dualiste de la principauté du Liechtenstein, sont investis du pouvoir souverain à la fois le Prince régnant et le peuple. La position relativement forte du Prince régnant est contrebalancée par les droits étendus que confère au peuple la démocratie directe. 1 000 citoyens ou trois municipalités peuvent soumettre une initiative législative. Il faut 1 500 signatures ou la décision de quatre municipalités pour donner naissance à une initiative constitutionnelle. Le même nombre minimum que pour la soumission d</w:t>
      </w:r>
      <w:r w:rsidR="006645B6">
        <w:rPr>
          <w:lang w:val="fr-FR"/>
        </w:rPr>
        <w:t>’</w:t>
      </w:r>
      <w:r w:rsidR="00826E0F" w:rsidRPr="00872599">
        <w:rPr>
          <w:lang w:val="fr-FR"/>
        </w:rPr>
        <w:t>initiatives est requis pour les appels à référendum sur les décisions législatives constitutionnelles du Parlement. Un référendum peut être appelé dans les trente jours suivant la promulgation de la décision du Parlement.</w:t>
      </w:r>
    </w:p>
    <w:p w:rsidR="00826E0F" w:rsidRPr="00872599" w:rsidRDefault="00AA41FD" w:rsidP="00497599">
      <w:pPr>
        <w:pStyle w:val="SingleTxt"/>
        <w:rPr>
          <w:lang w:val="fr-FR"/>
        </w:rPr>
      </w:pPr>
      <w:r>
        <w:rPr>
          <w:lang w:val="fr-FR"/>
        </w:rPr>
        <w:tab/>
      </w:r>
      <w:r w:rsidR="00826E0F" w:rsidRPr="00872599">
        <w:rPr>
          <w:lang w:val="fr-FR"/>
        </w:rPr>
        <w:t>Le Prince régnant est le chef de l</w:t>
      </w:r>
      <w:r w:rsidR="006645B6">
        <w:rPr>
          <w:lang w:val="fr-FR"/>
        </w:rPr>
        <w:t>’</w:t>
      </w:r>
      <w:r w:rsidR="00826E0F" w:rsidRPr="00872599">
        <w:rPr>
          <w:lang w:val="fr-FR"/>
        </w:rPr>
        <w:t>État. Sans préjudice de la participation obligatoire du Gouvernement qui détient la responsabilité, le Prince régnant représente l</w:t>
      </w:r>
      <w:r w:rsidR="006645B6">
        <w:rPr>
          <w:lang w:val="fr-FR"/>
        </w:rPr>
        <w:t>’</w:t>
      </w:r>
      <w:r w:rsidR="00826E0F" w:rsidRPr="00872599">
        <w:rPr>
          <w:lang w:val="fr-FR"/>
        </w:rPr>
        <w:t>Etat dans toutes ses relations avec les pays étrangers. Sur proposition du Parlement, le Prince régnant nomme les membres du Gouvernement et est également responsable de la nomination des juges une fois élus par le Parlement sur recommandation d</w:t>
      </w:r>
      <w:r w:rsidR="006645B6">
        <w:rPr>
          <w:lang w:val="fr-FR"/>
        </w:rPr>
        <w:t>’</w:t>
      </w:r>
      <w:r w:rsidR="00826E0F" w:rsidRPr="00872599">
        <w:rPr>
          <w:lang w:val="fr-FR"/>
        </w:rPr>
        <w:t>un organe spécial de sélection. Lorsque des raisons de fond le justifient, le Prince régnant peut dissoudre le Parlement. Il peut également retirer sa confiance au Gouvernement et entreprendre sa destitution. Le Prince régnant a également le pouvoir d</w:t>
      </w:r>
      <w:r w:rsidR="006645B6">
        <w:rPr>
          <w:lang w:val="fr-FR"/>
        </w:rPr>
        <w:t>’</w:t>
      </w:r>
      <w:r w:rsidR="00826E0F" w:rsidRPr="00872599">
        <w:rPr>
          <w:lang w:val="fr-FR"/>
        </w:rPr>
        <w:t>édicter des ordonnances d</w:t>
      </w:r>
      <w:r w:rsidR="006645B6">
        <w:rPr>
          <w:lang w:val="fr-FR"/>
        </w:rPr>
        <w:t>’</w:t>
      </w:r>
      <w:r w:rsidR="00826E0F" w:rsidRPr="00872599">
        <w:rPr>
          <w:lang w:val="fr-FR"/>
        </w:rPr>
        <w:t>urgence. Il a le droit de grâce ainsi que le droit de réduire une condamnation et d</w:t>
      </w:r>
      <w:r w:rsidR="006645B6">
        <w:rPr>
          <w:lang w:val="fr-FR"/>
        </w:rPr>
        <w:t>’</w:t>
      </w:r>
      <w:r w:rsidR="00826E0F" w:rsidRPr="00872599">
        <w:rPr>
          <w:lang w:val="fr-FR"/>
        </w:rPr>
        <w:t xml:space="preserve">annuler une enquête pénale. Toute loi, pour être valable, doit recevoir la sanction du Prince régnant et être contresignée par le Premier ministre. Le Parlement du Liechtenstein, le </w:t>
      </w:r>
      <w:r w:rsidR="00826E0F" w:rsidRPr="00872599">
        <w:rPr>
          <w:i/>
          <w:iCs/>
          <w:lang w:val="fr-FR"/>
        </w:rPr>
        <w:t>Landtag</w:t>
      </w:r>
      <w:r w:rsidR="00826E0F" w:rsidRPr="00872599">
        <w:rPr>
          <w:lang w:val="fr-FR"/>
        </w:rPr>
        <w:t>, se compose de 25 membres élus tous les quatre ans dans le cadre d</w:t>
      </w:r>
      <w:r w:rsidR="006645B6">
        <w:rPr>
          <w:lang w:val="fr-FR"/>
        </w:rPr>
        <w:t>’</w:t>
      </w:r>
      <w:r w:rsidR="00826E0F" w:rsidRPr="00872599">
        <w:rPr>
          <w:lang w:val="fr-FR"/>
        </w:rPr>
        <w:t>élections générales, directes et au scrutin secret menées selon le principe de la représentation proportionnelle. Le Parlement a pour principale responsabilité de participer au processus législatif, d</w:t>
      </w:r>
      <w:r w:rsidR="006645B6">
        <w:rPr>
          <w:lang w:val="fr-FR"/>
        </w:rPr>
        <w:t>’</w:t>
      </w:r>
      <w:r w:rsidR="00826E0F" w:rsidRPr="00872599">
        <w:rPr>
          <w:lang w:val="fr-FR"/>
        </w:rPr>
        <w:t>approuver les traités internationaux, d</w:t>
      </w:r>
      <w:r w:rsidR="006645B6">
        <w:rPr>
          <w:lang w:val="fr-FR"/>
        </w:rPr>
        <w:t>’</w:t>
      </w:r>
      <w:r w:rsidR="00826E0F" w:rsidRPr="00872599">
        <w:rPr>
          <w:lang w:val="fr-FR"/>
        </w:rPr>
        <w:t>approuver le budget de l</w:t>
      </w:r>
      <w:r w:rsidR="006645B6">
        <w:rPr>
          <w:lang w:val="fr-FR"/>
        </w:rPr>
        <w:t>’</w:t>
      </w:r>
      <w:r w:rsidR="00826E0F" w:rsidRPr="00872599">
        <w:rPr>
          <w:lang w:val="fr-FR"/>
        </w:rPr>
        <w:t>État, d</w:t>
      </w:r>
      <w:r w:rsidR="00F65ED6">
        <w:rPr>
          <w:lang w:val="fr-FR"/>
        </w:rPr>
        <w:t>’</w:t>
      </w:r>
      <w:r w:rsidR="00826E0F" w:rsidRPr="00872599">
        <w:rPr>
          <w:lang w:val="fr-FR"/>
        </w:rPr>
        <w:t>élire les juges sur recommandation de l</w:t>
      </w:r>
      <w:r w:rsidR="006645B6">
        <w:rPr>
          <w:lang w:val="fr-FR"/>
        </w:rPr>
        <w:t>’</w:t>
      </w:r>
      <w:r w:rsidR="00826E0F" w:rsidRPr="00872599">
        <w:rPr>
          <w:lang w:val="fr-FR"/>
        </w:rPr>
        <w:t>organe de sélection et d</w:t>
      </w:r>
      <w:r w:rsidR="006645B6">
        <w:rPr>
          <w:lang w:val="fr-FR"/>
        </w:rPr>
        <w:t>’</w:t>
      </w:r>
      <w:r w:rsidR="00826E0F" w:rsidRPr="00872599">
        <w:rPr>
          <w:lang w:val="fr-FR"/>
        </w:rPr>
        <w:t>exercer un contrôle sur l</w:t>
      </w:r>
      <w:r w:rsidR="006645B6">
        <w:rPr>
          <w:lang w:val="fr-FR"/>
        </w:rPr>
        <w:t>’</w:t>
      </w:r>
      <w:r w:rsidR="00826E0F" w:rsidRPr="00872599">
        <w:rPr>
          <w:lang w:val="fr-FR"/>
        </w:rPr>
        <w:t>administration nationale. Le Parlement élit le Gouvernement et désigne ses ministres qui seront nommés par le Prince régnant. Le Parlement peut également entreprendre la destitution du Gouvernement si celui-ci perd sa confiance. Le Gouvernement se compose de cinq ministres</w:t>
      </w:r>
      <w:r w:rsidR="006645B6">
        <w:rPr>
          <w:lang w:val="fr-FR"/>
        </w:rPr>
        <w:t>;</w:t>
      </w:r>
      <w:r w:rsidR="00826E0F" w:rsidRPr="00872599">
        <w:rPr>
          <w:lang w:val="fr-FR"/>
        </w:rPr>
        <w:t xml:space="preserve"> il s</w:t>
      </w:r>
      <w:r w:rsidR="006645B6">
        <w:rPr>
          <w:lang w:val="fr-FR"/>
        </w:rPr>
        <w:t>’</w:t>
      </w:r>
      <w:r w:rsidR="00826E0F" w:rsidRPr="00872599">
        <w:rPr>
          <w:lang w:val="fr-FR"/>
        </w:rPr>
        <w:t>agit de l</w:t>
      </w:r>
      <w:r w:rsidR="006645B6">
        <w:rPr>
          <w:lang w:val="fr-FR"/>
        </w:rPr>
        <w:t>’</w:t>
      </w:r>
      <w:r w:rsidR="00826E0F" w:rsidRPr="00872599">
        <w:rPr>
          <w:lang w:val="fr-FR"/>
        </w:rPr>
        <w:t>organe exécutif suprême qui supervise une trentaine de bureaux, de nombreuses représentations diplomatiques à l</w:t>
      </w:r>
      <w:r w:rsidR="006645B6">
        <w:rPr>
          <w:lang w:val="fr-FR"/>
        </w:rPr>
        <w:t>’</w:t>
      </w:r>
      <w:r w:rsidR="00826E0F" w:rsidRPr="00872599">
        <w:rPr>
          <w:lang w:val="fr-FR"/>
        </w:rPr>
        <w:t>étranger et divers services administratifs. Une cinquantaine de commissions et de conseils consultatifs soutiennent les activités de l</w:t>
      </w:r>
      <w:r w:rsidR="006645B6">
        <w:rPr>
          <w:lang w:val="fr-FR"/>
        </w:rPr>
        <w:t>’</w:t>
      </w:r>
      <w:r w:rsidR="00826E0F" w:rsidRPr="00872599">
        <w:rPr>
          <w:lang w:val="fr-FR"/>
        </w:rPr>
        <w:t>administration nationale. Le Gouvernement a le pouvoir d</w:t>
      </w:r>
      <w:r w:rsidR="006645B6">
        <w:rPr>
          <w:lang w:val="fr-FR"/>
        </w:rPr>
        <w:t>’</w:t>
      </w:r>
      <w:r w:rsidR="00826E0F" w:rsidRPr="00872599">
        <w:rPr>
          <w:lang w:val="fr-FR"/>
        </w:rPr>
        <w:t>édicter des ordonnances ce qui lui donne également une compétence réglementaire. Les ordonnances ne peuvent cependant être édictées que dans le respect du droit et des traités internationaux.</w:t>
      </w:r>
    </w:p>
    <w:p w:rsidR="00826E0F" w:rsidRPr="00872599" w:rsidRDefault="00AA41FD" w:rsidP="00497599">
      <w:pPr>
        <w:pStyle w:val="SingleTxt"/>
        <w:rPr>
          <w:lang w:val="fr-FR"/>
        </w:rPr>
      </w:pPr>
      <w:r>
        <w:rPr>
          <w:lang w:val="fr-FR"/>
        </w:rPr>
        <w:tab/>
      </w:r>
      <w:r w:rsidR="00826E0F" w:rsidRPr="00872599">
        <w:rPr>
          <w:lang w:val="fr-FR"/>
        </w:rPr>
        <w:t>L</w:t>
      </w:r>
      <w:r w:rsidR="006645B6">
        <w:rPr>
          <w:lang w:val="fr-FR"/>
        </w:rPr>
        <w:t>’</w:t>
      </w:r>
      <w:r w:rsidR="00826E0F" w:rsidRPr="00872599">
        <w:rPr>
          <w:lang w:val="fr-FR"/>
        </w:rPr>
        <w:t>autonomie municipale joue un rôle important au Liechtenstein. Dans chaque municipalité les électeurs élisent un conseil municipal dirigé par un maire. Les autorités municipales administrent leurs affaires et gèrent les biens de la municipalité en toute autonomie. Les citoyens peuvent en appeler de leurs décisions par voie de référendum. En vertu de l</w:t>
      </w:r>
      <w:r w:rsidR="006645B6">
        <w:rPr>
          <w:lang w:val="fr-FR"/>
        </w:rPr>
        <w:t>’</w:t>
      </w:r>
      <w:r w:rsidR="00826E0F" w:rsidRPr="00872599">
        <w:rPr>
          <w:lang w:val="fr-FR"/>
        </w:rPr>
        <w:t>article 4 de la constitution, toute municipalité a le droit de faire sécession de l</w:t>
      </w:r>
      <w:r w:rsidR="006645B6">
        <w:rPr>
          <w:lang w:val="fr-FR"/>
        </w:rPr>
        <w:t>’</w:t>
      </w:r>
      <w:r w:rsidR="00826E0F" w:rsidRPr="00872599">
        <w:rPr>
          <w:lang w:val="fr-FR"/>
        </w:rPr>
        <w:t>État par voie de scrutin populaire et selon des règles énoncées dans une loi ou un traité international.</w:t>
      </w:r>
    </w:p>
    <w:p w:rsidR="00826E0F" w:rsidRPr="00872599" w:rsidRDefault="00AA41FD" w:rsidP="00497599">
      <w:pPr>
        <w:pStyle w:val="SingleTxt"/>
        <w:rPr>
          <w:lang w:val="fr-FR"/>
        </w:rPr>
      </w:pPr>
      <w:r>
        <w:rPr>
          <w:lang w:val="fr-FR"/>
        </w:rPr>
        <w:tab/>
      </w:r>
      <w:r w:rsidR="00826E0F" w:rsidRPr="00872599">
        <w:rPr>
          <w:lang w:val="fr-FR"/>
        </w:rPr>
        <w:t xml:space="preserve">A la fin de 2007, la population du Liechtenstein comptait 35 356 habitants (au </w:t>
      </w:r>
      <w:r w:rsidR="00826E0F">
        <w:rPr>
          <w:lang w:val="fr-FR"/>
        </w:rPr>
        <w:t>31 décembre</w:t>
      </w:r>
      <w:r w:rsidR="00826E0F" w:rsidRPr="00872599">
        <w:rPr>
          <w:lang w:val="fr-FR"/>
        </w:rPr>
        <w:t xml:space="preserve"> 2007), ce qui équivaut à la taille d</w:t>
      </w:r>
      <w:r w:rsidR="006645B6">
        <w:rPr>
          <w:lang w:val="fr-FR"/>
        </w:rPr>
        <w:t>’</w:t>
      </w:r>
      <w:r w:rsidR="00826E0F" w:rsidRPr="00872599">
        <w:rPr>
          <w:lang w:val="fr-FR"/>
        </w:rPr>
        <w:t>une petite ville. Près de 34</w:t>
      </w:r>
      <w:r w:rsidR="006645B6">
        <w:rPr>
          <w:lang w:val="fr-FR"/>
        </w:rPr>
        <w:t xml:space="preserve"> %</w:t>
      </w:r>
      <w:r w:rsidR="00826E0F" w:rsidRPr="00872599">
        <w:rPr>
          <w:lang w:val="fr-FR"/>
        </w:rPr>
        <w:t xml:space="preserve"> de la population sont des étrangers dont 49</w:t>
      </w:r>
      <w:r w:rsidR="006645B6">
        <w:rPr>
          <w:lang w:val="fr-FR"/>
        </w:rPr>
        <w:t> %</w:t>
      </w:r>
      <w:r w:rsidR="00826E0F" w:rsidRPr="00872599">
        <w:rPr>
          <w:lang w:val="fr-FR"/>
        </w:rPr>
        <w:t xml:space="preserve"> viennent de pays de l</w:t>
      </w:r>
      <w:r w:rsidR="006645B6">
        <w:rPr>
          <w:lang w:val="fr-FR"/>
        </w:rPr>
        <w:t>’</w:t>
      </w:r>
      <w:r w:rsidR="00826E0F" w:rsidRPr="00872599">
        <w:rPr>
          <w:lang w:val="fr-FR"/>
        </w:rPr>
        <w:t>espace économique européen (EEE)</w:t>
      </w:r>
      <w:r w:rsidR="00826E0F" w:rsidRPr="00A03470">
        <w:rPr>
          <w:rStyle w:val="Normal"/>
          <w:lang w:val="fr-FR"/>
        </w:rPr>
        <w:footnoteReference w:id="1"/>
      </w:r>
      <w:r w:rsidR="00F65ED6">
        <w:rPr>
          <w:lang w:val="fr-FR"/>
        </w:rPr>
        <w:t xml:space="preserve"> [</w:t>
      </w:r>
      <w:r w:rsidR="00826E0F" w:rsidRPr="00872599">
        <w:rPr>
          <w:lang w:val="fr-FR"/>
        </w:rPr>
        <w:t>essentiellement de l</w:t>
      </w:r>
      <w:r w:rsidR="006645B6">
        <w:rPr>
          <w:lang w:val="fr-FR"/>
        </w:rPr>
        <w:t>’</w:t>
      </w:r>
      <w:r w:rsidR="00826E0F" w:rsidRPr="00872599">
        <w:rPr>
          <w:lang w:val="fr-FR"/>
        </w:rPr>
        <w:t>Autriche (17</w:t>
      </w:r>
      <w:r w:rsidR="006645B6">
        <w:rPr>
          <w:lang w:val="fr-FR"/>
        </w:rPr>
        <w:t> %</w:t>
      </w:r>
      <w:r w:rsidR="00826E0F" w:rsidRPr="00872599">
        <w:rPr>
          <w:lang w:val="fr-FR"/>
        </w:rPr>
        <w:t>), de l</w:t>
      </w:r>
      <w:r w:rsidR="006645B6">
        <w:rPr>
          <w:lang w:val="fr-FR"/>
        </w:rPr>
        <w:t>’</w:t>
      </w:r>
      <w:r w:rsidR="00826E0F" w:rsidRPr="00872599">
        <w:rPr>
          <w:lang w:val="fr-FR"/>
        </w:rPr>
        <w:t>Allemagne (10</w:t>
      </w:r>
      <w:r w:rsidR="006645B6">
        <w:rPr>
          <w:lang w:val="fr-FR"/>
        </w:rPr>
        <w:t> %</w:t>
      </w:r>
      <w:r w:rsidR="00826E0F" w:rsidRPr="00872599">
        <w:rPr>
          <w:lang w:val="fr-FR"/>
        </w:rPr>
        <w:t>) et de l</w:t>
      </w:r>
      <w:r w:rsidR="006645B6">
        <w:rPr>
          <w:lang w:val="fr-FR"/>
        </w:rPr>
        <w:t>’</w:t>
      </w:r>
      <w:r w:rsidR="00826E0F" w:rsidRPr="00872599">
        <w:rPr>
          <w:lang w:val="fr-FR"/>
        </w:rPr>
        <w:t>Italie (10</w:t>
      </w:r>
      <w:r w:rsidR="006645B6">
        <w:rPr>
          <w:lang w:val="fr-FR"/>
        </w:rPr>
        <w:t> %</w:t>
      </w:r>
      <w:r w:rsidR="00826E0F" w:rsidRPr="00872599">
        <w:rPr>
          <w:lang w:val="fr-FR"/>
        </w:rPr>
        <w:t xml:space="preserve">)) ainsi que de </w:t>
      </w:r>
      <w:smartTag w:uri="urn:schemas-microsoft-com:office:smarttags" w:element="PersonName">
        <w:smartTagPr>
          <w:attr w:name="ProductID" w:val="la Suisse"/>
        </w:smartTagPr>
        <w:r w:rsidR="00826E0F" w:rsidRPr="00872599">
          <w:rPr>
            <w:lang w:val="fr-FR"/>
          </w:rPr>
          <w:t>la Suisse</w:t>
        </w:r>
      </w:smartTag>
      <w:r w:rsidR="00826E0F" w:rsidRPr="00872599">
        <w:rPr>
          <w:lang w:val="fr-FR"/>
        </w:rPr>
        <w:t xml:space="preserve"> (30</w:t>
      </w:r>
      <w:r w:rsidR="006645B6">
        <w:rPr>
          <w:lang w:val="fr-FR"/>
        </w:rPr>
        <w:t> %</w:t>
      </w:r>
      <w:r w:rsidR="00826E0F" w:rsidRPr="00872599">
        <w:rPr>
          <w:lang w:val="fr-FR"/>
        </w:rPr>
        <w:t>)</w:t>
      </w:r>
      <w:r w:rsidR="00F65ED6">
        <w:rPr>
          <w:lang w:val="fr-FR"/>
        </w:rPr>
        <w:t>]</w:t>
      </w:r>
      <w:r w:rsidR="00826E0F" w:rsidRPr="00872599">
        <w:rPr>
          <w:lang w:val="fr-FR"/>
        </w:rPr>
        <w:t>. Environ 21</w:t>
      </w:r>
      <w:r w:rsidR="006645B6">
        <w:rPr>
          <w:lang w:val="fr-FR"/>
        </w:rPr>
        <w:t> %</w:t>
      </w:r>
      <w:r w:rsidR="00826E0F" w:rsidRPr="00872599">
        <w:rPr>
          <w:lang w:val="fr-FR"/>
        </w:rPr>
        <w:t xml:space="preserve"> de la population viennent d</w:t>
      </w:r>
      <w:r w:rsidR="006645B6">
        <w:rPr>
          <w:lang w:val="fr-FR"/>
        </w:rPr>
        <w:t>’</w:t>
      </w:r>
      <w:r w:rsidR="00826E0F" w:rsidRPr="00872599">
        <w:rPr>
          <w:lang w:val="fr-FR"/>
        </w:rPr>
        <w:t>autres pays. Au total, plus de 90 pays sont représentés au Liechtenstein. À la fin de 2007, 20</w:t>
      </w:r>
      <w:r w:rsidR="006645B6">
        <w:rPr>
          <w:lang w:val="fr-FR"/>
        </w:rPr>
        <w:t> %</w:t>
      </w:r>
      <w:r w:rsidR="00826E0F" w:rsidRPr="00872599">
        <w:rPr>
          <w:lang w:val="fr-FR"/>
        </w:rPr>
        <w:t xml:space="preserve"> de la population avaient moins de 18 ans et 12</w:t>
      </w:r>
      <w:r w:rsidR="006645B6">
        <w:rPr>
          <w:lang w:val="fr-FR"/>
        </w:rPr>
        <w:t> %</w:t>
      </w:r>
      <w:r w:rsidR="00826E0F" w:rsidRPr="00872599">
        <w:rPr>
          <w:lang w:val="fr-FR"/>
        </w:rPr>
        <w:t xml:space="preserve"> plus de 65. L</w:t>
      </w:r>
      <w:r w:rsidR="006645B6">
        <w:rPr>
          <w:lang w:val="fr-FR"/>
        </w:rPr>
        <w:t>’</w:t>
      </w:r>
      <w:r w:rsidR="00826E0F" w:rsidRPr="00872599">
        <w:rPr>
          <w:lang w:val="fr-FR"/>
        </w:rPr>
        <w:t>espérance de vie augmente régulièrement depuis trente ans. L</w:t>
      </w:r>
      <w:r w:rsidR="006645B6">
        <w:rPr>
          <w:lang w:val="fr-FR"/>
        </w:rPr>
        <w:t>’</w:t>
      </w:r>
      <w:r w:rsidR="00826E0F" w:rsidRPr="00872599">
        <w:rPr>
          <w:lang w:val="fr-FR"/>
        </w:rPr>
        <w:t>espérance de vie moyenne des femmes en 2007 atteignait presque 80 ans et celle des hommes dépassait à peine 70 ans. D</w:t>
      </w:r>
      <w:r w:rsidR="006645B6">
        <w:rPr>
          <w:lang w:val="fr-FR"/>
        </w:rPr>
        <w:t>’</w:t>
      </w:r>
      <w:r w:rsidR="00826E0F" w:rsidRPr="00872599">
        <w:rPr>
          <w:lang w:val="fr-FR"/>
        </w:rPr>
        <w:t>après le dernier recensement de 2000, l</w:t>
      </w:r>
      <w:r w:rsidR="006645B6">
        <w:rPr>
          <w:lang w:val="fr-FR"/>
        </w:rPr>
        <w:t>’</w:t>
      </w:r>
      <w:r w:rsidR="00826E0F" w:rsidRPr="00872599">
        <w:rPr>
          <w:lang w:val="fr-FR"/>
        </w:rPr>
        <w:t>appartenance religieuse se présentait comme suit: 78.4</w:t>
      </w:r>
      <w:r w:rsidR="006645B6">
        <w:rPr>
          <w:lang w:val="fr-FR"/>
        </w:rPr>
        <w:t> %</w:t>
      </w:r>
      <w:r w:rsidR="00826E0F" w:rsidRPr="00872599">
        <w:rPr>
          <w:lang w:val="fr-FR"/>
        </w:rPr>
        <w:t xml:space="preserve"> de catholiques romains, 8</w:t>
      </w:r>
      <w:r w:rsidR="00F65ED6">
        <w:rPr>
          <w:lang w:val="fr-FR"/>
        </w:rPr>
        <w:t>,</w:t>
      </w:r>
      <w:r w:rsidR="00826E0F" w:rsidRPr="00872599">
        <w:rPr>
          <w:lang w:val="fr-FR"/>
        </w:rPr>
        <w:t>3</w:t>
      </w:r>
      <w:r w:rsidR="006645B6">
        <w:rPr>
          <w:lang w:val="fr-FR"/>
        </w:rPr>
        <w:t> %</w:t>
      </w:r>
      <w:r w:rsidR="00826E0F" w:rsidRPr="00872599">
        <w:rPr>
          <w:lang w:val="fr-FR"/>
        </w:rPr>
        <w:t xml:space="preserve"> de protestants et 4,8</w:t>
      </w:r>
      <w:r w:rsidR="006645B6">
        <w:rPr>
          <w:lang w:val="fr-FR"/>
        </w:rPr>
        <w:t> %</w:t>
      </w:r>
      <w:r w:rsidR="00826E0F" w:rsidRPr="00872599">
        <w:rPr>
          <w:lang w:val="fr-FR"/>
        </w:rPr>
        <w:t xml:space="preserve"> de musulmans. 4</w:t>
      </w:r>
      <w:r w:rsidR="006645B6">
        <w:rPr>
          <w:lang w:val="fr-FR"/>
        </w:rPr>
        <w:t> %</w:t>
      </w:r>
      <w:r w:rsidR="00826E0F" w:rsidRPr="00872599">
        <w:rPr>
          <w:lang w:val="fr-FR"/>
        </w:rPr>
        <w:t xml:space="preserve"> de la population n</w:t>
      </w:r>
      <w:r w:rsidR="006645B6">
        <w:rPr>
          <w:lang w:val="fr-FR"/>
        </w:rPr>
        <w:t>’</w:t>
      </w:r>
      <w:r w:rsidR="00826E0F" w:rsidRPr="00872599">
        <w:rPr>
          <w:lang w:val="fr-FR"/>
        </w:rPr>
        <w:t>indiquait pas d</w:t>
      </w:r>
      <w:r w:rsidR="006645B6">
        <w:rPr>
          <w:lang w:val="fr-FR"/>
        </w:rPr>
        <w:t>’</w:t>
      </w:r>
      <w:r w:rsidR="00826E0F" w:rsidRPr="00872599">
        <w:rPr>
          <w:lang w:val="fr-FR"/>
        </w:rPr>
        <w:t xml:space="preserve">appartenance religieuse particulière. En vertu de </w:t>
      </w:r>
      <w:smartTag w:uri="urn:schemas-microsoft-com:office:smarttags" w:element="PersonName">
        <w:smartTagPr>
          <w:attr w:name="ProductID" w:val="la Constitution"/>
        </w:smartTagPr>
        <w:r w:rsidR="00826E0F" w:rsidRPr="00872599">
          <w:rPr>
            <w:lang w:val="fr-FR"/>
          </w:rPr>
          <w:t>la Constitution</w:t>
        </w:r>
      </w:smartTag>
      <w:r w:rsidR="00826E0F" w:rsidRPr="00872599">
        <w:rPr>
          <w:lang w:val="fr-FR"/>
        </w:rPr>
        <w:t xml:space="preserve"> du Liechtenstein, l</w:t>
      </w:r>
      <w:r w:rsidR="006645B6">
        <w:rPr>
          <w:lang w:val="fr-FR"/>
        </w:rPr>
        <w:t>’</w:t>
      </w:r>
      <w:r w:rsidR="00826E0F" w:rsidRPr="00872599">
        <w:rPr>
          <w:lang w:val="fr-FR"/>
        </w:rPr>
        <w:t>allemand est la langue d</w:t>
      </w:r>
      <w:r w:rsidR="006645B6">
        <w:rPr>
          <w:lang w:val="fr-FR"/>
        </w:rPr>
        <w:t>’</w:t>
      </w:r>
      <w:r w:rsidR="00826E0F" w:rsidRPr="00872599">
        <w:rPr>
          <w:lang w:val="fr-FR"/>
        </w:rPr>
        <w:t>État et la langue officielle. La langue vernaculaire généralement employée est un dialecte alémanique</w:t>
      </w:r>
      <w:r w:rsidR="00826E0F" w:rsidRPr="00872599">
        <w:rPr>
          <w:lang w:val="fr-FR"/>
        </w:rPr>
        <w:t>.</w:t>
      </w:r>
    </w:p>
    <w:p w:rsidR="00AA41FD" w:rsidRPr="00AA41FD" w:rsidRDefault="00AA41FD" w:rsidP="00AA41FD">
      <w:pPr>
        <w:pStyle w:val="SingleTxt"/>
        <w:spacing w:after="0" w:line="120" w:lineRule="exact"/>
        <w:rPr>
          <w:sz w:val="10"/>
          <w:lang w:val="fr-FR"/>
        </w:rPr>
      </w:pPr>
      <w:bookmarkStart w:id="2" w:name="_Toc239741020"/>
    </w:p>
    <w:p w:rsidR="00826E0F" w:rsidRPr="00872599" w:rsidRDefault="00AA41FD" w:rsidP="00AA41F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00826E0F" w:rsidRPr="00872599">
        <w:rPr>
          <w:lang w:val="fr-FR"/>
        </w:rPr>
        <w:t>2</w:t>
      </w:r>
      <w:r w:rsidR="00986714">
        <w:rPr>
          <w:lang w:val="fr-FR"/>
        </w:rPr>
        <w:t>.</w:t>
      </w:r>
      <w:r w:rsidR="00826E0F" w:rsidRPr="00872599">
        <w:rPr>
          <w:lang w:val="fr-FR"/>
        </w:rPr>
        <w:tab/>
      </w:r>
      <w:bookmarkEnd w:id="2"/>
      <w:r w:rsidR="00826E0F" w:rsidRPr="00872599">
        <w:rPr>
          <w:lang w:val="fr-FR"/>
        </w:rPr>
        <w:t xml:space="preserve">Cadre juridique et institutionnel </w:t>
      </w:r>
    </w:p>
    <w:p w:rsidR="00AA41FD" w:rsidRPr="00AA41FD" w:rsidRDefault="00AA41FD" w:rsidP="00AA41FD">
      <w:pPr>
        <w:pStyle w:val="SingleTxt"/>
        <w:spacing w:after="0" w:line="120" w:lineRule="exact"/>
        <w:rPr>
          <w:sz w:val="10"/>
          <w:lang w:val="fr-FR"/>
        </w:rPr>
      </w:pPr>
    </w:p>
    <w:p w:rsidR="00826E0F" w:rsidRPr="00872599" w:rsidRDefault="00AA41FD" w:rsidP="00497599">
      <w:pPr>
        <w:pStyle w:val="SingleTxt"/>
        <w:rPr>
          <w:lang w:val="fr-FR"/>
        </w:rPr>
      </w:pPr>
      <w:r>
        <w:rPr>
          <w:lang w:val="fr-FR"/>
        </w:rPr>
        <w:tab/>
      </w:r>
      <w:r w:rsidR="00826E0F" w:rsidRPr="00872599">
        <w:rPr>
          <w:lang w:val="fr-FR"/>
        </w:rPr>
        <w:t xml:space="preserve">De nombreux droits fondamentaux sont inscrits dans </w:t>
      </w:r>
      <w:smartTag w:uri="urn:schemas-microsoft-com:office:smarttags" w:element="PersonName">
        <w:smartTagPr>
          <w:attr w:name="ProductID" w:val="la Constitution"/>
        </w:smartTagPr>
        <w:r w:rsidR="00826E0F" w:rsidRPr="00872599">
          <w:rPr>
            <w:lang w:val="fr-FR"/>
          </w:rPr>
          <w:t>la Constitution</w:t>
        </w:r>
      </w:smartTag>
      <w:r w:rsidR="00826E0F" w:rsidRPr="00872599">
        <w:rPr>
          <w:lang w:val="fr-FR"/>
        </w:rPr>
        <w:t xml:space="preserve"> de la principauté du Liechtenstein. Il s</w:t>
      </w:r>
      <w:r w:rsidR="006645B6">
        <w:rPr>
          <w:lang w:val="fr-FR"/>
        </w:rPr>
        <w:t>’</w:t>
      </w:r>
      <w:r w:rsidR="00826E0F" w:rsidRPr="00872599">
        <w:rPr>
          <w:lang w:val="fr-FR"/>
        </w:rPr>
        <w:t>agit notamment du droit à la vie et de l</w:t>
      </w:r>
      <w:r w:rsidR="006645B6">
        <w:rPr>
          <w:lang w:val="fr-FR"/>
        </w:rPr>
        <w:t>’</w:t>
      </w:r>
      <w:r w:rsidR="00826E0F" w:rsidRPr="00872599">
        <w:rPr>
          <w:lang w:val="fr-FR"/>
        </w:rPr>
        <w:t>interdiction de la peine de mort, du respect et de la protection de la dignité humaine, de l</w:t>
      </w:r>
      <w:r w:rsidR="006645B6">
        <w:rPr>
          <w:lang w:val="fr-FR"/>
        </w:rPr>
        <w:t>’</w:t>
      </w:r>
      <w:r w:rsidR="00826E0F" w:rsidRPr="00872599">
        <w:rPr>
          <w:lang w:val="fr-FR"/>
        </w:rPr>
        <w:t>interdiction des traitements et des châtiments inhumains ou dégradants, de la liberté personnelle, de l</w:t>
      </w:r>
      <w:r w:rsidR="006645B6">
        <w:rPr>
          <w:lang w:val="fr-FR"/>
        </w:rPr>
        <w:t>’</w:t>
      </w:r>
      <w:r w:rsidR="00826E0F" w:rsidRPr="00872599">
        <w:rPr>
          <w:lang w:val="fr-FR"/>
        </w:rPr>
        <w:t>égalité des femmes et des hommes, de l</w:t>
      </w:r>
      <w:r w:rsidR="006645B6">
        <w:rPr>
          <w:lang w:val="fr-FR"/>
        </w:rPr>
        <w:t>’</w:t>
      </w:r>
      <w:r w:rsidR="00826E0F" w:rsidRPr="00872599">
        <w:rPr>
          <w:lang w:val="fr-FR"/>
        </w:rPr>
        <w:t>inviolabilité du domicile, du secret de la correspondance et des documents, du droit à l</w:t>
      </w:r>
      <w:r w:rsidR="006645B6">
        <w:rPr>
          <w:lang w:val="fr-FR"/>
        </w:rPr>
        <w:t>’</w:t>
      </w:r>
      <w:r w:rsidR="00826E0F" w:rsidRPr="00872599">
        <w:rPr>
          <w:lang w:val="fr-FR"/>
        </w:rPr>
        <w:t>éducation, du droit à une procédure régulière, de l</w:t>
      </w:r>
      <w:r w:rsidR="006645B6">
        <w:rPr>
          <w:lang w:val="fr-FR"/>
        </w:rPr>
        <w:t>’</w:t>
      </w:r>
      <w:r w:rsidR="00826E0F" w:rsidRPr="00872599">
        <w:rPr>
          <w:lang w:val="fr-FR"/>
        </w:rPr>
        <w:t>inviolabilité de la propriété privée, de la liberté du commerce et des échanges, de la liberté de religion et de conscience, du droit à la liberté d</w:t>
      </w:r>
      <w:r w:rsidR="006645B6">
        <w:rPr>
          <w:lang w:val="fr-FR"/>
        </w:rPr>
        <w:t>’</w:t>
      </w:r>
      <w:r w:rsidR="00826E0F" w:rsidRPr="00872599">
        <w:rPr>
          <w:lang w:val="fr-FR"/>
        </w:rPr>
        <w:t>expression et à la liberté de la presse, du droit à la liberté d</w:t>
      </w:r>
      <w:r w:rsidR="006645B6">
        <w:rPr>
          <w:lang w:val="fr-FR"/>
        </w:rPr>
        <w:t>’</w:t>
      </w:r>
      <w:r w:rsidR="00826E0F" w:rsidRPr="00872599">
        <w:rPr>
          <w:lang w:val="fr-FR"/>
        </w:rPr>
        <w:t xml:space="preserve">Association et de réunion, du droit de faire appel et du droit de présenter des plaintes. </w:t>
      </w:r>
      <w:smartTag w:uri="urn:schemas-microsoft-com:office:smarttags" w:element="PersonName">
        <w:smartTagPr>
          <w:attr w:name="ProductID" w:val="la Constitution"/>
        </w:smartTagPr>
        <w:r w:rsidR="00826E0F" w:rsidRPr="00872599">
          <w:rPr>
            <w:lang w:val="fr-FR"/>
          </w:rPr>
          <w:t>La Constitution</w:t>
        </w:r>
      </w:smartTag>
      <w:r w:rsidR="00826E0F" w:rsidRPr="00872599">
        <w:rPr>
          <w:lang w:val="fr-FR"/>
        </w:rPr>
        <w:t xml:space="preserve"> précise également que tous les citoyens sont égaux devant la loi et que les droits des ressortissants étrangers sont régis par des traités et, en l</w:t>
      </w:r>
      <w:r w:rsidR="006645B6">
        <w:rPr>
          <w:lang w:val="fr-FR"/>
        </w:rPr>
        <w:t>’</w:t>
      </w:r>
      <w:r w:rsidR="00826E0F" w:rsidRPr="00872599">
        <w:rPr>
          <w:lang w:val="fr-FR"/>
        </w:rPr>
        <w:t>absence de tels traités, par le principe de la réciprocité.</w:t>
      </w:r>
    </w:p>
    <w:p w:rsidR="00826E0F" w:rsidRPr="00872599" w:rsidRDefault="00AA41FD" w:rsidP="00497599">
      <w:pPr>
        <w:pStyle w:val="SingleTxt"/>
        <w:rPr>
          <w:lang w:val="fr-FR"/>
        </w:rPr>
      </w:pPr>
      <w:r>
        <w:rPr>
          <w:lang w:val="fr-FR"/>
        </w:rPr>
        <w:tab/>
      </w:r>
      <w:r w:rsidR="00826E0F" w:rsidRPr="00872599">
        <w:rPr>
          <w:lang w:val="fr-FR"/>
        </w:rPr>
        <w:t>L</w:t>
      </w:r>
      <w:r w:rsidR="006645B6">
        <w:rPr>
          <w:lang w:val="fr-FR"/>
        </w:rPr>
        <w:t>’</w:t>
      </w:r>
      <w:r w:rsidR="00826E0F" w:rsidRPr="00872599">
        <w:rPr>
          <w:lang w:val="fr-FR"/>
        </w:rPr>
        <w:t>ordre juridique du Liechtenstein ne prévoit aucune disposition expresse indiquant le classement des traités internationaux dans le droit national. Les traités internationaux peuvent avoir pour l</w:t>
      </w:r>
      <w:r w:rsidR="006645B6">
        <w:rPr>
          <w:lang w:val="fr-FR"/>
        </w:rPr>
        <w:t>’</w:t>
      </w:r>
      <w:r w:rsidR="00826E0F" w:rsidRPr="00872599">
        <w:rPr>
          <w:lang w:val="fr-FR"/>
        </w:rPr>
        <w:t xml:space="preserve">essentiel le même rang que la constitution, la législation ou les ordonnances. Toutefois, depuis la révision constitutionnelle de 2003, </w:t>
      </w:r>
      <w:smartTag w:uri="urn:schemas-microsoft-com:office:smarttags" w:element="PersonName">
        <w:smartTagPr>
          <w:attr w:name="ProductID" w:val="la Constitution"/>
        </w:smartTagPr>
        <w:r w:rsidR="00826E0F" w:rsidRPr="00872599">
          <w:rPr>
            <w:lang w:val="fr-FR"/>
          </w:rPr>
          <w:t>la Constitution</w:t>
        </w:r>
      </w:smartTag>
      <w:r w:rsidR="00826E0F" w:rsidRPr="00872599">
        <w:rPr>
          <w:lang w:val="fr-FR"/>
        </w:rPr>
        <w:t xml:space="preserve"> prévoit que les traités internationaux peuvent faire l</w:t>
      </w:r>
      <w:r w:rsidR="006645B6">
        <w:rPr>
          <w:lang w:val="fr-FR"/>
        </w:rPr>
        <w:t>’</w:t>
      </w:r>
      <w:r w:rsidR="00826E0F" w:rsidRPr="00872599">
        <w:rPr>
          <w:lang w:val="fr-FR"/>
        </w:rPr>
        <w:t>objet d</w:t>
      </w:r>
      <w:r w:rsidR="006645B6">
        <w:rPr>
          <w:lang w:val="fr-FR"/>
        </w:rPr>
        <w:t>’</w:t>
      </w:r>
      <w:r w:rsidR="00826E0F" w:rsidRPr="00872599">
        <w:rPr>
          <w:lang w:val="fr-FR"/>
        </w:rPr>
        <w:t xml:space="preserve">un contrôle de la part de </w:t>
      </w:r>
      <w:smartTag w:uri="urn:schemas-microsoft-com:office:smarttags" w:element="PersonName">
        <w:smartTagPr>
          <w:attr w:name="ProductID" w:val="la Cour"/>
        </w:smartTagPr>
        <w:r w:rsidR="00826E0F" w:rsidRPr="00872599">
          <w:rPr>
            <w:lang w:val="fr-FR"/>
          </w:rPr>
          <w:t>la Cour</w:t>
        </w:r>
      </w:smartTag>
      <w:r w:rsidR="00826E0F" w:rsidRPr="00872599">
        <w:rPr>
          <w:lang w:val="fr-FR"/>
        </w:rPr>
        <w:t xml:space="preserve"> constitutionnelle de sorte qu</w:t>
      </w:r>
      <w:r w:rsidR="006645B6">
        <w:rPr>
          <w:lang w:val="fr-FR"/>
        </w:rPr>
        <w:t>’</w:t>
      </w:r>
      <w:r w:rsidR="00826E0F" w:rsidRPr="00872599">
        <w:rPr>
          <w:lang w:val="fr-FR"/>
        </w:rPr>
        <w:t xml:space="preserve">ils ont officiellement un rang inférieur à celui de </w:t>
      </w:r>
      <w:smartTag w:uri="urn:schemas-microsoft-com:office:smarttags" w:element="PersonName">
        <w:smartTagPr>
          <w:attr w:name="ProductID" w:val="la Constitution. Par"/>
        </w:smartTagPr>
        <w:r w:rsidR="00826E0F" w:rsidRPr="00872599">
          <w:rPr>
            <w:lang w:val="fr-FR"/>
          </w:rPr>
          <w:t>la Constitution. Par</w:t>
        </w:r>
      </w:smartTag>
      <w:r w:rsidR="00826E0F" w:rsidRPr="00872599">
        <w:rPr>
          <w:lang w:val="fr-FR"/>
        </w:rPr>
        <w:t xml:space="preserve"> ailleurs, la loi portant création de </w:t>
      </w:r>
      <w:smartTag w:uri="urn:schemas-microsoft-com:office:smarttags" w:element="PersonName">
        <w:smartTagPr>
          <w:attr w:name="ProductID" w:val="la Cour"/>
        </w:smartTagPr>
        <w:r w:rsidR="00826E0F" w:rsidRPr="00872599">
          <w:rPr>
            <w:lang w:val="fr-FR"/>
          </w:rPr>
          <w:t>la Cour</w:t>
        </w:r>
      </w:smartTag>
      <w:r w:rsidR="00826E0F" w:rsidRPr="00872599">
        <w:rPr>
          <w:lang w:val="fr-FR"/>
        </w:rPr>
        <w:t xml:space="preserve"> constitutionnelle prévoit qu</w:t>
      </w:r>
      <w:r w:rsidR="006645B6">
        <w:rPr>
          <w:lang w:val="fr-FR"/>
        </w:rPr>
        <w:t>’</w:t>
      </w:r>
      <w:r w:rsidR="00826E0F" w:rsidRPr="00872599">
        <w:rPr>
          <w:lang w:val="fr-FR"/>
        </w:rPr>
        <w:t>il est possible de faire valoir de nombreux droits individuels énoncés dans des traités internationaux au même titre que les droits constitutionnels et ce au moyen d</w:t>
      </w:r>
      <w:r w:rsidR="006645B6">
        <w:rPr>
          <w:lang w:val="fr-FR"/>
        </w:rPr>
        <w:t>’</w:t>
      </w:r>
      <w:r w:rsidR="00826E0F" w:rsidRPr="00872599">
        <w:rPr>
          <w:lang w:val="fr-FR"/>
        </w:rPr>
        <w:t>une plainte constitutionnelle ce qui, dans la pratique, garantit aux traités le même rang que la Constitution.</w:t>
      </w:r>
      <w:r w:rsidR="00F65ED6">
        <w:rPr>
          <w:lang w:val="fr-FR"/>
        </w:rPr>
        <w:t xml:space="preserve"> Ce</w:t>
      </w:r>
      <w:r w:rsidR="00826E0F" w:rsidRPr="00872599">
        <w:rPr>
          <w:lang w:val="fr-FR"/>
        </w:rPr>
        <w:t xml:space="preserve">la vaut expressément pour </w:t>
      </w:r>
      <w:smartTag w:uri="urn:schemas-microsoft-com:office:smarttags" w:element="PersonName">
        <w:smartTagPr>
          <w:attr w:name="ProductID" w:val="la Convention"/>
        </w:smartTagPr>
        <w:r w:rsidR="00826E0F" w:rsidRPr="00872599">
          <w:rPr>
            <w:lang w:val="fr-FR"/>
          </w:rPr>
          <w:t>la Convention</w:t>
        </w:r>
      </w:smartTag>
      <w:r w:rsidR="00826E0F" w:rsidRPr="00872599">
        <w:rPr>
          <w:lang w:val="fr-FR"/>
        </w:rPr>
        <w:t xml:space="preserve"> européenne des droits de l</w:t>
      </w:r>
      <w:r w:rsidR="006645B6">
        <w:rPr>
          <w:lang w:val="fr-FR"/>
        </w:rPr>
        <w:t>’</w:t>
      </w:r>
      <w:r w:rsidR="00826E0F" w:rsidRPr="00872599">
        <w:rPr>
          <w:lang w:val="fr-FR"/>
        </w:rPr>
        <w:t xml:space="preserve">homme, le Pacte international relatif aux droits civils et politiques et pour </w:t>
      </w:r>
      <w:smartTag w:uri="urn:schemas-microsoft-com:office:smarttags" w:element="PersonName">
        <w:smartTagPr>
          <w:attr w:name="ProductID" w:val="la Convention"/>
        </w:smartTagPr>
        <w:r w:rsidR="00826E0F" w:rsidRPr="00872599">
          <w:rPr>
            <w:lang w:val="fr-FR"/>
          </w:rPr>
          <w:t>la Convention</w:t>
        </w:r>
      </w:smartTag>
      <w:r w:rsidR="00826E0F" w:rsidRPr="00872599">
        <w:rPr>
          <w:lang w:val="fr-FR"/>
        </w:rPr>
        <w:t xml:space="preserve"> contre la torture, pour celle concernant la discrimination contre les femmes et pour celle en concernant la discrimination raciale; cela s</w:t>
      </w:r>
      <w:r w:rsidR="006645B6">
        <w:rPr>
          <w:lang w:val="fr-FR"/>
        </w:rPr>
        <w:t>’</w:t>
      </w:r>
      <w:r w:rsidR="00826E0F" w:rsidRPr="00872599">
        <w:rPr>
          <w:lang w:val="fr-FR"/>
        </w:rPr>
        <w:t>applique aussi implicitement aux libertés fondamentales énoncées dans l</w:t>
      </w:r>
      <w:r w:rsidR="006645B6">
        <w:rPr>
          <w:lang w:val="fr-FR"/>
        </w:rPr>
        <w:t>’</w:t>
      </w:r>
      <w:r w:rsidR="00826E0F" w:rsidRPr="00872599">
        <w:rPr>
          <w:lang w:val="fr-FR"/>
        </w:rPr>
        <w:t>accord de l</w:t>
      </w:r>
      <w:r w:rsidR="006645B6">
        <w:rPr>
          <w:lang w:val="fr-FR"/>
        </w:rPr>
        <w:t>’</w:t>
      </w:r>
      <w:r w:rsidR="00826E0F" w:rsidRPr="00872599">
        <w:rPr>
          <w:lang w:val="fr-FR"/>
        </w:rPr>
        <w:t>EEE. D</w:t>
      </w:r>
      <w:r w:rsidR="006645B6">
        <w:rPr>
          <w:lang w:val="fr-FR"/>
        </w:rPr>
        <w:t>’</w:t>
      </w:r>
      <w:r w:rsidR="00826E0F" w:rsidRPr="00872599">
        <w:rPr>
          <w:lang w:val="fr-FR"/>
        </w:rPr>
        <w:t>une manière générale, le rang d</w:t>
      </w:r>
      <w:r w:rsidR="006645B6">
        <w:rPr>
          <w:lang w:val="fr-FR"/>
        </w:rPr>
        <w:t>’</w:t>
      </w:r>
      <w:r w:rsidR="00826E0F" w:rsidRPr="00872599">
        <w:rPr>
          <w:lang w:val="fr-FR"/>
        </w:rPr>
        <w:t xml:space="preserve">une norme juridique internationale est déterminé par son contenu. Selon la jurisprudence de </w:t>
      </w:r>
      <w:smartTag w:uri="urn:schemas-microsoft-com:office:smarttags" w:element="PersonName">
        <w:smartTagPr>
          <w:attr w:name="ProductID" w:val="la Cour"/>
        </w:smartTagPr>
        <w:r w:rsidR="00826E0F" w:rsidRPr="00872599">
          <w:rPr>
            <w:lang w:val="fr-FR"/>
          </w:rPr>
          <w:t>la Cour</w:t>
        </w:r>
      </w:smartTag>
      <w:r w:rsidR="00826E0F" w:rsidRPr="00872599">
        <w:rPr>
          <w:lang w:val="fr-FR"/>
        </w:rPr>
        <w:t xml:space="preserve"> constitutionnelle, les traités internationaux ratifiés par le Parlement ont toujours au moins rang de loi dans l</w:t>
      </w:r>
      <w:r w:rsidR="006645B6">
        <w:rPr>
          <w:lang w:val="fr-FR"/>
        </w:rPr>
        <w:t>’</w:t>
      </w:r>
      <w:r w:rsidR="00826E0F" w:rsidRPr="00872599">
        <w:rPr>
          <w:lang w:val="fr-FR"/>
        </w:rPr>
        <w:t>ordre juridique interne. Un accord ratifié s</w:t>
      </w:r>
      <w:r w:rsidR="006645B6">
        <w:rPr>
          <w:lang w:val="fr-FR"/>
        </w:rPr>
        <w:t>’</w:t>
      </w:r>
      <w:r w:rsidR="00826E0F" w:rsidRPr="00872599">
        <w:rPr>
          <w:lang w:val="fr-FR"/>
        </w:rPr>
        <w:t>intègre dans le droit national à la date de son entrée en vigueur. Ledit accord est aussi directement applicable pour autant que ses dispositions soient suffisamment précises.</w:t>
      </w:r>
    </w:p>
    <w:p w:rsidR="00826E0F" w:rsidRPr="00872599" w:rsidRDefault="00AA41FD" w:rsidP="00497599">
      <w:pPr>
        <w:pStyle w:val="SingleTxt"/>
        <w:rPr>
          <w:lang w:val="fr-FR"/>
        </w:rPr>
      </w:pPr>
      <w:r>
        <w:rPr>
          <w:lang w:val="fr-FR"/>
        </w:rPr>
        <w:tab/>
      </w:r>
      <w:r w:rsidR="00826E0F" w:rsidRPr="00872599">
        <w:rPr>
          <w:lang w:val="fr-FR"/>
        </w:rPr>
        <w:t>La juridiction se divise en juridiction civile, pénale, administrative et constitutionnelle. La juridiction civile et une partie de la juridiction pénale sont exercées en première instance par des juges individuels tandis que les autres juridictions sont sans exception exercées par des tribunaux collégiaux. Avant de pouvoir entreprendre une procédure contentieuse au civil, il faut engager une procédure d</w:t>
      </w:r>
      <w:r w:rsidR="006645B6">
        <w:rPr>
          <w:lang w:val="fr-FR"/>
        </w:rPr>
        <w:t>’</w:t>
      </w:r>
      <w:r w:rsidR="00826E0F" w:rsidRPr="00872599">
        <w:rPr>
          <w:lang w:val="fr-FR"/>
        </w:rPr>
        <w:t>arbitrage au lieu de résidence du défendeur. Ce n</w:t>
      </w:r>
      <w:r w:rsidR="006645B6">
        <w:rPr>
          <w:lang w:val="fr-FR"/>
        </w:rPr>
        <w:t>’</w:t>
      </w:r>
      <w:r w:rsidR="00826E0F" w:rsidRPr="00872599">
        <w:rPr>
          <w:lang w:val="fr-FR"/>
        </w:rPr>
        <w:t>est que si cette procédure échoue que des poursuites peuvent être entamées. La juridiction administrative est exercé par le tribunal administratif. Au sein de l</w:t>
      </w:r>
      <w:r w:rsidR="006645B6">
        <w:rPr>
          <w:lang w:val="fr-FR"/>
        </w:rPr>
        <w:t>’</w:t>
      </w:r>
      <w:r w:rsidR="00826E0F" w:rsidRPr="00872599">
        <w:rPr>
          <w:lang w:val="fr-FR"/>
        </w:rPr>
        <w:t xml:space="preserve">administration, des plaintes peuvent être déposées auprès du Gouvernement ou de </w:t>
      </w:r>
      <w:smartTag w:uri="urn:schemas-microsoft-com:office:smarttags" w:element="PersonName">
        <w:smartTagPr>
          <w:attr w:name="ProductID" w:val="la Commission"/>
        </w:smartTagPr>
        <w:r w:rsidR="00826E0F" w:rsidRPr="00872599">
          <w:rPr>
            <w:lang w:val="fr-FR"/>
          </w:rPr>
          <w:t>la Commission</w:t>
        </w:r>
      </w:smartTag>
      <w:r w:rsidR="00826E0F" w:rsidRPr="00872599">
        <w:rPr>
          <w:lang w:val="fr-FR"/>
        </w:rPr>
        <w:t xml:space="preserve"> des plaintes administratives. Les décisions ainsi prises et les décisions prises par des commissions au nom du Gouvernement peuvent faire l</w:t>
      </w:r>
      <w:r w:rsidR="006645B6">
        <w:rPr>
          <w:lang w:val="fr-FR"/>
        </w:rPr>
        <w:t>’</w:t>
      </w:r>
      <w:r w:rsidR="00826E0F" w:rsidRPr="00872599">
        <w:rPr>
          <w:lang w:val="fr-FR"/>
        </w:rPr>
        <w:t>objet d</w:t>
      </w:r>
      <w:r w:rsidR="006645B6">
        <w:rPr>
          <w:lang w:val="fr-FR"/>
        </w:rPr>
        <w:t>’</w:t>
      </w:r>
      <w:r w:rsidR="00826E0F" w:rsidRPr="00872599">
        <w:rPr>
          <w:lang w:val="fr-FR"/>
        </w:rPr>
        <w:t>un appel auprès du Tribunal administratif. La</w:t>
      </w:r>
      <w:r w:rsidR="00F65ED6">
        <w:rPr>
          <w:lang w:val="fr-FR"/>
        </w:rPr>
        <w:t xml:space="preserve"> C</w:t>
      </w:r>
      <w:r w:rsidR="00826E0F" w:rsidRPr="00872599">
        <w:rPr>
          <w:lang w:val="fr-FR"/>
        </w:rPr>
        <w:t xml:space="preserve">our constitutionnelle est habilitée à contrôler la constitutionnalité des lois et des traités internationaux ainsi que la constitutionnalité et la légalité des ordonnances du Gouvernement. </w:t>
      </w:r>
      <w:smartTag w:uri="urn:schemas-microsoft-com:office:smarttags" w:element="PersonName">
        <w:smartTagPr>
          <w:attr w:name="ProductID" w:val="la Cour"/>
        </w:smartTagPr>
        <w:r w:rsidR="00826E0F" w:rsidRPr="00872599">
          <w:rPr>
            <w:lang w:val="fr-FR"/>
          </w:rPr>
          <w:t>La Cour</w:t>
        </w:r>
      </w:smartTag>
      <w:r w:rsidR="00826E0F" w:rsidRPr="00872599">
        <w:rPr>
          <w:lang w:val="fr-FR"/>
        </w:rPr>
        <w:t xml:space="preserve"> constitutionnelle peut annuler des lois et des ordonnances inconstitutionnelles; en cas d</w:t>
      </w:r>
      <w:r w:rsidR="006645B6">
        <w:rPr>
          <w:lang w:val="fr-FR"/>
        </w:rPr>
        <w:t>’</w:t>
      </w:r>
      <w:r w:rsidR="00826E0F" w:rsidRPr="00872599">
        <w:rPr>
          <w:lang w:val="fr-FR"/>
        </w:rPr>
        <w:t xml:space="preserve">inconstitutionnalité de traités internationaux, </w:t>
      </w:r>
      <w:smartTag w:uri="urn:schemas-microsoft-com:office:smarttags" w:element="PersonName">
        <w:smartTagPr>
          <w:attr w:name="ProductID" w:val="la Cour"/>
        </w:smartTagPr>
        <w:r w:rsidR="00826E0F" w:rsidRPr="00872599">
          <w:rPr>
            <w:lang w:val="fr-FR"/>
          </w:rPr>
          <w:t>la Cour</w:t>
        </w:r>
      </w:smartTag>
      <w:r w:rsidR="00826E0F" w:rsidRPr="00872599">
        <w:rPr>
          <w:lang w:val="fr-FR"/>
        </w:rPr>
        <w:t xml:space="preserve"> peut ordonner que le traité ne soit pas appliqué dans l</w:t>
      </w:r>
      <w:r w:rsidR="006645B6">
        <w:rPr>
          <w:lang w:val="fr-FR"/>
        </w:rPr>
        <w:t>’</w:t>
      </w:r>
      <w:r w:rsidR="00826E0F" w:rsidRPr="00872599">
        <w:rPr>
          <w:lang w:val="fr-FR"/>
        </w:rPr>
        <w:t xml:space="preserve">ordre interne. Cela étant, la constitutionnalité de tous les traités internationaux est vérifiée par les autorités compétentes dans le cadre de la procédure de ratification. Il incombe aussi à </w:t>
      </w:r>
      <w:smartTag w:uri="urn:schemas-microsoft-com:office:smarttags" w:element="PersonName">
        <w:smartTagPr>
          <w:attr w:name="ProductID" w:val="la Cour"/>
        </w:smartTagPr>
        <w:r w:rsidR="00826E0F" w:rsidRPr="00872599">
          <w:rPr>
            <w:lang w:val="fr-FR"/>
          </w:rPr>
          <w:t>la Cour</w:t>
        </w:r>
      </w:smartTag>
      <w:r w:rsidR="00826E0F" w:rsidRPr="00872599">
        <w:rPr>
          <w:lang w:val="fr-FR"/>
        </w:rPr>
        <w:t xml:space="preserve"> constitutionnelle de protéger les droits garantis par </w:t>
      </w:r>
      <w:smartTag w:uri="urn:schemas-microsoft-com:office:smarttags" w:element="PersonName">
        <w:smartTagPr>
          <w:attr w:name="ProductID" w:val="la Constitution"/>
        </w:smartTagPr>
        <w:r w:rsidR="00826E0F" w:rsidRPr="00872599">
          <w:rPr>
            <w:lang w:val="fr-FR"/>
          </w:rPr>
          <w:t>la Constitution</w:t>
        </w:r>
      </w:smartTag>
      <w:r w:rsidR="00826E0F" w:rsidRPr="00872599">
        <w:rPr>
          <w:lang w:val="fr-FR"/>
        </w:rPr>
        <w:t xml:space="preserve"> et les droits individuels susmentionnés garantis par le droit international, étant entendu qu</w:t>
      </w:r>
      <w:r w:rsidR="006645B6">
        <w:rPr>
          <w:lang w:val="fr-FR"/>
        </w:rPr>
        <w:t>’</w:t>
      </w:r>
      <w:r w:rsidR="00826E0F" w:rsidRPr="00872599">
        <w:rPr>
          <w:lang w:val="fr-FR"/>
        </w:rPr>
        <w:t>il est possible de faire valoir tous ces droits au moyen d</w:t>
      </w:r>
      <w:r w:rsidR="006645B6">
        <w:rPr>
          <w:lang w:val="fr-FR"/>
        </w:rPr>
        <w:t>’</w:t>
      </w:r>
      <w:r w:rsidR="00826E0F" w:rsidRPr="00872599">
        <w:rPr>
          <w:lang w:val="fr-FR"/>
        </w:rPr>
        <w:t>une plainte constitutionnelle contre toute décision d</w:t>
      </w:r>
      <w:r w:rsidR="006645B6">
        <w:rPr>
          <w:lang w:val="fr-FR"/>
        </w:rPr>
        <w:t>’</w:t>
      </w:r>
      <w:r w:rsidR="00826E0F" w:rsidRPr="00872599">
        <w:rPr>
          <w:lang w:val="fr-FR"/>
        </w:rPr>
        <w:t>une juridiction civile, pénale ou administrative de dernière instance</w:t>
      </w:r>
      <w:r w:rsidR="00826E0F" w:rsidRPr="00A03470">
        <w:rPr>
          <w:rStyle w:val="Normal"/>
          <w:lang w:val="fr-FR"/>
        </w:rPr>
        <w:footnoteReference w:id="2"/>
      </w:r>
      <w:r w:rsidR="00F65ED6">
        <w:rPr>
          <w:lang w:val="fr-FR"/>
        </w:rPr>
        <w:t>.</w:t>
      </w:r>
    </w:p>
    <w:p w:rsidR="00826E0F" w:rsidRPr="00872599" w:rsidRDefault="00AA41FD" w:rsidP="00497599">
      <w:pPr>
        <w:pStyle w:val="SingleTxt"/>
        <w:rPr>
          <w:lang w:val="fr-FR"/>
        </w:rPr>
      </w:pPr>
      <w:bookmarkStart w:id="3" w:name="vorart%252525252525252525252525252525252"/>
      <w:bookmarkEnd w:id="3"/>
      <w:r>
        <w:rPr>
          <w:lang w:val="fr-FR"/>
        </w:rPr>
        <w:tab/>
      </w:r>
      <w:r w:rsidR="00826E0F" w:rsidRPr="00872599">
        <w:rPr>
          <w:lang w:val="fr-FR"/>
        </w:rPr>
        <w:t>Institutions chargées de la promotion et de la protection des droits de l</w:t>
      </w:r>
      <w:r w:rsidR="006645B6">
        <w:rPr>
          <w:lang w:val="fr-FR"/>
        </w:rPr>
        <w:t>’</w:t>
      </w:r>
      <w:r w:rsidR="00826E0F" w:rsidRPr="00872599">
        <w:rPr>
          <w:lang w:val="fr-FR"/>
        </w:rPr>
        <w:t>homme</w:t>
      </w:r>
      <w:r w:rsidR="006645B6">
        <w:rPr>
          <w:lang w:val="fr-FR"/>
        </w:rPr>
        <w:t> :</w:t>
      </w:r>
      <w:r w:rsidR="00826E0F" w:rsidRPr="00872599">
        <w:rPr>
          <w:lang w:val="fr-FR"/>
        </w:rPr>
        <w:t xml:space="preserve"> pour exercer la responsabilité de l</w:t>
      </w:r>
      <w:r w:rsidR="006645B6">
        <w:rPr>
          <w:lang w:val="fr-FR"/>
        </w:rPr>
        <w:t>’</w:t>
      </w:r>
      <w:r w:rsidR="00826E0F" w:rsidRPr="00872599">
        <w:rPr>
          <w:lang w:val="fr-FR"/>
        </w:rPr>
        <w:t>État en matière de protection et de promotion des droits de l</w:t>
      </w:r>
      <w:r w:rsidR="006645B6">
        <w:rPr>
          <w:lang w:val="fr-FR"/>
        </w:rPr>
        <w:t>’</w:t>
      </w:r>
      <w:r w:rsidR="00826E0F" w:rsidRPr="00872599">
        <w:rPr>
          <w:lang w:val="fr-FR"/>
        </w:rPr>
        <w:t>homme, non seulement faut-il des structures institutionnelles mais il faut également bien comprendre la nature des droits de l</w:t>
      </w:r>
      <w:r w:rsidR="006645B6">
        <w:rPr>
          <w:lang w:val="fr-FR"/>
        </w:rPr>
        <w:t>’</w:t>
      </w:r>
      <w:r w:rsidR="00826E0F" w:rsidRPr="00872599">
        <w:rPr>
          <w:lang w:val="fr-FR"/>
        </w:rPr>
        <w:t xml:space="preserve">homme. À cet égard, la création en 2005 de </w:t>
      </w:r>
      <w:smartTag w:uri="urn:schemas-microsoft-com:office:smarttags" w:element="PersonName">
        <w:smartTagPr>
          <w:attr w:name="ProductID" w:val="la Commission"/>
        </w:smartTagPr>
        <w:r w:rsidR="00826E0F" w:rsidRPr="00872599">
          <w:rPr>
            <w:lang w:val="fr-FR"/>
          </w:rPr>
          <w:t>la Commission</w:t>
        </w:r>
      </w:smartTag>
      <w:r w:rsidR="00826E0F" w:rsidRPr="00872599">
        <w:rPr>
          <w:lang w:val="fr-FR"/>
        </w:rPr>
        <w:t xml:space="preserve"> inter-bureaux pour l</w:t>
      </w:r>
      <w:r w:rsidR="006645B6">
        <w:rPr>
          <w:lang w:val="fr-FR"/>
        </w:rPr>
        <w:t>’</w:t>
      </w:r>
      <w:r w:rsidR="00826E0F" w:rsidRPr="00872599">
        <w:rPr>
          <w:lang w:val="fr-FR"/>
        </w:rPr>
        <w:t>égalité des chances et de son Bureau opérationnel pour l</w:t>
      </w:r>
      <w:r w:rsidR="006645B6">
        <w:rPr>
          <w:lang w:val="fr-FR"/>
        </w:rPr>
        <w:t>’</w:t>
      </w:r>
      <w:r w:rsidR="00826E0F" w:rsidRPr="00872599">
        <w:rPr>
          <w:lang w:val="fr-FR"/>
        </w:rPr>
        <w:t>égalité des chances (</w:t>
      </w:r>
      <w:r w:rsidR="00826E0F" w:rsidRPr="00872599">
        <w:rPr>
          <w:i/>
          <w:iCs/>
          <w:lang w:val="fr-FR"/>
        </w:rPr>
        <w:t xml:space="preserve">Stabsstelle für Chancengleichheit, </w:t>
      </w:r>
      <w:r w:rsidR="00826E0F" w:rsidRPr="00872599">
        <w:rPr>
          <w:lang w:val="fr-FR"/>
        </w:rPr>
        <w:t xml:space="preserve">SCG) a constitué une mesure importante. </w:t>
      </w:r>
      <w:smartTag w:uri="urn:schemas-microsoft-com:office:smarttags" w:element="PersonName">
        <w:smartTagPr>
          <w:attr w:name="ProductID" w:val="La SCG"/>
        </w:smartTagPr>
        <w:r w:rsidR="00826E0F" w:rsidRPr="00872599">
          <w:rPr>
            <w:lang w:val="fr-FR"/>
          </w:rPr>
          <w:t>La SCG</w:t>
        </w:r>
      </w:smartTag>
      <w:r w:rsidR="00826E0F" w:rsidRPr="00872599">
        <w:rPr>
          <w:lang w:val="fr-FR"/>
        </w:rPr>
        <w:t xml:space="preserve"> s</w:t>
      </w:r>
      <w:r w:rsidR="006645B6">
        <w:rPr>
          <w:lang w:val="fr-FR"/>
        </w:rPr>
        <w:t>’</w:t>
      </w:r>
      <w:r w:rsidR="00826E0F" w:rsidRPr="00872599">
        <w:rPr>
          <w:lang w:val="fr-FR"/>
        </w:rPr>
        <w:t>efforce essentiellement de lutter contre la discrimination et de promouvoir l</w:t>
      </w:r>
      <w:r w:rsidR="006645B6">
        <w:rPr>
          <w:lang w:val="fr-FR"/>
        </w:rPr>
        <w:t>’</w:t>
      </w:r>
      <w:r w:rsidR="00826E0F" w:rsidRPr="00872599">
        <w:rPr>
          <w:lang w:val="fr-FR"/>
        </w:rPr>
        <w:t>égalité de droit et de fait dans les domaines où l</w:t>
      </w:r>
      <w:r w:rsidR="006645B6">
        <w:rPr>
          <w:lang w:val="fr-FR"/>
        </w:rPr>
        <w:t>’</w:t>
      </w:r>
      <w:r w:rsidR="00826E0F" w:rsidRPr="00872599">
        <w:rPr>
          <w:lang w:val="fr-FR"/>
        </w:rPr>
        <w:t>égalité des chances est d</w:t>
      </w:r>
      <w:r w:rsidR="006645B6">
        <w:rPr>
          <w:lang w:val="fr-FR"/>
        </w:rPr>
        <w:t>’</w:t>
      </w:r>
      <w:r w:rsidR="00826E0F" w:rsidRPr="00872599">
        <w:rPr>
          <w:lang w:val="fr-FR"/>
        </w:rPr>
        <w:t>une importance cruciale pour la protection des droits de</w:t>
      </w:r>
      <w:r w:rsidR="006645B6">
        <w:rPr>
          <w:lang w:val="fr-FR"/>
        </w:rPr>
        <w:t xml:space="preserve"> </w:t>
      </w:r>
      <w:r w:rsidR="00826E0F" w:rsidRPr="00872599">
        <w:rPr>
          <w:lang w:val="fr-FR"/>
        </w:rPr>
        <w:t>l</w:t>
      </w:r>
      <w:r w:rsidR="006645B6">
        <w:rPr>
          <w:lang w:val="fr-FR"/>
        </w:rPr>
        <w:t>’</w:t>
      </w:r>
      <w:r w:rsidR="00826E0F" w:rsidRPr="00872599">
        <w:rPr>
          <w:lang w:val="fr-FR"/>
        </w:rPr>
        <w:t>homme, à savoir les questions de genre, les handicaps, la migration et l</w:t>
      </w:r>
      <w:r w:rsidR="006645B6">
        <w:rPr>
          <w:lang w:val="fr-FR"/>
        </w:rPr>
        <w:t>’</w:t>
      </w:r>
      <w:r w:rsidR="00826E0F" w:rsidRPr="00872599">
        <w:rPr>
          <w:lang w:val="fr-FR"/>
        </w:rPr>
        <w:t>intégration des étrangers, le désavantage social et l</w:t>
      </w:r>
      <w:r w:rsidR="006645B6">
        <w:rPr>
          <w:lang w:val="fr-FR"/>
        </w:rPr>
        <w:t>’</w:t>
      </w:r>
      <w:r w:rsidR="00826E0F" w:rsidRPr="00872599">
        <w:rPr>
          <w:lang w:val="fr-FR"/>
        </w:rPr>
        <w:t xml:space="preserve">orientation sexuelle. </w:t>
      </w:r>
      <w:smartTag w:uri="urn:schemas-microsoft-com:office:smarttags" w:element="PersonName">
        <w:smartTagPr>
          <w:attr w:name="ProductID" w:val="la Commission"/>
        </w:smartTagPr>
        <w:r w:rsidR="00826E0F" w:rsidRPr="00872599">
          <w:rPr>
            <w:lang w:val="fr-FR"/>
          </w:rPr>
          <w:t>La Commission</w:t>
        </w:r>
      </w:smartTag>
      <w:r w:rsidR="00826E0F" w:rsidRPr="00872599">
        <w:rPr>
          <w:lang w:val="fr-FR"/>
        </w:rPr>
        <w:t xml:space="preserve"> pour l</w:t>
      </w:r>
      <w:r w:rsidR="006645B6">
        <w:rPr>
          <w:lang w:val="fr-FR"/>
        </w:rPr>
        <w:t>’</w:t>
      </w:r>
      <w:r w:rsidR="00826E0F" w:rsidRPr="00872599">
        <w:rPr>
          <w:lang w:val="fr-FR"/>
        </w:rPr>
        <w:t>égalité des chances établit les stratégies concernant les questions intéressant l</w:t>
      </w:r>
      <w:r w:rsidR="006645B6">
        <w:rPr>
          <w:lang w:val="fr-FR"/>
        </w:rPr>
        <w:t>’</w:t>
      </w:r>
      <w:r w:rsidR="00826E0F" w:rsidRPr="00872599">
        <w:rPr>
          <w:lang w:val="fr-FR"/>
        </w:rPr>
        <w:t>égalité des chances qui revêtent une importance pour la société, rédige des recommandations sur les mesures à prendre, observe l</w:t>
      </w:r>
      <w:r w:rsidR="006645B6">
        <w:rPr>
          <w:lang w:val="fr-FR"/>
        </w:rPr>
        <w:t>’</w:t>
      </w:r>
      <w:r w:rsidR="00826E0F" w:rsidRPr="00872599">
        <w:rPr>
          <w:lang w:val="fr-FR"/>
        </w:rPr>
        <w:t>évolution de la situation, assure le suivi des mesures d</w:t>
      </w:r>
      <w:r w:rsidR="006645B6">
        <w:rPr>
          <w:lang w:val="fr-FR"/>
        </w:rPr>
        <w:t>’</w:t>
      </w:r>
      <w:r w:rsidR="00826E0F" w:rsidRPr="00872599">
        <w:rPr>
          <w:lang w:val="fr-FR"/>
        </w:rPr>
        <w:t>exécution et conseille le Gouvernement. Le Bureau de l</w:t>
      </w:r>
      <w:r w:rsidR="006645B6">
        <w:rPr>
          <w:lang w:val="fr-FR"/>
        </w:rPr>
        <w:t>’</w:t>
      </w:r>
      <w:r w:rsidR="00826E0F" w:rsidRPr="00872599">
        <w:rPr>
          <w:lang w:val="fr-FR"/>
        </w:rPr>
        <w:t>égalité des chances gère la documentation accessible au public, fournit gratuitement des conseils aux particuliers, aux organisations et aux entreprises et fait office de Bureau de contact pour les victimes. Le Bureau oeuvre en faveur de mesures de sensibilisation, émet des avis sur les projets de loi, d</w:t>
      </w:r>
      <w:r w:rsidR="006645B6">
        <w:rPr>
          <w:lang w:val="fr-FR"/>
        </w:rPr>
        <w:t>’</w:t>
      </w:r>
      <w:r w:rsidR="00826E0F" w:rsidRPr="00872599">
        <w:rPr>
          <w:lang w:val="fr-FR"/>
        </w:rPr>
        <w:t>ordonnance et de consultation et coordonne les mesures prises au sein de l</w:t>
      </w:r>
      <w:r w:rsidR="006645B6">
        <w:rPr>
          <w:lang w:val="fr-FR"/>
        </w:rPr>
        <w:t>’</w:t>
      </w:r>
      <w:r w:rsidR="00826E0F" w:rsidRPr="00872599">
        <w:rPr>
          <w:lang w:val="fr-FR"/>
        </w:rPr>
        <w:t>administration pour rendre possible l</w:t>
      </w:r>
      <w:r w:rsidR="006645B6">
        <w:rPr>
          <w:lang w:val="fr-FR"/>
        </w:rPr>
        <w:t>’</w:t>
      </w:r>
      <w:r w:rsidR="00826E0F" w:rsidRPr="00872599">
        <w:rPr>
          <w:lang w:val="fr-FR"/>
        </w:rPr>
        <w:t>égalité des chances. Grâce à la centralisation de toutes les questions relatives à l</w:t>
      </w:r>
      <w:r w:rsidR="006645B6">
        <w:rPr>
          <w:lang w:val="fr-FR"/>
        </w:rPr>
        <w:t>’</w:t>
      </w:r>
      <w:r w:rsidR="00826E0F" w:rsidRPr="00872599">
        <w:rPr>
          <w:lang w:val="fr-FR"/>
        </w:rPr>
        <w:t xml:space="preserve">égalité des chances entre les mains de </w:t>
      </w:r>
      <w:smartTag w:uri="urn:schemas-microsoft-com:office:smarttags" w:element="PersonName">
        <w:smartTagPr>
          <w:attr w:name="ProductID" w:val="la Commission"/>
        </w:smartTagPr>
        <w:r w:rsidR="00826E0F" w:rsidRPr="00872599">
          <w:rPr>
            <w:lang w:val="fr-FR"/>
          </w:rPr>
          <w:t>la Commission</w:t>
        </w:r>
      </w:smartTag>
      <w:r w:rsidR="00826E0F" w:rsidRPr="00872599">
        <w:rPr>
          <w:lang w:val="fr-FR"/>
        </w:rPr>
        <w:t xml:space="preserve"> et de </w:t>
      </w:r>
      <w:smartTag w:uri="urn:schemas-microsoft-com:office:smarttags" w:element="PersonName">
        <w:smartTagPr>
          <w:attr w:name="ProductID" w:val="La SCG"/>
        </w:smartTagPr>
        <w:r w:rsidR="00826E0F" w:rsidRPr="00872599">
          <w:rPr>
            <w:lang w:val="fr-FR"/>
          </w:rPr>
          <w:t>la SCG</w:t>
        </w:r>
      </w:smartTag>
      <w:r w:rsidR="00826E0F" w:rsidRPr="00872599">
        <w:rPr>
          <w:lang w:val="fr-FR"/>
        </w:rPr>
        <w:t>, l</w:t>
      </w:r>
      <w:r w:rsidR="006645B6">
        <w:rPr>
          <w:lang w:val="fr-FR"/>
        </w:rPr>
        <w:t>’</w:t>
      </w:r>
      <w:r w:rsidR="00826E0F" w:rsidRPr="00872599">
        <w:rPr>
          <w:lang w:val="fr-FR"/>
        </w:rPr>
        <w:t>interaction des désavantages existant dans divers domaines peut être mieux déterminée, ce qui permet de s</w:t>
      </w:r>
      <w:r w:rsidR="006645B6">
        <w:rPr>
          <w:lang w:val="fr-FR"/>
        </w:rPr>
        <w:t>’</w:t>
      </w:r>
      <w:r w:rsidR="00826E0F" w:rsidRPr="00872599">
        <w:rPr>
          <w:lang w:val="fr-FR"/>
        </w:rPr>
        <w:t>attaquer plus efficacement aux discriminations multiples. À l</w:t>
      </w:r>
      <w:r w:rsidR="006645B6">
        <w:rPr>
          <w:lang w:val="fr-FR"/>
        </w:rPr>
        <w:t>’</w:t>
      </w:r>
      <w:r w:rsidR="00826E0F" w:rsidRPr="00872599">
        <w:rPr>
          <w:lang w:val="fr-FR"/>
        </w:rPr>
        <w:t>heure actuelle on commence à préparer une évaluation du Bureau de l</w:t>
      </w:r>
      <w:r w:rsidR="006645B6">
        <w:rPr>
          <w:lang w:val="fr-FR"/>
        </w:rPr>
        <w:t>’</w:t>
      </w:r>
      <w:r w:rsidR="00826E0F" w:rsidRPr="00872599">
        <w:rPr>
          <w:lang w:val="fr-FR"/>
        </w:rPr>
        <w:t xml:space="preserve">égalité des chances dans le but de revoir le mandat et les compétences de </w:t>
      </w:r>
      <w:smartTag w:uri="urn:schemas-microsoft-com:office:smarttags" w:element="PersonName">
        <w:smartTagPr>
          <w:attr w:name="ProductID" w:val="La SCG"/>
        </w:smartTagPr>
        <w:r w:rsidR="00826E0F" w:rsidRPr="00872599">
          <w:rPr>
            <w:lang w:val="fr-FR"/>
          </w:rPr>
          <w:t>la SCG</w:t>
        </w:r>
      </w:smartTag>
      <w:r w:rsidR="00826E0F" w:rsidRPr="00872599">
        <w:rPr>
          <w:lang w:val="fr-FR"/>
        </w:rPr>
        <w:t xml:space="preserve"> et de </w:t>
      </w:r>
      <w:smartTag w:uri="urn:schemas-microsoft-com:office:smarttags" w:element="PersonName">
        <w:smartTagPr>
          <w:attr w:name="ProductID" w:val="la Commission"/>
        </w:smartTagPr>
        <w:r w:rsidR="00826E0F" w:rsidRPr="00872599">
          <w:rPr>
            <w:lang w:val="fr-FR"/>
          </w:rPr>
          <w:t>la Commission</w:t>
        </w:r>
      </w:smartTag>
      <w:r w:rsidR="00826E0F" w:rsidRPr="00872599">
        <w:rPr>
          <w:lang w:val="fr-FR"/>
        </w:rPr>
        <w:t xml:space="preserve"> ainsi que leurs ressources en personnel et leur efficacité et d</w:t>
      </w:r>
      <w:r w:rsidR="006645B6">
        <w:rPr>
          <w:lang w:val="fr-FR"/>
        </w:rPr>
        <w:t>’</w:t>
      </w:r>
      <w:r w:rsidR="00826E0F" w:rsidRPr="00872599">
        <w:rPr>
          <w:lang w:val="fr-FR"/>
        </w:rPr>
        <w:t>entreprendre toute amélioration structurelle ou propre à telle ou telle organisation qui s</w:t>
      </w:r>
      <w:r w:rsidR="006645B6">
        <w:rPr>
          <w:lang w:val="fr-FR"/>
        </w:rPr>
        <w:t>’</w:t>
      </w:r>
      <w:r w:rsidR="00826E0F" w:rsidRPr="00872599">
        <w:rPr>
          <w:lang w:val="fr-FR"/>
        </w:rPr>
        <w:t>avérerait nécessaire.</w:t>
      </w:r>
    </w:p>
    <w:p w:rsidR="00AA41FD" w:rsidRPr="00AA41FD" w:rsidRDefault="00AA41FD" w:rsidP="00AA41FD">
      <w:pPr>
        <w:pStyle w:val="SingleTxt"/>
        <w:spacing w:after="0" w:line="120" w:lineRule="exact"/>
        <w:rPr>
          <w:sz w:val="10"/>
          <w:lang w:val="fr-FR"/>
        </w:rPr>
      </w:pPr>
    </w:p>
    <w:p w:rsidR="00AA41FD" w:rsidRDefault="00AA41FD" w:rsidP="00AA41F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p>
    <w:p w:rsidR="00826E0F" w:rsidRPr="00872599" w:rsidRDefault="00AA41FD" w:rsidP="00AA41F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br w:type="page"/>
      </w:r>
      <w:r w:rsidR="00826E0F" w:rsidRPr="00872599">
        <w:rPr>
          <w:lang w:val="fr-FR"/>
        </w:rPr>
        <w:t>Partie 2</w:t>
      </w:r>
      <w:r w:rsidR="00A03470">
        <w:rPr>
          <w:lang w:val="fr-FR"/>
        </w:rPr>
        <w:t>.</w:t>
      </w:r>
      <w:r w:rsidR="00826E0F" w:rsidRPr="00872599">
        <w:rPr>
          <w:lang w:val="fr-FR"/>
        </w:rPr>
        <w:tab/>
        <w:t xml:space="preserve">Mise en oeuvre de </w:t>
      </w:r>
      <w:smartTag w:uri="urn:schemas-microsoft-com:office:smarttags" w:element="PersonName">
        <w:smartTagPr>
          <w:attr w:name="ProductID" w:val="la Convention"/>
        </w:smartTagPr>
        <w:r w:rsidR="00826E0F" w:rsidRPr="00872599">
          <w:rPr>
            <w:lang w:val="fr-FR"/>
          </w:rPr>
          <w:t>la Convention</w:t>
        </w:r>
      </w:smartTag>
      <w:r w:rsidR="00826E0F" w:rsidRPr="00872599">
        <w:rPr>
          <w:lang w:val="fr-FR"/>
        </w:rPr>
        <w:t xml:space="preserve"> sur l</w:t>
      </w:r>
      <w:r w:rsidR="006645B6">
        <w:rPr>
          <w:lang w:val="fr-FR"/>
        </w:rPr>
        <w:t>’</w:t>
      </w:r>
      <w:r w:rsidR="00826E0F" w:rsidRPr="00872599">
        <w:rPr>
          <w:lang w:val="fr-FR"/>
        </w:rPr>
        <w:t>élimination de toutes les formes de discrimination à l</w:t>
      </w:r>
      <w:r w:rsidR="006645B6">
        <w:rPr>
          <w:lang w:val="fr-FR"/>
        </w:rPr>
        <w:t>’</w:t>
      </w:r>
      <w:r w:rsidR="00826E0F" w:rsidRPr="00872599">
        <w:rPr>
          <w:lang w:val="fr-FR"/>
        </w:rPr>
        <w:t xml:space="preserve">égard des femmes </w:t>
      </w:r>
    </w:p>
    <w:p w:rsidR="00AA41FD" w:rsidRPr="00AA41FD" w:rsidRDefault="00AA41FD" w:rsidP="00AA41FD">
      <w:pPr>
        <w:pStyle w:val="SingleTxt"/>
        <w:spacing w:after="0" w:line="120" w:lineRule="exact"/>
        <w:rPr>
          <w:b/>
          <w:sz w:val="10"/>
          <w:lang w:val="fr-FR"/>
        </w:rPr>
      </w:pPr>
    </w:p>
    <w:p w:rsidR="00AA41FD" w:rsidRPr="00AA41FD" w:rsidRDefault="00AA41FD" w:rsidP="00AA41FD">
      <w:pPr>
        <w:pStyle w:val="SingleTxt"/>
        <w:spacing w:after="0" w:line="120" w:lineRule="exact"/>
        <w:rPr>
          <w:b/>
          <w:sz w:val="10"/>
          <w:lang w:val="fr-FR"/>
        </w:rPr>
      </w:pPr>
    </w:p>
    <w:p w:rsidR="00826E0F" w:rsidRPr="00872599" w:rsidRDefault="00AA41FD" w:rsidP="00AA41F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bookmarkStart w:id="4" w:name="_Toc239741021"/>
      <w:r>
        <w:rPr>
          <w:lang w:val="fr-FR"/>
        </w:rPr>
        <w:tab/>
        <w:t>II.</w:t>
      </w:r>
      <w:r>
        <w:rPr>
          <w:lang w:val="fr-FR"/>
        </w:rPr>
        <w:tab/>
      </w:r>
      <w:r w:rsidR="00826E0F" w:rsidRPr="00872599">
        <w:rPr>
          <w:lang w:val="fr-FR"/>
        </w:rPr>
        <w:t>Introduction</w:t>
      </w:r>
      <w:bookmarkEnd w:id="4"/>
    </w:p>
    <w:p w:rsidR="00AA41FD" w:rsidRPr="00AA41FD" w:rsidRDefault="00AA41FD" w:rsidP="00AA41FD">
      <w:pPr>
        <w:pStyle w:val="SingleTxt"/>
        <w:spacing w:after="0" w:line="120" w:lineRule="exact"/>
        <w:rPr>
          <w:b/>
          <w:sz w:val="10"/>
          <w:lang w:val="fr-FR"/>
        </w:rPr>
      </w:pPr>
    </w:p>
    <w:p w:rsidR="00AA41FD" w:rsidRPr="00AA41FD" w:rsidRDefault="00AA41FD" w:rsidP="00AA41FD">
      <w:pPr>
        <w:pStyle w:val="SingleTxt"/>
        <w:spacing w:after="0" w:line="120" w:lineRule="exact"/>
        <w:rPr>
          <w:b/>
          <w:sz w:val="10"/>
          <w:lang w:val="fr-FR"/>
        </w:rPr>
      </w:pPr>
    </w:p>
    <w:p w:rsidR="00826E0F" w:rsidRPr="00872599" w:rsidRDefault="00AA41FD" w:rsidP="00AA41F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bookmarkStart w:id="5" w:name="_Toc239741022"/>
      <w:r>
        <w:rPr>
          <w:lang w:val="fr-FR"/>
        </w:rPr>
        <w:tab/>
      </w:r>
      <w:r>
        <w:rPr>
          <w:lang w:val="fr-FR"/>
        </w:rPr>
        <w:tab/>
      </w:r>
      <w:r w:rsidR="00826E0F" w:rsidRPr="00872599">
        <w:rPr>
          <w:lang w:val="fr-FR"/>
        </w:rPr>
        <w:t>Situation des femmes au Liechtenstein et mise en oeuvre du Plan d</w:t>
      </w:r>
      <w:r w:rsidR="006645B6">
        <w:rPr>
          <w:lang w:val="fr-FR"/>
        </w:rPr>
        <w:t>’</w:t>
      </w:r>
      <w:r w:rsidR="00826E0F" w:rsidRPr="00872599">
        <w:rPr>
          <w:lang w:val="fr-FR"/>
        </w:rPr>
        <w:t>action</w:t>
      </w:r>
      <w:r>
        <w:rPr>
          <w:lang w:val="fr-FR"/>
        </w:rPr>
        <w:br/>
      </w:r>
      <w:r w:rsidR="00826E0F" w:rsidRPr="00872599">
        <w:rPr>
          <w:lang w:val="fr-FR"/>
        </w:rPr>
        <w:t>de Beijing</w:t>
      </w:r>
      <w:bookmarkEnd w:id="5"/>
    </w:p>
    <w:p w:rsidR="00AA41FD" w:rsidRPr="00AA41FD" w:rsidRDefault="00AA41FD" w:rsidP="00AA41FD">
      <w:pPr>
        <w:pStyle w:val="SingleTxt"/>
        <w:spacing w:after="0" w:line="120" w:lineRule="exact"/>
        <w:rPr>
          <w:sz w:val="10"/>
          <w:lang w:val="fr-FR"/>
        </w:rPr>
      </w:pPr>
    </w:p>
    <w:p w:rsidR="00826E0F" w:rsidRPr="00872599" w:rsidRDefault="00AA41FD" w:rsidP="00497599">
      <w:pPr>
        <w:pStyle w:val="SingleTxt"/>
        <w:rPr>
          <w:lang w:val="fr-FR"/>
        </w:rPr>
      </w:pPr>
      <w:bookmarkStart w:id="6" w:name="_Toc512341764"/>
      <w:bookmarkStart w:id="7" w:name="_Toc137007644"/>
      <w:r>
        <w:rPr>
          <w:lang w:val="fr-FR"/>
        </w:rPr>
        <w:tab/>
      </w:r>
      <w:r w:rsidR="00826E0F" w:rsidRPr="00872599">
        <w:rPr>
          <w:lang w:val="fr-FR"/>
        </w:rPr>
        <w:t>Depuis que l</w:t>
      </w:r>
      <w:r w:rsidR="006645B6">
        <w:rPr>
          <w:lang w:val="fr-FR"/>
        </w:rPr>
        <w:t>’</w:t>
      </w:r>
      <w:r w:rsidR="00826E0F" w:rsidRPr="00872599">
        <w:rPr>
          <w:lang w:val="fr-FR"/>
        </w:rPr>
        <w:t xml:space="preserve">égalité juridique des femmes et des hommes a été inscrite dans </w:t>
      </w:r>
      <w:smartTag w:uri="urn:schemas-microsoft-com:office:smarttags" w:element="PersonName">
        <w:smartTagPr>
          <w:attr w:name="ProductID" w:val="la Constitution"/>
        </w:smartTagPr>
        <w:r w:rsidR="00826E0F" w:rsidRPr="00872599">
          <w:rPr>
            <w:lang w:val="fr-FR"/>
          </w:rPr>
          <w:t>la Constitution</w:t>
        </w:r>
      </w:smartTag>
      <w:r w:rsidR="00826E0F" w:rsidRPr="00872599">
        <w:rPr>
          <w:lang w:val="fr-FR"/>
        </w:rPr>
        <w:t xml:space="preserve"> du Liechtenstein en 1992 et depuis que le Liechtenstein a ratifié </w:t>
      </w:r>
      <w:smartTag w:uri="urn:schemas-microsoft-com:office:smarttags" w:element="PersonName">
        <w:smartTagPr>
          <w:attr w:name="ProductID" w:val="la Convention"/>
        </w:smartTagPr>
        <w:r w:rsidR="00826E0F" w:rsidRPr="00872599">
          <w:rPr>
            <w:lang w:val="fr-FR"/>
          </w:rPr>
          <w:t>la Convention</w:t>
        </w:r>
      </w:smartTag>
      <w:r w:rsidR="00826E0F" w:rsidRPr="00872599">
        <w:rPr>
          <w:lang w:val="fr-FR"/>
        </w:rPr>
        <w:t xml:space="preserve"> sur l</w:t>
      </w:r>
      <w:r w:rsidR="006645B6">
        <w:rPr>
          <w:lang w:val="fr-FR"/>
        </w:rPr>
        <w:t>’</w:t>
      </w:r>
      <w:r w:rsidR="00826E0F" w:rsidRPr="00872599">
        <w:rPr>
          <w:lang w:val="fr-FR"/>
        </w:rPr>
        <w:t>élimination de toutes les formes de discrimination à l</w:t>
      </w:r>
      <w:r w:rsidR="006645B6">
        <w:rPr>
          <w:lang w:val="fr-FR"/>
        </w:rPr>
        <w:t>’</w:t>
      </w:r>
      <w:r w:rsidR="00826E0F" w:rsidRPr="00872599">
        <w:rPr>
          <w:lang w:val="fr-FR"/>
        </w:rPr>
        <w:t>égard des femmes en 1996, le Liechtenstein s</w:t>
      </w:r>
      <w:r w:rsidR="006645B6">
        <w:rPr>
          <w:lang w:val="fr-FR"/>
        </w:rPr>
        <w:t>’</w:t>
      </w:r>
      <w:r w:rsidR="00826E0F" w:rsidRPr="00872599">
        <w:rPr>
          <w:lang w:val="fr-FR"/>
        </w:rPr>
        <w:t>est énergiquement efforcé de traduire dans les faits le principe de l</w:t>
      </w:r>
      <w:r w:rsidR="006645B6">
        <w:rPr>
          <w:lang w:val="fr-FR"/>
        </w:rPr>
        <w:t>’</w:t>
      </w:r>
      <w:r w:rsidR="00826E0F" w:rsidRPr="00872599">
        <w:rPr>
          <w:lang w:val="fr-FR"/>
        </w:rPr>
        <w:t>égalité entre les sexes.</w:t>
      </w:r>
    </w:p>
    <w:p w:rsidR="00826E0F" w:rsidRPr="00872599" w:rsidRDefault="00AA41FD" w:rsidP="00497599">
      <w:pPr>
        <w:pStyle w:val="SingleTxt"/>
        <w:rPr>
          <w:lang w:val="fr-FR"/>
        </w:rPr>
      </w:pPr>
      <w:r>
        <w:rPr>
          <w:lang w:val="fr-FR"/>
        </w:rPr>
        <w:tab/>
      </w:r>
      <w:r w:rsidR="00826E0F" w:rsidRPr="00872599">
        <w:rPr>
          <w:lang w:val="fr-FR"/>
        </w:rPr>
        <w:t>Pendant la période considérée, d</w:t>
      </w:r>
      <w:r w:rsidR="006645B6">
        <w:rPr>
          <w:lang w:val="fr-FR"/>
        </w:rPr>
        <w:t>’</w:t>
      </w:r>
      <w:r w:rsidR="00826E0F" w:rsidRPr="00872599">
        <w:rPr>
          <w:lang w:val="fr-FR"/>
        </w:rPr>
        <w:t>autres mesures ont été prises au plan juridique dans le cadre de la politique du Liechtenstein en matière d</w:t>
      </w:r>
      <w:r w:rsidR="006645B6">
        <w:rPr>
          <w:lang w:val="fr-FR"/>
        </w:rPr>
        <w:t>’</w:t>
      </w:r>
      <w:r w:rsidR="00826E0F" w:rsidRPr="00872599">
        <w:rPr>
          <w:lang w:val="fr-FR"/>
        </w:rPr>
        <w:t>égalité entre les sexes.</w:t>
      </w:r>
    </w:p>
    <w:p w:rsidR="00826E0F" w:rsidRPr="00872599" w:rsidRDefault="00AA41FD" w:rsidP="00497599">
      <w:pPr>
        <w:pStyle w:val="SingleTxt"/>
        <w:rPr>
          <w:lang w:val="fr-FR"/>
        </w:rPr>
      </w:pPr>
      <w:r>
        <w:rPr>
          <w:lang w:val="fr-FR"/>
        </w:rPr>
        <w:tab/>
      </w:r>
      <w:r w:rsidR="00826E0F" w:rsidRPr="00872599">
        <w:rPr>
          <w:lang w:val="fr-FR"/>
        </w:rPr>
        <w:t>Grâce à ces nouvelles assises législatives, qui en tant que piliers de la politique en matière d</w:t>
      </w:r>
      <w:r w:rsidR="006645B6">
        <w:rPr>
          <w:lang w:val="fr-FR"/>
        </w:rPr>
        <w:t>’</w:t>
      </w:r>
      <w:r w:rsidR="00826E0F" w:rsidRPr="00872599">
        <w:rPr>
          <w:lang w:val="fr-FR"/>
        </w:rPr>
        <w:t>égalité entre les sexes, soutiennent le principe de cette égalité tel qu</w:t>
      </w:r>
      <w:r w:rsidR="006645B6">
        <w:rPr>
          <w:lang w:val="fr-FR"/>
        </w:rPr>
        <w:t>’</w:t>
      </w:r>
      <w:r w:rsidR="00826E0F" w:rsidRPr="00872599">
        <w:rPr>
          <w:lang w:val="fr-FR"/>
        </w:rPr>
        <w:t xml:space="preserve">énoncé dans </w:t>
      </w:r>
      <w:smartTag w:uri="urn:schemas-microsoft-com:office:smarttags" w:element="PersonName">
        <w:smartTagPr>
          <w:attr w:name="ProductID" w:val="la Constitution"/>
        </w:smartTagPr>
        <w:r w:rsidR="00826E0F" w:rsidRPr="00872599">
          <w:rPr>
            <w:lang w:val="fr-FR"/>
          </w:rPr>
          <w:t>la Constitution</w:t>
        </w:r>
      </w:smartTag>
      <w:r w:rsidR="00826E0F" w:rsidRPr="00872599">
        <w:rPr>
          <w:lang w:val="fr-FR"/>
        </w:rPr>
        <w:t xml:space="preserve"> et sa mise en oeuvre à ce jour, l</w:t>
      </w:r>
      <w:r w:rsidR="006645B6">
        <w:rPr>
          <w:lang w:val="fr-FR"/>
        </w:rPr>
        <w:t>’</w:t>
      </w:r>
      <w:r w:rsidR="00826E0F" w:rsidRPr="00872599">
        <w:rPr>
          <w:lang w:val="fr-FR"/>
        </w:rPr>
        <w:t>égalité de droit entre les femmes et les hommes a pratiquement été instaurée. Cela dit, des progrès restent encore à faire en ce qui concerne l</w:t>
      </w:r>
      <w:r w:rsidR="006645B6">
        <w:rPr>
          <w:lang w:val="fr-FR"/>
        </w:rPr>
        <w:t>’</w:t>
      </w:r>
      <w:r w:rsidR="00826E0F" w:rsidRPr="00872599">
        <w:rPr>
          <w:lang w:val="fr-FR"/>
        </w:rPr>
        <w:t>égalité de fait.</w:t>
      </w:r>
    </w:p>
    <w:p w:rsidR="00826E0F" w:rsidRPr="00872599" w:rsidRDefault="00AA41FD" w:rsidP="00497599">
      <w:pPr>
        <w:pStyle w:val="SingleTxt"/>
        <w:rPr>
          <w:lang w:val="fr-FR"/>
        </w:rPr>
      </w:pPr>
      <w:r>
        <w:rPr>
          <w:lang w:val="fr-FR"/>
        </w:rPr>
        <w:tab/>
      </w:r>
      <w:r w:rsidR="00826E0F" w:rsidRPr="00872599">
        <w:rPr>
          <w:lang w:val="fr-FR"/>
        </w:rPr>
        <w:t>En appliquant sa politique à l</w:t>
      </w:r>
      <w:r w:rsidR="006645B6">
        <w:rPr>
          <w:lang w:val="fr-FR"/>
        </w:rPr>
        <w:t>’</w:t>
      </w:r>
      <w:r w:rsidR="00826E0F" w:rsidRPr="00872599">
        <w:rPr>
          <w:lang w:val="fr-FR"/>
        </w:rPr>
        <w:t xml:space="preserve">égard des femmes, le Gouvernement favorise un changement dans les attitudes de la population en qui concerne les rôles traditionnellement attribués aux femmes et aux hommes. Il est aidé dans ces efforts par les activités des organisations de femmes qui </w:t>
      </w:r>
      <w:r w:rsidR="00CC772D" w:rsidRPr="00872599">
        <w:rPr>
          <w:lang w:val="fr-FR"/>
        </w:rPr>
        <w:t>œuvrent</w:t>
      </w:r>
      <w:r w:rsidR="00826E0F" w:rsidRPr="00872599">
        <w:rPr>
          <w:lang w:val="fr-FR"/>
        </w:rPr>
        <w:t xml:space="preserve"> au Liechtenstein. La politique du Liechtenstein à l</w:t>
      </w:r>
      <w:r w:rsidR="006645B6">
        <w:rPr>
          <w:lang w:val="fr-FR"/>
        </w:rPr>
        <w:t>’</w:t>
      </w:r>
      <w:r w:rsidR="00826E0F" w:rsidRPr="00872599">
        <w:rPr>
          <w:lang w:val="fr-FR"/>
        </w:rPr>
        <w:t>égard des femmes repose sur les quatre piliers du Plan d</w:t>
      </w:r>
      <w:r w:rsidR="006645B6">
        <w:rPr>
          <w:lang w:val="fr-FR"/>
        </w:rPr>
        <w:t>’</w:t>
      </w:r>
      <w:r w:rsidR="00826E0F" w:rsidRPr="00872599">
        <w:rPr>
          <w:lang w:val="fr-FR"/>
        </w:rPr>
        <w:t>action de Beijing, que le Liechtenstein applique depuis 1998:</w:t>
      </w:r>
    </w:p>
    <w:p w:rsidR="00826E0F" w:rsidRPr="00872599" w:rsidRDefault="00826E0F" w:rsidP="00497599">
      <w:pPr>
        <w:pStyle w:val="SingleTxt"/>
        <w:rPr>
          <w:lang w:val="fr-FR"/>
        </w:rPr>
      </w:pPr>
      <w:r w:rsidRPr="00872599">
        <w:rPr>
          <w:lang w:val="fr-FR"/>
        </w:rPr>
        <w:t>1.</w:t>
      </w:r>
      <w:bookmarkStart w:id="8" w:name="hit1"/>
      <w:bookmarkEnd w:id="8"/>
      <w:r w:rsidR="00AA41FD">
        <w:rPr>
          <w:lang w:val="fr-FR"/>
        </w:rPr>
        <w:tab/>
      </w:r>
      <w:r w:rsidRPr="00872599">
        <w:rPr>
          <w:lang w:val="fr-FR"/>
        </w:rPr>
        <w:t>Les droits des femmes sont des droits fondamentaux;</w:t>
      </w:r>
      <w:r w:rsidR="006645B6">
        <w:rPr>
          <w:lang w:val="fr-FR"/>
        </w:rPr>
        <w:t xml:space="preserve"> </w:t>
      </w:r>
    </w:p>
    <w:p w:rsidR="00826E0F" w:rsidRPr="00872599" w:rsidRDefault="00826E0F" w:rsidP="00497599">
      <w:pPr>
        <w:pStyle w:val="SingleTxt"/>
        <w:rPr>
          <w:lang w:val="fr-FR"/>
        </w:rPr>
      </w:pPr>
      <w:r w:rsidRPr="00872599">
        <w:rPr>
          <w:lang w:val="fr-FR"/>
        </w:rPr>
        <w:t>2.</w:t>
      </w:r>
      <w:r w:rsidR="00AA41FD">
        <w:rPr>
          <w:lang w:val="fr-FR"/>
        </w:rPr>
        <w:tab/>
      </w:r>
      <w:r w:rsidRPr="00872599">
        <w:rPr>
          <w:lang w:val="fr-FR"/>
        </w:rPr>
        <w:t>La protection contre la violence constitue un droit fondamental des femmes;</w:t>
      </w:r>
      <w:r w:rsidR="006645B6">
        <w:rPr>
          <w:lang w:val="fr-FR"/>
        </w:rPr>
        <w:t xml:space="preserve"> </w:t>
      </w:r>
    </w:p>
    <w:p w:rsidR="00826E0F" w:rsidRPr="00872599" w:rsidRDefault="00826E0F" w:rsidP="00497599">
      <w:pPr>
        <w:pStyle w:val="SingleTxt"/>
        <w:rPr>
          <w:lang w:val="fr-FR"/>
        </w:rPr>
      </w:pPr>
      <w:r w:rsidRPr="00872599">
        <w:rPr>
          <w:lang w:val="fr-FR"/>
        </w:rPr>
        <w:t>3.</w:t>
      </w:r>
      <w:r w:rsidR="00AA41FD">
        <w:rPr>
          <w:lang w:val="fr-FR"/>
        </w:rPr>
        <w:tab/>
      </w:r>
      <w:r w:rsidRPr="00872599">
        <w:rPr>
          <w:lang w:val="fr-FR"/>
        </w:rPr>
        <w:t>Il faut garantir la pleine participation des femmes à la prise de décisions publiques et privées dans tous les domaines de la vie;</w:t>
      </w:r>
      <w:r w:rsidR="006645B6">
        <w:rPr>
          <w:lang w:val="fr-FR"/>
        </w:rPr>
        <w:t xml:space="preserve"> </w:t>
      </w:r>
    </w:p>
    <w:p w:rsidR="00826E0F" w:rsidRPr="00872599" w:rsidRDefault="00826E0F" w:rsidP="00497599">
      <w:pPr>
        <w:pStyle w:val="SingleTxt"/>
        <w:rPr>
          <w:lang w:val="fr-FR"/>
        </w:rPr>
      </w:pPr>
      <w:r w:rsidRPr="00872599">
        <w:rPr>
          <w:lang w:val="fr-FR"/>
        </w:rPr>
        <w:t>4.</w:t>
      </w:r>
      <w:r w:rsidR="00AA41FD">
        <w:rPr>
          <w:lang w:val="fr-FR"/>
        </w:rPr>
        <w:tab/>
      </w:r>
      <w:r w:rsidRPr="00872599">
        <w:rPr>
          <w:lang w:val="fr-FR"/>
        </w:rPr>
        <w:t>Il faut abolir la répartition rigide des rôles des femmes et des hommes.</w:t>
      </w:r>
      <w:r w:rsidR="006645B6">
        <w:rPr>
          <w:lang w:val="fr-FR"/>
        </w:rPr>
        <w:t xml:space="preserve"> </w:t>
      </w:r>
    </w:p>
    <w:p w:rsidR="00AA41FD" w:rsidRPr="00AA41FD" w:rsidRDefault="00AA41FD" w:rsidP="00AA41FD">
      <w:pPr>
        <w:pStyle w:val="SingleTxt"/>
        <w:spacing w:after="0" w:line="120" w:lineRule="exact"/>
        <w:rPr>
          <w:sz w:val="10"/>
          <w:lang w:val="fr-FR"/>
        </w:rPr>
      </w:pPr>
    </w:p>
    <w:p w:rsidR="00AA41FD" w:rsidRPr="00AA41FD" w:rsidRDefault="00AA41FD" w:rsidP="00AA41FD">
      <w:pPr>
        <w:pStyle w:val="SingleTxt"/>
        <w:spacing w:after="0" w:line="120" w:lineRule="exact"/>
        <w:rPr>
          <w:sz w:val="10"/>
          <w:lang w:val="fr-FR"/>
        </w:rPr>
      </w:pPr>
    </w:p>
    <w:bookmarkEnd w:id="6"/>
    <w:bookmarkEnd w:id="7"/>
    <w:p w:rsidR="00826E0F" w:rsidRPr="00872599" w:rsidRDefault="00AA41FD" w:rsidP="00AA41F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00755EFA">
        <w:rPr>
          <w:lang w:val="fr-FR"/>
        </w:rPr>
        <w:t>III.</w:t>
      </w:r>
      <w:r>
        <w:rPr>
          <w:lang w:val="fr-FR"/>
        </w:rPr>
        <w:tab/>
      </w:r>
      <w:r w:rsidR="00826E0F" w:rsidRPr="00872599">
        <w:rPr>
          <w:lang w:val="fr-FR"/>
        </w:rPr>
        <w:t xml:space="preserve">Observations concernant les articles individuels de </w:t>
      </w:r>
      <w:smartTag w:uri="urn:schemas-microsoft-com:office:smarttags" w:element="PersonName">
        <w:smartTagPr>
          <w:attr w:name="ProductID" w:val="la Convention"/>
        </w:smartTagPr>
        <w:r w:rsidR="00826E0F" w:rsidRPr="00872599">
          <w:rPr>
            <w:lang w:val="fr-FR"/>
          </w:rPr>
          <w:t>la Convention</w:t>
        </w:r>
      </w:smartTag>
    </w:p>
    <w:p w:rsidR="00AA41FD" w:rsidRPr="00AA41FD" w:rsidRDefault="00AA41FD" w:rsidP="00AA41FD">
      <w:pPr>
        <w:pStyle w:val="SingleTxt"/>
        <w:spacing w:after="0" w:line="120" w:lineRule="exact"/>
        <w:rPr>
          <w:b/>
          <w:sz w:val="10"/>
          <w:lang w:val="fr-FR"/>
        </w:rPr>
      </w:pPr>
    </w:p>
    <w:p w:rsidR="00AA41FD" w:rsidRPr="00AA41FD" w:rsidRDefault="00AA41FD" w:rsidP="00AA41FD">
      <w:pPr>
        <w:pStyle w:val="SingleTxt"/>
        <w:spacing w:after="0" w:line="120" w:lineRule="exact"/>
        <w:rPr>
          <w:b/>
          <w:sz w:val="10"/>
          <w:lang w:val="fr-FR"/>
        </w:rPr>
      </w:pPr>
    </w:p>
    <w:p w:rsidR="00826E0F" w:rsidRPr="00872599" w:rsidRDefault="00AA41FD" w:rsidP="00AA41F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bookmarkStart w:id="9" w:name="_Toc512341765"/>
      <w:bookmarkStart w:id="10" w:name="_Toc137007645"/>
      <w:bookmarkStart w:id="11" w:name="_Toc239741024"/>
      <w:r>
        <w:rPr>
          <w:lang w:val="fr-FR"/>
        </w:rPr>
        <w:tab/>
      </w:r>
      <w:r w:rsidR="00826E0F" w:rsidRPr="00872599">
        <w:rPr>
          <w:lang w:val="fr-FR"/>
        </w:rPr>
        <w:t>Article 2</w:t>
      </w:r>
      <w:r w:rsidR="00A03470">
        <w:rPr>
          <w:lang w:val="fr-FR"/>
        </w:rPr>
        <w:t>.</w:t>
      </w:r>
      <w:r w:rsidR="00826E0F" w:rsidRPr="00872599">
        <w:rPr>
          <w:lang w:val="fr-FR"/>
        </w:rPr>
        <w:tab/>
      </w:r>
      <w:bookmarkEnd w:id="9"/>
      <w:bookmarkEnd w:id="10"/>
      <w:bookmarkEnd w:id="11"/>
      <w:r w:rsidR="00826E0F" w:rsidRPr="00872599">
        <w:rPr>
          <w:lang w:val="fr-FR"/>
        </w:rPr>
        <w:t>Mesures de politique générale destinées à éliminer la discrimination à l</w:t>
      </w:r>
      <w:r w:rsidR="006645B6">
        <w:rPr>
          <w:lang w:val="fr-FR"/>
        </w:rPr>
        <w:t>’</w:t>
      </w:r>
      <w:r w:rsidR="00826E0F" w:rsidRPr="00872599">
        <w:rPr>
          <w:lang w:val="fr-FR"/>
        </w:rPr>
        <w:t>égard</w:t>
      </w:r>
      <w:r>
        <w:rPr>
          <w:lang w:val="fr-FR"/>
        </w:rPr>
        <w:br/>
      </w:r>
      <w:r w:rsidR="00826E0F" w:rsidRPr="00872599">
        <w:rPr>
          <w:lang w:val="fr-FR"/>
        </w:rPr>
        <w:t>des femmes</w:t>
      </w:r>
    </w:p>
    <w:p w:rsidR="00AA41FD" w:rsidRPr="00AA41FD" w:rsidRDefault="00AA41FD" w:rsidP="00AA41FD">
      <w:pPr>
        <w:pStyle w:val="SingleTxt"/>
        <w:spacing w:after="0" w:line="120" w:lineRule="exact"/>
        <w:rPr>
          <w:b/>
          <w:sz w:val="10"/>
          <w:lang w:val="fr-FR"/>
        </w:rPr>
      </w:pPr>
    </w:p>
    <w:p w:rsidR="00AA41FD" w:rsidRPr="00AA41FD" w:rsidRDefault="00AA41FD" w:rsidP="00AA41FD">
      <w:pPr>
        <w:pStyle w:val="SingleTxt"/>
        <w:pBdr>
          <w:top w:val="single" w:sz="4" w:space="1" w:color="auto"/>
          <w:left w:val="single" w:sz="4" w:space="4" w:color="auto"/>
          <w:bottom w:val="single" w:sz="4" w:space="1" w:color="auto"/>
          <w:right w:val="single" w:sz="4" w:space="4" w:color="auto"/>
        </w:pBdr>
        <w:spacing w:after="0" w:line="120" w:lineRule="exact"/>
        <w:rPr>
          <w:b/>
          <w:sz w:val="10"/>
          <w:lang w:val="fr-FR"/>
        </w:rPr>
      </w:pPr>
    </w:p>
    <w:p w:rsidR="00826E0F" w:rsidRPr="00872599" w:rsidRDefault="00826E0F" w:rsidP="00AA41FD">
      <w:pPr>
        <w:pStyle w:val="SingleTxt"/>
        <w:pBdr>
          <w:top w:val="single" w:sz="4" w:space="1" w:color="auto"/>
          <w:left w:val="single" w:sz="4" w:space="4" w:color="auto"/>
          <w:bottom w:val="single" w:sz="4" w:space="1" w:color="auto"/>
          <w:right w:val="single" w:sz="4" w:space="4" w:color="auto"/>
        </w:pBdr>
        <w:rPr>
          <w:b/>
          <w:lang w:val="fr-FR"/>
        </w:rPr>
      </w:pPr>
      <w:r w:rsidRPr="00872599">
        <w:rPr>
          <w:b/>
          <w:lang w:val="fr-FR"/>
        </w:rPr>
        <w:t xml:space="preserve">Recommandation du Comité de </w:t>
      </w:r>
      <w:smartTag w:uri="urn:schemas-microsoft-com:office:smarttags" w:element="PersonName">
        <w:smartTagPr>
          <w:attr w:name="ProductID" w:val="la CEDAW"/>
        </w:smartTagPr>
        <w:r w:rsidRPr="00872599">
          <w:rPr>
            <w:b/>
            <w:lang w:val="fr-FR"/>
          </w:rPr>
          <w:t>la CEDAW</w:t>
        </w:r>
      </w:smartTag>
      <w:r w:rsidRPr="00872599">
        <w:rPr>
          <w:b/>
          <w:lang w:val="fr-FR"/>
        </w:rPr>
        <w:t>, n</w:t>
      </w:r>
      <w:r w:rsidRPr="006645B6">
        <w:rPr>
          <w:b/>
          <w:vertAlign w:val="superscript"/>
          <w:lang w:val="fr-FR"/>
        </w:rPr>
        <w:t>o</w:t>
      </w:r>
      <w:r w:rsidR="006645B6">
        <w:rPr>
          <w:b/>
          <w:vertAlign w:val="superscript"/>
          <w:lang w:val="fr-FR"/>
        </w:rPr>
        <w:t xml:space="preserve"> </w:t>
      </w:r>
      <w:r w:rsidRPr="00872599">
        <w:rPr>
          <w:b/>
          <w:lang w:val="fr-FR"/>
        </w:rPr>
        <w:t>14:</w:t>
      </w:r>
    </w:p>
    <w:p w:rsidR="00826E0F" w:rsidRPr="00872599" w:rsidRDefault="00826E0F" w:rsidP="00AA41FD">
      <w:pPr>
        <w:pStyle w:val="SingleTxt"/>
        <w:pBdr>
          <w:top w:val="single" w:sz="4" w:space="1" w:color="auto"/>
          <w:left w:val="single" w:sz="4" w:space="4" w:color="auto"/>
          <w:bottom w:val="single" w:sz="4" w:space="1" w:color="auto"/>
          <w:right w:val="single" w:sz="4" w:space="4" w:color="auto"/>
        </w:pBdr>
        <w:rPr>
          <w:b/>
          <w:lang w:val="fr-FR"/>
        </w:rPr>
      </w:pPr>
      <w:r w:rsidRPr="00872599">
        <w:rPr>
          <w:i/>
          <w:lang w:val="fr-FR"/>
        </w:rPr>
        <w:t>Le Comité demande à l</w:t>
      </w:r>
      <w:r w:rsidR="006645B6">
        <w:rPr>
          <w:i/>
          <w:lang w:val="fr-FR"/>
        </w:rPr>
        <w:t>’</w:t>
      </w:r>
      <w:r w:rsidRPr="00872599">
        <w:rPr>
          <w:i/>
          <w:lang w:val="fr-FR"/>
        </w:rPr>
        <w:t>État partie de s</w:t>
      </w:r>
      <w:r w:rsidR="006645B6">
        <w:rPr>
          <w:i/>
          <w:lang w:val="fr-FR"/>
        </w:rPr>
        <w:t>’</w:t>
      </w:r>
      <w:r w:rsidRPr="00872599">
        <w:rPr>
          <w:i/>
          <w:lang w:val="fr-FR"/>
        </w:rPr>
        <w:t>employer activement à éliminer la discrimination à l</w:t>
      </w:r>
      <w:r w:rsidR="006645B6">
        <w:rPr>
          <w:i/>
          <w:lang w:val="fr-FR"/>
        </w:rPr>
        <w:t>’</w:t>
      </w:r>
      <w:r w:rsidRPr="00872599">
        <w:rPr>
          <w:i/>
          <w:lang w:val="fr-FR"/>
        </w:rPr>
        <w:t>égard des femmes et à réaliser concrètement le principe de l</w:t>
      </w:r>
      <w:r w:rsidR="006645B6">
        <w:rPr>
          <w:i/>
          <w:lang w:val="fr-FR"/>
        </w:rPr>
        <w:t>’</w:t>
      </w:r>
      <w:r w:rsidRPr="00872599">
        <w:rPr>
          <w:i/>
          <w:lang w:val="fr-FR"/>
        </w:rPr>
        <w:t>égalité entre les femmes et les hommes, conformément</w:t>
      </w:r>
      <w:r w:rsidRPr="00872599">
        <w:rPr>
          <w:b/>
          <w:lang w:val="fr-FR"/>
        </w:rPr>
        <w:t xml:space="preserve"> </w:t>
      </w:r>
      <w:r w:rsidRPr="00872599">
        <w:rPr>
          <w:i/>
          <w:lang w:val="fr-FR"/>
        </w:rPr>
        <w:t xml:space="preserve">aux articles 1 et 2 de </w:t>
      </w:r>
      <w:smartTag w:uri="urn:schemas-microsoft-com:office:smarttags" w:element="PersonName">
        <w:smartTagPr>
          <w:attr w:name="ProductID" w:val="la Convention"/>
        </w:smartTagPr>
        <w:r w:rsidRPr="00872599">
          <w:rPr>
            <w:i/>
            <w:lang w:val="fr-FR"/>
          </w:rPr>
          <w:t>la Convention</w:t>
        </w:r>
      </w:smartTag>
      <w:r w:rsidRPr="00872599">
        <w:rPr>
          <w:i/>
          <w:lang w:val="fr-FR"/>
        </w:rPr>
        <w:t xml:space="preserve">, dans tous les domaines de la vie sociale. Il le prie de surveiller attentivement et systématiquement la mise en œuvre de toutes les dispositions de </w:t>
      </w:r>
      <w:smartTag w:uri="urn:schemas-microsoft-com:office:smarttags" w:element="PersonName">
        <w:smartTagPr>
          <w:attr w:name="ProductID" w:val="la Convention"/>
        </w:smartTagPr>
        <w:r w:rsidRPr="00872599">
          <w:rPr>
            <w:i/>
            <w:lang w:val="fr-FR"/>
          </w:rPr>
          <w:t>la Convention</w:t>
        </w:r>
      </w:smartTag>
      <w:r w:rsidRPr="00872599">
        <w:rPr>
          <w:i/>
          <w:lang w:val="fr-FR"/>
        </w:rPr>
        <w:t xml:space="preserve"> et d</w:t>
      </w:r>
      <w:r w:rsidR="006645B6">
        <w:rPr>
          <w:i/>
          <w:lang w:val="fr-FR"/>
        </w:rPr>
        <w:t>’</w:t>
      </w:r>
      <w:r w:rsidRPr="00872599">
        <w:rPr>
          <w:i/>
          <w:lang w:val="fr-FR"/>
        </w:rPr>
        <w:t>éliminer effectivement la discrimination à l</w:t>
      </w:r>
      <w:r w:rsidR="006645B6">
        <w:rPr>
          <w:i/>
          <w:lang w:val="fr-FR"/>
        </w:rPr>
        <w:t>’</w:t>
      </w:r>
      <w:r w:rsidRPr="00872599">
        <w:rPr>
          <w:i/>
          <w:lang w:val="fr-FR"/>
        </w:rPr>
        <w:t xml:space="preserve">égard des femmes dans tous les domaines couverts par </w:t>
      </w:r>
      <w:smartTag w:uri="urn:schemas-microsoft-com:office:smarttags" w:element="PersonName">
        <w:smartTagPr>
          <w:attr w:name="ProductID" w:val="la Convention"/>
        </w:smartTagPr>
        <w:r w:rsidRPr="00872599">
          <w:rPr>
            <w:i/>
            <w:lang w:val="fr-FR"/>
          </w:rPr>
          <w:t>la Convention</w:t>
        </w:r>
      </w:smartTag>
      <w:r w:rsidRPr="00872599">
        <w:rPr>
          <w:i/>
          <w:lang w:val="fr-FR"/>
        </w:rPr>
        <w:t xml:space="preserve"> afin de promouvoir et d</w:t>
      </w:r>
      <w:r w:rsidR="006645B6">
        <w:rPr>
          <w:i/>
          <w:lang w:val="fr-FR"/>
        </w:rPr>
        <w:t>’</w:t>
      </w:r>
      <w:r w:rsidRPr="00872599">
        <w:rPr>
          <w:i/>
          <w:lang w:val="fr-FR"/>
        </w:rPr>
        <w:t>accélérer la réalisation de droit et de fait de l</w:t>
      </w:r>
      <w:r w:rsidR="006645B6">
        <w:rPr>
          <w:i/>
          <w:lang w:val="fr-FR"/>
        </w:rPr>
        <w:t>’</w:t>
      </w:r>
      <w:r w:rsidRPr="00872599">
        <w:rPr>
          <w:i/>
          <w:lang w:val="fr-FR"/>
        </w:rPr>
        <w:t>égalité entre les femmes et les hommes.</w:t>
      </w:r>
    </w:p>
    <w:p w:rsidR="00826E0F" w:rsidRPr="00872599" w:rsidRDefault="00826E0F" w:rsidP="00AA41FD">
      <w:pPr>
        <w:pStyle w:val="SingleTxt"/>
        <w:pBdr>
          <w:top w:val="single" w:sz="4" w:space="1" w:color="auto"/>
          <w:left w:val="single" w:sz="4" w:space="4" w:color="auto"/>
          <w:bottom w:val="single" w:sz="4" w:space="1" w:color="auto"/>
          <w:right w:val="single" w:sz="4" w:space="4" w:color="auto"/>
        </w:pBdr>
        <w:rPr>
          <w:b/>
          <w:lang w:val="fr-FR"/>
        </w:rPr>
      </w:pPr>
      <w:r w:rsidRPr="00872599">
        <w:rPr>
          <w:b/>
          <w:lang w:val="fr-FR"/>
        </w:rPr>
        <w:t xml:space="preserve">Recommandation du Comité de </w:t>
      </w:r>
      <w:smartTag w:uri="urn:schemas-microsoft-com:office:smarttags" w:element="PersonName">
        <w:smartTagPr>
          <w:attr w:name="ProductID" w:val="la CEDAW"/>
        </w:smartTagPr>
        <w:r w:rsidRPr="00872599">
          <w:rPr>
            <w:b/>
            <w:lang w:val="fr-FR"/>
          </w:rPr>
          <w:t>la CEDAW</w:t>
        </w:r>
      </w:smartTag>
      <w:r w:rsidRPr="00872599">
        <w:rPr>
          <w:b/>
          <w:lang w:val="fr-FR"/>
        </w:rPr>
        <w:t>, n</w:t>
      </w:r>
      <w:r w:rsidRPr="006645B6">
        <w:rPr>
          <w:b/>
          <w:vertAlign w:val="superscript"/>
          <w:lang w:val="fr-FR"/>
        </w:rPr>
        <w:t>o</w:t>
      </w:r>
      <w:r w:rsidR="006645B6">
        <w:rPr>
          <w:b/>
          <w:vertAlign w:val="superscript"/>
          <w:lang w:val="fr-FR"/>
        </w:rPr>
        <w:t xml:space="preserve"> </w:t>
      </w:r>
      <w:r w:rsidRPr="00872599">
        <w:rPr>
          <w:b/>
          <w:lang w:val="fr-FR"/>
        </w:rPr>
        <w:t>27:</w:t>
      </w:r>
    </w:p>
    <w:p w:rsidR="00826E0F" w:rsidRPr="00872599" w:rsidRDefault="00826E0F" w:rsidP="00AA41FD">
      <w:pPr>
        <w:pStyle w:val="SingleTxt"/>
        <w:pBdr>
          <w:top w:val="single" w:sz="4" w:space="1" w:color="auto"/>
          <w:left w:val="single" w:sz="4" w:space="4" w:color="auto"/>
          <w:bottom w:val="single" w:sz="4" w:space="1" w:color="auto"/>
          <w:right w:val="single" w:sz="4" w:space="4" w:color="auto"/>
        </w:pBdr>
        <w:rPr>
          <w:i/>
          <w:lang w:val="fr-FR"/>
        </w:rPr>
      </w:pPr>
      <w:r w:rsidRPr="00872599">
        <w:rPr>
          <w:i/>
          <w:lang w:val="fr-FR"/>
        </w:rPr>
        <w:t>Le Comité demande à l</w:t>
      </w:r>
      <w:r w:rsidR="006645B6">
        <w:rPr>
          <w:i/>
          <w:lang w:val="fr-FR"/>
        </w:rPr>
        <w:t>’</w:t>
      </w:r>
      <w:r w:rsidRPr="00872599">
        <w:rPr>
          <w:i/>
          <w:lang w:val="fr-FR"/>
        </w:rPr>
        <w:t>État partie de lui fournir, dans son prochain rapport, des informations sur les résultats des études et enquêtes sur l</w:t>
      </w:r>
      <w:r w:rsidR="006645B6">
        <w:rPr>
          <w:i/>
          <w:lang w:val="fr-FR"/>
        </w:rPr>
        <w:t>’</w:t>
      </w:r>
      <w:r w:rsidRPr="00872599">
        <w:rPr>
          <w:i/>
          <w:lang w:val="fr-FR"/>
        </w:rPr>
        <w:t>impact des lois, des politiques, des plans et des programmes visant à concrétiser l</w:t>
      </w:r>
      <w:r w:rsidR="006645B6">
        <w:rPr>
          <w:i/>
          <w:lang w:val="fr-FR"/>
        </w:rPr>
        <w:t>’</w:t>
      </w:r>
      <w:r w:rsidRPr="00872599">
        <w:rPr>
          <w:i/>
          <w:lang w:val="fr-FR"/>
        </w:rPr>
        <w:t>égalité des sexes.</w:t>
      </w:r>
    </w:p>
    <w:p w:rsidR="00826E0F" w:rsidRPr="00872599" w:rsidRDefault="00826E0F" w:rsidP="00AA41FD">
      <w:pPr>
        <w:pStyle w:val="SingleTxt"/>
        <w:pBdr>
          <w:top w:val="single" w:sz="4" w:space="1" w:color="auto"/>
          <w:left w:val="single" w:sz="4" w:space="4" w:color="auto"/>
          <w:bottom w:val="single" w:sz="4" w:space="1" w:color="auto"/>
          <w:right w:val="single" w:sz="4" w:space="4" w:color="auto"/>
        </w:pBdr>
        <w:rPr>
          <w:b/>
          <w:lang w:val="fr-FR"/>
        </w:rPr>
      </w:pPr>
      <w:r w:rsidRPr="00872599">
        <w:rPr>
          <w:b/>
          <w:lang w:val="fr-FR"/>
        </w:rPr>
        <w:t xml:space="preserve">Recommandation du Comité de </w:t>
      </w:r>
      <w:smartTag w:uri="urn:schemas-microsoft-com:office:smarttags" w:element="PersonName">
        <w:smartTagPr>
          <w:attr w:name="ProductID" w:val="la CEDAW"/>
        </w:smartTagPr>
        <w:r w:rsidRPr="00872599">
          <w:rPr>
            <w:b/>
            <w:lang w:val="fr-FR"/>
          </w:rPr>
          <w:t>la CEDAW</w:t>
        </w:r>
      </w:smartTag>
      <w:r w:rsidRPr="00872599">
        <w:rPr>
          <w:b/>
          <w:lang w:val="fr-FR"/>
        </w:rPr>
        <w:t>, n</w:t>
      </w:r>
      <w:r w:rsidRPr="006645B6">
        <w:rPr>
          <w:b/>
          <w:vertAlign w:val="superscript"/>
          <w:lang w:val="fr-FR"/>
        </w:rPr>
        <w:t>o</w:t>
      </w:r>
      <w:r w:rsidR="006645B6">
        <w:rPr>
          <w:b/>
          <w:vertAlign w:val="superscript"/>
          <w:lang w:val="fr-FR"/>
        </w:rPr>
        <w:t xml:space="preserve"> </w:t>
      </w:r>
      <w:r w:rsidRPr="00872599">
        <w:rPr>
          <w:b/>
          <w:lang w:val="fr-FR"/>
        </w:rPr>
        <w:t>28:</w:t>
      </w:r>
    </w:p>
    <w:p w:rsidR="00826E0F" w:rsidRPr="00872599" w:rsidRDefault="00826E0F" w:rsidP="00AA41FD">
      <w:pPr>
        <w:pStyle w:val="SingleTxt"/>
        <w:pBdr>
          <w:top w:val="single" w:sz="4" w:space="1" w:color="auto"/>
          <w:left w:val="single" w:sz="4" w:space="4" w:color="auto"/>
          <w:bottom w:val="single" w:sz="4" w:space="1" w:color="auto"/>
          <w:right w:val="single" w:sz="4" w:space="4" w:color="auto"/>
        </w:pBdr>
        <w:rPr>
          <w:i/>
          <w:lang w:val="fr-FR"/>
        </w:rPr>
      </w:pPr>
      <w:r w:rsidRPr="00872599">
        <w:rPr>
          <w:i/>
          <w:lang w:val="fr-FR"/>
        </w:rPr>
        <w:t>Le Comité prie instamment l</w:t>
      </w:r>
      <w:r w:rsidR="006645B6">
        <w:rPr>
          <w:i/>
          <w:lang w:val="fr-FR"/>
        </w:rPr>
        <w:t>’</w:t>
      </w:r>
      <w:r w:rsidRPr="00872599">
        <w:rPr>
          <w:i/>
          <w:lang w:val="fr-FR"/>
        </w:rPr>
        <w:t>État partie de faire pleinement usage, pour s</w:t>
      </w:r>
      <w:r w:rsidR="006645B6">
        <w:rPr>
          <w:i/>
          <w:lang w:val="fr-FR"/>
        </w:rPr>
        <w:t>’</w:t>
      </w:r>
      <w:r w:rsidRPr="00872599">
        <w:rPr>
          <w:i/>
          <w:lang w:val="fr-FR"/>
        </w:rPr>
        <w:t xml:space="preserve">acquitter de ses obligations en vertu de </w:t>
      </w:r>
      <w:smartTag w:uri="urn:schemas-microsoft-com:office:smarttags" w:element="PersonName">
        <w:smartTagPr>
          <w:attr w:name="ProductID" w:val="la Convention"/>
        </w:smartTagPr>
        <w:r w:rsidRPr="00872599">
          <w:rPr>
            <w:i/>
            <w:lang w:val="fr-FR"/>
          </w:rPr>
          <w:t>la Convention</w:t>
        </w:r>
      </w:smartTag>
      <w:r w:rsidRPr="00872599">
        <w:rPr>
          <w:i/>
          <w:lang w:val="fr-FR"/>
        </w:rPr>
        <w:t xml:space="preserve">, de </w:t>
      </w:r>
      <w:smartTag w:uri="urn:schemas-microsoft-com:office:smarttags" w:element="PersonName">
        <w:smartTagPr>
          <w:attr w:name="ProductID" w:val="la D￩claration"/>
        </w:smartTagPr>
        <w:r w:rsidRPr="00872599">
          <w:rPr>
            <w:i/>
            <w:lang w:val="fr-FR"/>
          </w:rPr>
          <w:t>la Déclaration</w:t>
        </w:r>
      </w:smartTag>
      <w:r w:rsidRPr="00872599">
        <w:rPr>
          <w:i/>
          <w:lang w:val="fr-FR"/>
        </w:rPr>
        <w:t xml:space="preserve"> et du Plan d</w:t>
      </w:r>
      <w:r w:rsidR="006645B6">
        <w:rPr>
          <w:i/>
          <w:lang w:val="fr-FR"/>
        </w:rPr>
        <w:t>’</w:t>
      </w:r>
      <w:r w:rsidRPr="00872599">
        <w:rPr>
          <w:i/>
          <w:lang w:val="fr-FR"/>
        </w:rPr>
        <w:t xml:space="preserve">action de Beijing qui renforcent les dispositions de </w:t>
      </w:r>
      <w:smartTag w:uri="urn:schemas-microsoft-com:office:smarttags" w:element="PersonName">
        <w:smartTagPr>
          <w:attr w:name="ProductID" w:val="la Convention"/>
        </w:smartTagPr>
        <w:r w:rsidRPr="00872599">
          <w:rPr>
            <w:i/>
            <w:lang w:val="fr-FR"/>
          </w:rPr>
          <w:t>la Convention</w:t>
        </w:r>
      </w:smartTag>
      <w:r w:rsidRPr="00872599">
        <w:rPr>
          <w:i/>
          <w:lang w:val="fr-FR"/>
        </w:rPr>
        <w:t>, et lui demande d</w:t>
      </w:r>
      <w:r w:rsidR="006645B6">
        <w:rPr>
          <w:i/>
          <w:lang w:val="fr-FR"/>
        </w:rPr>
        <w:t>’</w:t>
      </w:r>
      <w:r w:rsidRPr="00872599">
        <w:rPr>
          <w:i/>
          <w:lang w:val="fr-FR"/>
        </w:rPr>
        <w:t>inclure des informations à ce sujet dans son prochain rapport périodique.</w:t>
      </w:r>
      <w:r w:rsidR="006645B6">
        <w:rPr>
          <w:i/>
          <w:lang w:val="fr-FR"/>
        </w:rPr>
        <w:t xml:space="preserve"> </w:t>
      </w:r>
    </w:p>
    <w:p w:rsidR="00AA41FD" w:rsidRPr="00AA41FD" w:rsidRDefault="00AA41FD" w:rsidP="00AA41FD">
      <w:pPr>
        <w:pStyle w:val="SingleTxt"/>
        <w:spacing w:after="0" w:line="120" w:lineRule="exact"/>
        <w:rPr>
          <w:b/>
          <w:sz w:val="10"/>
          <w:lang w:val="fr-FR"/>
        </w:rPr>
      </w:pPr>
    </w:p>
    <w:p w:rsidR="00826E0F" w:rsidRPr="00872599" w:rsidRDefault="00AA41FD" w:rsidP="00AA41F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00826E0F" w:rsidRPr="00872599">
        <w:rPr>
          <w:lang w:val="fr-FR"/>
        </w:rPr>
        <w:t>a)</w:t>
      </w:r>
      <w:r w:rsidR="00826E0F" w:rsidRPr="00872599">
        <w:rPr>
          <w:lang w:val="fr-FR"/>
        </w:rPr>
        <w:tab/>
        <w:t>Institutions</w:t>
      </w:r>
    </w:p>
    <w:p w:rsidR="00AA41FD" w:rsidRPr="00AA41FD" w:rsidRDefault="00AA41FD" w:rsidP="00AA41FD">
      <w:pPr>
        <w:pStyle w:val="SingleTxt"/>
        <w:spacing w:after="0" w:line="120" w:lineRule="exact"/>
        <w:rPr>
          <w:i/>
          <w:sz w:val="10"/>
          <w:lang w:val="fr-FR"/>
        </w:rPr>
      </w:pPr>
    </w:p>
    <w:p w:rsidR="00826E0F" w:rsidRPr="00872599" w:rsidRDefault="00AA41FD" w:rsidP="00497599">
      <w:pPr>
        <w:pStyle w:val="SingleTxt"/>
        <w:rPr>
          <w:lang w:val="fr-FR"/>
        </w:rPr>
      </w:pPr>
      <w:r>
        <w:rPr>
          <w:lang w:val="fr-FR"/>
        </w:rPr>
        <w:tab/>
      </w:r>
      <w:r w:rsidR="00826E0F" w:rsidRPr="00872599">
        <w:rPr>
          <w:lang w:val="fr-FR"/>
        </w:rPr>
        <w:t>Le Bureau de l</w:t>
      </w:r>
      <w:r w:rsidR="006645B6">
        <w:rPr>
          <w:lang w:val="fr-FR"/>
        </w:rPr>
        <w:t>’</w:t>
      </w:r>
      <w:r w:rsidR="00826E0F" w:rsidRPr="00872599">
        <w:rPr>
          <w:lang w:val="fr-FR"/>
        </w:rPr>
        <w:t>égalité des chances s</w:t>
      </w:r>
      <w:r w:rsidR="006645B6">
        <w:rPr>
          <w:lang w:val="fr-FR"/>
        </w:rPr>
        <w:t>’</w:t>
      </w:r>
      <w:r w:rsidR="00826E0F" w:rsidRPr="00872599">
        <w:rPr>
          <w:lang w:val="fr-FR"/>
        </w:rPr>
        <w:t xml:space="preserve">acquitte de ses responsabilités </w:t>
      </w:r>
      <w:r w:rsidR="00826E0F">
        <w:rPr>
          <w:lang w:val="fr-FR"/>
        </w:rPr>
        <w:t>pour</w:t>
      </w:r>
      <w:r w:rsidR="00826E0F" w:rsidRPr="00872599">
        <w:rPr>
          <w:lang w:val="fr-FR"/>
        </w:rPr>
        <w:t xml:space="preserve"> ce qui est de l</w:t>
      </w:r>
      <w:r w:rsidR="006645B6">
        <w:rPr>
          <w:lang w:val="fr-FR"/>
        </w:rPr>
        <w:t>’</w:t>
      </w:r>
      <w:r w:rsidR="00826E0F" w:rsidRPr="00872599">
        <w:rPr>
          <w:lang w:val="fr-FR"/>
        </w:rPr>
        <w:t>égalité entre les sexes en application des dispositions de la loi sur l</w:t>
      </w:r>
      <w:r w:rsidR="006645B6">
        <w:rPr>
          <w:lang w:val="fr-FR"/>
        </w:rPr>
        <w:t>’</w:t>
      </w:r>
      <w:r w:rsidR="00826E0F" w:rsidRPr="00872599">
        <w:rPr>
          <w:lang w:val="fr-FR"/>
        </w:rPr>
        <w:t>égalité entre les sexes. À ce jour, dans ce domaine, il s</w:t>
      </w:r>
      <w:r w:rsidR="006645B6">
        <w:rPr>
          <w:lang w:val="fr-FR"/>
        </w:rPr>
        <w:t>’</w:t>
      </w:r>
      <w:r w:rsidR="00826E0F" w:rsidRPr="00872599">
        <w:rPr>
          <w:lang w:val="fr-FR"/>
        </w:rPr>
        <w:t>est essentiellement consacré aux questions de la compatibilité entre la vie de famille et la carrière, de</w:t>
      </w:r>
      <w:r w:rsidR="00826E0F" w:rsidRPr="00872599">
        <w:rPr>
          <w:i/>
          <w:lang w:val="fr-FR"/>
        </w:rPr>
        <w:t xml:space="preserve"> </w:t>
      </w:r>
      <w:r w:rsidR="00826E0F" w:rsidRPr="00872599">
        <w:rPr>
          <w:rStyle w:val="Emphasis"/>
          <w:i w:val="0"/>
          <w:szCs w:val="24"/>
          <w:lang w:val="fr-FR"/>
        </w:rPr>
        <w:t>la femme sur le lieu de travail</w:t>
      </w:r>
      <w:r w:rsidR="00826E0F" w:rsidRPr="00872599">
        <w:rPr>
          <w:i/>
          <w:lang w:val="fr-FR"/>
        </w:rPr>
        <w:t>,</w:t>
      </w:r>
      <w:r w:rsidR="00826E0F" w:rsidRPr="00872599">
        <w:rPr>
          <w:lang w:val="fr-FR"/>
        </w:rPr>
        <w:t xml:space="preserve"> de la femme dans la vie</w:t>
      </w:r>
      <w:r w:rsidR="006645B6">
        <w:rPr>
          <w:lang w:val="fr-FR"/>
        </w:rPr>
        <w:t xml:space="preserve"> </w:t>
      </w:r>
      <w:r w:rsidR="00826E0F" w:rsidRPr="00872599">
        <w:rPr>
          <w:lang w:val="fr-FR"/>
        </w:rPr>
        <w:t>politique, de la violence à l</w:t>
      </w:r>
      <w:r w:rsidR="006645B6">
        <w:rPr>
          <w:lang w:val="fr-FR"/>
        </w:rPr>
        <w:t>’</w:t>
      </w:r>
      <w:r w:rsidR="00826E0F" w:rsidRPr="00872599">
        <w:rPr>
          <w:lang w:val="fr-FR"/>
        </w:rPr>
        <w:t>égard des femmes, de l</w:t>
      </w:r>
      <w:r w:rsidR="006645B6">
        <w:rPr>
          <w:lang w:val="fr-FR"/>
        </w:rPr>
        <w:t>’</w:t>
      </w:r>
      <w:r w:rsidR="00826E0F" w:rsidRPr="00872599">
        <w:rPr>
          <w:lang w:val="fr-FR"/>
        </w:rPr>
        <w:t>éducation de base et de l</w:t>
      </w:r>
      <w:r w:rsidR="006645B6">
        <w:rPr>
          <w:lang w:val="fr-FR"/>
        </w:rPr>
        <w:t>’</w:t>
      </w:r>
      <w:r w:rsidR="00826E0F" w:rsidRPr="00872599">
        <w:rPr>
          <w:lang w:val="fr-FR"/>
        </w:rPr>
        <w:t>éducation continue des filles et des femmes, du statut social des femmes, de la prise en compte de la parité des sexes et de l</w:t>
      </w:r>
      <w:r w:rsidR="006645B6">
        <w:rPr>
          <w:lang w:val="fr-FR"/>
        </w:rPr>
        <w:t>’</w:t>
      </w:r>
      <w:r w:rsidR="00826E0F" w:rsidRPr="00872599">
        <w:rPr>
          <w:lang w:val="fr-FR"/>
        </w:rPr>
        <w:t>établissement de réseaux avec des ONG et des bureaux régionaux dans les pays voisins de Suisse et d</w:t>
      </w:r>
      <w:r w:rsidR="006645B6">
        <w:rPr>
          <w:lang w:val="fr-FR"/>
        </w:rPr>
        <w:t>’</w:t>
      </w:r>
      <w:r w:rsidR="00826E0F" w:rsidRPr="00872599">
        <w:rPr>
          <w:lang w:val="fr-FR"/>
        </w:rPr>
        <w:t>Autriche. Le Bureau pour l</w:t>
      </w:r>
      <w:r w:rsidR="006645B6">
        <w:rPr>
          <w:lang w:val="fr-FR"/>
        </w:rPr>
        <w:t>’</w:t>
      </w:r>
      <w:r w:rsidR="00826E0F" w:rsidRPr="00872599">
        <w:rPr>
          <w:lang w:val="fr-FR"/>
        </w:rPr>
        <w:t>égalité entre femmes et hommes s</w:t>
      </w:r>
      <w:r w:rsidR="006645B6">
        <w:rPr>
          <w:lang w:val="fr-FR"/>
        </w:rPr>
        <w:t>’</w:t>
      </w:r>
      <w:r w:rsidR="00826E0F" w:rsidRPr="00872599">
        <w:rPr>
          <w:lang w:val="fr-FR"/>
        </w:rPr>
        <w:t>efforce activement de faire appliquer aussi bien les dispositions de la loi sur l</w:t>
      </w:r>
      <w:r w:rsidR="006645B6">
        <w:rPr>
          <w:lang w:val="fr-FR"/>
        </w:rPr>
        <w:t>’</w:t>
      </w:r>
      <w:r w:rsidR="00826E0F" w:rsidRPr="00872599">
        <w:rPr>
          <w:lang w:val="fr-FR"/>
        </w:rPr>
        <w:t>égalité des chances que celles du plan d</w:t>
      </w:r>
      <w:r w:rsidR="006645B6">
        <w:rPr>
          <w:lang w:val="fr-FR"/>
        </w:rPr>
        <w:t>’</w:t>
      </w:r>
      <w:r w:rsidR="00826E0F" w:rsidRPr="00872599">
        <w:rPr>
          <w:lang w:val="fr-FR"/>
        </w:rPr>
        <w:t>action de la conférence Beijing +5 tenue en 2000, et aussi de faire respecter les obligations connexes en matière d</w:t>
      </w:r>
      <w:r w:rsidR="006645B6">
        <w:rPr>
          <w:lang w:val="fr-FR"/>
        </w:rPr>
        <w:t>’</w:t>
      </w:r>
      <w:r w:rsidR="00826E0F" w:rsidRPr="00872599">
        <w:rPr>
          <w:lang w:val="fr-FR"/>
        </w:rPr>
        <w:t>établissement de rapports. Tous les mois depuis juin 2008, le SCG fait rapport, au moyen d</w:t>
      </w:r>
      <w:r w:rsidR="006645B6">
        <w:rPr>
          <w:lang w:val="fr-FR"/>
        </w:rPr>
        <w:t>’</w:t>
      </w:r>
      <w:r w:rsidR="00826E0F" w:rsidRPr="00872599">
        <w:rPr>
          <w:lang w:val="fr-FR"/>
        </w:rPr>
        <w:t>un bulletin, sur l</w:t>
      </w:r>
      <w:r w:rsidR="006645B6">
        <w:rPr>
          <w:lang w:val="fr-FR"/>
        </w:rPr>
        <w:t>’</w:t>
      </w:r>
      <w:r w:rsidR="00826E0F" w:rsidRPr="00872599">
        <w:rPr>
          <w:lang w:val="fr-FR"/>
        </w:rPr>
        <w:t>avancement de l</w:t>
      </w:r>
      <w:r w:rsidR="006645B6">
        <w:rPr>
          <w:lang w:val="fr-FR"/>
        </w:rPr>
        <w:t>’</w:t>
      </w:r>
      <w:r w:rsidR="00826E0F" w:rsidRPr="00872599">
        <w:rPr>
          <w:lang w:val="fr-FR"/>
        </w:rPr>
        <w:t>exécution des projets concernant l</w:t>
      </w:r>
      <w:r w:rsidR="006645B6">
        <w:rPr>
          <w:lang w:val="fr-FR"/>
        </w:rPr>
        <w:t>’</w:t>
      </w:r>
      <w:r w:rsidR="00826E0F" w:rsidRPr="00872599">
        <w:rPr>
          <w:lang w:val="fr-FR"/>
        </w:rPr>
        <w:t xml:space="preserve">égalité entre les sexes. </w:t>
      </w:r>
    </w:p>
    <w:p w:rsidR="00826E0F" w:rsidRPr="00872599" w:rsidRDefault="00AA41FD" w:rsidP="00497599">
      <w:pPr>
        <w:pStyle w:val="SingleTxt"/>
        <w:rPr>
          <w:lang w:val="fr-FR"/>
        </w:rPr>
      </w:pPr>
      <w:r>
        <w:rPr>
          <w:lang w:val="fr-FR"/>
        </w:rPr>
        <w:tab/>
      </w:r>
      <w:r w:rsidR="00826E0F" w:rsidRPr="00872599">
        <w:rPr>
          <w:lang w:val="fr-FR"/>
        </w:rPr>
        <w:t xml:space="preserve">Ces dernières années, le sujet central de la </w:t>
      </w:r>
      <w:r w:rsidR="00F65ED6">
        <w:rPr>
          <w:lang w:val="fr-FR"/>
        </w:rPr>
        <w:t>« </w:t>
      </w:r>
      <w:r w:rsidR="00826E0F" w:rsidRPr="00872599">
        <w:rPr>
          <w:lang w:val="fr-FR"/>
        </w:rPr>
        <w:t>Commission sur l</w:t>
      </w:r>
      <w:r w:rsidR="006645B6">
        <w:rPr>
          <w:lang w:val="fr-FR"/>
        </w:rPr>
        <w:t>’</w:t>
      </w:r>
      <w:r w:rsidR="00826E0F" w:rsidRPr="00872599">
        <w:rPr>
          <w:lang w:val="fr-FR"/>
        </w:rPr>
        <w:t>égalité des sexes</w:t>
      </w:r>
      <w:r w:rsidR="006645B6">
        <w:rPr>
          <w:lang w:val="fr-FR"/>
        </w:rPr>
        <w:t xml:space="preserve"> » – </w:t>
      </w:r>
      <w:r w:rsidR="00826E0F" w:rsidRPr="00872599">
        <w:rPr>
          <w:lang w:val="fr-FR"/>
        </w:rPr>
        <w:t>qui a été nommée en 1986 et officiellement constituée en organe consultatif autonome auprès du Gouvernement en 1999 lors de l</w:t>
      </w:r>
      <w:r w:rsidR="006645B6">
        <w:rPr>
          <w:lang w:val="fr-FR"/>
        </w:rPr>
        <w:t>’</w:t>
      </w:r>
      <w:r w:rsidR="00826E0F" w:rsidRPr="00872599">
        <w:rPr>
          <w:lang w:val="fr-FR"/>
        </w:rPr>
        <w:t>adoption de la loi sur l</w:t>
      </w:r>
      <w:r w:rsidR="006645B6">
        <w:rPr>
          <w:lang w:val="fr-FR"/>
        </w:rPr>
        <w:t>’</w:t>
      </w:r>
      <w:r w:rsidR="00826E0F" w:rsidRPr="00872599">
        <w:rPr>
          <w:lang w:val="fr-FR"/>
        </w:rPr>
        <w:t xml:space="preserve">égalité </w:t>
      </w:r>
      <w:r w:rsidR="00826E0F">
        <w:rPr>
          <w:lang w:val="fr-FR"/>
        </w:rPr>
        <w:t xml:space="preserve">entre </w:t>
      </w:r>
      <w:r w:rsidR="00826E0F" w:rsidRPr="00872599">
        <w:rPr>
          <w:lang w:val="fr-FR"/>
        </w:rPr>
        <w:t>les sexes</w:t>
      </w:r>
      <w:r w:rsidR="006645B6">
        <w:rPr>
          <w:lang w:val="fr-FR"/>
        </w:rPr>
        <w:t xml:space="preserve"> – </w:t>
      </w:r>
      <w:r w:rsidR="00826E0F" w:rsidRPr="00872599">
        <w:rPr>
          <w:lang w:val="fr-FR"/>
        </w:rPr>
        <w:t xml:space="preserve">a été la représentation des femmes dans les instances politiques. </w:t>
      </w:r>
      <w:smartTag w:uri="urn:schemas-microsoft-com:office:smarttags" w:element="PersonName">
        <w:smartTagPr>
          <w:attr w:name="ProductID" w:val="la Commission"/>
        </w:smartTagPr>
        <w:r w:rsidR="00826E0F" w:rsidRPr="00872599">
          <w:rPr>
            <w:lang w:val="fr-FR"/>
          </w:rPr>
          <w:t>La Commission</w:t>
        </w:r>
      </w:smartTag>
      <w:r w:rsidR="00826E0F" w:rsidRPr="00872599">
        <w:rPr>
          <w:lang w:val="fr-FR"/>
        </w:rPr>
        <w:t xml:space="preserve"> soutient les candidates aux élections au Parlement et aux conseils municipaux, par exemple en dispensant tous les ans depuis 2004 un cours de politique à l</w:t>
      </w:r>
      <w:r w:rsidR="006645B6">
        <w:rPr>
          <w:lang w:val="fr-FR"/>
        </w:rPr>
        <w:t>’</w:t>
      </w:r>
      <w:r w:rsidR="00826E0F" w:rsidRPr="00872599">
        <w:rPr>
          <w:lang w:val="fr-FR"/>
        </w:rPr>
        <w:t xml:space="preserve">intention des femmes. Pour les élections parlementaires de février 2009, </w:t>
      </w:r>
      <w:smartTag w:uri="urn:schemas-microsoft-com:office:smarttags" w:element="PersonName">
        <w:smartTagPr>
          <w:attr w:name="ProductID" w:val="la Commission"/>
        </w:smartTagPr>
        <w:r w:rsidR="00826E0F" w:rsidRPr="00872599">
          <w:rPr>
            <w:lang w:val="fr-FR"/>
          </w:rPr>
          <w:t>la Commission</w:t>
        </w:r>
      </w:smartTag>
      <w:r w:rsidR="00826E0F" w:rsidRPr="00872599">
        <w:rPr>
          <w:lang w:val="fr-FR"/>
        </w:rPr>
        <w:t xml:space="preserve"> a</w:t>
      </w:r>
      <w:r w:rsidR="00826E0F">
        <w:rPr>
          <w:lang w:val="fr-FR"/>
        </w:rPr>
        <w:t xml:space="preserve"> de nouveau</w:t>
      </w:r>
      <w:r w:rsidR="00826E0F" w:rsidRPr="00872599">
        <w:rPr>
          <w:lang w:val="fr-FR"/>
        </w:rPr>
        <w:t xml:space="preserve"> pris diverses mesures pour augmenter les chances qu</w:t>
      </w:r>
      <w:r w:rsidR="006645B6">
        <w:rPr>
          <w:lang w:val="fr-FR"/>
        </w:rPr>
        <w:t>’</w:t>
      </w:r>
      <w:r w:rsidR="00826E0F" w:rsidRPr="00872599">
        <w:rPr>
          <w:lang w:val="fr-FR"/>
        </w:rPr>
        <w:t>ont les femmes d</w:t>
      </w:r>
      <w:r w:rsidR="006645B6">
        <w:rPr>
          <w:lang w:val="fr-FR"/>
        </w:rPr>
        <w:t>’</w:t>
      </w:r>
      <w:r w:rsidR="00826E0F" w:rsidRPr="00872599">
        <w:rPr>
          <w:lang w:val="fr-FR"/>
        </w:rPr>
        <w:t xml:space="preserve">être élues. Par exemple, le site Web www.frauenwahl.li </w:t>
      </w:r>
      <w:r w:rsidR="00826E0F">
        <w:rPr>
          <w:lang w:val="fr-FR"/>
        </w:rPr>
        <w:t xml:space="preserve">a </w:t>
      </w:r>
      <w:r w:rsidR="00826E0F" w:rsidRPr="00872599">
        <w:rPr>
          <w:lang w:val="fr-FR"/>
        </w:rPr>
        <w:t xml:space="preserve">mis à la disposition des candidates une plate-forme supplémentaire pour leur campagne électorale. </w:t>
      </w:r>
      <w:smartTag w:uri="urn:schemas-microsoft-com:office:smarttags" w:element="PersonName">
        <w:smartTagPr>
          <w:attr w:name="ProductID" w:val="la Commission"/>
        </w:smartTagPr>
        <w:r w:rsidR="00826E0F" w:rsidRPr="00872599">
          <w:rPr>
            <w:lang w:val="fr-FR"/>
          </w:rPr>
          <w:t>La Commission</w:t>
        </w:r>
      </w:smartTag>
      <w:r w:rsidR="00826E0F" w:rsidRPr="00872599">
        <w:rPr>
          <w:lang w:val="fr-FR"/>
        </w:rPr>
        <w:t xml:space="preserve"> a également eu des entretiens avec les partis politiques et a formulé diverses recommandations (voir les remarques concernant l</w:t>
      </w:r>
      <w:r w:rsidR="006645B6">
        <w:rPr>
          <w:lang w:val="fr-FR"/>
        </w:rPr>
        <w:t>’</w:t>
      </w:r>
      <w:r w:rsidR="00826E0F" w:rsidRPr="00872599">
        <w:rPr>
          <w:lang w:val="fr-FR"/>
        </w:rPr>
        <w:t>article 7).</w:t>
      </w:r>
    </w:p>
    <w:p w:rsidR="00826E0F" w:rsidRPr="00872599" w:rsidRDefault="00AA41FD" w:rsidP="00497599">
      <w:pPr>
        <w:pStyle w:val="SingleTxt"/>
        <w:rPr>
          <w:lang w:val="fr-FR"/>
        </w:rPr>
      </w:pPr>
      <w:r>
        <w:rPr>
          <w:lang w:val="fr-FR"/>
        </w:rPr>
        <w:tab/>
      </w:r>
      <w:r w:rsidR="00826E0F" w:rsidRPr="00872599">
        <w:rPr>
          <w:lang w:val="fr-FR"/>
        </w:rPr>
        <w:t>Au sein de l</w:t>
      </w:r>
      <w:r w:rsidR="006645B6">
        <w:rPr>
          <w:lang w:val="fr-FR"/>
        </w:rPr>
        <w:t>’</w:t>
      </w:r>
      <w:r w:rsidR="00826E0F" w:rsidRPr="00872599">
        <w:rPr>
          <w:lang w:val="fr-FR"/>
        </w:rPr>
        <w:t>administration nationale du Liechtenstein, diverses mesures ont été prises au cours de la période considérée pour faire régulièrement progresser l</w:t>
      </w:r>
      <w:r w:rsidR="006645B6">
        <w:rPr>
          <w:lang w:val="fr-FR"/>
        </w:rPr>
        <w:t>’</w:t>
      </w:r>
      <w:r w:rsidR="00826E0F" w:rsidRPr="00872599">
        <w:rPr>
          <w:lang w:val="fr-FR"/>
        </w:rPr>
        <w:t xml:space="preserve">égalité entre les femmes et les hommes. </w:t>
      </w:r>
      <w:r w:rsidR="00CC772D" w:rsidRPr="00872599">
        <w:rPr>
          <w:lang w:val="fr-FR"/>
        </w:rPr>
        <w:t>Le groupe de travail responsable de la promotion de l</w:t>
      </w:r>
      <w:r w:rsidR="006645B6">
        <w:rPr>
          <w:lang w:val="fr-FR"/>
        </w:rPr>
        <w:t>’</w:t>
      </w:r>
      <w:r w:rsidR="00CC772D" w:rsidRPr="00872599">
        <w:rPr>
          <w:lang w:val="fr-FR"/>
        </w:rPr>
        <w:t>é</w:t>
      </w:r>
      <w:r w:rsidR="00CC772D">
        <w:rPr>
          <w:lang w:val="fr-FR"/>
        </w:rPr>
        <w:t>galité entre les sexes e</w:t>
      </w:r>
      <w:r w:rsidR="00CC772D" w:rsidRPr="00872599">
        <w:rPr>
          <w:lang w:val="fr-FR"/>
        </w:rPr>
        <w:t>t le Bureau de l</w:t>
      </w:r>
      <w:r w:rsidR="006645B6">
        <w:rPr>
          <w:lang w:val="fr-FR"/>
        </w:rPr>
        <w:t>’</w:t>
      </w:r>
      <w:r w:rsidR="00CC772D" w:rsidRPr="00872599">
        <w:rPr>
          <w:lang w:val="fr-FR"/>
        </w:rPr>
        <w:t>égalité des chances a présenté en janvier 2007 une étude intitulée</w:t>
      </w:r>
      <w:r w:rsidR="00432049">
        <w:rPr>
          <w:lang w:val="fr-FR"/>
        </w:rPr>
        <w:t xml:space="preserve"> « </w:t>
      </w:r>
      <w:r w:rsidR="00CC772D" w:rsidRPr="00872599">
        <w:rPr>
          <w:lang w:val="fr-FR"/>
        </w:rPr>
        <w:t>(In)égalité en matière de salaires au sein de l</w:t>
      </w:r>
      <w:r w:rsidR="006645B6">
        <w:rPr>
          <w:lang w:val="fr-FR"/>
        </w:rPr>
        <w:t>’</w:t>
      </w:r>
      <w:r w:rsidR="00CC772D" w:rsidRPr="00872599">
        <w:rPr>
          <w:lang w:val="fr-FR"/>
        </w:rPr>
        <w:t xml:space="preserve">administration nationale» . </w:t>
      </w:r>
      <w:r w:rsidR="00826E0F" w:rsidRPr="00872599">
        <w:rPr>
          <w:lang w:val="fr-FR"/>
        </w:rPr>
        <w:t>D</w:t>
      </w:r>
      <w:r w:rsidR="006645B6">
        <w:rPr>
          <w:lang w:val="fr-FR"/>
        </w:rPr>
        <w:t>’</w:t>
      </w:r>
      <w:r w:rsidR="00826E0F" w:rsidRPr="00872599">
        <w:rPr>
          <w:lang w:val="fr-FR"/>
        </w:rPr>
        <w:t>après cette étude, l</w:t>
      </w:r>
      <w:r w:rsidR="006645B6">
        <w:rPr>
          <w:lang w:val="fr-FR"/>
        </w:rPr>
        <w:t>’</w:t>
      </w:r>
      <w:r w:rsidR="00826E0F" w:rsidRPr="00872599">
        <w:rPr>
          <w:lang w:val="fr-FR"/>
        </w:rPr>
        <w:t>administration nationale a un comportement exemplaire en ce qui concerne l</w:t>
      </w:r>
      <w:r w:rsidR="006645B6">
        <w:rPr>
          <w:lang w:val="fr-FR"/>
        </w:rPr>
        <w:t>’</w:t>
      </w:r>
      <w:r w:rsidR="00826E0F" w:rsidRPr="00872599">
        <w:rPr>
          <w:lang w:val="fr-FR"/>
        </w:rPr>
        <w:t>égalité des salaires entre les femmes et les hommes (voir les remarques concernant l</w:t>
      </w:r>
      <w:r w:rsidR="006645B6">
        <w:rPr>
          <w:lang w:val="fr-FR"/>
        </w:rPr>
        <w:t>’</w:t>
      </w:r>
      <w:r w:rsidR="00826E0F" w:rsidRPr="00872599">
        <w:rPr>
          <w:lang w:val="fr-FR"/>
        </w:rPr>
        <w:t>article 11). Le Groupe de travail s</w:t>
      </w:r>
      <w:r w:rsidR="006645B6">
        <w:rPr>
          <w:lang w:val="fr-FR"/>
        </w:rPr>
        <w:t>’</w:t>
      </w:r>
      <w:r w:rsidR="00826E0F" w:rsidRPr="00872599">
        <w:rPr>
          <w:lang w:val="fr-FR"/>
        </w:rPr>
        <w:t xml:space="preserve">est réuni pour confronter </w:t>
      </w:r>
      <w:r w:rsidR="00826E0F">
        <w:rPr>
          <w:lang w:val="fr-FR"/>
        </w:rPr>
        <w:t>s</w:t>
      </w:r>
      <w:r w:rsidR="00826E0F" w:rsidRPr="00872599">
        <w:rPr>
          <w:lang w:val="fr-FR"/>
        </w:rPr>
        <w:t xml:space="preserve">es idées avec </w:t>
      </w:r>
      <w:r w:rsidR="00826E0F">
        <w:rPr>
          <w:lang w:val="fr-FR"/>
        </w:rPr>
        <w:t xml:space="preserve">celles du </w:t>
      </w:r>
      <w:r w:rsidR="00826E0F" w:rsidRPr="00872599">
        <w:rPr>
          <w:lang w:val="fr-FR"/>
        </w:rPr>
        <w:t>Ministre de la famille et de l</w:t>
      </w:r>
      <w:r w:rsidR="006645B6">
        <w:rPr>
          <w:lang w:val="fr-FR"/>
        </w:rPr>
        <w:t>’</w:t>
      </w:r>
      <w:r w:rsidR="00826E0F" w:rsidRPr="00872599">
        <w:rPr>
          <w:lang w:val="fr-FR"/>
        </w:rPr>
        <w:t>égalité des chances de l</w:t>
      </w:r>
      <w:r w:rsidR="006645B6">
        <w:rPr>
          <w:lang w:val="fr-FR"/>
        </w:rPr>
        <w:t>’</w:t>
      </w:r>
      <w:r w:rsidR="00826E0F" w:rsidRPr="00872599">
        <w:rPr>
          <w:lang w:val="fr-FR"/>
        </w:rPr>
        <w:t xml:space="preserve">époque, </w:t>
      </w:r>
      <w:bookmarkStart w:id="12" w:name="insstart"/>
      <w:r w:rsidR="00826E0F" w:rsidRPr="00872599">
        <w:rPr>
          <w:lang w:val="fr-FR"/>
        </w:rPr>
        <w:t>M</w:t>
      </w:r>
      <w:r w:rsidR="00826E0F" w:rsidRPr="006645B6">
        <w:rPr>
          <w:vertAlign w:val="superscript"/>
          <w:lang w:val="fr-FR"/>
        </w:rPr>
        <w:t>me</w:t>
      </w:r>
      <w:bookmarkEnd w:id="12"/>
      <w:r w:rsidR="006645B6">
        <w:rPr>
          <w:vertAlign w:val="superscript"/>
          <w:lang w:val="fr-FR"/>
        </w:rPr>
        <w:t> </w:t>
      </w:r>
      <w:r w:rsidR="00826E0F" w:rsidRPr="00872599">
        <w:rPr>
          <w:lang w:val="fr-FR"/>
        </w:rPr>
        <w:t>Rita Kieber-Beck, a élaboré des mesures visant à réduire l</w:t>
      </w:r>
      <w:r w:rsidR="006645B6">
        <w:rPr>
          <w:lang w:val="fr-FR"/>
        </w:rPr>
        <w:t>’</w:t>
      </w:r>
      <w:r w:rsidR="00826E0F" w:rsidRPr="00872599">
        <w:rPr>
          <w:lang w:val="fr-FR"/>
        </w:rPr>
        <w:t>écart entre les salaires et a traité de la question de la couverture d</w:t>
      </w:r>
      <w:r w:rsidR="006645B6">
        <w:rPr>
          <w:lang w:val="fr-FR"/>
        </w:rPr>
        <w:t>’</w:t>
      </w:r>
      <w:r w:rsidR="00826E0F" w:rsidRPr="00872599">
        <w:rPr>
          <w:lang w:val="fr-FR"/>
        </w:rPr>
        <w:t>assurance en cas de congé parental. Dans ses offres de formation permanente, l</w:t>
      </w:r>
      <w:r w:rsidR="006645B6">
        <w:rPr>
          <w:lang w:val="fr-FR"/>
        </w:rPr>
        <w:t>’</w:t>
      </w:r>
      <w:r w:rsidR="00826E0F" w:rsidRPr="00872599">
        <w:rPr>
          <w:lang w:val="fr-FR"/>
        </w:rPr>
        <w:t xml:space="preserve">administration nationale a également repris des idées concernant la compatibilité de la vie de famille et de la carrière et les images des rôles. </w:t>
      </w:r>
    </w:p>
    <w:p w:rsidR="00AA41FD" w:rsidRPr="00AA41FD" w:rsidRDefault="00AA41FD" w:rsidP="00AA41FD">
      <w:pPr>
        <w:pStyle w:val="SingleTxt"/>
        <w:spacing w:after="0" w:line="120" w:lineRule="exact"/>
        <w:rPr>
          <w:sz w:val="10"/>
          <w:lang w:val="fr-FR"/>
        </w:rPr>
      </w:pPr>
    </w:p>
    <w:p w:rsidR="00826E0F" w:rsidRPr="00872599" w:rsidRDefault="00AA41FD" w:rsidP="00AA41F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t>b)</w:t>
      </w:r>
      <w:r>
        <w:rPr>
          <w:lang w:val="fr-FR"/>
        </w:rPr>
        <w:tab/>
      </w:r>
      <w:r w:rsidR="00826E0F" w:rsidRPr="00872599">
        <w:rPr>
          <w:lang w:val="fr-FR"/>
        </w:rPr>
        <w:t>Amendements législatifs</w:t>
      </w:r>
    </w:p>
    <w:p w:rsidR="00AA41FD" w:rsidRPr="00AA41FD" w:rsidRDefault="00AA41FD" w:rsidP="00AA41FD">
      <w:pPr>
        <w:pStyle w:val="SingleTxt"/>
        <w:spacing w:after="0" w:line="120" w:lineRule="exact"/>
        <w:rPr>
          <w:sz w:val="10"/>
          <w:lang w:val="fr-FR"/>
        </w:rPr>
      </w:pPr>
    </w:p>
    <w:p w:rsidR="00826E0F" w:rsidRPr="00872599" w:rsidRDefault="00AA41FD" w:rsidP="00497599">
      <w:pPr>
        <w:pStyle w:val="SingleTxt"/>
        <w:rPr>
          <w:lang w:val="fr-FR"/>
        </w:rPr>
      </w:pPr>
      <w:r>
        <w:rPr>
          <w:lang w:val="fr-FR"/>
        </w:rPr>
        <w:tab/>
      </w:r>
      <w:r w:rsidR="00826E0F" w:rsidRPr="00872599">
        <w:rPr>
          <w:lang w:val="fr-FR"/>
        </w:rPr>
        <w:t xml:space="preserve">La loi constitutionnelle du 16 juin </w:t>
      </w:r>
      <w:smartTag w:uri="urn:schemas-microsoft-com:office:smarttags" w:element="metricconverter">
        <w:smartTagPr>
          <w:attr w:name="ProductID" w:val="1992 a"/>
        </w:smartTagPr>
        <w:r w:rsidR="00826E0F" w:rsidRPr="00872599">
          <w:rPr>
            <w:lang w:val="fr-FR"/>
          </w:rPr>
          <w:t>1992 a</w:t>
        </w:r>
      </w:smartTag>
      <w:r w:rsidR="00826E0F" w:rsidRPr="00872599">
        <w:rPr>
          <w:lang w:val="fr-FR"/>
        </w:rPr>
        <w:t xml:space="preserve"> inscrit le principe de l</w:t>
      </w:r>
      <w:r w:rsidR="006645B6">
        <w:rPr>
          <w:lang w:val="fr-FR"/>
        </w:rPr>
        <w:t>’</w:t>
      </w:r>
      <w:r w:rsidR="00826E0F" w:rsidRPr="00872599">
        <w:rPr>
          <w:lang w:val="fr-FR"/>
        </w:rPr>
        <w:t>égalité entre les sexes au paragraphe 2 de l</w:t>
      </w:r>
      <w:r w:rsidR="006645B6">
        <w:rPr>
          <w:lang w:val="fr-FR"/>
        </w:rPr>
        <w:t>’</w:t>
      </w:r>
      <w:r w:rsidR="00826E0F" w:rsidRPr="00872599">
        <w:rPr>
          <w:lang w:val="fr-FR"/>
        </w:rPr>
        <w:t xml:space="preserve">article 31 de </w:t>
      </w:r>
      <w:smartTag w:uri="urn:schemas-microsoft-com:office:smarttags" w:element="PersonName">
        <w:smartTagPr>
          <w:attr w:name="ProductID" w:val="la Constitution. La"/>
        </w:smartTagPr>
        <w:r w:rsidR="00826E0F" w:rsidRPr="00872599">
          <w:rPr>
            <w:lang w:val="fr-FR"/>
          </w:rPr>
          <w:t>la Constitution. La</w:t>
        </w:r>
      </w:smartTag>
      <w:r w:rsidR="00826E0F" w:rsidRPr="00872599">
        <w:rPr>
          <w:lang w:val="fr-FR"/>
        </w:rPr>
        <w:t xml:space="preserve"> loi prévoit la possibilité de recourir contre la discrimination exercée par des particuliers, des organismes ou des entreprises.</w:t>
      </w:r>
    </w:p>
    <w:p w:rsidR="00AA41FD" w:rsidRPr="00AA41FD" w:rsidRDefault="00AA41FD" w:rsidP="00AA41FD">
      <w:pPr>
        <w:pStyle w:val="SingleTxt"/>
        <w:spacing w:after="0" w:line="120" w:lineRule="exact"/>
        <w:rPr>
          <w:sz w:val="10"/>
          <w:lang w:val="fr-FR"/>
        </w:rPr>
      </w:pPr>
    </w:p>
    <w:p w:rsidR="00826E0F" w:rsidRPr="00872599" w:rsidRDefault="00AA41FD" w:rsidP="00AA41F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826E0F" w:rsidRPr="00872599">
        <w:rPr>
          <w:lang w:val="fr-FR"/>
        </w:rPr>
        <w:t>Loi sur l</w:t>
      </w:r>
      <w:r w:rsidR="006645B6">
        <w:rPr>
          <w:lang w:val="fr-FR"/>
        </w:rPr>
        <w:t>’</w:t>
      </w:r>
      <w:r w:rsidR="00826E0F" w:rsidRPr="00872599">
        <w:rPr>
          <w:lang w:val="fr-FR"/>
        </w:rPr>
        <w:t>assistance aux victimes</w:t>
      </w:r>
    </w:p>
    <w:p w:rsidR="00AA41FD" w:rsidRPr="00AA41FD" w:rsidRDefault="00AA41FD" w:rsidP="00AA41FD">
      <w:pPr>
        <w:pStyle w:val="SingleTxt"/>
        <w:spacing w:after="0" w:line="120" w:lineRule="exact"/>
        <w:rPr>
          <w:sz w:val="10"/>
          <w:lang w:val="fr-FR"/>
        </w:rPr>
      </w:pPr>
    </w:p>
    <w:p w:rsidR="00826E0F" w:rsidRPr="00872599" w:rsidRDefault="00AA41FD" w:rsidP="00497599">
      <w:pPr>
        <w:pStyle w:val="SingleTxt"/>
        <w:rPr>
          <w:lang w:val="fr-FR"/>
        </w:rPr>
      </w:pPr>
      <w:r>
        <w:rPr>
          <w:lang w:val="fr-FR"/>
        </w:rPr>
        <w:tab/>
      </w:r>
      <w:r w:rsidR="00826E0F" w:rsidRPr="00872599">
        <w:rPr>
          <w:lang w:val="fr-FR"/>
        </w:rPr>
        <w:t>L</w:t>
      </w:r>
      <w:r w:rsidR="006645B6">
        <w:rPr>
          <w:lang w:val="fr-FR"/>
        </w:rPr>
        <w:t>’</w:t>
      </w:r>
      <w:r w:rsidR="00826E0F" w:rsidRPr="00872599">
        <w:rPr>
          <w:lang w:val="fr-FR"/>
        </w:rPr>
        <w:t>adoption de la loi sur l</w:t>
      </w:r>
      <w:r w:rsidR="006645B6">
        <w:rPr>
          <w:lang w:val="fr-FR"/>
        </w:rPr>
        <w:t>’</w:t>
      </w:r>
      <w:r w:rsidR="00826E0F" w:rsidRPr="00872599">
        <w:rPr>
          <w:lang w:val="fr-FR"/>
        </w:rPr>
        <w:t>assistance aux victimes</w:t>
      </w:r>
      <w:r w:rsidR="00826E0F" w:rsidRPr="00A03470">
        <w:rPr>
          <w:rStyle w:val="Normal"/>
          <w:lang w:val="en-US"/>
        </w:rPr>
        <w:footnoteReference w:id="3"/>
      </w:r>
      <w:r w:rsidR="00826E0F" w:rsidRPr="00872599">
        <w:rPr>
          <w:lang w:val="fr-FR"/>
        </w:rPr>
        <w:t xml:space="preserve"> a été l</w:t>
      </w:r>
      <w:r w:rsidR="006645B6">
        <w:rPr>
          <w:lang w:val="fr-FR"/>
        </w:rPr>
        <w:t>’</w:t>
      </w:r>
      <w:r w:rsidR="00826E0F" w:rsidRPr="00872599">
        <w:rPr>
          <w:lang w:val="fr-FR"/>
        </w:rPr>
        <w:t>aboutissement d</w:t>
      </w:r>
      <w:r w:rsidR="006645B6">
        <w:rPr>
          <w:lang w:val="fr-FR"/>
        </w:rPr>
        <w:t>’</w:t>
      </w:r>
      <w:r w:rsidR="00826E0F" w:rsidRPr="00872599">
        <w:rPr>
          <w:lang w:val="fr-FR"/>
        </w:rPr>
        <w:t>un projet en trois étapes qui avait commencé par la modification de la loi pénale sur les délits sexuels et s</w:t>
      </w:r>
      <w:r w:rsidR="006645B6">
        <w:rPr>
          <w:lang w:val="fr-FR"/>
        </w:rPr>
        <w:t>’</w:t>
      </w:r>
      <w:r w:rsidR="00826E0F" w:rsidRPr="00872599">
        <w:rPr>
          <w:lang w:val="fr-FR"/>
        </w:rPr>
        <w:t>est poursuivi par la révision des dispositions du Code de procédure pénale concernant la protection des victimes. La plupart des victimes des délits auxquels s</w:t>
      </w:r>
      <w:r w:rsidR="006645B6">
        <w:rPr>
          <w:lang w:val="fr-FR"/>
        </w:rPr>
        <w:t>’</w:t>
      </w:r>
      <w:r w:rsidR="00826E0F" w:rsidRPr="00872599">
        <w:rPr>
          <w:lang w:val="fr-FR"/>
        </w:rPr>
        <w:t>appliquent ces amendements législatifs étant des femmes, l</w:t>
      </w:r>
      <w:r w:rsidR="006645B6">
        <w:rPr>
          <w:lang w:val="fr-FR"/>
        </w:rPr>
        <w:t>’</w:t>
      </w:r>
      <w:r w:rsidR="00826E0F" w:rsidRPr="00872599">
        <w:rPr>
          <w:lang w:val="fr-FR"/>
        </w:rPr>
        <w:t>objectif poursuivi par ce train de mesures qui tend à améliorer la situation des victimes constitue un pas important vers la mise en application de fait du principe de l</w:t>
      </w:r>
      <w:r w:rsidR="006645B6">
        <w:rPr>
          <w:lang w:val="fr-FR"/>
        </w:rPr>
        <w:t>’</w:t>
      </w:r>
      <w:r w:rsidR="00826E0F" w:rsidRPr="00872599">
        <w:rPr>
          <w:lang w:val="fr-FR"/>
        </w:rPr>
        <w:t>égalité entre les sexes. Les modifications de la législation pénale sur les délits sexuels sont entrées en vigueur le 1er février 2001 et les dispositions concernant la protection des victimes le 1er janvier 2005. La loi sur l</w:t>
      </w:r>
      <w:r w:rsidR="006645B6">
        <w:rPr>
          <w:lang w:val="fr-FR"/>
        </w:rPr>
        <w:t>’</w:t>
      </w:r>
      <w:r w:rsidR="00826E0F" w:rsidRPr="00872599">
        <w:rPr>
          <w:lang w:val="fr-FR"/>
        </w:rPr>
        <w:t>assistance aux victimes est entrée en vigueur le 1er avril 2008.</w:t>
      </w:r>
    </w:p>
    <w:p w:rsidR="00826E0F" w:rsidRPr="00872599" w:rsidRDefault="00AA41FD" w:rsidP="00497599">
      <w:pPr>
        <w:pStyle w:val="SingleTxt"/>
        <w:rPr>
          <w:lang w:val="fr-FR"/>
        </w:rPr>
      </w:pPr>
      <w:r>
        <w:rPr>
          <w:lang w:val="fr-FR"/>
        </w:rPr>
        <w:tab/>
      </w:r>
      <w:r w:rsidR="00826E0F" w:rsidRPr="00872599">
        <w:rPr>
          <w:lang w:val="fr-FR"/>
        </w:rPr>
        <w:t>Le Bureau d</w:t>
      </w:r>
      <w:r w:rsidR="006645B6">
        <w:rPr>
          <w:lang w:val="fr-FR"/>
        </w:rPr>
        <w:t>’</w:t>
      </w:r>
      <w:r w:rsidR="00826E0F" w:rsidRPr="00872599">
        <w:rPr>
          <w:lang w:val="fr-FR"/>
        </w:rPr>
        <w:t>assistance aux victimes établi en vertu de la loi sur l</w:t>
      </w:r>
      <w:r w:rsidR="006645B6">
        <w:rPr>
          <w:lang w:val="fr-FR"/>
        </w:rPr>
        <w:t>’</w:t>
      </w:r>
      <w:r w:rsidR="00826E0F" w:rsidRPr="00872599">
        <w:rPr>
          <w:lang w:val="fr-FR"/>
        </w:rPr>
        <w:t>assistance aux victimes est en fonctionnement depuis le 1</w:t>
      </w:r>
      <w:r w:rsidR="00826E0F" w:rsidRPr="008A4E39">
        <w:rPr>
          <w:vertAlign w:val="superscript"/>
          <w:lang w:val="fr-FR"/>
        </w:rPr>
        <w:t>er</w:t>
      </w:r>
      <w:r w:rsidR="00826E0F" w:rsidRPr="00872599">
        <w:rPr>
          <w:lang w:val="fr-FR"/>
        </w:rPr>
        <w:t xml:space="preserve"> avril 2008. Il offre l</w:t>
      </w:r>
      <w:r w:rsidR="006645B6">
        <w:rPr>
          <w:lang w:val="fr-FR"/>
        </w:rPr>
        <w:t>’</w:t>
      </w:r>
      <w:r w:rsidR="00826E0F" w:rsidRPr="00872599">
        <w:rPr>
          <w:lang w:val="fr-FR"/>
        </w:rPr>
        <w:t xml:space="preserve">aide médicale, psychologique, sociale, matériel et juridique dont les particuliers peuvent avoir besoin. </w:t>
      </w:r>
      <w:r w:rsidR="00826E0F">
        <w:rPr>
          <w:lang w:val="fr-FR"/>
        </w:rPr>
        <w:t>Dans les cas où</w:t>
      </w:r>
      <w:r w:rsidR="00826E0F" w:rsidRPr="00872599">
        <w:rPr>
          <w:lang w:val="fr-FR"/>
        </w:rPr>
        <w:t xml:space="preserve"> il ne peut pas apporter lui-même cette assistance, il fournit des renseignements sur les instances vers lesquels se tourner. Une aide d</w:t>
      </w:r>
      <w:r w:rsidR="006645B6">
        <w:rPr>
          <w:lang w:val="fr-FR"/>
        </w:rPr>
        <w:t>’</w:t>
      </w:r>
      <w:r w:rsidR="00826E0F" w:rsidRPr="00872599">
        <w:rPr>
          <w:lang w:val="fr-FR"/>
        </w:rPr>
        <w:t>urgence immédiate est fournie 24 heures sur 24 et une assistance à long terme est également assurée.</w:t>
      </w:r>
    </w:p>
    <w:p w:rsidR="00826E0F" w:rsidRPr="00872599" w:rsidRDefault="00AA41FD" w:rsidP="00497599">
      <w:pPr>
        <w:pStyle w:val="SingleTxt"/>
        <w:rPr>
          <w:lang w:val="fr-FR"/>
        </w:rPr>
      </w:pPr>
      <w:r>
        <w:rPr>
          <w:lang w:val="fr-FR"/>
        </w:rPr>
        <w:tab/>
      </w:r>
      <w:r w:rsidR="00826E0F" w:rsidRPr="00872599">
        <w:rPr>
          <w:lang w:val="fr-FR"/>
        </w:rPr>
        <w:t>S</w:t>
      </w:r>
      <w:r w:rsidR="006645B6">
        <w:rPr>
          <w:lang w:val="fr-FR"/>
        </w:rPr>
        <w:t>’</w:t>
      </w:r>
      <w:r w:rsidR="00826E0F" w:rsidRPr="00872599">
        <w:rPr>
          <w:lang w:val="fr-FR"/>
        </w:rPr>
        <w:t>agissant de l</w:t>
      </w:r>
      <w:r w:rsidR="006645B6">
        <w:rPr>
          <w:lang w:val="fr-FR"/>
        </w:rPr>
        <w:t>’</w:t>
      </w:r>
      <w:r w:rsidR="00826E0F" w:rsidRPr="00872599">
        <w:rPr>
          <w:lang w:val="fr-FR"/>
        </w:rPr>
        <w:t>aide financière, une assistance juridique complète et des droits à une indemnisation sont prévus. L</w:t>
      </w:r>
      <w:r w:rsidR="006645B6">
        <w:rPr>
          <w:lang w:val="fr-FR"/>
        </w:rPr>
        <w:t>’</w:t>
      </w:r>
      <w:r w:rsidR="00826E0F" w:rsidRPr="00872599">
        <w:rPr>
          <w:lang w:val="fr-FR"/>
        </w:rPr>
        <w:t>assistance juridique couvre les frais de procédure effectivement encourus par les victimes tels que les frais de justice et les honoraires d</w:t>
      </w:r>
      <w:r w:rsidR="006645B6">
        <w:rPr>
          <w:lang w:val="fr-FR"/>
        </w:rPr>
        <w:t>’</w:t>
      </w:r>
      <w:r w:rsidR="00826E0F" w:rsidRPr="00872599">
        <w:rPr>
          <w:lang w:val="fr-FR"/>
        </w:rPr>
        <w:t>experts</w:t>
      </w:r>
      <w:r w:rsidR="006645B6">
        <w:rPr>
          <w:lang w:val="fr-FR"/>
        </w:rPr>
        <w:t>;</w:t>
      </w:r>
      <w:r w:rsidR="00826E0F" w:rsidRPr="00872599">
        <w:rPr>
          <w:lang w:val="fr-FR"/>
        </w:rPr>
        <w:t xml:space="preserve"> elle assure aussi l</w:t>
      </w:r>
      <w:r w:rsidR="006645B6">
        <w:rPr>
          <w:lang w:val="fr-FR"/>
        </w:rPr>
        <w:t>’</w:t>
      </w:r>
      <w:r w:rsidR="00826E0F" w:rsidRPr="00872599">
        <w:rPr>
          <w:lang w:val="fr-FR"/>
        </w:rPr>
        <w:t>intervention gratuite d</w:t>
      </w:r>
      <w:r w:rsidR="006645B6">
        <w:rPr>
          <w:lang w:val="fr-FR"/>
        </w:rPr>
        <w:t>’</w:t>
      </w:r>
      <w:r w:rsidR="00826E0F" w:rsidRPr="00872599">
        <w:rPr>
          <w:lang w:val="fr-FR"/>
        </w:rPr>
        <w:t>un avocat, en fonction de la situation financière de la victime. Il s</w:t>
      </w:r>
      <w:r w:rsidR="006645B6">
        <w:rPr>
          <w:lang w:val="fr-FR"/>
        </w:rPr>
        <w:t>’</w:t>
      </w:r>
      <w:r w:rsidR="00826E0F" w:rsidRPr="00872599">
        <w:rPr>
          <w:lang w:val="fr-FR"/>
        </w:rPr>
        <w:t>agit notamment d</w:t>
      </w:r>
      <w:r w:rsidR="006645B6">
        <w:rPr>
          <w:lang w:val="fr-FR"/>
        </w:rPr>
        <w:t>’</w:t>
      </w:r>
      <w:r w:rsidR="00826E0F" w:rsidRPr="00872599">
        <w:rPr>
          <w:lang w:val="fr-FR"/>
        </w:rPr>
        <w:t>aider les victimes à faire valoir leurs plaintes contre les auteurs des délits et également leurs réclamations auprès des compagnies d</w:t>
      </w:r>
      <w:r w:rsidR="006645B6">
        <w:rPr>
          <w:lang w:val="fr-FR"/>
        </w:rPr>
        <w:t>’</w:t>
      </w:r>
      <w:r w:rsidR="00826E0F" w:rsidRPr="00872599">
        <w:rPr>
          <w:lang w:val="fr-FR"/>
        </w:rPr>
        <w:t>assurances.</w:t>
      </w:r>
    </w:p>
    <w:p w:rsidR="00826E0F" w:rsidRPr="00872599" w:rsidRDefault="00AA41FD" w:rsidP="00497599">
      <w:pPr>
        <w:pStyle w:val="SingleTxt"/>
        <w:rPr>
          <w:lang w:val="fr-FR"/>
        </w:rPr>
      </w:pPr>
      <w:r>
        <w:rPr>
          <w:lang w:val="fr-FR"/>
        </w:rPr>
        <w:tab/>
      </w:r>
      <w:r w:rsidR="00826E0F" w:rsidRPr="00872599">
        <w:rPr>
          <w:lang w:val="fr-FR"/>
        </w:rPr>
        <w:t>De plus, ces dispositions visent à permettre aux victimes de recevoir des indemnités de l</w:t>
      </w:r>
      <w:r w:rsidR="006645B6">
        <w:rPr>
          <w:lang w:val="fr-FR"/>
        </w:rPr>
        <w:t>’</w:t>
      </w:r>
      <w:r w:rsidR="00826E0F" w:rsidRPr="00872599">
        <w:rPr>
          <w:lang w:val="fr-FR"/>
        </w:rPr>
        <w:t>État pour les dommages matériels et autres subis, dans la mesure où les tiers ne versent pas d</w:t>
      </w:r>
      <w:r w:rsidR="006645B6">
        <w:rPr>
          <w:lang w:val="fr-FR"/>
        </w:rPr>
        <w:t>’</w:t>
      </w:r>
      <w:r w:rsidR="00826E0F" w:rsidRPr="00872599">
        <w:rPr>
          <w:lang w:val="fr-FR"/>
        </w:rPr>
        <w:t>indemnités ou versent des indemnités insuffisantes. En indemnisant les victimes des</w:t>
      </w:r>
      <w:r w:rsidR="006645B6">
        <w:rPr>
          <w:lang w:val="fr-FR"/>
        </w:rPr>
        <w:t xml:space="preserve"> </w:t>
      </w:r>
      <w:r w:rsidR="00826E0F" w:rsidRPr="00872599">
        <w:rPr>
          <w:lang w:val="fr-FR"/>
        </w:rPr>
        <w:t>dommages non matériels subis la société reconnaît leur situation difficile dans le cadre d</w:t>
      </w:r>
      <w:r w:rsidR="006645B6">
        <w:rPr>
          <w:lang w:val="fr-FR"/>
        </w:rPr>
        <w:t>’</w:t>
      </w:r>
      <w:r w:rsidR="00826E0F" w:rsidRPr="00872599">
        <w:rPr>
          <w:lang w:val="fr-FR"/>
        </w:rPr>
        <w:t>une procédure complète de protection des victimes et cherche plus particulièrement à tenir compte de la situation des victimes de délits sexuels qui d</w:t>
      </w:r>
      <w:r w:rsidR="006645B6">
        <w:rPr>
          <w:lang w:val="fr-FR"/>
        </w:rPr>
        <w:t>’</w:t>
      </w:r>
      <w:r w:rsidR="00826E0F" w:rsidRPr="00872599">
        <w:rPr>
          <w:lang w:val="fr-FR"/>
        </w:rPr>
        <w:t>une manière générale ne subissent guère de préjudices matériels mais généralement de graves préjudices non matériels. Contrairement à l</w:t>
      </w:r>
      <w:r w:rsidR="006645B6">
        <w:rPr>
          <w:lang w:val="fr-FR"/>
        </w:rPr>
        <w:t>’</w:t>
      </w:r>
      <w:r w:rsidR="00826E0F" w:rsidRPr="00872599">
        <w:rPr>
          <w:lang w:val="fr-FR"/>
        </w:rPr>
        <w:t>indemnisation pour la perte de biens, l</w:t>
      </w:r>
      <w:r w:rsidR="006645B6">
        <w:rPr>
          <w:lang w:val="fr-FR"/>
        </w:rPr>
        <w:t>’</w:t>
      </w:r>
      <w:r w:rsidR="00826E0F" w:rsidRPr="00872599">
        <w:rPr>
          <w:lang w:val="fr-FR"/>
        </w:rPr>
        <w:t>indemnisation des dommages non matériels ne devrait pas dépendre des revenus de la victime. Des plafonds sont fixés pour les deux types d</w:t>
      </w:r>
      <w:r w:rsidR="006645B6">
        <w:rPr>
          <w:lang w:val="fr-FR"/>
        </w:rPr>
        <w:t>’</w:t>
      </w:r>
      <w:r w:rsidR="00826E0F" w:rsidRPr="00872599">
        <w:rPr>
          <w:lang w:val="fr-FR"/>
        </w:rPr>
        <w:t>indemnisation.</w:t>
      </w:r>
      <w:r w:rsidR="006645B6">
        <w:rPr>
          <w:lang w:val="fr-FR"/>
        </w:rPr>
        <w:t xml:space="preserve"> </w:t>
      </w:r>
    </w:p>
    <w:p w:rsidR="00AA41FD" w:rsidRPr="00AA41FD" w:rsidRDefault="00AA41FD" w:rsidP="00AA41FD">
      <w:pPr>
        <w:pStyle w:val="SingleTxt"/>
        <w:spacing w:after="0" w:line="120" w:lineRule="exact"/>
        <w:rPr>
          <w:b/>
          <w:sz w:val="10"/>
          <w:lang w:val="fr-FR"/>
        </w:rPr>
      </w:pPr>
    </w:p>
    <w:p w:rsidR="00826E0F" w:rsidRPr="00872599" w:rsidRDefault="00AA41FD" w:rsidP="00AA41F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826E0F" w:rsidRPr="00872599">
        <w:rPr>
          <w:lang w:val="fr-FR"/>
        </w:rPr>
        <w:t>Dispositions pénales contre les assiduités intempestives</w:t>
      </w:r>
    </w:p>
    <w:p w:rsidR="00AA41FD" w:rsidRPr="00AA41FD" w:rsidRDefault="00AA41FD" w:rsidP="00AA41FD">
      <w:pPr>
        <w:pStyle w:val="SingleTxt"/>
        <w:spacing w:after="0" w:line="120" w:lineRule="exact"/>
        <w:rPr>
          <w:sz w:val="10"/>
          <w:lang w:val="fr-FR"/>
        </w:rPr>
      </w:pPr>
    </w:p>
    <w:p w:rsidR="00826E0F" w:rsidRPr="00872599" w:rsidRDefault="00AA41FD" w:rsidP="00497599">
      <w:pPr>
        <w:pStyle w:val="SingleTxt"/>
        <w:rPr>
          <w:lang w:val="fr-FR"/>
        </w:rPr>
      </w:pPr>
      <w:r>
        <w:rPr>
          <w:lang w:val="fr-FR"/>
        </w:rPr>
        <w:tab/>
      </w:r>
      <w:r w:rsidR="00826E0F" w:rsidRPr="00872599">
        <w:rPr>
          <w:lang w:val="fr-FR"/>
        </w:rPr>
        <w:t>Lors de sa session de juin 2007, le Parlement a adopté une nouvelle disposition pénale explicite contre les assiduités intempestives (</w:t>
      </w:r>
      <w:r w:rsidR="00826E0F">
        <w:rPr>
          <w:lang w:val="fr-FR"/>
        </w:rPr>
        <w:t>paragraphe</w:t>
      </w:r>
      <w:r w:rsidR="00826E0F" w:rsidRPr="00872599">
        <w:rPr>
          <w:lang w:val="fr-FR"/>
        </w:rPr>
        <w:t xml:space="preserve"> 107</w:t>
      </w:r>
      <w:r w:rsidR="008A4E39">
        <w:rPr>
          <w:lang w:val="fr-FR"/>
        </w:rPr>
        <w:t xml:space="preserve"> </w:t>
      </w:r>
      <w:r w:rsidR="00826E0F" w:rsidRPr="00872599">
        <w:rPr>
          <w:lang w:val="fr-FR"/>
        </w:rPr>
        <w:t>a</w:t>
      </w:r>
      <w:r w:rsidR="008A4E39">
        <w:rPr>
          <w:lang w:val="fr-FR"/>
        </w:rPr>
        <w:t>)</w:t>
      </w:r>
      <w:r w:rsidR="00826E0F" w:rsidRPr="00872599">
        <w:rPr>
          <w:lang w:val="fr-FR"/>
        </w:rPr>
        <w:t xml:space="preserve"> du code pénal)</w:t>
      </w:r>
      <w:r w:rsidR="00826E0F" w:rsidRPr="00A03470">
        <w:rPr>
          <w:lang w:val="fr-FR"/>
        </w:rPr>
        <w:footnoteReference w:id="4"/>
      </w:r>
      <w:r w:rsidR="00826E0F" w:rsidRPr="00872599">
        <w:rPr>
          <w:lang w:val="fr-FR"/>
        </w:rPr>
        <w:t>. Le Parlement a ainsi envoyé un signal clair indiquant que ce type de pressions psychologiques ne sera pas toléré. Les nouvelles dispositions sont entrées en vigueur le 30 août 2007. Les assiduités intempestives sont définies comme constituant le harcèlement d</w:t>
      </w:r>
      <w:r w:rsidR="006645B6">
        <w:rPr>
          <w:lang w:val="fr-FR"/>
        </w:rPr>
        <w:t>’</w:t>
      </w:r>
      <w:r w:rsidR="00826E0F" w:rsidRPr="00872599">
        <w:rPr>
          <w:lang w:val="fr-FR"/>
        </w:rPr>
        <w:t>une personne pendant une période étendue qui gêne au-delà de toute raison la vie de cette personne. D</w:t>
      </w:r>
      <w:r w:rsidR="006645B6">
        <w:rPr>
          <w:lang w:val="fr-FR"/>
        </w:rPr>
        <w:t>’</w:t>
      </w:r>
      <w:r w:rsidR="00826E0F" w:rsidRPr="00872599">
        <w:rPr>
          <w:lang w:val="fr-FR"/>
        </w:rPr>
        <w:t>après l</w:t>
      </w:r>
      <w:r w:rsidR="006645B6">
        <w:rPr>
          <w:lang w:val="fr-FR"/>
        </w:rPr>
        <w:t>’</w:t>
      </w:r>
      <w:r w:rsidR="00826E0F" w:rsidRPr="00872599">
        <w:rPr>
          <w:lang w:val="fr-FR"/>
        </w:rPr>
        <w:t>article 107a du code pénal, il y a assiduités intempestives lorsque quelqu</w:t>
      </w:r>
      <w:r w:rsidR="006645B6">
        <w:rPr>
          <w:lang w:val="fr-FR"/>
        </w:rPr>
        <w:t>’</w:t>
      </w:r>
      <w:r w:rsidR="00826E0F" w:rsidRPr="00872599">
        <w:rPr>
          <w:lang w:val="fr-FR"/>
        </w:rPr>
        <w:t>un harcèle autrui:</w:t>
      </w:r>
    </w:p>
    <w:p w:rsidR="00826E0F" w:rsidRPr="00872599" w:rsidRDefault="00AA41FD" w:rsidP="00497599">
      <w:pPr>
        <w:pStyle w:val="SingleTxt"/>
        <w:rPr>
          <w:lang w:val="fr-FR"/>
        </w:rPr>
      </w:pPr>
      <w:r>
        <w:rPr>
          <w:lang w:val="fr-FR"/>
        </w:rPr>
        <w:tab/>
      </w:r>
      <w:r w:rsidR="00826E0F" w:rsidRPr="00872599">
        <w:rPr>
          <w:lang w:val="fr-FR"/>
        </w:rPr>
        <w:t>a</w:t>
      </w:r>
      <w:r>
        <w:rPr>
          <w:lang w:val="fr-FR"/>
        </w:rPr>
        <w:t>)</w:t>
      </w:r>
      <w:r>
        <w:rPr>
          <w:lang w:val="fr-FR"/>
        </w:rPr>
        <w:tab/>
        <w:t>E</w:t>
      </w:r>
      <w:r w:rsidR="00826E0F" w:rsidRPr="00872599">
        <w:rPr>
          <w:lang w:val="fr-FR"/>
        </w:rPr>
        <w:t>n recherchant la proximité physique de la personne intéressée;</w:t>
      </w:r>
    </w:p>
    <w:p w:rsidR="00826E0F" w:rsidRPr="00872599" w:rsidRDefault="00AA41FD" w:rsidP="00497599">
      <w:pPr>
        <w:pStyle w:val="SingleTxt"/>
        <w:rPr>
          <w:lang w:val="fr-FR"/>
        </w:rPr>
      </w:pPr>
      <w:r>
        <w:rPr>
          <w:lang w:val="fr-FR"/>
        </w:rPr>
        <w:tab/>
      </w:r>
      <w:r w:rsidR="00826E0F" w:rsidRPr="00872599">
        <w:rPr>
          <w:lang w:val="fr-FR"/>
        </w:rPr>
        <w:t>b)</w:t>
      </w:r>
      <w:r w:rsidR="00826E0F" w:rsidRPr="00872599">
        <w:rPr>
          <w:lang w:val="fr-FR"/>
        </w:rPr>
        <w:tab/>
      </w:r>
      <w:r>
        <w:rPr>
          <w:lang w:val="fr-FR"/>
        </w:rPr>
        <w:t>E</w:t>
      </w:r>
      <w:r w:rsidR="00826E0F" w:rsidRPr="00872599">
        <w:rPr>
          <w:lang w:val="fr-FR"/>
        </w:rPr>
        <w:t>n entrant en contact avec cette personne au moyen de communications électroniques ou d</w:t>
      </w:r>
      <w:r w:rsidR="006645B6">
        <w:rPr>
          <w:lang w:val="fr-FR"/>
        </w:rPr>
        <w:t>’</w:t>
      </w:r>
      <w:r w:rsidR="00826E0F" w:rsidRPr="00872599">
        <w:rPr>
          <w:lang w:val="fr-FR"/>
        </w:rPr>
        <w:t>autres moyens de communication ou par l</w:t>
      </w:r>
      <w:r w:rsidR="006645B6">
        <w:rPr>
          <w:lang w:val="fr-FR"/>
        </w:rPr>
        <w:t>’</w:t>
      </w:r>
      <w:r w:rsidR="00826E0F" w:rsidRPr="00872599">
        <w:rPr>
          <w:lang w:val="fr-FR"/>
        </w:rPr>
        <w:t>intermédiaire d</w:t>
      </w:r>
      <w:r w:rsidR="006645B6">
        <w:rPr>
          <w:lang w:val="fr-FR"/>
        </w:rPr>
        <w:t>’</w:t>
      </w:r>
      <w:r w:rsidR="00826E0F" w:rsidRPr="00872599">
        <w:rPr>
          <w:lang w:val="fr-FR"/>
        </w:rPr>
        <w:t>une tierce personne;</w:t>
      </w:r>
    </w:p>
    <w:p w:rsidR="00826E0F" w:rsidRPr="00872599" w:rsidRDefault="00AA41FD" w:rsidP="00497599">
      <w:pPr>
        <w:pStyle w:val="SingleTxt"/>
        <w:rPr>
          <w:lang w:val="fr-FR"/>
        </w:rPr>
      </w:pPr>
      <w:r>
        <w:rPr>
          <w:lang w:val="fr-FR"/>
        </w:rPr>
        <w:tab/>
      </w:r>
      <w:r w:rsidR="00826E0F" w:rsidRPr="00872599">
        <w:rPr>
          <w:lang w:val="fr-FR"/>
        </w:rPr>
        <w:t>c)</w:t>
      </w:r>
      <w:r w:rsidR="00826E0F" w:rsidRPr="00872599">
        <w:rPr>
          <w:lang w:val="fr-FR"/>
        </w:rPr>
        <w:tab/>
      </w:r>
      <w:r>
        <w:rPr>
          <w:lang w:val="fr-FR"/>
        </w:rPr>
        <w:t>E</w:t>
      </w:r>
      <w:r w:rsidR="00826E0F" w:rsidRPr="00872599">
        <w:rPr>
          <w:lang w:val="fr-FR"/>
        </w:rPr>
        <w:t>n utilisant les données personnelles de cette personne, en passant commande de biens ou de services à son intention</w:t>
      </w:r>
      <w:r w:rsidR="006645B6">
        <w:rPr>
          <w:lang w:val="fr-FR"/>
        </w:rPr>
        <w:t>;</w:t>
      </w:r>
      <w:r w:rsidR="00826E0F" w:rsidRPr="00872599">
        <w:rPr>
          <w:lang w:val="fr-FR"/>
        </w:rPr>
        <w:t xml:space="preserve"> ou</w:t>
      </w:r>
    </w:p>
    <w:p w:rsidR="00826E0F" w:rsidRPr="00872599" w:rsidRDefault="00AA41FD" w:rsidP="00497599">
      <w:pPr>
        <w:pStyle w:val="SingleTxt"/>
        <w:rPr>
          <w:lang w:val="fr-FR"/>
        </w:rPr>
      </w:pPr>
      <w:r>
        <w:rPr>
          <w:lang w:val="fr-FR"/>
        </w:rPr>
        <w:tab/>
      </w:r>
      <w:r w:rsidR="00826E0F" w:rsidRPr="00872599">
        <w:rPr>
          <w:lang w:val="fr-FR"/>
        </w:rPr>
        <w:t>d)</w:t>
      </w:r>
      <w:r w:rsidR="00826E0F" w:rsidRPr="00872599">
        <w:rPr>
          <w:lang w:val="fr-FR"/>
        </w:rPr>
        <w:tab/>
      </w:r>
      <w:r>
        <w:rPr>
          <w:lang w:val="fr-FR"/>
        </w:rPr>
        <w:t>E</w:t>
      </w:r>
      <w:r w:rsidR="00826E0F" w:rsidRPr="00872599">
        <w:rPr>
          <w:lang w:val="fr-FR"/>
        </w:rPr>
        <w:t>n utilisant les données personnelles de cette personne pour amener une tierce personne à entrer en contact avec elle.</w:t>
      </w:r>
    </w:p>
    <w:p w:rsidR="00826E0F" w:rsidRPr="00872599" w:rsidRDefault="00AA41FD" w:rsidP="00497599">
      <w:pPr>
        <w:pStyle w:val="SingleTxt"/>
        <w:rPr>
          <w:lang w:val="fr-FR"/>
        </w:rPr>
      </w:pPr>
      <w:r>
        <w:rPr>
          <w:lang w:val="fr-FR"/>
        </w:rPr>
        <w:tab/>
      </w:r>
      <w:r w:rsidR="00826E0F" w:rsidRPr="00872599">
        <w:rPr>
          <w:lang w:val="fr-FR"/>
        </w:rPr>
        <w:t>L</w:t>
      </w:r>
      <w:r w:rsidR="006645B6">
        <w:rPr>
          <w:lang w:val="fr-FR"/>
        </w:rPr>
        <w:t>’</w:t>
      </w:r>
      <w:r w:rsidR="00826E0F" w:rsidRPr="00872599">
        <w:rPr>
          <w:lang w:val="fr-FR"/>
        </w:rPr>
        <w:t>auteur de ce délit peut-être condamné à une peine allant jusqu</w:t>
      </w:r>
      <w:r w:rsidR="006645B6">
        <w:rPr>
          <w:lang w:val="fr-FR"/>
        </w:rPr>
        <w:t>’</w:t>
      </w:r>
      <w:r w:rsidR="00826E0F" w:rsidRPr="00872599">
        <w:rPr>
          <w:lang w:val="fr-FR"/>
        </w:rPr>
        <w:t>à un an d</w:t>
      </w:r>
      <w:r w:rsidR="006645B6">
        <w:rPr>
          <w:lang w:val="fr-FR"/>
        </w:rPr>
        <w:t>’</w:t>
      </w:r>
      <w:r w:rsidR="00826E0F" w:rsidRPr="00872599">
        <w:rPr>
          <w:lang w:val="fr-FR"/>
        </w:rPr>
        <w:t>emprisonnement.</w:t>
      </w:r>
    </w:p>
    <w:p w:rsidR="00AA41FD" w:rsidRPr="00AA41FD" w:rsidRDefault="00AA41FD" w:rsidP="00AA41FD">
      <w:pPr>
        <w:pStyle w:val="SingleTxt"/>
        <w:spacing w:after="0" w:line="120" w:lineRule="exact"/>
        <w:rPr>
          <w:b/>
          <w:sz w:val="10"/>
          <w:lang w:val="fr-FR"/>
        </w:rPr>
      </w:pPr>
    </w:p>
    <w:p w:rsidR="00826E0F" w:rsidRPr="00872599" w:rsidRDefault="00AA41FD" w:rsidP="00AA41F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826E0F" w:rsidRPr="00872599">
        <w:rPr>
          <w:lang w:val="fr-FR"/>
        </w:rPr>
        <w:t>Révision de la loi sur les employés de l</w:t>
      </w:r>
      <w:r w:rsidR="006645B6">
        <w:rPr>
          <w:lang w:val="fr-FR"/>
        </w:rPr>
        <w:t>’</w:t>
      </w:r>
      <w:r w:rsidR="00826E0F" w:rsidRPr="00872599">
        <w:rPr>
          <w:lang w:val="fr-FR"/>
        </w:rPr>
        <w:t>État (anciennement loi</w:t>
      </w:r>
      <w:r>
        <w:rPr>
          <w:lang w:val="fr-FR"/>
        </w:rPr>
        <w:br/>
      </w:r>
      <w:r w:rsidR="00826E0F" w:rsidRPr="00872599">
        <w:rPr>
          <w:lang w:val="fr-FR"/>
        </w:rPr>
        <w:t>sur les fonctionnaires)</w:t>
      </w:r>
    </w:p>
    <w:p w:rsidR="00AA41FD" w:rsidRPr="00AA41FD" w:rsidRDefault="00AA41FD" w:rsidP="00AA41FD">
      <w:pPr>
        <w:pStyle w:val="SingleTxt"/>
        <w:spacing w:after="0" w:line="120" w:lineRule="exact"/>
        <w:rPr>
          <w:sz w:val="10"/>
          <w:lang w:val="fr-FR"/>
        </w:rPr>
      </w:pPr>
    </w:p>
    <w:p w:rsidR="00826E0F" w:rsidRPr="00872599" w:rsidRDefault="00AA41FD" w:rsidP="00497599">
      <w:pPr>
        <w:pStyle w:val="SingleTxt"/>
        <w:rPr>
          <w:lang w:val="fr-FR"/>
        </w:rPr>
      </w:pPr>
      <w:r>
        <w:rPr>
          <w:lang w:val="fr-FR"/>
        </w:rPr>
        <w:tab/>
      </w:r>
      <w:r w:rsidR="00826E0F" w:rsidRPr="00872599">
        <w:rPr>
          <w:lang w:val="fr-FR"/>
        </w:rPr>
        <w:t>La loi sur les employés de l</w:t>
      </w:r>
      <w:r w:rsidR="006645B6">
        <w:rPr>
          <w:lang w:val="fr-FR"/>
        </w:rPr>
        <w:t>’</w:t>
      </w:r>
      <w:r w:rsidR="00826E0F" w:rsidRPr="00872599">
        <w:rPr>
          <w:lang w:val="fr-FR"/>
        </w:rPr>
        <w:t>État a été adoptée par le Parlement à sa deuxième lecture le 24 avril 2008. La nouvelle loi, qui est entrée en vigueur le 1</w:t>
      </w:r>
      <w:r w:rsidR="00826E0F" w:rsidRPr="008A4E39">
        <w:rPr>
          <w:vertAlign w:val="superscript"/>
          <w:lang w:val="fr-FR"/>
        </w:rPr>
        <w:t xml:space="preserve">er </w:t>
      </w:r>
      <w:r w:rsidR="00826E0F" w:rsidRPr="00872599">
        <w:rPr>
          <w:lang w:val="fr-FR"/>
        </w:rPr>
        <w:t>juillet 2008, fait siens les objectifs suivants concernant à la politique en matière de personnel:</w:t>
      </w:r>
    </w:p>
    <w:p w:rsidR="00826E0F" w:rsidRPr="00872599" w:rsidRDefault="00815D6C" w:rsidP="00497599">
      <w:pPr>
        <w:pStyle w:val="SingleTxt"/>
        <w:rPr>
          <w:lang w:val="fr-FR"/>
        </w:rPr>
      </w:pPr>
      <w:r>
        <w:rPr>
          <w:lang w:val="fr-FR"/>
        </w:rPr>
        <w:tab/>
        <w:t>1)</w:t>
      </w:r>
      <w:r w:rsidR="00AA41FD">
        <w:rPr>
          <w:lang w:val="fr-FR"/>
        </w:rPr>
        <w:tab/>
      </w:r>
      <w:r w:rsidR="00826E0F" w:rsidRPr="00872599">
        <w:rPr>
          <w:lang w:val="fr-FR"/>
        </w:rPr>
        <w:t>La politique en matière de personnel repose sur le mandat que la loi attribue à l</w:t>
      </w:r>
      <w:r w:rsidR="006645B6">
        <w:rPr>
          <w:lang w:val="fr-FR"/>
        </w:rPr>
        <w:t>’</w:t>
      </w:r>
      <w:r w:rsidR="00826E0F" w:rsidRPr="00872599">
        <w:rPr>
          <w:lang w:val="fr-FR"/>
        </w:rPr>
        <w:t>administration, sur l</w:t>
      </w:r>
      <w:r w:rsidR="006645B6">
        <w:rPr>
          <w:lang w:val="fr-FR"/>
        </w:rPr>
        <w:t>’</w:t>
      </w:r>
      <w:r w:rsidR="00826E0F" w:rsidRPr="00872599">
        <w:rPr>
          <w:lang w:val="fr-FR"/>
        </w:rPr>
        <w:t>objectif consistant à être proche des citoyens et sur les besoins des clients. Il y a lieu de prendre convenablement en compte les intérêts des employés de l</w:t>
      </w:r>
      <w:r w:rsidR="006645B6">
        <w:rPr>
          <w:lang w:val="fr-FR"/>
        </w:rPr>
        <w:t>’</w:t>
      </w:r>
      <w:r w:rsidR="00826E0F">
        <w:rPr>
          <w:lang w:val="fr-FR"/>
        </w:rPr>
        <w:t>État. L</w:t>
      </w:r>
      <w:r w:rsidR="00826E0F" w:rsidRPr="00872599">
        <w:rPr>
          <w:lang w:val="fr-FR"/>
        </w:rPr>
        <w:t xml:space="preserve">a politique en matière de personnel </w:t>
      </w:r>
      <w:r w:rsidR="00826E0F">
        <w:rPr>
          <w:lang w:val="fr-FR"/>
        </w:rPr>
        <w:t xml:space="preserve">vise à </w:t>
      </w:r>
      <w:r w:rsidR="00826E0F" w:rsidRPr="00872599">
        <w:rPr>
          <w:lang w:val="fr-FR"/>
        </w:rPr>
        <w:t>mettre en œuvre des solutions fondées sur un partenariat social.</w:t>
      </w:r>
    </w:p>
    <w:p w:rsidR="00826E0F" w:rsidRPr="00872599" w:rsidRDefault="00815D6C" w:rsidP="00497599">
      <w:pPr>
        <w:pStyle w:val="SingleTxt"/>
        <w:rPr>
          <w:lang w:val="fr-FR"/>
        </w:rPr>
      </w:pPr>
      <w:r>
        <w:rPr>
          <w:lang w:val="fr-FR"/>
        </w:rPr>
        <w:tab/>
      </w:r>
      <w:r w:rsidR="00826E0F" w:rsidRPr="00872599">
        <w:rPr>
          <w:lang w:val="fr-FR"/>
        </w:rPr>
        <w:t xml:space="preserve">2) </w:t>
      </w:r>
      <w:r w:rsidR="00826E0F" w:rsidRPr="00872599">
        <w:rPr>
          <w:lang w:val="fr-FR"/>
        </w:rPr>
        <w:tab/>
        <w:t>En particulier, la politique en matière de personnel tend aux objectifs suivants:</w:t>
      </w:r>
    </w:p>
    <w:p w:rsidR="00826E0F" w:rsidRPr="00872599" w:rsidRDefault="00815D6C" w:rsidP="00497599">
      <w:pPr>
        <w:pStyle w:val="SingleTxt"/>
        <w:rPr>
          <w:lang w:val="fr-FR"/>
        </w:rPr>
      </w:pPr>
      <w:r>
        <w:rPr>
          <w:lang w:val="fr-FR"/>
        </w:rPr>
        <w:tab/>
        <w:t>a)</w:t>
      </w:r>
      <w:r>
        <w:rPr>
          <w:lang w:val="fr-FR"/>
        </w:rPr>
        <w:tab/>
      </w:r>
      <w:r w:rsidR="00826E0F" w:rsidRPr="00872599">
        <w:rPr>
          <w:lang w:val="fr-FR"/>
        </w:rPr>
        <w:t>Recrutement et maintien en service d</w:t>
      </w:r>
      <w:r w:rsidR="006645B6">
        <w:rPr>
          <w:lang w:val="fr-FR"/>
        </w:rPr>
        <w:t>’</w:t>
      </w:r>
      <w:r w:rsidR="00826E0F" w:rsidRPr="00872599">
        <w:rPr>
          <w:lang w:val="fr-FR"/>
        </w:rPr>
        <w:t>un personnel qualifié et responsable;</w:t>
      </w:r>
    </w:p>
    <w:p w:rsidR="00826E0F" w:rsidRPr="00872599" w:rsidRDefault="00815D6C" w:rsidP="00497599">
      <w:pPr>
        <w:pStyle w:val="SingleTxt"/>
        <w:rPr>
          <w:lang w:val="fr-FR"/>
        </w:rPr>
      </w:pPr>
      <w:r>
        <w:rPr>
          <w:lang w:val="fr-FR"/>
        </w:rPr>
        <w:tab/>
        <w:t>b)</w:t>
      </w:r>
      <w:r>
        <w:rPr>
          <w:lang w:val="fr-FR"/>
        </w:rPr>
        <w:tab/>
      </w:r>
      <w:r w:rsidR="00826E0F" w:rsidRPr="00872599">
        <w:rPr>
          <w:lang w:val="fr-FR"/>
        </w:rPr>
        <w:t>Accomplissement</w:t>
      </w:r>
      <w:r w:rsidR="006645B6">
        <w:rPr>
          <w:lang w:val="fr-FR"/>
        </w:rPr>
        <w:t xml:space="preserve"> </w:t>
      </w:r>
      <w:r w:rsidR="00826E0F" w:rsidRPr="00872599">
        <w:rPr>
          <w:lang w:val="fr-FR"/>
        </w:rPr>
        <w:t>efficace et orienté vers le client des responsabilités de l</w:t>
      </w:r>
      <w:r w:rsidR="006645B6">
        <w:rPr>
          <w:lang w:val="fr-FR"/>
        </w:rPr>
        <w:t>’</w:t>
      </w:r>
      <w:r w:rsidR="00826E0F" w:rsidRPr="00872599">
        <w:rPr>
          <w:lang w:val="fr-FR"/>
        </w:rPr>
        <w:t>État dans le cadre des règles législatives</w:t>
      </w:r>
      <w:r w:rsidR="006645B6">
        <w:rPr>
          <w:lang w:val="fr-FR"/>
        </w:rPr>
        <w:t>;</w:t>
      </w:r>
    </w:p>
    <w:p w:rsidR="00826E0F" w:rsidRPr="00872599" w:rsidRDefault="00815D6C" w:rsidP="00497599">
      <w:pPr>
        <w:pStyle w:val="SingleTxt"/>
        <w:rPr>
          <w:lang w:val="fr-FR"/>
        </w:rPr>
      </w:pPr>
      <w:r>
        <w:rPr>
          <w:lang w:val="fr-FR"/>
        </w:rPr>
        <w:tab/>
        <w:t>c)</w:t>
      </w:r>
      <w:r>
        <w:rPr>
          <w:lang w:val="fr-FR"/>
        </w:rPr>
        <w:tab/>
      </w:r>
      <w:r w:rsidR="00826E0F" w:rsidRPr="00872599">
        <w:rPr>
          <w:lang w:val="fr-FR"/>
        </w:rPr>
        <w:t>Élaboration et mise en oeuvre de modèles d</w:t>
      </w:r>
      <w:r w:rsidR="006645B6">
        <w:rPr>
          <w:lang w:val="fr-FR"/>
        </w:rPr>
        <w:t>’</w:t>
      </w:r>
      <w:r w:rsidR="00826E0F" w:rsidRPr="00872599">
        <w:rPr>
          <w:lang w:val="fr-FR"/>
        </w:rPr>
        <w:t>encadrement fondés sur l</w:t>
      </w:r>
      <w:r w:rsidR="006645B6">
        <w:rPr>
          <w:lang w:val="fr-FR"/>
        </w:rPr>
        <w:t>’</w:t>
      </w:r>
      <w:r w:rsidR="00826E0F" w:rsidRPr="00872599">
        <w:rPr>
          <w:lang w:val="fr-FR"/>
        </w:rPr>
        <w:t>esprit d</w:t>
      </w:r>
      <w:r w:rsidR="006645B6">
        <w:rPr>
          <w:lang w:val="fr-FR"/>
        </w:rPr>
        <w:t>’</w:t>
      </w:r>
      <w:r w:rsidR="00826E0F" w:rsidRPr="00872599">
        <w:rPr>
          <w:lang w:val="fr-FR"/>
        </w:rPr>
        <w:t>équipe et des règles souples de temps de travail</w:t>
      </w:r>
      <w:r w:rsidR="006645B6">
        <w:rPr>
          <w:lang w:val="fr-FR"/>
        </w:rPr>
        <w:t>;</w:t>
      </w:r>
    </w:p>
    <w:p w:rsidR="00826E0F" w:rsidRPr="00872599" w:rsidRDefault="00815D6C" w:rsidP="00497599">
      <w:pPr>
        <w:pStyle w:val="SingleTxt"/>
        <w:rPr>
          <w:lang w:val="fr-FR"/>
        </w:rPr>
      </w:pPr>
      <w:r>
        <w:rPr>
          <w:lang w:val="fr-FR"/>
        </w:rPr>
        <w:tab/>
        <w:t>d)</w:t>
      </w:r>
      <w:r>
        <w:rPr>
          <w:lang w:val="fr-FR"/>
        </w:rPr>
        <w:tab/>
      </w:r>
      <w:r w:rsidR="00826E0F" w:rsidRPr="00872599">
        <w:rPr>
          <w:lang w:val="fr-FR"/>
        </w:rPr>
        <w:t>Création de postes d</w:t>
      </w:r>
      <w:r w:rsidR="006645B6">
        <w:rPr>
          <w:lang w:val="fr-FR"/>
        </w:rPr>
        <w:t>’</w:t>
      </w:r>
      <w:r w:rsidR="00826E0F" w:rsidRPr="00872599">
        <w:rPr>
          <w:lang w:val="fr-FR"/>
        </w:rPr>
        <w:t>apprentis et de stagiaires;</w:t>
      </w:r>
    </w:p>
    <w:p w:rsidR="00826E0F" w:rsidRPr="00872599" w:rsidRDefault="00815D6C" w:rsidP="00497599">
      <w:pPr>
        <w:pStyle w:val="SingleTxt"/>
        <w:rPr>
          <w:lang w:val="fr-FR"/>
        </w:rPr>
      </w:pPr>
      <w:r>
        <w:rPr>
          <w:lang w:val="fr-FR"/>
        </w:rPr>
        <w:tab/>
        <w:t>e)</w:t>
      </w:r>
      <w:r>
        <w:rPr>
          <w:lang w:val="fr-FR"/>
        </w:rPr>
        <w:tab/>
      </w:r>
      <w:r w:rsidR="00826E0F" w:rsidRPr="00872599">
        <w:rPr>
          <w:lang w:val="fr-FR"/>
        </w:rPr>
        <w:t>Promotion de la formation continue des employés;</w:t>
      </w:r>
    </w:p>
    <w:p w:rsidR="00826E0F" w:rsidRPr="00872599" w:rsidRDefault="00815D6C" w:rsidP="00497599">
      <w:pPr>
        <w:pStyle w:val="SingleTxt"/>
        <w:rPr>
          <w:lang w:val="fr-FR"/>
        </w:rPr>
      </w:pPr>
      <w:r>
        <w:rPr>
          <w:lang w:val="fr-FR"/>
        </w:rPr>
        <w:tab/>
        <w:t>f)</w:t>
      </w:r>
      <w:r>
        <w:rPr>
          <w:lang w:val="fr-FR"/>
        </w:rPr>
        <w:tab/>
      </w:r>
      <w:r w:rsidR="00826E0F" w:rsidRPr="00872599">
        <w:rPr>
          <w:lang w:val="fr-FR"/>
        </w:rPr>
        <w:t>Garantie de l</w:t>
      </w:r>
      <w:r w:rsidR="006645B6">
        <w:rPr>
          <w:lang w:val="fr-FR"/>
        </w:rPr>
        <w:t>’</w:t>
      </w:r>
      <w:r w:rsidR="00826E0F" w:rsidRPr="00872599">
        <w:rPr>
          <w:lang w:val="fr-FR"/>
        </w:rPr>
        <w:t>égalité des chances pour les femmes et les hommes;</w:t>
      </w:r>
    </w:p>
    <w:p w:rsidR="00826E0F" w:rsidRPr="00872599" w:rsidRDefault="00815D6C" w:rsidP="00497599">
      <w:pPr>
        <w:pStyle w:val="SingleTxt"/>
        <w:rPr>
          <w:lang w:val="fr-FR"/>
        </w:rPr>
      </w:pPr>
      <w:r>
        <w:rPr>
          <w:lang w:val="fr-FR"/>
        </w:rPr>
        <w:tab/>
        <w:t>g)</w:t>
      </w:r>
      <w:r>
        <w:rPr>
          <w:lang w:val="fr-FR"/>
        </w:rPr>
        <w:tab/>
      </w:r>
      <w:r w:rsidR="00826E0F" w:rsidRPr="00872599">
        <w:rPr>
          <w:lang w:val="fr-FR"/>
        </w:rPr>
        <w:t>Conditions de travail qui permet aux employés de s</w:t>
      </w:r>
      <w:r w:rsidR="006645B6">
        <w:rPr>
          <w:lang w:val="fr-FR"/>
        </w:rPr>
        <w:t>’</w:t>
      </w:r>
      <w:r w:rsidR="00826E0F" w:rsidRPr="00872599">
        <w:rPr>
          <w:lang w:val="fr-FR"/>
        </w:rPr>
        <w:t>acquitter de leurs responsabilités à l</w:t>
      </w:r>
      <w:r w:rsidR="006645B6">
        <w:rPr>
          <w:lang w:val="fr-FR"/>
        </w:rPr>
        <w:t>’</w:t>
      </w:r>
      <w:r w:rsidR="00826E0F" w:rsidRPr="00872599">
        <w:rPr>
          <w:lang w:val="fr-FR"/>
        </w:rPr>
        <w:t>égard de leur famille et de la société;</w:t>
      </w:r>
    </w:p>
    <w:p w:rsidR="00826E0F" w:rsidRPr="00872599" w:rsidRDefault="00815D6C" w:rsidP="00497599">
      <w:pPr>
        <w:pStyle w:val="SingleTxt"/>
        <w:rPr>
          <w:lang w:val="fr-FR"/>
        </w:rPr>
      </w:pPr>
      <w:r>
        <w:rPr>
          <w:lang w:val="fr-FR"/>
        </w:rPr>
        <w:tab/>
        <w:t>h)</w:t>
      </w:r>
      <w:r>
        <w:rPr>
          <w:lang w:val="fr-FR"/>
        </w:rPr>
        <w:tab/>
      </w:r>
      <w:r w:rsidR="00826E0F" w:rsidRPr="00872599">
        <w:rPr>
          <w:lang w:val="fr-FR"/>
        </w:rPr>
        <w:t>Aide à l</w:t>
      </w:r>
      <w:r w:rsidR="006645B6">
        <w:rPr>
          <w:lang w:val="fr-FR"/>
        </w:rPr>
        <w:t>’</w:t>
      </w:r>
      <w:r w:rsidR="00826E0F" w:rsidRPr="00872599">
        <w:rPr>
          <w:lang w:val="fr-FR"/>
        </w:rPr>
        <w:t>intégration et à l</w:t>
      </w:r>
      <w:r w:rsidR="006645B6">
        <w:rPr>
          <w:lang w:val="fr-FR"/>
        </w:rPr>
        <w:t>’</w:t>
      </w:r>
      <w:r w:rsidR="00826E0F" w:rsidRPr="00872599">
        <w:rPr>
          <w:lang w:val="fr-FR"/>
        </w:rPr>
        <w:t>emploi des handicapés;</w:t>
      </w:r>
    </w:p>
    <w:p w:rsidR="00826E0F" w:rsidRPr="00872599" w:rsidRDefault="00815D6C" w:rsidP="00497599">
      <w:pPr>
        <w:pStyle w:val="SingleTxt"/>
        <w:rPr>
          <w:lang w:val="fr-FR"/>
        </w:rPr>
      </w:pPr>
      <w:r>
        <w:rPr>
          <w:lang w:val="fr-FR"/>
        </w:rPr>
        <w:tab/>
        <w:t>i)</w:t>
      </w:r>
      <w:r>
        <w:rPr>
          <w:lang w:val="fr-FR"/>
        </w:rPr>
        <w:tab/>
      </w:r>
      <w:r w:rsidR="00826E0F" w:rsidRPr="00872599">
        <w:rPr>
          <w:lang w:val="fr-FR"/>
        </w:rPr>
        <w:t>Climat de transparence, de confiance et d</w:t>
      </w:r>
      <w:r w:rsidR="006645B6">
        <w:rPr>
          <w:lang w:val="fr-FR"/>
        </w:rPr>
        <w:t>’</w:t>
      </w:r>
      <w:r w:rsidR="00826E0F" w:rsidRPr="00872599">
        <w:rPr>
          <w:lang w:val="fr-FR"/>
        </w:rPr>
        <w:t>équité;</w:t>
      </w:r>
    </w:p>
    <w:p w:rsidR="00826E0F" w:rsidRPr="00872599" w:rsidRDefault="00815D6C" w:rsidP="00497599">
      <w:pPr>
        <w:pStyle w:val="SingleTxt"/>
        <w:rPr>
          <w:lang w:val="fr-FR"/>
        </w:rPr>
      </w:pPr>
      <w:r>
        <w:rPr>
          <w:lang w:val="fr-FR"/>
        </w:rPr>
        <w:tab/>
        <w:t>j)</w:t>
      </w:r>
      <w:r>
        <w:rPr>
          <w:lang w:val="fr-FR"/>
        </w:rPr>
        <w:tab/>
      </w:r>
      <w:r w:rsidR="00826E0F" w:rsidRPr="00872599">
        <w:rPr>
          <w:lang w:val="fr-FR"/>
        </w:rPr>
        <w:t>Protection de la personnalité et de la santé ainsi que de la sécurité des employés sur le lieu de travail;</w:t>
      </w:r>
    </w:p>
    <w:p w:rsidR="00826E0F" w:rsidRPr="00872599" w:rsidRDefault="00815D6C" w:rsidP="00497599">
      <w:pPr>
        <w:pStyle w:val="SingleTxt"/>
        <w:rPr>
          <w:lang w:val="fr-FR"/>
        </w:rPr>
      </w:pPr>
      <w:r>
        <w:rPr>
          <w:lang w:val="fr-FR"/>
        </w:rPr>
        <w:tab/>
      </w:r>
      <w:r w:rsidR="00826E0F" w:rsidRPr="00872599">
        <w:rPr>
          <w:lang w:val="fr-FR"/>
        </w:rPr>
        <w:t>k)</w:t>
      </w:r>
      <w:r w:rsidR="00826E0F" w:rsidRPr="00872599">
        <w:rPr>
          <w:lang w:val="fr-FR"/>
        </w:rPr>
        <w:tab/>
        <w:t>Garantie d</w:t>
      </w:r>
      <w:r w:rsidR="006645B6">
        <w:rPr>
          <w:lang w:val="fr-FR"/>
        </w:rPr>
        <w:t>’</w:t>
      </w:r>
      <w:r w:rsidR="00826E0F" w:rsidRPr="00872599">
        <w:rPr>
          <w:lang w:val="fr-FR"/>
        </w:rPr>
        <w:t>une information comp</w:t>
      </w:r>
      <w:r w:rsidR="00826E0F">
        <w:rPr>
          <w:lang w:val="fr-FR"/>
        </w:rPr>
        <w:t>lète des employés.</w:t>
      </w:r>
    </w:p>
    <w:p w:rsidR="00815D6C" w:rsidRPr="00815D6C" w:rsidRDefault="00815D6C" w:rsidP="00815D6C">
      <w:pPr>
        <w:pStyle w:val="SingleTxt"/>
        <w:spacing w:after="0" w:line="120" w:lineRule="exact"/>
        <w:rPr>
          <w:sz w:val="10"/>
          <w:lang w:val="fr-FR"/>
        </w:rPr>
      </w:pPr>
    </w:p>
    <w:p w:rsidR="00826E0F" w:rsidRPr="00872599" w:rsidRDefault="00815D6C" w:rsidP="00815D6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826E0F" w:rsidRPr="00872599">
        <w:rPr>
          <w:lang w:val="fr-FR"/>
        </w:rPr>
        <w:t>Révision du droit successoral</w:t>
      </w:r>
    </w:p>
    <w:p w:rsidR="00815D6C" w:rsidRPr="00815D6C" w:rsidRDefault="00815D6C" w:rsidP="00815D6C">
      <w:pPr>
        <w:pStyle w:val="SingleTxt"/>
        <w:spacing w:after="0" w:line="120" w:lineRule="exact"/>
        <w:rPr>
          <w:sz w:val="10"/>
          <w:lang w:val="fr-FR"/>
        </w:rPr>
      </w:pPr>
    </w:p>
    <w:p w:rsidR="00826E0F" w:rsidRPr="00872599" w:rsidRDefault="00815D6C" w:rsidP="00497599">
      <w:pPr>
        <w:pStyle w:val="SingleTxt"/>
        <w:rPr>
          <w:lang w:val="fr-FR"/>
        </w:rPr>
      </w:pPr>
      <w:r>
        <w:rPr>
          <w:lang w:val="fr-FR"/>
        </w:rPr>
        <w:tab/>
      </w:r>
      <w:r w:rsidR="00826E0F" w:rsidRPr="00872599">
        <w:rPr>
          <w:lang w:val="fr-FR"/>
        </w:rPr>
        <w:t>Pendant l</w:t>
      </w:r>
      <w:r w:rsidR="006645B6">
        <w:rPr>
          <w:lang w:val="fr-FR"/>
        </w:rPr>
        <w:t>’</w:t>
      </w:r>
      <w:r w:rsidR="00826E0F" w:rsidRPr="00872599">
        <w:rPr>
          <w:lang w:val="fr-FR"/>
        </w:rPr>
        <w:t xml:space="preserve">été 2008, </w:t>
      </w:r>
      <w:r w:rsidR="00826E0F">
        <w:rPr>
          <w:lang w:val="fr-FR"/>
        </w:rPr>
        <w:t>l</w:t>
      </w:r>
      <w:r w:rsidR="00826E0F" w:rsidRPr="00872599">
        <w:rPr>
          <w:lang w:val="fr-FR"/>
        </w:rPr>
        <w:t>e Gouvernement a engagé des consultations sur son projet de loi sur la réforme du droit successoral. La réforme de la section du code civil général consacré au droit successoral (</w:t>
      </w:r>
      <w:r w:rsidR="00826E0F" w:rsidRPr="00872599">
        <w:rPr>
          <w:i/>
          <w:iCs/>
          <w:lang w:val="fr-FR"/>
        </w:rPr>
        <w:t>Allgemeines bürgerliches Gesetzbuch</w:t>
      </w:r>
      <w:r w:rsidR="00826E0F" w:rsidRPr="00872599">
        <w:rPr>
          <w:lang w:val="fr-FR"/>
        </w:rPr>
        <w:t>, ABGB) poursuit en particulier les objectifs suivants: supprimer sans les remplacer les dispositions en matière de droit successoral concernant le moment de déterminer</w:t>
      </w:r>
      <w:r w:rsidR="006645B6">
        <w:rPr>
          <w:lang w:val="fr-FR"/>
        </w:rPr>
        <w:t xml:space="preserve"> </w:t>
      </w:r>
      <w:r w:rsidR="00826E0F" w:rsidRPr="00872599">
        <w:rPr>
          <w:lang w:val="fr-FR"/>
        </w:rPr>
        <w:t>la filiation – qui constitue une discrimination essentiellement contre les enfants, améliorer le droit successoral applicable au conjoint survivant par rapport à celui applicable aux parents collatéraux plus éloignés et n</w:t>
      </w:r>
      <w:r w:rsidR="006645B6">
        <w:rPr>
          <w:lang w:val="fr-FR"/>
        </w:rPr>
        <w:t>’</w:t>
      </w:r>
      <w:r w:rsidR="00826E0F" w:rsidRPr="00872599">
        <w:rPr>
          <w:lang w:val="fr-FR"/>
        </w:rPr>
        <w:t>admettre la preuve orale extrajudiciaire que comme une option à n</w:t>
      </w:r>
      <w:r w:rsidR="006645B6">
        <w:rPr>
          <w:lang w:val="fr-FR"/>
        </w:rPr>
        <w:t>’</w:t>
      </w:r>
      <w:r w:rsidR="00826E0F" w:rsidRPr="00872599">
        <w:rPr>
          <w:lang w:val="fr-FR"/>
        </w:rPr>
        <w:t>utiliser qu</w:t>
      </w:r>
      <w:r w:rsidR="006645B6">
        <w:rPr>
          <w:lang w:val="fr-FR"/>
        </w:rPr>
        <w:t>’</w:t>
      </w:r>
      <w:r w:rsidR="00826E0F" w:rsidRPr="00872599">
        <w:rPr>
          <w:lang w:val="fr-FR"/>
        </w:rPr>
        <w:t>en cas d</w:t>
      </w:r>
      <w:r w:rsidR="006645B6">
        <w:rPr>
          <w:lang w:val="fr-FR"/>
        </w:rPr>
        <w:t>’</w:t>
      </w:r>
      <w:r w:rsidR="00826E0F" w:rsidRPr="00872599">
        <w:rPr>
          <w:lang w:val="fr-FR"/>
        </w:rPr>
        <w:t>urgence. Au-delà de cela, une modification plus poussée est proposée</w:t>
      </w:r>
      <w:r w:rsidR="006645B6">
        <w:rPr>
          <w:lang w:val="fr-FR"/>
        </w:rPr>
        <w:t> :</w:t>
      </w:r>
      <w:r w:rsidR="00826E0F" w:rsidRPr="00872599">
        <w:rPr>
          <w:lang w:val="fr-FR"/>
        </w:rPr>
        <w:t xml:space="preserve"> dans le nouveau droit successoral, la recevabilité du contrat successoral ne sera plus restreinte aux conjoint(e)s ni aux fiancé(e)s ce qui permettra aux partenaires dont l</w:t>
      </w:r>
      <w:r w:rsidR="006645B6">
        <w:rPr>
          <w:lang w:val="fr-FR"/>
        </w:rPr>
        <w:t>’</w:t>
      </w:r>
      <w:r w:rsidR="00826E0F" w:rsidRPr="00872599">
        <w:rPr>
          <w:lang w:val="fr-FR"/>
        </w:rPr>
        <w:t>union est reconnue par la loi y compris des partenaires de même sexe, d</w:t>
      </w:r>
      <w:r w:rsidR="006645B6">
        <w:rPr>
          <w:lang w:val="fr-FR"/>
        </w:rPr>
        <w:t>’</w:t>
      </w:r>
      <w:r w:rsidR="00826E0F" w:rsidRPr="00872599">
        <w:rPr>
          <w:lang w:val="fr-FR"/>
        </w:rPr>
        <w:t xml:space="preserve">en bénéficier. </w:t>
      </w:r>
      <w:r w:rsidR="00C04160">
        <w:rPr>
          <w:lang w:val="fr-FR"/>
        </w:rPr>
        <w:t xml:space="preserve">À </w:t>
      </w:r>
      <w:r w:rsidR="00826E0F" w:rsidRPr="00872599">
        <w:rPr>
          <w:lang w:val="fr-FR"/>
        </w:rPr>
        <w:t>l</w:t>
      </w:r>
      <w:r w:rsidR="006645B6">
        <w:rPr>
          <w:lang w:val="fr-FR"/>
        </w:rPr>
        <w:t>’</w:t>
      </w:r>
      <w:r w:rsidR="00826E0F" w:rsidRPr="00872599">
        <w:rPr>
          <w:lang w:val="fr-FR"/>
        </w:rPr>
        <w:t>expiration de la période de consultation le 5 septembre 2008, les résultats de ladite consultation ont été évalués par le ministère compétent. On apporte actuellement les derniers éclaircissements.</w:t>
      </w:r>
    </w:p>
    <w:p w:rsidR="00815D6C" w:rsidRPr="00815D6C" w:rsidRDefault="00815D6C" w:rsidP="00815D6C">
      <w:pPr>
        <w:pStyle w:val="SingleTxt"/>
        <w:spacing w:after="0" w:line="120" w:lineRule="exact"/>
        <w:rPr>
          <w:sz w:val="10"/>
          <w:lang w:val="fr-FR"/>
        </w:rPr>
      </w:pPr>
    </w:p>
    <w:p w:rsidR="00826E0F" w:rsidRPr="00872599" w:rsidRDefault="00815D6C" w:rsidP="00815D6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826E0F" w:rsidRPr="00872599">
        <w:rPr>
          <w:lang w:val="fr-FR"/>
        </w:rPr>
        <w:t xml:space="preserve">Loi sur les étrangers </w:t>
      </w:r>
    </w:p>
    <w:p w:rsidR="00815D6C" w:rsidRPr="00815D6C" w:rsidRDefault="00815D6C" w:rsidP="00815D6C">
      <w:pPr>
        <w:pStyle w:val="SingleTxt"/>
        <w:spacing w:after="0" w:line="120" w:lineRule="exact"/>
        <w:rPr>
          <w:sz w:val="10"/>
          <w:lang w:val="fr-FR"/>
        </w:rPr>
      </w:pPr>
    </w:p>
    <w:p w:rsidR="00826E0F" w:rsidRPr="00872599" w:rsidRDefault="00815D6C" w:rsidP="00497599">
      <w:pPr>
        <w:pStyle w:val="SingleTxt"/>
        <w:rPr>
          <w:lang w:val="fr-FR"/>
        </w:rPr>
      </w:pPr>
      <w:r>
        <w:rPr>
          <w:lang w:val="fr-FR"/>
        </w:rPr>
        <w:tab/>
      </w:r>
      <w:r w:rsidR="00826E0F" w:rsidRPr="00872599">
        <w:rPr>
          <w:lang w:val="fr-FR"/>
        </w:rPr>
        <w:t>En septembre 2008, le Parlement adopté une nouvelle loi sur les étrangers (</w:t>
      </w:r>
      <w:r w:rsidR="00826E0F" w:rsidRPr="00872599">
        <w:rPr>
          <w:i/>
          <w:iCs/>
          <w:lang w:val="fr-FR"/>
        </w:rPr>
        <w:t>Ausländergesetz</w:t>
      </w:r>
      <w:r w:rsidR="00826E0F" w:rsidRPr="00872599">
        <w:rPr>
          <w:lang w:val="fr-FR"/>
        </w:rPr>
        <w:t>, AuG)</w:t>
      </w:r>
      <w:r w:rsidR="00826E0F" w:rsidRPr="00A03470">
        <w:rPr>
          <w:rStyle w:val="FootnoteCharacters"/>
          <w:sz w:val="24"/>
          <w:szCs w:val="24"/>
          <w:lang w:val="fr-FR"/>
        </w:rPr>
        <w:footnoteReference w:id="5"/>
      </w:r>
      <w:r w:rsidR="00826E0F" w:rsidRPr="00872599">
        <w:rPr>
          <w:lang w:val="fr-FR"/>
        </w:rPr>
        <w:t>. Cette loi est entrée en vigueur le 1er janvier 2009 et s</w:t>
      </w:r>
      <w:r w:rsidR="006645B6">
        <w:rPr>
          <w:lang w:val="fr-FR"/>
        </w:rPr>
        <w:t>’</w:t>
      </w:r>
      <w:r w:rsidR="00826E0F" w:rsidRPr="00872599">
        <w:rPr>
          <w:lang w:val="fr-FR"/>
        </w:rPr>
        <w:t>applique à tous les étrangers qui ne sont des ressortissants ni des États membres de l</w:t>
      </w:r>
      <w:r w:rsidR="006645B6">
        <w:rPr>
          <w:lang w:val="fr-FR"/>
        </w:rPr>
        <w:t>’</w:t>
      </w:r>
      <w:r w:rsidR="00826E0F" w:rsidRPr="00872599">
        <w:rPr>
          <w:lang w:val="fr-FR"/>
        </w:rPr>
        <w:t xml:space="preserve">EEE ni de </w:t>
      </w:r>
      <w:smartTag w:uri="urn:schemas-microsoft-com:office:smarttags" w:element="PersonName">
        <w:smartTagPr>
          <w:attr w:name="ProductID" w:val="la Suisse"/>
        </w:smartTagPr>
        <w:r w:rsidR="00826E0F" w:rsidRPr="00872599">
          <w:rPr>
            <w:lang w:val="fr-FR"/>
          </w:rPr>
          <w:t>la Suisse</w:t>
        </w:r>
      </w:smartTag>
      <w:r w:rsidR="00826E0F" w:rsidRPr="00872599">
        <w:rPr>
          <w:lang w:val="fr-FR"/>
        </w:rPr>
        <w:t xml:space="preserve"> et dont le droit de résidence ne </w:t>
      </w:r>
      <w:r w:rsidR="00826E0F">
        <w:rPr>
          <w:lang w:val="fr-FR"/>
        </w:rPr>
        <w:t xml:space="preserve">lui provient pas </w:t>
      </w:r>
      <w:r w:rsidR="00826E0F" w:rsidRPr="00872599">
        <w:rPr>
          <w:lang w:val="fr-FR"/>
        </w:rPr>
        <w:t>d</w:t>
      </w:r>
      <w:r w:rsidR="006645B6">
        <w:rPr>
          <w:lang w:val="fr-FR"/>
        </w:rPr>
        <w:t>’</w:t>
      </w:r>
      <w:r w:rsidR="00826E0F" w:rsidRPr="00872599">
        <w:rPr>
          <w:lang w:val="fr-FR"/>
        </w:rPr>
        <w:t>un citoyen d</w:t>
      </w:r>
      <w:r w:rsidR="006645B6">
        <w:rPr>
          <w:lang w:val="fr-FR"/>
        </w:rPr>
        <w:t>’</w:t>
      </w:r>
      <w:r w:rsidR="00826E0F" w:rsidRPr="00872599">
        <w:rPr>
          <w:lang w:val="fr-FR"/>
        </w:rPr>
        <w:t>un des États membres de l</w:t>
      </w:r>
      <w:r w:rsidR="006645B6">
        <w:rPr>
          <w:lang w:val="fr-FR"/>
        </w:rPr>
        <w:t>’</w:t>
      </w:r>
      <w:r w:rsidR="00826E0F" w:rsidRPr="00872599">
        <w:rPr>
          <w:lang w:val="fr-FR"/>
        </w:rPr>
        <w:t xml:space="preserve">EEE ni de </w:t>
      </w:r>
      <w:smartTag w:uri="urn:schemas-microsoft-com:office:smarttags" w:element="PersonName">
        <w:smartTagPr>
          <w:attr w:name="ProductID" w:val="la Suisse"/>
        </w:smartTagPr>
        <w:r w:rsidR="00826E0F" w:rsidRPr="00872599">
          <w:rPr>
            <w:lang w:val="fr-FR"/>
          </w:rPr>
          <w:t>la Suisse</w:t>
        </w:r>
      </w:smartTag>
      <w:r w:rsidR="00826E0F" w:rsidRPr="00872599">
        <w:rPr>
          <w:lang w:val="fr-FR"/>
        </w:rPr>
        <w:t xml:space="preserve"> ni du Liechtenstein. S</w:t>
      </w:r>
      <w:r w:rsidR="006645B6">
        <w:rPr>
          <w:lang w:val="fr-FR"/>
        </w:rPr>
        <w:t>’</w:t>
      </w:r>
      <w:r w:rsidR="00826E0F" w:rsidRPr="00872599">
        <w:rPr>
          <w:lang w:val="fr-FR"/>
        </w:rPr>
        <w:t>agissant du droit de résidence d</w:t>
      </w:r>
      <w:r w:rsidR="006645B6">
        <w:rPr>
          <w:lang w:val="fr-FR"/>
        </w:rPr>
        <w:t>’</w:t>
      </w:r>
      <w:r w:rsidR="00826E0F" w:rsidRPr="00872599">
        <w:rPr>
          <w:lang w:val="fr-FR"/>
        </w:rPr>
        <w:t>étrangers après la dissolution d</w:t>
      </w:r>
      <w:r w:rsidR="006645B6">
        <w:rPr>
          <w:lang w:val="fr-FR"/>
        </w:rPr>
        <w:t>’</w:t>
      </w:r>
      <w:r w:rsidR="00826E0F" w:rsidRPr="00872599">
        <w:rPr>
          <w:lang w:val="fr-FR"/>
        </w:rPr>
        <w:t>une union matrimoniale, la législation stipule qu</w:t>
      </w:r>
      <w:r w:rsidR="006645B6">
        <w:rPr>
          <w:lang w:val="fr-FR"/>
        </w:rPr>
        <w:t>’</w:t>
      </w:r>
      <w:r w:rsidR="00826E0F" w:rsidRPr="00872599">
        <w:rPr>
          <w:lang w:val="fr-FR"/>
        </w:rPr>
        <w:t>il peut être renoncé à la révocation ou au non-renouvellement du permis de résidence si des raisons personnelles importantes le justifient. C</w:t>
      </w:r>
      <w:r w:rsidR="006645B6">
        <w:rPr>
          <w:lang w:val="fr-FR"/>
        </w:rPr>
        <w:t>’</w:t>
      </w:r>
      <w:r w:rsidR="00826E0F" w:rsidRPr="00872599">
        <w:rPr>
          <w:lang w:val="fr-FR"/>
        </w:rPr>
        <w:t>est notamment le cas lorsque il peut être démontré que le conjoint a fait l</w:t>
      </w:r>
      <w:r w:rsidR="006645B6">
        <w:rPr>
          <w:lang w:val="fr-FR"/>
        </w:rPr>
        <w:t>’</w:t>
      </w:r>
      <w:r w:rsidR="00826E0F" w:rsidRPr="00872599">
        <w:rPr>
          <w:lang w:val="fr-FR"/>
        </w:rPr>
        <w:t>objet de violences familiales au point que le maintien de l</w:t>
      </w:r>
      <w:r w:rsidR="006645B6">
        <w:rPr>
          <w:lang w:val="fr-FR"/>
        </w:rPr>
        <w:t>’</w:t>
      </w:r>
      <w:r w:rsidR="00826E0F" w:rsidRPr="00872599">
        <w:rPr>
          <w:lang w:val="fr-FR"/>
        </w:rPr>
        <w:t>union matrimoniale était déraisonnable ou dans les cas où le bien-être d</w:t>
      </w:r>
      <w:r w:rsidR="006645B6">
        <w:rPr>
          <w:lang w:val="fr-FR"/>
        </w:rPr>
        <w:t>’</w:t>
      </w:r>
      <w:r w:rsidR="00826E0F" w:rsidRPr="00872599">
        <w:rPr>
          <w:lang w:val="fr-FR"/>
        </w:rPr>
        <w:t xml:space="preserve">enfants mineurs communs </w:t>
      </w:r>
      <w:r w:rsidR="00826E0F">
        <w:rPr>
          <w:lang w:val="fr-FR"/>
        </w:rPr>
        <w:t>ayant une relation effective e</w:t>
      </w:r>
      <w:r w:rsidR="00826E0F" w:rsidRPr="00872599">
        <w:rPr>
          <w:lang w:val="fr-FR"/>
        </w:rPr>
        <w:t>t intacte avec le parent étranger se trouverait notablement compromis par la révocation de la résidence dudit parent. Si une union maritale est dissoute en cas d</w:t>
      </w:r>
      <w:r w:rsidR="006645B6">
        <w:rPr>
          <w:lang w:val="fr-FR"/>
        </w:rPr>
        <w:t>’</w:t>
      </w:r>
      <w:r w:rsidR="00826E0F" w:rsidRPr="00872599">
        <w:rPr>
          <w:lang w:val="fr-FR"/>
        </w:rPr>
        <w:t>interruption de la vie de famille commune, de séparation, de divorce ou d</w:t>
      </w:r>
      <w:r w:rsidR="006645B6">
        <w:rPr>
          <w:lang w:val="fr-FR"/>
        </w:rPr>
        <w:t>’</w:t>
      </w:r>
      <w:r w:rsidR="00826E0F" w:rsidRPr="00872599">
        <w:rPr>
          <w:lang w:val="fr-FR"/>
        </w:rPr>
        <w:t>invalidation ou d</w:t>
      </w:r>
      <w:r w:rsidR="006645B6">
        <w:rPr>
          <w:lang w:val="fr-FR"/>
        </w:rPr>
        <w:t>’</w:t>
      </w:r>
      <w:r w:rsidR="00826E0F" w:rsidRPr="00872599">
        <w:rPr>
          <w:lang w:val="fr-FR"/>
        </w:rPr>
        <w:t xml:space="preserve">annulation du mariage, si cette union maritale existait depuis moins de cinq ans </w:t>
      </w:r>
      <w:r w:rsidR="00826E0F">
        <w:rPr>
          <w:lang w:val="fr-FR"/>
        </w:rPr>
        <w:t xml:space="preserve">après </w:t>
      </w:r>
      <w:r w:rsidR="00826E0F" w:rsidRPr="00872599">
        <w:rPr>
          <w:lang w:val="fr-FR"/>
        </w:rPr>
        <w:t>l</w:t>
      </w:r>
      <w:r w:rsidR="006645B6">
        <w:rPr>
          <w:lang w:val="fr-FR"/>
        </w:rPr>
        <w:t>’</w:t>
      </w:r>
      <w:r w:rsidR="00826E0F" w:rsidRPr="00872599">
        <w:rPr>
          <w:lang w:val="fr-FR"/>
        </w:rPr>
        <w:t>octroi du permis de résidence et si aucun des motifs susmentionnés ne peut être invoqué, le permis de résidence est révoqué ou n</w:t>
      </w:r>
      <w:r w:rsidR="006645B6">
        <w:rPr>
          <w:lang w:val="fr-FR"/>
        </w:rPr>
        <w:t>’</w:t>
      </w:r>
      <w:r w:rsidR="00826E0F" w:rsidRPr="00872599">
        <w:rPr>
          <w:lang w:val="fr-FR"/>
        </w:rPr>
        <w:t>est pas renouvelé.</w:t>
      </w:r>
    </w:p>
    <w:p w:rsidR="00815D6C" w:rsidRPr="00815D6C" w:rsidRDefault="00815D6C" w:rsidP="00815D6C">
      <w:pPr>
        <w:pStyle w:val="SingleTxt"/>
        <w:spacing w:after="0" w:line="120" w:lineRule="exact"/>
        <w:rPr>
          <w:sz w:val="10"/>
          <w:lang w:val="fr-FR"/>
        </w:rPr>
      </w:pPr>
    </w:p>
    <w:p w:rsidR="00826E0F" w:rsidRPr="00872599" w:rsidRDefault="00815D6C" w:rsidP="00815D6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826E0F" w:rsidRPr="00872599">
        <w:rPr>
          <w:lang w:val="fr-FR"/>
        </w:rPr>
        <w:t>Loi sur l</w:t>
      </w:r>
      <w:r w:rsidR="006645B6">
        <w:rPr>
          <w:lang w:val="fr-FR"/>
        </w:rPr>
        <w:t>’</w:t>
      </w:r>
      <w:r w:rsidR="00826E0F" w:rsidRPr="00872599">
        <w:rPr>
          <w:lang w:val="fr-FR"/>
        </w:rPr>
        <w:t>égalité pour les handicapés</w:t>
      </w:r>
    </w:p>
    <w:p w:rsidR="00815D6C" w:rsidRPr="00815D6C" w:rsidRDefault="00815D6C" w:rsidP="00815D6C">
      <w:pPr>
        <w:pStyle w:val="SingleTxt"/>
        <w:spacing w:after="0" w:line="120" w:lineRule="exact"/>
        <w:rPr>
          <w:sz w:val="10"/>
          <w:lang w:val="fr-FR"/>
        </w:rPr>
      </w:pPr>
    </w:p>
    <w:p w:rsidR="00826E0F" w:rsidRPr="00872599" w:rsidRDefault="00815D6C" w:rsidP="00497599">
      <w:pPr>
        <w:pStyle w:val="SingleTxt"/>
        <w:rPr>
          <w:lang w:val="fr-FR"/>
        </w:rPr>
      </w:pPr>
      <w:r>
        <w:rPr>
          <w:lang w:val="fr-FR"/>
        </w:rPr>
        <w:tab/>
      </w:r>
      <w:r w:rsidR="00826E0F" w:rsidRPr="00872599">
        <w:rPr>
          <w:lang w:val="fr-FR"/>
        </w:rPr>
        <w:t>La loi sur l</w:t>
      </w:r>
      <w:r w:rsidR="006645B6">
        <w:rPr>
          <w:lang w:val="fr-FR"/>
        </w:rPr>
        <w:t>’</w:t>
      </w:r>
      <w:r w:rsidR="00826E0F" w:rsidRPr="00872599">
        <w:rPr>
          <w:lang w:val="fr-FR"/>
        </w:rPr>
        <w:t>égalité pour les handicapés est entrée en vigueur le 1</w:t>
      </w:r>
      <w:r w:rsidR="00826E0F" w:rsidRPr="00C04160">
        <w:rPr>
          <w:vertAlign w:val="superscript"/>
          <w:lang w:val="fr-FR"/>
        </w:rPr>
        <w:t>er</w:t>
      </w:r>
      <w:r w:rsidR="00826E0F" w:rsidRPr="00872599">
        <w:rPr>
          <w:lang w:val="fr-FR"/>
        </w:rPr>
        <w:t xml:space="preserve"> janvier 2007. Il s</w:t>
      </w:r>
      <w:r w:rsidR="006645B6">
        <w:rPr>
          <w:lang w:val="fr-FR"/>
        </w:rPr>
        <w:t>’</w:t>
      </w:r>
      <w:r w:rsidR="00826E0F" w:rsidRPr="00872599">
        <w:rPr>
          <w:lang w:val="fr-FR"/>
        </w:rPr>
        <w:t>agit d</w:t>
      </w:r>
      <w:r w:rsidR="006645B6">
        <w:rPr>
          <w:lang w:val="fr-FR"/>
        </w:rPr>
        <w:t>’</w:t>
      </w:r>
      <w:r w:rsidR="00826E0F" w:rsidRPr="00872599">
        <w:rPr>
          <w:lang w:val="fr-FR"/>
        </w:rPr>
        <w:t>une condition préalable importante pour que soient prises des mesures efficaces contre la discrimination multiple subie par les femmes handicapées. Pour faire appliquer la loi, un Bureau pour l</w:t>
      </w:r>
      <w:r w:rsidR="006645B6">
        <w:rPr>
          <w:lang w:val="fr-FR"/>
        </w:rPr>
        <w:t>’</w:t>
      </w:r>
      <w:r w:rsidR="00826E0F" w:rsidRPr="00872599">
        <w:rPr>
          <w:lang w:val="fr-FR"/>
        </w:rPr>
        <w:t>égalité des handicapés a été créé à l</w:t>
      </w:r>
      <w:r w:rsidR="006645B6">
        <w:rPr>
          <w:lang w:val="fr-FR"/>
        </w:rPr>
        <w:t>’</w:t>
      </w:r>
      <w:r w:rsidR="00826E0F" w:rsidRPr="00872599">
        <w:rPr>
          <w:lang w:val="fr-FR"/>
        </w:rPr>
        <w:t>Association des handicapés du Liechtenstein. En collaboration avec le Bureau de l</w:t>
      </w:r>
      <w:r w:rsidR="006645B6">
        <w:rPr>
          <w:lang w:val="fr-FR"/>
        </w:rPr>
        <w:t>’</w:t>
      </w:r>
      <w:r w:rsidR="00826E0F" w:rsidRPr="00872599">
        <w:rPr>
          <w:lang w:val="fr-FR"/>
        </w:rPr>
        <w:t>égalité pour les handicapés, le Bureau de l</w:t>
      </w:r>
      <w:r w:rsidR="006645B6">
        <w:rPr>
          <w:lang w:val="fr-FR"/>
        </w:rPr>
        <w:t>’</w:t>
      </w:r>
      <w:r w:rsidR="00826E0F" w:rsidRPr="00872599">
        <w:rPr>
          <w:lang w:val="fr-FR"/>
        </w:rPr>
        <w:t xml:space="preserve">égalité des chances a lancé plusieurs projets y compris une étude sur la </w:t>
      </w:r>
      <w:r w:rsidR="00432049">
        <w:rPr>
          <w:lang w:val="fr-FR"/>
        </w:rPr>
        <w:t>« </w:t>
      </w:r>
      <w:r w:rsidR="00826E0F" w:rsidRPr="00872599">
        <w:rPr>
          <w:lang w:val="fr-FR"/>
        </w:rPr>
        <w:t>situation sociale des handicapés au Liechtenstein</w:t>
      </w:r>
      <w:r w:rsidR="006645B6">
        <w:rPr>
          <w:lang w:val="fr-FR"/>
        </w:rPr>
        <w:t> »</w:t>
      </w:r>
      <w:r w:rsidR="00826E0F" w:rsidRPr="00872599">
        <w:rPr>
          <w:lang w:val="fr-FR"/>
        </w:rPr>
        <w:t>. On y trouve des informations sur l</w:t>
      </w:r>
      <w:r w:rsidR="006645B6">
        <w:rPr>
          <w:lang w:val="fr-FR"/>
        </w:rPr>
        <w:t>’</w:t>
      </w:r>
      <w:r w:rsidR="00826E0F" w:rsidRPr="00872599">
        <w:rPr>
          <w:lang w:val="fr-FR"/>
        </w:rPr>
        <w:t>accessibilité des bâtiments public au Liechtenstein.</w:t>
      </w:r>
    </w:p>
    <w:p w:rsidR="00826E0F" w:rsidRPr="00872599" w:rsidRDefault="00815D6C" w:rsidP="00497599">
      <w:pPr>
        <w:pStyle w:val="SingleTxt"/>
        <w:rPr>
          <w:lang w:val="fr-FR"/>
        </w:rPr>
      </w:pPr>
      <w:r>
        <w:rPr>
          <w:lang w:val="fr-FR"/>
        </w:rPr>
        <w:tab/>
      </w:r>
      <w:r w:rsidR="00CC772D" w:rsidRPr="00872599">
        <w:rPr>
          <w:lang w:val="fr-FR"/>
        </w:rPr>
        <w:t>Depuis septembre 2006, le Bureau de l</w:t>
      </w:r>
      <w:r w:rsidR="006645B6">
        <w:rPr>
          <w:lang w:val="fr-FR"/>
        </w:rPr>
        <w:t>’</w:t>
      </w:r>
      <w:r w:rsidR="00CC772D" w:rsidRPr="00872599">
        <w:rPr>
          <w:lang w:val="fr-FR"/>
        </w:rPr>
        <w:t xml:space="preserve">égalité des chances </w:t>
      </w:r>
      <w:r w:rsidR="00CC772D">
        <w:rPr>
          <w:lang w:val="fr-FR"/>
        </w:rPr>
        <w:t>a appuyé</w:t>
      </w:r>
      <w:r w:rsidR="00CC772D" w:rsidRPr="00872599">
        <w:rPr>
          <w:lang w:val="fr-FR"/>
        </w:rPr>
        <w:t xml:space="preserve"> une équipe de rédaction composée essentiellement d</w:t>
      </w:r>
      <w:r w:rsidR="006645B6">
        <w:rPr>
          <w:lang w:val="fr-FR"/>
        </w:rPr>
        <w:t>’</w:t>
      </w:r>
      <w:r w:rsidR="00CC772D" w:rsidRPr="00872599">
        <w:rPr>
          <w:lang w:val="fr-FR"/>
        </w:rPr>
        <w:t>handicapés d</w:t>
      </w:r>
      <w:r w:rsidR="00CC772D">
        <w:rPr>
          <w:lang w:val="fr-FR"/>
        </w:rPr>
        <w:t>ont la plupart sont des femmes.</w:t>
      </w:r>
      <w:r w:rsidR="00CC772D" w:rsidRPr="00872599">
        <w:rPr>
          <w:lang w:val="fr-FR"/>
        </w:rPr>
        <w:t xml:space="preserve"> </w:t>
      </w:r>
      <w:r w:rsidR="00826E0F" w:rsidRPr="00872599">
        <w:rPr>
          <w:lang w:val="fr-FR"/>
        </w:rPr>
        <w:t>Chaque année, cette équipe de rédaction conçoit cinq à huit pages de journal qu</w:t>
      </w:r>
      <w:r w:rsidR="006645B6">
        <w:rPr>
          <w:lang w:val="fr-FR"/>
        </w:rPr>
        <w:t>’</w:t>
      </w:r>
      <w:r w:rsidR="00826E0F" w:rsidRPr="00872599">
        <w:rPr>
          <w:lang w:val="fr-FR"/>
        </w:rPr>
        <w:t xml:space="preserve">elle publie dans les deux journaux nationaux sous le titre de </w:t>
      </w:r>
      <w:r w:rsidR="00432049">
        <w:rPr>
          <w:lang w:val="fr-FR"/>
        </w:rPr>
        <w:t>« </w:t>
      </w:r>
      <w:r w:rsidR="00826E0F" w:rsidRPr="00872599">
        <w:rPr>
          <w:lang w:val="fr-FR"/>
        </w:rPr>
        <w:t>mittendrin» Au moyen de cette contribution, l</w:t>
      </w:r>
      <w:r w:rsidR="006645B6">
        <w:rPr>
          <w:lang w:val="fr-FR"/>
        </w:rPr>
        <w:t>’</w:t>
      </w:r>
      <w:r w:rsidR="00826E0F" w:rsidRPr="00872599">
        <w:rPr>
          <w:lang w:val="fr-FR"/>
        </w:rPr>
        <w:t xml:space="preserve">équipe de rédaction de </w:t>
      </w:r>
      <w:r w:rsidR="00432049">
        <w:rPr>
          <w:lang w:val="fr-FR"/>
        </w:rPr>
        <w:t>« </w:t>
      </w:r>
      <w:r w:rsidR="00826E0F" w:rsidRPr="00872599">
        <w:rPr>
          <w:lang w:val="fr-FR"/>
        </w:rPr>
        <w:t>mittendrin»</w:t>
      </w:r>
      <w:r w:rsidR="006645B6">
        <w:rPr>
          <w:lang w:val="fr-FR"/>
        </w:rPr>
        <w:t xml:space="preserve"> </w:t>
      </w:r>
      <w:r w:rsidR="00826E0F" w:rsidRPr="00872599">
        <w:rPr>
          <w:lang w:val="fr-FR"/>
        </w:rPr>
        <w:t>s</w:t>
      </w:r>
      <w:r w:rsidR="006645B6">
        <w:rPr>
          <w:lang w:val="fr-FR"/>
        </w:rPr>
        <w:t>’</w:t>
      </w:r>
      <w:r w:rsidR="00826E0F" w:rsidRPr="00872599">
        <w:rPr>
          <w:lang w:val="fr-FR"/>
        </w:rPr>
        <w:t>efforce de sensibiliser le lectorat aux besoins et aux préoccupations des handicapés.</w:t>
      </w:r>
    </w:p>
    <w:p w:rsidR="00815D6C" w:rsidRPr="00815D6C" w:rsidRDefault="00815D6C" w:rsidP="00815D6C">
      <w:pPr>
        <w:pStyle w:val="SingleTxt"/>
        <w:spacing w:after="0" w:line="120" w:lineRule="exact"/>
        <w:rPr>
          <w:b/>
          <w:sz w:val="10"/>
          <w:lang w:val="fr-FR"/>
        </w:rPr>
      </w:pPr>
    </w:p>
    <w:p w:rsidR="00826E0F" w:rsidRPr="00872599" w:rsidRDefault="00815D6C" w:rsidP="00815D6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826E0F" w:rsidRPr="00872599">
        <w:rPr>
          <w:lang w:val="fr-FR"/>
        </w:rPr>
        <w:t>Adoption des directives de l</w:t>
      </w:r>
      <w:r w:rsidR="006645B6">
        <w:rPr>
          <w:lang w:val="fr-FR"/>
        </w:rPr>
        <w:t>’</w:t>
      </w:r>
      <w:r w:rsidR="00826E0F" w:rsidRPr="00872599">
        <w:rPr>
          <w:lang w:val="fr-FR"/>
        </w:rPr>
        <w:t>EEE</w:t>
      </w:r>
    </w:p>
    <w:p w:rsidR="00815D6C" w:rsidRPr="00815D6C" w:rsidRDefault="00815D6C" w:rsidP="00815D6C">
      <w:pPr>
        <w:pStyle w:val="SingleTxt"/>
        <w:spacing w:after="0" w:line="120" w:lineRule="exact"/>
        <w:rPr>
          <w:sz w:val="10"/>
          <w:lang w:val="fr-FR"/>
        </w:rPr>
      </w:pPr>
    </w:p>
    <w:p w:rsidR="00826E0F" w:rsidRPr="00872599" w:rsidRDefault="00815D6C" w:rsidP="00497599">
      <w:pPr>
        <w:pStyle w:val="SingleTxt"/>
        <w:rPr>
          <w:lang w:val="fr-FR"/>
        </w:rPr>
      </w:pPr>
      <w:r>
        <w:rPr>
          <w:lang w:val="fr-FR"/>
        </w:rPr>
        <w:tab/>
      </w:r>
      <w:r w:rsidR="00826E0F" w:rsidRPr="00872599">
        <w:rPr>
          <w:lang w:val="fr-FR"/>
        </w:rPr>
        <w:t>Le Liechtenstein est membre de l</w:t>
      </w:r>
      <w:r w:rsidR="006645B6">
        <w:rPr>
          <w:lang w:val="fr-FR"/>
        </w:rPr>
        <w:t>’</w:t>
      </w:r>
      <w:r w:rsidR="00826E0F" w:rsidRPr="00872599">
        <w:rPr>
          <w:lang w:val="fr-FR"/>
        </w:rPr>
        <w:t>espace économique européen (EEE) depuis le 1er mai 1995 et a, depuis lors, adopté au total 12 directives portant sur l</w:t>
      </w:r>
      <w:r w:rsidR="006645B6">
        <w:rPr>
          <w:lang w:val="fr-FR"/>
        </w:rPr>
        <w:t>’</w:t>
      </w:r>
      <w:r w:rsidR="00826E0F" w:rsidRPr="00872599">
        <w:rPr>
          <w:lang w:val="fr-FR"/>
        </w:rPr>
        <w:t>égalité entre les femmes et les hommes au sens étroit et au sens général. Depuis 2001, quatre directives concernant l</w:t>
      </w:r>
      <w:r w:rsidR="006645B6">
        <w:rPr>
          <w:lang w:val="fr-FR"/>
        </w:rPr>
        <w:t>’</w:t>
      </w:r>
      <w:r w:rsidR="00826E0F" w:rsidRPr="00872599">
        <w:rPr>
          <w:lang w:val="fr-FR"/>
        </w:rPr>
        <w:t>égalité entre les sexes ont été adoptées</w:t>
      </w:r>
      <w:r w:rsidR="006645B6">
        <w:rPr>
          <w:lang w:val="fr-FR"/>
        </w:rPr>
        <w:t> :</w:t>
      </w:r>
    </w:p>
    <w:p w:rsidR="00815D6C" w:rsidRDefault="00815D6C" w:rsidP="00815D6C">
      <w:pPr>
        <w:pStyle w:val="SingleTxt"/>
        <w:tabs>
          <w:tab w:val="right" w:pos="1685"/>
        </w:tabs>
        <w:ind w:left="1742" w:hanging="475"/>
        <w:rPr>
          <w:lang w:val="fr-FR"/>
        </w:rPr>
      </w:pPr>
      <w:r>
        <w:rPr>
          <w:lang w:val="fr-FR"/>
        </w:rPr>
        <w:tab/>
        <w:t>•</w:t>
      </w:r>
      <w:r>
        <w:rPr>
          <w:lang w:val="fr-FR"/>
        </w:rPr>
        <w:tab/>
      </w:r>
      <w:r w:rsidR="00826E0F" w:rsidRPr="00872599">
        <w:rPr>
          <w:lang w:val="fr-FR"/>
        </w:rPr>
        <w:t>Directive 1997/81/EC sur le travail à temps partiel</w:t>
      </w:r>
      <w:r w:rsidR="006645B6">
        <w:rPr>
          <w:lang w:val="fr-FR"/>
        </w:rPr>
        <w:t>;</w:t>
      </w:r>
    </w:p>
    <w:p w:rsidR="00815D6C" w:rsidRDefault="00815D6C" w:rsidP="00815D6C">
      <w:pPr>
        <w:pStyle w:val="SingleTxt"/>
        <w:tabs>
          <w:tab w:val="right" w:pos="1685"/>
        </w:tabs>
        <w:ind w:left="1742" w:hanging="475"/>
        <w:rPr>
          <w:lang w:val="fr-FR"/>
        </w:rPr>
      </w:pPr>
      <w:r>
        <w:rPr>
          <w:lang w:val="fr-FR"/>
        </w:rPr>
        <w:tab/>
        <w:t>•</w:t>
      </w:r>
      <w:r>
        <w:rPr>
          <w:lang w:val="fr-FR"/>
        </w:rPr>
        <w:tab/>
      </w:r>
      <w:r w:rsidR="00826E0F" w:rsidRPr="00872599">
        <w:rPr>
          <w:lang w:val="fr-FR"/>
        </w:rPr>
        <w:t>Directive 1999/70/EC sur le travail à durée déterminée</w:t>
      </w:r>
      <w:r w:rsidR="006645B6">
        <w:rPr>
          <w:lang w:val="fr-FR"/>
        </w:rPr>
        <w:t>;</w:t>
      </w:r>
    </w:p>
    <w:p w:rsidR="00815D6C" w:rsidRDefault="00815D6C" w:rsidP="00815D6C">
      <w:pPr>
        <w:pStyle w:val="SingleTxt"/>
        <w:tabs>
          <w:tab w:val="right" w:pos="1685"/>
        </w:tabs>
        <w:ind w:left="1742" w:hanging="475"/>
        <w:rPr>
          <w:lang w:val="fr-FR"/>
        </w:rPr>
      </w:pPr>
      <w:r>
        <w:rPr>
          <w:lang w:val="fr-FR"/>
        </w:rPr>
        <w:tab/>
        <w:t>•</w:t>
      </w:r>
      <w:r>
        <w:rPr>
          <w:lang w:val="fr-FR"/>
        </w:rPr>
        <w:tab/>
      </w:r>
      <w:r w:rsidR="00826E0F" w:rsidRPr="00872599">
        <w:rPr>
          <w:lang w:val="fr-FR"/>
        </w:rPr>
        <w:t>Directive 2002/73/EC concernant la mise en oeuvre du principe de l</w:t>
      </w:r>
      <w:r w:rsidR="006645B6">
        <w:rPr>
          <w:lang w:val="fr-FR"/>
        </w:rPr>
        <w:t>’</w:t>
      </w:r>
      <w:r w:rsidR="00826E0F" w:rsidRPr="00872599">
        <w:rPr>
          <w:lang w:val="fr-FR"/>
        </w:rPr>
        <w:t>égalité de traitement entre hommes et femmes;</w:t>
      </w:r>
    </w:p>
    <w:p w:rsidR="00826E0F" w:rsidRPr="00872599" w:rsidRDefault="00815D6C" w:rsidP="00815D6C">
      <w:pPr>
        <w:pStyle w:val="SingleTxt"/>
        <w:tabs>
          <w:tab w:val="right" w:pos="1685"/>
        </w:tabs>
        <w:ind w:left="1742" w:hanging="475"/>
        <w:rPr>
          <w:lang w:val="fr-FR"/>
        </w:rPr>
      </w:pPr>
      <w:r>
        <w:rPr>
          <w:lang w:val="fr-FR"/>
        </w:rPr>
        <w:tab/>
        <w:t>•</w:t>
      </w:r>
      <w:r>
        <w:rPr>
          <w:lang w:val="fr-FR"/>
        </w:rPr>
        <w:tab/>
      </w:r>
      <w:r w:rsidR="00826E0F" w:rsidRPr="00872599">
        <w:rPr>
          <w:lang w:val="fr-FR"/>
        </w:rPr>
        <w:t>Directive 2006/54/EC (refonte)</w:t>
      </w:r>
      <w:r w:rsidR="00826E0F" w:rsidRPr="00872599">
        <w:rPr>
          <w:lang w:val="fr-FR"/>
        </w:rPr>
        <w:t xml:space="preserve"> </w:t>
      </w:r>
      <w:r w:rsidR="00826E0F" w:rsidRPr="00661822">
        <w:rPr>
          <w:lang w:val="fr-FR"/>
        </w:rPr>
        <w:t>relative à la mise en œuvre du principe de</w:t>
      </w:r>
      <w:r w:rsidR="00826E0F">
        <w:rPr>
          <w:lang w:val="fr-FR"/>
        </w:rPr>
        <w:t xml:space="preserve"> </w:t>
      </w:r>
      <w:r w:rsidR="00826E0F" w:rsidRPr="00661822">
        <w:rPr>
          <w:lang w:val="fr-FR"/>
        </w:rPr>
        <w:t>l</w:t>
      </w:r>
      <w:r w:rsidR="006645B6">
        <w:rPr>
          <w:lang w:val="fr-FR"/>
        </w:rPr>
        <w:t>’</w:t>
      </w:r>
      <w:r w:rsidR="00826E0F" w:rsidRPr="00661822">
        <w:rPr>
          <w:lang w:val="fr-FR"/>
        </w:rPr>
        <w:t>égalité des chances et de l</w:t>
      </w:r>
      <w:r w:rsidR="006645B6">
        <w:rPr>
          <w:lang w:val="fr-FR"/>
        </w:rPr>
        <w:t>’</w:t>
      </w:r>
      <w:r w:rsidR="00826E0F" w:rsidRPr="00661822">
        <w:rPr>
          <w:lang w:val="fr-FR"/>
        </w:rPr>
        <w:t>égalité de traitement entre hommes et femmes en matière d</w:t>
      </w:r>
      <w:r w:rsidR="006645B6">
        <w:rPr>
          <w:lang w:val="fr-FR"/>
        </w:rPr>
        <w:t>’</w:t>
      </w:r>
      <w:r w:rsidR="00826E0F" w:rsidRPr="00661822">
        <w:rPr>
          <w:lang w:val="fr-FR"/>
        </w:rPr>
        <w:t>emploi et de travail</w:t>
      </w:r>
      <w:r w:rsidR="00826E0F" w:rsidRPr="00872599">
        <w:rPr>
          <w:lang w:val="fr-FR"/>
        </w:rPr>
        <w:t>.</w:t>
      </w:r>
    </w:p>
    <w:p w:rsidR="00826E0F" w:rsidRPr="00872599" w:rsidRDefault="00815D6C" w:rsidP="00497599">
      <w:pPr>
        <w:pStyle w:val="SingleTxt"/>
        <w:rPr>
          <w:lang w:val="fr-FR"/>
        </w:rPr>
      </w:pPr>
      <w:r>
        <w:rPr>
          <w:lang w:val="fr-FR"/>
        </w:rPr>
        <w:tab/>
      </w:r>
      <w:r w:rsidR="00826E0F" w:rsidRPr="00872599">
        <w:rPr>
          <w:lang w:val="fr-FR"/>
        </w:rPr>
        <w:t>L</w:t>
      </w:r>
      <w:r w:rsidR="006645B6">
        <w:rPr>
          <w:lang w:val="fr-FR"/>
        </w:rPr>
        <w:t>’</w:t>
      </w:r>
      <w:r w:rsidR="00826E0F" w:rsidRPr="00872599">
        <w:rPr>
          <w:lang w:val="fr-FR"/>
        </w:rPr>
        <w:t>adoption de la directive 2006/54/EC (refonte)</w:t>
      </w:r>
      <w:r w:rsidR="00826E0F" w:rsidRPr="00872599">
        <w:rPr>
          <w:lang w:val="fr-FR"/>
        </w:rPr>
        <w:t xml:space="preserve"> sur la mise en œuvre du principe de l</w:t>
      </w:r>
      <w:r w:rsidR="006645B6">
        <w:rPr>
          <w:lang w:val="fr-FR"/>
        </w:rPr>
        <w:t>’</w:t>
      </w:r>
      <w:r w:rsidR="00826E0F" w:rsidRPr="00872599">
        <w:rPr>
          <w:lang w:val="fr-FR"/>
        </w:rPr>
        <w:t>égalité des chances et de l</w:t>
      </w:r>
      <w:r w:rsidR="006645B6">
        <w:rPr>
          <w:lang w:val="fr-FR"/>
        </w:rPr>
        <w:t>’</w:t>
      </w:r>
      <w:r w:rsidR="00826E0F" w:rsidRPr="00872599">
        <w:rPr>
          <w:lang w:val="fr-FR"/>
        </w:rPr>
        <w:t>égalité de traitement entre les hommes et les femmes sur les questions de l</w:t>
      </w:r>
      <w:r w:rsidR="006645B6">
        <w:rPr>
          <w:lang w:val="fr-FR"/>
        </w:rPr>
        <w:t>’</w:t>
      </w:r>
      <w:r w:rsidR="00826E0F" w:rsidRPr="00872599">
        <w:rPr>
          <w:lang w:val="fr-FR"/>
        </w:rPr>
        <w:t>emploi et des professions a été approuvée par le Parlement en octobre 2008</w:t>
      </w:r>
      <w:r w:rsidR="00826E0F" w:rsidRPr="00872599">
        <w:rPr>
          <w:lang w:val="fr-FR"/>
        </w:rPr>
        <w:t>.</w:t>
      </w:r>
    </w:p>
    <w:p w:rsidR="00826E0F" w:rsidRPr="00872599" w:rsidRDefault="00815D6C" w:rsidP="00497599">
      <w:pPr>
        <w:pStyle w:val="SingleTxt"/>
        <w:rPr>
          <w:lang w:val="fr-FR"/>
        </w:rPr>
      </w:pPr>
      <w:r>
        <w:rPr>
          <w:lang w:val="fr-FR"/>
        </w:rPr>
        <w:tab/>
      </w:r>
      <w:r w:rsidR="00826E0F" w:rsidRPr="00872599">
        <w:rPr>
          <w:lang w:val="fr-FR"/>
        </w:rPr>
        <w:t>Cette directive a pour but principal d</w:t>
      </w:r>
      <w:r w:rsidR="006645B6">
        <w:rPr>
          <w:lang w:val="fr-FR"/>
        </w:rPr>
        <w:t>’</w:t>
      </w:r>
      <w:r w:rsidR="00826E0F" w:rsidRPr="00872599">
        <w:rPr>
          <w:lang w:val="fr-FR"/>
        </w:rPr>
        <w:t>assurer l</w:t>
      </w:r>
      <w:r w:rsidR="006645B6">
        <w:rPr>
          <w:lang w:val="fr-FR"/>
        </w:rPr>
        <w:t>’</w:t>
      </w:r>
      <w:r w:rsidR="00826E0F" w:rsidRPr="00872599">
        <w:rPr>
          <w:lang w:val="fr-FR"/>
        </w:rPr>
        <w:t>égalité de traitement entre les hommes et les femmes en matière d</w:t>
      </w:r>
      <w:r w:rsidR="006645B6">
        <w:rPr>
          <w:lang w:val="fr-FR"/>
        </w:rPr>
        <w:t>’</w:t>
      </w:r>
      <w:r w:rsidR="00826E0F" w:rsidRPr="00872599">
        <w:rPr>
          <w:lang w:val="fr-FR"/>
        </w:rPr>
        <w:t>emploi. Il y a lieu de garantir de manière plus efficace l</w:t>
      </w:r>
      <w:r w:rsidR="006645B6">
        <w:rPr>
          <w:lang w:val="fr-FR"/>
        </w:rPr>
        <w:t>’</w:t>
      </w:r>
      <w:r w:rsidR="00826E0F" w:rsidRPr="00872599">
        <w:rPr>
          <w:lang w:val="fr-FR"/>
        </w:rPr>
        <w:t>application du principe de l</w:t>
      </w:r>
      <w:r w:rsidR="006645B6">
        <w:rPr>
          <w:lang w:val="fr-FR"/>
        </w:rPr>
        <w:t>’</w:t>
      </w:r>
      <w:r w:rsidR="00826E0F" w:rsidRPr="00872599">
        <w:rPr>
          <w:lang w:val="fr-FR"/>
        </w:rPr>
        <w:t>égalité de traitement entre les hommes et les femmes en matière de rémunération, d</w:t>
      </w:r>
      <w:r w:rsidR="006645B6">
        <w:rPr>
          <w:lang w:val="fr-FR"/>
        </w:rPr>
        <w:t>’</w:t>
      </w:r>
      <w:r w:rsidR="00826E0F" w:rsidRPr="00872599">
        <w:rPr>
          <w:lang w:val="fr-FR"/>
        </w:rPr>
        <w:t>accès à l</w:t>
      </w:r>
      <w:r w:rsidR="006645B6">
        <w:rPr>
          <w:lang w:val="fr-FR"/>
        </w:rPr>
        <w:t>’</w:t>
      </w:r>
      <w:r w:rsidR="00826E0F" w:rsidRPr="00872599">
        <w:rPr>
          <w:lang w:val="fr-FR"/>
        </w:rPr>
        <w:t>emploi et de formation professionnelle, de conditions de travail et de régime professionnel de sécurité sociale. De plus, cette directive vise à réduire la charge de la preuve en cas de discrimination fondée sur le sexe. Elle vise également à améliorer les procédures afin de permettre une mise en oeuvre plus efficace du principe. Dans tous les cas de violation du principe de l</w:t>
      </w:r>
      <w:r w:rsidR="006645B6">
        <w:rPr>
          <w:lang w:val="fr-FR"/>
        </w:rPr>
        <w:t>’</w:t>
      </w:r>
      <w:r w:rsidR="00826E0F" w:rsidRPr="00872599">
        <w:rPr>
          <w:lang w:val="fr-FR"/>
        </w:rPr>
        <w:t>égalité de traitement, les États membres doivent accorder une réparation adéquate du dommage subi. La directive exige donc des États membres qu</w:t>
      </w:r>
      <w:r w:rsidR="006645B6">
        <w:rPr>
          <w:lang w:val="fr-FR"/>
        </w:rPr>
        <w:t>’</w:t>
      </w:r>
      <w:r w:rsidR="00826E0F" w:rsidRPr="00872599">
        <w:rPr>
          <w:lang w:val="fr-FR"/>
        </w:rPr>
        <w:t>ils définissent des sanctions effectives, proportionnées et dissuasives à appliquer lorsque les obligations découlant de la législation de l</w:t>
      </w:r>
      <w:r w:rsidR="006645B6">
        <w:rPr>
          <w:lang w:val="fr-FR"/>
        </w:rPr>
        <w:t>’</w:t>
      </w:r>
      <w:r w:rsidR="00826E0F" w:rsidRPr="00872599">
        <w:rPr>
          <w:lang w:val="fr-FR"/>
        </w:rPr>
        <w:t>Union européenne ne sont pas respectées.</w:t>
      </w:r>
    </w:p>
    <w:p w:rsidR="00826E0F" w:rsidRPr="00872599" w:rsidRDefault="00815D6C" w:rsidP="00497599">
      <w:pPr>
        <w:pStyle w:val="SingleTxt"/>
        <w:rPr>
          <w:lang w:val="fr-FR"/>
        </w:rPr>
      </w:pPr>
      <w:r>
        <w:rPr>
          <w:lang w:val="fr-FR"/>
        </w:rPr>
        <w:tab/>
      </w:r>
      <w:r w:rsidR="00826E0F" w:rsidRPr="00872599">
        <w:rPr>
          <w:lang w:val="fr-FR"/>
        </w:rPr>
        <w:t xml:space="preserve">Dans le cadre de la jurisprudence de </w:t>
      </w:r>
      <w:smartTag w:uri="urn:schemas-microsoft-com:office:smarttags" w:element="PersonName">
        <w:smartTagPr>
          <w:attr w:name="ProductID" w:val="la Cour"/>
        </w:smartTagPr>
        <w:r w:rsidR="00826E0F" w:rsidRPr="00872599">
          <w:rPr>
            <w:lang w:val="fr-FR"/>
          </w:rPr>
          <w:t>la Cour</w:t>
        </w:r>
      </w:smartTag>
      <w:r w:rsidR="00826E0F" w:rsidRPr="00872599">
        <w:rPr>
          <w:lang w:val="fr-FR"/>
        </w:rPr>
        <w:t xml:space="preserve"> européenne de justice (CEJ), les règles découlant du droit communautaire européen ont été simplifiées, modernisées et améliorées grâce au regroupement en un seul texte des dispositions figurant dans six directives antérieures (Directive 2006/54/EC).</w:t>
      </w:r>
    </w:p>
    <w:p w:rsidR="00826E0F" w:rsidRPr="00872599" w:rsidRDefault="00815D6C" w:rsidP="00497599">
      <w:pPr>
        <w:pStyle w:val="SingleTxt"/>
        <w:rPr>
          <w:lang w:val="fr-FR"/>
        </w:rPr>
      </w:pPr>
      <w:r>
        <w:rPr>
          <w:lang w:val="fr-FR"/>
        </w:rPr>
        <w:tab/>
      </w:r>
      <w:r w:rsidR="00826E0F" w:rsidRPr="00872599">
        <w:rPr>
          <w:lang w:val="fr-FR"/>
        </w:rPr>
        <w:t>L</w:t>
      </w:r>
      <w:r w:rsidR="006645B6">
        <w:rPr>
          <w:lang w:val="fr-FR"/>
        </w:rPr>
        <w:t>’</w:t>
      </w:r>
      <w:r w:rsidR="00826E0F" w:rsidRPr="00872599">
        <w:rPr>
          <w:lang w:val="fr-FR"/>
        </w:rPr>
        <w:t>application de cette directive se fera moyennant la modification de la loi sur l</w:t>
      </w:r>
      <w:r w:rsidR="006645B6">
        <w:rPr>
          <w:lang w:val="fr-FR"/>
        </w:rPr>
        <w:t>’</w:t>
      </w:r>
      <w:r w:rsidR="00826E0F" w:rsidRPr="00872599">
        <w:rPr>
          <w:lang w:val="fr-FR"/>
        </w:rPr>
        <w:t>égalité entre les sexes, de la loi sur les pensions professionnelles, de la loi sur les caisses de pension et du Code civil général.</w:t>
      </w:r>
    </w:p>
    <w:p w:rsidR="00826E0F" w:rsidRPr="00872599" w:rsidRDefault="00815D6C" w:rsidP="00815D6C">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00826E0F" w:rsidRPr="00872599">
        <w:rPr>
          <w:lang w:val="fr-FR"/>
        </w:rPr>
        <w:t>c)</w:t>
      </w:r>
      <w:r w:rsidR="00826E0F" w:rsidRPr="00872599">
        <w:rPr>
          <w:lang w:val="fr-FR"/>
        </w:rPr>
        <w:tab/>
        <w:t>Coopération avec les organisations non gouvernementales</w:t>
      </w:r>
    </w:p>
    <w:p w:rsidR="00815D6C" w:rsidRPr="00815D6C" w:rsidRDefault="00815D6C" w:rsidP="00815D6C">
      <w:pPr>
        <w:pStyle w:val="SingleTxt"/>
        <w:spacing w:after="0" w:line="120" w:lineRule="exact"/>
        <w:rPr>
          <w:i/>
          <w:sz w:val="10"/>
          <w:u w:val="single"/>
          <w:lang w:val="fr-FR"/>
        </w:rPr>
      </w:pPr>
    </w:p>
    <w:p w:rsidR="00826E0F" w:rsidRPr="00872599" w:rsidRDefault="00815D6C" w:rsidP="00497599">
      <w:pPr>
        <w:pStyle w:val="SingleTxt"/>
        <w:rPr>
          <w:lang w:val="fr-FR"/>
        </w:rPr>
      </w:pPr>
      <w:r>
        <w:rPr>
          <w:lang w:val="fr-FR"/>
        </w:rPr>
        <w:tab/>
      </w:r>
      <w:r w:rsidR="00826E0F" w:rsidRPr="00872599">
        <w:rPr>
          <w:lang w:val="fr-FR"/>
        </w:rPr>
        <w:t>Les organisations non gouvernementales jouent un rôle important dans le cadre de la politique du Liechtenstein en matière d</w:t>
      </w:r>
      <w:r w:rsidR="006645B6">
        <w:rPr>
          <w:lang w:val="fr-FR"/>
        </w:rPr>
        <w:t>’</w:t>
      </w:r>
      <w:r w:rsidR="00826E0F" w:rsidRPr="00872599">
        <w:rPr>
          <w:lang w:val="fr-FR"/>
        </w:rPr>
        <w:t>égalité entre les sexes. C</w:t>
      </w:r>
      <w:r w:rsidR="006645B6">
        <w:rPr>
          <w:lang w:val="fr-FR"/>
        </w:rPr>
        <w:t>’</w:t>
      </w:r>
      <w:r w:rsidR="00826E0F" w:rsidRPr="00872599">
        <w:rPr>
          <w:lang w:val="fr-FR"/>
        </w:rPr>
        <w:t>est pourquoi, des organisations bénéficient de l</w:t>
      </w:r>
      <w:r w:rsidR="006645B6">
        <w:rPr>
          <w:lang w:val="fr-FR"/>
        </w:rPr>
        <w:t>’</w:t>
      </w:r>
      <w:r w:rsidR="00826E0F" w:rsidRPr="00872599">
        <w:rPr>
          <w:lang w:val="fr-FR"/>
        </w:rPr>
        <w:t>aide de fonds publics régis par un accord: le Bureau d</w:t>
      </w:r>
      <w:r w:rsidR="006645B6">
        <w:rPr>
          <w:lang w:val="fr-FR"/>
        </w:rPr>
        <w:t>’</w:t>
      </w:r>
      <w:r w:rsidR="00826E0F" w:rsidRPr="00872599">
        <w:rPr>
          <w:lang w:val="fr-FR"/>
        </w:rPr>
        <w:t>information et de contact pour les femmes, l</w:t>
      </w:r>
      <w:r w:rsidR="006645B6">
        <w:rPr>
          <w:lang w:val="fr-FR"/>
        </w:rPr>
        <w:t>’</w:t>
      </w:r>
      <w:r w:rsidR="00826E0F" w:rsidRPr="00872599">
        <w:rPr>
          <w:lang w:val="fr-FR"/>
        </w:rPr>
        <w:t>Association du travail éducatif pour les femmes, l</w:t>
      </w:r>
      <w:r w:rsidR="006645B6">
        <w:rPr>
          <w:lang w:val="fr-FR"/>
        </w:rPr>
        <w:t>’</w:t>
      </w:r>
      <w:r w:rsidR="00826E0F" w:rsidRPr="00872599">
        <w:rPr>
          <w:lang w:val="fr-FR"/>
        </w:rPr>
        <w:t>Association pour la protection des femmes maltraitées et de leurs enfants, l</w:t>
      </w:r>
      <w:r w:rsidR="006645B6">
        <w:rPr>
          <w:lang w:val="fr-FR"/>
        </w:rPr>
        <w:t>’</w:t>
      </w:r>
      <w:r w:rsidR="00826E0F" w:rsidRPr="00872599">
        <w:rPr>
          <w:lang w:val="fr-FR"/>
        </w:rPr>
        <w:t>Association des services de garderie du Liechtenstein et le forum parents-enfants. Grâce à leur diversité, ces organisations couvrent un large éventail de domaines concernant l</w:t>
      </w:r>
      <w:r w:rsidR="006645B6">
        <w:rPr>
          <w:lang w:val="fr-FR"/>
        </w:rPr>
        <w:t>’</w:t>
      </w:r>
      <w:r w:rsidR="00826E0F" w:rsidRPr="00872599">
        <w:rPr>
          <w:lang w:val="fr-FR"/>
        </w:rPr>
        <w:t>égalité entre les femmes et les hommes</w:t>
      </w:r>
      <w:r w:rsidR="006645B6">
        <w:rPr>
          <w:lang w:val="fr-FR"/>
        </w:rPr>
        <w:t> :</w:t>
      </w:r>
      <w:r w:rsidR="00826E0F" w:rsidRPr="00872599">
        <w:rPr>
          <w:lang w:val="fr-FR"/>
        </w:rPr>
        <w:t xml:space="preserve"> éducation, vie politique, emploi, compatibilité de la vie familiale et de la carrière, soutien de famille, services de consultation dans de nombreux domaines de la vie, conseils juridiques pour les femmes, violence à l</w:t>
      </w:r>
      <w:r w:rsidR="006645B6">
        <w:rPr>
          <w:lang w:val="fr-FR"/>
        </w:rPr>
        <w:t>’</w:t>
      </w:r>
      <w:r w:rsidR="00826E0F" w:rsidRPr="00872599">
        <w:rPr>
          <w:lang w:val="fr-FR"/>
        </w:rPr>
        <w:t xml:space="preserve">égard des femmes et aide et promotion des femmes grâce à des moyens financiers. </w:t>
      </w:r>
    </w:p>
    <w:p w:rsidR="00815D6C" w:rsidRPr="00815D6C" w:rsidRDefault="00815D6C" w:rsidP="00815D6C">
      <w:pPr>
        <w:pStyle w:val="SingleTxt"/>
        <w:spacing w:after="0" w:line="120" w:lineRule="exact"/>
        <w:rPr>
          <w:sz w:val="10"/>
          <w:lang w:val="fr-FR"/>
        </w:rPr>
      </w:pPr>
    </w:p>
    <w:p w:rsidR="00826E0F" w:rsidRPr="00872599" w:rsidRDefault="00815D6C" w:rsidP="00815D6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826E0F" w:rsidRPr="00872599">
        <w:rPr>
          <w:lang w:val="fr-FR"/>
        </w:rPr>
        <w:t xml:space="preserve">Réseau des femmes du Liechtenstein </w:t>
      </w:r>
    </w:p>
    <w:p w:rsidR="00815D6C" w:rsidRPr="00815D6C" w:rsidRDefault="00815D6C" w:rsidP="00815D6C">
      <w:pPr>
        <w:pStyle w:val="SingleTxt"/>
        <w:spacing w:after="0" w:line="120" w:lineRule="exact"/>
        <w:rPr>
          <w:sz w:val="10"/>
          <w:lang w:val="fr-FR"/>
        </w:rPr>
      </w:pPr>
    </w:p>
    <w:p w:rsidR="00826E0F" w:rsidRPr="00872599" w:rsidRDefault="00815D6C" w:rsidP="00497599">
      <w:pPr>
        <w:pStyle w:val="SingleTxt"/>
        <w:rPr>
          <w:lang w:val="fr-FR"/>
        </w:rPr>
      </w:pPr>
      <w:r>
        <w:rPr>
          <w:lang w:val="fr-FR"/>
        </w:rPr>
        <w:tab/>
      </w:r>
      <w:r w:rsidR="00826E0F" w:rsidRPr="00872599">
        <w:rPr>
          <w:lang w:val="fr-FR"/>
        </w:rPr>
        <w:t>De nombreuses organisations non gouvernementales mais également des organisations de femmes et des partis politiques du Liechtenstein se sont rassemblés au sein du réseau des femmes du Liechtenstein, sous les auspices du Bureau de l</w:t>
      </w:r>
      <w:r w:rsidR="006645B6">
        <w:rPr>
          <w:lang w:val="fr-FR"/>
        </w:rPr>
        <w:t>’</w:t>
      </w:r>
      <w:r w:rsidR="00826E0F" w:rsidRPr="00872599">
        <w:rPr>
          <w:lang w:val="fr-FR"/>
        </w:rPr>
        <w:t xml:space="preserve">égalité des chances, qui tient lieu de </w:t>
      </w:r>
      <w:r w:rsidR="00826E0F">
        <w:rPr>
          <w:lang w:val="fr-FR"/>
        </w:rPr>
        <w:t xml:space="preserve">service </w:t>
      </w:r>
      <w:r w:rsidR="00826E0F" w:rsidRPr="00872599">
        <w:rPr>
          <w:lang w:val="fr-FR"/>
        </w:rPr>
        <w:t>d</w:t>
      </w:r>
      <w:r w:rsidR="006645B6">
        <w:rPr>
          <w:lang w:val="fr-FR"/>
        </w:rPr>
        <w:t>’</w:t>
      </w:r>
      <w:r w:rsidR="00826E0F" w:rsidRPr="00872599">
        <w:rPr>
          <w:lang w:val="fr-FR"/>
        </w:rPr>
        <w:t>administration et de coordination. Le réseau des femmes est ouvert à toutes les organisations luttant pour l</w:t>
      </w:r>
      <w:r w:rsidR="006645B6">
        <w:rPr>
          <w:lang w:val="fr-FR"/>
        </w:rPr>
        <w:t>’</w:t>
      </w:r>
      <w:r w:rsidR="00826E0F" w:rsidRPr="00872599">
        <w:rPr>
          <w:lang w:val="fr-FR"/>
        </w:rPr>
        <w:t>égalité des chances pour les filles et les femmes. Les manifestations et les projets conjoints attirent davantage l</w:t>
      </w:r>
      <w:r w:rsidR="006645B6">
        <w:rPr>
          <w:lang w:val="fr-FR"/>
        </w:rPr>
        <w:t>’</w:t>
      </w:r>
      <w:r w:rsidR="00826E0F" w:rsidRPr="00872599">
        <w:rPr>
          <w:lang w:val="fr-FR"/>
        </w:rPr>
        <w:t>attention du public et ont donc ainsi un plus grand impact que des campagnes séparées et les activités de chaque organisation sont ainsi mieux connues. Le réseau des femmes du Liechtenstein regroupe actuellement 17 organisations: le club des femmes entrepreneurs et professionnelles de la vallée du Rhin (BPW), le forum parents-enfants, le Bureau des questions sexuelles et de la prévention du VIH, les femmes au sein du parti progressiste des citoyens, le groupe d</w:t>
      </w:r>
      <w:r w:rsidR="006645B6">
        <w:rPr>
          <w:lang w:val="fr-FR"/>
        </w:rPr>
        <w:t>’</w:t>
      </w:r>
      <w:r w:rsidR="00826E0F" w:rsidRPr="00872599">
        <w:rPr>
          <w:lang w:val="fr-FR"/>
        </w:rPr>
        <w:t>experts de l</w:t>
      </w:r>
      <w:r w:rsidR="006645B6">
        <w:rPr>
          <w:lang w:val="fr-FR"/>
        </w:rPr>
        <w:t>’</w:t>
      </w:r>
      <w:r w:rsidR="00826E0F" w:rsidRPr="00872599">
        <w:rPr>
          <w:lang w:val="fr-FR"/>
        </w:rPr>
        <w:t xml:space="preserve">Union patriotique pour les femmes, </w:t>
      </w:r>
      <w:smartTag w:uri="urn:schemas-microsoft-com:office:smarttags" w:element="PersonName">
        <w:smartTagPr>
          <w:attr w:name="ProductID" w:val="la Liste"/>
        </w:smartTagPr>
        <w:r w:rsidR="00826E0F" w:rsidRPr="00872599">
          <w:rPr>
            <w:lang w:val="fr-FR"/>
          </w:rPr>
          <w:t>la Liste</w:t>
        </w:r>
      </w:smartTag>
      <w:r w:rsidR="00826E0F" w:rsidRPr="00872599">
        <w:rPr>
          <w:lang w:val="fr-FR"/>
        </w:rPr>
        <w:t xml:space="preserve"> libre, le Bureau d</w:t>
      </w:r>
      <w:r w:rsidR="006645B6">
        <w:rPr>
          <w:lang w:val="fr-FR"/>
        </w:rPr>
        <w:t>’</w:t>
      </w:r>
      <w:r w:rsidR="00826E0F" w:rsidRPr="00872599">
        <w:rPr>
          <w:lang w:val="fr-FR"/>
        </w:rPr>
        <w:t xml:space="preserve">information et de contact pour les femmes, </w:t>
      </w:r>
      <w:smartTag w:uri="urn:schemas-microsoft-com:office:smarttags" w:element="PersonName">
        <w:smartTagPr>
          <w:attr w:name="ProductID" w:val="la Commission"/>
        </w:smartTagPr>
        <w:r w:rsidR="00826E0F" w:rsidRPr="00872599">
          <w:rPr>
            <w:lang w:val="fr-FR"/>
          </w:rPr>
          <w:t>la Commission</w:t>
        </w:r>
      </w:smartTag>
      <w:r w:rsidR="00826E0F" w:rsidRPr="00872599">
        <w:rPr>
          <w:lang w:val="fr-FR"/>
        </w:rPr>
        <w:t xml:space="preserve"> pour l</w:t>
      </w:r>
      <w:r w:rsidR="006645B6">
        <w:rPr>
          <w:lang w:val="fr-FR"/>
        </w:rPr>
        <w:t>’</w:t>
      </w:r>
      <w:r w:rsidR="00826E0F" w:rsidRPr="00872599">
        <w:rPr>
          <w:lang w:val="fr-FR"/>
        </w:rPr>
        <w:t xml:space="preserve">égalité entre les sexes, </w:t>
      </w:r>
      <w:smartTag w:uri="urn:schemas-microsoft-com:office:smarttags" w:element="PersonName">
        <w:smartTagPr>
          <w:attr w:name="ProductID" w:val="la Commission"/>
        </w:smartTagPr>
        <w:r w:rsidR="00826E0F" w:rsidRPr="00872599">
          <w:rPr>
            <w:lang w:val="fr-FR"/>
          </w:rPr>
          <w:t>la Commission</w:t>
        </w:r>
      </w:smartTag>
      <w:r w:rsidR="00826E0F" w:rsidRPr="00872599">
        <w:rPr>
          <w:lang w:val="fr-FR"/>
        </w:rPr>
        <w:t xml:space="preserve"> pour la promotion des femmes et la diversité de l</w:t>
      </w:r>
      <w:r w:rsidR="006645B6">
        <w:rPr>
          <w:lang w:val="fr-FR"/>
        </w:rPr>
        <w:t>’</w:t>
      </w:r>
      <w:r w:rsidR="00826E0F" w:rsidRPr="00872599">
        <w:rPr>
          <w:lang w:val="fr-FR"/>
        </w:rPr>
        <w:t>Hochschule Liechtenstein, la section des femmes de l</w:t>
      </w:r>
      <w:r w:rsidR="006645B6">
        <w:rPr>
          <w:lang w:val="fr-FR"/>
        </w:rPr>
        <w:t>’</w:t>
      </w:r>
      <w:r w:rsidR="00826E0F" w:rsidRPr="00872599">
        <w:rPr>
          <w:lang w:val="fr-FR"/>
        </w:rPr>
        <w:t>Association des employés du Liechtenstein</w:t>
      </w:r>
      <w:r w:rsidR="00826E0F">
        <w:rPr>
          <w:lang w:val="fr-FR"/>
        </w:rPr>
        <w:t xml:space="preserve"> et</w:t>
      </w:r>
      <w:r w:rsidR="00826E0F" w:rsidRPr="00872599">
        <w:rPr>
          <w:lang w:val="fr-FR"/>
        </w:rPr>
        <w:t xml:space="preserve"> le club Soroptimist International du Liechtenstein, le club Soroptimist International de Vaduz, l</w:t>
      </w:r>
      <w:r w:rsidR="006645B6">
        <w:rPr>
          <w:lang w:val="fr-FR"/>
        </w:rPr>
        <w:t>’</w:t>
      </w:r>
      <w:r w:rsidR="00826E0F" w:rsidRPr="00872599">
        <w:rPr>
          <w:lang w:val="fr-FR"/>
        </w:rPr>
        <w:t>Association des femmes turques, l</w:t>
      </w:r>
      <w:r w:rsidR="006645B6">
        <w:rPr>
          <w:lang w:val="fr-FR"/>
        </w:rPr>
        <w:t>’</w:t>
      </w:r>
      <w:r w:rsidR="00826E0F" w:rsidRPr="00872599">
        <w:rPr>
          <w:lang w:val="fr-FR"/>
        </w:rPr>
        <w:t>Association des garderies du Liechtenstein, l</w:t>
      </w:r>
      <w:r w:rsidR="006645B6">
        <w:rPr>
          <w:lang w:val="fr-FR"/>
        </w:rPr>
        <w:t>’</w:t>
      </w:r>
      <w:r w:rsidR="00826E0F" w:rsidRPr="00872599">
        <w:rPr>
          <w:lang w:val="fr-FR"/>
        </w:rPr>
        <w:t>Association pour la protection des femmes maltraitées et de leurs enfants, l</w:t>
      </w:r>
      <w:r w:rsidR="006645B6">
        <w:rPr>
          <w:lang w:val="fr-FR"/>
        </w:rPr>
        <w:t>’</w:t>
      </w:r>
      <w:r w:rsidR="00826E0F" w:rsidRPr="00872599">
        <w:rPr>
          <w:lang w:val="fr-FR"/>
        </w:rPr>
        <w:t xml:space="preserve">Association des femmes pour une bonne </w:t>
      </w:r>
      <w:r w:rsidR="00826E0F">
        <w:rPr>
          <w:lang w:val="fr-FR"/>
        </w:rPr>
        <w:t>c</w:t>
      </w:r>
      <w:r w:rsidR="00826E0F" w:rsidRPr="00872599">
        <w:rPr>
          <w:lang w:val="fr-FR"/>
        </w:rPr>
        <w:t xml:space="preserve">onstitution et le Zonta Club International de la région de Vaduz. </w:t>
      </w:r>
    </w:p>
    <w:p w:rsidR="00826E0F" w:rsidRPr="00872599" w:rsidRDefault="00815D6C" w:rsidP="00497599">
      <w:pPr>
        <w:pStyle w:val="SingleTxt"/>
        <w:rPr>
          <w:lang w:val="fr-FR"/>
        </w:rPr>
      </w:pPr>
      <w:r>
        <w:rPr>
          <w:lang w:val="fr-FR"/>
        </w:rPr>
        <w:tab/>
      </w:r>
      <w:r w:rsidR="00826E0F" w:rsidRPr="00872599">
        <w:rPr>
          <w:lang w:val="fr-FR"/>
        </w:rPr>
        <w:t>Le réseau des femmes se réunit régulièrement sous les auspices du Bureau de l</w:t>
      </w:r>
      <w:r w:rsidR="006645B6">
        <w:rPr>
          <w:lang w:val="fr-FR"/>
        </w:rPr>
        <w:t>’</w:t>
      </w:r>
      <w:r w:rsidR="00826E0F" w:rsidRPr="00872599">
        <w:rPr>
          <w:lang w:val="fr-FR"/>
        </w:rPr>
        <w:t>égalité des chances pour échanger des renseignements sur les travaux de chaque organisation, pour discuter de projets de textes législatifs diffusés en vue de consultation et pour organiser des projets. Par exemple, le réseau des femmes organise chaque année la journée internationale de la femme. Parmi les projets spéciaux du réseau des femmes menés à bien pendant la période considérée, il y a lieu de citer la préparation et l</w:t>
      </w:r>
      <w:r w:rsidR="006645B6">
        <w:rPr>
          <w:lang w:val="fr-FR"/>
        </w:rPr>
        <w:t>’</w:t>
      </w:r>
      <w:r w:rsidR="00826E0F" w:rsidRPr="00872599">
        <w:rPr>
          <w:lang w:val="fr-FR"/>
        </w:rPr>
        <w:t>attribution du prix du courage civil DemoGrazia en novembre 2006 et le projet Femmes et Finances en novembre 2007.</w:t>
      </w:r>
    </w:p>
    <w:p w:rsidR="00815D6C" w:rsidRPr="00815D6C" w:rsidRDefault="00815D6C" w:rsidP="00815D6C">
      <w:pPr>
        <w:pStyle w:val="SingleTxt"/>
        <w:spacing w:after="0" w:line="120" w:lineRule="exact"/>
        <w:rPr>
          <w:b/>
          <w:sz w:val="10"/>
          <w:lang w:val="fr-FR"/>
        </w:rPr>
      </w:pPr>
    </w:p>
    <w:p w:rsidR="00826E0F" w:rsidRPr="00872599" w:rsidRDefault="00815D6C" w:rsidP="00815D6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826E0F" w:rsidRPr="00872599">
        <w:rPr>
          <w:lang w:val="fr-FR"/>
        </w:rPr>
        <w:t xml:space="preserve">Prix du courage civil DemoGrazia </w:t>
      </w:r>
    </w:p>
    <w:p w:rsidR="00815D6C" w:rsidRPr="00815D6C" w:rsidRDefault="00815D6C" w:rsidP="00815D6C">
      <w:pPr>
        <w:pStyle w:val="SingleTxt"/>
        <w:spacing w:after="0" w:line="120" w:lineRule="exact"/>
        <w:rPr>
          <w:sz w:val="10"/>
          <w:lang w:val="fr-FR"/>
        </w:rPr>
      </w:pPr>
    </w:p>
    <w:p w:rsidR="00826E0F" w:rsidRPr="00872599" w:rsidRDefault="00815D6C" w:rsidP="00497599">
      <w:pPr>
        <w:pStyle w:val="SingleTxt"/>
        <w:rPr>
          <w:lang w:val="fr-FR"/>
        </w:rPr>
      </w:pPr>
      <w:r>
        <w:rPr>
          <w:lang w:val="fr-FR"/>
        </w:rPr>
        <w:tab/>
      </w:r>
      <w:r w:rsidR="00826E0F" w:rsidRPr="00872599">
        <w:rPr>
          <w:lang w:val="fr-FR"/>
        </w:rPr>
        <w:t>En novembre 2006, le premier prix du courage civil DemoGrazia a été attribué au Liechtenstein. Il s</w:t>
      </w:r>
      <w:r w:rsidR="006645B6">
        <w:rPr>
          <w:lang w:val="fr-FR"/>
        </w:rPr>
        <w:t>’</w:t>
      </w:r>
      <w:r w:rsidR="00826E0F" w:rsidRPr="00872599">
        <w:rPr>
          <w:lang w:val="fr-FR"/>
        </w:rPr>
        <w:t>agit d</w:t>
      </w:r>
      <w:r w:rsidR="006645B6">
        <w:rPr>
          <w:lang w:val="fr-FR"/>
        </w:rPr>
        <w:t>’</w:t>
      </w:r>
      <w:r w:rsidR="00826E0F" w:rsidRPr="00872599">
        <w:rPr>
          <w:lang w:val="fr-FR"/>
        </w:rPr>
        <w:t>une initiative que le réseau des femmes a prise pour célébrer le 20e anniversaire de l</w:t>
      </w:r>
      <w:r w:rsidR="006645B6">
        <w:rPr>
          <w:lang w:val="fr-FR"/>
        </w:rPr>
        <w:t>’</w:t>
      </w:r>
      <w:r w:rsidR="00826E0F" w:rsidRPr="00872599">
        <w:rPr>
          <w:lang w:val="fr-FR"/>
        </w:rPr>
        <w:t>octroi du droit de vote aux femmes (2004). Tous les trois ans, ce prix est décerné à des personnes qui ont fait la preuve au Liechtenstein de leur courage civil par leur engagement et leurs actes. Le prix, d</w:t>
      </w:r>
      <w:r w:rsidR="006645B6">
        <w:rPr>
          <w:lang w:val="fr-FR"/>
        </w:rPr>
        <w:t>’</w:t>
      </w:r>
      <w:r w:rsidR="00826E0F" w:rsidRPr="00872599">
        <w:rPr>
          <w:lang w:val="fr-FR"/>
        </w:rPr>
        <w:t xml:space="preserve">un montant de CHF </w:t>
      </w:r>
      <w:smartTag w:uri="urn:schemas-microsoft-com:office:smarttags" w:element="metricconverter">
        <w:smartTagPr>
          <w:attr w:name="ProductID" w:val="10ﾠ000, a"/>
        </w:smartTagPr>
        <w:r w:rsidR="00826E0F" w:rsidRPr="00872599">
          <w:rPr>
            <w:lang w:val="fr-FR"/>
          </w:rPr>
          <w:t>10 000, a</w:t>
        </w:r>
      </w:smartTag>
      <w:r w:rsidR="00826E0F" w:rsidRPr="00872599">
        <w:rPr>
          <w:lang w:val="fr-FR"/>
        </w:rPr>
        <w:t xml:space="preserve"> été décerné au groupe de travail sur les conflits liés aux grossesses pour son engagement en faveur de la dépénalisation de l</w:t>
      </w:r>
      <w:r w:rsidR="006645B6">
        <w:rPr>
          <w:lang w:val="fr-FR"/>
        </w:rPr>
        <w:t>’</w:t>
      </w:r>
      <w:r w:rsidR="00826E0F" w:rsidRPr="00872599">
        <w:rPr>
          <w:lang w:val="fr-FR"/>
        </w:rPr>
        <w:t>avortement au Liechtenstein. Le deuxième prix DemoGrazia sera attribué le 19 novembre 2009. Au total, les deux organisations ont soumis au jury les noms de huit personnes et groupes.</w:t>
      </w:r>
    </w:p>
    <w:p w:rsidR="00815D6C" w:rsidRPr="00815D6C" w:rsidRDefault="00815D6C" w:rsidP="00815D6C">
      <w:pPr>
        <w:pStyle w:val="SingleTxt"/>
        <w:spacing w:after="0" w:line="120" w:lineRule="exact"/>
        <w:rPr>
          <w:b/>
          <w:sz w:val="10"/>
          <w:lang w:val="fr-FR"/>
        </w:rPr>
      </w:pPr>
    </w:p>
    <w:p w:rsidR="00826E0F" w:rsidRPr="00872599" w:rsidRDefault="00815D6C" w:rsidP="00815D6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826E0F" w:rsidRPr="00872599">
        <w:rPr>
          <w:lang w:val="fr-FR"/>
        </w:rPr>
        <w:t>Les femmes et les finances</w:t>
      </w:r>
    </w:p>
    <w:p w:rsidR="00815D6C" w:rsidRPr="00815D6C" w:rsidRDefault="00815D6C" w:rsidP="00815D6C">
      <w:pPr>
        <w:pStyle w:val="SingleTxt"/>
        <w:spacing w:after="0" w:line="120" w:lineRule="exact"/>
        <w:rPr>
          <w:sz w:val="10"/>
          <w:lang w:val="fr-FR"/>
        </w:rPr>
      </w:pPr>
    </w:p>
    <w:p w:rsidR="00826E0F" w:rsidRPr="00872599" w:rsidRDefault="00815D6C" w:rsidP="00497599">
      <w:pPr>
        <w:pStyle w:val="SingleTxt"/>
        <w:rPr>
          <w:lang w:val="fr-FR"/>
        </w:rPr>
      </w:pPr>
      <w:r>
        <w:rPr>
          <w:lang w:val="fr-FR"/>
        </w:rPr>
        <w:tab/>
      </w:r>
      <w:r w:rsidR="00826E0F" w:rsidRPr="00872599">
        <w:rPr>
          <w:lang w:val="fr-FR"/>
        </w:rPr>
        <w:t xml:space="preserve">Plus de 120 femmes ont saisi la possibilité offerte par la conférence sur </w:t>
      </w:r>
      <w:r w:rsidR="00432049">
        <w:rPr>
          <w:lang w:val="fr-FR"/>
        </w:rPr>
        <w:t>« </w:t>
      </w:r>
      <w:r w:rsidR="00826E0F" w:rsidRPr="00872599">
        <w:rPr>
          <w:lang w:val="fr-FR"/>
        </w:rPr>
        <w:t>les femmes et les finances</w:t>
      </w:r>
      <w:r w:rsidR="006645B6">
        <w:rPr>
          <w:lang w:val="fr-FR"/>
        </w:rPr>
        <w:t xml:space="preserve"> » </w:t>
      </w:r>
      <w:r w:rsidR="00826E0F" w:rsidRPr="00872599">
        <w:rPr>
          <w:lang w:val="fr-FR"/>
        </w:rPr>
        <w:t>qui s</w:t>
      </w:r>
      <w:r w:rsidR="006645B6">
        <w:rPr>
          <w:lang w:val="fr-FR"/>
        </w:rPr>
        <w:t>’</w:t>
      </w:r>
      <w:r w:rsidR="00826E0F" w:rsidRPr="00872599">
        <w:rPr>
          <w:lang w:val="fr-FR"/>
        </w:rPr>
        <w:t>est tenue en novembre 2007 pour se renseigner sur les droits des femmes au sein de la famille en tant qu</w:t>
      </w:r>
      <w:r w:rsidR="006645B6">
        <w:rPr>
          <w:lang w:val="fr-FR"/>
        </w:rPr>
        <w:t>’</w:t>
      </w:r>
      <w:r w:rsidR="00826E0F" w:rsidRPr="00872599">
        <w:rPr>
          <w:lang w:val="fr-FR"/>
        </w:rPr>
        <w:t>employées d</w:t>
      </w:r>
      <w:r w:rsidR="006645B6">
        <w:rPr>
          <w:lang w:val="fr-FR"/>
        </w:rPr>
        <w:t>’</w:t>
      </w:r>
      <w:r w:rsidR="00826E0F" w:rsidRPr="00872599">
        <w:rPr>
          <w:lang w:val="fr-FR"/>
        </w:rPr>
        <w:t>une affaire familiale et dans le cas d</w:t>
      </w:r>
      <w:r w:rsidR="006645B6">
        <w:rPr>
          <w:lang w:val="fr-FR"/>
        </w:rPr>
        <w:t>’</w:t>
      </w:r>
      <w:r w:rsidR="00826E0F" w:rsidRPr="00872599">
        <w:rPr>
          <w:lang w:val="fr-FR"/>
        </w:rPr>
        <w:t>une succession. L</w:t>
      </w:r>
      <w:r w:rsidR="006645B6">
        <w:rPr>
          <w:lang w:val="fr-FR"/>
        </w:rPr>
        <w:t>’</w:t>
      </w:r>
      <w:r w:rsidR="00826E0F" w:rsidRPr="00872599">
        <w:rPr>
          <w:lang w:val="fr-FR"/>
        </w:rPr>
        <w:t>élément central de cette journée d</w:t>
      </w:r>
      <w:r w:rsidR="006645B6">
        <w:rPr>
          <w:lang w:val="fr-FR"/>
        </w:rPr>
        <w:t>’</w:t>
      </w:r>
      <w:r w:rsidR="00826E0F" w:rsidRPr="00872599">
        <w:rPr>
          <w:lang w:val="fr-FR"/>
        </w:rPr>
        <w:t>information a été une proposition présentée au Gouvernement par le réseau des femmes et par les femmes parlementaires en vue de la modification du droit successoral. De l</w:t>
      </w:r>
      <w:r w:rsidR="006645B6">
        <w:rPr>
          <w:lang w:val="fr-FR"/>
        </w:rPr>
        <w:t>’</w:t>
      </w:r>
      <w:r w:rsidR="00826E0F" w:rsidRPr="00872599">
        <w:rPr>
          <w:lang w:val="fr-FR"/>
        </w:rPr>
        <w:t xml:space="preserve">avis des signataires, le droit successoral devrait être dorénavant régi par le principe du partenariat, amener un renforcement de la situation de la conjointe survivante, être </w:t>
      </w:r>
      <w:r w:rsidR="00826E0F">
        <w:rPr>
          <w:lang w:val="fr-FR"/>
        </w:rPr>
        <w:t>moderne et contribuer à</w:t>
      </w:r>
      <w:r w:rsidR="00826E0F" w:rsidRPr="00872599">
        <w:rPr>
          <w:lang w:val="fr-FR"/>
        </w:rPr>
        <w:t xml:space="preserve"> une répartition équitable des biens. Lors de la conférence, cette proposition a été officiellement soumise au Ministre de la justice. Un autre élément du projet était constitué par plusieurs séances de formation à l</w:t>
      </w:r>
      <w:r w:rsidR="006645B6">
        <w:rPr>
          <w:lang w:val="fr-FR"/>
        </w:rPr>
        <w:t>’</w:t>
      </w:r>
      <w:r w:rsidR="00826E0F" w:rsidRPr="00872599">
        <w:rPr>
          <w:lang w:val="fr-FR"/>
        </w:rPr>
        <w:t>intention des femmes pour qu</w:t>
      </w:r>
      <w:r w:rsidR="006645B6">
        <w:rPr>
          <w:lang w:val="fr-FR"/>
        </w:rPr>
        <w:t>’</w:t>
      </w:r>
      <w:r w:rsidR="00826E0F" w:rsidRPr="00872599">
        <w:rPr>
          <w:lang w:val="fr-FR"/>
        </w:rPr>
        <w:t>elles renforcent la confiance en elles-mêmes dans le but de réclamer davantage de droits en ce qui concerne les finances familiales.</w:t>
      </w:r>
    </w:p>
    <w:p w:rsidR="00815D6C" w:rsidRPr="00815D6C" w:rsidRDefault="00815D6C" w:rsidP="00815D6C">
      <w:pPr>
        <w:pStyle w:val="SingleTxt"/>
        <w:spacing w:after="0" w:line="120" w:lineRule="exact"/>
        <w:rPr>
          <w:sz w:val="10"/>
          <w:lang w:val="fr-FR"/>
        </w:rPr>
      </w:pPr>
    </w:p>
    <w:p w:rsidR="00826E0F" w:rsidRPr="00872599" w:rsidRDefault="00815D6C" w:rsidP="00815D6C">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00826E0F" w:rsidRPr="00872599">
        <w:rPr>
          <w:lang w:val="fr-FR"/>
        </w:rPr>
        <w:t xml:space="preserve">d) </w:t>
      </w:r>
      <w:r w:rsidR="00826E0F" w:rsidRPr="00872599">
        <w:rPr>
          <w:lang w:val="fr-FR"/>
        </w:rPr>
        <w:tab/>
        <w:t>Établissement de réseaux transfrontières</w:t>
      </w:r>
    </w:p>
    <w:p w:rsidR="00815D6C" w:rsidRPr="00815D6C" w:rsidRDefault="00815D6C" w:rsidP="00815D6C">
      <w:pPr>
        <w:pStyle w:val="SingleTxt"/>
        <w:spacing w:after="0" w:line="120" w:lineRule="exact"/>
        <w:rPr>
          <w:i/>
          <w:sz w:val="10"/>
          <w:u w:val="single"/>
          <w:lang w:val="fr-FR"/>
        </w:rPr>
      </w:pPr>
    </w:p>
    <w:p w:rsidR="00826E0F" w:rsidRPr="00872599" w:rsidRDefault="00815D6C" w:rsidP="00497599">
      <w:pPr>
        <w:pStyle w:val="SingleTxt"/>
        <w:rPr>
          <w:lang w:val="fr-FR"/>
        </w:rPr>
      </w:pPr>
      <w:r>
        <w:rPr>
          <w:lang w:val="fr-FR"/>
        </w:rPr>
        <w:tab/>
      </w:r>
      <w:r w:rsidR="00826E0F" w:rsidRPr="00872599">
        <w:rPr>
          <w:lang w:val="fr-FR"/>
        </w:rPr>
        <w:t>Le Bureau de l</w:t>
      </w:r>
      <w:r w:rsidR="006645B6">
        <w:rPr>
          <w:lang w:val="fr-FR"/>
        </w:rPr>
        <w:t>’</w:t>
      </w:r>
      <w:r w:rsidR="00826E0F" w:rsidRPr="00872599">
        <w:rPr>
          <w:lang w:val="fr-FR"/>
        </w:rPr>
        <w:t xml:space="preserve">égalité </w:t>
      </w:r>
      <w:r w:rsidR="00826E0F">
        <w:rPr>
          <w:lang w:val="fr-FR"/>
        </w:rPr>
        <w:t>des chances a</w:t>
      </w:r>
      <w:r w:rsidR="00826E0F" w:rsidRPr="00872599">
        <w:rPr>
          <w:lang w:val="fr-FR"/>
        </w:rPr>
        <w:t xml:space="preserve"> établi un large éventail de contacts avec des organisations luttant pour l</w:t>
      </w:r>
      <w:r w:rsidR="006645B6">
        <w:rPr>
          <w:lang w:val="fr-FR"/>
        </w:rPr>
        <w:t>’</w:t>
      </w:r>
      <w:r w:rsidR="00826E0F" w:rsidRPr="00872599">
        <w:rPr>
          <w:lang w:val="fr-FR"/>
        </w:rPr>
        <w:t xml:space="preserve">égalité entre les sexes en Suisse et dans la province autrichienne limitrophe du Vorarlberg. Il y a lieu notamment de relever </w:t>
      </w:r>
      <w:smartTag w:uri="urn:schemas-microsoft-com:office:smarttags" w:element="PersonName">
        <w:smartTagPr>
          <w:attr w:name="ProductID" w:val="la Conf￩rence"/>
        </w:smartTagPr>
        <w:r w:rsidR="00826E0F" w:rsidRPr="00872599">
          <w:rPr>
            <w:lang w:val="fr-FR"/>
          </w:rPr>
          <w:t>la Conférence</w:t>
        </w:r>
      </w:smartTag>
      <w:r w:rsidR="00826E0F" w:rsidRPr="00872599">
        <w:rPr>
          <w:lang w:val="fr-FR"/>
        </w:rPr>
        <w:t xml:space="preserve"> sur l</w:t>
      </w:r>
      <w:r w:rsidR="006645B6">
        <w:rPr>
          <w:lang w:val="fr-FR"/>
        </w:rPr>
        <w:t>’</w:t>
      </w:r>
      <w:r w:rsidR="00826E0F" w:rsidRPr="00872599">
        <w:rPr>
          <w:lang w:val="fr-FR"/>
        </w:rPr>
        <w:t xml:space="preserve">égalité entre les sexes des cantons de </w:t>
      </w:r>
      <w:smartTag w:uri="urn:schemas-microsoft-com:office:smarttags" w:element="PersonName">
        <w:smartTagPr>
          <w:attr w:name="ProductID" w:val="la Suisse"/>
        </w:smartTagPr>
        <w:r w:rsidR="00826E0F" w:rsidRPr="00872599">
          <w:rPr>
            <w:lang w:val="fr-FR"/>
          </w:rPr>
          <w:t>la Suisse</w:t>
        </w:r>
      </w:smartTag>
      <w:r w:rsidR="00826E0F" w:rsidRPr="00872599">
        <w:rPr>
          <w:lang w:val="fr-FR"/>
        </w:rPr>
        <w:t xml:space="preserve"> orientale et de la principauté du Liechtenstein, dans le cadre de laquelle 21 institutions se réunissent régulièrement pour confronter des informations et des données d</w:t>
      </w:r>
      <w:r w:rsidR="006645B6">
        <w:rPr>
          <w:lang w:val="fr-FR"/>
        </w:rPr>
        <w:t>’</w:t>
      </w:r>
      <w:r w:rsidR="00826E0F" w:rsidRPr="00872599">
        <w:rPr>
          <w:lang w:val="fr-FR"/>
        </w:rPr>
        <w:t xml:space="preserve">expérience, </w:t>
      </w:r>
      <w:smartTag w:uri="urn:schemas-microsoft-com:office:smarttags" w:element="PersonName">
        <w:smartTagPr>
          <w:attr w:name="ProductID" w:val="la Conf￩rence"/>
        </w:smartTagPr>
        <w:r w:rsidR="00826E0F" w:rsidRPr="00872599">
          <w:rPr>
            <w:lang w:val="fr-FR"/>
          </w:rPr>
          <w:t>la Conférence</w:t>
        </w:r>
      </w:smartTag>
      <w:r w:rsidR="00826E0F" w:rsidRPr="00872599">
        <w:rPr>
          <w:lang w:val="fr-FR"/>
        </w:rPr>
        <w:t xml:space="preserve"> fédérale sur l</w:t>
      </w:r>
      <w:r w:rsidR="006645B6">
        <w:rPr>
          <w:lang w:val="fr-FR"/>
        </w:rPr>
        <w:t>’</w:t>
      </w:r>
      <w:r w:rsidR="00826E0F" w:rsidRPr="00872599">
        <w:rPr>
          <w:lang w:val="fr-FR"/>
        </w:rPr>
        <w:t>égalité entre les sexes des bureaux publics pour l</w:t>
      </w:r>
      <w:r w:rsidR="006645B6">
        <w:rPr>
          <w:lang w:val="fr-FR"/>
        </w:rPr>
        <w:t>’</w:t>
      </w:r>
      <w:r w:rsidR="00826E0F" w:rsidRPr="00872599">
        <w:rPr>
          <w:lang w:val="fr-FR"/>
        </w:rPr>
        <w:t>égalité entre femmes et hommes de la confédération, des cantons et des villes de Suisse à laquelle le Bureau de l</w:t>
      </w:r>
      <w:r w:rsidR="006645B6">
        <w:rPr>
          <w:lang w:val="fr-FR"/>
        </w:rPr>
        <w:t>’</w:t>
      </w:r>
      <w:r w:rsidR="00826E0F" w:rsidRPr="00872599">
        <w:rPr>
          <w:lang w:val="fr-FR"/>
        </w:rPr>
        <w:t>égalité des chances participe en tant qu</w:t>
      </w:r>
      <w:r w:rsidR="006645B6">
        <w:rPr>
          <w:lang w:val="fr-FR"/>
        </w:rPr>
        <w:t>’</w:t>
      </w:r>
      <w:r w:rsidR="00826E0F" w:rsidRPr="00872599">
        <w:rPr>
          <w:lang w:val="fr-FR"/>
        </w:rPr>
        <w:t>observateur et les projets Interreg avec le canton de St. Gall et la province du Vorarlberg. Ces réseaux transfrontières présentent l</w:t>
      </w:r>
      <w:r w:rsidR="006645B6">
        <w:rPr>
          <w:lang w:val="fr-FR"/>
        </w:rPr>
        <w:t>’</w:t>
      </w:r>
      <w:r w:rsidR="00826E0F" w:rsidRPr="00872599">
        <w:rPr>
          <w:lang w:val="fr-FR"/>
        </w:rPr>
        <w:t>avantage de constituer pour les pouvoirs publics un moyen de travail et de communication précieux qui facilite leur travail en en améliorant la qualité</w:t>
      </w:r>
      <w:r w:rsidR="006645B6">
        <w:rPr>
          <w:lang w:val="fr-FR"/>
        </w:rPr>
        <w:t>;</w:t>
      </w:r>
      <w:r w:rsidR="00826E0F" w:rsidRPr="00872599">
        <w:rPr>
          <w:lang w:val="fr-FR"/>
        </w:rPr>
        <w:t xml:space="preserve"> les contacts ainsi établis sont également à l</w:t>
      </w:r>
      <w:r w:rsidR="006645B6">
        <w:rPr>
          <w:lang w:val="fr-FR"/>
        </w:rPr>
        <w:t>’</w:t>
      </w:r>
      <w:r w:rsidR="00826E0F" w:rsidRPr="00872599">
        <w:rPr>
          <w:lang w:val="fr-FR"/>
        </w:rPr>
        <w:t xml:space="preserve">origine de nouveaux projets qui rendent plus facilement accessibles les offres existantes. La coopération transfrontières favorise les échanges internationaux sur les multiplicateurs disponibles dans divers domaines de compétence. Dans le projet </w:t>
      </w:r>
      <w:r w:rsidR="00432049">
        <w:rPr>
          <w:lang w:val="fr-FR"/>
        </w:rPr>
        <w:t>« </w:t>
      </w:r>
      <w:r w:rsidR="00826E0F" w:rsidRPr="00872599">
        <w:rPr>
          <w:lang w:val="fr-FR"/>
        </w:rPr>
        <w:t>La vie des femmes au-delà de la cinquantaine</w:t>
      </w:r>
      <w:r w:rsidR="006645B6">
        <w:rPr>
          <w:lang w:val="fr-FR"/>
        </w:rPr>
        <w:t> »</w:t>
      </w:r>
      <w:r w:rsidR="00826E0F" w:rsidRPr="00872599">
        <w:rPr>
          <w:lang w:val="fr-FR"/>
        </w:rPr>
        <w:t xml:space="preserve"> décrit plus bas, on relève parmi ces multiplicateurs les représentants des organisations gouvernementales et non gouvernementales </w:t>
      </w:r>
      <w:r w:rsidR="00CC772D" w:rsidRPr="00872599">
        <w:rPr>
          <w:lang w:val="fr-FR"/>
        </w:rPr>
        <w:t>œuvrant</w:t>
      </w:r>
      <w:r w:rsidR="00826E0F" w:rsidRPr="00872599">
        <w:rPr>
          <w:lang w:val="fr-FR"/>
        </w:rPr>
        <w:t xml:space="preserve"> dans les domaines de la santé, des affaires sociales et de l</w:t>
      </w:r>
      <w:r w:rsidR="006645B6">
        <w:rPr>
          <w:lang w:val="fr-FR"/>
        </w:rPr>
        <w:t>’</w:t>
      </w:r>
      <w:r w:rsidR="00826E0F" w:rsidRPr="00872599">
        <w:rPr>
          <w:lang w:val="fr-FR"/>
        </w:rPr>
        <w:t>emp</w:t>
      </w:r>
      <w:r>
        <w:rPr>
          <w:lang w:val="fr-FR"/>
        </w:rPr>
        <w:t>l</w:t>
      </w:r>
      <w:r w:rsidR="00826E0F" w:rsidRPr="00872599">
        <w:rPr>
          <w:lang w:val="fr-FR"/>
        </w:rPr>
        <w:t>oi.</w:t>
      </w:r>
    </w:p>
    <w:p w:rsidR="00826E0F" w:rsidRPr="00872599" w:rsidRDefault="00815D6C" w:rsidP="00497599">
      <w:pPr>
        <w:pStyle w:val="SingleTxt"/>
        <w:rPr>
          <w:lang w:val="fr-FR"/>
        </w:rPr>
      </w:pPr>
      <w:r>
        <w:rPr>
          <w:lang w:val="fr-FR"/>
        </w:rPr>
        <w:tab/>
      </w:r>
      <w:r w:rsidR="00826E0F" w:rsidRPr="00872599">
        <w:rPr>
          <w:lang w:val="fr-FR"/>
        </w:rPr>
        <w:t>Pendant la période considérée, on a poursuivi l</w:t>
      </w:r>
      <w:r w:rsidR="006645B6">
        <w:rPr>
          <w:lang w:val="fr-FR"/>
        </w:rPr>
        <w:t>’</w:t>
      </w:r>
      <w:r w:rsidR="00826E0F" w:rsidRPr="00872599">
        <w:rPr>
          <w:lang w:val="fr-FR"/>
        </w:rPr>
        <w:t>exécution ou procédé au lancement des projets transfrontières ci-après</w:t>
      </w:r>
      <w:r w:rsidR="00C04160">
        <w:t xml:space="preserve"> </w:t>
      </w:r>
      <w:r w:rsidR="00826E0F" w:rsidRPr="00872599">
        <w:rPr>
          <w:lang w:val="fr-FR"/>
        </w:rPr>
        <w:t>:</w:t>
      </w:r>
    </w:p>
    <w:p w:rsidR="00815D6C" w:rsidRPr="00815D6C" w:rsidRDefault="00815D6C" w:rsidP="00815D6C">
      <w:pPr>
        <w:pStyle w:val="SingleTxt"/>
        <w:spacing w:after="0" w:line="120" w:lineRule="exact"/>
        <w:rPr>
          <w:b/>
          <w:sz w:val="10"/>
          <w:lang w:val="fr-FR"/>
        </w:rPr>
      </w:pPr>
    </w:p>
    <w:p w:rsidR="00826E0F" w:rsidRPr="00872599" w:rsidRDefault="00815D6C" w:rsidP="00815D6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826E0F" w:rsidRPr="00872599">
        <w:rPr>
          <w:lang w:val="fr-FR"/>
        </w:rPr>
        <w:t xml:space="preserve">Projet Interreg </w:t>
      </w:r>
      <w:r w:rsidR="00432049">
        <w:rPr>
          <w:lang w:val="fr-FR"/>
        </w:rPr>
        <w:t>« </w:t>
      </w:r>
      <w:r w:rsidR="00826E0F" w:rsidRPr="00872599">
        <w:rPr>
          <w:lang w:val="fr-FR"/>
        </w:rPr>
        <w:t>Ländergender</w:t>
      </w:r>
      <w:r w:rsidR="00A03470">
        <w:rPr>
          <w:lang w:val="fr-FR"/>
        </w:rPr>
        <w:t> </w:t>
      </w:r>
      <w:r w:rsidR="00826E0F" w:rsidRPr="00872599">
        <w:rPr>
          <w:lang w:val="fr-FR"/>
        </w:rPr>
        <w:t xml:space="preserve">» </w:t>
      </w:r>
    </w:p>
    <w:p w:rsidR="00815D6C" w:rsidRPr="00815D6C" w:rsidRDefault="00815D6C" w:rsidP="00815D6C">
      <w:pPr>
        <w:pStyle w:val="SingleTxt"/>
        <w:spacing w:after="0" w:line="120" w:lineRule="exact"/>
        <w:rPr>
          <w:sz w:val="10"/>
          <w:lang w:val="fr-FR"/>
        </w:rPr>
      </w:pPr>
    </w:p>
    <w:p w:rsidR="00826E0F" w:rsidRPr="00872599" w:rsidRDefault="00815D6C" w:rsidP="00497599">
      <w:pPr>
        <w:pStyle w:val="SingleTxt"/>
        <w:rPr>
          <w:lang w:val="fr-FR"/>
        </w:rPr>
      </w:pPr>
      <w:r>
        <w:rPr>
          <w:lang w:val="fr-FR"/>
        </w:rPr>
        <w:tab/>
      </w:r>
      <w:r w:rsidR="00826E0F" w:rsidRPr="00872599">
        <w:rPr>
          <w:lang w:val="fr-FR"/>
        </w:rPr>
        <w:t xml:space="preserve">Pour aider à rendre plus viable le projet Interreg </w:t>
      </w:r>
      <w:r w:rsidR="00C04160">
        <w:rPr>
          <w:lang w:val="fr-FR"/>
        </w:rPr>
        <w:t>« </w:t>
      </w:r>
      <w:r w:rsidR="00826E0F" w:rsidRPr="00872599">
        <w:rPr>
          <w:lang w:val="fr-FR"/>
        </w:rPr>
        <w:t>Ländergender</w:t>
      </w:r>
      <w:r w:rsidR="00C04160">
        <w:rPr>
          <w:lang w:val="fr-FR"/>
        </w:rPr>
        <w:t> </w:t>
      </w:r>
      <w:r w:rsidR="00826E0F" w:rsidRPr="00872599">
        <w:rPr>
          <w:lang w:val="fr-FR"/>
        </w:rPr>
        <w:t>»</w:t>
      </w:r>
      <w:r w:rsidR="006645B6">
        <w:rPr>
          <w:lang w:val="fr-FR"/>
        </w:rPr>
        <w:t xml:space="preserve"> </w:t>
      </w:r>
      <w:r w:rsidR="00826E0F" w:rsidRPr="00872599">
        <w:rPr>
          <w:lang w:val="fr-FR"/>
        </w:rPr>
        <w:t>(2004-2006), qui porte essentiellement sur la prise en compte des questions de parité dans les administrations de la province autrichienne du Vorarlberg et au Liechtenstein, une directive sur la prise en compte des questions de parité a été publié sur l</w:t>
      </w:r>
      <w:r w:rsidR="006645B6">
        <w:rPr>
          <w:lang w:val="fr-FR"/>
        </w:rPr>
        <w:t>’</w:t>
      </w:r>
      <w:r w:rsidR="00826E0F" w:rsidRPr="00872599">
        <w:rPr>
          <w:lang w:val="fr-FR"/>
        </w:rPr>
        <w:t>intranet des deux administrations.</w:t>
      </w:r>
    </w:p>
    <w:p w:rsidR="00815D6C" w:rsidRPr="00815D6C" w:rsidRDefault="00815D6C" w:rsidP="00815D6C">
      <w:pPr>
        <w:pStyle w:val="SingleTxt"/>
        <w:spacing w:after="0" w:line="120" w:lineRule="exact"/>
        <w:rPr>
          <w:b/>
          <w:sz w:val="10"/>
          <w:lang w:val="fr-FR"/>
        </w:rPr>
      </w:pPr>
    </w:p>
    <w:p w:rsidR="00826E0F" w:rsidRPr="00872599" w:rsidRDefault="00815D6C" w:rsidP="00815D6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826E0F" w:rsidRPr="00872599">
        <w:rPr>
          <w:lang w:val="fr-FR"/>
        </w:rPr>
        <w:t>Série d</w:t>
      </w:r>
      <w:r w:rsidR="006645B6">
        <w:rPr>
          <w:lang w:val="fr-FR"/>
        </w:rPr>
        <w:t>’</w:t>
      </w:r>
      <w:r w:rsidR="00826E0F" w:rsidRPr="00872599">
        <w:rPr>
          <w:lang w:val="fr-FR"/>
        </w:rPr>
        <w:t>événements pour l</w:t>
      </w:r>
      <w:r w:rsidR="006645B6">
        <w:rPr>
          <w:lang w:val="fr-FR"/>
        </w:rPr>
        <w:t>’</w:t>
      </w:r>
      <w:r w:rsidR="00826E0F" w:rsidRPr="00872599">
        <w:rPr>
          <w:lang w:val="fr-FR"/>
        </w:rPr>
        <w:t>établissement de réseaux de femmes</w:t>
      </w:r>
    </w:p>
    <w:p w:rsidR="00815D6C" w:rsidRPr="00815D6C" w:rsidRDefault="00815D6C" w:rsidP="00815D6C">
      <w:pPr>
        <w:pStyle w:val="SingleTxt"/>
        <w:spacing w:after="0" w:line="120" w:lineRule="exact"/>
        <w:rPr>
          <w:sz w:val="10"/>
          <w:lang w:val="fr-FR"/>
        </w:rPr>
      </w:pPr>
    </w:p>
    <w:p w:rsidR="00826E0F" w:rsidRPr="00872599" w:rsidRDefault="00815D6C" w:rsidP="00497599">
      <w:pPr>
        <w:pStyle w:val="SingleTxt"/>
        <w:rPr>
          <w:lang w:val="fr-FR"/>
        </w:rPr>
      </w:pPr>
      <w:r>
        <w:rPr>
          <w:lang w:val="fr-FR"/>
        </w:rPr>
        <w:tab/>
      </w:r>
      <w:r w:rsidR="00826E0F" w:rsidRPr="00872599">
        <w:rPr>
          <w:lang w:val="fr-FR"/>
        </w:rPr>
        <w:t>Une série d</w:t>
      </w:r>
      <w:r w:rsidR="006645B6">
        <w:rPr>
          <w:lang w:val="fr-FR"/>
        </w:rPr>
        <w:t>’</w:t>
      </w:r>
      <w:r w:rsidR="00826E0F" w:rsidRPr="00872599">
        <w:rPr>
          <w:lang w:val="fr-FR"/>
        </w:rPr>
        <w:t>événements pour l</w:t>
      </w:r>
      <w:r w:rsidR="006645B6">
        <w:rPr>
          <w:lang w:val="fr-FR"/>
        </w:rPr>
        <w:t>’</w:t>
      </w:r>
      <w:r w:rsidR="00826E0F" w:rsidRPr="00872599">
        <w:rPr>
          <w:lang w:val="fr-FR"/>
        </w:rPr>
        <w:t>établissement de réseaux de femmes s</w:t>
      </w:r>
      <w:r w:rsidR="006645B6">
        <w:rPr>
          <w:lang w:val="fr-FR"/>
        </w:rPr>
        <w:t>’</w:t>
      </w:r>
      <w:r w:rsidR="00826E0F" w:rsidRPr="00872599">
        <w:rPr>
          <w:lang w:val="fr-FR"/>
        </w:rPr>
        <w:t xml:space="preserve">est déroulé dans les trois régions participantes du Vorarlberg, de St. Gall et du Liechtenstein. Un événement a été organisé dans ce domaine </w:t>
      </w:r>
      <w:r w:rsidR="00826E0F">
        <w:rPr>
          <w:lang w:val="fr-FR"/>
        </w:rPr>
        <w:t xml:space="preserve">au </w:t>
      </w:r>
      <w:r w:rsidR="00826E0F" w:rsidRPr="00872599">
        <w:rPr>
          <w:lang w:val="fr-FR"/>
        </w:rPr>
        <w:t>Liechtenstein en 2006 et un autre à St. Gall en 2007. Entre 60 et 120 femmes de la région ont participé à ces réunions d</w:t>
      </w:r>
      <w:r w:rsidR="006645B6">
        <w:rPr>
          <w:lang w:val="fr-FR"/>
        </w:rPr>
        <w:t>’</w:t>
      </w:r>
      <w:r w:rsidR="00826E0F" w:rsidRPr="00872599">
        <w:rPr>
          <w:lang w:val="fr-FR"/>
        </w:rPr>
        <w:t>établissement de réseaux.</w:t>
      </w:r>
    </w:p>
    <w:p w:rsidR="00815D6C" w:rsidRPr="00815D6C" w:rsidRDefault="00815D6C" w:rsidP="00815D6C">
      <w:pPr>
        <w:pStyle w:val="SingleTxt"/>
        <w:spacing w:after="0" w:line="120" w:lineRule="exact"/>
        <w:rPr>
          <w:b/>
          <w:sz w:val="10"/>
          <w:lang w:val="fr-FR"/>
        </w:rPr>
      </w:pPr>
    </w:p>
    <w:p w:rsidR="00826E0F" w:rsidRPr="00872599" w:rsidRDefault="00815D6C" w:rsidP="00815D6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826E0F" w:rsidRPr="00872599">
        <w:rPr>
          <w:lang w:val="fr-FR"/>
        </w:rPr>
        <w:t>Le projet Interreg</w:t>
      </w:r>
      <w:r w:rsidR="00C04160">
        <w:rPr>
          <w:lang w:val="fr-FR"/>
        </w:rPr>
        <w:t xml:space="preserve"> « </w:t>
      </w:r>
      <w:r w:rsidR="00826E0F" w:rsidRPr="00872599">
        <w:rPr>
          <w:lang w:val="fr-FR"/>
        </w:rPr>
        <w:t>La vie des femmes après la cinquantaine</w:t>
      </w:r>
      <w:r w:rsidR="00C04160">
        <w:rPr>
          <w:lang w:val="fr-FR"/>
        </w:rPr>
        <w:t> </w:t>
      </w:r>
      <w:r w:rsidR="00826E0F" w:rsidRPr="00872599">
        <w:rPr>
          <w:lang w:val="fr-FR"/>
        </w:rPr>
        <w:t xml:space="preserve">» </w:t>
      </w:r>
    </w:p>
    <w:p w:rsidR="00815D6C" w:rsidRPr="00815D6C" w:rsidRDefault="00815D6C" w:rsidP="00815D6C">
      <w:pPr>
        <w:pStyle w:val="SingleTxt"/>
        <w:spacing w:after="0" w:line="120" w:lineRule="exact"/>
        <w:rPr>
          <w:sz w:val="10"/>
          <w:lang w:val="fr-FR"/>
        </w:rPr>
      </w:pPr>
    </w:p>
    <w:p w:rsidR="00826E0F" w:rsidRPr="00872599" w:rsidRDefault="00815D6C" w:rsidP="00497599">
      <w:pPr>
        <w:pStyle w:val="SingleTxt"/>
        <w:rPr>
          <w:lang w:val="fr-FR"/>
        </w:rPr>
      </w:pPr>
      <w:r>
        <w:rPr>
          <w:lang w:val="fr-FR"/>
        </w:rPr>
        <w:tab/>
      </w:r>
      <w:r w:rsidR="00826E0F" w:rsidRPr="00872599">
        <w:rPr>
          <w:lang w:val="fr-FR"/>
        </w:rPr>
        <w:t xml:space="preserve">En février 2006, le Gouvernement a décidé de </w:t>
      </w:r>
      <w:r w:rsidR="00826E0F">
        <w:rPr>
          <w:lang w:val="fr-FR"/>
        </w:rPr>
        <w:t xml:space="preserve">mener à bien </w:t>
      </w:r>
      <w:r w:rsidR="00826E0F" w:rsidRPr="00872599">
        <w:rPr>
          <w:lang w:val="fr-FR"/>
        </w:rPr>
        <w:t xml:space="preserve">le projet Interreg </w:t>
      </w:r>
      <w:r w:rsidR="00432049">
        <w:rPr>
          <w:lang w:val="fr-FR"/>
        </w:rPr>
        <w:t>« </w:t>
      </w:r>
      <w:r w:rsidR="00826E0F" w:rsidRPr="00872599">
        <w:rPr>
          <w:lang w:val="fr-FR"/>
        </w:rPr>
        <w:t>La vie des femmes après la cinquantaine»</w:t>
      </w:r>
      <w:r w:rsidR="006645B6">
        <w:rPr>
          <w:lang w:val="fr-FR"/>
        </w:rPr>
        <w:t xml:space="preserve"> </w:t>
      </w:r>
      <w:r w:rsidR="00826E0F" w:rsidRPr="00872599">
        <w:rPr>
          <w:lang w:val="fr-FR"/>
        </w:rPr>
        <w:t>de concert avec St. Gall et Vorarlberg. Le projet s</w:t>
      </w:r>
      <w:r w:rsidR="006645B6">
        <w:rPr>
          <w:lang w:val="fr-FR"/>
        </w:rPr>
        <w:t>’</w:t>
      </w:r>
      <w:r w:rsidR="00826E0F" w:rsidRPr="00872599">
        <w:rPr>
          <w:lang w:val="fr-FR"/>
        </w:rPr>
        <w:t>est achevé en avril 2008 par la publication d</w:t>
      </w:r>
      <w:r w:rsidR="006645B6">
        <w:rPr>
          <w:lang w:val="fr-FR"/>
        </w:rPr>
        <w:t>’</w:t>
      </w:r>
      <w:r w:rsidR="00826E0F" w:rsidRPr="00872599">
        <w:rPr>
          <w:lang w:val="fr-FR"/>
        </w:rPr>
        <w:t>un rapport de recherche transfrontières sur les aspects pertinents de la situation des femmes âgées par rapport à celle des hommes âgés et d</w:t>
      </w:r>
      <w:r w:rsidR="006645B6">
        <w:rPr>
          <w:lang w:val="fr-FR"/>
        </w:rPr>
        <w:t>’</w:t>
      </w:r>
      <w:r w:rsidR="00826E0F" w:rsidRPr="00872599">
        <w:rPr>
          <w:lang w:val="fr-FR"/>
        </w:rPr>
        <w:t>un catalogue de mesures recommandées.</w:t>
      </w:r>
    </w:p>
    <w:p w:rsidR="00826E0F" w:rsidRPr="00872599" w:rsidRDefault="00815D6C" w:rsidP="00497599">
      <w:pPr>
        <w:pStyle w:val="SingleTxt"/>
        <w:rPr>
          <w:lang w:val="fr-FR"/>
        </w:rPr>
      </w:pPr>
      <w:r>
        <w:rPr>
          <w:lang w:val="fr-FR"/>
        </w:rPr>
        <w:tab/>
      </w:r>
      <w:r w:rsidR="00826E0F" w:rsidRPr="00872599">
        <w:rPr>
          <w:lang w:val="fr-FR"/>
        </w:rPr>
        <w:t>Cette étude a porté sur la situation des femmes de plus de cinquante ans par rapport aux hommes appartenant au même groupe d</w:t>
      </w:r>
      <w:r w:rsidR="006645B6">
        <w:rPr>
          <w:lang w:val="fr-FR"/>
        </w:rPr>
        <w:t>’</w:t>
      </w:r>
      <w:r w:rsidR="00826E0F" w:rsidRPr="00872599">
        <w:rPr>
          <w:lang w:val="fr-FR"/>
        </w:rPr>
        <w:t>âge et à l</w:t>
      </w:r>
      <w:r w:rsidR="006645B6">
        <w:rPr>
          <w:lang w:val="fr-FR"/>
        </w:rPr>
        <w:t>’</w:t>
      </w:r>
      <w:r w:rsidR="00826E0F" w:rsidRPr="00872599">
        <w:rPr>
          <w:lang w:val="fr-FR"/>
        </w:rPr>
        <w:t>ensemble de la population. Des écarts frappants sont effectivement apparus du fait notamment que les femmes de cette génération n</w:t>
      </w:r>
      <w:r w:rsidR="006645B6">
        <w:rPr>
          <w:lang w:val="fr-FR"/>
        </w:rPr>
        <w:t>’</w:t>
      </w:r>
      <w:r w:rsidR="00826E0F" w:rsidRPr="00872599">
        <w:rPr>
          <w:lang w:val="fr-FR"/>
        </w:rPr>
        <w:t>avaient pas eu les mêmes possibilités scolaires et professionnelles que les hommes. Par ailleurs les femmes de ce groupe d</w:t>
      </w:r>
      <w:r w:rsidR="006645B6">
        <w:rPr>
          <w:lang w:val="fr-FR"/>
        </w:rPr>
        <w:t>’</w:t>
      </w:r>
      <w:r w:rsidR="00826E0F" w:rsidRPr="00872599">
        <w:rPr>
          <w:lang w:val="fr-FR"/>
        </w:rPr>
        <w:t>âge s</w:t>
      </w:r>
      <w:r w:rsidR="006645B6">
        <w:rPr>
          <w:lang w:val="fr-FR"/>
        </w:rPr>
        <w:t>’</w:t>
      </w:r>
      <w:r w:rsidR="00826E0F" w:rsidRPr="00872599">
        <w:rPr>
          <w:lang w:val="fr-FR"/>
        </w:rPr>
        <w:t>occupent beaucoup des membres de la famille ce qui peut entraîner une surcharge de travail; en raison de leur espérance de vie plus longue, les femmes risquent également davantage de se retrouver dans une situation d</w:t>
      </w:r>
      <w:r w:rsidR="006645B6">
        <w:rPr>
          <w:lang w:val="fr-FR"/>
        </w:rPr>
        <w:t>’</w:t>
      </w:r>
      <w:r w:rsidR="00826E0F" w:rsidRPr="00872599">
        <w:rPr>
          <w:lang w:val="fr-FR"/>
        </w:rPr>
        <w:t>isolement social.</w:t>
      </w:r>
    </w:p>
    <w:p w:rsidR="00826E0F" w:rsidRPr="00872599" w:rsidRDefault="00815D6C" w:rsidP="00497599">
      <w:pPr>
        <w:pStyle w:val="SingleTxt"/>
        <w:rPr>
          <w:lang w:val="fr-FR"/>
        </w:rPr>
      </w:pPr>
      <w:r>
        <w:rPr>
          <w:lang w:val="fr-FR"/>
        </w:rPr>
        <w:tab/>
      </w:r>
      <w:r w:rsidR="00826E0F" w:rsidRPr="00872599">
        <w:rPr>
          <w:lang w:val="fr-FR"/>
        </w:rPr>
        <w:t>Le catalogue des mesures recommandées a été établi en automne 2007 lors de trois ateliers consécutifs réunissant des experts venus du Vorarlberg, du Liechtenstein et de St. Gall</w:t>
      </w:r>
      <w:r w:rsidR="00826E0F">
        <w:rPr>
          <w:lang w:val="fr-FR"/>
        </w:rPr>
        <w:t>,</w:t>
      </w:r>
      <w:r w:rsidR="00826E0F" w:rsidRPr="00872599">
        <w:rPr>
          <w:lang w:val="fr-FR"/>
        </w:rPr>
        <w:t xml:space="preserve"> spécialistes des moyens d</w:t>
      </w:r>
      <w:r w:rsidR="006645B6">
        <w:rPr>
          <w:lang w:val="fr-FR"/>
        </w:rPr>
        <w:t>’</w:t>
      </w:r>
      <w:r w:rsidR="00826E0F" w:rsidRPr="00872599">
        <w:rPr>
          <w:lang w:val="fr-FR"/>
        </w:rPr>
        <w:t>existence, de la santé, des soins aux personnes et de l</w:t>
      </w:r>
      <w:r w:rsidR="006645B6">
        <w:rPr>
          <w:lang w:val="fr-FR"/>
        </w:rPr>
        <w:t>’</w:t>
      </w:r>
      <w:r w:rsidR="00826E0F" w:rsidRPr="00872599">
        <w:rPr>
          <w:lang w:val="fr-FR"/>
        </w:rPr>
        <w:t>économie. On y trouve des mesures relatives aux moyens de subsistance/moyen financiers, à l</w:t>
      </w:r>
      <w:r w:rsidR="006645B6">
        <w:rPr>
          <w:lang w:val="fr-FR"/>
        </w:rPr>
        <w:t>’</w:t>
      </w:r>
      <w:r w:rsidR="00826E0F" w:rsidRPr="00872599">
        <w:rPr>
          <w:lang w:val="fr-FR"/>
        </w:rPr>
        <w:t>emploi, à la santé et aux soins accordés aux membres de la famille. Ce catalogue a été adressé aux bureaux intéressés.</w:t>
      </w:r>
    </w:p>
    <w:p w:rsidR="00815D6C" w:rsidRPr="00815D6C" w:rsidRDefault="00815D6C" w:rsidP="00815D6C">
      <w:pPr>
        <w:pStyle w:val="SingleTxt"/>
        <w:spacing w:after="0" w:line="120" w:lineRule="exact"/>
        <w:rPr>
          <w:b/>
          <w:sz w:val="10"/>
          <w:lang w:val="fr-FR"/>
        </w:rPr>
      </w:pPr>
    </w:p>
    <w:p w:rsidR="00826E0F" w:rsidRPr="00872599" w:rsidRDefault="00815D6C" w:rsidP="00815D6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826E0F" w:rsidRPr="00872599">
        <w:rPr>
          <w:lang w:val="fr-FR"/>
        </w:rPr>
        <w:t xml:space="preserve">Médecine différenciée selon le sexe </w:t>
      </w:r>
    </w:p>
    <w:p w:rsidR="00815D6C" w:rsidRPr="00815D6C" w:rsidRDefault="00815D6C" w:rsidP="00815D6C">
      <w:pPr>
        <w:pStyle w:val="SingleTxt"/>
        <w:spacing w:after="0" w:line="120" w:lineRule="exact"/>
        <w:rPr>
          <w:sz w:val="10"/>
          <w:lang w:val="fr-FR"/>
        </w:rPr>
      </w:pPr>
    </w:p>
    <w:p w:rsidR="00826E0F" w:rsidRPr="00872599" w:rsidRDefault="00815D6C" w:rsidP="00497599">
      <w:pPr>
        <w:pStyle w:val="SingleTxt"/>
        <w:rPr>
          <w:lang w:val="fr-FR"/>
        </w:rPr>
      </w:pPr>
      <w:r>
        <w:rPr>
          <w:lang w:val="fr-FR"/>
        </w:rPr>
        <w:tab/>
      </w:r>
      <w:r w:rsidR="00826E0F" w:rsidRPr="00872599">
        <w:rPr>
          <w:lang w:val="fr-FR"/>
        </w:rPr>
        <w:t xml:space="preserve">Entre septembre 2007 et mars 2008, une série de rencontres sur la médecine différenciée selon le sexe intitulée </w:t>
      </w:r>
      <w:r w:rsidR="00C04160">
        <w:rPr>
          <w:lang w:val="fr-FR"/>
        </w:rPr>
        <w:t>« </w:t>
      </w:r>
      <w:r w:rsidR="00826E0F">
        <w:rPr>
          <w:lang w:val="fr-FR"/>
        </w:rPr>
        <w:t>Santé femmes-hommes</w:t>
      </w:r>
      <w:r w:rsidR="006645B6">
        <w:rPr>
          <w:lang w:val="fr-FR"/>
        </w:rPr>
        <w:t xml:space="preserve"> » </w:t>
      </w:r>
      <w:r w:rsidR="00826E0F" w:rsidRPr="00872599">
        <w:rPr>
          <w:lang w:val="fr-FR"/>
        </w:rPr>
        <w:t>a été organisée à Chur, Vaduz, Herisau, St. Gall et Bregenz. Ces rencontres ont été organisées par les bureaux de l</w:t>
      </w:r>
      <w:r w:rsidR="006645B6">
        <w:rPr>
          <w:lang w:val="fr-FR"/>
        </w:rPr>
        <w:t>’</w:t>
      </w:r>
      <w:r w:rsidR="00826E0F" w:rsidRPr="00872599">
        <w:rPr>
          <w:lang w:val="fr-FR"/>
        </w:rPr>
        <w:t>égalité des chances du Liechtenstein, des cantons suisses de St. Gall, Appenzell, Ausserrhoden et Graubünden et de la province autrichienne du Vorarlberg dans le cadre d</w:t>
      </w:r>
      <w:r w:rsidR="006645B6">
        <w:rPr>
          <w:lang w:val="fr-FR"/>
        </w:rPr>
        <w:t>’</w:t>
      </w:r>
      <w:r w:rsidR="00826E0F" w:rsidRPr="00872599">
        <w:rPr>
          <w:lang w:val="fr-FR"/>
        </w:rPr>
        <w:t>un projet interrégional transfrontières à l</w:t>
      </w:r>
      <w:r w:rsidR="006645B6">
        <w:rPr>
          <w:lang w:val="fr-FR"/>
        </w:rPr>
        <w:t>’</w:t>
      </w:r>
      <w:r w:rsidR="00826E0F" w:rsidRPr="00872599">
        <w:rPr>
          <w:lang w:val="fr-FR"/>
        </w:rPr>
        <w:t>occasion de l</w:t>
      </w:r>
      <w:r w:rsidR="006645B6">
        <w:rPr>
          <w:lang w:val="fr-FR"/>
        </w:rPr>
        <w:t>’</w:t>
      </w:r>
      <w:r w:rsidR="00826E0F" w:rsidRPr="00872599">
        <w:rPr>
          <w:lang w:val="fr-FR"/>
        </w:rPr>
        <w:t>Année européenne de l</w:t>
      </w:r>
      <w:r w:rsidR="006645B6">
        <w:rPr>
          <w:lang w:val="fr-FR"/>
        </w:rPr>
        <w:t>’</w:t>
      </w:r>
      <w:r w:rsidR="00826E0F" w:rsidRPr="00872599">
        <w:rPr>
          <w:lang w:val="fr-FR"/>
        </w:rPr>
        <w:t>égalité des chances pour tous en 2007. Depuis plusieurs années, une recherche médicale a également été menée selon une approche sexospécifique ce qui a abouti à des résultats intéressants qui ont été présentés et discutés dans le cadre de cette série d</w:t>
      </w:r>
      <w:r w:rsidR="006645B6">
        <w:rPr>
          <w:lang w:val="fr-FR"/>
        </w:rPr>
        <w:t>’</w:t>
      </w:r>
      <w:r w:rsidR="00826E0F" w:rsidRPr="00872599">
        <w:rPr>
          <w:lang w:val="fr-FR"/>
        </w:rPr>
        <w:t xml:space="preserve">événements. Chaque soirée on a présenté un rapport sanitaire sur </w:t>
      </w:r>
      <w:smartTag w:uri="urn:schemas-microsoft-com:office:smarttags" w:element="PersonName">
        <w:smartTagPr>
          <w:attr w:name="ProductID" w:val="la Suisse"/>
        </w:smartTagPr>
        <w:r w:rsidR="00826E0F" w:rsidRPr="00872599">
          <w:rPr>
            <w:lang w:val="fr-FR"/>
          </w:rPr>
          <w:t>la Suisse</w:t>
        </w:r>
      </w:smartTag>
      <w:r w:rsidR="00826E0F" w:rsidRPr="00872599">
        <w:rPr>
          <w:lang w:val="fr-FR"/>
        </w:rPr>
        <w:t xml:space="preserve"> ou l</w:t>
      </w:r>
      <w:r w:rsidR="006645B6">
        <w:rPr>
          <w:lang w:val="fr-FR"/>
        </w:rPr>
        <w:t>’</w:t>
      </w:r>
      <w:r w:rsidR="00826E0F" w:rsidRPr="00872599">
        <w:rPr>
          <w:lang w:val="fr-FR"/>
        </w:rPr>
        <w:t>Autriche qui tenait compte des sexospécificités ainsi que des exposés dans diverses disciplines médicales. Pour les cinq événements il a été a fait appel à d</w:t>
      </w:r>
      <w:r w:rsidR="006645B6">
        <w:rPr>
          <w:lang w:val="fr-FR"/>
        </w:rPr>
        <w:t>’</w:t>
      </w:r>
      <w:r w:rsidR="00826E0F" w:rsidRPr="00872599">
        <w:rPr>
          <w:lang w:val="fr-FR"/>
        </w:rPr>
        <w:t>éminents experts suisses et autrichiens spécialistes de la médecine et de la santé différenciées selon le sexe. En février 2009, la documentation issue de la série d</w:t>
      </w:r>
      <w:r w:rsidR="006645B6">
        <w:rPr>
          <w:lang w:val="fr-FR"/>
        </w:rPr>
        <w:t>’</w:t>
      </w:r>
      <w:r w:rsidR="00826E0F" w:rsidRPr="00872599">
        <w:rPr>
          <w:lang w:val="fr-FR"/>
        </w:rPr>
        <w:t>exposés a été adressée directement à des groupes cibles dans les domaines des soins de santé et des soins infirmiers.</w:t>
      </w:r>
    </w:p>
    <w:p w:rsidR="00815D6C" w:rsidRPr="00815D6C" w:rsidRDefault="00815D6C" w:rsidP="00815D6C">
      <w:pPr>
        <w:pStyle w:val="SingleTxt"/>
        <w:spacing w:after="0" w:line="120" w:lineRule="exact"/>
        <w:rPr>
          <w:sz w:val="10"/>
          <w:lang w:val="fr-FR"/>
        </w:rPr>
      </w:pPr>
    </w:p>
    <w:p w:rsidR="00826E0F" w:rsidRPr="00872599" w:rsidRDefault="00815D6C" w:rsidP="00815D6C">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00826E0F" w:rsidRPr="00872599">
        <w:rPr>
          <w:lang w:val="fr-FR"/>
        </w:rPr>
        <w:t>e)</w:t>
      </w:r>
      <w:r w:rsidR="00826E0F" w:rsidRPr="00872599">
        <w:rPr>
          <w:lang w:val="fr-FR"/>
        </w:rPr>
        <w:tab/>
        <w:t>Autres mesures</w:t>
      </w:r>
    </w:p>
    <w:p w:rsidR="00815D6C" w:rsidRPr="00815D6C" w:rsidRDefault="00815D6C" w:rsidP="00815D6C">
      <w:pPr>
        <w:pStyle w:val="SingleTxt"/>
        <w:spacing w:after="0" w:line="120" w:lineRule="exact"/>
        <w:rPr>
          <w:sz w:val="10"/>
          <w:lang w:val="fr-FR"/>
        </w:rPr>
      </w:pPr>
    </w:p>
    <w:p w:rsidR="00826E0F" w:rsidRPr="00872599" w:rsidRDefault="00815D6C" w:rsidP="00815D6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826E0F" w:rsidRPr="00872599">
        <w:rPr>
          <w:lang w:val="fr-FR"/>
        </w:rPr>
        <w:t>Mesures contre la discrimination multiple</w:t>
      </w:r>
    </w:p>
    <w:p w:rsidR="00815D6C" w:rsidRPr="00815D6C" w:rsidRDefault="00815D6C" w:rsidP="00815D6C">
      <w:pPr>
        <w:pStyle w:val="SingleTxt"/>
        <w:spacing w:after="0" w:line="120" w:lineRule="exact"/>
        <w:rPr>
          <w:sz w:val="10"/>
          <w:lang w:val="fr-FR"/>
        </w:rPr>
      </w:pPr>
    </w:p>
    <w:p w:rsidR="00826E0F" w:rsidRPr="00872599" w:rsidRDefault="00815D6C" w:rsidP="00497599">
      <w:pPr>
        <w:pStyle w:val="SingleTxt"/>
        <w:rPr>
          <w:lang w:val="fr-FR"/>
        </w:rPr>
      </w:pPr>
      <w:r>
        <w:rPr>
          <w:lang w:val="fr-FR"/>
        </w:rPr>
        <w:tab/>
      </w:r>
      <w:r w:rsidR="00826E0F" w:rsidRPr="00872599">
        <w:rPr>
          <w:lang w:val="fr-FR"/>
        </w:rPr>
        <w:t>On a favorisé plus intensément au Liechtenstein la coopération participative et le dialogue avec les organisations d</w:t>
      </w:r>
      <w:r w:rsidR="006645B6">
        <w:rPr>
          <w:lang w:val="fr-FR"/>
        </w:rPr>
        <w:t>’</w:t>
      </w:r>
      <w:r w:rsidR="00826E0F" w:rsidRPr="00872599">
        <w:rPr>
          <w:lang w:val="fr-FR"/>
        </w:rPr>
        <w:t>étrangers, les organisations oeuvrant pour les handicapés et FLay – l</w:t>
      </w:r>
      <w:r w:rsidR="006645B6">
        <w:rPr>
          <w:lang w:val="fr-FR"/>
        </w:rPr>
        <w:t>’</w:t>
      </w:r>
      <w:r w:rsidR="00826E0F" w:rsidRPr="00872599">
        <w:rPr>
          <w:lang w:val="fr-FR"/>
        </w:rPr>
        <w:t>Association des gays et lesbiennes au Liechtenstein et dans la vallée du Rhin. Cette approche permet de mieux lutter contre la discrimination multiple. Grâce à son travail d</w:t>
      </w:r>
      <w:r w:rsidR="006645B6">
        <w:rPr>
          <w:lang w:val="fr-FR"/>
        </w:rPr>
        <w:t>’</w:t>
      </w:r>
      <w:r w:rsidR="00826E0F" w:rsidRPr="00872599">
        <w:rPr>
          <w:lang w:val="fr-FR"/>
        </w:rPr>
        <w:t>organisation et de relations avec les médias et grâce à son apport au plan de l</w:t>
      </w:r>
      <w:r w:rsidR="006645B6">
        <w:rPr>
          <w:lang w:val="fr-FR"/>
        </w:rPr>
        <w:t>’</w:t>
      </w:r>
      <w:r w:rsidR="00826E0F" w:rsidRPr="00872599">
        <w:rPr>
          <w:lang w:val="fr-FR"/>
        </w:rPr>
        <w:t>information, de l</w:t>
      </w:r>
      <w:r w:rsidR="006645B6">
        <w:rPr>
          <w:lang w:val="fr-FR"/>
        </w:rPr>
        <w:t>’</w:t>
      </w:r>
      <w:r w:rsidR="00826E0F" w:rsidRPr="00872599">
        <w:rPr>
          <w:lang w:val="fr-FR"/>
        </w:rPr>
        <w:t>infrastructure et du financement, le Bureau des affaires sociales aide diverses associations privées à mener à bien leurs projets. Il s</w:t>
      </w:r>
      <w:r w:rsidR="006645B6">
        <w:rPr>
          <w:lang w:val="fr-FR"/>
        </w:rPr>
        <w:t>’</w:t>
      </w:r>
      <w:r w:rsidR="00826E0F" w:rsidRPr="00872599">
        <w:rPr>
          <w:lang w:val="fr-FR"/>
        </w:rPr>
        <w:t>agit entre autres de la promotion sanitaire (par exemple les conseils aux femmes migrantes en matière de nutrition), d</w:t>
      </w:r>
      <w:r w:rsidR="006645B6">
        <w:rPr>
          <w:lang w:val="fr-FR"/>
        </w:rPr>
        <w:t>’</w:t>
      </w:r>
      <w:r w:rsidR="00826E0F" w:rsidRPr="00872599">
        <w:rPr>
          <w:lang w:val="fr-FR"/>
        </w:rPr>
        <w:t>intégration sociale (par exemple des cours de langue) et une formation professionnelle permanente.</w:t>
      </w:r>
    </w:p>
    <w:p w:rsidR="00826E0F" w:rsidRPr="00872599" w:rsidRDefault="00815D6C" w:rsidP="00497599">
      <w:pPr>
        <w:pStyle w:val="SingleTxt"/>
        <w:rPr>
          <w:lang w:val="fr-FR"/>
        </w:rPr>
      </w:pPr>
      <w:r>
        <w:rPr>
          <w:lang w:val="fr-FR"/>
        </w:rPr>
        <w:tab/>
      </w:r>
      <w:r w:rsidR="00826E0F" w:rsidRPr="00872599">
        <w:rPr>
          <w:lang w:val="fr-FR"/>
        </w:rPr>
        <w:t>Le Bureau des passeports et de l</w:t>
      </w:r>
      <w:r w:rsidR="006645B6">
        <w:rPr>
          <w:lang w:val="fr-FR"/>
        </w:rPr>
        <w:t>’</w:t>
      </w:r>
      <w:r w:rsidR="00826E0F" w:rsidRPr="00872599">
        <w:rPr>
          <w:lang w:val="fr-FR"/>
        </w:rPr>
        <w:t xml:space="preserve">immigration apporte une aide financière pour permettre la participation individuelle à des cours de langue sous forme de bons </w:t>
      </w:r>
      <w:r w:rsidR="00826E0F">
        <w:rPr>
          <w:lang w:val="fr-FR"/>
        </w:rPr>
        <w:t xml:space="preserve">ce </w:t>
      </w:r>
      <w:r w:rsidR="00826E0F" w:rsidRPr="00872599">
        <w:rPr>
          <w:lang w:val="fr-FR"/>
        </w:rPr>
        <w:t>qui aide les femmes migrantes à suivre les cours. Des cours spécialement destinés aux femmes sont dispensés par l</w:t>
      </w:r>
      <w:r w:rsidR="006645B6">
        <w:rPr>
          <w:lang w:val="fr-FR"/>
        </w:rPr>
        <w:t>’</w:t>
      </w:r>
      <w:r w:rsidR="00826E0F" w:rsidRPr="00872599">
        <w:rPr>
          <w:lang w:val="fr-FR"/>
        </w:rPr>
        <w:t>Association pour l</w:t>
      </w:r>
      <w:r w:rsidR="006645B6">
        <w:rPr>
          <w:lang w:val="fr-FR"/>
        </w:rPr>
        <w:t>’</w:t>
      </w:r>
      <w:r w:rsidR="00826E0F" w:rsidRPr="00872599">
        <w:rPr>
          <w:lang w:val="fr-FR"/>
        </w:rPr>
        <w:t>éducation interculturelle (ViB). Une fois par semaine, cette institution dispense des cours d</w:t>
      </w:r>
      <w:r w:rsidR="006645B6">
        <w:rPr>
          <w:lang w:val="fr-FR"/>
        </w:rPr>
        <w:t>’</w:t>
      </w:r>
      <w:r w:rsidR="00826E0F" w:rsidRPr="00872599">
        <w:rPr>
          <w:lang w:val="fr-FR"/>
        </w:rPr>
        <w:t>Allemand aux mères et aux enfants (Allemand Mère-Enfants) qui permet aux mères d</w:t>
      </w:r>
      <w:r w:rsidR="006645B6">
        <w:rPr>
          <w:lang w:val="fr-FR"/>
        </w:rPr>
        <w:t>’</w:t>
      </w:r>
      <w:r w:rsidR="00826E0F" w:rsidRPr="00872599">
        <w:rPr>
          <w:lang w:val="fr-FR"/>
        </w:rPr>
        <w:t>apprendre l</w:t>
      </w:r>
      <w:r w:rsidR="006645B6">
        <w:rPr>
          <w:lang w:val="fr-FR"/>
        </w:rPr>
        <w:t>’</w:t>
      </w:r>
      <w:r w:rsidR="00826E0F" w:rsidRPr="00872599">
        <w:rPr>
          <w:lang w:val="fr-FR"/>
        </w:rPr>
        <w:t>Allemand en même temps que leurs enfants. Ce cours est maintenant bien implanté. En 2008, 33 femmes l</w:t>
      </w:r>
      <w:r w:rsidR="006645B6">
        <w:rPr>
          <w:lang w:val="fr-FR"/>
        </w:rPr>
        <w:t>’</w:t>
      </w:r>
      <w:r w:rsidR="00826E0F" w:rsidRPr="00872599">
        <w:rPr>
          <w:lang w:val="fr-FR"/>
        </w:rPr>
        <w:t>ont suivi, la plupart en même temps qu</w:t>
      </w:r>
      <w:r w:rsidR="006645B6">
        <w:rPr>
          <w:lang w:val="fr-FR"/>
        </w:rPr>
        <w:t>’</w:t>
      </w:r>
      <w:r w:rsidR="00826E0F" w:rsidRPr="00872599">
        <w:rPr>
          <w:lang w:val="fr-FR"/>
        </w:rPr>
        <w:t>un ou deux</w:t>
      </w:r>
      <w:r w:rsidR="00826E0F" w:rsidRPr="0055254D">
        <w:rPr>
          <w:lang w:val="fr-FR"/>
        </w:rPr>
        <w:t xml:space="preserve"> </w:t>
      </w:r>
      <w:r w:rsidR="00826E0F" w:rsidRPr="00872599">
        <w:rPr>
          <w:lang w:val="fr-FR"/>
        </w:rPr>
        <w:t>enfant</w:t>
      </w:r>
      <w:r w:rsidR="00826E0F">
        <w:rPr>
          <w:lang w:val="fr-FR"/>
        </w:rPr>
        <w:t>s</w:t>
      </w:r>
      <w:r w:rsidR="00826E0F" w:rsidRPr="00872599">
        <w:rPr>
          <w:lang w:val="fr-FR"/>
        </w:rPr>
        <w:t>. En 2007, 9 femme</w:t>
      </w:r>
      <w:r w:rsidR="00826E0F">
        <w:rPr>
          <w:lang w:val="fr-FR"/>
        </w:rPr>
        <w:t>s</w:t>
      </w:r>
      <w:r w:rsidR="00826E0F" w:rsidRPr="00872599">
        <w:rPr>
          <w:lang w:val="fr-FR"/>
        </w:rPr>
        <w:t xml:space="preserve"> seulement y ont participé.</w:t>
      </w:r>
    </w:p>
    <w:p w:rsidR="00826E0F" w:rsidRPr="00872599" w:rsidRDefault="00815D6C" w:rsidP="00497599">
      <w:pPr>
        <w:pStyle w:val="SingleTxt"/>
        <w:rPr>
          <w:lang w:val="fr-FR"/>
        </w:rPr>
      </w:pPr>
      <w:r>
        <w:rPr>
          <w:lang w:val="fr-FR"/>
        </w:rPr>
        <w:tab/>
      </w:r>
      <w:r w:rsidR="00826E0F" w:rsidRPr="00872599">
        <w:rPr>
          <w:lang w:val="fr-FR"/>
        </w:rPr>
        <w:t>En collaboration avec le programme des associations d</w:t>
      </w:r>
      <w:r w:rsidR="006645B6">
        <w:rPr>
          <w:lang w:val="fr-FR"/>
        </w:rPr>
        <w:t>’</w:t>
      </w:r>
      <w:r w:rsidR="00826E0F" w:rsidRPr="00872599">
        <w:rPr>
          <w:lang w:val="fr-FR"/>
        </w:rPr>
        <w:t>étrangers, le Bureau de l</w:t>
      </w:r>
      <w:r w:rsidR="006645B6">
        <w:rPr>
          <w:lang w:val="fr-FR"/>
        </w:rPr>
        <w:t>’</w:t>
      </w:r>
      <w:r w:rsidR="00826E0F" w:rsidRPr="00872599">
        <w:rPr>
          <w:lang w:val="fr-FR"/>
        </w:rPr>
        <w:t>égalité des chances a organisé en 2007 une campagne de presse visant à lutter contre les préjugés à l</w:t>
      </w:r>
      <w:r w:rsidR="006645B6">
        <w:rPr>
          <w:lang w:val="fr-FR"/>
        </w:rPr>
        <w:t>’</w:t>
      </w:r>
      <w:r w:rsidR="00826E0F" w:rsidRPr="00872599">
        <w:rPr>
          <w:lang w:val="fr-FR"/>
        </w:rPr>
        <w:t>égard des étrangers.</w:t>
      </w:r>
    </w:p>
    <w:p w:rsidR="00826E0F" w:rsidRPr="00872599" w:rsidRDefault="00815D6C" w:rsidP="00497599">
      <w:pPr>
        <w:pStyle w:val="SingleTxt"/>
        <w:rPr>
          <w:lang w:val="fr-FR"/>
        </w:rPr>
      </w:pPr>
      <w:r>
        <w:rPr>
          <w:lang w:val="fr-FR"/>
        </w:rPr>
        <w:tab/>
      </w:r>
      <w:r w:rsidR="00826E0F" w:rsidRPr="00872599">
        <w:rPr>
          <w:lang w:val="fr-FR"/>
        </w:rPr>
        <w:t>Lors d</w:t>
      </w:r>
      <w:r w:rsidR="006645B6">
        <w:rPr>
          <w:lang w:val="fr-FR"/>
        </w:rPr>
        <w:t>’</w:t>
      </w:r>
      <w:r w:rsidR="00826E0F" w:rsidRPr="00872599">
        <w:rPr>
          <w:lang w:val="fr-FR"/>
        </w:rPr>
        <w:t>une conférence organisée en novembre 2007 par le Bureau de l</w:t>
      </w:r>
      <w:r w:rsidR="006645B6">
        <w:rPr>
          <w:lang w:val="fr-FR"/>
        </w:rPr>
        <w:t>’</w:t>
      </w:r>
      <w:r w:rsidR="00826E0F" w:rsidRPr="00872599">
        <w:rPr>
          <w:lang w:val="fr-FR"/>
        </w:rPr>
        <w:t>égalité des chances, la question de la gestion de la diversité a été discutée pour la première fois publiquement au Liechtenstein. Une brochure a été publiée à l</w:t>
      </w:r>
      <w:r w:rsidR="006645B6">
        <w:rPr>
          <w:lang w:val="fr-FR"/>
        </w:rPr>
        <w:t>’</w:t>
      </w:r>
      <w:r w:rsidR="00826E0F" w:rsidRPr="00872599">
        <w:rPr>
          <w:lang w:val="fr-FR"/>
        </w:rPr>
        <w:t>occasion de cette conférence. Elle présente les mesures qu</w:t>
      </w:r>
      <w:r w:rsidR="006645B6">
        <w:rPr>
          <w:lang w:val="fr-FR"/>
        </w:rPr>
        <w:t>’</w:t>
      </w:r>
      <w:r w:rsidR="00826E0F" w:rsidRPr="00872599">
        <w:rPr>
          <w:lang w:val="fr-FR"/>
        </w:rPr>
        <w:t>appelle cette gestion, explique son fondement législatif, fournit des noms de personnes de contact et de bureaux d</w:t>
      </w:r>
      <w:r w:rsidR="006645B6">
        <w:rPr>
          <w:lang w:val="fr-FR"/>
        </w:rPr>
        <w:t>’</w:t>
      </w:r>
      <w:r w:rsidR="00826E0F" w:rsidRPr="00872599">
        <w:rPr>
          <w:lang w:val="fr-FR"/>
        </w:rPr>
        <w:t>orientation et donne des exemples des meilleures pratiques suivies.</w:t>
      </w:r>
    </w:p>
    <w:p w:rsidR="00826E0F" w:rsidRPr="00872599" w:rsidRDefault="00815D6C" w:rsidP="00497599">
      <w:pPr>
        <w:pStyle w:val="SingleTxt"/>
        <w:rPr>
          <w:lang w:val="fr-FR"/>
        </w:rPr>
      </w:pPr>
      <w:r>
        <w:rPr>
          <w:lang w:val="fr-FR"/>
        </w:rPr>
        <w:tab/>
      </w:r>
      <w:r w:rsidR="00826E0F" w:rsidRPr="00872599">
        <w:rPr>
          <w:lang w:val="fr-FR"/>
        </w:rPr>
        <w:t>L</w:t>
      </w:r>
      <w:r w:rsidR="006645B6">
        <w:rPr>
          <w:lang w:val="fr-FR"/>
        </w:rPr>
        <w:t>’</w:t>
      </w:r>
      <w:r w:rsidR="00826E0F" w:rsidRPr="00872599">
        <w:rPr>
          <w:lang w:val="fr-FR"/>
        </w:rPr>
        <w:t>Association de l</w:t>
      </w:r>
      <w:r w:rsidR="006645B6">
        <w:rPr>
          <w:lang w:val="fr-FR"/>
        </w:rPr>
        <w:t>’</w:t>
      </w:r>
      <w:r w:rsidR="00826E0F" w:rsidRPr="00872599">
        <w:rPr>
          <w:lang w:val="fr-FR"/>
        </w:rPr>
        <w:t>éducation interculturelle exécute un autre projet, le Café international des femmes, qui donne aux femmes migrantes une bonne occasion de participer à des échanges interculturels. Des réunions se tiennent tous les mois sur un sujet particulier.</w:t>
      </w:r>
    </w:p>
    <w:p w:rsidR="00815D6C" w:rsidRPr="00815D6C" w:rsidRDefault="00815D6C" w:rsidP="00815D6C">
      <w:pPr>
        <w:pStyle w:val="SingleTxt"/>
        <w:spacing w:after="0" w:line="120" w:lineRule="exact"/>
        <w:rPr>
          <w:sz w:val="10"/>
          <w:lang w:val="fr-FR"/>
        </w:rPr>
      </w:pPr>
      <w:bookmarkStart w:id="13" w:name="_Toc512341766"/>
      <w:bookmarkStart w:id="14" w:name="_Toc137007646"/>
      <w:bookmarkStart w:id="15" w:name="_Toc239741025"/>
    </w:p>
    <w:p w:rsidR="00826E0F" w:rsidRPr="00872599" w:rsidRDefault="00815D6C" w:rsidP="00815D6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highlight w:val="yellow"/>
          <w:lang w:val="fr-FR"/>
        </w:rPr>
      </w:pPr>
      <w:r>
        <w:rPr>
          <w:lang w:val="fr-FR"/>
        </w:rPr>
        <w:tab/>
      </w:r>
      <w:r w:rsidR="00826E0F" w:rsidRPr="00872599">
        <w:rPr>
          <w:lang w:val="fr-FR"/>
        </w:rPr>
        <w:t>Article 3</w:t>
      </w:r>
      <w:r w:rsidR="00A03470">
        <w:rPr>
          <w:lang w:val="fr-FR"/>
        </w:rPr>
        <w:t>.</w:t>
      </w:r>
      <w:r w:rsidR="00826E0F" w:rsidRPr="00872599">
        <w:rPr>
          <w:lang w:val="fr-FR"/>
        </w:rPr>
        <w:tab/>
      </w:r>
      <w:bookmarkEnd w:id="13"/>
      <w:bookmarkEnd w:id="14"/>
      <w:bookmarkEnd w:id="15"/>
      <w:r w:rsidR="00826E0F" w:rsidRPr="00872599">
        <w:rPr>
          <w:lang w:val="fr-FR"/>
        </w:rPr>
        <w:t>Assurer le plein développement et le progrès des femmes</w:t>
      </w:r>
    </w:p>
    <w:p w:rsidR="00C04160" w:rsidRPr="00C04160" w:rsidRDefault="00C04160" w:rsidP="00C04160">
      <w:pPr>
        <w:pStyle w:val="SingleTxt"/>
        <w:spacing w:after="0" w:line="120" w:lineRule="exact"/>
        <w:rPr>
          <w:sz w:val="10"/>
          <w:shd w:val="clear" w:color="auto" w:fill="FFFF00"/>
          <w:lang w:val="fr-FR"/>
        </w:rPr>
      </w:pPr>
    </w:p>
    <w:p w:rsidR="00815D6C" w:rsidRPr="00815D6C" w:rsidRDefault="00815D6C" w:rsidP="00815D6C">
      <w:pPr>
        <w:pStyle w:val="SingleTxt"/>
        <w:spacing w:after="0" w:line="120" w:lineRule="exact"/>
        <w:rPr>
          <w:sz w:val="10"/>
          <w:shd w:val="clear" w:color="auto" w:fill="FFFF00"/>
          <w:lang w:val="fr-FR"/>
        </w:rPr>
      </w:pPr>
    </w:p>
    <w:p w:rsidR="00815D6C" w:rsidRPr="00815D6C" w:rsidRDefault="00815D6C" w:rsidP="00815D6C">
      <w:pPr>
        <w:pStyle w:val="SingleTxt"/>
        <w:pBdr>
          <w:top w:val="single" w:sz="4" w:space="1" w:color="auto"/>
          <w:left w:val="single" w:sz="4" w:space="4" w:color="auto"/>
          <w:bottom w:val="single" w:sz="4" w:space="1" w:color="auto"/>
          <w:right w:val="single" w:sz="4" w:space="4" w:color="auto"/>
        </w:pBdr>
        <w:spacing w:after="0" w:line="120" w:lineRule="exact"/>
        <w:rPr>
          <w:b/>
          <w:sz w:val="10"/>
          <w:lang w:val="fr-FR"/>
        </w:rPr>
      </w:pPr>
    </w:p>
    <w:p w:rsidR="00826E0F" w:rsidRPr="00872599" w:rsidRDefault="00826E0F" w:rsidP="00815D6C">
      <w:pPr>
        <w:pStyle w:val="SingleTxt"/>
        <w:pBdr>
          <w:top w:val="single" w:sz="4" w:space="1" w:color="auto"/>
          <w:left w:val="single" w:sz="4" w:space="4" w:color="auto"/>
          <w:bottom w:val="single" w:sz="4" w:space="1" w:color="auto"/>
          <w:right w:val="single" w:sz="4" w:space="4" w:color="auto"/>
        </w:pBdr>
        <w:rPr>
          <w:b/>
          <w:lang w:val="fr-FR"/>
        </w:rPr>
      </w:pPr>
      <w:r w:rsidRPr="00872599">
        <w:rPr>
          <w:b/>
          <w:lang w:val="fr-FR"/>
        </w:rPr>
        <w:t xml:space="preserve">Recommandation du Comité de </w:t>
      </w:r>
      <w:smartTag w:uri="urn:schemas-microsoft-com:office:smarttags" w:element="PersonName">
        <w:smartTagPr>
          <w:attr w:name="ProductID" w:val="la CEDAW"/>
        </w:smartTagPr>
        <w:r w:rsidRPr="00872599">
          <w:rPr>
            <w:b/>
            <w:lang w:val="fr-FR"/>
          </w:rPr>
          <w:t>la CEDAW</w:t>
        </w:r>
      </w:smartTag>
      <w:r w:rsidRPr="00872599">
        <w:rPr>
          <w:b/>
          <w:lang w:val="fr-FR"/>
        </w:rPr>
        <w:t>, n</w:t>
      </w:r>
      <w:r w:rsidRPr="006645B6">
        <w:rPr>
          <w:b/>
          <w:vertAlign w:val="superscript"/>
          <w:lang w:val="fr-FR"/>
        </w:rPr>
        <w:t>o</w:t>
      </w:r>
      <w:r w:rsidR="006645B6">
        <w:rPr>
          <w:b/>
          <w:vertAlign w:val="superscript"/>
          <w:lang w:val="fr-FR"/>
        </w:rPr>
        <w:t xml:space="preserve"> </w:t>
      </w:r>
      <w:r w:rsidRPr="00872599">
        <w:rPr>
          <w:b/>
          <w:lang w:val="fr-FR"/>
        </w:rPr>
        <w:t>29:</w:t>
      </w:r>
    </w:p>
    <w:p w:rsidR="00826E0F" w:rsidRPr="0055254D" w:rsidRDefault="00826E0F" w:rsidP="00815D6C">
      <w:pPr>
        <w:pStyle w:val="SingleTxt"/>
        <w:pBdr>
          <w:top w:val="single" w:sz="4" w:space="1" w:color="auto"/>
          <w:left w:val="single" w:sz="4" w:space="4" w:color="auto"/>
          <w:bottom w:val="single" w:sz="4" w:space="1" w:color="auto"/>
          <w:right w:val="single" w:sz="4" w:space="4" w:color="auto"/>
        </w:pBdr>
        <w:rPr>
          <w:i/>
          <w:lang w:val="fr-FR"/>
        </w:rPr>
      </w:pPr>
      <w:r w:rsidRPr="0055254D">
        <w:rPr>
          <w:i/>
          <w:lang w:val="fr-FR"/>
        </w:rPr>
        <w:t>Le Comité souligne également qu</w:t>
      </w:r>
      <w:r w:rsidR="006645B6">
        <w:rPr>
          <w:i/>
          <w:lang w:val="fr-FR"/>
        </w:rPr>
        <w:t>’</w:t>
      </w:r>
      <w:r w:rsidRPr="0055254D">
        <w:rPr>
          <w:i/>
          <w:lang w:val="fr-FR"/>
        </w:rPr>
        <w:t>il est indispensable d</w:t>
      </w:r>
      <w:r w:rsidR="006645B6">
        <w:rPr>
          <w:i/>
          <w:lang w:val="fr-FR"/>
        </w:rPr>
        <w:t>’</w:t>
      </w:r>
      <w:r w:rsidRPr="0055254D">
        <w:rPr>
          <w:i/>
          <w:lang w:val="fr-FR"/>
        </w:rPr>
        <w:t xml:space="preserve">appliquer effectivement et intégralement </w:t>
      </w:r>
      <w:smartTag w:uri="urn:schemas-microsoft-com:office:smarttags" w:element="PersonName">
        <w:smartTagPr>
          <w:attr w:name="ProductID" w:val="la Convention"/>
        </w:smartTagPr>
        <w:r w:rsidRPr="0055254D">
          <w:rPr>
            <w:i/>
            <w:lang w:val="fr-FR"/>
          </w:rPr>
          <w:t>la Convention</w:t>
        </w:r>
      </w:smartTag>
      <w:r w:rsidRPr="0055254D">
        <w:rPr>
          <w:i/>
          <w:lang w:val="fr-FR"/>
        </w:rPr>
        <w:t xml:space="preserve"> pour atteindre les objectifs du Millénaire pour le développement. Il demande que l</w:t>
      </w:r>
      <w:r w:rsidR="006645B6">
        <w:rPr>
          <w:i/>
          <w:lang w:val="fr-FR"/>
        </w:rPr>
        <w:t>’</w:t>
      </w:r>
      <w:r w:rsidRPr="0055254D">
        <w:rPr>
          <w:i/>
          <w:lang w:val="fr-FR"/>
        </w:rPr>
        <w:t>on intègre une perspective non sexiste dans tous les efforts qui sont faits pour atteindre les objectifs du Millénaire pour le développement et que l</w:t>
      </w:r>
      <w:r w:rsidR="006645B6">
        <w:rPr>
          <w:i/>
          <w:lang w:val="fr-FR"/>
        </w:rPr>
        <w:t>’</w:t>
      </w:r>
      <w:r w:rsidRPr="0055254D">
        <w:rPr>
          <w:i/>
          <w:lang w:val="fr-FR"/>
        </w:rPr>
        <w:t xml:space="preserve">on applique explicitement les dispositions de </w:t>
      </w:r>
      <w:smartTag w:uri="urn:schemas-microsoft-com:office:smarttags" w:element="PersonName">
        <w:smartTagPr>
          <w:attr w:name="ProductID" w:val="la Convention"/>
        </w:smartTagPr>
        <w:r w:rsidRPr="0055254D">
          <w:rPr>
            <w:i/>
            <w:lang w:val="fr-FR"/>
          </w:rPr>
          <w:t>la Convention</w:t>
        </w:r>
      </w:smartTag>
      <w:r w:rsidRPr="0055254D">
        <w:rPr>
          <w:i/>
          <w:lang w:val="fr-FR"/>
        </w:rPr>
        <w:t xml:space="preserve"> à cette fin et demande à l</w:t>
      </w:r>
      <w:r w:rsidR="006645B6">
        <w:rPr>
          <w:i/>
          <w:lang w:val="fr-FR"/>
        </w:rPr>
        <w:t>’</w:t>
      </w:r>
      <w:r w:rsidRPr="0055254D">
        <w:rPr>
          <w:i/>
          <w:lang w:val="fr-FR"/>
        </w:rPr>
        <w:t>État partie d</w:t>
      </w:r>
      <w:r w:rsidR="006645B6">
        <w:rPr>
          <w:i/>
          <w:lang w:val="fr-FR"/>
        </w:rPr>
        <w:t>’</w:t>
      </w:r>
      <w:r w:rsidRPr="0055254D">
        <w:rPr>
          <w:i/>
          <w:lang w:val="fr-FR"/>
        </w:rPr>
        <w:t>inclure des informations à ce sujet dans son prochain rapport périodique.</w:t>
      </w:r>
    </w:p>
    <w:p w:rsidR="00826E0F" w:rsidRPr="00872599" w:rsidRDefault="00815D6C" w:rsidP="00497599">
      <w:pPr>
        <w:pStyle w:val="SingleTxt"/>
        <w:rPr>
          <w:lang w:val="fr-FR"/>
        </w:rPr>
      </w:pPr>
      <w:r>
        <w:rPr>
          <w:lang w:val="fr-FR"/>
        </w:rPr>
        <w:tab/>
      </w:r>
      <w:r w:rsidR="00826E0F" w:rsidRPr="00872599">
        <w:rPr>
          <w:lang w:val="fr-FR"/>
        </w:rPr>
        <w:t>L</w:t>
      </w:r>
      <w:r w:rsidR="006645B6">
        <w:rPr>
          <w:lang w:val="fr-FR"/>
        </w:rPr>
        <w:t>’</w:t>
      </w:r>
      <w:r w:rsidR="00826E0F" w:rsidRPr="00872599">
        <w:rPr>
          <w:lang w:val="fr-FR"/>
        </w:rPr>
        <w:t>exercice sur un pied d</w:t>
      </w:r>
      <w:r w:rsidR="006645B6">
        <w:rPr>
          <w:lang w:val="fr-FR"/>
        </w:rPr>
        <w:t>’</w:t>
      </w:r>
      <w:r w:rsidR="00826E0F" w:rsidRPr="00872599">
        <w:rPr>
          <w:lang w:val="fr-FR"/>
        </w:rPr>
        <w:t>égalité par les femmes et les hommes des droits de l</w:t>
      </w:r>
      <w:r w:rsidR="006645B6">
        <w:rPr>
          <w:lang w:val="fr-FR"/>
        </w:rPr>
        <w:t>’</w:t>
      </w:r>
      <w:r w:rsidR="00826E0F" w:rsidRPr="00872599">
        <w:rPr>
          <w:lang w:val="fr-FR"/>
        </w:rPr>
        <w:t xml:space="preserve">homme et des libertés fondamentales est garanti au plan juridique par le </w:t>
      </w:r>
      <w:r w:rsidR="00826E0F">
        <w:rPr>
          <w:lang w:val="fr-FR"/>
        </w:rPr>
        <w:t>principe de l</w:t>
      </w:r>
      <w:r w:rsidR="006645B6">
        <w:rPr>
          <w:lang w:val="fr-FR"/>
        </w:rPr>
        <w:t>’</w:t>
      </w:r>
      <w:r w:rsidR="00826E0F">
        <w:rPr>
          <w:lang w:val="fr-FR"/>
        </w:rPr>
        <w:t>égalité inscrit au</w:t>
      </w:r>
      <w:r w:rsidR="00826E0F" w:rsidRPr="00872599">
        <w:rPr>
          <w:lang w:val="fr-FR"/>
        </w:rPr>
        <w:t xml:space="preserve"> paragraphe 2 de l</w:t>
      </w:r>
      <w:r w:rsidR="006645B6">
        <w:rPr>
          <w:lang w:val="fr-FR"/>
        </w:rPr>
        <w:t>’</w:t>
      </w:r>
      <w:r w:rsidR="00826E0F" w:rsidRPr="00872599">
        <w:rPr>
          <w:lang w:val="fr-FR"/>
        </w:rPr>
        <w:t xml:space="preserve">article 31 de </w:t>
      </w:r>
      <w:smartTag w:uri="urn:schemas-microsoft-com:office:smarttags" w:element="PersonName">
        <w:smartTagPr>
          <w:attr w:name="ProductID" w:val="la Constitution"/>
        </w:smartTagPr>
        <w:r w:rsidR="00826E0F" w:rsidRPr="00872599">
          <w:rPr>
            <w:lang w:val="fr-FR"/>
          </w:rPr>
          <w:t>la Constitution</w:t>
        </w:r>
      </w:smartTag>
      <w:r w:rsidR="00826E0F" w:rsidRPr="00872599">
        <w:rPr>
          <w:lang w:val="fr-FR"/>
        </w:rPr>
        <w:t xml:space="preserve"> du Liechtenstein. S</w:t>
      </w:r>
      <w:r w:rsidR="006645B6">
        <w:rPr>
          <w:lang w:val="fr-FR"/>
        </w:rPr>
        <w:t>’</w:t>
      </w:r>
      <w:r w:rsidR="00826E0F" w:rsidRPr="00872599">
        <w:rPr>
          <w:lang w:val="fr-FR"/>
        </w:rPr>
        <w:t>agissant de la promotion de l</w:t>
      </w:r>
      <w:r w:rsidR="006645B6">
        <w:rPr>
          <w:lang w:val="fr-FR"/>
        </w:rPr>
        <w:t>’</w:t>
      </w:r>
      <w:r w:rsidR="00826E0F" w:rsidRPr="00872599">
        <w:rPr>
          <w:lang w:val="fr-FR"/>
        </w:rPr>
        <w:t>égalité des femmes et des hommes au plan financier ou autre, prière de se reporter aux autres chapitres du présent rapport.</w:t>
      </w:r>
    </w:p>
    <w:p w:rsidR="00815D6C" w:rsidRPr="00815D6C" w:rsidRDefault="00815D6C" w:rsidP="00815D6C">
      <w:pPr>
        <w:pStyle w:val="SingleTxt"/>
        <w:spacing w:after="0" w:line="120" w:lineRule="exact"/>
        <w:rPr>
          <w:sz w:val="10"/>
          <w:lang w:val="fr-FR"/>
        </w:rPr>
      </w:pPr>
    </w:p>
    <w:p w:rsidR="00826E0F" w:rsidRPr="00872599" w:rsidRDefault="00815D6C" w:rsidP="00815D6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826E0F" w:rsidRPr="00872599">
        <w:rPr>
          <w:lang w:val="fr-FR"/>
        </w:rPr>
        <w:t>Coopération au développement</w:t>
      </w:r>
    </w:p>
    <w:p w:rsidR="00815D6C" w:rsidRPr="00815D6C" w:rsidRDefault="00815D6C" w:rsidP="00815D6C">
      <w:pPr>
        <w:pStyle w:val="SingleTxt"/>
        <w:spacing w:after="0" w:line="120" w:lineRule="exact"/>
        <w:rPr>
          <w:sz w:val="10"/>
          <w:lang w:val="fr-FR"/>
        </w:rPr>
      </w:pPr>
    </w:p>
    <w:p w:rsidR="00826E0F" w:rsidRPr="00872599" w:rsidRDefault="00815D6C" w:rsidP="00497599">
      <w:pPr>
        <w:pStyle w:val="SingleTxt"/>
        <w:rPr>
          <w:lang w:val="fr-FR"/>
        </w:rPr>
      </w:pPr>
      <w:r>
        <w:rPr>
          <w:lang w:val="fr-FR"/>
        </w:rPr>
        <w:tab/>
      </w:r>
      <w:r w:rsidR="00826E0F" w:rsidRPr="00872599">
        <w:rPr>
          <w:lang w:val="fr-FR"/>
        </w:rPr>
        <w:t>Le principe de la solidarité avec les personnes défavorisées par les circonstances qui leur sont propres et dans</w:t>
      </w:r>
      <w:r w:rsidR="00826E0F">
        <w:rPr>
          <w:lang w:val="fr-FR"/>
        </w:rPr>
        <w:t xml:space="preserve"> leur qualité de vie </w:t>
      </w:r>
      <w:r w:rsidR="00826E0F" w:rsidRPr="00872599">
        <w:rPr>
          <w:lang w:val="fr-FR"/>
        </w:rPr>
        <w:t>ainsi que la protection et la préservation des intérêts de ces personnes constituent le point de départ et l</w:t>
      </w:r>
      <w:r w:rsidR="006645B6">
        <w:rPr>
          <w:lang w:val="fr-FR"/>
        </w:rPr>
        <w:t>’</w:t>
      </w:r>
      <w:r w:rsidR="00826E0F" w:rsidRPr="00872599">
        <w:rPr>
          <w:lang w:val="fr-FR"/>
        </w:rPr>
        <w:t>objectif de l</w:t>
      </w:r>
      <w:r w:rsidR="006645B6">
        <w:rPr>
          <w:lang w:val="fr-FR"/>
        </w:rPr>
        <w:t>’</w:t>
      </w:r>
      <w:r w:rsidR="00826E0F" w:rsidRPr="00872599">
        <w:rPr>
          <w:lang w:val="fr-FR"/>
        </w:rPr>
        <w:t>engagement du Liechtenstein en faveur de la coopération humanitaire international et du développement. Le principe, les objectifs et les principales responsabilités du Liechtenstein dans ce domaine sont énoncés dans la loi sur la coopération humanitaire internationale et le développement</w:t>
      </w:r>
      <w:r w:rsidR="00826E0F" w:rsidRPr="00A03470">
        <w:rPr>
          <w:rStyle w:val="FootnoteCharacters"/>
          <w:sz w:val="24"/>
          <w:szCs w:val="24"/>
          <w:lang w:val="fr-FR"/>
        </w:rPr>
        <w:footnoteReference w:id="6"/>
      </w:r>
      <w:r w:rsidR="008A4E39">
        <w:rPr>
          <w:lang w:val="fr-FR"/>
        </w:rPr>
        <w:t>,</w:t>
      </w:r>
      <w:r w:rsidR="00826E0F" w:rsidRPr="00872599">
        <w:rPr>
          <w:lang w:val="fr-FR"/>
        </w:rPr>
        <w:t xml:space="preserve"> qui est entrée en vigueur le 29 juin 2007. Le paragraphe 4 de l</w:t>
      </w:r>
      <w:r w:rsidR="006645B6">
        <w:rPr>
          <w:lang w:val="fr-FR"/>
        </w:rPr>
        <w:t>’</w:t>
      </w:r>
      <w:r w:rsidR="00826E0F" w:rsidRPr="00872599">
        <w:rPr>
          <w:lang w:val="fr-FR"/>
        </w:rPr>
        <w:t xml:space="preserve">article premier de cette loi prévoit expressément la promotion et la protection des groupes vulnérables tels que les femmes: </w:t>
      </w:r>
      <w:r w:rsidR="00C04160">
        <w:rPr>
          <w:lang w:val="fr-FR"/>
        </w:rPr>
        <w:t>« </w:t>
      </w:r>
      <w:r w:rsidR="00826E0F" w:rsidRPr="00872599">
        <w:rPr>
          <w:lang w:val="fr-FR"/>
        </w:rPr>
        <w:t>la coopération est menée sur une large base et d</w:t>
      </w:r>
      <w:r w:rsidR="006645B6">
        <w:rPr>
          <w:lang w:val="fr-FR"/>
        </w:rPr>
        <w:t>’</w:t>
      </w:r>
      <w:r w:rsidR="00826E0F" w:rsidRPr="00872599">
        <w:rPr>
          <w:lang w:val="fr-FR"/>
        </w:rPr>
        <w:t>après le principe de la non-discrimination. La promotion et la protection des groupes vulnérables, notamment des femmes, des enfants, des handicapés et des personnes âgées, font l</w:t>
      </w:r>
      <w:r w:rsidR="006645B6">
        <w:rPr>
          <w:lang w:val="fr-FR"/>
        </w:rPr>
        <w:t>’</w:t>
      </w:r>
      <w:r w:rsidR="00826E0F" w:rsidRPr="00872599">
        <w:rPr>
          <w:lang w:val="fr-FR"/>
        </w:rPr>
        <w:t>objet d</w:t>
      </w:r>
      <w:r w:rsidR="006645B6">
        <w:rPr>
          <w:lang w:val="fr-FR"/>
        </w:rPr>
        <w:t>’</w:t>
      </w:r>
      <w:r w:rsidR="00826E0F" w:rsidRPr="00872599">
        <w:rPr>
          <w:lang w:val="fr-FR"/>
        </w:rPr>
        <w:t>une attention particulière</w:t>
      </w:r>
      <w:r w:rsidR="006645B6">
        <w:rPr>
          <w:lang w:val="fr-FR"/>
        </w:rPr>
        <w:t> »</w:t>
      </w:r>
      <w:r w:rsidR="00826E0F" w:rsidRPr="00872599">
        <w:rPr>
          <w:lang w:val="fr-FR"/>
        </w:rPr>
        <w:t>. D</w:t>
      </w:r>
      <w:r w:rsidR="006645B6">
        <w:rPr>
          <w:lang w:val="fr-FR"/>
        </w:rPr>
        <w:t>’</w:t>
      </w:r>
      <w:r w:rsidR="00826E0F" w:rsidRPr="00872599">
        <w:rPr>
          <w:lang w:val="fr-FR"/>
        </w:rPr>
        <w:t>une manière générale, les questions de genre jouent un rôle très important dans les projets de coopération au développement. De plus, le Liechtenstein verse des contributions volontaires au Fonds de développement des Nations Unies pour la femme (UNIFEM) ainsi que pour d</w:t>
      </w:r>
      <w:r w:rsidR="006645B6">
        <w:rPr>
          <w:lang w:val="fr-FR"/>
        </w:rPr>
        <w:t>’</w:t>
      </w:r>
      <w:r w:rsidR="00826E0F" w:rsidRPr="00872599">
        <w:rPr>
          <w:lang w:val="fr-FR"/>
        </w:rPr>
        <w:t>autres projets tendant à la protection et à la promotion des femmes qui sont exécutées par des organisations internationales telles que le Conseil de l</w:t>
      </w:r>
      <w:r w:rsidR="006645B6">
        <w:rPr>
          <w:lang w:val="fr-FR"/>
        </w:rPr>
        <w:t>’</w:t>
      </w:r>
      <w:r w:rsidR="00826E0F" w:rsidRPr="00872599">
        <w:rPr>
          <w:lang w:val="fr-FR"/>
        </w:rPr>
        <w:t>Europe et l</w:t>
      </w:r>
      <w:r w:rsidR="006645B6">
        <w:rPr>
          <w:lang w:val="fr-FR"/>
        </w:rPr>
        <w:t>’</w:t>
      </w:r>
      <w:r w:rsidR="00826E0F" w:rsidRPr="00872599">
        <w:rPr>
          <w:lang w:val="fr-FR"/>
        </w:rPr>
        <w:t>OSCE (voir à l</w:t>
      </w:r>
      <w:r w:rsidR="006645B6">
        <w:rPr>
          <w:lang w:val="fr-FR"/>
        </w:rPr>
        <w:t>’</w:t>
      </w:r>
      <w:r w:rsidR="00826E0F" w:rsidRPr="00872599">
        <w:rPr>
          <w:lang w:val="fr-FR"/>
        </w:rPr>
        <w:t xml:space="preserve">appendice 2 les contributions du Liechtenstein aux projets </w:t>
      </w:r>
      <w:r w:rsidR="00826E0F">
        <w:rPr>
          <w:lang w:val="fr-FR"/>
        </w:rPr>
        <w:t>intéressant l</w:t>
      </w:r>
      <w:r w:rsidR="00826E0F" w:rsidRPr="00872599">
        <w:rPr>
          <w:lang w:val="fr-FR"/>
        </w:rPr>
        <w:t>es femmes).</w:t>
      </w:r>
    </w:p>
    <w:p w:rsidR="00815D6C" w:rsidRPr="00815D6C" w:rsidRDefault="00815D6C" w:rsidP="00815D6C">
      <w:pPr>
        <w:pStyle w:val="SingleTxt"/>
        <w:spacing w:after="0" w:line="120" w:lineRule="exact"/>
        <w:rPr>
          <w:sz w:val="10"/>
          <w:lang w:val="fr-FR"/>
        </w:rPr>
      </w:pPr>
    </w:p>
    <w:p w:rsidR="00826E0F" w:rsidRPr="00872599" w:rsidRDefault="00815D6C" w:rsidP="00815D6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826E0F" w:rsidRPr="00872599">
        <w:rPr>
          <w:lang w:val="fr-FR"/>
        </w:rPr>
        <w:t>Convention internationale sur la protection des droits de tous les travailleurs migrants et des membres de leur famille</w:t>
      </w:r>
      <w:r w:rsidR="006645B6">
        <w:rPr>
          <w:lang w:val="fr-FR"/>
        </w:rPr>
        <w:t xml:space="preserve"> </w:t>
      </w:r>
    </w:p>
    <w:p w:rsidR="00815D6C" w:rsidRPr="00815D6C" w:rsidRDefault="00815D6C" w:rsidP="00815D6C">
      <w:pPr>
        <w:pStyle w:val="SingleTxt"/>
        <w:spacing w:after="0" w:line="120" w:lineRule="exact"/>
        <w:rPr>
          <w:b/>
          <w:sz w:val="10"/>
          <w:lang w:val="fr-FR"/>
        </w:rPr>
      </w:pPr>
    </w:p>
    <w:p w:rsidR="00815D6C" w:rsidRPr="00815D6C" w:rsidRDefault="00815D6C" w:rsidP="00815D6C">
      <w:pPr>
        <w:pStyle w:val="SingleTxt"/>
        <w:pBdr>
          <w:top w:val="single" w:sz="4" w:space="1" w:color="auto"/>
          <w:left w:val="single" w:sz="4" w:space="4" w:color="auto"/>
          <w:bottom w:val="single" w:sz="4" w:space="1" w:color="auto"/>
          <w:right w:val="single" w:sz="4" w:space="4" w:color="auto"/>
        </w:pBdr>
        <w:spacing w:after="0" w:line="120" w:lineRule="exact"/>
        <w:rPr>
          <w:b/>
          <w:sz w:val="10"/>
          <w:lang w:val="fr-FR"/>
        </w:rPr>
      </w:pPr>
    </w:p>
    <w:p w:rsidR="00826E0F" w:rsidRPr="00872599" w:rsidRDefault="00826E0F" w:rsidP="00815D6C">
      <w:pPr>
        <w:pStyle w:val="SingleTxt"/>
        <w:pBdr>
          <w:top w:val="single" w:sz="4" w:space="1" w:color="auto"/>
          <w:left w:val="single" w:sz="4" w:space="4" w:color="auto"/>
          <w:bottom w:val="single" w:sz="4" w:space="1" w:color="auto"/>
          <w:right w:val="single" w:sz="4" w:space="4" w:color="auto"/>
        </w:pBdr>
        <w:rPr>
          <w:b/>
          <w:lang w:val="fr-FR"/>
        </w:rPr>
      </w:pPr>
      <w:r w:rsidRPr="00872599">
        <w:rPr>
          <w:b/>
          <w:lang w:val="fr-FR"/>
        </w:rPr>
        <w:t xml:space="preserve">Recommandation du Comité de </w:t>
      </w:r>
      <w:smartTag w:uri="urn:schemas-microsoft-com:office:smarttags" w:element="PersonName">
        <w:smartTagPr>
          <w:attr w:name="ProductID" w:val="la CEDAW"/>
        </w:smartTagPr>
        <w:r w:rsidRPr="00872599">
          <w:rPr>
            <w:b/>
            <w:lang w:val="fr-FR"/>
          </w:rPr>
          <w:t>la CEDAW</w:t>
        </w:r>
      </w:smartTag>
      <w:r w:rsidRPr="00872599">
        <w:rPr>
          <w:b/>
          <w:lang w:val="fr-FR"/>
        </w:rPr>
        <w:t>, n</w:t>
      </w:r>
      <w:r w:rsidRPr="006645B6">
        <w:rPr>
          <w:b/>
          <w:vertAlign w:val="superscript"/>
          <w:lang w:val="fr-FR"/>
        </w:rPr>
        <w:t>o</w:t>
      </w:r>
      <w:r w:rsidR="006645B6">
        <w:rPr>
          <w:b/>
          <w:vertAlign w:val="superscript"/>
          <w:lang w:val="fr-FR"/>
        </w:rPr>
        <w:t xml:space="preserve"> </w:t>
      </w:r>
      <w:r w:rsidRPr="00872599">
        <w:rPr>
          <w:b/>
          <w:lang w:val="fr-FR"/>
        </w:rPr>
        <w:t>30:</w:t>
      </w:r>
    </w:p>
    <w:p w:rsidR="00826E0F" w:rsidRPr="00872599" w:rsidRDefault="00826E0F" w:rsidP="00815D6C">
      <w:pPr>
        <w:pStyle w:val="SingleTxt"/>
        <w:pBdr>
          <w:top w:val="single" w:sz="4" w:space="1" w:color="auto"/>
          <w:left w:val="single" w:sz="4" w:space="4" w:color="auto"/>
          <w:bottom w:val="single" w:sz="4" w:space="1" w:color="auto"/>
          <w:right w:val="single" w:sz="4" w:space="4" w:color="auto"/>
        </w:pBdr>
        <w:rPr>
          <w:i/>
          <w:lang w:val="fr-FR"/>
        </w:rPr>
      </w:pPr>
      <w:r w:rsidRPr="00872599">
        <w:rPr>
          <w:i/>
          <w:lang w:val="fr-FR"/>
        </w:rPr>
        <w:t>Le Comité note que l</w:t>
      </w:r>
      <w:r w:rsidR="006645B6">
        <w:rPr>
          <w:i/>
          <w:lang w:val="fr-FR"/>
        </w:rPr>
        <w:t>’</w:t>
      </w:r>
      <w:r w:rsidRPr="00872599">
        <w:rPr>
          <w:i/>
          <w:lang w:val="fr-FR"/>
        </w:rPr>
        <w:t>adhésion des États aux sept principaux instruments internationaux relatifs aux droits de l</w:t>
      </w:r>
      <w:r w:rsidR="006645B6">
        <w:rPr>
          <w:i/>
          <w:lang w:val="fr-FR"/>
        </w:rPr>
        <w:t>’</w:t>
      </w:r>
      <w:r w:rsidRPr="00872599">
        <w:rPr>
          <w:i/>
          <w:lang w:val="fr-FR"/>
        </w:rPr>
        <w:t>homme permet aux femmes de jouir davantage de leurs droits et de leurs libertés fondamentales dans tous les aspects de leur vie. Il encourage donc le Gouvernement du Liechtenstein à envisager de ratifier le traité auquel il n</w:t>
      </w:r>
      <w:r w:rsidR="006645B6">
        <w:rPr>
          <w:i/>
          <w:lang w:val="fr-FR"/>
        </w:rPr>
        <w:t>’</w:t>
      </w:r>
      <w:r w:rsidRPr="00872599">
        <w:rPr>
          <w:i/>
          <w:lang w:val="fr-FR"/>
        </w:rPr>
        <w:t xml:space="preserve">est pas encore partie, à savoir </w:t>
      </w:r>
      <w:smartTag w:uri="urn:schemas-microsoft-com:office:smarttags" w:element="PersonName">
        <w:smartTagPr>
          <w:attr w:name="ProductID" w:val="la Convention"/>
        </w:smartTagPr>
        <w:r w:rsidRPr="00872599">
          <w:rPr>
            <w:i/>
            <w:lang w:val="fr-FR"/>
          </w:rPr>
          <w:t>la Convention</w:t>
        </w:r>
      </w:smartTag>
      <w:r w:rsidRPr="00872599">
        <w:rPr>
          <w:i/>
          <w:lang w:val="fr-FR"/>
        </w:rPr>
        <w:t xml:space="preserve"> internationale sur la protection des droits de tous les travailleurs migrants et des membres de leur famille.</w:t>
      </w:r>
      <w:r w:rsidR="006645B6">
        <w:rPr>
          <w:b/>
          <w:i/>
          <w:lang w:val="fr-FR"/>
        </w:rPr>
        <w:t xml:space="preserve"> </w:t>
      </w:r>
    </w:p>
    <w:p w:rsidR="00815D6C" w:rsidRPr="00815D6C" w:rsidRDefault="00815D6C" w:rsidP="00815D6C">
      <w:pPr>
        <w:pStyle w:val="SingleTxt"/>
        <w:spacing w:after="0" w:line="120" w:lineRule="exact"/>
        <w:rPr>
          <w:sz w:val="10"/>
          <w:lang w:val="fr-FR"/>
        </w:rPr>
      </w:pPr>
    </w:p>
    <w:p w:rsidR="00826E0F" w:rsidRPr="00872599" w:rsidRDefault="00815D6C" w:rsidP="00497599">
      <w:pPr>
        <w:pStyle w:val="SingleTxt"/>
        <w:rPr>
          <w:lang w:val="fr-FR"/>
        </w:rPr>
      </w:pPr>
      <w:r>
        <w:rPr>
          <w:lang w:val="fr-FR"/>
        </w:rPr>
        <w:tab/>
      </w:r>
      <w:r w:rsidR="00826E0F" w:rsidRPr="00872599">
        <w:rPr>
          <w:lang w:val="fr-FR"/>
        </w:rPr>
        <w:t xml:space="preserve">La Convention internationale sur la protection des droits de tous les travailleurs migrants et des membres de leur famille est entrée en vigueur le 1er juillet 2003. Sont actuellement parties à </w:t>
      </w:r>
      <w:smartTag w:uri="urn:schemas-microsoft-com:office:smarttags" w:element="PersonName">
        <w:smartTagPr>
          <w:attr w:name="ProductID" w:val="la Convention"/>
        </w:smartTagPr>
        <w:r w:rsidR="00826E0F" w:rsidRPr="00872599">
          <w:rPr>
            <w:lang w:val="fr-FR"/>
          </w:rPr>
          <w:t>la Convention</w:t>
        </w:r>
      </w:smartTag>
      <w:r w:rsidR="00826E0F" w:rsidRPr="00872599">
        <w:rPr>
          <w:lang w:val="fr-FR"/>
        </w:rPr>
        <w:t xml:space="preserve"> 37 États dont presque tous sont des pays sources de migration. Ni </w:t>
      </w:r>
      <w:smartTag w:uri="urn:schemas-microsoft-com:office:smarttags" w:element="PersonName">
        <w:smartTagPr>
          <w:attr w:name="ProductID" w:val="la Suisse"/>
        </w:smartTagPr>
        <w:r w:rsidR="00826E0F" w:rsidRPr="00872599">
          <w:rPr>
            <w:lang w:val="fr-FR"/>
          </w:rPr>
          <w:t>la Suisse</w:t>
        </w:r>
      </w:smartTag>
      <w:r w:rsidR="00826E0F" w:rsidRPr="00872599">
        <w:rPr>
          <w:lang w:val="fr-FR"/>
        </w:rPr>
        <w:t xml:space="preserve"> ni aucun membre de l</w:t>
      </w:r>
      <w:r w:rsidR="006645B6">
        <w:rPr>
          <w:lang w:val="fr-FR"/>
        </w:rPr>
        <w:t>’</w:t>
      </w:r>
      <w:r w:rsidR="00826E0F" w:rsidRPr="00872599">
        <w:rPr>
          <w:lang w:val="fr-FR"/>
        </w:rPr>
        <w:t>Union européenne n</w:t>
      </w:r>
      <w:r w:rsidR="006645B6">
        <w:rPr>
          <w:lang w:val="fr-FR"/>
        </w:rPr>
        <w:t>’</w:t>
      </w:r>
      <w:r w:rsidR="00826E0F" w:rsidRPr="00872599">
        <w:rPr>
          <w:lang w:val="fr-FR"/>
        </w:rPr>
        <w:t xml:space="preserve">a ratifié </w:t>
      </w:r>
      <w:smartTag w:uri="urn:schemas-microsoft-com:office:smarttags" w:element="PersonName">
        <w:smartTagPr>
          <w:attr w:name="ProductID" w:val="la Convention"/>
        </w:smartTagPr>
        <w:r w:rsidR="00826E0F" w:rsidRPr="00872599">
          <w:rPr>
            <w:lang w:val="fr-FR"/>
          </w:rPr>
          <w:t>la Convention</w:t>
        </w:r>
      </w:smartTag>
      <w:r w:rsidR="00826E0F" w:rsidRPr="00872599">
        <w:rPr>
          <w:lang w:val="fr-FR"/>
        </w:rPr>
        <w:t xml:space="preserve"> à ce jour. C</w:t>
      </w:r>
      <w:r w:rsidR="006645B6">
        <w:rPr>
          <w:lang w:val="fr-FR"/>
        </w:rPr>
        <w:t>’</w:t>
      </w:r>
      <w:r w:rsidR="00826E0F" w:rsidRPr="00872599">
        <w:rPr>
          <w:lang w:val="fr-FR"/>
        </w:rPr>
        <w:t xml:space="preserve">est pourquoi, et dans la mesure où à ce stade on ne sait pas clairement de quelle manière certaines dispositions de </w:t>
      </w:r>
      <w:smartTag w:uri="urn:schemas-microsoft-com:office:smarttags" w:element="PersonName">
        <w:smartTagPr>
          <w:attr w:name="ProductID" w:val="la Convention"/>
        </w:smartTagPr>
        <w:r w:rsidR="00826E0F" w:rsidRPr="00872599">
          <w:rPr>
            <w:lang w:val="fr-FR"/>
          </w:rPr>
          <w:t>la Convention</w:t>
        </w:r>
      </w:smartTag>
      <w:r w:rsidR="00826E0F" w:rsidRPr="00872599">
        <w:rPr>
          <w:lang w:val="fr-FR"/>
        </w:rPr>
        <w:t xml:space="preserve"> feraient l</w:t>
      </w:r>
      <w:r w:rsidR="006645B6">
        <w:rPr>
          <w:lang w:val="fr-FR"/>
        </w:rPr>
        <w:t>’</w:t>
      </w:r>
      <w:r w:rsidR="00826E0F" w:rsidRPr="00872599">
        <w:rPr>
          <w:lang w:val="fr-FR"/>
        </w:rPr>
        <w:t>objet dans la pratique d</w:t>
      </w:r>
      <w:r w:rsidR="006645B6">
        <w:rPr>
          <w:lang w:val="fr-FR"/>
        </w:rPr>
        <w:t>’</w:t>
      </w:r>
      <w:r w:rsidR="00826E0F" w:rsidRPr="00872599">
        <w:rPr>
          <w:lang w:val="fr-FR"/>
        </w:rPr>
        <w:t>une interprétation susceptible de poser des problèmes au Liechtenstein, il est trop tôt pour envisager sa ratification.</w:t>
      </w:r>
    </w:p>
    <w:p w:rsidR="00815D6C" w:rsidRPr="00815D6C" w:rsidRDefault="00815D6C" w:rsidP="00815D6C">
      <w:pPr>
        <w:pStyle w:val="SingleTxt"/>
        <w:spacing w:after="0" w:line="120" w:lineRule="exact"/>
        <w:rPr>
          <w:sz w:val="10"/>
          <w:lang w:val="fr-FR"/>
        </w:rPr>
      </w:pPr>
    </w:p>
    <w:p w:rsidR="00826E0F" w:rsidRPr="00872599" w:rsidRDefault="00815D6C" w:rsidP="00815D6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826E0F" w:rsidRPr="00872599">
        <w:rPr>
          <w:lang w:val="fr-FR"/>
        </w:rPr>
        <w:t>60</w:t>
      </w:r>
      <w:r w:rsidR="00826E0F" w:rsidRPr="00C04160">
        <w:rPr>
          <w:vertAlign w:val="superscript"/>
          <w:lang w:val="fr-FR"/>
        </w:rPr>
        <w:t>e</w:t>
      </w:r>
      <w:r w:rsidR="00826E0F" w:rsidRPr="00872599">
        <w:rPr>
          <w:lang w:val="fr-FR"/>
        </w:rPr>
        <w:t xml:space="preserve"> anniversaire de l</w:t>
      </w:r>
      <w:r w:rsidR="006645B6">
        <w:rPr>
          <w:lang w:val="fr-FR"/>
        </w:rPr>
        <w:t>’</w:t>
      </w:r>
      <w:r w:rsidR="00826E0F" w:rsidRPr="00872599">
        <w:rPr>
          <w:lang w:val="fr-FR"/>
        </w:rPr>
        <w:t xml:space="preserve">adoption de </w:t>
      </w:r>
      <w:smartTag w:uri="urn:schemas-microsoft-com:office:smarttags" w:element="PersonName">
        <w:smartTagPr>
          <w:attr w:name="ProductID" w:val="la D￩claration"/>
        </w:smartTagPr>
        <w:r w:rsidR="00826E0F" w:rsidRPr="00872599">
          <w:rPr>
            <w:lang w:val="fr-FR"/>
          </w:rPr>
          <w:t>la Déclaration</w:t>
        </w:r>
      </w:smartTag>
      <w:r w:rsidR="00826E0F" w:rsidRPr="00872599">
        <w:rPr>
          <w:lang w:val="fr-FR"/>
        </w:rPr>
        <w:t xml:space="preserve"> universelle des droits</w:t>
      </w:r>
      <w:r>
        <w:rPr>
          <w:lang w:val="fr-FR"/>
        </w:rPr>
        <w:br/>
      </w:r>
      <w:r w:rsidR="00826E0F" w:rsidRPr="00872599">
        <w:rPr>
          <w:lang w:val="fr-FR"/>
        </w:rPr>
        <w:t>de l</w:t>
      </w:r>
      <w:r w:rsidR="006645B6">
        <w:rPr>
          <w:lang w:val="fr-FR"/>
        </w:rPr>
        <w:t>’</w:t>
      </w:r>
      <w:r w:rsidR="00826E0F" w:rsidRPr="00872599">
        <w:rPr>
          <w:lang w:val="fr-FR"/>
        </w:rPr>
        <w:t>homme</w:t>
      </w:r>
    </w:p>
    <w:p w:rsidR="00815D6C" w:rsidRPr="00815D6C" w:rsidRDefault="00815D6C" w:rsidP="00815D6C">
      <w:pPr>
        <w:pStyle w:val="SingleTxt"/>
        <w:spacing w:after="0" w:line="120" w:lineRule="exact"/>
        <w:rPr>
          <w:sz w:val="10"/>
          <w:lang w:val="fr-FR"/>
        </w:rPr>
      </w:pPr>
    </w:p>
    <w:p w:rsidR="00826E0F" w:rsidRPr="00872599" w:rsidRDefault="00815D6C" w:rsidP="00497599">
      <w:pPr>
        <w:pStyle w:val="SingleTxt"/>
        <w:rPr>
          <w:lang w:val="fr-FR"/>
        </w:rPr>
      </w:pPr>
      <w:r>
        <w:rPr>
          <w:lang w:val="fr-FR"/>
        </w:rPr>
        <w:tab/>
      </w:r>
      <w:r w:rsidR="00C04160">
        <w:rPr>
          <w:lang w:val="fr-FR"/>
        </w:rPr>
        <w:t xml:space="preserve">À </w:t>
      </w:r>
      <w:r w:rsidR="00826E0F" w:rsidRPr="00872599">
        <w:rPr>
          <w:lang w:val="fr-FR"/>
        </w:rPr>
        <w:t>l</w:t>
      </w:r>
      <w:r w:rsidR="006645B6">
        <w:rPr>
          <w:lang w:val="fr-FR"/>
        </w:rPr>
        <w:t>’</w:t>
      </w:r>
      <w:r w:rsidR="00826E0F" w:rsidRPr="00872599">
        <w:rPr>
          <w:lang w:val="fr-FR"/>
        </w:rPr>
        <w:t>occasion du 60e anniversaire de l</w:t>
      </w:r>
      <w:r w:rsidR="006645B6">
        <w:rPr>
          <w:lang w:val="fr-FR"/>
        </w:rPr>
        <w:t>’</w:t>
      </w:r>
      <w:r w:rsidR="00826E0F" w:rsidRPr="00872599">
        <w:rPr>
          <w:lang w:val="fr-FR"/>
        </w:rPr>
        <w:t xml:space="preserve">adoption de </w:t>
      </w:r>
      <w:smartTag w:uri="urn:schemas-microsoft-com:office:smarttags" w:element="PersonName">
        <w:smartTagPr>
          <w:attr w:name="ProductID" w:val="la D￩claration"/>
        </w:smartTagPr>
        <w:r w:rsidR="00826E0F" w:rsidRPr="00872599">
          <w:rPr>
            <w:lang w:val="fr-FR"/>
          </w:rPr>
          <w:t>la Déclaration</w:t>
        </w:r>
      </w:smartTag>
      <w:r w:rsidR="00826E0F" w:rsidRPr="00872599">
        <w:rPr>
          <w:lang w:val="fr-FR"/>
        </w:rPr>
        <w:t xml:space="preserve"> universelle des droits de l</w:t>
      </w:r>
      <w:r w:rsidR="006645B6">
        <w:rPr>
          <w:lang w:val="fr-FR"/>
        </w:rPr>
        <w:t>’</w:t>
      </w:r>
      <w:r w:rsidR="00826E0F" w:rsidRPr="00872599">
        <w:rPr>
          <w:lang w:val="fr-FR"/>
        </w:rPr>
        <w:t>homme, de nombreuses activités ont été organisées entre août et décembre 2008. Outre une médiatisation poussée, des activités de formation permanente et des événement culturels ont été organisés. Dans tous les cas, l</w:t>
      </w:r>
      <w:r w:rsidR="006645B6">
        <w:rPr>
          <w:lang w:val="fr-FR"/>
        </w:rPr>
        <w:t>’</w:t>
      </w:r>
      <w:r w:rsidR="00826E0F" w:rsidRPr="00872599">
        <w:rPr>
          <w:lang w:val="fr-FR"/>
        </w:rPr>
        <w:t>importance centrale des droits de l</w:t>
      </w:r>
      <w:r w:rsidR="006645B6">
        <w:rPr>
          <w:lang w:val="fr-FR"/>
        </w:rPr>
        <w:t>’</w:t>
      </w:r>
      <w:r w:rsidR="00826E0F" w:rsidRPr="00872599">
        <w:rPr>
          <w:lang w:val="fr-FR"/>
        </w:rPr>
        <w:t>homme a été soulignée et le public cible a été sensibilisé en conséquence (pour plus de renseignements, voir les remarques concernant l</w:t>
      </w:r>
      <w:r w:rsidR="006645B6">
        <w:rPr>
          <w:lang w:val="fr-FR"/>
        </w:rPr>
        <w:t>’</w:t>
      </w:r>
      <w:r w:rsidR="00826E0F" w:rsidRPr="00872599">
        <w:rPr>
          <w:lang w:val="fr-FR"/>
        </w:rPr>
        <w:t>article 24).</w:t>
      </w:r>
    </w:p>
    <w:p w:rsidR="00815D6C" w:rsidRPr="00815D6C" w:rsidRDefault="00815D6C" w:rsidP="00815D6C">
      <w:pPr>
        <w:pStyle w:val="SingleTxt"/>
        <w:spacing w:after="0" w:line="120" w:lineRule="exact"/>
        <w:rPr>
          <w:sz w:val="10"/>
          <w:lang w:val="fr-FR"/>
        </w:rPr>
      </w:pPr>
    </w:p>
    <w:p w:rsidR="00826E0F" w:rsidRPr="00872599" w:rsidRDefault="00C04160" w:rsidP="00815D6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bookmarkStart w:id="16" w:name="_Toc512341767"/>
      <w:bookmarkStart w:id="17" w:name="_Toc137007647"/>
      <w:bookmarkStart w:id="18" w:name="_Toc239741026"/>
      <w:r>
        <w:rPr>
          <w:lang w:val="fr-FR"/>
        </w:rPr>
        <w:br w:type="page"/>
      </w:r>
      <w:r w:rsidR="00815D6C">
        <w:rPr>
          <w:lang w:val="fr-FR"/>
        </w:rPr>
        <w:tab/>
      </w:r>
      <w:r w:rsidR="00826E0F" w:rsidRPr="00872599">
        <w:rPr>
          <w:lang w:val="fr-FR"/>
        </w:rPr>
        <w:t>Article 4</w:t>
      </w:r>
      <w:r w:rsidR="00A03470">
        <w:rPr>
          <w:lang w:val="fr-FR"/>
        </w:rPr>
        <w:t>.</w:t>
      </w:r>
      <w:r w:rsidR="00826E0F" w:rsidRPr="00872599">
        <w:rPr>
          <w:lang w:val="fr-FR"/>
        </w:rPr>
        <w:tab/>
      </w:r>
      <w:bookmarkEnd w:id="16"/>
      <w:bookmarkEnd w:id="17"/>
      <w:bookmarkEnd w:id="18"/>
      <w:r w:rsidR="00826E0F" w:rsidRPr="00872599">
        <w:rPr>
          <w:lang w:val="fr-FR"/>
        </w:rPr>
        <w:t>Mesures positives destinées à accélérer la réalisation de l</w:t>
      </w:r>
      <w:r w:rsidR="006645B6">
        <w:rPr>
          <w:lang w:val="fr-FR"/>
        </w:rPr>
        <w:t>’</w:t>
      </w:r>
      <w:r w:rsidR="00826E0F" w:rsidRPr="00872599">
        <w:rPr>
          <w:lang w:val="fr-FR"/>
        </w:rPr>
        <w:t>égalité de fait</w:t>
      </w:r>
    </w:p>
    <w:p w:rsidR="00815D6C" w:rsidRPr="00815D6C" w:rsidRDefault="00815D6C" w:rsidP="00815D6C">
      <w:pPr>
        <w:pStyle w:val="SingleTxt"/>
        <w:spacing w:after="0" w:line="120" w:lineRule="exact"/>
        <w:rPr>
          <w:sz w:val="10"/>
          <w:shd w:val="clear" w:color="auto" w:fill="FFFF00"/>
          <w:lang w:val="fr-FR"/>
        </w:rPr>
      </w:pPr>
      <w:bookmarkStart w:id="19" w:name="_Toc512341768"/>
      <w:bookmarkStart w:id="20" w:name="_Toc137007648"/>
    </w:p>
    <w:p w:rsidR="00815D6C" w:rsidRPr="00815D6C" w:rsidRDefault="00815D6C" w:rsidP="00815D6C">
      <w:pPr>
        <w:pStyle w:val="SingleTxt"/>
        <w:pBdr>
          <w:top w:val="single" w:sz="4" w:space="1" w:color="auto"/>
          <w:left w:val="single" w:sz="4" w:space="4" w:color="auto"/>
          <w:bottom w:val="single" w:sz="4" w:space="1" w:color="auto"/>
          <w:right w:val="single" w:sz="4" w:space="4" w:color="auto"/>
        </w:pBdr>
        <w:spacing w:after="0" w:line="120" w:lineRule="exact"/>
        <w:rPr>
          <w:b/>
          <w:sz w:val="10"/>
          <w:lang w:val="fr-FR"/>
        </w:rPr>
      </w:pPr>
    </w:p>
    <w:p w:rsidR="00826E0F" w:rsidRPr="00872599" w:rsidRDefault="00826E0F" w:rsidP="00815D6C">
      <w:pPr>
        <w:pStyle w:val="SingleTxt"/>
        <w:pBdr>
          <w:top w:val="single" w:sz="4" w:space="1" w:color="auto"/>
          <w:left w:val="single" w:sz="4" w:space="4" w:color="auto"/>
          <w:bottom w:val="single" w:sz="4" w:space="1" w:color="auto"/>
          <w:right w:val="single" w:sz="4" w:space="4" w:color="auto"/>
        </w:pBdr>
        <w:rPr>
          <w:b/>
          <w:lang w:val="fr-FR"/>
        </w:rPr>
      </w:pPr>
      <w:r w:rsidRPr="00872599">
        <w:rPr>
          <w:b/>
          <w:lang w:val="fr-FR"/>
        </w:rPr>
        <w:t xml:space="preserve">Recommandation du Comité de </w:t>
      </w:r>
      <w:smartTag w:uri="urn:schemas-microsoft-com:office:smarttags" w:element="PersonName">
        <w:smartTagPr>
          <w:attr w:name="ProductID" w:val="la CEDAW"/>
        </w:smartTagPr>
        <w:r w:rsidRPr="00872599">
          <w:rPr>
            <w:b/>
            <w:lang w:val="fr-FR"/>
          </w:rPr>
          <w:t>la CEDAW</w:t>
        </w:r>
      </w:smartTag>
      <w:r w:rsidRPr="00872599">
        <w:rPr>
          <w:b/>
          <w:lang w:val="fr-FR"/>
        </w:rPr>
        <w:t>, n</w:t>
      </w:r>
      <w:r w:rsidRPr="006645B6">
        <w:rPr>
          <w:b/>
          <w:vertAlign w:val="superscript"/>
          <w:lang w:val="fr-FR"/>
        </w:rPr>
        <w:t>o</w:t>
      </w:r>
      <w:r w:rsidR="006645B6">
        <w:rPr>
          <w:b/>
          <w:vertAlign w:val="superscript"/>
          <w:lang w:val="fr-FR"/>
        </w:rPr>
        <w:t xml:space="preserve"> </w:t>
      </w:r>
      <w:r w:rsidRPr="00872599">
        <w:rPr>
          <w:b/>
          <w:lang w:val="fr-FR"/>
        </w:rPr>
        <w:t>20:</w:t>
      </w:r>
    </w:p>
    <w:p w:rsidR="00826E0F" w:rsidRPr="00872599" w:rsidRDefault="00826E0F" w:rsidP="00815D6C">
      <w:pPr>
        <w:pStyle w:val="SingleTxt"/>
        <w:pBdr>
          <w:top w:val="single" w:sz="4" w:space="1" w:color="auto"/>
          <w:left w:val="single" w:sz="4" w:space="4" w:color="auto"/>
          <w:bottom w:val="single" w:sz="4" w:space="1" w:color="auto"/>
          <w:right w:val="single" w:sz="4" w:space="4" w:color="auto"/>
        </w:pBdr>
        <w:rPr>
          <w:i/>
          <w:lang w:val="fr-FR"/>
        </w:rPr>
      </w:pPr>
      <w:r w:rsidRPr="00872599">
        <w:rPr>
          <w:i/>
          <w:lang w:val="fr-FR"/>
        </w:rPr>
        <w:t>Le Comité recommande à l</w:t>
      </w:r>
      <w:r w:rsidR="006645B6">
        <w:rPr>
          <w:i/>
          <w:lang w:val="fr-FR"/>
        </w:rPr>
        <w:t>’</w:t>
      </w:r>
      <w:r w:rsidRPr="00872599">
        <w:rPr>
          <w:i/>
          <w:lang w:val="fr-FR"/>
        </w:rPr>
        <w:t>État partie d</w:t>
      </w:r>
      <w:r w:rsidR="006645B6">
        <w:rPr>
          <w:i/>
          <w:lang w:val="fr-FR"/>
        </w:rPr>
        <w:t>’</w:t>
      </w:r>
      <w:r w:rsidRPr="00872599">
        <w:rPr>
          <w:i/>
          <w:lang w:val="fr-FR"/>
        </w:rPr>
        <w:t>évaluer de plus près les résultats de l</w:t>
      </w:r>
      <w:r w:rsidR="006645B6">
        <w:rPr>
          <w:i/>
          <w:lang w:val="fr-FR"/>
        </w:rPr>
        <w:t>’</w:t>
      </w:r>
      <w:r w:rsidRPr="00872599">
        <w:rPr>
          <w:i/>
          <w:lang w:val="fr-FR"/>
        </w:rPr>
        <w:t>application des mesures temporaires spéciales qu</w:t>
      </w:r>
      <w:r w:rsidR="006645B6">
        <w:rPr>
          <w:i/>
          <w:lang w:val="fr-FR"/>
        </w:rPr>
        <w:t>’</w:t>
      </w:r>
      <w:r w:rsidRPr="00872599">
        <w:rPr>
          <w:i/>
          <w:lang w:val="fr-FR"/>
        </w:rPr>
        <w:t>il a prises et, en conséquence, d</w:t>
      </w:r>
      <w:r w:rsidR="006645B6">
        <w:rPr>
          <w:i/>
          <w:lang w:val="fr-FR"/>
        </w:rPr>
        <w:t>’</w:t>
      </w:r>
      <w:r w:rsidRPr="00872599">
        <w:rPr>
          <w:i/>
          <w:lang w:val="fr-FR"/>
        </w:rPr>
        <w:t>envisager d</w:t>
      </w:r>
      <w:r w:rsidR="006645B6">
        <w:rPr>
          <w:i/>
          <w:lang w:val="fr-FR"/>
        </w:rPr>
        <w:t>’</w:t>
      </w:r>
      <w:r w:rsidRPr="00872599">
        <w:rPr>
          <w:i/>
          <w:lang w:val="fr-FR"/>
        </w:rPr>
        <w:t>élargir ces mesures à l</w:t>
      </w:r>
      <w:r w:rsidR="006645B6">
        <w:rPr>
          <w:i/>
          <w:lang w:val="fr-FR"/>
        </w:rPr>
        <w:t>’</w:t>
      </w:r>
      <w:r w:rsidRPr="00872599">
        <w:rPr>
          <w:i/>
          <w:lang w:val="fr-FR"/>
        </w:rPr>
        <w:t xml:space="preserve">aide de diverses stratégies </w:t>
      </w:r>
      <w:r w:rsidRPr="00872599">
        <w:rPr>
          <w:i/>
          <w:lang w:val="fr-FR"/>
        </w:rPr>
        <w:br/>
        <w:t>– mesures législatives et administratives, programmes de sensibilisation et d</w:t>
      </w:r>
      <w:r w:rsidR="006645B6">
        <w:rPr>
          <w:i/>
          <w:lang w:val="fr-FR"/>
        </w:rPr>
        <w:t>’</w:t>
      </w:r>
      <w:r w:rsidRPr="00872599">
        <w:rPr>
          <w:i/>
          <w:lang w:val="fr-FR"/>
        </w:rPr>
        <w:t>appui, allocation de ressources et adoption de mesures d</w:t>
      </w:r>
      <w:r w:rsidR="006645B6">
        <w:rPr>
          <w:i/>
          <w:lang w:val="fr-FR"/>
        </w:rPr>
        <w:t>’</w:t>
      </w:r>
      <w:r w:rsidRPr="00872599">
        <w:rPr>
          <w:i/>
          <w:lang w:val="fr-FR"/>
        </w:rPr>
        <w:t>incitation, recrutement ciblé et fixation d</w:t>
      </w:r>
      <w:r w:rsidR="006645B6">
        <w:rPr>
          <w:i/>
          <w:lang w:val="fr-FR"/>
        </w:rPr>
        <w:t>’</w:t>
      </w:r>
      <w:r w:rsidRPr="00872599">
        <w:rPr>
          <w:i/>
          <w:lang w:val="fr-FR"/>
        </w:rPr>
        <w:t>objectifs assortis de délais ainsi que de quotas. Pour ce faire, l</w:t>
      </w:r>
      <w:r w:rsidR="006645B6">
        <w:rPr>
          <w:i/>
          <w:lang w:val="fr-FR"/>
        </w:rPr>
        <w:t>’</w:t>
      </w:r>
      <w:r w:rsidRPr="00872599">
        <w:rPr>
          <w:i/>
          <w:lang w:val="fr-FR"/>
        </w:rPr>
        <w:t>État partie devrait tenir compte de la recommandation générale 25 du Comité sur le paragraphe 1 de l</w:t>
      </w:r>
      <w:r w:rsidR="006645B6">
        <w:rPr>
          <w:i/>
          <w:lang w:val="fr-FR"/>
        </w:rPr>
        <w:t>’</w:t>
      </w:r>
      <w:r w:rsidRPr="00872599">
        <w:rPr>
          <w:i/>
          <w:lang w:val="fr-FR"/>
        </w:rPr>
        <w:t xml:space="preserve">article 4 de </w:t>
      </w:r>
      <w:smartTag w:uri="urn:schemas-microsoft-com:office:smarttags" w:element="PersonName">
        <w:smartTagPr>
          <w:attr w:name="ProductID" w:val="la Convention."/>
        </w:smartTagPr>
        <w:r w:rsidRPr="00872599">
          <w:rPr>
            <w:i/>
            <w:lang w:val="fr-FR"/>
          </w:rPr>
          <w:t>la Convention</w:t>
        </w:r>
        <w:r w:rsidRPr="00872599">
          <w:rPr>
            <w:b/>
            <w:i/>
            <w:lang w:val="fr-FR"/>
          </w:rPr>
          <w:t>.</w:t>
        </w:r>
      </w:smartTag>
    </w:p>
    <w:p w:rsidR="00815D6C" w:rsidRPr="00815D6C" w:rsidRDefault="00815D6C" w:rsidP="00815D6C">
      <w:pPr>
        <w:pStyle w:val="SingleTxt"/>
        <w:spacing w:after="0" w:line="120" w:lineRule="exact"/>
        <w:rPr>
          <w:sz w:val="10"/>
          <w:lang w:val="fr-FR"/>
        </w:rPr>
      </w:pPr>
    </w:p>
    <w:p w:rsidR="00826E0F" w:rsidRPr="00872599" w:rsidRDefault="00815D6C" w:rsidP="00497599">
      <w:pPr>
        <w:pStyle w:val="SingleTxt"/>
        <w:rPr>
          <w:lang w:val="fr-FR"/>
        </w:rPr>
      </w:pPr>
      <w:r>
        <w:rPr>
          <w:lang w:val="fr-FR"/>
        </w:rPr>
        <w:tab/>
      </w:r>
      <w:r w:rsidR="00826E0F" w:rsidRPr="00872599">
        <w:rPr>
          <w:lang w:val="fr-FR"/>
        </w:rPr>
        <w:t>Le Liechtenstein assure la promotion et le soutien des femmes dans de nombreux domaines de l</w:t>
      </w:r>
      <w:r w:rsidR="006645B6">
        <w:rPr>
          <w:lang w:val="fr-FR"/>
        </w:rPr>
        <w:t>’</w:t>
      </w:r>
      <w:r w:rsidR="00826E0F" w:rsidRPr="00872599">
        <w:rPr>
          <w:lang w:val="fr-FR"/>
        </w:rPr>
        <w:t>existence où elles risquent d</w:t>
      </w:r>
      <w:r w:rsidR="006645B6">
        <w:rPr>
          <w:lang w:val="fr-FR"/>
        </w:rPr>
        <w:t>’</w:t>
      </w:r>
      <w:r w:rsidR="00826E0F" w:rsidRPr="00872599">
        <w:rPr>
          <w:lang w:val="fr-FR"/>
        </w:rPr>
        <w:t>être défavorisées et pour ce faire applique un large éventail de méthodes. Ces mesures de promotion sont en fin de compte justifié</w:t>
      </w:r>
      <w:r w:rsidR="00826E0F">
        <w:rPr>
          <w:lang w:val="fr-FR"/>
        </w:rPr>
        <w:t>e</w:t>
      </w:r>
      <w:r w:rsidR="00826E0F" w:rsidRPr="00872599">
        <w:rPr>
          <w:lang w:val="fr-FR"/>
        </w:rPr>
        <w:t>s par l</w:t>
      </w:r>
      <w:r w:rsidR="006645B6">
        <w:rPr>
          <w:lang w:val="fr-FR"/>
        </w:rPr>
        <w:t>’</w:t>
      </w:r>
      <w:r w:rsidR="00826E0F" w:rsidRPr="00872599">
        <w:rPr>
          <w:lang w:val="fr-FR"/>
        </w:rPr>
        <w:t>inégalité de fait qui règne aujourd</w:t>
      </w:r>
      <w:r w:rsidR="006645B6">
        <w:rPr>
          <w:lang w:val="fr-FR"/>
        </w:rPr>
        <w:t>’</w:t>
      </w:r>
      <w:r w:rsidR="00826E0F" w:rsidRPr="00872599">
        <w:rPr>
          <w:lang w:val="fr-FR"/>
        </w:rPr>
        <w:t>hui. D</w:t>
      </w:r>
      <w:r w:rsidR="006645B6">
        <w:rPr>
          <w:lang w:val="fr-FR"/>
        </w:rPr>
        <w:t>’</w:t>
      </w:r>
      <w:r w:rsidR="00826E0F" w:rsidRPr="00872599">
        <w:rPr>
          <w:lang w:val="fr-FR"/>
        </w:rPr>
        <w:t>après l</w:t>
      </w:r>
      <w:r w:rsidR="006645B6">
        <w:rPr>
          <w:lang w:val="fr-FR"/>
        </w:rPr>
        <w:t>’</w:t>
      </w:r>
      <w:r w:rsidR="00826E0F" w:rsidRPr="00872599">
        <w:rPr>
          <w:lang w:val="fr-FR"/>
        </w:rPr>
        <w:t>article 31, les femmes ne peuvent pas faire l</w:t>
      </w:r>
      <w:r w:rsidR="006645B6">
        <w:rPr>
          <w:lang w:val="fr-FR"/>
        </w:rPr>
        <w:t>’</w:t>
      </w:r>
      <w:r w:rsidR="00826E0F" w:rsidRPr="00872599">
        <w:rPr>
          <w:lang w:val="fr-FR"/>
        </w:rPr>
        <w:t>objet d</w:t>
      </w:r>
      <w:r w:rsidR="006645B6">
        <w:rPr>
          <w:lang w:val="fr-FR"/>
        </w:rPr>
        <w:t>’</w:t>
      </w:r>
      <w:r w:rsidR="00826E0F" w:rsidRPr="00872599">
        <w:rPr>
          <w:lang w:val="fr-FR"/>
        </w:rPr>
        <w:t>un traitement juridique différent sauf en ce qui concerne la grossesse, l</w:t>
      </w:r>
      <w:r w:rsidR="006645B6">
        <w:rPr>
          <w:lang w:val="fr-FR"/>
        </w:rPr>
        <w:t>’</w:t>
      </w:r>
      <w:r w:rsidR="00826E0F" w:rsidRPr="00872599">
        <w:rPr>
          <w:lang w:val="fr-FR"/>
        </w:rPr>
        <w:t xml:space="preserve">accouchement et la maternité. Cependant le paragraphe </w:t>
      </w:r>
      <w:smartTag w:uri="urn:schemas-microsoft-com:office:smarttags" w:element="metricconverter">
        <w:smartTagPr>
          <w:attr w:name="ProductID" w:val="4 a"/>
        </w:smartTagPr>
        <w:r w:rsidR="00826E0F" w:rsidRPr="00872599">
          <w:rPr>
            <w:lang w:val="fr-FR"/>
          </w:rPr>
          <w:t>4 a</w:t>
        </w:r>
      </w:smartTag>
      <w:r w:rsidR="00826E0F" w:rsidRPr="00872599">
        <w:rPr>
          <w:lang w:val="fr-FR"/>
        </w:rPr>
        <w:t>) de l</w:t>
      </w:r>
      <w:r w:rsidR="006645B6">
        <w:rPr>
          <w:lang w:val="fr-FR"/>
        </w:rPr>
        <w:t>’</w:t>
      </w:r>
      <w:r w:rsidR="00826E0F" w:rsidRPr="00872599">
        <w:rPr>
          <w:lang w:val="fr-FR"/>
        </w:rPr>
        <w:t>article 3 de la loi sur l</w:t>
      </w:r>
      <w:r w:rsidR="006645B6">
        <w:rPr>
          <w:lang w:val="fr-FR"/>
        </w:rPr>
        <w:t>’</w:t>
      </w:r>
      <w:r w:rsidR="00826E0F" w:rsidRPr="00872599">
        <w:rPr>
          <w:lang w:val="fr-FR"/>
        </w:rPr>
        <w:t>égalité entre les sexes précise que les mesures appropriées prises pour mettre en place une égalité effective ne constituent pas une discrimination. Cela étant, chaque entreprise est libre de déterminer la meilleure manière de mettre en oeuvre les mesures choisies.</w:t>
      </w:r>
    </w:p>
    <w:p w:rsidR="00826E0F" w:rsidRPr="00872599" w:rsidRDefault="00815D6C" w:rsidP="00497599">
      <w:pPr>
        <w:pStyle w:val="SingleTxt"/>
        <w:rPr>
          <w:lang w:val="fr-FR"/>
        </w:rPr>
      </w:pPr>
      <w:r>
        <w:rPr>
          <w:lang w:val="fr-FR"/>
        </w:rPr>
        <w:tab/>
      </w:r>
      <w:r w:rsidR="00826E0F" w:rsidRPr="00872599">
        <w:rPr>
          <w:lang w:val="fr-FR"/>
        </w:rPr>
        <w:t>Ces dernières années, le Gouvernement a pris diverses mesures pour assurer la promotion des femmes. Il s</w:t>
      </w:r>
      <w:r w:rsidR="006645B6">
        <w:rPr>
          <w:lang w:val="fr-FR"/>
        </w:rPr>
        <w:t>’</w:t>
      </w:r>
      <w:r w:rsidR="00826E0F" w:rsidRPr="00872599">
        <w:rPr>
          <w:lang w:val="fr-FR"/>
        </w:rPr>
        <w:t>agit notamment des mesures mentionnées au sujet des articles 2 et 3, des articles 5 à 7 et des articles 10 à 13. Tant que, malgré ces efforts, les femmes sont sous-représentées aux postes d</w:t>
      </w:r>
      <w:r w:rsidR="006645B6">
        <w:rPr>
          <w:lang w:val="fr-FR"/>
        </w:rPr>
        <w:t>’</w:t>
      </w:r>
      <w:r w:rsidR="00826E0F" w:rsidRPr="00872599">
        <w:rPr>
          <w:lang w:val="fr-FR"/>
        </w:rPr>
        <w:t>encadrement politique, économique et social, le Gouvernement continuera de poursuivre la mise en oeuvre de la politique du Liechtenstein en faveur des femmes pour promouvoir leur égalité grâce à des mesures ciblées.</w:t>
      </w:r>
    </w:p>
    <w:p w:rsidR="00815D6C" w:rsidRPr="00815D6C" w:rsidRDefault="00815D6C" w:rsidP="00815D6C">
      <w:pPr>
        <w:pStyle w:val="SingleTxt"/>
        <w:spacing w:after="0" w:line="120" w:lineRule="exact"/>
        <w:rPr>
          <w:sz w:val="10"/>
          <w:lang w:val="fr-FR"/>
        </w:rPr>
      </w:pPr>
      <w:bookmarkStart w:id="21" w:name="_Toc239741027"/>
    </w:p>
    <w:p w:rsidR="00826E0F" w:rsidRPr="00872599" w:rsidRDefault="00815D6C" w:rsidP="00815D6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00826E0F" w:rsidRPr="00872599">
        <w:rPr>
          <w:lang w:val="fr-FR"/>
        </w:rPr>
        <w:t>Article 5</w:t>
      </w:r>
      <w:r w:rsidR="00A03470">
        <w:rPr>
          <w:lang w:val="fr-FR"/>
        </w:rPr>
        <w:t>.</w:t>
      </w:r>
      <w:r w:rsidR="00826E0F" w:rsidRPr="00872599">
        <w:rPr>
          <w:lang w:val="fr-FR"/>
        </w:rPr>
        <w:tab/>
      </w:r>
      <w:bookmarkEnd w:id="19"/>
      <w:bookmarkEnd w:id="20"/>
      <w:bookmarkEnd w:id="21"/>
      <w:r w:rsidR="00826E0F" w:rsidRPr="00872599">
        <w:rPr>
          <w:lang w:val="fr-FR"/>
        </w:rPr>
        <w:t>Modification des modèles de comportement socioculturel</w:t>
      </w:r>
    </w:p>
    <w:p w:rsidR="00815D6C" w:rsidRPr="00815D6C" w:rsidRDefault="00815D6C" w:rsidP="00815D6C">
      <w:pPr>
        <w:pStyle w:val="SingleTxt"/>
        <w:spacing w:after="0" w:line="120" w:lineRule="exact"/>
        <w:rPr>
          <w:sz w:val="10"/>
          <w:lang w:val="fr-FR"/>
        </w:rPr>
      </w:pPr>
      <w:bookmarkStart w:id="22" w:name="_Toc512341769"/>
      <w:bookmarkStart w:id="23" w:name="_Toc137007649"/>
    </w:p>
    <w:p w:rsidR="00826E0F" w:rsidRPr="00872599" w:rsidRDefault="00815D6C" w:rsidP="00815D6C">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00826E0F" w:rsidRPr="00872599">
        <w:rPr>
          <w:lang w:val="fr-FR"/>
        </w:rPr>
        <w:t>a)</w:t>
      </w:r>
      <w:r>
        <w:rPr>
          <w:lang w:val="fr-FR"/>
        </w:rPr>
        <w:tab/>
      </w:r>
      <w:r w:rsidR="00826E0F" w:rsidRPr="00872599">
        <w:rPr>
          <w:lang w:val="fr-FR"/>
        </w:rPr>
        <w:t xml:space="preserve"> Mesures visant à éliminer les préjugés, les idées de supériorité ou d</w:t>
      </w:r>
      <w:r w:rsidR="006645B6">
        <w:rPr>
          <w:lang w:val="fr-FR"/>
        </w:rPr>
        <w:t>’</w:t>
      </w:r>
      <w:r w:rsidR="00826E0F" w:rsidRPr="00872599">
        <w:rPr>
          <w:lang w:val="fr-FR"/>
        </w:rPr>
        <w:t xml:space="preserve">infériorité, </w:t>
      </w:r>
      <w:r w:rsidR="00826E0F" w:rsidRPr="00872599">
        <w:rPr>
          <w:lang w:val="fr-FR"/>
        </w:rPr>
        <w:br/>
        <w:t>et les stéréotypes quant au rôle des sexes</w:t>
      </w:r>
      <w:r w:rsidR="006645B6">
        <w:rPr>
          <w:lang w:val="fr-FR"/>
        </w:rPr>
        <w:t xml:space="preserve"> </w:t>
      </w:r>
    </w:p>
    <w:p w:rsidR="00815D6C" w:rsidRPr="00815D6C" w:rsidRDefault="00815D6C" w:rsidP="00815D6C">
      <w:pPr>
        <w:pStyle w:val="SingleTxt"/>
        <w:spacing w:after="0" w:line="120" w:lineRule="exact"/>
        <w:rPr>
          <w:i/>
          <w:sz w:val="10"/>
          <w:u w:val="single"/>
          <w:lang w:val="fr-FR"/>
        </w:rPr>
      </w:pPr>
    </w:p>
    <w:p w:rsidR="00815D6C" w:rsidRPr="00815D6C" w:rsidRDefault="00815D6C" w:rsidP="00815D6C">
      <w:pPr>
        <w:pStyle w:val="SingleTxt"/>
        <w:pBdr>
          <w:top w:val="single" w:sz="4" w:space="1" w:color="auto"/>
          <w:left w:val="single" w:sz="4" w:space="4" w:color="auto"/>
          <w:bottom w:val="single" w:sz="4" w:space="1" w:color="auto"/>
          <w:right w:val="single" w:sz="4" w:space="4" w:color="auto"/>
        </w:pBdr>
        <w:spacing w:after="0" w:line="120" w:lineRule="exact"/>
        <w:rPr>
          <w:i/>
          <w:sz w:val="10"/>
          <w:lang w:val="fr-FR"/>
        </w:rPr>
      </w:pPr>
    </w:p>
    <w:p w:rsidR="00826E0F" w:rsidRPr="00872599" w:rsidRDefault="00826E0F" w:rsidP="00815D6C">
      <w:pPr>
        <w:pStyle w:val="SingleTxt"/>
        <w:pBdr>
          <w:top w:val="single" w:sz="4" w:space="1" w:color="auto"/>
          <w:left w:val="single" w:sz="4" w:space="4" w:color="auto"/>
          <w:bottom w:val="single" w:sz="4" w:space="1" w:color="auto"/>
          <w:right w:val="single" w:sz="4" w:space="4" w:color="auto"/>
        </w:pBdr>
        <w:rPr>
          <w:b/>
          <w:lang w:val="fr-FR"/>
        </w:rPr>
      </w:pPr>
      <w:r w:rsidRPr="00872599">
        <w:rPr>
          <w:b/>
          <w:lang w:val="fr-FR"/>
        </w:rPr>
        <w:t xml:space="preserve">Recommandation de </w:t>
      </w:r>
      <w:smartTag w:uri="urn:schemas-microsoft-com:office:smarttags" w:element="PersonName">
        <w:smartTagPr>
          <w:attr w:name="ProductID" w:val="la CEDAW"/>
        </w:smartTagPr>
        <w:r w:rsidRPr="00872599">
          <w:rPr>
            <w:b/>
            <w:lang w:val="fr-FR"/>
          </w:rPr>
          <w:t>la CEDAW</w:t>
        </w:r>
      </w:smartTag>
      <w:r w:rsidRPr="00872599">
        <w:rPr>
          <w:b/>
          <w:lang w:val="fr-FR"/>
        </w:rPr>
        <w:t>, n</w:t>
      </w:r>
      <w:r w:rsidRPr="006645B6">
        <w:rPr>
          <w:b/>
          <w:vertAlign w:val="superscript"/>
          <w:lang w:val="fr-FR"/>
        </w:rPr>
        <w:t>o</w:t>
      </w:r>
      <w:r w:rsidR="006645B6">
        <w:rPr>
          <w:b/>
          <w:vertAlign w:val="superscript"/>
          <w:lang w:val="fr-FR"/>
        </w:rPr>
        <w:t xml:space="preserve"> </w:t>
      </w:r>
      <w:r w:rsidRPr="00872599">
        <w:rPr>
          <w:b/>
          <w:lang w:val="fr-FR"/>
        </w:rPr>
        <w:t>22</w:t>
      </w:r>
      <w:r w:rsidR="00A03470">
        <w:rPr>
          <w:b/>
          <w:lang w:val="fr-FR"/>
        </w:rPr>
        <w:t> </w:t>
      </w:r>
      <w:r w:rsidRPr="00872599">
        <w:rPr>
          <w:b/>
          <w:lang w:val="fr-FR"/>
        </w:rPr>
        <w:t>:</w:t>
      </w:r>
    </w:p>
    <w:p w:rsidR="00826E0F" w:rsidRPr="00815D6C" w:rsidRDefault="00826E0F" w:rsidP="00815D6C">
      <w:pPr>
        <w:pStyle w:val="SingleTxt"/>
        <w:pBdr>
          <w:top w:val="single" w:sz="4" w:space="1" w:color="auto"/>
          <w:left w:val="single" w:sz="4" w:space="4" w:color="auto"/>
          <w:bottom w:val="single" w:sz="4" w:space="1" w:color="auto"/>
          <w:right w:val="single" w:sz="4" w:space="4" w:color="auto"/>
        </w:pBdr>
        <w:rPr>
          <w:i/>
          <w:lang w:val="fr-FR"/>
        </w:rPr>
      </w:pPr>
      <w:r w:rsidRPr="00815D6C">
        <w:rPr>
          <w:i/>
          <w:lang w:val="fr-FR"/>
        </w:rPr>
        <w:t>Le Comité demande à l</w:t>
      </w:r>
      <w:r w:rsidR="006645B6">
        <w:rPr>
          <w:i/>
          <w:lang w:val="fr-FR"/>
        </w:rPr>
        <w:t>’</w:t>
      </w:r>
      <w:r w:rsidRPr="00815D6C">
        <w:rPr>
          <w:i/>
          <w:lang w:val="fr-FR"/>
        </w:rPr>
        <w:t>État partie de mettre en place une politique générale, concernant aussi bien les hommes et les femmes que les garçons et les filles, qui permette d</w:t>
      </w:r>
      <w:r w:rsidR="006645B6">
        <w:rPr>
          <w:i/>
          <w:lang w:val="fr-FR"/>
        </w:rPr>
        <w:t>’</w:t>
      </w:r>
      <w:r w:rsidRPr="00815D6C">
        <w:rPr>
          <w:i/>
          <w:lang w:val="fr-FR"/>
        </w:rPr>
        <w:t>éliminer les stéréotypes traditionnels concernant les rôles des femmes et des hommes dans la société et dans la famille, conformément à l</w:t>
      </w:r>
      <w:r w:rsidR="006645B6">
        <w:rPr>
          <w:i/>
          <w:lang w:val="fr-FR"/>
        </w:rPr>
        <w:t>’</w:t>
      </w:r>
      <w:r w:rsidRPr="00815D6C">
        <w:rPr>
          <w:i/>
          <w:lang w:val="fr-FR"/>
        </w:rPr>
        <w:t>alinéa f) de l</w:t>
      </w:r>
      <w:r w:rsidR="006645B6">
        <w:rPr>
          <w:i/>
          <w:lang w:val="fr-FR"/>
        </w:rPr>
        <w:t>’</w:t>
      </w:r>
      <w:r w:rsidRPr="00815D6C">
        <w:rPr>
          <w:i/>
          <w:lang w:val="fr-FR"/>
        </w:rPr>
        <w:t>article 2 et à l</w:t>
      </w:r>
      <w:r w:rsidR="006645B6">
        <w:rPr>
          <w:i/>
          <w:lang w:val="fr-FR"/>
        </w:rPr>
        <w:t>’</w:t>
      </w:r>
      <w:r w:rsidRPr="00815D6C">
        <w:rPr>
          <w:i/>
          <w:lang w:val="fr-FR"/>
        </w:rPr>
        <w:t>alinéa a) de l</w:t>
      </w:r>
      <w:r w:rsidR="006645B6">
        <w:rPr>
          <w:i/>
          <w:lang w:val="fr-FR"/>
        </w:rPr>
        <w:t>’</w:t>
      </w:r>
      <w:r w:rsidRPr="00815D6C">
        <w:rPr>
          <w:i/>
          <w:lang w:val="fr-FR"/>
        </w:rPr>
        <w:t xml:space="preserve">article 5 de </w:t>
      </w:r>
      <w:smartTag w:uri="urn:schemas-microsoft-com:office:smarttags" w:element="PersonName">
        <w:smartTagPr>
          <w:attr w:name="ProductID" w:val="la Convention. Une"/>
        </w:smartTagPr>
        <w:r w:rsidRPr="00815D6C">
          <w:rPr>
            <w:i/>
            <w:lang w:val="fr-FR"/>
          </w:rPr>
          <w:t>la Convention. Une</w:t>
        </w:r>
      </w:smartTag>
      <w:r w:rsidRPr="00815D6C">
        <w:rPr>
          <w:i/>
          <w:lang w:val="fr-FR"/>
        </w:rPr>
        <w:t xml:space="preserve"> telle politique devrait comprendre des mesures juridiques, administratives et de sensibilisation, faire intervenir les pouvoirs publics et la société civile et viser la population dans son ensemble. Elle devrait aussi faire intervenir les différents médias, notamment la presse écrite et Internet, et comporter aussi bien des programmes spécialisés que des programmes généraux.</w:t>
      </w:r>
      <w:r w:rsidR="006645B6">
        <w:rPr>
          <w:i/>
          <w:lang w:val="fr-FR"/>
        </w:rPr>
        <w:t xml:space="preserve"> </w:t>
      </w:r>
    </w:p>
    <w:p w:rsidR="00815D6C" w:rsidRPr="00815D6C" w:rsidRDefault="00815D6C" w:rsidP="00815D6C">
      <w:pPr>
        <w:pStyle w:val="SingleTxt"/>
        <w:spacing w:after="0" w:line="120" w:lineRule="exact"/>
        <w:rPr>
          <w:sz w:val="10"/>
          <w:lang w:val="fr-FR"/>
        </w:rPr>
      </w:pPr>
    </w:p>
    <w:p w:rsidR="00826E0F" w:rsidRPr="00872599" w:rsidRDefault="00815D6C" w:rsidP="00497599">
      <w:pPr>
        <w:pStyle w:val="SingleTxt"/>
        <w:rPr>
          <w:lang w:val="fr-FR"/>
        </w:rPr>
      </w:pPr>
      <w:r>
        <w:rPr>
          <w:lang w:val="fr-FR"/>
        </w:rPr>
        <w:tab/>
      </w:r>
      <w:r w:rsidR="00826E0F" w:rsidRPr="00872599">
        <w:rPr>
          <w:lang w:val="fr-FR"/>
        </w:rPr>
        <w:t>Bien que de nombreuses femmes, notamment des femmes jeunes, réclament actuellement les mêmes possibilités que les hommes en faisant preuve d</w:t>
      </w:r>
      <w:r w:rsidR="006645B6">
        <w:rPr>
          <w:lang w:val="fr-FR"/>
        </w:rPr>
        <w:t>’</w:t>
      </w:r>
      <w:r w:rsidR="00826E0F" w:rsidRPr="00872599">
        <w:rPr>
          <w:lang w:val="fr-FR"/>
        </w:rPr>
        <w:t>une profonde confiance en elle</w:t>
      </w:r>
      <w:r w:rsidR="00826E0F">
        <w:rPr>
          <w:lang w:val="fr-FR"/>
        </w:rPr>
        <w:t>s</w:t>
      </w:r>
      <w:r w:rsidR="00826E0F" w:rsidRPr="00872599">
        <w:rPr>
          <w:lang w:val="fr-FR"/>
        </w:rPr>
        <w:t>-même</w:t>
      </w:r>
      <w:r w:rsidR="00826E0F">
        <w:rPr>
          <w:lang w:val="fr-FR"/>
        </w:rPr>
        <w:t>s</w:t>
      </w:r>
      <w:r w:rsidR="00826E0F" w:rsidRPr="00872599">
        <w:rPr>
          <w:lang w:val="fr-FR"/>
        </w:rPr>
        <w:t xml:space="preserve"> et d</w:t>
      </w:r>
      <w:r w:rsidR="006645B6">
        <w:rPr>
          <w:lang w:val="fr-FR"/>
        </w:rPr>
        <w:t>’</w:t>
      </w:r>
      <w:r w:rsidR="00826E0F" w:rsidRPr="00872599">
        <w:rPr>
          <w:lang w:val="fr-FR"/>
        </w:rPr>
        <w:t>un très grand pragmatisme et que de nombreux hommes, notamment des hommes jeunes, s</w:t>
      </w:r>
      <w:r w:rsidR="006645B6">
        <w:rPr>
          <w:lang w:val="fr-FR"/>
        </w:rPr>
        <w:t>’</w:t>
      </w:r>
      <w:r w:rsidR="00826E0F" w:rsidRPr="00872599">
        <w:rPr>
          <w:lang w:val="fr-FR"/>
        </w:rPr>
        <w:t>attribuent un rôle dans la société, dans leurs relations et dans leur famille libre de stéréotypes patriarcaux, la conduite de beaucoup de personnes reste néanmoins influencée par des clichés sexospécifiques. Pour permettre une modification plus poussée des attitudes, le Bureau de l</w:t>
      </w:r>
      <w:r w:rsidR="006645B6">
        <w:rPr>
          <w:lang w:val="fr-FR"/>
        </w:rPr>
        <w:t>’</w:t>
      </w:r>
      <w:r w:rsidR="00826E0F" w:rsidRPr="00872599">
        <w:rPr>
          <w:lang w:val="fr-FR"/>
        </w:rPr>
        <w:t>égalité des chances a mené à bien plusieurs projets pendant la période considérée dans le but de dissiper les images de rôle stéréotypées.</w:t>
      </w:r>
    </w:p>
    <w:p w:rsidR="00C04160" w:rsidRPr="00C04160" w:rsidRDefault="00C04160" w:rsidP="00C04160">
      <w:pPr>
        <w:pStyle w:val="SingleTxt"/>
        <w:spacing w:after="0" w:line="120" w:lineRule="exact"/>
        <w:rPr>
          <w:sz w:val="10"/>
          <w:lang w:val="fr-FR"/>
        </w:rPr>
      </w:pPr>
    </w:p>
    <w:p w:rsidR="00826E0F" w:rsidRPr="00872599" w:rsidRDefault="00815D6C" w:rsidP="00815D6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826E0F" w:rsidRPr="00872599">
        <w:rPr>
          <w:lang w:val="fr-FR"/>
        </w:rPr>
        <w:t>Images des hommes</w:t>
      </w:r>
    </w:p>
    <w:p w:rsidR="00815D6C" w:rsidRPr="00815D6C" w:rsidRDefault="00815D6C" w:rsidP="00815D6C">
      <w:pPr>
        <w:pStyle w:val="SingleTxt"/>
        <w:spacing w:after="0" w:line="120" w:lineRule="exact"/>
        <w:rPr>
          <w:sz w:val="10"/>
          <w:lang w:val="fr-FR"/>
        </w:rPr>
      </w:pPr>
    </w:p>
    <w:p w:rsidR="00826E0F" w:rsidRPr="00872599" w:rsidRDefault="00815D6C" w:rsidP="00497599">
      <w:pPr>
        <w:pStyle w:val="SingleTxt"/>
        <w:rPr>
          <w:lang w:val="fr-FR"/>
        </w:rPr>
      </w:pPr>
      <w:r>
        <w:rPr>
          <w:lang w:val="fr-FR"/>
        </w:rPr>
        <w:tab/>
      </w:r>
      <w:r w:rsidR="00826E0F" w:rsidRPr="00872599">
        <w:rPr>
          <w:lang w:val="fr-FR"/>
        </w:rPr>
        <w:t xml:space="preserve">Le groupe </w:t>
      </w:r>
      <w:r w:rsidR="00C04160">
        <w:rPr>
          <w:lang w:val="fr-FR"/>
        </w:rPr>
        <w:t>« </w:t>
      </w:r>
      <w:r w:rsidR="00826E0F" w:rsidRPr="00872599">
        <w:rPr>
          <w:lang w:val="fr-FR"/>
        </w:rPr>
        <w:t>Images des hommes»</w:t>
      </w:r>
      <w:r w:rsidR="006645B6">
        <w:rPr>
          <w:lang w:val="fr-FR"/>
        </w:rPr>
        <w:t xml:space="preserve"> </w:t>
      </w:r>
      <w:r w:rsidR="00826E0F" w:rsidRPr="00872599">
        <w:rPr>
          <w:lang w:val="fr-FR"/>
        </w:rPr>
        <w:t>a poursuivi régulièrement ses activités depuis le dernier rapport. Le Bureau de l</w:t>
      </w:r>
      <w:r w:rsidR="006645B6">
        <w:rPr>
          <w:lang w:val="fr-FR"/>
        </w:rPr>
        <w:t>’</w:t>
      </w:r>
      <w:r w:rsidR="00826E0F" w:rsidRPr="00872599">
        <w:rPr>
          <w:lang w:val="fr-FR"/>
        </w:rPr>
        <w:t>égalité des chances est l</w:t>
      </w:r>
      <w:r w:rsidR="006645B6">
        <w:rPr>
          <w:lang w:val="fr-FR"/>
        </w:rPr>
        <w:t>’</w:t>
      </w:r>
      <w:r w:rsidR="00826E0F" w:rsidRPr="00872599">
        <w:rPr>
          <w:lang w:val="fr-FR"/>
        </w:rPr>
        <w:t>organe de coordination et d</w:t>
      </w:r>
      <w:r w:rsidR="006645B6">
        <w:rPr>
          <w:lang w:val="fr-FR"/>
        </w:rPr>
        <w:t>’</w:t>
      </w:r>
      <w:r w:rsidR="00826E0F" w:rsidRPr="00872599">
        <w:rPr>
          <w:lang w:val="fr-FR"/>
        </w:rPr>
        <w:t>administration de ce groupe. Il a rédigé une note d</w:t>
      </w:r>
      <w:r w:rsidR="006645B6">
        <w:rPr>
          <w:lang w:val="fr-FR"/>
        </w:rPr>
        <w:t>’</w:t>
      </w:r>
      <w:r w:rsidR="00826E0F" w:rsidRPr="00872599">
        <w:rPr>
          <w:lang w:val="fr-FR"/>
        </w:rPr>
        <w:t xml:space="preserve">orientation sur la </w:t>
      </w:r>
      <w:r w:rsidR="00C04160">
        <w:rPr>
          <w:lang w:val="fr-FR"/>
        </w:rPr>
        <w:t>« </w:t>
      </w:r>
      <w:r w:rsidR="00826E0F" w:rsidRPr="00872599">
        <w:rPr>
          <w:lang w:val="fr-FR"/>
        </w:rPr>
        <w:t>Règle de la prise en charge commune des enfants</w:t>
      </w:r>
      <w:r w:rsidR="00C04160">
        <w:rPr>
          <w:lang w:val="fr-FR"/>
        </w:rPr>
        <w:t> </w:t>
      </w:r>
      <w:r w:rsidR="00826E0F" w:rsidRPr="00872599">
        <w:rPr>
          <w:lang w:val="fr-FR"/>
        </w:rPr>
        <w:t>». D</w:t>
      </w:r>
      <w:r w:rsidR="006645B6">
        <w:rPr>
          <w:lang w:val="fr-FR"/>
        </w:rPr>
        <w:t>’</w:t>
      </w:r>
      <w:r w:rsidR="00826E0F" w:rsidRPr="00872599">
        <w:rPr>
          <w:lang w:val="fr-FR"/>
        </w:rPr>
        <w:t xml:space="preserve">octobre à décembre 2007, Images des hommes a organisé quatre soirées de discussion intitulées </w:t>
      </w:r>
      <w:r w:rsidR="00C04160">
        <w:rPr>
          <w:lang w:val="fr-FR"/>
        </w:rPr>
        <w:t>« </w:t>
      </w:r>
      <w:r w:rsidR="00826E0F" w:rsidRPr="00872599">
        <w:rPr>
          <w:lang w:val="fr-FR"/>
        </w:rPr>
        <w:t>Bavardage d</w:t>
      </w:r>
      <w:r w:rsidR="006645B6">
        <w:rPr>
          <w:lang w:val="fr-FR"/>
        </w:rPr>
        <w:t>’</w:t>
      </w:r>
      <w:r w:rsidR="00826E0F" w:rsidRPr="00872599">
        <w:rPr>
          <w:lang w:val="fr-FR"/>
        </w:rPr>
        <w:t>hommes</w:t>
      </w:r>
      <w:r w:rsidR="00C04160">
        <w:rPr>
          <w:lang w:val="fr-FR"/>
        </w:rPr>
        <w:t> </w:t>
      </w:r>
      <w:r w:rsidR="00826E0F" w:rsidRPr="00872599">
        <w:rPr>
          <w:lang w:val="fr-FR"/>
        </w:rPr>
        <w:t>». En décembre 2007, le groupe a présenté son site web révisé www.mannsbilder.li. Depuis 2002, les fonds assignés au projet permettent d</w:t>
      </w:r>
      <w:r w:rsidR="006645B6">
        <w:rPr>
          <w:lang w:val="fr-FR"/>
        </w:rPr>
        <w:t>’</w:t>
      </w:r>
      <w:r w:rsidR="00826E0F" w:rsidRPr="00872599">
        <w:rPr>
          <w:lang w:val="fr-FR"/>
        </w:rPr>
        <w:t xml:space="preserve">offrir gratuitement des conseils juridiques aux hommes en situation de divorce. Chaque année, deux à quatre rencontres sont financées dans des écoles sur le sujet </w:t>
      </w:r>
      <w:r w:rsidR="00C04160">
        <w:rPr>
          <w:lang w:val="fr-FR"/>
        </w:rPr>
        <w:t>« </w:t>
      </w:r>
      <w:r w:rsidR="00826E0F">
        <w:rPr>
          <w:lang w:val="fr-FR"/>
        </w:rPr>
        <w:t>Des f</w:t>
      </w:r>
      <w:r w:rsidR="00826E0F" w:rsidRPr="00872599">
        <w:rPr>
          <w:lang w:val="fr-FR"/>
        </w:rPr>
        <w:t>illes et garçons forts</w:t>
      </w:r>
      <w:r w:rsidR="00C04160">
        <w:t> </w:t>
      </w:r>
      <w:r w:rsidR="00826E0F" w:rsidRPr="00872599">
        <w:rPr>
          <w:lang w:val="fr-FR"/>
        </w:rPr>
        <w:t xml:space="preserve">» . </w:t>
      </w:r>
      <w:r w:rsidR="00CC772D" w:rsidRPr="00872599">
        <w:rPr>
          <w:lang w:val="fr-FR"/>
        </w:rPr>
        <w:t>Sous forme d</w:t>
      </w:r>
      <w:r w:rsidR="006645B6">
        <w:rPr>
          <w:lang w:val="fr-FR"/>
        </w:rPr>
        <w:t>’</w:t>
      </w:r>
      <w:r w:rsidR="00CC772D" w:rsidRPr="00872599">
        <w:rPr>
          <w:lang w:val="fr-FR"/>
        </w:rPr>
        <w:t>un cours d</w:t>
      </w:r>
      <w:r w:rsidR="006645B6">
        <w:rPr>
          <w:lang w:val="fr-FR"/>
        </w:rPr>
        <w:t>’</w:t>
      </w:r>
      <w:r w:rsidR="00CC772D" w:rsidRPr="00872599">
        <w:rPr>
          <w:lang w:val="fr-FR"/>
        </w:rPr>
        <w:t>une journée destiné aux filles et aux garçons de dix ans et plus, ces rencontres traitent des stéréotypes sexospécifiques, font ressortir le rapport entre la publicité et les rôles attribués aux hommes et aux femmes, luttent contre les préjugés et les types de comportement forcé à l</w:t>
      </w:r>
      <w:r w:rsidR="006645B6">
        <w:rPr>
          <w:lang w:val="fr-FR"/>
        </w:rPr>
        <w:t>’</w:t>
      </w:r>
      <w:r w:rsidR="00CC772D" w:rsidRPr="00872599">
        <w:rPr>
          <w:lang w:val="fr-FR"/>
        </w:rPr>
        <w:t>égard de l</w:t>
      </w:r>
      <w:r w:rsidR="006645B6">
        <w:rPr>
          <w:lang w:val="fr-FR"/>
        </w:rPr>
        <w:t>’</w:t>
      </w:r>
      <w:r w:rsidR="00CC772D" w:rsidRPr="00872599">
        <w:rPr>
          <w:lang w:val="fr-FR"/>
        </w:rPr>
        <w:t>autre sexe et donne aux enfants une plus grande confiance en eux-mêmes.</w:t>
      </w:r>
    </w:p>
    <w:p w:rsidR="00826E0F" w:rsidRPr="00872599" w:rsidRDefault="00815D6C" w:rsidP="00497599">
      <w:pPr>
        <w:pStyle w:val="SingleTxt"/>
        <w:rPr>
          <w:lang w:val="fr-FR"/>
        </w:rPr>
      </w:pPr>
      <w:r>
        <w:rPr>
          <w:lang w:val="fr-FR"/>
        </w:rPr>
        <w:tab/>
      </w:r>
      <w:r w:rsidR="00826E0F" w:rsidRPr="00872599">
        <w:rPr>
          <w:lang w:val="fr-FR"/>
        </w:rPr>
        <w:t>En 2008, un groupe de travail interne a discuté de l</w:t>
      </w:r>
      <w:r w:rsidR="006645B6">
        <w:rPr>
          <w:lang w:val="fr-FR"/>
        </w:rPr>
        <w:t>’</w:t>
      </w:r>
      <w:r w:rsidR="00826E0F" w:rsidRPr="00872599">
        <w:rPr>
          <w:lang w:val="fr-FR"/>
        </w:rPr>
        <w:t xml:space="preserve">avenir du groupe Images des hommes. Le souhait a été exprimé de créer un Bureau de contact distinct pour les hommes. Le 17 juin, une association à but non lucratif intitulée </w:t>
      </w:r>
      <w:r w:rsidR="00C04160">
        <w:rPr>
          <w:lang w:val="fr-FR"/>
        </w:rPr>
        <w:t>« </w:t>
      </w:r>
      <w:r w:rsidR="00826E0F" w:rsidRPr="00872599">
        <w:rPr>
          <w:lang w:val="fr-FR"/>
        </w:rPr>
        <w:t>Centre pour les questions des hommes</w:t>
      </w:r>
      <w:r w:rsidR="006645B6">
        <w:rPr>
          <w:lang w:val="fr-FR"/>
        </w:rPr>
        <w:t xml:space="preserve"> » </w:t>
      </w:r>
      <w:r w:rsidR="00826E0F" w:rsidRPr="00872599">
        <w:rPr>
          <w:lang w:val="fr-FR"/>
        </w:rPr>
        <w:t>a été crée par les membres masculins du groupe.</w:t>
      </w:r>
    </w:p>
    <w:p w:rsidR="00815D6C" w:rsidRPr="00815D6C" w:rsidRDefault="00815D6C" w:rsidP="00815D6C">
      <w:pPr>
        <w:pStyle w:val="SingleTxt"/>
        <w:spacing w:after="0" w:line="120" w:lineRule="exact"/>
        <w:rPr>
          <w:sz w:val="10"/>
          <w:lang w:val="fr-FR"/>
        </w:rPr>
      </w:pPr>
    </w:p>
    <w:p w:rsidR="00826E0F" w:rsidRPr="00872599" w:rsidRDefault="00815D6C" w:rsidP="00815D6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826E0F" w:rsidRPr="00872599">
        <w:rPr>
          <w:lang w:val="fr-FR"/>
        </w:rPr>
        <w:t>Journée des pères</w:t>
      </w:r>
    </w:p>
    <w:p w:rsidR="00815D6C" w:rsidRPr="00815D6C" w:rsidRDefault="00815D6C" w:rsidP="00815D6C">
      <w:pPr>
        <w:pStyle w:val="SingleTxt"/>
        <w:spacing w:after="0" w:line="120" w:lineRule="exact"/>
        <w:rPr>
          <w:sz w:val="10"/>
          <w:lang w:val="fr-FR"/>
        </w:rPr>
      </w:pPr>
    </w:p>
    <w:p w:rsidR="00826E0F" w:rsidRPr="00872599" w:rsidRDefault="00815D6C" w:rsidP="00497599">
      <w:pPr>
        <w:pStyle w:val="SingleTxt"/>
        <w:rPr>
          <w:lang w:val="fr-FR"/>
        </w:rPr>
      </w:pPr>
      <w:r>
        <w:rPr>
          <w:lang w:val="fr-FR"/>
        </w:rPr>
        <w:tab/>
      </w:r>
      <w:r w:rsidR="00826E0F" w:rsidRPr="00872599">
        <w:rPr>
          <w:lang w:val="fr-FR"/>
        </w:rPr>
        <w:t xml:space="preserve">Après une évaluation poussée du projet </w:t>
      </w:r>
      <w:r w:rsidR="00C04160">
        <w:rPr>
          <w:lang w:val="fr-FR"/>
        </w:rPr>
        <w:t>« </w:t>
      </w:r>
      <w:r w:rsidR="00826E0F" w:rsidRPr="00872599">
        <w:rPr>
          <w:lang w:val="fr-FR"/>
        </w:rPr>
        <w:t>Journée des pères</w:t>
      </w:r>
      <w:r w:rsidR="006645B6">
        <w:rPr>
          <w:lang w:val="fr-FR"/>
        </w:rPr>
        <w:t> »</w:t>
      </w:r>
      <w:r w:rsidR="00826E0F" w:rsidRPr="00872599">
        <w:rPr>
          <w:lang w:val="fr-FR"/>
        </w:rPr>
        <w:t xml:space="preserve"> au cours de laquelle les enfants </w:t>
      </w:r>
      <w:r w:rsidR="00CC772D" w:rsidRPr="00872599">
        <w:rPr>
          <w:lang w:val="fr-FR"/>
        </w:rPr>
        <w:t>rendent</w:t>
      </w:r>
      <w:r w:rsidR="00826E0F" w:rsidRPr="00872599">
        <w:rPr>
          <w:lang w:val="fr-FR"/>
        </w:rPr>
        <w:t xml:space="preserve"> visite à leurs pères </w:t>
      </w:r>
      <w:r w:rsidR="00826E0F">
        <w:rPr>
          <w:lang w:val="fr-FR"/>
        </w:rPr>
        <w:t>sur leur lieu</w:t>
      </w:r>
      <w:r w:rsidR="00826E0F" w:rsidRPr="00872599">
        <w:rPr>
          <w:lang w:val="fr-FR"/>
        </w:rPr>
        <w:t xml:space="preserve"> de travail et où également les pères rendent visite à leurs enfants à l</w:t>
      </w:r>
      <w:r w:rsidR="006645B6">
        <w:rPr>
          <w:lang w:val="fr-FR"/>
        </w:rPr>
        <w:t>’</w:t>
      </w:r>
      <w:r w:rsidR="00826E0F" w:rsidRPr="00872599">
        <w:rPr>
          <w:lang w:val="fr-FR"/>
        </w:rPr>
        <w:t>école, le concept a été revu en 2006</w:t>
      </w:r>
      <w:r w:rsidR="006645B6">
        <w:rPr>
          <w:lang w:val="fr-FR"/>
        </w:rPr>
        <w:t> :</w:t>
      </w:r>
      <w:r w:rsidR="00826E0F" w:rsidRPr="00872599">
        <w:rPr>
          <w:lang w:val="fr-FR"/>
        </w:rPr>
        <w:t xml:space="preserve"> </w:t>
      </w:r>
      <w:smartTag w:uri="urn:schemas-microsoft-com:office:smarttags" w:element="PersonName">
        <w:smartTagPr>
          <w:attr w:name="ProductID" w:val="la Journ￩e"/>
        </w:smartTagPr>
        <w:r w:rsidR="00826E0F" w:rsidRPr="00872599">
          <w:rPr>
            <w:lang w:val="fr-FR"/>
          </w:rPr>
          <w:t>la Journée</w:t>
        </w:r>
      </w:smartTag>
      <w:r w:rsidR="00826E0F" w:rsidRPr="00872599">
        <w:rPr>
          <w:lang w:val="fr-FR"/>
        </w:rPr>
        <w:t xml:space="preserve"> des pères alterne dorénavant entre lieu de travail et école. </w:t>
      </w:r>
      <w:smartTag w:uri="urn:schemas-microsoft-com:office:smarttags" w:element="PersonName">
        <w:smartTagPr>
          <w:attr w:name="ProductID" w:val="la Journ￩e"/>
        </w:smartTagPr>
        <w:r w:rsidR="00826E0F" w:rsidRPr="00872599">
          <w:rPr>
            <w:lang w:val="fr-FR"/>
          </w:rPr>
          <w:t>La Journée</w:t>
        </w:r>
      </w:smartTag>
      <w:r w:rsidR="00826E0F" w:rsidRPr="00872599">
        <w:rPr>
          <w:lang w:val="fr-FR"/>
        </w:rPr>
        <w:t xml:space="preserve"> des pères a été organisée avec succès dans les écoles en 2007. À la mi-septembre 2008, elle a de nouveau été organisée dans les entreprises.</w:t>
      </w:r>
    </w:p>
    <w:p w:rsidR="00815D6C" w:rsidRPr="00815D6C" w:rsidRDefault="00815D6C" w:rsidP="00815D6C">
      <w:pPr>
        <w:pStyle w:val="SingleTxt"/>
        <w:spacing w:after="0" w:line="120" w:lineRule="exact"/>
        <w:rPr>
          <w:b/>
          <w:sz w:val="10"/>
          <w:lang w:val="fr-FR"/>
        </w:rPr>
      </w:pPr>
    </w:p>
    <w:p w:rsidR="00826E0F" w:rsidRPr="00872599" w:rsidRDefault="00815D6C" w:rsidP="00815D6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C04160">
        <w:rPr>
          <w:lang w:val="fr-FR"/>
        </w:rPr>
        <w:t xml:space="preserve">À </w:t>
      </w:r>
      <w:r w:rsidR="00826E0F" w:rsidRPr="00872599">
        <w:rPr>
          <w:lang w:val="fr-FR"/>
        </w:rPr>
        <w:t xml:space="preserve">quoi rêvent les filles – </w:t>
      </w:r>
      <w:r w:rsidR="00C04160">
        <w:rPr>
          <w:lang w:val="fr-FR"/>
        </w:rPr>
        <w:t xml:space="preserve">À </w:t>
      </w:r>
      <w:r w:rsidR="00826E0F" w:rsidRPr="00872599">
        <w:rPr>
          <w:lang w:val="fr-FR"/>
        </w:rPr>
        <w:t>quoi rêvent les garçons</w:t>
      </w:r>
    </w:p>
    <w:p w:rsidR="00815D6C" w:rsidRPr="00815D6C" w:rsidRDefault="00815D6C" w:rsidP="00815D6C">
      <w:pPr>
        <w:pStyle w:val="SingleTxt"/>
        <w:spacing w:after="0" w:line="120" w:lineRule="exact"/>
        <w:rPr>
          <w:sz w:val="10"/>
          <w:lang w:val="fr-FR"/>
        </w:rPr>
      </w:pPr>
    </w:p>
    <w:p w:rsidR="00826E0F" w:rsidRPr="00872599" w:rsidRDefault="00815D6C" w:rsidP="00497599">
      <w:pPr>
        <w:pStyle w:val="SingleTxt"/>
        <w:rPr>
          <w:lang w:val="fr-FR"/>
        </w:rPr>
      </w:pPr>
      <w:r>
        <w:rPr>
          <w:lang w:val="fr-FR"/>
        </w:rPr>
        <w:tab/>
      </w:r>
      <w:r w:rsidR="00826E0F" w:rsidRPr="00872599">
        <w:rPr>
          <w:lang w:val="fr-FR"/>
        </w:rPr>
        <w:t>Comme suite à la réunion d</w:t>
      </w:r>
      <w:r w:rsidR="006645B6">
        <w:rPr>
          <w:lang w:val="fr-FR"/>
        </w:rPr>
        <w:t>’</w:t>
      </w:r>
      <w:r w:rsidR="00826E0F" w:rsidRPr="00872599">
        <w:rPr>
          <w:lang w:val="fr-FR"/>
        </w:rPr>
        <w:t xml:space="preserve">experts sur le thème </w:t>
      </w:r>
      <w:r w:rsidR="00C04160">
        <w:rPr>
          <w:lang w:val="fr-FR"/>
        </w:rPr>
        <w:t xml:space="preserve">« À </w:t>
      </w:r>
      <w:r w:rsidR="00826E0F" w:rsidRPr="00872599">
        <w:rPr>
          <w:lang w:val="fr-FR"/>
        </w:rPr>
        <w:t xml:space="preserve">quoi rêvent les filles – </w:t>
      </w:r>
      <w:r w:rsidR="00C04160">
        <w:rPr>
          <w:lang w:val="fr-FR"/>
        </w:rPr>
        <w:t xml:space="preserve">À </w:t>
      </w:r>
      <w:r w:rsidR="00826E0F" w:rsidRPr="00872599">
        <w:rPr>
          <w:lang w:val="fr-FR"/>
        </w:rPr>
        <w:t>quoi rêvent les garçons</w:t>
      </w:r>
      <w:r w:rsidR="006645B6">
        <w:rPr>
          <w:lang w:val="fr-FR"/>
        </w:rPr>
        <w:t> »</w:t>
      </w:r>
      <w:r w:rsidR="00826E0F" w:rsidRPr="00872599">
        <w:rPr>
          <w:lang w:val="fr-FR"/>
        </w:rPr>
        <w:t xml:space="preserve"> organisée par le Bureau de l</w:t>
      </w:r>
      <w:r w:rsidR="006645B6">
        <w:rPr>
          <w:lang w:val="fr-FR"/>
        </w:rPr>
        <w:t>’</w:t>
      </w:r>
      <w:r w:rsidR="00826E0F" w:rsidRPr="00872599">
        <w:rPr>
          <w:lang w:val="fr-FR"/>
        </w:rPr>
        <w:t>éducation et le Bureau de l</w:t>
      </w:r>
      <w:r w:rsidR="006645B6">
        <w:rPr>
          <w:lang w:val="fr-FR"/>
        </w:rPr>
        <w:t>’</w:t>
      </w:r>
      <w:r w:rsidR="00826E0F" w:rsidRPr="00872599">
        <w:rPr>
          <w:lang w:val="fr-FR"/>
        </w:rPr>
        <w:t xml:space="preserve">égalité des chances, le cours de formation permanente sur le </w:t>
      </w:r>
      <w:r w:rsidR="00C04160">
        <w:rPr>
          <w:lang w:val="fr-FR"/>
        </w:rPr>
        <w:t>« </w:t>
      </w:r>
      <w:r w:rsidR="00826E0F" w:rsidRPr="00872599">
        <w:rPr>
          <w:lang w:val="fr-FR"/>
        </w:rPr>
        <w:t>travail pédagogique avec les garçons</w:t>
      </w:r>
      <w:r w:rsidR="006645B6">
        <w:rPr>
          <w:lang w:val="fr-FR"/>
        </w:rPr>
        <w:t xml:space="preserve"> » </w:t>
      </w:r>
      <w:r w:rsidR="00826E0F" w:rsidRPr="00872599">
        <w:rPr>
          <w:lang w:val="fr-FR"/>
        </w:rPr>
        <w:t>a été dispensé pendant l</w:t>
      </w:r>
      <w:r w:rsidR="006645B6">
        <w:rPr>
          <w:lang w:val="fr-FR"/>
        </w:rPr>
        <w:t>’</w:t>
      </w:r>
      <w:r w:rsidR="00826E0F" w:rsidRPr="00872599">
        <w:rPr>
          <w:lang w:val="fr-FR"/>
        </w:rPr>
        <w:t>année scolaire</w:t>
      </w:r>
      <w:r w:rsidR="00826E0F">
        <w:rPr>
          <w:lang w:val="fr-FR"/>
        </w:rPr>
        <w:t xml:space="preserve"> 2006-</w:t>
      </w:r>
      <w:r w:rsidR="00826E0F" w:rsidRPr="00872599">
        <w:rPr>
          <w:lang w:val="fr-FR"/>
        </w:rPr>
        <w:t>07 à l</w:t>
      </w:r>
      <w:r w:rsidR="006645B6">
        <w:rPr>
          <w:lang w:val="fr-FR"/>
        </w:rPr>
        <w:t>’</w:t>
      </w:r>
      <w:r w:rsidR="00826E0F" w:rsidRPr="00872599">
        <w:rPr>
          <w:lang w:val="fr-FR"/>
        </w:rPr>
        <w:t>intention plus particulièrement des enseignants de jardins d</w:t>
      </w:r>
      <w:r w:rsidR="006645B6">
        <w:rPr>
          <w:lang w:val="fr-FR"/>
        </w:rPr>
        <w:t>’</w:t>
      </w:r>
      <w:r w:rsidR="00826E0F" w:rsidRPr="00872599">
        <w:rPr>
          <w:lang w:val="fr-FR"/>
        </w:rPr>
        <w:t>enfants et d</w:t>
      </w:r>
      <w:r w:rsidR="006645B6">
        <w:rPr>
          <w:lang w:val="fr-FR"/>
        </w:rPr>
        <w:t>’</w:t>
      </w:r>
      <w:r w:rsidR="00826E0F" w:rsidRPr="00872599">
        <w:rPr>
          <w:lang w:val="fr-FR"/>
        </w:rPr>
        <w:t>écoles primaires. Ce cours a lui aussi été dispensé par le Bureau de l</w:t>
      </w:r>
      <w:r w:rsidR="006645B6">
        <w:rPr>
          <w:lang w:val="fr-FR"/>
        </w:rPr>
        <w:t>’</w:t>
      </w:r>
      <w:r w:rsidR="00826E0F" w:rsidRPr="00872599">
        <w:rPr>
          <w:lang w:val="fr-FR"/>
        </w:rPr>
        <w:t>éducation pendant l</w:t>
      </w:r>
      <w:r w:rsidR="006645B6">
        <w:rPr>
          <w:lang w:val="fr-FR"/>
        </w:rPr>
        <w:t>’</w:t>
      </w:r>
      <w:r w:rsidR="00826E0F" w:rsidRPr="00872599">
        <w:rPr>
          <w:lang w:val="fr-FR"/>
        </w:rPr>
        <w:t>année scolaire 2008-09. Il s</w:t>
      </w:r>
      <w:r w:rsidR="006645B6">
        <w:rPr>
          <w:lang w:val="fr-FR"/>
        </w:rPr>
        <w:t>’</w:t>
      </w:r>
      <w:r w:rsidR="00826E0F" w:rsidRPr="00872599">
        <w:rPr>
          <w:lang w:val="fr-FR"/>
        </w:rPr>
        <w:t>agit de donner de l</w:t>
      </w:r>
      <w:r w:rsidR="006645B6">
        <w:rPr>
          <w:lang w:val="fr-FR"/>
        </w:rPr>
        <w:t>’</w:t>
      </w:r>
      <w:r w:rsidR="00826E0F" w:rsidRPr="00872599">
        <w:rPr>
          <w:lang w:val="fr-FR"/>
        </w:rPr>
        <w:t>inspiration en vue du travail pédagogique quotidien avec les garçons. En gérant mieux les garçons, on crée davantage d</w:t>
      </w:r>
      <w:r w:rsidR="006645B6">
        <w:rPr>
          <w:lang w:val="fr-FR"/>
        </w:rPr>
        <w:t>’</w:t>
      </w:r>
      <w:r w:rsidR="00826E0F" w:rsidRPr="00872599">
        <w:rPr>
          <w:lang w:val="fr-FR"/>
        </w:rPr>
        <w:t>espace pour les filles en classe. Les sujets visés par le cours combinent l</w:t>
      </w:r>
      <w:r w:rsidR="006645B6">
        <w:rPr>
          <w:lang w:val="fr-FR"/>
        </w:rPr>
        <w:t>’</w:t>
      </w:r>
      <w:r w:rsidR="00826E0F" w:rsidRPr="00872599">
        <w:rPr>
          <w:lang w:val="fr-FR"/>
        </w:rPr>
        <w:t>information générale avec la pratique et aident à mettre en place des applications adaptées aux individus. Le cours s</w:t>
      </w:r>
      <w:r w:rsidR="006645B6">
        <w:rPr>
          <w:lang w:val="fr-FR"/>
        </w:rPr>
        <w:t>’</w:t>
      </w:r>
      <w:r w:rsidR="00826E0F" w:rsidRPr="00872599">
        <w:rPr>
          <w:lang w:val="fr-FR"/>
        </w:rPr>
        <w:t>étendant sur une année, son contenu peut-être évalué en fonction des conditions de travail des enseignants.</w:t>
      </w:r>
    </w:p>
    <w:p w:rsidR="00815D6C" w:rsidRPr="00815D6C" w:rsidRDefault="00815D6C" w:rsidP="00815D6C">
      <w:pPr>
        <w:pStyle w:val="SingleTxt"/>
        <w:spacing w:after="0" w:line="120" w:lineRule="exact"/>
        <w:rPr>
          <w:sz w:val="10"/>
          <w:lang w:val="fr-FR"/>
        </w:rPr>
      </w:pPr>
    </w:p>
    <w:p w:rsidR="00826E0F" w:rsidRPr="00872599" w:rsidRDefault="00815D6C" w:rsidP="00815D6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826E0F" w:rsidRPr="00872599">
        <w:rPr>
          <w:lang w:val="fr-FR"/>
        </w:rPr>
        <w:t>Travail avec les jeunes</w:t>
      </w:r>
    </w:p>
    <w:p w:rsidR="00815D6C" w:rsidRPr="00815D6C" w:rsidRDefault="00815D6C" w:rsidP="00815D6C">
      <w:pPr>
        <w:pStyle w:val="SingleTxt"/>
        <w:spacing w:after="0" w:line="120" w:lineRule="exact"/>
        <w:rPr>
          <w:sz w:val="10"/>
          <w:lang w:val="fr-FR"/>
        </w:rPr>
      </w:pPr>
    </w:p>
    <w:p w:rsidR="00826E0F" w:rsidRPr="00872599" w:rsidRDefault="00815D6C" w:rsidP="00497599">
      <w:pPr>
        <w:pStyle w:val="SingleTxt"/>
        <w:rPr>
          <w:lang w:val="fr-FR"/>
        </w:rPr>
      </w:pPr>
      <w:r>
        <w:rPr>
          <w:lang w:val="fr-FR"/>
        </w:rPr>
        <w:tab/>
      </w:r>
      <w:r w:rsidR="00826E0F" w:rsidRPr="00872599">
        <w:rPr>
          <w:lang w:val="fr-FR"/>
        </w:rPr>
        <w:t xml:space="preserve">Des rencontres de jeunes sont organisées dans toutes les municipalités du Liechtenstein. Chacune de ces rencontres donne lieu à des campagnes spécialement orientées vers les souhaits et les besoins actuels des jeunes gens, filles et garçons. On peut citer comme exemple les: </w:t>
      </w:r>
      <w:r w:rsidR="00C04160">
        <w:rPr>
          <w:lang w:val="fr-FR"/>
        </w:rPr>
        <w:t>« </w:t>
      </w:r>
      <w:r w:rsidR="00826E0F" w:rsidRPr="00872599">
        <w:rPr>
          <w:lang w:val="fr-FR"/>
        </w:rPr>
        <w:t>Nuits pour les filles</w:t>
      </w:r>
      <w:r w:rsidR="006645B6">
        <w:rPr>
          <w:lang w:val="fr-FR"/>
        </w:rPr>
        <w:t xml:space="preserve"> » </w:t>
      </w:r>
      <w:r w:rsidR="00826E0F" w:rsidRPr="00872599">
        <w:rPr>
          <w:lang w:val="fr-FR"/>
        </w:rPr>
        <w:t xml:space="preserve">destinées et les </w:t>
      </w:r>
      <w:r w:rsidR="00C04160">
        <w:rPr>
          <w:lang w:val="fr-FR"/>
        </w:rPr>
        <w:t>« </w:t>
      </w:r>
      <w:r w:rsidR="00826E0F" w:rsidRPr="00872599">
        <w:rPr>
          <w:lang w:val="fr-FR"/>
        </w:rPr>
        <w:t>Nuits pour les garçons</w:t>
      </w:r>
      <w:r w:rsidR="006645B6">
        <w:rPr>
          <w:lang w:val="fr-FR"/>
        </w:rPr>
        <w:t> »</w:t>
      </w:r>
      <w:r w:rsidR="00826E0F" w:rsidRPr="00872599">
        <w:rPr>
          <w:lang w:val="fr-FR"/>
        </w:rPr>
        <w:t>, la formation à l</w:t>
      </w:r>
      <w:r w:rsidR="006645B6">
        <w:rPr>
          <w:lang w:val="fr-FR"/>
        </w:rPr>
        <w:t>’</w:t>
      </w:r>
      <w:r w:rsidR="00826E0F" w:rsidRPr="00872599">
        <w:rPr>
          <w:lang w:val="fr-FR"/>
        </w:rPr>
        <w:t>autodéfense pour les filles et les possibilités de voyage seulement pour les filles.</w:t>
      </w:r>
    </w:p>
    <w:p w:rsidR="00815D6C" w:rsidRPr="00815D6C" w:rsidRDefault="00815D6C" w:rsidP="00815D6C">
      <w:pPr>
        <w:pStyle w:val="SingleTxt"/>
        <w:spacing w:after="0" w:line="120" w:lineRule="exact"/>
        <w:rPr>
          <w:sz w:val="10"/>
          <w:lang w:val="fr-FR"/>
        </w:rPr>
      </w:pPr>
    </w:p>
    <w:p w:rsidR="00826E0F" w:rsidRPr="00872599" w:rsidRDefault="00815D6C" w:rsidP="00815D6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826E0F" w:rsidRPr="00872599">
        <w:rPr>
          <w:lang w:val="fr-FR"/>
        </w:rPr>
        <w:t>Atelier de réflexion sur les images</w:t>
      </w:r>
      <w:r w:rsidR="00826E0F">
        <w:rPr>
          <w:lang w:val="fr-FR"/>
        </w:rPr>
        <w:t xml:space="preserve"> sexospécifiques</w:t>
      </w:r>
    </w:p>
    <w:p w:rsidR="00815D6C" w:rsidRPr="00815D6C" w:rsidRDefault="00815D6C" w:rsidP="00815D6C">
      <w:pPr>
        <w:pStyle w:val="SingleTxt"/>
        <w:spacing w:after="0" w:line="120" w:lineRule="exact"/>
        <w:rPr>
          <w:sz w:val="10"/>
          <w:lang w:val="fr-FR"/>
        </w:rPr>
      </w:pPr>
    </w:p>
    <w:p w:rsidR="00826E0F" w:rsidRPr="00872599" w:rsidRDefault="00815D6C" w:rsidP="00497599">
      <w:pPr>
        <w:pStyle w:val="SingleTxt"/>
        <w:rPr>
          <w:lang w:val="fr-FR"/>
        </w:rPr>
      </w:pPr>
      <w:r>
        <w:rPr>
          <w:lang w:val="fr-FR"/>
        </w:rPr>
        <w:tab/>
      </w:r>
      <w:r w:rsidR="00826E0F" w:rsidRPr="00872599">
        <w:rPr>
          <w:lang w:val="fr-FR"/>
        </w:rPr>
        <w:t>Tous les ans depuis 2006, à l</w:t>
      </w:r>
      <w:r w:rsidR="006645B6">
        <w:rPr>
          <w:lang w:val="fr-FR"/>
        </w:rPr>
        <w:t>’</w:t>
      </w:r>
      <w:r w:rsidR="00826E0F" w:rsidRPr="00872599">
        <w:rPr>
          <w:lang w:val="fr-FR"/>
        </w:rPr>
        <w:t xml:space="preserve">occasion de </w:t>
      </w:r>
      <w:smartTag w:uri="urn:schemas-microsoft-com:office:smarttags" w:element="PersonName">
        <w:smartTagPr>
          <w:attr w:name="ProductID" w:val="la Journ￩e"/>
        </w:smartTagPr>
        <w:r w:rsidR="00826E0F" w:rsidRPr="00872599">
          <w:rPr>
            <w:lang w:val="fr-FR"/>
          </w:rPr>
          <w:t>la Journée</w:t>
        </w:r>
      </w:smartTag>
      <w:r w:rsidR="00826E0F" w:rsidRPr="00872599">
        <w:rPr>
          <w:lang w:val="fr-FR"/>
        </w:rPr>
        <w:t xml:space="preserve"> internationale de la femme, le Bureau de l</w:t>
      </w:r>
      <w:r w:rsidR="006645B6">
        <w:rPr>
          <w:lang w:val="fr-FR"/>
        </w:rPr>
        <w:t>’</w:t>
      </w:r>
      <w:r w:rsidR="00826E0F" w:rsidRPr="00872599">
        <w:rPr>
          <w:lang w:val="fr-FR"/>
        </w:rPr>
        <w:t>égalité des chances organise un atelier dans des classes du secondaire pour réfléchir sur les images associées aux sexes dans l</w:t>
      </w:r>
      <w:r w:rsidR="006645B6">
        <w:rPr>
          <w:lang w:val="fr-FR"/>
        </w:rPr>
        <w:t>’</w:t>
      </w:r>
      <w:r w:rsidR="00826E0F" w:rsidRPr="00872599">
        <w:rPr>
          <w:lang w:val="fr-FR"/>
        </w:rPr>
        <w:t>histoire et à l</w:t>
      </w:r>
      <w:r w:rsidR="006645B6">
        <w:rPr>
          <w:lang w:val="fr-FR"/>
        </w:rPr>
        <w:t>’</w:t>
      </w:r>
      <w:r w:rsidR="00826E0F" w:rsidRPr="00872599">
        <w:rPr>
          <w:lang w:val="fr-FR"/>
        </w:rPr>
        <w:t>heure actuelle. À ce jour, de 3 à 7 classes ont participé chaque année.</w:t>
      </w:r>
    </w:p>
    <w:p w:rsidR="00815D6C" w:rsidRPr="00815D6C" w:rsidRDefault="00815D6C" w:rsidP="00815D6C">
      <w:pPr>
        <w:pStyle w:val="SingleTxt"/>
        <w:spacing w:after="0" w:line="120" w:lineRule="exact"/>
        <w:rPr>
          <w:sz w:val="10"/>
          <w:lang w:val="fr-FR"/>
        </w:rPr>
      </w:pPr>
    </w:p>
    <w:p w:rsidR="00826E0F" w:rsidRPr="00872599" w:rsidRDefault="00815D6C" w:rsidP="00815D6C">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00826E0F" w:rsidRPr="00872599">
        <w:rPr>
          <w:lang w:val="fr-FR"/>
        </w:rPr>
        <w:t>b)</w:t>
      </w:r>
      <w:r w:rsidR="00826E0F" w:rsidRPr="00872599">
        <w:rPr>
          <w:lang w:val="fr-FR"/>
        </w:rPr>
        <w:tab/>
        <w:t>Mesures tendant à reconnaître la responsabilité conjointe des hommes et des femmes dans l</w:t>
      </w:r>
      <w:r w:rsidR="006645B6">
        <w:rPr>
          <w:lang w:val="fr-FR"/>
        </w:rPr>
        <w:t>’</w:t>
      </w:r>
      <w:r w:rsidR="00826E0F" w:rsidRPr="00872599">
        <w:rPr>
          <w:lang w:val="fr-FR"/>
        </w:rPr>
        <w:t>éducation et l</w:t>
      </w:r>
      <w:r w:rsidR="006645B6">
        <w:rPr>
          <w:lang w:val="fr-FR"/>
        </w:rPr>
        <w:t>’</w:t>
      </w:r>
      <w:r w:rsidR="00826E0F" w:rsidRPr="00872599">
        <w:rPr>
          <w:lang w:val="fr-FR"/>
        </w:rPr>
        <w:t xml:space="preserve">épanouissement de leurs enfants </w:t>
      </w:r>
    </w:p>
    <w:p w:rsidR="00815D6C" w:rsidRPr="00815D6C" w:rsidRDefault="00815D6C" w:rsidP="00815D6C">
      <w:pPr>
        <w:pStyle w:val="SingleTxt"/>
        <w:spacing w:after="0" w:line="120" w:lineRule="exact"/>
        <w:rPr>
          <w:sz w:val="10"/>
          <w:lang w:val="fr-FR"/>
        </w:rPr>
      </w:pPr>
    </w:p>
    <w:p w:rsidR="00826E0F" w:rsidRPr="00872599" w:rsidRDefault="00815D6C" w:rsidP="00815D6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826E0F" w:rsidRPr="00872599">
        <w:rPr>
          <w:lang w:val="fr-FR"/>
        </w:rPr>
        <w:t>Allocations familiales</w:t>
      </w:r>
    </w:p>
    <w:p w:rsidR="00815D6C" w:rsidRPr="00815D6C" w:rsidRDefault="00815D6C" w:rsidP="00815D6C">
      <w:pPr>
        <w:pStyle w:val="SingleTxt"/>
        <w:spacing w:after="0" w:line="120" w:lineRule="exact"/>
        <w:rPr>
          <w:sz w:val="10"/>
          <w:lang w:val="fr-FR"/>
        </w:rPr>
      </w:pPr>
    </w:p>
    <w:p w:rsidR="00826E0F" w:rsidRPr="00872599" w:rsidRDefault="00815D6C" w:rsidP="00497599">
      <w:pPr>
        <w:pStyle w:val="SingleTxt"/>
        <w:rPr>
          <w:lang w:val="fr-FR"/>
        </w:rPr>
      </w:pPr>
      <w:r>
        <w:rPr>
          <w:lang w:val="fr-FR"/>
        </w:rPr>
        <w:tab/>
      </w:r>
      <w:r w:rsidR="00826E0F" w:rsidRPr="00872599">
        <w:rPr>
          <w:lang w:val="fr-FR"/>
        </w:rPr>
        <w:t>Le Liechtenstein attache une grande importance à la promotion de la famille et des parents seuls. La loi sur les allocations familiales</w:t>
      </w:r>
      <w:r w:rsidR="00826E0F" w:rsidRPr="00A03470">
        <w:rPr>
          <w:rStyle w:val="Normal"/>
          <w:lang w:val="en-US"/>
        </w:rPr>
        <w:footnoteReference w:id="7"/>
      </w:r>
      <w:r w:rsidR="00826E0F" w:rsidRPr="00872599">
        <w:rPr>
          <w:lang w:val="fr-FR"/>
        </w:rPr>
        <w:t xml:space="preserve"> prévoit un versement d</w:t>
      </w:r>
      <w:r w:rsidR="006645B6">
        <w:rPr>
          <w:lang w:val="fr-FR"/>
        </w:rPr>
        <w:t>’</w:t>
      </w:r>
      <w:r w:rsidR="00826E0F" w:rsidRPr="00872599">
        <w:rPr>
          <w:lang w:val="fr-FR"/>
        </w:rPr>
        <w:t>allocations de naissance et d</w:t>
      </w:r>
      <w:r w:rsidR="006645B6">
        <w:rPr>
          <w:lang w:val="fr-FR"/>
        </w:rPr>
        <w:t>’</w:t>
      </w:r>
      <w:r w:rsidR="00826E0F" w:rsidRPr="00872599">
        <w:rPr>
          <w:lang w:val="fr-FR"/>
        </w:rPr>
        <w:t>allocations pour enfants à toutes les personnes qui résident ou travaillent au Liechtenstein. Une allocation de CHF 2 300 (jusqu</w:t>
      </w:r>
      <w:r w:rsidR="006645B6">
        <w:rPr>
          <w:lang w:val="fr-FR"/>
        </w:rPr>
        <w:t>’</w:t>
      </w:r>
      <w:r w:rsidR="00826E0F" w:rsidRPr="00872599">
        <w:rPr>
          <w:lang w:val="fr-FR"/>
        </w:rPr>
        <w:t>en 2007</w:t>
      </w:r>
      <w:r w:rsidR="006645B6">
        <w:rPr>
          <w:lang w:val="fr-FR"/>
        </w:rPr>
        <w:t> :</w:t>
      </w:r>
      <w:r w:rsidR="00826E0F" w:rsidRPr="00872599">
        <w:rPr>
          <w:lang w:val="fr-FR"/>
        </w:rPr>
        <w:t xml:space="preserve"> </w:t>
      </w:r>
      <w:r w:rsidR="00826E0F">
        <w:rPr>
          <w:lang w:val="fr-FR"/>
        </w:rPr>
        <w:t xml:space="preserve">CHF 2 </w:t>
      </w:r>
      <w:r w:rsidR="00826E0F" w:rsidRPr="00872599">
        <w:rPr>
          <w:lang w:val="fr-FR"/>
        </w:rPr>
        <w:t xml:space="preserve">100) est </w:t>
      </w:r>
      <w:r w:rsidR="00CC772D" w:rsidRPr="00872599">
        <w:rPr>
          <w:lang w:val="fr-FR"/>
        </w:rPr>
        <w:t>accordée</w:t>
      </w:r>
      <w:r w:rsidR="00826E0F" w:rsidRPr="00872599">
        <w:rPr>
          <w:lang w:val="fr-FR"/>
        </w:rPr>
        <w:t xml:space="preserve"> pour la naissance d</w:t>
      </w:r>
      <w:r w:rsidR="006645B6">
        <w:rPr>
          <w:lang w:val="fr-FR"/>
        </w:rPr>
        <w:t>’</w:t>
      </w:r>
      <w:r w:rsidR="00826E0F" w:rsidRPr="00872599">
        <w:rPr>
          <w:lang w:val="fr-FR"/>
        </w:rPr>
        <w:t>un enfant unique et de CHF 2</w:t>
      </w:r>
      <w:r w:rsidR="00C04160">
        <w:rPr>
          <w:lang w:val="fr-FR"/>
        </w:rPr>
        <w:t> </w:t>
      </w:r>
      <w:r w:rsidR="00826E0F" w:rsidRPr="00872599">
        <w:rPr>
          <w:lang w:val="fr-FR"/>
        </w:rPr>
        <w:t>800 (jusqu</w:t>
      </w:r>
      <w:r w:rsidR="006645B6">
        <w:rPr>
          <w:lang w:val="fr-FR"/>
        </w:rPr>
        <w:t>’</w:t>
      </w:r>
      <w:r w:rsidR="00826E0F" w:rsidRPr="00872599">
        <w:rPr>
          <w:lang w:val="fr-FR"/>
        </w:rPr>
        <w:t>en 2007: CHF 2 600) par enfant lorsqu</w:t>
      </w:r>
      <w:r w:rsidR="006645B6">
        <w:rPr>
          <w:lang w:val="fr-FR"/>
        </w:rPr>
        <w:t>’</w:t>
      </w:r>
      <w:r w:rsidR="00826E0F" w:rsidRPr="00872599">
        <w:rPr>
          <w:lang w:val="fr-FR"/>
        </w:rPr>
        <w:t>il y en a plusieurs. Des allocations de naissance sont également octroyées en cas d</w:t>
      </w:r>
      <w:r w:rsidR="006645B6">
        <w:rPr>
          <w:lang w:val="fr-FR"/>
        </w:rPr>
        <w:t>’</w:t>
      </w:r>
      <w:r w:rsidR="00826E0F" w:rsidRPr="00872599">
        <w:rPr>
          <w:lang w:val="fr-FR"/>
        </w:rPr>
        <w:t>adoption d</w:t>
      </w:r>
      <w:r w:rsidR="006645B6">
        <w:rPr>
          <w:lang w:val="fr-FR"/>
        </w:rPr>
        <w:t>’</w:t>
      </w:r>
      <w:r w:rsidR="00826E0F" w:rsidRPr="00872599">
        <w:rPr>
          <w:lang w:val="fr-FR"/>
        </w:rPr>
        <w:t>un enfant de moins de cinq ans.</w:t>
      </w:r>
    </w:p>
    <w:p w:rsidR="00826E0F" w:rsidRPr="00872599" w:rsidRDefault="00815D6C" w:rsidP="00497599">
      <w:pPr>
        <w:pStyle w:val="SingleTxt"/>
        <w:rPr>
          <w:lang w:val="fr-FR"/>
        </w:rPr>
      </w:pPr>
      <w:r>
        <w:rPr>
          <w:lang w:val="fr-FR"/>
        </w:rPr>
        <w:tab/>
      </w:r>
      <w:r w:rsidR="00826E0F" w:rsidRPr="00872599">
        <w:rPr>
          <w:lang w:val="fr-FR"/>
        </w:rPr>
        <w:t>Les allocations pour enfants ont également augmenté depuis le dernier rapport. Pour les familles ayant un ou deux enfants, l</w:t>
      </w:r>
      <w:r w:rsidR="006645B6">
        <w:rPr>
          <w:lang w:val="fr-FR"/>
        </w:rPr>
        <w:t>’</w:t>
      </w:r>
      <w:r w:rsidR="00826E0F" w:rsidRPr="00872599">
        <w:rPr>
          <w:lang w:val="fr-FR"/>
        </w:rPr>
        <w:t xml:space="preserve">allocation est de CHF 280 par enfant et par mois. Les familles ayant des jumeaux ou au moins trois enfants perçoivent CHF 330 par enfant et par mois. </w:t>
      </w:r>
      <w:r w:rsidR="00826E0F">
        <w:rPr>
          <w:lang w:val="fr-FR"/>
        </w:rPr>
        <w:t>L</w:t>
      </w:r>
      <w:r w:rsidR="006645B6">
        <w:rPr>
          <w:lang w:val="fr-FR"/>
        </w:rPr>
        <w:t>’</w:t>
      </w:r>
      <w:r w:rsidR="00826E0F">
        <w:rPr>
          <w:lang w:val="fr-FR"/>
        </w:rPr>
        <w:t>al</w:t>
      </w:r>
      <w:r w:rsidR="00826E0F" w:rsidRPr="00872599">
        <w:rPr>
          <w:lang w:val="fr-FR"/>
        </w:rPr>
        <w:t>location pour enfants passe à CHF 330 par mois pour chaque enfant de plus de dix ans. Ces prestations sont versées depuis la naissance jusqu</w:t>
      </w:r>
      <w:r w:rsidR="006645B6">
        <w:rPr>
          <w:lang w:val="fr-FR"/>
        </w:rPr>
        <w:t>’</w:t>
      </w:r>
      <w:r w:rsidR="00826E0F" w:rsidRPr="00872599">
        <w:rPr>
          <w:lang w:val="fr-FR"/>
        </w:rPr>
        <w:t xml:space="preserve">au 18e anniversaire. Les personnes dont le droit à une allocation étrangère </w:t>
      </w:r>
      <w:r w:rsidR="00826E0F">
        <w:rPr>
          <w:lang w:val="fr-FR"/>
        </w:rPr>
        <w:t>prévaut</w:t>
      </w:r>
      <w:r w:rsidR="00826E0F" w:rsidRPr="00872599">
        <w:rPr>
          <w:lang w:val="fr-FR"/>
        </w:rPr>
        <w:t xml:space="preserve"> sur l</w:t>
      </w:r>
      <w:r w:rsidR="006645B6">
        <w:rPr>
          <w:lang w:val="fr-FR"/>
        </w:rPr>
        <w:t>’</w:t>
      </w:r>
      <w:r w:rsidR="00826E0F" w:rsidRPr="00872599">
        <w:rPr>
          <w:lang w:val="fr-FR"/>
        </w:rPr>
        <w:t>allocation du Liechtenstein perçoivent une compensation pour la différence.</w:t>
      </w:r>
    </w:p>
    <w:p w:rsidR="00815D6C" w:rsidRPr="00815D6C" w:rsidRDefault="00815D6C" w:rsidP="00815D6C">
      <w:pPr>
        <w:pStyle w:val="SingleTxt"/>
        <w:spacing w:after="0" w:line="120" w:lineRule="exact"/>
        <w:rPr>
          <w:sz w:val="10"/>
          <w:lang w:val="fr-FR"/>
        </w:rPr>
      </w:pPr>
    </w:p>
    <w:p w:rsidR="00826E0F" w:rsidRPr="00872599" w:rsidRDefault="00815D6C" w:rsidP="00815D6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826E0F" w:rsidRPr="00872599">
        <w:rPr>
          <w:lang w:val="fr-FR"/>
        </w:rPr>
        <w:t>Allocation monoparentale</w:t>
      </w:r>
    </w:p>
    <w:p w:rsidR="00815D6C" w:rsidRPr="00815D6C" w:rsidRDefault="00815D6C" w:rsidP="00815D6C">
      <w:pPr>
        <w:pStyle w:val="SingleTxt"/>
        <w:spacing w:after="0" w:line="120" w:lineRule="exact"/>
        <w:rPr>
          <w:sz w:val="10"/>
          <w:lang w:val="fr-FR"/>
        </w:rPr>
      </w:pPr>
    </w:p>
    <w:p w:rsidR="00826E0F" w:rsidRPr="00872599" w:rsidRDefault="00815D6C" w:rsidP="00497599">
      <w:pPr>
        <w:pStyle w:val="SingleTxt"/>
        <w:rPr>
          <w:lang w:val="fr-FR"/>
        </w:rPr>
      </w:pPr>
      <w:r>
        <w:rPr>
          <w:lang w:val="fr-FR"/>
        </w:rPr>
        <w:tab/>
      </w:r>
      <w:r w:rsidR="00826E0F" w:rsidRPr="00872599">
        <w:rPr>
          <w:lang w:val="fr-FR"/>
        </w:rPr>
        <w:t>En ce qui concerne les allocations familiales, une nouvelle prestation a été instaurée depuis juillet 1999 en plus des allocations pour enfants et des allocations de naissance, à savoir l</w:t>
      </w:r>
      <w:r w:rsidR="006645B6">
        <w:rPr>
          <w:lang w:val="fr-FR"/>
        </w:rPr>
        <w:t>’</w:t>
      </w:r>
      <w:r w:rsidR="00826E0F" w:rsidRPr="00872599">
        <w:rPr>
          <w:lang w:val="fr-FR"/>
        </w:rPr>
        <w:t>allocation monoparentale</w:t>
      </w:r>
      <w:r w:rsidR="00826E0F" w:rsidRPr="00A03470">
        <w:rPr>
          <w:rStyle w:val="Normal"/>
          <w:lang w:val="en-US"/>
        </w:rPr>
        <w:footnoteReference w:id="8"/>
      </w:r>
      <w:r w:rsidR="00826E0F" w:rsidRPr="00872599">
        <w:rPr>
          <w:lang w:val="fr-FR"/>
        </w:rPr>
        <w:t>. Les parents seuls ont droit depuis lors à une prestation mensuelle supplémentaire de CHF 100 par enfant. Tout parent seul ayant droit à une allocation pour enfant peut également solliciter cette prestation. Ce droit existe pour chaque enfant avec lequel le parent seul vit dans le même foyer. L</w:t>
      </w:r>
      <w:r w:rsidR="006645B6">
        <w:rPr>
          <w:lang w:val="fr-FR"/>
        </w:rPr>
        <w:t>’</w:t>
      </w:r>
      <w:r w:rsidR="00826E0F" w:rsidRPr="00872599">
        <w:rPr>
          <w:lang w:val="fr-FR"/>
        </w:rPr>
        <w:t>allocation est versée en plus de l</w:t>
      </w:r>
      <w:r w:rsidR="006645B6">
        <w:rPr>
          <w:lang w:val="fr-FR"/>
        </w:rPr>
        <w:t>’</w:t>
      </w:r>
      <w:r w:rsidR="00826E0F" w:rsidRPr="00872599">
        <w:rPr>
          <w:lang w:val="fr-FR"/>
        </w:rPr>
        <w:t>allocation pour enfant. Depuis janvier 2007, l</w:t>
      </w:r>
      <w:r w:rsidR="006645B6">
        <w:rPr>
          <w:lang w:val="fr-FR"/>
        </w:rPr>
        <w:t>’</w:t>
      </w:r>
      <w:r w:rsidR="00826E0F" w:rsidRPr="00872599">
        <w:rPr>
          <w:lang w:val="fr-FR"/>
        </w:rPr>
        <w:t>allocation monoparentale est de CHF 110 par enfant.</w:t>
      </w:r>
    </w:p>
    <w:p w:rsidR="00815D6C" w:rsidRPr="00815D6C" w:rsidRDefault="00815D6C" w:rsidP="00815D6C">
      <w:pPr>
        <w:pStyle w:val="SingleTxt"/>
        <w:spacing w:after="0" w:line="120" w:lineRule="exact"/>
        <w:rPr>
          <w:sz w:val="10"/>
          <w:lang w:val="fr-FR"/>
        </w:rPr>
      </w:pPr>
    </w:p>
    <w:p w:rsidR="00826E0F" w:rsidRDefault="00815D6C" w:rsidP="00815D6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826E0F" w:rsidRPr="00815D6C">
        <w:rPr>
          <w:b w:val="0"/>
          <w:lang w:val="fr-FR"/>
        </w:rPr>
        <w:t>Tableau 1</w:t>
      </w:r>
      <w:r>
        <w:rPr>
          <w:lang w:val="fr-FR"/>
        </w:rPr>
        <w:br/>
        <w:t>N</w:t>
      </w:r>
      <w:r w:rsidR="00826E0F" w:rsidRPr="00872599">
        <w:rPr>
          <w:lang w:val="fr-FR"/>
        </w:rPr>
        <w:t>ombre de bénéficiaires d</w:t>
      </w:r>
      <w:r w:rsidR="006645B6">
        <w:rPr>
          <w:lang w:val="fr-FR"/>
        </w:rPr>
        <w:t>’</w:t>
      </w:r>
      <w:r w:rsidR="00826E0F" w:rsidRPr="00872599">
        <w:rPr>
          <w:lang w:val="fr-FR"/>
        </w:rPr>
        <w:t>allocation monoparentale au Liechtenstein</w:t>
      </w:r>
      <w:r w:rsidR="004B7A0C">
        <w:rPr>
          <w:lang w:val="fr-FR"/>
        </w:rPr>
        <w:br/>
      </w:r>
      <w:r w:rsidR="00826E0F" w:rsidRPr="00872599">
        <w:rPr>
          <w:lang w:val="fr-FR"/>
        </w:rPr>
        <w:t>et à l</w:t>
      </w:r>
      <w:r w:rsidR="006645B6">
        <w:rPr>
          <w:lang w:val="fr-FR"/>
        </w:rPr>
        <w:t>’</w:t>
      </w:r>
      <w:r w:rsidR="00826E0F" w:rsidRPr="00872599">
        <w:rPr>
          <w:lang w:val="fr-FR"/>
        </w:rPr>
        <w:t>étranger</w:t>
      </w:r>
    </w:p>
    <w:p w:rsidR="004B7A0C" w:rsidRPr="004B7A0C" w:rsidRDefault="004B7A0C" w:rsidP="004B7A0C">
      <w:pPr>
        <w:pStyle w:val="SingleTxt"/>
        <w:spacing w:after="0" w:line="120" w:lineRule="exact"/>
        <w:rPr>
          <w:sz w:val="10"/>
          <w:lang w:val="fr-FR"/>
        </w:rPr>
      </w:pPr>
    </w:p>
    <w:tbl>
      <w:tblPr>
        <w:tblW w:w="0" w:type="auto"/>
        <w:tblInd w:w="1395" w:type="dxa"/>
        <w:tblLayout w:type="fixed"/>
        <w:tblLook w:val="0000" w:firstRow="0" w:lastRow="0" w:firstColumn="0" w:lastColumn="0" w:noHBand="0" w:noVBand="0"/>
      </w:tblPr>
      <w:tblGrid>
        <w:gridCol w:w="2172"/>
        <w:gridCol w:w="1004"/>
        <w:gridCol w:w="1004"/>
        <w:gridCol w:w="1004"/>
        <w:gridCol w:w="1004"/>
        <w:gridCol w:w="1004"/>
      </w:tblGrid>
      <w:tr w:rsidR="00826E0F" w:rsidRPr="004B7A0C" w:rsidTr="004B7A0C">
        <w:trPr>
          <w:trHeight w:val="390"/>
          <w:tblHeader/>
        </w:trPr>
        <w:tc>
          <w:tcPr>
            <w:tcW w:w="2172" w:type="dxa"/>
            <w:tcBorders>
              <w:top w:val="single" w:sz="4" w:space="0" w:color="auto"/>
              <w:bottom w:val="single" w:sz="12" w:space="0" w:color="auto"/>
            </w:tcBorders>
            <w:shd w:val="clear" w:color="auto" w:fill="auto"/>
            <w:vAlign w:val="bottom"/>
          </w:tcPr>
          <w:p w:rsidR="00826E0F" w:rsidRPr="004B7A0C" w:rsidRDefault="00826E0F" w:rsidP="004B7A0C">
            <w:pPr>
              <w:pStyle w:val="SingleTxt"/>
              <w:suppressAutoHyphens/>
              <w:spacing w:before="80" w:after="80" w:line="160" w:lineRule="exact"/>
              <w:ind w:left="0" w:right="43"/>
              <w:rPr>
                <w:i/>
                <w:sz w:val="14"/>
                <w:lang w:val="fr-FR"/>
              </w:rPr>
            </w:pPr>
            <w:r w:rsidRPr="004B7A0C">
              <w:rPr>
                <w:i/>
                <w:sz w:val="14"/>
                <w:lang w:val="fr-FR"/>
              </w:rPr>
              <w:t>Année</w:t>
            </w:r>
          </w:p>
        </w:tc>
        <w:tc>
          <w:tcPr>
            <w:tcW w:w="1004" w:type="dxa"/>
            <w:tcBorders>
              <w:top w:val="single" w:sz="4" w:space="0" w:color="auto"/>
              <w:bottom w:val="single" w:sz="12" w:space="0" w:color="auto"/>
            </w:tcBorders>
            <w:shd w:val="clear" w:color="auto" w:fill="auto"/>
            <w:vAlign w:val="bottom"/>
          </w:tcPr>
          <w:p w:rsidR="00826E0F" w:rsidRPr="004B7A0C" w:rsidRDefault="00826E0F" w:rsidP="004B7A0C">
            <w:pPr>
              <w:pStyle w:val="SingleTxt"/>
              <w:suppressAutoHyphens/>
              <w:spacing w:before="80" w:after="80" w:line="160" w:lineRule="exact"/>
              <w:ind w:left="0" w:right="43"/>
              <w:jc w:val="right"/>
              <w:rPr>
                <w:i/>
                <w:sz w:val="14"/>
                <w:lang w:val="fr-FR"/>
              </w:rPr>
            </w:pPr>
            <w:r w:rsidRPr="004B7A0C">
              <w:rPr>
                <w:i/>
                <w:sz w:val="14"/>
                <w:lang w:val="fr-FR"/>
              </w:rPr>
              <w:t>2003</w:t>
            </w:r>
          </w:p>
        </w:tc>
        <w:tc>
          <w:tcPr>
            <w:tcW w:w="1004" w:type="dxa"/>
            <w:tcBorders>
              <w:top w:val="single" w:sz="4" w:space="0" w:color="auto"/>
              <w:bottom w:val="single" w:sz="12" w:space="0" w:color="auto"/>
            </w:tcBorders>
            <w:shd w:val="clear" w:color="auto" w:fill="auto"/>
            <w:vAlign w:val="bottom"/>
          </w:tcPr>
          <w:p w:rsidR="00826E0F" w:rsidRPr="004B7A0C" w:rsidRDefault="00826E0F" w:rsidP="004B7A0C">
            <w:pPr>
              <w:pStyle w:val="SingleTxt"/>
              <w:suppressAutoHyphens/>
              <w:spacing w:before="80" w:after="80" w:line="160" w:lineRule="exact"/>
              <w:ind w:left="0" w:right="43"/>
              <w:jc w:val="right"/>
              <w:rPr>
                <w:i/>
                <w:sz w:val="14"/>
                <w:lang w:val="fr-FR"/>
              </w:rPr>
            </w:pPr>
            <w:r w:rsidRPr="004B7A0C">
              <w:rPr>
                <w:i/>
                <w:sz w:val="14"/>
                <w:lang w:val="fr-FR"/>
              </w:rPr>
              <w:t>2004</w:t>
            </w:r>
          </w:p>
        </w:tc>
        <w:tc>
          <w:tcPr>
            <w:tcW w:w="1004" w:type="dxa"/>
            <w:tcBorders>
              <w:top w:val="single" w:sz="4" w:space="0" w:color="auto"/>
              <w:bottom w:val="single" w:sz="12" w:space="0" w:color="auto"/>
            </w:tcBorders>
            <w:shd w:val="clear" w:color="auto" w:fill="auto"/>
            <w:vAlign w:val="bottom"/>
          </w:tcPr>
          <w:p w:rsidR="00826E0F" w:rsidRPr="004B7A0C" w:rsidRDefault="00826E0F" w:rsidP="004B7A0C">
            <w:pPr>
              <w:pStyle w:val="SingleTxt"/>
              <w:suppressAutoHyphens/>
              <w:spacing w:before="80" w:after="80" w:line="160" w:lineRule="exact"/>
              <w:ind w:left="0" w:right="43"/>
              <w:jc w:val="right"/>
              <w:rPr>
                <w:i/>
                <w:sz w:val="14"/>
                <w:lang w:val="fr-FR"/>
              </w:rPr>
            </w:pPr>
            <w:r w:rsidRPr="004B7A0C">
              <w:rPr>
                <w:i/>
                <w:sz w:val="14"/>
                <w:lang w:val="fr-FR"/>
              </w:rPr>
              <w:t>2005</w:t>
            </w:r>
          </w:p>
        </w:tc>
        <w:tc>
          <w:tcPr>
            <w:tcW w:w="1004" w:type="dxa"/>
            <w:tcBorders>
              <w:top w:val="single" w:sz="4" w:space="0" w:color="auto"/>
              <w:bottom w:val="single" w:sz="12" w:space="0" w:color="auto"/>
            </w:tcBorders>
            <w:shd w:val="clear" w:color="auto" w:fill="auto"/>
            <w:vAlign w:val="bottom"/>
          </w:tcPr>
          <w:p w:rsidR="00826E0F" w:rsidRPr="004B7A0C" w:rsidRDefault="00826E0F" w:rsidP="004B7A0C">
            <w:pPr>
              <w:pStyle w:val="SingleTxt"/>
              <w:suppressAutoHyphens/>
              <w:spacing w:before="80" w:after="80" w:line="160" w:lineRule="exact"/>
              <w:ind w:left="0" w:right="43"/>
              <w:jc w:val="right"/>
              <w:rPr>
                <w:i/>
                <w:sz w:val="14"/>
                <w:lang w:val="fr-FR"/>
              </w:rPr>
            </w:pPr>
            <w:r w:rsidRPr="004B7A0C">
              <w:rPr>
                <w:i/>
                <w:sz w:val="14"/>
                <w:lang w:val="fr-FR"/>
              </w:rPr>
              <w:t>2006</w:t>
            </w:r>
          </w:p>
        </w:tc>
        <w:tc>
          <w:tcPr>
            <w:tcW w:w="1004" w:type="dxa"/>
            <w:tcBorders>
              <w:top w:val="single" w:sz="4" w:space="0" w:color="auto"/>
              <w:bottom w:val="single" w:sz="12" w:space="0" w:color="auto"/>
            </w:tcBorders>
            <w:shd w:val="clear" w:color="auto" w:fill="auto"/>
            <w:vAlign w:val="bottom"/>
          </w:tcPr>
          <w:p w:rsidR="00826E0F" w:rsidRPr="004B7A0C" w:rsidRDefault="00826E0F" w:rsidP="004B7A0C">
            <w:pPr>
              <w:pStyle w:val="SingleTxt"/>
              <w:suppressAutoHyphens/>
              <w:spacing w:before="80" w:after="80" w:line="160" w:lineRule="exact"/>
              <w:ind w:left="0" w:right="43"/>
              <w:jc w:val="right"/>
              <w:rPr>
                <w:i/>
                <w:sz w:val="14"/>
                <w:lang w:val="fr-FR"/>
              </w:rPr>
            </w:pPr>
            <w:r w:rsidRPr="004B7A0C">
              <w:rPr>
                <w:i/>
                <w:sz w:val="14"/>
                <w:lang w:val="fr-FR"/>
              </w:rPr>
              <w:t>2007</w:t>
            </w:r>
          </w:p>
        </w:tc>
      </w:tr>
      <w:tr w:rsidR="004B7A0C" w:rsidRPr="004B7A0C" w:rsidTr="004B7A0C">
        <w:trPr>
          <w:trHeight w:hRule="exact" w:val="115"/>
          <w:tblHeader/>
        </w:trPr>
        <w:tc>
          <w:tcPr>
            <w:tcW w:w="2172" w:type="dxa"/>
            <w:tcBorders>
              <w:top w:val="single" w:sz="12" w:space="0" w:color="auto"/>
            </w:tcBorders>
            <w:shd w:val="clear" w:color="auto" w:fill="auto"/>
            <w:vAlign w:val="bottom"/>
          </w:tcPr>
          <w:p w:rsidR="004B7A0C" w:rsidRPr="004B7A0C" w:rsidRDefault="004B7A0C" w:rsidP="004B7A0C">
            <w:pPr>
              <w:pStyle w:val="SingleTxt"/>
              <w:suppressAutoHyphens/>
              <w:spacing w:before="40" w:after="40" w:line="210" w:lineRule="exact"/>
              <w:ind w:left="0" w:right="43"/>
              <w:rPr>
                <w:b/>
                <w:sz w:val="17"/>
                <w:lang w:val="fr-FR"/>
              </w:rPr>
            </w:pPr>
          </w:p>
        </w:tc>
        <w:tc>
          <w:tcPr>
            <w:tcW w:w="1004" w:type="dxa"/>
            <w:tcBorders>
              <w:top w:val="single" w:sz="12" w:space="0" w:color="auto"/>
            </w:tcBorders>
            <w:shd w:val="clear" w:color="auto" w:fill="auto"/>
            <w:vAlign w:val="bottom"/>
          </w:tcPr>
          <w:p w:rsidR="004B7A0C" w:rsidRPr="004B7A0C" w:rsidRDefault="004B7A0C" w:rsidP="004B7A0C">
            <w:pPr>
              <w:pStyle w:val="SingleTxt"/>
              <w:suppressAutoHyphens/>
              <w:spacing w:before="40" w:after="40" w:line="210" w:lineRule="exact"/>
              <w:ind w:left="0" w:right="43"/>
              <w:jc w:val="right"/>
              <w:rPr>
                <w:sz w:val="17"/>
                <w:lang w:val="fr-FR"/>
              </w:rPr>
            </w:pPr>
          </w:p>
        </w:tc>
        <w:tc>
          <w:tcPr>
            <w:tcW w:w="1004" w:type="dxa"/>
            <w:tcBorders>
              <w:top w:val="single" w:sz="12" w:space="0" w:color="auto"/>
            </w:tcBorders>
            <w:shd w:val="clear" w:color="auto" w:fill="auto"/>
            <w:vAlign w:val="bottom"/>
          </w:tcPr>
          <w:p w:rsidR="004B7A0C" w:rsidRPr="004B7A0C" w:rsidRDefault="004B7A0C" w:rsidP="004B7A0C">
            <w:pPr>
              <w:pStyle w:val="SingleTxt"/>
              <w:suppressAutoHyphens/>
              <w:spacing w:before="40" w:after="40" w:line="210" w:lineRule="exact"/>
              <w:ind w:left="0" w:right="43"/>
              <w:jc w:val="right"/>
              <w:rPr>
                <w:sz w:val="17"/>
                <w:lang w:val="fr-FR"/>
              </w:rPr>
            </w:pPr>
          </w:p>
        </w:tc>
        <w:tc>
          <w:tcPr>
            <w:tcW w:w="1004" w:type="dxa"/>
            <w:tcBorders>
              <w:top w:val="single" w:sz="12" w:space="0" w:color="auto"/>
            </w:tcBorders>
            <w:shd w:val="clear" w:color="auto" w:fill="auto"/>
            <w:vAlign w:val="bottom"/>
          </w:tcPr>
          <w:p w:rsidR="004B7A0C" w:rsidRPr="004B7A0C" w:rsidRDefault="004B7A0C" w:rsidP="004B7A0C">
            <w:pPr>
              <w:pStyle w:val="SingleTxt"/>
              <w:suppressAutoHyphens/>
              <w:spacing w:before="40" w:after="40" w:line="210" w:lineRule="exact"/>
              <w:ind w:left="0" w:right="43"/>
              <w:jc w:val="right"/>
              <w:rPr>
                <w:sz w:val="17"/>
                <w:lang w:val="fr-FR"/>
              </w:rPr>
            </w:pPr>
          </w:p>
        </w:tc>
        <w:tc>
          <w:tcPr>
            <w:tcW w:w="1004" w:type="dxa"/>
            <w:tcBorders>
              <w:top w:val="single" w:sz="12" w:space="0" w:color="auto"/>
            </w:tcBorders>
            <w:shd w:val="clear" w:color="auto" w:fill="auto"/>
            <w:vAlign w:val="bottom"/>
          </w:tcPr>
          <w:p w:rsidR="004B7A0C" w:rsidRPr="004B7A0C" w:rsidRDefault="004B7A0C" w:rsidP="004B7A0C">
            <w:pPr>
              <w:pStyle w:val="SingleTxt"/>
              <w:suppressAutoHyphens/>
              <w:spacing w:before="40" w:after="40" w:line="210" w:lineRule="exact"/>
              <w:ind w:left="0" w:right="43"/>
              <w:jc w:val="right"/>
              <w:rPr>
                <w:sz w:val="17"/>
                <w:lang w:val="fr-FR"/>
              </w:rPr>
            </w:pPr>
          </w:p>
        </w:tc>
        <w:tc>
          <w:tcPr>
            <w:tcW w:w="1004" w:type="dxa"/>
            <w:tcBorders>
              <w:top w:val="single" w:sz="12" w:space="0" w:color="auto"/>
            </w:tcBorders>
            <w:shd w:val="clear" w:color="auto" w:fill="auto"/>
            <w:vAlign w:val="bottom"/>
          </w:tcPr>
          <w:p w:rsidR="004B7A0C" w:rsidRPr="004B7A0C" w:rsidRDefault="004B7A0C" w:rsidP="004B7A0C">
            <w:pPr>
              <w:pStyle w:val="SingleTxt"/>
              <w:suppressAutoHyphens/>
              <w:spacing w:before="40" w:after="40" w:line="210" w:lineRule="exact"/>
              <w:ind w:left="0" w:right="43"/>
              <w:jc w:val="right"/>
              <w:rPr>
                <w:sz w:val="17"/>
                <w:lang w:val="fr-FR"/>
              </w:rPr>
            </w:pPr>
          </w:p>
        </w:tc>
      </w:tr>
      <w:tr w:rsidR="00826E0F" w:rsidRPr="004B7A0C" w:rsidTr="004B7A0C">
        <w:trPr>
          <w:trHeight w:val="390"/>
        </w:trPr>
        <w:tc>
          <w:tcPr>
            <w:tcW w:w="2172" w:type="dxa"/>
            <w:tcBorders>
              <w:bottom w:val="single" w:sz="12" w:space="0" w:color="auto"/>
            </w:tcBorders>
            <w:shd w:val="clear" w:color="auto" w:fill="auto"/>
            <w:vAlign w:val="bottom"/>
          </w:tcPr>
          <w:p w:rsidR="00826E0F" w:rsidRPr="004B7A0C" w:rsidRDefault="00826E0F" w:rsidP="004B7A0C">
            <w:pPr>
              <w:pStyle w:val="SingleTxt"/>
              <w:tabs>
                <w:tab w:val="left" w:pos="288"/>
                <w:tab w:val="left" w:pos="576"/>
                <w:tab w:val="left" w:pos="864"/>
                <w:tab w:val="left" w:pos="1152"/>
              </w:tabs>
              <w:suppressAutoHyphens/>
              <w:spacing w:before="40" w:after="40" w:line="210" w:lineRule="exact"/>
              <w:ind w:left="0" w:right="43"/>
              <w:rPr>
                <w:b/>
                <w:sz w:val="17"/>
                <w:lang w:val="fr-FR"/>
              </w:rPr>
            </w:pPr>
            <w:r w:rsidRPr="004B7A0C">
              <w:rPr>
                <w:b/>
                <w:sz w:val="17"/>
                <w:lang w:val="fr-FR"/>
              </w:rPr>
              <w:t>Nombre de bénéficiaires</w:t>
            </w:r>
          </w:p>
        </w:tc>
        <w:tc>
          <w:tcPr>
            <w:tcW w:w="1004" w:type="dxa"/>
            <w:tcBorders>
              <w:bottom w:val="single" w:sz="12" w:space="0" w:color="auto"/>
            </w:tcBorders>
            <w:shd w:val="clear" w:color="auto" w:fill="auto"/>
            <w:vAlign w:val="bottom"/>
          </w:tcPr>
          <w:p w:rsidR="00826E0F" w:rsidRPr="004B7A0C" w:rsidRDefault="00826E0F" w:rsidP="004B7A0C">
            <w:pPr>
              <w:pStyle w:val="SingleTxt"/>
              <w:tabs>
                <w:tab w:val="left" w:pos="288"/>
                <w:tab w:val="left" w:pos="576"/>
                <w:tab w:val="left" w:pos="864"/>
                <w:tab w:val="left" w:pos="1152"/>
              </w:tabs>
              <w:suppressAutoHyphens/>
              <w:spacing w:before="40" w:after="40" w:line="210" w:lineRule="exact"/>
              <w:ind w:left="0" w:right="43"/>
              <w:jc w:val="right"/>
              <w:rPr>
                <w:sz w:val="17"/>
                <w:lang w:val="fr-FR"/>
              </w:rPr>
            </w:pPr>
            <w:r w:rsidRPr="004B7A0C">
              <w:rPr>
                <w:sz w:val="17"/>
                <w:lang w:val="fr-FR"/>
              </w:rPr>
              <w:t>635</w:t>
            </w:r>
          </w:p>
        </w:tc>
        <w:tc>
          <w:tcPr>
            <w:tcW w:w="1004" w:type="dxa"/>
            <w:tcBorders>
              <w:bottom w:val="single" w:sz="12" w:space="0" w:color="auto"/>
            </w:tcBorders>
            <w:shd w:val="clear" w:color="auto" w:fill="auto"/>
            <w:vAlign w:val="bottom"/>
          </w:tcPr>
          <w:p w:rsidR="00826E0F" w:rsidRPr="004B7A0C" w:rsidRDefault="00826E0F" w:rsidP="004B7A0C">
            <w:pPr>
              <w:pStyle w:val="SingleTxt"/>
              <w:tabs>
                <w:tab w:val="left" w:pos="288"/>
                <w:tab w:val="left" w:pos="576"/>
                <w:tab w:val="left" w:pos="864"/>
                <w:tab w:val="left" w:pos="1152"/>
              </w:tabs>
              <w:suppressAutoHyphens/>
              <w:spacing w:before="40" w:after="40" w:line="210" w:lineRule="exact"/>
              <w:ind w:left="0" w:right="43"/>
              <w:jc w:val="right"/>
              <w:rPr>
                <w:sz w:val="17"/>
                <w:lang w:val="fr-FR"/>
              </w:rPr>
            </w:pPr>
            <w:r w:rsidRPr="004B7A0C">
              <w:rPr>
                <w:sz w:val="17"/>
                <w:lang w:val="fr-FR"/>
              </w:rPr>
              <w:t>646</w:t>
            </w:r>
          </w:p>
        </w:tc>
        <w:tc>
          <w:tcPr>
            <w:tcW w:w="1004" w:type="dxa"/>
            <w:tcBorders>
              <w:bottom w:val="single" w:sz="12" w:space="0" w:color="auto"/>
            </w:tcBorders>
            <w:shd w:val="clear" w:color="auto" w:fill="auto"/>
            <w:vAlign w:val="bottom"/>
          </w:tcPr>
          <w:p w:rsidR="00826E0F" w:rsidRPr="004B7A0C" w:rsidRDefault="00826E0F" w:rsidP="004B7A0C">
            <w:pPr>
              <w:pStyle w:val="SingleTxt"/>
              <w:tabs>
                <w:tab w:val="left" w:pos="288"/>
                <w:tab w:val="left" w:pos="576"/>
                <w:tab w:val="left" w:pos="864"/>
                <w:tab w:val="left" w:pos="1152"/>
              </w:tabs>
              <w:suppressAutoHyphens/>
              <w:spacing w:before="40" w:after="40" w:line="210" w:lineRule="exact"/>
              <w:ind w:left="0" w:right="43"/>
              <w:jc w:val="right"/>
              <w:rPr>
                <w:sz w:val="17"/>
                <w:lang w:val="fr-FR"/>
              </w:rPr>
            </w:pPr>
            <w:r w:rsidRPr="004B7A0C">
              <w:rPr>
                <w:sz w:val="17"/>
                <w:lang w:val="fr-FR"/>
              </w:rPr>
              <w:t>627</w:t>
            </w:r>
          </w:p>
        </w:tc>
        <w:tc>
          <w:tcPr>
            <w:tcW w:w="1004" w:type="dxa"/>
            <w:tcBorders>
              <w:bottom w:val="single" w:sz="12" w:space="0" w:color="auto"/>
            </w:tcBorders>
            <w:shd w:val="clear" w:color="auto" w:fill="auto"/>
            <w:vAlign w:val="bottom"/>
          </w:tcPr>
          <w:p w:rsidR="00826E0F" w:rsidRPr="004B7A0C" w:rsidRDefault="00826E0F" w:rsidP="004B7A0C">
            <w:pPr>
              <w:pStyle w:val="SingleTxt"/>
              <w:tabs>
                <w:tab w:val="left" w:pos="288"/>
                <w:tab w:val="left" w:pos="576"/>
                <w:tab w:val="left" w:pos="864"/>
                <w:tab w:val="left" w:pos="1152"/>
              </w:tabs>
              <w:suppressAutoHyphens/>
              <w:spacing w:before="40" w:after="40" w:line="210" w:lineRule="exact"/>
              <w:ind w:left="0" w:right="43"/>
              <w:jc w:val="right"/>
              <w:rPr>
                <w:sz w:val="17"/>
                <w:lang w:val="fr-FR"/>
              </w:rPr>
            </w:pPr>
            <w:r w:rsidRPr="004B7A0C">
              <w:rPr>
                <w:sz w:val="17"/>
                <w:lang w:val="fr-FR"/>
              </w:rPr>
              <w:t>705</w:t>
            </w:r>
          </w:p>
        </w:tc>
        <w:tc>
          <w:tcPr>
            <w:tcW w:w="1004" w:type="dxa"/>
            <w:tcBorders>
              <w:bottom w:val="single" w:sz="12" w:space="0" w:color="auto"/>
            </w:tcBorders>
            <w:shd w:val="clear" w:color="auto" w:fill="auto"/>
            <w:vAlign w:val="bottom"/>
          </w:tcPr>
          <w:p w:rsidR="00826E0F" w:rsidRPr="004B7A0C" w:rsidRDefault="00826E0F" w:rsidP="004B7A0C">
            <w:pPr>
              <w:pStyle w:val="SingleTxt"/>
              <w:tabs>
                <w:tab w:val="left" w:pos="288"/>
                <w:tab w:val="left" w:pos="576"/>
                <w:tab w:val="left" w:pos="864"/>
                <w:tab w:val="left" w:pos="1152"/>
              </w:tabs>
              <w:suppressAutoHyphens/>
              <w:spacing w:before="40" w:after="40" w:line="210" w:lineRule="exact"/>
              <w:ind w:left="0" w:right="43"/>
              <w:jc w:val="right"/>
              <w:rPr>
                <w:sz w:val="17"/>
                <w:lang w:val="fr-FR"/>
              </w:rPr>
            </w:pPr>
            <w:r w:rsidRPr="004B7A0C">
              <w:rPr>
                <w:sz w:val="17"/>
                <w:lang w:val="fr-FR"/>
              </w:rPr>
              <w:t>769</w:t>
            </w:r>
          </w:p>
        </w:tc>
      </w:tr>
    </w:tbl>
    <w:p w:rsidR="004B7A0C" w:rsidRPr="004B7A0C" w:rsidRDefault="004B7A0C" w:rsidP="004B7A0C">
      <w:pPr>
        <w:pStyle w:val="SingleTxt"/>
        <w:spacing w:after="0" w:line="120" w:lineRule="exact"/>
        <w:rPr>
          <w:sz w:val="10"/>
          <w:lang w:val="fr-FR"/>
        </w:rPr>
      </w:pPr>
    </w:p>
    <w:p w:rsidR="00826E0F" w:rsidRPr="00872599" w:rsidRDefault="00826E0F" w:rsidP="004B7A0C">
      <w:pPr>
        <w:pStyle w:val="FootnoteText"/>
        <w:tabs>
          <w:tab w:val="clear" w:pos="418"/>
          <w:tab w:val="right" w:pos="1476"/>
          <w:tab w:val="left" w:pos="1548"/>
          <w:tab w:val="right" w:pos="1836"/>
          <w:tab w:val="left" w:pos="1908"/>
        </w:tabs>
        <w:ind w:left="1548" w:right="1267" w:hanging="288"/>
        <w:rPr>
          <w:lang w:val="fr-FR"/>
        </w:rPr>
      </w:pPr>
      <w:r w:rsidRPr="004B7A0C">
        <w:rPr>
          <w:i/>
          <w:lang w:val="fr-FR"/>
        </w:rPr>
        <w:t>Source</w:t>
      </w:r>
      <w:r w:rsidR="006645B6">
        <w:rPr>
          <w:lang w:val="fr-FR"/>
        </w:rPr>
        <w:t> :</w:t>
      </w:r>
      <w:r w:rsidRPr="00872599">
        <w:rPr>
          <w:lang w:val="fr-FR"/>
        </w:rPr>
        <w:t xml:space="preserve"> Rapport annuel 2007 du AHV/IV/FAK.</w:t>
      </w:r>
    </w:p>
    <w:p w:rsidR="004B7A0C" w:rsidRPr="004B7A0C" w:rsidRDefault="004B7A0C" w:rsidP="004B7A0C">
      <w:pPr>
        <w:pStyle w:val="SingleTxt"/>
        <w:spacing w:after="0" w:line="120" w:lineRule="exact"/>
        <w:rPr>
          <w:sz w:val="10"/>
          <w:lang w:val="fr-FR"/>
        </w:rPr>
      </w:pPr>
    </w:p>
    <w:p w:rsidR="004B7A0C" w:rsidRPr="004B7A0C" w:rsidRDefault="004B7A0C" w:rsidP="004B7A0C">
      <w:pPr>
        <w:pStyle w:val="SingleTxt"/>
        <w:spacing w:after="0" w:line="120" w:lineRule="exact"/>
        <w:rPr>
          <w:sz w:val="10"/>
          <w:lang w:val="fr-FR"/>
        </w:rPr>
      </w:pPr>
    </w:p>
    <w:p w:rsidR="00826E0F" w:rsidRPr="00872599" w:rsidRDefault="004B7A0C" w:rsidP="004B7A0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826E0F" w:rsidRPr="00872599">
        <w:rPr>
          <w:lang w:val="fr-FR"/>
        </w:rPr>
        <w:t>Abattement fiscal pour enfants</w:t>
      </w:r>
    </w:p>
    <w:p w:rsidR="004B7A0C" w:rsidRPr="004B7A0C" w:rsidRDefault="004B7A0C" w:rsidP="004B7A0C">
      <w:pPr>
        <w:pStyle w:val="SingleTxt"/>
        <w:spacing w:after="0" w:line="120" w:lineRule="exact"/>
        <w:rPr>
          <w:sz w:val="10"/>
          <w:lang w:val="fr-FR"/>
        </w:rPr>
      </w:pPr>
    </w:p>
    <w:p w:rsidR="00826E0F" w:rsidRPr="00872599" w:rsidRDefault="004B7A0C" w:rsidP="00497599">
      <w:pPr>
        <w:pStyle w:val="SingleTxt"/>
        <w:rPr>
          <w:lang w:val="fr-FR"/>
        </w:rPr>
      </w:pPr>
      <w:r>
        <w:rPr>
          <w:lang w:val="fr-FR"/>
        </w:rPr>
        <w:tab/>
      </w:r>
      <w:r w:rsidR="00826E0F" w:rsidRPr="00872599">
        <w:rPr>
          <w:lang w:val="fr-FR"/>
        </w:rPr>
        <w:t>Tous les ans, un abattement fiscal de CHF 6 000 peut être appliqué à la déclaration de revenus pour chaque enfant de moins de seize ans et pour chaque enfant de plus de seize ans qui est scolarisé, suit un apprentissage ou est dans l</w:t>
      </w:r>
      <w:r w:rsidR="006645B6">
        <w:rPr>
          <w:lang w:val="fr-FR"/>
        </w:rPr>
        <w:t>’</w:t>
      </w:r>
      <w:r w:rsidR="00826E0F" w:rsidRPr="00872599">
        <w:rPr>
          <w:lang w:val="fr-FR"/>
        </w:rPr>
        <w:t>incapacité de travailler si le contribuable assure financièrement l</w:t>
      </w:r>
      <w:r w:rsidR="006645B6">
        <w:rPr>
          <w:lang w:val="fr-FR"/>
        </w:rPr>
        <w:t>’</w:t>
      </w:r>
      <w:r w:rsidR="00826E0F" w:rsidRPr="00872599">
        <w:rPr>
          <w:lang w:val="fr-FR"/>
        </w:rPr>
        <w:t>entretien de l</w:t>
      </w:r>
      <w:r w:rsidR="006645B6">
        <w:rPr>
          <w:lang w:val="fr-FR"/>
        </w:rPr>
        <w:t>’</w:t>
      </w:r>
      <w:r w:rsidR="00826E0F" w:rsidRPr="00872599">
        <w:rPr>
          <w:lang w:val="fr-FR"/>
        </w:rPr>
        <w:t>enfant</w:t>
      </w:r>
      <w:r w:rsidR="00826E0F" w:rsidRPr="00A03470">
        <w:rPr>
          <w:rStyle w:val="Normal"/>
          <w:lang w:val="en-US"/>
        </w:rPr>
        <w:footnoteReference w:id="9"/>
      </w:r>
      <w:r w:rsidR="00826E0F" w:rsidRPr="00872599">
        <w:rPr>
          <w:lang w:val="fr-FR"/>
        </w:rPr>
        <w:t>.</w:t>
      </w:r>
      <w:r w:rsidR="00826E0F" w:rsidRPr="00872599">
        <w:rPr>
          <w:rStyle w:val="Normal"/>
          <w:lang w:val="fr-FR"/>
        </w:rPr>
        <w:t xml:space="preserve"> De plus, tout contribuable vivant avec ses propres enfants dans un même foyer</w:t>
      </w:r>
      <w:r w:rsidR="00826E0F" w:rsidRPr="00872599">
        <w:rPr>
          <w:lang w:val="fr-FR"/>
        </w:rPr>
        <w:t xml:space="preserve"> se voit accorder un abattement de CHF 6 000 sur son revenu imposable. Depuis le 1er janvier 2008, une exemption de CHF 9 000 peut être déduite. Les conjoints qui ne sont séparés ni légalement ni de fait se voient accorder une déduction d</w:t>
      </w:r>
      <w:r w:rsidR="006645B6">
        <w:rPr>
          <w:lang w:val="fr-FR"/>
        </w:rPr>
        <w:t>’</w:t>
      </w:r>
      <w:r w:rsidR="00826E0F" w:rsidRPr="00872599">
        <w:rPr>
          <w:lang w:val="fr-FR"/>
        </w:rPr>
        <w:t>un tiers du montant d</w:t>
      </w:r>
      <w:r w:rsidR="006645B6">
        <w:rPr>
          <w:lang w:val="fr-FR"/>
        </w:rPr>
        <w:t>’</w:t>
      </w:r>
      <w:r w:rsidR="00826E0F" w:rsidRPr="00872599">
        <w:rPr>
          <w:lang w:val="fr-FR"/>
        </w:rPr>
        <w:t>impôt prélevé sur leur déclaration de revenus.</w:t>
      </w:r>
    </w:p>
    <w:p w:rsidR="004B7A0C" w:rsidRPr="004B7A0C" w:rsidRDefault="004B7A0C" w:rsidP="004B7A0C">
      <w:pPr>
        <w:pStyle w:val="SingleTxt"/>
        <w:spacing w:after="0" w:line="120" w:lineRule="exact"/>
        <w:rPr>
          <w:sz w:val="10"/>
          <w:lang w:val="fr-FR"/>
        </w:rPr>
      </w:pPr>
    </w:p>
    <w:p w:rsidR="00826E0F" w:rsidRPr="00872599" w:rsidRDefault="004B7A0C" w:rsidP="004B7A0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826E0F" w:rsidRPr="00872599">
        <w:rPr>
          <w:lang w:val="fr-FR"/>
        </w:rPr>
        <w:t>Brochure sur la promotion de la famille au Liechtenstein</w:t>
      </w:r>
    </w:p>
    <w:p w:rsidR="004B7A0C" w:rsidRPr="004B7A0C" w:rsidRDefault="004B7A0C" w:rsidP="004B7A0C">
      <w:pPr>
        <w:pStyle w:val="SingleTxt"/>
        <w:spacing w:after="0" w:line="120" w:lineRule="exact"/>
        <w:rPr>
          <w:sz w:val="10"/>
          <w:lang w:val="fr-FR"/>
        </w:rPr>
      </w:pPr>
    </w:p>
    <w:p w:rsidR="00826E0F" w:rsidRPr="00872599" w:rsidRDefault="004B7A0C" w:rsidP="00497599">
      <w:pPr>
        <w:pStyle w:val="SingleTxt"/>
        <w:rPr>
          <w:lang w:val="fr-FR"/>
        </w:rPr>
      </w:pPr>
      <w:r>
        <w:rPr>
          <w:lang w:val="fr-FR"/>
        </w:rPr>
        <w:tab/>
      </w:r>
      <w:r w:rsidR="00826E0F" w:rsidRPr="00872599">
        <w:rPr>
          <w:lang w:val="fr-FR"/>
        </w:rPr>
        <w:t xml:space="preserve">La brochure sur la </w:t>
      </w:r>
      <w:r w:rsidR="00C04160">
        <w:rPr>
          <w:lang w:val="fr-FR"/>
        </w:rPr>
        <w:t>« </w:t>
      </w:r>
      <w:r w:rsidR="00826E0F" w:rsidRPr="00872599">
        <w:rPr>
          <w:lang w:val="fr-FR"/>
        </w:rPr>
        <w:t>Promotion de la famille au Liechtenstein</w:t>
      </w:r>
      <w:r w:rsidR="006645B6">
        <w:rPr>
          <w:lang w:val="fr-FR"/>
        </w:rPr>
        <w:t> »</w:t>
      </w:r>
      <w:r w:rsidR="00826E0F" w:rsidRPr="00872599">
        <w:rPr>
          <w:lang w:val="fr-FR"/>
        </w:rPr>
        <w:t>, élaborée par le Bureau des affaires sociales et par le Bureau de l</w:t>
      </w:r>
      <w:r w:rsidR="006645B6">
        <w:rPr>
          <w:lang w:val="fr-FR"/>
        </w:rPr>
        <w:t>’</w:t>
      </w:r>
      <w:r w:rsidR="00826E0F" w:rsidRPr="00872599">
        <w:rPr>
          <w:lang w:val="fr-FR"/>
        </w:rPr>
        <w:t>égalité des chances, a été publiée pour la première fois en janvier 2001. Ce manuel donne à la population des renseignements sur les facilités offertes par le secteurs public et privé en faveur de la promotion de la famille au Liechtenstein, sur la manière dont les familles peuvent bénéficier de ces prestations et sur les endroits où elles peuvent obtenir un complément d</w:t>
      </w:r>
      <w:r w:rsidR="006645B6">
        <w:rPr>
          <w:lang w:val="fr-FR"/>
        </w:rPr>
        <w:t>’</w:t>
      </w:r>
      <w:r w:rsidR="00826E0F" w:rsidRPr="00872599">
        <w:rPr>
          <w:lang w:val="fr-FR"/>
        </w:rPr>
        <w:t>information. Cette brochure ayant été très demandée, une deuxième édition a été publiée en mai 2002 et actualisée en ligne en 2008 puis publiée sous forme d</w:t>
      </w:r>
      <w:r w:rsidR="006645B6">
        <w:rPr>
          <w:lang w:val="fr-FR"/>
        </w:rPr>
        <w:t>’</w:t>
      </w:r>
      <w:r w:rsidR="00826E0F" w:rsidRPr="00872599">
        <w:rPr>
          <w:lang w:val="fr-FR"/>
        </w:rPr>
        <w:t>une troisième édition sur papier.</w:t>
      </w:r>
    </w:p>
    <w:p w:rsidR="004B7A0C" w:rsidRPr="004B7A0C" w:rsidRDefault="004B7A0C" w:rsidP="004B7A0C">
      <w:pPr>
        <w:pStyle w:val="SingleTxt"/>
        <w:spacing w:after="0" w:line="120" w:lineRule="exact"/>
        <w:rPr>
          <w:sz w:val="10"/>
          <w:lang w:val="fr-FR"/>
        </w:rPr>
      </w:pPr>
    </w:p>
    <w:p w:rsidR="00826E0F" w:rsidRPr="00872599" w:rsidRDefault="004B7A0C" w:rsidP="004B7A0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826E0F" w:rsidRPr="00872599">
        <w:rPr>
          <w:lang w:val="fr-FR"/>
        </w:rPr>
        <w:t>Rapport sur la pauvreté</w:t>
      </w:r>
    </w:p>
    <w:p w:rsidR="004B7A0C" w:rsidRPr="004B7A0C" w:rsidRDefault="004B7A0C" w:rsidP="004B7A0C">
      <w:pPr>
        <w:pStyle w:val="SingleTxt"/>
        <w:spacing w:after="0" w:line="120" w:lineRule="exact"/>
        <w:rPr>
          <w:sz w:val="10"/>
          <w:lang w:val="fr-FR"/>
        </w:rPr>
      </w:pPr>
    </w:p>
    <w:p w:rsidR="00826E0F" w:rsidRPr="00872599" w:rsidRDefault="004B7A0C" w:rsidP="00497599">
      <w:pPr>
        <w:pStyle w:val="SingleTxt"/>
        <w:rPr>
          <w:lang w:val="fr-FR"/>
        </w:rPr>
      </w:pPr>
      <w:r>
        <w:rPr>
          <w:lang w:val="fr-FR"/>
        </w:rPr>
        <w:tab/>
      </w:r>
      <w:r w:rsidR="00826E0F" w:rsidRPr="00872599">
        <w:rPr>
          <w:lang w:val="fr-FR"/>
        </w:rPr>
        <w:t>En septembre 2008, le deuxième rapport sur la pauvreté a été rendu public</w:t>
      </w:r>
      <w:r w:rsidR="00826E0F" w:rsidRPr="00A03470">
        <w:rPr>
          <w:rStyle w:val="Normal"/>
          <w:lang w:val="en-US"/>
        </w:rPr>
        <w:footnoteReference w:id="10"/>
      </w:r>
      <w:r w:rsidR="00826E0F" w:rsidRPr="00872599">
        <w:rPr>
          <w:lang w:val="fr-FR"/>
        </w:rPr>
        <w:t>. Le pourcentage de ménages à faible revenu au Liechtenstein est de 11</w:t>
      </w:r>
      <w:r w:rsidR="006645B6">
        <w:rPr>
          <w:lang w:val="fr-FR"/>
        </w:rPr>
        <w:t> %</w:t>
      </w:r>
      <w:r w:rsidR="00826E0F" w:rsidRPr="00872599">
        <w:rPr>
          <w:lang w:val="fr-FR"/>
        </w:rPr>
        <w:t xml:space="preserve"> soit 1528</w:t>
      </w:r>
      <w:r w:rsidR="00C04160">
        <w:rPr>
          <w:lang w:val="fr-FR"/>
        </w:rPr>
        <w:t> </w:t>
      </w:r>
      <w:r w:rsidR="00826E0F" w:rsidRPr="00872599">
        <w:rPr>
          <w:lang w:val="fr-FR"/>
        </w:rPr>
        <w:t>ménages ayant un revenu équivalent allant jusqu</w:t>
      </w:r>
      <w:r w:rsidR="006645B6">
        <w:rPr>
          <w:lang w:val="fr-FR"/>
        </w:rPr>
        <w:t>’</w:t>
      </w:r>
      <w:r w:rsidR="00826E0F" w:rsidRPr="00872599">
        <w:rPr>
          <w:lang w:val="fr-FR"/>
        </w:rPr>
        <w:t>à CHF 27 754. Sans assistance sociale, cette proportion serait de 19,2</w:t>
      </w:r>
      <w:r w:rsidR="006645B6">
        <w:rPr>
          <w:lang w:val="fr-FR"/>
        </w:rPr>
        <w:t xml:space="preserve"> %</w:t>
      </w:r>
      <w:r w:rsidR="00826E0F" w:rsidRPr="00872599">
        <w:rPr>
          <w:lang w:val="fr-FR"/>
        </w:rPr>
        <w:t>. Les deux catégories les plus touchées par la faiblesse des revenus sont les ménages monoparentaux (23,4</w:t>
      </w:r>
      <w:r w:rsidR="006645B6">
        <w:rPr>
          <w:lang w:val="fr-FR"/>
        </w:rPr>
        <w:t> %</w:t>
      </w:r>
      <w:r w:rsidR="00826E0F" w:rsidRPr="00872599">
        <w:rPr>
          <w:lang w:val="fr-FR"/>
        </w:rPr>
        <w:t>) et les couples mariés ayant plus de deux enfants (14,7</w:t>
      </w:r>
      <w:r w:rsidR="006645B6">
        <w:rPr>
          <w:lang w:val="fr-FR"/>
        </w:rPr>
        <w:t> %</w:t>
      </w:r>
      <w:r w:rsidR="00826E0F" w:rsidRPr="00872599">
        <w:rPr>
          <w:lang w:val="fr-FR"/>
        </w:rPr>
        <w:t>). Les services sociaux de l</w:t>
      </w:r>
      <w:r w:rsidR="006645B6">
        <w:rPr>
          <w:lang w:val="fr-FR"/>
        </w:rPr>
        <w:t>’</w:t>
      </w:r>
      <w:r w:rsidR="00826E0F" w:rsidRPr="00872599">
        <w:rPr>
          <w:lang w:val="fr-FR"/>
        </w:rPr>
        <w:t>État ont le plus d</w:t>
      </w:r>
      <w:r w:rsidR="006645B6">
        <w:rPr>
          <w:lang w:val="fr-FR"/>
        </w:rPr>
        <w:t>’</w:t>
      </w:r>
      <w:r w:rsidR="00826E0F" w:rsidRPr="00872599">
        <w:rPr>
          <w:lang w:val="fr-FR"/>
        </w:rPr>
        <w:t>effet sur les personnes âgées (23</w:t>
      </w:r>
      <w:r w:rsidR="006645B6">
        <w:rPr>
          <w:lang w:val="fr-FR"/>
        </w:rPr>
        <w:t> %</w:t>
      </w:r>
      <w:r w:rsidR="00826E0F" w:rsidRPr="00872599">
        <w:rPr>
          <w:lang w:val="fr-FR"/>
        </w:rPr>
        <w:t>), sur les ménages monoparentaux (17</w:t>
      </w:r>
      <w:r w:rsidR="006645B6">
        <w:rPr>
          <w:lang w:val="fr-FR"/>
        </w:rPr>
        <w:t> %</w:t>
      </w:r>
      <w:r w:rsidR="00826E0F" w:rsidRPr="00872599">
        <w:rPr>
          <w:lang w:val="fr-FR"/>
        </w:rPr>
        <w:t>) et sur les familles ayant trois enfants ou plus (14</w:t>
      </w:r>
      <w:r w:rsidR="006645B6">
        <w:rPr>
          <w:lang w:val="fr-FR"/>
        </w:rPr>
        <w:t> %</w:t>
      </w:r>
      <w:r w:rsidR="00826E0F" w:rsidRPr="00872599">
        <w:rPr>
          <w:lang w:val="fr-FR"/>
        </w:rPr>
        <w:t>). Pour les familles, les prestations ayant le plus d</w:t>
      </w:r>
      <w:r w:rsidR="006645B6">
        <w:rPr>
          <w:lang w:val="fr-FR"/>
        </w:rPr>
        <w:t>’</w:t>
      </w:r>
      <w:r w:rsidR="00826E0F" w:rsidRPr="00872599">
        <w:rPr>
          <w:lang w:val="fr-FR"/>
        </w:rPr>
        <w:t>effet sont les allocations pour enfants et les allocations monoparentales.</w:t>
      </w:r>
    </w:p>
    <w:p w:rsidR="00C04160" w:rsidRPr="00C04160" w:rsidRDefault="00C04160" w:rsidP="00C0416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lang w:val="fr-FR"/>
        </w:rPr>
      </w:pPr>
    </w:p>
    <w:p w:rsidR="00826E0F" w:rsidRDefault="004B7A0C" w:rsidP="004B7A0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826E0F" w:rsidRPr="004B7A0C">
        <w:rPr>
          <w:b w:val="0"/>
          <w:lang w:val="fr-FR"/>
        </w:rPr>
        <w:t>Tableau 2</w:t>
      </w:r>
      <w:r>
        <w:rPr>
          <w:lang w:val="fr-FR"/>
        </w:rPr>
        <w:br/>
      </w:r>
      <w:r w:rsidR="00826E0F" w:rsidRPr="00872599">
        <w:rPr>
          <w:lang w:val="fr-FR"/>
        </w:rPr>
        <w:t>Comparaison internationale de la part des revenus</w:t>
      </w:r>
      <w:r w:rsidR="00826E0F">
        <w:rPr>
          <w:lang w:val="fr-FR"/>
        </w:rPr>
        <w:t xml:space="preserve"> </w:t>
      </w:r>
      <w:r w:rsidR="00826E0F" w:rsidRPr="00872599">
        <w:rPr>
          <w:lang w:val="fr-FR"/>
        </w:rPr>
        <w:t>faibles</w:t>
      </w:r>
    </w:p>
    <w:p w:rsidR="00DE100C" w:rsidRPr="00DE100C" w:rsidRDefault="00DE100C" w:rsidP="00DE100C">
      <w:pPr>
        <w:pStyle w:val="SingleTxt"/>
        <w:spacing w:after="0" w:line="120" w:lineRule="exact"/>
        <w:rPr>
          <w:sz w:val="10"/>
          <w:lang w:val="fr-FR"/>
        </w:rPr>
      </w:pPr>
    </w:p>
    <w:tbl>
      <w:tblPr>
        <w:tblW w:w="0" w:type="auto"/>
        <w:tblInd w:w="1395" w:type="dxa"/>
        <w:tblLayout w:type="fixed"/>
        <w:tblLook w:val="0000" w:firstRow="0" w:lastRow="0" w:firstColumn="0" w:lastColumn="0" w:noHBand="0" w:noVBand="0"/>
      </w:tblPr>
      <w:tblGrid>
        <w:gridCol w:w="2070"/>
        <w:gridCol w:w="2943"/>
        <w:gridCol w:w="2181"/>
      </w:tblGrid>
      <w:tr w:rsidR="00826E0F" w:rsidRPr="00DE100C" w:rsidTr="00DE100C">
        <w:trPr>
          <w:tblHeader/>
        </w:trPr>
        <w:tc>
          <w:tcPr>
            <w:tcW w:w="2070" w:type="dxa"/>
            <w:tcBorders>
              <w:top w:val="single" w:sz="4" w:space="0" w:color="auto"/>
              <w:bottom w:val="single" w:sz="12" w:space="0" w:color="auto"/>
            </w:tcBorders>
            <w:shd w:val="clear" w:color="auto" w:fill="auto"/>
            <w:vAlign w:val="bottom"/>
          </w:tcPr>
          <w:p w:rsidR="00826E0F" w:rsidRPr="00DE100C" w:rsidRDefault="00826E0F" w:rsidP="00DE100C">
            <w:pPr>
              <w:pStyle w:val="SingleTxt"/>
              <w:suppressAutoHyphens/>
              <w:spacing w:before="80" w:after="80" w:line="160" w:lineRule="exact"/>
              <w:ind w:left="0" w:right="43"/>
              <w:rPr>
                <w:i/>
                <w:sz w:val="14"/>
                <w:lang w:val="fr-FR"/>
              </w:rPr>
            </w:pPr>
            <w:r w:rsidRPr="00DE100C">
              <w:rPr>
                <w:i/>
                <w:sz w:val="14"/>
                <w:lang w:val="fr-FR"/>
              </w:rPr>
              <w:t>Pays</w:t>
            </w:r>
          </w:p>
        </w:tc>
        <w:tc>
          <w:tcPr>
            <w:tcW w:w="2943" w:type="dxa"/>
            <w:tcBorders>
              <w:top w:val="single" w:sz="4" w:space="0" w:color="auto"/>
              <w:bottom w:val="single" w:sz="12" w:space="0" w:color="auto"/>
            </w:tcBorders>
            <w:shd w:val="clear" w:color="auto" w:fill="auto"/>
            <w:vAlign w:val="bottom"/>
          </w:tcPr>
          <w:p w:rsidR="00826E0F" w:rsidRPr="00DE100C" w:rsidRDefault="00826E0F" w:rsidP="00DE100C">
            <w:pPr>
              <w:pStyle w:val="SingleTxt"/>
              <w:suppressAutoHyphens/>
              <w:spacing w:before="80" w:after="80" w:line="160" w:lineRule="exact"/>
              <w:ind w:left="0" w:right="43"/>
              <w:jc w:val="right"/>
              <w:rPr>
                <w:i/>
                <w:sz w:val="14"/>
                <w:lang w:val="fr-FR"/>
              </w:rPr>
            </w:pPr>
            <w:r w:rsidRPr="00DE100C">
              <w:rPr>
                <w:i/>
                <w:sz w:val="14"/>
                <w:lang w:val="fr-FR"/>
              </w:rPr>
              <w:t>Pourcentage de</w:t>
            </w:r>
            <w:r w:rsidR="006645B6">
              <w:rPr>
                <w:i/>
                <w:sz w:val="14"/>
                <w:lang w:val="fr-FR"/>
              </w:rPr>
              <w:t xml:space="preserve"> </w:t>
            </w:r>
            <w:r w:rsidRPr="00DE100C">
              <w:rPr>
                <w:i/>
                <w:sz w:val="14"/>
                <w:lang w:val="fr-FR"/>
              </w:rPr>
              <w:t>ménages à faible revenu</w:t>
            </w:r>
          </w:p>
        </w:tc>
        <w:tc>
          <w:tcPr>
            <w:tcW w:w="2181" w:type="dxa"/>
            <w:tcBorders>
              <w:top w:val="single" w:sz="4" w:space="0" w:color="auto"/>
              <w:bottom w:val="single" w:sz="12" w:space="0" w:color="auto"/>
            </w:tcBorders>
            <w:shd w:val="clear" w:color="auto" w:fill="auto"/>
            <w:vAlign w:val="bottom"/>
          </w:tcPr>
          <w:p w:rsidR="00826E0F" w:rsidRPr="00DE100C" w:rsidRDefault="00826E0F" w:rsidP="00DE100C">
            <w:pPr>
              <w:pStyle w:val="SingleTxt"/>
              <w:suppressAutoHyphens/>
              <w:spacing w:before="80" w:after="80" w:line="160" w:lineRule="exact"/>
              <w:ind w:left="0" w:right="43"/>
              <w:jc w:val="right"/>
              <w:rPr>
                <w:i/>
                <w:sz w:val="14"/>
                <w:lang w:val="fr-FR"/>
              </w:rPr>
            </w:pPr>
            <w:r w:rsidRPr="00DE100C">
              <w:rPr>
                <w:i/>
                <w:sz w:val="14"/>
                <w:lang w:val="fr-FR"/>
              </w:rPr>
              <w:t>Seuil du revenu faible (60</w:t>
            </w:r>
            <w:r w:rsidR="006645B6">
              <w:rPr>
                <w:i/>
                <w:sz w:val="14"/>
                <w:lang w:val="fr-FR"/>
              </w:rPr>
              <w:t> %</w:t>
            </w:r>
            <w:r w:rsidRPr="00DE100C">
              <w:rPr>
                <w:i/>
                <w:sz w:val="14"/>
                <w:lang w:val="fr-FR"/>
              </w:rPr>
              <w:t xml:space="preserve"> des revenus médians)</w:t>
            </w:r>
          </w:p>
        </w:tc>
      </w:tr>
      <w:tr w:rsidR="00DE100C" w:rsidRPr="00DE100C" w:rsidTr="00DE100C">
        <w:trPr>
          <w:trHeight w:hRule="exact" w:val="115"/>
          <w:tblHeader/>
        </w:trPr>
        <w:tc>
          <w:tcPr>
            <w:tcW w:w="2070" w:type="dxa"/>
            <w:tcBorders>
              <w:top w:val="single" w:sz="12" w:space="0" w:color="auto"/>
            </w:tcBorders>
            <w:shd w:val="clear" w:color="auto" w:fill="auto"/>
            <w:vAlign w:val="bottom"/>
          </w:tcPr>
          <w:p w:rsidR="00DE100C" w:rsidRPr="00DE100C" w:rsidRDefault="00DE100C" w:rsidP="00DE100C">
            <w:pPr>
              <w:pStyle w:val="SingleTxt"/>
              <w:suppressAutoHyphens/>
              <w:spacing w:before="40" w:after="40" w:line="210" w:lineRule="exact"/>
              <w:ind w:left="0" w:right="43"/>
              <w:rPr>
                <w:b/>
                <w:sz w:val="17"/>
                <w:lang w:val="fr-FR"/>
              </w:rPr>
            </w:pPr>
          </w:p>
        </w:tc>
        <w:tc>
          <w:tcPr>
            <w:tcW w:w="2943" w:type="dxa"/>
            <w:tcBorders>
              <w:top w:val="single" w:sz="12" w:space="0" w:color="auto"/>
            </w:tcBorders>
            <w:shd w:val="clear" w:color="auto" w:fill="auto"/>
            <w:vAlign w:val="bottom"/>
          </w:tcPr>
          <w:p w:rsidR="00DE100C" w:rsidRPr="00DE100C" w:rsidRDefault="00DE100C" w:rsidP="00DE100C">
            <w:pPr>
              <w:pStyle w:val="SingleTxt"/>
              <w:suppressAutoHyphens/>
              <w:spacing w:before="40" w:after="40" w:line="210" w:lineRule="exact"/>
              <w:ind w:left="0" w:right="43"/>
              <w:jc w:val="right"/>
              <w:rPr>
                <w:b/>
                <w:sz w:val="17"/>
                <w:lang w:val="fr-FR"/>
              </w:rPr>
            </w:pPr>
          </w:p>
        </w:tc>
        <w:tc>
          <w:tcPr>
            <w:tcW w:w="2181" w:type="dxa"/>
            <w:tcBorders>
              <w:top w:val="single" w:sz="12" w:space="0" w:color="auto"/>
            </w:tcBorders>
            <w:shd w:val="clear" w:color="auto" w:fill="auto"/>
            <w:vAlign w:val="bottom"/>
          </w:tcPr>
          <w:p w:rsidR="00DE100C" w:rsidRPr="00DE100C" w:rsidRDefault="00DE100C" w:rsidP="00DE100C">
            <w:pPr>
              <w:pStyle w:val="SingleTxt"/>
              <w:suppressAutoHyphens/>
              <w:spacing w:before="40" w:after="40" w:line="210" w:lineRule="exact"/>
              <w:ind w:left="0" w:right="43"/>
              <w:jc w:val="right"/>
              <w:rPr>
                <w:b/>
                <w:sz w:val="17"/>
                <w:lang w:val="fr-FR"/>
              </w:rPr>
            </w:pPr>
          </w:p>
        </w:tc>
      </w:tr>
      <w:tr w:rsidR="00826E0F" w:rsidRPr="00DE100C" w:rsidTr="00DE100C">
        <w:tc>
          <w:tcPr>
            <w:tcW w:w="2070" w:type="dxa"/>
            <w:shd w:val="clear" w:color="auto" w:fill="auto"/>
            <w:vAlign w:val="bottom"/>
          </w:tcPr>
          <w:p w:rsidR="00826E0F" w:rsidRPr="00DE100C" w:rsidRDefault="00826E0F" w:rsidP="00DE100C">
            <w:pPr>
              <w:pStyle w:val="SingleTxt"/>
              <w:tabs>
                <w:tab w:val="left" w:pos="288"/>
                <w:tab w:val="left" w:pos="576"/>
                <w:tab w:val="left" w:pos="864"/>
                <w:tab w:val="left" w:pos="1152"/>
              </w:tabs>
              <w:suppressAutoHyphens/>
              <w:spacing w:before="40" w:after="40" w:line="210" w:lineRule="exact"/>
              <w:ind w:left="0" w:right="43"/>
              <w:rPr>
                <w:sz w:val="17"/>
                <w:lang w:val="fr-FR"/>
              </w:rPr>
            </w:pPr>
            <w:r w:rsidRPr="00DE100C">
              <w:rPr>
                <w:sz w:val="17"/>
                <w:lang w:val="fr-FR"/>
              </w:rPr>
              <w:t>Liechtenstein (2004)</w:t>
            </w:r>
          </w:p>
        </w:tc>
        <w:tc>
          <w:tcPr>
            <w:tcW w:w="2943" w:type="dxa"/>
            <w:shd w:val="clear" w:color="auto" w:fill="auto"/>
            <w:vAlign w:val="bottom"/>
          </w:tcPr>
          <w:p w:rsidR="00826E0F" w:rsidRPr="00DE100C" w:rsidRDefault="00826E0F" w:rsidP="00DE100C">
            <w:pPr>
              <w:pStyle w:val="SingleTxt"/>
              <w:tabs>
                <w:tab w:val="left" w:pos="288"/>
                <w:tab w:val="left" w:pos="576"/>
                <w:tab w:val="left" w:pos="864"/>
                <w:tab w:val="left" w:pos="1152"/>
              </w:tabs>
              <w:suppressAutoHyphens/>
              <w:spacing w:before="40" w:after="40" w:line="210" w:lineRule="exact"/>
              <w:ind w:left="0" w:right="43"/>
              <w:jc w:val="right"/>
              <w:rPr>
                <w:sz w:val="17"/>
                <w:lang w:val="fr-FR"/>
              </w:rPr>
            </w:pPr>
            <w:r w:rsidRPr="00DE100C">
              <w:rPr>
                <w:sz w:val="17"/>
                <w:lang w:val="fr-FR"/>
              </w:rPr>
              <w:t>11</w:t>
            </w:r>
          </w:p>
        </w:tc>
        <w:tc>
          <w:tcPr>
            <w:tcW w:w="2181" w:type="dxa"/>
            <w:shd w:val="clear" w:color="auto" w:fill="auto"/>
            <w:vAlign w:val="bottom"/>
          </w:tcPr>
          <w:p w:rsidR="00826E0F" w:rsidRPr="00DE100C" w:rsidRDefault="00826E0F" w:rsidP="00DE100C">
            <w:pPr>
              <w:pStyle w:val="SingleTxt"/>
              <w:tabs>
                <w:tab w:val="left" w:pos="288"/>
                <w:tab w:val="left" w:pos="576"/>
                <w:tab w:val="left" w:pos="864"/>
                <w:tab w:val="left" w:pos="1152"/>
              </w:tabs>
              <w:suppressAutoHyphens/>
              <w:spacing w:before="40" w:after="40" w:line="210" w:lineRule="exact"/>
              <w:ind w:left="0" w:right="43"/>
              <w:jc w:val="right"/>
              <w:rPr>
                <w:sz w:val="17"/>
                <w:lang w:val="fr-FR"/>
              </w:rPr>
            </w:pPr>
            <w:r w:rsidRPr="00DE100C">
              <w:rPr>
                <w:sz w:val="17"/>
                <w:lang w:val="fr-FR"/>
              </w:rPr>
              <w:t>27 754</w:t>
            </w:r>
          </w:p>
        </w:tc>
      </w:tr>
      <w:tr w:rsidR="00826E0F" w:rsidRPr="00DE100C" w:rsidTr="00DE100C">
        <w:tc>
          <w:tcPr>
            <w:tcW w:w="2070" w:type="dxa"/>
            <w:shd w:val="clear" w:color="auto" w:fill="auto"/>
            <w:vAlign w:val="bottom"/>
          </w:tcPr>
          <w:p w:rsidR="00826E0F" w:rsidRPr="00DE100C" w:rsidRDefault="00826E0F" w:rsidP="00DE100C">
            <w:pPr>
              <w:pStyle w:val="SingleTxt"/>
              <w:tabs>
                <w:tab w:val="left" w:pos="288"/>
                <w:tab w:val="left" w:pos="576"/>
                <w:tab w:val="left" w:pos="864"/>
                <w:tab w:val="left" w:pos="1152"/>
              </w:tabs>
              <w:suppressAutoHyphens/>
              <w:spacing w:before="40" w:after="40" w:line="210" w:lineRule="exact"/>
              <w:ind w:left="0" w:right="43"/>
              <w:rPr>
                <w:sz w:val="17"/>
                <w:lang w:val="fr-FR"/>
              </w:rPr>
            </w:pPr>
            <w:r w:rsidRPr="00DE100C">
              <w:rPr>
                <w:sz w:val="17"/>
                <w:lang w:val="fr-FR"/>
              </w:rPr>
              <w:t>Luxembourg (2006)</w:t>
            </w:r>
          </w:p>
        </w:tc>
        <w:tc>
          <w:tcPr>
            <w:tcW w:w="2943" w:type="dxa"/>
            <w:shd w:val="clear" w:color="auto" w:fill="auto"/>
            <w:vAlign w:val="bottom"/>
          </w:tcPr>
          <w:p w:rsidR="00826E0F" w:rsidRPr="00DE100C" w:rsidRDefault="00826E0F" w:rsidP="00DE100C">
            <w:pPr>
              <w:pStyle w:val="SingleTxt"/>
              <w:tabs>
                <w:tab w:val="left" w:pos="288"/>
                <w:tab w:val="left" w:pos="576"/>
                <w:tab w:val="left" w:pos="864"/>
                <w:tab w:val="left" w:pos="1152"/>
              </w:tabs>
              <w:suppressAutoHyphens/>
              <w:spacing w:before="40" w:after="40" w:line="210" w:lineRule="exact"/>
              <w:ind w:left="0" w:right="43"/>
              <w:jc w:val="right"/>
              <w:rPr>
                <w:sz w:val="17"/>
                <w:lang w:val="fr-FR"/>
              </w:rPr>
            </w:pPr>
            <w:r w:rsidRPr="00DE100C">
              <w:rPr>
                <w:sz w:val="17"/>
                <w:lang w:val="fr-FR"/>
              </w:rPr>
              <w:t>14</w:t>
            </w:r>
          </w:p>
        </w:tc>
        <w:tc>
          <w:tcPr>
            <w:tcW w:w="2181" w:type="dxa"/>
            <w:shd w:val="clear" w:color="auto" w:fill="auto"/>
            <w:vAlign w:val="bottom"/>
          </w:tcPr>
          <w:p w:rsidR="00826E0F" w:rsidRPr="00DE100C" w:rsidRDefault="00826E0F" w:rsidP="00DE100C">
            <w:pPr>
              <w:pStyle w:val="SingleTxt"/>
              <w:tabs>
                <w:tab w:val="left" w:pos="288"/>
                <w:tab w:val="left" w:pos="576"/>
                <w:tab w:val="left" w:pos="864"/>
                <w:tab w:val="left" w:pos="1152"/>
              </w:tabs>
              <w:suppressAutoHyphens/>
              <w:spacing w:before="40" w:after="40" w:line="210" w:lineRule="exact"/>
              <w:ind w:left="0" w:right="43"/>
              <w:jc w:val="right"/>
              <w:rPr>
                <w:sz w:val="17"/>
                <w:lang w:val="fr-FR"/>
              </w:rPr>
            </w:pPr>
            <w:r w:rsidRPr="00DE100C">
              <w:rPr>
                <w:sz w:val="17"/>
                <w:lang w:val="fr-FR"/>
              </w:rPr>
              <w:t>29 383</w:t>
            </w:r>
          </w:p>
        </w:tc>
      </w:tr>
      <w:tr w:rsidR="00826E0F" w:rsidRPr="00DE100C" w:rsidTr="00DE100C">
        <w:tc>
          <w:tcPr>
            <w:tcW w:w="2070" w:type="dxa"/>
            <w:shd w:val="clear" w:color="auto" w:fill="auto"/>
            <w:vAlign w:val="bottom"/>
          </w:tcPr>
          <w:p w:rsidR="00826E0F" w:rsidRPr="00DE100C" w:rsidRDefault="00826E0F" w:rsidP="00DE100C">
            <w:pPr>
              <w:pStyle w:val="SingleTxt"/>
              <w:tabs>
                <w:tab w:val="left" w:pos="288"/>
                <w:tab w:val="left" w:pos="576"/>
                <w:tab w:val="left" w:pos="864"/>
                <w:tab w:val="left" w:pos="1152"/>
              </w:tabs>
              <w:suppressAutoHyphens/>
              <w:spacing w:before="40" w:after="40" w:line="210" w:lineRule="exact"/>
              <w:ind w:left="0" w:right="43"/>
              <w:rPr>
                <w:sz w:val="17"/>
                <w:lang w:val="fr-FR"/>
              </w:rPr>
            </w:pPr>
            <w:r w:rsidRPr="00DE100C">
              <w:rPr>
                <w:sz w:val="17"/>
                <w:lang w:val="fr-FR"/>
              </w:rPr>
              <w:t>Allemagne (2003)</w:t>
            </w:r>
          </w:p>
        </w:tc>
        <w:tc>
          <w:tcPr>
            <w:tcW w:w="2943" w:type="dxa"/>
            <w:shd w:val="clear" w:color="auto" w:fill="auto"/>
            <w:vAlign w:val="bottom"/>
          </w:tcPr>
          <w:p w:rsidR="00826E0F" w:rsidRPr="00DE100C" w:rsidRDefault="00826E0F" w:rsidP="00DE100C">
            <w:pPr>
              <w:pStyle w:val="SingleTxt"/>
              <w:tabs>
                <w:tab w:val="left" w:pos="288"/>
                <w:tab w:val="left" w:pos="576"/>
                <w:tab w:val="left" w:pos="864"/>
                <w:tab w:val="left" w:pos="1152"/>
              </w:tabs>
              <w:suppressAutoHyphens/>
              <w:spacing w:before="40" w:after="40" w:line="210" w:lineRule="exact"/>
              <w:ind w:left="0" w:right="43"/>
              <w:jc w:val="right"/>
              <w:rPr>
                <w:sz w:val="17"/>
                <w:lang w:val="fr-FR"/>
              </w:rPr>
            </w:pPr>
            <w:r w:rsidRPr="00DE100C">
              <w:rPr>
                <w:sz w:val="17"/>
                <w:lang w:val="fr-FR"/>
              </w:rPr>
              <w:t>14</w:t>
            </w:r>
          </w:p>
        </w:tc>
        <w:tc>
          <w:tcPr>
            <w:tcW w:w="2181" w:type="dxa"/>
            <w:shd w:val="clear" w:color="auto" w:fill="auto"/>
            <w:vAlign w:val="bottom"/>
          </w:tcPr>
          <w:p w:rsidR="00826E0F" w:rsidRPr="00DE100C" w:rsidRDefault="00826E0F" w:rsidP="00DE100C">
            <w:pPr>
              <w:pStyle w:val="SingleTxt"/>
              <w:tabs>
                <w:tab w:val="left" w:pos="288"/>
                <w:tab w:val="left" w:pos="576"/>
                <w:tab w:val="left" w:pos="864"/>
                <w:tab w:val="left" w:pos="1152"/>
              </w:tabs>
              <w:suppressAutoHyphens/>
              <w:spacing w:before="40" w:after="40" w:line="210" w:lineRule="exact"/>
              <w:ind w:left="0" w:right="43"/>
              <w:jc w:val="right"/>
              <w:rPr>
                <w:sz w:val="17"/>
                <w:lang w:val="fr-FR"/>
              </w:rPr>
            </w:pPr>
            <w:r w:rsidRPr="00DE100C">
              <w:rPr>
                <w:sz w:val="17"/>
                <w:lang w:val="fr-FR"/>
              </w:rPr>
              <w:t>18 850</w:t>
            </w:r>
          </w:p>
        </w:tc>
      </w:tr>
      <w:tr w:rsidR="00826E0F" w:rsidRPr="00DE100C" w:rsidTr="00DE100C">
        <w:tc>
          <w:tcPr>
            <w:tcW w:w="2070" w:type="dxa"/>
            <w:shd w:val="clear" w:color="auto" w:fill="auto"/>
            <w:vAlign w:val="bottom"/>
          </w:tcPr>
          <w:p w:rsidR="00826E0F" w:rsidRPr="00DE100C" w:rsidRDefault="00826E0F" w:rsidP="00DE100C">
            <w:pPr>
              <w:pStyle w:val="SingleTxt"/>
              <w:tabs>
                <w:tab w:val="left" w:pos="288"/>
                <w:tab w:val="left" w:pos="576"/>
                <w:tab w:val="left" w:pos="864"/>
                <w:tab w:val="left" w:pos="1152"/>
              </w:tabs>
              <w:suppressAutoHyphens/>
              <w:spacing w:before="40" w:after="40" w:line="210" w:lineRule="exact"/>
              <w:ind w:left="0" w:right="43"/>
              <w:rPr>
                <w:sz w:val="17"/>
                <w:lang w:val="fr-FR"/>
              </w:rPr>
            </w:pPr>
            <w:r w:rsidRPr="00DE100C">
              <w:rPr>
                <w:sz w:val="17"/>
                <w:lang w:val="fr-FR"/>
              </w:rPr>
              <w:t>Autriche (2004)</w:t>
            </w:r>
          </w:p>
        </w:tc>
        <w:tc>
          <w:tcPr>
            <w:tcW w:w="2943" w:type="dxa"/>
            <w:shd w:val="clear" w:color="auto" w:fill="auto"/>
            <w:vAlign w:val="bottom"/>
          </w:tcPr>
          <w:p w:rsidR="00826E0F" w:rsidRPr="00DE100C" w:rsidRDefault="00826E0F" w:rsidP="00DE100C">
            <w:pPr>
              <w:pStyle w:val="SingleTxt"/>
              <w:tabs>
                <w:tab w:val="left" w:pos="288"/>
                <w:tab w:val="left" w:pos="576"/>
                <w:tab w:val="left" w:pos="864"/>
                <w:tab w:val="left" w:pos="1152"/>
              </w:tabs>
              <w:suppressAutoHyphens/>
              <w:spacing w:before="40" w:after="40" w:line="210" w:lineRule="exact"/>
              <w:ind w:left="0" w:right="43"/>
              <w:jc w:val="right"/>
              <w:rPr>
                <w:sz w:val="17"/>
                <w:lang w:val="fr-FR"/>
              </w:rPr>
            </w:pPr>
            <w:r w:rsidRPr="00DE100C">
              <w:rPr>
                <w:sz w:val="17"/>
                <w:lang w:val="fr-FR"/>
              </w:rPr>
              <w:t>12</w:t>
            </w:r>
          </w:p>
        </w:tc>
        <w:tc>
          <w:tcPr>
            <w:tcW w:w="2181" w:type="dxa"/>
            <w:shd w:val="clear" w:color="auto" w:fill="auto"/>
            <w:vAlign w:val="bottom"/>
          </w:tcPr>
          <w:p w:rsidR="00826E0F" w:rsidRPr="00DE100C" w:rsidRDefault="00826E0F" w:rsidP="00DE100C">
            <w:pPr>
              <w:pStyle w:val="SingleTxt"/>
              <w:tabs>
                <w:tab w:val="left" w:pos="288"/>
                <w:tab w:val="left" w:pos="576"/>
                <w:tab w:val="left" w:pos="864"/>
                <w:tab w:val="left" w:pos="1152"/>
              </w:tabs>
              <w:suppressAutoHyphens/>
              <w:spacing w:before="40" w:after="40" w:line="210" w:lineRule="exact"/>
              <w:ind w:left="0" w:right="43"/>
              <w:jc w:val="right"/>
              <w:rPr>
                <w:sz w:val="17"/>
                <w:lang w:val="fr-FR"/>
              </w:rPr>
            </w:pPr>
            <w:r w:rsidRPr="00DE100C">
              <w:rPr>
                <w:sz w:val="17"/>
                <w:lang w:val="fr-FR"/>
              </w:rPr>
              <w:t>17 813</w:t>
            </w:r>
          </w:p>
        </w:tc>
      </w:tr>
      <w:tr w:rsidR="00826E0F" w:rsidRPr="00DE100C" w:rsidTr="00C04160">
        <w:tc>
          <w:tcPr>
            <w:tcW w:w="2070" w:type="dxa"/>
            <w:shd w:val="clear" w:color="auto" w:fill="auto"/>
            <w:vAlign w:val="bottom"/>
          </w:tcPr>
          <w:p w:rsidR="00826E0F" w:rsidRPr="00DE100C" w:rsidRDefault="00826E0F" w:rsidP="00DE100C">
            <w:pPr>
              <w:pStyle w:val="SingleTxt"/>
              <w:tabs>
                <w:tab w:val="left" w:pos="288"/>
                <w:tab w:val="left" w:pos="576"/>
                <w:tab w:val="left" w:pos="864"/>
                <w:tab w:val="left" w:pos="1152"/>
              </w:tabs>
              <w:suppressAutoHyphens/>
              <w:spacing w:before="40" w:after="40" w:line="210" w:lineRule="exact"/>
              <w:ind w:left="0" w:right="43"/>
              <w:rPr>
                <w:sz w:val="17"/>
                <w:lang w:val="fr-FR"/>
              </w:rPr>
            </w:pPr>
            <w:r w:rsidRPr="00DE100C">
              <w:rPr>
                <w:sz w:val="17"/>
                <w:lang w:val="fr-FR"/>
              </w:rPr>
              <w:t>Italie (2006)</w:t>
            </w:r>
          </w:p>
        </w:tc>
        <w:tc>
          <w:tcPr>
            <w:tcW w:w="2943" w:type="dxa"/>
            <w:shd w:val="clear" w:color="auto" w:fill="auto"/>
            <w:vAlign w:val="bottom"/>
          </w:tcPr>
          <w:p w:rsidR="00826E0F" w:rsidRPr="00DE100C" w:rsidRDefault="00826E0F" w:rsidP="00DE100C">
            <w:pPr>
              <w:pStyle w:val="SingleTxt"/>
              <w:tabs>
                <w:tab w:val="left" w:pos="288"/>
                <w:tab w:val="left" w:pos="576"/>
                <w:tab w:val="left" w:pos="864"/>
                <w:tab w:val="left" w:pos="1152"/>
              </w:tabs>
              <w:suppressAutoHyphens/>
              <w:spacing w:before="40" w:after="40" w:line="210" w:lineRule="exact"/>
              <w:ind w:left="0" w:right="43"/>
              <w:jc w:val="right"/>
              <w:rPr>
                <w:sz w:val="17"/>
                <w:lang w:val="fr-FR"/>
              </w:rPr>
            </w:pPr>
            <w:r w:rsidRPr="00DE100C">
              <w:rPr>
                <w:sz w:val="17"/>
                <w:lang w:val="fr-FR"/>
              </w:rPr>
              <w:t>20</w:t>
            </w:r>
          </w:p>
        </w:tc>
        <w:tc>
          <w:tcPr>
            <w:tcW w:w="2181" w:type="dxa"/>
            <w:shd w:val="clear" w:color="auto" w:fill="auto"/>
            <w:vAlign w:val="bottom"/>
          </w:tcPr>
          <w:p w:rsidR="00826E0F" w:rsidRPr="00DE100C" w:rsidRDefault="00826E0F" w:rsidP="00DE100C">
            <w:pPr>
              <w:pStyle w:val="SingleTxt"/>
              <w:tabs>
                <w:tab w:val="left" w:pos="288"/>
                <w:tab w:val="left" w:pos="576"/>
                <w:tab w:val="left" w:pos="864"/>
                <w:tab w:val="left" w:pos="1152"/>
              </w:tabs>
              <w:suppressAutoHyphens/>
              <w:spacing w:before="40" w:after="40" w:line="210" w:lineRule="exact"/>
              <w:ind w:left="0" w:right="43"/>
              <w:jc w:val="right"/>
              <w:rPr>
                <w:sz w:val="17"/>
                <w:lang w:val="fr-FR"/>
              </w:rPr>
            </w:pPr>
            <w:r w:rsidRPr="00DE100C">
              <w:rPr>
                <w:sz w:val="17"/>
                <w:lang w:val="fr-FR"/>
              </w:rPr>
              <w:t>n/d</w:t>
            </w:r>
          </w:p>
        </w:tc>
      </w:tr>
      <w:tr w:rsidR="00826E0F" w:rsidRPr="00DE100C" w:rsidTr="00C04160">
        <w:tc>
          <w:tcPr>
            <w:tcW w:w="2070" w:type="dxa"/>
            <w:tcBorders>
              <w:bottom w:val="single" w:sz="12" w:space="0" w:color="auto"/>
            </w:tcBorders>
            <w:shd w:val="clear" w:color="auto" w:fill="auto"/>
            <w:vAlign w:val="bottom"/>
          </w:tcPr>
          <w:p w:rsidR="00826E0F" w:rsidRPr="00DE100C" w:rsidRDefault="00826E0F" w:rsidP="00DE100C">
            <w:pPr>
              <w:pStyle w:val="SingleTxt"/>
              <w:tabs>
                <w:tab w:val="left" w:pos="288"/>
                <w:tab w:val="left" w:pos="576"/>
                <w:tab w:val="left" w:pos="864"/>
                <w:tab w:val="left" w:pos="1152"/>
              </w:tabs>
              <w:suppressAutoHyphens/>
              <w:spacing w:before="40" w:after="40" w:line="210" w:lineRule="exact"/>
              <w:ind w:left="0" w:right="43"/>
              <w:rPr>
                <w:sz w:val="17"/>
                <w:lang w:val="fr-FR"/>
              </w:rPr>
            </w:pPr>
            <w:r w:rsidRPr="00DE100C">
              <w:rPr>
                <w:sz w:val="17"/>
                <w:lang w:val="fr-FR"/>
              </w:rPr>
              <w:t>UE-25 (2006)</w:t>
            </w:r>
          </w:p>
        </w:tc>
        <w:tc>
          <w:tcPr>
            <w:tcW w:w="2943" w:type="dxa"/>
            <w:tcBorders>
              <w:bottom w:val="single" w:sz="12" w:space="0" w:color="auto"/>
            </w:tcBorders>
            <w:shd w:val="clear" w:color="auto" w:fill="auto"/>
            <w:vAlign w:val="bottom"/>
          </w:tcPr>
          <w:p w:rsidR="00826E0F" w:rsidRPr="00DE100C" w:rsidRDefault="00826E0F" w:rsidP="00DE100C">
            <w:pPr>
              <w:pStyle w:val="SingleTxt"/>
              <w:tabs>
                <w:tab w:val="left" w:pos="288"/>
                <w:tab w:val="left" w:pos="576"/>
                <w:tab w:val="left" w:pos="864"/>
                <w:tab w:val="left" w:pos="1152"/>
              </w:tabs>
              <w:suppressAutoHyphens/>
              <w:spacing w:before="40" w:after="40" w:line="210" w:lineRule="exact"/>
              <w:ind w:left="0" w:right="43"/>
              <w:jc w:val="right"/>
              <w:rPr>
                <w:sz w:val="17"/>
                <w:lang w:val="fr-FR"/>
              </w:rPr>
            </w:pPr>
            <w:r w:rsidRPr="00DE100C">
              <w:rPr>
                <w:sz w:val="17"/>
                <w:lang w:val="fr-FR"/>
              </w:rPr>
              <w:t>16</w:t>
            </w:r>
          </w:p>
        </w:tc>
        <w:tc>
          <w:tcPr>
            <w:tcW w:w="2181" w:type="dxa"/>
            <w:tcBorders>
              <w:bottom w:val="single" w:sz="12" w:space="0" w:color="auto"/>
            </w:tcBorders>
            <w:shd w:val="clear" w:color="auto" w:fill="auto"/>
            <w:vAlign w:val="bottom"/>
          </w:tcPr>
          <w:p w:rsidR="00826E0F" w:rsidRPr="00DE100C" w:rsidRDefault="00826E0F" w:rsidP="00DE100C">
            <w:pPr>
              <w:pStyle w:val="SingleTxt"/>
              <w:tabs>
                <w:tab w:val="left" w:pos="288"/>
                <w:tab w:val="left" w:pos="576"/>
                <w:tab w:val="left" w:pos="864"/>
                <w:tab w:val="left" w:pos="1152"/>
              </w:tabs>
              <w:suppressAutoHyphens/>
              <w:spacing w:before="40" w:after="40" w:line="210" w:lineRule="exact"/>
              <w:ind w:left="0" w:right="43"/>
              <w:jc w:val="right"/>
              <w:rPr>
                <w:sz w:val="17"/>
                <w:lang w:val="fr-FR"/>
              </w:rPr>
            </w:pPr>
            <w:r w:rsidRPr="00DE100C">
              <w:rPr>
                <w:sz w:val="17"/>
                <w:lang w:val="fr-FR"/>
              </w:rPr>
              <w:t>n/d</w:t>
            </w:r>
          </w:p>
        </w:tc>
      </w:tr>
    </w:tbl>
    <w:p w:rsidR="00DE100C" w:rsidRPr="00DE100C" w:rsidRDefault="00DE100C" w:rsidP="00DE100C">
      <w:pPr>
        <w:pStyle w:val="SingleTxt"/>
        <w:spacing w:after="0" w:line="120" w:lineRule="exact"/>
        <w:rPr>
          <w:sz w:val="10"/>
          <w:lang w:val="fr-FR"/>
        </w:rPr>
      </w:pPr>
    </w:p>
    <w:p w:rsidR="00826E0F" w:rsidRPr="00872599" w:rsidRDefault="00826E0F" w:rsidP="00DE100C">
      <w:pPr>
        <w:pStyle w:val="FootnoteText"/>
        <w:tabs>
          <w:tab w:val="clear" w:pos="418"/>
          <w:tab w:val="right" w:pos="1476"/>
          <w:tab w:val="left" w:pos="1548"/>
          <w:tab w:val="right" w:pos="1836"/>
          <w:tab w:val="left" w:pos="1908"/>
        </w:tabs>
        <w:ind w:left="1548" w:right="1267" w:hanging="288"/>
        <w:rPr>
          <w:lang w:val="fr-FR"/>
        </w:rPr>
      </w:pPr>
      <w:r w:rsidRPr="00DE100C">
        <w:rPr>
          <w:i/>
          <w:lang w:val="fr-FR"/>
        </w:rPr>
        <w:t>Source</w:t>
      </w:r>
      <w:r w:rsidR="006645B6">
        <w:rPr>
          <w:lang w:val="fr-FR"/>
        </w:rPr>
        <w:t> :</w:t>
      </w:r>
      <w:r w:rsidRPr="00872599">
        <w:rPr>
          <w:lang w:val="fr-FR"/>
        </w:rPr>
        <w:t xml:space="preserve"> Deuxième rapport sur la pauvreté, 2008, Bureau des affaires sociales.</w:t>
      </w:r>
    </w:p>
    <w:p w:rsidR="00DE100C" w:rsidRPr="00DE100C" w:rsidRDefault="00DE100C" w:rsidP="00DE100C">
      <w:pPr>
        <w:pStyle w:val="SingleTxt"/>
        <w:spacing w:after="0" w:line="120" w:lineRule="exact"/>
        <w:rPr>
          <w:sz w:val="10"/>
          <w:lang w:val="fr-FR"/>
        </w:rPr>
      </w:pPr>
    </w:p>
    <w:p w:rsidR="00826E0F" w:rsidRPr="00872599" w:rsidRDefault="00DE100C" w:rsidP="00497599">
      <w:pPr>
        <w:pStyle w:val="SingleTxt"/>
        <w:rPr>
          <w:lang w:val="fr-FR"/>
        </w:rPr>
      </w:pPr>
      <w:r>
        <w:rPr>
          <w:lang w:val="fr-FR"/>
        </w:rPr>
        <w:tab/>
      </w:r>
      <w:r w:rsidR="00826E0F" w:rsidRPr="00872599">
        <w:rPr>
          <w:lang w:val="fr-FR"/>
        </w:rPr>
        <w:t>Il ressort d</w:t>
      </w:r>
      <w:r w:rsidR="006645B6">
        <w:rPr>
          <w:lang w:val="fr-FR"/>
        </w:rPr>
        <w:t>’</w:t>
      </w:r>
      <w:r w:rsidR="00826E0F" w:rsidRPr="00872599">
        <w:rPr>
          <w:lang w:val="fr-FR"/>
        </w:rPr>
        <w:t>une comparaison entre les chiffres ci-dessus que le Liechtenstein est en très bonne position. Le seuil est élevé mais le rapport est encore faible par rapport à d</w:t>
      </w:r>
      <w:r w:rsidR="006645B6">
        <w:rPr>
          <w:lang w:val="fr-FR"/>
        </w:rPr>
        <w:t>’</w:t>
      </w:r>
      <w:r w:rsidR="00826E0F" w:rsidRPr="00872599">
        <w:rPr>
          <w:lang w:val="fr-FR"/>
        </w:rPr>
        <w:t>autres pays. Toute comparaison avec d</w:t>
      </w:r>
      <w:r w:rsidR="006645B6">
        <w:rPr>
          <w:lang w:val="fr-FR"/>
        </w:rPr>
        <w:t>’</w:t>
      </w:r>
      <w:r w:rsidR="00826E0F" w:rsidRPr="00872599">
        <w:rPr>
          <w:lang w:val="fr-FR"/>
        </w:rPr>
        <w:t>autres pays pour ce qui e</w:t>
      </w:r>
      <w:r w:rsidR="00826E0F">
        <w:rPr>
          <w:lang w:val="fr-FR"/>
        </w:rPr>
        <w:t>st des ménages à faible revenu</w:t>
      </w:r>
      <w:r w:rsidR="00826E0F" w:rsidRPr="00872599">
        <w:rPr>
          <w:lang w:val="fr-FR"/>
        </w:rPr>
        <w:t xml:space="preserve"> doit tenir compte du haut niveau des salaires et des prix. Le Liechtenstein –comme le Luxembourg –offre donc un seuil élevé en ce qui concerne les faibles revenus.</w:t>
      </w:r>
    </w:p>
    <w:p w:rsidR="00DE100C" w:rsidRPr="00DE100C" w:rsidRDefault="00DE100C" w:rsidP="00DE100C">
      <w:pPr>
        <w:pStyle w:val="SingleTxt"/>
        <w:spacing w:after="0" w:line="120" w:lineRule="exact"/>
        <w:rPr>
          <w:b/>
          <w:sz w:val="10"/>
          <w:lang w:val="fr-FR"/>
        </w:rPr>
      </w:pPr>
    </w:p>
    <w:p w:rsidR="00826E0F" w:rsidRPr="00872599" w:rsidRDefault="00DE100C" w:rsidP="00DE100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826E0F" w:rsidRPr="00872599">
        <w:rPr>
          <w:lang w:val="fr-FR"/>
        </w:rPr>
        <w:t xml:space="preserve">Coopération avec les médias </w:t>
      </w:r>
    </w:p>
    <w:p w:rsidR="00DE100C" w:rsidRPr="00DE100C" w:rsidRDefault="00DE100C" w:rsidP="00DE100C">
      <w:pPr>
        <w:pStyle w:val="SingleTxt"/>
        <w:spacing w:after="0" w:line="120" w:lineRule="exact"/>
        <w:rPr>
          <w:sz w:val="10"/>
          <w:lang w:val="fr-FR"/>
        </w:rPr>
      </w:pPr>
    </w:p>
    <w:p w:rsidR="00826E0F" w:rsidRPr="00872599" w:rsidRDefault="00DE100C" w:rsidP="00497599">
      <w:pPr>
        <w:pStyle w:val="SingleTxt"/>
        <w:rPr>
          <w:lang w:val="fr-FR"/>
        </w:rPr>
      </w:pPr>
      <w:r>
        <w:rPr>
          <w:lang w:val="fr-FR"/>
        </w:rPr>
        <w:tab/>
      </w:r>
      <w:r w:rsidR="00826E0F" w:rsidRPr="00872599">
        <w:rPr>
          <w:lang w:val="fr-FR"/>
        </w:rPr>
        <w:t>Pour ce qui est de la coopération avec les médias dans le domaine des droits fondamentaux et des droits des femmes, se reporter aux remarques concernant l</w:t>
      </w:r>
      <w:r w:rsidR="006645B6">
        <w:rPr>
          <w:lang w:val="fr-FR"/>
        </w:rPr>
        <w:t>’</w:t>
      </w:r>
      <w:r w:rsidR="00826E0F" w:rsidRPr="00872599">
        <w:rPr>
          <w:lang w:val="fr-FR"/>
        </w:rPr>
        <w:t>article 24.</w:t>
      </w:r>
    </w:p>
    <w:p w:rsidR="00DE100C" w:rsidRPr="00DE100C" w:rsidRDefault="00DE100C" w:rsidP="00DE100C">
      <w:pPr>
        <w:pStyle w:val="SingleTxt"/>
        <w:spacing w:after="0" w:line="120" w:lineRule="exact"/>
        <w:rPr>
          <w:b/>
          <w:sz w:val="10"/>
          <w:lang w:val="fr-FR"/>
        </w:rPr>
      </w:pPr>
    </w:p>
    <w:p w:rsidR="00826E0F" w:rsidRPr="00872599" w:rsidRDefault="00DE100C" w:rsidP="00DE100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bookmarkStart w:id="24" w:name="_Toc239741028"/>
      <w:r>
        <w:rPr>
          <w:lang w:val="fr-FR"/>
        </w:rPr>
        <w:tab/>
      </w:r>
      <w:r w:rsidR="00826E0F" w:rsidRPr="00872599">
        <w:rPr>
          <w:lang w:val="fr-FR"/>
        </w:rPr>
        <w:t>Article 6</w:t>
      </w:r>
      <w:r w:rsidR="00A03470">
        <w:rPr>
          <w:lang w:val="fr-FR"/>
        </w:rPr>
        <w:t>.</w:t>
      </w:r>
      <w:r w:rsidR="00826E0F" w:rsidRPr="00872599">
        <w:rPr>
          <w:lang w:val="fr-FR"/>
        </w:rPr>
        <w:tab/>
      </w:r>
      <w:bookmarkEnd w:id="22"/>
      <w:bookmarkEnd w:id="23"/>
      <w:bookmarkEnd w:id="24"/>
      <w:r w:rsidR="00826E0F" w:rsidRPr="00872599">
        <w:rPr>
          <w:lang w:val="fr-FR"/>
        </w:rPr>
        <w:t>Élimination de toutes les formes d</w:t>
      </w:r>
      <w:r w:rsidR="006645B6">
        <w:rPr>
          <w:lang w:val="fr-FR"/>
        </w:rPr>
        <w:t>’</w:t>
      </w:r>
      <w:r w:rsidR="00826E0F" w:rsidRPr="00872599">
        <w:rPr>
          <w:lang w:val="fr-FR"/>
        </w:rPr>
        <w:t>exploitation des femmes (en particulier</w:t>
      </w:r>
      <w:r w:rsidR="00826E0F" w:rsidRPr="00872599">
        <w:rPr>
          <w:lang w:val="fr-FR"/>
        </w:rPr>
        <w:br/>
        <w:t>la traite des femmes et la prostitution) et de la violence à l</w:t>
      </w:r>
      <w:r w:rsidR="006645B6">
        <w:rPr>
          <w:lang w:val="fr-FR"/>
        </w:rPr>
        <w:t>’</w:t>
      </w:r>
      <w:r w:rsidR="00826E0F" w:rsidRPr="00872599">
        <w:rPr>
          <w:lang w:val="fr-FR"/>
        </w:rPr>
        <w:t>encontre des femmes</w:t>
      </w:r>
      <w:r w:rsidR="006645B6">
        <w:rPr>
          <w:lang w:val="fr-FR"/>
        </w:rPr>
        <w:t xml:space="preserve"> </w:t>
      </w:r>
    </w:p>
    <w:p w:rsidR="00DE100C" w:rsidRPr="00DE100C" w:rsidRDefault="00DE100C" w:rsidP="00DE100C">
      <w:pPr>
        <w:pStyle w:val="SingleTxt"/>
        <w:spacing w:after="0" w:line="120" w:lineRule="exact"/>
        <w:rPr>
          <w:b/>
          <w:sz w:val="10"/>
          <w:lang w:val="fr-FR"/>
        </w:rPr>
      </w:pPr>
    </w:p>
    <w:p w:rsidR="00826E0F" w:rsidRPr="00872599" w:rsidRDefault="00DE100C" w:rsidP="00DE100C">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00826E0F" w:rsidRPr="00872599">
        <w:rPr>
          <w:lang w:val="fr-FR"/>
        </w:rPr>
        <w:t>a)</w:t>
      </w:r>
      <w:r w:rsidR="00826E0F" w:rsidRPr="00872599">
        <w:rPr>
          <w:lang w:val="fr-FR"/>
        </w:rPr>
        <w:tab/>
        <w:t>Violence à l</w:t>
      </w:r>
      <w:r w:rsidR="006645B6">
        <w:rPr>
          <w:lang w:val="fr-FR"/>
        </w:rPr>
        <w:t>’</w:t>
      </w:r>
      <w:r w:rsidR="00826E0F" w:rsidRPr="00872599">
        <w:rPr>
          <w:lang w:val="fr-FR"/>
        </w:rPr>
        <w:t>égard des femmes, loi sur la protection contre la violence, violence intrafamiliale</w:t>
      </w:r>
    </w:p>
    <w:p w:rsidR="00DE100C" w:rsidRPr="00DE100C" w:rsidRDefault="00DE100C" w:rsidP="00DE100C">
      <w:pPr>
        <w:pStyle w:val="SingleTxt"/>
        <w:spacing w:after="0" w:line="120" w:lineRule="exact"/>
        <w:rPr>
          <w:i/>
          <w:sz w:val="10"/>
          <w:lang w:val="fr-FR"/>
        </w:rPr>
      </w:pPr>
    </w:p>
    <w:p w:rsidR="00826E0F" w:rsidRPr="00872599" w:rsidRDefault="00DE100C" w:rsidP="00DE100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826E0F" w:rsidRPr="00872599">
        <w:rPr>
          <w:lang w:val="fr-FR"/>
        </w:rPr>
        <w:t>Appel lancé par l</w:t>
      </w:r>
      <w:r w:rsidR="006645B6">
        <w:rPr>
          <w:lang w:val="fr-FR"/>
        </w:rPr>
        <w:t>’</w:t>
      </w:r>
      <w:r w:rsidR="00826E0F" w:rsidRPr="00872599">
        <w:rPr>
          <w:lang w:val="fr-FR"/>
        </w:rPr>
        <w:t>UNIFEM: Non à la violence contre les femmes</w:t>
      </w:r>
    </w:p>
    <w:p w:rsidR="00DE100C" w:rsidRPr="00DE100C" w:rsidRDefault="00DE100C" w:rsidP="00DE100C">
      <w:pPr>
        <w:pStyle w:val="SingleTxt"/>
        <w:spacing w:after="0" w:line="120" w:lineRule="exact"/>
        <w:rPr>
          <w:sz w:val="10"/>
          <w:lang w:val="fr-FR"/>
        </w:rPr>
      </w:pPr>
    </w:p>
    <w:p w:rsidR="00826E0F" w:rsidRPr="00872599" w:rsidRDefault="00DE100C" w:rsidP="00497599">
      <w:pPr>
        <w:pStyle w:val="SingleTxt"/>
        <w:rPr>
          <w:lang w:val="fr-FR"/>
        </w:rPr>
      </w:pPr>
      <w:r>
        <w:rPr>
          <w:lang w:val="fr-FR"/>
        </w:rPr>
        <w:tab/>
      </w:r>
      <w:r w:rsidR="00826E0F" w:rsidRPr="00872599">
        <w:rPr>
          <w:lang w:val="fr-FR"/>
        </w:rPr>
        <w:t xml:space="preserve">Conjointement avec les </w:t>
      </w:r>
      <w:r w:rsidR="00826E0F">
        <w:rPr>
          <w:lang w:val="fr-FR"/>
        </w:rPr>
        <w:t>M</w:t>
      </w:r>
      <w:r w:rsidR="00826E0F" w:rsidRPr="00872599">
        <w:rPr>
          <w:lang w:val="fr-FR"/>
        </w:rPr>
        <w:t>inistres des affaires étrangères d</w:t>
      </w:r>
      <w:r w:rsidR="006645B6">
        <w:rPr>
          <w:lang w:val="fr-FR"/>
        </w:rPr>
        <w:t>’</w:t>
      </w:r>
      <w:r w:rsidR="00826E0F" w:rsidRPr="00872599">
        <w:rPr>
          <w:lang w:val="fr-FR"/>
        </w:rPr>
        <w:t>Autriche, de Suisse et de Grèce, avec le Commissaire européen aux relations extérieures et avec le Commissaire général de l</w:t>
      </w:r>
      <w:r w:rsidR="006645B6">
        <w:rPr>
          <w:lang w:val="fr-FR"/>
        </w:rPr>
        <w:t>’</w:t>
      </w:r>
      <w:r w:rsidR="00826E0F" w:rsidRPr="00872599">
        <w:rPr>
          <w:lang w:val="fr-FR"/>
        </w:rPr>
        <w:t>UNRWA, Rita Kieber-Beck, à l</w:t>
      </w:r>
      <w:r w:rsidR="006645B6">
        <w:rPr>
          <w:lang w:val="fr-FR"/>
        </w:rPr>
        <w:t>’</w:t>
      </w:r>
      <w:r w:rsidR="00826E0F" w:rsidRPr="00872599">
        <w:rPr>
          <w:lang w:val="fr-FR"/>
        </w:rPr>
        <w:t>époque Ministre des affaires étrangères du Liechtenstein, a signé l</w:t>
      </w:r>
      <w:r w:rsidR="006645B6">
        <w:rPr>
          <w:lang w:val="fr-FR"/>
        </w:rPr>
        <w:t>’</w:t>
      </w:r>
      <w:r w:rsidR="00826E0F" w:rsidRPr="00872599">
        <w:rPr>
          <w:lang w:val="fr-FR"/>
        </w:rPr>
        <w:t>appel lancé le 23 juin 2008 par l</w:t>
      </w:r>
      <w:r w:rsidR="006645B6">
        <w:rPr>
          <w:lang w:val="fr-FR"/>
        </w:rPr>
        <w:t>’</w:t>
      </w:r>
      <w:r w:rsidR="00826E0F" w:rsidRPr="00872599">
        <w:rPr>
          <w:lang w:val="fr-FR"/>
        </w:rPr>
        <w:t xml:space="preserve">UNIFEM </w:t>
      </w:r>
      <w:r w:rsidR="00432049">
        <w:rPr>
          <w:lang w:val="fr-FR"/>
        </w:rPr>
        <w:t>« </w:t>
      </w:r>
      <w:r w:rsidR="00826E0F" w:rsidRPr="00872599">
        <w:rPr>
          <w:lang w:val="fr-FR"/>
        </w:rPr>
        <w:t>Non à la violence contre les femmes</w:t>
      </w:r>
      <w:r w:rsidR="006645B6">
        <w:rPr>
          <w:lang w:val="fr-FR"/>
        </w:rPr>
        <w:t> »</w:t>
      </w:r>
      <w:r w:rsidR="00826E0F" w:rsidRPr="00872599">
        <w:rPr>
          <w:lang w:val="fr-FR"/>
        </w:rPr>
        <w:t>. La campagne de l</w:t>
      </w:r>
      <w:r w:rsidR="006645B6">
        <w:rPr>
          <w:lang w:val="fr-FR"/>
        </w:rPr>
        <w:t>’</w:t>
      </w:r>
      <w:r w:rsidR="00826E0F" w:rsidRPr="00872599">
        <w:rPr>
          <w:lang w:val="fr-FR"/>
        </w:rPr>
        <w:t>UNIFEM vise à sensibiliser et à mobiliser le public du monde entier en ce qui concerne la violence faite aux femmes et à lancer un appel aux décideurs de tous les pays pour qu</w:t>
      </w:r>
      <w:r w:rsidR="006645B6">
        <w:rPr>
          <w:lang w:val="fr-FR"/>
        </w:rPr>
        <w:t>’</w:t>
      </w:r>
      <w:r w:rsidR="00826E0F" w:rsidRPr="00872599">
        <w:rPr>
          <w:lang w:val="fr-FR"/>
        </w:rPr>
        <w:t>ils considèrent la violence à l</w:t>
      </w:r>
      <w:r w:rsidR="006645B6">
        <w:rPr>
          <w:lang w:val="fr-FR"/>
        </w:rPr>
        <w:t>’</w:t>
      </w:r>
      <w:r w:rsidR="00826E0F" w:rsidRPr="00872599">
        <w:rPr>
          <w:lang w:val="fr-FR"/>
        </w:rPr>
        <w:t xml:space="preserve">encontre des femmes comme un sujet important </w:t>
      </w:r>
      <w:r w:rsidR="00826E0F">
        <w:rPr>
          <w:lang w:val="fr-FR"/>
        </w:rPr>
        <w:t xml:space="preserve">revêtant </w:t>
      </w:r>
      <w:r w:rsidR="00826E0F" w:rsidRPr="00872599">
        <w:rPr>
          <w:lang w:val="fr-FR"/>
        </w:rPr>
        <w:t>une grande priorité. En accord avec l</w:t>
      </w:r>
      <w:r w:rsidR="006645B6">
        <w:rPr>
          <w:lang w:val="fr-FR"/>
        </w:rPr>
        <w:t>’</w:t>
      </w:r>
      <w:r w:rsidR="00826E0F" w:rsidRPr="00872599">
        <w:rPr>
          <w:lang w:val="fr-FR"/>
        </w:rPr>
        <w:t>UNIFEM, le Liechtenstein a apporté son appui à la campagne lancée par ce dernier et a confirmé le haut rang de priorité qu</w:t>
      </w:r>
      <w:r w:rsidR="006645B6">
        <w:rPr>
          <w:lang w:val="fr-FR"/>
        </w:rPr>
        <w:t>’</w:t>
      </w:r>
      <w:r w:rsidR="00826E0F" w:rsidRPr="00872599">
        <w:rPr>
          <w:lang w:val="fr-FR"/>
        </w:rPr>
        <w:t>il accordait à cette question.</w:t>
      </w:r>
    </w:p>
    <w:p w:rsidR="00DE100C" w:rsidRPr="00DE100C" w:rsidRDefault="00DE100C" w:rsidP="00DE100C">
      <w:pPr>
        <w:pStyle w:val="SingleTxt"/>
        <w:spacing w:after="0" w:line="120" w:lineRule="exact"/>
        <w:rPr>
          <w:i/>
          <w:sz w:val="10"/>
          <w:lang w:val="fr-FR"/>
        </w:rPr>
      </w:pPr>
    </w:p>
    <w:p w:rsidR="00826E0F" w:rsidRPr="00872599" w:rsidRDefault="00DE100C" w:rsidP="00DE100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826E0F" w:rsidRPr="00872599">
        <w:rPr>
          <w:lang w:val="fr-FR"/>
        </w:rPr>
        <w:t>Statistiques sur la violence intrafamiliale</w:t>
      </w:r>
    </w:p>
    <w:p w:rsidR="00DE100C" w:rsidRPr="00DE100C" w:rsidRDefault="00DE100C" w:rsidP="00DE100C">
      <w:pPr>
        <w:pStyle w:val="SingleTxt"/>
        <w:keepNext/>
        <w:keepLines/>
        <w:spacing w:after="0" w:line="120" w:lineRule="exact"/>
        <w:rPr>
          <w:sz w:val="10"/>
          <w:lang w:val="fr-FR"/>
        </w:rPr>
      </w:pPr>
    </w:p>
    <w:p w:rsidR="00826E0F" w:rsidRPr="00872599" w:rsidRDefault="00DE100C" w:rsidP="00DE100C">
      <w:pPr>
        <w:pStyle w:val="SingleTxt"/>
        <w:keepNext/>
        <w:keepLines/>
        <w:rPr>
          <w:lang w:val="fr-FR"/>
        </w:rPr>
      </w:pPr>
      <w:r>
        <w:rPr>
          <w:lang w:val="fr-FR"/>
        </w:rPr>
        <w:tab/>
      </w:r>
      <w:r w:rsidR="00826E0F" w:rsidRPr="00872599">
        <w:rPr>
          <w:lang w:val="fr-FR"/>
        </w:rPr>
        <w:t>En 2008 (2007) la police est intervenue 23 (49) fois pour des affaires de violence intrafamilial</w:t>
      </w:r>
      <w:r w:rsidR="00826E0F">
        <w:rPr>
          <w:lang w:val="fr-FR"/>
        </w:rPr>
        <w:t>e</w:t>
      </w:r>
      <w:r w:rsidR="00826E0F" w:rsidRPr="00872599">
        <w:rPr>
          <w:lang w:val="fr-FR"/>
        </w:rPr>
        <w:t>. Dans 7 cas (7 hommes), la police a expulsé du foyer l</w:t>
      </w:r>
      <w:r w:rsidR="006645B6">
        <w:rPr>
          <w:lang w:val="fr-FR"/>
        </w:rPr>
        <w:t>’</w:t>
      </w:r>
      <w:r w:rsidR="00826E0F" w:rsidRPr="00872599">
        <w:rPr>
          <w:lang w:val="fr-FR"/>
        </w:rPr>
        <w:t>auteur du délit et dans 2 cas (2 hommes), l</w:t>
      </w:r>
      <w:r w:rsidR="006645B6">
        <w:rPr>
          <w:lang w:val="fr-FR"/>
        </w:rPr>
        <w:t>’</w:t>
      </w:r>
      <w:r w:rsidR="00826E0F" w:rsidRPr="00872599">
        <w:rPr>
          <w:lang w:val="fr-FR"/>
        </w:rPr>
        <w:t>auteur s</w:t>
      </w:r>
      <w:r w:rsidR="006645B6">
        <w:rPr>
          <w:lang w:val="fr-FR"/>
        </w:rPr>
        <w:t>’</w:t>
      </w:r>
      <w:r w:rsidR="00826E0F" w:rsidRPr="00872599">
        <w:rPr>
          <w:lang w:val="fr-FR"/>
        </w:rPr>
        <w:t>est vu interdire de pénétrer dans la demeure. En 2007, il a été procédé à 10 expulsions (9 hommes, 1 femme) et 7</w:t>
      </w:r>
      <w:r w:rsidR="00C04160">
        <w:rPr>
          <w:lang w:val="fr-FR"/>
        </w:rPr>
        <w:t> </w:t>
      </w:r>
      <w:r w:rsidR="00826E0F" w:rsidRPr="00872599">
        <w:rPr>
          <w:lang w:val="fr-FR"/>
        </w:rPr>
        <w:t>hommes se sont vu interdire d</w:t>
      </w:r>
      <w:r w:rsidR="006645B6">
        <w:rPr>
          <w:lang w:val="fr-FR"/>
        </w:rPr>
        <w:t>’</w:t>
      </w:r>
      <w:r w:rsidR="00826E0F" w:rsidRPr="00872599">
        <w:rPr>
          <w:lang w:val="fr-FR"/>
        </w:rPr>
        <w:t xml:space="preserve">entrer dans la demeure. Dans 3 (4) cas en 2008 (2007), la victime a obtenu une ordonnance de protection de </w:t>
      </w:r>
      <w:smartTag w:uri="urn:schemas-microsoft-com:office:smarttags" w:element="PersonName">
        <w:smartTagPr>
          <w:attr w:name="ProductID" w:val="la Cour"/>
        </w:smartTagPr>
        <w:r w:rsidR="00826E0F" w:rsidRPr="00872599">
          <w:rPr>
            <w:lang w:val="fr-FR"/>
          </w:rPr>
          <w:t xml:space="preserve">la </w:t>
        </w:r>
        <w:r w:rsidR="00826E0F">
          <w:rPr>
            <w:lang w:val="fr-FR"/>
          </w:rPr>
          <w:t>C</w:t>
        </w:r>
        <w:r w:rsidR="00826E0F" w:rsidRPr="00872599">
          <w:rPr>
            <w:lang w:val="fr-FR"/>
          </w:rPr>
          <w:t>our</w:t>
        </w:r>
      </w:smartTag>
      <w:r w:rsidR="00826E0F" w:rsidRPr="00872599">
        <w:rPr>
          <w:lang w:val="fr-FR"/>
        </w:rPr>
        <w:t xml:space="preserve"> de justice. En 2008, une accusation d</w:t>
      </w:r>
      <w:r w:rsidR="006645B6">
        <w:rPr>
          <w:lang w:val="fr-FR"/>
        </w:rPr>
        <w:t>’</w:t>
      </w:r>
      <w:r w:rsidR="00826E0F" w:rsidRPr="00872599">
        <w:rPr>
          <w:lang w:val="fr-FR"/>
        </w:rPr>
        <w:t xml:space="preserve">assiduités intempestives a été déposée auprès du ministère public. Celui-ci a suspendu la procédure. En 2009, un homme recherché par </w:t>
      </w:r>
      <w:smartTag w:uri="urn:schemas-microsoft-com:office:smarttags" w:element="PersonName">
        <w:smartTagPr>
          <w:attr w:name="ProductID" w:val="la Suisse"/>
        </w:smartTagPr>
        <w:r w:rsidR="00826E0F" w:rsidRPr="00872599">
          <w:rPr>
            <w:lang w:val="fr-FR"/>
          </w:rPr>
          <w:t>la Suisse</w:t>
        </w:r>
      </w:smartTag>
      <w:r w:rsidR="00826E0F" w:rsidRPr="00872599">
        <w:rPr>
          <w:lang w:val="fr-FR"/>
        </w:rPr>
        <w:t xml:space="preserve"> pour assiduités intempestives a été arrêté au Liechtenstein</w:t>
      </w:r>
      <w:r w:rsidR="00826E0F">
        <w:rPr>
          <w:lang w:val="fr-FR"/>
        </w:rPr>
        <w:t xml:space="preserve"> et extradé</w:t>
      </w:r>
      <w:r w:rsidR="00826E0F" w:rsidRPr="00872599">
        <w:rPr>
          <w:lang w:val="fr-FR"/>
        </w:rPr>
        <w:t xml:space="preserve"> vers </w:t>
      </w:r>
      <w:smartTag w:uri="urn:schemas-microsoft-com:office:smarttags" w:element="PersonName">
        <w:smartTagPr>
          <w:attr w:name="ProductID" w:val="la Suisse."/>
        </w:smartTagPr>
        <w:r w:rsidR="00826E0F" w:rsidRPr="00872599">
          <w:rPr>
            <w:lang w:val="fr-FR"/>
          </w:rPr>
          <w:t>la Suisse.</w:t>
        </w:r>
      </w:smartTag>
    </w:p>
    <w:p w:rsidR="00DE100C" w:rsidRPr="00DE100C" w:rsidRDefault="00DE100C" w:rsidP="00DE100C">
      <w:pPr>
        <w:pStyle w:val="SingleTxt"/>
        <w:spacing w:after="0" w:line="120" w:lineRule="exact"/>
        <w:rPr>
          <w:sz w:val="10"/>
          <w:lang w:val="fr-FR"/>
        </w:rPr>
      </w:pPr>
    </w:p>
    <w:p w:rsidR="00826E0F" w:rsidRPr="00872599" w:rsidRDefault="00DE100C" w:rsidP="00DE100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826E0F" w:rsidRPr="00872599">
        <w:rPr>
          <w:lang w:val="fr-FR"/>
        </w:rPr>
        <w:t>Disposition pénale contre les assiduités intempestives</w:t>
      </w:r>
    </w:p>
    <w:p w:rsidR="00DE100C" w:rsidRPr="00DE100C" w:rsidRDefault="00DE100C" w:rsidP="00DE100C">
      <w:pPr>
        <w:pStyle w:val="SingleTxt"/>
        <w:spacing w:after="0" w:line="120" w:lineRule="exact"/>
        <w:rPr>
          <w:sz w:val="10"/>
          <w:lang w:val="fr-FR"/>
        </w:rPr>
      </w:pPr>
    </w:p>
    <w:p w:rsidR="00826E0F" w:rsidRPr="00872599" w:rsidRDefault="00DE100C" w:rsidP="00497599">
      <w:pPr>
        <w:pStyle w:val="SingleTxt"/>
        <w:rPr>
          <w:lang w:val="fr-FR"/>
        </w:rPr>
      </w:pPr>
      <w:r>
        <w:rPr>
          <w:lang w:val="fr-FR"/>
        </w:rPr>
        <w:tab/>
      </w:r>
      <w:r w:rsidR="00826E0F" w:rsidRPr="00872599">
        <w:rPr>
          <w:lang w:val="fr-FR"/>
        </w:rPr>
        <w:t>Se reporter aux remarques concernant l</w:t>
      </w:r>
      <w:r w:rsidR="006645B6">
        <w:rPr>
          <w:lang w:val="fr-FR"/>
        </w:rPr>
        <w:t>’</w:t>
      </w:r>
      <w:r w:rsidR="00826E0F" w:rsidRPr="00872599">
        <w:rPr>
          <w:lang w:val="fr-FR"/>
        </w:rPr>
        <w:t>article 2 et à l</w:t>
      </w:r>
      <w:r w:rsidR="006645B6">
        <w:rPr>
          <w:lang w:val="fr-FR"/>
        </w:rPr>
        <w:t>’</w:t>
      </w:r>
      <w:r w:rsidR="00826E0F" w:rsidRPr="00872599">
        <w:rPr>
          <w:lang w:val="fr-FR"/>
        </w:rPr>
        <w:t>examen qui y est fait de la disposition pénale contre l</w:t>
      </w:r>
      <w:r w:rsidR="00826E0F">
        <w:rPr>
          <w:lang w:val="fr-FR"/>
        </w:rPr>
        <w:t>es assiduités intempestives</w:t>
      </w:r>
      <w:r w:rsidR="00826E0F" w:rsidRPr="00872599">
        <w:rPr>
          <w:lang w:val="fr-FR"/>
        </w:rPr>
        <w:t xml:space="preserve"> entrée en vigueur le 30 août 2007.</w:t>
      </w:r>
    </w:p>
    <w:p w:rsidR="00DE100C" w:rsidRPr="00DE100C" w:rsidRDefault="00DE100C" w:rsidP="00DE100C">
      <w:pPr>
        <w:pStyle w:val="SingleTxt"/>
        <w:spacing w:after="0" w:line="120" w:lineRule="exact"/>
        <w:rPr>
          <w:sz w:val="10"/>
          <w:lang w:val="fr-FR"/>
        </w:rPr>
      </w:pPr>
    </w:p>
    <w:p w:rsidR="00826E0F" w:rsidRPr="00872599" w:rsidRDefault="00DE100C" w:rsidP="00DE100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826E0F" w:rsidRPr="00872599">
        <w:rPr>
          <w:lang w:val="fr-FR"/>
        </w:rPr>
        <w:t>Travail mené avec les auteurs des délits</w:t>
      </w:r>
    </w:p>
    <w:p w:rsidR="00DE100C" w:rsidRPr="00DE100C" w:rsidRDefault="00DE100C" w:rsidP="00DE100C">
      <w:pPr>
        <w:pStyle w:val="SingleTxt"/>
        <w:spacing w:after="0" w:line="120" w:lineRule="exact"/>
        <w:rPr>
          <w:sz w:val="10"/>
          <w:lang w:val="fr-FR"/>
        </w:rPr>
      </w:pPr>
    </w:p>
    <w:p w:rsidR="00826E0F" w:rsidRPr="00872599" w:rsidRDefault="00DE100C" w:rsidP="00497599">
      <w:pPr>
        <w:pStyle w:val="SingleTxt"/>
        <w:rPr>
          <w:lang w:val="fr-FR"/>
        </w:rPr>
      </w:pPr>
      <w:r>
        <w:rPr>
          <w:lang w:val="fr-FR"/>
        </w:rPr>
        <w:tab/>
      </w:r>
      <w:r w:rsidR="00826E0F" w:rsidRPr="00872599">
        <w:rPr>
          <w:lang w:val="fr-FR"/>
        </w:rPr>
        <w:t>Le travail mené avec les auteurs des délits revêt de l</w:t>
      </w:r>
      <w:r w:rsidR="006645B6">
        <w:rPr>
          <w:lang w:val="fr-FR"/>
        </w:rPr>
        <w:t>’</w:t>
      </w:r>
      <w:r w:rsidR="00826E0F" w:rsidRPr="00872599">
        <w:rPr>
          <w:lang w:val="fr-FR"/>
        </w:rPr>
        <w:t>importance car il permet de mieux protéger les victimes. C</w:t>
      </w:r>
      <w:r w:rsidR="006645B6">
        <w:rPr>
          <w:lang w:val="fr-FR"/>
        </w:rPr>
        <w:t>’</w:t>
      </w:r>
      <w:r w:rsidR="00826E0F" w:rsidRPr="00872599">
        <w:rPr>
          <w:lang w:val="fr-FR"/>
        </w:rPr>
        <w:t>est pour cette raison qu</w:t>
      </w:r>
      <w:r w:rsidR="006645B6">
        <w:rPr>
          <w:lang w:val="fr-FR"/>
        </w:rPr>
        <w:t>’</w:t>
      </w:r>
      <w:r w:rsidR="00826E0F" w:rsidRPr="00872599">
        <w:rPr>
          <w:lang w:val="fr-FR"/>
        </w:rPr>
        <w:t>un groupe de travail du Bureau des affaires sociales élabore le cadre dans lequel mener à bien ce travail au Liechtenstein. En janvier 2008, une rencontre a été organisée sur ce sujet et dans le but d</w:t>
      </w:r>
      <w:r w:rsidR="006645B6">
        <w:rPr>
          <w:lang w:val="fr-FR"/>
        </w:rPr>
        <w:t>’</w:t>
      </w:r>
      <w:r w:rsidR="00826E0F" w:rsidRPr="00872599">
        <w:rPr>
          <w:lang w:val="fr-FR"/>
        </w:rPr>
        <w:t>optimiser la coopération entre les organisations compétentes concernant le travail avec les auteurs des délits. En octobre 2008, le Bureau des affaires sociales a organisé un atelier d</w:t>
      </w:r>
      <w:r w:rsidR="006645B6">
        <w:rPr>
          <w:lang w:val="fr-FR"/>
        </w:rPr>
        <w:t>’</w:t>
      </w:r>
      <w:r w:rsidR="00826E0F" w:rsidRPr="00872599">
        <w:rPr>
          <w:lang w:val="fr-FR"/>
        </w:rPr>
        <w:t xml:space="preserve">experts sur le thème </w:t>
      </w:r>
      <w:r w:rsidR="00C04160">
        <w:rPr>
          <w:lang w:val="fr-FR"/>
        </w:rPr>
        <w:t>« </w:t>
      </w:r>
      <w:r w:rsidR="00826E0F" w:rsidRPr="00872599">
        <w:rPr>
          <w:lang w:val="fr-FR"/>
        </w:rPr>
        <w:t>La violence psychosociale</w:t>
      </w:r>
      <w:r w:rsidR="006645B6">
        <w:rPr>
          <w:lang w:val="fr-FR"/>
        </w:rPr>
        <w:t> :</w:t>
      </w:r>
      <w:r w:rsidR="00826E0F" w:rsidRPr="00872599">
        <w:rPr>
          <w:lang w:val="fr-FR"/>
        </w:rPr>
        <w:t xml:space="preserve"> comment faire face aux situations graves de violence.» </w:t>
      </w:r>
    </w:p>
    <w:p w:rsidR="00DE100C" w:rsidRPr="00DE100C" w:rsidRDefault="00DE100C" w:rsidP="00DE100C">
      <w:pPr>
        <w:pStyle w:val="SingleTxt"/>
        <w:spacing w:after="0" w:line="120" w:lineRule="exact"/>
        <w:rPr>
          <w:sz w:val="10"/>
          <w:lang w:val="fr-FR"/>
        </w:rPr>
      </w:pPr>
    </w:p>
    <w:p w:rsidR="00826E0F" w:rsidRPr="00872599" w:rsidRDefault="00DE100C" w:rsidP="00DE100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826E0F" w:rsidRPr="00872599">
        <w:rPr>
          <w:lang w:val="fr-FR"/>
        </w:rPr>
        <w:t xml:space="preserve">Réparation extrajudiciaire </w:t>
      </w:r>
    </w:p>
    <w:p w:rsidR="00DE100C" w:rsidRPr="00DE100C" w:rsidRDefault="00DE100C" w:rsidP="00DE100C">
      <w:pPr>
        <w:pStyle w:val="SingleTxt"/>
        <w:spacing w:after="0" w:line="120" w:lineRule="exact"/>
        <w:rPr>
          <w:sz w:val="10"/>
          <w:lang w:val="fr-FR"/>
        </w:rPr>
      </w:pPr>
    </w:p>
    <w:p w:rsidR="00826E0F" w:rsidRPr="00872599" w:rsidRDefault="00DE100C" w:rsidP="00497599">
      <w:pPr>
        <w:pStyle w:val="SingleTxt"/>
        <w:rPr>
          <w:lang w:val="fr-FR"/>
        </w:rPr>
      </w:pPr>
      <w:r>
        <w:rPr>
          <w:lang w:val="fr-FR"/>
        </w:rPr>
        <w:tab/>
      </w:r>
      <w:r w:rsidR="00826E0F" w:rsidRPr="00872599">
        <w:rPr>
          <w:lang w:val="fr-FR"/>
        </w:rPr>
        <w:t xml:space="preserve">Les réparations extrajudiciaires </w:t>
      </w:r>
      <w:r w:rsidR="00826E0F">
        <w:rPr>
          <w:lang w:val="fr-FR"/>
        </w:rPr>
        <w:t>(par</w:t>
      </w:r>
      <w:r w:rsidR="000E00B5">
        <w:rPr>
          <w:lang w:val="fr-FR"/>
        </w:rPr>
        <w:t>. </w:t>
      </w:r>
      <w:r w:rsidR="00826E0F" w:rsidRPr="00872599">
        <w:rPr>
          <w:lang w:val="fr-FR"/>
        </w:rPr>
        <w:t>22</w:t>
      </w:r>
      <w:r w:rsidR="000E00B5">
        <w:rPr>
          <w:lang w:val="fr-FR"/>
        </w:rPr>
        <w:t xml:space="preserve"> </w:t>
      </w:r>
      <w:r w:rsidR="00826E0F" w:rsidRPr="00872599">
        <w:rPr>
          <w:lang w:val="fr-FR"/>
        </w:rPr>
        <w:t>g</w:t>
      </w:r>
      <w:r w:rsidR="000E00B5">
        <w:rPr>
          <w:lang w:val="fr-FR"/>
        </w:rPr>
        <w:t>)</w:t>
      </w:r>
      <w:r w:rsidR="00826E0F" w:rsidRPr="00872599">
        <w:rPr>
          <w:lang w:val="fr-FR"/>
        </w:rPr>
        <w:t xml:space="preserve"> du Code de procédure pénale</w:t>
      </w:r>
      <w:r w:rsidR="006645B6">
        <w:rPr>
          <w:lang w:val="fr-FR"/>
        </w:rPr>
        <w:t>;</w:t>
      </w:r>
      <w:r w:rsidR="00826E0F" w:rsidRPr="00872599">
        <w:rPr>
          <w:lang w:val="fr-FR"/>
        </w:rPr>
        <w:t xml:space="preserve"> StPO</w:t>
      </w:r>
      <w:r w:rsidR="00826E0F" w:rsidRPr="00A03470">
        <w:rPr>
          <w:rStyle w:val="FootnoteCharacters"/>
          <w:sz w:val="24"/>
          <w:szCs w:val="24"/>
          <w:lang w:val="fr-FR"/>
        </w:rPr>
        <w:footnoteReference w:id="11"/>
      </w:r>
      <w:r w:rsidR="00826E0F" w:rsidRPr="00872599">
        <w:rPr>
          <w:lang w:val="fr-FR"/>
        </w:rPr>
        <w:t>) sont octroyées sur instructions et sous la supervision du service de probation du Liechtenstein. Une fois l</w:t>
      </w:r>
      <w:r w:rsidR="006645B6">
        <w:rPr>
          <w:lang w:val="fr-FR"/>
        </w:rPr>
        <w:t>’</w:t>
      </w:r>
      <w:r w:rsidR="00826E0F" w:rsidRPr="00872599">
        <w:rPr>
          <w:lang w:val="fr-FR"/>
        </w:rPr>
        <w:t>ouverture de la procédure pénale et la décision du ministère public ou du tribunal communiquées aux travailleurs sociaux, ceux-ci proposent un règlement du litige en cas de délits d</w:t>
      </w:r>
      <w:r w:rsidR="006645B6">
        <w:rPr>
          <w:lang w:val="fr-FR"/>
        </w:rPr>
        <w:t>’</w:t>
      </w:r>
      <w:r w:rsidR="00826E0F" w:rsidRPr="00872599">
        <w:rPr>
          <w:lang w:val="fr-FR"/>
        </w:rPr>
        <w:t>importance mineure à moyenne. La réparation extrajudiciaire vise à ce que les deux parties s</w:t>
      </w:r>
      <w:r w:rsidR="006645B6">
        <w:rPr>
          <w:lang w:val="fr-FR"/>
        </w:rPr>
        <w:t>’</w:t>
      </w:r>
      <w:r w:rsidR="00826E0F" w:rsidRPr="00872599">
        <w:rPr>
          <w:lang w:val="fr-FR"/>
        </w:rPr>
        <w:t>entendent sur une réparation au moyen d</w:t>
      </w:r>
      <w:r w:rsidR="006645B6">
        <w:rPr>
          <w:lang w:val="fr-FR"/>
        </w:rPr>
        <w:t>’</w:t>
      </w:r>
      <w:r w:rsidR="00826E0F" w:rsidRPr="00872599">
        <w:rPr>
          <w:lang w:val="fr-FR"/>
        </w:rPr>
        <w:t>une médiation neutre menée entre la partie lésée et l</w:t>
      </w:r>
      <w:r w:rsidR="006645B6">
        <w:rPr>
          <w:lang w:val="fr-FR"/>
        </w:rPr>
        <w:t>’</w:t>
      </w:r>
      <w:r w:rsidR="00826E0F" w:rsidRPr="00872599">
        <w:rPr>
          <w:lang w:val="fr-FR"/>
        </w:rPr>
        <w:t>accusé. Le recours à un médiateur neutre tend à trouver une solution équitable pour toutes les parties en dehors du cadre juridictionnel. Pour diverses raisons, les conflits au sein d</w:t>
      </w:r>
      <w:r w:rsidR="006645B6">
        <w:rPr>
          <w:lang w:val="fr-FR"/>
        </w:rPr>
        <w:t>’</w:t>
      </w:r>
      <w:r w:rsidR="00826E0F" w:rsidRPr="00872599">
        <w:rPr>
          <w:lang w:val="fr-FR"/>
        </w:rPr>
        <w:t>un partenariat jouent un rôle particulier à cet égard, d</w:t>
      </w:r>
      <w:r w:rsidR="006645B6">
        <w:rPr>
          <w:lang w:val="fr-FR"/>
        </w:rPr>
        <w:t>’</w:t>
      </w:r>
      <w:r w:rsidR="00826E0F" w:rsidRPr="00872599">
        <w:rPr>
          <w:lang w:val="fr-FR"/>
        </w:rPr>
        <w:t>autant que les conflits relationnels s</w:t>
      </w:r>
      <w:r w:rsidR="006645B6">
        <w:rPr>
          <w:lang w:val="fr-FR"/>
        </w:rPr>
        <w:t>’</w:t>
      </w:r>
      <w:r w:rsidR="00826E0F" w:rsidRPr="00872599">
        <w:rPr>
          <w:lang w:val="fr-FR"/>
        </w:rPr>
        <w:t>aggravent souvent et une attention particulière doit être accordée à la situation de la victime. L</w:t>
      </w:r>
      <w:r w:rsidR="006645B6">
        <w:rPr>
          <w:lang w:val="fr-FR"/>
        </w:rPr>
        <w:t>’</w:t>
      </w:r>
      <w:r w:rsidR="00826E0F" w:rsidRPr="00872599">
        <w:rPr>
          <w:lang w:val="fr-FR"/>
        </w:rPr>
        <w:t>avantage est qu</w:t>
      </w:r>
      <w:r w:rsidR="006645B6">
        <w:rPr>
          <w:lang w:val="fr-FR"/>
        </w:rPr>
        <w:t>’</w:t>
      </w:r>
      <w:r w:rsidR="00826E0F" w:rsidRPr="00872599">
        <w:rPr>
          <w:lang w:val="fr-FR"/>
        </w:rPr>
        <w:t>il est possible de répondre aux besoins de la victime qui subit souvent une situation forcée. C</w:t>
      </w:r>
      <w:r w:rsidR="006645B6">
        <w:rPr>
          <w:lang w:val="fr-FR"/>
        </w:rPr>
        <w:t>’</w:t>
      </w:r>
      <w:r w:rsidR="00826E0F" w:rsidRPr="00872599">
        <w:rPr>
          <w:lang w:val="fr-FR"/>
        </w:rPr>
        <w:t>est pourquoi, les agents de probation travaillent généralement deux par deux, une femme et un homme. En 2007 et 2008, 33 affaires de violence intrafamiliale ont fait l</w:t>
      </w:r>
      <w:r w:rsidR="006645B6">
        <w:rPr>
          <w:lang w:val="fr-FR"/>
        </w:rPr>
        <w:t>’</w:t>
      </w:r>
      <w:r w:rsidR="00826E0F" w:rsidRPr="00872599">
        <w:rPr>
          <w:lang w:val="fr-FR"/>
        </w:rPr>
        <w:t>objet d</w:t>
      </w:r>
      <w:r w:rsidR="006645B6">
        <w:rPr>
          <w:lang w:val="fr-FR"/>
        </w:rPr>
        <w:t>’</w:t>
      </w:r>
      <w:r w:rsidR="00826E0F" w:rsidRPr="00872599">
        <w:rPr>
          <w:lang w:val="fr-FR"/>
        </w:rPr>
        <w:t>une médiation. Le service de probation a pris contact avec 27 personnes accusées (24</w:t>
      </w:r>
      <w:r w:rsidR="000E00B5">
        <w:rPr>
          <w:lang w:val="fr-FR"/>
        </w:rPr>
        <w:t> </w:t>
      </w:r>
      <w:r w:rsidR="00826E0F" w:rsidRPr="00872599">
        <w:rPr>
          <w:lang w:val="fr-FR"/>
        </w:rPr>
        <w:t>hommes et 3 femmes) et 27 parties lésées (4 hommes et 23 femmes) ainsi qu</w:t>
      </w:r>
      <w:r w:rsidR="006645B6">
        <w:rPr>
          <w:lang w:val="fr-FR"/>
        </w:rPr>
        <w:t>’</w:t>
      </w:r>
      <w:r w:rsidR="00826E0F" w:rsidRPr="00872599">
        <w:rPr>
          <w:lang w:val="fr-FR"/>
        </w:rPr>
        <w:t>avec 12 personnes (6 femmes et 6 hommes) qui étaient à la fois accusées et lésées. Dans 40</w:t>
      </w:r>
      <w:r w:rsidR="006645B6">
        <w:rPr>
          <w:lang w:val="fr-FR"/>
        </w:rPr>
        <w:t> %</w:t>
      </w:r>
      <w:r w:rsidR="00826E0F" w:rsidRPr="00872599">
        <w:rPr>
          <w:lang w:val="fr-FR"/>
        </w:rPr>
        <w:t xml:space="preserve"> des cas on avait affaire à des voies de faits, dans 33</w:t>
      </w:r>
      <w:r w:rsidR="006645B6">
        <w:rPr>
          <w:lang w:val="fr-FR"/>
        </w:rPr>
        <w:t> %</w:t>
      </w:r>
      <w:r w:rsidR="00826E0F" w:rsidRPr="00872599">
        <w:rPr>
          <w:lang w:val="fr-FR"/>
        </w:rPr>
        <w:t xml:space="preserve"> à des menaces dangereuses et dans 13</w:t>
      </w:r>
      <w:r w:rsidR="006645B6">
        <w:rPr>
          <w:lang w:val="fr-FR"/>
        </w:rPr>
        <w:t> %</w:t>
      </w:r>
      <w:r w:rsidR="00826E0F" w:rsidRPr="00872599">
        <w:rPr>
          <w:lang w:val="fr-FR"/>
        </w:rPr>
        <w:t xml:space="preserve"> à des dommages aux biens. 76</w:t>
      </w:r>
      <w:r w:rsidR="006645B6">
        <w:rPr>
          <w:lang w:val="fr-FR"/>
        </w:rPr>
        <w:t> %</w:t>
      </w:r>
      <w:r w:rsidR="00826E0F" w:rsidRPr="00872599">
        <w:rPr>
          <w:lang w:val="fr-FR"/>
        </w:rPr>
        <w:t xml:space="preserve"> et des conflits relationnels ont été résolus de manière positive.</w:t>
      </w:r>
    </w:p>
    <w:p w:rsidR="00DE100C" w:rsidRPr="00DE100C" w:rsidRDefault="00DE100C" w:rsidP="00DE100C">
      <w:pPr>
        <w:pStyle w:val="SingleTxt"/>
        <w:spacing w:after="0" w:line="120" w:lineRule="exact"/>
        <w:rPr>
          <w:sz w:val="10"/>
          <w:lang w:val="fr-FR"/>
        </w:rPr>
      </w:pPr>
    </w:p>
    <w:p w:rsidR="00826E0F" w:rsidRPr="00872599" w:rsidRDefault="00DE100C" w:rsidP="00DE100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826E0F" w:rsidRPr="00872599">
        <w:rPr>
          <w:lang w:val="fr-FR"/>
        </w:rPr>
        <w:t>Interpellation concernant la violence intrafamiliale</w:t>
      </w:r>
    </w:p>
    <w:p w:rsidR="00DE100C" w:rsidRPr="00DE100C" w:rsidRDefault="00DE100C" w:rsidP="00DE100C">
      <w:pPr>
        <w:pStyle w:val="SingleTxt"/>
        <w:spacing w:after="0" w:line="120" w:lineRule="exact"/>
        <w:rPr>
          <w:sz w:val="10"/>
          <w:lang w:val="fr-FR"/>
        </w:rPr>
      </w:pPr>
    </w:p>
    <w:p w:rsidR="00826E0F" w:rsidRPr="00872599" w:rsidRDefault="00DE100C" w:rsidP="00497599">
      <w:pPr>
        <w:pStyle w:val="SingleTxt"/>
        <w:rPr>
          <w:lang w:val="fr-FR"/>
        </w:rPr>
      </w:pPr>
      <w:r>
        <w:rPr>
          <w:lang w:val="fr-FR"/>
        </w:rPr>
        <w:tab/>
      </w:r>
      <w:r w:rsidR="00826E0F" w:rsidRPr="00872599">
        <w:rPr>
          <w:lang w:val="fr-FR"/>
        </w:rPr>
        <w:t>En août 2007, deux parlementaires, également membres de l</w:t>
      </w:r>
      <w:r w:rsidR="006645B6">
        <w:rPr>
          <w:lang w:val="fr-FR"/>
        </w:rPr>
        <w:t>’</w:t>
      </w:r>
      <w:r w:rsidR="00826E0F" w:rsidRPr="00872599">
        <w:rPr>
          <w:lang w:val="fr-FR"/>
        </w:rPr>
        <w:t>Assemblée parlementaire du Conseil de l</w:t>
      </w:r>
      <w:r w:rsidR="006645B6">
        <w:rPr>
          <w:lang w:val="fr-FR"/>
        </w:rPr>
        <w:t>’</w:t>
      </w:r>
      <w:r w:rsidR="00826E0F" w:rsidRPr="00872599">
        <w:rPr>
          <w:lang w:val="fr-FR"/>
        </w:rPr>
        <w:t xml:space="preserve">Europe, ont soumis une interpellation au Parlement concernant la violence intrafamiliale subie par les femmes. </w:t>
      </w:r>
      <w:r w:rsidR="00826E0F">
        <w:rPr>
          <w:lang w:val="fr-FR"/>
        </w:rPr>
        <w:t>Ce faisant</w:t>
      </w:r>
      <w:r w:rsidR="00826E0F" w:rsidRPr="00872599">
        <w:rPr>
          <w:lang w:val="fr-FR"/>
        </w:rPr>
        <w:t xml:space="preserve">, les parlementaires </w:t>
      </w:r>
      <w:r w:rsidR="00826E0F">
        <w:rPr>
          <w:lang w:val="fr-FR"/>
        </w:rPr>
        <w:t xml:space="preserve">cherchaient à </w:t>
      </w:r>
      <w:r w:rsidR="00826E0F" w:rsidRPr="00872599">
        <w:rPr>
          <w:lang w:val="fr-FR"/>
        </w:rPr>
        <w:t>soutenir la campagne du Conseil de l</w:t>
      </w:r>
      <w:r w:rsidR="006645B6">
        <w:rPr>
          <w:lang w:val="fr-FR"/>
        </w:rPr>
        <w:t>’</w:t>
      </w:r>
      <w:r w:rsidR="00826E0F" w:rsidRPr="00872599">
        <w:rPr>
          <w:lang w:val="fr-FR"/>
        </w:rPr>
        <w:t xml:space="preserve">Europe </w:t>
      </w:r>
      <w:r w:rsidR="000E00B5">
        <w:rPr>
          <w:lang w:val="fr-FR"/>
        </w:rPr>
        <w:t>« </w:t>
      </w:r>
      <w:r w:rsidR="00826E0F" w:rsidRPr="00872599">
        <w:rPr>
          <w:lang w:val="fr-FR"/>
        </w:rPr>
        <w:t>Stop à la violence domestique à l</w:t>
      </w:r>
      <w:r w:rsidR="006645B6">
        <w:rPr>
          <w:lang w:val="fr-FR"/>
        </w:rPr>
        <w:t>’</w:t>
      </w:r>
      <w:r w:rsidR="00826E0F" w:rsidRPr="00872599">
        <w:rPr>
          <w:lang w:val="fr-FR"/>
        </w:rPr>
        <w:t>égard des femmes</w:t>
      </w:r>
      <w:r w:rsidR="000E00B5">
        <w:rPr>
          <w:lang w:val="fr-FR"/>
        </w:rPr>
        <w:t> </w:t>
      </w:r>
      <w:r w:rsidR="00826E0F" w:rsidRPr="00872599">
        <w:rPr>
          <w:lang w:val="fr-FR"/>
        </w:rPr>
        <w:t>». Ils ont demandé des renseignements au gouvernement sur les règles juridiques de coopération avec les parties tierces, des données statistiques ainsi que les rapports de police et les décisions judiciaires concernant des affaires de violence domestique à l</w:t>
      </w:r>
      <w:r w:rsidR="006645B6">
        <w:rPr>
          <w:lang w:val="fr-FR"/>
        </w:rPr>
        <w:t>’</w:t>
      </w:r>
      <w:r w:rsidR="00826E0F" w:rsidRPr="00872599">
        <w:rPr>
          <w:lang w:val="fr-FR"/>
        </w:rPr>
        <w:t>égard des femmes. Il s</w:t>
      </w:r>
      <w:r w:rsidR="006645B6">
        <w:rPr>
          <w:lang w:val="fr-FR"/>
        </w:rPr>
        <w:t>’</w:t>
      </w:r>
      <w:r w:rsidR="00826E0F" w:rsidRPr="00872599">
        <w:rPr>
          <w:lang w:val="fr-FR"/>
        </w:rPr>
        <w:t>agissait notamment pour ces parlementaires de sensibiliser le public à cet important problème de politique sociale. Lors de sa réunion du 18 mars 2008, le Gouvernement a réagi à l</w:t>
      </w:r>
      <w:r w:rsidR="006645B6">
        <w:rPr>
          <w:lang w:val="fr-FR"/>
        </w:rPr>
        <w:t>’</w:t>
      </w:r>
      <w:r w:rsidR="00826E0F" w:rsidRPr="00872599">
        <w:rPr>
          <w:lang w:val="fr-FR"/>
        </w:rPr>
        <w:t>interpellation et a adressé sa réponse au Parlement. Dans son rapport il a expliqué les dispositions juridiques ayant une relation directe avec la question ainsi que la situation générale de la violence domestique au Liechtenstein, afin que des conclusions puissent être tirées en vue de l</w:t>
      </w:r>
      <w:r w:rsidR="006645B6">
        <w:rPr>
          <w:lang w:val="fr-FR"/>
        </w:rPr>
        <w:t>’</w:t>
      </w:r>
      <w:r w:rsidR="00826E0F" w:rsidRPr="00872599">
        <w:rPr>
          <w:lang w:val="fr-FR"/>
        </w:rPr>
        <w:t>adoption de mesures législatives ou administratives.</w:t>
      </w:r>
    </w:p>
    <w:p w:rsidR="00DE100C" w:rsidRPr="00DE100C" w:rsidRDefault="00DE100C" w:rsidP="00DE100C">
      <w:pPr>
        <w:pStyle w:val="SingleTxt"/>
        <w:spacing w:after="0" w:line="120" w:lineRule="exact"/>
        <w:rPr>
          <w:sz w:val="10"/>
          <w:lang w:val="fr-FR"/>
        </w:rPr>
      </w:pPr>
    </w:p>
    <w:p w:rsidR="00826E0F" w:rsidRPr="00872599" w:rsidRDefault="00DE100C" w:rsidP="00DE100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826E0F" w:rsidRPr="00872599">
        <w:rPr>
          <w:lang w:val="fr-FR"/>
        </w:rPr>
        <w:t>Plan d</w:t>
      </w:r>
      <w:r w:rsidR="006645B6">
        <w:rPr>
          <w:lang w:val="fr-FR"/>
        </w:rPr>
        <w:t>’</w:t>
      </w:r>
      <w:r w:rsidR="00826E0F" w:rsidRPr="00872599">
        <w:rPr>
          <w:lang w:val="fr-FR"/>
        </w:rPr>
        <w:t>action national de lutte contre la violence intrafamiliale</w:t>
      </w:r>
    </w:p>
    <w:p w:rsidR="00DE100C" w:rsidRPr="00DE100C" w:rsidRDefault="00DE100C" w:rsidP="00DE100C">
      <w:pPr>
        <w:pStyle w:val="SingleTxt"/>
        <w:spacing w:after="0" w:line="120" w:lineRule="exact"/>
        <w:rPr>
          <w:sz w:val="10"/>
          <w:lang w:val="fr-FR"/>
        </w:rPr>
      </w:pPr>
    </w:p>
    <w:p w:rsidR="00826E0F" w:rsidRPr="00872599" w:rsidRDefault="00DE100C" w:rsidP="00497599">
      <w:pPr>
        <w:pStyle w:val="SingleTxt"/>
        <w:rPr>
          <w:lang w:val="fr-FR"/>
        </w:rPr>
      </w:pPr>
      <w:r>
        <w:rPr>
          <w:lang w:val="fr-FR"/>
        </w:rPr>
        <w:tab/>
      </w:r>
      <w:r w:rsidR="00826E0F" w:rsidRPr="00872599">
        <w:rPr>
          <w:lang w:val="fr-FR"/>
        </w:rPr>
        <w:t>Dans le cadre de la campagne du Conseil de l</w:t>
      </w:r>
      <w:r w:rsidR="006645B6">
        <w:rPr>
          <w:lang w:val="fr-FR"/>
        </w:rPr>
        <w:t>’</w:t>
      </w:r>
      <w:r w:rsidR="00826E0F" w:rsidRPr="00872599">
        <w:rPr>
          <w:lang w:val="fr-FR"/>
        </w:rPr>
        <w:t xml:space="preserve">Europe </w:t>
      </w:r>
      <w:r w:rsidR="000E00B5">
        <w:rPr>
          <w:lang w:val="fr-FR"/>
        </w:rPr>
        <w:t>« </w:t>
      </w:r>
      <w:r w:rsidR="00826E0F" w:rsidRPr="00872599">
        <w:rPr>
          <w:lang w:val="fr-FR"/>
        </w:rPr>
        <w:t xml:space="preserve">Stop à la violence domestique </w:t>
      </w:r>
      <w:r w:rsidR="00826E0F">
        <w:rPr>
          <w:lang w:val="fr-FR"/>
        </w:rPr>
        <w:t>à l</w:t>
      </w:r>
      <w:r w:rsidR="006645B6">
        <w:rPr>
          <w:lang w:val="fr-FR"/>
        </w:rPr>
        <w:t>’</w:t>
      </w:r>
      <w:r w:rsidR="00826E0F">
        <w:rPr>
          <w:lang w:val="fr-FR"/>
        </w:rPr>
        <w:t>égard d</w:t>
      </w:r>
      <w:r w:rsidR="00826E0F" w:rsidRPr="00872599">
        <w:rPr>
          <w:lang w:val="fr-FR"/>
        </w:rPr>
        <w:t>es femmes</w:t>
      </w:r>
      <w:r w:rsidR="000E00B5">
        <w:rPr>
          <w:lang w:val="fr-FR"/>
        </w:rPr>
        <w:t> </w:t>
      </w:r>
      <w:r w:rsidR="00826E0F" w:rsidRPr="00872599">
        <w:rPr>
          <w:lang w:val="fr-FR"/>
        </w:rPr>
        <w:t>» (2006 à 2008), le Bureau de l</w:t>
      </w:r>
      <w:r w:rsidR="006645B6">
        <w:rPr>
          <w:lang w:val="fr-FR"/>
        </w:rPr>
        <w:t>’</w:t>
      </w:r>
      <w:r w:rsidR="00826E0F" w:rsidRPr="00872599">
        <w:rPr>
          <w:lang w:val="fr-FR"/>
        </w:rPr>
        <w:t>égalité des chances a élaboré un plan d</w:t>
      </w:r>
      <w:r w:rsidR="006645B6">
        <w:rPr>
          <w:lang w:val="fr-FR"/>
        </w:rPr>
        <w:t>’</w:t>
      </w:r>
      <w:r w:rsidR="00826E0F" w:rsidRPr="00872599">
        <w:rPr>
          <w:lang w:val="fr-FR"/>
        </w:rPr>
        <w:t>action national contre la violence intrafamiliale. Ce plan d</w:t>
      </w:r>
      <w:r w:rsidR="006645B6">
        <w:rPr>
          <w:lang w:val="fr-FR"/>
        </w:rPr>
        <w:t>’</w:t>
      </w:r>
      <w:r w:rsidR="00826E0F" w:rsidRPr="00872599">
        <w:rPr>
          <w:lang w:val="fr-FR"/>
        </w:rPr>
        <w:t>action couvre les domaines suivants: réglementation, décision de fond du Gouvernement concernant la résidence une fois l</w:t>
      </w:r>
      <w:r w:rsidR="006645B6">
        <w:rPr>
          <w:lang w:val="fr-FR"/>
        </w:rPr>
        <w:t>’</w:t>
      </w:r>
      <w:r w:rsidR="00826E0F" w:rsidRPr="00872599">
        <w:rPr>
          <w:lang w:val="fr-FR"/>
        </w:rPr>
        <w:t>union matrimoniale dissoute, établissement de réseaux et coopération, rassemblement de données et de renseignements, prévention, travail avec les auteurs des délits et santé. La situation actuelle dans chacun de ces domaines a été décrite et des possibilités d</w:t>
      </w:r>
      <w:r w:rsidR="006645B6">
        <w:rPr>
          <w:lang w:val="fr-FR"/>
        </w:rPr>
        <w:t>’</w:t>
      </w:r>
      <w:r w:rsidR="00826E0F" w:rsidRPr="00872599">
        <w:rPr>
          <w:lang w:val="fr-FR"/>
        </w:rPr>
        <w:t>amélioration énoncées.</w:t>
      </w:r>
    </w:p>
    <w:p w:rsidR="00826E0F" w:rsidRPr="00872599" w:rsidRDefault="00DE100C" w:rsidP="00497599">
      <w:pPr>
        <w:pStyle w:val="SingleTxt"/>
        <w:rPr>
          <w:lang w:val="fr-FR"/>
        </w:rPr>
      </w:pPr>
      <w:r>
        <w:rPr>
          <w:lang w:val="fr-FR"/>
        </w:rPr>
        <w:tab/>
      </w:r>
      <w:r w:rsidR="00826E0F" w:rsidRPr="00872599">
        <w:rPr>
          <w:lang w:val="fr-FR"/>
        </w:rPr>
        <w:t>Le Gouvernement a pris note du plan d</w:t>
      </w:r>
      <w:r w:rsidR="006645B6">
        <w:rPr>
          <w:lang w:val="fr-FR"/>
        </w:rPr>
        <w:t>’</w:t>
      </w:r>
      <w:r w:rsidR="00826E0F" w:rsidRPr="00872599">
        <w:rPr>
          <w:lang w:val="fr-FR"/>
        </w:rPr>
        <w:t>action en avril 2008 et a chargé le Bureau de l</w:t>
      </w:r>
      <w:r w:rsidR="006645B6">
        <w:rPr>
          <w:lang w:val="fr-FR"/>
        </w:rPr>
        <w:t>’</w:t>
      </w:r>
      <w:r w:rsidR="00826E0F" w:rsidRPr="00872599">
        <w:rPr>
          <w:lang w:val="fr-FR"/>
        </w:rPr>
        <w:t>égalité des chances de l</w:t>
      </w:r>
      <w:r w:rsidR="006645B6">
        <w:rPr>
          <w:lang w:val="fr-FR"/>
        </w:rPr>
        <w:t>’</w:t>
      </w:r>
      <w:r w:rsidR="00826E0F" w:rsidRPr="00872599">
        <w:rPr>
          <w:lang w:val="fr-FR"/>
        </w:rPr>
        <w:t xml:space="preserve">examiner avec </w:t>
      </w:r>
      <w:smartTag w:uri="urn:schemas-microsoft-com:office:smarttags" w:element="PersonName">
        <w:smartTagPr>
          <w:attr w:name="ProductID" w:val="la Commission"/>
        </w:smartTagPr>
        <w:r w:rsidR="00826E0F" w:rsidRPr="00872599">
          <w:rPr>
            <w:lang w:val="fr-FR"/>
          </w:rPr>
          <w:t>la Commission</w:t>
        </w:r>
      </w:smartTag>
      <w:r w:rsidR="00826E0F" w:rsidRPr="00872599">
        <w:rPr>
          <w:lang w:val="fr-FR"/>
        </w:rPr>
        <w:t xml:space="preserve"> pour la protection contre la violence et avec </w:t>
      </w:r>
      <w:smartTag w:uri="urn:schemas-microsoft-com:office:smarttags" w:element="PersonName">
        <w:smartTagPr>
          <w:attr w:name="ProductID" w:val="la Cour"/>
        </w:smartTagPr>
        <w:r w:rsidR="00826E0F" w:rsidRPr="00872599">
          <w:rPr>
            <w:lang w:val="fr-FR"/>
          </w:rPr>
          <w:t>la Cour</w:t>
        </w:r>
      </w:smartTag>
      <w:r w:rsidR="00826E0F" w:rsidRPr="00872599">
        <w:rPr>
          <w:lang w:val="fr-FR"/>
        </w:rPr>
        <w:t xml:space="preserve"> de justice et de proposer des mesures concrètes au Ministère de la famille et de l</w:t>
      </w:r>
      <w:r w:rsidR="006645B6">
        <w:rPr>
          <w:lang w:val="fr-FR"/>
        </w:rPr>
        <w:t>’</w:t>
      </w:r>
      <w:r w:rsidR="00826E0F" w:rsidRPr="00872599">
        <w:rPr>
          <w:lang w:val="fr-FR"/>
        </w:rPr>
        <w:t>égalité des chances.</w:t>
      </w:r>
    </w:p>
    <w:p w:rsidR="00826E0F" w:rsidRPr="00872599" w:rsidRDefault="00DE100C" w:rsidP="00497599">
      <w:pPr>
        <w:pStyle w:val="SingleTxt"/>
        <w:rPr>
          <w:lang w:val="fr-FR"/>
        </w:rPr>
      </w:pPr>
      <w:r>
        <w:rPr>
          <w:lang w:val="fr-FR"/>
        </w:rPr>
        <w:tab/>
      </w:r>
      <w:r w:rsidR="00826E0F" w:rsidRPr="00872599">
        <w:rPr>
          <w:lang w:val="fr-FR"/>
        </w:rPr>
        <w:t>Deux sujet</w:t>
      </w:r>
      <w:r w:rsidR="00826E0F">
        <w:rPr>
          <w:lang w:val="fr-FR"/>
        </w:rPr>
        <w:t>s</w:t>
      </w:r>
      <w:r w:rsidR="00826E0F" w:rsidRPr="00872599">
        <w:rPr>
          <w:lang w:val="fr-FR"/>
        </w:rPr>
        <w:t xml:space="preserve"> prioritaire</w:t>
      </w:r>
      <w:r w:rsidR="00826E0F">
        <w:rPr>
          <w:lang w:val="fr-FR"/>
        </w:rPr>
        <w:t>s</w:t>
      </w:r>
      <w:r w:rsidR="00826E0F" w:rsidRPr="00872599">
        <w:rPr>
          <w:lang w:val="fr-FR"/>
        </w:rPr>
        <w:t xml:space="preserve"> se sont dégagés des discussions avec les deux institutions</w:t>
      </w:r>
      <w:r w:rsidR="006645B6">
        <w:rPr>
          <w:lang w:val="fr-FR"/>
        </w:rPr>
        <w:t> :</w:t>
      </w:r>
      <w:r w:rsidR="00826E0F" w:rsidRPr="00872599">
        <w:rPr>
          <w:lang w:val="fr-FR"/>
        </w:rPr>
        <w:t xml:space="preserve"> l</w:t>
      </w:r>
      <w:r w:rsidR="006645B6">
        <w:rPr>
          <w:lang w:val="fr-FR"/>
        </w:rPr>
        <w:t>’</w:t>
      </w:r>
      <w:r w:rsidR="00826E0F" w:rsidRPr="00872599">
        <w:rPr>
          <w:lang w:val="fr-FR"/>
        </w:rPr>
        <w:t>amélioration du travail en réseau et de la coopération entre les divers bureaux d</w:t>
      </w:r>
      <w:r w:rsidR="006645B6">
        <w:rPr>
          <w:lang w:val="fr-FR"/>
        </w:rPr>
        <w:t>’</w:t>
      </w:r>
      <w:r w:rsidR="00826E0F" w:rsidRPr="00872599">
        <w:rPr>
          <w:lang w:val="fr-FR"/>
        </w:rPr>
        <w:t>appui et l</w:t>
      </w:r>
      <w:r w:rsidR="006645B6">
        <w:rPr>
          <w:lang w:val="fr-FR"/>
        </w:rPr>
        <w:t>’</w:t>
      </w:r>
      <w:r w:rsidR="00826E0F" w:rsidRPr="00872599">
        <w:rPr>
          <w:lang w:val="fr-FR"/>
        </w:rPr>
        <w:t>amélioration de la protection des victimes.</w:t>
      </w:r>
    </w:p>
    <w:p w:rsidR="00826E0F" w:rsidRPr="00872599" w:rsidRDefault="00DE100C" w:rsidP="00497599">
      <w:pPr>
        <w:pStyle w:val="SingleTxt"/>
        <w:rPr>
          <w:lang w:val="fr-FR"/>
        </w:rPr>
      </w:pPr>
      <w:r>
        <w:rPr>
          <w:lang w:val="fr-FR"/>
        </w:rPr>
        <w:tab/>
      </w:r>
      <w:r w:rsidR="00826E0F" w:rsidRPr="00872599">
        <w:rPr>
          <w:lang w:val="fr-FR"/>
        </w:rPr>
        <w:t xml:space="preserve">Le 3 février 2009, le Gouvernement a approuvé le projet transnational intitulé </w:t>
      </w:r>
      <w:r w:rsidR="000E00B5">
        <w:rPr>
          <w:lang w:val="fr-FR"/>
        </w:rPr>
        <w:t>« </w:t>
      </w:r>
      <w:r w:rsidR="00826E0F" w:rsidRPr="00872599">
        <w:rPr>
          <w:lang w:val="fr-FR"/>
        </w:rPr>
        <w:t>S.I.G.N.A.L – un programme d</w:t>
      </w:r>
      <w:r w:rsidR="006645B6">
        <w:rPr>
          <w:lang w:val="fr-FR"/>
        </w:rPr>
        <w:t>’</w:t>
      </w:r>
      <w:r w:rsidR="00826E0F" w:rsidRPr="00872599">
        <w:rPr>
          <w:lang w:val="fr-FR"/>
        </w:rPr>
        <w:t>intervention contre la violence domestique</w:t>
      </w:r>
      <w:r w:rsidR="000E00B5">
        <w:rPr>
          <w:lang w:val="fr-FR"/>
        </w:rPr>
        <w:t> </w:t>
      </w:r>
      <w:r w:rsidR="00826E0F" w:rsidRPr="00872599">
        <w:rPr>
          <w:lang w:val="fr-FR"/>
        </w:rPr>
        <w:t>».</w:t>
      </w:r>
      <w:r w:rsidR="006645B6">
        <w:rPr>
          <w:lang w:val="fr-FR"/>
        </w:rPr>
        <w:t xml:space="preserve"> </w:t>
      </w:r>
      <w:r w:rsidR="00826E0F" w:rsidRPr="00872599">
        <w:rPr>
          <w:lang w:val="fr-FR"/>
        </w:rPr>
        <w:t>Le projet a pour but d</w:t>
      </w:r>
      <w:r w:rsidR="006645B6">
        <w:rPr>
          <w:lang w:val="fr-FR"/>
        </w:rPr>
        <w:t>’</w:t>
      </w:r>
      <w:r w:rsidR="00826E0F" w:rsidRPr="00872599">
        <w:rPr>
          <w:lang w:val="fr-FR"/>
        </w:rPr>
        <w:t>informer les médecins et les infirmières/infirmiers de l</w:t>
      </w:r>
      <w:r w:rsidR="006645B6">
        <w:rPr>
          <w:lang w:val="fr-FR"/>
        </w:rPr>
        <w:t>’</w:t>
      </w:r>
      <w:r w:rsidR="00826E0F" w:rsidRPr="00872599">
        <w:rPr>
          <w:lang w:val="fr-FR"/>
        </w:rPr>
        <w:t>effet qu</w:t>
      </w:r>
      <w:r w:rsidR="006645B6">
        <w:rPr>
          <w:lang w:val="fr-FR"/>
        </w:rPr>
        <w:t>’</w:t>
      </w:r>
      <w:r w:rsidR="00826E0F" w:rsidRPr="00872599">
        <w:rPr>
          <w:lang w:val="fr-FR"/>
        </w:rPr>
        <w:t>a la violence sur la santé, d</w:t>
      </w:r>
      <w:r w:rsidR="006645B6">
        <w:rPr>
          <w:lang w:val="fr-FR"/>
        </w:rPr>
        <w:t>’</w:t>
      </w:r>
      <w:r w:rsidR="00826E0F" w:rsidRPr="00872599">
        <w:rPr>
          <w:lang w:val="fr-FR"/>
        </w:rPr>
        <w:t>attirer l</w:t>
      </w:r>
      <w:r w:rsidR="006645B6">
        <w:rPr>
          <w:lang w:val="fr-FR"/>
        </w:rPr>
        <w:t>’</w:t>
      </w:r>
      <w:r w:rsidR="00826E0F" w:rsidRPr="00872599">
        <w:rPr>
          <w:lang w:val="fr-FR"/>
        </w:rPr>
        <w:t>attention des médecins sur les directives S.I.G.N.A.L et d</w:t>
      </w:r>
      <w:r w:rsidR="006645B6">
        <w:rPr>
          <w:lang w:val="fr-FR"/>
        </w:rPr>
        <w:t>’</w:t>
      </w:r>
      <w:r w:rsidR="00826E0F" w:rsidRPr="00872599">
        <w:rPr>
          <w:lang w:val="fr-FR"/>
        </w:rPr>
        <w:t>établir un réseau transnational avec les partenaires du système. L</w:t>
      </w:r>
      <w:r w:rsidR="006645B6">
        <w:rPr>
          <w:lang w:val="fr-FR"/>
        </w:rPr>
        <w:t>’</w:t>
      </w:r>
      <w:r w:rsidR="00826E0F" w:rsidRPr="00872599">
        <w:rPr>
          <w:lang w:val="fr-FR"/>
        </w:rPr>
        <w:t xml:space="preserve">exposition </w:t>
      </w:r>
      <w:r w:rsidR="000E00B5">
        <w:rPr>
          <w:lang w:val="fr-FR"/>
        </w:rPr>
        <w:t>« </w:t>
      </w:r>
      <w:r w:rsidR="00826E0F" w:rsidRPr="00872599">
        <w:rPr>
          <w:lang w:val="fr-FR"/>
        </w:rPr>
        <w:t>Derrière la façade</w:t>
      </w:r>
      <w:r w:rsidR="006645B6">
        <w:rPr>
          <w:lang w:val="fr-FR"/>
        </w:rPr>
        <w:t> »</w:t>
      </w:r>
      <w:r w:rsidR="00826E0F" w:rsidRPr="00872599">
        <w:rPr>
          <w:lang w:val="fr-FR"/>
        </w:rPr>
        <w:t xml:space="preserve"> fait partie du projet et est montrée pour la première fois au Vorarlberg et au Liechtenstein. Le projet se déroulera d</w:t>
      </w:r>
      <w:r w:rsidR="006645B6">
        <w:rPr>
          <w:lang w:val="fr-FR"/>
        </w:rPr>
        <w:t>’</w:t>
      </w:r>
      <w:r w:rsidR="00826E0F" w:rsidRPr="00872599">
        <w:rPr>
          <w:lang w:val="fr-FR"/>
        </w:rPr>
        <w:t>avril 2009 à novembre 2010.</w:t>
      </w:r>
    </w:p>
    <w:p w:rsidR="00DE100C" w:rsidRPr="00DE100C" w:rsidRDefault="00DE100C" w:rsidP="00DE100C">
      <w:pPr>
        <w:pStyle w:val="SingleTxt"/>
        <w:spacing w:after="0" w:line="120" w:lineRule="exact"/>
        <w:rPr>
          <w:b/>
          <w:sz w:val="10"/>
          <w:lang w:val="fr-FR"/>
        </w:rPr>
      </w:pPr>
    </w:p>
    <w:p w:rsidR="00826E0F" w:rsidRPr="00872599" w:rsidRDefault="00DE100C" w:rsidP="00DE100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826E0F" w:rsidRPr="00872599">
        <w:rPr>
          <w:lang w:val="fr-FR"/>
        </w:rPr>
        <w:t>Centre d</w:t>
      </w:r>
      <w:r w:rsidR="006645B6">
        <w:rPr>
          <w:lang w:val="fr-FR"/>
        </w:rPr>
        <w:t>’</w:t>
      </w:r>
      <w:r w:rsidR="00826E0F" w:rsidRPr="00872599">
        <w:rPr>
          <w:lang w:val="fr-FR"/>
        </w:rPr>
        <w:t>accueil pour les femmes</w:t>
      </w:r>
    </w:p>
    <w:p w:rsidR="00DE100C" w:rsidRPr="00DE100C" w:rsidRDefault="00DE100C" w:rsidP="00DE100C">
      <w:pPr>
        <w:pStyle w:val="SingleTxt"/>
        <w:keepNext/>
        <w:keepLines/>
        <w:spacing w:after="0" w:line="120" w:lineRule="exact"/>
        <w:rPr>
          <w:sz w:val="10"/>
          <w:lang w:val="fr-FR"/>
        </w:rPr>
      </w:pPr>
    </w:p>
    <w:p w:rsidR="00826E0F" w:rsidRPr="00872599" w:rsidRDefault="00DE100C" w:rsidP="000E00B5">
      <w:pPr>
        <w:pStyle w:val="SingleTxt"/>
        <w:rPr>
          <w:lang w:val="fr-FR"/>
        </w:rPr>
      </w:pPr>
      <w:r>
        <w:rPr>
          <w:lang w:val="fr-FR"/>
        </w:rPr>
        <w:tab/>
      </w:r>
      <w:r w:rsidR="00826E0F" w:rsidRPr="00872599">
        <w:rPr>
          <w:lang w:val="fr-FR"/>
        </w:rPr>
        <w:t>Le centre d</w:t>
      </w:r>
      <w:r w:rsidR="006645B6">
        <w:rPr>
          <w:lang w:val="fr-FR"/>
        </w:rPr>
        <w:t>’</w:t>
      </w:r>
      <w:r w:rsidR="00826E0F" w:rsidRPr="00872599">
        <w:rPr>
          <w:lang w:val="fr-FR"/>
        </w:rPr>
        <w:t>accueil pour les femmes qui est géré par l</w:t>
      </w:r>
      <w:r w:rsidR="006645B6">
        <w:rPr>
          <w:lang w:val="fr-FR"/>
        </w:rPr>
        <w:t>’</w:t>
      </w:r>
      <w:r w:rsidR="00826E0F" w:rsidRPr="00872599">
        <w:rPr>
          <w:lang w:val="fr-FR"/>
        </w:rPr>
        <w:t>Association pour la protection des femmes maltraitées et de leurs enfants a été créé en 1991 et constitue un lieu de séjour pour les victimes de la violence. Le Gouvernement soutient le centre d</w:t>
      </w:r>
      <w:r w:rsidR="006645B6">
        <w:rPr>
          <w:lang w:val="fr-FR"/>
        </w:rPr>
        <w:t>’</w:t>
      </w:r>
      <w:r w:rsidR="00826E0F" w:rsidRPr="00872599">
        <w:rPr>
          <w:lang w:val="fr-FR"/>
        </w:rPr>
        <w:t>accueil dans le cadre d</w:t>
      </w:r>
      <w:r w:rsidR="006645B6">
        <w:rPr>
          <w:lang w:val="fr-FR"/>
        </w:rPr>
        <w:t>’</w:t>
      </w:r>
      <w:r w:rsidR="00826E0F" w:rsidRPr="00872599">
        <w:rPr>
          <w:lang w:val="fr-FR"/>
        </w:rPr>
        <w:t>un accord de services qui s</w:t>
      </w:r>
      <w:r w:rsidR="006645B6">
        <w:rPr>
          <w:lang w:val="fr-FR"/>
        </w:rPr>
        <w:t>’</w:t>
      </w:r>
      <w:r w:rsidR="00826E0F" w:rsidRPr="00872599">
        <w:rPr>
          <w:lang w:val="fr-FR"/>
        </w:rPr>
        <w:t>accompagne d</w:t>
      </w:r>
      <w:r w:rsidR="006645B6">
        <w:rPr>
          <w:lang w:val="fr-FR"/>
        </w:rPr>
        <w:t>’</w:t>
      </w:r>
      <w:r w:rsidR="00826E0F" w:rsidRPr="00872599">
        <w:rPr>
          <w:lang w:val="fr-FR"/>
        </w:rPr>
        <w:t>une contribution annuelle de CHF 320 000.</w:t>
      </w:r>
    </w:p>
    <w:p w:rsidR="00DE100C" w:rsidRPr="00DE100C" w:rsidRDefault="00DE100C" w:rsidP="00DE100C">
      <w:pPr>
        <w:pStyle w:val="SingleTxt"/>
        <w:spacing w:after="0" w:line="120" w:lineRule="exact"/>
        <w:rPr>
          <w:sz w:val="10"/>
          <w:lang w:val="fr-FR"/>
        </w:rPr>
      </w:pPr>
    </w:p>
    <w:p w:rsidR="00826E0F" w:rsidRDefault="00DE100C" w:rsidP="00DE100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826E0F" w:rsidRPr="00DE100C">
        <w:rPr>
          <w:b w:val="0"/>
          <w:lang w:val="fr-FR"/>
        </w:rPr>
        <w:t>Tableau 3</w:t>
      </w:r>
      <w:r>
        <w:rPr>
          <w:lang w:val="fr-FR"/>
        </w:rPr>
        <w:br/>
      </w:r>
      <w:r w:rsidR="00826E0F" w:rsidRPr="00872599">
        <w:rPr>
          <w:lang w:val="fr-FR"/>
        </w:rPr>
        <w:t>Admissions au centre d</w:t>
      </w:r>
      <w:r w:rsidR="006645B6">
        <w:rPr>
          <w:lang w:val="fr-FR"/>
        </w:rPr>
        <w:t>’</w:t>
      </w:r>
      <w:r w:rsidR="00826E0F" w:rsidRPr="00872599">
        <w:rPr>
          <w:lang w:val="fr-FR"/>
        </w:rPr>
        <w:t>accueil des femmes depuis 2001</w:t>
      </w:r>
    </w:p>
    <w:p w:rsidR="00DE100C" w:rsidRPr="00DE100C" w:rsidRDefault="00DE100C" w:rsidP="00DE100C">
      <w:pPr>
        <w:pStyle w:val="SingleTxt"/>
        <w:spacing w:after="0" w:line="120" w:lineRule="exact"/>
        <w:rPr>
          <w:sz w:val="10"/>
          <w:lang w:val="fr-FR"/>
        </w:rPr>
      </w:pPr>
    </w:p>
    <w:tbl>
      <w:tblPr>
        <w:tblW w:w="0" w:type="auto"/>
        <w:tblInd w:w="1350" w:type="dxa"/>
        <w:tblLayout w:type="fixed"/>
        <w:tblLook w:val="0000" w:firstRow="0" w:lastRow="0" w:firstColumn="0" w:lastColumn="0" w:noHBand="0" w:noVBand="0"/>
      </w:tblPr>
      <w:tblGrid>
        <w:gridCol w:w="977"/>
        <w:gridCol w:w="3130"/>
        <w:gridCol w:w="3130"/>
      </w:tblGrid>
      <w:tr w:rsidR="00826E0F" w:rsidRPr="00DE100C" w:rsidTr="00DE100C">
        <w:trPr>
          <w:tblHeader/>
        </w:trPr>
        <w:tc>
          <w:tcPr>
            <w:tcW w:w="977" w:type="dxa"/>
            <w:tcBorders>
              <w:top w:val="single" w:sz="4" w:space="0" w:color="auto"/>
              <w:bottom w:val="single" w:sz="12" w:space="0" w:color="auto"/>
            </w:tcBorders>
            <w:shd w:val="clear" w:color="auto" w:fill="auto"/>
            <w:vAlign w:val="bottom"/>
          </w:tcPr>
          <w:p w:rsidR="00826E0F" w:rsidRPr="00DE100C" w:rsidRDefault="00826E0F" w:rsidP="00DE100C">
            <w:pPr>
              <w:pStyle w:val="SingleTxt"/>
              <w:suppressAutoHyphens/>
              <w:spacing w:before="80" w:after="80" w:line="160" w:lineRule="exact"/>
              <w:ind w:left="0" w:right="43"/>
              <w:rPr>
                <w:i/>
                <w:sz w:val="14"/>
                <w:lang w:val="fr-FR"/>
              </w:rPr>
            </w:pPr>
            <w:r w:rsidRPr="00DE100C">
              <w:rPr>
                <w:i/>
                <w:sz w:val="14"/>
                <w:lang w:val="fr-FR"/>
              </w:rPr>
              <w:t>Année</w:t>
            </w:r>
          </w:p>
        </w:tc>
        <w:tc>
          <w:tcPr>
            <w:tcW w:w="3130" w:type="dxa"/>
            <w:tcBorders>
              <w:top w:val="single" w:sz="4" w:space="0" w:color="auto"/>
              <w:bottom w:val="single" w:sz="12" w:space="0" w:color="auto"/>
            </w:tcBorders>
            <w:shd w:val="clear" w:color="auto" w:fill="auto"/>
            <w:vAlign w:val="bottom"/>
          </w:tcPr>
          <w:p w:rsidR="00826E0F" w:rsidRPr="00DE100C" w:rsidRDefault="00826E0F" w:rsidP="00DE100C">
            <w:pPr>
              <w:pStyle w:val="SingleTxt"/>
              <w:suppressAutoHyphens/>
              <w:spacing w:before="80" w:after="80" w:line="160" w:lineRule="exact"/>
              <w:ind w:left="0" w:right="43"/>
              <w:jc w:val="right"/>
              <w:rPr>
                <w:i/>
                <w:sz w:val="14"/>
                <w:lang w:val="fr-FR"/>
              </w:rPr>
            </w:pPr>
            <w:r w:rsidRPr="00DE100C">
              <w:rPr>
                <w:i/>
                <w:sz w:val="14"/>
                <w:lang w:val="fr-FR"/>
              </w:rPr>
              <w:t>Admissions au centre d</w:t>
            </w:r>
            <w:r w:rsidR="006645B6">
              <w:rPr>
                <w:i/>
                <w:sz w:val="14"/>
                <w:lang w:val="fr-FR"/>
              </w:rPr>
              <w:t>’</w:t>
            </w:r>
            <w:r w:rsidRPr="00DE100C">
              <w:rPr>
                <w:i/>
                <w:sz w:val="14"/>
                <w:lang w:val="fr-FR"/>
              </w:rPr>
              <w:t>accueil des femmes</w:t>
            </w:r>
          </w:p>
        </w:tc>
        <w:tc>
          <w:tcPr>
            <w:tcW w:w="3130" w:type="dxa"/>
            <w:tcBorders>
              <w:top w:val="single" w:sz="4" w:space="0" w:color="auto"/>
              <w:bottom w:val="single" w:sz="12" w:space="0" w:color="auto"/>
            </w:tcBorders>
            <w:shd w:val="clear" w:color="auto" w:fill="auto"/>
            <w:vAlign w:val="bottom"/>
          </w:tcPr>
          <w:p w:rsidR="00826E0F" w:rsidRPr="00DE100C" w:rsidRDefault="00826E0F" w:rsidP="00DE100C">
            <w:pPr>
              <w:pStyle w:val="SingleTxt"/>
              <w:suppressAutoHyphens/>
              <w:spacing w:before="80" w:after="80" w:line="160" w:lineRule="exact"/>
              <w:ind w:left="0" w:right="43"/>
              <w:jc w:val="right"/>
              <w:rPr>
                <w:i/>
                <w:sz w:val="14"/>
                <w:lang w:val="fr-FR"/>
              </w:rPr>
            </w:pPr>
            <w:r w:rsidRPr="00DE100C">
              <w:rPr>
                <w:i/>
                <w:sz w:val="14"/>
                <w:lang w:val="fr-FR"/>
              </w:rPr>
              <w:t>Nombre de femmes du Liechtenstein</w:t>
            </w:r>
          </w:p>
        </w:tc>
      </w:tr>
      <w:tr w:rsidR="00DE100C" w:rsidRPr="00DE100C" w:rsidTr="00DE100C">
        <w:trPr>
          <w:trHeight w:hRule="exact" w:val="115"/>
          <w:tblHeader/>
        </w:trPr>
        <w:tc>
          <w:tcPr>
            <w:tcW w:w="977" w:type="dxa"/>
            <w:tcBorders>
              <w:top w:val="single" w:sz="12" w:space="0" w:color="auto"/>
            </w:tcBorders>
            <w:shd w:val="clear" w:color="auto" w:fill="auto"/>
            <w:vAlign w:val="bottom"/>
          </w:tcPr>
          <w:p w:rsidR="00DE100C" w:rsidRPr="00DE100C" w:rsidRDefault="00DE100C" w:rsidP="00DE100C">
            <w:pPr>
              <w:pStyle w:val="SingleTxt"/>
              <w:suppressAutoHyphens/>
              <w:spacing w:before="40" w:after="40" w:line="210" w:lineRule="exact"/>
              <w:ind w:left="0" w:right="43"/>
              <w:rPr>
                <w:b/>
                <w:sz w:val="17"/>
                <w:lang w:val="fr-FR"/>
              </w:rPr>
            </w:pPr>
          </w:p>
        </w:tc>
        <w:tc>
          <w:tcPr>
            <w:tcW w:w="3130" w:type="dxa"/>
            <w:tcBorders>
              <w:top w:val="single" w:sz="12" w:space="0" w:color="auto"/>
            </w:tcBorders>
            <w:shd w:val="clear" w:color="auto" w:fill="auto"/>
            <w:vAlign w:val="bottom"/>
          </w:tcPr>
          <w:p w:rsidR="00DE100C" w:rsidRPr="00DE100C" w:rsidRDefault="00DE100C" w:rsidP="00DE100C">
            <w:pPr>
              <w:pStyle w:val="SingleTxt"/>
              <w:suppressAutoHyphens/>
              <w:spacing w:before="40" w:after="40" w:line="210" w:lineRule="exact"/>
              <w:ind w:left="0" w:right="43"/>
              <w:jc w:val="right"/>
              <w:rPr>
                <w:b/>
                <w:sz w:val="17"/>
                <w:lang w:val="fr-FR"/>
              </w:rPr>
            </w:pPr>
          </w:p>
        </w:tc>
        <w:tc>
          <w:tcPr>
            <w:tcW w:w="3130" w:type="dxa"/>
            <w:tcBorders>
              <w:top w:val="single" w:sz="12" w:space="0" w:color="auto"/>
            </w:tcBorders>
            <w:shd w:val="clear" w:color="auto" w:fill="auto"/>
            <w:vAlign w:val="bottom"/>
          </w:tcPr>
          <w:p w:rsidR="00DE100C" w:rsidRPr="00DE100C" w:rsidRDefault="00DE100C" w:rsidP="00DE100C">
            <w:pPr>
              <w:pStyle w:val="SingleTxt"/>
              <w:suppressAutoHyphens/>
              <w:spacing w:before="40" w:after="40" w:line="210" w:lineRule="exact"/>
              <w:ind w:left="0" w:right="43"/>
              <w:jc w:val="right"/>
              <w:rPr>
                <w:b/>
                <w:sz w:val="17"/>
                <w:lang w:val="fr-FR"/>
              </w:rPr>
            </w:pPr>
          </w:p>
        </w:tc>
      </w:tr>
      <w:tr w:rsidR="00826E0F" w:rsidRPr="00DE100C" w:rsidTr="00DE100C">
        <w:tc>
          <w:tcPr>
            <w:tcW w:w="977" w:type="dxa"/>
            <w:shd w:val="clear" w:color="auto" w:fill="auto"/>
            <w:vAlign w:val="bottom"/>
          </w:tcPr>
          <w:p w:rsidR="00826E0F" w:rsidRPr="00DE100C" w:rsidRDefault="00826E0F" w:rsidP="00DE100C">
            <w:pPr>
              <w:pStyle w:val="SingleTxt"/>
              <w:tabs>
                <w:tab w:val="left" w:pos="288"/>
                <w:tab w:val="left" w:pos="576"/>
                <w:tab w:val="left" w:pos="864"/>
                <w:tab w:val="left" w:pos="1152"/>
              </w:tabs>
              <w:suppressAutoHyphens/>
              <w:spacing w:before="40" w:after="40" w:line="210" w:lineRule="exact"/>
              <w:ind w:left="0" w:right="43"/>
              <w:rPr>
                <w:sz w:val="17"/>
                <w:lang w:val="fr-FR"/>
              </w:rPr>
            </w:pPr>
            <w:r w:rsidRPr="00DE100C">
              <w:rPr>
                <w:sz w:val="17"/>
                <w:lang w:val="fr-FR"/>
              </w:rPr>
              <w:t>2001</w:t>
            </w:r>
          </w:p>
        </w:tc>
        <w:tc>
          <w:tcPr>
            <w:tcW w:w="3130" w:type="dxa"/>
            <w:shd w:val="clear" w:color="auto" w:fill="auto"/>
            <w:vAlign w:val="bottom"/>
          </w:tcPr>
          <w:p w:rsidR="00826E0F" w:rsidRPr="00DE100C" w:rsidRDefault="00826E0F" w:rsidP="00DE100C">
            <w:pPr>
              <w:pStyle w:val="SingleTxt"/>
              <w:tabs>
                <w:tab w:val="left" w:pos="288"/>
                <w:tab w:val="left" w:pos="576"/>
                <w:tab w:val="left" w:pos="864"/>
                <w:tab w:val="left" w:pos="1152"/>
              </w:tabs>
              <w:suppressAutoHyphens/>
              <w:spacing w:before="40" w:after="40" w:line="210" w:lineRule="exact"/>
              <w:ind w:left="0" w:right="43"/>
              <w:jc w:val="right"/>
              <w:rPr>
                <w:sz w:val="17"/>
                <w:lang w:val="fr-FR"/>
              </w:rPr>
            </w:pPr>
            <w:r w:rsidRPr="00DE100C">
              <w:rPr>
                <w:sz w:val="17"/>
                <w:lang w:val="fr-FR"/>
              </w:rPr>
              <w:t>27</w:t>
            </w:r>
          </w:p>
        </w:tc>
        <w:tc>
          <w:tcPr>
            <w:tcW w:w="3130" w:type="dxa"/>
            <w:shd w:val="clear" w:color="auto" w:fill="auto"/>
            <w:vAlign w:val="bottom"/>
          </w:tcPr>
          <w:p w:rsidR="00826E0F" w:rsidRPr="00DE100C" w:rsidRDefault="00826E0F" w:rsidP="00DE100C">
            <w:pPr>
              <w:pStyle w:val="SingleTxt"/>
              <w:tabs>
                <w:tab w:val="left" w:pos="288"/>
                <w:tab w:val="left" w:pos="576"/>
                <w:tab w:val="left" w:pos="864"/>
                <w:tab w:val="left" w:pos="1152"/>
              </w:tabs>
              <w:suppressAutoHyphens/>
              <w:spacing w:before="40" w:after="40" w:line="210" w:lineRule="exact"/>
              <w:ind w:left="0" w:right="43"/>
              <w:jc w:val="right"/>
              <w:rPr>
                <w:sz w:val="17"/>
                <w:lang w:val="fr-FR"/>
              </w:rPr>
            </w:pPr>
            <w:r w:rsidRPr="00DE100C">
              <w:rPr>
                <w:sz w:val="17"/>
                <w:lang w:val="fr-FR"/>
              </w:rPr>
              <w:t>8</w:t>
            </w:r>
          </w:p>
        </w:tc>
      </w:tr>
      <w:tr w:rsidR="00826E0F" w:rsidRPr="00DE100C" w:rsidTr="00DE100C">
        <w:tc>
          <w:tcPr>
            <w:tcW w:w="977" w:type="dxa"/>
            <w:shd w:val="clear" w:color="auto" w:fill="auto"/>
            <w:vAlign w:val="bottom"/>
          </w:tcPr>
          <w:p w:rsidR="00826E0F" w:rsidRPr="00DE100C" w:rsidRDefault="00826E0F" w:rsidP="00DE100C">
            <w:pPr>
              <w:pStyle w:val="SingleTxt"/>
              <w:tabs>
                <w:tab w:val="left" w:pos="288"/>
                <w:tab w:val="left" w:pos="576"/>
                <w:tab w:val="left" w:pos="864"/>
                <w:tab w:val="left" w:pos="1152"/>
              </w:tabs>
              <w:suppressAutoHyphens/>
              <w:spacing w:before="40" w:after="40" w:line="210" w:lineRule="exact"/>
              <w:ind w:left="0" w:right="43"/>
              <w:rPr>
                <w:sz w:val="17"/>
                <w:lang w:val="fr-FR"/>
              </w:rPr>
            </w:pPr>
            <w:r w:rsidRPr="00DE100C">
              <w:rPr>
                <w:sz w:val="17"/>
                <w:lang w:val="fr-FR"/>
              </w:rPr>
              <w:t>2002</w:t>
            </w:r>
          </w:p>
        </w:tc>
        <w:tc>
          <w:tcPr>
            <w:tcW w:w="3130" w:type="dxa"/>
            <w:shd w:val="clear" w:color="auto" w:fill="auto"/>
            <w:vAlign w:val="bottom"/>
          </w:tcPr>
          <w:p w:rsidR="00826E0F" w:rsidRPr="00DE100C" w:rsidRDefault="00826E0F" w:rsidP="00DE100C">
            <w:pPr>
              <w:pStyle w:val="SingleTxt"/>
              <w:tabs>
                <w:tab w:val="left" w:pos="288"/>
                <w:tab w:val="left" w:pos="576"/>
                <w:tab w:val="left" w:pos="864"/>
                <w:tab w:val="left" w:pos="1152"/>
              </w:tabs>
              <w:suppressAutoHyphens/>
              <w:spacing w:before="40" w:after="40" w:line="210" w:lineRule="exact"/>
              <w:ind w:left="0" w:right="43"/>
              <w:jc w:val="right"/>
              <w:rPr>
                <w:sz w:val="17"/>
                <w:lang w:val="fr-FR"/>
              </w:rPr>
            </w:pPr>
            <w:r w:rsidRPr="00DE100C">
              <w:rPr>
                <w:sz w:val="17"/>
                <w:lang w:val="fr-FR"/>
              </w:rPr>
              <w:t>17</w:t>
            </w:r>
          </w:p>
        </w:tc>
        <w:tc>
          <w:tcPr>
            <w:tcW w:w="3130" w:type="dxa"/>
            <w:shd w:val="clear" w:color="auto" w:fill="auto"/>
            <w:vAlign w:val="bottom"/>
          </w:tcPr>
          <w:p w:rsidR="00826E0F" w:rsidRPr="00DE100C" w:rsidRDefault="00826E0F" w:rsidP="00DE100C">
            <w:pPr>
              <w:pStyle w:val="SingleTxt"/>
              <w:tabs>
                <w:tab w:val="left" w:pos="288"/>
                <w:tab w:val="left" w:pos="576"/>
                <w:tab w:val="left" w:pos="864"/>
                <w:tab w:val="left" w:pos="1152"/>
              </w:tabs>
              <w:suppressAutoHyphens/>
              <w:spacing w:before="40" w:after="40" w:line="210" w:lineRule="exact"/>
              <w:ind w:left="0" w:right="43"/>
              <w:jc w:val="right"/>
              <w:rPr>
                <w:sz w:val="17"/>
                <w:lang w:val="fr-FR"/>
              </w:rPr>
            </w:pPr>
            <w:r w:rsidRPr="00DE100C">
              <w:rPr>
                <w:sz w:val="17"/>
                <w:lang w:val="fr-FR"/>
              </w:rPr>
              <w:t>9</w:t>
            </w:r>
          </w:p>
        </w:tc>
      </w:tr>
      <w:tr w:rsidR="00826E0F" w:rsidRPr="00DE100C" w:rsidTr="00DE100C">
        <w:tc>
          <w:tcPr>
            <w:tcW w:w="977" w:type="dxa"/>
            <w:shd w:val="clear" w:color="auto" w:fill="auto"/>
            <w:vAlign w:val="bottom"/>
          </w:tcPr>
          <w:p w:rsidR="00826E0F" w:rsidRPr="00DE100C" w:rsidRDefault="00826E0F" w:rsidP="00DE100C">
            <w:pPr>
              <w:pStyle w:val="SingleTxt"/>
              <w:tabs>
                <w:tab w:val="left" w:pos="288"/>
                <w:tab w:val="left" w:pos="576"/>
                <w:tab w:val="left" w:pos="864"/>
                <w:tab w:val="left" w:pos="1152"/>
              </w:tabs>
              <w:suppressAutoHyphens/>
              <w:spacing w:before="40" w:after="40" w:line="210" w:lineRule="exact"/>
              <w:ind w:left="0" w:right="43"/>
              <w:rPr>
                <w:sz w:val="17"/>
                <w:lang w:val="fr-FR"/>
              </w:rPr>
            </w:pPr>
            <w:r w:rsidRPr="00DE100C">
              <w:rPr>
                <w:sz w:val="17"/>
                <w:lang w:val="fr-FR"/>
              </w:rPr>
              <w:t>2003</w:t>
            </w:r>
          </w:p>
        </w:tc>
        <w:tc>
          <w:tcPr>
            <w:tcW w:w="3130" w:type="dxa"/>
            <w:shd w:val="clear" w:color="auto" w:fill="auto"/>
            <w:vAlign w:val="bottom"/>
          </w:tcPr>
          <w:p w:rsidR="00826E0F" w:rsidRPr="00DE100C" w:rsidRDefault="00826E0F" w:rsidP="00DE100C">
            <w:pPr>
              <w:pStyle w:val="SingleTxt"/>
              <w:tabs>
                <w:tab w:val="left" w:pos="288"/>
                <w:tab w:val="left" w:pos="576"/>
                <w:tab w:val="left" w:pos="864"/>
                <w:tab w:val="left" w:pos="1152"/>
              </w:tabs>
              <w:suppressAutoHyphens/>
              <w:spacing w:before="40" w:after="40" w:line="210" w:lineRule="exact"/>
              <w:ind w:left="0" w:right="43"/>
              <w:jc w:val="right"/>
              <w:rPr>
                <w:sz w:val="17"/>
                <w:lang w:val="fr-FR"/>
              </w:rPr>
            </w:pPr>
            <w:r w:rsidRPr="00DE100C">
              <w:rPr>
                <w:sz w:val="17"/>
                <w:lang w:val="fr-FR"/>
              </w:rPr>
              <w:t>13</w:t>
            </w:r>
          </w:p>
        </w:tc>
        <w:tc>
          <w:tcPr>
            <w:tcW w:w="3130" w:type="dxa"/>
            <w:shd w:val="clear" w:color="auto" w:fill="auto"/>
            <w:vAlign w:val="bottom"/>
          </w:tcPr>
          <w:p w:rsidR="00826E0F" w:rsidRPr="00DE100C" w:rsidRDefault="00826E0F" w:rsidP="00DE100C">
            <w:pPr>
              <w:pStyle w:val="SingleTxt"/>
              <w:tabs>
                <w:tab w:val="left" w:pos="288"/>
                <w:tab w:val="left" w:pos="576"/>
                <w:tab w:val="left" w:pos="864"/>
                <w:tab w:val="left" w:pos="1152"/>
              </w:tabs>
              <w:suppressAutoHyphens/>
              <w:spacing w:before="40" w:after="40" w:line="210" w:lineRule="exact"/>
              <w:ind w:left="0" w:right="43"/>
              <w:jc w:val="right"/>
              <w:rPr>
                <w:sz w:val="17"/>
                <w:lang w:val="fr-FR"/>
              </w:rPr>
            </w:pPr>
            <w:r w:rsidRPr="00DE100C">
              <w:rPr>
                <w:sz w:val="17"/>
                <w:lang w:val="fr-FR"/>
              </w:rPr>
              <w:t>6</w:t>
            </w:r>
          </w:p>
        </w:tc>
      </w:tr>
      <w:tr w:rsidR="00826E0F" w:rsidRPr="00DE100C" w:rsidTr="00DE100C">
        <w:tc>
          <w:tcPr>
            <w:tcW w:w="977" w:type="dxa"/>
            <w:shd w:val="clear" w:color="auto" w:fill="auto"/>
            <w:vAlign w:val="bottom"/>
          </w:tcPr>
          <w:p w:rsidR="00826E0F" w:rsidRPr="00DE100C" w:rsidRDefault="00826E0F" w:rsidP="00DE100C">
            <w:pPr>
              <w:pStyle w:val="SingleTxt"/>
              <w:tabs>
                <w:tab w:val="left" w:pos="288"/>
                <w:tab w:val="left" w:pos="576"/>
                <w:tab w:val="left" w:pos="864"/>
                <w:tab w:val="left" w:pos="1152"/>
              </w:tabs>
              <w:suppressAutoHyphens/>
              <w:spacing w:before="40" w:after="40" w:line="210" w:lineRule="exact"/>
              <w:ind w:left="0" w:right="43"/>
              <w:rPr>
                <w:sz w:val="17"/>
                <w:lang w:val="fr-FR"/>
              </w:rPr>
            </w:pPr>
            <w:r w:rsidRPr="00DE100C">
              <w:rPr>
                <w:sz w:val="17"/>
                <w:lang w:val="fr-FR"/>
              </w:rPr>
              <w:t>2004</w:t>
            </w:r>
          </w:p>
        </w:tc>
        <w:tc>
          <w:tcPr>
            <w:tcW w:w="3130" w:type="dxa"/>
            <w:shd w:val="clear" w:color="auto" w:fill="auto"/>
            <w:vAlign w:val="bottom"/>
          </w:tcPr>
          <w:p w:rsidR="00826E0F" w:rsidRPr="00DE100C" w:rsidRDefault="00826E0F" w:rsidP="00DE100C">
            <w:pPr>
              <w:pStyle w:val="SingleTxt"/>
              <w:tabs>
                <w:tab w:val="left" w:pos="288"/>
                <w:tab w:val="left" w:pos="576"/>
                <w:tab w:val="left" w:pos="864"/>
                <w:tab w:val="left" w:pos="1152"/>
              </w:tabs>
              <w:suppressAutoHyphens/>
              <w:spacing w:before="40" w:after="40" w:line="210" w:lineRule="exact"/>
              <w:ind w:left="0" w:right="43"/>
              <w:jc w:val="right"/>
              <w:rPr>
                <w:sz w:val="17"/>
                <w:lang w:val="fr-FR"/>
              </w:rPr>
            </w:pPr>
            <w:r w:rsidRPr="00DE100C">
              <w:rPr>
                <w:sz w:val="17"/>
                <w:lang w:val="fr-FR"/>
              </w:rPr>
              <w:t>12</w:t>
            </w:r>
          </w:p>
        </w:tc>
        <w:tc>
          <w:tcPr>
            <w:tcW w:w="3130" w:type="dxa"/>
            <w:shd w:val="clear" w:color="auto" w:fill="auto"/>
            <w:vAlign w:val="bottom"/>
          </w:tcPr>
          <w:p w:rsidR="00826E0F" w:rsidRPr="00DE100C" w:rsidRDefault="00826E0F" w:rsidP="00DE100C">
            <w:pPr>
              <w:pStyle w:val="SingleTxt"/>
              <w:tabs>
                <w:tab w:val="left" w:pos="288"/>
                <w:tab w:val="left" w:pos="576"/>
                <w:tab w:val="left" w:pos="864"/>
                <w:tab w:val="left" w:pos="1152"/>
              </w:tabs>
              <w:suppressAutoHyphens/>
              <w:spacing w:before="40" w:after="40" w:line="210" w:lineRule="exact"/>
              <w:ind w:left="0" w:right="43"/>
              <w:jc w:val="right"/>
              <w:rPr>
                <w:sz w:val="17"/>
                <w:lang w:val="fr-FR"/>
              </w:rPr>
            </w:pPr>
            <w:r w:rsidRPr="00DE100C">
              <w:rPr>
                <w:sz w:val="17"/>
                <w:lang w:val="fr-FR"/>
              </w:rPr>
              <w:t>9</w:t>
            </w:r>
          </w:p>
        </w:tc>
      </w:tr>
      <w:tr w:rsidR="00826E0F" w:rsidRPr="00DE100C" w:rsidTr="00DE100C">
        <w:tc>
          <w:tcPr>
            <w:tcW w:w="977" w:type="dxa"/>
            <w:shd w:val="clear" w:color="auto" w:fill="auto"/>
            <w:vAlign w:val="bottom"/>
          </w:tcPr>
          <w:p w:rsidR="00826E0F" w:rsidRPr="00DE100C" w:rsidRDefault="00826E0F" w:rsidP="00DE100C">
            <w:pPr>
              <w:pStyle w:val="SingleTxt"/>
              <w:tabs>
                <w:tab w:val="left" w:pos="288"/>
                <w:tab w:val="left" w:pos="576"/>
                <w:tab w:val="left" w:pos="864"/>
                <w:tab w:val="left" w:pos="1152"/>
              </w:tabs>
              <w:suppressAutoHyphens/>
              <w:spacing w:before="40" w:after="40" w:line="210" w:lineRule="exact"/>
              <w:ind w:left="0" w:right="43"/>
              <w:rPr>
                <w:sz w:val="17"/>
                <w:lang w:val="fr-FR"/>
              </w:rPr>
            </w:pPr>
            <w:r w:rsidRPr="00DE100C">
              <w:rPr>
                <w:sz w:val="17"/>
                <w:lang w:val="fr-FR"/>
              </w:rPr>
              <w:t>2005</w:t>
            </w:r>
          </w:p>
        </w:tc>
        <w:tc>
          <w:tcPr>
            <w:tcW w:w="3130" w:type="dxa"/>
            <w:shd w:val="clear" w:color="auto" w:fill="auto"/>
            <w:vAlign w:val="bottom"/>
          </w:tcPr>
          <w:p w:rsidR="00826E0F" w:rsidRPr="00DE100C" w:rsidRDefault="00826E0F" w:rsidP="00DE100C">
            <w:pPr>
              <w:pStyle w:val="SingleTxt"/>
              <w:tabs>
                <w:tab w:val="left" w:pos="288"/>
                <w:tab w:val="left" w:pos="576"/>
                <w:tab w:val="left" w:pos="864"/>
                <w:tab w:val="left" w:pos="1152"/>
              </w:tabs>
              <w:suppressAutoHyphens/>
              <w:spacing w:before="40" w:after="40" w:line="210" w:lineRule="exact"/>
              <w:ind w:left="0" w:right="43"/>
              <w:jc w:val="right"/>
              <w:rPr>
                <w:sz w:val="17"/>
                <w:lang w:val="fr-FR"/>
              </w:rPr>
            </w:pPr>
            <w:r w:rsidRPr="00DE100C">
              <w:rPr>
                <w:sz w:val="17"/>
                <w:lang w:val="fr-FR"/>
              </w:rPr>
              <w:t>9</w:t>
            </w:r>
          </w:p>
        </w:tc>
        <w:tc>
          <w:tcPr>
            <w:tcW w:w="3130" w:type="dxa"/>
            <w:shd w:val="clear" w:color="auto" w:fill="auto"/>
            <w:vAlign w:val="bottom"/>
          </w:tcPr>
          <w:p w:rsidR="00826E0F" w:rsidRPr="00DE100C" w:rsidRDefault="00826E0F" w:rsidP="00DE100C">
            <w:pPr>
              <w:pStyle w:val="SingleTxt"/>
              <w:tabs>
                <w:tab w:val="left" w:pos="288"/>
                <w:tab w:val="left" w:pos="576"/>
                <w:tab w:val="left" w:pos="864"/>
                <w:tab w:val="left" w:pos="1152"/>
              </w:tabs>
              <w:suppressAutoHyphens/>
              <w:spacing w:before="40" w:after="40" w:line="210" w:lineRule="exact"/>
              <w:ind w:left="0" w:right="43"/>
              <w:jc w:val="right"/>
              <w:rPr>
                <w:sz w:val="17"/>
                <w:lang w:val="fr-FR"/>
              </w:rPr>
            </w:pPr>
            <w:r w:rsidRPr="00DE100C">
              <w:rPr>
                <w:sz w:val="17"/>
                <w:lang w:val="fr-FR"/>
              </w:rPr>
              <w:t>8</w:t>
            </w:r>
          </w:p>
        </w:tc>
      </w:tr>
      <w:tr w:rsidR="00826E0F" w:rsidRPr="00DE100C" w:rsidTr="00DE100C">
        <w:tc>
          <w:tcPr>
            <w:tcW w:w="977" w:type="dxa"/>
            <w:shd w:val="clear" w:color="auto" w:fill="auto"/>
            <w:vAlign w:val="bottom"/>
          </w:tcPr>
          <w:p w:rsidR="00826E0F" w:rsidRPr="00DE100C" w:rsidRDefault="00826E0F" w:rsidP="00DE100C">
            <w:pPr>
              <w:pStyle w:val="SingleTxt"/>
              <w:tabs>
                <w:tab w:val="left" w:pos="288"/>
                <w:tab w:val="left" w:pos="576"/>
                <w:tab w:val="left" w:pos="864"/>
                <w:tab w:val="left" w:pos="1152"/>
              </w:tabs>
              <w:suppressAutoHyphens/>
              <w:spacing w:before="40" w:after="40" w:line="210" w:lineRule="exact"/>
              <w:ind w:left="0" w:right="43"/>
              <w:rPr>
                <w:sz w:val="17"/>
                <w:lang w:val="fr-FR"/>
              </w:rPr>
            </w:pPr>
            <w:r w:rsidRPr="00DE100C">
              <w:rPr>
                <w:sz w:val="17"/>
                <w:lang w:val="fr-FR"/>
              </w:rPr>
              <w:t>2006</w:t>
            </w:r>
          </w:p>
        </w:tc>
        <w:tc>
          <w:tcPr>
            <w:tcW w:w="3130" w:type="dxa"/>
            <w:shd w:val="clear" w:color="auto" w:fill="auto"/>
            <w:vAlign w:val="bottom"/>
          </w:tcPr>
          <w:p w:rsidR="00826E0F" w:rsidRPr="00DE100C" w:rsidRDefault="00826E0F" w:rsidP="00DE100C">
            <w:pPr>
              <w:pStyle w:val="SingleTxt"/>
              <w:tabs>
                <w:tab w:val="left" w:pos="288"/>
                <w:tab w:val="left" w:pos="576"/>
                <w:tab w:val="left" w:pos="864"/>
                <w:tab w:val="left" w:pos="1152"/>
              </w:tabs>
              <w:suppressAutoHyphens/>
              <w:spacing w:before="40" w:after="40" w:line="210" w:lineRule="exact"/>
              <w:ind w:left="0" w:right="43"/>
              <w:jc w:val="right"/>
              <w:rPr>
                <w:sz w:val="17"/>
                <w:lang w:val="fr-FR"/>
              </w:rPr>
            </w:pPr>
            <w:r w:rsidRPr="00DE100C">
              <w:rPr>
                <w:sz w:val="17"/>
                <w:lang w:val="fr-FR"/>
              </w:rPr>
              <w:t>15</w:t>
            </w:r>
          </w:p>
        </w:tc>
        <w:tc>
          <w:tcPr>
            <w:tcW w:w="3130" w:type="dxa"/>
            <w:shd w:val="clear" w:color="auto" w:fill="auto"/>
            <w:vAlign w:val="bottom"/>
          </w:tcPr>
          <w:p w:rsidR="00826E0F" w:rsidRPr="00DE100C" w:rsidRDefault="00826E0F" w:rsidP="00DE100C">
            <w:pPr>
              <w:pStyle w:val="SingleTxt"/>
              <w:tabs>
                <w:tab w:val="left" w:pos="288"/>
                <w:tab w:val="left" w:pos="576"/>
                <w:tab w:val="left" w:pos="864"/>
                <w:tab w:val="left" w:pos="1152"/>
              </w:tabs>
              <w:suppressAutoHyphens/>
              <w:spacing w:before="40" w:after="40" w:line="210" w:lineRule="exact"/>
              <w:ind w:left="0" w:right="43"/>
              <w:jc w:val="right"/>
              <w:rPr>
                <w:sz w:val="17"/>
                <w:lang w:val="fr-FR"/>
              </w:rPr>
            </w:pPr>
            <w:r w:rsidRPr="00DE100C">
              <w:rPr>
                <w:sz w:val="17"/>
                <w:lang w:val="fr-FR"/>
              </w:rPr>
              <w:t>11</w:t>
            </w:r>
          </w:p>
        </w:tc>
      </w:tr>
      <w:tr w:rsidR="00826E0F" w:rsidRPr="00DE100C" w:rsidTr="00DE100C">
        <w:tc>
          <w:tcPr>
            <w:tcW w:w="977" w:type="dxa"/>
            <w:shd w:val="clear" w:color="auto" w:fill="auto"/>
            <w:vAlign w:val="bottom"/>
          </w:tcPr>
          <w:p w:rsidR="00826E0F" w:rsidRPr="00DE100C" w:rsidRDefault="00826E0F" w:rsidP="00DE100C">
            <w:pPr>
              <w:pStyle w:val="SingleTxt"/>
              <w:tabs>
                <w:tab w:val="left" w:pos="288"/>
                <w:tab w:val="left" w:pos="576"/>
                <w:tab w:val="left" w:pos="864"/>
                <w:tab w:val="left" w:pos="1152"/>
              </w:tabs>
              <w:suppressAutoHyphens/>
              <w:spacing w:before="40" w:after="40" w:line="210" w:lineRule="exact"/>
              <w:ind w:left="0" w:right="43"/>
              <w:rPr>
                <w:sz w:val="17"/>
                <w:lang w:val="fr-FR"/>
              </w:rPr>
            </w:pPr>
            <w:r w:rsidRPr="00DE100C">
              <w:rPr>
                <w:sz w:val="17"/>
                <w:lang w:val="fr-FR"/>
              </w:rPr>
              <w:t>2007</w:t>
            </w:r>
          </w:p>
        </w:tc>
        <w:tc>
          <w:tcPr>
            <w:tcW w:w="3130" w:type="dxa"/>
            <w:shd w:val="clear" w:color="auto" w:fill="auto"/>
            <w:vAlign w:val="bottom"/>
          </w:tcPr>
          <w:p w:rsidR="00826E0F" w:rsidRPr="00DE100C" w:rsidRDefault="00826E0F" w:rsidP="00DE100C">
            <w:pPr>
              <w:pStyle w:val="SingleTxt"/>
              <w:tabs>
                <w:tab w:val="left" w:pos="288"/>
                <w:tab w:val="left" w:pos="576"/>
                <w:tab w:val="left" w:pos="864"/>
                <w:tab w:val="left" w:pos="1152"/>
              </w:tabs>
              <w:suppressAutoHyphens/>
              <w:spacing w:before="40" w:after="40" w:line="210" w:lineRule="exact"/>
              <w:ind w:left="0" w:right="43"/>
              <w:jc w:val="right"/>
              <w:rPr>
                <w:sz w:val="17"/>
                <w:lang w:val="fr-FR"/>
              </w:rPr>
            </w:pPr>
            <w:r w:rsidRPr="00DE100C">
              <w:rPr>
                <w:sz w:val="17"/>
                <w:lang w:val="fr-FR"/>
              </w:rPr>
              <w:t>17</w:t>
            </w:r>
          </w:p>
        </w:tc>
        <w:tc>
          <w:tcPr>
            <w:tcW w:w="3130" w:type="dxa"/>
            <w:shd w:val="clear" w:color="auto" w:fill="auto"/>
            <w:vAlign w:val="bottom"/>
          </w:tcPr>
          <w:p w:rsidR="00826E0F" w:rsidRPr="00DE100C" w:rsidRDefault="00826E0F" w:rsidP="00DE100C">
            <w:pPr>
              <w:pStyle w:val="SingleTxt"/>
              <w:tabs>
                <w:tab w:val="left" w:pos="288"/>
                <w:tab w:val="left" w:pos="576"/>
                <w:tab w:val="left" w:pos="864"/>
                <w:tab w:val="left" w:pos="1152"/>
              </w:tabs>
              <w:suppressAutoHyphens/>
              <w:spacing w:before="40" w:after="40" w:line="210" w:lineRule="exact"/>
              <w:ind w:left="0" w:right="43"/>
              <w:jc w:val="right"/>
              <w:rPr>
                <w:sz w:val="17"/>
                <w:lang w:val="fr-FR"/>
              </w:rPr>
            </w:pPr>
            <w:r w:rsidRPr="00DE100C">
              <w:rPr>
                <w:sz w:val="17"/>
                <w:lang w:val="fr-FR"/>
              </w:rPr>
              <w:t>13</w:t>
            </w:r>
          </w:p>
        </w:tc>
      </w:tr>
      <w:tr w:rsidR="00826E0F" w:rsidRPr="00DE100C" w:rsidTr="00DE100C">
        <w:tc>
          <w:tcPr>
            <w:tcW w:w="977" w:type="dxa"/>
            <w:tcBorders>
              <w:bottom w:val="single" w:sz="12" w:space="0" w:color="auto"/>
            </w:tcBorders>
            <w:shd w:val="clear" w:color="auto" w:fill="auto"/>
            <w:vAlign w:val="bottom"/>
          </w:tcPr>
          <w:p w:rsidR="00826E0F" w:rsidRPr="00DE100C" w:rsidRDefault="00826E0F" w:rsidP="00DE100C">
            <w:pPr>
              <w:pStyle w:val="SingleTxt"/>
              <w:tabs>
                <w:tab w:val="left" w:pos="288"/>
                <w:tab w:val="left" w:pos="576"/>
                <w:tab w:val="left" w:pos="864"/>
                <w:tab w:val="left" w:pos="1152"/>
              </w:tabs>
              <w:suppressAutoHyphens/>
              <w:spacing w:before="40" w:after="40" w:line="210" w:lineRule="exact"/>
              <w:ind w:left="0" w:right="43"/>
              <w:rPr>
                <w:sz w:val="17"/>
                <w:lang w:val="fr-FR"/>
              </w:rPr>
            </w:pPr>
            <w:r w:rsidRPr="00DE100C">
              <w:rPr>
                <w:sz w:val="17"/>
                <w:lang w:val="fr-FR"/>
              </w:rPr>
              <w:t>2008</w:t>
            </w:r>
          </w:p>
        </w:tc>
        <w:tc>
          <w:tcPr>
            <w:tcW w:w="3130" w:type="dxa"/>
            <w:tcBorders>
              <w:bottom w:val="single" w:sz="12" w:space="0" w:color="auto"/>
            </w:tcBorders>
            <w:shd w:val="clear" w:color="auto" w:fill="auto"/>
            <w:vAlign w:val="bottom"/>
          </w:tcPr>
          <w:p w:rsidR="00826E0F" w:rsidRPr="00DE100C" w:rsidRDefault="00826E0F" w:rsidP="00DE100C">
            <w:pPr>
              <w:pStyle w:val="SingleTxt"/>
              <w:tabs>
                <w:tab w:val="left" w:pos="288"/>
                <w:tab w:val="left" w:pos="576"/>
                <w:tab w:val="left" w:pos="864"/>
                <w:tab w:val="left" w:pos="1152"/>
              </w:tabs>
              <w:suppressAutoHyphens/>
              <w:spacing w:before="40" w:after="40" w:line="210" w:lineRule="exact"/>
              <w:ind w:left="0" w:right="43"/>
              <w:jc w:val="right"/>
              <w:rPr>
                <w:sz w:val="17"/>
                <w:lang w:val="fr-FR"/>
              </w:rPr>
            </w:pPr>
            <w:r w:rsidRPr="00DE100C">
              <w:rPr>
                <w:sz w:val="17"/>
                <w:lang w:val="fr-FR"/>
              </w:rPr>
              <w:t>13</w:t>
            </w:r>
          </w:p>
        </w:tc>
        <w:tc>
          <w:tcPr>
            <w:tcW w:w="3130" w:type="dxa"/>
            <w:tcBorders>
              <w:bottom w:val="single" w:sz="12" w:space="0" w:color="auto"/>
            </w:tcBorders>
            <w:shd w:val="clear" w:color="auto" w:fill="auto"/>
            <w:vAlign w:val="bottom"/>
          </w:tcPr>
          <w:p w:rsidR="00826E0F" w:rsidRPr="00DE100C" w:rsidRDefault="00826E0F" w:rsidP="00DE100C">
            <w:pPr>
              <w:pStyle w:val="SingleTxt"/>
              <w:tabs>
                <w:tab w:val="left" w:pos="288"/>
                <w:tab w:val="left" w:pos="576"/>
                <w:tab w:val="left" w:pos="864"/>
                <w:tab w:val="left" w:pos="1152"/>
              </w:tabs>
              <w:suppressAutoHyphens/>
              <w:spacing w:before="40" w:after="40" w:line="210" w:lineRule="exact"/>
              <w:ind w:left="0" w:right="43"/>
              <w:jc w:val="right"/>
              <w:rPr>
                <w:sz w:val="17"/>
                <w:lang w:val="fr-FR"/>
              </w:rPr>
            </w:pPr>
            <w:r w:rsidRPr="00DE100C">
              <w:rPr>
                <w:sz w:val="17"/>
                <w:lang w:val="fr-FR"/>
              </w:rPr>
              <w:t>6</w:t>
            </w:r>
          </w:p>
        </w:tc>
      </w:tr>
    </w:tbl>
    <w:p w:rsidR="00DE100C" w:rsidRPr="00DE100C" w:rsidRDefault="00DE100C" w:rsidP="00DE100C">
      <w:pPr>
        <w:pStyle w:val="SingleTxt"/>
        <w:spacing w:after="0" w:line="120" w:lineRule="exact"/>
        <w:rPr>
          <w:i/>
          <w:sz w:val="10"/>
          <w:lang w:val="fr-FR"/>
        </w:rPr>
      </w:pPr>
    </w:p>
    <w:p w:rsidR="00826E0F" w:rsidRPr="00872599" w:rsidRDefault="00826E0F" w:rsidP="00497599">
      <w:pPr>
        <w:pStyle w:val="SingleTxt"/>
        <w:rPr>
          <w:lang w:val="fr-FR"/>
        </w:rPr>
      </w:pPr>
      <w:r w:rsidRPr="00DE100C">
        <w:rPr>
          <w:i/>
          <w:lang w:val="fr-FR"/>
        </w:rPr>
        <w:t>Source</w:t>
      </w:r>
      <w:r w:rsidR="006645B6">
        <w:rPr>
          <w:i/>
          <w:lang w:val="fr-FR"/>
        </w:rPr>
        <w:t> :</w:t>
      </w:r>
      <w:r w:rsidRPr="00872599">
        <w:rPr>
          <w:lang w:val="fr-FR"/>
        </w:rPr>
        <w:t xml:space="preserve"> Rapports annuels du centre d</w:t>
      </w:r>
      <w:r w:rsidR="006645B6">
        <w:rPr>
          <w:lang w:val="fr-FR"/>
        </w:rPr>
        <w:t>’</w:t>
      </w:r>
      <w:r w:rsidRPr="00872599">
        <w:rPr>
          <w:lang w:val="fr-FR"/>
        </w:rPr>
        <w:t>accueil des femmes, 2001 à 2008.</w:t>
      </w:r>
    </w:p>
    <w:p w:rsidR="00DE100C" w:rsidRPr="00DE100C" w:rsidRDefault="00DE100C" w:rsidP="00DE100C">
      <w:pPr>
        <w:pStyle w:val="SingleTxt"/>
        <w:spacing w:after="0" w:line="120" w:lineRule="exact"/>
        <w:rPr>
          <w:b/>
          <w:sz w:val="10"/>
          <w:lang w:val="fr-FR"/>
        </w:rPr>
      </w:pPr>
    </w:p>
    <w:p w:rsidR="00826E0F" w:rsidRPr="00872599" w:rsidRDefault="00DE100C" w:rsidP="00DE100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826E0F" w:rsidRPr="00872599">
        <w:rPr>
          <w:lang w:val="fr-FR"/>
        </w:rPr>
        <w:t xml:space="preserve">Formation du personnel de police </w:t>
      </w:r>
    </w:p>
    <w:p w:rsidR="00DE100C" w:rsidRPr="00DE100C" w:rsidRDefault="00DE100C" w:rsidP="00DE100C">
      <w:pPr>
        <w:pStyle w:val="SingleTxt"/>
        <w:spacing w:after="0" w:line="120" w:lineRule="exact"/>
        <w:rPr>
          <w:sz w:val="10"/>
          <w:lang w:val="fr-FR"/>
        </w:rPr>
      </w:pPr>
    </w:p>
    <w:p w:rsidR="00826E0F" w:rsidRPr="00872599" w:rsidRDefault="00DE100C" w:rsidP="00497599">
      <w:pPr>
        <w:pStyle w:val="SingleTxt"/>
        <w:rPr>
          <w:lang w:val="fr-FR"/>
        </w:rPr>
      </w:pPr>
      <w:r>
        <w:rPr>
          <w:lang w:val="fr-FR"/>
        </w:rPr>
        <w:tab/>
      </w:r>
      <w:r w:rsidR="00826E0F" w:rsidRPr="00872599">
        <w:rPr>
          <w:lang w:val="fr-FR"/>
        </w:rPr>
        <w:t>L</w:t>
      </w:r>
      <w:r w:rsidR="006645B6">
        <w:rPr>
          <w:lang w:val="fr-FR"/>
        </w:rPr>
        <w:t>’</w:t>
      </w:r>
      <w:r w:rsidR="00826E0F" w:rsidRPr="00872599">
        <w:rPr>
          <w:lang w:val="fr-FR"/>
        </w:rPr>
        <w:t>application de la loi sur la protection contre la violence exigeant beaucoup l</w:t>
      </w:r>
      <w:r w:rsidR="006645B6">
        <w:rPr>
          <w:lang w:val="fr-FR"/>
        </w:rPr>
        <w:t>’</w:t>
      </w:r>
      <w:r w:rsidR="00826E0F" w:rsidRPr="00872599">
        <w:rPr>
          <w:lang w:val="fr-FR"/>
        </w:rPr>
        <w:t>intervention de la police nationale, tous les nouveaux agents stagiaires de l</w:t>
      </w:r>
      <w:r w:rsidR="006645B6">
        <w:rPr>
          <w:lang w:val="fr-FR"/>
        </w:rPr>
        <w:t>’</w:t>
      </w:r>
      <w:r w:rsidR="00826E0F" w:rsidRPr="00872599">
        <w:rPr>
          <w:lang w:val="fr-FR"/>
        </w:rPr>
        <w:t>académie de police reçoivent une formation dans le domaine de la violence intrafamiliale. Cette question figure également parmi les sujets d</w:t>
      </w:r>
      <w:r w:rsidR="006645B6">
        <w:rPr>
          <w:lang w:val="fr-FR"/>
        </w:rPr>
        <w:t>’</w:t>
      </w:r>
      <w:r w:rsidR="00826E0F" w:rsidRPr="00872599">
        <w:rPr>
          <w:lang w:val="fr-FR"/>
        </w:rPr>
        <w:t>examen des candidats à la police.</w:t>
      </w:r>
    </w:p>
    <w:p w:rsidR="00DE100C" w:rsidRPr="00DE100C" w:rsidRDefault="00DE100C" w:rsidP="00DE100C">
      <w:pPr>
        <w:pStyle w:val="SingleTxt"/>
        <w:spacing w:after="0" w:line="120" w:lineRule="exact"/>
        <w:rPr>
          <w:i/>
          <w:sz w:val="10"/>
          <w:lang w:val="fr-FR"/>
        </w:rPr>
      </w:pPr>
    </w:p>
    <w:p w:rsidR="00826E0F" w:rsidRPr="00872599" w:rsidRDefault="00DE100C" w:rsidP="00DE100C">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00826E0F" w:rsidRPr="00872599">
        <w:rPr>
          <w:lang w:val="fr-FR"/>
        </w:rPr>
        <w:t>b)</w:t>
      </w:r>
      <w:r w:rsidR="00826E0F" w:rsidRPr="00872599">
        <w:rPr>
          <w:lang w:val="fr-FR"/>
        </w:rPr>
        <w:tab/>
        <w:t>Violence sexuelle</w:t>
      </w:r>
    </w:p>
    <w:p w:rsidR="00DE100C" w:rsidRPr="00DE100C" w:rsidRDefault="00DE100C" w:rsidP="00DE100C">
      <w:pPr>
        <w:pStyle w:val="SingleTxt"/>
        <w:spacing w:after="0" w:line="120" w:lineRule="exact"/>
        <w:rPr>
          <w:i/>
          <w:sz w:val="10"/>
          <w:lang w:val="fr-FR"/>
        </w:rPr>
      </w:pPr>
    </w:p>
    <w:p w:rsidR="00826E0F" w:rsidRPr="00872599" w:rsidRDefault="00DE100C" w:rsidP="00497599">
      <w:pPr>
        <w:pStyle w:val="SingleTxt"/>
        <w:rPr>
          <w:lang w:val="fr-FR"/>
        </w:rPr>
      </w:pPr>
      <w:r>
        <w:rPr>
          <w:lang w:val="fr-FR"/>
        </w:rPr>
        <w:tab/>
      </w:r>
      <w:r w:rsidR="00826E0F" w:rsidRPr="00872599">
        <w:rPr>
          <w:lang w:val="fr-FR"/>
        </w:rPr>
        <w:t xml:space="preserve">En 2007 la police nationale a été saisie de 40 plaintes pour délits sexuels et en 2008 de 22. Cinq des plaintes déposées en 2008 concernaient des cas de viol et de contrainte sexuelle (paragraphes 200 et 201 du code pénal, StGB). Quatre autres plaintes sont en instance auprès du ministère public ou de </w:t>
      </w:r>
      <w:smartTag w:uri="urn:schemas-microsoft-com:office:smarttags" w:element="PersonName">
        <w:smartTagPr>
          <w:attr w:name="ProductID" w:val="la Cour"/>
        </w:smartTagPr>
        <w:r w:rsidR="00826E0F" w:rsidRPr="00872599">
          <w:rPr>
            <w:lang w:val="fr-FR"/>
          </w:rPr>
          <w:t>la Cour</w:t>
        </w:r>
      </w:smartTag>
      <w:r w:rsidR="00826E0F" w:rsidRPr="00872599">
        <w:rPr>
          <w:lang w:val="fr-FR"/>
        </w:rPr>
        <w:t xml:space="preserve"> de justice. En 2007,</w:t>
      </w:r>
      <w:r w:rsidR="00826E0F">
        <w:rPr>
          <w:lang w:val="fr-FR"/>
        </w:rPr>
        <w:t xml:space="preserve"> </w:t>
      </w:r>
      <w:r w:rsidR="00826E0F" w:rsidRPr="00872599">
        <w:rPr>
          <w:lang w:val="fr-FR"/>
        </w:rPr>
        <w:t>4 cas de viol ont été signalés à la police. Dans un cas, l</w:t>
      </w:r>
      <w:r w:rsidR="006645B6">
        <w:rPr>
          <w:lang w:val="fr-FR"/>
        </w:rPr>
        <w:t>’</w:t>
      </w:r>
      <w:r w:rsidR="00826E0F" w:rsidRPr="00872599">
        <w:rPr>
          <w:lang w:val="fr-FR"/>
        </w:rPr>
        <w:t xml:space="preserve">auteur a été condamné à une peine de prison. Dans le second, le procès a commencé en mai 2009. Dans les deux autres cas, la procédure a été suspendue faute de preuves. En 2007 et 2008, 2 et 6 plaintes respectivement pour harcèlement sexuel (paragraphe 203 StGB) et pour </w:t>
      </w:r>
      <w:r w:rsidR="00CC772D" w:rsidRPr="00872599">
        <w:rPr>
          <w:lang w:val="fr-FR"/>
        </w:rPr>
        <w:t>exhibitionnisme</w:t>
      </w:r>
      <w:r w:rsidR="00826E0F" w:rsidRPr="00872599">
        <w:rPr>
          <w:lang w:val="fr-FR"/>
        </w:rPr>
        <w:t xml:space="preserve"> (§ 218 StGB) ont été transmises par la police au ministère public. Aucune accusation n</w:t>
      </w:r>
      <w:r w:rsidR="006645B6">
        <w:rPr>
          <w:lang w:val="fr-FR"/>
        </w:rPr>
        <w:t>’</w:t>
      </w:r>
      <w:r w:rsidR="00826E0F" w:rsidRPr="00872599">
        <w:rPr>
          <w:lang w:val="fr-FR"/>
        </w:rPr>
        <w:t>a été dressée dans les deux affaires de 2007 faute de preuves. Deux des six affaires de 2008 ont abouti à des condamnations. Dans trois autres affaires l</w:t>
      </w:r>
      <w:r w:rsidR="006645B6">
        <w:rPr>
          <w:lang w:val="fr-FR"/>
        </w:rPr>
        <w:t>’</w:t>
      </w:r>
      <w:r w:rsidR="00826E0F" w:rsidRPr="00872599">
        <w:rPr>
          <w:lang w:val="fr-FR"/>
        </w:rPr>
        <w:t>enquête se poursuit. Dans une affaire le ministère public a dû prononcer un non-lieu car l</w:t>
      </w:r>
      <w:r w:rsidR="006645B6">
        <w:rPr>
          <w:lang w:val="fr-FR"/>
        </w:rPr>
        <w:t>’</w:t>
      </w:r>
      <w:r w:rsidR="00826E0F" w:rsidRPr="00872599">
        <w:rPr>
          <w:lang w:val="fr-FR"/>
        </w:rPr>
        <w:t>auteur du délit n</w:t>
      </w:r>
      <w:r w:rsidR="006645B6">
        <w:rPr>
          <w:lang w:val="fr-FR"/>
        </w:rPr>
        <w:t>’</w:t>
      </w:r>
      <w:r w:rsidR="00826E0F" w:rsidRPr="00872599">
        <w:rPr>
          <w:lang w:val="fr-FR"/>
        </w:rPr>
        <w:t>a pu être identifié. Par ailleurs en 2008, six délits sexuels contre des mineurs ont été signalés aux services du ministère public. En 2008 la police a formulé trois inculpations pénales pour pornographie (paragraphe 218a StGB) qui ont abouti à deux condamnations et à une suspension de la procédure. Il n</w:t>
      </w:r>
      <w:r w:rsidR="006645B6">
        <w:rPr>
          <w:lang w:val="fr-FR"/>
        </w:rPr>
        <w:t>’</w:t>
      </w:r>
      <w:r w:rsidR="00826E0F" w:rsidRPr="00872599">
        <w:rPr>
          <w:lang w:val="fr-FR"/>
        </w:rPr>
        <w:t>a été procédé à aucune mise en accusation ni arrestation pour prostitution en 2007 ni 2008.</w:t>
      </w:r>
    </w:p>
    <w:p w:rsidR="00826E0F" w:rsidRPr="00872599" w:rsidRDefault="00DE100C" w:rsidP="00DE100C">
      <w:pPr>
        <w:pStyle w:val="SingleTxt"/>
        <w:rPr>
          <w:lang w:val="fr-FR"/>
        </w:rPr>
      </w:pPr>
      <w:r>
        <w:rPr>
          <w:lang w:val="fr-FR"/>
        </w:rPr>
        <w:tab/>
      </w:r>
      <w:r w:rsidR="00826E0F" w:rsidRPr="00872599">
        <w:rPr>
          <w:lang w:val="fr-FR"/>
        </w:rPr>
        <w:t>Les mesures prises pour protéger les enfants contre les sévices sexuels ont été intensifiées ces dernières années. En 1999, un groupe interdisciplinaire d</w:t>
      </w:r>
      <w:r w:rsidR="006645B6">
        <w:rPr>
          <w:lang w:val="fr-FR"/>
        </w:rPr>
        <w:t>’</w:t>
      </w:r>
      <w:r w:rsidR="00826E0F" w:rsidRPr="00872599">
        <w:rPr>
          <w:lang w:val="fr-FR"/>
        </w:rPr>
        <w:t>experts a été créé dans le cadre de la lutte contre l</w:t>
      </w:r>
      <w:r w:rsidR="006645B6">
        <w:rPr>
          <w:lang w:val="fr-FR"/>
        </w:rPr>
        <w:t>’</w:t>
      </w:r>
      <w:r w:rsidR="00826E0F" w:rsidRPr="00872599">
        <w:rPr>
          <w:lang w:val="fr-FR"/>
        </w:rPr>
        <w:t>exploitation sexuelle des enfants et des jeunes pour apporter ses conseils aux experts et aux institutions. Ce groupe fait également office de point de contact pour les victimes</w:t>
      </w:r>
      <w:r w:rsidR="006645B6">
        <w:rPr>
          <w:lang w:val="fr-FR"/>
        </w:rPr>
        <w:t xml:space="preserve"> </w:t>
      </w:r>
      <w:r w:rsidR="00826E0F" w:rsidRPr="00872599">
        <w:rPr>
          <w:lang w:val="fr-FR"/>
        </w:rPr>
        <w:t>et leurs proches. En cas de soupçon, on peut faire appel à ce groupe pour engager les mesures nécessaires. Dans 12 affaires survenues en 2008, le groupe d</w:t>
      </w:r>
      <w:r w:rsidR="006645B6">
        <w:rPr>
          <w:lang w:val="fr-FR"/>
        </w:rPr>
        <w:t>’</w:t>
      </w:r>
      <w:r w:rsidR="00826E0F" w:rsidRPr="00872599">
        <w:rPr>
          <w:lang w:val="fr-FR"/>
        </w:rPr>
        <w:t>experts soit a donné des conseils soit a été informé de cas (suspectés) d</w:t>
      </w:r>
      <w:r w:rsidR="006645B6">
        <w:rPr>
          <w:lang w:val="fr-FR"/>
        </w:rPr>
        <w:t>’</w:t>
      </w:r>
      <w:r w:rsidR="00826E0F" w:rsidRPr="00872599">
        <w:rPr>
          <w:lang w:val="fr-FR"/>
        </w:rPr>
        <w:t>exploitation sexuelle d</w:t>
      </w:r>
      <w:r w:rsidR="006645B6">
        <w:rPr>
          <w:lang w:val="fr-FR"/>
        </w:rPr>
        <w:t>’</w:t>
      </w:r>
      <w:r w:rsidR="00826E0F" w:rsidRPr="00872599">
        <w:rPr>
          <w:lang w:val="fr-FR"/>
        </w:rPr>
        <w:t>enfant et de jeunes. La sensibilisation des enseignants du primaire a été une question importante en 2008 et a continué de l</w:t>
      </w:r>
      <w:r w:rsidR="006645B6">
        <w:rPr>
          <w:lang w:val="fr-FR"/>
        </w:rPr>
        <w:t>’</w:t>
      </w:r>
      <w:r w:rsidR="00826E0F" w:rsidRPr="00872599">
        <w:rPr>
          <w:lang w:val="fr-FR"/>
        </w:rPr>
        <w:t>être en 2009. Au début de 2009, le groupe d</w:t>
      </w:r>
      <w:r w:rsidR="006645B6">
        <w:rPr>
          <w:lang w:val="fr-FR"/>
        </w:rPr>
        <w:t>’</w:t>
      </w:r>
      <w:r w:rsidR="00826E0F" w:rsidRPr="00872599">
        <w:rPr>
          <w:lang w:val="fr-FR"/>
        </w:rPr>
        <w:t>experts a fait une présentation aux urgentistes, en fournissant notamment des informations sur d</w:t>
      </w:r>
      <w:r w:rsidR="006645B6">
        <w:rPr>
          <w:lang w:val="fr-FR"/>
        </w:rPr>
        <w:t>’</w:t>
      </w:r>
      <w:r w:rsidR="00826E0F" w:rsidRPr="00872599">
        <w:rPr>
          <w:lang w:val="fr-FR"/>
        </w:rPr>
        <w:t>importantes procédures à suivre en cas d</w:t>
      </w:r>
      <w:r w:rsidR="006645B6">
        <w:rPr>
          <w:lang w:val="fr-FR"/>
        </w:rPr>
        <w:t>’</w:t>
      </w:r>
      <w:r w:rsidR="00826E0F" w:rsidRPr="00872599">
        <w:rPr>
          <w:lang w:val="fr-FR"/>
        </w:rPr>
        <w:t>exploitation sexuelle des enfants. Dans le cadre de la campagne de prévention d</w:t>
      </w:r>
      <w:r w:rsidR="006645B6">
        <w:rPr>
          <w:lang w:val="fr-FR"/>
        </w:rPr>
        <w:t>’</w:t>
      </w:r>
      <w:r w:rsidR="00826E0F" w:rsidRPr="00872599">
        <w:rPr>
          <w:lang w:val="fr-FR"/>
        </w:rPr>
        <w:t>une durée de trois ans mené</w:t>
      </w:r>
      <w:r w:rsidR="00826E0F">
        <w:rPr>
          <w:lang w:val="fr-FR"/>
        </w:rPr>
        <w:t>e</w:t>
      </w:r>
      <w:r w:rsidR="00826E0F" w:rsidRPr="00872599">
        <w:rPr>
          <w:lang w:val="fr-FR"/>
        </w:rPr>
        <w:t xml:space="preserve"> par la police nationale </w:t>
      </w:r>
      <w:r w:rsidR="000E00B5">
        <w:rPr>
          <w:lang w:val="fr-FR"/>
        </w:rPr>
        <w:t>« </w:t>
      </w:r>
      <w:r w:rsidR="00826E0F" w:rsidRPr="00872599">
        <w:rPr>
          <w:lang w:val="fr-FR"/>
        </w:rPr>
        <w:t>Stop à la pornographie infantile sur l</w:t>
      </w:r>
      <w:r w:rsidR="006645B6">
        <w:rPr>
          <w:lang w:val="fr-FR"/>
        </w:rPr>
        <w:t>’</w:t>
      </w:r>
      <w:r w:rsidR="00826E0F" w:rsidRPr="00872599">
        <w:rPr>
          <w:lang w:val="fr-FR"/>
        </w:rPr>
        <w:t>Internet</w:t>
      </w:r>
      <w:r w:rsidR="006645B6">
        <w:rPr>
          <w:lang w:val="fr-FR"/>
        </w:rPr>
        <w:t> »</w:t>
      </w:r>
      <w:r w:rsidR="00826E0F" w:rsidRPr="00872599">
        <w:rPr>
          <w:lang w:val="fr-FR"/>
        </w:rPr>
        <w:t>, le groupe d</w:t>
      </w:r>
      <w:r w:rsidR="006645B6">
        <w:rPr>
          <w:lang w:val="fr-FR"/>
        </w:rPr>
        <w:t>’</w:t>
      </w:r>
      <w:r w:rsidR="00826E0F" w:rsidRPr="00872599">
        <w:rPr>
          <w:lang w:val="fr-FR"/>
        </w:rPr>
        <w:t>experts, en collaboration avec la police nationale, a organisé des rencontres d</w:t>
      </w:r>
      <w:r w:rsidR="006645B6">
        <w:rPr>
          <w:lang w:val="fr-FR"/>
        </w:rPr>
        <w:t>’</w:t>
      </w:r>
      <w:r w:rsidR="00826E0F" w:rsidRPr="00872599">
        <w:rPr>
          <w:lang w:val="fr-FR"/>
        </w:rPr>
        <w:t>information à l</w:t>
      </w:r>
      <w:r w:rsidR="006645B6">
        <w:rPr>
          <w:lang w:val="fr-FR"/>
        </w:rPr>
        <w:t>’</w:t>
      </w:r>
      <w:r w:rsidR="00826E0F" w:rsidRPr="00872599">
        <w:rPr>
          <w:lang w:val="fr-FR"/>
        </w:rPr>
        <w:t>intention des parents et des enseignants. Une rencontre particulière a été organisée à l</w:t>
      </w:r>
      <w:r w:rsidR="006645B6">
        <w:rPr>
          <w:lang w:val="fr-FR"/>
        </w:rPr>
        <w:t>’</w:t>
      </w:r>
      <w:r w:rsidR="00826E0F" w:rsidRPr="00872599">
        <w:rPr>
          <w:lang w:val="fr-FR"/>
        </w:rPr>
        <w:t>intention de parents turcs avec traduction dans cette langue. Depuis 2001, le groupe d</w:t>
      </w:r>
      <w:r w:rsidR="006645B6">
        <w:rPr>
          <w:lang w:val="fr-FR"/>
        </w:rPr>
        <w:t>’</w:t>
      </w:r>
      <w:r w:rsidR="00826E0F" w:rsidRPr="00872599">
        <w:rPr>
          <w:lang w:val="fr-FR"/>
        </w:rPr>
        <w:t>experts organise régulièrement des séances de formation permanente pour un large éventail d</w:t>
      </w:r>
      <w:r w:rsidR="006645B6">
        <w:rPr>
          <w:lang w:val="fr-FR"/>
        </w:rPr>
        <w:t>’</w:t>
      </w:r>
      <w:r w:rsidR="00826E0F" w:rsidRPr="00872599">
        <w:rPr>
          <w:lang w:val="fr-FR"/>
        </w:rPr>
        <w:t xml:space="preserve">experts. La séance de juin </w:t>
      </w:r>
      <w:smartTag w:uri="urn:schemas-microsoft-com:office:smarttags" w:element="metricconverter">
        <w:smartTagPr>
          <w:attr w:name="ProductID" w:val="2009 a"/>
        </w:smartTagPr>
        <w:r w:rsidR="00826E0F" w:rsidRPr="00872599">
          <w:rPr>
            <w:lang w:val="fr-FR"/>
          </w:rPr>
          <w:t>2009 a</w:t>
        </w:r>
      </w:smartTag>
      <w:r w:rsidR="00826E0F" w:rsidRPr="00872599">
        <w:rPr>
          <w:lang w:val="fr-FR"/>
        </w:rPr>
        <w:t xml:space="preserve"> porté sur la pornographie infantile car le groupe d</w:t>
      </w:r>
      <w:r w:rsidR="006645B6">
        <w:rPr>
          <w:lang w:val="fr-FR"/>
        </w:rPr>
        <w:t>’</w:t>
      </w:r>
      <w:r w:rsidR="00826E0F" w:rsidRPr="00872599">
        <w:rPr>
          <w:lang w:val="fr-FR"/>
        </w:rPr>
        <w:t>experts est de plus en plus amené à traiter d</w:t>
      </w:r>
      <w:r w:rsidR="006645B6">
        <w:rPr>
          <w:lang w:val="fr-FR"/>
        </w:rPr>
        <w:t>’</w:t>
      </w:r>
      <w:r w:rsidR="00826E0F" w:rsidRPr="00872599">
        <w:rPr>
          <w:lang w:val="fr-FR"/>
        </w:rPr>
        <w:t>affaires de ce type et de menaces sur l</w:t>
      </w:r>
      <w:r w:rsidR="006645B6">
        <w:rPr>
          <w:lang w:val="fr-FR"/>
        </w:rPr>
        <w:t>’</w:t>
      </w:r>
      <w:r w:rsidR="00826E0F" w:rsidRPr="00872599">
        <w:rPr>
          <w:lang w:val="fr-FR"/>
        </w:rPr>
        <w:t>Internet et dans les forums de discussion.</w:t>
      </w:r>
    </w:p>
    <w:p w:rsidR="00DE100C" w:rsidRPr="00DE100C" w:rsidRDefault="00DE100C" w:rsidP="00DE100C">
      <w:pPr>
        <w:pStyle w:val="SingleTxt"/>
        <w:spacing w:after="0" w:line="120" w:lineRule="exact"/>
        <w:rPr>
          <w:sz w:val="10"/>
          <w:lang w:val="fr-FR"/>
        </w:rPr>
      </w:pPr>
    </w:p>
    <w:p w:rsidR="00826E0F" w:rsidRPr="00872599" w:rsidRDefault="00DE100C" w:rsidP="00DE100C">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00826E0F" w:rsidRPr="00872599">
        <w:rPr>
          <w:lang w:val="fr-FR"/>
        </w:rPr>
        <w:t>c)</w:t>
      </w:r>
      <w:r w:rsidR="00826E0F" w:rsidRPr="00872599">
        <w:rPr>
          <w:lang w:val="fr-FR"/>
        </w:rPr>
        <w:tab/>
        <w:t>Prostitution et trafic des femmes</w:t>
      </w:r>
      <w:r>
        <w:rPr>
          <w:lang w:val="fr-FR"/>
        </w:rPr>
        <w:tab/>
      </w:r>
    </w:p>
    <w:p w:rsidR="00DE100C" w:rsidRPr="00DE100C" w:rsidRDefault="00DE100C" w:rsidP="00DE100C">
      <w:pPr>
        <w:pStyle w:val="SingleTxt"/>
        <w:spacing w:after="0" w:line="120" w:lineRule="exact"/>
        <w:rPr>
          <w:i/>
          <w:sz w:val="10"/>
          <w:lang w:val="fr-FR"/>
        </w:rPr>
      </w:pPr>
    </w:p>
    <w:p w:rsidR="00826E0F" w:rsidRPr="00872599" w:rsidRDefault="00DE100C" w:rsidP="00497599">
      <w:pPr>
        <w:pStyle w:val="SingleTxt"/>
        <w:rPr>
          <w:lang w:val="fr-FR"/>
        </w:rPr>
      </w:pPr>
      <w:r>
        <w:rPr>
          <w:lang w:val="fr-FR"/>
        </w:rPr>
        <w:tab/>
      </w:r>
      <w:r w:rsidR="00826E0F" w:rsidRPr="00872599">
        <w:rPr>
          <w:lang w:val="fr-FR"/>
        </w:rPr>
        <w:t>Au cours de la période considérée, le Liechtenstein n</w:t>
      </w:r>
      <w:r w:rsidR="006645B6">
        <w:rPr>
          <w:lang w:val="fr-FR"/>
        </w:rPr>
        <w:t>’</w:t>
      </w:r>
      <w:r w:rsidR="00826E0F" w:rsidRPr="00872599">
        <w:rPr>
          <w:lang w:val="fr-FR"/>
        </w:rPr>
        <w:t>a reçu aucune demande d</w:t>
      </w:r>
      <w:r w:rsidR="006645B6">
        <w:rPr>
          <w:lang w:val="fr-FR"/>
        </w:rPr>
        <w:t>’</w:t>
      </w:r>
      <w:r w:rsidR="00826E0F" w:rsidRPr="00872599">
        <w:rPr>
          <w:lang w:val="fr-FR"/>
        </w:rPr>
        <w:t>entraide juridique en matière de prostitution. Depuis juillet 2007, trois cas de promotion suspectée de prostitution ou de prostitution illicite ont été signalés à la police du Liechtenstein. Une affaire a été suspendue depuis lors, le soupçon n</w:t>
      </w:r>
      <w:r w:rsidR="006645B6">
        <w:rPr>
          <w:lang w:val="fr-FR"/>
        </w:rPr>
        <w:t>’</w:t>
      </w:r>
      <w:r w:rsidR="00826E0F" w:rsidRPr="00872599">
        <w:rPr>
          <w:lang w:val="fr-FR"/>
        </w:rPr>
        <w:t xml:space="preserve">ayant pas été corroboré et deux affaires sont encore en instance au moment </w:t>
      </w:r>
      <w:r w:rsidR="00826E0F">
        <w:rPr>
          <w:lang w:val="fr-FR"/>
        </w:rPr>
        <w:t xml:space="preserve">où </w:t>
      </w:r>
      <w:r w:rsidR="00826E0F" w:rsidRPr="00872599">
        <w:rPr>
          <w:lang w:val="fr-FR"/>
        </w:rPr>
        <w:t>le présent rapport est établi.</w:t>
      </w:r>
    </w:p>
    <w:p w:rsidR="00826E0F" w:rsidRPr="00872599" w:rsidRDefault="00826E0F" w:rsidP="00497599">
      <w:pPr>
        <w:pStyle w:val="SingleTxt"/>
        <w:rPr>
          <w:lang w:val="fr-FR"/>
        </w:rPr>
      </w:pPr>
      <w:r w:rsidRPr="00872599">
        <w:rPr>
          <w:lang w:val="fr-FR"/>
        </w:rPr>
        <w:t xml:space="preserve"> </w:t>
      </w:r>
      <w:r w:rsidR="00DE100C">
        <w:rPr>
          <w:lang w:val="fr-FR"/>
        </w:rPr>
        <w:tab/>
      </w:r>
      <w:r w:rsidRPr="00872599">
        <w:rPr>
          <w:lang w:val="fr-FR"/>
        </w:rPr>
        <w:t>Comme déjà expliqué dans le troisième rapport de pays, le Liechtenstein n</w:t>
      </w:r>
      <w:r w:rsidR="006645B6">
        <w:rPr>
          <w:lang w:val="fr-FR"/>
        </w:rPr>
        <w:t>’</w:t>
      </w:r>
      <w:r w:rsidRPr="00872599">
        <w:rPr>
          <w:lang w:val="fr-FR"/>
        </w:rPr>
        <w:t>est ni un pays de tr</w:t>
      </w:r>
      <w:r>
        <w:rPr>
          <w:lang w:val="fr-FR"/>
        </w:rPr>
        <w:t>ansit ni un pays de destination</w:t>
      </w:r>
      <w:r w:rsidRPr="00872599">
        <w:rPr>
          <w:lang w:val="fr-FR"/>
        </w:rPr>
        <w:t xml:space="preserve"> pour le trafic organisé des êtres humains comme il ressort des conclusions de la police nationale. On n</w:t>
      </w:r>
      <w:r w:rsidR="006645B6">
        <w:rPr>
          <w:lang w:val="fr-FR"/>
        </w:rPr>
        <w:t>’</w:t>
      </w:r>
      <w:r w:rsidRPr="00872599">
        <w:rPr>
          <w:lang w:val="fr-FR"/>
        </w:rPr>
        <w:t>a connaissance d</w:t>
      </w:r>
      <w:r w:rsidR="006645B6">
        <w:rPr>
          <w:lang w:val="fr-FR"/>
        </w:rPr>
        <w:t>’</w:t>
      </w:r>
      <w:r w:rsidRPr="00872599">
        <w:rPr>
          <w:lang w:val="fr-FR"/>
        </w:rPr>
        <w:t>aucun cas de trafic d</w:t>
      </w:r>
      <w:r w:rsidR="006645B6">
        <w:rPr>
          <w:lang w:val="fr-FR"/>
        </w:rPr>
        <w:t>’</w:t>
      </w:r>
      <w:r w:rsidRPr="00872599">
        <w:rPr>
          <w:lang w:val="fr-FR"/>
        </w:rPr>
        <w:t>êtres humains à ce jour.</w:t>
      </w:r>
    </w:p>
    <w:p w:rsidR="00826E0F" w:rsidRPr="00872599" w:rsidRDefault="00DE100C" w:rsidP="00497599">
      <w:pPr>
        <w:pStyle w:val="SingleTxt"/>
        <w:rPr>
          <w:lang w:val="fr-FR"/>
        </w:rPr>
      </w:pPr>
      <w:r>
        <w:rPr>
          <w:lang w:val="fr-FR"/>
        </w:rPr>
        <w:tab/>
      </w:r>
      <w:r w:rsidR="00826E0F" w:rsidRPr="00872599">
        <w:rPr>
          <w:lang w:val="fr-FR"/>
        </w:rPr>
        <w:t>Les danseuses dans les sept boîtes de nuit existant actuellement au Liechtenstein sont considérées comme un groupe à risque possible en ce qui concerne le trafic des êtres humains. Elles résident au Liechtenstein sept mois au plus dans une année civile au bénéfice d</w:t>
      </w:r>
      <w:r w:rsidR="006645B6">
        <w:rPr>
          <w:lang w:val="fr-FR"/>
        </w:rPr>
        <w:t>’</w:t>
      </w:r>
      <w:r w:rsidR="00826E0F" w:rsidRPr="00872599">
        <w:rPr>
          <w:lang w:val="fr-FR"/>
        </w:rPr>
        <w:t>un permis spécial de séjour de courte durée. En ce qui concerne l</w:t>
      </w:r>
      <w:r w:rsidR="006645B6">
        <w:rPr>
          <w:lang w:val="fr-FR"/>
        </w:rPr>
        <w:t>’</w:t>
      </w:r>
      <w:r w:rsidR="00826E0F" w:rsidRPr="00872599">
        <w:rPr>
          <w:lang w:val="fr-FR"/>
        </w:rPr>
        <w:t>admission des danseuses et des musiciens de boîtes de nuit, le Gouvernement a édicté une décision fondamentale</w:t>
      </w:r>
      <w:r w:rsidR="00826E0F" w:rsidRPr="00A03470">
        <w:rPr>
          <w:rStyle w:val="Normal"/>
          <w:lang w:val="fr-FR"/>
        </w:rPr>
        <w:footnoteReference w:id="12"/>
      </w:r>
      <w:r w:rsidR="00826E0F" w:rsidRPr="00872599">
        <w:rPr>
          <w:lang w:val="fr-FR"/>
        </w:rPr>
        <w:t xml:space="preserve"> où sont </w:t>
      </w:r>
      <w:r w:rsidR="00CC772D" w:rsidRPr="00872599">
        <w:rPr>
          <w:lang w:val="fr-FR"/>
        </w:rPr>
        <w:t>énoncées</w:t>
      </w:r>
      <w:r w:rsidR="00826E0F" w:rsidRPr="00872599">
        <w:rPr>
          <w:lang w:val="fr-FR"/>
        </w:rPr>
        <w:t xml:space="preserve"> des règles détaillées pour la protection des employés. C</w:t>
      </w:r>
      <w:r w:rsidR="006645B6">
        <w:rPr>
          <w:lang w:val="fr-FR"/>
        </w:rPr>
        <w:t>’</w:t>
      </w:r>
      <w:r w:rsidR="00826E0F" w:rsidRPr="00872599">
        <w:rPr>
          <w:lang w:val="fr-FR"/>
        </w:rPr>
        <w:t xml:space="preserve">est ainsi que les danseuses doivent être couvertes par une assurance maladie et accident, participer au projet </w:t>
      </w:r>
      <w:r w:rsidR="000E00B5">
        <w:rPr>
          <w:lang w:val="fr-FR"/>
        </w:rPr>
        <w:t>« </w:t>
      </w:r>
      <w:r w:rsidR="00826E0F" w:rsidRPr="00872599">
        <w:rPr>
          <w:lang w:val="fr-FR"/>
        </w:rPr>
        <w:t>La prévention du sida dans l</w:t>
      </w:r>
      <w:r w:rsidR="006645B6">
        <w:rPr>
          <w:lang w:val="fr-FR"/>
        </w:rPr>
        <w:t>’</w:t>
      </w:r>
      <w:r w:rsidR="00826E0F" w:rsidRPr="00872599">
        <w:rPr>
          <w:lang w:val="fr-FR"/>
        </w:rPr>
        <w:t>industrie du sexe (APIS)</w:t>
      </w:r>
      <w:r w:rsidR="000E00B5">
        <w:rPr>
          <w:lang w:val="fr-FR"/>
        </w:rPr>
        <w:t> </w:t>
      </w:r>
      <w:r w:rsidR="00826E0F" w:rsidRPr="00872599">
        <w:rPr>
          <w:lang w:val="fr-FR"/>
        </w:rPr>
        <w:t>» et bénéficier d</w:t>
      </w:r>
      <w:r w:rsidR="006645B6">
        <w:rPr>
          <w:lang w:val="fr-FR"/>
        </w:rPr>
        <w:t>’</w:t>
      </w:r>
      <w:r w:rsidR="00826E0F" w:rsidRPr="00872599">
        <w:rPr>
          <w:lang w:val="fr-FR"/>
        </w:rPr>
        <w:t>un logement approprié et du salaire minimum applicable au secteur de l</w:t>
      </w:r>
      <w:r w:rsidR="006645B6">
        <w:rPr>
          <w:lang w:val="fr-FR"/>
        </w:rPr>
        <w:t>’</w:t>
      </w:r>
      <w:r w:rsidR="00826E0F" w:rsidRPr="00872599">
        <w:rPr>
          <w:lang w:val="fr-FR"/>
        </w:rPr>
        <w:t xml:space="preserve">hôtellerie et de la restauration. Comme mesure complémentaire de protection, les permis ne sont accordés que si les danseuses étrangères sollicitant un visa ont été </w:t>
      </w:r>
      <w:r w:rsidR="00CC772D" w:rsidRPr="00872599">
        <w:rPr>
          <w:lang w:val="fr-FR"/>
        </w:rPr>
        <w:t>employées</w:t>
      </w:r>
      <w:r w:rsidR="00826E0F" w:rsidRPr="00872599">
        <w:rPr>
          <w:lang w:val="fr-FR"/>
        </w:rPr>
        <w:t xml:space="preserve"> en Suisse juste avant de l</w:t>
      </w:r>
      <w:r w:rsidR="006645B6">
        <w:rPr>
          <w:lang w:val="fr-FR"/>
        </w:rPr>
        <w:t>’</w:t>
      </w:r>
      <w:r w:rsidR="00826E0F" w:rsidRPr="00872599">
        <w:rPr>
          <w:lang w:val="fr-FR"/>
        </w:rPr>
        <w:t>être au Liechtenstein. La décision fondamentale indique également un quota à respecter pour l</w:t>
      </w:r>
      <w:r w:rsidR="006645B6">
        <w:rPr>
          <w:lang w:val="fr-FR"/>
        </w:rPr>
        <w:t>’</w:t>
      </w:r>
      <w:r w:rsidR="00826E0F" w:rsidRPr="00872599">
        <w:rPr>
          <w:lang w:val="fr-FR"/>
        </w:rPr>
        <w:t>emploi de danseuses et de musiciens</w:t>
      </w:r>
      <w:r w:rsidR="006645B6">
        <w:rPr>
          <w:lang w:val="fr-FR"/>
        </w:rPr>
        <w:t> :</w:t>
      </w:r>
      <w:r w:rsidR="00826E0F" w:rsidRPr="00872599">
        <w:rPr>
          <w:lang w:val="fr-FR"/>
        </w:rPr>
        <w:t xml:space="preserve"> une boîte de nuit peut employer aux plus cinq danseuses et un musicien par mois. Sur la base de la décision fondamentale édictée par le Gouvernement</w:t>
      </w:r>
      <w:r w:rsidR="00826E0F">
        <w:rPr>
          <w:lang w:val="fr-FR"/>
        </w:rPr>
        <w:t>,</w:t>
      </w:r>
      <w:r w:rsidR="00826E0F" w:rsidRPr="00872599">
        <w:rPr>
          <w:lang w:val="fr-FR"/>
        </w:rPr>
        <w:t xml:space="preserve"> la police nationale et le Bureau de l</w:t>
      </w:r>
      <w:r w:rsidR="006645B6">
        <w:rPr>
          <w:lang w:val="fr-FR"/>
        </w:rPr>
        <w:t>’</w:t>
      </w:r>
      <w:r w:rsidR="00826E0F" w:rsidRPr="00872599">
        <w:rPr>
          <w:lang w:val="fr-FR"/>
        </w:rPr>
        <w:t>immigration et des passeports mènent régulièrement des inspections dans les boîtes de nuit. Ces inspections permettent de vérifier la situation au regard des règles régissant la résidence, les conditions d</w:t>
      </w:r>
      <w:r w:rsidR="006645B6">
        <w:rPr>
          <w:lang w:val="fr-FR"/>
        </w:rPr>
        <w:t>’</w:t>
      </w:r>
      <w:r w:rsidR="00826E0F" w:rsidRPr="00872599">
        <w:rPr>
          <w:lang w:val="fr-FR"/>
        </w:rPr>
        <w:t xml:space="preserve">emploi et le versement de salaire ainsi que le logement des femmes. Un élément important de </w:t>
      </w:r>
      <w:r w:rsidR="00CC772D" w:rsidRPr="00872599">
        <w:rPr>
          <w:lang w:val="fr-FR"/>
        </w:rPr>
        <w:t>ces inspections</w:t>
      </w:r>
      <w:r w:rsidR="00826E0F" w:rsidRPr="00872599">
        <w:rPr>
          <w:lang w:val="fr-FR"/>
        </w:rPr>
        <w:t xml:space="preserve"> est d</w:t>
      </w:r>
      <w:r w:rsidR="006645B6">
        <w:rPr>
          <w:lang w:val="fr-FR"/>
        </w:rPr>
        <w:t>’</w:t>
      </w:r>
      <w:r w:rsidR="00826E0F" w:rsidRPr="00872599">
        <w:rPr>
          <w:lang w:val="fr-FR"/>
        </w:rPr>
        <w:t xml:space="preserve">assurer un suivi permettant de détecter </w:t>
      </w:r>
      <w:r w:rsidR="00CC772D" w:rsidRPr="00872599">
        <w:rPr>
          <w:lang w:val="fr-FR"/>
        </w:rPr>
        <w:t>d</w:t>
      </w:r>
      <w:r w:rsidR="006645B6">
        <w:rPr>
          <w:lang w:val="fr-FR"/>
        </w:rPr>
        <w:t>’</w:t>
      </w:r>
      <w:r w:rsidR="00CC772D" w:rsidRPr="00872599">
        <w:rPr>
          <w:lang w:val="fr-FR"/>
        </w:rPr>
        <w:t>éventuels</w:t>
      </w:r>
      <w:r w:rsidR="00826E0F" w:rsidRPr="00872599">
        <w:rPr>
          <w:lang w:val="fr-FR"/>
        </w:rPr>
        <w:t xml:space="preserve"> signes de trafic d</w:t>
      </w:r>
      <w:r w:rsidR="006645B6">
        <w:rPr>
          <w:lang w:val="fr-FR"/>
        </w:rPr>
        <w:t>’</w:t>
      </w:r>
      <w:r w:rsidR="00826E0F" w:rsidRPr="00872599">
        <w:rPr>
          <w:lang w:val="fr-FR"/>
        </w:rPr>
        <w:t>êtres humains. Les agents de police ont été sensibilisés à cette question au moyen de cours de formation permanente. De plus, la décision fondamentale exige des employeurs qu</w:t>
      </w:r>
      <w:r w:rsidR="006645B6">
        <w:rPr>
          <w:lang w:val="fr-FR"/>
        </w:rPr>
        <w:t>’</w:t>
      </w:r>
      <w:r w:rsidR="00826E0F" w:rsidRPr="00872599">
        <w:rPr>
          <w:lang w:val="fr-FR"/>
        </w:rPr>
        <w:t>ils accordent à leurs employés du temps libre pour participer à une rencontre d</w:t>
      </w:r>
      <w:r w:rsidR="006645B6">
        <w:rPr>
          <w:lang w:val="fr-FR"/>
        </w:rPr>
        <w:t>’</w:t>
      </w:r>
      <w:r w:rsidR="00826E0F" w:rsidRPr="00872599">
        <w:rPr>
          <w:lang w:val="fr-FR"/>
        </w:rPr>
        <w:t xml:space="preserve">information organisée par les deux autorités (pour plus de détails, voir plus bas </w:t>
      </w:r>
      <w:r w:rsidR="000E00B5">
        <w:rPr>
          <w:lang w:val="fr-FR"/>
        </w:rPr>
        <w:t>« </w:t>
      </w:r>
      <w:r w:rsidR="00826E0F" w:rsidRPr="00872599">
        <w:rPr>
          <w:lang w:val="fr-FR"/>
        </w:rPr>
        <w:t>Projet de prévention Magdalena</w:t>
      </w:r>
      <w:r w:rsidR="000E00B5">
        <w:rPr>
          <w:lang w:val="fr-FR"/>
        </w:rPr>
        <w:t> </w:t>
      </w:r>
      <w:r w:rsidR="00826E0F" w:rsidRPr="00872599">
        <w:rPr>
          <w:lang w:val="fr-FR"/>
        </w:rPr>
        <w:t>» ). Les permis de séjour de courte durée susmentionnés ne sont accordés qu</w:t>
      </w:r>
      <w:r w:rsidR="006645B6">
        <w:rPr>
          <w:lang w:val="fr-FR"/>
        </w:rPr>
        <w:t>’</w:t>
      </w:r>
      <w:r w:rsidR="00826E0F" w:rsidRPr="00872599">
        <w:rPr>
          <w:lang w:val="fr-FR"/>
        </w:rPr>
        <w:t>à la condition que l</w:t>
      </w:r>
      <w:r w:rsidR="006645B6">
        <w:rPr>
          <w:lang w:val="fr-FR"/>
        </w:rPr>
        <w:t>’</w:t>
      </w:r>
      <w:r w:rsidR="00826E0F" w:rsidRPr="00872599">
        <w:rPr>
          <w:lang w:val="fr-FR"/>
        </w:rPr>
        <w:t>intéressé(e) participe à cette rencontre d</w:t>
      </w:r>
      <w:r w:rsidR="006645B6">
        <w:rPr>
          <w:lang w:val="fr-FR"/>
        </w:rPr>
        <w:t>’</w:t>
      </w:r>
      <w:r w:rsidR="00826E0F" w:rsidRPr="00872599">
        <w:rPr>
          <w:lang w:val="fr-FR"/>
        </w:rPr>
        <w:t>information. Si cette condition n</w:t>
      </w:r>
      <w:r w:rsidR="006645B6">
        <w:rPr>
          <w:lang w:val="fr-FR"/>
        </w:rPr>
        <w:t>’</w:t>
      </w:r>
      <w:r w:rsidR="00826E0F" w:rsidRPr="00872599">
        <w:rPr>
          <w:lang w:val="fr-FR"/>
        </w:rPr>
        <w:t>est pas respectée, les autorités peuvent ne pas octroyer le permis et infliger une amende pour infraction à la règle sur la participation. Si le même employeur commet cette infraction plusieurs fois, il doit s</w:t>
      </w:r>
      <w:r w:rsidR="006645B6">
        <w:rPr>
          <w:lang w:val="fr-FR"/>
        </w:rPr>
        <w:t>’</w:t>
      </w:r>
      <w:r w:rsidR="00826E0F" w:rsidRPr="00872599">
        <w:rPr>
          <w:lang w:val="fr-FR"/>
        </w:rPr>
        <w:t>attendre à ce que de futures demandes de permis soient rejetées en application de l</w:t>
      </w:r>
      <w:r w:rsidR="006645B6">
        <w:rPr>
          <w:lang w:val="fr-FR"/>
        </w:rPr>
        <w:t>’</w:t>
      </w:r>
      <w:r w:rsidR="00826E0F" w:rsidRPr="00872599">
        <w:rPr>
          <w:lang w:val="fr-FR"/>
        </w:rPr>
        <w:t>article 89 de la loi sur les étrangers et à devoir rembourser les frais encourus par les employés qui n</w:t>
      </w:r>
      <w:r w:rsidR="006645B6">
        <w:rPr>
          <w:lang w:val="fr-FR"/>
        </w:rPr>
        <w:t>’</w:t>
      </w:r>
      <w:r w:rsidR="00826E0F" w:rsidRPr="00872599">
        <w:rPr>
          <w:lang w:val="fr-FR"/>
        </w:rPr>
        <w:t>avaient pas été couverts.</w:t>
      </w:r>
    </w:p>
    <w:p w:rsidR="00DE100C" w:rsidRPr="00DE100C" w:rsidRDefault="00DE100C" w:rsidP="00DE100C">
      <w:pPr>
        <w:pStyle w:val="SingleTxt"/>
        <w:spacing w:after="0" w:line="120" w:lineRule="exact"/>
        <w:rPr>
          <w:sz w:val="10"/>
          <w:lang w:val="fr-FR"/>
        </w:rPr>
      </w:pPr>
    </w:p>
    <w:p w:rsidR="00826E0F" w:rsidRPr="00872599" w:rsidRDefault="00DE100C" w:rsidP="00DE100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826E0F" w:rsidRPr="00872599">
        <w:rPr>
          <w:lang w:val="fr-FR"/>
        </w:rPr>
        <w:t>Directives pour la lutte contre le trafic des êtres humains</w:t>
      </w:r>
    </w:p>
    <w:p w:rsidR="00DE100C" w:rsidRPr="00DE100C" w:rsidRDefault="00DE100C" w:rsidP="00DE100C">
      <w:pPr>
        <w:pStyle w:val="SingleTxt"/>
        <w:spacing w:after="0" w:line="120" w:lineRule="exact"/>
        <w:rPr>
          <w:sz w:val="10"/>
          <w:lang w:val="fr-FR"/>
        </w:rPr>
      </w:pPr>
    </w:p>
    <w:p w:rsidR="00826E0F" w:rsidRPr="00872599" w:rsidRDefault="00DE100C" w:rsidP="00497599">
      <w:pPr>
        <w:pStyle w:val="SingleTxt"/>
        <w:rPr>
          <w:lang w:val="fr-FR"/>
        </w:rPr>
      </w:pPr>
      <w:r>
        <w:rPr>
          <w:lang w:val="fr-FR"/>
        </w:rPr>
        <w:tab/>
      </w:r>
      <w:r w:rsidR="00826E0F" w:rsidRPr="00872599">
        <w:rPr>
          <w:lang w:val="fr-FR"/>
        </w:rPr>
        <w:t xml:space="preserve">En décembre 2006, une </w:t>
      </w:r>
      <w:r w:rsidR="000E00B5">
        <w:rPr>
          <w:lang w:val="fr-FR"/>
        </w:rPr>
        <w:t>« </w:t>
      </w:r>
      <w:r w:rsidR="00826E0F" w:rsidRPr="00872599">
        <w:rPr>
          <w:lang w:val="fr-FR"/>
        </w:rPr>
        <w:t>Table ronde sur le trafic des êtres humains</w:t>
      </w:r>
      <w:r w:rsidR="006645B6">
        <w:rPr>
          <w:lang w:val="fr-FR"/>
        </w:rPr>
        <w:t xml:space="preserve"> » </w:t>
      </w:r>
      <w:r w:rsidR="00826E0F" w:rsidRPr="00872599">
        <w:rPr>
          <w:lang w:val="fr-FR"/>
        </w:rPr>
        <w:t>a été organisé</w:t>
      </w:r>
      <w:r w:rsidR="00826E0F">
        <w:rPr>
          <w:lang w:val="fr-FR"/>
        </w:rPr>
        <w:t>e</w:t>
      </w:r>
      <w:r w:rsidR="00826E0F" w:rsidRPr="00872599">
        <w:rPr>
          <w:lang w:val="fr-FR"/>
        </w:rPr>
        <w:t xml:space="preserve"> pour optimiser la coopération entre le ministère public, les autorités chargées de surveiller la migration et les services s</w:t>
      </w:r>
      <w:r w:rsidR="006645B6">
        <w:rPr>
          <w:lang w:val="fr-FR"/>
        </w:rPr>
        <w:t>’</w:t>
      </w:r>
      <w:r w:rsidR="00826E0F" w:rsidRPr="00872599">
        <w:rPr>
          <w:lang w:val="fr-FR"/>
        </w:rPr>
        <w:t>occupant des victimes (Bureau d</w:t>
      </w:r>
      <w:r w:rsidR="006645B6">
        <w:rPr>
          <w:lang w:val="fr-FR"/>
        </w:rPr>
        <w:t>’</w:t>
      </w:r>
      <w:r w:rsidR="00826E0F" w:rsidRPr="00872599">
        <w:rPr>
          <w:lang w:val="fr-FR"/>
        </w:rPr>
        <w:t>aide aux victimes, Bureau des affaires sociales etc.) en ce qui concerne le problème du trafic des êtres humains. La table ronde a élaboré des directives pour lutter contre le trafic au Liechtenstein que le Gouvernement a adoptées le 3 juillet 2007. Ces directives visent à définir la manière de réagir à tout cas de trafic d</w:t>
      </w:r>
      <w:r w:rsidR="006645B6">
        <w:rPr>
          <w:lang w:val="fr-FR"/>
        </w:rPr>
        <w:t>’</w:t>
      </w:r>
      <w:r w:rsidR="00826E0F" w:rsidRPr="00872599">
        <w:rPr>
          <w:lang w:val="fr-FR"/>
        </w:rPr>
        <w:t>êtres humains au Liechtenstein, d</w:t>
      </w:r>
      <w:r w:rsidR="006645B6">
        <w:rPr>
          <w:lang w:val="fr-FR"/>
        </w:rPr>
        <w:t>’</w:t>
      </w:r>
      <w:r w:rsidR="00826E0F" w:rsidRPr="00872599">
        <w:rPr>
          <w:lang w:val="fr-FR"/>
        </w:rPr>
        <w:t>assurer la coopération entre les services compétents et de renforcer la probabilité de mettre au jour les affaires de ce type. C</w:t>
      </w:r>
      <w:r w:rsidR="006645B6">
        <w:rPr>
          <w:lang w:val="fr-FR"/>
        </w:rPr>
        <w:t>’</w:t>
      </w:r>
      <w:r w:rsidR="00826E0F" w:rsidRPr="00872599">
        <w:rPr>
          <w:lang w:val="fr-FR"/>
        </w:rPr>
        <w:t>est pourquoi, ces directives accordent aux victimes potentielles du trafic des êtres humains un délai d</w:t>
      </w:r>
      <w:r w:rsidR="006645B6">
        <w:rPr>
          <w:lang w:val="fr-FR"/>
        </w:rPr>
        <w:t>’</w:t>
      </w:r>
      <w:r w:rsidR="00826E0F" w:rsidRPr="00872599">
        <w:rPr>
          <w:lang w:val="fr-FR"/>
        </w:rPr>
        <w:t>examen de 30 jours. Pendant cette période, aucune procédure ne sera engagée pour faire appliquer les règles d</w:t>
      </w:r>
      <w:r w:rsidR="006645B6">
        <w:rPr>
          <w:lang w:val="fr-FR"/>
        </w:rPr>
        <w:t>’</w:t>
      </w:r>
      <w:r w:rsidR="00826E0F" w:rsidRPr="00872599">
        <w:rPr>
          <w:lang w:val="fr-FR"/>
        </w:rPr>
        <w:t>immigration. Si la victime décide de collaborer avec les autorités, un permis de type L (permis de séjour de courte durée) pourra être délivré conformément à l</w:t>
      </w:r>
      <w:r w:rsidR="006645B6">
        <w:rPr>
          <w:lang w:val="fr-FR"/>
        </w:rPr>
        <w:t>’</w:t>
      </w:r>
      <w:r w:rsidR="00826E0F" w:rsidRPr="00872599">
        <w:rPr>
          <w:lang w:val="fr-FR"/>
        </w:rPr>
        <w:t>article 21 de la loi sur les étrangers et à l</w:t>
      </w:r>
      <w:r w:rsidR="006645B6">
        <w:rPr>
          <w:lang w:val="fr-FR"/>
        </w:rPr>
        <w:t>’</w:t>
      </w:r>
      <w:r w:rsidR="00826E0F" w:rsidRPr="00872599">
        <w:rPr>
          <w:lang w:val="fr-FR"/>
        </w:rPr>
        <w:t>alinéa d) de l</w:t>
      </w:r>
      <w:r w:rsidR="006645B6">
        <w:rPr>
          <w:lang w:val="fr-FR"/>
        </w:rPr>
        <w:t>’</w:t>
      </w:r>
      <w:r w:rsidR="00826E0F" w:rsidRPr="00872599">
        <w:rPr>
          <w:lang w:val="fr-FR"/>
        </w:rPr>
        <w:t>article 16 de l</w:t>
      </w:r>
      <w:r w:rsidR="006645B6">
        <w:rPr>
          <w:lang w:val="fr-FR"/>
        </w:rPr>
        <w:t>’</w:t>
      </w:r>
      <w:r w:rsidR="00826E0F" w:rsidRPr="00872599">
        <w:rPr>
          <w:lang w:val="fr-FR"/>
        </w:rPr>
        <w:t>ordonnance associée relative à l</w:t>
      </w:r>
      <w:r w:rsidR="006645B6">
        <w:rPr>
          <w:lang w:val="fr-FR"/>
        </w:rPr>
        <w:t>’</w:t>
      </w:r>
      <w:r w:rsidR="00826E0F" w:rsidRPr="00872599">
        <w:rPr>
          <w:lang w:val="fr-FR"/>
        </w:rPr>
        <w:t>admission et au séjour des étrangers</w:t>
      </w:r>
      <w:r w:rsidR="00826E0F" w:rsidRPr="00A03470">
        <w:rPr>
          <w:rStyle w:val="FootnoteCharacters"/>
          <w:sz w:val="24"/>
          <w:szCs w:val="24"/>
          <w:lang w:val="fr-FR"/>
        </w:rPr>
        <w:footnoteReference w:id="13"/>
      </w:r>
      <w:r w:rsidR="00826E0F" w:rsidRPr="00872599">
        <w:rPr>
          <w:lang w:val="fr-FR"/>
        </w:rPr>
        <w:t>. Ce permis peut-être prolongé en fonction du temps nécessaire pour que l</w:t>
      </w:r>
      <w:r w:rsidR="006645B6">
        <w:rPr>
          <w:lang w:val="fr-FR"/>
        </w:rPr>
        <w:t>’</w:t>
      </w:r>
      <w:r w:rsidR="00826E0F" w:rsidRPr="00872599">
        <w:rPr>
          <w:lang w:val="fr-FR"/>
        </w:rPr>
        <w:t>enquête pénale de la police et la procédure judiciaire puissent aboutir. Sur demande, le Bureau de l</w:t>
      </w:r>
      <w:r w:rsidR="006645B6">
        <w:rPr>
          <w:lang w:val="fr-FR"/>
        </w:rPr>
        <w:t>’</w:t>
      </w:r>
      <w:r w:rsidR="00826E0F" w:rsidRPr="00872599">
        <w:rPr>
          <w:lang w:val="fr-FR"/>
        </w:rPr>
        <w:t>immigration et des passeports peut également approuver un emploi approprié pour la victime afin de lui assurer la stabilisation psychosociale voulue pendant à la procédure pénale.</w:t>
      </w:r>
    </w:p>
    <w:p w:rsidR="00DE100C" w:rsidRPr="00DE100C" w:rsidRDefault="00DE100C" w:rsidP="00DE100C">
      <w:pPr>
        <w:pStyle w:val="SingleTxt"/>
        <w:spacing w:after="0" w:line="120" w:lineRule="exact"/>
        <w:rPr>
          <w:sz w:val="10"/>
          <w:lang w:val="fr-FR"/>
        </w:rPr>
      </w:pPr>
    </w:p>
    <w:p w:rsidR="00826E0F" w:rsidRPr="00872599" w:rsidRDefault="00DE100C" w:rsidP="00DE100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826E0F" w:rsidRPr="00872599">
        <w:rPr>
          <w:lang w:val="fr-FR"/>
        </w:rPr>
        <w:t xml:space="preserve">Projet de prévention Magdalena </w:t>
      </w:r>
    </w:p>
    <w:p w:rsidR="00DE100C" w:rsidRPr="00DE100C" w:rsidRDefault="00DE100C" w:rsidP="00DE100C">
      <w:pPr>
        <w:pStyle w:val="SingleTxt"/>
        <w:keepNext/>
        <w:keepLines/>
        <w:spacing w:after="0" w:line="120" w:lineRule="exact"/>
        <w:rPr>
          <w:sz w:val="10"/>
          <w:lang w:val="fr-FR"/>
        </w:rPr>
      </w:pPr>
    </w:p>
    <w:p w:rsidR="00826E0F" w:rsidRPr="00872599" w:rsidRDefault="00DE100C" w:rsidP="00DE100C">
      <w:pPr>
        <w:pStyle w:val="SingleTxt"/>
        <w:keepNext/>
        <w:keepLines/>
        <w:rPr>
          <w:lang w:val="fr-FR"/>
        </w:rPr>
      </w:pPr>
      <w:r>
        <w:rPr>
          <w:lang w:val="fr-FR"/>
        </w:rPr>
        <w:tab/>
      </w:r>
      <w:r w:rsidR="00826E0F" w:rsidRPr="00872599">
        <w:rPr>
          <w:lang w:val="fr-FR"/>
        </w:rPr>
        <w:t xml:space="preserve">La table ronde a également mis en place le </w:t>
      </w:r>
      <w:r w:rsidR="000E00B5">
        <w:rPr>
          <w:lang w:val="fr-FR"/>
        </w:rPr>
        <w:t>« </w:t>
      </w:r>
      <w:r w:rsidR="00826E0F">
        <w:rPr>
          <w:lang w:val="fr-FR"/>
        </w:rPr>
        <w:t>rojet de pré</w:t>
      </w:r>
      <w:r w:rsidR="00826E0F" w:rsidRPr="00872599">
        <w:rPr>
          <w:lang w:val="fr-FR"/>
        </w:rPr>
        <w:t>vention MAGDALENA pour les victimes potentielles du trafic des êtres humains</w:t>
      </w:r>
      <w:r w:rsidR="000E00B5">
        <w:rPr>
          <w:lang w:val="fr-FR"/>
        </w:rPr>
        <w:t xml:space="preserve"> ». </w:t>
      </w:r>
      <w:r w:rsidR="00826E0F" w:rsidRPr="00872599">
        <w:rPr>
          <w:lang w:val="fr-FR"/>
        </w:rPr>
        <w:t>Depuis le début de mai 2009, les danseuses employées dans les bars et les boîtes de nuit du Liechtenstein sont tenues de participer à une rencontre d</w:t>
      </w:r>
      <w:r w:rsidR="006645B6">
        <w:rPr>
          <w:lang w:val="fr-FR"/>
        </w:rPr>
        <w:t>’</w:t>
      </w:r>
      <w:r w:rsidR="00826E0F" w:rsidRPr="00872599">
        <w:rPr>
          <w:lang w:val="fr-FR"/>
        </w:rPr>
        <w:t>information au cours de laquelle les représentants des pouvoirs publics et du Bureau d</w:t>
      </w:r>
      <w:r w:rsidR="006645B6">
        <w:rPr>
          <w:lang w:val="fr-FR"/>
        </w:rPr>
        <w:t>’</w:t>
      </w:r>
      <w:r w:rsidR="00826E0F" w:rsidRPr="00872599">
        <w:rPr>
          <w:lang w:val="fr-FR"/>
        </w:rPr>
        <w:t>aide aux victimes informent les femmes sur leur situation juridique en ce qui concerne leur emploi, leur séjour au Liechtenstein, les assurances sociales et médicales et les services assurés aux victimes du trafic des êtres humains. Cette rencontre vise à aider à éviter que des circonstances propices à l</w:t>
      </w:r>
      <w:r w:rsidR="006645B6">
        <w:rPr>
          <w:lang w:val="fr-FR"/>
        </w:rPr>
        <w:t>’</w:t>
      </w:r>
      <w:r w:rsidR="00826E0F" w:rsidRPr="00872599">
        <w:rPr>
          <w:lang w:val="fr-FR"/>
        </w:rPr>
        <w:t>exploitation ne se produisent dans ce milieu, comme cela risque d</w:t>
      </w:r>
      <w:r w:rsidR="006645B6">
        <w:rPr>
          <w:lang w:val="fr-FR"/>
        </w:rPr>
        <w:t>’</w:t>
      </w:r>
      <w:r w:rsidR="00826E0F" w:rsidRPr="00872599">
        <w:rPr>
          <w:lang w:val="fr-FR"/>
        </w:rPr>
        <w:t>être le cas, et de donner aux victimes potentielles du trafic des êtres humains accès aux services d</w:t>
      </w:r>
      <w:r w:rsidR="006645B6">
        <w:rPr>
          <w:lang w:val="fr-FR"/>
        </w:rPr>
        <w:t>’</w:t>
      </w:r>
      <w:r w:rsidR="00826E0F" w:rsidRPr="00872599">
        <w:rPr>
          <w:lang w:val="fr-FR"/>
        </w:rPr>
        <w:t>orientation et d</w:t>
      </w:r>
      <w:r w:rsidR="006645B6">
        <w:rPr>
          <w:lang w:val="fr-FR"/>
        </w:rPr>
        <w:t>’</w:t>
      </w:r>
      <w:r w:rsidR="00826E0F" w:rsidRPr="00872599">
        <w:rPr>
          <w:lang w:val="fr-FR"/>
        </w:rPr>
        <w:t>aide aux victimes. Étant donné la forte rotation que connaît ce secteur, la situation change tous les mois. À la fin de l</w:t>
      </w:r>
      <w:r w:rsidR="006645B6">
        <w:rPr>
          <w:lang w:val="fr-FR"/>
        </w:rPr>
        <w:t>’</w:t>
      </w:r>
      <w:r w:rsidR="00826E0F" w:rsidRPr="00872599">
        <w:rPr>
          <w:lang w:val="fr-FR"/>
        </w:rPr>
        <w:t>année, on évaluera les résultats du projet pilote pour décider s</w:t>
      </w:r>
      <w:r w:rsidR="006645B6">
        <w:rPr>
          <w:lang w:val="fr-FR"/>
        </w:rPr>
        <w:t>’</w:t>
      </w:r>
      <w:r w:rsidR="00826E0F" w:rsidRPr="00872599">
        <w:rPr>
          <w:lang w:val="fr-FR"/>
        </w:rPr>
        <w:t>il y a lieu de le maintenir.</w:t>
      </w:r>
    </w:p>
    <w:p w:rsidR="00DE100C" w:rsidRPr="00DE100C" w:rsidRDefault="00DE100C" w:rsidP="00DE100C">
      <w:pPr>
        <w:pStyle w:val="SingleTxt"/>
        <w:spacing w:after="0" w:line="120" w:lineRule="exact"/>
        <w:rPr>
          <w:b/>
          <w:i/>
          <w:sz w:val="10"/>
          <w:lang w:val="fr-FR"/>
        </w:rPr>
      </w:pPr>
    </w:p>
    <w:p w:rsidR="00826E0F" w:rsidRPr="00872599" w:rsidRDefault="00DE100C" w:rsidP="00DE100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826E0F" w:rsidRPr="00872599">
        <w:rPr>
          <w:lang w:val="fr-FR"/>
        </w:rPr>
        <w:t xml:space="preserve">Exposition itinérante </w:t>
      </w:r>
      <w:r w:rsidR="000E00B5">
        <w:rPr>
          <w:lang w:val="fr-FR"/>
        </w:rPr>
        <w:t>« </w:t>
      </w:r>
      <w:r w:rsidR="00826E0F" w:rsidRPr="00872599">
        <w:rPr>
          <w:lang w:val="fr-FR"/>
        </w:rPr>
        <w:t>Sans prestige</w:t>
      </w:r>
      <w:r w:rsidR="000E00B5">
        <w:rPr>
          <w:lang w:val="fr-FR"/>
        </w:rPr>
        <w:t> </w:t>
      </w:r>
      <w:r w:rsidR="00826E0F" w:rsidRPr="00872599">
        <w:rPr>
          <w:lang w:val="fr-FR"/>
        </w:rPr>
        <w:t xml:space="preserve">» </w:t>
      </w:r>
    </w:p>
    <w:p w:rsidR="00DE100C" w:rsidRPr="00DE100C" w:rsidRDefault="00DE100C" w:rsidP="00DE100C">
      <w:pPr>
        <w:pStyle w:val="SingleTxt"/>
        <w:spacing w:after="0" w:line="120" w:lineRule="exact"/>
        <w:rPr>
          <w:sz w:val="10"/>
          <w:lang w:val="fr-FR"/>
        </w:rPr>
      </w:pPr>
    </w:p>
    <w:p w:rsidR="00826E0F" w:rsidRPr="00872599" w:rsidRDefault="00DE100C" w:rsidP="00497599">
      <w:pPr>
        <w:pStyle w:val="SingleTxt"/>
        <w:rPr>
          <w:lang w:val="fr-FR"/>
        </w:rPr>
      </w:pPr>
      <w:r>
        <w:rPr>
          <w:lang w:val="fr-FR"/>
        </w:rPr>
        <w:tab/>
      </w:r>
      <w:r w:rsidR="00CC772D" w:rsidRPr="00872599">
        <w:rPr>
          <w:lang w:val="fr-FR"/>
        </w:rPr>
        <w:t>En coopération avec l</w:t>
      </w:r>
      <w:r w:rsidR="006645B6">
        <w:rPr>
          <w:lang w:val="fr-FR"/>
        </w:rPr>
        <w:t>’</w:t>
      </w:r>
      <w:r w:rsidR="00CC772D" w:rsidRPr="00872599">
        <w:rPr>
          <w:lang w:val="fr-FR"/>
        </w:rPr>
        <w:t>église évangélique du Liechtenstein, la table ronde sur le trafic des êtres humains et Amnistie internationale, le Bureau de l</w:t>
      </w:r>
      <w:r w:rsidR="006645B6">
        <w:rPr>
          <w:lang w:val="fr-FR"/>
        </w:rPr>
        <w:t>’</w:t>
      </w:r>
      <w:r w:rsidR="00CC772D" w:rsidRPr="00872599">
        <w:rPr>
          <w:lang w:val="fr-FR"/>
        </w:rPr>
        <w:t>égalité les chances a présenté l</w:t>
      </w:r>
      <w:r w:rsidR="006645B6">
        <w:rPr>
          <w:lang w:val="fr-FR"/>
        </w:rPr>
        <w:t>’</w:t>
      </w:r>
      <w:r w:rsidR="00CC772D" w:rsidRPr="00872599">
        <w:rPr>
          <w:lang w:val="fr-FR"/>
        </w:rPr>
        <w:t xml:space="preserve">exposition itinérante </w:t>
      </w:r>
      <w:r w:rsidR="000E00B5">
        <w:rPr>
          <w:lang w:val="fr-FR"/>
        </w:rPr>
        <w:t>« </w:t>
      </w:r>
      <w:r w:rsidR="00CC772D" w:rsidRPr="00872599">
        <w:rPr>
          <w:lang w:val="fr-FR"/>
        </w:rPr>
        <w:t>Sans prestige</w:t>
      </w:r>
      <w:r w:rsidR="00CC772D">
        <w:rPr>
          <w:lang w:val="fr-FR"/>
        </w:rPr>
        <w:t xml:space="preserve"> </w:t>
      </w:r>
      <w:r w:rsidR="00CC772D" w:rsidRPr="00872599">
        <w:rPr>
          <w:lang w:val="fr-FR"/>
        </w:rPr>
        <w:t>–</w:t>
      </w:r>
      <w:r w:rsidR="00CC772D">
        <w:rPr>
          <w:lang w:val="fr-FR"/>
        </w:rPr>
        <w:t xml:space="preserve"> </w:t>
      </w:r>
      <w:r w:rsidR="00CC772D" w:rsidRPr="00872599">
        <w:rPr>
          <w:lang w:val="fr-FR"/>
        </w:rPr>
        <w:t>la prostitution et le trafic des femmes à l</w:t>
      </w:r>
      <w:r w:rsidR="006645B6">
        <w:rPr>
          <w:lang w:val="fr-FR"/>
        </w:rPr>
        <w:t>’</w:t>
      </w:r>
      <w:r w:rsidR="00CC772D" w:rsidRPr="00872599">
        <w:rPr>
          <w:lang w:val="fr-FR"/>
        </w:rPr>
        <w:t>ère de la mondialisation»</w:t>
      </w:r>
      <w:r w:rsidR="006645B6">
        <w:rPr>
          <w:lang w:val="fr-FR"/>
        </w:rPr>
        <w:t xml:space="preserve"> </w:t>
      </w:r>
      <w:r w:rsidR="00CC772D" w:rsidRPr="00872599">
        <w:rPr>
          <w:lang w:val="fr-FR"/>
        </w:rPr>
        <w:t xml:space="preserve">en deux endroits du Liechtenstein. </w:t>
      </w:r>
      <w:r w:rsidR="00826E0F" w:rsidRPr="00872599">
        <w:rPr>
          <w:lang w:val="fr-FR"/>
        </w:rPr>
        <w:t>En marge de l</w:t>
      </w:r>
      <w:r w:rsidR="006645B6">
        <w:rPr>
          <w:lang w:val="fr-FR"/>
        </w:rPr>
        <w:t>’</w:t>
      </w:r>
      <w:r w:rsidR="00826E0F" w:rsidRPr="00872599">
        <w:rPr>
          <w:lang w:val="fr-FR"/>
        </w:rPr>
        <w:t>exposition ont été également organisés une présentation thématique lors de l</w:t>
      </w:r>
      <w:r w:rsidR="006645B6">
        <w:rPr>
          <w:lang w:val="fr-FR"/>
        </w:rPr>
        <w:t>’</w:t>
      </w:r>
      <w:r w:rsidR="00826E0F" w:rsidRPr="00872599">
        <w:rPr>
          <w:lang w:val="fr-FR"/>
        </w:rPr>
        <w:t xml:space="preserve">ouverture, </w:t>
      </w:r>
      <w:r w:rsidR="00826E0F">
        <w:rPr>
          <w:lang w:val="fr-FR"/>
        </w:rPr>
        <w:t>la projection d</w:t>
      </w:r>
      <w:r w:rsidR="006645B6">
        <w:rPr>
          <w:lang w:val="fr-FR"/>
        </w:rPr>
        <w:t>’</w:t>
      </w:r>
      <w:r w:rsidR="00826E0F" w:rsidRPr="00872599">
        <w:rPr>
          <w:lang w:val="fr-FR"/>
        </w:rPr>
        <w:t>un film sur le sujet de l</w:t>
      </w:r>
      <w:r w:rsidR="006645B6">
        <w:rPr>
          <w:lang w:val="fr-FR"/>
        </w:rPr>
        <w:t>’</w:t>
      </w:r>
      <w:r w:rsidR="00826E0F" w:rsidRPr="00872599">
        <w:rPr>
          <w:lang w:val="fr-FR"/>
        </w:rPr>
        <w:t>exposition puis à la suite du film un débat avec des représentants de la table ronde sur le trafic des êtres humains au sujet de la situation au Liechtenstein. L</w:t>
      </w:r>
      <w:r w:rsidR="006645B6">
        <w:rPr>
          <w:lang w:val="fr-FR"/>
        </w:rPr>
        <w:t>’</w:t>
      </w:r>
      <w:r w:rsidR="00826E0F" w:rsidRPr="00872599">
        <w:rPr>
          <w:lang w:val="fr-FR"/>
        </w:rPr>
        <w:t>église évangélique a traité de la question du trafic des êtres humains à l</w:t>
      </w:r>
      <w:r w:rsidR="006645B6">
        <w:rPr>
          <w:lang w:val="fr-FR"/>
        </w:rPr>
        <w:t>’</w:t>
      </w:r>
      <w:r w:rsidR="00826E0F" w:rsidRPr="00872599">
        <w:rPr>
          <w:lang w:val="fr-FR"/>
        </w:rPr>
        <w:t>occasion d</w:t>
      </w:r>
      <w:r w:rsidR="006645B6">
        <w:rPr>
          <w:lang w:val="fr-FR"/>
        </w:rPr>
        <w:t>’</w:t>
      </w:r>
      <w:r w:rsidR="00826E0F" w:rsidRPr="00872599">
        <w:rPr>
          <w:lang w:val="fr-FR"/>
        </w:rPr>
        <w:t>un service religieux. Les élèves de deux classes ont également visité l</w:t>
      </w:r>
      <w:r w:rsidR="006645B6">
        <w:rPr>
          <w:lang w:val="fr-FR"/>
        </w:rPr>
        <w:t>’</w:t>
      </w:r>
      <w:r w:rsidR="00826E0F" w:rsidRPr="00872599">
        <w:rPr>
          <w:lang w:val="fr-FR"/>
        </w:rPr>
        <w:t>exposition.</w:t>
      </w:r>
    </w:p>
    <w:p w:rsidR="00DE100C" w:rsidRPr="00DE100C" w:rsidRDefault="00DE100C" w:rsidP="00DE100C">
      <w:pPr>
        <w:pStyle w:val="SingleTxt"/>
        <w:spacing w:after="0" w:line="120" w:lineRule="exact"/>
        <w:rPr>
          <w:sz w:val="10"/>
          <w:lang w:val="fr-FR"/>
        </w:rPr>
      </w:pPr>
    </w:p>
    <w:p w:rsidR="00826E0F" w:rsidRPr="00872599" w:rsidRDefault="00DE100C" w:rsidP="00DE100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826E0F" w:rsidRPr="00872599">
        <w:rPr>
          <w:lang w:val="fr-FR"/>
        </w:rPr>
        <w:t>Campagne contre le trafic des femmes pendant Euro 08</w:t>
      </w:r>
    </w:p>
    <w:p w:rsidR="00DE100C" w:rsidRPr="00DE100C" w:rsidRDefault="00DE100C" w:rsidP="00DE100C">
      <w:pPr>
        <w:pStyle w:val="SingleTxt"/>
        <w:spacing w:after="0" w:line="120" w:lineRule="exact"/>
        <w:rPr>
          <w:sz w:val="10"/>
          <w:lang w:val="fr-FR"/>
        </w:rPr>
      </w:pPr>
    </w:p>
    <w:p w:rsidR="00826E0F" w:rsidRPr="00872599" w:rsidRDefault="00DE100C" w:rsidP="00497599">
      <w:pPr>
        <w:pStyle w:val="SingleTxt"/>
        <w:rPr>
          <w:lang w:val="fr-FR"/>
        </w:rPr>
      </w:pPr>
      <w:r>
        <w:rPr>
          <w:lang w:val="fr-FR"/>
        </w:rPr>
        <w:tab/>
      </w:r>
      <w:r w:rsidR="00826E0F" w:rsidRPr="00872599">
        <w:rPr>
          <w:lang w:val="fr-FR"/>
        </w:rPr>
        <w:t>Du 7 au 29 juin 2008, le championnat d</w:t>
      </w:r>
      <w:r w:rsidR="006645B6">
        <w:rPr>
          <w:lang w:val="fr-FR"/>
        </w:rPr>
        <w:t>’</w:t>
      </w:r>
      <w:r w:rsidR="00826E0F" w:rsidRPr="00872599">
        <w:rPr>
          <w:lang w:val="fr-FR"/>
        </w:rPr>
        <w:t>Europe de football s</w:t>
      </w:r>
      <w:r w:rsidR="006645B6">
        <w:rPr>
          <w:lang w:val="fr-FR"/>
        </w:rPr>
        <w:t>’</w:t>
      </w:r>
      <w:r w:rsidR="00826E0F" w:rsidRPr="00872599">
        <w:rPr>
          <w:lang w:val="fr-FR"/>
        </w:rPr>
        <w:t>est tenu en Suisse et en Autriche. Au cours du championnat, une campagne a été lancée contre la traite des femmes. Cette campagne a été organisée par un large éventail de bureaux spécialisés et d</w:t>
      </w:r>
      <w:r w:rsidR="006645B6">
        <w:rPr>
          <w:lang w:val="fr-FR"/>
        </w:rPr>
        <w:t>’</w:t>
      </w:r>
      <w:r w:rsidR="00826E0F" w:rsidRPr="00872599">
        <w:rPr>
          <w:lang w:val="fr-FR"/>
        </w:rPr>
        <w:t>ONG de Suisse. Le Gouvernement de la principauté du Liechtenstein a soutenu cette campagne sous la forme d</w:t>
      </w:r>
      <w:r w:rsidR="006645B6">
        <w:rPr>
          <w:lang w:val="fr-FR"/>
        </w:rPr>
        <w:t>’</w:t>
      </w:r>
      <w:r w:rsidR="00826E0F" w:rsidRPr="00872599">
        <w:rPr>
          <w:lang w:val="fr-FR"/>
        </w:rPr>
        <w:t>une contribution de CHF 20</w:t>
      </w:r>
      <w:r>
        <w:rPr>
          <w:lang w:val="fr-FR"/>
        </w:rPr>
        <w:t> </w:t>
      </w:r>
      <w:r w:rsidR="00826E0F" w:rsidRPr="00872599">
        <w:rPr>
          <w:lang w:val="fr-FR"/>
        </w:rPr>
        <w:t>000. La campagne s</w:t>
      </w:r>
      <w:r w:rsidR="006645B6">
        <w:rPr>
          <w:lang w:val="fr-FR"/>
        </w:rPr>
        <w:t>’</w:t>
      </w:r>
      <w:r w:rsidR="00826E0F" w:rsidRPr="00872599">
        <w:rPr>
          <w:lang w:val="fr-FR"/>
        </w:rPr>
        <w:t>est également déroulée au Liechtenstein, notamment dans la fanzone Euro, où les rencontres étaient projetées sur un écran géant.</w:t>
      </w:r>
    </w:p>
    <w:p w:rsidR="00826E0F" w:rsidRPr="00872599" w:rsidRDefault="00DE100C" w:rsidP="00497599">
      <w:pPr>
        <w:pStyle w:val="SingleTxt"/>
        <w:rPr>
          <w:lang w:val="fr-FR"/>
        </w:rPr>
      </w:pPr>
      <w:r>
        <w:rPr>
          <w:lang w:val="fr-FR"/>
        </w:rPr>
        <w:tab/>
      </w:r>
      <w:r w:rsidR="00826E0F" w:rsidRPr="00872599">
        <w:rPr>
          <w:lang w:val="fr-FR"/>
        </w:rPr>
        <w:t>Dans le cadre de la campagne, le réseau des femmes a pris les initiatives suivantes</w:t>
      </w:r>
      <w:r w:rsidR="006645B6">
        <w:rPr>
          <w:lang w:val="fr-FR"/>
        </w:rPr>
        <w:t> :</w:t>
      </w:r>
    </w:p>
    <w:p w:rsidR="001277E7" w:rsidRDefault="001277E7" w:rsidP="001277E7">
      <w:pPr>
        <w:pStyle w:val="SingleTxt"/>
        <w:tabs>
          <w:tab w:val="right" w:pos="1685"/>
        </w:tabs>
        <w:ind w:left="1742" w:hanging="475"/>
        <w:rPr>
          <w:lang w:val="fr-FR"/>
        </w:rPr>
      </w:pPr>
      <w:r>
        <w:rPr>
          <w:lang w:val="fr-FR"/>
        </w:rPr>
        <w:tab/>
        <w:t xml:space="preserve"> •</w:t>
      </w:r>
      <w:r>
        <w:rPr>
          <w:lang w:val="fr-FR"/>
        </w:rPr>
        <w:tab/>
      </w:r>
      <w:r w:rsidR="00826E0F" w:rsidRPr="00872599">
        <w:rPr>
          <w:lang w:val="fr-FR"/>
        </w:rPr>
        <w:t>Spot commercial lié à la campagne dans la fanzone Euro à Vaduz: le spot a été projeté quinze fois sur l</w:t>
      </w:r>
      <w:r w:rsidR="006645B6">
        <w:rPr>
          <w:lang w:val="fr-FR"/>
        </w:rPr>
        <w:t>’</w:t>
      </w:r>
      <w:r w:rsidR="00826E0F" w:rsidRPr="00872599">
        <w:rPr>
          <w:lang w:val="fr-FR"/>
        </w:rPr>
        <w:t>écran géant dans la fanzone Euro à Vaduz. Il s</w:t>
      </w:r>
      <w:r w:rsidR="006645B6">
        <w:rPr>
          <w:lang w:val="fr-FR"/>
        </w:rPr>
        <w:t>’</w:t>
      </w:r>
      <w:r w:rsidR="00826E0F" w:rsidRPr="00872599">
        <w:rPr>
          <w:lang w:val="fr-FR"/>
        </w:rPr>
        <w:t>agissait du même spot que celui montré à la télévision suisse.</w:t>
      </w:r>
    </w:p>
    <w:p w:rsidR="001277E7" w:rsidRDefault="001277E7" w:rsidP="001277E7">
      <w:pPr>
        <w:pStyle w:val="SingleTxt"/>
        <w:tabs>
          <w:tab w:val="right" w:pos="1685"/>
        </w:tabs>
        <w:ind w:left="1742" w:hanging="475"/>
        <w:rPr>
          <w:lang w:val="fr-FR"/>
        </w:rPr>
      </w:pPr>
      <w:r>
        <w:rPr>
          <w:lang w:val="fr-FR"/>
        </w:rPr>
        <w:tab/>
        <w:t>•</w:t>
      </w:r>
      <w:r>
        <w:rPr>
          <w:lang w:val="fr-FR"/>
        </w:rPr>
        <w:tab/>
      </w:r>
      <w:r w:rsidR="00826E0F" w:rsidRPr="00872599">
        <w:rPr>
          <w:lang w:val="fr-FR"/>
        </w:rPr>
        <w:t>Brève présentation sur le site Web www.em-meile.li: les organisateurs de la fanzone Euro ont permis au réseau des femmes de faire une brève présentation de la campagne sur le site Web de la fanzone Euro en y incluant le logo de la campagne.</w:t>
      </w:r>
    </w:p>
    <w:p w:rsidR="001277E7" w:rsidRDefault="001277E7" w:rsidP="001277E7">
      <w:pPr>
        <w:pStyle w:val="SingleTxt"/>
        <w:tabs>
          <w:tab w:val="right" w:pos="1685"/>
        </w:tabs>
        <w:ind w:left="1742" w:hanging="475"/>
        <w:rPr>
          <w:lang w:val="fr-FR"/>
        </w:rPr>
      </w:pPr>
      <w:r>
        <w:rPr>
          <w:lang w:val="fr-FR"/>
        </w:rPr>
        <w:tab/>
        <w:t>•</w:t>
      </w:r>
      <w:r>
        <w:rPr>
          <w:lang w:val="fr-FR"/>
        </w:rPr>
        <w:tab/>
      </w:r>
      <w:r w:rsidR="00826E0F" w:rsidRPr="00872599">
        <w:rPr>
          <w:lang w:val="fr-FR"/>
        </w:rPr>
        <w:t>Campagne de distribution de cartes postales: les membres du réseau des femmes ont distribué dans les restaurants où le championnat était retransmis en direct environ 2000 cartes postales dans le cadre de la campagne contre la traite des femmes.</w:t>
      </w:r>
    </w:p>
    <w:p w:rsidR="001277E7" w:rsidRDefault="001277E7" w:rsidP="001277E7">
      <w:pPr>
        <w:pStyle w:val="SingleTxt"/>
        <w:tabs>
          <w:tab w:val="right" w:pos="1685"/>
        </w:tabs>
        <w:ind w:left="1742" w:hanging="475"/>
        <w:rPr>
          <w:lang w:val="fr-FR"/>
        </w:rPr>
      </w:pPr>
      <w:r>
        <w:rPr>
          <w:lang w:val="fr-FR"/>
        </w:rPr>
        <w:tab/>
        <w:t>•</w:t>
      </w:r>
      <w:r>
        <w:rPr>
          <w:lang w:val="fr-FR"/>
        </w:rPr>
        <w:tab/>
      </w:r>
      <w:r w:rsidR="00826E0F" w:rsidRPr="00872599">
        <w:rPr>
          <w:lang w:val="fr-FR"/>
        </w:rPr>
        <w:t>Articles de journaux</w:t>
      </w:r>
      <w:r w:rsidR="006645B6">
        <w:rPr>
          <w:lang w:val="fr-FR"/>
        </w:rPr>
        <w:t> :</w:t>
      </w:r>
      <w:r w:rsidR="00826E0F" w:rsidRPr="00872599">
        <w:rPr>
          <w:lang w:val="fr-FR"/>
        </w:rPr>
        <w:t xml:space="preserve"> le 6</w:t>
      </w:r>
      <w:r w:rsidR="00826E0F">
        <w:rPr>
          <w:lang w:val="fr-FR"/>
        </w:rPr>
        <w:t xml:space="preserve"> </w:t>
      </w:r>
      <w:r w:rsidR="00826E0F" w:rsidRPr="00872599">
        <w:rPr>
          <w:lang w:val="fr-FR"/>
        </w:rPr>
        <w:t>juin 2008, des articles ont été publiés sur la campagne dans les deux journaux nationaux afin d</w:t>
      </w:r>
      <w:r w:rsidR="006645B6">
        <w:rPr>
          <w:lang w:val="fr-FR"/>
        </w:rPr>
        <w:t>’</w:t>
      </w:r>
      <w:r w:rsidR="00826E0F" w:rsidRPr="00872599">
        <w:rPr>
          <w:lang w:val="fr-FR"/>
        </w:rPr>
        <w:t>obtenir des signatures pour la pétition en cours contre la traite des femmes en Suisse.</w:t>
      </w:r>
    </w:p>
    <w:p w:rsidR="00826E0F" w:rsidRPr="00872599" w:rsidRDefault="001277E7" w:rsidP="001277E7">
      <w:pPr>
        <w:pStyle w:val="SingleTxt"/>
        <w:tabs>
          <w:tab w:val="right" w:pos="1685"/>
        </w:tabs>
        <w:ind w:left="1742" w:hanging="475"/>
        <w:rPr>
          <w:lang w:val="fr-FR"/>
        </w:rPr>
      </w:pPr>
      <w:r>
        <w:rPr>
          <w:lang w:val="fr-FR"/>
        </w:rPr>
        <w:tab/>
        <w:t>•</w:t>
      </w:r>
      <w:r>
        <w:rPr>
          <w:lang w:val="fr-FR"/>
        </w:rPr>
        <w:tab/>
      </w:r>
      <w:r w:rsidR="00826E0F" w:rsidRPr="00872599">
        <w:rPr>
          <w:lang w:val="fr-FR"/>
        </w:rPr>
        <w:t>EURO-NEWS: EURO-NEWS du Vaduzer Medienhaus (26 et 29 juin) a publié</w:t>
      </w:r>
      <w:r w:rsidR="00826E0F" w:rsidRPr="00F50141">
        <w:rPr>
          <w:lang w:val="fr-FR"/>
        </w:rPr>
        <w:t xml:space="preserve"> </w:t>
      </w:r>
      <w:r w:rsidR="00826E0F" w:rsidRPr="00872599">
        <w:rPr>
          <w:lang w:val="fr-FR"/>
        </w:rPr>
        <w:t>des annonces sur la pétition dans deux de ses numéros.</w:t>
      </w:r>
    </w:p>
    <w:p w:rsidR="001277E7" w:rsidRPr="001277E7" w:rsidRDefault="001277E7" w:rsidP="001277E7">
      <w:pPr>
        <w:pStyle w:val="SingleTxt"/>
        <w:spacing w:after="0" w:line="120" w:lineRule="exact"/>
        <w:rPr>
          <w:sz w:val="10"/>
          <w:lang w:val="fr-FR"/>
        </w:rPr>
      </w:pPr>
    </w:p>
    <w:p w:rsidR="00826E0F" w:rsidRPr="00872599" w:rsidRDefault="001277E7" w:rsidP="001277E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826E0F" w:rsidRPr="00872599">
        <w:rPr>
          <w:lang w:val="fr-FR"/>
        </w:rPr>
        <w:t>Ratification du Protocole des Nations Unies contre le trafic des êtres humains</w:t>
      </w:r>
    </w:p>
    <w:p w:rsidR="001277E7" w:rsidRPr="001277E7" w:rsidRDefault="001277E7" w:rsidP="001277E7">
      <w:pPr>
        <w:pStyle w:val="SingleTxt"/>
        <w:spacing w:after="0" w:line="120" w:lineRule="exact"/>
        <w:rPr>
          <w:sz w:val="10"/>
          <w:lang w:val="fr-FR"/>
        </w:rPr>
      </w:pPr>
    </w:p>
    <w:p w:rsidR="00826E0F" w:rsidRPr="00872599" w:rsidRDefault="001277E7" w:rsidP="00497599">
      <w:pPr>
        <w:pStyle w:val="SingleTxt"/>
        <w:rPr>
          <w:lang w:val="fr-FR"/>
        </w:rPr>
      </w:pPr>
      <w:r>
        <w:rPr>
          <w:lang w:val="fr-FR"/>
        </w:rPr>
        <w:tab/>
      </w:r>
      <w:r w:rsidR="00826E0F" w:rsidRPr="00872599">
        <w:rPr>
          <w:lang w:val="fr-FR"/>
        </w:rPr>
        <w:t xml:space="preserve">Depuis mars 2008, le Liechtenstein est partie à </w:t>
      </w:r>
      <w:smartTag w:uri="urn:schemas-microsoft-com:office:smarttags" w:element="PersonName">
        <w:smartTagPr>
          <w:attr w:name="ProductID" w:val="la Convention"/>
        </w:smartTagPr>
        <w:r w:rsidR="00826E0F" w:rsidRPr="00872599">
          <w:rPr>
            <w:lang w:val="fr-FR"/>
          </w:rPr>
          <w:t>la Convention</w:t>
        </w:r>
      </w:smartTag>
      <w:r w:rsidR="00826E0F" w:rsidRPr="00872599">
        <w:rPr>
          <w:lang w:val="fr-FR"/>
        </w:rPr>
        <w:t xml:space="preserve"> contre la criminalité transnationale organisée (Convention de Palerme) et à son protocole contre le trafic de migrants et à celui visant à prévenir, réprimer et punir la traite des personnes, en particulier des femmes et des enfants. La nouvelle définition du trafic des êtres humains dans le code pénal du </w:t>
      </w:r>
      <w:r w:rsidR="00826E0F">
        <w:rPr>
          <w:lang w:val="fr-FR"/>
        </w:rPr>
        <w:t xml:space="preserve">Liechtenstein (paragraphe </w:t>
      </w:r>
      <w:r w:rsidR="00826E0F" w:rsidRPr="00872599">
        <w:rPr>
          <w:lang w:val="fr-FR"/>
        </w:rPr>
        <w:t>104a StGB) est conforme à la définition du protocole.</w:t>
      </w:r>
    </w:p>
    <w:p w:rsidR="008A4E39" w:rsidRPr="008A4E39" w:rsidRDefault="008A4E39" w:rsidP="008A4E3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lang w:val="fr-FR"/>
        </w:rPr>
      </w:pPr>
    </w:p>
    <w:p w:rsidR="00826E0F" w:rsidRPr="00872599" w:rsidRDefault="00826E0F" w:rsidP="001277E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872599">
        <w:rPr>
          <w:lang w:val="fr-FR"/>
        </w:rPr>
        <w:t xml:space="preserve"> </w:t>
      </w:r>
      <w:bookmarkStart w:id="25" w:name="_Toc512341770"/>
      <w:bookmarkStart w:id="26" w:name="_Toc137007650"/>
      <w:bookmarkStart w:id="27" w:name="_Toc239741029"/>
      <w:r w:rsidR="001277E7">
        <w:rPr>
          <w:lang w:val="fr-FR"/>
        </w:rPr>
        <w:tab/>
      </w:r>
      <w:r w:rsidRPr="00872599">
        <w:rPr>
          <w:lang w:val="fr-FR"/>
        </w:rPr>
        <w:t>Article 7</w:t>
      </w:r>
      <w:r w:rsidR="00A03470">
        <w:rPr>
          <w:lang w:val="fr-FR"/>
        </w:rPr>
        <w:t>.</w:t>
      </w:r>
      <w:r w:rsidRPr="00872599">
        <w:rPr>
          <w:lang w:val="fr-FR"/>
        </w:rPr>
        <w:tab/>
      </w:r>
      <w:bookmarkEnd w:id="25"/>
      <w:bookmarkEnd w:id="26"/>
      <w:bookmarkEnd w:id="27"/>
      <w:r w:rsidRPr="00872599">
        <w:rPr>
          <w:lang w:val="fr-FR"/>
        </w:rPr>
        <w:t>Égalité dans la vie politique et publique</w:t>
      </w:r>
    </w:p>
    <w:p w:rsidR="001277E7" w:rsidRPr="001277E7" w:rsidRDefault="001277E7" w:rsidP="001277E7">
      <w:pPr>
        <w:pStyle w:val="SingleTxt"/>
        <w:spacing w:after="0" w:line="120" w:lineRule="exact"/>
        <w:rPr>
          <w:sz w:val="10"/>
          <w:lang w:val="fr-FR"/>
        </w:rPr>
      </w:pPr>
    </w:p>
    <w:p w:rsidR="001277E7" w:rsidRPr="001277E7" w:rsidRDefault="001277E7" w:rsidP="001277E7">
      <w:pPr>
        <w:pStyle w:val="SingleTxt"/>
        <w:pBdr>
          <w:top w:val="single" w:sz="4" w:space="1" w:color="auto"/>
          <w:left w:val="single" w:sz="4" w:space="4" w:color="auto"/>
          <w:bottom w:val="single" w:sz="4" w:space="1" w:color="auto"/>
          <w:right w:val="single" w:sz="4" w:space="4" w:color="auto"/>
        </w:pBdr>
        <w:spacing w:after="0" w:line="120" w:lineRule="exact"/>
        <w:rPr>
          <w:sz w:val="10"/>
          <w:lang w:val="fr-FR"/>
        </w:rPr>
      </w:pPr>
    </w:p>
    <w:p w:rsidR="00826E0F" w:rsidRPr="001277E7" w:rsidRDefault="00826E0F" w:rsidP="001277E7">
      <w:pPr>
        <w:pStyle w:val="SingleTxt"/>
        <w:pBdr>
          <w:top w:val="single" w:sz="4" w:space="1" w:color="auto"/>
          <w:left w:val="single" w:sz="4" w:space="4" w:color="auto"/>
          <w:bottom w:val="single" w:sz="4" w:space="1" w:color="auto"/>
          <w:right w:val="single" w:sz="4" w:space="4" w:color="auto"/>
        </w:pBdr>
        <w:rPr>
          <w:b/>
          <w:lang w:val="fr-FR"/>
        </w:rPr>
      </w:pPr>
      <w:r w:rsidRPr="001277E7">
        <w:rPr>
          <w:b/>
          <w:lang w:val="fr-FR"/>
        </w:rPr>
        <w:t xml:space="preserve">Recommandation du Comité de </w:t>
      </w:r>
      <w:smartTag w:uri="urn:schemas-microsoft-com:office:smarttags" w:element="PersonName">
        <w:smartTagPr>
          <w:attr w:name="ProductID" w:val="la CEDAW"/>
        </w:smartTagPr>
        <w:r w:rsidRPr="001277E7">
          <w:rPr>
            <w:b/>
            <w:lang w:val="fr-FR"/>
          </w:rPr>
          <w:t>la CEDAW</w:t>
        </w:r>
      </w:smartTag>
      <w:r w:rsidRPr="001277E7">
        <w:rPr>
          <w:b/>
          <w:lang w:val="fr-FR"/>
        </w:rPr>
        <w:t>, n</w:t>
      </w:r>
      <w:r w:rsidRPr="006645B6">
        <w:rPr>
          <w:b/>
          <w:vertAlign w:val="superscript"/>
          <w:lang w:val="fr-FR"/>
        </w:rPr>
        <w:t>o</w:t>
      </w:r>
      <w:r w:rsidR="006645B6">
        <w:rPr>
          <w:b/>
          <w:vertAlign w:val="superscript"/>
          <w:lang w:val="fr-FR"/>
        </w:rPr>
        <w:t xml:space="preserve"> </w:t>
      </w:r>
      <w:r w:rsidRPr="001277E7">
        <w:rPr>
          <w:b/>
          <w:lang w:val="fr-FR"/>
        </w:rPr>
        <w:t>18:</w:t>
      </w:r>
    </w:p>
    <w:p w:rsidR="00826E0F" w:rsidRPr="00872599" w:rsidRDefault="00826E0F" w:rsidP="001277E7">
      <w:pPr>
        <w:pStyle w:val="SingleTxt"/>
        <w:pBdr>
          <w:top w:val="single" w:sz="4" w:space="1" w:color="auto"/>
          <w:left w:val="single" w:sz="4" w:space="4" w:color="auto"/>
          <w:bottom w:val="single" w:sz="4" w:space="1" w:color="auto"/>
          <w:right w:val="single" w:sz="4" w:space="4" w:color="auto"/>
        </w:pBdr>
        <w:rPr>
          <w:i/>
          <w:lang w:val="fr-FR"/>
        </w:rPr>
      </w:pPr>
      <w:r w:rsidRPr="00872599">
        <w:rPr>
          <w:i/>
          <w:lang w:val="fr-FR"/>
        </w:rPr>
        <w:t>Le Comité encourage l</w:t>
      </w:r>
      <w:r w:rsidR="006645B6">
        <w:rPr>
          <w:i/>
          <w:lang w:val="fr-FR"/>
        </w:rPr>
        <w:t>’</w:t>
      </w:r>
      <w:r w:rsidRPr="00872599">
        <w:rPr>
          <w:i/>
          <w:lang w:val="fr-FR"/>
        </w:rPr>
        <w:t>État partie à redoubler d</w:t>
      </w:r>
      <w:r w:rsidR="006645B6">
        <w:rPr>
          <w:i/>
          <w:lang w:val="fr-FR"/>
        </w:rPr>
        <w:t>’</w:t>
      </w:r>
      <w:r w:rsidRPr="00872599">
        <w:rPr>
          <w:i/>
          <w:lang w:val="fr-FR"/>
        </w:rPr>
        <w:t>efforts pour que davantage de femmes occupent des postes de direction et de décision dans les organes politiques, notamment le Parlement, les conseils municipaux, les commissions et les conseils consultatifs, dans l</w:t>
      </w:r>
      <w:r w:rsidR="006645B6">
        <w:rPr>
          <w:i/>
          <w:lang w:val="fr-FR"/>
        </w:rPr>
        <w:t>’</w:t>
      </w:r>
      <w:r w:rsidRPr="00872599">
        <w:rPr>
          <w:i/>
          <w:lang w:val="fr-FR"/>
        </w:rPr>
        <w:t>administration publique, notamment le corps diplomatique et dans le secteur privé. Il lui recommande d</w:t>
      </w:r>
      <w:r w:rsidR="006645B6">
        <w:rPr>
          <w:i/>
          <w:lang w:val="fr-FR"/>
        </w:rPr>
        <w:t>’</w:t>
      </w:r>
      <w:r w:rsidRPr="00872599">
        <w:rPr>
          <w:i/>
          <w:lang w:val="fr-FR"/>
        </w:rPr>
        <w:t>élargir ses activités de sensibilisation et de formation à des catégories plus nombreuses de parties prenantes, dont les dirigeants des partis politiques, les dirigeants d</w:t>
      </w:r>
      <w:r w:rsidR="006645B6">
        <w:rPr>
          <w:i/>
          <w:lang w:val="fr-FR"/>
        </w:rPr>
        <w:t>’</w:t>
      </w:r>
      <w:r w:rsidRPr="00872599">
        <w:rPr>
          <w:i/>
          <w:lang w:val="fr-FR"/>
        </w:rPr>
        <w:t>entreprise du secteur privé et les conseils d</w:t>
      </w:r>
      <w:r w:rsidR="006645B6">
        <w:rPr>
          <w:i/>
          <w:lang w:val="fr-FR"/>
        </w:rPr>
        <w:t>’</w:t>
      </w:r>
      <w:r w:rsidRPr="00872599">
        <w:rPr>
          <w:i/>
          <w:lang w:val="fr-FR"/>
        </w:rPr>
        <w:t>administration des fondations de droit public. Il lui recommande également de prendre des mesures, en particulier des mesures temporaires spéciales, conformément au paragraphe 1 de l</w:t>
      </w:r>
      <w:r w:rsidR="006645B6">
        <w:rPr>
          <w:i/>
          <w:lang w:val="fr-FR"/>
        </w:rPr>
        <w:t>’</w:t>
      </w:r>
      <w:r w:rsidRPr="00872599">
        <w:rPr>
          <w:i/>
          <w:lang w:val="fr-FR"/>
        </w:rPr>
        <w:t xml:space="preserve">article 4 de </w:t>
      </w:r>
      <w:smartTag w:uri="urn:schemas-microsoft-com:office:smarttags" w:element="PersonName">
        <w:smartTagPr>
          <w:attr w:name="ProductID" w:val="la Convention"/>
        </w:smartTagPr>
        <w:r w:rsidRPr="00872599">
          <w:rPr>
            <w:i/>
            <w:lang w:val="fr-FR"/>
          </w:rPr>
          <w:t>la Convention</w:t>
        </w:r>
      </w:smartTag>
      <w:r w:rsidRPr="00872599">
        <w:rPr>
          <w:i/>
          <w:lang w:val="fr-FR"/>
        </w:rPr>
        <w:t xml:space="preserve"> et à ses propres recommandations générales 25, sur les mesures spéciales temporaires, et 23, sur les femmes dans la vie publique, pour concrétiser plus rapidement la pleine participation des femmes, à tous les niveaux et dans tous les domaines, dans des conditions d</w:t>
      </w:r>
      <w:r w:rsidR="006645B6">
        <w:rPr>
          <w:i/>
          <w:lang w:val="fr-FR"/>
        </w:rPr>
        <w:t>’</w:t>
      </w:r>
      <w:r w:rsidRPr="00872599">
        <w:rPr>
          <w:i/>
          <w:lang w:val="fr-FR"/>
        </w:rPr>
        <w:t>égalité. Il demande à l</w:t>
      </w:r>
      <w:r w:rsidR="006645B6">
        <w:rPr>
          <w:i/>
          <w:lang w:val="fr-FR"/>
        </w:rPr>
        <w:t>’</w:t>
      </w:r>
      <w:r w:rsidRPr="00872599">
        <w:rPr>
          <w:i/>
          <w:lang w:val="fr-FR"/>
        </w:rPr>
        <w:t>État partie de suivre l</w:t>
      </w:r>
      <w:r w:rsidR="006645B6">
        <w:rPr>
          <w:i/>
          <w:lang w:val="fr-FR"/>
        </w:rPr>
        <w:t>’</w:t>
      </w:r>
      <w:r w:rsidRPr="00872599">
        <w:rPr>
          <w:i/>
          <w:lang w:val="fr-FR"/>
        </w:rPr>
        <w:t>impact des mesures prises et les résultats obtenus et d</w:t>
      </w:r>
      <w:r w:rsidR="006645B6">
        <w:rPr>
          <w:i/>
          <w:lang w:val="fr-FR"/>
        </w:rPr>
        <w:t>’</w:t>
      </w:r>
      <w:r w:rsidRPr="00872599">
        <w:rPr>
          <w:i/>
          <w:lang w:val="fr-FR"/>
        </w:rPr>
        <w:t>en rendre compte dans son prochain rapport périodique.</w:t>
      </w:r>
    </w:p>
    <w:p w:rsidR="001277E7" w:rsidRPr="001277E7" w:rsidRDefault="001277E7" w:rsidP="001277E7">
      <w:pPr>
        <w:pStyle w:val="SingleTxt"/>
        <w:spacing w:after="0" w:line="120" w:lineRule="exact"/>
        <w:rPr>
          <w:i/>
          <w:sz w:val="10"/>
          <w:lang w:val="fr-FR"/>
        </w:rPr>
      </w:pPr>
    </w:p>
    <w:p w:rsidR="00826E0F" w:rsidRPr="00872599" w:rsidRDefault="001277E7" w:rsidP="001277E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00826E0F" w:rsidRPr="00872599">
        <w:rPr>
          <w:lang w:val="fr-FR"/>
        </w:rPr>
        <w:t>a)</w:t>
      </w:r>
      <w:r w:rsidR="00826E0F" w:rsidRPr="00872599">
        <w:rPr>
          <w:lang w:val="fr-FR"/>
        </w:rPr>
        <w:tab/>
        <w:t>Proportion des femmes occupant une fonction publique</w:t>
      </w:r>
    </w:p>
    <w:p w:rsidR="001277E7" w:rsidRPr="001277E7" w:rsidRDefault="001277E7" w:rsidP="001277E7">
      <w:pPr>
        <w:pStyle w:val="SingleTxt"/>
        <w:spacing w:after="0" w:line="120" w:lineRule="exact"/>
        <w:rPr>
          <w:sz w:val="10"/>
          <w:lang w:val="fr-FR"/>
        </w:rPr>
      </w:pPr>
    </w:p>
    <w:p w:rsidR="00826E0F" w:rsidRPr="00872599" w:rsidRDefault="001277E7" w:rsidP="00497599">
      <w:pPr>
        <w:pStyle w:val="SingleTxt"/>
        <w:rPr>
          <w:lang w:val="fr-FR"/>
        </w:rPr>
      </w:pPr>
      <w:r>
        <w:rPr>
          <w:lang w:val="fr-FR"/>
        </w:rPr>
        <w:tab/>
      </w:r>
      <w:r w:rsidR="00826E0F" w:rsidRPr="00872599">
        <w:rPr>
          <w:lang w:val="fr-FR"/>
        </w:rPr>
        <w:t>De 1993 à 1997, deux des cinq ministres étaient des femmes</w:t>
      </w:r>
      <w:r w:rsidR="006645B6">
        <w:rPr>
          <w:lang w:val="fr-FR"/>
        </w:rPr>
        <w:t>;</w:t>
      </w:r>
      <w:r w:rsidR="00826E0F" w:rsidRPr="00872599">
        <w:rPr>
          <w:lang w:val="fr-FR"/>
        </w:rPr>
        <w:t xml:space="preserve"> de 1997 à 2009, un ministre était une femme</w:t>
      </w:r>
      <w:r w:rsidR="00826E0F">
        <w:rPr>
          <w:lang w:val="fr-FR"/>
        </w:rPr>
        <w:t>. D</w:t>
      </w:r>
      <w:r w:rsidR="00826E0F" w:rsidRPr="00872599">
        <w:rPr>
          <w:lang w:val="fr-FR"/>
        </w:rPr>
        <w:t>epuis mars 2009, de</w:t>
      </w:r>
      <w:r w:rsidR="00826E0F">
        <w:rPr>
          <w:lang w:val="fr-FR"/>
        </w:rPr>
        <w:t>ux</w:t>
      </w:r>
      <w:r w:rsidR="00826E0F" w:rsidRPr="00872599">
        <w:rPr>
          <w:lang w:val="fr-FR"/>
        </w:rPr>
        <w:t xml:space="preserve"> femmes sont de nouveau membres du Gouvernement. Au cours de la présente législature (2009-2013), six des vingt-cinq sièges sont occupés par des femmes et deux des sept parlementaires suppléants sont des femmes.</w:t>
      </w:r>
    </w:p>
    <w:p w:rsidR="00826E0F" w:rsidRPr="00872599" w:rsidRDefault="001277E7" w:rsidP="00497599">
      <w:pPr>
        <w:pStyle w:val="SingleTxt"/>
        <w:rPr>
          <w:lang w:val="fr-FR"/>
        </w:rPr>
      </w:pPr>
      <w:r>
        <w:rPr>
          <w:lang w:val="fr-FR"/>
        </w:rPr>
        <w:tab/>
        <w:t>l</w:t>
      </w:r>
      <w:r w:rsidR="00826E0F" w:rsidRPr="00872599">
        <w:rPr>
          <w:lang w:val="fr-FR"/>
        </w:rPr>
        <w:t xml:space="preserve">es 11 municipalités du Liechtenstein sont administrées </w:t>
      </w:r>
      <w:r w:rsidR="00826E0F">
        <w:rPr>
          <w:lang w:val="fr-FR"/>
        </w:rPr>
        <w:t xml:space="preserve">chacune </w:t>
      </w:r>
      <w:r w:rsidR="00826E0F" w:rsidRPr="00872599">
        <w:rPr>
          <w:lang w:val="fr-FR"/>
        </w:rPr>
        <w:t>par un conseil municipal élu tous les quatre ans et placé sous la direction d</w:t>
      </w:r>
      <w:r w:rsidR="006645B6">
        <w:rPr>
          <w:lang w:val="fr-FR"/>
        </w:rPr>
        <w:t>’</w:t>
      </w:r>
      <w:r w:rsidR="00826E0F" w:rsidRPr="00872599">
        <w:rPr>
          <w:lang w:val="fr-FR"/>
        </w:rPr>
        <w:t>un maire directement élu. Au cours du mandat actuel (2007-2011), tous les maires sont des hommes. 29 femmes (27</w:t>
      </w:r>
      <w:r w:rsidR="006645B6">
        <w:rPr>
          <w:lang w:val="fr-FR"/>
        </w:rPr>
        <w:t> %</w:t>
      </w:r>
      <w:r w:rsidR="00826E0F" w:rsidRPr="00872599">
        <w:rPr>
          <w:lang w:val="fr-FR"/>
        </w:rPr>
        <w:t>) et 77 hommes (73</w:t>
      </w:r>
      <w:r w:rsidR="006645B6">
        <w:rPr>
          <w:lang w:val="fr-FR"/>
        </w:rPr>
        <w:t> %</w:t>
      </w:r>
      <w:r w:rsidR="00826E0F" w:rsidRPr="00872599">
        <w:rPr>
          <w:lang w:val="fr-FR"/>
        </w:rPr>
        <w:t>) siègent aux conseils municipaux contre 17 femmes (15,5</w:t>
      </w:r>
      <w:r w:rsidR="006645B6">
        <w:rPr>
          <w:lang w:val="fr-FR"/>
        </w:rPr>
        <w:t> %</w:t>
      </w:r>
      <w:r w:rsidR="00826E0F" w:rsidRPr="00872599">
        <w:rPr>
          <w:lang w:val="fr-FR"/>
        </w:rPr>
        <w:t>) et 93 Hamelin (84,5</w:t>
      </w:r>
      <w:r w:rsidR="006645B6">
        <w:rPr>
          <w:lang w:val="fr-FR"/>
        </w:rPr>
        <w:t> %</w:t>
      </w:r>
      <w:r w:rsidR="00826E0F" w:rsidRPr="00872599">
        <w:rPr>
          <w:lang w:val="fr-FR"/>
        </w:rPr>
        <w:t>) en 1999. Lors des élections municipales de 2007, les possibilités pour une candidate d</w:t>
      </w:r>
      <w:r w:rsidR="006645B6">
        <w:rPr>
          <w:lang w:val="fr-FR"/>
        </w:rPr>
        <w:t>’</w:t>
      </w:r>
      <w:r w:rsidR="00826E0F" w:rsidRPr="00872599">
        <w:rPr>
          <w:lang w:val="fr-FR"/>
        </w:rPr>
        <w:t>être élue aux conseils municipaux étaient de 55,8</w:t>
      </w:r>
      <w:r w:rsidR="006645B6">
        <w:rPr>
          <w:lang w:val="fr-FR"/>
        </w:rPr>
        <w:t> %</w:t>
      </w:r>
      <w:r w:rsidR="00826E0F" w:rsidRPr="00872599">
        <w:rPr>
          <w:lang w:val="fr-FR"/>
        </w:rPr>
        <w:t>.</w:t>
      </w:r>
    </w:p>
    <w:p w:rsidR="001277E7" w:rsidRPr="001277E7" w:rsidRDefault="001277E7" w:rsidP="001277E7">
      <w:pPr>
        <w:pStyle w:val="SingleTxt"/>
        <w:spacing w:after="0" w:line="120" w:lineRule="exact"/>
        <w:rPr>
          <w:sz w:val="10"/>
          <w:lang w:val="fr-FR"/>
        </w:rPr>
      </w:pPr>
    </w:p>
    <w:p w:rsidR="00826E0F" w:rsidRDefault="001277E7" w:rsidP="001277E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826E0F" w:rsidRPr="001277E7">
        <w:rPr>
          <w:b w:val="0"/>
          <w:lang w:val="fr-FR"/>
        </w:rPr>
        <w:t>Table</w:t>
      </w:r>
      <w:r w:rsidRPr="001277E7">
        <w:rPr>
          <w:b w:val="0"/>
          <w:lang w:val="fr-FR"/>
        </w:rPr>
        <w:t>au</w:t>
      </w:r>
      <w:r w:rsidR="00826E0F" w:rsidRPr="001277E7">
        <w:rPr>
          <w:b w:val="0"/>
          <w:lang w:val="fr-FR"/>
        </w:rPr>
        <w:t xml:space="preserve"> 4</w:t>
      </w:r>
      <w:r w:rsidRPr="001277E7">
        <w:rPr>
          <w:b w:val="0"/>
          <w:lang w:val="fr-FR"/>
        </w:rPr>
        <w:br/>
      </w:r>
      <w:r>
        <w:rPr>
          <w:lang w:val="fr-FR"/>
        </w:rPr>
        <w:t>p</w:t>
      </w:r>
      <w:r w:rsidR="00826E0F" w:rsidRPr="00872599">
        <w:rPr>
          <w:lang w:val="fr-FR"/>
        </w:rPr>
        <w:t xml:space="preserve">roportion de femmes au Gouvernement, au Parlement et dans les 11 conseils municipaux </w:t>
      </w:r>
    </w:p>
    <w:p w:rsidR="001277E7" w:rsidRPr="001277E7" w:rsidRDefault="001277E7" w:rsidP="001277E7">
      <w:pPr>
        <w:pStyle w:val="SingleTxt"/>
        <w:spacing w:after="0" w:line="120" w:lineRule="exact"/>
        <w:rPr>
          <w:sz w:val="10"/>
          <w:lang w:val="fr-FR"/>
        </w:rPr>
      </w:pPr>
    </w:p>
    <w:tbl>
      <w:tblPr>
        <w:tblW w:w="0" w:type="auto"/>
        <w:tblInd w:w="1395" w:type="dxa"/>
        <w:tblLayout w:type="fixed"/>
        <w:tblLook w:val="0000" w:firstRow="0" w:lastRow="0" w:firstColumn="0" w:lastColumn="0" w:noHBand="0" w:noVBand="0"/>
      </w:tblPr>
      <w:tblGrid>
        <w:gridCol w:w="1476"/>
        <w:gridCol w:w="968"/>
        <w:gridCol w:w="1187"/>
        <w:gridCol w:w="1187"/>
        <w:gridCol w:w="1187"/>
        <w:gridCol w:w="1187"/>
      </w:tblGrid>
      <w:tr w:rsidR="00826E0F" w:rsidRPr="001277E7" w:rsidTr="00945242">
        <w:trPr>
          <w:tblHeader/>
        </w:trPr>
        <w:tc>
          <w:tcPr>
            <w:tcW w:w="1476" w:type="dxa"/>
            <w:tcBorders>
              <w:top w:val="single" w:sz="4" w:space="0" w:color="auto"/>
              <w:bottom w:val="single" w:sz="12" w:space="0" w:color="auto"/>
            </w:tcBorders>
            <w:shd w:val="clear" w:color="auto" w:fill="auto"/>
            <w:vAlign w:val="bottom"/>
          </w:tcPr>
          <w:p w:rsidR="00826E0F" w:rsidRPr="001277E7" w:rsidRDefault="00826E0F" w:rsidP="001277E7">
            <w:pPr>
              <w:pStyle w:val="SingleTxt"/>
              <w:suppressAutoHyphens/>
              <w:spacing w:before="80" w:after="80" w:line="160" w:lineRule="exact"/>
              <w:ind w:left="0" w:right="43"/>
              <w:rPr>
                <w:i/>
                <w:sz w:val="14"/>
                <w:lang w:val="fr-FR"/>
              </w:rPr>
            </w:pPr>
            <w:r w:rsidRPr="001277E7">
              <w:rPr>
                <w:i/>
                <w:sz w:val="14"/>
                <w:lang w:val="fr-FR"/>
              </w:rPr>
              <w:t>Organe</w:t>
            </w:r>
          </w:p>
        </w:tc>
        <w:tc>
          <w:tcPr>
            <w:tcW w:w="968" w:type="dxa"/>
            <w:tcBorders>
              <w:top w:val="single" w:sz="4" w:space="0" w:color="auto"/>
              <w:bottom w:val="single" w:sz="12" w:space="0" w:color="auto"/>
            </w:tcBorders>
            <w:shd w:val="clear" w:color="auto" w:fill="auto"/>
            <w:vAlign w:val="bottom"/>
          </w:tcPr>
          <w:p w:rsidR="00826E0F" w:rsidRPr="001277E7" w:rsidRDefault="00826E0F" w:rsidP="001277E7">
            <w:pPr>
              <w:pStyle w:val="SingleTxt"/>
              <w:suppressAutoHyphens/>
              <w:spacing w:before="80" w:after="80" w:line="160" w:lineRule="exact"/>
              <w:ind w:left="0" w:right="43"/>
              <w:jc w:val="right"/>
              <w:rPr>
                <w:i/>
                <w:sz w:val="14"/>
                <w:lang w:val="fr-FR"/>
              </w:rPr>
            </w:pPr>
            <w:r w:rsidRPr="001277E7">
              <w:rPr>
                <w:i/>
                <w:sz w:val="14"/>
                <w:lang w:val="fr-FR"/>
              </w:rPr>
              <w:t>Membres</w:t>
            </w:r>
          </w:p>
        </w:tc>
        <w:tc>
          <w:tcPr>
            <w:tcW w:w="1187" w:type="dxa"/>
            <w:tcBorders>
              <w:top w:val="single" w:sz="4" w:space="0" w:color="auto"/>
              <w:bottom w:val="single" w:sz="12" w:space="0" w:color="auto"/>
            </w:tcBorders>
            <w:shd w:val="clear" w:color="auto" w:fill="auto"/>
            <w:vAlign w:val="bottom"/>
          </w:tcPr>
          <w:p w:rsidR="00826E0F" w:rsidRPr="001277E7" w:rsidRDefault="00826E0F" w:rsidP="001277E7">
            <w:pPr>
              <w:pStyle w:val="SingleTxt"/>
              <w:suppressAutoHyphens/>
              <w:spacing w:before="80" w:after="80" w:line="160" w:lineRule="exact"/>
              <w:ind w:left="0" w:right="43"/>
              <w:jc w:val="right"/>
              <w:rPr>
                <w:i/>
                <w:sz w:val="14"/>
                <w:lang w:val="fr-FR"/>
              </w:rPr>
            </w:pPr>
            <w:r w:rsidRPr="001277E7">
              <w:rPr>
                <w:i/>
                <w:sz w:val="14"/>
                <w:lang w:val="fr-FR"/>
              </w:rPr>
              <w:t>1985</w:t>
            </w:r>
          </w:p>
        </w:tc>
        <w:tc>
          <w:tcPr>
            <w:tcW w:w="1187" w:type="dxa"/>
            <w:tcBorders>
              <w:top w:val="single" w:sz="4" w:space="0" w:color="auto"/>
              <w:bottom w:val="single" w:sz="12" w:space="0" w:color="auto"/>
            </w:tcBorders>
            <w:shd w:val="clear" w:color="auto" w:fill="auto"/>
            <w:vAlign w:val="bottom"/>
          </w:tcPr>
          <w:p w:rsidR="00826E0F" w:rsidRPr="001277E7" w:rsidRDefault="00826E0F" w:rsidP="001277E7">
            <w:pPr>
              <w:pStyle w:val="SingleTxt"/>
              <w:suppressAutoHyphens/>
              <w:spacing w:before="80" w:after="80" w:line="160" w:lineRule="exact"/>
              <w:ind w:left="0" w:right="43"/>
              <w:jc w:val="right"/>
              <w:rPr>
                <w:i/>
                <w:sz w:val="14"/>
                <w:lang w:val="fr-FR"/>
              </w:rPr>
            </w:pPr>
            <w:r w:rsidRPr="001277E7">
              <w:rPr>
                <w:i/>
                <w:sz w:val="14"/>
                <w:lang w:val="fr-FR"/>
              </w:rPr>
              <w:t>1995</w:t>
            </w:r>
          </w:p>
        </w:tc>
        <w:tc>
          <w:tcPr>
            <w:tcW w:w="1187" w:type="dxa"/>
            <w:tcBorders>
              <w:top w:val="single" w:sz="4" w:space="0" w:color="auto"/>
              <w:bottom w:val="single" w:sz="12" w:space="0" w:color="auto"/>
            </w:tcBorders>
            <w:shd w:val="clear" w:color="auto" w:fill="auto"/>
            <w:vAlign w:val="bottom"/>
          </w:tcPr>
          <w:p w:rsidR="00826E0F" w:rsidRPr="001277E7" w:rsidRDefault="00826E0F" w:rsidP="001277E7">
            <w:pPr>
              <w:pStyle w:val="SingleTxt"/>
              <w:suppressAutoHyphens/>
              <w:spacing w:before="80" w:after="80" w:line="160" w:lineRule="exact"/>
              <w:ind w:left="0" w:right="43"/>
              <w:jc w:val="right"/>
              <w:rPr>
                <w:i/>
                <w:sz w:val="14"/>
                <w:lang w:val="fr-FR"/>
              </w:rPr>
            </w:pPr>
            <w:r w:rsidRPr="001277E7">
              <w:rPr>
                <w:i/>
                <w:sz w:val="14"/>
                <w:lang w:val="fr-FR"/>
              </w:rPr>
              <w:t>2008</w:t>
            </w:r>
          </w:p>
        </w:tc>
        <w:tc>
          <w:tcPr>
            <w:tcW w:w="1187" w:type="dxa"/>
            <w:tcBorders>
              <w:top w:val="single" w:sz="4" w:space="0" w:color="auto"/>
              <w:bottom w:val="single" w:sz="12" w:space="0" w:color="auto"/>
            </w:tcBorders>
            <w:shd w:val="clear" w:color="auto" w:fill="auto"/>
            <w:vAlign w:val="bottom"/>
          </w:tcPr>
          <w:p w:rsidR="00826E0F" w:rsidRPr="001277E7" w:rsidRDefault="00826E0F" w:rsidP="001277E7">
            <w:pPr>
              <w:pStyle w:val="SingleTxt"/>
              <w:suppressAutoHyphens/>
              <w:spacing w:before="80" w:after="80" w:line="160" w:lineRule="exact"/>
              <w:ind w:left="0" w:right="43"/>
              <w:jc w:val="right"/>
              <w:rPr>
                <w:i/>
                <w:sz w:val="14"/>
                <w:lang w:val="fr-FR"/>
              </w:rPr>
            </w:pPr>
            <w:r w:rsidRPr="001277E7">
              <w:rPr>
                <w:i/>
                <w:sz w:val="14"/>
                <w:lang w:val="fr-FR"/>
              </w:rPr>
              <w:t>2009</w:t>
            </w:r>
          </w:p>
        </w:tc>
      </w:tr>
      <w:tr w:rsidR="001277E7" w:rsidRPr="001277E7" w:rsidTr="00945242">
        <w:trPr>
          <w:trHeight w:hRule="exact" w:val="115"/>
          <w:tblHeader/>
        </w:trPr>
        <w:tc>
          <w:tcPr>
            <w:tcW w:w="1476" w:type="dxa"/>
            <w:tcBorders>
              <w:top w:val="single" w:sz="12" w:space="0" w:color="auto"/>
            </w:tcBorders>
            <w:shd w:val="clear" w:color="auto" w:fill="auto"/>
            <w:vAlign w:val="bottom"/>
          </w:tcPr>
          <w:p w:rsidR="001277E7" w:rsidRPr="001277E7" w:rsidRDefault="001277E7" w:rsidP="001277E7">
            <w:pPr>
              <w:pStyle w:val="SingleTxt"/>
              <w:suppressAutoHyphens/>
              <w:spacing w:before="40" w:after="40" w:line="210" w:lineRule="exact"/>
              <w:ind w:left="0" w:right="43"/>
              <w:rPr>
                <w:b/>
                <w:sz w:val="17"/>
                <w:lang w:val="fr-FR"/>
              </w:rPr>
            </w:pPr>
          </w:p>
        </w:tc>
        <w:tc>
          <w:tcPr>
            <w:tcW w:w="968" w:type="dxa"/>
            <w:tcBorders>
              <w:top w:val="single" w:sz="12" w:space="0" w:color="auto"/>
            </w:tcBorders>
            <w:shd w:val="clear" w:color="auto" w:fill="auto"/>
            <w:vAlign w:val="bottom"/>
          </w:tcPr>
          <w:p w:rsidR="001277E7" w:rsidRPr="001277E7" w:rsidRDefault="001277E7" w:rsidP="001277E7">
            <w:pPr>
              <w:pStyle w:val="SingleTxt"/>
              <w:suppressAutoHyphens/>
              <w:spacing w:before="40" w:after="40" w:line="210" w:lineRule="exact"/>
              <w:ind w:left="0" w:right="43"/>
              <w:jc w:val="right"/>
              <w:rPr>
                <w:b/>
                <w:sz w:val="17"/>
                <w:lang w:val="fr-FR"/>
              </w:rPr>
            </w:pPr>
          </w:p>
        </w:tc>
        <w:tc>
          <w:tcPr>
            <w:tcW w:w="1187" w:type="dxa"/>
            <w:tcBorders>
              <w:top w:val="single" w:sz="12" w:space="0" w:color="auto"/>
            </w:tcBorders>
            <w:shd w:val="clear" w:color="auto" w:fill="auto"/>
            <w:vAlign w:val="bottom"/>
          </w:tcPr>
          <w:p w:rsidR="001277E7" w:rsidRPr="001277E7" w:rsidRDefault="001277E7" w:rsidP="001277E7">
            <w:pPr>
              <w:pStyle w:val="SingleTxt"/>
              <w:suppressAutoHyphens/>
              <w:spacing w:before="40" w:after="40" w:line="210" w:lineRule="exact"/>
              <w:ind w:left="0" w:right="43"/>
              <w:jc w:val="right"/>
              <w:rPr>
                <w:b/>
                <w:sz w:val="17"/>
                <w:lang w:val="fr-FR"/>
              </w:rPr>
            </w:pPr>
          </w:p>
        </w:tc>
        <w:tc>
          <w:tcPr>
            <w:tcW w:w="1187" w:type="dxa"/>
            <w:tcBorders>
              <w:top w:val="single" w:sz="12" w:space="0" w:color="auto"/>
            </w:tcBorders>
            <w:shd w:val="clear" w:color="auto" w:fill="auto"/>
            <w:vAlign w:val="bottom"/>
          </w:tcPr>
          <w:p w:rsidR="001277E7" w:rsidRPr="001277E7" w:rsidRDefault="001277E7" w:rsidP="001277E7">
            <w:pPr>
              <w:pStyle w:val="SingleTxt"/>
              <w:suppressAutoHyphens/>
              <w:spacing w:before="40" w:after="40" w:line="210" w:lineRule="exact"/>
              <w:ind w:left="0" w:right="43"/>
              <w:jc w:val="right"/>
              <w:rPr>
                <w:b/>
                <w:sz w:val="17"/>
                <w:lang w:val="fr-FR"/>
              </w:rPr>
            </w:pPr>
          </w:p>
        </w:tc>
        <w:tc>
          <w:tcPr>
            <w:tcW w:w="1187" w:type="dxa"/>
            <w:tcBorders>
              <w:top w:val="single" w:sz="12" w:space="0" w:color="auto"/>
            </w:tcBorders>
            <w:shd w:val="clear" w:color="auto" w:fill="auto"/>
            <w:vAlign w:val="bottom"/>
          </w:tcPr>
          <w:p w:rsidR="001277E7" w:rsidRPr="001277E7" w:rsidRDefault="001277E7" w:rsidP="001277E7">
            <w:pPr>
              <w:pStyle w:val="SingleTxt"/>
              <w:suppressAutoHyphens/>
              <w:spacing w:before="40" w:after="40" w:line="210" w:lineRule="exact"/>
              <w:ind w:left="0" w:right="43"/>
              <w:jc w:val="right"/>
              <w:rPr>
                <w:b/>
                <w:sz w:val="17"/>
                <w:lang w:val="fr-FR"/>
              </w:rPr>
            </w:pPr>
          </w:p>
        </w:tc>
        <w:tc>
          <w:tcPr>
            <w:tcW w:w="1187" w:type="dxa"/>
            <w:tcBorders>
              <w:top w:val="single" w:sz="12" w:space="0" w:color="auto"/>
            </w:tcBorders>
            <w:shd w:val="clear" w:color="auto" w:fill="auto"/>
            <w:vAlign w:val="bottom"/>
          </w:tcPr>
          <w:p w:rsidR="001277E7" w:rsidRPr="001277E7" w:rsidRDefault="001277E7" w:rsidP="001277E7">
            <w:pPr>
              <w:pStyle w:val="SingleTxt"/>
              <w:suppressAutoHyphens/>
              <w:spacing w:before="40" w:after="40" w:line="210" w:lineRule="exact"/>
              <w:ind w:left="0" w:right="43"/>
              <w:jc w:val="right"/>
              <w:rPr>
                <w:b/>
                <w:sz w:val="17"/>
                <w:lang w:val="fr-FR"/>
              </w:rPr>
            </w:pPr>
          </w:p>
        </w:tc>
      </w:tr>
      <w:tr w:rsidR="00826E0F" w:rsidRPr="001277E7" w:rsidTr="001277E7">
        <w:tc>
          <w:tcPr>
            <w:tcW w:w="1476" w:type="dxa"/>
            <w:shd w:val="clear" w:color="auto" w:fill="auto"/>
            <w:vAlign w:val="bottom"/>
          </w:tcPr>
          <w:p w:rsidR="00826E0F" w:rsidRPr="001277E7" w:rsidRDefault="00826E0F" w:rsidP="001277E7">
            <w:pPr>
              <w:pStyle w:val="SingleTxt"/>
              <w:tabs>
                <w:tab w:val="left" w:pos="288"/>
                <w:tab w:val="left" w:pos="576"/>
                <w:tab w:val="left" w:pos="864"/>
                <w:tab w:val="left" w:pos="1152"/>
              </w:tabs>
              <w:suppressAutoHyphens/>
              <w:spacing w:before="40" w:after="40" w:line="210" w:lineRule="exact"/>
              <w:ind w:left="0" w:right="43"/>
              <w:rPr>
                <w:sz w:val="17"/>
                <w:lang w:val="fr-FR"/>
              </w:rPr>
            </w:pPr>
            <w:r w:rsidRPr="001277E7">
              <w:rPr>
                <w:sz w:val="17"/>
                <w:lang w:val="fr-FR"/>
              </w:rPr>
              <w:t>Gouvernement</w:t>
            </w:r>
          </w:p>
        </w:tc>
        <w:tc>
          <w:tcPr>
            <w:tcW w:w="968" w:type="dxa"/>
            <w:shd w:val="clear" w:color="auto" w:fill="auto"/>
            <w:vAlign w:val="bottom"/>
          </w:tcPr>
          <w:p w:rsidR="00826E0F" w:rsidRPr="001277E7" w:rsidRDefault="00826E0F" w:rsidP="001277E7">
            <w:pPr>
              <w:pStyle w:val="SingleTxt"/>
              <w:tabs>
                <w:tab w:val="left" w:pos="288"/>
                <w:tab w:val="left" w:pos="576"/>
                <w:tab w:val="left" w:pos="864"/>
                <w:tab w:val="left" w:pos="1152"/>
              </w:tabs>
              <w:suppressAutoHyphens/>
              <w:spacing w:before="40" w:after="40" w:line="210" w:lineRule="exact"/>
              <w:ind w:left="0" w:right="43"/>
              <w:jc w:val="right"/>
              <w:rPr>
                <w:sz w:val="17"/>
                <w:lang w:val="fr-FR"/>
              </w:rPr>
            </w:pPr>
            <w:r w:rsidRPr="001277E7">
              <w:rPr>
                <w:sz w:val="17"/>
                <w:lang w:val="fr-FR"/>
              </w:rPr>
              <w:t>5</w:t>
            </w:r>
          </w:p>
        </w:tc>
        <w:tc>
          <w:tcPr>
            <w:tcW w:w="1187" w:type="dxa"/>
            <w:shd w:val="clear" w:color="auto" w:fill="auto"/>
            <w:vAlign w:val="bottom"/>
          </w:tcPr>
          <w:p w:rsidR="00826E0F" w:rsidRPr="001277E7" w:rsidRDefault="00826E0F" w:rsidP="001277E7">
            <w:pPr>
              <w:pStyle w:val="SingleTxt"/>
              <w:tabs>
                <w:tab w:val="left" w:pos="288"/>
                <w:tab w:val="left" w:pos="576"/>
                <w:tab w:val="left" w:pos="864"/>
                <w:tab w:val="left" w:pos="1152"/>
              </w:tabs>
              <w:suppressAutoHyphens/>
              <w:spacing w:before="40" w:after="40" w:line="210" w:lineRule="exact"/>
              <w:ind w:left="0" w:right="43"/>
              <w:jc w:val="right"/>
              <w:rPr>
                <w:sz w:val="17"/>
                <w:lang w:val="fr-FR"/>
              </w:rPr>
            </w:pPr>
            <w:r w:rsidRPr="001277E7">
              <w:rPr>
                <w:sz w:val="17"/>
                <w:lang w:val="fr-FR"/>
              </w:rPr>
              <w:t>0</w:t>
            </w:r>
            <w:r w:rsidR="006645B6">
              <w:rPr>
                <w:sz w:val="17"/>
                <w:lang w:val="fr-FR"/>
              </w:rPr>
              <w:t> %</w:t>
            </w:r>
          </w:p>
        </w:tc>
        <w:tc>
          <w:tcPr>
            <w:tcW w:w="1187" w:type="dxa"/>
            <w:shd w:val="clear" w:color="auto" w:fill="auto"/>
            <w:vAlign w:val="bottom"/>
          </w:tcPr>
          <w:p w:rsidR="00826E0F" w:rsidRPr="001277E7" w:rsidRDefault="00826E0F" w:rsidP="001277E7">
            <w:pPr>
              <w:pStyle w:val="SingleTxt"/>
              <w:tabs>
                <w:tab w:val="left" w:pos="288"/>
                <w:tab w:val="left" w:pos="576"/>
                <w:tab w:val="left" w:pos="864"/>
                <w:tab w:val="left" w:pos="1152"/>
              </w:tabs>
              <w:suppressAutoHyphens/>
              <w:spacing w:before="40" w:after="40" w:line="210" w:lineRule="exact"/>
              <w:ind w:left="0" w:right="43"/>
              <w:jc w:val="right"/>
              <w:rPr>
                <w:sz w:val="17"/>
                <w:lang w:val="fr-FR"/>
              </w:rPr>
            </w:pPr>
            <w:r w:rsidRPr="001277E7">
              <w:rPr>
                <w:sz w:val="17"/>
                <w:lang w:val="fr-FR"/>
              </w:rPr>
              <w:t>40</w:t>
            </w:r>
            <w:r w:rsidR="006645B6">
              <w:rPr>
                <w:sz w:val="17"/>
                <w:lang w:val="fr-FR"/>
              </w:rPr>
              <w:t> %</w:t>
            </w:r>
          </w:p>
        </w:tc>
        <w:tc>
          <w:tcPr>
            <w:tcW w:w="1187" w:type="dxa"/>
            <w:shd w:val="clear" w:color="auto" w:fill="auto"/>
            <w:vAlign w:val="bottom"/>
          </w:tcPr>
          <w:p w:rsidR="00826E0F" w:rsidRPr="001277E7" w:rsidRDefault="00826E0F" w:rsidP="001277E7">
            <w:pPr>
              <w:pStyle w:val="SingleTxt"/>
              <w:tabs>
                <w:tab w:val="left" w:pos="288"/>
                <w:tab w:val="left" w:pos="576"/>
                <w:tab w:val="left" w:pos="864"/>
                <w:tab w:val="left" w:pos="1152"/>
              </w:tabs>
              <w:suppressAutoHyphens/>
              <w:spacing w:before="40" w:after="40" w:line="210" w:lineRule="exact"/>
              <w:ind w:left="0" w:right="43"/>
              <w:jc w:val="right"/>
              <w:rPr>
                <w:sz w:val="17"/>
                <w:lang w:val="fr-FR"/>
              </w:rPr>
            </w:pPr>
            <w:r w:rsidRPr="001277E7">
              <w:rPr>
                <w:sz w:val="17"/>
                <w:lang w:val="fr-FR"/>
              </w:rPr>
              <w:t>20</w:t>
            </w:r>
            <w:r w:rsidR="006645B6">
              <w:rPr>
                <w:sz w:val="17"/>
                <w:lang w:val="fr-FR"/>
              </w:rPr>
              <w:t> %</w:t>
            </w:r>
          </w:p>
        </w:tc>
        <w:tc>
          <w:tcPr>
            <w:tcW w:w="1187" w:type="dxa"/>
            <w:shd w:val="clear" w:color="auto" w:fill="auto"/>
            <w:vAlign w:val="bottom"/>
          </w:tcPr>
          <w:p w:rsidR="00826E0F" w:rsidRPr="001277E7" w:rsidRDefault="00826E0F" w:rsidP="001277E7">
            <w:pPr>
              <w:pStyle w:val="SingleTxt"/>
              <w:tabs>
                <w:tab w:val="left" w:pos="288"/>
                <w:tab w:val="left" w:pos="576"/>
                <w:tab w:val="left" w:pos="864"/>
                <w:tab w:val="left" w:pos="1152"/>
              </w:tabs>
              <w:suppressAutoHyphens/>
              <w:spacing w:before="40" w:after="40" w:line="210" w:lineRule="exact"/>
              <w:ind w:left="0" w:right="43"/>
              <w:jc w:val="right"/>
              <w:rPr>
                <w:sz w:val="17"/>
                <w:lang w:val="fr-FR"/>
              </w:rPr>
            </w:pPr>
            <w:r w:rsidRPr="001277E7">
              <w:rPr>
                <w:sz w:val="17"/>
                <w:lang w:val="fr-FR"/>
              </w:rPr>
              <w:t>40</w:t>
            </w:r>
            <w:r w:rsidR="006645B6">
              <w:rPr>
                <w:sz w:val="17"/>
                <w:lang w:val="fr-FR"/>
              </w:rPr>
              <w:t> %</w:t>
            </w:r>
          </w:p>
        </w:tc>
      </w:tr>
      <w:tr w:rsidR="00826E0F" w:rsidRPr="001277E7" w:rsidTr="001277E7">
        <w:tc>
          <w:tcPr>
            <w:tcW w:w="1476" w:type="dxa"/>
            <w:shd w:val="clear" w:color="auto" w:fill="auto"/>
            <w:vAlign w:val="bottom"/>
          </w:tcPr>
          <w:p w:rsidR="00826E0F" w:rsidRPr="001277E7" w:rsidRDefault="00826E0F" w:rsidP="001277E7">
            <w:pPr>
              <w:pStyle w:val="SingleTxt"/>
              <w:tabs>
                <w:tab w:val="left" w:pos="288"/>
                <w:tab w:val="left" w:pos="576"/>
                <w:tab w:val="left" w:pos="864"/>
                <w:tab w:val="left" w:pos="1152"/>
              </w:tabs>
              <w:suppressAutoHyphens/>
              <w:spacing w:before="40" w:after="40" w:line="210" w:lineRule="exact"/>
              <w:ind w:left="0" w:right="43"/>
              <w:rPr>
                <w:sz w:val="17"/>
                <w:lang w:val="fr-FR"/>
              </w:rPr>
            </w:pPr>
            <w:r w:rsidRPr="001277E7">
              <w:rPr>
                <w:sz w:val="17"/>
                <w:lang w:val="fr-FR"/>
              </w:rPr>
              <w:t>Parlement</w:t>
            </w:r>
          </w:p>
        </w:tc>
        <w:tc>
          <w:tcPr>
            <w:tcW w:w="968" w:type="dxa"/>
            <w:shd w:val="clear" w:color="auto" w:fill="auto"/>
            <w:vAlign w:val="bottom"/>
          </w:tcPr>
          <w:p w:rsidR="00826E0F" w:rsidRPr="001277E7" w:rsidRDefault="00826E0F" w:rsidP="001277E7">
            <w:pPr>
              <w:pStyle w:val="SingleTxt"/>
              <w:tabs>
                <w:tab w:val="left" w:pos="288"/>
                <w:tab w:val="left" w:pos="576"/>
                <w:tab w:val="left" w:pos="864"/>
                <w:tab w:val="left" w:pos="1152"/>
              </w:tabs>
              <w:suppressAutoHyphens/>
              <w:spacing w:before="40" w:after="40" w:line="210" w:lineRule="exact"/>
              <w:ind w:left="0" w:right="43"/>
              <w:jc w:val="right"/>
              <w:rPr>
                <w:sz w:val="17"/>
                <w:lang w:val="fr-FR"/>
              </w:rPr>
            </w:pPr>
            <w:r w:rsidRPr="001277E7">
              <w:rPr>
                <w:sz w:val="17"/>
                <w:lang w:val="fr-FR"/>
              </w:rPr>
              <w:t>25</w:t>
            </w:r>
          </w:p>
        </w:tc>
        <w:tc>
          <w:tcPr>
            <w:tcW w:w="1187" w:type="dxa"/>
            <w:shd w:val="clear" w:color="auto" w:fill="auto"/>
            <w:vAlign w:val="bottom"/>
          </w:tcPr>
          <w:p w:rsidR="00826E0F" w:rsidRPr="001277E7" w:rsidRDefault="00826E0F" w:rsidP="001277E7">
            <w:pPr>
              <w:pStyle w:val="SingleTxt"/>
              <w:tabs>
                <w:tab w:val="left" w:pos="288"/>
                <w:tab w:val="left" w:pos="576"/>
                <w:tab w:val="left" w:pos="864"/>
                <w:tab w:val="left" w:pos="1152"/>
              </w:tabs>
              <w:suppressAutoHyphens/>
              <w:spacing w:before="40" w:after="40" w:line="210" w:lineRule="exact"/>
              <w:ind w:left="0" w:right="43"/>
              <w:jc w:val="right"/>
              <w:rPr>
                <w:sz w:val="17"/>
                <w:lang w:val="fr-FR"/>
              </w:rPr>
            </w:pPr>
            <w:r w:rsidRPr="001277E7">
              <w:rPr>
                <w:sz w:val="17"/>
                <w:lang w:val="fr-FR"/>
              </w:rPr>
              <w:t>0</w:t>
            </w:r>
            <w:r w:rsidR="006645B6">
              <w:rPr>
                <w:sz w:val="17"/>
                <w:lang w:val="fr-FR"/>
              </w:rPr>
              <w:t> %</w:t>
            </w:r>
          </w:p>
        </w:tc>
        <w:tc>
          <w:tcPr>
            <w:tcW w:w="1187" w:type="dxa"/>
            <w:shd w:val="clear" w:color="auto" w:fill="auto"/>
            <w:vAlign w:val="bottom"/>
          </w:tcPr>
          <w:p w:rsidR="00826E0F" w:rsidRPr="001277E7" w:rsidRDefault="00826E0F" w:rsidP="001277E7">
            <w:pPr>
              <w:pStyle w:val="SingleTxt"/>
              <w:tabs>
                <w:tab w:val="left" w:pos="288"/>
                <w:tab w:val="left" w:pos="576"/>
                <w:tab w:val="left" w:pos="864"/>
                <w:tab w:val="left" w:pos="1152"/>
              </w:tabs>
              <w:suppressAutoHyphens/>
              <w:spacing w:before="40" w:after="40" w:line="210" w:lineRule="exact"/>
              <w:ind w:left="0" w:right="43"/>
              <w:jc w:val="right"/>
              <w:rPr>
                <w:sz w:val="17"/>
                <w:lang w:val="fr-FR"/>
              </w:rPr>
            </w:pPr>
            <w:r w:rsidRPr="001277E7">
              <w:rPr>
                <w:sz w:val="17"/>
                <w:lang w:val="fr-FR"/>
              </w:rPr>
              <w:t>8</w:t>
            </w:r>
            <w:r w:rsidR="006645B6">
              <w:rPr>
                <w:sz w:val="17"/>
                <w:lang w:val="fr-FR"/>
              </w:rPr>
              <w:t> %</w:t>
            </w:r>
          </w:p>
        </w:tc>
        <w:tc>
          <w:tcPr>
            <w:tcW w:w="1187" w:type="dxa"/>
            <w:shd w:val="clear" w:color="auto" w:fill="auto"/>
            <w:vAlign w:val="bottom"/>
          </w:tcPr>
          <w:p w:rsidR="00826E0F" w:rsidRPr="001277E7" w:rsidRDefault="00826E0F" w:rsidP="001277E7">
            <w:pPr>
              <w:pStyle w:val="SingleTxt"/>
              <w:tabs>
                <w:tab w:val="left" w:pos="288"/>
                <w:tab w:val="left" w:pos="576"/>
                <w:tab w:val="left" w:pos="864"/>
                <w:tab w:val="left" w:pos="1152"/>
              </w:tabs>
              <w:suppressAutoHyphens/>
              <w:spacing w:before="40" w:after="40" w:line="210" w:lineRule="exact"/>
              <w:ind w:left="0" w:right="43"/>
              <w:jc w:val="right"/>
              <w:rPr>
                <w:sz w:val="17"/>
                <w:lang w:val="fr-FR"/>
              </w:rPr>
            </w:pPr>
            <w:r w:rsidRPr="001277E7">
              <w:rPr>
                <w:sz w:val="17"/>
                <w:lang w:val="fr-FR"/>
              </w:rPr>
              <w:t>24</w:t>
            </w:r>
            <w:r w:rsidR="006645B6">
              <w:rPr>
                <w:sz w:val="17"/>
                <w:lang w:val="fr-FR"/>
              </w:rPr>
              <w:t> %</w:t>
            </w:r>
          </w:p>
        </w:tc>
        <w:tc>
          <w:tcPr>
            <w:tcW w:w="1187" w:type="dxa"/>
            <w:shd w:val="clear" w:color="auto" w:fill="auto"/>
            <w:vAlign w:val="bottom"/>
          </w:tcPr>
          <w:p w:rsidR="00826E0F" w:rsidRPr="001277E7" w:rsidRDefault="00826E0F" w:rsidP="001277E7">
            <w:pPr>
              <w:pStyle w:val="SingleTxt"/>
              <w:tabs>
                <w:tab w:val="left" w:pos="288"/>
                <w:tab w:val="left" w:pos="576"/>
                <w:tab w:val="left" w:pos="864"/>
                <w:tab w:val="left" w:pos="1152"/>
              </w:tabs>
              <w:suppressAutoHyphens/>
              <w:spacing w:before="40" w:after="40" w:line="210" w:lineRule="exact"/>
              <w:ind w:left="0" w:right="43"/>
              <w:jc w:val="right"/>
              <w:rPr>
                <w:sz w:val="17"/>
                <w:lang w:val="fr-FR"/>
              </w:rPr>
            </w:pPr>
            <w:r w:rsidRPr="001277E7">
              <w:rPr>
                <w:sz w:val="17"/>
                <w:lang w:val="fr-FR"/>
              </w:rPr>
              <w:t>24</w:t>
            </w:r>
            <w:r w:rsidR="006645B6">
              <w:rPr>
                <w:sz w:val="17"/>
                <w:lang w:val="fr-FR"/>
              </w:rPr>
              <w:t> %</w:t>
            </w:r>
          </w:p>
        </w:tc>
      </w:tr>
      <w:tr w:rsidR="00826E0F" w:rsidRPr="001277E7" w:rsidTr="001277E7">
        <w:tc>
          <w:tcPr>
            <w:tcW w:w="1476" w:type="dxa"/>
            <w:tcBorders>
              <w:bottom w:val="single" w:sz="12" w:space="0" w:color="auto"/>
            </w:tcBorders>
            <w:shd w:val="clear" w:color="auto" w:fill="auto"/>
            <w:vAlign w:val="bottom"/>
          </w:tcPr>
          <w:p w:rsidR="00826E0F" w:rsidRPr="001277E7" w:rsidRDefault="00826E0F" w:rsidP="001277E7">
            <w:pPr>
              <w:pStyle w:val="SingleTxt"/>
              <w:tabs>
                <w:tab w:val="left" w:pos="288"/>
                <w:tab w:val="left" w:pos="576"/>
                <w:tab w:val="left" w:pos="864"/>
                <w:tab w:val="left" w:pos="1152"/>
              </w:tabs>
              <w:suppressAutoHyphens/>
              <w:spacing w:before="40" w:after="40" w:line="210" w:lineRule="exact"/>
              <w:ind w:left="0" w:right="43"/>
              <w:rPr>
                <w:sz w:val="17"/>
                <w:lang w:val="fr-FR"/>
              </w:rPr>
            </w:pPr>
            <w:r w:rsidRPr="001277E7">
              <w:rPr>
                <w:sz w:val="17"/>
                <w:lang w:val="fr-FR"/>
              </w:rPr>
              <w:t>Conseils municipaux</w:t>
            </w:r>
          </w:p>
        </w:tc>
        <w:tc>
          <w:tcPr>
            <w:tcW w:w="968" w:type="dxa"/>
            <w:tcBorders>
              <w:bottom w:val="single" w:sz="12" w:space="0" w:color="auto"/>
            </w:tcBorders>
            <w:shd w:val="clear" w:color="auto" w:fill="auto"/>
            <w:vAlign w:val="bottom"/>
          </w:tcPr>
          <w:p w:rsidR="00826E0F" w:rsidRPr="001277E7" w:rsidRDefault="00826E0F" w:rsidP="001277E7">
            <w:pPr>
              <w:pStyle w:val="SingleTxt"/>
              <w:tabs>
                <w:tab w:val="left" w:pos="288"/>
                <w:tab w:val="left" w:pos="576"/>
                <w:tab w:val="left" w:pos="864"/>
                <w:tab w:val="left" w:pos="1152"/>
              </w:tabs>
              <w:suppressAutoHyphens/>
              <w:spacing w:before="40" w:after="40" w:line="210" w:lineRule="exact"/>
              <w:ind w:left="0" w:right="43"/>
              <w:jc w:val="right"/>
              <w:rPr>
                <w:sz w:val="17"/>
                <w:lang w:val="fr-FR"/>
              </w:rPr>
            </w:pPr>
            <w:r w:rsidRPr="001277E7">
              <w:rPr>
                <w:sz w:val="17"/>
                <w:lang w:val="fr-FR"/>
              </w:rPr>
              <w:t>106</w:t>
            </w:r>
          </w:p>
        </w:tc>
        <w:tc>
          <w:tcPr>
            <w:tcW w:w="1187" w:type="dxa"/>
            <w:tcBorders>
              <w:bottom w:val="single" w:sz="12" w:space="0" w:color="auto"/>
            </w:tcBorders>
            <w:shd w:val="clear" w:color="auto" w:fill="auto"/>
            <w:vAlign w:val="bottom"/>
          </w:tcPr>
          <w:p w:rsidR="00826E0F" w:rsidRPr="001277E7" w:rsidRDefault="00826E0F" w:rsidP="001277E7">
            <w:pPr>
              <w:pStyle w:val="SingleTxt"/>
              <w:tabs>
                <w:tab w:val="left" w:pos="288"/>
                <w:tab w:val="left" w:pos="576"/>
                <w:tab w:val="left" w:pos="864"/>
                <w:tab w:val="left" w:pos="1152"/>
              </w:tabs>
              <w:suppressAutoHyphens/>
              <w:spacing w:before="40" w:after="40" w:line="210" w:lineRule="exact"/>
              <w:ind w:left="0" w:right="43"/>
              <w:jc w:val="right"/>
              <w:rPr>
                <w:sz w:val="17"/>
                <w:lang w:val="fr-FR"/>
              </w:rPr>
            </w:pPr>
            <w:r w:rsidRPr="001277E7">
              <w:rPr>
                <w:sz w:val="17"/>
                <w:lang w:val="fr-FR"/>
              </w:rPr>
              <w:t>3</w:t>
            </w:r>
            <w:r w:rsidR="006645B6">
              <w:rPr>
                <w:sz w:val="17"/>
                <w:lang w:val="fr-FR"/>
              </w:rPr>
              <w:t> %</w:t>
            </w:r>
          </w:p>
        </w:tc>
        <w:tc>
          <w:tcPr>
            <w:tcW w:w="1187" w:type="dxa"/>
            <w:tcBorders>
              <w:bottom w:val="single" w:sz="12" w:space="0" w:color="auto"/>
            </w:tcBorders>
            <w:shd w:val="clear" w:color="auto" w:fill="auto"/>
            <w:vAlign w:val="bottom"/>
          </w:tcPr>
          <w:p w:rsidR="00826E0F" w:rsidRPr="001277E7" w:rsidRDefault="00826E0F" w:rsidP="001277E7">
            <w:pPr>
              <w:pStyle w:val="SingleTxt"/>
              <w:tabs>
                <w:tab w:val="left" w:pos="288"/>
                <w:tab w:val="left" w:pos="576"/>
                <w:tab w:val="left" w:pos="864"/>
                <w:tab w:val="left" w:pos="1152"/>
              </w:tabs>
              <w:suppressAutoHyphens/>
              <w:spacing w:before="40" w:after="40" w:line="210" w:lineRule="exact"/>
              <w:ind w:left="0" w:right="43"/>
              <w:jc w:val="right"/>
              <w:rPr>
                <w:sz w:val="17"/>
                <w:lang w:val="fr-FR"/>
              </w:rPr>
            </w:pPr>
            <w:r w:rsidRPr="001277E7">
              <w:rPr>
                <w:sz w:val="17"/>
                <w:lang w:val="fr-FR"/>
              </w:rPr>
              <w:t>15</w:t>
            </w:r>
            <w:r w:rsidR="006645B6">
              <w:rPr>
                <w:sz w:val="17"/>
                <w:lang w:val="fr-FR"/>
              </w:rPr>
              <w:t> %</w:t>
            </w:r>
          </w:p>
        </w:tc>
        <w:tc>
          <w:tcPr>
            <w:tcW w:w="1187" w:type="dxa"/>
            <w:tcBorders>
              <w:bottom w:val="single" w:sz="12" w:space="0" w:color="auto"/>
            </w:tcBorders>
            <w:shd w:val="clear" w:color="auto" w:fill="auto"/>
            <w:vAlign w:val="bottom"/>
          </w:tcPr>
          <w:p w:rsidR="00826E0F" w:rsidRPr="001277E7" w:rsidRDefault="00826E0F" w:rsidP="001277E7">
            <w:pPr>
              <w:pStyle w:val="SingleTxt"/>
              <w:tabs>
                <w:tab w:val="left" w:pos="288"/>
                <w:tab w:val="left" w:pos="576"/>
                <w:tab w:val="left" w:pos="864"/>
                <w:tab w:val="left" w:pos="1152"/>
              </w:tabs>
              <w:suppressAutoHyphens/>
              <w:spacing w:before="40" w:after="40" w:line="210" w:lineRule="exact"/>
              <w:ind w:left="0" w:right="43"/>
              <w:jc w:val="right"/>
              <w:rPr>
                <w:sz w:val="17"/>
                <w:lang w:val="fr-FR"/>
              </w:rPr>
            </w:pPr>
            <w:r w:rsidRPr="001277E7">
              <w:rPr>
                <w:sz w:val="17"/>
                <w:lang w:val="fr-FR"/>
              </w:rPr>
              <w:t>27</w:t>
            </w:r>
            <w:r w:rsidR="006645B6">
              <w:rPr>
                <w:sz w:val="17"/>
                <w:lang w:val="fr-FR"/>
              </w:rPr>
              <w:t> %</w:t>
            </w:r>
          </w:p>
        </w:tc>
        <w:tc>
          <w:tcPr>
            <w:tcW w:w="1187" w:type="dxa"/>
            <w:tcBorders>
              <w:bottom w:val="single" w:sz="12" w:space="0" w:color="auto"/>
            </w:tcBorders>
            <w:shd w:val="clear" w:color="auto" w:fill="auto"/>
            <w:vAlign w:val="bottom"/>
          </w:tcPr>
          <w:p w:rsidR="00826E0F" w:rsidRPr="001277E7" w:rsidRDefault="00826E0F" w:rsidP="001277E7">
            <w:pPr>
              <w:pStyle w:val="SingleTxt"/>
              <w:tabs>
                <w:tab w:val="left" w:pos="288"/>
                <w:tab w:val="left" w:pos="576"/>
                <w:tab w:val="left" w:pos="864"/>
                <w:tab w:val="left" w:pos="1152"/>
              </w:tabs>
              <w:suppressAutoHyphens/>
              <w:spacing w:before="40" w:after="40" w:line="210" w:lineRule="exact"/>
              <w:ind w:left="0" w:right="43"/>
              <w:jc w:val="right"/>
              <w:rPr>
                <w:sz w:val="17"/>
                <w:lang w:val="fr-FR"/>
              </w:rPr>
            </w:pPr>
            <w:r w:rsidRPr="001277E7">
              <w:rPr>
                <w:sz w:val="17"/>
                <w:lang w:val="fr-FR"/>
              </w:rPr>
              <w:t>27</w:t>
            </w:r>
            <w:r w:rsidR="006645B6">
              <w:rPr>
                <w:sz w:val="17"/>
                <w:lang w:val="fr-FR"/>
              </w:rPr>
              <w:t> %</w:t>
            </w:r>
          </w:p>
        </w:tc>
      </w:tr>
    </w:tbl>
    <w:p w:rsidR="001277E7" w:rsidRPr="001277E7" w:rsidRDefault="001277E7" w:rsidP="001277E7">
      <w:pPr>
        <w:pStyle w:val="SingleTxt"/>
        <w:spacing w:after="0" w:line="120" w:lineRule="exact"/>
        <w:rPr>
          <w:sz w:val="10"/>
          <w:lang w:val="fr-FR"/>
        </w:rPr>
      </w:pPr>
    </w:p>
    <w:p w:rsidR="00826E0F" w:rsidRPr="00872599" w:rsidRDefault="00826E0F" w:rsidP="001277E7">
      <w:pPr>
        <w:pStyle w:val="FootnoteText"/>
        <w:tabs>
          <w:tab w:val="clear" w:pos="418"/>
          <w:tab w:val="right" w:pos="1476"/>
          <w:tab w:val="left" w:pos="1548"/>
          <w:tab w:val="right" w:pos="1836"/>
          <w:tab w:val="left" w:pos="1908"/>
        </w:tabs>
        <w:ind w:left="1548" w:right="1267" w:hanging="288"/>
        <w:rPr>
          <w:lang w:val="fr-FR"/>
        </w:rPr>
      </w:pPr>
      <w:r w:rsidRPr="001277E7">
        <w:rPr>
          <w:i/>
          <w:lang w:val="fr-FR"/>
        </w:rPr>
        <w:t>Source:</w:t>
      </w:r>
      <w:r w:rsidRPr="00872599">
        <w:rPr>
          <w:lang w:val="fr-FR"/>
        </w:rPr>
        <w:t xml:space="preserve"> Sites Web des municipalités (au mois de mai 2009) et de </w:t>
      </w:r>
      <w:smartTag w:uri="urn:schemas-microsoft-com:office:smarttags" w:element="PersonName">
        <w:smartTagPr>
          <w:attr w:name="ProductID" w:val="la Chancellerie."/>
        </w:smartTagPr>
        <w:r w:rsidRPr="00872599">
          <w:rPr>
            <w:lang w:val="fr-FR"/>
          </w:rPr>
          <w:t>la Chancellerie.</w:t>
        </w:r>
      </w:smartTag>
    </w:p>
    <w:p w:rsidR="001277E7" w:rsidRPr="001277E7" w:rsidRDefault="001277E7" w:rsidP="001277E7">
      <w:pPr>
        <w:pStyle w:val="SingleTxt"/>
        <w:spacing w:after="0" w:line="120" w:lineRule="exact"/>
        <w:rPr>
          <w:sz w:val="10"/>
          <w:lang w:val="fr-FR"/>
        </w:rPr>
      </w:pPr>
    </w:p>
    <w:p w:rsidR="00826E0F" w:rsidRPr="00872599" w:rsidRDefault="001277E7" w:rsidP="00497599">
      <w:pPr>
        <w:pStyle w:val="SingleTxt"/>
        <w:rPr>
          <w:lang w:val="fr-FR"/>
        </w:rPr>
      </w:pPr>
      <w:r>
        <w:rPr>
          <w:lang w:val="fr-FR"/>
        </w:rPr>
        <w:tab/>
      </w:r>
      <w:r w:rsidR="00826E0F" w:rsidRPr="00872599">
        <w:rPr>
          <w:lang w:val="fr-FR"/>
        </w:rPr>
        <w:t>Les femmes sont minoritaires dans les 66 commissions et conseils consultatifs et elle ne président que 6 commissions. En 2007, 75 femmes (17,7</w:t>
      </w:r>
      <w:r w:rsidR="006645B6">
        <w:rPr>
          <w:lang w:val="fr-FR"/>
        </w:rPr>
        <w:t> %</w:t>
      </w:r>
      <w:r w:rsidR="00826E0F" w:rsidRPr="00872599">
        <w:rPr>
          <w:lang w:val="fr-FR"/>
        </w:rPr>
        <w:t>) et 349 hommes (82,3</w:t>
      </w:r>
      <w:r w:rsidR="006645B6">
        <w:rPr>
          <w:lang w:val="fr-FR"/>
        </w:rPr>
        <w:t> %</w:t>
      </w:r>
      <w:r w:rsidR="00826E0F" w:rsidRPr="00872599">
        <w:rPr>
          <w:lang w:val="fr-FR"/>
        </w:rPr>
        <w:t xml:space="preserve">) siégeaient aux </w:t>
      </w:r>
      <w:r w:rsidR="00826E0F">
        <w:rPr>
          <w:lang w:val="fr-FR"/>
        </w:rPr>
        <w:t xml:space="preserve">commissions nationales. De 1998à </w:t>
      </w:r>
      <w:r w:rsidR="00826E0F" w:rsidRPr="00872599">
        <w:rPr>
          <w:lang w:val="fr-FR"/>
        </w:rPr>
        <w:t>2007, la proportion de femmes a augmenté de 2</w:t>
      </w:r>
      <w:r w:rsidR="006645B6">
        <w:rPr>
          <w:lang w:val="fr-FR"/>
        </w:rPr>
        <w:t xml:space="preserve"> %</w:t>
      </w:r>
      <w:r w:rsidR="00826E0F" w:rsidRPr="00872599">
        <w:rPr>
          <w:lang w:val="fr-FR"/>
        </w:rPr>
        <w:t>.</w:t>
      </w:r>
    </w:p>
    <w:p w:rsidR="00826E0F" w:rsidRPr="00872599" w:rsidRDefault="001277E7" w:rsidP="00497599">
      <w:pPr>
        <w:pStyle w:val="SingleTxt"/>
        <w:rPr>
          <w:lang w:val="fr-FR"/>
        </w:rPr>
      </w:pPr>
      <w:r>
        <w:rPr>
          <w:lang w:val="fr-FR"/>
        </w:rPr>
        <w:tab/>
      </w:r>
      <w:r w:rsidR="00826E0F" w:rsidRPr="00872599">
        <w:rPr>
          <w:lang w:val="fr-FR"/>
        </w:rPr>
        <w:t xml:space="preserve">La proportion de femmes dans les fondations de droit public a diminué de </w:t>
      </w:r>
      <w:r w:rsidR="00826E0F">
        <w:rPr>
          <w:lang w:val="fr-FR"/>
        </w:rPr>
        <w:t>2,</w:t>
      </w:r>
      <w:r w:rsidR="00826E0F" w:rsidRPr="00872599">
        <w:rPr>
          <w:lang w:val="fr-FR"/>
        </w:rPr>
        <w:t>4</w:t>
      </w:r>
      <w:r w:rsidR="006645B6">
        <w:rPr>
          <w:lang w:val="fr-FR"/>
        </w:rPr>
        <w:t> %</w:t>
      </w:r>
      <w:r w:rsidR="00826E0F" w:rsidRPr="00872599">
        <w:rPr>
          <w:lang w:val="fr-FR"/>
        </w:rPr>
        <w:t xml:space="preserve"> entre 1998 et 2007. En 1998, 28 hommes (66,7</w:t>
      </w:r>
      <w:r w:rsidR="006645B6">
        <w:rPr>
          <w:lang w:val="fr-FR"/>
        </w:rPr>
        <w:t> %</w:t>
      </w:r>
      <w:r w:rsidR="00826E0F" w:rsidRPr="00872599">
        <w:rPr>
          <w:lang w:val="fr-FR"/>
        </w:rPr>
        <w:t>) et 14 femmes (33,3</w:t>
      </w:r>
      <w:r w:rsidR="006645B6">
        <w:rPr>
          <w:lang w:val="fr-FR"/>
        </w:rPr>
        <w:t> %</w:t>
      </w:r>
      <w:r w:rsidR="00826E0F" w:rsidRPr="00872599">
        <w:rPr>
          <w:lang w:val="fr-FR"/>
        </w:rPr>
        <w:t>) siégeaient aux conseils d</w:t>
      </w:r>
      <w:r w:rsidR="006645B6">
        <w:rPr>
          <w:lang w:val="fr-FR"/>
        </w:rPr>
        <w:t>’</w:t>
      </w:r>
      <w:r w:rsidR="00826E0F" w:rsidRPr="00872599">
        <w:rPr>
          <w:lang w:val="fr-FR"/>
        </w:rPr>
        <w:t>administration des fondations. En 2007, 94 personnes siégeaient dans les fondations de droit public, 65 hommes (69,1</w:t>
      </w:r>
      <w:r w:rsidR="006645B6">
        <w:rPr>
          <w:lang w:val="fr-FR"/>
        </w:rPr>
        <w:t> %</w:t>
      </w:r>
      <w:r w:rsidR="00826E0F" w:rsidRPr="00872599">
        <w:rPr>
          <w:lang w:val="fr-FR"/>
        </w:rPr>
        <w:t>) et 29 femmes (30,9</w:t>
      </w:r>
      <w:r w:rsidR="006645B6">
        <w:rPr>
          <w:lang w:val="fr-FR"/>
        </w:rPr>
        <w:t> %</w:t>
      </w:r>
      <w:r w:rsidR="00826E0F" w:rsidRPr="00872599">
        <w:rPr>
          <w:lang w:val="fr-FR"/>
        </w:rPr>
        <w:t>).</w:t>
      </w:r>
    </w:p>
    <w:p w:rsidR="00826E0F" w:rsidRPr="00872599" w:rsidRDefault="001277E7" w:rsidP="00497599">
      <w:pPr>
        <w:pStyle w:val="SingleTxt"/>
        <w:rPr>
          <w:lang w:val="fr-FR"/>
        </w:rPr>
      </w:pPr>
      <w:r>
        <w:rPr>
          <w:lang w:val="fr-FR"/>
        </w:rPr>
        <w:tab/>
      </w:r>
      <w:r w:rsidR="00826E0F" w:rsidRPr="00872599">
        <w:rPr>
          <w:lang w:val="fr-FR"/>
        </w:rPr>
        <w:t>La proportion des femmes dans les établissements de droit public a augmenté de 8,1</w:t>
      </w:r>
      <w:r w:rsidR="006645B6">
        <w:rPr>
          <w:lang w:val="fr-FR"/>
        </w:rPr>
        <w:t xml:space="preserve"> %</w:t>
      </w:r>
      <w:r w:rsidR="00826E0F" w:rsidRPr="00872599">
        <w:rPr>
          <w:lang w:val="fr-FR"/>
        </w:rPr>
        <w:t xml:space="preserve"> entre 1998 et 2007. En 1998, 32 hommes (86,5</w:t>
      </w:r>
      <w:r w:rsidR="006645B6">
        <w:rPr>
          <w:lang w:val="fr-FR"/>
        </w:rPr>
        <w:t> %</w:t>
      </w:r>
      <w:r w:rsidR="00826E0F" w:rsidRPr="00872599">
        <w:rPr>
          <w:lang w:val="fr-FR"/>
        </w:rPr>
        <w:t>) et 5 femmes (13,5</w:t>
      </w:r>
      <w:r w:rsidR="006645B6">
        <w:rPr>
          <w:lang w:val="fr-FR"/>
        </w:rPr>
        <w:t> %</w:t>
      </w:r>
      <w:r w:rsidR="00826E0F" w:rsidRPr="00872599">
        <w:rPr>
          <w:lang w:val="fr-FR"/>
        </w:rPr>
        <w:t>) siégeaient aux conseils d</w:t>
      </w:r>
      <w:r w:rsidR="006645B6">
        <w:rPr>
          <w:lang w:val="fr-FR"/>
        </w:rPr>
        <w:t>’</w:t>
      </w:r>
      <w:r w:rsidR="00826E0F" w:rsidRPr="00872599">
        <w:rPr>
          <w:lang w:val="fr-FR"/>
        </w:rPr>
        <w:t>administration de ces établissements. En 2007, 88 personnes au total siégeaient dans les établissements de droit public, 69 hommes (78,4</w:t>
      </w:r>
      <w:r w:rsidR="006645B6">
        <w:rPr>
          <w:lang w:val="fr-FR"/>
        </w:rPr>
        <w:t> %</w:t>
      </w:r>
      <w:r w:rsidR="00826E0F" w:rsidRPr="00872599">
        <w:rPr>
          <w:lang w:val="fr-FR"/>
        </w:rPr>
        <w:t>) et 19 femmes (21,6</w:t>
      </w:r>
      <w:r w:rsidR="006645B6">
        <w:rPr>
          <w:lang w:val="fr-FR"/>
        </w:rPr>
        <w:t> %</w:t>
      </w:r>
      <w:r w:rsidR="00826E0F" w:rsidRPr="00872599">
        <w:rPr>
          <w:lang w:val="fr-FR"/>
        </w:rPr>
        <w:t>).</w:t>
      </w:r>
    </w:p>
    <w:p w:rsidR="00826E0F" w:rsidRPr="00872599" w:rsidRDefault="001277E7" w:rsidP="00497599">
      <w:pPr>
        <w:pStyle w:val="SingleTxt"/>
        <w:rPr>
          <w:lang w:val="fr-FR"/>
        </w:rPr>
      </w:pPr>
      <w:r>
        <w:rPr>
          <w:lang w:val="fr-FR"/>
        </w:rPr>
        <w:tab/>
      </w:r>
      <w:r w:rsidR="00826E0F" w:rsidRPr="00872599">
        <w:rPr>
          <w:lang w:val="fr-FR"/>
        </w:rPr>
        <w:t>Dans les tribunaux de droit public, la proportion de femmes a notablement augmenté entre 1998 et 2007. En 1998, les membres de ces tribunaux étaient tous des hommes–12 au total. En 2007, les tribunaux réunissaient au total 20 membre</w:t>
      </w:r>
      <w:r w:rsidR="00826E0F">
        <w:rPr>
          <w:lang w:val="fr-FR"/>
        </w:rPr>
        <w:t>s</w:t>
      </w:r>
      <w:r w:rsidR="00826E0F" w:rsidRPr="00872599">
        <w:rPr>
          <w:lang w:val="fr-FR"/>
        </w:rPr>
        <w:t xml:space="preserve"> dont 15 (75</w:t>
      </w:r>
      <w:r w:rsidR="006645B6">
        <w:rPr>
          <w:lang w:val="fr-FR"/>
        </w:rPr>
        <w:t> %</w:t>
      </w:r>
      <w:r w:rsidR="00826E0F" w:rsidRPr="00872599">
        <w:rPr>
          <w:lang w:val="fr-FR"/>
        </w:rPr>
        <w:t>) étaient des hommes et 5 (25</w:t>
      </w:r>
      <w:r w:rsidR="006645B6">
        <w:rPr>
          <w:lang w:val="fr-FR"/>
        </w:rPr>
        <w:t> %</w:t>
      </w:r>
      <w:r w:rsidR="00826E0F" w:rsidRPr="00872599">
        <w:rPr>
          <w:lang w:val="fr-FR"/>
        </w:rPr>
        <w:t>) des femmes. La proportion de femmes dans les tribunaux civils et pénaux a augmenté de 11,8</w:t>
      </w:r>
      <w:r w:rsidR="006645B6">
        <w:rPr>
          <w:lang w:val="fr-FR"/>
        </w:rPr>
        <w:t xml:space="preserve"> %</w:t>
      </w:r>
      <w:r w:rsidR="00826E0F" w:rsidRPr="00872599">
        <w:rPr>
          <w:lang w:val="fr-FR"/>
        </w:rPr>
        <w:t xml:space="preserve"> entre 1998 et 2007. En 1998, 33 hommes (78,6</w:t>
      </w:r>
      <w:r w:rsidR="006645B6">
        <w:rPr>
          <w:lang w:val="fr-FR"/>
        </w:rPr>
        <w:t> %</w:t>
      </w:r>
      <w:r w:rsidR="00826E0F" w:rsidRPr="00872599">
        <w:rPr>
          <w:lang w:val="fr-FR"/>
        </w:rPr>
        <w:t>) et 9 femmes (21,4</w:t>
      </w:r>
      <w:r w:rsidR="006645B6">
        <w:rPr>
          <w:lang w:val="fr-FR"/>
        </w:rPr>
        <w:t> %</w:t>
      </w:r>
      <w:r w:rsidR="00826E0F" w:rsidRPr="00872599">
        <w:rPr>
          <w:lang w:val="fr-FR"/>
        </w:rPr>
        <w:t>) siégeaient dans les tribunaux civils et pénaux; en 2008, sur les 95 membres de ces tribunaux, 64 (67,3</w:t>
      </w:r>
      <w:r w:rsidR="006645B6">
        <w:rPr>
          <w:lang w:val="fr-FR"/>
        </w:rPr>
        <w:t> %</w:t>
      </w:r>
      <w:r w:rsidR="00826E0F" w:rsidRPr="00872599">
        <w:rPr>
          <w:lang w:val="fr-FR"/>
        </w:rPr>
        <w:t>) étaient des hommes et 31 (32,7</w:t>
      </w:r>
      <w:r w:rsidR="006645B6">
        <w:rPr>
          <w:lang w:val="fr-FR"/>
        </w:rPr>
        <w:t> %</w:t>
      </w:r>
      <w:r w:rsidR="00826E0F" w:rsidRPr="00872599">
        <w:rPr>
          <w:lang w:val="fr-FR"/>
        </w:rPr>
        <w:t>) des femmes.</w:t>
      </w:r>
    </w:p>
    <w:p w:rsidR="00826E0F" w:rsidRPr="00872599" w:rsidRDefault="001277E7" w:rsidP="00497599">
      <w:pPr>
        <w:pStyle w:val="SingleTxt"/>
        <w:rPr>
          <w:lang w:val="fr-FR"/>
        </w:rPr>
      </w:pPr>
      <w:r>
        <w:rPr>
          <w:lang w:val="fr-FR"/>
        </w:rPr>
        <w:tab/>
      </w:r>
      <w:r w:rsidR="00826E0F" w:rsidRPr="00872599">
        <w:rPr>
          <w:lang w:val="fr-FR"/>
        </w:rPr>
        <w:t>Au niveau municipal, en 2006 25,8</w:t>
      </w:r>
      <w:r w:rsidR="006645B6">
        <w:rPr>
          <w:lang w:val="fr-FR"/>
        </w:rPr>
        <w:t> %</w:t>
      </w:r>
      <w:r w:rsidR="00826E0F" w:rsidRPr="00872599">
        <w:rPr>
          <w:lang w:val="fr-FR"/>
        </w:rPr>
        <w:t xml:space="preserve"> en moyenne des membres des commissions étaient des femmes. En 2008 la proportion des femmes était passée à 28.7</w:t>
      </w:r>
      <w:r w:rsidR="006645B6">
        <w:rPr>
          <w:lang w:val="fr-FR"/>
        </w:rPr>
        <w:t> %</w:t>
      </w:r>
      <w:r w:rsidR="00826E0F" w:rsidRPr="00872599">
        <w:rPr>
          <w:lang w:val="fr-FR"/>
        </w:rPr>
        <w:t xml:space="preserve"> soit une augmentation de 2,9</w:t>
      </w:r>
      <w:r w:rsidR="006645B6">
        <w:rPr>
          <w:lang w:val="fr-FR"/>
        </w:rPr>
        <w:t xml:space="preserve"> %</w:t>
      </w:r>
      <w:r w:rsidR="00826E0F" w:rsidRPr="00872599">
        <w:rPr>
          <w:lang w:val="fr-FR"/>
        </w:rPr>
        <w:t>.</w:t>
      </w:r>
    </w:p>
    <w:p w:rsidR="00826E0F" w:rsidRPr="00872599" w:rsidRDefault="001277E7" w:rsidP="00497599">
      <w:pPr>
        <w:pStyle w:val="SingleTxt"/>
        <w:rPr>
          <w:lang w:val="fr-FR"/>
        </w:rPr>
      </w:pPr>
      <w:r>
        <w:rPr>
          <w:lang w:val="fr-FR"/>
        </w:rPr>
        <w:tab/>
      </w:r>
      <w:r w:rsidR="00826E0F" w:rsidRPr="00872599">
        <w:rPr>
          <w:lang w:val="fr-FR"/>
        </w:rPr>
        <w:t xml:space="preserve">Entre un tiers et la moitié des responsables occupant des fonctions Internet dans les partis politiques sont des femmes. </w:t>
      </w:r>
      <w:r w:rsidR="00CC772D" w:rsidRPr="00872599">
        <w:rPr>
          <w:lang w:val="fr-FR"/>
        </w:rPr>
        <w:t>En 1982, des organisations de femmes internes aux partis ont été instaurées au sein des deux grands partis (</w:t>
      </w:r>
      <w:r w:rsidR="000E00B5">
        <w:rPr>
          <w:lang w:val="fr-FR"/>
        </w:rPr>
        <w:t>« </w:t>
      </w:r>
      <w:r w:rsidR="00CC772D" w:rsidRPr="00872599">
        <w:rPr>
          <w:lang w:val="fr-FR"/>
        </w:rPr>
        <w:t>le Groupe d</w:t>
      </w:r>
      <w:r w:rsidR="006645B6">
        <w:rPr>
          <w:lang w:val="fr-FR"/>
        </w:rPr>
        <w:t>’</w:t>
      </w:r>
      <w:r w:rsidR="00CC772D" w:rsidRPr="00872599">
        <w:rPr>
          <w:lang w:val="fr-FR"/>
        </w:rPr>
        <w:t>experts sur les femmes au sein de l</w:t>
      </w:r>
      <w:r w:rsidR="006645B6">
        <w:rPr>
          <w:lang w:val="fr-FR"/>
        </w:rPr>
        <w:t>’</w:t>
      </w:r>
      <w:r w:rsidR="00CC772D" w:rsidRPr="00872599">
        <w:rPr>
          <w:lang w:val="fr-FR"/>
        </w:rPr>
        <w:t xml:space="preserve">Union patriotique», </w:t>
      </w:r>
      <w:r w:rsidR="000E00B5">
        <w:rPr>
          <w:lang w:val="fr-FR"/>
        </w:rPr>
        <w:t>« </w:t>
      </w:r>
      <w:r w:rsidR="00CC772D" w:rsidRPr="00872599">
        <w:rPr>
          <w:lang w:val="fr-FR"/>
        </w:rPr>
        <w:t>Les femmes au FBP» ), dans le but de susciter chez les femmes davantage d</w:t>
      </w:r>
      <w:r w:rsidR="006645B6">
        <w:rPr>
          <w:lang w:val="fr-FR"/>
        </w:rPr>
        <w:t>’</w:t>
      </w:r>
      <w:r w:rsidR="00CC772D" w:rsidRPr="00872599">
        <w:rPr>
          <w:lang w:val="fr-FR"/>
        </w:rPr>
        <w:t xml:space="preserve">intérêt pour la vie politique et dans un souci pédagogique. </w:t>
      </w:r>
      <w:r w:rsidR="00826E0F" w:rsidRPr="00872599">
        <w:rPr>
          <w:lang w:val="fr-FR"/>
        </w:rPr>
        <w:t>Il s</w:t>
      </w:r>
      <w:r w:rsidR="006645B6">
        <w:rPr>
          <w:lang w:val="fr-FR"/>
        </w:rPr>
        <w:t>’</w:t>
      </w:r>
      <w:r w:rsidR="00826E0F" w:rsidRPr="00872599">
        <w:rPr>
          <w:lang w:val="fr-FR"/>
        </w:rPr>
        <w:t>agissait de sensibiliser le public, de représenter les intérêts des femmes dans la vie politique et, ce qui n</w:t>
      </w:r>
      <w:r w:rsidR="006645B6">
        <w:rPr>
          <w:lang w:val="fr-FR"/>
        </w:rPr>
        <w:t>’</w:t>
      </w:r>
      <w:r w:rsidR="00826E0F" w:rsidRPr="00872599">
        <w:rPr>
          <w:lang w:val="fr-FR"/>
        </w:rPr>
        <w:t xml:space="preserve">est pas le moins important, de préparer les femmes au sein de leurs partis respectifs à occuper des postes et des fonctions politiques. La proportion de femmes à la tête de </w:t>
      </w:r>
      <w:smartTag w:uri="urn:schemas-microsoft-com:office:smarttags" w:element="PersonName">
        <w:smartTagPr>
          <w:attr w:name="ProductID" w:val="la Liste"/>
        </w:smartTagPr>
        <w:r w:rsidR="00826E0F" w:rsidRPr="00872599">
          <w:rPr>
            <w:lang w:val="fr-FR"/>
          </w:rPr>
          <w:t>la Liste</w:t>
        </w:r>
      </w:smartTag>
      <w:r w:rsidR="00826E0F" w:rsidRPr="00872599">
        <w:rPr>
          <w:lang w:val="fr-FR"/>
        </w:rPr>
        <w:t xml:space="preserve"> libre fondée en 1985 est de 55</w:t>
      </w:r>
      <w:r w:rsidR="006645B6">
        <w:rPr>
          <w:lang w:val="fr-FR"/>
        </w:rPr>
        <w:t xml:space="preserve"> %</w:t>
      </w:r>
      <w:r w:rsidR="00826E0F" w:rsidRPr="00872599">
        <w:rPr>
          <w:lang w:val="fr-FR"/>
        </w:rPr>
        <w:t>, la plus forte des partis politiques.</w:t>
      </w:r>
    </w:p>
    <w:p w:rsidR="001277E7" w:rsidRPr="001277E7" w:rsidRDefault="001277E7" w:rsidP="001277E7">
      <w:pPr>
        <w:pStyle w:val="SingleTxt"/>
        <w:spacing w:after="0" w:line="120" w:lineRule="exact"/>
        <w:rPr>
          <w:i/>
          <w:sz w:val="10"/>
          <w:lang w:val="fr-FR"/>
        </w:rPr>
      </w:pPr>
    </w:p>
    <w:p w:rsidR="00826E0F" w:rsidRDefault="001277E7" w:rsidP="001277E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826E0F" w:rsidRPr="001277E7">
        <w:rPr>
          <w:b w:val="0"/>
          <w:lang w:val="fr-FR"/>
        </w:rPr>
        <w:t>Table 5</w:t>
      </w:r>
      <w:r>
        <w:rPr>
          <w:lang w:val="fr-FR"/>
        </w:rPr>
        <w:br/>
      </w:r>
      <w:r w:rsidR="00826E0F" w:rsidRPr="00872599">
        <w:rPr>
          <w:lang w:val="fr-FR"/>
        </w:rPr>
        <w:t>Proportion des femmes occupant une fonction dans les partis politiques (2008)</w:t>
      </w:r>
    </w:p>
    <w:p w:rsidR="001277E7" w:rsidRPr="001277E7" w:rsidRDefault="001277E7" w:rsidP="001277E7">
      <w:pPr>
        <w:pStyle w:val="SingleTxt"/>
        <w:spacing w:after="0" w:line="120" w:lineRule="exact"/>
        <w:rPr>
          <w:sz w:val="10"/>
          <w:lang w:val="fr-FR"/>
        </w:rPr>
      </w:pPr>
    </w:p>
    <w:tbl>
      <w:tblPr>
        <w:tblW w:w="0" w:type="auto"/>
        <w:tblInd w:w="1431" w:type="dxa"/>
        <w:tblLayout w:type="fixed"/>
        <w:tblLook w:val="0000" w:firstRow="0" w:lastRow="0" w:firstColumn="0" w:lastColumn="0" w:noHBand="0" w:noVBand="0"/>
      </w:tblPr>
      <w:tblGrid>
        <w:gridCol w:w="3376"/>
        <w:gridCol w:w="1260"/>
        <w:gridCol w:w="1260"/>
        <w:gridCol w:w="1260"/>
      </w:tblGrid>
      <w:tr w:rsidR="00826E0F" w:rsidRPr="001277E7" w:rsidTr="001277E7">
        <w:trPr>
          <w:trHeight w:val="255"/>
          <w:tblHeader/>
        </w:trPr>
        <w:tc>
          <w:tcPr>
            <w:tcW w:w="3376" w:type="dxa"/>
            <w:tcBorders>
              <w:top w:val="single" w:sz="4" w:space="0" w:color="auto"/>
              <w:bottom w:val="single" w:sz="12" w:space="0" w:color="auto"/>
            </w:tcBorders>
            <w:shd w:val="clear" w:color="auto" w:fill="auto"/>
            <w:vAlign w:val="bottom"/>
          </w:tcPr>
          <w:p w:rsidR="00826E0F" w:rsidRPr="001277E7" w:rsidRDefault="00826E0F" w:rsidP="001277E7">
            <w:pPr>
              <w:pStyle w:val="SingleTxt"/>
              <w:suppressAutoHyphens/>
              <w:spacing w:before="80" w:after="80" w:line="160" w:lineRule="exact"/>
              <w:ind w:left="0" w:right="43"/>
              <w:rPr>
                <w:i/>
                <w:sz w:val="14"/>
                <w:lang w:val="fr-FR"/>
              </w:rPr>
            </w:pPr>
            <w:r w:rsidRPr="001277E7">
              <w:rPr>
                <w:i/>
                <w:sz w:val="14"/>
                <w:lang w:val="fr-FR"/>
              </w:rPr>
              <w:t>Fonction</w:t>
            </w:r>
          </w:p>
        </w:tc>
        <w:tc>
          <w:tcPr>
            <w:tcW w:w="1260" w:type="dxa"/>
            <w:tcBorders>
              <w:top w:val="single" w:sz="4" w:space="0" w:color="auto"/>
              <w:bottom w:val="single" w:sz="12" w:space="0" w:color="auto"/>
            </w:tcBorders>
            <w:shd w:val="clear" w:color="auto" w:fill="auto"/>
            <w:vAlign w:val="bottom"/>
          </w:tcPr>
          <w:p w:rsidR="00826E0F" w:rsidRPr="001277E7" w:rsidRDefault="00826E0F" w:rsidP="001277E7">
            <w:pPr>
              <w:pStyle w:val="SingleTxt"/>
              <w:suppressAutoHyphens/>
              <w:spacing w:before="80" w:after="80" w:line="160" w:lineRule="exact"/>
              <w:ind w:left="0" w:right="43"/>
              <w:jc w:val="right"/>
              <w:rPr>
                <w:i/>
                <w:sz w:val="14"/>
                <w:lang w:val="fr-FR"/>
              </w:rPr>
            </w:pPr>
            <w:r w:rsidRPr="001277E7">
              <w:rPr>
                <w:i/>
                <w:sz w:val="14"/>
                <w:lang w:val="fr-FR"/>
              </w:rPr>
              <w:t>Hommes</w:t>
            </w:r>
          </w:p>
        </w:tc>
        <w:tc>
          <w:tcPr>
            <w:tcW w:w="1260" w:type="dxa"/>
            <w:tcBorders>
              <w:top w:val="single" w:sz="4" w:space="0" w:color="auto"/>
              <w:bottom w:val="single" w:sz="12" w:space="0" w:color="auto"/>
            </w:tcBorders>
            <w:shd w:val="clear" w:color="auto" w:fill="auto"/>
            <w:vAlign w:val="bottom"/>
          </w:tcPr>
          <w:p w:rsidR="00826E0F" w:rsidRPr="001277E7" w:rsidRDefault="00826E0F" w:rsidP="001277E7">
            <w:pPr>
              <w:pStyle w:val="SingleTxt"/>
              <w:suppressAutoHyphens/>
              <w:spacing w:before="80" w:after="80" w:line="160" w:lineRule="exact"/>
              <w:ind w:left="0" w:right="43"/>
              <w:jc w:val="right"/>
              <w:rPr>
                <w:i/>
                <w:sz w:val="14"/>
                <w:lang w:val="fr-FR"/>
              </w:rPr>
            </w:pPr>
            <w:r w:rsidRPr="001277E7">
              <w:rPr>
                <w:i/>
                <w:sz w:val="14"/>
                <w:lang w:val="fr-FR"/>
              </w:rPr>
              <w:t>Femmes</w:t>
            </w:r>
          </w:p>
        </w:tc>
        <w:tc>
          <w:tcPr>
            <w:tcW w:w="1260" w:type="dxa"/>
            <w:tcBorders>
              <w:top w:val="single" w:sz="4" w:space="0" w:color="auto"/>
              <w:bottom w:val="single" w:sz="12" w:space="0" w:color="auto"/>
            </w:tcBorders>
            <w:shd w:val="clear" w:color="auto" w:fill="auto"/>
            <w:vAlign w:val="bottom"/>
          </w:tcPr>
          <w:p w:rsidR="00826E0F" w:rsidRPr="001277E7" w:rsidRDefault="00826E0F" w:rsidP="001277E7">
            <w:pPr>
              <w:pStyle w:val="SingleTxt"/>
              <w:suppressAutoHyphens/>
              <w:spacing w:before="80" w:after="80" w:line="160" w:lineRule="exact"/>
              <w:ind w:left="0" w:right="43"/>
              <w:jc w:val="right"/>
              <w:rPr>
                <w:i/>
                <w:sz w:val="14"/>
                <w:lang w:val="fr-FR"/>
              </w:rPr>
            </w:pPr>
            <w:r w:rsidRPr="001277E7">
              <w:rPr>
                <w:i/>
                <w:sz w:val="14"/>
                <w:lang w:val="fr-FR"/>
              </w:rPr>
              <w:t>Proportion de femmes</w:t>
            </w:r>
          </w:p>
        </w:tc>
      </w:tr>
      <w:tr w:rsidR="001277E7" w:rsidRPr="001277E7" w:rsidTr="001277E7">
        <w:trPr>
          <w:trHeight w:hRule="exact" w:val="115"/>
          <w:tblHeader/>
        </w:trPr>
        <w:tc>
          <w:tcPr>
            <w:tcW w:w="3376" w:type="dxa"/>
            <w:tcBorders>
              <w:top w:val="single" w:sz="12" w:space="0" w:color="auto"/>
            </w:tcBorders>
            <w:shd w:val="clear" w:color="auto" w:fill="auto"/>
            <w:vAlign w:val="bottom"/>
          </w:tcPr>
          <w:p w:rsidR="001277E7" w:rsidRPr="001277E7" w:rsidRDefault="001277E7" w:rsidP="001277E7">
            <w:pPr>
              <w:pStyle w:val="SingleTxt"/>
              <w:suppressAutoHyphens/>
              <w:spacing w:before="40" w:after="40" w:line="210" w:lineRule="exact"/>
              <w:ind w:left="0" w:right="43"/>
              <w:rPr>
                <w:b/>
                <w:sz w:val="17"/>
                <w:lang w:val="fr-FR"/>
              </w:rPr>
            </w:pPr>
          </w:p>
        </w:tc>
        <w:tc>
          <w:tcPr>
            <w:tcW w:w="1260" w:type="dxa"/>
            <w:tcBorders>
              <w:top w:val="single" w:sz="12" w:space="0" w:color="auto"/>
            </w:tcBorders>
            <w:shd w:val="clear" w:color="auto" w:fill="auto"/>
            <w:vAlign w:val="bottom"/>
          </w:tcPr>
          <w:p w:rsidR="001277E7" w:rsidRPr="001277E7" w:rsidRDefault="001277E7" w:rsidP="001277E7">
            <w:pPr>
              <w:pStyle w:val="SingleTxt"/>
              <w:suppressAutoHyphens/>
              <w:spacing w:before="40" w:after="40" w:line="210" w:lineRule="exact"/>
              <w:ind w:left="0" w:right="43"/>
              <w:jc w:val="right"/>
              <w:rPr>
                <w:b/>
                <w:sz w:val="17"/>
                <w:lang w:val="fr-FR"/>
              </w:rPr>
            </w:pPr>
          </w:p>
        </w:tc>
        <w:tc>
          <w:tcPr>
            <w:tcW w:w="1260" w:type="dxa"/>
            <w:tcBorders>
              <w:top w:val="single" w:sz="12" w:space="0" w:color="auto"/>
            </w:tcBorders>
            <w:shd w:val="clear" w:color="auto" w:fill="auto"/>
            <w:vAlign w:val="bottom"/>
          </w:tcPr>
          <w:p w:rsidR="001277E7" w:rsidRPr="001277E7" w:rsidRDefault="001277E7" w:rsidP="001277E7">
            <w:pPr>
              <w:pStyle w:val="SingleTxt"/>
              <w:suppressAutoHyphens/>
              <w:spacing w:before="40" w:after="40" w:line="210" w:lineRule="exact"/>
              <w:ind w:left="0" w:right="43"/>
              <w:jc w:val="right"/>
              <w:rPr>
                <w:b/>
                <w:sz w:val="17"/>
                <w:lang w:val="fr-FR"/>
              </w:rPr>
            </w:pPr>
          </w:p>
        </w:tc>
        <w:tc>
          <w:tcPr>
            <w:tcW w:w="1260" w:type="dxa"/>
            <w:tcBorders>
              <w:top w:val="single" w:sz="12" w:space="0" w:color="auto"/>
            </w:tcBorders>
            <w:shd w:val="clear" w:color="auto" w:fill="auto"/>
            <w:vAlign w:val="bottom"/>
          </w:tcPr>
          <w:p w:rsidR="001277E7" w:rsidRPr="001277E7" w:rsidRDefault="001277E7" w:rsidP="001277E7">
            <w:pPr>
              <w:pStyle w:val="SingleTxt"/>
              <w:suppressAutoHyphens/>
              <w:spacing w:before="40" w:after="40" w:line="210" w:lineRule="exact"/>
              <w:ind w:left="0" w:right="43"/>
              <w:jc w:val="right"/>
              <w:rPr>
                <w:b/>
                <w:sz w:val="17"/>
                <w:lang w:val="fr-FR"/>
              </w:rPr>
            </w:pPr>
          </w:p>
        </w:tc>
      </w:tr>
      <w:tr w:rsidR="00826E0F" w:rsidRPr="001277E7" w:rsidTr="001277E7">
        <w:trPr>
          <w:trHeight w:val="255"/>
        </w:trPr>
        <w:tc>
          <w:tcPr>
            <w:tcW w:w="3376" w:type="dxa"/>
            <w:shd w:val="clear" w:color="auto" w:fill="auto"/>
            <w:vAlign w:val="bottom"/>
          </w:tcPr>
          <w:p w:rsidR="00826E0F" w:rsidRPr="001277E7" w:rsidRDefault="00826E0F" w:rsidP="001277E7">
            <w:pPr>
              <w:pStyle w:val="SingleTxt"/>
              <w:tabs>
                <w:tab w:val="left" w:pos="288"/>
                <w:tab w:val="left" w:pos="576"/>
                <w:tab w:val="left" w:pos="864"/>
                <w:tab w:val="left" w:pos="1152"/>
              </w:tabs>
              <w:suppressAutoHyphens/>
              <w:spacing w:before="40" w:after="40" w:line="210" w:lineRule="exact"/>
              <w:ind w:left="0" w:right="43"/>
              <w:rPr>
                <w:sz w:val="17"/>
                <w:lang w:val="fr-FR"/>
              </w:rPr>
            </w:pPr>
            <w:r w:rsidRPr="001277E7">
              <w:rPr>
                <w:sz w:val="17"/>
                <w:lang w:val="fr-FR"/>
              </w:rPr>
              <w:t>Cadres des trois partis</w:t>
            </w:r>
          </w:p>
        </w:tc>
        <w:tc>
          <w:tcPr>
            <w:tcW w:w="1260" w:type="dxa"/>
            <w:shd w:val="clear" w:color="auto" w:fill="auto"/>
            <w:vAlign w:val="bottom"/>
          </w:tcPr>
          <w:p w:rsidR="00826E0F" w:rsidRPr="001277E7" w:rsidRDefault="00826E0F" w:rsidP="001277E7">
            <w:pPr>
              <w:pStyle w:val="SingleTxt"/>
              <w:tabs>
                <w:tab w:val="left" w:pos="288"/>
                <w:tab w:val="left" w:pos="576"/>
                <w:tab w:val="left" w:pos="864"/>
                <w:tab w:val="left" w:pos="1152"/>
              </w:tabs>
              <w:suppressAutoHyphens/>
              <w:spacing w:before="40" w:after="40" w:line="210" w:lineRule="exact"/>
              <w:ind w:left="0" w:right="43"/>
              <w:jc w:val="right"/>
              <w:rPr>
                <w:sz w:val="17"/>
                <w:lang w:val="fr-FR"/>
              </w:rPr>
            </w:pPr>
            <w:r w:rsidRPr="001277E7">
              <w:rPr>
                <w:sz w:val="17"/>
                <w:lang w:val="fr-FR"/>
              </w:rPr>
              <w:t>17</w:t>
            </w:r>
          </w:p>
        </w:tc>
        <w:tc>
          <w:tcPr>
            <w:tcW w:w="1260" w:type="dxa"/>
            <w:shd w:val="clear" w:color="auto" w:fill="auto"/>
            <w:vAlign w:val="bottom"/>
          </w:tcPr>
          <w:p w:rsidR="00826E0F" w:rsidRPr="001277E7" w:rsidRDefault="00826E0F" w:rsidP="001277E7">
            <w:pPr>
              <w:pStyle w:val="SingleTxt"/>
              <w:tabs>
                <w:tab w:val="left" w:pos="288"/>
                <w:tab w:val="left" w:pos="576"/>
                <w:tab w:val="left" w:pos="864"/>
                <w:tab w:val="left" w:pos="1152"/>
              </w:tabs>
              <w:suppressAutoHyphens/>
              <w:spacing w:before="40" w:after="40" w:line="210" w:lineRule="exact"/>
              <w:ind w:left="0" w:right="43"/>
              <w:jc w:val="right"/>
              <w:rPr>
                <w:sz w:val="17"/>
                <w:lang w:val="fr-FR"/>
              </w:rPr>
            </w:pPr>
            <w:r w:rsidRPr="001277E7">
              <w:rPr>
                <w:sz w:val="17"/>
                <w:lang w:val="fr-FR"/>
              </w:rPr>
              <w:t>11</w:t>
            </w:r>
          </w:p>
        </w:tc>
        <w:tc>
          <w:tcPr>
            <w:tcW w:w="1260" w:type="dxa"/>
            <w:shd w:val="clear" w:color="auto" w:fill="auto"/>
            <w:vAlign w:val="bottom"/>
          </w:tcPr>
          <w:p w:rsidR="00826E0F" w:rsidRPr="001277E7" w:rsidRDefault="00826E0F" w:rsidP="001277E7">
            <w:pPr>
              <w:pStyle w:val="SingleTxt"/>
              <w:tabs>
                <w:tab w:val="left" w:pos="288"/>
                <w:tab w:val="left" w:pos="576"/>
                <w:tab w:val="left" w:pos="864"/>
                <w:tab w:val="left" w:pos="1152"/>
              </w:tabs>
              <w:suppressAutoHyphens/>
              <w:spacing w:before="40" w:after="40" w:line="210" w:lineRule="exact"/>
              <w:ind w:left="0" w:right="43"/>
              <w:jc w:val="right"/>
              <w:rPr>
                <w:sz w:val="17"/>
                <w:lang w:val="fr-FR"/>
              </w:rPr>
            </w:pPr>
            <w:r w:rsidRPr="001277E7">
              <w:rPr>
                <w:sz w:val="17"/>
                <w:lang w:val="fr-FR"/>
              </w:rPr>
              <w:t>39</w:t>
            </w:r>
            <w:r w:rsidR="006645B6">
              <w:rPr>
                <w:sz w:val="17"/>
                <w:lang w:val="fr-FR"/>
              </w:rPr>
              <w:t> %</w:t>
            </w:r>
          </w:p>
        </w:tc>
      </w:tr>
      <w:tr w:rsidR="00826E0F" w:rsidRPr="001277E7" w:rsidTr="001277E7">
        <w:trPr>
          <w:trHeight w:val="255"/>
        </w:trPr>
        <w:tc>
          <w:tcPr>
            <w:tcW w:w="3376" w:type="dxa"/>
            <w:shd w:val="clear" w:color="auto" w:fill="auto"/>
            <w:vAlign w:val="bottom"/>
          </w:tcPr>
          <w:p w:rsidR="00826E0F" w:rsidRPr="001277E7" w:rsidRDefault="00826E0F" w:rsidP="001277E7">
            <w:pPr>
              <w:pStyle w:val="SingleTxt"/>
              <w:tabs>
                <w:tab w:val="left" w:pos="288"/>
                <w:tab w:val="left" w:pos="576"/>
                <w:tab w:val="left" w:pos="864"/>
                <w:tab w:val="left" w:pos="1152"/>
              </w:tabs>
              <w:suppressAutoHyphens/>
              <w:spacing w:before="40" w:after="40" w:line="210" w:lineRule="exact"/>
              <w:ind w:left="0" w:right="43"/>
              <w:rPr>
                <w:sz w:val="17"/>
                <w:lang w:val="fr-FR"/>
              </w:rPr>
            </w:pPr>
            <w:r w:rsidRPr="001277E7">
              <w:rPr>
                <w:sz w:val="17"/>
                <w:lang w:val="fr-FR"/>
              </w:rPr>
              <w:t xml:space="preserve">Cadres du parti VU </w:t>
            </w:r>
          </w:p>
        </w:tc>
        <w:tc>
          <w:tcPr>
            <w:tcW w:w="1260" w:type="dxa"/>
            <w:shd w:val="clear" w:color="auto" w:fill="auto"/>
            <w:vAlign w:val="bottom"/>
          </w:tcPr>
          <w:p w:rsidR="00826E0F" w:rsidRPr="001277E7" w:rsidRDefault="00826E0F" w:rsidP="001277E7">
            <w:pPr>
              <w:pStyle w:val="SingleTxt"/>
              <w:tabs>
                <w:tab w:val="left" w:pos="288"/>
                <w:tab w:val="left" w:pos="576"/>
                <w:tab w:val="left" w:pos="864"/>
                <w:tab w:val="left" w:pos="1152"/>
              </w:tabs>
              <w:suppressAutoHyphens/>
              <w:spacing w:before="40" w:after="40" w:line="210" w:lineRule="exact"/>
              <w:ind w:left="0" w:right="43"/>
              <w:jc w:val="right"/>
              <w:rPr>
                <w:sz w:val="17"/>
                <w:lang w:val="fr-FR"/>
              </w:rPr>
            </w:pPr>
            <w:r w:rsidRPr="001277E7">
              <w:rPr>
                <w:sz w:val="17"/>
                <w:lang w:val="fr-FR"/>
              </w:rPr>
              <w:t>5</w:t>
            </w:r>
          </w:p>
        </w:tc>
        <w:tc>
          <w:tcPr>
            <w:tcW w:w="1260" w:type="dxa"/>
            <w:shd w:val="clear" w:color="auto" w:fill="auto"/>
            <w:vAlign w:val="bottom"/>
          </w:tcPr>
          <w:p w:rsidR="00826E0F" w:rsidRPr="001277E7" w:rsidRDefault="00826E0F" w:rsidP="001277E7">
            <w:pPr>
              <w:pStyle w:val="SingleTxt"/>
              <w:tabs>
                <w:tab w:val="left" w:pos="288"/>
                <w:tab w:val="left" w:pos="576"/>
                <w:tab w:val="left" w:pos="864"/>
                <w:tab w:val="left" w:pos="1152"/>
              </w:tabs>
              <w:suppressAutoHyphens/>
              <w:spacing w:before="40" w:after="40" w:line="210" w:lineRule="exact"/>
              <w:ind w:left="0" w:right="43"/>
              <w:jc w:val="right"/>
              <w:rPr>
                <w:sz w:val="17"/>
                <w:lang w:val="fr-FR"/>
              </w:rPr>
            </w:pPr>
            <w:r w:rsidRPr="001277E7">
              <w:rPr>
                <w:sz w:val="17"/>
                <w:lang w:val="fr-FR"/>
              </w:rPr>
              <w:t>4</w:t>
            </w:r>
          </w:p>
        </w:tc>
        <w:tc>
          <w:tcPr>
            <w:tcW w:w="1260" w:type="dxa"/>
            <w:shd w:val="clear" w:color="auto" w:fill="auto"/>
            <w:vAlign w:val="bottom"/>
          </w:tcPr>
          <w:p w:rsidR="00826E0F" w:rsidRPr="001277E7" w:rsidRDefault="00826E0F" w:rsidP="001277E7">
            <w:pPr>
              <w:pStyle w:val="SingleTxt"/>
              <w:tabs>
                <w:tab w:val="left" w:pos="288"/>
                <w:tab w:val="left" w:pos="576"/>
                <w:tab w:val="left" w:pos="864"/>
                <w:tab w:val="left" w:pos="1152"/>
              </w:tabs>
              <w:suppressAutoHyphens/>
              <w:spacing w:before="40" w:after="40" w:line="210" w:lineRule="exact"/>
              <w:ind w:left="0" w:right="43"/>
              <w:jc w:val="right"/>
              <w:rPr>
                <w:sz w:val="17"/>
                <w:lang w:val="fr-FR"/>
              </w:rPr>
            </w:pPr>
            <w:r w:rsidRPr="001277E7">
              <w:rPr>
                <w:sz w:val="17"/>
                <w:lang w:val="fr-FR"/>
              </w:rPr>
              <w:t>44</w:t>
            </w:r>
            <w:r w:rsidR="006645B6">
              <w:rPr>
                <w:sz w:val="17"/>
                <w:lang w:val="fr-FR"/>
              </w:rPr>
              <w:t> %</w:t>
            </w:r>
          </w:p>
        </w:tc>
      </w:tr>
      <w:tr w:rsidR="00826E0F" w:rsidRPr="001277E7" w:rsidTr="001277E7">
        <w:trPr>
          <w:trHeight w:val="255"/>
        </w:trPr>
        <w:tc>
          <w:tcPr>
            <w:tcW w:w="3376" w:type="dxa"/>
            <w:shd w:val="clear" w:color="auto" w:fill="auto"/>
            <w:vAlign w:val="bottom"/>
          </w:tcPr>
          <w:p w:rsidR="00826E0F" w:rsidRPr="001277E7" w:rsidRDefault="00826E0F" w:rsidP="001277E7">
            <w:pPr>
              <w:pStyle w:val="SingleTxt"/>
              <w:tabs>
                <w:tab w:val="left" w:pos="288"/>
                <w:tab w:val="left" w:pos="576"/>
                <w:tab w:val="left" w:pos="864"/>
                <w:tab w:val="left" w:pos="1152"/>
              </w:tabs>
              <w:suppressAutoHyphens/>
              <w:spacing w:before="40" w:after="40" w:line="210" w:lineRule="exact"/>
              <w:ind w:left="0" w:right="43"/>
              <w:rPr>
                <w:sz w:val="17"/>
                <w:lang w:val="fr-FR"/>
              </w:rPr>
            </w:pPr>
            <w:r w:rsidRPr="001277E7">
              <w:rPr>
                <w:sz w:val="17"/>
                <w:lang w:val="fr-FR"/>
              </w:rPr>
              <w:t xml:space="preserve">Cadres du parti FBP </w:t>
            </w:r>
          </w:p>
        </w:tc>
        <w:tc>
          <w:tcPr>
            <w:tcW w:w="1260" w:type="dxa"/>
            <w:shd w:val="clear" w:color="auto" w:fill="auto"/>
            <w:vAlign w:val="bottom"/>
          </w:tcPr>
          <w:p w:rsidR="00826E0F" w:rsidRPr="001277E7" w:rsidRDefault="00826E0F" w:rsidP="001277E7">
            <w:pPr>
              <w:pStyle w:val="SingleTxt"/>
              <w:tabs>
                <w:tab w:val="left" w:pos="288"/>
                <w:tab w:val="left" w:pos="576"/>
                <w:tab w:val="left" w:pos="864"/>
                <w:tab w:val="left" w:pos="1152"/>
              </w:tabs>
              <w:suppressAutoHyphens/>
              <w:spacing w:before="40" w:after="40" w:line="210" w:lineRule="exact"/>
              <w:ind w:left="0" w:right="43"/>
              <w:jc w:val="right"/>
              <w:rPr>
                <w:sz w:val="17"/>
                <w:lang w:val="fr-FR"/>
              </w:rPr>
            </w:pPr>
            <w:r w:rsidRPr="001277E7">
              <w:rPr>
                <w:sz w:val="17"/>
                <w:lang w:val="fr-FR"/>
              </w:rPr>
              <w:t>9</w:t>
            </w:r>
          </w:p>
        </w:tc>
        <w:tc>
          <w:tcPr>
            <w:tcW w:w="1260" w:type="dxa"/>
            <w:shd w:val="clear" w:color="auto" w:fill="auto"/>
            <w:vAlign w:val="bottom"/>
          </w:tcPr>
          <w:p w:rsidR="00826E0F" w:rsidRPr="001277E7" w:rsidRDefault="00826E0F" w:rsidP="001277E7">
            <w:pPr>
              <w:pStyle w:val="SingleTxt"/>
              <w:tabs>
                <w:tab w:val="left" w:pos="288"/>
                <w:tab w:val="left" w:pos="576"/>
                <w:tab w:val="left" w:pos="864"/>
                <w:tab w:val="left" w:pos="1152"/>
              </w:tabs>
              <w:suppressAutoHyphens/>
              <w:spacing w:before="40" w:after="40" w:line="210" w:lineRule="exact"/>
              <w:ind w:left="0" w:right="43"/>
              <w:jc w:val="right"/>
              <w:rPr>
                <w:sz w:val="17"/>
                <w:lang w:val="fr-FR"/>
              </w:rPr>
            </w:pPr>
            <w:r w:rsidRPr="001277E7">
              <w:rPr>
                <w:sz w:val="17"/>
                <w:lang w:val="fr-FR"/>
              </w:rPr>
              <w:t>3</w:t>
            </w:r>
          </w:p>
        </w:tc>
        <w:tc>
          <w:tcPr>
            <w:tcW w:w="1260" w:type="dxa"/>
            <w:shd w:val="clear" w:color="auto" w:fill="auto"/>
            <w:vAlign w:val="bottom"/>
          </w:tcPr>
          <w:p w:rsidR="00826E0F" w:rsidRPr="001277E7" w:rsidRDefault="00826E0F" w:rsidP="001277E7">
            <w:pPr>
              <w:pStyle w:val="SingleTxt"/>
              <w:tabs>
                <w:tab w:val="left" w:pos="288"/>
                <w:tab w:val="left" w:pos="576"/>
                <w:tab w:val="left" w:pos="864"/>
                <w:tab w:val="left" w:pos="1152"/>
              </w:tabs>
              <w:suppressAutoHyphens/>
              <w:spacing w:before="40" w:after="40" w:line="210" w:lineRule="exact"/>
              <w:ind w:left="0" w:right="43"/>
              <w:jc w:val="right"/>
              <w:rPr>
                <w:sz w:val="17"/>
                <w:lang w:val="fr-FR"/>
              </w:rPr>
            </w:pPr>
            <w:r w:rsidRPr="001277E7">
              <w:rPr>
                <w:sz w:val="17"/>
                <w:lang w:val="fr-FR"/>
              </w:rPr>
              <w:t>33</w:t>
            </w:r>
            <w:r w:rsidR="006645B6">
              <w:rPr>
                <w:sz w:val="17"/>
                <w:lang w:val="fr-FR"/>
              </w:rPr>
              <w:t> %</w:t>
            </w:r>
          </w:p>
        </w:tc>
      </w:tr>
      <w:tr w:rsidR="00826E0F" w:rsidRPr="001277E7" w:rsidTr="001277E7">
        <w:trPr>
          <w:trHeight w:val="255"/>
        </w:trPr>
        <w:tc>
          <w:tcPr>
            <w:tcW w:w="3376" w:type="dxa"/>
            <w:tcBorders>
              <w:bottom w:val="single" w:sz="12" w:space="0" w:color="auto"/>
            </w:tcBorders>
            <w:shd w:val="clear" w:color="auto" w:fill="auto"/>
            <w:vAlign w:val="bottom"/>
          </w:tcPr>
          <w:p w:rsidR="00826E0F" w:rsidRPr="001277E7" w:rsidRDefault="00826E0F" w:rsidP="001277E7">
            <w:pPr>
              <w:pStyle w:val="SingleTxt"/>
              <w:tabs>
                <w:tab w:val="left" w:pos="288"/>
                <w:tab w:val="left" w:pos="576"/>
                <w:tab w:val="left" w:pos="864"/>
                <w:tab w:val="left" w:pos="1152"/>
              </w:tabs>
              <w:suppressAutoHyphens/>
              <w:spacing w:before="40" w:after="40" w:line="210" w:lineRule="exact"/>
              <w:ind w:left="0" w:right="43"/>
              <w:rPr>
                <w:sz w:val="17"/>
                <w:lang w:val="fr-FR"/>
              </w:rPr>
            </w:pPr>
            <w:r w:rsidRPr="001277E7">
              <w:rPr>
                <w:sz w:val="17"/>
                <w:lang w:val="fr-FR"/>
              </w:rPr>
              <w:t xml:space="preserve">Cadres du parti FL </w:t>
            </w:r>
          </w:p>
        </w:tc>
        <w:tc>
          <w:tcPr>
            <w:tcW w:w="1260" w:type="dxa"/>
            <w:tcBorders>
              <w:bottom w:val="single" w:sz="12" w:space="0" w:color="auto"/>
            </w:tcBorders>
            <w:shd w:val="clear" w:color="auto" w:fill="auto"/>
            <w:vAlign w:val="bottom"/>
          </w:tcPr>
          <w:p w:rsidR="00826E0F" w:rsidRPr="001277E7" w:rsidRDefault="00826E0F" w:rsidP="001277E7">
            <w:pPr>
              <w:pStyle w:val="SingleTxt"/>
              <w:tabs>
                <w:tab w:val="left" w:pos="288"/>
                <w:tab w:val="left" w:pos="576"/>
                <w:tab w:val="left" w:pos="864"/>
                <w:tab w:val="left" w:pos="1152"/>
              </w:tabs>
              <w:suppressAutoHyphens/>
              <w:spacing w:before="40" w:after="40" w:line="210" w:lineRule="exact"/>
              <w:ind w:left="0" w:right="43"/>
              <w:jc w:val="right"/>
              <w:rPr>
                <w:sz w:val="17"/>
                <w:lang w:val="fr-FR"/>
              </w:rPr>
            </w:pPr>
            <w:r w:rsidRPr="001277E7">
              <w:rPr>
                <w:sz w:val="17"/>
                <w:lang w:val="fr-FR"/>
              </w:rPr>
              <w:t>3</w:t>
            </w:r>
          </w:p>
        </w:tc>
        <w:tc>
          <w:tcPr>
            <w:tcW w:w="1260" w:type="dxa"/>
            <w:tcBorders>
              <w:bottom w:val="single" w:sz="12" w:space="0" w:color="auto"/>
            </w:tcBorders>
            <w:shd w:val="clear" w:color="auto" w:fill="auto"/>
            <w:vAlign w:val="bottom"/>
          </w:tcPr>
          <w:p w:rsidR="00826E0F" w:rsidRPr="001277E7" w:rsidRDefault="00826E0F" w:rsidP="001277E7">
            <w:pPr>
              <w:pStyle w:val="SingleTxt"/>
              <w:tabs>
                <w:tab w:val="left" w:pos="288"/>
                <w:tab w:val="left" w:pos="576"/>
                <w:tab w:val="left" w:pos="864"/>
                <w:tab w:val="left" w:pos="1152"/>
              </w:tabs>
              <w:suppressAutoHyphens/>
              <w:spacing w:before="40" w:after="40" w:line="210" w:lineRule="exact"/>
              <w:ind w:left="0" w:right="43"/>
              <w:jc w:val="right"/>
              <w:rPr>
                <w:sz w:val="17"/>
                <w:lang w:val="fr-FR"/>
              </w:rPr>
            </w:pPr>
            <w:r w:rsidRPr="001277E7">
              <w:rPr>
                <w:sz w:val="17"/>
                <w:lang w:val="fr-FR"/>
              </w:rPr>
              <w:t>4</w:t>
            </w:r>
          </w:p>
        </w:tc>
        <w:tc>
          <w:tcPr>
            <w:tcW w:w="1260" w:type="dxa"/>
            <w:tcBorders>
              <w:bottom w:val="single" w:sz="12" w:space="0" w:color="auto"/>
            </w:tcBorders>
            <w:shd w:val="clear" w:color="auto" w:fill="auto"/>
            <w:vAlign w:val="bottom"/>
          </w:tcPr>
          <w:p w:rsidR="00826E0F" w:rsidRPr="001277E7" w:rsidRDefault="00826E0F" w:rsidP="001277E7">
            <w:pPr>
              <w:pStyle w:val="SingleTxt"/>
              <w:tabs>
                <w:tab w:val="left" w:pos="288"/>
                <w:tab w:val="left" w:pos="576"/>
                <w:tab w:val="left" w:pos="864"/>
                <w:tab w:val="left" w:pos="1152"/>
              </w:tabs>
              <w:suppressAutoHyphens/>
              <w:spacing w:before="40" w:after="40" w:line="210" w:lineRule="exact"/>
              <w:ind w:left="0" w:right="43"/>
              <w:jc w:val="right"/>
              <w:rPr>
                <w:sz w:val="17"/>
                <w:lang w:val="fr-FR"/>
              </w:rPr>
            </w:pPr>
            <w:r w:rsidRPr="001277E7">
              <w:rPr>
                <w:sz w:val="17"/>
                <w:lang w:val="fr-FR"/>
              </w:rPr>
              <w:t>57</w:t>
            </w:r>
            <w:r w:rsidR="006645B6">
              <w:rPr>
                <w:sz w:val="17"/>
                <w:lang w:val="fr-FR"/>
              </w:rPr>
              <w:t> %</w:t>
            </w:r>
          </w:p>
        </w:tc>
      </w:tr>
    </w:tbl>
    <w:p w:rsidR="001277E7" w:rsidRPr="001277E7" w:rsidRDefault="001277E7" w:rsidP="001277E7">
      <w:pPr>
        <w:pStyle w:val="SingleTxt"/>
        <w:spacing w:after="0" w:line="120" w:lineRule="exact"/>
        <w:rPr>
          <w:sz w:val="10"/>
          <w:lang w:val="fr-FR"/>
        </w:rPr>
      </w:pPr>
    </w:p>
    <w:p w:rsidR="00826E0F" w:rsidRPr="00872599" w:rsidRDefault="00826E0F" w:rsidP="001277E7">
      <w:pPr>
        <w:pStyle w:val="FootnoteText"/>
        <w:tabs>
          <w:tab w:val="clear" w:pos="418"/>
          <w:tab w:val="right" w:pos="1476"/>
          <w:tab w:val="left" w:pos="1548"/>
          <w:tab w:val="right" w:pos="1836"/>
          <w:tab w:val="left" w:pos="1908"/>
        </w:tabs>
        <w:ind w:left="1548" w:right="1267" w:hanging="288"/>
        <w:rPr>
          <w:lang w:val="fr-FR"/>
        </w:rPr>
      </w:pPr>
      <w:r w:rsidRPr="001277E7">
        <w:rPr>
          <w:i/>
          <w:lang w:val="fr-FR"/>
        </w:rPr>
        <w:t>Source</w:t>
      </w:r>
      <w:r w:rsidR="006645B6">
        <w:rPr>
          <w:i/>
          <w:lang w:val="fr-FR"/>
        </w:rPr>
        <w:t> :</w:t>
      </w:r>
      <w:r w:rsidRPr="00872599">
        <w:rPr>
          <w:lang w:val="fr-FR"/>
        </w:rPr>
        <w:t xml:space="preserve"> www.fbp.li; www.vu-online.li; www.freieliste.li. </w:t>
      </w:r>
    </w:p>
    <w:p w:rsidR="001277E7" w:rsidRPr="001277E7" w:rsidRDefault="001277E7" w:rsidP="001277E7">
      <w:pPr>
        <w:pStyle w:val="SingleTxt"/>
        <w:spacing w:after="0" w:line="120" w:lineRule="exact"/>
        <w:rPr>
          <w:sz w:val="10"/>
          <w:lang w:val="fr-FR"/>
        </w:rPr>
      </w:pPr>
    </w:p>
    <w:p w:rsidR="00826E0F" w:rsidRPr="00872599" w:rsidRDefault="001277E7" w:rsidP="00497599">
      <w:pPr>
        <w:pStyle w:val="SingleTxt"/>
        <w:rPr>
          <w:lang w:val="fr-FR"/>
        </w:rPr>
      </w:pPr>
      <w:r>
        <w:rPr>
          <w:lang w:val="fr-FR"/>
        </w:rPr>
        <w:tab/>
      </w:r>
      <w:r w:rsidR="00826E0F" w:rsidRPr="00872599">
        <w:rPr>
          <w:lang w:val="fr-FR"/>
        </w:rPr>
        <w:t>Ces chiffres montrent que la participation des femmes à la vie politique continue d</w:t>
      </w:r>
      <w:r w:rsidR="006645B6">
        <w:rPr>
          <w:lang w:val="fr-FR"/>
        </w:rPr>
        <w:t>’</w:t>
      </w:r>
      <w:r w:rsidR="00826E0F" w:rsidRPr="00872599">
        <w:rPr>
          <w:lang w:val="fr-FR"/>
        </w:rPr>
        <w:t>être relativement faible. Toutefois les progrès enregistrés depuis 1998, notamment en ce qui concerne la représentation des femmes au parlement, aux conseils municipaux et dans les tribunaux permettent d</w:t>
      </w:r>
      <w:r w:rsidR="006645B6">
        <w:rPr>
          <w:lang w:val="fr-FR"/>
        </w:rPr>
        <w:t>’</w:t>
      </w:r>
      <w:r w:rsidR="00826E0F" w:rsidRPr="00872599">
        <w:rPr>
          <w:lang w:val="fr-FR"/>
        </w:rPr>
        <w:t>être optimiste et montrent que la pr</w:t>
      </w:r>
      <w:r w:rsidR="00826E0F">
        <w:rPr>
          <w:lang w:val="fr-FR"/>
        </w:rPr>
        <w:t>omotion active des femmes menée</w:t>
      </w:r>
      <w:r w:rsidR="00826E0F" w:rsidRPr="00872599">
        <w:rPr>
          <w:lang w:val="fr-FR"/>
        </w:rPr>
        <w:t xml:space="preserve"> ces dernières années, notamment dans la préparation des élections municipales en 2007 et des élections parlementaires en 2005 et </w:t>
      </w:r>
      <w:smartTag w:uri="urn:schemas-microsoft-com:office:smarttags" w:element="metricconverter">
        <w:smartTagPr>
          <w:attr w:name="ProductID" w:val="2009, a"/>
        </w:smartTagPr>
        <w:r w:rsidR="00826E0F" w:rsidRPr="00872599">
          <w:rPr>
            <w:lang w:val="fr-FR"/>
          </w:rPr>
          <w:t>2009, a</w:t>
        </w:r>
      </w:smartTag>
      <w:r w:rsidR="00826E0F" w:rsidRPr="00872599">
        <w:rPr>
          <w:lang w:val="fr-FR"/>
        </w:rPr>
        <w:t xml:space="preserve"> porté ses fruits. La faible proportion de femmes participant à la vie politique reste cependant regrettable d</w:t>
      </w:r>
      <w:r w:rsidR="006645B6">
        <w:rPr>
          <w:lang w:val="fr-FR"/>
        </w:rPr>
        <w:t>’</w:t>
      </w:r>
      <w:r w:rsidR="00826E0F" w:rsidRPr="00872599">
        <w:rPr>
          <w:lang w:val="fr-FR"/>
        </w:rPr>
        <w:t>où le besoin de poursuivre à l</w:t>
      </w:r>
      <w:r w:rsidR="006645B6">
        <w:rPr>
          <w:lang w:val="fr-FR"/>
        </w:rPr>
        <w:t>’</w:t>
      </w:r>
      <w:r w:rsidR="00826E0F" w:rsidRPr="00872599">
        <w:rPr>
          <w:lang w:val="fr-FR"/>
        </w:rPr>
        <w:t>avenir au Liechtenstein les efforts pour renforcer cette participation.</w:t>
      </w:r>
    </w:p>
    <w:p w:rsidR="001277E7" w:rsidRPr="001277E7" w:rsidRDefault="001277E7" w:rsidP="001277E7">
      <w:pPr>
        <w:pStyle w:val="SingleTxt"/>
        <w:spacing w:after="0" w:line="120" w:lineRule="exact"/>
        <w:rPr>
          <w:sz w:val="10"/>
          <w:lang w:val="fr-FR"/>
        </w:rPr>
      </w:pPr>
    </w:p>
    <w:p w:rsidR="00826E0F" w:rsidRPr="00872599" w:rsidRDefault="001277E7" w:rsidP="001277E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00826E0F" w:rsidRPr="00872599">
        <w:rPr>
          <w:lang w:val="fr-FR"/>
        </w:rPr>
        <w:t>b)</w:t>
      </w:r>
      <w:r w:rsidR="00826E0F" w:rsidRPr="00872599">
        <w:rPr>
          <w:lang w:val="fr-FR"/>
        </w:rPr>
        <w:tab/>
        <w:t>Mesures tendant à promouvoir</w:t>
      </w:r>
      <w:r w:rsidR="006645B6">
        <w:rPr>
          <w:lang w:val="fr-FR"/>
        </w:rPr>
        <w:t xml:space="preserve"> </w:t>
      </w:r>
      <w:r w:rsidR="00826E0F" w:rsidRPr="00872599">
        <w:rPr>
          <w:lang w:val="fr-FR"/>
        </w:rPr>
        <w:t>l</w:t>
      </w:r>
      <w:r w:rsidR="006645B6">
        <w:rPr>
          <w:lang w:val="fr-FR"/>
        </w:rPr>
        <w:t>’</w:t>
      </w:r>
      <w:r w:rsidR="00826E0F" w:rsidRPr="00872599">
        <w:rPr>
          <w:lang w:val="fr-FR"/>
        </w:rPr>
        <w:t>accès des femmes aux fonctions publiques</w:t>
      </w:r>
    </w:p>
    <w:p w:rsidR="001277E7" w:rsidRPr="001277E7" w:rsidRDefault="001277E7" w:rsidP="001277E7">
      <w:pPr>
        <w:pStyle w:val="SingleTxt"/>
        <w:spacing w:after="0" w:line="120" w:lineRule="exact"/>
        <w:rPr>
          <w:i/>
          <w:sz w:val="10"/>
          <w:u w:val="single"/>
          <w:lang w:val="fr-FR"/>
        </w:rPr>
      </w:pPr>
    </w:p>
    <w:p w:rsidR="00826E0F" w:rsidRPr="00872599" w:rsidRDefault="001277E7" w:rsidP="00497599">
      <w:pPr>
        <w:pStyle w:val="SingleTxt"/>
        <w:rPr>
          <w:lang w:val="fr-FR"/>
        </w:rPr>
      </w:pPr>
      <w:r>
        <w:rPr>
          <w:lang w:val="fr-FR"/>
        </w:rPr>
        <w:tab/>
      </w:r>
      <w:r w:rsidR="00826E0F" w:rsidRPr="00872599">
        <w:rPr>
          <w:lang w:val="fr-FR"/>
        </w:rPr>
        <w:t>Compte tenu de la décision prise par le Gouvernement en 1997 afin qu</w:t>
      </w:r>
      <w:r w:rsidR="006645B6">
        <w:rPr>
          <w:lang w:val="fr-FR"/>
        </w:rPr>
        <w:t>’</w:t>
      </w:r>
      <w:r w:rsidR="00826E0F" w:rsidRPr="00872599">
        <w:rPr>
          <w:lang w:val="fr-FR"/>
        </w:rPr>
        <w:t>aucun des deux sexes n</w:t>
      </w:r>
      <w:r w:rsidR="006645B6">
        <w:rPr>
          <w:lang w:val="fr-FR"/>
        </w:rPr>
        <w:t>’</w:t>
      </w:r>
      <w:r w:rsidR="00826E0F" w:rsidRPr="00872599">
        <w:rPr>
          <w:lang w:val="fr-FR"/>
        </w:rPr>
        <w:t>ait une représentation de plus des deux tiers au sein des organes nommés par le Gouvernement, il convient de faire observer que, d</w:t>
      </w:r>
      <w:r w:rsidR="006645B6">
        <w:rPr>
          <w:lang w:val="fr-FR"/>
        </w:rPr>
        <w:t>’</w:t>
      </w:r>
      <w:r w:rsidR="00826E0F" w:rsidRPr="00872599">
        <w:rPr>
          <w:lang w:val="fr-FR"/>
        </w:rPr>
        <w:t>après les chiffres susmentionnés, la proportion des femmes dans les commissions et les conseils consultat</w:t>
      </w:r>
      <w:r w:rsidR="00826E0F">
        <w:rPr>
          <w:lang w:val="fr-FR"/>
        </w:rPr>
        <w:t>ifs continue</w:t>
      </w:r>
      <w:r w:rsidR="00826E0F" w:rsidRPr="00872599">
        <w:rPr>
          <w:lang w:val="fr-FR"/>
        </w:rPr>
        <w:t xml:space="preserve"> d</w:t>
      </w:r>
      <w:r w:rsidR="006645B6">
        <w:rPr>
          <w:lang w:val="fr-FR"/>
        </w:rPr>
        <w:t>’</w:t>
      </w:r>
      <w:r w:rsidR="00826E0F" w:rsidRPr="00872599">
        <w:rPr>
          <w:lang w:val="fr-FR"/>
        </w:rPr>
        <w:t>être inférieure au quota prévu de un tiers. Le 29 septembre 2004, le Gouvernement a pris note du rapport élaboré sur ce sujet par le Comité directeur pour l</w:t>
      </w:r>
      <w:r w:rsidR="006645B6">
        <w:rPr>
          <w:lang w:val="fr-FR"/>
        </w:rPr>
        <w:t>’</w:t>
      </w:r>
      <w:r w:rsidR="00826E0F" w:rsidRPr="00872599">
        <w:rPr>
          <w:lang w:val="fr-FR"/>
        </w:rPr>
        <w:t>institutionnalisation de l</w:t>
      </w:r>
      <w:r w:rsidR="006645B6">
        <w:rPr>
          <w:lang w:val="fr-FR"/>
        </w:rPr>
        <w:t>’</w:t>
      </w:r>
      <w:r w:rsidR="00826E0F" w:rsidRPr="00872599">
        <w:rPr>
          <w:lang w:val="fr-FR"/>
        </w:rPr>
        <w:t xml:space="preserve">égalité des sexes, </w:t>
      </w:r>
      <w:r w:rsidR="000E00B5">
        <w:rPr>
          <w:lang w:val="fr-FR"/>
        </w:rPr>
        <w:t>« </w:t>
      </w:r>
      <w:r w:rsidR="00826E0F" w:rsidRPr="00872599">
        <w:rPr>
          <w:lang w:val="fr-FR"/>
        </w:rPr>
        <w:t>Participation des femmes et des hommes à la vie politique au sein des organes publics au Liechtenstein –</w:t>
      </w:r>
      <w:r w:rsidR="00826E0F">
        <w:rPr>
          <w:lang w:val="fr-FR"/>
        </w:rPr>
        <w:t xml:space="preserve"> </w:t>
      </w:r>
      <w:r w:rsidR="00826E0F" w:rsidRPr="00872599">
        <w:rPr>
          <w:lang w:val="fr-FR"/>
        </w:rPr>
        <w:t>une étude des mécanismes et des acteurs</w:t>
      </w:r>
      <w:r w:rsidR="000E00B5">
        <w:rPr>
          <w:lang w:val="fr-FR"/>
        </w:rPr>
        <w:t> </w:t>
      </w:r>
      <w:r w:rsidR="00826E0F" w:rsidRPr="00872599">
        <w:rPr>
          <w:lang w:val="fr-FR"/>
        </w:rPr>
        <w:t>». Le Gouvernement a décidé de s</w:t>
      </w:r>
      <w:r w:rsidR="006645B6">
        <w:rPr>
          <w:lang w:val="fr-FR"/>
        </w:rPr>
        <w:t>’</w:t>
      </w:r>
      <w:r w:rsidR="00826E0F" w:rsidRPr="00872599">
        <w:rPr>
          <w:lang w:val="fr-FR"/>
        </w:rPr>
        <w:t>efforcer plus activement de mobiliser les femmes pour qu</w:t>
      </w:r>
      <w:r w:rsidR="006645B6">
        <w:rPr>
          <w:lang w:val="fr-FR"/>
        </w:rPr>
        <w:t>’</w:t>
      </w:r>
      <w:r w:rsidR="00826E0F" w:rsidRPr="00872599">
        <w:rPr>
          <w:lang w:val="fr-FR"/>
        </w:rPr>
        <w:t>elles participent aux travaux des commissions. Lorsque des membres sont désignés pour se présenter aux commissions, l</w:t>
      </w:r>
      <w:r w:rsidR="006645B6">
        <w:rPr>
          <w:lang w:val="fr-FR"/>
        </w:rPr>
        <w:t>’</w:t>
      </w:r>
      <w:r w:rsidR="00826E0F" w:rsidRPr="00872599">
        <w:rPr>
          <w:lang w:val="fr-FR"/>
        </w:rPr>
        <w:t>instance responsable des élections demande instamment aux partis politiques et aux associations de donner la préférence aux femmes afin d</w:t>
      </w:r>
      <w:r w:rsidR="006645B6">
        <w:rPr>
          <w:lang w:val="fr-FR"/>
        </w:rPr>
        <w:t>’</w:t>
      </w:r>
      <w:r w:rsidR="00826E0F" w:rsidRPr="00872599">
        <w:rPr>
          <w:lang w:val="fr-FR"/>
        </w:rPr>
        <w:t>obtenir une composition équilibrée. Le Ministère de la famille et de l</w:t>
      </w:r>
      <w:r w:rsidR="006645B6">
        <w:rPr>
          <w:lang w:val="fr-FR"/>
        </w:rPr>
        <w:t>’</w:t>
      </w:r>
      <w:r w:rsidR="00826E0F" w:rsidRPr="00872599">
        <w:rPr>
          <w:lang w:val="fr-FR"/>
        </w:rPr>
        <w:t>égalité des chances a également informé les groupes d</w:t>
      </w:r>
      <w:r w:rsidR="006645B6">
        <w:rPr>
          <w:lang w:val="fr-FR"/>
        </w:rPr>
        <w:t>’</w:t>
      </w:r>
      <w:r w:rsidR="00826E0F" w:rsidRPr="00872599">
        <w:rPr>
          <w:lang w:val="fr-FR"/>
        </w:rPr>
        <w:t>intérêts, verbalement et par écrit, sur l</w:t>
      </w:r>
      <w:r w:rsidR="006645B6">
        <w:rPr>
          <w:lang w:val="fr-FR"/>
        </w:rPr>
        <w:t>’</w:t>
      </w:r>
      <w:r w:rsidR="00826E0F" w:rsidRPr="00872599">
        <w:rPr>
          <w:lang w:val="fr-FR"/>
        </w:rPr>
        <w:t>objectif du Gouvernement et leur a demandé de ne pas laisser les femmes à l</w:t>
      </w:r>
      <w:r w:rsidR="006645B6">
        <w:rPr>
          <w:lang w:val="fr-FR"/>
        </w:rPr>
        <w:t>’</w:t>
      </w:r>
      <w:r w:rsidR="00826E0F" w:rsidRPr="00872599">
        <w:rPr>
          <w:lang w:val="fr-FR"/>
        </w:rPr>
        <w:t>écart au moment de désigner des candidats.</w:t>
      </w:r>
    </w:p>
    <w:p w:rsidR="001277E7" w:rsidRPr="001277E7" w:rsidRDefault="001277E7" w:rsidP="001277E7">
      <w:pPr>
        <w:pStyle w:val="SingleTxt"/>
        <w:spacing w:after="0" w:line="120" w:lineRule="exact"/>
        <w:rPr>
          <w:sz w:val="10"/>
          <w:lang w:val="fr-FR"/>
        </w:rPr>
      </w:pPr>
    </w:p>
    <w:p w:rsidR="00826E0F" w:rsidRPr="00872599" w:rsidRDefault="001277E7" w:rsidP="001277E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826E0F" w:rsidRPr="00872599">
        <w:rPr>
          <w:lang w:val="fr-FR"/>
        </w:rPr>
        <w:t xml:space="preserve">Base de données </w:t>
      </w:r>
      <w:r w:rsidR="000E00B5">
        <w:rPr>
          <w:lang w:val="fr-FR"/>
        </w:rPr>
        <w:t>« </w:t>
      </w:r>
      <w:r w:rsidR="00826E0F" w:rsidRPr="00872599">
        <w:rPr>
          <w:lang w:val="fr-FR"/>
        </w:rPr>
        <w:t>Liste de disponibilité des femmes</w:t>
      </w:r>
      <w:r w:rsidR="000E00B5">
        <w:rPr>
          <w:lang w:val="fr-FR"/>
        </w:rPr>
        <w:t> »</w:t>
      </w:r>
    </w:p>
    <w:p w:rsidR="001277E7" w:rsidRPr="001277E7" w:rsidRDefault="001277E7" w:rsidP="001277E7">
      <w:pPr>
        <w:pStyle w:val="SingleTxt"/>
        <w:spacing w:after="0" w:line="120" w:lineRule="exact"/>
        <w:rPr>
          <w:sz w:val="10"/>
          <w:lang w:val="fr-FR"/>
        </w:rPr>
      </w:pPr>
    </w:p>
    <w:p w:rsidR="00826E0F" w:rsidRPr="00872599" w:rsidRDefault="001277E7" w:rsidP="00497599">
      <w:pPr>
        <w:pStyle w:val="SingleTxt"/>
        <w:rPr>
          <w:lang w:val="fr-FR"/>
        </w:rPr>
      </w:pPr>
      <w:r>
        <w:rPr>
          <w:lang w:val="fr-FR"/>
        </w:rPr>
        <w:tab/>
      </w:r>
      <w:r w:rsidR="00826E0F" w:rsidRPr="00872599">
        <w:rPr>
          <w:lang w:val="fr-FR"/>
        </w:rPr>
        <w:t xml:space="preserve">95 femmes se sont depuis lors inscrites à la </w:t>
      </w:r>
      <w:r w:rsidR="000E00B5">
        <w:rPr>
          <w:lang w:val="fr-FR"/>
        </w:rPr>
        <w:t>« Li</w:t>
      </w:r>
      <w:r w:rsidR="00826E0F" w:rsidRPr="00872599">
        <w:rPr>
          <w:lang w:val="fr-FR"/>
        </w:rPr>
        <w:t>ste de disponibilité des femmes</w:t>
      </w:r>
      <w:r w:rsidR="006645B6">
        <w:rPr>
          <w:lang w:val="fr-FR"/>
        </w:rPr>
        <w:t> »</w:t>
      </w:r>
      <w:r w:rsidR="00826E0F" w:rsidRPr="00872599">
        <w:rPr>
          <w:lang w:val="fr-FR"/>
        </w:rPr>
        <w:t xml:space="preserve"> fondées en 1999 en vue de la mise en application de la </w:t>
      </w:r>
      <w:r w:rsidR="000E00B5">
        <w:rPr>
          <w:lang w:val="fr-FR"/>
        </w:rPr>
        <w:t>« </w:t>
      </w:r>
      <w:r w:rsidR="00826E0F" w:rsidRPr="00872599">
        <w:rPr>
          <w:lang w:val="fr-FR"/>
        </w:rPr>
        <w:t>décision des deux tiers</w:t>
      </w:r>
      <w:r w:rsidR="006645B6">
        <w:rPr>
          <w:lang w:val="fr-FR"/>
        </w:rPr>
        <w:t> »</w:t>
      </w:r>
      <w:r w:rsidR="00826E0F" w:rsidRPr="00872599">
        <w:rPr>
          <w:lang w:val="fr-FR"/>
        </w:rPr>
        <w:t>. Il s</w:t>
      </w:r>
      <w:r w:rsidR="006645B6">
        <w:rPr>
          <w:lang w:val="fr-FR"/>
        </w:rPr>
        <w:t>’</w:t>
      </w:r>
      <w:r w:rsidR="00826E0F" w:rsidRPr="00872599">
        <w:rPr>
          <w:lang w:val="fr-FR"/>
        </w:rPr>
        <w:t>agit d</w:t>
      </w:r>
      <w:r w:rsidR="006645B6">
        <w:rPr>
          <w:lang w:val="fr-FR"/>
        </w:rPr>
        <w:t>’</w:t>
      </w:r>
      <w:r w:rsidR="00826E0F" w:rsidRPr="00872599">
        <w:rPr>
          <w:lang w:val="fr-FR"/>
        </w:rPr>
        <w:t>une base de données à laquelle les femmes intéressées par la vie politique peuvent s</w:t>
      </w:r>
      <w:r w:rsidR="006645B6">
        <w:rPr>
          <w:lang w:val="fr-FR"/>
        </w:rPr>
        <w:t>’</w:t>
      </w:r>
      <w:r w:rsidR="00826E0F" w:rsidRPr="00872599">
        <w:rPr>
          <w:lang w:val="fr-FR"/>
        </w:rPr>
        <w:t>inscrire elles-mêmes. En s</w:t>
      </w:r>
      <w:r w:rsidR="006645B6">
        <w:rPr>
          <w:lang w:val="fr-FR"/>
        </w:rPr>
        <w:t>’</w:t>
      </w:r>
      <w:r w:rsidR="00826E0F" w:rsidRPr="00872599">
        <w:rPr>
          <w:lang w:val="fr-FR"/>
        </w:rPr>
        <w:t xml:space="preserve">enregistrant dans cette base, les femmes annoncent leur disponibilité pour siéger aux commissions et aux groupes de travail au niveau national et municipal. </w:t>
      </w:r>
      <w:smartTag w:uri="urn:schemas-microsoft-com:office:smarttags" w:element="PersonName">
        <w:smartTagPr>
          <w:attr w:name="ProductID" w:val="la Liste"/>
        </w:smartTagPr>
        <w:r w:rsidR="00826E0F" w:rsidRPr="00872599">
          <w:rPr>
            <w:lang w:val="fr-FR"/>
          </w:rPr>
          <w:t>La Liste</w:t>
        </w:r>
      </w:smartTag>
      <w:r w:rsidR="00826E0F" w:rsidRPr="00872599">
        <w:rPr>
          <w:lang w:val="fr-FR"/>
        </w:rPr>
        <w:t xml:space="preserve"> est essentiellement consultée par des organisations de femmes qui recherchent des femmes pour leur faire occuper des fonctions d</w:t>
      </w:r>
      <w:r w:rsidR="006645B6">
        <w:rPr>
          <w:lang w:val="fr-FR"/>
        </w:rPr>
        <w:t>’</w:t>
      </w:r>
      <w:r w:rsidR="00826E0F" w:rsidRPr="00872599">
        <w:rPr>
          <w:lang w:val="fr-FR"/>
        </w:rPr>
        <w:t>encadrement. Cette liste a été portée à la connaissance du public au début de 2008 au moyen d</w:t>
      </w:r>
      <w:r w:rsidR="006645B6">
        <w:rPr>
          <w:lang w:val="fr-FR"/>
        </w:rPr>
        <w:t>’</w:t>
      </w:r>
      <w:r w:rsidR="00826E0F" w:rsidRPr="00872599">
        <w:rPr>
          <w:lang w:val="fr-FR"/>
        </w:rPr>
        <w:t>articles dans les deux journaux nationaux, d</w:t>
      </w:r>
      <w:r w:rsidR="006645B6">
        <w:rPr>
          <w:lang w:val="fr-FR"/>
        </w:rPr>
        <w:t>’</w:t>
      </w:r>
      <w:r w:rsidR="00826E0F" w:rsidRPr="00872599">
        <w:rPr>
          <w:lang w:val="fr-FR"/>
        </w:rPr>
        <w:t>une interview radiophonique, d</w:t>
      </w:r>
      <w:r w:rsidR="006645B6">
        <w:rPr>
          <w:lang w:val="fr-FR"/>
        </w:rPr>
        <w:t>’</w:t>
      </w:r>
      <w:r w:rsidR="00826E0F" w:rsidRPr="00872599">
        <w:rPr>
          <w:lang w:val="fr-FR"/>
        </w:rPr>
        <w:t>un article dans le bulletin des employés de l</w:t>
      </w:r>
      <w:r w:rsidR="006645B6">
        <w:rPr>
          <w:lang w:val="fr-FR"/>
        </w:rPr>
        <w:t>’</w:t>
      </w:r>
      <w:r w:rsidR="00826E0F" w:rsidRPr="00872599">
        <w:rPr>
          <w:lang w:val="fr-FR"/>
        </w:rPr>
        <w:t>administration nationale et dans le bulletin du Bureau de l</w:t>
      </w:r>
      <w:r w:rsidR="006645B6">
        <w:rPr>
          <w:lang w:val="fr-FR"/>
        </w:rPr>
        <w:t>’</w:t>
      </w:r>
      <w:r w:rsidR="00826E0F" w:rsidRPr="00872599">
        <w:rPr>
          <w:lang w:val="fr-FR"/>
        </w:rPr>
        <w:t xml:space="preserve">égalité des chances. Depuis ces annonces, 25 nouvelles inscriptions de femmes intéressées par la vie politique ont été enregistrées dans </w:t>
      </w:r>
      <w:smartTag w:uri="urn:schemas-microsoft-com:office:smarttags" w:element="PersonName">
        <w:smartTagPr>
          <w:attr w:name="ProductID" w:val="la Liste. Les"/>
        </w:smartTagPr>
        <w:r w:rsidR="00826E0F" w:rsidRPr="00872599">
          <w:rPr>
            <w:lang w:val="fr-FR"/>
          </w:rPr>
          <w:t>la Liste. Les</w:t>
        </w:r>
      </w:smartTag>
      <w:r w:rsidR="00826E0F" w:rsidRPr="00872599">
        <w:rPr>
          <w:lang w:val="fr-FR"/>
        </w:rPr>
        <w:t xml:space="preserve"> associations concernées sont régulièrement informées de l</w:t>
      </w:r>
      <w:r w:rsidR="006645B6">
        <w:rPr>
          <w:lang w:val="fr-FR"/>
        </w:rPr>
        <w:t>’</w:t>
      </w:r>
      <w:r w:rsidR="00826E0F" w:rsidRPr="00872599">
        <w:rPr>
          <w:lang w:val="fr-FR"/>
        </w:rPr>
        <w:t>état de la liste.</w:t>
      </w:r>
    </w:p>
    <w:p w:rsidR="001277E7" w:rsidRPr="001277E7" w:rsidRDefault="00826E0F" w:rsidP="001277E7">
      <w:pPr>
        <w:pStyle w:val="SingleTxt"/>
        <w:spacing w:after="0" w:line="120" w:lineRule="exact"/>
        <w:rPr>
          <w:sz w:val="10"/>
          <w:lang w:val="fr-FR"/>
        </w:rPr>
      </w:pPr>
      <w:r w:rsidRPr="00872599">
        <w:rPr>
          <w:lang w:val="fr-FR"/>
        </w:rPr>
        <w:t xml:space="preserve"> </w:t>
      </w:r>
    </w:p>
    <w:p w:rsidR="00826E0F" w:rsidRPr="00872599" w:rsidRDefault="001277E7" w:rsidP="001277E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826E0F" w:rsidRPr="00872599">
        <w:rPr>
          <w:lang w:val="fr-FR"/>
        </w:rPr>
        <w:t>Cours sur la vie politique</w:t>
      </w:r>
    </w:p>
    <w:p w:rsidR="001277E7" w:rsidRPr="001277E7" w:rsidRDefault="001277E7" w:rsidP="001277E7">
      <w:pPr>
        <w:pStyle w:val="SingleTxt"/>
        <w:spacing w:after="0" w:line="120" w:lineRule="exact"/>
        <w:rPr>
          <w:sz w:val="10"/>
          <w:lang w:val="fr-FR"/>
        </w:rPr>
      </w:pPr>
    </w:p>
    <w:p w:rsidR="00826E0F" w:rsidRPr="00872599" w:rsidRDefault="001277E7" w:rsidP="00497599">
      <w:pPr>
        <w:pStyle w:val="SingleTxt"/>
        <w:rPr>
          <w:lang w:val="fr-FR"/>
        </w:rPr>
      </w:pPr>
      <w:r>
        <w:rPr>
          <w:lang w:val="fr-FR"/>
        </w:rPr>
        <w:tab/>
      </w:r>
      <w:r w:rsidR="00826E0F" w:rsidRPr="00872599">
        <w:rPr>
          <w:lang w:val="fr-FR"/>
        </w:rPr>
        <w:t xml:space="preserve">De mars à novembre 2009, </w:t>
      </w:r>
      <w:smartTag w:uri="urn:schemas-microsoft-com:office:smarttags" w:element="PersonName">
        <w:smartTagPr>
          <w:attr w:name="ProductID" w:val="la Commission"/>
        </w:smartTagPr>
        <w:r w:rsidR="00826E0F" w:rsidRPr="00872599">
          <w:rPr>
            <w:lang w:val="fr-FR"/>
          </w:rPr>
          <w:t>la Commission</w:t>
        </w:r>
      </w:smartTag>
      <w:r w:rsidR="00826E0F" w:rsidRPr="00872599">
        <w:rPr>
          <w:lang w:val="fr-FR"/>
        </w:rPr>
        <w:t xml:space="preserve"> sur l</w:t>
      </w:r>
      <w:r w:rsidR="006645B6">
        <w:rPr>
          <w:lang w:val="fr-FR"/>
        </w:rPr>
        <w:t>’</w:t>
      </w:r>
      <w:r w:rsidR="00826E0F" w:rsidRPr="00872599">
        <w:rPr>
          <w:lang w:val="fr-FR"/>
        </w:rPr>
        <w:t xml:space="preserve">égalité </w:t>
      </w:r>
      <w:r w:rsidR="00826E0F">
        <w:rPr>
          <w:lang w:val="fr-FR"/>
        </w:rPr>
        <w:t xml:space="preserve">entre les </w:t>
      </w:r>
      <w:r w:rsidR="00826E0F" w:rsidRPr="00872599">
        <w:rPr>
          <w:lang w:val="fr-FR"/>
        </w:rPr>
        <w:t>sexes, le Bureau de l</w:t>
      </w:r>
      <w:r w:rsidR="006645B6">
        <w:rPr>
          <w:lang w:val="fr-FR"/>
        </w:rPr>
        <w:t>’</w:t>
      </w:r>
      <w:r w:rsidR="00826E0F" w:rsidRPr="00872599">
        <w:rPr>
          <w:lang w:val="fr-FR"/>
        </w:rPr>
        <w:t>égalité des chances et le Département des femmes du Vorarlberg dispensent un cours transfrontières sur la vie politique qui en est déjà à sa sixième édition depuis 2004. Il s</w:t>
      </w:r>
      <w:r w:rsidR="006645B6">
        <w:rPr>
          <w:lang w:val="fr-FR"/>
        </w:rPr>
        <w:t>’</w:t>
      </w:r>
      <w:r w:rsidR="00826E0F" w:rsidRPr="00872599">
        <w:rPr>
          <w:lang w:val="fr-FR"/>
        </w:rPr>
        <w:t xml:space="preserve">agit de préparer les femmes à mettre leurs compétences à la disposition des organes politiques et du public. Elles acquièrent les connaissances politiques de base et apprennent les règles du jeu politique en général. Les participantes reçoivent un appui pour leur engagement </w:t>
      </w:r>
      <w:r w:rsidR="00CC772D" w:rsidRPr="00872599">
        <w:rPr>
          <w:lang w:val="fr-FR"/>
        </w:rPr>
        <w:t>sociopolitique</w:t>
      </w:r>
      <w:r w:rsidR="00826E0F" w:rsidRPr="00872599">
        <w:rPr>
          <w:lang w:val="fr-FR"/>
        </w:rPr>
        <w:t xml:space="preserve"> ou leur travail politique. Elles en retirent une confiance en elles-mêmes accrue et elles apprennent les techniques de conduite d</w:t>
      </w:r>
      <w:r w:rsidR="006645B6">
        <w:rPr>
          <w:lang w:val="fr-FR"/>
        </w:rPr>
        <w:t>’</w:t>
      </w:r>
      <w:r w:rsidR="00826E0F" w:rsidRPr="00872599">
        <w:rPr>
          <w:lang w:val="fr-FR"/>
        </w:rPr>
        <w:t xml:space="preserve">un débat. </w:t>
      </w:r>
      <w:r w:rsidR="00CC772D" w:rsidRPr="00872599">
        <w:rPr>
          <w:lang w:val="fr-FR"/>
        </w:rPr>
        <w:t>Le cours de politique se compose des modules</w:t>
      </w:r>
      <w:r w:rsidR="006645B6">
        <w:rPr>
          <w:lang w:val="fr-FR"/>
        </w:rPr>
        <w:t> :</w:t>
      </w:r>
      <w:r w:rsidR="00CC772D" w:rsidRPr="00872599">
        <w:rPr>
          <w:lang w:val="fr-FR"/>
        </w:rPr>
        <w:t xml:space="preserve"> </w:t>
      </w:r>
      <w:r w:rsidR="000E00B5">
        <w:rPr>
          <w:lang w:val="fr-FR"/>
        </w:rPr>
        <w:t>« </w:t>
      </w:r>
      <w:r w:rsidR="00CC772D" w:rsidRPr="00872599">
        <w:rPr>
          <w:lang w:val="fr-FR"/>
        </w:rPr>
        <w:t>Autoévaluation</w:t>
      </w:r>
      <w:r w:rsidR="006645B6">
        <w:rPr>
          <w:lang w:val="fr-FR"/>
        </w:rPr>
        <w:t> :</w:t>
      </w:r>
      <w:r w:rsidR="00CC772D" w:rsidRPr="00872599">
        <w:rPr>
          <w:lang w:val="fr-FR"/>
        </w:rPr>
        <w:t xml:space="preserve"> l</w:t>
      </w:r>
      <w:r w:rsidR="006645B6">
        <w:rPr>
          <w:lang w:val="fr-FR"/>
        </w:rPr>
        <w:t>’</w:t>
      </w:r>
      <w:r w:rsidR="00CC772D" w:rsidRPr="00872599">
        <w:rPr>
          <w:lang w:val="fr-FR"/>
        </w:rPr>
        <w:t>engagement politique est-il un défi qui me convient?</w:t>
      </w:r>
      <w:r w:rsidR="000E00B5">
        <w:rPr>
          <w:lang w:val="fr-FR"/>
        </w:rPr>
        <w:t> </w:t>
      </w:r>
      <w:r w:rsidR="00CC772D" w:rsidRPr="00872599">
        <w:rPr>
          <w:lang w:val="fr-FR"/>
        </w:rPr>
        <w:t xml:space="preserve">», </w:t>
      </w:r>
      <w:r w:rsidR="000E00B5">
        <w:rPr>
          <w:lang w:val="fr-FR"/>
        </w:rPr>
        <w:t>« </w:t>
      </w:r>
      <w:r w:rsidR="00CC772D" w:rsidRPr="00872599">
        <w:rPr>
          <w:lang w:val="fr-FR"/>
        </w:rPr>
        <w:t>Le système politique du Vorarlberg et du Liechtenstein –la théorie et la réalité</w:t>
      </w:r>
      <w:r w:rsidR="006645B6">
        <w:rPr>
          <w:lang w:val="fr-FR"/>
        </w:rPr>
        <w:t> »</w:t>
      </w:r>
      <w:r w:rsidR="00CC772D" w:rsidRPr="00872599">
        <w:rPr>
          <w:lang w:val="fr-FR"/>
        </w:rPr>
        <w:t xml:space="preserve">, </w:t>
      </w:r>
      <w:r w:rsidR="000E00B5">
        <w:rPr>
          <w:lang w:val="fr-FR"/>
        </w:rPr>
        <w:t>« </w:t>
      </w:r>
      <w:r w:rsidR="00CC772D" w:rsidRPr="00872599">
        <w:rPr>
          <w:lang w:val="fr-FR"/>
        </w:rPr>
        <w:t>Parler et argumenter en public</w:t>
      </w:r>
      <w:r w:rsidR="000E00B5">
        <w:rPr>
          <w:lang w:val="fr-FR"/>
        </w:rPr>
        <w:t> </w:t>
      </w:r>
      <w:r w:rsidR="00CC772D" w:rsidRPr="00872599">
        <w:rPr>
          <w:lang w:val="fr-FR"/>
        </w:rPr>
        <w:t>»</w:t>
      </w:r>
      <w:r w:rsidR="008A4E39">
        <w:rPr>
          <w:lang w:val="fr-FR"/>
        </w:rPr>
        <w:t>,</w:t>
      </w:r>
      <w:r w:rsidR="00CC772D" w:rsidRPr="00872599">
        <w:rPr>
          <w:lang w:val="fr-FR"/>
        </w:rPr>
        <w:t xml:space="preserve"> </w:t>
      </w:r>
      <w:r w:rsidR="000E00B5">
        <w:rPr>
          <w:lang w:val="fr-FR"/>
        </w:rPr>
        <w:t>« </w:t>
      </w:r>
      <w:r w:rsidR="00CC772D" w:rsidRPr="00872599">
        <w:rPr>
          <w:lang w:val="fr-FR"/>
        </w:rPr>
        <w:t>Introduction aux structures politiques</w:t>
      </w:r>
      <w:r w:rsidR="006645B6">
        <w:rPr>
          <w:lang w:val="fr-FR"/>
        </w:rPr>
        <w:t> »</w:t>
      </w:r>
      <w:r w:rsidR="00CC772D" w:rsidRPr="00872599">
        <w:rPr>
          <w:lang w:val="fr-FR"/>
        </w:rPr>
        <w:t xml:space="preserve"> , </w:t>
      </w:r>
      <w:r w:rsidR="000E00B5">
        <w:rPr>
          <w:lang w:val="fr-FR"/>
        </w:rPr>
        <w:t>« </w:t>
      </w:r>
      <w:r w:rsidR="00CC772D" w:rsidRPr="00872599">
        <w:rPr>
          <w:lang w:val="fr-FR"/>
        </w:rPr>
        <w:t>Gestion des conflits</w:t>
      </w:r>
      <w:r w:rsidR="006645B6">
        <w:rPr>
          <w:lang w:val="fr-FR"/>
        </w:rPr>
        <w:t> »</w:t>
      </w:r>
      <w:r w:rsidR="00CC772D" w:rsidRPr="00872599">
        <w:rPr>
          <w:lang w:val="fr-FR"/>
        </w:rPr>
        <w:t xml:space="preserve"> et </w:t>
      </w:r>
      <w:r w:rsidR="000E00B5">
        <w:rPr>
          <w:lang w:val="fr-FR"/>
        </w:rPr>
        <w:t>« </w:t>
      </w:r>
      <w:r w:rsidR="00CC772D" w:rsidRPr="00872599">
        <w:rPr>
          <w:lang w:val="fr-FR"/>
        </w:rPr>
        <w:t>Les relations publiques et la formation à l</w:t>
      </w:r>
      <w:r w:rsidR="006645B6">
        <w:rPr>
          <w:lang w:val="fr-FR"/>
        </w:rPr>
        <w:t>’</w:t>
      </w:r>
      <w:r w:rsidR="00CC772D" w:rsidRPr="00872599">
        <w:rPr>
          <w:lang w:val="fr-FR"/>
        </w:rPr>
        <w:t>utilisation des médias</w:t>
      </w:r>
      <w:r w:rsidR="006645B6">
        <w:rPr>
          <w:lang w:val="fr-FR"/>
        </w:rPr>
        <w:t> »</w:t>
      </w:r>
      <w:r w:rsidR="00CC772D" w:rsidRPr="00872599">
        <w:rPr>
          <w:lang w:val="fr-FR"/>
        </w:rPr>
        <w:t xml:space="preserve"> . </w:t>
      </w:r>
      <w:r w:rsidR="00826E0F" w:rsidRPr="00872599">
        <w:rPr>
          <w:lang w:val="fr-FR"/>
        </w:rPr>
        <w:t>Le groupe cible auquel s</w:t>
      </w:r>
      <w:r w:rsidR="006645B6">
        <w:rPr>
          <w:lang w:val="fr-FR"/>
        </w:rPr>
        <w:t>’</w:t>
      </w:r>
      <w:r w:rsidR="00826E0F" w:rsidRPr="00872599">
        <w:rPr>
          <w:lang w:val="fr-FR"/>
        </w:rPr>
        <w:t>adresse le cours de politique consiste en femmes qui ont une activité dans des institutions, des partis, des organismes publics, des associations ou des groupes d</w:t>
      </w:r>
      <w:r w:rsidR="006645B6">
        <w:rPr>
          <w:lang w:val="fr-FR"/>
        </w:rPr>
        <w:t>’</w:t>
      </w:r>
      <w:r w:rsidR="00826E0F" w:rsidRPr="00872599">
        <w:rPr>
          <w:lang w:val="fr-FR"/>
        </w:rPr>
        <w:t>initiative ou bien qui souhaiteraient s</w:t>
      </w:r>
      <w:r w:rsidR="006645B6">
        <w:rPr>
          <w:lang w:val="fr-FR"/>
        </w:rPr>
        <w:t>’</w:t>
      </w:r>
      <w:r w:rsidR="00826E0F" w:rsidRPr="00872599">
        <w:rPr>
          <w:lang w:val="fr-FR"/>
        </w:rPr>
        <w:t>impliquer à l</w:t>
      </w:r>
      <w:r w:rsidR="006645B6">
        <w:rPr>
          <w:lang w:val="fr-FR"/>
        </w:rPr>
        <w:t>’</w:t>
      </w:r>
      <w:r w:rsidR="00826E0F" w:rsidRPr="00872599">
        <w:rPr>
          <w:lang w:val="fr-FR"/>
        </w:rPr>
        <w:t>avenir. Depuis 2004, quelque 120 femmes du Liechtenstein et du Vorarlberg ont profité de cette possibilité et ont suivi le cours de politique. En plus d</w:t>
      </w:r>
      <w:r w:rsidR="006645B6">
        <w:rPr>
          <w:lang w:val="fr-FR"/>
        </w:rPr>
        <w:t>’</w:t>
      </w:r>
      <w:r w:rsidR="00826E0F" w:rsidRPr="00872599">
        <w:rPr>
          <w:lang w:val="fr-FR"/>
        </w:rPr>
        <w:t>un complément d</w:t>
      </w:r>
      <w:r w:rsidR="006645B6">
        <w:rPr>
          <w:lang w:val="fr-FR"/>
        </w:rPr>
        <w:t>’</w:t>
      </w:r>
      <w:r w:rsidR="00826E0F" w:rsidRPr="00872599">
        <w:rPr>
          <w:lang w:val="fr-FR"/>
        </w:rPr>
        <w:t>instruction intéressant, ces femmes ont également bénéficié de la coopération interrégionale – non seulement ont-elles fait de nouvelles connaissances mais elles ont également confronté des données l</w:t>
      </w:r>
      <w:r w:rsidR="006645B6">
        <w:rPr>
          <w:lang w:val="fr-FR"/>
        </w:rPr>
        <w:t>’</w:t>
      </w:r>
      <w:r w:rsidR="00826E0F" w:rsidRPr="00872599">
        <w:rPr>
          <w:lang w:val="fr-FR"/>
        </w:rPr>
        <w:t>expérience et élargi leur vision de l</w:t>
      </w:r>
      <w:r w:rsidR="006645B6">
        <w:rPr>
          <w:lang w:val="fr-FR"/>
        </w:rPr>
        <w:t>’</w:t>
      </w:r>
      <w:r w:rsidR="00826E0F" w:rsidRPr="00872599">
        <w:rPr>
          <w:lang w:val="fr-FR"/>
        </w:rPr>
        <w:t>autre pays.</w:t>
      </w:r>
    </w:p>
    <w:p w:rsidR="001277E7" w:rsidRPr="001277E7" w:rsidRDefault="001277E7" w:rsidP="001277E7">
      <w:pPr>
        <w:pStyle w:val="SingleTxt"/>
        <w:spacing w:after="0" w:line="120" w:lineRule="exact"/>
        <w:rPr>
          <w:sz w:val="10"/>
          <w:lang w:val="fr-FR"/>
        </w:rPr>
      </w:pPr>
    </w:p>
    <w:p w:rsidR="00826E0F" w:rsidRPr="00872599" w:rsidRDefault="001277E7" w:rsidP="001277E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826E0F" w:rsidRPr="00872599">
        <w:rPr>
          <w:lang w:val="fr-FR"/>
        </w:rPr>
        <w:t>Ouverture de l</w:t>
      </w:r>
      <w:r w:rsidR="006645B6">
        <w:rPr>
          <w:lang w:val="fr-FR"/>
        </w:rPr>
        <w:t>’</w:t>
      </w:r>
      <w:r w:rsidR="00826E0F" w:rsidRPr="00872599">
        <w:rPr>
          <w:lang w:val="fr-FR"/>
        </w:rPr>
        <w:t xml:space="preserve">exposition </w:t>
      </w:r>
      <w:r w:rsidR="00432049">
        <w:rPr>
          <w:lang w:val="fr-FR"/>
        </w:rPr>
        <w:t>« </w:t>
      </w:r>
      <w:r w:rsidR="00826E0F" w:rsidRPr="00872599">
        <w:rPr>
          <w:lang w:val="fr-FR"/>
        </w:rPr>
        <w:t>Droit de vote des femmes</w:t>
      </w:r>
      <w:r w:rsidR="006645B6">
        <w:rPr>
          <w:lang w:val="fr-FR"/>
        </w:rPr>
        <w:t> :</w:t>
      </w:r>
      <w:r w:rsidR="00826E0F" w:rsidRPr="00872599">
        <w:rPr>
          <w:lang w:val="fr-FR"/>
        </w:rPr>
        <w:t xml:space="preserve"> 100 ans en Europe – </w:t>
      </w:r>
      <w:r>
        <w:rPr>
          <w:lang w:val="fr-FR"/>
        </w:rPr>
        <w:br/>
        <w:t>2</w:t>
      </w:r>
      <w:r w:rsidR="00826E0F" w:rsidRPr="00872599">
        <w:rPr>
          <w:lang w:val="fr-FR"/>
        </w:rPr>
        <w:t>5 au Liechtenstein»</w:t>
      </w:r>
      <w:r w:rsidR="006645B6">
        <w:rPr>
          <w:lang w:val="fr-FR"/>
        </w:rPr>
        <w:t xml:space="preserve"> </w:t>
      </w:r>
      <w:r w:rsidR="00826E0F" w:rsidRPr="00872599">
        <w:rPr>
          <w:lang w:val="fr-FR"/>
        </w:rPr>
        <w:t>le 8 mars 2009</w:t>
      </w:r>
    </w:p>
    <w:p w:rsidR="001277E7" w:rsidRPr="001277E7" w:rsidRDefault="001277E7" w:rsidP="001277E7">
      <w:pPr>
        <w:pStyle w:val="SingleTxt"/>
        <w:spacing w:after="0" w:line="120" w:lineRule="exact"/>
        <w:rPr>
          <w:sz w:val="10"/>
          <w:lang w:val="fr-FR"/>
        </w:rPr>
      </w:pPr>
    </w:p>
    <w:p w:rsidR="00826E0F" w:rsidRPr="00872599" w:rsidRDefault="001277E7" w:rsidP="00497599">
      <w:pPr>
        <w:pStyle w:val="SingleTxt"/>
        <w:rPr>
          <w:lang w:val="fr-FR"/>
        </w:rPr>
      </w:pPr>
      <w:r>
        <w:rPr>
          <w:lang w:val="fr-FR"/>
        </w:rPr>
        <w:tab/>
      </w:r>
      <w:r w:rsidR="00826E0F" w:rsidRPr="00872599">
        <w:rPr>
          <w:lang w:val="fr-FR"/>
        </w:rPr>
        <w:t>Un échantillon représentatif de l</w:t>
      </w:r>
      <w:r w:rsidR="006645B6">
        <w:rPr>
          <w:lang w:val="fr-FR"/>
        </w:rPr>
        <w:t>’</w:t>
      </w:r>
      <w:r w:rsidR="00826E0F" w:rsidRPr="00872599">
        <w:rPr>
          <w:lang w:val="fr-FR"/>
        </w:rPr>
        <w:t xml:space="preserve">exposition du musée des femmes de Bonn </w:t>
      </w:r>
      <w:r w:rsidR="00432049">
        <w:rPr>
          <w:lang w:val="fr-FR"/>
        </w:rPr>
        <w:t>« </w:t>
      </w:r>
      <w:r w:rsidR="00826E0F" w:rsidRPr="00872599">
        <w:rPr>
          <w:lang w:val="fr-FR"/>
        </w:rPr>
        <w:t>Habilitées à voter – cent ans de droit de vote pour les femmes en Europe»</w:t>
      </w:r>
      <w:r w:rsidR="006645B6">
        <w:rPr>
          <w:lang w:val="fr-FR"/>
        </w:rPr>
        <w:t xml:space="preserve"> </w:t>
      </w:r>
      <w:r w:rsidR="00826E0F" w:rsidRPr="00872599">
        <w:rPr>
          <w:lang w:val="fr-FR"/>
        </w:rPr>
        <w:t>a été montré dans les locaux du Parlement du 8 mars au 4 juillet 2009. Cette exposition itinérante a été conçue dans le souci de présenter pour la première fois une comparaison à l</w:t>
      </w:r>
      <w:r w:rsidR="006645B6">
        <w:rPr>
          <w:lang w:val="fr-FR"/>
        </w:rPr>
        <w:t>’</w:t>
      </w:r>
      <w:r w:rsidR="00826E0F" w:rsidRPr="00872599">
        <w:rPr>
          <w:lang w:val="fr-FR"/>
        </w:rPr>
        <w:t>échelle européenne de l</w:t>
      </w:r>
      <w:r w:rsidR="006645B6">
        <w:rPr>
          <w:lang w:val="fr-FR"/>
        </w:rPr>
        <w:t>’</w:t>
      </w:r>
      <w:r w:rsidR="00826E0F" w:rsidRPr="00872599">
        <w:rPr>
          <w:lang w:val="fr-FR"/>
        </w:rPr>
        <w:t>histoire du droit de vote des femmes. On y trouvait mis en exergue des exemples de l</w:t>
      </w:r>
      <w:r w:rsidR="006645B6">
        <w:rPr>
          <w:lang w:val="fr-FR"/>
        </w:rPr>
        <w:t>’</w:t>
      </w:r>
      <w:r w:rsidR="00826E0F" w:rsidRPr="00872599">
        <w:rPr>
          <w:lang w:val="fr-FR"/>
        </w:rPr>
        <w:t>histoire du droit de vote des femmes et des protagonistes de cette histoire dans vingt-trois pays européens. Par ailleurs, l</w:t>
      </w:r>
      <w:r w:rsidR="006645B6">
        <w:rPr>
          <w:lang w:val="fr-FR"/>
        </w:rPr>
        <w:t>’</w:t>
      </w:r>
      <w:r w:rsidR="00826E0F" w:rsidRPr="00872599">
        <w:rPr>
          <w:lang w:val="fr-FR"/>
        </w:rPr>
        <w:t>exposition sur le 25e anniversaire du droit de vote des femmes au Liechtenstein était montrée en face du bâtiment du Parlement. Des documents historiques –allant de la lutte pour le droit de vote des femmes à son instauration au Liechtenstein –étaient exposés sur et dans des stands. Ces deux expositions s</w:t>
      </w:r>
      <w:r w:rsidR="006645B6">
        <w:rPr>
          <w:lang w:val="fr-FR"/>
        </w:rPr>
        <w:t>’</w:t>
      </w:r>
      <w:r w:rsidR="00826E0F" w:rsidRPr="00872599">
        <w:rPr>
          <w:lang w:val="fr-FR"/>
        </w:rPr>
        <w:t>accompagnaient de diverses manifestations et ateliers à l</w:t>
      </w:r>
      <w:r w:rsidR="006645B6">
        <w:rPr>
          <w:lang w:val="fr-FR"/>
        </w:rPr>
        <w:t>’</w:t>
      </w:r>
      <w:r w:rsidR="00826E0F" w:rsidRPr="00872599">
        <w:rPr>
          <w:lang w:val="fr-FR"/>
        </w:rPr>
        <w:t>intention d</w:t>
      </w:r>
      <w:r w:rsidR="006645B6">
        <w:rPr>
          <w:lang w:val="fr-FR"/>
        </w:rPr>
        <w:t>’</w:t>
      </w:r>
      <w:r w:rsidR="00826E0F" w:rsidRPr="00872599">
        <w:rPr>
          <w:lang w:val="fr-FR"/>
        </w:rPr>
        <w:t>élèves du secondaire. En plus du Bureau de l</w:t>
      </w:r>
      <w:r w:rsidR="006645B6">
        <w:rPr>
          <w:lang w:val="fr-FR"/>
        </w:rPr>
        <w:t>’</w:t>
      </w:r>
      <w:r w:rsidR="00826E0F" w:rsidRPr="00872599">
        <w:rPr>
          <w:lang w:val="fr-FR"/>
        </w:rPr>
        <w:t xml:space="preserve">égalité des chances, de </w:t>
      </w:r>
      <w:smartTag w:uri="urn:schemas-microsoft-com:office:smarttags" w:element="PersonName">
        <w:smartTagPr>
          <w:attr w:name="ProductID" w:val="la Commission"/>
        </w:smartTagPr>
        <w:r w:rsidR="00826E0F" w:rsidRPr="00872599">
          <w:rPr>
            <w:lang w:val="fr-FR"/>
          </w:rPr>
          <w:t>la Commission</w:t>
        </w:r>
      </w:smartTag>
      <w:r w:rsidR="00826E0F" w:rsidRPr="00872599">
        <w:rPr>
          <w:lang w:val="fr-FR"/>
        </w:rPr>
        <w:t xml:space="preserve"> pour l</w:t>
      </w:r>
      <w:r w:rsidR="006645B6">
        <w:rPr>
          <w:lang w:val="fr-FR"/>
        </w:rPr>
        <w:t>’</w:t>
      </w:r>
      <w:r w:rsidR="00826E0F" w:rsidRPr="00872599">
        <w:rPr>
          <w:lang w:val="fr-FR"/>
        </w:rPr>
        <w:t>égalité entre les sexes, du club des femmes entrepreneurs et professionnelles d</w:t>
      </w:r>
      <w:r w:rsidR="00826E0F">
        <w:rPr>
          <w:lang w:val="fr-FR"/>
        </w:rPr>
        <w:t xml:space="preserve">e la vallée du Rhin, </w:t>
      </w:r>
      <w:r w:rsidR="00826E0F" w:rsidRPr="00872599">
        <w:rPr>
          <w:lang w:val="fr-FR"/>
        </w:rPr>
        <w:t>le Bureau d</w:t>
      </w:r>
      <w:r w:rsidR="006645B6">
        <w:rPr>
          <w:lang w:val="fr-FR"/>
        </w:rPr>
        <w:t>’</w:t>
      </w:r>
      <w:r w:rsidR="00826E0F" w:rsidRPr="00872599">
        <w:rPr>
          <w:lang w:val="fr-FR"/>
        </w:rPr>
        <w:t>information et de contact pour les femmes ainsi que le centre d</w:t>
      </w:r>
      <w:r w:rsidR="006645B6">
        <w:rPr>
          <w:lang w:val="fr-FR"/>
        </w:rPr>
        <w:t>’</w:t>
      </w:r>
      <w:r w:rsidR="00826E0F" w:rsidRPr="00872599">
        <w:rPr>
          <w:lang w:val="fr-FR"/>
        </w:rPr>
        <w:t>accueil des femmes et les bureaux pour le travail des jeunes ont contribué aux manifestations organisées en marge de l</w:t>
      </w:r>
      <w:r w:rsidR="006645B6">
        <w:rPr>
          <w:lang w:val="fr-FR"/>
        </w:rPr>
        <w:t>’</w:t>
      </w:r>
      <w:r w:rsidR="00826E0F" w:rsidRPr="00872599">
        <w:rPr>
          <w:lang w:val="fr-FR"/>
        </w:rPr>
        <w:t>exposition. Le 4 juillet 2009, l</w:t>
      </w:r>
      <w:r w:rsidR="006645B6">
        <w:rPr>
          <w:lang w:val="fr-FR"/>
        </w:rPr>
        <w:t>’</w:t>
      </w:r>
      <w:r w:rsidR="00826E0F" w:rsidRPr="00872599">
        <w:rPr>
          <w:lang w:val="fr-FR"/>
        </w:rPr>
        <w:t>exposition s</w:t>
      </w:r>
      <w:r w:rsidR="006645B6">
        <w:rPr>
          <w:lang w:val="fr-FR"/>
        </w:rPr>
        <w:t>’</w:t>
      </w:r>
      <w:r w:rsidR="00826E0F" w:rsidRPr="00872599">
        <w:rPr>
          <w:lang w:val="fr-FR"/>
        </w:rPr>
        <w:t>est achevée par une vente aux enchères. Divers objets provenant de l</w:t>
      </w:r>
      <w:r w:rsidR="006645B6">
        <w:rPr>
          <w:lang w:val="fr-FR"/>
        </w:rPr>
        <w:t>’</w:t>
      </w:r>
      <w:r w:rsidR="00826E0F" w:rsidRPr="00872599">
        <w:rPr>
          <w:lang w:val="fr-FR"/>
        </w:rPr>
        <w:t>exposition «</w:t>
      </w:r>
      <w:r w:rsidR="000E00B5">
        <w:rPr>
          <w:lang w:val="fr-FR"/>
        </w:rPr>
        <w:t> </w:t>
      </w:r>
      <w:r w:rsidR="00826E0F">
        <w:rPr>
          <w:lang w:val="fr-FR"/>
        </w:rPr>
        <w:t>V</w:t>
      </w:r>
      <w:r w:rsidR="00826E0F" w:rsidRPr="00872599">
        <w:rPr>
          <w:lang w:val="fr-FR"/>
        </w:rPr>
        <w:t>ingt-cinq ans de droit de vote des femmes</w:t>
      </w:r>
      <w:r w:rsidR="006645B6">
        <w:rPr>
          <w:lang w:val="fr-FR"/>
        </w:rPr>
        <w:t> »</w:t>
      </w:r>
      <w:r w:rsidR="00826E0F" w:rsidRPr="00872599">
        <w:rPr>
          <w:lang w:val="fr-FR"/>
        </w:rPr>
        <w:t xml:space="preserve"> ont été vendus aux enchères. Les recettes de cette vente aideront à financer le prix du courage civil.</w:t>
      </w:r>
    </w:p>
    <w:p w:rsidR="001277E7" w:rsidRPr="001277E7" w:rsidRDefault="001277E7" w:rsidP="001277E7">
      <w:pPr>
        <w:pStyle w:val="SingleTxt"/>
        <w:spacing w:after="0" w:line="120" w:lineRule="exact"/>
        <w:rPr>
          <w:sz w:val="10"/>
          <w:lang w:val="fr-FR"/>
        </w:rPr>
      </w:pPr>
    </w:p>
    <w:p w:rsidR="00826E0F" w:rsidRPr="00872599" w:rsidRDefault="001277E7" w:rsidP="001277E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00826E0F" w:rsidRPr="00872599">
        <w:rPr>
          <w:lang w:val="fr-FR"/>
        </w:rPr>
        <w:t>c)</w:t>
      </w:r>
      <w:r w:rsidR="00826E0F" w:rsidRPr="00872599">
        <w:rPr>
          <w:lang w:val="fr-FR"/>
        </w:rPr>
        <w:tab/>
        <w:t>Mesures tendant à promouvoir les femmes lors de la préparation des élections</w:t>
      </w:r>
      <w:r>
        <w:rPr>
          <w:lang w:val="fr-FR"/>
        </w:rPr>
        <w:br/>
      </w:r>
      <w:r w:rsidR="00826E0F" w:rsidRPr="00872599">
        <w:rPr>
          <w:lang w:val="fr-FR"/>
        </w:rPr>
        <w:t>aux conseils municipaux et au Parlement</w:t>
      </w:r>
    </w:p>
    <w:p w:rsidR="001277E7" w:rsidRPr="001277E7" w:rsidRDefault="001277E7" w:rsidP="001277E7">
      <w:pPr>
        <w:pStyle w:val="SingleTxt"/>
        <w:spacing w:after="0" w:line="120" w:lineRule="exact"/>
        <w:rPr>
          <w:i/>
          <w:sz w:val="10"/>
          <w:lang w:val="fr-FR"/>
        </w:rPr>
      </w:pPr>
    </w:p>
    <w:p w:rsidR="00826E0F" w:rsidRPr="00872599" w:rsidRDefault="001277E7" w:rsidP="001277E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826E0F" w:rsidRPr="00872599">
        <w:rPr>
          <w:lang w:val="fr-FR"/>
        </w:rPr>
        <w:t xml:space="preserve">Entretiens avec des parlementaires </w:t>
      </w:r>
    </w:p>
    <w:p w:rsidR="001277E7" w:rsidRPr="001277E7" w:rsidRDefault="001277E7" w:rsidP="001277E7">
      <w:pPr>
        <w:pStyle w:val="SingleTxt"/>
        <w:spacing w:after="0" w:line="120" w:lineRule="exact"/>
        <w:rPr>
          <w:sz w:val="10"/>
          <w:lang w:val="fr-FR"/>
        </w:rPr>
      </w:pPr>
    </w:p>
    <w:p w:rsidR="00826E0F" w:rsidRPr="00872599" w:rsidRDefault="001277E7" w:rsidP="00497599">
      <w:pPr>
        <w:pStyle w:val="SingleTxt"/>
        <w:rPr>
          <w:lang w:val="fr-FR"/>
        </w:rPr>
      </w:pPr>
      <w:r>
        <w:rPr>
          <w:lang w:val="fr-FR"/>
        </w:rPr>
        <w:tab/>
      </w:r>
      <w:r w:rsidR="00826E0F" w:rsidRPr="00872599">
        <w:rPr>
          <w:lang w:val="fr-FR"/>
        </w:rPr>
        <w:t>Depuis mars 2007, le Bureau de l</w:t>
      </w:r>
      <w:r w:rsidR="006645B6">
        <w:rPr>
          <w:lang w:val="fr-FR"/>
        </w:rPr>
        <w:t>’</w:t>
      </w:r>
      <w:r w:rsidR="00826E0F" w:rsidRPr="00872599">
        <w:rPr>
          <w:lang w:val="fr-FR"/>
        </w:rPr>
        <w:t>égalité des chances organise chaque année deux séries d</w:t>
      </w:r>
      <w:r w:rsidR="006645B6">
        <w:rPr>
          <w:lang w:val="fr-FR"/>
        </w:rPr>
        <w:t>’</w:t>
      </w:r>
      <w:r w:rsidR="00826E0F" w:rsidRPr="00872599">
        <w:rPr>
          <w:lang w:val="fr-FR"/>
        </w:rPr>
        <w:t>entretiens avec des femmes parlementaires sur un sujet d</w:t>
      </w:r>
      <w:r w:rsidR="006645B6">
        <w:rPr>
          <w:lang w:val="fr-FR"/>
        </w:rPr>
        <w:t>’</w:t>
      </w:r>
      <w:r w:rsidR="00826E0F" w:rsidRPr="00872599">
        <w:rPr>
          <w:lang w:val="fr-FR"/>
        </w:rPr>
        <w:t>actualité. Les femmes intéressées par la vie politique sont invitées personnellement à ces entretiens. Les sujets abordés à ce jour comprennent</w:t>
      </w:r>
      <w:r w:rsidR="006645B6">
        <w:rPr>
          <w:lang w:val="fr-FR"/>
        </w:rPr>
        <w:t> :</w:t>
      </w:r>
      <w:r w:rsidR="00826E0F" w:rsidRPr="00872599">
        <w:rPr>
          <w:lang w:val="fr-FR"/>
        </w:rPr>
        <w:t xml:space="preserve"> </w:t>
      </w:r>
      <w:r w:rsidR="000E00B5">
        <w:rPr>
          <w:lang w:val="fr-FR"/>
        </w:rPr>
        <w:t>« </w:t>
      </w:r>
      <w:r w:rsidR="00826E0F" w:rsidRPr="00872599">
        <w:rPr>
          <w:lang w:val="fr-FR"/>
        </w:rPr>
        <w:t>Cinq années d</w:t>
      </w:r>
      <w:r w:rsidR="006645B6">
        <w:rPr>
          <w:lang w:val="fr-FR"/>
        </w:rPr>
        <w:t>’</w:t>
      </w:r>
      <w:r w:rsidR="00826E0F" w:rsidRPr="00872599">
        <w:rPr>
          <w:lang w:val="fr-FR"/>
        </w:rPr>
        <w:t>existence de la loi sur la protection contre la violence au Liechtenstein</w:t>
      </w:r>
      <w:r w:rsidR="000E00B5">
        <w:rPr>
          <w:lang w:val="fr-FR"/>
        </w:rPr>
        <w:t> </w:t>
      </w:r>
      <w:r w:rsidR="00826E0F">
        <w:rPr>
          <w:lang w:val="fr-FR"/>
        </w:rPr>
        <w:t>»</w:t>
      </w:r>
      <w:r w:rsidR="00826E0F" w:rsidRPr="00872599">
        <w:rPr>
          <w:lang w:val="fr-FR"/>
        </w:rPr>
        <w:t xml:space="preserve">, </w:t>
      </w:r>
      <w:r w:rsidR="000E00B5">
        <w:rPr>
          <w:lang w:val="fr-FR"/>
        </w:rPr>
        <w:t>« </w:t>
      </w:r>
      <w:r w:rsidR="00826E0F" w:rsidRPr="00872599">
        <w:rPr>
          <w:lang w:val="fr-FR"/>
        </w:rPr>
        <w:t>Compatibilité famille-carrière</w:t>
      </w:r>
      <w:r w:rsidR="000E00B5">
        <w:rPr>
          <w:lang w:val="fr-FR"/>
        </w:rPr>
        <w:t> </w:t>
      </w:r>
      <w:r w:rsidR="00826E0F">
        <w:rPr>
          <w:lang w:val="fr-FR"/>
        </w:rPr>
        <w:t>»</w:t>
      </w:r>
      <w:r w:rsidR="00826E0F" w:rsidRPr="00872599">
        <w:rPr>
          <w:lang w:val="fr-FR"/>
        </w:rPr>
        <w:t xml:space="preserve">, et </w:t>
      </w:r>
      <w:r w:rsidR="000E00B5">
        <w:rPr>
          <w:lang w:val="fr-FR"/>
        </w:rPr>
        <w:t>« </w:t>
      </w:r>
      <w:r w:rsidR="00826E0F">
        <w:rPr>
          <w:lang w:val="fr-FR"/>
        </w:rPr>
        <w:t>R</w:t>
      </w:r>
      <w:r w:rsidR="00826E0F" w:rsidRPr="00872599">
        <w:rPr>
          <w:lang w:val="fr-FR"/>
        </w:rPr>
        <w:t>ecommandations concernant le trois</w:t>
      </w:r>
      <w:r w:rsidR="00826E0F">
        <w:rPr>
          <w:lang w:val="fr-FR"/>
        </w:rPr>
        <w:t>ième rapport périodique sur l</w:t>
      </w:r>
      <w:r w:rsidR="006645B6">
        <w:rPr>
          <w:lang w:val="fr-FR"/>
        </w:rPr>
        <w:t>’</w:t>
      </w:r>
      <w:r w:rsidR="00826E0F">
        <w:rPr>
          <w:lang w:val="fr-FR"/>
        </w:rPr>
        <w:t>ap</w:t>
      </w:r>
      <w:r w:rsidR="00826E0F" w:rsidRPr="00872599">
        <w:rPr>
          <w:lang w:val="fr-FR"/>
        </w:rPr>
        <w:t>plication de la CEDAW.»</w:t>
      </w:r>
      <w:r w:rsidR="006645B6">
        <w:rPr>
          <w:lang w:val="fr-FR"/>
        </w:rPr>
        <w:t xml:space="preserve"> </w:t>
      </w:r>
      <w:r w:rsidR="00826E0F" w:rsidRPr="00872599">
        <w:rPr>
          <w:lang w:val="fr-FR"/>
        </w:rPr>
        <w:t>Dans la perspective des élections parlementaires de 2009, un atelier sur la politique a été organisé avec les candidates. Au début du mois de mai 2009 s</w:t>
      </w:r>
      <w:r w:rsidR="006645B6">
        <w:rPr>
          <w:lang w:val="fr-FR"/>
        </w:rPr>
        <w:t>’</w:t>
      </w:r>
      <w:r w:rsidR="00826E0F" w:rsidRPr="00872599">
        <w:rPr>
          <w:lang w:val="fr-FR"/>
        </w:rPr>
        <w:t>est tenue la cinquième série d</w:t>
      </w:r>
      <w:r w:rsidR="006645B6">
        <w:rPr>
          <w:lang w:val="fr-FR"/>
        </w:rPr>
        <w:t>’</w:t>
      </w:r>
      <w:r w:rsidR="00826E0F" w:rsidRPr="00872599">
        <w:rPr>
          <w:lang w:val="fr-FR"/>
        </w:rPr>
        <w:t xml:space="preserve">entretiens sur la question des </w:t>
      </w:r>
      <w:r w:rsidR="000E00B5">
        <w:rPr>
          <w:lang w:val="fr-FR"/>
        </w:rPr>
        <w:t>« </w:t>
      </w:r>
      <w:r w:rsidR="00826E0F" w:rsidRPr="00872599">
        <w:rPr>
          <w:lang w:val="fr-FR"/>
        </w:rPr>
        <w:t>Femmes au sein des commissions</w:t>
      </w:r>
      <w:r w:rsidR="006645B6">
        <w:rPr>
          <w:lang w:val="fr-FR"/>
        </w:rPr>
        <w:t> »</w:t>
      </w:r>
      <w:r w:rsidR="00826E0F" w:rsidRPr="00872599">
        <w:rPr>
          <w:lang w:val="fr-FR"/>
        </w:rPr>
        <w:t>. À l</w:t>
      </w:r>
      <w:r w:rsidR="006645B6">
        <w:rPr>
          <w:lang w:val="fr-FR"/>
        </w:rPr>
        <w:t>’</w:t>
      </w:r>
      <w:r w:rsidR="00826E0F" w:rsidRPr="00872599">
        <w:rPr>
          <w:lang w:val="fr-FR"/>
        </w:rPr>
        <w:t>issue de chaque série d</w:t>
      </w:r>
      <w:r w:rsidR="006645B6">
        <w:rPr>
          <w:lang w:val="fr-FR"/>
        </w:rPr>
        <w:t>’</w:t>
      </w:r>
      <w:r w:rsidR="00826E0F" w:rsidRPr="00872599">
        <w:rPr>
          <w:lang w:val="fr-FR"/>
        </w:rPr>
        <w:t>entretiens, un article est publié dans la presse.</w:t>
      </w:r>
    </w:p>
    <w:p w:rsidR="001277E7" w:rsidRPr="001277E7" w:rsidRDefault="001277E7" w:rsidP="001277E7">
      <w:pPr>
        <w:pStyle w:val="SingleTxt"/>
        <w:spacing w:after="0" w:line="120" w:lineRule="exact"/>
        <w:rPr>
          <w:sz w:val="10"/>
          <w:lang w:val="fr-FR"/>
        </w:rPr>
      </w:pPr>
    </w:p>
    <w:p w:rsidR="00826E0F" w:rsidRPr="00872599" w:rsidRDefault="001277E7" w:rsidP="001277E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826E0F" w:rsidRPr="00872599">
        <w:rPr>
          <w:lang w:val="fr-FR"/>
        </w:rPr>
        <w:t>Élections aux conseils municipaux</w:t>
      </w:r>
    </w:p>
    <w:p w:rsidR="001277E7" w:rsidRPr="001277E7" w:rsidRDefault="001277E7" w:rsidP="001277E7">
      <w:pPr>
        <w:pStyle w:val="SingleTxt"/>
        <w:spacing w:after="0" w:line="120" w:lineRule="exact"/>
        <w:rPr>
          <w:sz w:val="10"/>
          <w:lang w:val="fr-FR"/>
        </w:rPr>
      </w:pPr>
    </w:p>
    <w:p w:rsidR="00826E0F" w:rsidRPr="00872599" w:rsidRDefault="001277E7" w:rsidP="00497599">
      <w:pPr>
        <w:pStyle w:val="SingleTxt"/>
        <w:rPr>
          <w:lang w:val="fr-FR"/>
        </w:rPr>
      </w:pPr>
      <w:r>
        <w:rPr>
          <w:lang w:val="fr-FR"/>
        </w:rPr>
        <w:tab/>
      </w:r>
      <w:r w:rsidR="00826E0F" w:rsidRPr="00872599">
        <w:rPr>
          <w:lang w:val="fr-FR"/>
        </w:rPr>
        <w:t xml:space="preserve">Dans le cadre de la préparation des élections aux conseils municipaux de 2007, </w:t>
      </w:r>
      <w:smartTag w:uri="urn:schemas-microsoft-com:office:smarttags" w:element="PersonName">
        <w:smartTagPr>
          <w:attr w:name="ProductID" w:val="la Commission"/>
        </w:smartTagPr>
        <w:r w:rsidR="00826E0F" w:rsidRPr="00872599">
          <w:rPr>
            <w:lang w:val="fr-FR"/>
          </w:rPr>
          <w:t>la Commission</w:t>
        </w:r>
      </w:smartTag>
      <w:r w:rsidR="00826E0F" w:rsidRPr="00872599">
        <w:rPr>
          <w:lang w:val="fr-FR"/>
        </w:rPr>
        <w:t xml:space="preserve"> pour l</w:t>
      </w:r>
      <w:r w:rsidR="006645B6">
        <w:rPr>
          <w:lang w:val="fr-FR"/>
        </w:rPr>
        <w:t>’</w:t>
      </w:r>
      <w:r w:rsidR="00826E0F" w:rsidRPr="00872599">
        <w:rPr>
          <w:lang w:val="fr-FR"/>
        </w:rPr>
        <w:t>égalité entre les sexes a organisé deux rencontres d</w:t>
      </w:r>
      <w:r w:rsidR="006645B6">
        <w:rPr>
          <w:lang w:val="fr-FR"/>
        </w:rPr>
        <w:t>’</w:t>
      </w:r>
      <w:r w:rsidR="00826E0F" w:rsidRPr="00872599">
        <w:rPr>
          <w:lang w:val="fr-FR"/>
        </w:rPr>
        <w:t>information pour pousser les femmes à présenter leur candidature aux conseils municipaux ou aux charges de maire. Il s</w:t>
      </w:r>
      <w:r w:rsidR="006645B6">
        <w:rPr>
          <w:lang w:val="fr-FR"/>
        </w:rPr>
        <w:t>’</w:t>
      </w:r>
      <w:r w:rsidR="00826E0F" w:rsidRPr="00872599">
        <w:rPr>
          <w:lang w:val="fr-FR"/>
        </w:rPr>
        <w:t>agit de donner aux femmes un aperçu du travail des municipalités, de les familiariser avec les tâches qui incombent à un conseiller municipal ou à un maire et de les informer de</w:t>
      </w:r>
      <w:r w:rsidR="00826E0F">
        <w:rPr>
          <w:lang w:val="fr-FR"/>
        </w:rPr>
        <w:t xml:space="preserve"> l</w:t>
      </w:r>
      <w:r w:rsidR="006645B6">
        <w:rPr>
          <w:lang w:val="fr-FR"/>
        </w:rPr>
        <w:t>’</w:t>
      </w:r>
      <w:r w:rsidR="00826E0F" w:rsidRPr="00872599">
        <w:rPr>
          <w:lang w:val="fr-FR"/>
        </w:rPr>
        <w:t xml:space="preserve">aide </w:t>
      </w:r>
      <w:r w:rsidR="00826E0F">
        <w:rPr>
          <w:lang w:val="fr-FR"/>
        </w:rPr>
        <w:t xml:space="preserve">dont elles peuvent bénéficier </w:t>
      </w:r>
      <w:r w:rsidR="00826E0F" w:rsidRPr="00872599">
        <w:rPr>
          <w:lang w:val="fr-FR"/>
        </w:rPr>
        <w:t>lorsqu</w:t>
      </w:r>
      <w:r w:rsidR="006645B6">
        <w:rPr>
          <w:lang w:val="fr-FR"/>
        </w:rPr>
        <w:t>’</w:t>
      </w:r>
      <w:r w:rsidR="00826E0F" w:rsidRPr="00872599">
        <w:rPr>
          <w:lang w:val="fr-FR"/>
        </w:rPr>
        <w:t>elles assument une fonction politique. De plus, des articles et une pleine page de publicité présentant toutes les candidates ont été publiées dans les deux journaux nationaux.</w:t>
      </w:r>
    </w:p>
    <w:p w:rsidR="00826E0F" w:rsidRPr="00872599" w:rsidRDefault="001277E7" w:rsidP="00497599">
      <w:pPr>
        <w:pStyle w:val="SingleTxt"/>
        <w:rPr>
          <w:lang w:val="fr-FR"/>
        </w:rPr>
      </w:pPr>
      <w:r>
        <w:rPr>
          <w:lang w:val="fr-FR"/>
        </w:rPr>
        <w:tab/>
      </w:r>
      <w:r w:rsidR="00826E0F" w:rsidRPr="00872599">
        <w:rPr>
          <w:lang w:val="fr-FR"/>
        </w:rPr>
        <w:t xml:space="preserve">Après les élections aux conseils municipaux, </w:t>
      </w:r>
      <w:smartTag w:uri="urn:schemas-microsoft-com:office:smarttags" w:element="PersonName">
        <w:smartTagPr>
          <w:attr w:name="ProductID" w:val="la Commission"/>
        </w:smartTagPr>
        <w:r w:rsidR="00826E0F" w:rsidRPr="00872599">
          <w:rPr>
            <w:lang w:val="fr-FR"/>
          </w:rPr>
          <w:t>la Commission</w:t>
        </w:r>
      </w:smartTag>
      <w:r w:rsidR="00826E0F" w:rsidRPr="00872599">
        <w:rPr>
          <w:lang w:val="fr-FR"/>
        </w:rPr>
        <w:t xml:space="preserve"> a procédé à une enquête </w:t>
      </w:r>
      <w:r w:rsidR="00CC772D" w:rsidRPr="00872599">
        <w:rPr>
          <w:lang w:val="fr-FR"/>
        </w:rPr>
        <w:t>postélectorale</w:t>
      </w:r>
      <w:r w:rsidR="00826E0F" w:rsidRPr="00872599">
        <w:rPr>
          <w:lang w:val="fr-FR"/>
        </w:rPr>
        <w:t xml:space="preserve"> en adressant un questionnaire écrit à toutes les candidates. 55</w:t>
      </w:r>
      <w:r w:rsidR="006645B6">
        <w:rPr>
          <w:lang w:val="fr-FR"/>
        </w:rPr>
        <w:t> %</w:t>
      </w:r>
      <w:r w:rsidR="00826E0F" w:rsidRPr="00872599">
        <w:rPr>
          <w:lang w:val="fr-FR"/>
        </w:rPr>
        <w:t xml:space="preserve"> d</w:t>
      </w:r>
      <w:r w:rsidR="006645B6">
        <w:rPr>
          <w:lang w:val="fr-FR"/>
        </w:rPr>
        <w:t>’</w:t>
      </w:r>
      <w:r w:rsidR="00826E0F" w:rsidRPr="00872599">
        <w:rPr>
          <w:lang w:val="fr-FR"/>
        </w:rPr>
        <w:t>entre elles ont renvoyé le questionnaire: environ 63</w:t>
      </w:r>
      <w:r w:rsidR="006645B6">
        <w:rPr>
          <w:lang w:val="fr-FR"/>
        </w:rPr>
        <w:t> %</w:t>
      </w:r>
      <w:r w:rsidR="00826E0F" w:rsidRPr="00872599">
        <w:rPr>
          <w:lang w:val="fr-FR"/>
        </w:rPr>
        <w:t xml:space="preserve"> de celles qui ont répondu étaient satisfaites voire très satisfaites de l</w:t>
      </w:r>
      <w:r w:rsidR="006645B6">
        <w:rPr>
          <w:lang w:val="fr-FR"/>
        </w:rPr>
        <w:t>’</w:t>
      </w:r>
      <w:r w:rsidR="00826E0F" w:rsidRPr="00872599">
        <w:rPr>
          <w:lang w:val="fr-FR"/>
        </w:rPr>
        <w:t xml:space="preserve">appui apporté par le parti. Les suggestions les plus souvent avancées pour assurer une amélioration </w:t>
      </w:r>
      <w:r w:rsidR="00826E0F">
        <w:rPr>
          <w:lang w:val="fr-FR"/>
        </w:rPr>
        <w:t xml:space="preserve">au </w:t>
      </w:r>
      <w:r w:rsidR="00826E0F" w:rsidRPr="00872599">
        <w:rPr>
          <w:lang w:val="fr-FR"/>
        </w:rPr>
        <w:t xml:space="preserve">cas </w:t>
      </w:r>
      <w:r w:rsidR="00826E0F">
        <w:rPr>
          <w:lang w:val="fr-FR"/>
        </w:rPr>
        <w:t xml:space="preserve">où elles se représenteraient </w:t>
      </w:r>
      <w:r w:rsidR="00826E0F" w:rsidRPr="00872599">
        <w:rPr>
          <w:lang w:val="fr-FR"/>
        </w:rPr>
        <w:t>concernaient</w:t>
      </w:r>
      <w:r w:rsidR="006645B6">
        <w:rPr>
          <w:lang w:val="fr-FR"/>
        </w:rPr>
        <w:t> :</w:t>
      </w:r>
      <w:r w:rsidR="00826E0F" w:rsidRPr="00872599">
        <w:rPr>
          <w:lang w:val="fr-FR"/>
        </w:rPr>
        <w:t xml:space="preserve"> une meilleure préparation organisée plus tôt, un soutien personnalisé, un appui et des informations pendant la période de préparation aux élections.</w:t>
      </w:r>
    </w:p>
    <w:p w:rsidR="001277E7" w:rsidRPr="001277E7" w:rsidRDefault="001277E7" w:rsidP="001277E7">
      <w:pPr>
        <w:pStyle w:val="SingleTxt"/>
        <w:spacing w:after="0" w:line="120" w:lineRule="exact"/>
        <w:rPr>
          <w:sz w:val="10"/>
          <w:lang w:val="fr-FR"/>
        </w:rPr>
      </w:pPr>
    </w:p>
    <w:p w:rsidR="00826E0F" w:rsidRPr="00872599" w:rsidRDefault="001277E7" w:rsidP="001277E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826E0F" w:rsidRPr="00872599">
        <w:rPr>
          <w:lang w:val="fr-FR"/>
        </w:rPr>
        <w:t xml:space="preserve">Élections parlementaires de 2009 </w:t>
      </w:r>
    </w:p>
    <w:p w:rsidR="001277E7" w:rsidRPr="001277E7" w:rsidRDefault="001277E7" w:rsidP="001277E7">
      <w:pPr>
        <w:pStyle w:val="SingleTxt"/>
        <w:spacing w:after="0" w:line="120" w:lineRule="exact"/>
        <w:rPr>
          <w:sz w:val="10"/>
          <w:lang w:val="fr-FR"/>
        </w:rPr>
      </w:pPr>
    </w:p>
    <w:p w:rsidR="00826E0F" w:rsidRPr="00872599" w:rsidRDefault="001277E7" w:rsidP="00497599">
      <w:pPr>
        <w:pStyle w:val="SingleTxt"/>
        <w:rPr>
          <w:lang w:val="fr-FR"/>
        </w:rPr>
      </w:pPr>
      <w:r>
        <w:rPr>
          <w:lang w:val="fr-FR"/>
        </w:rPr>
        <w:tab/>
      </w:r>
      <w:r w:rsidR="00826E0F" w:rsidRPr="00872599">
        <w:rPr>
          <w:lang w:val="fr-FR"/>
        </w:rPr>
        <w:t xml:space="preserve">Diverses activités ont été menées à bien pour les élections parlementaires de 2009. À la mi-juin 2008, </w:t>
      </w:r>
      <w:smartTag w:uri="urn:schemas-microsoft-com:office:smarttags" w:element="PersonName">
        <w:smartTagPr>
          <w:attr w:name="ProductID" w:val="la Ministre"/>
        </w:smartTagPr>
        <w:r w:rsidR="00826E0F" w:rsidRPr="00872599">
          <w:rPr>
            <w:lang w:val="fr-FR"/>
          </w:rPr>
          <w:t>la Ministre</w:t>
        </w:r>
      </w:smartTag>
      <w:r w:rsidR="00826E0F" w:rsidRPr="00872599">
        <w:rPr>
          <w:lang w:val="fr-FR"/>
        </w:rPr>
        <w:t xml:space="preserve"> sortante de la famille et de l</w:t>
      </w:r>
      <w:r w:rsidR="006645B6">
        <w:rPr>
          <w:lang w:val="fr-FR"/>
        </w:rPr>
        <w:t>’</w:t>
      </w:r>
      <w:r w:rsidR="00826E0F" w:rsidRPr="00872599">
        <w:rPr>
          <w:lang w:val="fr-FR"/>
        </w:rPr>
        <w:t xml:space="preserve">égalité des chances et </w:t>
      </w:r>
      <w:smartTag w:uri="urn:schemas-microsoft-com:office:smarttags" w:element="PersonName">
        <w:smartTagPr>
          <w:attr w:name="ProductID" w:val="la Commission"/>
        </w:smartTagPr>
        <w:r w:rsidR="00826E0F" w:rsidRPr="00872599">
          <w:rPr>
            <w:lang w:val="fr-FR"/>
          </w:rPr>
          <w:t>la Commission</w:t>
        </w:r>
      </w:smartTag>
      <w:r w:rsidR="00826E0F" w:rsidRPr="00872599">
        <w:rPr>
          <w:lang w:val="fr-FR"/>
        </w:rPr>
        <w:t xml:space="preserve"> pour l</w:t>
      </w:r>
      <w:r w:rsidR="006645B6">
        <w:rPr>
          <w:lang w:val="fr-FR"/>
        </w:rPr>
        <w:t>’</w:t>
      </w:r>
      <w:r w:rsidR="00826E0F" w:rsidRPr="00872599">
        <w:rPr>
          <w:lang w:val="fr-FR"/>
        </w:rPr>
        <w:t>égalité entre les sexes ont eu des entretiens avec les dirigeants des trois partis. Il s</w:t>
      </w:r>
      <w:r w:rsidR="006645B6">
        <w:rPr>
          <w:lang w:val="fr-FR"/>
        </w:rPr>
        <w:t>’</w:t>
      </w:r>
      <w:r w:rsidR="00826E0F" w:rsidRPr="00872599">
        <w:rPr>
          <w:lang w:val="fr-FR"/>
        </w:rPr>
        <w:t>agissait d</w:t>
      </w:r>
      <w:r w:rsidR="006645B6">
        <w:rPr>
          <w:lang w:val="fr-FR"/>
        </w:rPr>
        <w:t>’</w:t>
      </w:r>
      <w:r w:rsidR="00826E0F" w:rsidRPr="00872599">
        <w:rPr>
          <w:lang w:val="fr-FR"/>
        </w:rPr>
        <w:t xml:space="preserve">informer les partis des activités de </w:t>
      </w:r>
      <w:smartTag w:uri="urn:schemas-microsoft-com:office:smarttags" w:element="PersonName">
        <w:smartTagPr>
          <w:attr w:name="ProductID" w:val="la Commission"/>
        </w:smartTagPr>
        <w:r w:rsidR="00826E0F" w:rsidRPr="00872599">
          <w:rPr>
            <w:lang w:val="fr-FR"/>
          </w:rPr>
          <w:t>la Commission</w:t>
        </w:r>
      </w:smartTag>
      <w:r w:rsidR="00826E0F" w:rsidRPr="00872599">
        <w:rPr>
          <w:lang w:val="fr-FR"/>
        </w:rPr>
        <w:t xml:space="preserve"> pour l</w:t>
      </w:r>
      <w:r w:rsidR="006645B6">
        <w:rPr>
          <w:lang w:val="fr-FR"/>
        </w:rPr>
        <w:t>’</w:t>
      </w:r>
      <w:r w:rsidR="00826E0F" w:rsidRPr="00872599">
        <w:rPr>
          <w:lang w:val="fr-FR"/>
        </w:rPr>
        <w:t xml:space="preserve">égalité entre les sexes et de leur demander leur soutien pour promouvoir les femmes lors des prochaines élections parlementaires et pour obtenir un équilibre femmes-hommes au sein de </w:t>
      </w:r>
      <w:smartTag w:uri="urn:schemas-microsoft-com:office:smarttags" w:element="PersonName">
        <w:smartTagPr>
          <w:attr w:name="ProductID" w:val="la Commission. Pour"/>
        </w:smartTagPr>
        <w:r w:rsidR="00826E0F" w:rsidRPr="00872599">
          <w:rPr>
            <w:lang w:val="fr-FR"/>
          </w:rPr>
          <w:t>la Commission. Pour</w:t>
        </w:r>
      </w:smartTag>
      <w:r w:rsidR="00826E0F" w:rsidRPr="00872599">
        <w:rPr>
          <w:lang w:val="fr-FR"/>
        </w:rPr>
        <w:t xml:space="preserve"> les élections au Parlement, </w:t>
      </w:r>
      <w:smartTag w:uri="urn:schemas-microsoft-com:office:smarttags" w:element="PersonName">
        <w:smartTagPr>
          <w:attr w:name="ProductID" w:val="la Commission"/>
        </w:smartTagPr>
        <w:r w:rsidR="00826E0F" w:rsidRPr="00872599">
          <w:rPr>
            <w:lang w:val="fr-FR"/>
          </w:rPr>
          <w:t>la Commission</w:t>
        </w:r>
      </w:smartTag>
      <w:r w:rsidR="00826E0F" w:rsidRPr="00872599">
        <w:rPr>
          <w:lang w:val="fr-FR"/>
        </w:rPr>
        <w:t xml:space="preserve"> a ouvert les pages de son site Web (www.frauenwahl.li) pour offrir une tribune multipartisane aux candidates. Celles-ci ont eu la possibilité de se présenter et de faire connaître leur profil sur cette tribune. Le public a été attiré vers le site Web par des annonces dans les journaux et des articles de promotion. Dans ce cas également, une enquête post-électorale auprès des candidates a été lancée et est toujours en cours.</w:t>
      </w:r>
    </w:p>
    <w:p w:rsidR="00826E0F" w:rsidRPr="00872599" w:rsidRDefault="001277E7" w:rsidP="00497599">
      <w:pPr>
        <w:pStyle w:val="SingleTxt"/>
        <w:rPr>
          <w:lang w:val="fr-FR"/>
        </w:rPr>
      </w:pPr>
      <w:r>
        <w:rPr>
          <w:lang w:val="fr-FR"/>
        </w:rPr>
        <w:tab/>
      </w:r>
      <w:r w:rsidR="00826E0F" w:rsidRPr="00872599">
        <w:rPr>
          <w:lang w:val="fr-FR"/>
        </w:rPr>
        <w:t>Le site Web www.frauenwahl.li continue d</w:t>
      </w:r>
      <w:r w:rsidR="006645B6">
        <w:rPr>
          <w:lang w:val="fr-FR"/>
        </w:rPr>
        <w:t>’</w:t>
      </w:r>
      <w:r w:rsidR="00826E0F" w:rsidRPr="00872599">
        <w:rPr>
          <w:lang w:val="fr-FR"/>
        </w:rPr>
        <w:t>être élaboré. Il s</w:t>
      </w:r>
      <w:r w:rsidR="006645B6">
        <w:rPr>
          <w:lang w:val="fr-FR"/>
        </w:rPr>
        <w:t>’</w:t>
      </w:r>
      <w:r w:rsidR="00826E0F" w:rsidRPr="00872599">
        <w:rPr>
          <w:lang w:val="fr-FR"/>
        </w:rPr>
        <w:t>agit d</w:t>
      </w:r>
      <w:r w:rsidR="006645B6">
        <w:rPr>
          <w:lang w:val="fr-FR"/>
        </w:rPr>
        <w:t>’</w:t>
      </w:r>
      <w:r w:rsidR="00826E0F" w:rsidRPr="00872599">
        <w:rPr>
          <w:lang w:val="fr-FR"/>
        </w:rPr>
        <w:t>y présenter le plus grand nombre possible de femmes engagées dans la politique municipale et nationale. L</w:t>
      </w:r>
      <w:r w:rsidR="006645B6">
        <w:rPr>
          <w:lang w:val="fr-FR"/>
        </w:rPr>
        <w:t>’</w:t>
      </w:r>
      <w:r w:rsidR="00826E0F" w:rsidRPr="00872599">
        <w:rPr>
          <w:lang w:val="fr-FR"/>
        </w:rPr>
        <w:t>objectif est d</w:t>
      </w:r>
      <w:r w:rsidR="006645B6">
        <w:rPr>
          <w:lang w:val="fr-FR"/>
        </w:rPr>
        <w:t>’</w:t>
      </w:r>
      <w:r w:rsidR="00826E0F" w:rsidRPr="00872599">
        <w:rPr>
          <w:lang w:val="fr-FR"/>
        </w:rPr>
        <w:t>encourager les femmes des municipalités à se tenir disposées à occuper des fonctions publiques. Par ailleurs, le forum de discussion qu</w:t>
      </w:r>
      <w:r w:rsidR="006645B6">
        <w:rPr>
          <w:lang w:val="fr-FR"/>
        </w:rPr>
        <w:t>’</w:t>
      </w:r>
      <w:r w:rsidR="00826E0F" w:rsidRPr="00872599">
        <w:rPr>
          <w:lang w:val="fr-FR"/>
        </w:rPr>
        <w:t>offre le site Web sera revu.</w:t>
      </w:r>
    </w:p>
    <w:p w:rsidR="001277E7" w:rsidRPr="001277E7" w:rsidRDefault="001277E7" w:rsidP="001277E7">
      <w:pPr>
        <w:pStyle w:val="SingleTxt"/>
        <w:spacing w:after="0" w:line="120" w:lineRule="exact"/>
        <w:rPr>
          <w:sz w:val="10"/>
          <w:lang w:val="fr-FR"/>
        </w:rPr>
      </w:pPr>
    </w:p>
    <w:p w:rsidR="00826E0F" w:rsidRPr="00872599" w:rsidRDefault="001277E7" w:rsidP="001277E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826E0F" w:rsidRPr="00872599">
        <w:rPr>
          <w:lang w:val="fr-FR"/>
        </w:rPr>
        <w:t xml:space="preserve">Membres de </w:t>
      </w:r>
      <w:smartTag w:uri="urn:schemas-microsoft-com:office:smarttags" w:element="PersonName">
        <w:smartTagPr>
          <w:attr w:name="ProductID" w:val="la Commission"/>
        </w:smartTagPr>
        <w:r w:rsidR="00826E0F" w:rsidRPr="00872599">
          <w:rPr>
            <w:lang w:val="fr-FR"/>
          </w:rPr>
          <w:t>la Commission</w:t>
        </w:r>
      </w:smartTag>
      <w:r w:rsidR="00826E0F" w:rsidRPr="00872599">
        <w:rPr>
          <w:lang w:val="fr-FR"/>
        </w:rPr>
        <w:t xml:space="preserve"> au niveau municipal </w:t>
      </w:r>
    </w:p>
    <w:p w:rsidR="001277E7" w:rsidRPr="001277E7" w:rsidRDefault="001277E7" w:rsidP="001277E7">
      <w:pPr>
        <w:pStyle w:val="SingleTxt"/>
        <w:spacing w:after="0" w:line="120" w:lineRule="exact"/>
        <w:rPr>
          <w:sz w:val="10"/>
          <w:lang w:val="fr-FR"/>
        </w:rPr>
      </w:pPr>
    </w:p>
    <w:p w:rsidR="00826E0F" w:rsidRPr="00872599" w:rsidRDefault="001277E7" w:rsidP="00497599">
      <w:pPr>
        <w:pStyle w:val="SingleTxt"/>
        <w:rPr>
          <w:lang w:val="fr-FR"/>
        </w:rPr>
      </w:pPr>
      <w:r>
        <w:rPr>
          <w:lang w:val="fr-FR"/>
        </w:rPr>
        <w:tab/>
      </w:r>
      <w:r w:rsidR="00826E0F" w:rsidRPr="00872599">
        <w:rPr>
          <w:lang w:val="fr-FR"/>
        </w:rPr>
        <w:t xml:space="preserve">Dans le cadre de la préparation des élections municipales de 2011, des interviews de femmes membres de </w:t>
      </w:r>
      <w:smartTag w:uri="urn:schemas-microsoft-com:office:smarttags" w:element="PersonName">
        <w:smartTagPr>
          <w:attr w:name="ProductID" w:val="la Commissions"/>
        </w:smartTagPr>
        <w:r w:rsidR="00826E0F" w:rsidRPr="00872599">
          <w:rPr>
            <w:lang w:val="fr-FR"/>
          </w:rPr>
          <w:t>la Commissions</w:t>
        </w:r>
      </w:smartTag>
      <w:r w:rsidR="00826E0F" w:rsidRPr="00872599">
        <w:rPr>
          <w:lang w:val="fr-FR"/>
        </w:rPr>
        <w:t> sont reproduites dans les bulletins d</w:t>
      </w:r>
      <w:r w:rsidR="006645B6">
        <w:rPr>
          <w:lang w:val="fr-FR"/>
        </w:rPr>
        <w:t>’</w:t>
      </w:r>
      <w:r w:rsidR="00826E0F" w:rsidRPr="00872599">
        <w:rPr>
          <w:lang w:val="fr-FR"/>
        </w:rPr>
        <w:t>information municipaux depuis juin 2009. Les bulletins d</w:t>
      </w:r>
      <w:r w:rsidR="006645B6">
        <w:rPr>
          <w:lang w:val="fr-FR"/>
        </w:rPr>
        <w:t>’</w:t>
      </w:r>
      <w:r w:rsidR="00826E0F" w:rsidRPr="00872599">
        <w:rPr>
          <w:lang w:val="fr-FR"/>
        </w:rPr>
        <w:t xml:space="preserve">information des municipalités paraissent 3 à 4 fois par an. </w:t>
      </w:r>
      <w:smartTag w:uri="urn:schemas-microsoft-com:office:smarttags" w:element="PersonName">
        <w:smartTagPr>
          <w:attr w:name="ProductID" w:val="la Commission"/>
        </w:smartTagPr>
        <w:r w:rsidR="00826E0F" w:rsidRPr="00872599">
          <w:rPr>
            <w:lang w:val="fr-FR"/>
          </w:rPr>
          <w:t>La Commission</w:t>
        </w:r>
      </w:smartTag>
      <w:r w:rsidR="00826E0F" w:rsidRPr="00872599">
        <w:rPr>
          <w:lang w:val="fr-FR"/>
        </w:rPr>
        <w:t xml:space="preserve"> souhaite ainsi pousser les femmes à présenter leur candidature à des fonctions politiques.</w:t>
      </w:r>
    </w:p>
    <w:p w:rsidR="000E00B5" w:rsidRPr="000E00B5" w:rsidRDefault="000E00B5" w:rsidP="000E00B5">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120" w:lineRule="exact"/>
        <w:rPr>
          <w:sz w:val="10"/>
          <w:lang w:val="fr-FR"/>
        </w:rPr>
      </w:pPr>
      <w:bookmarkStart w:id="28" w:name="_Toc512341771"/>
      <w:bookmarkStart w:id="29" w:name="_Toc137007651"/>
      <w:bookmarkStart w:id="30" w:name="_Toc239741030"/>
    </w:p>
    <w:p w:rsidR="00826E0F" w:rsidRPr="00872599" w:rsidRDefault="00945242" w:rsidP="00945242">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Pr>
          <w:lang w:val="fr-FR"/>
        </w:rPr>
        <w:tab/>
      </w:r>
      <w:r w:rsidR="00826E0F" w:rsidRPr="00872599">
        <w:rPr>
          <w:lang w:val="fr-FR"/>
        </w:rPr>
        <w:t>Article 8</w:t>
      </w:r>
      <w:r>
        <w:rPr>
          <w:lang w:val="fr-FR"/>
        </w:rPr>
        <w:t>.</w:t>
      </w:r>
      <w:bookmarkEnd w:id="28"/>
      <w:bookmarkEnd w:id="29"/>
      <w:bookmarkEnd w:id="30"/>
      <w:r>
        <w:rPr>
          <w:lang w:val="fr-FR"/>
        </w:rPr>
        <w:tab/>
        <w:t>P</w:t>
      </w:r>
      <w:r w:rsidR="00826E0F" w:rsidRPr="00872599">
        <w:rPr>
          <w:lang w:val="fr-FR"/>
        </w:rPr>
        <w:t>articipation des femmes au Gouvernement et aux organisations internationales</w:t>
      </w:r>
    </w:p>
    <w:p w:rsidR="00945242" w:rsidRPr="00945242" w:rsidRDefault="00945242" w:rsidP="00945242">
      <w:pPr>
        <w:pStyle w:val="SingleTxt"/>
        <w:spacing w:after="0" w:line="120" w:lineRule="exact"/>
        <w:rPr>
          <w:sz w:val="10"/>
          <w:highlight w:val="yellow"/>
          <w:lang w:val="fr-FR"/>
        </w:rPr>
      </w:pPr>
    </w:p>
    <w:p w:rsidR="00826E0F" w:rsidRPr="00872599" w:rsidRDefault="00945242" w:rsidP="00497599">
      <w:pPr>
        <w:pStyle w:val="SingleTxt"/>
        <w:rPr>
          <w:lang w:val="fr-FR"/>
        </w:rPr>
      </w:pPr>
      <w:r>
        <w:rPr>
          <w:lang w:val="fr-FR"/>
        </w:rPr>
        <w:tab/>
      </w:r>
      <w:r w:rsidR="00826E0F" w:rsidRPr="00872599">
        <w:rPr>
          <w:lang w:val="fr-FR"/>
        </w:rPr>
        <w:t>La proportion de femmes participant au Gouvernement et travaillant dans des organisations internationales a augmenté ces dernières années mais ne satisfait toujours pas au principe de l</w:t>
      </w:r>
      <w:r w:rsidR="006645B6">
        <w:rPr>
          <w:lang w:val="fr-FR"/>
        </w:rPr>
        <w:t>’</w:t>
      </w:r>
      <w:r w:rsidR="00826E0F" w:rsidRPr="00872599">
        <w:rPr>
          <w:lang w:val="fr-FR"/>
        </w:rPr>
        <w:t xml:space="preserve">égalité entre les sexes. Deux femmes ont actuellement </w:t>
      </w:r>
      <w:r w:rsidR="00826E0F">
        <w:rPr>
          <w:lang w:val="fr-FR"/>
        </w:rPr>
        <w:t xml:space="preserve">une position </w:t>
      </w:r>
      <w:r w:rsidR="00826E0F" w:rsidRPr="00872599">
        <w:rPr>
          <w:lang w:val="fr-FR"/>
        </w:rPr>
        <w:t xml:space="preserve">au Gouvernement du Liechtenstein. </w:t>
      </w:r>
      <w:r w:rsidR="00826E0F">
        <w:rPr>
          <w:lang w:val="fr-FR"/>
        </w:rPr>
        <w:t>Elles ont la charge des</w:t>
      </w:r>
      <w:r w:rsidR="00826E0F" w:rsidRPr="00872599">
        <w:rPr>
          <w:lang w:val="fr-FR"/>
        </w:rPr>
        <w:t xml:space="preserve"> Ministère</w:t>
      </w:r>
      <w:r w:rsidR="00826E0F">
        <w:rPr>
          <w:lang w:val="fr-FR"/>
        </w:rPr>
        <w:t>s</w:t>
      </w:r>
      <w:r w:rsidR="00826E0F" w:rsidRPr="00872599">
        <w:rPr>
          <w:lang w:val="fr-FR"/>
        </w:rPr>
        <w:t xml:space="preserve"> des affaires étrangères, de la justice et de la culture et celle des Ministères des affaires sociales, de la santé publique et des questions d</w:t>
      </w:r>
      <w:r w:rsidR="006645B6">
        <w:rPr>
          <w:lang w:val="fr-FR"/>
        </w:rPr>
        <w:t>’</w:t>
      </w:r>
      <w:r w:rsidR="00826E0F" w:rsidRPr="00872599">
        <w:rPr>
          <w:lang w:val="fr-FR"/>
        </w:rPr>
        <w:t>environnement</w:t>
      </w:r>
      <w:r w:rsidR="00826E0F">
        <w:rPr>
          <w:lang w:val="fr-FR"/>
        </w:rPr>
        <w:t xml:space="preserve">, </w:t>
      </w:r>
      <w:r w:rsidR="00826E0F" w:rsidRPr="00872599">
        <w:rPr>
          <w:lang w:val="fr-FR"/>
        </w:rPr>
        <w:t>de l</w:t>
      </w:r>
      <w:r w:rsidR="006645B6">
        <w:rPr>
          <w:lang w:val="fr-FR"/>
        </w:rPr>
        <w:t>’</w:t>
      </w:r>
      <w:r w:rsidR="00826E0F" w:rsidRPr="00872599">
        <w:rPr>
          <w:lang w:val="fr-FR"/>
        </w:rPr>
        <w:t>aménagement du territoire, de l</w:t>
      </w:r>
      <w:r w:rsidR="006645B6">
        <w:rPr>
          <w:lang w:val="fr-FR"/>
        </w:rPr>
        <w:t>’</w:t>
      </w:r>
      <w:r w:rsidR="00826E0F" w:rsidRPr="00872599">
        <w:rPr>
          <w:lang w:val="fr-FR"/>
        </w:rPr>
        <w:t>agriculture et de la foresterie. Le Liechtenstein a établi onze représentations diplomatique à l</w:t>
      </w:r>
      <w:r w:rsidR="006645B6">
        <w:rPr>
          <w:lang w:val="fr-FR"/>
        </w:rPr>
        <w:t>’</w:t>
      </w:r>
      <w:r w:rsidR="00826E0F" w:rsidRPr="00872599">
        <w:rPr>
          <w:lang w:val="fr-FR"/>
        </w:rPr>
        <w:t>étranger et a nommé huit ambassadeurs. Deux de ces ambassadeurs sont des femmes. Treize hommes et six femmes sont membres des diverses délégations du Parlement auprès des assemblées parlementaires des organisations internationales</w:t>
      </w:r>
      <w:r w:rsidR="00826E0F" w:rsidRPr="00872599">
        <w:rPr>
          <w:lang w:val="fr-FR"/>
        </w:rPr>
        <w:t>.</w:t>
      </w:r>
    </w:p>
    <w:p w:rsidR="00945242" w:rsidRPr="00945242" w:rsidRDefault="00945242" w:rsidP="00945242">
      <w:pPr>
        <w:pStyle w:val="SingleTxt"/>
        <w:spacing w:after="0" w:line="120" w:lineRule="exact"/>
        <w:rPr>
          <w:sz w:val="10"/>
          <w:lang w:val="fr-FR"/>
        </w:rPr>
      </w:pPr>
    </w:p>
    <w:p w:rsidR="00826E0F" w:rsidRPr="00872599" w:rsidRDefault="00945242" w:rsidP="0094524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bookmarkStart w:id="31" w:name="_Toc512341772"/>
      <w:bookmarkStart w:id="32" w:name="_Toc137007652"/>
      <w:bookmarkStart w:id="33" w:name="_Toc239741031"/>
      <w:r>
        <w:rPr>
          <w:lang w:val="fr-FR"/>
        </w:rPr>
        <w:tab/>
      </w:r>
      <w:r w:rsidR="00826E0F" w:rsidRPr="00872599">
        <w:rPr>
          <w:lang w:val="fr-FR"/>
        </w:rPr>
        <w:t>Article 10</w:t>
      </w:r>
      <w:r w:rsidR="00A03470">
        <w:rPr>
          <w:lang w:val="fr-FR"/>
        </w:rPr>
        <w:t>.</w:t>
      </w:r>
      <w:r w:rsidR="00826E0F" w:rsidRPr="00872599">
        <w:rPr>
          <w:lang w:val="fr-FR"/>
        </w:rPr>
        <w:tab/>
      </w:r>
      <w:bookmarkEnd w:id="31"/>
      <w:bookmarkEnd w:id="32"/>
      <w:r w:rsidR="00A03470">
        <w:rPr>
          <w:lang w:val="fr-FR"/>
        </w:rPr>
        <w:t>É</w:t>
      </w:r>
      <w:r w:rsidR="00826E0F" w:rsidRPr="00872599">
        <w:rPr>
          <w:lang w:val="fr-FR"/>
        </w:rPr>
        <w:t>ducation</w:t>
      </w:r>
      <w:bookmarkEnd w:id="33"/>
    </w:p>
    <w:p w:rsidR="00945242" w:rsidRPr="00945242" w:rsidRDefault="00945242" w:rsidP="00945242">
      <w:pPr>
        <w:pStyle w:val="SingleTxt"/>
        <w:spacing w:after="0" w:line="120" w:lineRule="exact"/>
        <w:rPr>
          <w:b/>
          <w:sz w:val="10"/>
          <w:lang w:val="fr-FR"/>
        </w:rPr>
      </w:pPr>
    </w:p>
    <w:p w:rsidR="00945242" w:rsidRPr="00945242" w:rsidRDefault="00945242" w:rsidP="00945242">
      <w:pPr>
        <w:pStyle w:val="SingleTxt"/>
        <w:pBdr>
          <w:top w:val="single" w:sz="4" w:space="1" w:color="auto"/>
          <w:left w:val="single" w:sz="4" w:space="4" w:color="auto"/>
          <w:bottom w:val="single" w:sz="4" w:space="1" w:color="auto"/>
          <w:right w:val="single" w:sz="4" w:space="4" w:color="auto"/>
        </w:pBdr>
        <w:spacing w:after="0" w:line="120" w:lineRule="exact"/>
        <w:rPr>
          <w:b/>
          <w:sz w:val="10"/>
          <w:lang w:val="fr-FR"/>
        </w:rPr>
      </w:pPr>
    </w:p>
    <w:p w:rsidR="00826E0F" w:rsidRPr="00872599" w:rsidRDefault="00826E0F" w:rsidP="00945242">
      <w:pPr>
        <w:pStyle w:val="SingleTxt"/>
        <w:pBdr>
          <w:top w:val="single" w:sz="4" w:space="1" w:color="auto"/>
          <w:left w:val="single" w:sz="4" w:space="4" w:color="auto"/>
          <w:bottom w:val="single" w:sz="4" w:space="1" w:color="auto"/>
          <w:right w:val="single" w:sz="4" w:space="4" w:color="auto"/>
        </w:pBdr>
        <w:rPr>
          <w:b/>
          <w:lang w:val="fr-FR"/>
        </w:rPr>
      </w:pPr>
      <w:r w:rsidRPr="00872599">
        <w:rPr>
          <w:b/>
          <w:lang w:val="fr-FR"/>
        </w:rPr>
        <w:t xml:space="preserve">Recommandation du Comité de </w:t>
      </w:r>
      <w:smartTag w:uri="urn:schemas-microsoft-com:office:smarttags" w:element="PersonName">
        <w:smartTagPr>
          <w:attr w:name="ProductID" w:val="la CEDAW"/>
        </w:smartTagPr>
        <w:r w:rsidRPr="00872599">
          <w:rPr>
            <w:b/>
            <w:lang w:val="fr-FR"/>
          </w:rPr>
          <w:t>la CEDAW</w:t>
        </w:r>
      </w:smartTag>
      <w:r w:rsidRPr="00872599">
        <w:rPr>
          <w:b/>
          <w:lang w:val="fr-FR"/>
        </w:rPr>
        <w:t>, n</w:t>
      </w:r>
      <w:r w:rsidRPr="006645B6">
        <w:rPr>
          <w:b/>
          <w:vertAlign w:val="superscript"/>
          <w:lang w:val="fr-FR"/>
        </w:rPr>
        <w:t>o</w:t>
      </w:r>
      <w:r w:rsidR="006645B6">
        <w:rPr>
          <w:b/>
          <w:vertAlign w:val="superscript"/>
          <w:lang w:val="fr-FR"/>
        </w:rPr>
        <w:t xml:space="preserve"> </w:t>
      </w:r>
      <w:r w:rsidRPr="00872599">
        <w:rPr>
          <w:b/>
          <w:lang w:val="fr-FR"/>
        </w:rPr>
        <w:t>10</w:t>
      </w:r>
      <w:r w:rsidR="00A03470">
        <w:rPr>
          <w:b/>
          <w:lang w:val="fr-FR"/>
        </w:rPr>
        <w:t> </w:t>
      </w:r>
      <w:r w:rsidRPr="00872599">
        <w:rPr>
          <w:b/>
          <w:lang w:val="fr-FR"/>
        </w:rPr>
        <w:t xml:space="preserve">: </w:t>
      </w:r>
    </w:p>
    <w:p w:rsidR="00826E0F" w:rsidRPr="00872599" w:rsidRDefault="00826E0F" w:rsidP="00945242">
      <w:pPr>
        <w:pStyle w:val="SingleTxt"/>
        <w:pBdr>
          <w:top w:val="single" w:sz="4" w:space="1" w:color="auto"/>
          <w:left w:val="single" w:sz="4" w:space="4" w:color="auto"/>
          <w:bottom w:val="single" w:sz="4" w:space="1" w:color="auto"/>
          <w:right w:val="single" w:sz="4" w:space="4" w:color="auto"/>
        </w:pBdr>
        <w:rPr>
          <w:i/>
          <w:lang w:val="fr-FR"/>
        </w:rPr>
      </w:pPr>
      <w:r w:rsidRPr="00872599">
        <w:rPr>
          <w:i/>
          <w:lang w:val="fr-FR"/>
        </w:rPr>
        <w:t>…</w:t>
      </w:r>
      <w:r w:rsidRPr="00872599">
        <w:rPr>
          <w:b/>
          <w:lang w:val="fr-FR"/>
        </w:rPr>
        <w:t xml:space="preserve"> </w:t>
      </w:r>
      <w:r w:rsidRPr="00872599">
        <w:rPr>
          <w:i/>
          <w:lang w:val="fr-FR"/>
        </w:rPr>
        <w:t>Le Comité encourage l</w:t>
      </w:r>
      <w:r w:rsidR="006645B6">
        <w:rPr>
          <w:i/>
          <w:lang w:val="fr-FR"/>
        </w:rPr>
        <w:t>’</w:t>
      </w:r>
      <w:r w:rsidRPr="00872599">
        <w:rPr>
          <w:i/>
          <w:lang w:val="fr-FR"/>
        </w:rPr>
        <w:t xml:space="preserve">État partie à faire systématiquement mieux connaître et comprendre </w:t>
      </w:r>
      <w:smartTag w:uri="urn:schemas-microsoft-com:office:smarttags" w:element="PersonName">
        <w:smartTagPr>
          <w:attr w:name="ProductID" w:val="la Convention"/>
        </w:smartTagPr>
        <w:r w:rsidRPr="00872599">
          <w:rPr>
            <w:i/>
            <w:lang w:val="fr-FR"/>
          </w:rPr>
          <w:t>la Convention</w:t>
        </w:r>
      </w:smartTag>
      <w:r w:rsidRPr="00872599">
        <w:rPr>
          <w:i/>
          <w:lang w:val="fr-FR"/>
        </w:rPr>
        <w:t xml:space="preserve"> et l</w:t>
      </w:r>
      <w:r w:rsidR="006645B6">
        <w:rPr>
          <w:i/>
          <w:lang w:val="fr-FR"/>
        </w:rPr>
        <w:t>’</w:t>
      </w:r>
      <w:r w:rsidRPr="00872599">
        <w:rPr>
          <w:i/>
          <w:lang w:val="fr-FR"/>
        </w:rPr>
        <w:t>égalité des sexes au moyen de ses programmes de formation</w:t>
      </w:r>
      <w:r w:rsidRPr="00872599">
        <w:rPr>
          <w:lang w:val="fr-FR"/>
        </w:rPr>
        <w:t>.</w:t>
      </w:r>
    </w:p>
    <w:p w:rsidR="00945242" w:rsidRPr="00945242" w:rsidRDefault="00945242" w:rsidP="00945242">
      <w:pPr>
        <w:pStyle w:val="SingleTxt"/>
        <w:pBdr>
          <w:top w:val="single" w:sz="4" w:space="1" w:color="auto"/>
          <w:left w:val="single" w:sz="4" w:space="4" w:color="auto"/>
          <w:bottom w:val="single" w:sz="4" w:space="1" w:color="auto"/>
          <w:right w:val="single" w:sz="4" w:space="4" w:color="auto"/>
        </w:pBdr>
        <w:spacing w:after="0" w:line="120" w:lineRule="exact"/>
        <w:rPr>
          <w:b/>
          <w:sz w:val="10"/>
          <w:lang w:val="fr-FR"/>
        </w:rPr>
      </w:pPr>
    </w:p>
    <w:p w:rsidR="00945242" w:rsidRPr="00945242" w:rsidRDefault="00945242" w:rsidP="00945242">
      <w:pPr>
        <w:pStyle w:val="SingleTxt"/>
        <w:spacing w:after="0" w:line="120" w:lineRule="exact"/>
        <w:rPr>
          <w:sz w:val="10"/>
          <w:lang w:val="fr-FR"/>
        </w:rPr>
      </w:pPr>
    </w:p>
    <w:p w:rsidR="00826E0F" w:rsidRPr="00872599" w:rsidRDefault="00945242" w:rsidP="00497599">
      <w:pPr>
        <w:pStyle w:val="SingleTxt"/>
        <w:rPr>
          <w:lang w:val="fr-FR"/>
        </w:rPr>
      </w:pPr>
      <w:r>
        <w:rPr>
          <w:lang w:val="fr-FR"/>
        </w:rPr>
        <w:tab/>
      </w:r>
      <w:r w:rsidR="00826E0F" w:rsidRPr="00872599">
        <w:rPr>
          <w:lang w:val="fr-FR"/>
        </w:rPr>
        <w:t>La nouvelle loi sur l</w:t>
      </w:r>
      <w:r w:rsidR="006645B6">
        <w:rPr>
          <w:lang w:val="fr-FR"/>
        </w:rPr>
        <w:t>’</w:t>
      </w:r>
      <w:r w:rsidR="00826E0F" w:rsidRPr="00872599">
        <w:rPr>
          <w:lang w:val="fr-FR"/>
        </w:rPr>
        <w:t>enseignement supérieur est entrée en vigueur le 25 novembre 2004</w:t>
      </w:r>
      <w:r w:rsidR="00826E0F" w:rsidRPr="00A03470">
        <w:rPr>
          <w:rStyle w:val="Normal"/>
          <w:szCs w:val="24"/>
          <w:lang w:val="en-US"/>
        </w:rPr>
        <w:footnoteReference w:id="14"/>
      </w:r>
      <w:r w:rsidR="00826E0F" w:rsidRPr="00872599">
        <w:rPr>
          <w:lang w:val="fr-FR"/>
        </w:rPr>
        <w:t>. Elle est destinée à apporter une importante contribution à l</w:t>
      </w:r>
      <w:r w:rsidR="006645B6">
        <w:rPr>
          <w:lang w:val="fr-FR"/>
        </w:rPr>
        <w:t>’</w:t>
      </w:r>
      <w:r w:rsidR="00826E0F" w:rsidRPr="00872599">
        <w:rPr>
          <w:lang w:val="fr-FR"/>
        </w:rPr>
        <w:t>assurance de la qualité et au développement dans l</w:t>
      </w:r>
      <w:r w:rsidR="006645B6">
        <w:rPr>
          <w:lang w:val="fr-FR"/>
        </w:rPr>
        <w:t>’</w:t>
      </w:r>
      <w:r w:rsidR="00826E0F" w:rsidRPr="00872599">
        <w:rPr>
          <w:lang w:val="fr-FR"/>
        </w:rPr>
        <w:t>enseignement tertiaire au Liechtenstein et prend en compte l</w:t>
      </w:r>
      <w:r w:rsidR="006645B6">
        <w:rPr>
          <w:lang w:val="fr-FR"/>
        </w:rPr>
        <w:t>’</w:t>
      </w:r>
      <w:r w:rsidR="00826E0F" w:rsidRPr="00872599">
        <w:rPr>
          <w:lang w:val="fr-FR"/>
        </w:rPr>
        <w:t>internationalisation de l</w:t>
      </w:r>
      <w:r w:rsidR="006645B6">
        <w:rPr>
          <w:lang w:val="fr-FR"/>
        </w:rPr>
        <w:t>’</w:t>
      </w:r>
      <w:r w:rsidR="00826E0F" w:rsidRPr="00872599">
        <w:rPr>
          <w:lang w:val="fr-FR"/>
        </w:rPr>
        <w:t>enseignement tertiaire tel qu</w:t>
      </w:r>
      <w:r w:rsidR="006645B6">
        <w:rPr>
          <w:lang w:val="fr-FR"/>
        </w:rPr>
        <w:t>’</w:t>
      </w:r>
      <w:r w:rsidR="00826E0F" w:rsidRPr="00872599">
        <w:rPr>
          <w:lang w:val="fr-FR"/>
        </w:rPr>
        <w:t>énoncée dans la déclaration de Bologne (1999) des ministres européens de l</w:t>
      </w:r>
      <w:r w:rsidR="006645B6">
        <w:rPr>
          <w:lang w:val="fr-FR"/>
        </w:rPr>
        <w:t>’</w:t>
      </w:r>
      <w:r w:rsidR="00826E0F" w:rsidRPr="00872599">
        <w:rPr>
          <w:lang w:val="fr-FR"/>
        </w:rPr>
        <w:t>éducation. Toutefois, étant donné la taille réduite du pays, l</w:t>
      </w:r>
      <w:r w:rsidR="006645B6">
        <w:rPr>
          <w:lang w:val="fr-FR"/>
        </w:rPr>
        <w:t>’</w:t>
      </w:r>
      <w:r w:rsidR="00826E0F" w:rsidRPr="00872599">
        <w:rPr>
          <w:lang w:val="fr-FR"/>
        </w:rPr>
        <w:t xml:space="preserve">enseignement tertiaire au Liechtenstein a encore peu à offrir. Cinq établissements reconnus seulement dispensent un enseignement tertiaire: </w:t>
      </w:r>
      <w:smartTag w:uri="urn:schemas-microsoft-com:office:smarttags" w:element="PersonName">
        <w:smartTagPr>
          <w:attr w:name="ProductID" w:val="la Hochschule Liechtenstein"/>
        </w:smartTagPr>
        <w:r w:rsidR="00826E0F" w:rsidRPr="00872599">
          <w:rPr>
            <w:lang w:val="fr-FR"/>
          </w:rPr>
          <w:t>la Hochschule Liechtenstein</w:t>
        </w:r>
      </w:smartTag>
      <w:r w:rsidR="00826E0F" w:rsidRPr="00872599">
        <w:rPr>
          <w:lang w:val="fr-FR"/>
        </w:rPr>
        <w:t>, l</w:t>
      </w:r>
      <w:r w:rsidR="006645B6">
        <w:rPr>
          <w:lang w:val="fr-FR"/>
        </w:rPr>
        <w:t>’</w:t>
      </w:r>
      <w:r w:rsidR="00826E0F" w:rsidRPr="00872599">
        <w:rPr>
          <w:lang w:val="fr-FR"/>
        </w:rPr>
        <w:t>Académie internationale de philosophie</w:t>
      </w:r>
      <w:r w:rsidR="00826E0F" w:rsidRPr="00A03470">
        <w:rPr>
          <w:rStyle w:val="FootnoteCharacters"/>
          <w:sz w:val="24"/>
          <w:szCs w:val="24"/>
          <w:lang w:val="fr-FR"/>
        </w:rPr>
        <w:footnoteReference w:id="15"/>
      </w:r>
      <w:r w:rsidR="00826E0F" w:rsidRPr="00872599">
        <w:rPr>
          <w:lang w:val="fr-FR"/>
        </w:rPr>
        <w:t>, l</w:t>
      </w:r>
      <w:r w:rsidR="006645B6">
        <w:rPr>
          <w:lang w:val="fr-FR"/>
        </w:rPr>
        <w:t>’</w:t>
      </w:r>
      <w:r w:rsidR="00826E0F" w:rsidRPr="00872599">
        <w:rPr>
          <w:lang w:val="fr-FR"/>
        </w:rPr>
        <w:t>Université privée de la principauté du Liechtenstein, l</w:t>
      </w:r>
      <w:r w:rsidR="006645B6">
        <w:rPr>
          <w:lang w:val="fr-FR"/>
        </w:rPr>
        <w:t>’</w:t>
      </w:r>
      <w:r w:rsidR="00826E0F" w:rsidRPr="00872599">
        <w:rPr>
          <w:lang w:val="fr-FR"/>
        </w:rPr>
        <w:t>Université des sciences de la technologie et l</w:t>
      </w:r>
      <w:r w:rsidR="006645B6">
        <w:rPr>
          <w:lang w:val="fr-FR"/>
        </w:rPr>
        <w:t>’</w:t>
      </w:r>
      <w:r w:rsidR="00826E0F" w:rsidRPr="00872599">
        <w:rPr>
          <w:lang w:val="fr-FR"/>
        </w:rPr>
        <w:t>Institut du Liechtenstein. Bien que le Liechtenstein n</w:t>
      </w:r>
      <w:r w:rsidR="006645B6">
        <w:rPr>
          <w:lang w:val="fr-FR"/>
        </w:rPr>
        <w:t>’</w:t>
      </w:r>
      <w:r w:rsidR="00826E0F" w:rsidRPr="00872599">
        <w:rPr>
          <w:lang w:val="fr-FR"/>
        </w:rPr>
        <w:t xml:space="preserve">ait aucune université </w:t>
      </w:r>
      <w:r w:rsidR="00CC772D" w:rsidRPr="00872599">
        <w:rPr>
          <w:lang w:val="fr-FR"/>
        </w:rPr>
        <w:t>publique</w:t>
      </w:r>
      <w:r w:rsidR="00826E0F" w:rsidRPr="00872599">
        <w:rPr>
          <w:lang w:val="fr-FR"/>
        </w:rPr>
        <w:t>, un enseignement de haute qualité est dispensé à la population grâce à la coopération avec les États voisins de Suisse et d</w:t>
      </w:r>
      <w:r w:rsidR="006645B6">
        <w:rPr>
          <w:lang w:val="fr-FR"/>
        </w:rPr>
        <w:t>’</w:t>
      </w:r>
      <w:r w:rsidR="00826E0F" w:rsidRPr="00872599">
        <w:rPr>
          <w:lang w:val="fr-FR"/>
        </w:rPr>
        <w:t>Autriche comme déjà souligné dans le deuxième rapport périodique.</w:t>
      </w:r>
    </w:p>
    <w:p w:rsidR="00945242" w:rsidRPr="00945242" w:rsidRDefault="00945242" w:rsidP="00945242">
      <w:pPr>
        <w:pStyle w:val="SingleTxt"/>
        <w:spacing w:after="0" w:line="120" w:lineRule="exact"/>
        <w:rPr>
          <w:sz w:val="10"/>
          <w:lang w:val="fr-FR"/>
        </w:rPr>
      </w:pPr>
    </w:p>
    <w:p w:rsidR="00826E0F" w:rsidRPr="00872599" w:rsidRDefault="00945242" w:rsidP="0094524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826E0F" w:rsidRPr="00872599">
        <w:rPr>
          <w:lang w:val="fr-FR"/>
        </w:rPr>
        <w:t>Statistiques en matière d</w:t>
      </w:r>
      <w:r w:rsidR="006645B6">
        <w:rPr>
          <w:lang w:val="fr-FR"/>
        </w:rPr>
        <w:t>’</w:t>
      </w:r>
      <w:r w:rsidR="00826E0F" w:rsidRPr="00872599">
        <w:rPr>
          <w:lang w:val="fr-FR"/>
        </w:rPr>
        <w:t xml:space="preserve">éducation </w:t>
      </w:r>
    </w:p>
    <w:p w:rsidR="00945242" w:rsidRPr="00945242" w:rsidRDefault="00945242" w:rsidP="00945242">
      <w:pPr>
        <w:pStyle w:val="SingleTxt"/>
        <w:spacing w:after="0" w:line="120" w:lineRule="exact"/>
        <w:rPr>
          <w:sz w:val="10"/>
          <w:lang w:val="fr-FR"/>
        </w:rPr>
      </w:pPr>
    </w:p>
    <w:p w:rsidR="00826E0F" w:rsidRPr="00872599" w:rsidRDefault="00945242" w:rsidP="00497599">
      <w:pPr>
        <w:pStyle w:val="SingleTxt"/>
        <w:rPr>
          <w:lang w:val="fr-FR"/>
        </w:rPr>
      </w:pPr>
      <w:r>
        <w:rPr>
          <w:lang w:val="fr-FR"/>
        </w:rPr>
        <w:tab/>
      </w:r>
      <w:r w:rsidR="00826E0F" w:rsidRPr="00872599">
        <w:rPr>
          <w:lang w:val="fr-FR"/>
        </w:rPr>
        <w:t>Les statistiques en matière d</w:t>
      </w:r>
      <w:r w:rsidR="006645B6">
        <w:rPr>
          <w:lang w:val="fr-FR"/>
        </w:rPr>
        <w:t>’</w:t>
      </w:r>
      <w:r w:rsidR="00826E0F" w:rsidRPr="00872599">
        <w:rPr>
          <w:lang w:val="fr-FR"/>
        </w:rPr>
        <w:t>éducation au Liechtenstein montre que des progrès notables ont été réalisés ces dernières décennies en ce qui concerne l</w:t>
      </w:r>
      <w:r w:rsidR="006645B6">
        <w:rPr>
          <w:lang w:val="fr-FR"/>
        </w:rPr>
        <w:t>’</w:t>
      </w:r>
      <w:r w:rsidR="00826E0F" w:rsidRPr="00872599">
        <w:rPr>
          <w:lang w:val="fr-FR"/>
        </w:rPr>
        <w:t>égalité des filles et des jeunes femmes face à l</w:t>
      </w:r>
      <w:r w:rsidR="006645B6">
        <w:rPr>
          <w:lang w:val="fr-FR"/>
        </w:rPr>
        <w:t>’</w:t>
      </w:r>
      <w:r w:rsidR="00826E0F" w:rsidRPr="00872599">
        <w:rPr>
          <w:lang w:val="fr-FR"/>
        </w:rPr>
        <w:t xml:space="preserve">éducation. Il y a à peine trente ans, beaucoup plus de filles que de garçons suivaient les cours de </w:t>
      </w:r>
      <w:smartTag w:uri="urn:schemas-microsoft-com:office:smarttags" w:element="PersonName">
        <w:smartTagPr>
          <w:attr w:name="ProductID" w:val="la Realschule"/>
        </w:smartTagPr>
        <w:r w:rsidR="00826E0F" w:rsidRPr="00872599">
          <w:rPr>
            <w:lang w:val="fr-FR"/>
          </w:rPr>
          <w:t xml:space="preserve">la </w:t>
        </w:r>
        <w:r w:rsidR="00826E0F" w:rsidRPr="00872599">
          <w:rPr>
            <w:i/>
            <w:iCs/>
            <w:lang w:val="fr-FR"/>
          </w:rPr>
          <w:t>Realschule</w:t>
        </w:r>
      </w:smartTag>
      <w:r w:rsidR="00826E0F" w:rsidRPr="00872599">
        <w:rPr>
          <w:lang w:val="fr-FR"/>
        </w:rPr>
        <w:t xml:space="preserve"> (enseignement secondaire du premier degré) et beaucoup plus de garçons que de filles suivaient ceux du </w:t>
      </w:r>
      <w:r w:rsidR="00826E0F" w:rsidRPr="00872599">
        <w:rPr>
          <w:i/>
          <w:iCs/>
          <w:lang w:val="fr-FR"/>
        </w:rPr>
        <w:t>Gymnasium</w:t>
      </w:r>
      <w:r w:rsidR="00826E0F" w:rsidRPr="00872599">
        <w:rPr>
          <w:lang w:val="fr-FR"/>
        </w:rPr>
        <w:t xml:space="preserve"> (enseignement secondaire classique), la proportion de filles au </w:t>
      </w:r>
      <w:r w:rsidR="00826E0F" w:rsidRPr="00872599">
        <w:rPr>
          <w:i/>
          <w:iCs/>
          <w:lang w:val="fr-FR"/>
        </w:rPr>
        <w:t>Gymnasium</w:t>
      </w:r>
      <w:r w:rsidR="00826E0F" w:rsidRPr="00872599">
        <w:rPr>
          <w:lang w:val="fr-FR"/>
        </w:rPr>
        <w:t xml:space="preserve"> a augmenté régulièrement et a dépassé celle des garçons en 2005. On peut donc considérer que les filles et les garçons se retrouvent sur un pied d</w:t>
      </w:r>
      <w:r w:rsidR="006645B6">
        <w:rPr>
          <w:lang w:val="fr-FR"/>
        </w:rPr>
        <w:t>’</w:t>
      </w:r>
      <w:r w:rsidR="00826E0F" w:rsidRPr="00872599">
        <w:rPr>
          <w:lang w:val="fr-FR"/>
        </w:rPr>
        <w:t>égalité pour ce qui est de l</w:t>
      </w:r>
      <w:r w:rsidR="006645B6">
        <w:rPr>
          <w:lang w:val="fr-FR"/>
        </w:rPr>
        <w:t>’</w:t>
      </w:r>
      <w:r w:rsidR="00826E0F" w:rsidRPr="00872599">
        <w:rPr>
          <w:lang w:val="fr-FR"/>
        </w:rPr>
        <w:t>enseignement scolaire.</w:t>
      </w:r>
    </w:p>
    <w:p w:rsidR="00945242" w:rsidRPr="00945242" w:rsidRDefault="00945242" w:rsidP="00945242">
      <w:pPr>
        <w:pStyle w:val="SingleTxt"/>
        <w:spacing w:after="0" w:line="120" w:lineRule="exact"/>
        <w:rPr>
          <w:sz w:val="10"/>
          <w:lang w:val="fr-FR"/>
        </w:rPr>
      </w:pPr>
    </w:p>
    <w:p w:rsidR="00826E0F" w:rsidRDefault="00945242" w:rsidP="0094524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826E0F" w:rsidRPr="00945242">
        <w:rPr>
          <w:b w:val="0"/>
          <w:lang w:val="fr-FR"/>
        </w:rPr>
        <w:t>Tableau 6</w:t>
      </w:r>
      <w:r w:rsidRPr="00945242">
        <w:rPr>
          <w:b w:val="0"/>
          <w:lang w:val="fr-FR"/>
        </w:rPr>
        <w:br/>
      </w:r>
      <w:r w:rsidR="00826E0F" w:rsidRPr="00872599">
        <w:rPr>
          <w:lang w:val="fr-FR"/>
        </w:rPr>
        <w:t>Proportion de filles aux différents niveaux scolaires</w:t>
      </w:r>
    </w:p>
    <w:p w:rsidR="00C23BEB" w:rsidRPr="00C23BEB" w:rsidRDefault="00C23BEB" w:rsidP="00C23BEB">
      <w:pPr>
        <w:pStyle w:val="SingleTxt"/>
        <w:spacing w:after="0" w:line="120" w:lineRule="exact"/>
        <w:rPr>
          <w:sz w:val="10"/>
          <w:lang w:val="fr-FR"/>
        </w:rPr>
      </w:pPr>
    </w:p>
    <w:tbl>
      <w:tblPr>
        <w:tblW w:w="0" w:type="auto"/>
        <w:jc w:val="center"/>
        <w:tblInd w:w="1267" w:type="dxa"/>
        <w:tblLayout w:type="fixed"/>
        <w:tblLook w:val="0000" w:firstRow="0" w:lastRow="0" w:firstColumn="0" w:lastColumn="0" w:noHBand="0" w:noVBand="0"/>
      </w:tblPr>
      <w:tblGrid>
        <w:gridCol w:w="809"/>
        <w:gridCol w:w="1493"/>
        <w:gridCol w:w="1673"/>
        <w:gridCol w:w="1673"/>
        <w:gridCol w:w="1673"/>
      </w:tblGrid>
      <w:tr w:rsidR="00826E0F" w:rsidRPr="00C23BEB" w:rsidTr="00C23BEB">
        <w:trPr>
          <w:trHeight w:val="255"/>
          <w:tblHeader/>
          <w:jc w:val="center"/>
        </w:trPr>
        <w:tc>
          <w:tcPr>
            <w:tcW w:w="809" w:type="dxa"/>
            <w:tcBorders>
              <w:top w:val="single" w:sz="4" w:space="0" w:color="auto"/>
              <w:bottom w:val="single" w:sz="12" w:space="0" w:color="auto"/>
            </w:tcBorders>
            <w:shd w:val="clear" w:color="auto" w:fill="auto"/>
            <w:vAlign w:val="bottom"/>
          </w:tcPr>
          <w:p w:rsidR="00826E0F" w:rsidRPr="000E00B5" w:rsidRDefault="00826E0F" w:rsidP="00C23BEB">
            <w:pPr>
              <w:pStyle w:val="SingleTxt"/>
              <w:suppressAutoHyphens/>
              <w:spacing w:before="80" w:after="80" w:line="160" w:lineRule="exact"/>
              <w:ind w:left="0" w:right="43"/>
              <w:rPr>
                <w:i/>
                <w:sz w:val="14"/>
                <w:lang w:val="fr-FR"/>
              </w:rPr>
            </w:pPr>
            <w:r w:rsidRPr="000E00B5">
              <w:rPr>
                <w:i/>
                <w:sz w:val="14"/>
                <w:lang w:val="fr-FR"/>
              </w:rPr>
              <w:t>Année</w:t>
            </w:r>
          </w:p>
        </w:tc>
        <w:tc>
          <w:tcPr>
            <w:tcW w:w="1493" w:type="dxa"/>
            <w:tcBorders>
              <w:top w:val="single" w:sz="4" w:space="0" w:color="auto"/>
              <w:bottom w:val="single" w:sz="12" w:space="0" w:color="auto"/>
            </w:tcBorders>
            <w:shd w:val="clear" w:color="auto" w:fill="auto"/>
            <w:vAlign w:val="bottom"/>
          </w:tcPr>
          <w:p w:rsidR="00826E0F" w:rsidRPr="000E00B5" w:rsidRDefault="00826E0F" w:rsidP="00C23BEB">
            <w:pPr>
              <w:pStyle w:val="SingleTxt"/>
              <w:suppressAutoHyphens/>
              <w:spacing w:before="80" w:after="80" w:line="160" w:lineRule="exact"/>
              <w:ind w:left="0" w:right="43"/>
              <w:jc w:val="right"/>
              <w:rPr>
                <w:i/>
                <w:sz w:val="14"/>
                <w:lang w:val="fr-FR"/>
              </w:rPr>
            </w:pPr>
            <w:r w:rsidRPr="000E00B5">
              <w:rPr>
                <w:i/>
                <w:sz w:val="14"/>
                <w:lang w:val="fr-FR"/>
              </w:rPr>
              <w:t>Enseignement primaire</w:t>
            </w:r>
          </w:p>
        </w:tc>
        <w:tc>
          <w:tcPr>
            <w:tcW w:w="1673" w:type="dxa"/>
            <w:tcBorders>
              <w:top w:val="single" w:sz="4" w:space="0" w:color="auto"/>
              <w:bottom w:val="single" w:sz="12" w:space="0" w:color="auto"/>
            </w:tcBorders>
            <w:shd w:val="clear" w:color="auto" w:fill="auto"/>
            <w:vAlign w:val="bottom"/>
          </w:tcPr>
          <w:p w:rsidR="00826E0F" w:rsidRPr="000E00B5" w:rsidRDefault="00826E0F" w:rsidP="00C23BEB">
            <w:pPr>
              <w:pStyle w:val="SingleTxt"/>
              <w:suppressAutoHyphens/>
              <w:spacing w:before="80" w:after="80" w:line="160" w:lineRule="exact"/>
              <w:ind w:left="0" w:right="43"/>
              <w:jc w:val="right"/>
              <w:rPr>
                <w:i/>
                <w:iCs/>
                <w:sz w:val="14"/>
                <w:lang w:val="fr-FR"/>
              </w:rPr>
            </w:pPr>
            <w:r w:rsidRPr="000E00B5">
              <w:rPr>
                <w:i/>
                <w:iCs/>
                <w:sz w:val="14"/>
                <w:lang w:val="fr-FR"/>
              </w:rPr>
              <w:t>Oberschule</w:t>
            </w:r>
          </w:p>
        </w:tc>
        <w:tc>
          <w:tcPr>
            <w:tcW w:w="1673" w:type="dxa"/>
            <w:tcBorders>
              <w:top w:val="single" w:sz="4" w:space="0" w:color="auto"/>
              <w:bottom w:val="single" w:sz="12" w:space="0" w:color="auto"/>
            </w:tcBorders>
            <w:shd w:val="clear" w:color="auto" w:fill="auto"/>
            <w:vAlign w:val="bottom"/>
          </w:tcPr>
          <w:p w:rsidR="00826E0F" w:rsidRPr="000E00B5" w:rsidRDefault="00826E0F" w:rsidP="00C23BEB">
            <w:pPr>
              <w:pStyle w:val="SingleTxt"/>
              <w:suppressAutoHyphens/>
              <w:spacing w:before="80" w:after="80" w:line="160" w:lineRule="exact"/>
              <w:ind w:left="0" w:right="43"/>
              <w:jc w:val="right"/>
              <w:rPr>
                <w:i/>
                <w:iCs/>
                <w:sz w:val="14"/>
                <w:lang w:val="fr-FR"/>
              </w:rPr>
            </w:pPr>
            <w:r w:rsidRPr="000E00B5">
              <w:rPr>
                <w:i/>
                <w:iCs/>
                <w:sz w:val="14"/>
                <w:lang w:val="fr-FR"/>
              </w:rPr>
              <w:t>Realschule</w:t>
            </w:r>
          </w:p>
        </w:tc>
        <w:tc>
          <w:tcPr>
            <w:tcW w:w="1673" w:type="dxa"/>
            <w:tcBorders>
              <w:top w:val="single" w:sz="4" w:space="0" w:color="auto"/>
              <w:bottom w:val="single" w:sz="12" w:space="0" w:color="auto"/>
            </w:tcBorders>
            <w:shd w:val="clear" w:color="auto" w:fill="auto"/>
            <w:vAlign w:val="bottom"/>
          </w:tcPr>
          <w:p w:rsidR="00826E0F" w:rsidRPr="000E00B5" w:rsidRDefault="00826E0F" w:rsidP="00C23BEB">
            <w:pPr>
              <w:pStyle w:val="SingleTxt"/>
              <w:suppressAutoHyphens/>
              <w:spacing w:before="80" w:after="80" w:line="160" w:lineRule="exact"/>
              <w:ind w:left="0" w:right="43"/>
              <w:jc w:val="right"/>
              <w:rPr>
                <w:i/>
                <w:iCs/>
                <w:sz w:val="14"/>
                <w:lang w:val="fr-FR"/>
              </w:rPr>
            </w:pPr>
            <w:r w:rsidRPr="000E00B5">
              <w:rPr>
                <w:i/>
                <w:iCs/>
                <w:sz w:val="14"/>
                <w:lang w:val="fr-FR"/>
              </w:rPr>
              <w:t>Gymnasium</w:t>
            </w:r>
          </w:p>
        </w:tc>
      </w:tr>
      <w:tr w:rsidR="00C23BEB" w:rsidRPr="00C23BEB" w:rsidTr="00C23BEB">
        <w:trPr>
          <w:trHeight w:hRule="exact" w:val="115"/>
          <w:tblHeader/>
          <w:jc w:val="center"/>
        </w:trPr>
        <w:tc>
          <w:tcPr>
            <w:tcW w:w="809" w:type="dxa"/>
            <w:tcBorders>
              <w:top w:val="single" w:sz="12" w:space="0" w:color="auto"/>
            </w:tcBorders>
            <w:shd w:val="clear" w:color="auto" w:fill="auto"/>
            <w:vAlign w:val="bottom"/>
          </w:tcPr>
          <w:p w:rsidR="00C23BEB" w:rsidRPr="00C23BEB" w:rsidRDefault="00C23BEB" w:rsidP="00C23BEB">
            <w:pPr>
              <w:pStyle w:val="SingleTxt"/>
              <w:suppressAutoHyphens/>
              <w:spacing w:before="40" w:after="40" w:line="210" w:lineRule="exact"/>
              <w:ind w:left="0" w:right="43"/>
              <w:rPr>
                <w:b/>
                <w:sz w:val="17"/>
                <w:lang w:val="fr-FR"/>
              </w:rPr>
            </w:pPr>
          </w:p>
        </w:tc>
        <w:tc>
          <w:tcPr>
            <w:tcW w:w="1493" w:type="dxa"/>
            <w:tcBorders>
              <w:top w:val="single" w:sz="12" w:space="0" w:color="auto"/>
            </w:tcBorders>
            <w:shd w:val="clear" w:color="auto" w:fill="auto"/>
            <w:vAlign w:val="bottom"/>
          </w:tcPr>
          <w:p w:rsidR="00C23BEB" w:rsidRPr="00C23BEB" w:rsidRDefault="00C23BEB" w:rsidP="00C23BEB">
            <w:pPr>
              <w:pStyle w:val="SingleTxt"/>
              <w:suppressAutoHyphens/>
              <w:spacing w:before="40" w:after="40" w:line="210" w:lineRule="exact"/>
              <w:ind w:left="0" w:right="43"/>
              <w:jc w:val="right"/>
              <w:rPr>
                <w:b/>
                <w:sz w:val="17"/>
                <w:lang w:val="fr-FR"/>
              </w:rPr>
            </w:pPr>
          </w:p>
        </w:tc>
        <w:tc>
          <w:tcPr>
            <w:tcW w:w="1673" w:type="dxa"/>
            <w:tcBorders>
              <w:top w:val="single" w:sz="12" w:space="0" w:color="auto"/>
            </w:tcBorders>
            <w:shd w:val="clear" w:color="auto" w:fill="auto"/>
            <w:vAlign w:val="bottom"/>
          </w:tcPr>
          <w:p w:rsidR="00C23BEB" w:rsidRPr="00C23BEB" w:rsidRDefault="00C23BEB" w:rsidP="00C23BEB">
            <w:pPr>
              <w:pStyle w:val="SingleTxt"/>
              <w:suppressAutoHyphens/>
              <w:spacing w:before="40" w:after="40" w:line="210" w:lineRule="exact"/>
              <w:ind w:left="0" w:right="43"/>
              <w:jc w:val="right"/>
              <w:rPr>
                <w:b/>
                <w:sz w:val="17"/>
                <w:lang w:val="fr-FR"/>
              </w:rPr>
            </w:pPr>
          </w:p>
        </w:tc>
        <w:tc>
          <w:tcPr>
            <w:tcW w:w="1673" w:type="dxa"/>
            <w:tcBorders>
              <w:top w:val="single" w:sz="12" w:space="0" w:color="auto"/>
            </w:tcBorders>
            <w:shd w:val="clear" w:color="auto" w:fill="auto"/>
            <w:vAlign w:val="bottom"/>
          </w:tcPr>
          <w:p w:rsidR="00C23BEB" w:rsidRPr="00C23BEB" w:rsidRDefault="00C23BEB" w:rsidP="00C23BEB">
            <w:pPr>
              <w:pStyle w:val="SingleTxt"/>
              <w:suppressAutoHyphens/>
              <w:spacing w:before="40" w:after="40" w:line="210" w:lineRule="exact"/>
              <w:ind w:left="0" w:right="43"/>
              <w:jc w:val="right"/>
              <w:rPr>
                <w:b/>
                <w:sz w:val="17"/>
                <w:lang w:val="fr-FR"/>
              </w:rPr>
            </w:pPr>
          </w:p>
        </w:tc>
        <w:tc>
          <w:tcPr>
            <w:tcW w:w="1673" w:type="dxa"/>
            <w:tcBorders>
              <w:top w:val="single" w:sz="12" w:space="0" w:color="auto"/>
            </w:tcBorders>
            <w:shd w:val="clear" w:color="auto" w:fill="auto"/>
            <w:vAlign w:val="bottom"/>
          </w:tcPr>
          <w:p w:rsidR="00C23BEB" w:rsidRPr="00C23BEB" w:rsidRDefault="00C23BEB" w:rsidP="00C23BEB">
            <w:pPr>
              <w:pStyle w:val="SingleTxt"/>
              <w:suppressAutoHyphens/>
              <w:spacing w:before="40" w:after="40" w:line="210" w:lineRule="exact"/>
              <w:ind w:left="0" w:right="43"/>
              <w:jc w:val="right"/>
              <w:rPr>
                <w:b/>
                <w:sz w:val="17"/>
                <w:lang w:val="fr-FR"/>
              </w:rPr>
            </w:pPr>
          </w:p>
        </w:tc>
      </w:tr>
      <w:tr w:rsidR="00826E0F" w:rsidRPr="00C23BEB" w:rsidTr="00C23BEB">
        <w:trPr>
          <w:trHeight w:val="255"/>
          <w:jc w:val="center"/>
        </w:trPr>
        <w:tc>
          <w:tcPr>
            <w:tcW w:w="809" w:type="dxa"/>
            <w:shd w:val="clear" w:color="auto" w:fill="auto"/>
            <w:vAlign w:val="bottom"/>
          </w:tcPr>
          <w:p w:rsidR="00826E0F" w:rsidRPr="00C23BEB" w:rsidRDefault="00826E0F" w:rsidP="00C23BEB">
            <w:pPr>
              <w:pStyle w:val="SingleTxt"/>
              <w:tabs>
                <w:tab w:val="left" w:pos="288"/>
                <w:tab w:val="left" w:pos="576"/>
                <w:tab w:val="left" w:pos="864"/>
                <w:tab w:val="left" w:pos="1152"/>
              </w:tabs>
              <w:suppressAutoHyphens/>
              <w:spacing w:before="40" w:after="40" w:line="210" w:lineRule="exact"/>
              <w:ind w:left="0" w:right="43"/>
              <w:rPr>
                <w:sz w:val="17"/>
                <w:lang w:val="fr-FR"/>
              </w:rPr>
            </w:pPr>
            <w:r w:rsidRPr="00C23BEB">
              <w:rPr>
                <w:sz w:val="17"/>
                <w:lang w:val="fr-FR"/>
              </w:rPr>
              <w:t>1975</w:t>
            </w:r>
          </w:p>
        </w:tc>
        <w:tc>
          <w:tcPr>
            <w:tcW w:w="1493" w:type="dxa"/>
            <w:shd w:val="clear" w:color="auto" w:fill="auto"/>
            <w:vAlign w:val="bottom"/>
          </w:tcPr>
          <w:p w:rsidR="00826E0F" w:rsidRPr="00C23BEB" w:rsidRDefault="00826E0F" w:rsidP="00C23BEB">
            <w:pPr>
              <w:pStyle w:val="SingleTxt"/>
              <w:tabs>
                <w:tab w:val="left" w:pos="288"/>
                <w:tab w:val="left" w:pos="576"/>
                <w:tab w:val="left" w:pos="864"/>
                <w:tab w:val="left" w:pos="1152"/>
              </w:tabs>
              <w:suppressAutoHyphens/>
              <w:spacing w:before="40" w:after="40" w:line="210" w:lineRule="exact"/>
              <w:ind w:left="0" w:right="43"/>
              <w:jc w:val="right"/>
              <w:rPr>
                <w:sz w:val="17"/>
                <w:lang w:val="fr-FR"/>
              </w:rPr>
            </w:pPr>
            <w:r w:rsidRPr="00C23BEB">
              <w:rPr>
                <w:sz w:val="17"/>
                <w:lang w:val="fr-FR"/>
              </w:rPr>
              <w:t>50</w:t>
            </w:r>
            <w:r w:rsidR="006645B6">
              <w:rPr>
                <w:sz w:val="17"/>
                <w:lang w:val="fr-FR"/>
              </w:rPr>
              <w:t xml:space="preserve"> %</w:t>
            </w:r>
          </w:p>
        </w:tc>
        <w:tc>
          <w:tcPr>
            <w:tcW w:w="1673" w:type="dxa"/>
            <w:shd w:val="clear" w:color="auto" w:fill="auto"/>
            <w:vAlign w:val="bottom"/>
          </w:tcPr>
          <w:p w:rsidR="00826E0F" w:rsidRPr="00C23BEB" w:rsidRDefault="00826E0F" w:rsidP="00C23BEB">
            <w:pPr>
              <w:pStyle w:val="SingleTxt"/>
              <w:tabs>
                <w:tab w:val="left" w:pos="288"/>
                <w:tab w:val="left" w:pos="576"/>
                <w:tab w:val="left" w:pos="864"/>
                <w:tab w:val="left" w:pos="1152"/>
              </w:tabs>
              <w:suppressAutoHyphens/>
              <w:spacing w:before="40" w:after="40" w:line="210" w:lineRule="exact"/>
              <w:ind w:left="0" w:right="43"/>
              <w:jc w:val="right"/>
              <w:rPr>
                <w:sz w:val="17"/>
                <w:lang w:val="fr-FR"/>
              </w:rPr>
            </w:pPr>
            <w:r w:rsidRPr="00C23BEB">
              <w:rPr>
                <w:sz w:val="17"/>
                <w:lang w:val="fr-FR"/>
              </w:rPr>
              <w:t>46</w:t>
            </w:r>
            <w:r w:rsidR="006645B6">
              <w:rPr>
                <w:sz w:val="17"/>
                <w:lang w:val="fr-FR"/>
              </w:rPr>
              <w:t xml:space="preserve"> %</w:t>
            </w:r>
          </w:p>
        </w:tc>
        <w:tc>
          <w:tcPr>
            <w:tcW w:w="1673" w:type="dxa"/>
            <w:shd w:val="clear" w:color="auto" w:fill="auto"/>
            <w:vAlign w:val="bottom"/>
          </w:tcPr>
          <w:p w:rsidR="00826E0F" w:rsidRPr="00C23BEB" w:rsidRDefault="00826E0F" w:rsidP="00C23BEB">
            <w:pPr>
              <w:pStyle w:val="SingleTxt"/>
              <w:tabs>
                <w:tab w:val="left" w:pos="288"/>
                <w:tab w:val="left" w:pos="576"/>
                <w:tab w:val="left" w:pos="864"/>
                <w:tab w:val="left" w:pos="1152"/>
              </w:tabs>
              <w:suppressAutoHyphens/>
              <w:spacing w:before="40" w:after="40" w:line="210" w:lineRule="exact"/>
              <w:ind w:left="0" w:right="43"/>
              <w:jc w:val="right"/>
              <w:rPr>
                <w:sz w:val="17"/>
                <w:lang w:val="fr-FR"/>
              </w:rPr>
            </w:pPr>
            <w:r w:rsidRPr="00C23BEB">
              <w:rPr>
                <w:sz w:val="17"/>
                <w:lang w:val="fr-FR"/>
              </w:rPr>
              <w:t>58</w:t>
            </w:r>
            <w:r w:rsidR="006645B6">
              <w:rPr>
                <w:sz w:val="17"/>
                <w:lang w:val="fr-FR"/>
              </w:rPr>
              <w:t xml:space="preserve"> %</w:t>
            </w:r>
          </w:p>
        </w:tc>
        <w:tc>
          <w:tcPr>
            <w:tcW w:w="1673" w:type="dxa"/>
            <w:shd w:val="clear" w:color="auto" w:fill="auto"/>
            <w:vAlign w:val="bottom"/>
          </w:tcPr>
          <w:p w:rsidR="00826E0F" w:rsidRPr="00C23BEB" w:rsidRDefault="00826E0F" w:rsidP="00C23BEB">
            <w:pPr>
              <w:pStyle w:val="SingleTxt"/>
              <w:tabs>
                <w:tab w:val="left" w:pos="288"/>
                <w:tab w:val="left" w:pos="576"/>
                <w:tab w:val="left" w:pos="864"/>
                <w:tab w:val="left" w:pos="1152"/>
              </w:tabs>
              <w:suppressAutoHyphens/>
              <w:spacing w:before="40" w:after="40" w:line="210" w:lineRule="exact"/>
              <w:ind w:left="0" w:right="43"/>
              <w:jc w:val="right"/>
              <w:rPr>
                <w:sz w:val="17"/>
                <w:lang w:val="fr-FR"/>
              </w:rPr>
            </w:pPr>
            <w:r w:rsidRPr="00C23BEB">
              <w:rPr>
                <w:sz w:val="17"/>
                <w:lang w:val="fr-FR"/>
              </w:rPr>
              <w:t>33</w:t>
            </w:r>
            <w:r w:rsidR="006645B6">
              <w:rPr>
                <w:sz w:val="17"/>
                <w:lang w:val="fr-FR"/>
              </w:rPr>
              <w:t xml:space="preserve"> %</w:t>
            </w:r>
          </w:p>
        </w:tc>
      </w:tr>
      <w:tr w:rsidR="00826E0F" w:rsidRPr="00C23BEB" w:rsidTr="00C23BEB">
        <w:trPr>
          <w:trHeight w:val="255"/>
          <w:jc w:val="center"/>
        </w:trPr>
        <w:tc>
          <w:tcPr>
            <w:tcW w:w="809" w:type="dxa"/>
            <w:shd w:val="clear" w:color="auto" w:fill="auto"/>
            <w:vAlign w:val="bottom"/>
          </w:tcPr>
          <w:p w:rsidR="00826E0F" w:rsidRPr="00C23BEB" w:rsidRDefault="00826E0F" w:rsidP="00C23BEB">
            <w:pPr>
              <w:pStyle w:val="SingleTxt"/>
              <w:tabs>
                <w:tab w:val="left" w:pos="288"/>
                <w:tab w:val="left" w:pos="576"/>
                <w:tab w:val="left" w:pos="864"/>
                <w:tab w:val="left" w:pos="1152"/>
              </w:tabs>
              <w:suppressAutoHyphens/>
              <w:spacing w:before="40" w:after="40" w:line="210" w:lineRule="exact"/>
              <w:ind w:left="0" w:right="43"/>
              <w:rPr>
                <w:sz w:val="17"/>
                <w:lang w:val="fr-FR"/>
              </w:rPr>
            </w:pPr>
            <w:r w:rsidRPr="00C23BEB">
              <w:rPr>
                <w:sz w:val="17"/>
                <w:lang w:val="fr-FR"/>
              </w:rPr>
              <w:t>1980</w:t>
            </w:r>
          </w:p>
        </w:tc>
        <w:tc>
          <w:tcPr>
            <w:tcW w:w="1493" w:type="dxa"/>
            <w:shd w:val="clear" w:color="auto" w:fill="auto"/>
            <w:vAlign w:val="bottom"/>
          </w:tcPr>
          <w:p w:rsidR="00826E0F" w:rsidRPr="00C23BEB" w:rsidRDefault="00826E0F" w:rsidP="00C23BEB">
            <w:pPr>
              <w:pStyle w:val="SingleTxt"/>
              <w:tabs>
                <w:tab w:val="left" w:pos="288"/>
                <w:tab w:val="left" w:pos="576"/>
                <w:tab w:val="left" w:pos="864"/>
                <w:tab w:val="left" w:pos="1152"/>
              </w:tabs>
              <w:suppressAutoHyphens/>
              <w:spacing w:before="40" w:after="40" w:line="210" w:lineRule="exact"/>
              <w:ind w:left="0" w:right="43"/>
              <w:jc w:val="right"/>
              <w:rPr>
                <w:sz w:val="17"/>
                <w:lang w:val="fr-FR"/>
              </w:rPr>
            </w:pPr>
            <w:r w:rsidRPr="00C23BEB">
              <w:rPr>
                <w:sz w:val="17"/>
                <w:lang w:val="fr-FR"/>
              </w:rPr>
              <w:t>61</w:t>
            </w:r>
            <w:r w:rsidR="006645B6">
              <w:rPr>
                <w:sz w:val="17"/>
                <w:lang w:val="fr-FR"/>
              </w:rPr>
              <w:t xml:space="preserve"> %</w:t>
            </w:r>
          </w:p>
        </w:tc>
        <w:tc>
          <w:tcPr>
            <w:tcW w:w="1673" w:type="dxa"/>
            <w:shd w:val="clear" w:color="auto" w:fill="auto"/>
            <w:vAlign w:val="bottom"/>
          </w:tcPr>
          <w:p w:rsidR="00826E0F" w:rsidRPr="00C23BEB" w:rsidRDefault="00826E0F" w:rsidP="00C23BEB">
            <w:pPr>
              <w:pStyle w:val="SingleTxt"/>
              <w:tabs>
                <w:tab w:val="left" w:pos="288"/>
                <w:tab w:val="left" w:pos="576"/>
                <w:tab w:val="left" w:pos="864"/>
                <w:tab w:val="left" w:pos="1152"/>
              </w:tabs>
              <w:suppressAutoHyphens/>
              <w:spacing w:before="40" w:after="40" w:line="210" w:lineRule="exact"/>
              <w:ind w:left="0" w:right="43"/>
              <w:jc w:val="right"/>
              <w:rPr>
                <w:sz w:val="17"/>
                <w:lang w:val="fr-FR"/>
              </w:rPr>
            </w:pPr>
            <w:r w:rsidRPr="00C23BEB">
              <w:rPr>
                <w:sz w:val="17"/>
                <w:lang w:val="fr-FR"/>
              </w:rPr>
              <w:t>48</w:t>
            </w:r>
            <w:r w:rsidR="006645B6">
              <w:rPr>
                <w:sz w:val="17"/>
                <w:lang w:val="fr-FR"/>
              </w:rPr>
              <w:t xml:space="preserve"> %</w:t>
            </w:r>
          </w:p>
        </w:tc>
        <w:tc>
          <w:tcPr>
            <w:tcW w:w="1673" w:type="dxa"/>
            <w:shd w:val="clear" w:color="auto" w:fill="auto"/>
            <w:vAlign w:val="bottom"/>
          </w:tcPr>
          <w:p w:rsidR="00826E0F" w:rsidRPr="00C23BEB" w:rsidRDefault="00826E0F" w:rsidP="00C23BEB">
            <w:pPr>
              <w:pStyle w:val="SingleTxt"/>
              <w:tabs>
                <w:tab w:val="left" w:pos="288"/>
                <w:tab w:val="left" w:pos="576"/>
                <w:tab w:val="left" w:pos="864"/>
                <w:tab w:val="left" w:pos="1152"/>
              </w:tabs>
              <w:suppressAutoHyphens/>
              <w:spacing w:before="40" w:after="40" w:line="210" w:lineRule="exact"/>
              <w:ind w:left="0" w:right="43"/>
              <w:jc w:val="right"/>
              <w:rPr>
                <w:sz w:val="17"/>
                <w:lang w:val="fr-FR"/>
              </w:rPr>
            </w:pPr>
            <w:r w:rsidRPr="00C23BEB">
              <w:rPr>
                <w:sz w:val="17"/>
                <w:lang w:val="fr-FR"/>
              </w:rPr>
              <w:t>46</w:t>
            </w:r>
            <w:r w:rsidR="006645B6">
              <w:rPr>
                <w:sz w:val="17"/>
                <w:lang w:val="fr-FR"/>
              </w:rPr>
              <w:t xml:space="preserve"> %</w:t>
            </w:r>
          </w:p>
        </w:tc>
        <w:tc>
          <w:tcPr>
            <w:tcW w:w="1673" w:type="dxa"/>
            <w:shd w:val="clear" w:color="auto" w:fill="auto"/>
            <w:vAlign w:val="bottom"/>
          </w:tcPr>
          <w:p w:rsidR="00826E0F" w:rsidRPr="00C23BEB" w:rsidRDefault="00826E0F" w:rsidP="00C23BEB">
            <w:pPr>
              <w:pStyle w:val="SingleTxt"/>
              <w:tabs>
                <w:tab w:val="left" w:pos="288"/>
                <w:tab w:val="left" w:pos="576"/>
                <w:tab w:val="left" w:pos="864"/>
                <w:tab w:val="left" w:pos="1152"/>
              </w:tabs>
              <w:suppressAutoHyphens/>
              <w:spacing w:before="40" w:after="40" w:line="210" w:lineRule="exact"/>
              <w:ind w:left="0" w:right="43"/>
              <w:jc w:val="right"/>
              <w:rPr>
                <w:sz w:val="17"/>
                <w:lang w:val="fr-FR"/>
              </w:rPr>
            </w:pPr>
            <w:r w:rsidRPr="00C23BEB">
              <w:rPr>
                <w:sz w:val="17"/>
                <w:lang w:val="fr-FR"/>
              </w:rPr>
              <w:t>42</w:t>
            </w:r>
            <w:r w:rsidR="006645B6">
              <w:rPr>
                <w:sz w:val="17"/>
                <w:lang w:val="fr-FR"/>
              </w:rPr>
              <w:t xml:space="preserve"> %</w:t>
            </w:r>
          </w:p>
        </w:tc>
      </w:tr>
      <w:tr w:rsidR="00826E0F" w:rsidRPr="00C23BEB" w:rsidTr="00C23BEB">
        <w:trPr>
          <w:trHeight w:val="255"/>
          <w:jc w:val="center"/>
        </w:trPr>
        <w:tc>
          <w:tcPr>
            <w:tcW w:w="809" w:type="dxa"/>
            <w:shd w:val="clear" w:color="auto" w:fill="auto"/>
            <w:vAlign w:val="bottom"/>
          </w:tcPr>
          <w:p w:rsidR="00826E0F" w:rsidRPr="00C23BEB" w:rsidRDefault="00826E0F" w:rsidP="00C23BEB">
            <w:pPr>
              <w:pStyle w:val="SingleTxt"/>
              <w:tabs>
                <w:tab w:val="left" w:pos="288"/>
                <w:tab w:val="left" w:pos="576"/>
                <w:tab w:val="left" w:pos="864"/>
                <w:tab w:val="left" w:pos="1152"/>
              </w:tabs>
              <w:suppressAutoHyphens/>
              <w:spacing w:before="40" w:after="40" w:line="210" w:lineRule="exact"/>
              <w:ind w:left="0" w:right="43"/>
              <w:rPr>
                <w:sz w:val="17"/>
                <w:lang w:val="fr-FR"/>
              </w:rPr>
            </w:pPr>
            <w:r w:rsidRPr="00C23BEB">
              <w:rPr>
                <w:sz w:val="17"/>
                <w:lang w:val="fr-FR"/>
              </w:rPr>
              <w:t>1990</w:t>
            </w:r>
          </w:p>
        </w:tc>
        <w:tc>
          <w:tcPr>
            <w:tcW w:w="1493" w:type="dxa"/>
            <w:shd w:val="clear" w:color="auto" w:fill="auto"/>
            <w:vAlign w:val="bottom"/>
          </w:tcPr>
          <w:p w:rsidR="00826E0F" w:rsidRPr="00C23BEB" w:rsidRDefault="00826E0F" w:rsidP="00C23BEB">
            <w:pPr>
              <w:pStyle w:val="SingleTxt"/>
              <w:tabs>
                <w:tab w:val="left" w:pos="288"/>
                <w:tab w:val="left" w:pos="576"/>
                <w:tab w:val="left" w:pos="864"/>
                <w:tab w:val="left" w:pos="1152"/>
              </w:tabs>
              <w:suppressAutoHyphens/>
              <w:spacing w:before="40" w:after="40" w:line="210" w:lineRule="exact"/>
              <w:ind w:left="0" w:right="43"/>
              <w:jc w:val="right"/>
              <w:rPr>
                <w:sz w:val="17"/>
                <w:lang w:val="fr-FR"/>
              </w:rPr>
            </w:pPr>
            <w:r w:rsidRPr="00C23BEB">
              <w:rPr>
                <w:sz w:val="17"/>
                <w:lang w:val="fr-FR"/>
              </w:rPr>
              <w:t>63</w:t>
            </w:r>
            <w:r w:rsidR="006645B6">
              <w:rPr>
                <w:sz w:val="17"/>
                <w:lang w:val="fr-FR"/>
              </w:rPr>
              <w:t xml:space="preserve"> %</w:t>
            </w:r>
          </w:p>
        </w:tc>
        <w:tc>
          <w:tcPr>
            <w:tcW w:w="1673" w:type="dxa"/>
            <w:shd w:val="clear" w:color="auto" w:fill="auto"/>
            <w:vAlign w:val="bottom"/>
          </w:tcPr>
          <w:p w:rsidR="00826E0F" w:rsidRPr="00C23BEB" w:rsidRDefault="00826E0F" w:rsidP="00C23BEB">
            <w:pPr>
              <w:pStyle w:val="SingleTxt"/>
              <w:tabs>
                <w:tab w:val="left" w:pos="288"/>
                <w:tab w:val="left" w:pos="576"/>
                <w:tab w:val="left" w:pos="864"/>
                <w:tab w:val="left" w:pos="1152"/>
              </w:tabs>
              <w:suppressAutoHyphens/>
              <w:spacing w:before="40" w:after="40" w:line="210" w:lineRule="exact"/>
              <w:ind w:left="0" w:right="43"/>
              <w:jc w:val="right"/>
              <w:rPr>
                <w:sz w:val="17"/>
                <w:lang w:val="fr-FR"/>
              </w:rPr>
            </w:pPr>
            <w:r w:rsidRPr="00C23BEB">
              <w:rPr>
                <w:sz w:val="17"/>
                <w:lang w:val="fr-FR"/>
              </w:rPr>
              <w:t>48</w:t>
            </w:r>
            <w:r w:rsidR="006645B6">
              <w:rPr>
                <w:sz w:val="17"/>
                <w:lang w:val="fr-FR"/>
              </w:rPr>
              <w:t xml:space="preserve"> %</w:t>
            </w:r>
          </w:p>
        </w:tc>
        <w:tc>
          <w:tcPr>
            <w:tcW w:w="1673" w:type="dxa"/>
            <w:shd w:val="clear" w:color="auto" w:fill="auto"/>
            <w:vAlign w:val="bottom"/>
          </w:tcPr>
          <w:p w:rsidR="00826E0F" w:rsidRPr="00C23BEB" w:rsidRDefault="00826E0F" w:rsidP="00C23BEB">
            <w:pPr>
              <w:pStyle w:val="SingleTxt"/>
              <w:tabs>
                <w:tab w:val="left" w:pos="288"/>
                <w:tab w:val="left" w:pos="576"/>
                <w:tab w:val="left" w:pos="864"/>
                <w:tab w:val="left" w:pos="1152"/>
              </w:tabs>
              <w:suppressAutoHyphens/>
              <w:spacing w:before="40" w:after="40" w:line="210" w:lineRule="exact"/>
              <w:ind w:left="0" w:right="43"/>
              <w:jc w:val="right"/>
              <w:rPr>
                <w:sz w:val="17"/>
                <w:lang w:val="fr-FR"/>
              </w:rPr>
            </w:pPr>
            <w:r w:rsidRPr="00C23BEB">
              <w:rPr>
                <w:sz w:val="17"/>
                <w:lang w:val="fr-FR"/>
              </w:rPr>
              <w:t>45</w:t>
            </w:r>
            <w:r w:rsidR="006645B6">
              <w:rPr>
                <w:sz w:val="17"/>
                <w:lang w:val="fr-FR"/>
              </w:rPr>
              <w:t xml:space="preserve"> %</w:t>
            </w:r>
          </w:p>
        </w:tc>
        <w:tc>
          <w:tcPr>
            <w:tcW w:w="1673" w:type="dxa"/>
            <w:shd w:val="clear" w:color="auto" w:fill="auto"/>
            <w:vAlign w:val="bottom"/>
          </w:tcPr>
          <w:p w:rsidR="00826E0F" w:rsidRPr="00C23BEB" w:rsidRDefault="00826E0F" w:rsidP="00C23BEB">
            <w:pPr>
              <w:pStyle w:val="SingleTxt"/>
              <w:tabs>
                <w:tab w:val="left" w:pos="288"/>
                <w:tab w:val="left" w:pos="576"/>
                <w:tab w:val="left" w:pos="864"/>
                <w:tab w:val="left" w:pos="1152"/>
              </w:tabs>
              <w:suppressAutoHyphens/>
              <w:spacing w:before="40" w:after="40" w:line="210" w:lineRule="exact"/>
              <w:ind w:left="0" w:right="43"/>
              <w:jc w:val="right"/>
              <w:rPr>
                <w:sz w:val="17"/>
                <w:lang w:val="fr-FR"/>
              </w:rPr>
            </w:pPr>
            <w:r w:rsidRPr="00C23BEB">
              <w:rPr>
                <w:sz w:val="17"/>
                <w:lang w:val="fr-FR"/>
              </w:rPr>
              <w:t>47</w:t>
            </w:r>
            <w:r w:rsidR="006645B6">
              <w:rPr>
                <w:sz w:val="17"/>
                <w:lang w:val="fr-FR"/>
              </w:rPr>
              <w:t xml:space="preserve"> %</w:t>
            </w:r>
          </w:p>
        </w:tc>
      </w:tr>
      <w:tr w:rsidR="00826E0F" w:rsidRPr="00C23BEB" w:rsidTr="00C23BEB">
        <w:trPr>
          <w:trHeight w:val="255"/>
          <w:jc w:val="center"/>
        </w:trPr>
        <w:tc>
          <w:tcPr>
            <w:tcW w:w="809" w:type="dxa"/>
            <w:shd w:val="clear" w:color="auto" w:fill="auto"/>
            <w:vAlign w:val="bottom"/>
          </w:tcPr>
          <w:p w:rsidR="00826E0F" w:rsidRPr="00C23BEB" w:rsidRDefault="00826E0F" w:rsidP="00C23BEB">
            <w:pPr>
              <w:pStyle w:val="SingleTxt"/>
              <w:tabs>
                <w:tab w:val="left" w:pos="288"/>
                <w:tab w:val="left" w:pos="576"/>
                <w:tab w:val="left" w:pos="864"/>
                <w:tab w:val="left" w:pos="1152"/>
              </w:tabs>
              <w:suppressAutoHyphens/>
              <w:spacing w:before="40" w:after="40" w:line="210" w:lineRule="exact"/>
              <w:ind w:left="0" w:right="43"/>
              <w:rPr>
                <w:sz w:val="17"/>
                <w:lang w:val="fr-FR"/>
              </w:rPr>
            </w:pPr>
            <w:r w:rsidRPr="00C23BEB">
              <w:rPr>
                <w:sz w:val="17"/>
                <w:lang w:val="fr-FR"/>
              </w:rPr>
              <w:t>2000</w:t>
            </w:r>
          </w:p>
        </w:tc>
        <w:tc>
          <w:tcPr>
            <w:tcW w:w="1493" w:type="dxa"/>
            <w:shd w:val="clear" w:color="auto" w:fill="auto"/>
            <w:vAlign w:val="bottom"/>
          </w:tcPr>
          <w:p w:rsidR="00826E0F" w:rsidRPr="00C23BEB" w:rsidRDefault="00826E0F" w:rsidP="00C23BEB">
            <w:pPr>
              <w:pStyle w:val="SingleTxt"/>
              <w:tabs>
                <w:tab w:val="left" w:pos="288"/>
                <w:tab w:val="left" w:pos="576"/>
                <w:tab w:val="left" w:pos="864"/>
                <w:tab w:val="left" w:pos="1152"/>
              </w:tabs>
              <w:suppressAutoHyphens/>
              <w:spacing w:before="40" w:after="40" w:line="210" w:lineRule="exact"/>
              <w:ind w:left="0" w:right="43"/>
              <w:jc w:val="right"/>
              <w:rPr>
                <w:sz w:val="17"/>
                <w:lang w:val="fr-FR"/>
              </w:rPr>
            </w:pPr>
            <w:r w:rsidRPr="00C23BEB">
              <w:rPr>
                <w:sz w:val="17"/>
                <w:lang w:val="fr-FR"/>
              </w:rPr>
              <w:t>57</w:t>
            </w:r>
            <w:r w:rsidR="006645B6">
              <w:rPr>
                <w:sz w:val="17"/>
                <w:lang w:val="fr-FR"/>
              </w:rPr>
              <w:t xml:space="preserve"> %</w:t>
            </w:r>
          </w:p>
        </w:tc>
        <w:tc>
          <w:tcPr>
            <w:tcW w:w="1673" w:type="dxa"/>
            <w:shd w:val="clear" w:color="auto" w:fill="auto"/>
            <w:vAlign w:val="bottom"/>
          </w:tcPr>
          <w:p w:rsidR="00826E0F" w:rsidRPr="00C23BEB" w:rsidRDefault="00826E0F" w:rsidP="00C23BEB">
            <w:pPr>
              <w:pStyle w:val="SingleTxt"/>
              <w:tabs>
                <w:tab w:val="left" w:pos="288"/>
                <w:tab w:val="left" w:pos="576"/>
                <w:tab w:val="left" w:pos="864"/>
                <w:tab w:val="left" w:pos="1152"/>
              </w:tabs>
              <w:suppressAutoHyphens/>
              <w:spacing w:before="40" w:after="40" w:line="210" w:lineRule="exact"/>
              <w:ind w:left="0" w:right="43"/>
              <w:jc w:val="right"/>
              <w:rPr>
                <w:sz w:val="17"/>
                <w:lang w:val="fr-FR"/>
              </w:rPr>
            </w:pPr>
            <w:r w:rsidRPr="00C23BEB">
              <w:rPr>
                <w:sz w:val="17"/>
                <w:lang w:val="fr-FR"/>
              </w:rPr>
              <w:t>48</w:t>
            </w:r>
            <w:r w:rsidR="006645B6">
              <w:rPr>
                <w:sz w:val="17"/>
                <w:lang w:val="fr-FR"/>
              </w:rPr>
              <w:t xml:space="preserve"> %</w:t>
            </w:r>
          </w:p>
        </w:tc>
        <w:tc>
          <w:tcPr>
            <w:tcW w:w="1673" w:type="dxa"/>
            <w:shd w:val="clear" w:color="auto" w:fill="auto"/>
            <w:vAlign w:val="bottom"/>
          </w:tcPr>
          <w:p w:rsidR="00826E0F" w:rsidRPr="00C23BEB" w:rsidRDefault="00826E0F" w:rsidP="00C23BEB">
            <w:pPr>
              <w:pStyle w:val="SingleTxt"/>
              <w:tabs>
                <w:tab w:val="left" w:pos="288"/>
                <w:tab w:val="left" w:pos="576"/>
                <w:tab w:val="left" w:pos="864"/>
                <w:tab w:val="left" w:pos="1152"/>
              </w:tabs>
              <w:suppressAutoHyphens/>
              <w:spacing w:before="40" w:after="40" w:line="210" w:lineRule="exact"/>
              <w:ind w:left="0" w:right="43"/>
              <w:jc w:val="right"/>
              <w:rPr>
                <w:sz w:val="17"/>
                <w:lang w:val="fr-FR"/>
              </w:rPr>
            </w:pPr>
            <w:r w:rsidRPr="00C23BEB">
              <w:rPr>
                <w:sz w:val="17"/>
                <w:lang w:val="fr-FR"/>
              </w:rPr>
              <w:t>50</w:t>
            </w:r>
            <w:r w:rsidR="006645B6">
              <w:rPr>
                <w:sz w:val="17"/>
                <w:lang w:val="fr-FR"/>
              </w:rPr>
              <w:t xml:space="preserve"> %</w:t>
            </w:r>
          </w:p>
        </w:tc>
        <w:tc>
          <w:tcPr>
            <w:tcW w:w="1673" w:type="dxa"/>
            <w:shd w:val="clear" w:color="auto" w:fill="auto"/>
            <w:vAlign w:val="bottom"/>
          </w:tcPr>
          <w:p w:rsidR="00826E0F" w:rsidRPr="00C23BEB" w:rsidRDefault="00826E0F" w:rsidP="00C23BEB">
            <w:pPr>
              <w:pStyle w:val="SingleTxt"/>
              <w:tabs>
                <w:tab w:val="left" w:pos="288"/>
                <w:tab w:val="left" w:pos="576"/>
                <w:tab w:val="left" w:pos="864"/>
                <w:tab w:val="left" w:pos="1152"/>
              </w:tabs>
              <w:suppressAutoHyphens/>
              <w:spacing w:before="40" w:after="40" w:line="210" w:lineRule="exact"/>
              <w:ind w:left="0" w:right="43"/>
              <w:jc w:val="right"/>
              <w:rPr>
                <w:sz w:val="17"/>
                <w:lang w:val="fr-FR"/>
              </w:rPr>
            </w:pPr>
            <w:r w:rsidRPr="00C23BEB">
              <w:rPr>
                <w:sz w:val="17"/>
                <w:lang w:val="fr-FR"/>
              </w:rPr>
              <w:t>49</w:t>
            </w:r>
            <w:r w:rsidR="006645B6">
              <w:rPr>
                <w:sz w:val="17"/>
                <w:lang w:val="fr-FR"/>
              </w:rPr>
              <w:t xml:space="preserve"> %</w:t>
            </w:r>
          </w:p>
        </w:tc>
      </w:tr>
      <w:tr w:rsidR="00826E0F" w:rsidRPr="00C23BEB" w:rsidTr="00C23BEB">
        <w:trPr>
          <w:trHeight w:val="255"/>
          <w:jc w:val="center"/>
        </w:trPr>
        <w:tc>
          <w:tcPr>
            <w:tcW w:w="809" w:type="dxa"/>
            <w:shd w:val="clear" w:color="auto" w:fill="auto"/>
            <w:vAlign w:val="bottom"/>
          </w:tcPr>
          <w:p w:rsidR="00826E0F" w:rsidRPr="00C23BEB" w:rsidRDefault="00826E0F" w:rsidP="00C23BEB">
            <w:pPr>
              <w:pStyle w:val="SingleTxt"/>
              <w:tabs>
                <w:tab w:val="left" w:pos="288"/>
                <w:tab w:val="left" w:pos="576"/>
                <w:tab w:val="left" w:pos="864"/>
                <w:tab w:val="left" w:pos="1152"/>
              </w:tabs>
              <w:suppressAutoHyphens/>
              <w:spacing w:before="40" w:after="40" w:line="210" w:lineRule="exact"/>
              <w:ind w:left="0" w:right="43"/>
              <w:rPr>
                <w:sz w:val="17"/>
                <w:lang w:val="fr-FR"/>
              </w:rPr>
            </w:pPr>
            <w:r w:rsidRPr="00C23BEB">
              <w:rPr>
                <w:sz w:val="17"/>
                <w:lang w:val="fr-FR"/>
              </w:rPr>
              <w:t>2005</w:t>
            </w:r>
          </w:p>
        </w:tc>
        <w:tc>
          <w:tcPr>
            <w:tcW w:w="1493" w:type="dxa"/>
            <w:shd w:val="clear" w:color="auto" w:fill="auto"/>
            <w:vAlign w:val="bottom"/>
          </w:tcPr>
          <w:p w:rsidR="00826E0F" w:rsidRPr="00C23BEB" w:rsidRDefault="00826E0F" w:rsidP="00C23BEB">
            <w:pPr>
              <w:pStyle w:val="SingleTxt"/>
              <w:tabs>
                <w:tab w:val="left" w:pos="288"/>
                <w:tab w:val="left" w:pos="576"/>
                <w:tab w:val="left" w:pos="864"/>
                <w:tab w:val="left" w:pos="1152"/>
              </w:tabs>
              <w:suppressAutoHyphens/>
              <w:spacing w:before="40" w:after="40" w:line="210" w:lineRule="exact"/>
              <w:ind w:left="0" w:right="43"/>
              <w:jc w:val="right"/>
              <w:rPr>
                <w:sz w:val="17"/>
                <w:lang w:val="fr-FR"/>
              </w:rPr>
            </w:pPr>
            <w:r w:rsidRPr="00C23BEB">
              <w:rPr>
                <w:sz w:val="17"/>
                <w:lang w:val="fr-FR"/>
              </w:rPr>
              <w:t>50</w:t>
            </w:r>
            <w:r w:rsidR="006645B6">
              <w:rPr>
                <w:sz w:val="17"/>
                <w:lang w:val="fr-FR"/>
              </w:rPr>
              <w:t xml:space="preserve"> %</w:t>
            </w:r>
          </w:p>
        </w:tc>
        <w:tc>
          <w:tcPr>
            <w:tcW w:w="1673" w:type="dxa"/>
            <w:shd w:val="clear" w:color="auto" w:fill="auto"/>
            <w:vAlign w:val="bottom"/>
          </w:tcPr>
          <w:p w:rsidR="00826E0F" w:rsidRPr="00C23BEB" w:rsidRDefault="00826E0F" w:rsidP="00C23BEB">
            <w:pPr>
              <w:pStyle w:val="SingleTxt"/>
              <w:tabs>
                <w:tab w:val="left" w:pos="288"/>
                <w:tab w:val="left" w:pos="576"/>
                <w:tab w:val="left" w:pos="864"/>
                <w:tab w:val="left" w:pos="1152"/>
              </w:tabs>
              <w:suppressAutoHyphens/>
              <w:spacing w:before="40" w:after="40" w:line="210" w:lineRule="exact"/>
              <w:ind w:left="0" w:right="43"/>
              <w:jc w:val="right"/>
              <w:rPr>
                <w:sz w:val="17"/>
                <w:lang w:val="fr-FR"/>
              </w:rPr>
            </w:pPr>
            <w:r w:rsidRPr="00C23BEB">
              <w:rPr>
                <w:sz w:val="17"/>
                <w:lang w:val="fr-FR"/>
              </w:rPr>
              <w:t>44</w:t>
            </w:r>
            <w:r w:rsidR="006645B6">
              <w:rPr>
                <w:sz w:val="17"/>
                <w:lang w:val="fr-FR"/>
              </w:rPr>
              <w:t xml:space="preserve"> %</w:t>
            </w:r>
          </w:p>
        </w:tc>
        <w:tc>
          <w:tcPr>
            <w:tcW w:w="1673" w:type="dxa"/>
            <w:shd w:val="clear" w:color="auto" w:fill="auto"/>
            <w:vAlign w:val="bottom"/>
          </w:tcPr>
          <w:p w:rsidR="00826E0F" w:rsidRPr="00C23BEB" w:rsidRDefault="00826E0F" w:rsidP="00C23BEB">
            <w:pPr>
              <w:pStyle w:val="SingleTxt"/>
              <w:tabs>
                <w:tab w:val="left" w:pos="288"/>
                <w:tab w:val="left" w:pos="576"/>
                <w:tab w:val="left" w:pos="864"/>
                <w:tab w:val="left" w:pos="1152"/>
              </w:tabs>
              <w:suppressAutoHyphens/>
              <w:spacing w:before="40" w:after="40" w:line="210" w:lineRule="exact"/>
              <w:ind w:left="0" w:right="43"/>
              <w:jc w:val="right"/>
              <w:rPr>
                <w:sz w:val="17"/>
                <w:lang w:val="fr-FR"/>
              </w:rPr>
            </w:pPr>
            <w:r w:rsidRPr="00C23BEB">
              <w:rPr>
                <w:sz w:val="17"/>
                <w:lang w:val="fr-FR"/>
              </w:rPr>
              <w:t>51</w:t>
            </w:r>
            <w:r w:rsidR="006645B6">
              <w:rPr>
                <w:sz w:val="17"/>
                <w:lang w:val="fr-FR"/>
              </w:rPr>
              <w:t xml:space="preserve"> %</w:t>
            </w:r>
          </w:p>
        </w:tc>
        <w:tc>
          <w:tcPr>
            <w:tcW w:w="1673" w:type="dxa"/>
            <w:shd w:val="clear" w:color="auto" w:fill="auto"/>
            <w:vAlign w:val="bottom"/>
          </w:tcPr>
          <w:p w:rsidR="00826E0F" w:rsidRPr="00C23BEB" w:rsidRDefault="00826E0F" w:rsidP="00C23BEB">
            <w:pPr>
              <w:pStyle w:val="SingleTxt"/>
              <w:tabs>
                <w:tab w:val="left" w:pos="288"/>
                <w:tab w:val="left" w:pos="576"/>
                <w:tab w:val="left" w:pos="864"/>
                <w:tab w:val="left" w:pos="1152"/>
              </w:tabs>
              <w:suppressAutoHyphens/>
              <w:spacing w:before="40" w:after="40" w:line="210" w:lineRule="exact"/>
              <w:ind w:left="0" w:right="43"/>
              <w:jc w:val="right"/>
              <w:rPr>
                <w:sz w:val="17"/>
                <w:lang w:val="fr-FR"/>
              </w:rPr>
            </w:pPr>
            <w:r w:rsidRPr="00C23BEB">
              <w:rPr>
                <w:sz w:val="17"/>
                <w:lang w:val="fr-FR"/>
              </w:rPr>
              <w:t>55</w:t>
            </w:r>
            <w:r w:rsidR="006645B6">
              <w:rPr>
                <w:sz w:val="17"/>
                <w:lang w:val="fr-FR"/>
              </w:rPr>
              <w:t xml:space="preserve"> %</w:t>
            </w:r>
          </w:p>
        </w:tc>
      </w:tr>
      <w:tr w:rsidR="00826E0F" w:rsidRPr="00C23BEB" w:rsidTr="00C23BEB">
        <w:trPr>
          <w:trHeight w:val="255"/>
          <w:jc w:val="center"/>
        </w:trPr>
        <w:tc>
          <w:tcPr>
            <w:tcW w:w="809" w:type="dxa"/>
            <w:shd w:val="clear" w:color="auto" w:fill="auto"/>
            <w:vAlign w:val="bottom"/>
          </w:tcPr>
          <w:p w:rsidR="00826E0F" w:rsidRPr="00C23BEB" w:rsidRDefault="00826E0F" w:rsidP="00C23BEB">
            <w:pPr>
              <w:pStyle w:val="SingleTxt"/>
              <w:tabs>
                <w:tab w:val="left" w:pos="288"/>
                <w:tab w:val="left" w:pos="576"/>
                <w:tab w:val="left" w:pos="864"/>
                <w:tab w:val="left" w:pos="1152"/>
              </w:tabs>
              <w:suppressAutoHyphens/>
              <w:spacing w:before="40" w:after="40" w:line="210" w:lineRule="exact"/>
              <w:ind w:left="0" w:right="43"/>
              <w:rPr>
                <w:sz w:val="17"/>
                <w:lang w:val="fr-FR"/>
              </w:rPr>
            </w:pPr>
            <w:r w:rsidRPr="00C23BEB">
              <w:rPr>
                <w:sz w:val="17"/>
                <w:lang w:val="fr-FR"/>
              </w:rPr>
              <w:t>2006</w:t>
            </w:r>
          </w:p>
        </w:tc>
        <w:tc>
          <w:tcPr>
            <w:tcW w:w="1493" w:type="dxa"/>
            <w:shd w:val="clear" w:color="auto" w:fill="auto"/>
            <w:vAlign w:val="bottom"/>
          </w:tcPr>
          <w:p w:rsidR="00826E0F" w:rsidRPr="00C23BEB" w:rsidRDefault="00826E0F" w:rsidP="00C23BEB">
            <w:pPr>
              <w:pStyle w:val="SingleTxt"/>
              <w:tabs>
                <w:tab w:val="left" w:pos="288"/>
                <w:tab w:val="left" w:pos="576"/>
                <w:tab w:val="left" w:pos="864"/>
                <w:tab w:val="left" w:pos="1152"/>
              </w:tabs>
              <w:suppressAutoHyphens/>
              <w:spacing w:before="40" w:after="40" w:line="210" w:lineRule="exact"/>
              <w:ind w:left="0" w:right="43"/>
              <w:jc w:val="right"/>
              <w:rPr>
                <w:sz w:val="17"/>
                <w:lang w:val="fr-FR"/>
              </w:rPr>
            </w:pPr>
            <w:r w:rsidRPr="00C23BEB">
              <w:rPr>
                <w:sz w:val="17"/>
                <w:lang w:val="fr-FR"/>
              </w:rPr>
              <w:t>51</w:t>
            </w:r>
            <w:r w:rsidR="006645B6">
              <w:rPr>
                <w:sz w:val="17"/>
                <w:lang w:val="fr-FR"/>
              </w:rPr>
              <w:t xml:space="preserve"> %</w:t>
            </w:r>
          </w:p>
        </w:tc>
        <w:tc>
          <w:tcPr>
            <w:tcW w:w="1673" w:type="dxa"/>
            <w:shd w:val="clear" w:color="auto" w:fill="auto"/>
            <w:vAlign w:val="bottom"/>
          </w:tcPr>
          <w:p w:rsidR="00826E0F" w:rsidRPr="00C23BEB" w:rsidRDefault="00826E0F" w:rsidP="00C23BEB">
            <w:pPr>
              <w:pStyle w:val="SingleTxt"/>
              <w:tabs>
                <w:tab w:val="left" w:pos="288"/>
                <w:tab w:val="left" w:pos="576"/>
                <w:tab w:val="left" w:pos="864"/>
                <w:tab w:val="left" w:pos="1152"/>
              </w:tabs>
              <w:suppressAutoHyphens/>
              <w:spacing w:before="40" w:after="40" w:line="210" w:lineRule="exact"/>
              <w:ind w:left="0" w:right="43"/>
              <w:jc w:val="right"/>
              <w:rPr>
                <w:sz w:val="17"/>
                <w:lang w:val="fr-FR"/>
              </w:rPr>
            </w:pPr>
            <w:r w:rsidRPr="00C23BEB">
              <w:rPr>
                <w:sz w:val="17"/>
                <w:lang w:val="fr-FR"/>
              </w:rPr>
              <w:t>46</w:t>
            </w:r>
            <w:r w:rsidR="006645B6">
              <w:rPr>
                <w:sz w:val="17"/>
                <w:lang w:val="fr-FR"/>
              </w:rPr>
              <w:t xml:space="preserve"> %</w:t>
            </w:r>
          </w:p>
        </w:tc>
        <w:tc>
          <w:tcPr>
            <w:tcW w:w="1673" w:type="dxa"/>
            <w:shd w:val="clear" w:color="auto" w:fill="auto"/>
            <w:vAlign w:val="bottom"/>
          </w:tcPr>
          <w:p w:rsidR="00826E0F" w:rsidRPr="00C23BEB" w:rsidRDefault="00826E0F" w:rsidP="00C23BEB">
            <w:pPr>
              <w:pStyle w:val="SingleTxt"/>
              <w:tabs>
                <w:tab w:val="left" w:pos="288"/>
                <w:tab w:val="left" w:pos="576"/>
                <w:tab w:val="left" w:pos="864"/>
                <w:tab w:val="left" w:pos="1152"/>
              </w:tabs>
              <w:suppressAutoHyphens/>
              <w:spacing w:before="40" w:after="40" w:line="210" w:lineRule="exact"/>
              <w:ind w:left="0" w:right="43"/>
              <w:jc w:val="right"/>
              <w:rPr>
                <w:sz w:val="17"/>
                <w:lang w:val="fr-FR"/>
              </w:rPr>
            </w:pPr>
            <w:r w:rsidRPr="00C23BEB">
              <w:rPr>
                <w:sz w:val="17"/>
                <w:lang w:val="fr-FR"/>
              </w:rPr>
              <w:t>50</w:t>
            </w:r>
            <w:r w:rsidR="006645B6">
              <w:rPr>
                <w:sz w:val="17"/>
                <w:lang w:val="fr-FR"/>
              </w:rPr>
              <w:t xml:space="preserve"> %</w:t>
            </w:r>
          </w:p>
        </w:tc>
        <w:tc>
          <w:tcPr>
            <w:tcW w:w="1673" w:type="dxa"/>
            <w:shd w:val="clear" w:color="auto" w:fill="auto"/>
            <w:vAlign w:val="bottom"/>
          </w:tcPr>
          <w:p w:rsidR="00826E0F" w:rsidRPr="00C23BEB" w:rsidRDefault="00826E0F" w:rsidP="00C23BEB">
            <w:pPr>
              <w:pStyle w:val="SingleTxt"/>
              <w:tabs>
                <w:tab w:val="left" w:pos="288"/>
                <w:tab w:val="left" w:pos="576"/>
                <w:tab w:val="left" w:pos="864"/>
                <w:tab w:val="left" w:pos="1152"/>
              </w:tabs>
              <w:suppressAutoHyphens/>
              <w:spacing w:before="40" w:after="40" w:line="210" w:lineRule="exact"/>
              <w:ind w:left="0" w:right="43"/>
              <w:jc w:val="right"/>
              <w:rPr>
                <w:sz w:val="17"/>
                <w:lang w:val="fr-FR"/>
              </w:rPr>
            </w:pPr>
            <w:r w:rsidRPr="00C23BEB">
              <w:rPr>
                <w:sz w:val="17"/>
                <w:lang w:val="fr-FR"/>
              </w:rPr>
              <w:t>57</w:t>
            </w:r>
            <w:r w:rsidR="006645B6">
              <w:rPr>
                <w:sz w:val="17"/>
                <w:lang w:val="fr-FR"/>
              </w:rPr>
              <w:t xml:space="preserve"> %</w:t>
            </w:r>
          </w:p>
        </w:tc>
      </w:tr>
      <w:tr w:rsidR="00826E0F" w:rsidRPr="00C23BEB" w:rsidTr="00C23BEB">
        <w:trPr>
          <w:trHeight w:val="255"/>
          <w:jc w:val="center"/>
        </w:trPr>
        <w:tc>
          <w:tcPr>
            <w:tcW w:w="809" w:type="dxa"/>
            <w:shd w:val="clear" w:color="auto" w:fill="auto"/>
            <w:vAlign w:val="bottom"/>
          </w:tcPr>
          <w:p w:rsidR="00826E0F" w:rsidRPr="00C23BEB" w:rsidRDefault="00826E0F" w:rsidP="00C23BEB">
            <w:pPr>
              <w:pStyle w:val="SingleTxt"/>
              <w:tabs>
                <w:tab w:val="left" w:pos="288"/>
                <w:tab w:val="left" w:pos="576"/>
                <w:tab w:val="left" w:pos="864"/>
                <w:tab w:val="left" w:pos="1152"/>
              </w:tabs>
              <w:suppressAutoHyphens/>
              <w:spacing w:before="40" w:after="40" w:line="210" w:lineRule="exact"/>
              <w:ind w:left="0" w:right="43"/>
              <w:rPr>
                <w:sz w:val="17"/>
                <w:lang w:val="fr-FR"/>
              </w:rPr>
            </w:pPr>
            <w:r w:rsidRPr="00C23BEB">
              <w:rPr>
                <w:sz w:val="17"/>
                <w:lang w:val="fr-FR"/>
              </w:rPr>
              <w:t>2007</w:t>
            </w:r>
          </w:p>
        </w:tc>
        <w:tc>
          <w:tcPr>
            <w:tcW w:w="1493" w:type="dxa"/>
            <w:shd w:val="clear" w:color="auto" w:fill="auto"/>
            <w:vAlign w:val="bottom"/>
          </w:tcPr>
          <w:p w:rsidR="00826E0F" w:rsidRPr="00C23BEB" w:rsidRDefault="00826E0F" w:rsidP="00C23BEB">
            <w:pPr>
              <w:pStyle w:val="SingleTxt"/>
              <w:tabs>
                <w:tab w:val="left" w:pos="288"/>
                <w:tab w:val="left" w:pos="576"/>
                <w:tab w:val="left" w:pos="864"/>
                <w:tab w:val="left" w:pos="1152"/>
              </w:tabs>
              <w:suppressAutoHyphens/>
              <w:spacing w:before="40" w:after="40" w:line="210" w:lineRule="exact"/>
              <w:ind w:left="0" w:right="43"/>
              <w:jc w:val="right"/>
              <w:rPr>
                <w:sz w:val="17"/>
                <w:lang w:val="fr-FR"/>
              </w:rPr>
            </w:pPr>
            <w:r w:rsidRPr="00C23BEB">
              <w:rPr>
                <w:sz w:val="17"/>
                <w:lang w:val="fr-FR"/>
              </w:rPr>
              <w:t>50</w:t>
            </w:r>
            <w:r w:rsidR="006645B6">
              <w:rPr>
                <w:sz w:val="17"/>
                <w:lang w:val="fr-FR"/>
              </w:rPr>
              <w:t xml:space="preserve"> %</w:t>
            </w:r>
          </w:p>
        </w:tc>
        <w:tc>
          <w:tcPr>
            <w:tcW w:w="1673" w:type="dxa"/>
            <w:shd w:val="clear" w:color="auto" w:fill="auto"/>
            <w:vAlign w:val="bottom"/>
          </w:tcPr>
          <w:p w:rsidR="00826E0F" w:rsidRPr="00C23BEB" w:rsidRDefault="00826E0F" w:rsidP="00C23BEB">
            <w:pPr>
              <w:pStyle w:val="SingleTxt"/>
              <w:tabs>
                <w:tab w:val="left" w:pos="288"/>
                <w:tab w:val="left" w:pos="576"/>
                <w:tab w:val="left" w:pos="864"/>
                <w:tab w:val="left" w:pos="1152"/>
              </w:tabs>
              <w:suppressAutoHyphens/>
              <w:spacing w:before="40" w:after="40" w:line="210" w:lineRule="exact"/>
              <w:ind w:left="0" w:right="43"/>
              <w:jc w:val="right"/>
              <w:rPr>
                <w:sz w:val="17"/>
                <w:lang w:val="fr-FR"/>
              </w:rPr>
            </w:pPr>
            <w:r w:rsidRPr="00C23BEB">
              <w:rPr>
                <w:sz w:val="17"/>
                <w:lang w:val="fr-FR"/>
              </w:rPr>
              <w:t>46</w:t>
            </w:r>
            <w:r w:rsidR="006645B6">
              <w:rPr>
                <w:sz w:val="17"/>
                <w:lang w:val="fr-FR"/>
              </w:rPr>
              <w:t xml:space="preserve"> %</w:t>
            </w:r>
          </w:p>
        </w:tc>
        <w:tc>
          <w:tcPr>
            <w:tcW w:w="1673" w:type="dxa"/>
            <w:shd w:val="clear" w:color="auto" w:fill="auto"/>
            <w:vAlign w:val="bottom"/>
          </w:tcPr>
          <w:p w:rsidR="00826E0F" w:rsidRPr="00C23BEB" w:rsidRDefault="00826E0F" w:rsidP="00C23BEB">
            <w:pPr>
              <w:pStyle w:val="SingleTxt"/>
              <w:tabs>
                <w:tab w:val="left" w:pos="288"/>
                <w:tab w:val="left" w:pos="576"/>
                <w:tab w:val="left" w:pos="864"/>
                <w:tab w:val="left" w:pos="1152"/>
              </w:tabs>
              <w:suppressAutoHyphens/>
              <w:spacing w:before="40" w:after="40" w:line="210" w:lineRule="exact"/>
              <w:ind w:left="0" w:right="43"/>
              <w:jc w:val="right"/>
              <w:rPr>
                <w:sz w:val="17"/>
                <w:lang w:val="fr-FR"/>
              </w:rPr>
            </w:pPr>
            <w:r w:rsidRPr="00C23BEB">
              <w:rPr>
                <w:sz w:val="17"/>
                <w:lang w:val="fr-FR"/>
              </w:rPr>
              <w:t>49</w:t>
            </w:r>
            <w:r w:rsidR="006645B6">
              <w:rPr>
                <w:sz w:val="17"/>
                <w:lang w:val="fr-FR"/>
              </w:rPr>
              <w:t xml:space="preserve"> %</w:t>
            </w:r>
          </w:p>
        </w:tc>
        <w:tc>
          <w:tcPr>
            <w:tcW w:w="1673" w:type="dxa"/>
            <w:shd w:val="clear" w:color="auto" w:fill="auto"/>
            <w:vAlign w:val="bottom"/>
          </w:tcPr>
          <w:p w:rsidR="00826E0F" w:rsidRPr="00C23BEB" w:rsidRDefault="00826E0F" w:rsidP="00C23BEB">
            <w:pPr>
              <w:pStyle w:val="SingleTxt"/>
              <w:tabs>
                <w:tab w:val="left" w:pos="288"/>
                <w:tab w:val="left" w:pos="576"/>
                <w:tab w:val="left" w:pos="864"/>
                <w:tab w:val="left" w:pos="1152"/>
              </w:tabs>
              <w:suppressAutoHyphens/>
              <w:spacing w:before="40" w:after="40" w:line="210" w:lineRule="exact"/>
              <w:ind w:left="0" w:right="43"/>
              <w:jc w:val="right"/>
              <w:rPr>
                <w:sz w:val="17"/>
                <w:lang w:val="fr-FR"/>
              </w:rPr>
            </w:pPr>
            <w:r w:rsidRPr="00C23BEB">
              <w:rPr>
                <w:sz w:val="17"/>
                <w:lang w:val="fr-FR"/>
              </w:rPr>
              <w:t>57</w:t>
            </w:r>
            <w:r w:rsidR="006645B6">
              <w:rPr>
                <w:sz w:val="17"/>
                <w:lang w:val="fr-FR"/>
              </w:rPr>
              <w:t xml:space="preserve"> %</w:t>
            </w:r>
          </w:p>
        </w:tc>
      </w:tr>
      <w:tr w:rsidR="00826E0F" w:rsidRPr="00C23BEB" w:rsidTr="00C23BEB">
        <w:trPr>
          <w:trHeight w:val="255"/>
          <w:jc w:val="center"/>
        </w:trPr>
        <w:tc>
          <w:tcPr>
            <w:tcW w:w="809" w:type="dxa"/>
            <w:tcBorders>
              <w:bottom w:val="single" w:sz="12" w:space="0" w:color="auto"/>
            </w:tcBorders>
            <w:shd w:val="clear" w:color="auto" w:fill="auto"/>
            <w:vAlign w:val="bottom"/>
          </w:tcPr>
          <w:p w:rsidR="00826E0F" w:rsidRPr="00C23BEB" w:rsidRDefault="00826E0F" w:rsidP="00C23BEB">
            <w:pPr>
              <w:pStyle w:val="SingleTxt"/>
              <w:tabs>
                <w:tab w:val="left" w:pos="288"/>
                <w:tab w:val="left" w:pos="576"/>
                <w:tab w:val="left" w:pos="864"/>
                <w:tab w:val="left" w:pos="1152"/>
              </w:tabs>
              <w:suppressAutoHyphens/>
              <w:spacing w:before="40" w:after="40" w:line="210" w:lineRule="exact"/>
              <w:ind w:left="0" w:right="43"/>
              <w:rPr>
                <w:sz w:val="17"/>
                <w:lang w:val="fr-FR"/>
              </w:rPr>
            </w:pPr>
            <w:r w:rsidRPr="00C23BEB">
              <w:rPr>
                <w:sz w:val="17"/>
                <w:lang w:val="fr-FR"/>
              </w:rPr>
              <w:t>2008</w:t>
            </w:r>
          </w:p>
        </w:tc>
        <w:tc>
          <w:tcPr>
            <w:tcW w:w="1493" w:type="dxa"/>
            <w:tcBorders>
              <w:bottom w:val="single" w:sz="12" w:space="0" w:color="auto"/>
            </w:tcBorders>
            <w:shd w:val="clear" w:color="auto" w:fill="auto"/>
            <w:vAlign w:val="bottom"/>
          </w:tcPr>
          <w:p w:rsidR="00826E0F" w:rsidRPr="00C23BEB" w:rsidRDefault="00826E0F" w:rsidP="00C23BEB">
            <w:pPr>
              <w:pStyle w:val="SingleTxt"/>
              <w:tabs>
                <w:tab w:val="left" w:pos="288"/>
                <w:tab w:val="left" w:pos="576"/>
                <w:tab w:val="left" w:pos="864"/>
                <w:tab w:val="left" w:pos="1152"/>
              </w:tabs>
              <w:suppressAutoHyphens/>
              <w:spacing w:before="40" w:after="40" w:line="210" w:lineRule="exact"/>
              <w:ind w:left="0" w:right="43"/>
              <w:jc w:val="right"/>
              <w:rPr>
                <w:sz w:val="17"/>
                <w:lang w:val="fr-FR"/>
              </w:rPr>
            </w:pPr>
            <w:r w:rsidRPr="00C23BEB">
              <w:rPr>
                <w:sz w:val="17"/>
                <w:lang w:val="fr-FR"/>
              </w:rPr>
              <w:t>50</w:t>
            </w:r>
            <w:r w:rsidR="006645B6">
              <w:rPr>
                <w:sz w:val="17"/>
                <w:lang w:val="fr-FR"/>
              </w:rPr>
              <w:t xml:space="preserve"> %</w:t>
            </w:r>
          </w:p>
        </w:tc>
        <w:tc>
          <w:tcPr>
            <w:tcW w:w="1673" w:type="dxa"/>
            <w:tcBorders>
              <w:bottom w:val="single" w:sz="12" w:space="0" w:color="auto"/>
            </w:tcBorders>
            <w:shd w:val="clear" w:color="auto" w:fill="auto"/>
            <w:vAlign w:val="bottom"/>
          </w:tcPr>
          <w:p w:rsidR="00826E0F" w:rsidRPr="00C23BEB" w:rsidRDefault="00826E0F" w:rsidP="00C23BEB">
            <w:pPr>
              <w:pStyle w:val="SingleTxt"/>
              <w:tabs>
                <w:tab w:val="left" w:pos="288"/>
                <w:tab w:val="left" w:pos="576"/>
                <w:tab w:val="left" w:pos="864"/>
                <w:tab w:val="left" w:pos="1152"/>
              </w:tabs>
              <w:suppressAutoHyphens/>
              <w:spacing w:before="40" w:after="40" w:line="210" w:lineRule="exact"/>
              <w:ind w:left="0" w:right="43"/>
              <w:jc w:val="right"/>
              <w:rPr>
                <w:sz w:val="17"/>
                <w:lang w:val="fr-FR"/>
              </w:rPr>
            </w:pPr>
            <w:r w:rsidRPr="00C23BEB">
              <w:rPr>
                <w:sz w:val="17"/>
                <w:lang w:val="fr-FR"/>
              </w:rPr>
              <w:t>46</w:t>
            </w:r>
            <w:r w:rsidR="006645B6">
              <w:rPr>
                <w:sz w:val="17"/>
                <w:lang w:val="fr-FR"/>
              </w:rPr>
              <w:t xml:space="preserve"> %</w:t>
            </w:r>
          </w:p>
        </w:tc>
        <w:tc>
          <w:tcPr>
            <w:tcW w:w="1673" w:type="dxa"/>
            <w:tcBorders>
              <w:bottom w:val="single" w:sz="12" w:space="0" w:color="auto"/>
            </w:tcBorders>
            <w:shd w:val="clear" w:color="auto" w:fill="auto"/>
            <w:vAlign w:val="bottom"/>
          </w:tcPr>
          <w:p w:rsidR="00826E0F" w:rsidRPr="00C23BEB" w:rsidRDefault="00826E0F" w:rsidP="00C23BEB">
            <w:pPr>
              <w:pStyle w:val="SingleTxt"/>
              <w:tabs>
                <w:tab w:val="left" w:pos="288"/>
                <w:tab w:val="left" w:pos="576"/>
                <w:tab w:val="left" w:pos="864"/>
                <w:tab w:val="left" w:pos="1152"/>
              </w:tabs>
              <w:suppressAutoHyphens/>
              <w:spacing w:before="40" w:after="40" w:line="210" w:lineRule="exact"/>
              <w:ind w:left="0" w:right="43"/>
              <w:jc w:val="right"/>
              <w:rPr>
                <w:sz w:val="17"/>
                <w:lang w:val="fr-FR"/>
              </w:rPr>
            </w:pPr>
            <w:r w:rsidRPr="00C23BEB">
              <w:rPr>
                <w:sz w:val="17"/>
                <w:lang w:val="fr-FR"/>
              </w:rPr>
              <w:t>48</w:t>
            </w:r>
            <w:r w:rsidR="006645B6">
              <w:rPr>
                <w:sz w:val="17"/>
                <w:lang w:val="fr-FR"/>
              </w:rPr>
              <w:t xml:space="preserve"> %</w:t>
            </w:r>
          </w:p>
        </w:tc>
        <w:tc>
          <w:tcPr>
            <w:tcW w:w="1673" w:type="dxa"/>
            <w:tcBorders>
              <w:bottom w:val="single" w:sz="12" w:space="0" w:color="auto"/>
            </w:tcBorders>
            <w:shd w:val="clear" w:color="auto" w:fill="auto"/>
            <w:vAlign w:val="bottom"/>
          </w:tcPr>
          <w:p w:rsidR="00826E0F" w:rsidRPr="00C23BEB" w:rsidRDefault="00826E0F" w:rsidP="00C23BEB">
            <w:pPr>
              <w:pStyle w:val="SingleTxt"/>
              <w:tabs>
                <w:tab w:val="left" w:pos="288"/>
                <w:tab w:val="left" w:pos="576"/>
                <w:tab w:val="left" w:pos="864"/>
                <w:tab w:val="left" w:pos="1152"/>
              </w:tabs>
              <w:suppressAutoHyphens/>
              <w:spacing w:before="40" w:after="40" w:line="210" w:lineRule="exact"/>
              <w:ind w:left="0" w:right="43"/>
              <w:jc w:val="right"/>
              <w:rPr>
                <w:sz w:val="17"/>
                <w:lang w:val="fr-FR"/>
              </w:rPr>
            </w:pPr>
            <w:r w:rsidRPr="00C23BEB">
              <w:rPr>
                <w:sz w:val="17"/>
                <w:lang w:val="fr-FR"/>
              </w:rPr>
              <w:t>58</w:t>
            </w:r>
            <w:r w:rsidR="006645B6">
              <w:rPr>
                <w:sz w:val="17"/>
                <w:lang w:val="fr-FR"/>
              </w:rPr>
              <w:t xml:space="preserve"> %</w:t>
            </w:r>
          </w:p>
        </w:tc>
      </w:tr>
    </w:tbl>
    <w:p w:rsidR="00C23BEB" w:rsidRPr="00C23BEB" w:rsidRDefault="00C23BEB" w:rsidP="00C23BEB">
      <w:pPr>
        <w:pStyle w:val="SingleTxt"/>
        <w:spacing w:after="0" w:line="120" w:lineRule="exact"/>
        <w:rPr>
          <w:sz w:val="10"/>
          <w:lang w:val="fr-FR"/>
        </w:rPr>
      </w:pPr>
    </w:p>
    <w:p w:rsidR="00826E0F" w:rsidRPr="00872599" w:rsidRDefault="00826E0F" w:rsidP="00C23BEB">
      <w:pPr>
        <w:pStyle w:val="FootnoteText"/>
        <w:tabs>
          <w:tab w:val="clear" w:pos="418"/>
          <w:tab w:val="right" w:pos="1476"/>
          <w:tab w:val="left" w:pos="1548"/>
          <w:tab w:val="right" w:pos="1836"/>
          <w:tab w:val="left" w:pos="1908"/>
        </w:tabs>
        <w:ind w:left="1548" w:right="1267" w:hanging="288"/>
        <w:rPr>
          <w:lang w:val="fr-FR"/>
        </w:rPr>
      </w:pPr>
      <w:r w:rsidRPr="00C23BEB">
        <w:rPr>
          <w:i/>
          <w:lang w:val="fr-FR"/>
        </w:rPr>
        <w:t>Source</w:t>
      </w:r>
      <w:r w:rsidR="006645B6">
        <w:rPr>
          <w:lang w:val="fr-FR"/>
        </w:rPr>
        <w:t> :</w:t>
      </w:r>
      <w:r w:rsidRPr="00872599">
        <w:rPr>
          <w:lang w:val="fr-FR"/>
        </w:rPr>
        <w:t xml:space="preserve"> Bureau des affaires économiques. Statistiques de l</w:t>
      </w:r>
      <w:r w:rsidR="006645B6">
        <w:rPr>
          <w:lang w:val="fr-FR"/>
        </w:rPr>
        <w:t>’</w:t>
      </w:r>
      <w:r w:rsidRPr="00872599">
        <w:rPr>
          <w:lang w:val="fr-FR"/>
        </w:rPr>
        <w:t>éducation en 2008.</w:t>
      </w:r>
    </w:p>
    <w:p w:rsidR="00C23BEB" w:rsidRPr="00C23BEB" w:rsidRDefault="00C23BEB" w:rsidP="00C23BEB">
      <w:pPr>
        <w:pStyle w:val="SingleTxt"/>
        <w:spacing w:after="0" w:line="120" w:lineRule="exact"/>
        <w:rPr>
          <w:sz w:val="10"/>
          <w:lang w:val="fr-FR"/>
        </w:rPr>
      </w:pPr>
    </w:p>
    <w:p w:rsidR="00826E0F" w:rsidRPr="00872599" w:rsidRDefault="00C23BEB" w:rsidP="000E00B5">
      <w:pPr>
        <w:pStyle w:val="SingleTxt"/>
        <w:spacing w:after="100"/>
        <w:rPr>
          <w:lang w:val="fr-FR" w:eastAsia="fr-FR"/>
        </w:rPr>
      </w:pPr>
      <w:r>
        <w:rPr>
          <w:lang w:val="fr-FR"/>
        </w:rPr>
        <w:tab/>
      </w:r>
      <w:r w:rsidR="00826E0F" w:rsidRPr="00872599">
        <w:rPr>
          <w:lang w:val="fr-FR"/>
        </w:rPr>
        <w:t>On a relevé également une tendance manifeste à l</w:t>
      </w:r>
      <w:r w:rsidR="006645B6">
        <w:rPr>
          <w:lang w:val="fr-FR"/>
        </w:rPr>
        <w:t>’</w:t>
      </w:r>
      <w:r w:rsidR="00826E0F" w:rsidRPr="00872599">
        <w:rPr>
          <w:lang w:val="fr-FR"/>
        </w:rPr>
        <w:t>égalité dans l</w:t>
      </w:r>
      <w:r w:rsidR="006645B6">
        <w:rPr>
          <w:lang w:val="fr-FR"/>
        </w:rPr>
        <w:t>’</w:t>
      </w:r>
      <w:r w:rsidR="00826E0F" w:rsidRPr="00872599">
        <w:rPr>
          <w:lang w:val="fr-FR"/>
        </w:rPr>
        <w:t>enseignement tertiaire c</w:t>
      </w:r>
      <w:r w:rsidR="006645B6">
        <w:rPr>
          <w:lang w:val="fr-FR"/>
        </w:rPr>
        <w:t>’</w:t>
      </w:r>
      <w:r w:rsidR="00826E0F" w:rsidRPr="00872599">
        <w:rPr>
          <w:lang w:val="fr-FR"/>
        </w:rPr>
        <w:t>est-à-dire dans les universités. Alors que seulement 12 des 128 étudiants universitaires étaient des femmes en 1975, les femmes représentent près de la moitié (43</w:t>
      </w:r>
      <w:r w:rsidR="006645B6">
        <w:rPr>
          <w:lang w:val="fr-FR"/>
        </w:rPr>
        <w:t xml:space="preserve"> %</w:t>
      </w:r>
      <w:r w:rsidR="00826E0F" w:rsidRPr="00872599">
        <w:rPr>
          <w:lang w:val="fr-FR"/>
        </w:rPr>
        <w:t>) des étudiants universitaires ces dernières années. Par rapport à 1990, environ 13</w:t>
      </w:r>
      <w:r w:rsidR="006645B6">
        <w:rPr>
          <w:lang w:val="fr-FR"/>
        </w:rPr>
        <w:t> %</w:t>
      </w:r>
      <w:r w:rsidR="00826E0F" w:rsidRPr="00872599">
        <w:rPr>
          <w:lang w:val="fr-FR"/>
        </w:rPr>
        <w:t xml:space="preserve"> </w:t>
      </w:r>
      <w:r w:rsidR="00826E0F">
        <w:rPr>
          <w:lang w:val="fr-FR"/>
        </w:rPr>
        <w:t xml:space="preserve">de plus </w:t>
      </w:r>
      <w:r w:rsidR="00826E0F" w:rsidRPr="00872599">
        <w:rPr>
          <w:lang w:val="fr-FR"/>
        </w:rPr>
        <w:t>de femmes ont choisi une filière académique en 2000. Depuis lors, la proportion des femmes suivant des cours à l</w:t>
      </w:r>
      <w:r w:rsidR="006645B6">
        <w:rPr>
          <w:lang w:val="fr-FR"/>
        </w:rPr>
        <w:t>’</w:t>
      </w:r>
      <w:r w:rsidR="00826E0F" w:rsidRPr="00872599">
        <w:rPr>
          <w:lang w:val="fr-FR"/>
        </w:rPr>
        <w:t>université est restée plus ou moins stable. S</w:t>
      </w:r>
      <w:r w:rsidR="006645B6">
        <w:rPr>
          <w:lang w:val="fr-FR"/>
        </w:rPr>
        <w:t>’</w:t>
      </w:r>
      <w:r w:rsidR="00826E0F" w:rsidRPr="00872599">
        <w:rPr>
          <w:lang w:val="fr-FR"/>
        </w:rPr>
        <w:t>agissant du choix des matières, les étudiants d</w:t>
      </w:r>
      <w:r w:rsidR="006645B6">
        <w:rPr>
          <w:lang w:val="fr-FR"/>
        </w:rPr>
        <w:t>’</w:t>
      </w:r>
      <w:r w:rsidR="00826E0F" w:rsidRPr="00872599">
        <w:rPr>
          <w:lang w:val="fr-FR"/>
        </w:rPr>
        <w:t>université au Liechtenstein continuent de suivre des modèles plutôt traditionnels.</w:t>
      </w:r>
      <w:r w:rsidR="00826E0F" w:rsidRPr="00872599">
        <w:rPr>
          <w:lang w:val="fr-FR" w:eastAsia="fr-FR"/>
        </w:rPr>
        <w:t xml:space="preserve"> En 2007-2008, 37</w:t>
      </w:r>
      <w:r w:rsidR="006645B6">
        <w:rPr>
          <w:lang w:val="fr-FR" w:eastAsia="fr-FR"/>
        </w:rPr>
        <w:t xml:space="preserve"> %</w:t>
      </w:r>
      <w:r w:rsidR="00826E0F" w:rsidRPr="00872599">
        <w:rPr>
          <w:lang w:val="fr-FR" w:eastAsia="fr-FR"/>
        </w:rPr>
        <w:t xml:space="preserve"> des étudiantes suivaient des cours dans les sciences humaines et sociales, 23</w:t>
      </w:r>
      <w:r w:rsidR="006645B6">
        <w:rPr>
          <w:lang w:val="fr-FR" w:eastAsia="fr-FR"/>
        </w:rPr>
        <w:t xml:space="preserve"> %</w:t>
      </w:r>
      <w:r w:rsidR="00826E0F" w:rsidRPr="00872599">
        <w:rPr>
          <w:lang w:val="fr-FR" w:eastAsia="fr-FR"/>
        </w:rPr>
        <w:t xml:space="preserve"> en droit et 13</w:t>
      </w:r>
      <w:r w:rsidR="006645B6">
        <w:rPr>
          <w:lang w:val="fr-FR" w:eastAsia="fr-FR"/>
        </w:rPr>
        <w:t xml:space="preserve"> %</w:t>
      </w:r>
      <w:r w:rsidR="00826E0F" w:rsidRPr="00872599">
        <w:rPr>
          <w:lang w:val="fr-FR" w:eastAsia="fr-FR"/>
        </w:rPr>
        <w:t xml:space="preserve"> en médecine et en pharmacie. Leurs homologues masculins choisissaient essentiellement l</w:t>
      </w:r>
      <w:r w:rsidR="006645B6">
        <w:rPr>
          <w:lang w:val="fr-FR" w:eastAsia="fr-FR"/>
        </w:rPr>
        <w:t>’</w:t>
      </w:r>
      <w:r w:rsidR="00826E0F" w:rsidRPr="00872599">
        <w:rPr>
          <w:lang w:val="fr-FR" w:eastAsia="fr-FR"/>
        </w:rPr>
        <w:t>économie et le commerce (26</w:t>
      </w:r>
      <w:r w:rsidR="006645B6">
        <w:rPr>
          <w:lang w:val="fr-FR" w:eastAsia="fr-FR"/>
        </w:rPr>
        <w:t> %</w:t>
      </w:r>
      <w:r w:rsidR="00826E0F" w:rsidRPr="00872599">
        <w:rPr>
          <w:lang w:val="fr-FR" w:eastAsia="fr-FR"/>
        </w:rPr>
        <w:t>), suivis des sciences humaines et sociales (24</w:t>
      </w:r>
      <w:r w:rsidR="006645B6">
        <w:rPr>
          <w:lang w:val="fr-FR" w:eastAsia="fr-FR"/>
        </w:rPr>
        <w:t> %</w:t>
      </w:r>
      <w:r w:rsidR="00826E0F" w:rsidRPr="00872599">
        <w:rPr>
          <w:lang w:val="fr-FR" w:eastAsia="fr-FR"/>
        </w:rPr>
        <w:t>), du droit (17</w:t>
      </w:r>
      <w:r w:rsidR="006645B6">
        <w:rPr>
          <w:lang w:val="fr-FR" w:eastAsia="fr-FR"/>
        </w:rPr>
        <w:t> %</w:t>
      </w:r>
      <w:r w:rsidR="00826E0F" w:rsidRPr="00872599">
        <w:rPr>
          <w:lang w:val="fr-FR" w:eastAsia="fr-FR"/>
        </w:rPr>
        <w:t>) et des sciences exactes et naturelles(16</w:t>
      </w:r>
      <w:r w:rsidR="006645B6">
        <w:rPr>
          <w:lang w:val="fr-FR" w:eastAsia="fr-FR"/>
        </w:rPr>
        <w:t> %</w:t>
      </w:r>
      <w:r w:rsidR="00826E0F" w:rsidRPr="00872599">
        <w:rPr>
          <w:lang w:val="fr-FR" w:eastAsia="fr-FR"/>
        </w:rPr>
        <w:t>).</w:t>
      </w:r>
    </w:p>
    <w:p w:rsidR="00C23BEB" w:rsidRPr="00C23BEB" w:rsidRDefault="00C23BEB" w:rsidP="00C23BEB">
      <w:pPr>
        <w:pStyle w:val="SingleTxt"/>
        <w:spacing w:after="0" w:line="120" w:lineRule="exact"/>
        <w:rPr>
          <w:rFonts w:ascii="Arial" w:hAnsi="Arial" w:cs="Arial"/>
          <w:sz w:val="10"/>
          <w:lang w:val="fr-FR" w:eastAsia="fr-FR"/>
        </w:rPr>
      </w:pPr>
    </w:p>
    <w:p w:rsidR="00826E0F" w:rsidRDefault="00C23BEB" w:rsidP="00C23B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826E0F" w:rsidRPr="00C23BEB">
        <w:rPr>
          <w:b w:val="0"/>
          <w:lang w:val="fr-FR"/>
        </w:rPr>
        <w:t>Tableau 7</w:t>
      </w:r>
      <w:r>
        <w:rPr>
          <w:lang w:val="fr-FR"/>
        </w:rPr>
        <w:br/>
      </w:r>
      <w:r w:rsidR="00826E0F" w:rsidRPr="00872599">
        <w:rPr>
          <w:lang w:val="fr-FR"/>
        </w:rPr>
        <w:t>Répartition dans les universités de Suisse, d</w:t>
      </w:r>
      <w:r w:rsidR="006645B6">
        <w:rPr>
          <w:lang w:val="fr-FR"/>
        </w:rPr>
        <w:t>’</w:t>
      </w:r>
      <w:r w:rsidR="00826E0F" w:rsidRPr="00872599">
        <w:rPr>
          <w:lang w:val="fr-FR"/>
        </w:rPr>
        <w:t>Autriche et d</w:t>
      </w:r>
      <w:r w:rsidR="006645B6">
        <w:rPr>
          <w:lang w:val="fr-FR"/>
        </w:rPr>
        <w:t>’</w:t>
      </w:r>
      <w:r>
        <w:rPr>
          <w:lang w:val="fr-FR"/>
        </w:rPr>
        <w:t>Allemagne</w:t>
      </w:r>
      <w:r>
        <w:rPr>
          <w:lang w:val="fr-FR"/>
        </w:rPr>
        <w:br/>
      </w:r>
      <w:r w:rsidR="00826E0F" w:rsidRPr="00872599">
        <w:rPr>
          <w:lang w:val="fr-FR"/>
        </w:rPr>
        <w:t xml:space="preserve">des étudiants hommes et femmes venus du Liechtenstein </w:t>
      </w:r>
    </w:p>
    <w:p w:rsidR="00C23BEB" w:rsidRPr="00C23BEB" w:rsidRDefault="00C23BEB" w:rsidP="00C23BEB">
      <w:pPr>
        <w:pStyle w:val="SingleTxt"/>
        <w:spacing w:after="0" w:line="120" w:lineRule="exact"/>
        <w:rPr>
          <w:sz w:val="10"/>
          <w:lang w:val="fr-FR"/>
        </w:rPr>
      </w:pPr>
    </w:p>
    <w:tbl>
      <w:tblPr>
        <w:tblW w:w="0" w:type="auto"/>
        <w:jc w:val="center"/>
        <w:tblInd w:w="1267" w:type="dxa"/>
        <w:tblLayout w:type="fixed"/>
        <w:tblLook w:val="0000" w:firstRow="0" w:lastRow="0" w:firstColumn="0" w:lastColumn="0" w:noHBand="0" w:noVBand="0"/>
      </w:tblPr>
      <w:tblGrid>
        <w:gridCol w:w="1078"/>
        <w:gridCol w:w="1040"/>
        <w:gridCol w:w="1041"/>
        <w:gridCol w:w="1041"/>
        <w:gridCol w:w="1041"/>
        <w:gridCol w:w="1041"/>
        <w:gridCol w:w="1041"/>
      </w:tblGrid>
      <w:tr w:rsidR="00826E0F" w:rsidRPr="00C23BEB" w:rsidTr="00C23BEB">
        <w:trPr>
          <w:tblHeader/>
          <w:jc w:val="center"/>
        </w:trPr>
        <w:tc>
          <w:tcPr>
            <w:tcW w:w="1078" w:type="dxa"/>
            <w:tcBorders>
              <w:top w:val="single" w:sz="4" w:space="0" w:color="auto"/>
              <w:bottom w:val="single" w:sz="12" w:space="0" w:color="auto"/>
            </w:tcBorders>
            <w:shd w:val="clear" w:color="auto" w:fill="auto"/>
            <w:vAlign w:val="bottom"/>
          </w:tcPr>
          <w:p w:rsidR="00826E0F" w:rsidRPr="00C23BEB" w:rsidRDefault="00826E0F" w:rsidP="00C23BEB">
            <w:pPr>
              <w:pStyle w:val="SingleTxt"/>
              <w:suppressAutoHyphens/>
              <w:spacing w:before="80" w:after="80" w:line="160" w:lineRule="exact"/>
              <w:ind w:left="0" w:right="43"/>
              <w:rPr>
                <w:i/>
                <w:sz w:val="14"/>
                <w:lang w:val="fr-FR"/>
              </w:rPr>
            </w:pPr>
          </w:p>
        </w:tc>
        <w:tc>
          <w:tcPr>
            <w:tcW w:w="1040" w:type="dxa"/>
            <w:tcBorders>
              <w:top w:val="single" w:sz="4" w:space="0" w:color="auto"/>
              <w:bottom w:val="single" w:sz="12" w:space="0" w:color="auto"/>
            </w:tcBorders>
            <w:shd w:val="clear" w:color="auto" w:fill="auto"/>
            <w:vAlign w:val="bottom"/>
          </w:tcPr>
          <w:p w:rsidR="00826E0F" w:rsidRPr="00C23BEB" w:rsidRDefault="00826E0F" w:rsidP="00C23BEB">
            <w:pPr>
              <w:pStyle w:val="SingleTxt"/>
              <w:suppressAutoHyphens/>
              <w:spacing w:before="80" w:after="80" w:line="160" w:lineRule="exact"/>
              <w:ind w:left="0" w:right="43"/>
              <w:jc w:val="right"/>
              <w:rPr>
                <w:i/>
                <w:sz w:val="14"/>
                <w:lang w:val="fr-FR"/>
              </w:rPr>
            </w:pPr>
            <w:r w:rsidRPr="00C23BEB">
              <w:rPr>
                <w:i/>
                <w:sz w:val="14"/>
                <w:lang w:val="fr-FR"/>
              </w:rPr>
              <w:t>1970</w:t>
            </w:r>
          </w:p>
        </w:tc>
        <w:tc>
          <w:tcPr>
            <w:tcW w:w="1041" w:type="dxa"/>
            <w:tcBorders>
              <w:top w:val="single" w:sz="4" w:space="0" w:color="auto"/>
              <w:bottom w:val="single" w:sz="12" w:space="0" w:color="auto"/>
            </w:tcBorders>
            <w:shd w:val="clear" w:color="auto" w:fill="auto"/>
            <w:vAlign w:val="bottom"/>
          </w:tcPr>
          <w:p w:rsidR="00826E0F" w:rsidRPr="00C23BEB" w:rsidRDefault="00826E0F" w:rsidP="00C23BEB">
            <w:pPr>
              <w:pStyle w:val="SingleTxt"/>
              <w:suppressAutoHyphens/>
              <w:spacing w:before="80" w:after="80" w:line="160" w:lineRule="exact"/>
              <w:ind w:left="0" w:right="43"/>
              <w:jc w:val="right"/>
              <w:rPr>
                <w:i/>
                <w:sz w:val="14"/>
                <w:lang w:val="fr-FR"/>
              </w:rPr>
            </w:pPr>
            <w:r w:rsidRPr="00C23BEB">
              <w:rPr>
                <w:i/>
                <w:sz w:val="14"/>
                <w:lang w:val="fr-FR"/>
              </w:rPr>
              <w:t>1980</w:t>
            </w:r>
          </w:p>
        </w:tc>
        <w:tc>
          <w:tcPr>
            <w:tcW w:w="1041" w:type="dxa"/>
            <w:tcBorders>
              <w:top w:val="single" w:sz="4" w:space="0" w:color="auto"/>
              <w:bottom w:val="single" w:sz="12" w:space="0" w:color="auto"/>
            </w:tcBorders>
            <w:shd w:val="clear" w:color="auto" w:fill="auto"/>
            <w:vAlign w:val="bottom"/>
          </w:tcPr>
          <w:p w:rsidR="00826E0F" w:rsidRPr="00C23BEB" w:rsidRDefault="00826E0F" w:rsidP="00C23BEB">
            <w:pPr>
              <w:pStyle w:val="SingleTxt"/>
              <w:suppressAutoHyphens/>
              <w:spacing w:before="80" w:after="80" w:line="160" w:lineRule="exact"/>
              <w:ind w:left="0" w:right="43"/>
              <w:jc w:val="right"/>
              <w:rPr>
                <w:i/>
                <w:sz w:val="14"/>
                <w:lang w:val="fr-FR"/>
              </w:rPr>
            </w:pPr>
            <w:r w:rsidRPr="00C23BEB">
              <w:rPr>
                <w:i/>
                <w:sz w:val="14"/>
                <w:lang w:val="fr-FR"/>
              </w:rPr>
              <w:t>1990</w:t>
            </w:r>
          </w:p>
        </w:tc>
        <w:tc>
          <w:tcPr>
            <w:tcW w:w="1041" w:type="dxa"/>
            <w:tcBorders>
              <w:top w:val="single" w:sz="4" w:space="0" w:color="auto"/>
              <w:bottom w:val="single" w:sz="12" w:space="0" w:color="auto"/>
            </w:tcBorders>
            <w:shd w:val="clear" w:color="auto" w:fill="auto"/>
            <w:vAlign w:val="bottom"/>
          </w:tcPr>
          <w:p w:rsidR="00826E0F" w:rsidRPr="00C23BEB" w:rsidRDefault="00826E0F" w:rsidP="00C23BEB">
            <w:pPr>
              <w:pStyle w:val="SingleTxt"/>
              <w:suppressAutoHyphens/>
              <w:spacing w:before="80" w:after="80" w:line="160" w:lineRule="exact"/>
              <w:ind w:left="0" w:right="43"/>
              <w:jc w:val="right"/>
              <w:rPr>
                <w:i/>
                <w:sz w:val="14"/>
                <w:lang w:val="fr-FR"/>
              </w:rPr>
            </w:pPr>
            <w:r w:rsidRPr="00C23BEB">
              <w:rPr>
                <w:i/>
                <w:sz w:val="14"/>
                <w:lang w:val="fr-FR"/>
              </w:rPr>
              <w:t>2000</w:t>
            </w:r>
          </w:p>
        </w:tc>
        <w:tc>
          <w:tcPr>
            <w:tcW w:w="1041" w:type="dxa"/>
            <w:tcBorders>
              <w:top w:val="single" w:sz="4" w:space="0" w:color="auto"/>
              <w:bottom w:val="single" w:sz="12" w:space="0" w:color="auto"/>
            </w:tcBorders>
            <w:shd w:val="clear" w:color="auto" w:fill="auto"/>
            <w:vAlign w:val="bottom"/>
          </w:tcPr>
          <w:p w:rsidR="00826E0F" w:rsidRPr="00C23BEB" w:rsidRDefault="00826E0F" w:rsidP="00C23BEB">
            <w:pPr>
              <w:pStyle w:val="SingleTxt"/>
              <w:suppressAutoHyphens/>
              <w:spacing w:before="80" w:after="80" w:line="160" w:lineRule="exact"/>
              <w:ind w:left="0" w:right="43"/>
              <w:jc w:val="right"/>
              <w:rPr>
                <w:i/>
                <w:sz w:val="14"/>
                <w:lang w:val="fr-FR"/>
              </w:rPr>
            </w:pPr>
            <w:r w:rsidRPr="00C23BEB">
              <w:rPr>
                <w:i/>
                <w:sz w:val="14"/>
                <w:lang w:val="fr-FR"/>
              </w:rPr>
              <w:t>2005</w:t>
            </w:r>
          </w:p>
        </w:tc>
        <w:tc>
          <w:tcPr>
            <w:tcW w:w="1041" w:type="dxa"/>
            <w:tcBorders>
              <w:top w:val="single" w:sz="4" w:space="0" w:color="auto"/>
              <w:bottom w:val="single" w:sz="12" w:space="0" w:color="auto"/>
            </w:tcBorders>
            <w:shd w:val="clear" w:color="auto" w:fill="auto"/>
            <w:vAlign w:val="bottom"/>
          </w:tcPr>
          <w:p w:rsidR="00826E0F" w:rsidRPr="00C23BEB" w:rsidRDefault="00826E0F" w:rsidP="00C23BEB">
            <w:pPr>
              <w:pStyle w:val="SingleTxt"/>
              <w:suppressAutoHyphens/>
              <w:spacing w:before="80" w:after="80" w:line="160" w:lineRule="exact"/>
              <w:ind w:left="0" w:right="43"/>
              <w:jc w:val="right"/>
              <w:rPr>
                <w:i/>
                <w:sz w:val="14"/>
                <w:lang w:val="fr-FR"/>
              </w:rPr>
            </w:pPr>
            <w:r w:rsidRPr="00C23BEB">
              <w:rPr>
                <w:i/>
                <w:sz w:val="14"/>
                <w:lang w:val="fr-FR"/>
              </w:rPr>
              <w:t>2008</w:t>
            </w:r>
          </w:p>
        </w:tc>
      </w:tr>
      <w:tr w:rsidR="00C23BEB" w:rsidRPr="00C23BEB" w:rsidTr="00C23BEB">
        <w:trPr>
          <w:trHeight w:hRule="exact" w:val="115"/>
          <w:tblHeader/>
          <w:jc w:val="center"/>
        </w:trPr>
        <w:tc>
          <w:tcPr>
            <w:tcW w:w="1078" w:type="dxa"/>
            <w:tcBorders>
              <w:top w:val="single" w:sz="12" w:space="0" w:color="auto"/>
            </w:tcBorders>
            <w:shd w:val="clear" w:color="auto" w:fill="auto"/>
            <w:vAlign w:val="bottom"/>
          </w:tcPr>
          <w:p w:rsidR="00C23BEB" w:rsidRPr="00C23BEB" w:rsidRDefault="00C23BEB" w:rsidP="00C23BEB">
            <w:pPr>
              <w:pStyle w:val="SingleTxt"/>
              <w:suppressAutoHyphens/>
              <w:spacing w:before="40" w:after="40" w:line="210" w:lineRule="exact"/>
              <w:ind w:left="0" w:right="43"/>
              <w:rPr>
                <w:b/>
                <w:sz w:val="17"/>
                <w:lang w:val="fr-FR"/>
              </w:rPr>
            </w:pPr>
          </w:p>
        </w:tc>
        <w:tc>
          <w:tcPr>
            <w:tcW w:w="1040" w:type="dxa"/>
            <w:tcBorders>
              <w:top w:val="single" w:sz="12" w:space="0" w:color="auto"/>
            </w:tcBorders>
            <w:shd w:val="clear" w:color="auto" w:fill="auto"/>
            <w:vAlign w:val="bottom"/>
          </w:tcPr>
          <w:p w:rsidR="00C23BEB" w:rsidRPr="00C23BEB" w:rsidRDefault="00C23BEB" w:rsidP="00C23BEB">
            <w:pPr>
              <w:pStyle w:val="SingleTxt"/>
              <w:suppressAutoHyphens/>
              <w:spacing w:before="40" w:after="40" w:line="210" w:lineRule="exact"/>
              <w:ind w:left="0" w:right="43"/>
              <w:jc w:val="right"/>
              <w:rPr>
                <w:b/>
                <w:sz w:val="17"/>
                <w:lang w:val="fr-FR"/>
              </w:rPr>
            </w:pPr>
          </w:p>
        </w:tc>
        <w:tc>
          <w:tcPr>
            <w:tcW w:w="1041" w:type="dxa"/>
            <w:tcBorders>
              <w:top w:val="single" w:sz="12" w:space="0" w:color="auto"/>
            </w:tcBorders>
            <w:shd w:val="clear" w:color="auto" w:fill="auto"/>
            <w:vAlign w:val="bottom"/>
          </w:tcPr>
          <w:p w:rsidR="00C23BEB" w:rsidRPr="00C23BEB" w:rsidRDefault="00C23BEB" w:rsidP="00C23BEB">
            <w:pPr>
              <w:pStyle w:val="SingleTxt"/>
              <w:suppressAutoHyphens/>
              <w:spacing w:before="40" w:after="40" w:line="210" w:lineRule="exact"/>
              <w:ind w:left="0" w:right="43"/>
              <w:jc w:val="right"/>
              <w:rPr>
                <w:b/>
                <w:sz w:val="17"/>
                <w:lang w:val="fr-FR"/>
              </w:rPr>
            </w:pPr>
          </w:p>
        </w:tc>
        <w:tc>
          <w:tcPr>
            <w:tcW w:w="1041" w:type="dxa"/>
            <w:tcBorders>
              <w:top w:val="single" w:sz="12" w:space="0" w:color="auto"/>
            </w:tcBorders>
            <w:shd w:val="clear" w:color="auto" w:fill="auto"/>
            <w:vAlign w:val="bottom"/>
          </w:tcPr>
          <w:p w:rsidR="00C23BEB" w:rsidRPr="00C23BEB" w:rsidRDefault="00C23BEB" w:rsidP="00C23BEB">
            <w:pPr>
              <w:pStyle w:val="SingleTxt"/>
              <w:suppressAutoHyphens/>
              <w:spacing w:before="40" w:after="40" w:line="210" w:lineRule="exact"/>
              <w:ind w:left="0" w:right="43"/>
              <w:jc w:val="right"/>
              <w:rPr>
                <w:b/>
                <w:sz w:val="17"/>
                <w:lang w:val="fr-FR"/>
              </w:rPr>
            </w:pPr>
          </w:p>
        </w:tc>
        <w:tc>
          <w:tcPr>
            <w:tcW w:w="1041" w:type="dxa"/>
            <w:tcBorders>
              <w:top w:val="single" w:sz="12" w:space="0" w:color="auto"/>
            </w:tcBorders>
            <w:shd w:val="clear" w:color="auto" w:fill="auto"/>
            <w:vAlign w:val="bottom"/>
          </w:tcPr>
          <w:p w:rsidR="00C23BEB" w:rsidRPr="00C23BEB" w:rsidRDefault="00C23BEB" w:rsidP="00C23BEB">
            <w:pPr>
              <w:pStyle w:val="SingleTxt"/>
              <w:suppressAutoHyphens/>
              <w:spacing w:before="40" w:after="40" w:line="210" w:lineRule="exact"/>
              <w:ind w:left="0" w:right="43"/>
              <w:jc w:val="right"/>
              <w:rPr>
                <w:b/>
                <w:sz w:val="17"/>
                <w:lang w:val="fr-FR"/>
              </w:rPr>
            </w:pPr>
          </w:p>
        </w:tc>
        <w:tc>
          <w:tcPr>
            <w:tcW w:w="1041" w:type="dxa"/>
            <w:tcBorders>
              <w:top w:val="single" w:sz="12" w:space="0" w:color="auto"/>
            </w:tcBorders>
            <w:shd w:val="clear" w:color="auto" w:fill="auto"/>
            <w:vAlign w:val="bottom"/>
          </w:tcPr>
          <w:p w:rsidR="00C23BEB" w:rsidRPr="00C23BEB" w:rsidRDefault="00C23BEB" w:rsidP="00C23BEB">
            <w:pPr>
              <w:pStyle w:val="SingleTxt"/>
              <w:suppressAutoHyphens/>
              <w:spacing w:before="40" w:after="40" w:line="210" w:lineRule="exact"/>
              <w:ind w:left="0" w:right="43"/>
              <w:jc w:val="right"/>
              <w:rPr>
                <w:b/>
                <w:sz w:val="17"/>
                <w:lang w:val="fr-FR"/>
              </w:rPr>
            </w:pPr>
          </w:p>
        </w:tc>
        <w:tc>
          <w:tcPr>
            <w:tcW w:w="1041" w:type="dxa"/>
            <w:tcBorders>
              <w:top w:val="single" w:sz="12" w:space="0" w:color="auto"/>
            </w:tcBorders>
            <w:shd w:val="clear" w:color="auto" w:fill="auto"/>
            <w:vAlign w:val="bottom"/>
          </w:tcPr>
          <w:p w:rsidR="00C23BEB" w:rsidRPr="00C23BEB" w:rsidRDefault="00C23BEB" w:rsidP="00C23BEB">
            <w:pPr>
              <w:pStyle w:val="SingleTxt"/>
              <w:suppressAutoHyphens/>
              <w:spacing w:before="40" w:after="40" w:line="210" w:lineRule="exact"/>
              <w:ind w:left="0" w:right="43"/>
              <w:jc w:val="right"/>
              <w:rPr>
                <w:b/>
                <w:sz w:val="17"/>
                <w:lang w:val="fr-FR"/>
              </w:rPr>
            </w:pPr>
          </w:p>
        </w:tc>
      </w:tr>
      <w:tr w:rsidR="00826E0F" w:rsidRPr="00C23BEB" w:rsidTr="00C23BEB">
        <w:trPr>
          <w:jc w:val="center"/>
        </w:trPr>
        <w:tc>
          <w:tcPr>
            <w:tcW w:w="1078" w:type="dxa"/>
            <w:shd w:val="clear" w:color="auto" w:fill="auto"/>
            <w:vAlign w:val="bottom"/>
          </w:tcPr>
          <w:p w:rsidR="00826E0F" w:rsidRPr="00C23BEB" w:rsidRDefault="00826E0F" w:rsidP="00C23BEB">
            <w:pPr>
              <w:pStyle w:val="SingleTxt"/>
              <w:tabs>
                <w:tab w:val="left" w:pos="288"/>
                <w:tab w:val="left" w:pos="576"/>
                <w:tab w:val="left" w:pos="864"/>
                <w:tab w:val="left" w:pos="1152"/>
              </w:tabs>
              <w:suppressAutoHyphens/>
              <w:spacing w:before="40" w:after="40" w:line="210" w:lineRule="exact"/>
              <w:ind w:left="0" w:right="43"/>
              <w:rPr>
                <w:b/>
                <w:sz w:val="17"/>
                <w:lang w:val="fr-FR"/>
              </w:rPr>
            </w:pPr>
            <w:r w:rsidRPr="00C23BEB">
              <w:rPr>
                <w:b/>
                <w:sz w:val="17"/>
                <w:lang w:val="fr-FR"/>
              </w:rPr>
              <w:t>Hommes</w:t>
            </w:r>
          </w:p>
        </w:tc>
        <w:tc>
          <w:tcPr>
            <w:tcW w:w="1040" w:type="dxa"/>
            <w:shd w:val="clear" w:color="auto" w:fill="auto"/>
            <w:vAlign w:val="bottom"/>
          </w:tcPr>
          <w:p w:rsidR="00826E0F" w:rsidRPr="00C23BEB" w:rsidRDefault="00826E0F" w:rsidP="00C23BEB">
            <w:pPr>
              <w:pStyle w:val="SingleTxt"/>
              <w:tabs>
                <w:tab w:val="left" w:pos="288"/>
                <w:tab w:val="left" w:pos="576"/>
                <w:tab w:val="left" w:pos="864"/>
                <w:tab w:val="left" w:pos="1152"/>
              </w:tabs>
              <w:suppressAutoHyphens/>
              <w:spacing w:before="40" w:after="40" w:line="210" w:lineRule="exact"/>
              <w:ind w:left="0" w:right="43"/>
              <w:jc w:val="right"/>
              <w:rPr>
                <w:sz w:val="17"/>
                <w:lang w:val="fr-FR"/>
              </w:rPr>
            </w:pPr>
            <w:r w:rsidRPr="00C23BEB">
              <w:rPr>
                <w:sz w:val="17"/>
                <w:lang w:val="fr-FR"/>
              </w:rPr>
              <w:t>93</w:t>
            </w:r>
            <w:r w:rsidR="006645B6">
              <w:rPr>
                <w:sz w:val="17"/>
                <w:lang w:val="fr-FR"/>
              </w:rPr>
              <w:t xml:space="preserve"> %</w:t>
            </w:r>
          </w:p>
        </w:tc>
        <w:tc>
          <w:tcPr>
            <w:tcW w:w="1041" w:type="dxa"/>
            <w:shd w:val="clear" w:color="auto" w:fill="auto"/>
            <w:vAlign w:val="bottom"/>
          </w:tcPr>
          <w:p w:rsidR="00826E0F" w:rsidRPr="00C23BEB" w:rsidRDefault="00826E0F" w:rsidP="00C23BEB">
            <w:pPr>
              <w:pStyle w:val="SingleTxt"/>
              <w:tabs>
                <w:tab w:val="left" w:pos="288"/>
                <w:tab w:val="left" w:pos="576"/>
                <w:tab w:val="left" w:pos="864"/>
                <w:tab w:val="left" w:pos="1152"/>
              </w:tabs>
              <w:suppressAutoHyphens/>
              <w:spacing w:before="40" w:after="40" w:line="210" w:lineRule="exact"/>
              <w:ind w:left="0" w:right="43"/>
              <w:jc w:val="right"/>
              <w:rPr>
                <w:sz w:val="17"/>
                <w:lang w:val="fr-FR"/>
              </w:rPr>
            </w:pPr>
            <w:r w:rsidRPr="00C23BEB">
              <w:rPr>
                <w:sz w:val="17"/>
                <w:lang w:val="fr-FR"/>
              </w:rPr>
              <w:t>77</w:t>
            </w:r>
            <w:r w:rsidR="006645B6">
              <w:rPr>
                <w:sz w:val="17"/>
                <w:lang w:val="fr-FR"/>
              </w:rPr>
              <w:t xml:space="preserve"> %</w:t>
            </w:r>
          </w:p>
        </w:tc>
        <w:tc>
          <w:tcPr>
            <w:tcW w:w="1041" w:type="dxa"/>
            <w:shd w:val="clear" w:color="auto" w:fill="auto"/>
            <w:vAlign w:val="bottom"/>
          </w:tcPr>
          <w:p w:rsidR="00826E0F" w:rsidRPr="00C23BEB" w:rsidRDefault="00826E0F" w:rsidP="00C23BEB">
            <w:pPr>
              <w:pStyle w:val="SingleTxt"/>
              <w:tabs>
                <w:tab w:val="left" w:pos="288"/>
                <w:tab w:val="left" w:pos="576"/>
                <w:tab w:val="left" w:pos="864"/>
                <w:tab w:val="left" w:pos="1152"/>
              </w:tabs>
              <w:suppressAutoHyphens/>
              <w:spacing w:before="40" w:after="40" w:line="210" w:lineRule="exact"/>
              <w:ind w:left="0" w:right="43"/>
              <w:jc w:val="right"/>
              <w:rPr>
                <w:sz w:val="17"/>
                <w:lang w:val="fr-FR"/>
              </w:rPr>
            </w:pPr>
            <w:r w:rsidRPr="00C23BEB">
              <w:rPr>
                <w:sz w:val="17"/>
                <w:lang w:val="fr-FR"/>
              </w:rPr>
              <w:t>70</w:t>
            </w:r>
            <w:r w:rsidR="006645B6">
              <w:rPr>
                <w:sz w:val="17"/>
                <w:lang w:val="fr-FR"/>
              </w:rPr>
              <w:t xml:space="preserve"> %</w:t>
            </w:r>
          </w:p>
        </w:tc>
        <w:tc>
          <w:tcPr>
            <w:tcW w:w="1041" w:type="dxa"/>
            <w:shd w:val="clear" w:color="auto" w:fill="auto"/>
            <w:vAlign w:val="bottom"/>
          </w:tcPr>
          <w:p w:rsidR="00826E0F" w:rsidRPr="00C23BEB" w:rsidRDefault="00826E0F" w:rsidP="00C23BEB">
            <w:pPr>
              <w:pStyle w:val="SingleTxt"/>
              <w:tabs>
                <w:tab w:val="left" w:pos="288"/>
                <w:tab w:val="left" w:pos="576"/>
                <w:tab w:val="left" w:pos="864"/>
                <w:tab w:val="left" w:pos="1152"/>
              </w:tabs>
              <w:suppressAutoHyphens/>
              <w:spacing w:before="40" w:after="40" w:line="210" w:lineRule="exact"/>
              <w:ind w:left="0" w:right="43"/>
              <w:jc w:val="right"/>
              <w:rPr>
                <w:sz w:val="17"/>
                <w:lang w:val="fr-FR"/>
              </w:rPr>
            </w:pPr>
            <w:r w:rsidRPr="00C23BEB">
              <w:rPr>
                <w:sz w:val="17"/>
                <w:lang w:val="fr-FR"/>
              </w:rPr>
              <w:t>57</w:t>
            </w:r>
            <w:r w:rsidR="006645B6">
              <w:rPr>
                <w:sz w:val="17"/>
                <w:lang w:val="fr-FR"/>
              </w:rPr>
              <w:t xml:space="preserve"> %</w:t>
            </w:r>
          </w:p>
        </w:tc>
        <w:tc>
          <w:tcPr>
            <w:tcW w:w="1041" w:type="dxa"/>
            <w:shd w:val="clear" w:color="auto" w:fill="auto"/>
            <w:vAlign w:val="bottom"/>
          </w:tcPr>
          <w:p w:rsidR="00826E0F" w:rsidRPr="00C23BEB" w:rsidRDefault="00826E0F" w:rsidP="00C23BEB">
            <w:pPr>
              <w:pStyle w:val="SingleTxt"/>
              <w:tabs>
                <w:tab w:val="left" w:pos="288"/>
                <w:tab w:val="left" w:pos="576"/>
                <w:tab w:val="left" w:pos="864"/>
                <w:tab w:val="left" w:pos="1152"/>
              </w:tabs>
              <w:suppressAutoHyphens/>
              <w:spacing w:before="40" w:after="40" w:line="210" w:lineRule="exact"/>
              <w:ind w:left="0" w:right="43"/>
              <w:jc w:val="right"/>
              <w:rPr>
                <w:sz w:val="17"/>
                <w:lang w:val="fr-FR"/>
              </w:rPr>
            </w:pPr>
            <w:r w:rsidRPr="00C23BEB">
              <w:rPr>
                <w:sz w:val="17"/>
                <w:lang w:val="fr-FR"/>
              </w:rPr>
              <w:t>57</w:t>
            </w:r>
            <w:r w:rsidR="006645B6">
              <w:rPr>
                <w:sz w:val="17"/>
                <w:lang w:val="fr-FR"/>
              </w:rPr>
              <w:t xml:space="preserve"> %</w:t>
            </w:r>
          </w:p>
        </w:tc>
        <w:tc>
          <w:tcPr>
            <w:tcW w:w="1041" w:type="dxa"/>
            <w:shd w:val="clear" w:color="auto" w:fill="auto"/>
            <w:vAlign w:val="bottom"/>
          </w:tcPr>
          <w:p w:rsidR="00826E0F" w:rsidRPr="00C23BEB" w:rsidRDefault="00826E0F" w:rsidP="00C23BEB">
            <w:pPr>
              <w:pStyle w:val="SingleTxt"/>
              <w:tabs>
                <w:tab w:val="left" w:pos="288"/>
                <w:tab w:val="left" w:pos="576"/>
                <w:tab w:val="left" w:pos="864"/>
                <w:tab w:val="left" w:pos="1152"/>
              </w:tabs>
              <w:suppressAutoHyphens/>
              <w:spacing w:before="40" w:after="40" w:line="210" w:lineRule="exact"/>
              <w:ind w:left="0" w:right="43"/>
              <w:jc w:val="right"/>
              <w:rPr>
                <w:sz w:val="17"/>
                <w:lang w:val="fr-FR"/>
              </w:rPr>
            </w:pPr>
            <w:r w:rsidRPr="00C23BEB">
              <w:rPr>
                <w:sz w:val="17"/>
                <w:lang w:val="fr-FR"/>
              </w:rPr>
              <w:t>54</w:t>
            </w:r>
            <w:r w:rsidR="006645B6">
              <w:rPr>
                <w:sz w:val="17"/>
                <w:lang w:val="fr-FR"/>
              </w:rPr>
              <w:t xml:space="preserve"> %</w:t>
            </w:r>
          </w:p>
        </w:tc>
      </w:tr>
      <w:tr w:rsidR="00826E0F" w:rsidRPr="00C23BEB" w:rsidTr="00C23BEB">
        <w:trPr>
          <w:jc w:val="center"/>
        </w:trPr>
        <w:tc>
          <w:tcPr>
            <w:tcW w:w="1078" w:type="dxa"/>
            <w:tcBorders>
              <w:bottom w:val="single" w:sz="12" w:space="0" w:color="auto"/>
            </w:tcBorders>
            <w:shd w:val="clear" w:color="auto" w:fill="auto"/>
            <w:vAlign w:val="bottom"/>
          </w:tcPr>
          <w:p w:rsidR="00826E0F" w:rsidRPr="00C23BEB" w:rsidRDefault="00826E0F" w:rsidP="00C23BEB">
            <w:pPr>
              <w:pStyle w:val="SingleTxt"/>
              <w:tabs>
                <w:tab w:val="left" w:pos="288"/>
                <w:tab w:val="left" w:pos="576"/>
                <w:tab w:val="left" w:pos="864"/>
                <w:tab w:val="left" w:pos="1152"/>
              </w:tabs>
              <w:suppressAutoHyphens/>
              <w:spacing w:before="40" w:after="40" w:line="210" w:lineRule="exact"/>
              <w:ind w:left="0" w:right="43"/>
              <w:rPr>
                <w:b/>
                <w:sz w:val="17"/>
                <w:lang w:val="fr-FR"/>
              </w:rPr>
            </w:pPr>
            <w:r w:rsidRPr="00C23BEB">
              <w:rPr>
                <w:b/>
                <w:sz w:val="17"/>
                <w:lang w:val="fr-FR"/>
              </w:rPr>
              <w:t>Femmes</w:t>
            </w:r>
          </w:p>
        </w:tc>
        <w:tc>
          <w:tcPr>
            <w:tcW w:w="1040" w:type="dxa"/>
            <w:tcBorders>
              <w:bottom w:val="single" w:sz="12" w:space="0" w:color="auto"/>
            </w:tcBorders>
            <w:shd w:val="clear" w:color="auto" w:fill="auto"/>
            <w:vAlign w:val="bottom"/>
          </w:tcPr>
          <w:p w:rsidR="00826E0F" w:rsidRPr="00C23BEB" w:rsidRDefault="00826E0F" w:rsidP="00C23BEB">
            <w:pPr>
              <w:pStyle w:val="SingleTxt"/>
              <w:tabs>
                <w:tab w:val="left" w:pos="288"/>
                <w:tab w:val="left" w:pos="576"/>
                <w:tab w:val="left" w:pos="864"/>
                <w:tab w:val="left" w:pos="1152"/>
              </w:tabs>
              <w:suppressAutoHyphens/>
              <w:spacing w:before="40" w:after="40" w:line="210" w:lineRule="exact"/>
              <w:ind w:left="0" w:right="43"/>
              <w:jc w:val="right"/>
              <w:rPr>
                <w:sz w:val="17"/>
                <w:lang w:val="fr-FR"/>
              </w:rPr>
            </w:pPr>
            <w:r w:rsidRPr="00C23BEB">
              <w:rPr>
                <w:sz w:val="17"/>
                <w:lang w:val="fr-FR"/>
              </w:rPr>
              <w:t>7</w:t>
            </w:r>
            <w:r w:rsidR="006645B6">
              <w:rPr>
                <w:sz w:val="17"/>
                <w:lang w:val="fr-FR"/>
              </w:rPr>
              <w:t xml:space="preserve"> %</w:t>
            </w:r>
          </w:p>
        </w:tc>
        <w:tc>
          <w:tcPr>
            <w:tcW w:w="1041" w:type="dxa"/>
            <w:tcBorders>
              <w:bottom w:val="single" w:sz="12" w:space="0" w:color="auto"/>
            </w:tcBorders>
            <w:shd w:val="clear" w:color="auto" w:fill="auto"/>
            <w:vAlign w:val="bottom"/>
          </w:tcPr>
          <w:p w:rsidR="00826E0F" w:rsidRPr="00C23BEB" w:rsidRDefault="00826E0F" w:rsidP="00C23BEB">
            <w:pPr>
              <w:pStyle w:val="SingleTxt"/>
              <w:tabs>
                <w:tab w:val="left" w:pos="288"/>
                <w:tab w:val="left" w:pos="576"/>
                <w:tab w:val="left" w:pos="864"/>
                <w:tab w:val="left" w:pos="1152"/>
              </w:tabs>
              <w:suppressAutoHyphens/>
              <w:spacing w:before="40" w:after="40" w:line="210" w:lineRule="exact"/>
              <w:ind w:left="0" w:right="43"/>
              <w:jc w:val="right"/>
              <w:rPr>
                <w:sz w:val="17"/>
                <w:lang w:val="fr-FR"/>
              </w:rPr>
            </w:pPr>
            <w:r w:rsidRPr="00C23BEB">
              <w:rPr>
                <w:sz w:val="17"/>
                <w:lang w:val="fr-FR"/>
              </w:rPr>
              <w:t>23</w:t>
            </w:r>
            <w:r w:rsidR="006645B6">
              <w:rPr>
                <w:sz w:val="17"/>
                <w:lang w:val="fr-FR"/>
              </w:rPr>
              <w:t xml:space="preserve"> %</w:t>
            </w:r>
          </w:p>
        </w:tc>
        <w:tc>
          <w:tcPr>
            <w:tcW w:w="1041" w:type="dxa"/>
            <w:tcBorders>
              <w:bottom w:val="single" w:sz="12" w:space="0" w:color="auto"/>
            </w:tcBorders>
            <w:shd w:val="clear" w:color="auto" w:fill="auto"/>
            <w:vAlign w:val="bottom"/>
          </w:tcPr>
          <w:p w:rsidR="00826E0F" w:rsidRPr="00C23BEB" w:rsidRDefault="00826E0F" w:rsidP="00C23BEB">
            <w:pPr>
              <w:pStyle w:val="SingleTxt"/>
              <w:tabs>
                <w:tab w:val="left" w:pos="288"/>
                <w:tab w:val="left" w:pos="576"/>
                <w:tab w:val="left" w:pos="864"/>
                <w:tab w:val="left" w:pos="1152"/>
              </w:tabs>
              <w:suppressAutoHyphens/>
              <w:spacing w:before="40" w:after="40" w:line="210" w:lineRule="exact"/>
              <w:ind w:left="0" w:right="43"/>
              <w:jc w:val="right"/>
              <w:rPr>
                <w:sz w:val="17"/>
                <w:lang w:val="fr-FR"/>
              </w:rPr>
            </w:pPr>
            <w:r w:rsidRPr="00C23BEB">
              <w:rPr>
                <w:sz w:val="17"/>
                <w:lang w:val="fr-FR"/>
              </w:rPr>
              <w:t>30</w:t>
            </w:r>
            <w:r w:rsidR="006645B6">
              <w:rPr>
                <w:sz w:val="17"/>
                <w:lang w:val="fr-FR"/>
              </w:rPr>
              <w:t xml:space="preserve"> %</w:t>
            </w:r>
          </w:p>
        </w:tc>
        <w:tc>
          <w:tcPr>
            <w:tcW w:w="1041" w:type="dxa"/>
            <w:tcBorders>
              <w:bottom w:val="single" w:sz="12" w:space="0" w:color="auto"/>
            </w:tcBorders>
            <w:shd w:val="clear" w:color="auto" w:fill="auto"/>
            <w:vAlign w:val="bottom"/>
          </w:tcPr>
          <w:p w:rsidR="00826E0F" w:rsidRPr="00C23BEB" w:rsidRDefault="00826E0F" w:rsidP="00C23BEB">
            <w:pPr>
              <w:pStyle w:val="SingleTxt"/>
              <w:tabs>
                <w:tab w:val="left" w:pos="288"/>
                <w:tab w:val="left" w:pos="576"/>
                <w:tab w:val="left" w:pos="864"/>
                <w:tab w:val="left" w:pos="1152"/>
              </w:tabs>
              <w:suppressAutoHyphens/>
              <w:spacing w:before="40" w:after="40" w:line="210" w:lineRule="exact"/>
              <w:ind w:left="0" w:right="43"/>
              <w:jc w:val="right"/>
              <w:rPr>
                <w:sz w:val="17"/>
                <w:lang w:val="fr-FR"/>
              </w:rPr>
            </w:pPr>
            <w:r w:rsidRPr="00C23BEB">
              <w:rPr>
                <w:sz w:val="17"/>
                <w:lang w:val="fr-FR"/>
              </w:rPr>
              <w:t>43</w:t>
            </w:r>
            <w:r w:rsidR="006645B6">
              <w:rPr>
                <w:sz w:val="17"/>
                <w:lang w:val="fr-FR"/>
              </w:rPr>
              <w:t xml:space="preserve"> %</w:t>
            </w:r>
          </w:p>
        </w:tc>
        <w:tc>
          <w:tcPr>
            <w:tcW w:w="1041" w:type="dxa"/>
            <w:tcBorders>
              <w:bottom w:val="single" w:sz="12" w:space="0" w:color="auto"/>
            </w:tcBorders>
            <w:shd w:val="clear" w:color="auto" w:fill="auto"/>
            <w:vAlign w:val="bottom"/>
          </w:tcPr>
          <w:p w:rsidR="00826E0F" w:rsidRPr="00C23BEB" w:rsidRDefault="00826E0F" w:rsidP="00C23BEB">
            <w:pPr>
              <w:pStyle w:val="SingleTxt"/>
              <w:tabs>
                <w:tab w:val="left" w:pos="288"/>
                <w:tab w:val="left" w:pos="576"/>
                <w:tab w:val="left" w:pos="864"/>
                <w:tab w:val="left" w:pos="1152"/>
              </w:tabs>
              <w:suppressAutoHyphens/>
              <w:spacing w:before="40" w:after="40" w:line="210" w:lineRule="exact"/>
              <w:ind w:left="0" w:right="43"/>
              <w:jc w:val="right"/>
              <w:rPr>
                <w:sz w:val="17"/>
                <w:lang w:val="fr-FR"/>
              </w:rPr>
            </w:pPr>
            <w:r w:rsidRPr="00C23BEB">
              <w:rPr>
                <w:sz w:val="17"/>
                <w:lang w:val="fr-FR"/>
              </w:rPr>
              <w:t>43</w:t>
            </w:r>
            <w:r w:rsidR="006645B6">
              <w:rPr>
                <w:sz w:val="17"/>
                <w:lang w:val="fr-FR"/>
              </w:rPr>
              <w:t xml:space="preserve"> %</w:t>
            </w:r>
          </w:p>
        </w:tc>
        <w:tc>
          <w:tcPr>
            <w:tcW w:w="1041" w:type="dxa"/>
            <w:tcBorders>
              <w:bottom w:val="single" w:sz="12" w:space="0" w:color="auto"/>
            </w:tcBorders>
            <w:shd w:val="clear" w:color="auto" w:fill="auto"/>
            <w:vAlign w:val="bottom"/>
          </w:tcPr>
          <w:p w:rsidR="00826E0F" w:rsidRPr="00C23BEB" w:rsidRDefault="00826E0F" w:rsidP="00C23BEB">
            <w:pPr>
              <w:pStyle w:val="SingleTxt"/>
              <w:tabs>
                <w:tab w:val="left" w:pos="288"/>
                <w:tab w:val="left" w:pos="576"/>
                <w:tab w:val="left" w:pos="864"/>
                <w:tab w:val="left" w:pos="1152"/>
              </w:tabs>
              <w:suppressAutoHyphens/>
              <w:spacing w:before="40" w:after="40" w:line="210" w:lineRule="exact"/>
              <w:ind w:left="0" w:right="43"/>
              <w:jc w:val="right"/>
              <w:rPr>
                <w:sz w:val="17"/>
                <w:lang w:val="fr-FR"/>
              </w:rPr>
            </w:pPr>
            <w:r w:rsidRPr="00C23BEB">
              <w:rPr>
                <w:sz w:val="17"/>
                <w:lang w:val="fr-FR"/>
              </w:rPr>
              <w:t>46</w:t>
            </w:r>
            <w:r w:rsidR="006645B6">
              <w:rPr>
                <w:sz w:val="17"/>
                <w:lang w:val="fr-FR"/>
              </w:rPr>
              <w:t xml:space="preserve"> %</w:t>
            </w:r>
          </w:p>
        </w:tc>
      </w:tr>
    </w:tbl>
    <w:p w:rsidR="00C23BEB" w:rsidRPr="00C23BEB" w:rsidRDefault="00C23BEB" w:rsidP="00C23BEB">
      <w:pPr>
        <w:pStyle w:val="SingleTxt"/>
        <w:spacing w:after="0" w:line="120" w:lineRule="exact"/>
        <w:rPr>
          <w:sz w:val="10"/>
          <w:lang w:val="fr-FR"/>
        </w:rPr>
      </w:pPr>
    </w:p>
    <w:p w:rsidR="00826E0F" w:rsidRPr="00872599" w:rsidRDefault="00826E0F" w:rsidP="00C23BEB">
      <w:pPr>
        <w:pStyle w:val="FootnoteText"/>
        <w:tabs>
          <w:tab w:val="clear" w:pos="418"/>
          <w:tab w:val="right" w:pos="1476"/>
          <w:tab w:val="left" w:pos="1548"/>
          <w:tab w:val="right" w:pos="1836"/>
          <w:tab w:val="left" w:pos="1908"/>
        </w:tabs>
        <w:ind w:left="1548" w:right="1267" w:hanging="288"/>
        <w:rPr>
          <w:lang w:val="fr-FR"/>
        </w:rPr>
      </w:pPr>
      <w:r w:rsidRPr="00C23BEB">
        <w:rPr>
          <w:i/>
          <w:lang w:val="fr-FR"/>
        </w:rPr>
        <w:t>Source</w:t>
      </w:r>
      <w:r w:rsidR="006645B6">
        <w:rPr>
          <w:lang w:val="fr-FR"/>
        </w:rPr>
        <w:t> :</w:t>
      </w:r>
      <w:r w:rsidRPr="00872599">
        <w:rPr>
          <w:lang w:val="fr-FR"/>
        </w:rPr>
        <w:t xml:space="preserve"> Bureau des affaires économiques. Statistiques de l</w:t>
      </w:r>
      <w:r w:rsidR="006645B6">
        <w:rPr>
          <w:lang w:val="fr-FR"/>
        </w:rPr>
        <w:t>’</w:t>
      </w:r>
      <w:r w:rsidRPr="00872599">
        <w:rPr>
          <w:lang w:val="fr-FR"/>
        </w:rPr>
        <w:t>éducation 2005 – 2008.</w:t>
      </w:r>
    </w:p>
    <w:p w:rsidR="00C23BEB" w:rsidRPr="00C23BEB" w:rsidRDefault="00C23BEB" w:rsidP="00C23BEB">
      <w:pPr>
        <w:pStyle w:val="SingleTxt"/>
        <w:spacing w:after="0" w:line="120" w:lineRule="exact"/>
        <w:rPr>
          <w:sz w:val="10"/>
          <w:lang w:val="fr-FR" w:eastAsia="fr-FR"/>
        </w:rPr>
      </w:pPr>
    </w:p>
    <w:p w:rsidR="00826E0F" w:rsidRPr="00872599" w:rsidRDefault="00C23BEB" w:rsidP="000E00B5">
      <w:pPr>
        <w:pStyle w:val="SingleTxt"/>
        <w:spacing w:after="100"/>
        <w:rPr>
          <w:lang w:val="fr-FR" w:eastAsia="fr-FR"/>
        </w:rPr>
      </w:pPr>
      <w:r>
        <w:rPr>
          <w:lang w:val="fr-FR" w:eastAsia="fr-FR"/>
        </w:rPr>
        <w:tab/>
      </w:r>
      <w:r w:rsidR="00826E0F" w:rsidRPr="00872599">
        <w:rPr>
          <w:lang w:val="fr-FR" w:eastAsia="fr-FR"/>
        </w:rPr>
        <w:t>Pour ce qui est de la formation professionnelle de base (apprentissages), il continue d</w:t>
      </w:r>
      <w:r w:rsidR="006645B6">
        <w:rPr>
          <w:lang w:val="fr-FR" w:eastAsia="fr-FR"/>
        </w:rPr>
        <w:t>’</w:t>
      </w:r>
      <w:r w:rsidR="00826E0F" w:rsidRPr="00872599">
        <w:rPr>
          <w:lang w:val="fr-FR" w:eastAsia="fr-FR"/>
        </w:rPr>
        <w:t>exister un fort déséquilibre entre les jeunes femmes et les jeunes hommes. En 2008, 404 jeunes au total ont décidé d</w:t>
      </w:r>
      <w:r w:rsidR="006645B6">
        <w:rPr>
          <w:lang w:val="fr-FR" w:eastAsia="fr-FR"/>
        </w:rPr>
        <w:t>’</w:t>
      </w:r>
      <w:r w:rsidR="00826E0F" w:rsidRPr="00872599">
        <w:rPr>
          <w:lang w:val="fr-FR" w:eastAsia="fr-FR"/>
        </w:rPr>
        <w:t>entamer une formation professionnelle de base, 43</w:t>
      </w:r>
      <w:r w:rsidR="006645B6">
        <w:rPr>
          <w:lang w:val="fr-FR" w:eastAsia="fr-FR"/>
        </w:rPr>
        <w:t> %</w:t>
      </w:r>
      <w:r w:rsidR="00826E0F" w:rsidRPr="00872599">
        <w:rPr>
          <w:lang w:val="fr-FR" w:eastAsia="fr-FR"/>
        </w:rPr>
        <w:t xml:space="preserve"> d</w:t>
      </w:r>
      <w:r w:rsidR="006645B6">
        <w:rPr>
          <w:lang w:val="fr-FR" w:eastAsia="fr-FR"/>
        </w:rPr>
        <w:t>’</w:t>
      </w:r>
      <w:r w:rsidR="00826E0F" w:rsidRPr="00872599">
        <w:rPr>
          <w:lang w:val="fr-FR" w:eastAsia="fr-FR"/>
        </w:rPr>
        <w:t>entre eux étant des femmes et 57</w:t>
      </w:r>
      <w:r w:rsidR="006645B6">
        <w:rPr>
          <w:lang w:val="fr-FR" w:eastAsia="fr-FR"/>
        </w:rPr>
        <w:t xml:space="preserve"> %</w:t>
      </w:r>
      <w:r w:rsidR="00826E0F" w:rsidRPr="00872599">
        <w:rPr>
          <w:lang w:val="fr-FR" w:eastAsia="fr-FR"/>
        </w:rPr>
        <w:t xml:space="preserve"> des hommes. Plus de la moitié des jeunes femmes ont commencé un apprentissage dans les domaines du commerce, des services et de la logistique, la plupart dans le secteur commercial (services fiduciaires, industrie, banque). La plupart des jeunes hommes ont acquis une formation dans des métiers spécialisés tels que les travaux publics, le bâtiment et la menuiserie ainsi que dans l</w:t>
      </w:r>
      <w:r w:rsidR="006645B6">
        <w:rPr>
          <w:lang w:val="fr-FR" w:eastAsia="fr-FR"/>
        </w:rPr>
        <w:t>’</w:t>
      </w:r>
      <w:r w:rsidR="00826E0F" w:rsidRPr="00872599">
        <w:rPr>
          <w:lang w:val="fr-FR" w:eastAsia="fr-FR"/>
        </w:rPr>
        <w:t>industrie et les métiers techniques. Tandis que les femmes choisissaient 45 des 85 options offertes en formation professionnelle, les hommes ont été employés dans 61 types d</w:t>
      </w:r>
      <w:r w:rsidR="006645B6">
        <w:rPr>
          <w:lang w:val="fr-FR" w:eastAsia="fr-FR"/>
        </w:rPr>
        <w:t>’</w:t>
      </w:r>
      <w:r w:rsidR="00826E0F" w:rsidRPr="00872599">
        <w:rPr>
          <w:lang w:val="fr-FR" w:eastAsia="fr-FR"/>
        </w:rPr>
        <w:t>apprentissage différents. D</w:t>
      </w:r>
      <w:r w:rsidR="006645B6">
        <w:rPr>
          <w:lang w:val="fr-FR" w:eastAsia="fr-FR"/>
        </w:rPr>
        <w:t>’</w:t>
      </w:r>
      <w:r w:rsidR="00826E0F" w:rsidRPr="00872599">
        <w:rPr>
          <w:lang w:val="fr-FR" w:eastAsia="fr-FR"/>
        </w:rPr>
        <w:t xml:space="preserve">une manière générale, il est frappant de constater que le choix de la carrière repose encore nettement sur la répartition traditionnelle des carrières </w:t>
      </w:r>
      <w:r w:rsidR="00826E0F">
        <w:rPr>
          <w:lang w:val="fr-FR" w:eastAsia="fr-FR"/>
        </w:rPr>
        <w:t>entre</w:t>
      </w:r>
      <w:r w:rsidR="00826E0F" w:rsidRPr="00872599">
        <w:rPr>
          <w:lang w:val="fr-FR" w:eastAsia="fr-FR"/>
        </w:rPr>
        <w:t xml:space="preserve"> femmes et hommes .</w:t>
      </w:r>
    </w:p>
    <w:p w:rsidR="00C23BEB" w:rsidRPr="00C23BEB" w:rsidRDefault="00C23BEB" w:rsidP="00C23BEB">
      <w:pPr>
        <w:pStyle w:val="SingleTxt"/>
        <w:spacing w:after="0" w:line="120" w:lineRule="exact"/>
        <w:rPr>
          <w:sz w:val="10"/>
          <w:lang w:val="fr-FR" w:eastAsia="fr-FR"/>
        </w:rPr>
      </w:pPr>
    </w:p>
    <w:p w:rsidR="00826E0F" w:rsidRDefault="00C23BEB" w:rsidP="00C23B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826E0F" w:rsidRPr="00C23BEB">
        <w:rPr>
          <w:b w:val="0"/>
          <w:lang w:val="fr-FR"/>
        </w:rPr>
        <w:t>Tableau 8</w:t>
      </w:r>
      <w:r>
        <w:rPr>
          <w:lang w:val="fr-FR"/>
        </w:rPr>
        <w:br/>
      </w:r>
      <w:r w:rsidR="00826E0F" w:rsidRPr="00872599">
        <w:rPr>
          <w:lang w:val="fr-FR"/>
        </w:rPr>
        <w:t>Proportion de filles parmi les apprentis</w:t>
      </w:r>
    </w:p>
    <w:p w:rsidR="00C23BEB" w:rsidRPr="00C23BEB" w:rsidRDefault="00C23BEB" w:rsidP="00C23BEB">
      <w:pPr>
        <w:pStyle w:val="SingleTxt"/>
        <w:spacing w:after="0" w:line="120" w:lineRule="exact"/>
        <w:rPr>
          <w:sz w:val="10"/>
          <w:lang w:val="fr-FR"/>
        </w:rPr>
      </w:pPr>
    </w:p>
    <w:tbl>
      <w:tblPr>
        <w:tblW w:w="0" w:type="auto"/>
        <w:jc w:val="center"/>
        <w:tblInd w:w="1267" w:type="dxa"/>
        <w:tblLayout w:type="fixed"/>
        <w:tblLook w:val="0000" w:firstRow="0" w:lastRow="0" w:firstColumn="0" w:lastColumn="0" w:noHBand="0" w:noVBand="0"/>
      </w:tblPr>
      <w:tblGrid>
        <w:gridCol w:w="770"/>
        <w:gridCol w:w="2183"/>
        <w:gridCol w:w="2183"/>
        <w:gridCol w:w="2183"/>
      </w:tblGrid>
      <w:tr w:rsidR="00826E0F" w:rsidRPr="00C23BEB" w:rsidTr="00C23BEB">
        <w:trPr>
          <w:trHeight w:val="255"/>
          <w:tblHeader/>
          <w:jc w:val="center"/>
        </w:trPr>
        <w:tc>
          <w:tcPr>
            <w:tcW w:w="770" w:type="dxa"/>
            <w:tcBorders>
              <w:top w:val="single" w:sz="4" w:space="0" w:color="auto"/>
              <w:bottom w:val="single" w:sz="12" w:space="0" w:color="auto"/>
            </w:tcBorders>
            <w:shd w:val="clear" w:color="auto" w:fill="auto"/>
            <w:vAlign w:val="bottom"/>
          </w:tcPr>
          <w:p w:rsidR="00826E0F" w:rsidRPr="00C23BEB" w:rsidRDefault="00826E0F" w:rsidP="00C23BEB">
            <w:pPr>
              <w:pStyle w:val="SingleTxt"/>
              <w:suppressAutoHyphens/>
              <w:spacing w:before="80" w:after="80" w:line="160" w:lineRule="exact"/>
              <w:ind w:left="0" w:right="43"/>
              <w:rPr>
                <w:i/>
                <w:sz w:val="14"/>
                <w:lang w:val="fr-FR"/>
              </w:rPr>
            </w:pPr>
            <w:r w:rsidRPr="00C23BEB">
              <w:rPr>
                <w:i/>
                <w:sz w:val="14"/>
                <w:lang w:val="fr-FR"/>
              </w:rPr>
              <w:t>Année</w:t>
            </w:r>
          </w:p>
        </w:tc>
        <w:tc>
          <w:tcPr>
            <w:tcW w:w="2183" w:type="dxa"/>
            <w:tcBorders>
              <w:top w:val="single" w:sz="4" w:space="0" w:color="auto"/>
              <w:bottom w:val="single" w:sz="12" w:space="0" w:color="auto"/>
            </w:tcBorders>
            <w:shd w:val="clear" w:color="auto" w:fill="auto"/>
            <w:vAlign w:val="bottom"/>
          </w:tcPr>
          <w:p w:rsidR="00826E0F" w:rsidRPr="00C23BEB" w:rsidRDefault="00826E0F" w:rsidP="00C23BEB">
            <w:pPr>
              <w:pStyle w:val="SingleTxt"/>
              <w:suppressAutoHyphens/>
              <w:spacing w:before="80" w:after="80" w:line="160" w:lineRule="exact"/>
              <w:ind w:left="0" w:right="43"/>
              <w:jc w:val="right"/>
              <w:rPr>
                <w:i/>
                <w:sz w:val="14"/>
                <w:lang w:val="fr-FR"/>
              </w:rPr>
            </w:pPr>
            <w:r w:rsidRPr="00C23BEB">
              <w:rPr>
                <w:i/>
                <w:sz w:val="14"/>
                <w:lang w:val="fr-FR"/>
              </w:rPr>
              <w:t>Total</w:t>
            </w:r>
          </w:p>
        </w:tc>
        <w:tc>
          <w:tcPr>
            <w:tcW w:w="2183" w:type="dxa"/>
            <w:tcBorders>
              <w:top w:val="single" w:sz="4" w:space="0" w:color="auto"/>
              <w:bottom w:val="single" w:sz="12" w:space="0" w:color="auto"/>
            </w:tcBorders>
            <w:shd w:val="clear" w:color="auto" w:fill="auto"/>
            <w:vAlign w:val="bottom"/>
          </w:tcPr>
          <w:p w:rsidR="00826E0F" w:rsidRPr="00C23BEB" w:rsidRDefault="00826E0F" w:rsidP="00C23BEB">
            <w:pPr>
              <w:pStyle w:val="SingleTxt"/>
              <w:suppressAutoHyphens/>
              <w:spacing w:before="80" w:after="80" w:line="160" w:lineRule="exact"/>
              <w:ind w:left="0" w:right="43"/>
              <w:jc w:val="right"/>
              <w:rPr>
                <w:i/>
                <w:sz w:val="14"/>
                <w:lang w:val="fr-FR"/>
              </w:rPr>
            </w:pPr>
            <w:r w:rsidRPr="00C23BEB">
              <w:rPr>
                <w:i/>
                <w:sz w:val="14"/>
                <w:lang w:val="fr-FR"/>
              </w:rPr>
              <w:t>Filles</w:t>
            </w:r>
          </w:p>
        </w:tc>
        <w:tc>
          <w:tcPr>
            <w:tcW w:w="2183" w:type="dxa"/>
            <w:tcBorders>
              <w:top w:val="single" w:sz="4" w:space="0" w:color="auto"/>
              <w:bottom w:val="single" w:sz="12" w:space="0" w:color="auto"/>
            </w:tcBorders>
            <w:shd w:val="clear" w:color="auto" w:fill="auto"/>
            <w:vAlign w:val="bottom"/>
          </w:tcPr>
          <w:p w:rsidR="00826E0F" w:rsidRPr="00C23BEB" w:rsidRDefault="00826E0F" w:rsidP="00C23BEB">
            <w:pPr>
              <w:pStyle w:val="SingleTxt"/>
              <w:suppressAutoHyphens/>
              <w:spacing w:before="80" w:after="80" w:line="160" w:lineRule="exact"/>
              <w:ind w:left="0" w:right="43"/>
              <w:jc w:val="right"/>
              <w:rPr>
                <w:i/>
                <w:sz w:val="14"/>
                <w:lang w:val="fr-FR"/>
              </w:rPr>
            </w:pPr>
            <w:r w:rsidRPr="00C23BEB">
              <w:rPr>
                <w:i/>
                <w:sz w:val="14"/>
                <w:lang w:val="fr-FR"/>
              </w:rPr>
              <w:t>Filles en</w:t>
            </w:r>
            <w:r w:rsidR="006645B6">
              <w:rPr>
                <w:i/>
                <w:sz w:val="14"/>
                <w:lang w:val="fr-FR"/>
              </w:rPr>
              <w:t xml:space="preserve"> %</w:t>
            </w:r>
          </w:p>
        </w:tc>
      </w:tr>
      <w:tr w:rsidR="00C23BEB" w:rsidRPr="00C23BEB" w:rsidTr="00C23BEB">
        <w:trPr>
          <w:trHeight w:hRule="exact" w:val="115"/>
          <w:tblHeader/>
          <w:jc w:val="center"/>
        </w:trPr>
        <w:tc>
          <w:tcPr>
            <w:tcW w:w="770" w:type="dxa"/>
            <w:tcBorders>
              <w:top w:val="single" w:sz="12" w:space="0" w:color="auto"/>
            </w:tcBorders>
            <w:shd w:val="clear" w:color="auto" w:fill="auto"/>
            <w:vAlign w:val="bottom"/>
          </w:tcPr>
          <w:p w:rsidR="00C23BEB" w:rsidRPr="00C23BEB" w:rsidRDefault="00C23BEB" w:rsidP="00C23BEB">
            <w:pPr>
              <w:pStyle w:val="SingleTxt"/>
              <w:suppressAutoHyphens/>
              <w:spacing w:before="40" w:after="40" w:line="210" w:lineRule="exact"/>
              <w:ind w:left="0" w:right="43"/>
              <w:rPr>
                <w:b/>
                <w:sz w:val="17"/>
                <w:lang w:val="fr-FR"/>
              </w:rPr>
            </w:pPr>
          </w:p>
        </w:tc>
        <w:tc>
          <w:tcPr>
            <w:tcW w:w="2183" w:type="dxa"/>
            <w:tcBorders>
              <w:top w:val="single" w:sz="12" w:space="0" w:color="auto"/>
            </w:tcBorders>
            <w:shd w:val="clear" w:color="auto" w:fill="auto"/>
            <w:vAlign w:val="bottom"/>
          </w:tcPr>
          <w:p w:rsidR="00C23BEB" w:rsidRPr="00C23BEB" w:rsidRDefault="00C23BEB" w:rsidP="00C23BEB">
            <w:pPr>
              <w:pStyle w:val="SingleTxt"/>
              <w:suppressAutoHyphens/>
              <w:spacing w:before="40" w:after="40" w:line="210" w:lineRule="exact"/>
              <w:ind w:left="0" w:right="43"/>
              <w:jc w:val="right"/>
              <w:rPr>
                <w:b/>
                <w:sz w:val="17"/>
                <w:lang w:val="fr-FR"/>
              </w:rPr>
            </w:pPr>
          </w:p>
        </w:tc>
        <w:tc>
          <w:tcPr>
            <w:tcW w:w="2183" w:type="dxa"/>
            <w:tcBorders>
              <w:top w:val="single" w:sz="12" w:space="0" w:color="auto"/>
            </w:tcBorders>
            <w:shd w:val="clear" w:color="auto" w:fill="auto"/>
            <w:vAlign w:val="bottom"/>
          </w:tcPr>
          <w:p w:rsidR="00C23BEB" w:rsidRPr="00C23BEB" w:rsidRDefault="00C23BEB" w:rsidP="00C23BEB">
            <w:pPr>
              <w:pStyle w:val="SingleTxt"/>
              <w:suppressAutoHyphens/>
              <w:spacing w:before="40" w:after="40" w:line="210" w:lineRule="exact"/>
              <w:ind w:left="0" w:right="43"/>
              <w:jc w:val="right"/>
              <w:rPr>
                <w:b/>
                <w:sz w:val="17"/>
                <w:lang w:val="fr-FR"/>
              </w:rPr>
            </w:pPr>
          </w:p>
        </w:tc>
        <w:tc>
          <w:tcPr>
            <w:tcW w:w="2183" w:type="dxa"/>
            <w:tcBorders>
              <w:top w:val="single" w:sz="12" w:space="0" w:color="auto"/>
            </w:tcBorders>
            <w:shd w:val="clear" w:color="auto" w:fill="auto"/>
            <w:vAlign w:val="bottom"/>
          </w:tcPr>
          <w:p w:rsidR="00C23BEB" w:rsidRPr="00C23BEB" w:rsidRDefault="00C23BEB" w:rsidP="00C23BEB">
            <w:pPr>
              <w:pStyle w:val="SingleTxt"/>
              <w:suppressAutoHyphens/>
              <w:spacing w:before="40" w:after="40" w:line="210" w:lineRule="exact"/>
              <w:ind w:left="0" w:right="43"/>
              <w:jc w:val="right"/>
              <w:rPr>
                <w:b/>
                <w:sz w:val="17"/>
                <w:lang w:val="fr-FR"/>
              </w:rPr>
            </w:pPr>
          </w:p>
        </w:tc>
      </w:tr>
      <w:tr w:rsidR="00826E0F" w:rsidRPr="00C23BEB" w:rsidTr="00C23BEB">
        <w:trPr>
          <w:trHeight w:val="255"/>
          <w:jc w:val="center"/>
        </w:trPr>
        <w:tc>
          <w:tcPr>
            <w:tcW w:w="770" w:type="dxa"/>
            <w:shd w:val="clear" w:color="auto" w:fill="auto"/>
            <w:vAlign w:val="bottom"/>
          </w:tcPr>
          <w:p w:rsidR="00826E0F" w:rsidRPr="00C23BEB" w:rsidRDefault="00826E0F" w:rsidP="000E00B5">
            <w:pPr>
              <w:pStyle w:val="SingleTxt"/>
              <w:tabs>
                <w:tab w:val="left" w:pos="288"/>
                <w:tab w:val="left" w:pos="576"/>
                <w:tab w:val="left" w:pos="864"/>
                <w:tab w:val="left" w:pos="1152"/>
              </w:tabs>
              <w:suppressAutoHyphens/>
              <w:spacing w:before="20" w:after="20" w:line="210" w:lineRule="exact"/>
              <w:ind w:left="0" w:right="43"/>
              <w:rPr>
                <w:sz w:val="17"/>
                <w:lang w:val="fr-FR"/>
              </w:rPr>
            </w:pPr>
            <w:r w:rsidRPr="00C23BEB">
              <w:rPr>
                <w:sz w:val="17"/>
                <w:lang w:val="fr-FR"/>
              </w:rPr>
              <w:t>1970</w:t>
            </w:r>
          </w:p>
        </w:tc>
        <w:tc>
          <w:tcPr>
            <w:tcW w:w="2183" w:type="dxa"/>
            <w:shd w:val="clear" w:color="auto" w:fill="auto"/>
            <w:vAlign w:val="bottom"/>
          </w:tcPr>
          <w:p w:rsidR="00826E0F" w:rsidRPr="00C23BEB" w:rsidRDefault="00826E0F" w:rsidP="000E00B5">
            <w:pPr>
              <w:pStyle w:val="SingleTxt"/>
              <w:tabs>
                <w:tab w:val="left" w:pos="288"/>
                <w:tab w:val="left" w:pos="576"/>
                <w:tab w:val="left" w:pos="864"/>
                <w:tab w:val="left" w:pos="1152"/>
              </w:tabs>
              <w:suppressAutoHyphens/>
              <w:spacing w:before="20" w:after="20" w:line="210" w:lineRule="exact"/>
              <w:ind w:left="0" w:right="43"/>
              <w:jc w:val="right"/>
              <w:rPr>
                <w:sz w:val="17"/>
                <w:lang w:val="fr-FR"/>
              </w:rPr>
            </w:pPr>
            <w:r w:rsidRPr="00C23BEB">
              <w:rPr>
                <w:sz w:val="17"/>
                <w:lang w:val="fr-FR"/>
              </w:rPr>
              <w:t>459</w:t>
            </w:r>
          </w:p>
        </w:tc>
        <w:tc>
          <w:tcPr>
            <w:tcW w:w="2183" w:type="dxa"/>
            <w:shd w:val="clear" w:color="auto" w:fill="auto"/>
            <w:vAlign w:val="bottom"/>
          </w:tcPr>
          <w:p w:rsidR="00826E0F" w:rsidRPr="00C23BEB" w:rsidRDefault="00826E0F" w:rsidP="000E00B5">
            <w:pPr>
              <w:pStyle w:val="SingleTxt"/>
              <w:tabs>
                <w:tab w:val="left" w:pos="288"/>
                <w:tab w:val="left" w:pos="576"/>
                <w:tab w:val="left" w:pos="864"/>
                <w:tab w:val="left" w:pos="1152"/>
              </w:tabs>
              <w:suppressAutoHyphens/>
              <w:spacing w:before="20" w:after="20" w:line="210" w:lineRule="exact"/>
              <w:ind w:left="0" w:right="43"/>
              <w:jc w:val="right"/>
              <w:rPr>
                <w:sz w:val="17"/>
                <w:lang w:val="fr-FR"/>
              </w:rPr>
            </w:pPr>
            <w:r w:rsidRPr="00C23BEB">
              <w:rPr>
                <w:sz w:val="17"/>
                <w:lang w:val="fr-FR"/>
              </w:rPr>
              <w:t>68</w:t>
            </w:r>
          </w:p>
        </w:tc>
        <w:tc>
          <w:tcPr>
            <w:tcW w:w="2183" w:type="dxa"/>
            <w:shd w:val="clear" w:color="auto" w:fill="auto"/>
            <w:vAlign w:val="bottom"/>
          </w:tcPr>
          <w:p w:rsidR="00826E0F" w:rsidRPr="00C23BEB" w:rsidRDefault="00826E0F" w:rsidP="000E00B5">
            <w:pPr>
              <w:pStyle w:val="SingleTxt"/>
              <w:tabs>
                <w:tab w:val="left" w:pos="288"/>
                <w:tab w:val="left" w:pos="576"/>
                <w:tab w:val="left" w:pos="864"/>
                <w:tab w:val="left" w:pos="1152"/>
              </w:tabs>
              <w:suppressAutoHyphens/>
              <w:spacing w:before="20" w:after="20" w:line="210" w:lineRule="exact"/>
              <w:ind w:left="0" w:right="43"/>
              <w:jc w:val="right"/>
              <w:rPr>
                <w:sz w:val="17"/>
                <w:lang w:val="fr-FR"/>
              </w:rPr>
            </w:pPr>
            <w:r w:rsidRPr="00C23BEB">
              <w:rPr>
                <w:sz w:val="17"/>
                <w:lang w:val="fr-FR"/>
              </w:rPr>
              <w:t>14</w:t>
            </w:r>
            <w:r w:rsidR="00C23BEB">
              <w:rPr>
                <w:sz w:val="17"/>
                <w:lang w:val="fr-FR"/>
              </w:rPr>
              <w:t>,</w:t>
            </w:r>
            <w:r w:rsidRPr="00C23BEB">
              <w:rPr>
                <w:sz w:val="17"/>
                <w:lang w:val="fr-FR"/>
              </w:rPr>
              <w:t>8</w:t>
            </w:r>
          </w:p>
        </w:tc>
      </w:tr>
      <w:tr w:rsidR="00826E0F" w:rsidRPr="00C23BEB" w:rsidTr="00C23BEB">
        <w:trPr>
          <w:trHeight w:val="255"/>
          <w:jc w:val="center"/>
        </w:trPr>
        <w:tc>
          <w:tcPr>
            <w:tcW w:w="770" w:type="dxa"/>
            <w:shd w:val="clear" w:color="auto" w:fill="auto"/>
            <w:vAlign w:val="bottom"/>
          </w:tcPr>
          <w:p w:rsidR="00826E0F" w:rsidRPr="00C23BEB" w:rsidRDefault="00826E0F" w:rsidP="000E00B5">
            <w:pPr>
              <w:pStyle w:val="SingleTxt"/>
              <w:tabs>
                <w:tab w:val="left" w:pos="288"/>
                <w:tab w:val="left" w:pos="576"/>
                <w:tab w:val="left" w:pos="864"/>
                <w:tab w:val="left" w:pos="1152"/>
              </w:tabs>
              <w:suppressAutoHyphens/>
              <w:spacing w:before="20" w:after="20" w:line="210" w:lineRule="exact"/>
              <w:ind w:left="0" w:right="43"/>
              <w:rPr>
                <w:sz w:val="17"/>
                <w:lang w:val="fr-FR"/>
              </w:rPr>
            </w:pPr>
            <w:r w:rsidRPr="00C23BEB">
              <w:rPr>
                <w:sz w:val="17"/>
                <w:lang w:val="fr-FR"/>
              </w:rPr>
              <w:t>1980</w:t>
            </w:r>
          </w:p>
        </w:tc>
        <w:tc>
          <w:tcPr>
            <w:tcW w:w="2183" w:type="dxa"/>
            <w:shd w:val="clear" w:color="auto" w:fill="auto"/>
            <w:vAlign w:val="bottom"/>
          </w:tcPr>
          <w:p w:rsidR="00826E0F" w:rsidRPr="00C23BEB" w:rsidRDefault="00826E0F" w:rsidP="000E00B5">
            <w:pPr>
              <w:pStyle w:val="SingleTxt"/>
              <w:tabs>
                <w:tab w:val="left" w:pos="288"/>
                <w:tab w:val="left" w:pos="576"/>
                <w:tab w:val="left" w:pos="864"/>
                <w:tab w:val="left" w:pos="1152"/>
              </w:tabs>
              <w:suppressAutoHyphens/>
              <w:spacing w:before="20" w:after="20" w:line="210" w:lineRule="exact"/>
              <w:ind w:left="0" w:right="43"/>
              <w:jc w:val="right"/>
              <w:rPr>
                <w:sz w:val="17"/>
                <w:lang w:val="fr-FR"/>
              </w:rPr>
            </w:pPr>
            <w:r w:rsidRPr="00C23BEB">
              <w:rPr>
                <w:sz w:val="17"/>
                <w:lang w:val="fr-FR"/>
              </w:rPr>
              <w:t>794</w:t>
            </w:r>
          </w:p>
        </w:tc>
        <w:tc>
          <w:tcPr>
            <w:tcW w:w="2183" w:type="dxa"/>
            <w:shd w:val="clear" w:color="auto" w:fill="auto"/>
            <w:vAlign w:val="bottom"/>
          </w:tcPr>
          <w:p w:rsidR="00826E0F" w:rsidRPr="00C23BEB" w:rsidRDefault="00826E0F" w:rsidP="000E00B5">
            <w:pPr>
              <w:pStyle w:val="SingleTxt"/>
              <w:tabs>
                <w:tab w:val="left" w:pos="288"/>
                <w:tab w:val="left" w:pos="576"/>
                <w:tab w:val="left" w:pos="864"/>
                <w:tab w:val="left" w:pos="1152"/>
              </w:tabs>
              <w:suppressAutoHyphens/>
              <w:spacing w:before="20" w:after="20" w:line="210" w:lineRule="exact"/>
              <w:ind w:left="0" w:right="43"/>
              <w:jc w:val="right"/>
              <w:rPr>
                <w:sz w:val="17"/>
                <w:lang w:val="fr-FR"/>
              </w:rPr>
            </w:pPr>
            <w:r w:rsidRPr="00C23BEB">
              <w:rPr>
                <w:sz w:val="17"/>
                <w:lang w:val="fr-FR"/>
              </w:rPr>
              <w:t>280</w:t>
            </w:r>
          </w:p>
        </w:tc>
        <w:tc>
          <w:tcPr>
            <w:tcW w:w="2183" w:type="dxa"/>
            <w:shd w:val="clear" w:color="auto" w:fill="auto"/>
            <w:vAlign w:val="bottom"/>
          </w:tcPr>
          <w:p w:rsidR="00826E0F" w:rsidRPr="00C23BEB" w:rsidRDefault="00826E0F" w:rsidP="000E00B5">
            <w:pPr>
              <w:pStyle w:val="SingleTxt"/>
              <w:tabs>
                <w:tab w:val="left" w:pos="288"/>
                <w:tab w:val="left" w:pos="576"/>
                <w:tab w:val="left" w:pos="864"/>
                <w:tab w:val="left" w:pos="1152"/>
              </w:tabs>
              <w:suppressAutoHyphens/>
              <w:spacing w:before="20" w:after="20" w:line="210" w:lineRule="exact"/>
              <w:ind w:left="0" w:right="43"/>
              <w:jc w:val="right"/>
              <w:rPr>
                <w:sz w:val="17"/>
                <w:lang w:val="fr-FR"/>
              </w:rPr>
            </w:pPr>
            <w:r w:rsidRPr="00C23BEB">
              <w:rPr>
                <w:sz w:val="17"/>
                <w:lang w:val="fr-FR"/>
              </w:rPr>
              <w:t>35</w:t>
            </w:r>
            <w:r w:rsidR="00C23BEB">
              <w:rPr>
                <w:sz w:val="17"/>
                <w:lang w:val="fr-FR"/>
              </w:rPr>
              <w:t>,</w:t>
            </w:r>
            <w:r w:rsidRPr="00C23BEB">
              <w:rPr>
                <w:sz w:val="17"/>
                <w:lang w:val="fr-FR"/>
              </w:rPr>
              <w:t>3</w:t>
            </w:r>
          </w:p>
        </w:tc>
      </w:tr>
      <w:tr w:rsidR="00826E0F" w:rsidRPr="00C23BEB" w:rsidTr="00C23BEB">
        <w:trPr>
          <w:trHeight w:val="255"/>
          <w:jc w:val="center"/>
        </w:trPr>
        <w:tc>
          <w:tcPr>
            <w:tcW w:w="770" w:type="dxa"/>
            <w:shd w:val="clear" w:color="auto" w:fill="auto"/>
            <w:vAlign w:val="bottom"/>
          </w:tcPr>
          <w:p w:rsidR="00826E0F" w:rsidRPr="00C23BEB" w:rsidRDefault="00826E0F" w:rsidP="000E00B5">
            <w:pPr>
              <w:pStyle w:val="SingleTxt"/>
              <w:tabs>
                <w:tab w:val="left" w:pos="288"/>
                <w:tab w:val="left" w:pos="576"/>
                <w:tab w:val="left" w:pos="864"/>
                <w:tab w:val="left" w:pos="1152"/>
              </w:tabs>
              <w:suppressAutoHyphens/>
              <w:spacing w:before="20" w:after="20" w:line="210" w:lineRule="exact"/>
              <w:ind w:left="0" w:right="43"/>
              <w:rPr>
                <w:sz w:val="17"/>
                <w:lang w:val="fr-FR"/>
              </w:rPr>
            </w:pPr>
            <w:r w:rsidRPr="00C23BEB">
              <w:rPr>
                <w:sz w:val="17"/>
                <w:lang w:val="fr-FR"/>
              </w:rPr>
              <w:t>1987</w:t>
            </w:r>
          </w:p>
        </w:tc>
        <w:tc>
          <w:tcPr>
            <w:tcW w:w="2183" w:type="dxa"/>
            <w:shd w:val="clear" w:color="auto" w:fill="auto"/>
            <w:vAlign w:val="bottom"/>
          </w:tcPr>
          <w:p w:rsidR="00826E0F" w:rsidRPr="00C23BEB" w:rsidRDefault="00826E0F" w:rsidP="000E00B5">
            <w:pPr>
              <w:pStyle w:val="SingleTxt"/>
              <w:tabs>
                <w:tab w:val="left" w:pos="288"/>
                <w:tab w:val="left" w:pos="576"/>
                <w:tab w:val="left" w:pos="864"/>
                <w:tab w:val="left" w:pos="1152"/>
              </w:tabs>
              <w:suppressAutoHyphens/>
              <w:spacing w:before="20" w:after="20" w:line="210" w:lineRule="exact"/>
              <w:ind w:left="0" w:right="43"/>
              <w:jc w:val="right"/>
              <w:rPr>
                <w:sz w:val="17"/>
                <w:lang w:val="fr-FR"/>
              </w:rPr>
            </w:pPr>
            <w:r w:rsidRPr="00C23BEB">
              <w:rPr>
                <w:sz w:val="17"/>
                <w:lang w:val="fr-FR"/>
              </w:rPr>
              <w:t>958</w:t>
            </w:r>
          </w:p>
        </w:tc>
        <w:tc>
          <w:tcPr>
            <w:tcW w:w="2183" w:type="dxa"/>
            <w:shd w:val="clear" w:color="auto" w:fill="auto"/>
            <w:vAlign w:val="bottom"/>
          </w:tcPr>
          <w:p w:rsidR="00826E0F" w:rsidRPr="00C23BEB" w:rsidRDefault="00826E0F" w:rsidP="000E00B5">
            <w:pPr>
              <w:pStyle w:val="SingleTxt"/>
              <w:tabs>
                <w:tab w:val="left" w:pos="288"/>
                <w:tab w:val="left" w:pos="576"/>
                <w:tab w:val="left" w:pos="864"/>
                <w:tab w:val="left" w:pos="1152"/>
              </w:tabs>
              <w:suppressAutoHyphens/>
              <w:spacing w:before="20" w:after="20" w:line="210" w:lineRule="exact"/>
              <w:ind w:left="0" w:right="43"/>
              <w:jc w:val="right"/>
              <w:rPr>
                <w:sz w:val="17"/>
                <w:lang w:val="fr-FR"/>
              </w:rPr>
            </w:pPr>
            <w:r w:rsidRPr="00C23BEB">
              <w:rPr>
                <w:sz w:val="17"/>
                <w:lang w:val="fr-FR"/>
              </w:rPr>
              <w:t>373</w:t>
            </w:r>
          </w:p>
        </w:tc>
        <w:tc>
          <w:tcPr>
            <w:tcW w:w="2183" w:type="dxa"/>
            <w:shd w:val="clear" w:color="auto" w:fill="auto"/>
            <w:vAlign w:val="bottom"/>
          </w:tcPr>
          <w:p w:rsidR="00826E0F" w:rsidRPr="00C23BEB" w:rsidRDefault="00826E0F" w:rsidP="000E00B5">
            <w:pPr>
              <w:pStyle w:val="SingleTxt"/>
              <w:tabs>
                <w:tab w:val="left" w:pos="288"/>
                <w:tab w:val="left" w:pos="576"/>
                <w:tab w:val="left" w:pos="864"/>
                <w:tab w:val="left" w:pos="1152"/>
              </w:tabs>
              <w:suppressAutoHyphens/>
              <w:spacing w:before="20" w:after="20" w:line="210" w:lineRule="exact"/>
              <w:ind w:left="0" w:right="43"/>
              <w:jc w:val="right"/>
              <w:rPr>
                <w:sz w:val="17"/>
                <w:lang w:val="fr-FR"/>
              </w:rPr>
            </w:pPr>
            <w:r w:rsidRPr="00C23BEB">
              <w:rPr>
                <w:sz w:val="17"/>
                <w:lang w:val="fr-FR"/>
              </w:rPr>
              <w:t>38</w:t>
            </w:r>
            <w:r w:rsidR="00C23BEB">
              <w:rPr>
                <w:sz w:val="17"/>
                <w:lang w:val="fr-FR"/>
              </w:rPr>
              <w:t>,</w:t>
            </w:r>
            <w:r w:rsidRPr="00C23BEB">
              <w:rPr>
                <w:sz w:val="17"/>
                <w:lang w:val="fr-FR"/>
              </w:rPr>
              <w:t>9</w:t>
            </w:r>
          </w:p>
        </w:tc>
      </w:tr>
      <w:tr w:rsidR="00826E0F" w:rsidRPr="00C23BEB" w:rsidTr="00C23BEB">
        <w:trPr>
          <w:trHeight w:val="255"/>
          <w:jc w:val="center"/>
        </w:trPr>
        <w:tc>
          <w:tcPr>
            <w:tcW w:w="770" w:type="dxa"/>
            <w:shd w:val="clear" w:color="auto" w:fill="auto"/>
            <w:vAlign w:val="bottom"/>
          </w:tcPr>
          <w:p w:rsidR="00826E0F" w:rsidRPr="00C23BEB" w:rsidRDefault="00826E0F" w:rsidP="000E00B5">
            <w:pPr>
              <w:pStyle w:val="SingleTxt"/>
              <w:tabs>
                <w:tab w:val="left" w:pos="288"/>
                <w:tab w:val="left" w:pos="576"/>
                <w:tab w:val="left" w:pos="864"/>
                <w:tab w:val="left" w:pos="1152"/>
              </w:tabs>
              <w:suppressAutoHyphens/>
              <w:spacing w:before="20" w:after="20" w:line="210" w:lineRule="exact"/>
              <w:ind w:left="0" w:right="43"/>
              <w:rPr>
                <w:sz w:val="17"/>
                <w:lang w:val="fr-FR"/>
              </w:rPr>
            </w:pPr>
            <w:r w:rsidRPr="00C23BEB">
              <w:rPr>
                <w:sz w:val="17"/>
                <w:lang w:val="fr-FR"/>
              </w:rPr>
              <w:t>1994</w:t>
            </w:r>
          </w:p>
        </w:tc>
        <w:tc>
          <w:tcPr>
            <w:tcW w:w="2183" w:type="dxa"/>
            <w:shd w:val="clear" w:color="auto" w:fill="auto"/>
            <w:vAlign w:val="bottom"/>
          </w:tcPr>
          <w:p w:rsidR="00826E0F" w:rsidRPr="00C23BEB" w:rsidRDefault="00826E0F" w:rsidP="000E00B5">
            <w:pPr>
              <w:pStyle w:val="SingleTxt"/>
              <w:tabs>
                <w:tab w:val="left" w:pos="288"/>
                <w:tab w:val="left" w:pos="576"/>
                <w:tab w:val="left" w:pos="864"/>
                <w:tab w:val="left" w:pos="1152"/>
              </w:tabs>
              <w:suppressAutoHyphens/>
              <w:spacing w:before="20" w:after="20" w:line="210" w:lineRule="exact"/>
              <w:ind w:left="0" w:right="43"/>
              <w:jc w:val="right"/>
              <w:rPr>
                <w:sz w:val="17"/>
                <w:lang w:val="fr-FR"/>
              </w:rPr>
            </w:pPr>
            <w:r w:rsidRPr="00C23BEB">
              <w:rPr>
                <w:sz w:val="17"/>
                <w:lang w:val="fr-FR"/>
              </w:rPr>
              <w:t>845</w:t>
            </w:r>
          </w:p>
        </w:tc>
        <w:tc>
          <w:tcPr>
            <w:tcW w:w="2183" w:type="dxa"/>
            <w:shd w:val="clear" w:color="auto" w:fill="auto"/>
            <w:vAlign w:val="bottom"/>
          </w:tcPr>
          <w:p w:rsidR="00826E0F" w:rsidRPr="00C23BEB" w:rsidRDefault="00826E0F" w:rsidP="000E00B5">
            <w:pPr>
              <w:pStyle w:val="SingleTxt"/>
              <w:tabs>
                <w:tab w:val="left" w:pos="288"/>
                <w:tab w:val="left" w:pos="576"/>
                <w:tab w:val="left" w:pos="864"/>
                <w:tab w:val="left" w:pos="1152"/>
              </w:tabs>
              <w:suppressAutoHyphens/>
              <w:spacing w:before="20" w:after="20" w:line="210" w:lineRule="exact"/>
              <w:ind w:left="0" w:right="43"/>
              <w:jc w:val="right"/>
              <w:rPr>
                <w:sz w:val="17"/>
                <w:lang w:val="fr-FR"/>
              </w:rPr>
            </w:pPr>
            <w:r w:rsidRPr="00C23BEB">
              <w:rPr>
                <w:sz w:val="17"/>
                <w:lang w:val="fr-FR"/>
              </w:rPr>
              <w:t>301</w:t>
            </w:r>
          </w:p>
        </w:tc>
        <w:tc>
          <w:tcPr>
            <w:tcW w:w="2183" w:type="dxa"/>
            <w:shd w:val="clear" w:color="auto" w:fill="auto"/>
            <w:vAlign w:val="bottom"/>
          </w:tcPr>
          <w:p w:rsidR="00826E0F" w:rsidRPr="00C23BEB" w:rsidRDefault="00826E0F" w:rsidP="000E00B5">
            <w:pPr>
              <w:pStyle w:val="SingleTxt"/>
              <w:tabs>
                <w:tab w:val="left" w:pos="288"/>
                <w:tab w:val="left" w:pos="576"/>
                <w:tab w:val="left" w:pos="864"/>
                <w:tab w:val="left" w:pos="1152"/>
              </w:tabs>
              <w:suppressAutoHyphens/>
              <w:spacing w:before="20" w:after="20" w:line="210" w:lineRule="exact"/>
              <w:ind w:left="0" w:right="43"/>
              <w:jc w:val="right"/>
              <w:rPr>
                <w:sz w:val="17"/>
                <w:lang w:val="fr-FR"/>
              </w:rPr>
            </w:pPr>
            <w:r w:rsidRPr="00C23BEB">
              <w:rPr>
                <w:sz w:val="17"/>
                <w:lang w:val="fr-FR"/>
              </w:rPr>
              <w:t>35</w:t>
            </w:r>
            <w:r w:rsidR="00C23BEB">
              <w:rPr>
                <w:sz w:val="17"/>
                <w:lang w:val="fr-FR"/>
              </w:rPr>
              <w:t>,</w:t>
            </w:r>
            <w:r w:rsidRPr="00C23BEB">
              <w:rPr>
                <w:sz w:val="17"/>
                <w:lang w:val="fr-FR"/>
              </w:rPr>
              <w:t>6</w:t>
            </w:r>
          </w:p>
        </w:tc>
      </w:tr>
      <w:tr w:rsidR="00826E0F" w:rsidRPr="00C23BEB" w:rsidTr="00C23BEB">
        <w:trPr>
          <w:trHeight w:val="255"/>
          <w:jc w:val="center"/>
        </w:trPr>
        <w:tc>
          <w:tcPr>
            <w:tcW w:w="770" w:type="dxa"/>
            <w:shd w:val="clear" w:color="auto" w:fill="auto"/>
            <w:vAlign w:val="bottom"/>
          </w:tcPr>
          <w:p w:rsidR="00826E0F" w:rsidRPr="00C23BEB" w:rsidRDefault="00826E0F" w:rsidP="000E00B5">
            <w:pPr>
              <w:pStyle w:val="SingleTxt"/>
              <w:tabs>
                <w:tab w:val="left" w:pos="288"/>
                <w:tab w:val="left" w:pos="576"/>
                <w:tab w:val="left" w:pos="864"/>
                <w:tab w:val="left" w:pos="1152"/>
              </w:tabs>
              <w:suppressAutoHyphens/>
              <w:spacing w:before="20" w:after="20" w:line="210" w:lineRule="exact"/>
              <w:ind w:left="0" w:right="43"/>
              <w:rPr>
                <w:sz w:val="17"/>
                <w:lang w:val="fr-FR"/>
              </w:rPr>
            </w:pPr>
            <w:r w:rsidRPr="00C23BEB">
              <w:rPr>
                <w:sz w:val="17"/>
                <w:lang w:val="fr-FR"/>
              </w:rPr>
              <w:t>2000</w:t>
            </w:r>
          </w:p>
        </w:tc>
        <w:tc>
          <w:tcPr>
            <w:tcW w:w="2183" w:type="dxa"/>
            <w:shd w:val="clear" w:color="auto" w:fill="auto"/>
            <w:vAlign w:val="bottom"/>
          </w:tcPr>
          <w:p w:rsidR="00826E0F" w:rsidRPr="00C23BEB" w:rsidRDefault="00826E0F" w:rsidP="000E00B5">
            <w:pPr>
              <w:pStyle w:val="SingleTxt"/>
              <w:tabs>
                <w:tab w:val="left" w:pos="288"/>
                <w:tab w:val="left" w:pos="576"/>
                <w:tab w:val="left" w:pos="864"/>
                <w:tab w:val="left" w:pos="1152"/>
              </w:tabs>
              <w:suppressAutoHyphens/>
              <w:spacing w:before="20" w:after="20" w:line="210" w:lineRule="exact"/>
              <w:ind w:left="0" w:right="43"/>
              <w:jc w:val="right"/>
              <w:rPr>
                <w:sz w:val="17"/>
                <w:lang w:val="fr-FR"/>
              </w:rPr>
            </w:pPr>
            <w:r w:rsidRPr="00C23BEB">
              <w:rPr>
                <w:sz w:val="17"/>
                <w:lang w:val="fr-FR"/>
              </w:rPr>
              <w:t>1011</w:t>
            </w:r>
          </w:p>
        </w:tc>
        <w:tc>
          <w:tcPr>
            <w:tcW w:w="2183" w:type="dxa"/>
            <w:shd w:val="clear" w:color="auto" w:fill="auto"/>
            <w:vAlign w:val="bottom"/>
          </w:tcPr>
          <w:p w:rsidR="00826E0F" w:rsidRPr="00C23BEB" w:rsidRDefault="00826E0F" w:rsidP="000E00B5">
            <w:pPr>
              <w:pStyle w:val="SingleTxt"/>
              <w:tabs>
                <w:tab w:val="left" w:pos="288"/>
                <w:tab w:val="left" w:pos="576"/>
                <w:tab w:val="left" w:pos="864"/>
                <w:tab w:val="left" w:pos="1152"/>
              </w:tabs>
              <w:suppressAutoHyphens/>
              <w:spacing w:before="20" w:after="20" w:line="210" w:lineRule="exact"/>
              <w:ind w:left="0" w:right="43"/>
              <w:jc w:val="right"/>
              <w:rPr>
                <w:sz w:val="17"/>
                <w:lang w:val="fr-FR"/>
              </w:rPr>
            </w:pPr>
            <w:r w:rsidRPr="00C23BEB">
              <w:rPr>
                <w:sz w:val="17"/>
                <w:lang w:val="fr-FR"/>
              </w:rPr>
              <w:t>362</w:t>
            </w:r>
          </w:p>
        </w:tc>
        <w:tc>
          <w:tcPr>
            <w:tcW w:w="2183" w:type="dxa"/>
            <w:shd w:val="clear" w:color="auto" w:fill="auto"/>
            <w:vAlign w:val="bottom"/>
          </w:tcPr>
          <w:p w:rsidR="00826E0F" w:rsidRPr="00C23BEB" w:rsidRDefault="00826E0F" w:rsidP="000E00B5">
            <w:pPr>
              <w:pStyle w:val="SingleTxt"/>
              <w:tabs>
                <w:tab w:val="left" w:pos="288"/>
                <w:tab w:val="left" w:pos="576"/>
                <w:tab w:val="left" w:pos="864"/>
                <w:tab w:val="left" w:pos="1152"/>
              </w:tabs>
              <w:suppressAutoHyphens/>
              <w:spacing w:before="20" w:after="20" w:line="210" w:lineRule="exact"/>
              <w:ind w:left="0" w:right="43"/>
              <w:jc w:val="right"/>
              <w:rPr>
                <w:sz w:val="17"/>
                <w:lang w:val="fr-FR"/>
              </w:rPr>
            </w:pPr>
            <w:r w:rsidRPr="00C23BEB">
              <w:rPr>
                <w:sz w:val="17"/>
                <w:lang w:val="fr-FR"/>
              </w:rPr>
              <w:t>35</w:t>
            </w:r>
            <w:r w:rsidR="00C23BEB">
              <w:rPr>
                <w:sz w:val="17"/>
                <w:lang w:val="fr-FR"/>
              </w:rPr>
              <w:t>,</w:t>
            </w:r>
            <w:r w:rsidRPr="00C23BEB">
              <w:rPr>
                <w:sz w:val="17"/>
                <w:lang w:val="fr-FR"/>
              </w:rPr>
              <w:t>8</w:t>
            </w:r>
          </w:p>
        </w:tc>
      </w:tr>
      <w:tr w:rsidR="00826E0F" w:rsidRPr="00C23BEB" w:rsidTr="00C23BEB">
        <w:trPr>
          <w:trHeight w:val="255"/>
          <w:jc w:val="center"/>
        </w:trPr>
        <w:tc>
          <w:tcPr>
            <w:tcW w:w="770" w:type="dxa"/>
            <w:shd w:val="clear" w:color="auto" w:fill="auto"/>
            <w:vAlign w:val="bottom"/>
          </w:tcPr>
          <w:p w:rsidR="00826E0F" w:rsidRPr="00C23BEB" w:rsidRDefault="00826E0F" w:rsidP="000E00B5">
            <w:pPr>
              <w:pStyle w:val="SingleTxt"/>
              <w:tabs>
                <w:tab w:val="left" w:pos="288"/>
                <w:tab w:val="left" w:pos="576"/>
                <w:tab w:val="left" w:pos="864"/>
                <w:tab w:val="left" w:pos="1152"/>
              </w:tabs>
              <w:suppressAutoHyphens/>
              <w:spacing w:before="20" w:after="20" w:line="210" w:lineRule="exact"/>
              <w:ind w:left="0" w:right="43"/>
              <w:rPr>
                <w:sz w:val="17"/>
                <w:lang w:val="fr-FR"/>
              </w:rPr>
            </w:pPr>
            <w:r w:rsidRPr="00C23BEB">
              <w:rPr>
                <w:sz w:val="17"/>
                <w:lang w:val="fr-FR"/>
              </w:rPr>
              <w:t>2005</w:t>
            </w:r>
          </w:p>
        </w:tc>
        <w:tc>
          <w:tcPr>
            <w:tcW w:w="2183" w:type="dxa"/>
            <w:shd w:val="clear" w:color="auto" w:fill="auto"/>
            <w:vAlign w:val="bottom"/>
          </w:tcPr>
          <w:p w:rsidR="00826E0F" w:rsidRPr="00C23BEB" w:rsidRDefault="00826E0F" w:rsidP="000E00B5">
            <w:pPr>
              <w:pStyle w:val="SingleTxt"/>
              <w:tabs>
                <w:tab w:val="left" w:pos="288"/>
                <w:tab w:val="left" w:pos="576"/>
                <w:tab w:val="left" w:pos="864"/>
                <w:tab w:val="left" w:pos="1152"/>
              </w:tabs>
              <w:suppressAutoHyphens/>
              <w:spacing w:before="20" w:after="20" w:line="210" w:lineRule="exact"/>
              <w:ind w:left="0" w:right="43"/>
              <w:jc w:val="right"/>
              <w:rPr>
                <w:sz w:val="17"/>
                <w:lang w:val="fr-FR"/>
              </w:rPr>
            </w:pPr>
            <w:r w:rsidRPr="00C23BEB">
              <w:rPr>
                <w:sz w:val="17"/>
                <w:lang w:val="fr-FR"/>
              </w:rPr>
              <w:t>1076</w:t>
            </w:r>
          </w:p>
        </w:tc>
        <w:tc>
          <w:tcPr>
            <w:tcW w:w="2183" w:type="dxa"/>
            <w:shd w:val="clear" w:color="auto" w:fill="auto"/>
            <w:vAlign w:val="bottom"/>
          </w:tcPr>
          <w:p w:rsidR="00826E0F" w:rsidRPr="00C23BEB" w:rsidRDefault="00826E0F" w:rsidP="000E00B5">
            <w:pPr>
              <w:pStyle w:val="SingleTxt"/>
              <w:tabs>
                <w:tab w:val="left" w:pos="288"/>
                <w:tab w:val="left" w:pos="576"/>
                <w:tab w:val="left" w:pos="864"/>
                <w:tab w:val="left" w:pos="1152"/>
              </w:tabs>
              <w:suppressAutoHyphens/>
              <w:spacing w:before="20" w:after="20" w:line="210" w:lineRule="exact"/>
              <w:ind w:left="0" w:right="43"/>
              <w:jc w:val="right"/>
              <w:rPr>
                <w:sz w:val="17"/>
                <w:lang w:val="fr-FR"/>
              </w:rPr>
            </w:pPr>
            <w:r w:rsidRPr="00C23BEB">
              <w:rPr>
                <w:sz w:val="17"/>
                <w:lang w:val="fr-FR"/>
              </w:rPr>
              <w:t>375</w:t>
            </w:r>
          </w:p>
        </w:tc>
        <w:tc>
          <w:tcPr>
            <w:tcW w:w="2183" w:type="dxa"/>
            <w:shd w:val="clear" w:color="auto" w:fill="auto"/>
            <w:vAlign w:val="bottom"/>
          </w:tcPr>
          <w:p w:rsidR="00826E0F" w:rsidRPr="00C23BEB" w:rsidRDefault="00826E0F" w:rsidP="000E00B5">
            <w:pPr>
              <w:pStyle w:val="SingleTxt"/>
              <w:tabs>
                <w:tab w:val="left" w:pos="288"/>
                <w:tab w:val="left" w:pos="576"/>
                <w:tab w:val="left" w:pos="864"/>
                <w:tab w:val="left" w:pos="1152"/>
              </w:tabs>
              <w:suppressAutoHyphens/>
              <w:spacing w:before="20" w:after="20" w:line="210" w:lineRule="exact"/>
              <w:ind w:left="0" w:right="43"/>
              <w:jc w:val="right"/>
              <w:rPr>
                <w:sz w:val="17"/>
                <w:lang w:val="fr-FR"/>
              </w:rPr>
            </w:pPr>
            <w:r w:rsidRPr="00C23BEB">
              <w:rPr>
                <w:sz w:val="17"/>
                <w:lang w:val="fr-FR"/>
              </w:rPr>
              <w:t>34</w:t>
            </w:r>
            <w:r w:rsidR="00C23BEB">
              <w:rPr>
                <w:sz w:val="17"/>
                <w:lang w:val="fr-FR"/>
              </w:rPr>
              <w:t>,</w:t>
            </w:r>
            <w:r w:rsidRPr="00C23BEB">
              <w:rPr>
                <w:sz w:val="17"/>
                <w:lang w:val="fr-FR"/>
              </w:rPr>
              <w:t>9</w:t>
            </w:r>
          </w:p>
        </w:tc>
      </w:tr>
      <w:tr w:rsidR="00826E0F" w:rsidRPr="00C23BEB" w:rsidTr="00C23BEB">
        <w:trPr>
          <w:trHeight w:val="255"/>
          <w:jc w:val="center"/>
        </w:trPr>
        <w:tc>
          <w:tcPr>
            <w:tcW w:w="770" w:type="dxa"/>
            <w:tcBorders>
              <w:bottom w:val="single" w:sz="12" w:space="0" w:color="auto"/>
            </w:tcBorders>
            <w:shd w:val="clear" w:color="auto" w:fill="auto"/>
            <w:vAlign w:val="bottom"/>
          </w:tcPr>
          <w:p w:rsidR="00826E0F" w:rsidRPr="00C23BEB" w:rsidRDefault="00826E0F" w:rsidP="000E00B5">
            <w:pPr>
              <w:pStyle w:val="SingleTxt"/>
              <w:tabs>
                <w:tab w:val="left" w:pos="288"/>
                <w:tab w:val="left" w:pos="576"/>
                <w:tab w:val="left" w:pos="864"/>
                <w:tab w:val="left" w:pos="1152"/>
              </w:tabs>
              <w:suppressAutoHyphens/>
              <w:spacing w:before="20" w:after="20" w:line="210" w:lineRule="exact"/>
              <w:ind w:left="0" w:right="43"/>
              <w:rPr>
                <w:sz w:val="17"/>
                <w:lang w:val="fr-FR"/>
              </w:rPr>
            </w:pPr>
            <w:r w:rsidRPr="00C23BEB">
              <w:rPr>
                <w:sz w:val="17"/>
                <w:lang w:val="fr-FR"/>
              </w:rPr>
              <w:t>2008</w:t>
            </w:r>
          </w:p>
        </w:tc>
        <w:tc>
          <w:tcPr>
            <w:tcW w:w="2183" w:type="dxa"/>
            <w:tcBorders>
              <w:bottom w:val="single" w:sz="12" w:space="0" w:color="auto"/>
            </w:tcBorders>
            <w:shd w:val="clear" w:color="auto" w:fill="auto"/>
            <w:vAlign w:val="bottom"/>
          </w:tcPr>
          <w:p w:rsidR="00826E0F" w:rsidRPr="00C23BEB" w:rsidRDefault="00826E0F" w:rsidP="000E00B5">
            <w:pPr>
              <w:pStyle w:val="SingleTxt"/>
              <w:tabs>
                <w:tab w:val="left" w:pos="288"/>
                <w:tab w:val="left" w:pos="576"/>
                <w:tab w:val="left" w:pos="864"/>
                <w:tab w:val="left" w:pos="1152"/>
              </w:tabs>
              <w:suppressAutoHyphens/>
              <w:spacing w:before="20" w:after="20" w:line="210" w:lineRule="exact"/>
              <w:ind w:left="0" w:right="43"/>
              <w:jc w:val="right"/>
              <w:rPr>
                <w:sz w:val="17"/>
                <w:lang w:val="fr-FR"/>
              </w:rPr>
            </w:pPr>
            <w:r w:rsidRPr="00C23BEB">
              <w:rPr>
                <w:sz w:val="17"/>
                <w:lang w:val="fr-FR"/>
              </w:rPr>
              <w:t>1180</w:t>
            </w:r>
          </w:p>
        </w:tc>
        <w:tc>
          <w:tcPr>
            <w:tcW w:w="2183" w:type="dxa"/>
            <w:tcBorders>
              <w:bottom w:val="single" w:sz="12" w:space="0" w:color="auto"/>
            </w:tcBorders>
            <w:shd w:val="clear" w:color="auto" w:fill="auto"/>
            <w:vAlign w:val="bottom"/>
          </w:tcPr>
          <w:p w:rsidR="00826E0F" w:rsidRPr="00C23BEB" w:rsidRDefault="00826E0F" w:rsidP="000E00B5">
            <w:pPr>
              <w:pStyle w:val="SingleTxt"/>
              <w:tabs>
                <w:tab w:val="left" w:pos="288"/>
                <w:tab w:val="left" w:pos="576"/>
                <w:tab w:val="left" w:pos="864"/>
                <w:tab w:val="left" w:pos="1152"/>
              </w:tabs>
              <w:suppressAutoHyphens/>
              <w:spacing w:before="20" w:after="20" w:line="210" w:lineRule="exact"/>
              <w:ind w:left="0" w:right="43"/>
              <w:jc w:val="right"/>
              <w:rPr>
                <w:sz w:val="17"/>
                <w:lang w:val="fr-FR"/>
              </w:rPr>
            </w:pPr>
            <w:r w:rsidRPr="00C23BEB">
              <w:rPr>
                <w:sz w:val="17"/>
                <w:lang w:val="fr-FR"/>
              </w:rPr>
              <w:t>446</w:t>
            </w:r>
          </w:p>
        </w:tc>
        <w:tc>
          <w:tcPr>
            <w:tcW w:w="2183" w:type="dxa"/>
            <w:tcBorders>
              <w:bottom w:val="single" w:sz="12" w:space="0" w:color="auto"/>
            </w:tcBorders>
            <w:shd w:val="clear" w:color="auto" w:fill="auto"/>
            <w:vAlign w:val="bottom"/>
          </w:tcPr>
          <w:p w:rsidR="00826E0F" w:rsidRPr="00C23BEB" w:rsidRDefault="00826E0F" w:rsidP="000E00B5">
            <w:pPr>
              <w:pStyle w:val="SingleTxt"/>
              <w:tabs>
                <w:tab w:val="left" w:pos="288"/>
                <w:tab w:val="left" w:pos="576"/>
                <w:tab w:val="left" w:pos="864"/>
                <w:tab w:val="left" w:pos="1152"/>
              </w:tabs>
              <w:suppressAutoHyphens/>
              <w:spacing w:before="20" w:after="20" w:line="210" w:lineRule="exact"/>
              <w:ind w:left="0" w:right="43"/>
              <w:jc w:val="right"/>
              <w:rPr>
                <w:sz w:val="17"/>
                <w:lang w:val="fr-FR"/>
              </w:rPr>
            </w:pPr>
            <w:r w:rsidRPr="00C23BEB">
              <w:rPr>
                <w:sz w:val="17"/>
                <w:lang w:val="fr-FR"/>
              </w:rPr>
              <w:t>37</w:t>
            </w:r>
            <w:r w:rsidR="00C23BEB">
              <w:rPr>
                <w:sz w:val="17"/>
                <w:lang w:val="fr-FR"/>
              </w:rPr>
              <w:t>,</w:t>
            </w:r>
            <w:r w:rsidRPr="00C23BEB">
              <w:rPr>
                <w:sz w:val="17"/>
                <w:lang w:val="fr-FR"/>
              </w:rPr>
              <w:t>8</w:t>
            </w:r>
          </w:p>
        </w:tc>
      </w:tr>
    </w:tbl>
    <w:p w:rsidR="00C23BEB" w:rsidRPr="00C23BEB" w:rsidRDefault="00C23BEB" w:rsidP="00C23BEB">
      <w:pPr>
        <w:pStyle w:val="FootnoteText"/>
        <w:tabs>
          <w:tab w:val="clear" w:pos="418"/>
          <w:tab w:val="right" w:pos="1476"/>
          <w:tab w:val="left" w:pos="1548"/>
          <w:tab w:val="right" w:pos="1836"/>
          <w:tab w:val="left" w:pos="1908"/>
        </w:tabs>
        <w:spacing w:line="120" w:lineRule="exact"/>
        <w:ind w:left="1548" w:right="1267" w:hanging="288"/>
        <w:rPr>
          <w:sz w:val="10"/>
        </w:rPr>
      </w:pPr>
    </w:p>
    <w:p w:rsidR="00826E0F" w:rsidRPr="00872599" w:rsidRDefault="00826E0F" w:rsidP="00C23BEB">
      <w:pPr>
        <w:pStyle w:val="FootnoteText"/>
        <w:tabs>
          <w:tab w:val="clear" w:pos="418"/>
          <w:tab w:val="right" w:pos="1476"/>
          <w:tab w:val="left" w:pos="1548"/>
          <w:tab w:val="right" w:pos="1836"/>
          <w:tab w:val="left" w:pos="1908"/>
        </w:tabs>
        <w:ind w:left="1548" w:right="1267" w:hanging="288"/>
        <w:rPr>
          <w:lang w:val="fr-FR"/>
        </w:rPr>
      </w:pPr>
      <w:r w:rsidRPr="00C23BEB">
        <w:rPr>
          <w:i/>
        </w:rPr>
        <w:t>Source</w:t>
      </w:r>
      <w:r w:rsidR="006645B6">
        <w:t> :</w:t>
      </w:r>
      <w:r w:rsidRPr="00C23BEB">
        <w:t xml:space="preserve"> Bureau de la formation et de l</w:t>
      </w:r>
      <w:r w:rsidR="006645B6">
        <w:t>’</w:t>
      </w:r>
      <w:r w:rsidRPr="00C23BEB">
        <w:t>orientation professionnelles. Nombre d</w:t>
      </w:r>
      <w:r w:rsidR="006645B6">
        <w:t>’</w:t>
      </w:r>
      <w:r w:rsidRPr="00C23BEB">
        <w:t>apprentissages en septembre 200</w:t>
      </w:r>
      <w:r w:rsidRPr="00872599">
        <w:rPr>
          <w:lang w:val="fr-FR"/>
        </w:rPr>
        <w:t>8.</w:t>
      </w:r>
    </w:p>
    <w:p w:rsidR="00C23BEB" w:rsidRPr="00C23BEB" w:rsidRDefault="00C23BEB" w:rsidP="00C23BEB">
      <w:pPr>
        <w:pStyle w:val="SingleTxt"/>
        <w:spacing w:after="0" w:line="120" w:lineRule="exact"/>
        <w:rPr>
          <w:sz w:val="10"/>
          <w:lang w:val="fr-FR" w:eastAsia="fr-FR"/>
        </w:rPr>
      </w:pPr>
    </w:p>
    <w:p w:rsidR="00826E0F" w:rsidRPr="00872599" w:rsidRDefault="00C23BEB" w:rsidP="00497599">
      <w:pPr>
        <w:pStyle w:val="SingleTxt"/>
        <w:rPr>
          <w:lang w:val="fr-FR" w:eastAsia="fr-FR"/>
        </w:rPr>
      </w:pPr>
      <w:r>
        <w:rPr>
          <w:lang w:val="fr-FR" w:eastAsia="fr-FR"/>
        </w:rPr>
        <w:tab/>
      </w:r>
      <w:r w:rsidR="00826E0F" w:rsidRPr="00872599">
        <w:rPr>
          <w:lang w:val="fr-FR" w:eastAsia="fr-FR"/>
        </w:rPr>
        <w:t>Au total 639 enseignants (519 équivalents plein temps) enseignaient dans les établissements du Liechtenstein. Les enseignantes sont nettement en majorité et occupent 65</w:t>
      </w:r>
      <w:r w:rsidR="006645B6">
        <w:rPr>
          <w:lang w:val="fr-FR" w:eastAsia="fr-FR"/>
        </w:rPr>
        <w:t xml:space="preserve"> %</w:t>
      </w:r>
      <w:r w:rsidR="00826E0F" w:rsidRPr="00872599">
        <w:rPr>
          <w:lang w:val="fr-FR" w:eastAsia="fr-FR"/>
        </w:rPr>
        <w:t xml:space="preserve"> des postes et 60</w:t>
      </w:r>
      <w:r w:rsidR="006645B6">
        <w:rPr>
          <w:lang w:val="fr-FR" w:eastAsia="fr-FR"/>
        </w:rPr>
        <w:t> %</w:t>
      </w:r>
      <w:r w:rsidR="00826E0F" w:rsidRPr="00872599">
        <w:rPr>
          <w:lang w:val="fr-FR" w:eastAsia="fr-FR"/>
        </w:rPr>
        <w:t xml:space="preserve"> des équivalents plein temps. Cette majorité existe essentiellement aux deux premiers niveaux d</w:t>
      </w:r>
      <w:r w:rsidR="006645B6">
        <w:rPr>
          <w:lang w:val="fr-FR" w:eastAsia="fr-FR"/>
        </w:rPr>
        <w:t>’</w:t>
      </w:r>
      <w:r w:rsidR="00826E0F" w:rsidRPr="00872599">
        <w:rPr>
          <w:lang w:val="fr-FR" w:eastAsia="fr-FR"/>
        </w:rPr>
        <w:t>enseignement (maternelles et écoles primaires). Aux niveaux supérieurs, la répartition entre les sexes s</w:t>
      </w:r>
      <w:r w:rsidR="006645B6">
        <w:rPr>
          <w:lang w:val="fr-FR" w:eastAsia="fr-FR"/>
        </w:rPr>
        <w:t>’</w:t>
      </w:r>
      <w:r w:rsidR="00826E0F" w:rsidRPr="00872599">
        <w:rPr>
          <w:lang w:val="fr-FR" w:eastAsia="fr-FR"/>
        </w:rPr>
        <w:t xml:space="preserve">équilibre. Au Liechtenstein, au </w:t>
      </w:r>
      <w:r w:rsidR="00826E0F" w:rsidRPr="00872599">
        <w:rPr>
          <w:i/>
          <w:iCs/>
          <w:lang w:val="fr-FR" w:eastAsia="fr-FR"/>
        </w:rPr>
        <w:t>Gymnasium</w:t>
      </w:r>
      <w:r w:rsidR="00826E0F" w:rsidRPr="00872599">
        <w:rPr>
          <w:lang w:val="fr-FR" w:eastAsia="fr-FR"/>
        </w:rPr>
        <w:t xml:space="preserve"> et en dixième année, les hommes l</w:t>
      </w:r>
      <w:r w:rsidR="006645B6">
        <w:rPr>
          <w:lang w:val="fr-FR" w:eastAsia="fr-FR"/>
        </w:rPr>
        <w:t>’</w:t>
      </w:r>
      <w:r w:rsidR="00826E0F" w:rsidRPr="00872599">
        <w:rPr>
          <w:lang w:val="fr-FR" w:eastAsia="fr-FR"/>
        </w:rPr>
        <w:t>emportent en nombre sur les femmes parmi les enseignants</w:t>
      </w:r>
      <w:r w:rsidR="00826E0F" w:rsidRPr="00A03470">
        <w:rPr>
          <w:rStyle w:val="FootnoteCharacters"/>
          <w:sz w:val="24"/>
          <w:szCs w:val="24"/>
          <w:lang w:val="en-US"/>
        </w:rPr>
        <w:footnoteReference w:id="16"/>
      </w:r>
      <w:r w:rsidR="00826E0F" w:rsidRPr="00872599">
        <w:rPr>
          <w:lang w:val="fr-FR" w:eastAsia="fr-FR"/>
        </w:rPr>
        <w:t>.</w:t>
      </w:r>
    </w:p>
    <w:p w:rsidR="00826E0F" w:rsidRPr="00872599" w:rsidRDefault="00C23BEB" w:rsidP="00497599">
      <w:pPr>
        <w:pStyle w:val="SingleTxt"/>
        <w:rPr>
          <w:lang w:val="fr-FR" w:eastAsia="fr-FR"/>
        </w:rPr>
      </w:pPr>
      <w:r>
        <w:rPr>
          <w:lang w:val="fr-FR" w:eastAsia="fr-FR"/>
        </w:rPr>
        <w:tab/>
      </w:r>
      <w:r w:rsidR="00826E0F" w:rsidRPr="00872599">
        <w:rPr>
          <w:lang w:val="fr-FR" w:eastAsia="fr-FR"/>
        </w:rPr>
        <w:t>Les mesures en place depuis l</w:t>
      </w:r>
      <w:r w:rsidR="006645B6">
        <w:rPr>
          <w:lang w:val="fr-FR" w:eastAsia="fr-FR"/>
        </w:rPr>
        <w:t>’</w:t>
      </w:r>
      <w:r w:rsidR="00826E0F" w:rsidRPr="00872599">
        <w:rPr>
          <w:lang w:val="fr-FR" w:eastAsia="fr-FR"/>
        </w:rPr>
        <w:t>introduction du nouveau programme d</w:t>
      </w:r>
      <w:r w:rsidR="006645B6">
        <w:rPr>
          <w:lang w:val="fr-FR" w:eastAsia="fr-FR"/>
        </w:rPr>
        <w:t>’</w:t>
      </w:r>
      <w:r w:rsidR="00826E0F" w:rsidRPr="00872599">
        <w:rPr>
          <w:lang w:val="fr-FR" w:eastAsia="fr-FR"/>
        </w:rPr>
        <w:t>études en1999-2000 ont été maintenues. Le programme prend en compte tous les aspects propres à l</w:t>
      </w:r>
      <w:r w:rsidR="006645B6">
        <w:rPr>
          <w:lang w:val="fr-FR" w:eastAsia="fr-FR"/>
        </w:rPr>
        <w:t>’</w:t>
      </w:r>
      <w:r w:rsidR="00826E0F" w:rsidRPr="00872599">
        <w:rPr>
          <w:lang w:val="fr-FR" w:eastAsia="fr-FR"/>
        </w:rPr>
        <w:t>égalité entre les sexes et offre les mêmes cours aux filles et aux garçons. Des trousses sont remises aux enseignants avec des documents pédagogiques qui leur permettent de réfléchir à leur propre attitude et à leurs attentes en matière de rôle. Ces trousses les aident à maintenir l</w:t>
      </w:r>
      <w:r w:rsidR="006645B6">
        <w:rPr>
          <w:lang w:val="fr-FR" w:eastAsia="fr-FR"/>
        </w:rPr>
        <w:t>’</w:t>
      </w:r>
      <w:r w:rsidR="00826E0F" w:rsidRPr="00872599">
        <w:rPr>
          <w:lang w:val="fr-FR" w:eastAsia="fr-FR"/>
        </w:rPr>
        <w:t>égalité entre les sexes dans l</w:t>
      </w:r>
      <w:r w:rsidR="006645B6">
        <w:rPr>
          <w:lang w:val="fr-FR" w:eastAsia="fr-FR"/>
        </w:rPr>
        <w:t>’</w:t>
      </w:r>
      <w:r w:rsidR="00826E0F" w:rsidRPr="00872599">
        <w:rPr>
          <w:lang w:val="fr-FR" w:eastAsia="fr-FR"/>
        </w:rPr>
        <w:t>enseignement.</w:t>
      </w:r>
    </w:p>
    <w:p w:rsidR="00C23BEB" w:rsidRPr="00C23BEB" w:rsidRDefault="00C23BEB" w:rsidP="00C23BEB">
      <w:pPr>
        <w:pStyle w:val="SingleTxt"/>
        <w:spacing w:after="0" w:line="120" w:lineRule="exact"/>
        <w:rPr>
          <w:sz w:val="10"/>
          <w:lang w:val="fr-FR" w:eastAsia="fr-FR"/>
        </w:rPr>
      </w:pPr>
    </w:p>
    <w:p w:rsidR="00826E0F" w:rsidRPr="00872599" w:rsidRDefault="00C23BEB" w:rsidP="00C23B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eastAsia="fr-FR"/>
        </w:rPr>
      </w:pPr>
      <w:r>
        <w:rPr>
          <w:lang w:val="fr-FR" w:eastAsia="fr-FR"/>
        </w:rPr>
        <w:tab/>
      </w:r>
      <w:r>
        <w:rPr>
          <w:lang w:val="fr-FR" w:eastAsia="fr-FR"/>
        </w:rPr>
        <w:tab/>
      </w:r>
      <w:r w:rsidR="00826E0F" w:rsidRPr="00872599">
        <w:rPr>
          <w:lang w:val="fr-FR" w:eastAsia="fr-FR"/>
        </w:rPr>
        <w:t>Orientation professionnelle</w:t>
      </w:r>
    </w:p>
    <w:p w:rsidR="00C23BEB" w:rsidRPr="00C23BEB" w:rsidRDefault="00C23BEB" w:rsidP="00C23BEB">
      <w:pPr>
        <w:pStyle w:val="SingleTxt"/>
        <w:spacing w:after="0" w:line="120" w:lineRule="exact"/>
        <w:rPr>
          <w:sz w:val="10"/>
          <w:lang w:val="fr-FR" w:eastAsia="fr-FR"/>
        </w:rPr>
      </w:pPr>
    </w:p>
    <w:p w:rsidR="00826E0F" w:rsidRPr="00872599" w:rsidRDefault="00C23BEB" w:rsidP="00497599">
      <w:pPr>
        <w:pStyle w:val="SingleTxt"/>
        <w:rPr>
          <w:lang w:val="fr-FR" w:eastAsia="fr-FR"/>
        </w:rPr>
      </w:pPr>
      <w:r>
        <w:rPr>
          <w:lang w:val="fr-FR" w:eastAsia="fr-FR"/>
        </w:rPr>
        <w:tab/>
      </w:r>
      <w:r w:rsidR="00826E0F" w:rsidRPr="00872599">
        <w:rPr>
          <w:lang w:val="fr-FR" w:eastAsia="fr-FR"/>
        </w:rPr>
        <w:t>S</w:t>
      </w:r>
      <w:r w:rsidR="006645B6">
        <w:rPr>
          <w:lang w:val="fr-FR" w:eastAsia="fr-FR"/>
        </w:rPr>
        <w:t>’</w:t>
      </w:r>
      <w:r w:rsidR="00826E0F" w:rsidRPr="00872599">
        <w:rPr>
          <w:lang w:val="fr-FR" w:eastAsia="fr-FR"/>
        </w:rPr>
        <w:t>agissant de l</w:t>
      </w:r>
      <w:r w:rsidR="006645B6">
        <w:rPr>
          <w:lang w:val="fr-FR" w:eastAsia="fr-FR"/>
        </w:rPr>
        <w:t>’</w:t>
      </w:r>
      <w:r w:rsidR="00826E0F" w:rsidRPr="00872599">
        <w:rPr>
          <w:lang w:val="fr-FR" w:eastAsia="fr-FR"/>
        </w:rPr>
        <w:t xml:space="preserve">orientation professionnelle, le leitmotiv </w:t>
      </w:r>
      <w:r w:rsidR="00A4102E">
        <w:rPr>
          <w:lang w:val="fr-FR" w:eastAsia="fr-FR"/>
        </w:rPr>
        <w:t>« </w:t>
      </w:r>
      <w:r w:rsidR="00826E0F" w:rsidRPr="00872599">
        <w:rPr>
          <w:lang w:val="fr-FR" w:eastAsia="fr-FR"/>
        </w:rPr>
        <w:t>Toutes les carrières pour tout le monde</w:t>
      </w:r>
      <w:r w:rsidR="006645B6">
        <w:rPr>
          <w:lang w:val="fr-FR" w:eastAsia="fr-FR"/>
        </w:rPr>
        <w:t xml:space="preserve"> » </w:t>
      </w:r>
      <w:r w:rsidR="00826E0F" w:rsidRPr="00872599">
        <w:rPr>
          <w:lang w:val="fr-FR" w:eastAsia="fr-FR"/>
        </w:rPr>
        <w:t>est un élément d</w:t>
      </w:r>
      <w:r w:rsidR="006645B6">
        <w:rPr>
          <w:lang w:val="fr-FR" w:eastAsia="fr-FR"/>
        </w:rPr>
        <w:t>’</w:t>
      </w:r>
      <w:r w:rsidR="00826E0F" w:rsidRPr="00872599">
        <w:rPr>
          <w:lang w:val="fr-FR" w:eastAsia="fr-FR"/>
        </w:rPr>
        <w:t>information à caractère intégrateur fourni lors des soirées organisées pour les parents et les élèves, dans les présentations du centre d</w:t>
      </w:r>
      <w:r w:rsidR="006645B6">
        <w:rPr>
          <w:lang w:val="fr-FR" w:eastAsia="fr-FR"/>
        </w:rPr>
        <w:t>’</w:t>
      </w:r>
      <w:r w:rsidR="00826E0F" w:rsidRPr="00872599">
        <w:rPr>
          <w:lang w:val="fr-FR" w:eastAsia="fr-FR"/>
        </w:rPr>
        <w:t>information sur les carrières et dans les séminaires consacrés au choix des études pour les diplômés de l</w:t>
      </w:r>
      <w:r w:rsidR="006645B6">
        <w:rPr>
          <w:lang w:val="fr-FR" w:eastAsia="fr-FR"/>
        </w:rPr>
        <w:t>’</w:t>
      </w:r>
      <w:r w:rsidR="00826E0F" w:rsidRPr="00872599">
        <w:rPr>
          <w:lang w:val="fr-FR" w:eastAsia="fr-FR"/>
        </w:rPr>
        <w:t xml:space="preserve">enseignement secondaire classique. La désignation des carrières en allemand se fait systématiquement à la fois au masculin et au féminin (par exemple </w:t>
      </w:r>
      <w:r w:rsidR="00826E0F" w:rsidRPr="00872599">
        <w:rPr>
          <w:i/>
          <w:iCs/>
          <w:lang w:val="fr-FR" w:eastAsia="fr-FR"/>
        </w:rPr>
        <w:t>Polsterer/Polsterin</w:t>
      </w:r>
      <w:r w:rsidR="00826E0F" w:rsidRPr="00872599">
        <w:rPr>
          <w:lang w:val="fr-FR" w:eastAsia="fr-FR"/>
        </w:rPr>
        <w:t>) .</w:t>
      </w:r>
    </w:p>
    <w:p w:rsidR="00C23BEB" w:rsidRPr="00C23BEB" w:rsidRDefault="00C23BEB" w:rsidP="00C23BEB">
      <w:pPr>
        <w:pStyle w:val="SingleTxt"/>
        <w:spacing w:after="0" w:line="120" w:lineRule="exact"/>
        <w:rPr>
          <w:rStyle w:val="normal1"/>
          <w:b/>
          <w:sz w:val="10"/>
          <w:szCs w:val="24"/>
          <w:lang w:val="fr-FR"/>
        </w:rPr>
      </w:pPr>
    </w:p>
    <w:p w:rsidR="00826E0F" w:rsidRPr="00872599" w:rsidRDefault="00826E0F" w:rsidP="00C23BEB">
      <w:pPr>
        <w:pStyle w:val="SingleTxt"/>
        <w:rPr>
          <w:rStyle w:val="Normal"/>
          <w:b/>
          <w:szCs w:val="24"/>
          <w:shd w:val="clear" w:color="auto" w:fill="FFFFFF"/>
          <w:lang w:val="fr-FR"/>
        </w:rPr>
      </w:pPr>
      <w:r w:rsidRPr="00872599">
        <w:rPr>
          <w:rStyle w:val="Normal"/>
          <w:b/>
          <w:szCs w:val="24"/>
          <w:shd w:val="clear" w:color="auto" w:fill="FFFFFF"/>
          <w:lang w:val="fr-FR"/>
        </w:rPr>
        <w:t>L</w:t>
      </w:r>
      <w:r w:rsidR="006645B6">
        <w:rPr>
          <w:rStyle w:val="Normal"/>
          <w:b/>
          <w:szCs w:val="24"/>
          <w:shd w:val="clear" w:color="auto" w:fill="FFFFFF"/>
          <w:lang w:val="fr-FR"/>
        </w:rPr>
        <w:t>’</w:t>
      </w:r>
      <w:r w:rsidRPr="00872599">
        <w:rPr>
          <w:rStyle w:val="Normal"/>
          <w:b/>
          <w:szCs w:val="24"/>
          <w:shd w:val="clear" w:color="auto" w:fill="FFFFFF"/>
          <w:lang w:val="fr-FR"/>
        </w:rPr>
        <w:t xml:space="preserve">égalité des chances à </w:t>
      </w:r>
      <w:smartTag w:uri="urn:schemas-microsoft-com:office:smarttags" w:element="PersonName">
        <w:smartTagPr>
          <w:attr w:name="ProductID" w:val="la Hochschule Liechtenstein"/>
        </w:smartTagPr>
        <w:r w:rsidRPr="00872599">
          <w:rPr>
            <w:rStyle w:val="Normal"/>
            <w:b/>
            <w:szCs w:val="24"/>
            <w:shd w:val="clear" w:color="auto" w:fill="FFFFFF"/>
            <w:lang w:val="fr-FR"/>
          </w:rPr>
          <w:t>la Hochschule Liechtenstein</w:t>
        </w:r>
      </w:smartTag>
      <w:r w:rsidRPr="00872599">
        <w:rPr>
          <w:rStyle w:val="Normal"/>
          <w:b/>
          <w:szCs w:val="24"/>
          <w:shd w:val="clear" w:color="auto" w:fill="FFFFFF"/>
          <w:lang w:val="fr-FR"/>
        </w:rPr>
        <w:t xml:space="preserve"> </w:t>
      </w:r>
    </w:p>
    <w:p w:rsidR="00C23BEB" w:rsidRPr="00C23BEB" w:rsidRDefault="00C23BEB" w:rsidP="00C23BEB">
      <w:pPr>
        <w:pStyle w:val="SingleTxt"/>
        <w:spacing w:after="0" w:line="120" w:lineRule="exact"/>
        <w:rPr>
          <w:sz w:val="10"/>
          <w:lang w:val="fr-FR" w:eastAsia="fr-FR"/>
        </w:rPr>
      </w:pPr>
    </w:p>
    <w:p w:rsidR="00826E0F" w:rsidRPr="00872599" w:rsidRDefault="00C23BEB" w:rsidP="00C23BEB">
      <w:pPr>
        <w:pStyle w:val="SingleTxt"/>
        <w:rPr>
          <w:rFonts w:ascii="Arial" w:hAnsi="Arial" w:cs="Arial"/>
          <w:lang w:val="fr-FR" w:eastAsia="fr-FR"/>
        </w:rPr>
      </w:pPr>
      <w:r>
        <w:rPr>
          <w:lang w:val="fr-FR" w:eastAsia="fr-FR"/>
        </w:rPr>
        <w:tab/>
      </w:r>
      <w:r w:rsidR="00826E0F" w:rsidRPr="00872599">
        <w:rPr>
          <w:lang w:val="fr-FR" w:eastAsia="fr-FR"/>
        </w:rPr>
        <w:t>La Commission pour la promotion des femmes et la diversité de l</w:t>
      </w:r>
      <w:r w:rsidR="006645B6">
        <w:rPr>
          <w:lang w:val="fr-FR" w:eastAsia="fr-FR"/>
        </w:rPr>
        <w:t>’</w:t>
      </w:r>
      <w:r w:rsidR="00826E0F" w:rsidRPr="00872599">
        <w:rPr>
          <w:lang w:val="fr-FR" w:eastAsia="fr-FR"/>
        </w:rPr>
        <w:t>Hochschule Liechtenstein a été créée en 2003. Elle exprime les préoccupations des femmes et défend l</w:t>
      </w:r>
      <w:r w:rsidR="006645B6">
        <w:rPr>
          <w:lang w:val="fr-FR" w:eastAsia="fr-FR"/>
        </w:rPr>
        <w:t>’</w:t>
      </w:r>
      <w:r w:rsidR="00826E0F" w:rsidRPr="00872599">
        <w:rPr>
          <w:lang w:val="fr-FR" w:eastAsia="fr-FR"/>
        </w:rPr>
        <w:t>égalité des chances à l</w:t>
      </w:r>
      <w:r w:rsidR="006645B6">
        <w:rPr>
          <w:lang w:val="fr-FR" w:eastAsia="fr-FR"/>
        </w:rPr>
        <w:t>’</w:t>
      </w:r>
      <w:r w:rsidR="00826E0F" w:rsidRPr="00872599">
        <w:rPr>
          <w:lang w:val="fr-FR" w:eastAsia="fr-FR"/>
        </w:rPr>
        <w:t>Hochschule et elle émet des avis sur les questions d</w:t>
      </w:r>
      <w:r w:rsidR="006645B6">
        <w:rPr>
          <w:lang w:val="fr-FR" w:eastAsia="fr-FR"/>
        </w:rPr>
        <w:t>’</w:t>
      </w:r>
      <w:r w:rsidR="00826E0F" w:rsidRPr="00872599">
        <w:rPr>
          <w:lang w:val="fr-FR" w:eastAsia="fr-FR"/>
        </w:rPr>
        <w:t xml:space="preserve">égalité entre les sexes. </w:t>
      </w:r>
      <w:smartTag w:uri="urn:schemas-microsoft-com:office:smarttags" w:element="PersonName">
        <w:smartTagPr>
          <w:attr w:name="ProductID" w:val="la Commission"/>
        </w:smartTagPr>
        <w:r w:rsidR="00826E0F" w:rsidRPr="00872599">
          <w:rPr>
            <w:lang w:val="fr-FR" w:eastAsia="fr-FR"/>
          </w:rPr>
          <w:t>La Commission</w:t>
        </w:r>
      </w:smartTag>
      <w:r w:rsidR="00826E0F" w:rsidRPr="00872599">
        <w:rPr>
          <w:lang w:val="fr-FR" w:eastAsia="fr-FR"/>
        </w:rPr>
        <w:t xml:space="preserve"> s</w:t>
      </w:r>
      <w:r w:rsidR="006645B6">
        <w:rPr>
          <w:lang w:val="fr-FR" w:eastAsia="fr-FR"/>
        </w:rPr>
        <w:t>’</w:t>
      </w:r>
      <w:r w:rsidR="00826E0F" w:rsidRPr="00872599">
        <w:rPr>
          <w:lang w:val="fr-FR" w:eastAsia="fr-FR"/>
        </w:rPr>
        <w:t>efforce de mettre en place une représentation équilibrée des femmes et des hommes pour ce qui est du fonctionnement de l</w:t>
      </w:r>
      <w:r w:rsidR="006645B6">
        <w:rPr>
          <w:lang w:val="fr-FR" w:eastAsia="fr-FR"/>
        </w:rPr>
        <w:t>’</w:t>
      </w:r>
      <w:r w:rsidR="00826E0F" w:rsidRPr="00872599">
        <w:rPr>
          <w:lang w:val="fr-FR" w:eastAsia="fr-FR"/>
        </w:rPr>
        <w:t>Hochschule ainsi que de l</w:t>
      </w:r>
      <w:r w:rsidR="006645B6">
        <w:rPr>
          <w:lang w:val="fr-FR" w:eastAsia="fr-FR"/>
        </w:rPr>
        <w:t>’</w:t>
      </w:r>
      <w:r w:rsidR="00826E0F" w:rsidRPr="00872599">
        <w:rPr>
          <w:lang w:val="fr-FR" w:eastAsia="fr-FR"/>
        </w:rPr>
        <w:t>enseignement qui y est dispensé et de la recherche qui y est effectuée. Les membres de l</w:t>
      </w:r>
      <w:r w:rsidR="006645B6">
        <w:rPr>
          <w:lang w:val="fr-FR" w:eastAsia="fr-FR"/>
        </w:rPr>
        <w:t>’</w:t>
      </w:r>
      <w:r w:rsidR="00826E0F" w:rsidRPr="00872599">
        <w:rPr>
          <w:lang w:val="fr-FR" w:eastAsia="fr-FR"/>
        </w:rPr>
        <w:t>Hochschule sont informés des questions d</w:t>
      </w:r>
      <w:r w:rsidR="006645B6">
        <w:rPr>
          <w:lang w:val="fr-FR" w:eastAsia="fr-FR"/>
        </w:rPr>
        <w:t>’</w:t>
      </w:r>
      <w:r w:rsidR="00826E0F" w:rsidRPr="00872599">
        <w:rPr>
          <w:lang w:val="fr-FR" w:eastAsia="fr-FR"/>
        </w:rPr>
        <w:t>égalité entre les sexes et les femmes peuvent s</w:t>
      </w:r>
      <w:r w:rsidR="006645B6">
        <w:rPr>
          <w:lang w:val="fr-FR" w:eastAsia="fr-FR"/>
        </w:rPr>
        <w:t>’</w:t>
      </w:r>
      <w:r w:rsidR="00826E0F" w:rsidRPr="00872599">
        <w:rPr>
          <w:lang w:val="fr-FR" w:eastAsia="fr-FR"/>
        </w:rPr>
        <w:t>adresser au Bureau d</w:t>
      </w:r>
      <w:r w:rsidR="006645B6">
        <w:rPr>
          <w:lang w:val="fr-FR" w:eastAsia="fr-FR"/>
        </w:rPr>
        <w:t>’</w:t>
      </w:r>
      <w:r w:rsidR="00826E0F" w:rsidRPr="00872599">
        <w:rPr>
          <w:lang w:val="fr-FR" w:eastAsia="fr-FR"/>
        </w:rPr>
        <w:t>orientation pour les problèmes concernant leurs études, une grossesse, les carrières académiques, les bourses, les conflits au lieu de travail et les cas de harcèlement sexuel. Les personnes qui estiment faire l</w:t>
      </w:r>
      <w:r w:rsidR="006645B6">
        <w:rPr>
          <w:lang w:val="fr-FR" w:eastAsia="fr-FR"/>
        </w:rPr>
        <w:t>’</w:t>
      </w:r>
      <w:r w:rsidR="00826E0F" w:rsidRPr="00872599">
        <w:rPr>
          <w:lang w:val="fr-FR" w:eastAsia="fr-FR"/>
        </w:rPr>
        <w:t>objet d</w:t>
      </w:r>
      <w:r w:rsidR="006645B6">
        <w:rPr>
          <w:lang w:val="fr-FR" w:eastAsia="fr-FR"/>
        </w:rPr>
        <w:t>’</w:t>
      </w:r>
      <w:r w:rsidR="00826E0F" w:rsidRPr="00872599">
        <w:rPr>
          <w:lang w:val="fr-FR" w:eastAsia="fr-FR"/>
        </w:rPr>
        <w:t>une discrimination en raison de leur sexe peuvent s</w:t>
      </w:r>
      <w:r w:rsidR="006645B6">
        <w:rPr>
          <w:lang w:val="fr-FR" w:eastAsia="fr-FR"/>
        </w:rPr>
        <w:t>’</w:t>
      </w:r>
      <w:r w:rsidR="00826E0F" w:rsidRPr="00872599">
        <w:rPr>
          <w:lang w:val="fr-FR" w:eastAsia="fr-FR"/>
        </w:rPr>
        <w:t>adresser au Bureau d</w:t>
      </w:r>
      <w:r w:rsidR="006645B6">
        <w:rPr>
          <w:lang w:val="fr-FR" w:eastAsia="fr-FR"/>
        </w:rPr>
        <w:t>’</w:t>
      </w:r>
      <w:r w:rsidR="00826E0F" w:rsidRPr="00872599">
        <w:rPr>
          <w:lang w:val="fr-FR" w:eastAsia="fr-FR"/>
        </w:rPr>
        <w:t>orientation qui fait office de médiateur. Dans tous les cas ce Bureau s</w:t>
      </w:r>
      <w:r w:rsidR="006645B6">
        <w:rPr>
          <w:lang w:val="fr-FR" w:eastAsia="fr-FR"/>
        </w:rPr>
        <w:t>’</w:t>
      </w:r>
      <w:r w:rsidR="00826E0F" w:rsidRPr="00872599">
        <w:rPr>
          <w:lang w:val="fr-FR" w:eastAsia="fr-FR"/>
        </w:rPr>
        <w:t>efforce de trouver une solution concrète</w:t>
      </w:r>
      <w:r w:rsidR="00826E0F" w:rsidRPr="00872599">
        <w:rPr>
          <w:rFonts w:ascii="Arial" w:hAnsi="Arial" w:cs="Arial"/>
          <w:lang w:val="fr-FR" w:eastAsia="fr-FR"/>
        </w:rPr>
        <w:t>.</w:t>
      </w:r>
    </w:p>
    <w:p w:rsidR="00C23BEB" w:rsidRPr="00C23BEB" w:rsidRDefault="00C23BEB" w:rsidP="00C23BEB">
      <w:pPr>
        <w:pStyle w:val="SingleTxt"/>
        <w:spacing w:after="0" w:line="120" w:lineRule="exact"/>
        <w:rPr>
          <w:sz w:val="10"/>
          <w:lang w:val="fr-FR" w:eastAsia="fr-FR"/>
        </w:rPr>
      </w:pPr>
    </w:p>
    <w:p w:rsidR="00826E0F" w:rsidRPr="00872599" w:rsidRDefault="00C23BEB" w:rsidP="00C23B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eastAsia="fr-FR"/>
        </w:rPr>
      </w:pPr>
      <w:r>
        <w:rPr>
          <w:lang w:val="fr-FR" w:eastAsia="fr-FR"/>
        </w:rPr>
        <w:tab/>
      </w:r>
      <w:r>
        <w:rPr>
          <w:lang w:val="fr-FR" w:eastAsia="fr-FR"/>
        </w:rPr>
        <w:tab/>
      </w:r>
      <w:r w:rsidR="00826E0F" w:rsidRPr="00872599">
        <w:rPr>
          <w:lang w:val="fr-FR" w:eastAsia="fr-FR"/>
        </w:rPr>
        <w:t>La Commission s</w:t>
      </w:r>
      <w:r w:rsidR="006645B6">
        <w:rPr>
          <w:lang w:val="fr-FR" w:eastAsia="fr-FR"/>
        </w:rPr>
        <w:t>’</w:t>
      </w:r>
      <w:r w:rsidR="00826E0F" w:rsidRPr="00872599">
        <w:rPr>
          <w:lang w:val="fr-FR" w:eastAsia="fr-FR"/>
        </w:rPr>
        <w:t>occupe actuellement des projets ci-après:</w:t>
      </w:r>
    </w:p>
    <w:p w:rsidR="00C23BEB" w:rsidRPr="00C23BEB" w:rsidRDefault="00C23BEB" w:rsidP="00C23BEB">
      <w:pPr>
        <w:pStyle w:val="SingleTxt"/>
        <w:spacing w:after="0" w:line="120" w:lineRule="exact"/>
        <w:rPr>
          <w:sz w:val="10"/>
          <w:lang w:val="fr-FR" w:eastAsia="fr-FR"/>
        </w:rPr>
      </w:pPr>
    </w:p>
    <w:p w:rsidR="00C23BEB" w:rsidRDefault="00C23BEB" w:rsidP="00C23BEB">
      <w:pPr>
        <w:pStyle w:val="SingleTxt"/>
        <w:tabs>
          <w:tab w:val="right" w:pos="1685"/>
        </w:tabs>
        <w:ind w:left="1742" w:hanging="475"/>
        <w:rPr>
          <w:lang w:val="fr-FR" w:eastAsia="fr-FR"/>
        </w:rPr>
      </w:pPr>
      <w:r>
        <w:rPr>
          <w:lang w:val="fr-FR" w:eastAsia="fr-FR"/>
        </w:rPr>
        <w:tab/>
        <w:t>•</w:t>
      </w:r>
      <w:r>
        <w:rPr>
          <w:lang w:val="fr-FR" w:eastAsia="fr-FR"/>
        </w:rPr>
        <w:tab/>
      </w:r>
      <w:r w:rsidR="00826E0F" w:rsidRPr="00872599">
        <w:rPr>
          <w:lang w:val="fr-FR" w:eastAsia="fr-FR"/>
        </w:rPr>
        <w:t>Renforcer la part accordée aux femmes en ce qui concerne le fonctionnement de l</w:t>
      </w:r>
      <w:r w:rsidR="006645B6">
        <w:rPr>
          <w:lang w:val="fr-FR" w:eastAsia="fr-FR"/>
        </w:rPr>
        <w:t>’</w:t>
      </w:r>
      <w:r w:rsidR="00826E0F" w:rsidRPr="00872599">
        <w:rPr>
          <w:lang w:val="fr-FR" w:eastAsia="fr-FR"/>
        </w:rPr>
        <w:t>Hochschule, l</w:t>
      </w:r>
      <w:r w:rsidR="006645B6">
        <w:rPr>
          <w:lang w:val="fr-FR" w:eastAsia="fr-FR"/>
        </w:rPr>
        <w:t>’</w:t>
      </w:r>
      <w:r w:rsidR="00826E0F" w:rsidRPr="00872599">
        <w:rPr>
          <w:lang w:val="fr-FR" w:eastAsia="fr-FR"/>
        </w:rPr>
        <w:t>enseignement qui y est dispensé, la recherche qui y est réalisée et les études qui y sont effectuées</w:t>
      </w:r>
    </w:p>
    <w:p w:rsidR="00C23BEB" w:rsidRDefault="00C23BEB" w:rsidP="00C23BEB">
      <w:pPr>
        <w:pStyle w:val="SingleTxt"/>
        <w:tabs>
          <w:tab w:val="right" w:pos="1685"/>
        </w:tabs>
        <w:ind w:left="1742" w:hanging="475"/>
        <w:rPr>
          <w:lang w:val="fr-FR" w:eastAsia="fr-FR"/>
        </w:rPr>
      </w:pPr>
      <w:r>
        <w:rPr>
          <w:lang w:val="fr-FR" w:eastAsia="fr-FR"/>
        </w:rPr>
        <w:tab/>
        <w:t>•</w:t>
      </w:r>
      <w:r>
        <w:rPr>
          <w:lang w:val="fr-FR" w:eastAsia="fr-FR"/>
        </w:rPr>
        <w:tab/>
      </w:r>
      <w:r w:rsidR="00826E0F" w:rsidRPr="00872599">
        <w:rPr>
          <w:lang w:val="fr-FR" w:eastAsia="fr-FR"/>
        </w:rPr>
        <w:t>Maternité et gardes d</w:t>
      </w:r>
      <w:r w:rsidR="006645B6">
        <w:rPr>
          <w:lang w:val="fr-FR" w:eastAsia="fr-FR"/>
        </w:rPr>
        <w:t>’</w:t>
      </w:r>
      <w:r w:rsidR="00826E0F" w:rsidRPr="00872599">
        <w:rPr>
          <w:lang w:val="fr-FR" w:eastAsia="fr-FR"/>
        </w:rPr>
        <w:t>enfants</w:t>
      </w:r>
    </w:p>
    <w:p w:rsidR="00C23BEB" w:rsidRDefault="00C23BEB" w:rsidP="00C23BEB">
      <w:pPr>
        <w:pStyle w:val="SingleTxt"/>
        <w:tabs>
          <w:tab w:val="right" w:pos="1685"/>
        </w:tabs>
        <w:ind w:left="1742" w:hanging="475"/>
        <w:rPr>
          <w:lang w:val="fr-FR" w:eastAsia="fr-FR"/>
        </w:rPr>
      </w:pPr>
      <w:r>
        <w:rPr>
          <w:lang w:val="fr-FR" w:eastAsia="fr-FR"/>
        </w:rPr>
        <w:tab/>
        <w:t>•</w:t>
      </w:r>
      <w:r>
        <w:rPr>
          <w:lang w:val="fr-FR" w:eastAsia="fr-FR"/>
        </w:rPr>
        <w:tab/>
      </w:r>
      <w:r w:rsidR="00826E0F" w:rsidRPr="00872599">
        <w:rPr>
          <w:lang w:val="fr-FR" w:eastAsia="fr-FR"/>
        </w:rPr>
        <w:t>Examen des conditions générales dont bénéficient les membres du personnel en ce qui concerne</w:t>
      </w:r>
      <w:r w:rsidR="006645B6">
        <w:rPr>
          <w:lang w:val="fr-FR" w:eastAsia="fr-FR"/>
        </w:rPr>
        <w:t xml:space="preserve"> </w:t>
      </w:r>
      <w:r w:rsidR="00826E0F" w:rsidRPr="00872599">
        <w:rPr>
          <w:lang w:val="fr-FR" w:eastAsia="fr-FR"/>
        </w:rPr>
        <w:t>une vie professionnelle équilibrée (temps partiel, remplacement, planification des carrières, etc.)</w:t>
      </w:r>
    </w:p>
    <w:p w:rsidR="00826E0F" w:rsidRPr="00872599" w:rsidRDefault="00C23BEB" w:rsidP="00C23BEB">
      <w:pPr>
        <w:pStyle w:val="SingleTxt"/>
        <w:tabs>
          <w:tab w:val="right" w:pos="1685"/>
        </w:tabs>
        <w:ind w:left="1742" w:hanging="475"/>
        <w:rPr>
          <w:lang w:val="fr-FR" w:eastAsia="fr-FR"/>
        </w:rPr>
      </w:pPr>
      <w:r>
        <w:rPr>
          <w:lang w:val="fr-FR" w:eastAsia="fr-FR"/>
        </w:rPr>
        <w:tab/>
        <w:t>•</w:t>
      </w:r>
      <w:r>
        <w:rPr>
          <w:lang w:val="fr-FR" w:eastAsia="fr-FR"/>
        </w:rPr>
        <w:tab/>
      </w:r>
      <w:r w:rsidR="00826E0F" w:rsidRPr="00872599">
        <w:rPr>
          <w:lang w:val="fr-FR" w:eastAsia="fr-FR"/>
        </w:rPr>
        <w:t>Règlement en matière de harcèlement sexuel</w:t>
      </w:r>
    </w:p>
    <w:p w:rsidR="00826E0F" w:rsidRPr="00872599" w:rsidRDefault="00826E0F" w:rsidP="00C23BEB">
      <w:pPr>
        <w:pStyle w:val="SingleTxt"/>
        <w:rPr>
          <w:rFonts w:ascii="Arial" w:hAnsi="Arial" w:cs="Arial"/>
          <w:lang w:val="fr-FR" w:eastAsia="fr-FR"/>
        </w:rPr>
      </w:pPr>
      <w:r w:rsidRPr="00C23BEB">
        <w:rPr>
          <w:lang w:val="fr-FR" w:eastAsia="fr-FR"/>
        </w:rPr>
        <w:t>La</w:t>
      </w:r>
      <w:r w:rsidRPr="00872599">
        <w:rPr>
          <w:rFonts w:ascii="Arial" w:hAnsi="Arial" w:cs="Arial"/>
          <w:lang w:val="fr-FR" w:eastAsia="fr-FR"/>
        </w:rPr>
        <w:t xml:space="preserve"> </w:t>
      </w:r>
      <w:r w:rsidRPr="00872599">
        <w:rPr>
          <w:lang w:val="fr-FR" w:eastAsia="fr-FR"/>
        </w:rPr>
        <w:t>Commission pour la promotion des femmes et la diversité s</w:t>
      </w:r>
      <w:r w:rsidR="006645B6">
        <w:rPr>
          <w:lang w:val="fr-FR" w:eastAsia="fr-FR"/>
        </w:rPr>
        <w:t>’</w:t>
      </w:r>
      <w:r w:rsidRPr="00872599">
        <w:rPr>
          <w:lang w:val="fr-FR" w:eastAsia="fr-FR"/>
        </w:rPr>
        <w:t>est vue décerner pour son projet</w:t>
      </w:r>
      <w:r w:rsidR="00A4102E">
        <w:rPr>
          <w:lang w:val="fr-FR" w:eastAsia="fr-FR"/>
        </w:rPr>
        <w:t xml:space="preserve"> « </w:t>
      </w:r>
      <w:r w:rsidRPr="005F25E1">
        <w:rPr>
          <w:lang w:val="fr-FR" w:eastAsia="fr-FR"/>
        </w:rPr>
        <w:t>L</w:t>
      </w:r>
      <w:r w:rsidR="006645B6">
        <w:rPr>
          <w:lang w:val="fr-FR" w:eastAsia="fr-FR"/>
        </w:rPr>
        <w:t>’</w:t>
      </w:r>
      <w:r w:rsidRPr="005F25E1">
        <w:rPr>
          <w:lang w:val="fr-FR" w:eastAsia="fr-FR"/>
        </w:rPr>
        <w:t>égalité des chances à l</w:t>
      </w:r>
      <w:r w:rsidR="006645B6">
        <w:rPr>
          <w:lang w:val="fr-FR" w:eastAsia="fr-FR"/>
        </w:rPr>
        <w:t>’</w:t>
      </w:r>
      <w:r w:rsidRPr="005F25E1">
        <w:rPr>
          <w:lang w:val="fr-FR" w:eastAsia="fr-FR"/>
        </w:rPr>
        <w:t>Hochschule Liechtenstein</w:t>
      </w:r>
      <w:r w:rsidR="00A4102E">
        <w:rPr>
          <w:lang w:val="fr-FR" w:eastAsia="fr-FR"/>
        </w:rPr>
        <w:t> </w:t>
      </w:r>
      <w:r w:rsidRPr="005F25E1">
        <w:rPr>
          <w:lang w:val="fr-FR" w:eastAsia="fr-FR"/>
        </w:rPr>
        <w:t>»</w:t>
      </w:r>
      <w:r w:rsidR="00A4102E">
        <w:rPr>
          <w:lang w:val="fr-FR" w:eastAsia="fr-FR"/>
        </w:rPr>
        <w:t>,</w:t>
      </w:r>
      <w:r w:rsidR="006645B6">
        <w:rPr>
          <w:lang w:val="fr-FR" w:eastAsia="fr-FR"/>
        </w:rPr>
        <w:t xml:space="preserve"> </w:t>
      </w:r>
      <w:r w:rsidRPr="005F25E1">
        <w:rPr>
          <w:lang w:val="fr-FR" w:eastAsia="fr-FR"/>
        </w:rPr>
        <w:t>le troisième prix du concours de projets pour 2006 organisé par le Gouvernement du Liechtenstein .</w:t>
      </w:r>
    </w:p>
    <w:p w:rsidR="00C23BEB" w:rsidRPr="00C23BEB" w:rsidRDefault="00C23BEB" w:rsidP="00C23BEB">
      <w:pPr>
        <w:pStyle w:val="SingleTxt"/>
        <w:spacing w:after="0" w:line="120" w:lineRule="exact"/>
        <w:rPr>
          <w:sz w:val="10"/>
          <w:lang w:val="fr-FR" w:eastAsia="fr-FR"/>
        </w:rPr>
      </w:pPr>
    </w:p>
    <w:p w:rsidR="00826E0F" w:rsidRPr="00872599" w:rsidRDefault="00C23BEB" w:rsidP="00C23B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eastAsia="fr-FR"/>
        </w:rPr>
      </w:pPr>
      <w:r>
        <w:rPr>
          <w:lang w:val="fr-FR" w:eastAsia="fr-FR"/>
        </w:rPr>
        <w:tab/>
      </w:r>
      <w:r>
        <w:rPr>
          <w:lang w:val="fr-FR" w:eastAsia="fr-FR"/>
        </w:rPr>
        <w:tab/>
      </w:r>
      <w:r w:rsidR="00826E0F" w:rsidRPr="00872599">
        <w:rPr>
          <w:lang w:val="fr-FR" w:eastAsia="fr-FR"/>
        </w:rPr>
        <w:t>L</w:t>
      </w:r>
      <w:r w:rsidR="006645B6">
        <w:rPr>
          <w:lang w:val="fr-FR" w:eastAsia="fr-FR"/>
        </w:rPr>
        <w:t>’</w:t>
      </w:r>
      <w:r w:rsidR="00826E0F" w:rsidRPr="00872599">
        <w:rPr>
          <w:lang w:val="fr-FR" w:eastAsia="fr-FR"/>
        </w:rPr>
        <w:t>éducation des femmes dans le cadre du ICHD</w:t>
      </w:r>
    </w:p>
    <w:p w:rsidR="00C23BEB" w:rsidRPr="00C23BEB" w:rsidRDefault="00C23BEB" w:rsidP="00C23BEB">
      <w:pPr>
        <w:pStyle w:val="SingleTxt"/>
        <w:spacing w:after="0" w:line="120" w:lineRule="exact"/>
        <w:rPr>
          <w:sz w:val="10"/>
          <w:lang w:val="fr-FR" w:eastAsia="fr-FR"/>
        </w:rPr>
      </w:pPr>
    </w:p>
    <w:p w:rsidR="00826E0F" w:rsidRPr="00872599" w:rsidRDefault="00C23BEB" w:rsidP="00497599">
      <w:pPr>
        <w:pStyle w:val="SingleTxt"/>
        <w:rPr>
          <w:lang w:val="fr-FR" w:eastAsia="fr-FR"/>
        </w:rPr>
      </w:pPr>
      <w:r>
        <w:rPr>
          <w:lang w:val="fr-FR" w:eastAsia="fr-FR"/>
        </w:rPr>
        <w:tab/>
      </w:r>
      <w:r w:rsidR="00826E0F" w:rsidRPr="00872599">
        <w:rPr>
          <w:lang w:val="fr-FR" w:eastAsia="fr-FR"/>
        </w:rPr>
        <w:t>Le Liechtenstein promeut également l</w:t>
      </w:r>
      <w:r w:rsidR="006645B6">
        <w:rPr>
          <w:lang w:val="fr-FR" w:eastAsia="fr-FR"/>
        </w:rPr>
        <w:t>’</w:t>
      </w:r>
      <w:r w:rsidR="00826E0F" w:rsidRPr="00872599">
        <w:rPr>
          <w:lang w:val="fr-FR" w:eastAsia="fr-FR"/>
        </w:rPr>
        <w:t xml:space="preserve">éducation des femmes dans le cadre de son programme de coopération humanitaire </w:t>
      </w:r>
      <w:r w:rsidR="00826E0F">
        <w:rPr>
          <w:lang w:val="fr-FR" w:eastAsia="fr-FR"/>
        </w:rPr>
        <w:t xml:space="preserve">internationale </w:t>
      </w:r>
      <w:r w:rsidR="00826E0F" w:rsidRPr="00872599">
        <w:rPr>
          <w:lang w:val="fr-FR" w:eastAsia="fr-FR"/>
        </w:rPr>
        <w:t>et de développement (ICHD). Pour plus d</w:t>
      </w:r>
      <w:r w:rsidR="006645B6">
        <w:rPr>
          <w:lang w:val="fr-FR" w:eastAsia="fr-FR"/>
        </w:rPr>
        <w:t>’</w:t>
      </w:r>
      <w:r w:rsidR="00826E0F" w:rsidRPr="00872599">
        <w:rPr>
          <w:lang w:val="fr-FR" w:eastAsia="fr-FR"/>
        </w:rPr>
        <w:t>informations sur l</w:t>
      </w:r>
      <w:r w:rsidR="006645B6">
        <w:rPr>
          <w:lang w:val="fr-FR" w:eastAsia="fr-FR"/>
        </w:rPr>
        <w:t>’</w:t>
      </w:r>
      <w:r w:rsidR="00826E0F" w:rsidRPr="00872599">
        <w:rPr>
          <w:lang w:val="fr-FR" w:eastAsia="fr-FR"/>
        </w:rPr>
        <w:t>engagement du Liechtenstein dans ce domaine, se reporter aux remarques concernant l</w:t>
      </w:r>
      <w:r w:rsidR="006645B6">
        <w:rPr>
          <w:lang w:val="fr-FR" w:eastAsia="fr-FR"/>
        </w:rPr>
        <w:t>’</w:t>
      </w:r>
      <w:r w:rsidR="00826E0F" w:rsidRPr="00872599">
        <w:rPr>
          <w:lang w:val="fr-FR" w:eastAsia="fr-FR"/>
        </w:rPr>
        <w:t>article 3.</w:t>
      </w:r>
    </w:p>
    <w:p w:rsidR="00C23BEB" w:rsidRPr="00C23BEB" w:rsidRDefault="00C23BEB" w:rsidP="00C23BEB">
      <w:pPr>
        <w:pStyle w:val="SingleTxt"/>
        <w:spacing w:after="0" w:line="120" w:lineRule="exact"/>
        <w:rPr>
          <w:b/>
          <w:sz w:val="10"/>
          <w:lang w:val="fr-FR" w:eastAsia="fr-FR"/>
        </w:rPr>
      </w:pPr>
    </w:p>
    <w:p w:rsidR="00826E0F" w:rsidRPr="00872599" w:rsidRDefault="00C23BEB" w:rsidP="00C23B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eastAsia="fr-FR"/>
        </w:rPr>
      </w:pPr>
      <w:r>
        <w:rPr>
          <w:lang w:val="fr-FR" w:eastAsia="fr-FR"/>
        </w:rPr>
        <w:tab/>
      </w:r>
      <w:r>
        <w:rPr>
          <w:lang w:val="fr-FR" w:eastAsia="fr-FR"/>
        </w:rPr>
        <w:tab/>
      </w:r>
      <w:r w:rsidR="00826E0F" w:rsidRPr="00872599">
        <w:rPr>
          <w:lang w:val="fr-FR" w:eastAsia="fr-FR"/>
        </w:rPr>
        <w:t>La formation permanente à l</w:t>
      </w:r>
      <w:r w:rsidR="006645B6">
        <w:rPr>
          <w:lang w:val="fr-FR" w:eastAsia="fr-FR"/>
        </w:rPr>
        <w:t>’</w:t>
      </w:r>
      <w:r w:rsidR="00826E0F" w:rsidRPr="00872599">
        <w:rPr>
          <w:lang w:val="fr-FR" w:eastAsia="fr-FR"/>
        </w:rPr>
        <w:t>occasion du 60e anniversaire de l</w:t>
      </w:r>
      <w:r w:rsidR="006645B6">
        <w:rPr>
          <w:lang w:val="fr-FR" w:eastAsia="fr-FR"/>
        </w:rPr>
        <w:t>’</w:t>
      </w:r>
      <w:r w:rsidR="00826E0F" w:rsidRPr="00872599">
        <w:rPr>
          <w:lang w:val="fr-FR" w:eastAsia="fr-FR"/>
        </w:rPr>
        <w:t>adoption</w:t>
      </w:r>
      <w:r>
        <w:rPr>
          <w:lang w:val="fr-FR" w:eastAsia="fr-FR"/>
        </w:rPr>
        <w:br/>
      </w:r>
      <w:r w:rsidR="00826E0F" w:rsidRPr="00872599">
        <w:rPr>
          <w:lang w:val="fr-FR" w:eastAsia="fr-FR"/>
        </w:rPr>
        <w:t xml:space="preserve">de </w:t>
      </w:r>
      <w:smartTag w:uri="urn:schemas-microsoft-com:office:smarttags" w:element="PersonName">
        <w:smartTagPr>
          <w:attr w:name="ProductID" w:val="la D￩claration"/>
        </w:smartTagPr>
        <w:r w:rsidR="00826E0F" w:rsidRPr="00872599">
          <w:rPr>
            <w:lang w:val="fr-FR" w:eastAsia="fr-FR"/>
          </w:rPr>
          <w:t>la Déclaration</w:t>
        </w:r>
      </w:smartTag>
      <w:r w:rsidR="00826E0F" w:rsidRPr="00872599">
        <w:rPr>
          <w:lang w:val="fr-FR" w:eastAsia="fr-FR"/>
        </w:rPr>
        <w:t xml:space="preserve"> universelle des droits de l</w:t>
      </w:r>
      <w:r w:rsidR="006645B6">
        <w:rPr>
          <w:lang w:val="fr-FR" w:eastAsia="fr-FR"/>
        </w:rPr>
        <w:t>’</w:t>
      </w:r>
      <w:r w:rsidR="00826E0F" w:rsidRPr="00872599">
        <w:rPr>
          <w:lang w:val="fr-FR" w:eastAsia="fr-FR"/>
        </w:rPr>
        <w:t>homme</w:t>
      </w:r>
    </w:p>
    <w:p w:rsidR="00C23BEB" w:rsidRPr="00C23BEB" w:rsidRDefault="00C23BEB" w:rsidP="00C23BEB">
      <w:pPr>
        <w:pStyle w:val="SingleTxt"/>
        <w:spacing w:after="0" w:line="120" w:lineRule="exact"/>
        <w:rPr>
          <w:sz w:val="10"/>
          <w:lang w:val="fr-FR" w:eastAsia="fr-FR"/>
        </w:rPr>
      </w:pPr>
    </w:p>
    <w:p w:rsidR="00826E0F" w:rsidRPr="00872599" w:rsidRDefault="00C23BEB" w:rsidP="00497599">
      <w:pPr>
        <w:pStyle w:val="SingleTxt"/>
        <w:rPr>
          <w:lang w:val="fr-FR" w:eastAsia="fr-FR"/>
        </w:rPr>
      </w:pPr>
      <w:r>
        <w:rPr>
          <w:lang w:val="fr-FR" w:eastAsia="fr-FR"/>
        </w:rPr>
        <w:tab/>
      </w:r>
      <w:r w:rsidR="00826E0F" w:rsidRPr="00872599">
        <w:rPr>
          <w:lang w:val="fr-FR" w:eastAsia="fr-FR"/>
        </w:rPr>
        <w:t>À l</w:t>
      </w:r>
      <w:r w:rsidR="006645B6">
        <w:rPr>
          <w:lang w:val="fr-FR" w:eastAsia="fr-FR"/>
        </w:rPr>
        <w:t>’</w:t>
      </w:r>
      <w:r w:rsidR="00826E0F" w:rsidRPr="00872599">
        <w:rPr>
          <w:lang w:val="fr-FR" w:eastAsia="fr-FR"/>
        </w:rPr>
        <w:t>occasion du 60</w:t>
      </w:r>
      <w:r w:rsidR="00826E0F" w:rsidRPr="00A4102E">
        <w:rPr>
          <w:vertAlign w:val="superscript"/>
          <w:lang w:val="fr-FR" w:eastAsia="fr-FR"/>
        </w:rPr>
        <w:t>e</w:t>
      </w:r>
      <w:r w:rsidR="00826E0F" w:rsidRPr="00872599">
        <w:rPr>
          <w:lang w:val="fr-FR" w:eastAsia="fr-FR"/>
        </w:rPr>
        <w:t xml:space="preserve"> anniversaire de l</w:t>
      </w:r>
      <w:r w:rsidR="006645B6">
        <w:rPr>
          <w:lang w:val="fr-FR" w:eastAsia="fr-FR"/>
        </w:rPr>
        <w:t>’</w:t>
      </w:r>
      <w:r w:rsidR="00826E0F" w:rsidRPr="00872599">
        <w:rPr>
          <w:lang w:val="fr-FR" w:eastAsia="fr-FR"/>
        </w:rPr>
        <w:t xml:space="preserve">adoption de </w:t>
      </w:r>
      <w:smartTag w:uri="urn:schemas-microsoft-com:office:smarttags" w:element="PersonName">
        <w:smartTagPr>
          <w:attr w:name="ProductID" w:val="la D￩claration"/>
        </w:smartTagPr>
        <w:r w:rsidR="00826E0F" w:rsidRPr="00872599">
          <w:rPr>
            <w:lang w:val="fr-FR" w:eastAsia="fr-FR"/>
          </w:rPr>
          <w:t>la Déclaration</w:t>
        </w:r>
      </w:smartTag>
      <w:r w:rsidR="00826E0F" w:rsidRPr="00872599">
        <w:rPr>
          <w:lang w:val="fr-FR" w:eastAsia="fr-FR"/>
        </w:rPr>
        <w:t xml:space="preserve"> universelle des droits de l</w:t>
      </w:r>
      <w:r w:rsidR="006645B6">
        <w:rPr>
          <w:lang w:val="fr-FR" w:eastAsia="fr-FR"/>
        </w:rPr>
        <w:t>’</w:t>
      </w:r>
      <w:r w:rsidR="00826E0F" w:rsidRPr="00872599">
        <w:rPr>
          <w:lang w:val="fr-FR" w:eastAsia="fr-FR"/>
        </w:rPr>
        <w:t>homme, plusieurs manifestations concernant la formation permanente dans le cadre de la défense des droits de l</w:t>
      </w:r>
      <w:r w:rsidR="006645B6">
        <w:rPr>
          <w:lang w:val="fr-FR" w:eastAsia="fr-FR"/>
        </w:rPr>
        <w:t>’</w:t>
      </w:r>
      <w:r w:rsidR="00826E0F" w:rsidRPr="00872599">
        <w:rPr>
          <w:lang w:val="fr-FR" w:eastAsia="fr-FR"/>
        </w:rPr>
        <w:t>homme ont été organisées en 2008-2009. Pour plus informations se reporter aux remarques concernant l</w:t>
      </w:r>
      <w:r w:rsidR="006645B6">
        <w:rPr>
          <w:lang w:val="fr-FR" w:eastAsia="fr-FR"/>
        </w:rPr>
        <w:t>’</w:t>
      </w:r>
      <w:r w:rsidR="00826E0F" w:rsidRPr="00872599">
        <w:rPr>
          <w:lang w:val="fr-FR" w:eastAsia="fr-FR"/>
        </w:rPr>
        <w:t>article 24.</w:t>
      </w:r>
    </w:p>
    <w:p w:rsidR="00C23BEB" w:rsidRPr="00C23BEB" w:rsidRDefault="00C23BEB" w:rsidP="00C23BEB">
      <w:pPr>
        <w:pStyle w:val="SingleTxt"/>
        <w:spacing w:after="0" w:line="120" w:lineRule="exact"/>
        <w:rPr>
          <w:sz w:val="10"/>
          <w:lang w:val="fr-FR"/>
        </w:rPr>
      </w:pPr>
      <w:bookmarkStart w:id="34" w:name="_Toc512341773"/>
      <w:bookmarkStart w:id="35" w:name="_Toc137007653"/>
      <w:bookmarkStart w:id="36" w:name="_Toc239741032"/>
    </w:p>
    <w:p w:rsidR="00826E0F" w:rsidRPr="00872599" w:rsidRDefault="00C23BEB" w:rsidP="00C23B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00826E0F" w:rsidRPr="00872599">
        <w:rPr>
          <w:lang w:val="fr-FR"/>
        </w:rPr>
        <w:t>Article 11</w:t>
      </w:r>
      <w:r w:rsidR="00A03470">
        <w:rPr>
          <w:lang w:val="fr-FR"/>
        </w:rPr>
        <w:t>.</w:t>
      </w:r>
      <w:r w:rsidR="00826E0F" w:rsidRPr="00872599">
        <w:rPr>
          <w:lang w:val="fr-FR"/>
        </w:rPr>
        <w:tab/>
      </w:r>
      <w:bookmarkStart w:id="37" w:name="_Toc512341774"/>
      <w:bookmarkStart w:id="38" w:name="_Toc137007654"/>
      <w:bookmarkEnd w:id="34"/>
      <w:bookmarkEnd w:id="35"/>
      <w:bookmarkEnd w:id="36"/>
      <w:r w:rsidR="00826E0F" w:rsidRPr="00872599">
        <w:rPr>
          <w:lang w:val="fr-FR"/>
        </w:rPr>
        <w:t>Emploi, maternité et sécurité sociale</w:t>
      </w:r>
    </w:p>
    <w:p w:rsidR="00C23BEB" w:rsidRPr="00C23BEB" w:rsidRDefault="00C23BEB" w:rsidP="00C23BEB">
      <w:pPr>
        <w:pStyle w:val="SingleTxt"/>
        <w:spacing w:after="0" w:line="120" w:lineRule="exact"/>
        <w:rPr>
          <w:sz w:val="10"/>
          <w:lang w:val="fr-FR"/>
        </w:rPr>
      </w:pPr>
    </w:p>
    <w:p w:rsidR="00C23BEB" w:rsidRPr="00C23BEB" w:rsidRDefault="00C23BEB" w:rsidP="00C23BEB">
      <w:pPr>
        <w:pStyle w:val="SingleTxt"/>
        <w:pBdr>
          <w:top w:val="single" w:sz="4" w:space="1" w:color="auto"/>
          <w:left w:val="single" w:sz="4" w:space="4" w:color="auto"/>
          <w:bottom w:val="single" w:sz="4" w:space="1" w:color="auto"/>
          <w:right w:val="single" w:sz="4" w:space="4" w:color="auto"/>
        </w:pBdr>
        <w:spacing w:after="0" w:line="120" w:lineRule="exact"/>
        <w:rPr>
          <w:sz w:val="10"/>
          <w:lang w:val="fr-FR"/>
        </w:rPr>
      </w:pPr>
    </w:p>
    <w:p w:rsidR="00826E0F" w:rsidRPr="00C23BEB" w:rsidRDefault="00826E0F" w:rsidP="00C23BEB">
      <w:pPr>
        <w:pStyle w:val="SingleTxt"/>
        <w:pBdr>
          <w:top w:val="single" w:sz="4" w:space="1" w:color="auto"/>
          <w:left w:val="single" w:sz="4" w:space="4" w:color="auto"/>
          <w:bottom w:val="single" w:sz="4" w:space="1" w:color="auto"/>
          <w:right w:val="single" w:sz="4" w:space="4" w:color="auto"/>
        </w:pBdr>
        <w:rPr>
          <w:b/>
          <w:lang w:val="fr-FR"/>
        </w:rPr>
      </w:pPr>
      <w:r w:rsidRPr="00C23BEB">
        <w:rPr>
          <w:b/>
          <w:lang w:val="fr-FR"/>
        </w:rPr>
        <w:t xml:space="preserve">Recommandation du Comité de </w:t>
      </w:r>
      <w:smartTag w:uri="urn:schemas-microsoft-com:office:smarttags" w:element="PersonName">
        <w:smartTagPr>
          <w:attr w:name="ProductID" w:val="la CEDAW"/>
        </w:smartTagPr>
        <w:r w:rsidRPr="00C23BEB">
          <w:rPr>
            <w:b/>
            <w:lang w:val="fr-FR"/>
          </w:rPr>
          <w:t>la CEDAW</w:t>
        </w:r>
      </w:smartTag>
      <w:r w:rsidRPr="00C23BEB">
        <w:rPr>
          <w:b/>
          <w:lang w:val="fr-FR"/>
        </w:rPr>
        <w:t>, n</w:t>
      </w:r>
      <w:r w:rsidRPr="006645B6">
        <w:rPr>
          <w:b/>
          <w:vertAlign w:val="superscript"/>
          <w:lang w:val="fr-FR"/>
        </w:rPr>
        <w:t>o</w:t>
      </w:r>
      <w:r w:rsidR="006645B6">
        <w:rPr>
          <w:b/>
          <w:vertAlign w:val="superscript"/>
          <w:lang w:val="fr-FR"/>
        </w:rPr>
        <w:t xml:space="preserve"> </w:t>
      </w:r>
      <w:r w:rsidRPr="00C23BEB">
        <w:rPr>
          <w:b/>
          <w:lang w:val="fr-FR"/>
        </w:rPr>
        <w:t>16</w:t>
      </w:r>
      <w:r w:rsidR="00A03470">
        <w:t xml:space="preserve"> </w:t>
      </w:r>
      <w:r w:rsidRPr="00C23BEB">
        <w:rPr>
          <w:b/>
          <w:lang w:val="fr-FR"/>
        </w:rPr>
        <w:t>:</w:t>
      </w:r>
    </w:p>
    <w:p w:rsidR="00826E0F" w:rsidRPr="00872599" w:rsidRDefault="00826E0F" w:rsidP="00C23BEB">
      <w:pPr>
        <w:pStyle w:val="SingleTxt"/>
        <w:pBdr>
          <w:top w:val="single" w:sz="4" w:space="1" w:color="auto"/>
          <w:left w:val="single" w:sz="4" w:space="4" w:color="auto"/>
          <w:bottom w:val="single" w:sz="4" w:space="1" w:color="auto"/>
          <w:right w:val="single" w:sz="4" w:space="4" w:color="auto"/>
        </w:pBdr>
        <w:rPr>
          <w:i/>
          <w:lang w:val="fr-FR"/>
        </w:rPr>
      </w:pPr>
      <w:r w:rsidRPr="00C23BEB">
        <w:rPr>
          <w:b/>
          <w:i/>
          <w:lang w:val="fr-FR"/>
        </w:rPr>
        <w:t>L</w:t>
      </w:r>
      <w:r w:rsidRPr="00872599">
        <w:rPr>
          <w:i/>
          <w:lang w:val="fr-FR"/>
        </w:rPr>
        <w:t>e Comité prie instamment l</w:t>
      </w:r>
      <w:r w:rsidR="006645B6">
        <w:rPr>
          <w:i/>
          <w:lang w:val="fr-FR"/>
        </w:rPr>
        <w:t>’</w:t>
      </w:r>
      <w:r w:rsidRPr="00872599">
        <w:rPr>
          <w:i/>
          <w:lang w:val="fr-FR"/>
        </w:rPr>
        <w:t>État partie de redoubler d</w:t>
      </w:r>
      <w:r w:rsidR="006645B6">
        <w:rPr>
          <w:i/>
          <w:lang w:val="fr-FR"/>
        </w:rPr>
        <w:t>’</w:t>
      </w:r>
      <w:r w:rsidRPr="00872599">
        <w:rPr>
          <w:i/>
          <w:lang w:val="fr-FR"/>
        </w:rPr>
        <w:t>efforts pour assurer des chances égales aux femmes et aux hommes sur le marché du travail, dans le secteur public comme dans le secteur privé. Il lui recommande de prendre des mesures dynamiques pour éliminer la ségrégation professionnelle, en multipliant par exemple les possibilités de formation offertes aux femmes et en continuant à élargir la portée des mesures visant à faciliter le retour des femmes à la vie active une fois qu</w:t>
      </w:r>
      <w:r w:rsidR="006645B6">
        <w:rPr>
          <w:i/>
          <w:lang w:val="fr-FR"/>
        </w:rPr>
        <w:t>’</w:t>
      </w:r>
      <w:r w:rsidRPr="00872599">
        <w:rPr>
          <w:i/>
          <w:lang w:val="fr-FR"/>
        </w:rPr>
        <w:t>elles ont eu un enfant. Il recommande que l</w:t>
      </w:r>
      <w:r w:rsidR="006645B6">
        <w:rPr>
          <w:i/>
          <w:lang w:val="fr-FR"/>
        </w:rPr>
        <w:t>’</w:t>
      </w:r>
      <w:r w:rsidRPr="00872599">
        <w:rPr>
          <w:i/>
          <w:lang w:val="fr-FR"/>
        </w:rPr>
        <w:t>État partie fasse appliquer les mesures en vigueur concernant l</w:t>
      </w:r>
      <w:r w:rsidR="006645B6">
        <w:rPr>
          <w:i/>
          <w:lang w:val="fr-FR"/>
        </w:rPr>
        <w:t>’</w:t>
      </w:r>
      <w:r w:rsidRPr="00872599">
        <w:rPr>
          <w:i/>
          <w:lang w:val="fr-FR"/>
        </w:rPr>
        <w:t>égalité de salaire pour un travail égal ou pour un travail de valeur égale, l</w:t>
      </w:r>
      <w:r w:rsidR="006645B6">
        <w:rPr>
          <w:i/>
          <w:lang w:val="fr-FR"/>
        </w:rPr>
        <w:t>’</w:t>
      </w:r>
      <w:r w:rsidRPr="00872599">
        <w:rPr>
          <w:i/>
          <w:lang w:val="fr-FR"/>
        </w:rPr>
        <w:t>aménagement du temps de travail et le travail à temps partiel dans les secteurs public et privé, et, s</w:t>
      </w:r>
      <w:r w:rsidR="006645B6">
        <w:rPr>
          <w:i/>
          <w:lang w:val="fr-FR"/>
        </w:rPr>
        <w:t>’</w:t>
      </w:r>
      <w:r w:rsidRPr="00872599">
        <w:rPr>
          <w:i/>
          <w:lang w:val="fr-FR"/>
        </w:rPr>
        <w:t>il y a lieu, élabore des mesures pour éviter que le travail à temps partiel ait des conséquences préjudiciables pour les femmes, en ce qui concerne en particulier leurs pensions et leurs prestations de retraite. Il demande en outre instamment à l</w:t>
      </w:r>
      <w:r w:rsidR="006645B6">
        <w:rPr>
          <w:i/>
          <w:lang w:val="fr-FR"/>
        </w:rPr>
        <w:t>’</w:t>
      </w:r>
      <w:r w:rsidRPr="00872599">
        <w:rPr>
          <w:i/>
          <w:lang w:val="fr-FR"/>
        </w:rPr>
        <w:t>État partie de veiller à ce que les mesures visant à permettre de concilier responsabilités familiales et responsabilités professionnelles, concernent aussi bien les femmes que les hommes et d</w:t>
      </w:r>
      <w:r w:rsidR="006645B6">
        <w:rPr>
          <w:i/>
          <w:lang w:val="fr-FR"/>
        </w:rPr>
        <w:t>’</w:t>
      </w:r>
      <w:r w:rsidRPr="00872599">
        <w:rPr>
          <w:i/>
          <w:lang w:val="fr-FR"/>
        </w:rPr>
        <w:t>œuvrer en faveur d</w:t>
      </w:r>
      <w:r w:rsidR="006645B6">
        <w:rPr>
          <w:i/>
          <w:lang w:val="fr-FR"/>
        </w:rPr>
        <w:t>’</w:t>
      </w:r>
      <w:r w:rsidRPr="00872599">
        <w:rPr>
          <w:i/>
          <w:lang w:val="fr-FR"/>
        </w:rPr>
        <w:t>une plus grande participation des hommes aux tâches du ménage et à l</w:t>
      </w:r>
      <w:r w:rsidR="006645B6">
        <w:rPr>
          <w:i/>
          <w:lang w:val="fr-FR"/>
        </w:rPr>
        <w:t>’</w:t>
      </w:r>
      <w:r w:rsidRPr="00872599">
        <w:rPr>
          <w:i/>
          <w:lang w:val="fr-FR"/>
        </w:rPr>
        <w:t>éducation des enfants. L</w:t>
      </w:r>
      <w:r w:rsidR="006645B6">
        <w:rPr>
          <w:i/>
          <w:lang w:val="fr-FR"/>
        </w:rPr>
        <w:t>’</w:t>
      </w:r>
      <w:r w:rsidRPr="00872599">
        <w:rPr>
          <w:i/>
          <w:lang w:val="fr-FR"/>
        </w:rPr>
        <w:t>État partie devrait adopter des mesures qui encouragent les pères à utiliser davantage leur congé parental et devrait envisager de prendre des mesures d</w:t>
      </w:r>
      <w:r w:rsidR="006645B6">
        <w:rPr>
          <w:i/>
          <w:lang w:val="fr-FR"/>
        </w:rPr>
        <w:t>’</w:t>
      </w:r>
      <w:r w:rsidRPr="00872599">
        <w:rPr>
          <w:i/>
          <w:lang w:val="fr-FR"/>
        </w:rPr>
        <w:t>incitation financières à cette fin</w:t>
      </w:r>
      <w:r w:rsidRPr="00872599">
        <w:rPr>
          <w:b/>
          <w:lang w:val="fr-FR"/>
        </w:rPr>
        <w:t>.</w:t>
      </w:r>
    </w:p>
    <w:p w:rsidR="00C23BEB" w:rsidRPr="00C23BEB" w:rsidRDefault="00C23BEB" w:rsidP="00C23BEB">
      <w:pPr>
        <w:pStyle w:val="SingleTxt"/>
        <w:spacing w:after="0" w:line="120" w:lineRule="exact"/>
        <w:rPr>
          <w:sz w:val="10"/>
          <w:shd w:val="clear" w:color="auto" w:fill="FFFF00"/>
          <w:lang w:val="fr-FR"/>
        </w:rPr>
      </w:pPr>
    </w:p>
    <w:p w:rsidR="00826E0F" w:rsidRPr="00872599" w:rsidRDefault="00C23BEB" w:rsidP="00A4102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00826E0F" w:rsidRPr="00872599">
        <w:rPr>
          <w:lang w:val="fr-FR"/>
        </w:rPr>
        <w:t>a)</w:t>
      </w:r>
      <w:r w:rsidR="00826E0F" w:rsidRPr="00872599">
        <w:rPr>
          <w:lang w:val="fr-FR"/>
        </w:rPr>
        <w:tab/>
        <w:t>L</w:t>
      </w:r>
      <w:r w:rsidR="006645B6">
        <w:rPr>
          <w:lang w:val="fr-FR"/>
        </w:rPr>
        <w:t>’</w:t>
      </w:r>
      <w:r w:rsidR="00826E0F" w:rsidRPr="00872599">
        <w:rPr>
          <w:lang w:val="fr-FR"/>
        </w:rPr>
        <w:t>emploi des femmes</w:t>
      </w:r>
    </w:p>
    <w:p w:rsidR="00C23BEB" w:rsidRPr="00C23BEB" w:rsidRDefault="00C23BEB" w:rsidP="00A4102E">
      <w:pPr>
        <w:pStyle w:val="SingleTxt"/>
        <w:keepNext/>
        <w:keepLines/>
        <w:spacing w:after="0" w:line="120" w:lineRule="exact"/>
        <w:rPr>
          <w:sz w:val="10"/>
          <w:lang w:val="fr-FR"/>
        </w:rPr>
      </w:pPr>
    </w:p>
    <w:p w:rsidR="00826E0F" w:rsidRPr="00872599" w:rsidRDefault="00C23BEB" w:rsidP="00A4102E">
      <w:pPr>
        <w:pStyle w:val="SingleTxt"/>
        <w:keepNext/>
        <w:keepLines/>
        <w:rPr>
          <w:lang w:val="fr-FR"/>
        </w:rPr>
      </w:pPr>
      <w:r>
        <w:rPr>
          <w:lang w:val="fr-FR"/>
        </w:rPr>
        <w:tab/>
      </w:r>
      <w:r w:rsidR="00826E0F" w:rsidRPr="00872599">
        <w:rPr>
          <w:lang w:val="fr-FR"/>
        </w:rPr>
        <w:t>En résumé, on a relevé une tendance générale vers un emploi accru des femmes et donc une convergence vers la situation d</w:t>
      </w:r>
      <w:r w:rsidR="006645B6">
        <w:rPr>
          <w:lang w:val="fr-FR"/>
        </w:rPr>
        <w:t>’</w:t>
      </w:r>
      <w:r w:rsidR="00826E0F" w:rsidRPr="00872599">
        <w:rPr>
          <w:lang w:val="fr-FR"/>
        </w:rPr>
        <w:t>emploi que vivent les hommes. Toutefois, des écarts marqués subsistent</w:t>
      </w:r>
      <w:r w:rsidR="006645B6">
        <w:rPr>
          <w:lang w:val="fr-FR"/>
        </w:rPr>
        <w:t>;</w:t>
      </w:r>
      <w:r w:rsidR="00826E0F">
        <w:rPr>
          <w:lang w:val="fr-FR"/>
        </w:rPr>
        <w:t xml:space="preserve"> ils</w:t>
      </w:r>
      <w:r w:rsidR="00826E0F" w:rsidRPr="00872599">
        <w:rPr>
          <w:lang w:val="fr-FR"/>
        </w:rPr>
        <w:t xml:space="preserve"> ressortent clairement d</w:t>
      </w:r>
      <w:r w:rsidR="006645B6">
        <w:rPr>
          <w:lang w:val="fr-FR"/>
        </w:rPr>
        <w:t>’</w:t>
      </w:r>
      <w:r w:rsidR="00826E0F" w:rsidRPr="00872599">
        <w:rPr>
          <w:lang w:val="fr-FR"/>
        </w:rPr>
        <w:t>une analyse plus détaillée de la situation de l</w:t>
      </w:r>
      <w:r w:rsidR="006645B6">
        <w:rPr>
          <w:lang w:val="fr-FR"/>
        </w:rPr>
        <w:t>’</w:t>
      </w:r>
      <w:r w:rsidR="00826E0F" w:rsidRPr="00872599">
        <w:rPr>
          <w:lang w:val="fr-FR"/>
        </w:rPr>
        <w:t>emploi, notamment en ce qui concerne les horaires de travail et le rang occupé dans la hiérarchie.</w:t>
      </w:r>
    </w:p>
    <w:p w:rsidR="00C23BEB" w:rsidRPr="00C23BEB" w:rsidRDefault="00C23BEB" w:rsidP="00C23BEB">
      <w:pPr>
        <w:pStyle w:val="SingleTxt"/>
        <w:spacing w:after="0" w:line="120" w:lineRule="exact"/>
        <w:rPr>
          <w:sz w:val="10"/>
          <w:lang w:val="fr-FR" w:eastAsia="fr-FR"/>
        </w:rPr>
      </w:pPr>
    </w:p>
    <w:p w:rsidR="00826E0F" w:rsidRPr="00872599" w:rsidRDefault="00C23BEB" w:rsidP="00C23B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eastAsia="fr-FR"/>
        </w:rPr>
      </w:pPr>
      <w:r>
        <w:rPr>
          <w:lang w:val="fr-FR" w:eastAsia="fr-FR"/>
        </w:rPr>
        <w:tab/>
      </w:r>
      <w:r>
        <w:rPr>
          <w:lang w:val="fr-FR" w:eastAsia="fr-FR"/>
        </w:rPr>
        <w:tab/>
      </w:r>
      <w:r w:rsidR="00826E0F" w:rsidRPr="00872599">
        <w:rPr>
          <w:lang w:val="fr-FR" w:eastAsia="fr-FR"/>
        </w:rPr>
        <w:t>Emploi/situation professionnelle</w:t>
      </w:r>
    </w:p>
    <w:p w:rsidR="00C23BEB" w:rsidRPr="00C23BEB" w:rsidRDefault="00C23BEB" w:rsidP="00C23BEB">
      <w:pPr>
        <w:pStyle w:val="SingleTxt"/>
        <w:keepNext/>
        <w:keepLines/>
        <w:spacing w:after="0" w:line="120" w:lineRule="exact"/>
        <w:rPr>
          <w:sz w:val="10"/>
          <w:lang w:val="fr-FR" w:eastAsia="fr-FR"/>
        </w:rPr>
      </w:pPr>
    </w:p>
    <w:p w:rsidR="00826E0F" w:rsidRPr="00872599" w:rsidRDefault="00C23BEB" w:rsidP="00C23BEB">
      <w:pPr>
        <w:pStyle w:val="SingleTxt"/>
        <w:keepNext/>
        <w:keepLines/>
        <w:rPr>
          <w:lang w:val="fr-FR" w:eastAsia="fr-FR"/>
        </w:rPr>
      </w:pPr>
      <w:r>
        <w:rPr>
          <w:lang w:val="fr-FR" w:eastAsia="fr-FR"/>
        </w:rPr>
        <w:tab/>
      </w:r>
      <w:r w:rsidR="00826E0F" w:rsidRPr="00872599">
        <w:rPr>
          <w:lang w:val="fr-FR" w:eastAsia="fr-FR"/>
        </w:rPr>
        <w:t>Depuis une cinquantaine d</w:t>
      </w:r>
      <w:r w:rsidR="006645B6">
        <w:rPr>
          <w:lang w:val="fr-FR" w:eastAsia="fr-FR"/>
        </w:rPr>
        <w:t>’</w:t>
      </w:r>
      <w:r w:rsidR="00826E0F" w:rsidRPr="00872599">
        <w:rPr>
          <w:lang w:val="fr-FR" w:eastAsia="fr-FR"/>
        </w:rPr>
        <w:t>années, le développement économique du Liechtenstein se caractérise par un essor presque ininterrompu. Pendant cette période le nombre d</w:t>
      </w:r>
      <w:r w:rsidR="006645B6">
        <w:rPr>
          <w:lang w:val="fr-FR" w:eastAsia="fr-FR"/>
        </w:rPr>
        <w:t>’</w:t>
      </w:r>
      <w:r w:rsidR="00826E0F" w:rsidRPr="00872599">
        <w:rPr>
          <w:lang w:val="fr-FR" w:eastAsia="fr-FR"/>
        </w:rPr>
        <w:t xml:space="preserve">emplois a fortement augmenté. Depuis les années 1950, le marché de la </w:t>
      </w:r>
      <w:r w:rsidR="00CC772D" w:rsidRPr="00872599">
        <w:rPr>
          <w:lang w:val="fr-FR" w:eastAsia="fr-FR"/>
        </w:rPr>
        <w:t>main-d</w:t>
      </w:r>
      <w:r w:rsidR="006645B6">
        <w:rPr>
          <w:lang w:val="fr-FR" w:eastAsia="fr-FR"/>
        </w:rPr>
        <w:t>’</w:t>
      </w:r>
      <w:r w:rsidR="00CC772D" w:rsidRPr="00872599">
        <w:rPr>
          <w:lang w:val="fr-FR" w:eastAsia="fr-FR"/>
        </w:rPr>
        <w:t>œuvre</w:t>
      </w:r>
      <w:r w:rsidR="00826E0F" w:rsidRPr="00872599">
        <w:rPr>
          <w:lang w:val="fr-FR" w:eastAsia="fr-FR"/>
        </w:rPr>
        <w:t xml:space="preserve"> locale s</w:t>
      </w:r>
      <w:r w:rsidR="006645B6">
        <w:rPr>
          <w:lang w:val="fr-FR" w:eastAsia="fr-FR"/>
        </w:rPr>
        <w:t>’</w:t>
      </w:r>
      <w:r w:rsidR="00826E0F" w:rsidRPr="00872599">
        <w:rPr>
          <w:lang w:val="fr-FR" w:eastAsia="fr-FR"/>
        </w:rPr>
        <w:t xml:space="preserve">est pratiquement épuisé de sorte que la seule manière de répondre </w:t>
      </w:r>
      <w:r w:rsidR="00826E0F">
        <w:rPr>
          <w:lang w:val="fr-FR" w:eastAsia="fr-FR"/>
        </w:rPr>
        <w:t xml:space="preserve">à </w:t>
      </w:r>
      <w:r w:rsidR="00826E0F" w:rsidRPr="00872599">
        <w:rPr>
          <w:lang w:val="fr-FR" w:eastAsia="fr-FR"/>
        </w:rPr>
        <w:t>la demande croissante de travailleurs a été de recourir à l</w:t>
      </w:r>
      <w:r w:rsidR="006645B6">
        <w:rPr>
          <w:lang w:val="fr-FR" w:eastAsia="fr-FR"/>
        </w:rPr>
        <w:t>’</w:t>
      </w:r>
      <w:r w:rsidR="00826E0F" w:rsidRPr="00872599">
        <w:rPr>
          <w:lang w:val="fr-FR" w:eastAsia="fr-FR"/>
        </w:rPr>
        <w:t>immigration et à l</w:t>
      </w:r>
      <w:r w:rsidR="006645B6">
        <w:rPr>
          <w:lang w:val="fr-FR" w:eastAsia="fr-FR"/>
        </w:rPr>
        <w:t>’</w:t>
      </w:r>
      <w:r w:rsidR="00826E0F" w:rsidRPr="00872599">
        <w:rPr>
          <w:lang w:val="fr-FR" w:eastAsia="fr-FR"/>
        </w:rPr>
        <w:t>emploi de frontaliers. D</w:t>
      </w:r>
      <w:r w:rsidR="006645B6">
        <w:rPr>
          <w:lang w:val="fr-FR" w:eastAsia="fr-FR"/>
        </w:rPr>
        <w:t>’</w:t>
      </w:r>
      <w:r w:rsidR="00826E0F" w:rsidRPr="00872599">
        <w:rPr>
          <w:lang w:val="fr-FR" w:eastAsia="fr-FR"/>
        </w:rPr>
        <w:t>après les résultats du recensement de 2000, le nombre de travailleurs résidents au Liechtenstein est passé d</w:t>
      </w:r>
      <w:r w:rsidR="006645B6">
        <w:rPr>
          <w:lang w:val="fr-FR" w:eastAsia="fr-FR"/>
        </w:rPr>
        <w:t>’</w:t>
      </w:r>
      <w:r w:rsidR="00826E0F" w:rsidRPr="00872599">
        <w:rPr>
          <w:lang w:val="fr-FR" w:eastAsia="fr-FR"/>
        </w:rPr>
        <w:t xml:space="preserve">un peu plus de 4000 en 1930 à 18 000 en 2000. </w:t>
      </w:r>
    </w:p>
    <w:p w:rsidR="00C23BEB" w:rsidRPr="00C23BEB" w:rsidRDefault="00C23BEB" w:rsidP="00C23BEB">
      <w:pPr>
        <w:pStyle w:val="SingleTxt"/>
        <w:spacing w:after="0" w:line="120" w:lineRule="exact"/>
        <w:rPr>
          <w:i/>
          <w:sz w:val="10"/>
          <w:lang w:val="fr-FR"/>
        </w:rPr>
      </w:pPr>
    </w:p>
    <w:p w:rsidR="00826E0F" w:rsidRDefault="00C23BEB" w:rsidP="00C23B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826E0F" w:rsidRPr="00C23BEB">
        <w:rPr>
          <w:b w:val="0"/>
          <w:lang w:val="fr-FR"/>
        </w:rPr>
        <w:t>Tableau 9</w:t>
      </w:r>
      <w:r>
        <w:rPr>
          <w:lang w:val="fr-FR"/>
        </w:rPr>
        <w:br/>
      </w:r>
      <w:r w:rsidR="00826E0F" w:rsidRPr="00872599">
        <w:rPr>
          <w:lang w:val="fr-FR"/>
        </w:rPr>
        <w:t>Habitants employés par secteur et par sexe 2000 et 2007</w:t>
      </w:r>
    </w:p>
    <w:p w:rsidR="00C23BEB" w:rsidRPr="00C23BEB" w:rsidRDefault="00C23BEB" w:rsidP="00C23BEB">
      <w:pPr>
        <w:pStyle w:val="SingleTxt"/>
        <w:spacing w:after="0" w:line="120" w:lineRule="exact"/>
        <w:rPr>
          <w:sz w:val="10"/>
          <w:lang w:val="fr-FR"/>
        </w:rPr>
      </w:pPr>
    </w:p>
    <w:tbl>
      <w:tblPr>
        <w:tblW w:w="0" w:type="auto"/>
        <w:tblInd w:w="1267" w:type="dxa"/>
        <w:tblLayout w:type="fixed"/>
        <w:tblCellMar>
          <w:left w:w="0" w:type="dxa"/>
          <w:right w:w="0" w:type="dxa"/>
        </w:tblCellMar>
        <w:tblLook w:val="0000" w:firstRow="0" w:lastRow="0" w:firstColumn="0" w:lastColumn="0" w:noHBand="0" w:noVBand="0"/>
      </w:tblPr>
      <w:tblGrid>
        <w:gridCol w:w="677"/>
        <w:gridCol w:w="1800"/>
        <w:gridCol w:w="1976"/>
        <w:gridCol w:w="1976"/>
        <w:gridCol w:w="892"/>
      </w:tblGrid>
      <w:tr w:rsidR="00826E0F" w:rsidRPr="00B9250E" w:rsidTr="00B9250E">
        <w:trPr>
          <w:trHeight w:val="315"/>
          <w:tblHeader/>
        </w:trPr>
        <w:tc>
          <w:tcPr>
            <w:tcW w:w="677" w:type="dxa"/>
            <w:tcBorders>
              <w:top w:val="single" w:sz="4" w:space="0" w:color="auto"/>
              <w:bottom w:val="single" w:sz="12" w:space="0" w:color="auto"/>
            </w:tcBorders>
            <w:shd w:val="clear" w:color="auto" w:fill="auto"/>
            <w:vAlign w:val="bottom"/>
          </w:tcPr>
          <w:p w:rsidR="00826E0F" w:rsidRPr="00B9250E" w:rsidRDefault="00826E0F" w:rsidP="00B9250E">
            <w:pPr>
              <w:pStyle w:val="SingleTxt"/>
              <w:suppressAutoHyphens/>
              <w:spacing w:before="80" w:after="80" w:line="160" w:lineRule="exact"/>
              <w:ind w:left="0" w:right="43"/>
              <w:rPr>
                <w:i/>
                <w:sz w:val="14"/>
                <w:lang w:val="fr-FR"/>
              </w:rPr>
            </w:pPr>
            <w:r w:rsidRPr="00B9250E">
              <w:rPr>
                <w:i/>
                <w:sz w:val="14"/>
                <w:lang w:val="fr-FR"/>
              </w:rPr>
              <w:t>Année</w:t>
            </w:r>
          </w:p>
        </w:tc>
        <w:tc>
          <w:tcPr>
            <w:tcW w:w="1800" w:type="dxa"/>
            <w:tcBorders>
              <w:top w:val="single" w:sz="4" w:space="0" w:color="auto"/>
              <w:bottom w:val="single" w:sz="12" w:space="0" w:color="auto"/>
            </w:tcBorders>
            <w:shd w:val="clear" w:color="auto" w:fill="auto"/>
            <w:vAlign w:val="bottom"/>
          </w:tcPr>
          <w:p w:rsidR="00826E0F" w:rsidRPr="00B9250E" w:rsidRDefault="00826E0F" w:rsidP="00B9250E">
            <w:pPr>
              <w:pStyle w:val="SingleTxt"/>
              <w:suppressAutoHyphens/>
              <w:spacing w:before="80" w:after="80" w:line="160" w:lineRule="exact"/>
              <w:ind w:left="0" w:right="43"/>
              <w:jc w:val="left"/>
              <w:rPr>
                <w:i/>
                <w:sz w:val="14"/>
                <w:lang w:val="fr-FR"/>
              </w:rPr>
            </w:pPr>
            <w:r w:rsidRPr="00B9250E">
              <w:rPr>
                <w:i/>
                <w:sz w:val="14"/>
                <w:lang w:val="fr-FR"/>
              </w:rPr>
              <w:t>Sexe</w:t>
            </w:r>
          </w:p>
        </w:tc>
        <w:tc>
          <w:tcPr>
            <w:tcW w:w="1976" w:type="dxa"/>
            <w:tcBorders>
              <w:top w:val="single" w:sz="4" w:space="0" w:color="auto"/>
              <w:bottom w:val="single" w:sz="12" w:space="0" w:color="auto"/>
            </w:tcBorders>
            <w:shd w:val="clear" w:color="auto" w:fill="auto"/>
            <w:vAlign w:val="bottom"/>
          </w:tcPr>
          <w:p w:rsidR="00826E0F" w:rsidRPr="00B9250E" w:rsidRDefault="00826E0F" w:rsidP="00B9250E">
            <w:pPr>
              <w:pStyle w:val="SingleTxt"/>
              <w:suppressAutoHyphens/>
              <w:spacing w:before="80" w:after="80" w:line="160" w:lineRule="exact"/>
              <w:ind w:left="0" w:right="43"/>
              <w:jc w:val="right"/>
              <w:rPr>
                <w:i/>
                <w:sz w:val="14"/>
                <w:lang w:val="fr-FR"/>
              </w:rPr>
            </w:pPr>
            <w:r w:rsidRPr="00B9250E">
              <w:rPr>
                <w:i/>
                <w:sz w:val="14"/>
                <w:lang w:val="fr-FR"/>
              </w:rPr>
              <w:t>Secteur 1 (agriculture)</w:t>
            </w:r>
          </w:p>
        </w:tc>
        <w:tc>
          <w:tcPr>
            <w:tcW w:w="1976" w:type="dxa"/>
            <w:tcBorders>
              <w:top w:val="single" w:sz="4" w:space="0" w:color="auto"/>
              <w:bottom w:val="single" w:sz="12" w:space="0" w:color="auto"/>
            </w:tcBorders>
            <w:shd w:val="clear" w:color="auto" w:fill="auto"/>
            <w:vAlign w:val="bottom"/>
          </w:tcPr>
          <w:p w:rsidR="00826E0F" w:rsidRPr="00B9250E" w:rsidRDefault="00826E0F" w:rsidP="00B9250E">
            <w:pPr>
              <w:pStyle w:val="SingleTxt"/>
              <w:suppressAutoHyphens/>
              <w:spacing w:before="80" w:after="80" w:line="160" w:lineRule="exact"/>
              <w:ind w:left="0" w:right="43"/>
              <w:jc w:val="right"/>
              <w:rPr>
                <w:i/>
                <w:sz w:val="14"/>
                <w:lang w:val="fr-FR"/>
              </w:rPr>
            </w:pPr>
            <w:r w:rsidRPr="00B9250E">
              <w:rPr>
                <w:i/>
                <w:sz w:val="14"/>
                <w:lang w:val="fr-FR"/>
              </w:rPr>
              <w:t>Secteur 2</w:t>
            </w:r>
            <w:r w:rsidRPr="00B9250E">
              <w:rPr>
                <w:i/>
                <w:sz w:val="14"/>
                <w:lang w:val="fr-FR"/>
              </w:rPr>
              <w:br/>
              <w:t>(manufacturier)</w:t>
            </w:r>
          </w:p>
        </w:tc>
        <w:tc>
          <w:tcPr>
            <w:tcW w:w="892" w:type="dxa"/>
            <w:tcBorders>
              <w:top w:val="single" w:sz="4" w:space="0" w:color="auto"/>
              <w:bottom w:val="single" w:sz="12" w:space="0" w:color="auto"/>
            </w:tcBorders>
            <w:shd w:val="clear" w:color="auto" w:fill="auto"/>
            <w:vAlign w:val="bottom"/>
          </w:tcPr>
          <w:p w:rsidR="00826E0F" w:rsidRPr="00B9250E" w:rsidRDefault="00826E0F" w:rsidP="00B9250E">
            <w:pPr>
              <w:pStyle w:val="SingleTxt"/>
              <w:suppressAutoHyphens/>
              <w:spacing w:before="80" w:after="80" w:line="160" w:lineRule="exact"/>
              <w:ind w:left="0" w:right="43"/>
              <w:jc w:val="right"/>
              <w:rPr>
                <w:i/>
                <w:sz w:val="14"/>
                <w:lang w:val="fr-FR"/>
              </w:rPr>
            </w:pPr>
            <w:r w:rsidRPr="00B9250E">
              <w:rPr>
                <w:i/>
                <w:sz w:val="14"/>
                <w:lang w:val="fr-FR"/>
              </w:rPr>
              <w:t>Secteur 3</w:t>
            </w:r>
            <w:r w:rsidRPr="00B9250E">
              <w:rPr>
                <w:i/>
                <w:sz w:val="14"/>
                <w:lang w:val="fr-FR"/>
              </w:rPr>
              <w:br/>
              <w:t>(services)</w:t>
            </w:r>
          </w:p>
        </w:tc>
      </w:tr>
      <w:tr w:rsidR="00B9250E" w:rsidRPr="00B9250E" w:rsidTr="00B9250E">
        <w:trPr>
          <w:trHeight w:hRule="exact" w:val="115"/>
          <w:tblHeader/>
        </w:trPr>
        <w:tc>
          <w:tcPr>
            <w:tcW w:w="677" w:type="dxa"/>
            <w:tcBorders>
              <w:top w:val="single" w:sz="12" w:space="0" w:color="auto"/>
            </w:tcBorders>
            <w:shd w:val="clear" w:color="auto" w:fill="auto"/>
            <w:vAlign w:val="bottom"/>
          </w:tcPr>
          <w:p w:rsidR="00B9250E" w:rsidRPr="00B9250E" w:rsidRDefault="00B9250E" w:rsidP="00B9250E">
            <w:pPr>
              <w:pStyle w:val="SingleTxt"/>
              <w:suppressAutoHyphens/>
              <w:spacing w:before="40" w:after="40" w:line="210" w:lineRule="exact"/>
              <w:ind w:left="0" w:right="43"/>
              <w:rPr>
                <w:sz w:val="17"/>
                <w:lang w:val="fr-FR"/>
              </w:rPr>
            </w:pPr>
          </w:p>
        </w:tc>
        <w:tc>
          <w:tcPr>
            <w:tcW w:w="1800" w:type="dxa"/>
            <w:tcBorders>
              <w:top w:val="single" w:sz="12" w:space="0" w:color="auto"/>
            </w:tcBorders>
            <w:shd w:val="clear" w:color="auto" w:fill="auto"/>
            <w:vAlign w:val="bottom"/>
          </w:tcPr>
          <w:p w:rsidR="00B9250E" w:rsidRPr="00B9250E" w:rsidRDefault="00B9250E" w:rsidP="00B9250E">
            <w:pPr>
              <w:pStyle w:val="SingleTxt"/>
              <w:suppressAutoHyphens/>
              <w:spacing w:before="40" w:after="40" w:line="210" w:lineRule="exact"/>
              <w:ind w:left="0" w:right="43"/>
              <w:jc w:val="left"/>
              <w:rPr>
                <w:sz w:val="17"/>
                <w:lang w:val="fr-FR"/>
              </w:rPr>
            </w:pPr>
          </w:p>
        </w:tc>
        <w:tc>
          <w:tcPr>
            <w:tcW w:w="1976" w:type="dxa"/>
            <w:tcBorders>
              <w:top w:val="single" w:sz="12" w:space="0" w:color="auto"/>
            </w:tcBorders>
            <w:shd w:val="clear" w:color="auto" w:fill="auto"/>
            <w:vAlign w:val="bottom"/>
          </w:tcPr>
          <w:p w:rsidR="00B9250E" w:rsidRPr="00B9250E" w:rsidRDefault="00B9250E" w:rsidP="00B9250E">
            <w:pPr>
              <w:pStyle w:val="SingleTxt"/>
              <w:suppressAutoHyphens/>
              <w:spacing w:before="40" w:after="40" w:line="210" w:lineRule="exact"/>
              <w:ind w:left="0" w:right="43"/>
              <w:jc w:val="right"/>
              <w:rPr>
                <w:sz w:val="17"/>
                <w:lang w:val="fr-FR"/>
              </w:rPr>
            </w:pPr>
          </w:p>
        </w:tc>
        <w:tc>
          <w:tcPr>
            <w:tcW w:w="1976" w:type="dxa"/>
            <w:tcBorders>
              <w:top w:val="single" w:sz="12" w:space="0" w:color="auto"/>
            </w:tcBorders>
            <w:shd w:val="clear" w:color="auto" w:fill="auto"/>
            <w:vAlign w:val="bottom"/>
          </w:tcPr>
          <w:p w:rsidR="00B9250E" w:rsidRPr="00B9250E" w:rsidRDefault="00B9250E" w:rsidP="00B9250E">
            <w:pPr>
              <w:pStyle w:val="SingleTxt"/>
              <w:suppressAutoHyphens/>
              <w:spacing w:before="40" w:after="40" w:line="210" w:lineRule="exact"/>
              <w:ind w:left="0" w:right="43"/>
              <w:jc w:val="right"/>
              <w:rPr>
                <w:sz w:val="17"/>
                <w:lang w:val="fr-FR"/>
              </w:rPr>
            </w:pPr>
          </w:p>
        </w:tc>
        <w:tc>
          <w:tcPr>
            <w:tcW w:w="892" w:type="dxa"/>
            <w:tcBorders>
              <w:top w:val="single" w:sz="12" w:space="0" w:color="auto"/>
            </w:tcBorders>
            <w:shd w:val="clear" w:color="auto" w:fill="auto"/>
            <w:vAlign w:val="bottom"/>
          </w:tcPr>
          <w:p w:rsidR="00B9250E" w:rsidRPr="00B9250E" w:rsidRDefault="00B9250E" w:rsidP="00B9250E">
            <w:pPr>
              <w:pStyle w:val="SingleTxt"/>
              <w:suppressAutoHyphens/>
              <w:spacing w:before="40" w:after="40" w:line="210" w:lineRule="exact"/>
              <w:ind w:left="0" w:right="43"/>
              <w:jc w:val="right"/>
              <w:rPr>
                <w:sz w:val="17"/>
                <w:lang w:val="fr-FR"/>
              </w:rPr>
            </w:pPr>
          </w:p>
        </w:tc>
      </w:tr>
      <w:tr w:rsidR="00826E0F" w:rsidRPr="00B9250E" w:rsidTr="00B9250E">
        <w:trPr>
          <w:trHeight w:val="300"/>
        </w:trPr>
        <w:tc>
          <w:tcPr>
            <w:tcW w:w="677" w:type="dxa"/>
            <w:shd w:val="clear" w:color="auto" w:fill="auto"/>
            <w:vAlign w:val="bottom"/>
          </w:tcPr>
          <w:p w:rsidR="00826E0F" w:rsidRPr="00B9250E" w:rsidRDefault="00826E0F" w:rsidP="00B9250E">
            <w:pPr>
              <w:pStyle w:val="SingleTxt"/>
              <w:tabs>
                <w:tab w:val="left" w:pos="288"/>
                <w:tab w:val="left" w:pos="576"/>
                <w:tab w:val="left" w:pos="864"/>
                <w:tab w:val="left" w:pos="1152"/>
              </w:tabs>
              <w:suppressAutoHyphens/>
              <w:spacing w:before="40" w:after="40" w:line="210" w:lineRule="exact"/>
              <w:ind w:left="0" w:right="43"/>
              <w:rPr>
                <w:sz w:val="17"/>
                <w:lang w:val="fr-FR"/>
              </w:rPr>
            </w:pPr>
            <w:r w:rsidRPr="00B9250E">
              <w:rPr>
                <w:sz w:val="17"/>
                <w:lang w:val="fr-FR"/>
              </w:rPr>
              <w:t>2000</w:t>
            </w:r>
          </w:p>
        </w:tc>
        <w:tc>
          <w:tcPr>
            <w:tcW w:w="1800" w:type="dxa"/>
            <w:shd w:val="clear" w:color="auto" w:fill="auto"/>
            <w:vAlign w:val="bottom"/>
          </w:tcPr>
          <w:p w:rsidR="00826E0F" w:rsidRPr="00B9250E" w:rsidRDefault="00826E0F" w:rsidP="00B9250E">
            <w:pPr>
              <w:pStyle w:val="SingleTxt"/>
              <w:tabs>
                <w:tab w:val="left" w:pos="288"/>
                <w:tab w:val="left" w:pos="576"/>
                <w:tab w:val="left" w:pos="864"/>
                <w:tab w:val="left" w:pos="1152"/>
              </w:tabs>
              <w:suppressAutoHyphens/>
              <w:spacing w:before="40" w:after="40" w:line="210" w:lineRule="exact"/>
              <w:ind w:left="0" w:right="43"/>
              <w:jc w:val="left"/>
              <w:rPr>
                <w:sz w:val="17"/>
                <w:lang w:val="fr-FR"/>
              </w:rPr>
            </w:pPr>
            <w:r w:rsidRPr="00B9250E">
              <w:rPr>
                <w:sz w:val="17"/>
                <w:lang w:val="fr-FR"/>
              </w:rPr>
              <w:t>Femmes (en</w:t>
            </w:r>
            <w:r w:rsidR="006645B6">
              <w:rPr>
                <w:sz w:val="17"/>
                <w:lang w:val="fr-FR"/>
              </w:rPr>
              <w:t xml:space="preserve"> %</w:t>
            </w:r>
            <w:r w:rsidRPr="00B9250E">
              <w:rPr>
                <w:sz w:val="17"/>
                <w:lang w:val="fr-FR"/>
              </w:rPr>
              <w:t>)</w:t>
            </w:r>
          </w:p>
        </w:tc>
        <w:tc>
          <w:tcPr>
            <w:tcW w:w="1976" w:type="dxa"/>
            <w:shd w:val="clear" w:color="auto" w:fill="auto"/>
            <w:vAlign w:val="bottom"/>
          </w:tcPr>
          <w:p w:rsidR="00826E0F" w:rsidRPr="00B9250E" w:rsidRDefault="00826E0F" w:rsidP="00B9250E">
            <w:pPr>
              <w:pStyle w:val="SingleTxt"/>
              <w:tabs>
                <w:tab w:val="left" w:pos="288"/>
                <w:tab w:val="left" w:pos="576"/>
                <w:tab w:val="left" w:pos="864"/>
                <w:tab w:val="left" w:pos="1152"/>
              </w:tabs>
              <w:suppressAutoHyphens/>
              <w:spacing w:before="40" w:after="40" w:line="210" w:lineRule="exact"/>
              <w:ind w:left="0" w:right="43"/>
              <w:jc w:val="right"/>
              <w:rPr>
                <w:sz w:val="17"/>
                <w:lang w:val="fr-FR"/>
              </w:rPr>
            </w:pPr>
            <w:r w:rsidRPr="00B9250E">
              <w:rPr>
                <w:sz w:val="17"/>
                <w:lang w:val="fr-FR"/>
              </w:rPr>
              <w:t>18,7</w:t>
            </w:r>
          </w:p>
        </w:tc>
        <w:tc>
          <w:tcPr>
            <w:tcW w:w="1976" w:type="dxa"/>
            <w:shd w:val="clear" w:color="auto" w:fill="auto"/>
            <w:vAlign w:val="bottom"/>
          </w:tcPr>
          <w:p w:rsidR="00826E0F" w:rsidRPr="00B9250E" w:rsidRDefault="00826E0F" w:rsidP="00B9250E">
            <w:pPr>
              <w:pStyle w:val="SingleTxt"/>
              <w:tabs>
                <w:tab w:val="left" w:pos="288"/>
                <w:tab w:val="left" w:pos="576"/>
                <w:tab w:val="left" w:pos="864"/>
                <w:tab w:val="left" w:pos="1152"/>
              </w:tabs>
              <w:suppressAutoHyphens/>
              <w:spacing w:before="40" w:after="40" w:line="210" w:lineRule="exact"/>
              <w:ind w:left="0" w:right="43"/>
              <w:jc w:val="right"/>
              <w:rPr>
                <w:sz w:val="17"/>
                <w:lang w:val="fr-FR"/>
              </w:rPr>
            </w:pPr>
            <w:r w:rsidRPr="00B9250E">
              <w:rPr>
                <w:sz w:val="17"/>
                <w:lang w:val="fr-FR"/>
              </w:rPr>
              <w:t>25,8</w:t>
            </w:r>
          </w:p>
        </w:tc>
        <w:tc>
          <w:tcPr>
            <w:tcW w:w="892" w:type="dxa"/>
            <w:shd w:val="clear" w:color="auto" w:fill="auto"/>
            <w:vAlign w:val="bottom"/>
          </w:tcPr>
          <w:p w:rsidR="00826E0F" w:rsidRPr="00B9250E" w:rsidRDefault="00826E0F" w:rsidP="00B9250E">
            <w:pPr>
              <w:pStyle w:val="SingleTxt"/>
              <w:tabs>
                <w:tab w:val="left" w:pos="288"/>
                <w:tab w:val="left" w:pos="576"/>
                <w:tab w:val="left" w:pos="864"/>
                <w:tab w:val="left" w:pos="1152"/>
              </w:tabs>
              <w:suppressAutoHyphens/>
              <w:spacing w:before="40" w:after="40" w:line="210" w:lineRule="exact"/>
              <w:ind w:left="0" w:right="43"/>
              <w:jc w:val="right"/>
              <w:rPr>
                <w:sz w:val="17"/>
                <w:lang w:val="fr-FR"/>
              </w:rPr>
            </w:pPr>
            <w:r w:rsidRPr="00B9250E">
              <w:rPr>
                <w:sz w:val="17"/>
                <w:lang w:val="fr-FR"/>
              </w:rPr>
              <w:t>50</w:t>
            </w:r>
            <w:r w:rsidR="00B9250E">
              <w:rPr>
                <w:sz w:val="17"/>
                <w:lang w:val="fr-FR"/>
              </w:rPr>
              <w:t>,0</w:t>
            </w:r>
          </w:p>
        </w:tc>
      </w:tr>
      <w:tr w:rsidR="00826E0F" w:rsidRPr="00B9250E" w:rsidTr="00B9250E">
        <w:trPr>
          <w:trHeight w:val="300"/>
        </w:trPr>
        <w:tc>
          <w:tcPr>
            <w:tcW w:w="677" w:type="dxa"/>
            <w:shd w:val="clear" w:color="auto" w:fill="auto"/>
            <w:vAlign w:val="bottom"/>
          </w:tcPr>
          <w:p w:rsidR="00826E0F" w:rsidRPr="00B9250E" w:rsidRDefault="00826E0F" w:rsidP="00B9250E">
            <w:pPr>
              <w:pStyle w:val="SingleTxt"/>
              <w:tabs>
                <w:tab w:val="left" w:pos="288"/>
                <w:tab w:val="left" w:pos="576"/>
                <w:tab w:val="left" w:pos="864"/>
                <w:tab w:val="left" w:pos="1152"/>
              </w:tabs>
              <w:suppressAutoHyphens/>
              <w:spacing w:before="40" w:after="40" w:line="210" w:lineRule="exact"/>
              <w:ind w:left="0" w:right="43"/>
              <w:rPr>
                <w:sz w:val="17"/>
                <w:lang w:val="fr-FR"/>
              </w:rPr>
            </w:pPr>
          </w:p>
        </w:tc>
        <w:tc>
          <w:tcPr>
            <w:tcW w:w="1800" w:type="dxa"/>
            <w:shd w:val="clear" w:color="auto" w:fill="auto"/>
            <w:vAlign w:val="bottom"/>
          </w:tcPr>
          <w:p w:rsidR="00826E0F" w:rsidRPr="00B9250E" w:rsidRDefault="00826E0F" w:rsidP="00B9250E">
            <w:pPr>
              <w:pStyle w:val="SingleTxt"/>
              <w:tabs>
                <w:tab w:val="left" w:pos="288"/>
                <w:tab w:val="left" w:pos="576"/>
                <w:tab w:val="left" w:pos="864"/>
                <w:tab w:val="left" w:pos="1152"/>
              </w:tabs>
              <w:suppressAutoHyphens/>
              <w:spacing w:before="40" w:after="40" w:line="210" w:lineRule="exact"/>
              <w:ind w:left="0" w:right="43"/>
              <w:jc w:val="left"/>
              <w:rPr>
                <w:sz w:val="17"/>
                <w:lang w:val="fr-FR"/>
              </w:rPr>
            </w:pPr>
            <w:r w:rsidRPr="00B9250E">
              <w:rPr>
                <w:sz w:val="17"/>
                <w:lang w:val="fr-FR"/>
              </w:rPr>
              <w:t>Hommes (en</w:t>
            </w:r>
            <w:r w:rsidR="006645B6">
              <w:rPr>
                <w:sz w:val="17"/>
                <w:lang w:val="fr-FR"/>
              </w:rPr>
              <w:t xml:space="preserve"> %</w:t>
            </w:r>
            <w:r w:rsidRPr="00B9250E">
              <w:rPr>
                <w:sz w:val="17"/>
                <w:lang w:val="fr-FR"/>
              </w:rPr>
              <w:t>)</w:t>
            </w:r>
          </w:p>
        </w:tc>
        <w:tc>
          <w:tcPr>
            <w:tcW w:w="1976" w:type="dxa"/>
            <w:shd w:val="clear" w:color="auto" w:fill="auto"/>
            <w:vAlign w:val="bottom"/>
          </w:tcPr>
          <w:p w:rsidR="00826E0F" w:rsidRPr="00B9250E" w:rsidRDefault="00826E0F" w:rsidP="00B9250E">
            <w:pPr>
              <w:pStyle w:val="SingleTxt"/>
              <w:tabs>
                <w:tab w:val="left" w:pos="288"/>
                <w:tab w:val="left" w:pos="576"/>
                <w:tab w:val="left" w:pos="864"/>
                <w:tab w:val="left" w:pos="1152"/>
              </w:tabs>
              <w:suppressAutoHyphens/>
              <w:spacing w:before="40" w:after="40" w:line="210" w:lineRule="exact"/>
              <w:ind w:left="0" w:right="43"/>
              <w:jc w:val="right"/>
              <w:rPr>
                <w:sz w:val="17"/>
                <w:lang w:val="fr-FR"/>
              </w:rPr>
            </w:pPr>
            <w:r w:rsidRPr="00B9250E">
              <w:rPr>
                <w:sz w:val="17"/>
                <w:lang w:val="fr-FR"/>
              </w:rPr>
              <w:t>81,3</w:t>
            </w:r>
          </w:p>
        </w:tc>
        <w:tc>
          <w:tcPr>
            <w:tcW w:w="1976" w:type="dxa"/>
            <w:shd w:val="clear" w:color="auto" w:fill="auto"/>
            <w:vAlign w:val="bottom"/>
          </w:tcPr>
          <w:p w:rsidR="00826E0F" w:rsidRPr="00B9250E" w:rsidRDefault="00826E0F" w:rsidP="00B9250E">
            <w:pPr>
              <w:pStyle w:val="SingleTxt"/>
              <w:tabs>
                <w:tab w:val="left" w:pos="288"/>
                <w:tab w:val="left" w:pos="576"/>
                <w:tab w:val="left" w:pos="864"/>
                <w:tab w:val="left" w:pos="1152"/>
              </w:tabs>
              <w:suppressAutoHyphens/>
              <w:spacing w:before="40" w:after="40" w:line="210" w:lineRule="exact"/>
              <w:ind w:left="0" w:right="43"/>
              <w:jc w:val="right"/>
              <w:rPr>
                <w:sz w:val="17"/>
                <w:lang w:val="fr-FR"/>
              </w:rPr>
            </w:pPr>
            <w:r w:rsidRPr="00B9250E">
              <w:rPr>
                <w:sz w:val="17"/>
                <w:lang w:val="fr-FR"/>
              </w:rPr>
              <w:t>74,2</w:t>
            </w:r>
          </w:p>
        </w:tc>
        <w:tc>
          <w:tcPr>
            <w:tcW w:w="892" w:type="dxa"/>
            <w:shd w:val="clear" w:color="auto" w:fill="auto"/>
            <w:vAlign w:val="bottom"/>
          </w:tcPr>
          <w:p w:rsidR="00826E0F" w:rsidRPr="00B9250E" w:rsidRDefault="00826E0F" w:rsidP="00B9250E">
            <w:pPr>
              <w:pStyle w:val="SingleTxt"/>
              <w:tabs>
                <w:tab w:val="left" w:pos="288"/>
                <w:tab w:val="left" w:pos="576"/>
                <w:tab w:val="left" w:pos="864"/>
                <w:tab w:val="left" w:pos="1152"/>
              </w:tabs>
              <w:suppressAutoHyphens/>
              <w:spacing w:before="40" w:after="40" w:line="210" w:lineRule="exact"/>
              <w:ind w:left="0" w:right="43"/>
              <w:jc w:val="right"/>
              <w:rPr>
                <w:sz w:val="17"/>
                <w:lang w:val="fr-FR"/>
              </w:rPr>
            </w:pPr>
            <w:r w:rsidRPr="00B9250E">
              <w:rPr>
                <w:sz w:val="17"/>
                <w:lang w:val="fr-FR"/>
              </w:rPr>
              <w:t>50</w:t>
            </w:r>
            <w:r w:rsidR="00B9250E">
              <w:rPr>
                <w:sz w:val="17"/>
                <w:lang w:val="fr-FR"/>
              </w:rPr>
              <w:t>,0</w:t>
            </w:r>
          </w:p>
        </w:tc>
      </w:tr>
      <w:tr w:rsidR="00826E0F" w:rsidRPr="00B9250E" w:rsidTr="00B9250E">
        <w:trPr>
          <w:trHeight w:val="300"/>
        </w:trPr>
        <w:tc>
          <w:tcPr>
            <w:tcW w:w="677" w:type="dxa"/>
            <w:shd w:val="clear" w:color="auto" w:fill="auto"/>
            <w:vAlign w:val="bottom"/>
          </w:tcPr>
          <w:p w:rsidR="00826E0F" w:rsidRPr="00B9250E" w:rsidRDefault="00826E0F" w:rsidP="00B9250E">
            <w:pPr>
              <w:pStyle w:val="SingleTxt"/>
              <w:tabs>
                <w:tab w:val="left" w:pos="288"/>
                <w:tab w:val="left" w:pos="576"/>
                <w:tab w:val="left" w:pos="864"/>
                <w:tab w:val="left" w:pos="1152"/>
              </w:tabs>
              <w:suppressAutoHyphens/>
              <w:spacing w:before="40" w:after="40" w:line="210" w:lineRule="exact"/>
              <w:ind w:left="0" w:right="43"/>
              <w:rPr>
                <w:sz w:val="17"/>
                <w:lang w:val="fr-FR"/>
              </w:rPr>
            </w:pPr>
            <w:r w:rsidRPr="00B9250E">
              <w:rPr>
                <w:sz w:val="17"/>
                <w:lang w:val="fr-FR"/>
              </w:rPr>
              <w:t>2007</w:t>
            </w:r>
          </w:p>
        </w:tc>
        <w:tc>
          <w:tcPr>
            <w:tcW w:w="1800" w:type="dxa"/>
            <w:shd w:val="clear" w:color="auto" w:fill="auto"/>
            <w:vAlign w:val="bottom"/>
          </w:tcPr>
          <w:p w:rsidR="00826E0F" w:rsidRPr="00B9250E" w:rsidRDefault="00826E0F" w:rsidP="00B9250E">
            <w:pPr>
              <w:pStyle w:val="SingleTxt"/>
              <w:tabs>
                <w:tab w:val="left" w:pos="288"/>
                <w:tab w:val="left" w:pos="576"/>
                <w:tab w:val="left" w:pos="864"/>
                <w:tab w:val="left" w:pos="1152"/>
              </w:tabs>
              <w:suppressAutoHyphens/>
              <w:spacing w:before="40" w:after="40" w:line="210" w:lineRule="exact"/>
              <w:ind w:left="0" w:right="43"/>
              <w:jc w:val="left"/>
              <w:rPr>
                <w:sz w:val="17"/>
                <w:lang w:val="fr-FR"/>
              </w:rPr>
            </w:pPr>
            <w:r w:rsidRPr="00B9250E">
              <w:rPr>
                <w:sz w:val="17"/>
                <w:lang w:val="fr-FR"/>
              </w:rPr>
              <w:t>Femmes (en</w:t>
            </w:r>
            <w:r w:rsidR="006645B6">
              <w:rPr>
                <w:sz w:val="17"/>
                <w:lang w:val="fr-FR"/>
              </w:rPr>
              <w:t xml:space="preserve"> %</w:t>
            </w:r>
            <w:r w:rsidRPr="00B9250E">
              <w:rPr>
                <w:sz w:val="17"/>
                <w:lang w:val="fr-FR"/>
              </w:rPr>
              <w:t>)</w:t>
            </w:r>
          </w:p>
        </w:tc>
        <w:tc>
          <w:tcPr>
            <w:tcW w:w="1976" w:type="dxa"/>
            <w:shd w:val="clear" w:color="auto" w:fill="auto"/>
            <w:vAlign w:val="bottom"/>
          </w:tcPr>
          <w:p w:rsidR="00826E0F" w:rsidRPr="00B9250E" w:rsidRDefault="00826E0F" w:rsidP="00B9250E">
            <w:pPr>
              <w:pStyle w:val="SingleTxt"/>
              <w:tabs>
                <w:tab w:val="left" w:pos="288"/>
                <w:tab w:val="left" w:pos="576"/>
                <w:tab w:val="left" w:pos="864"/>
                <w:tab w:val="left" w:pos="1152"/>
              </w:tabs>
              <w:suppressAutoHyphens/>
              <w:spacing w:before="40" w:after="40" w:line="210" w:lineRule="exact"/>
              <w:ind w:left="0" w:right="43"/>
              <w:jc w:val="right"/>
              <w:rPr>
                <w:sz w:val="17"/>
                <w:lang w:val="fr-FR"/>
              </w:rPr>
            </w:pPr>
            <w:r w:rsidRPr="00B9250E">
              <w:rPr>
                <w:sz w:val="17"/>
                <w:lang w:val="fr-FR"/>
              </w:rPr>
              <w:t>22,2</w:t>
            </w:r>
          </w:p>
        </w:tc>
        <w:tc>
          <w:tcPr>
            <w:tcW w:w="1976" w:type="dxa"/>
            <w:shd w:val="clear" w:color="auto" w:fill="auto"/>
            <w:vAlign w:val="bottom"/>
          </w:tcPr>
          <w:p w:rsidR="00826E0F" w:rsidRPr="00B9250E" w:rsidRDefault="00826E0F" w:rsidP="00B9250E">
            <w:pPr>
              <w:pStyle w:val="SingleTxt"/>
              <w:tabs>
                <w:tab w:val="left" w:pos="288"/>
                <w:tab w:val="left" w:pos="576"/>
                <w:tab w:val="left" w:pos="864"/>
                <w:tab w:val="left" w:pos="1152"/>
              </w:tabs>
              <w:suppressAutoHyphens/>
              <w:spacing w:before="40" w:after="40" w:line="210" w:lineRule="exact"/>
              <w:ind w:left="0" w:right="43"/>
              <w:jc w:val="right"/>
              <w:rPr>
                <w:sz w:val="17"/>
                <w:lang w:val="fr-FR"/>
              </w:rPr>
            </w:pPr>
            <w:r w:rsidRPr="00B9250E">
              <w:rPr>
                <w:sz w:val="17"/>
                <w:lang w:val="fr-FR"/>
              </w:rPr>
              <w:t>26</w:t>
            </w:r>
          </w:p>
        </w:tc>
        <w:tc>
          <w:tcPr>
            <w:tcW w:w="892" w:type="dxa"/>
            <w:shd w:val="clear" w:color="auto" w:fill="auto"/>
            <w:vAlign w:val="bottom"/>
          </w:tcPr>
          <w:p w:rsidR="00826E0F" w:rsidRPr="00B9250E" w:rsidRDefault="00826E0F" w:rsidP="00B9250E">
            <w:pPr>
              <w:pStyle w:val="SingleTxt"/>
              <w:tabs>
                <w:tab w:val="left" w:pos="288"/>
                <w:tab w:val="left" w:pos="576"/>
                <w:tab w:val="left" w:pos="864"/>
                <w:tab w:val="left" w:pos="1152"/>
              </w:tabs>
              <w:suppressAutoHyphens/>
              <w:spacing w:before="40" w:after="40" w:line="210" w:lineRule="exact"/>
              <w:ind w:left="0" w:right="43"/>
              <w:jc w:val="right"/>
              <w:rPr>
                <w:sz w:val="17"/>
                <w:lang w:val="fr-FR"/>
              </w:rPr>
            </w:pPr>
            <w:r w:rsidRPr="00B9250E">
              <w:rPr>
                <w:sz w:val="17"/>
                <w:lang w:val="fr-FR"/>
              </w:rPr>
              <w:t>51,5</w:t>
            </w:r>
          </w:p>
        </w:tc>
      </w:tr>
      <w:tr w:rsidR="00826E0F" w:rsidRPr="00B9250E" w:rsidTr="00B9250E">
        <w:trPr>
          <w:trHeight w:val="300"/>
        </w:trPr>
        <w:tc>
          <w:tcPr>
            <w:tcW w:w="677" w:type="dxa"/>
            <w:tcBorders>
              <w:bottom w:val="single" w:sz="12" w:space="0" w:color="auto"/>
            </w:tcBorders>
            <w:shd w:val="clear" w:color="auto" w:fill="auto"/>
            <w:vAlign w:val="bottom"/>
          </w:tcPr>
          <w:p w:rsidR="00826E0F" w:rsidRPr="00B9250E" w:rsidRDefault="00826E0F" w:rsidP="00B9250E">
            <w:pPr>
              <w:pStyle w:val="SingleTxt"/>
              <w:tabs>
                <w:tab w:val="left" w:pos="288"/>
                <w:tab w:val="left" w:pos="576"/>
                <w:tab w:val="left" w:pos="864"/>
                <w:tab w:val="left" w:pos="1152"/>
              </w:tabs>
              <w:suppressAutoHyphens/>
              <w:spacing w:before="40" w:after="40" w:line="210" w:lineRule="exact"/>
              <w:ind w:left="0" w:right="43"/>
              <w:rPr>
                <w:sz w:val="17"/>
                <w:lang w:val="fr-FR"/>
              </w:rPr>
            </w:pPr>
          </w:p>
        </w:tc>
        <w:tc>
          <w:tcPr>
            <w:tcW w:w="1800" w:type="dxa"/>
            <w:tcBorders>
              <w:bottom w:val="single" w:sz="12" w:space="0" w:color="auto"/>
            </w:tcBorders>
            <w:shd w:val="clear" w:color="auto" w:fill="auto"/>
            <w:vAlign w:val="bottom"/>
          </w:tcPr>
          <w:p w:rsidR="00826E0F" w:rsidRPr="00B9250E" w:rsidRDefault="00826E0F" w:rsidP="00B9250E">
            <w:pPr>
              <w:pStyle w:val="SingleTxt"/>
              <w:tabs>
                <w:tab w:val="left" w:pos="288"/>
                <w:tab w:val="left" w:pos="576"/>
                <w:tab w:val="left" w:pos="864"/>
                <w:tab w:val="left" w:pos="1152"/>
              </w:tabs>
              <w:suppressAutoHyphens/>
              <w:spacing w:before="40" w:after="40" w:line="210" w:lineRule="exact"/>
              <w:ind w:left="0" w:right="43"/>
              <w:jc w:val="left"/>
              <w:rPr>
                <w:sz w:val="17"/>
                <w:lang w:val="fr-FR"/>
              </w:rPr>
            </w:pPr>
            <w:r w:rsidRPr="00B9250E">
              <w:rPr>
                <w:sz w:val="17"/>
                <w:lang w:val="fr-FR"/>
              </w:rPr>
              <w:t>Hommes (en</w:t>
            </w:r>
            <w:r w:rsidR="006645B6">
              <w:rPr>
                <w:sz w:val="17"/>
                <w:lang w:val="fr-FR"/>
              </w:rPr>
              <w:t xml:space="preserve"> %</w:t>
            </w:r>
            <w:r w:rsidRPr="00B9250E">
              <w:rPr>
                <w:sz w:val="17"/>
                <w:lang w:val="fr-FR"/>
              </w:rPr>
              <w:t>)</w:t>
            </w:r>
          </w:p>
        </w:tc>
        <w:tc>
          <w:tcPr>
            <w:tcW w:w="1976" w:type="dxa"/>
            <w:tcBorders>
              <w:bottom w:val="single" w:sz="12" w:space="0" w:color="auto"/>
            </w:tcBorders>
            <w:shd w:val="clear" w:color="auto" w:fill="auto"/>
            <w:vAlign w:val="bottom"/>
          </w:tcPr>
          <w:p w:rsidR="00826E0F" w:rsidRPr="00B9250E" w:rsidRDefault="00826E0F" w:rsidP="00B9250E">
            <w:pPr>
              <w:pStyle w:val="SingleTxt"/>
              <w:tabs>
                <w:tab w:val="left" w:pos="288"/>
                <w:tab w:val="left" w:pos="576"/>
                <w:tab w:val="left" w:pos="864"/>
                <w:tab w:val="left" w:pos="1152"/>
              </w:tabs>
              <w:suppressAutoHyphens/>
              <w:spacing w:before="40" w:after="40" w:line="210" w:lineRule="exact"/>
              <w:ind w:left="0" w:right="43"/>
              <w:jc w:val="right"/>
              <w:rPr>
                <w:sz w:val="17"/>
                <w:lang w:val="fr-FR"/>
              </w:rPr>
            </w:pPr>
            <w:r w:rsidRPr="00B9250E">
              <w:rPr>
                <w:sz w:val="17"/>
                <w:lang w:val="fr-FR"/>
              </w:rPr>
              <w:t>77,8</w:t>
            </w:r>
          </w:p>
        </w:tc>
        <w:tc>
          <w:tcPr>
            <w:tcW w:w="1976" w:type="dxa"/>
            <w:tcBorders>
              <w:bottom w:val="single" w:sz="12" w:space="0" w:color="auto"/>
            </w:tcBorders>
            <w:shd w:val="clear" w:color="auto" w:fill="auto"/>
            <w:vAlign w:val="bottom"/>
          </w:tcPr>
          <w:p w:rsidR="00826E0F" w:rsidRPr="00B9250E" w:rsidRDefault="00826E0F" w:rsidP="00B9250E">
            <w:pPr>
              <w:pStyle w:val="SingleTxt"/>
              <w:tabs>
                <w:tab w:val="left" w:pos="288"/>
                <w:tab w:val="left" w:pos="576"/>
                <w:tab w:val="left" w:pos="864"/>
                <w:tab w:val="left" w:pos="1152"/>
              </w:tabs>
              <w:suppressAutoHyphens/>
              <w:spacing w:before="40" w:after="40" w:line="210" w:lineRule="exact"/>
              <w:ind w:left="0" w:right="43"/>
              <w:jc w:val="right"/>
              <w:rPr>
                <w:sz w:val="17"/>
                <w:lang w:val="fr-FR"/>
              </w:rPr>
            </w:pPr>
            <w:r w:rsidRPr="00B9250E">
              <w:rPr>
                <w:sz w:val="17"/>
                <w:lang w:val="fr-FR"/>
              </w:rPr>
              <w:t>74</w:t>
            </w:r>
          </w:p>
        </w:tc>
        <w:tc>
          <w:tcPr>
            <w:tcW w:w="892" w:type="dxa"/>
            <w:tcBorders>
              <w:bottom w:val="single" w:sz="12" w:space="0" w:color="auto"/>
            </w:tcBorders>
            <w:shd w:val="clear" w:color="auto" w:fill="auto"/>
            <w:vAlign w:val="bottom"/>
          </w:tcPr>
          <w:p w:rsidR="00826E0F" w:rsidRPr="00B9250E" w:rsidRDefault="00826E0F" w:rsidP="00B9250E">
            <w:pPr>
              <w:pStyle w:val="SingleTxt"/>
              <w:tabs>
                <w:tab w:val="left" w:pos="288"/>
                <w:tab w:val="left" w:pos="576"/>
                <w:tab w:val="left" w:pos="864"/>
                <w:tab w:val="left" w:pos="1152"/>
              </w:tabs>
              <w:suppressAutoHyphens/>
              <w:spacing w:before="40" w:after="40" w:line="210" w:lineRule="exact"/>
              <w:ind w:left="0" w:right="43"/>
              <w:jc w:val="right"/>
              <w:rPr>
                <w:sz w:val="17"/>
                <w:lang w:val="fr-FR"/>
              </w:rPr>
            </w:pPr>
            <w:r w:rsidRPr="00B9250E">
              <w:rPr>
                <w:sz w:val="17"/>
                <w:lang w:val="fr-FR"/>
              </w:rPr>
              <w:t>48,5</w:t>
            </w:r>
          </w:p>
        </w:tc>
      </w:tr>
    </w:tbl>
    <w:p w:rsidR="00B9250E" w:rsidRPr="00B9250E" w:rsidRDefault="00B9250E" w:rsidP="00B9250E">
      <w:pPr>
        <w:pStyle w:val="FootnoteText"/>
        <w:tabs>
          <w:tab w:val="clear" w:pos="418"/>
          <w:tab w:val="right" w:pos="1476"/>
          <w:tab w:val="left" w:pos="1548"/>
          <w:tab w:val="right" w:pos="1836"/>
          <w:tab w:val="left" w:pos="1908"/>
        </w:tabs>
        <w:spacing w:line="120" w:lineRule="exact"/>
        <w:ind w:left="1548" w:right="1267" w:hanging="288"/>
        <w:rPr>
          <w:sz w:val="10"/>
          <w:lang w:val="fr-FR"/>
        </w:rPr>
      </w:pPr>
    </w:p>
    <w:p w:rsidR="00826E0F" w:rsidRPr="00872599" w:rsidRDefault="00826E0F" w:rsidP="00B9250E">
      <w:pPr>
        <w:pStyle w:val="FootnoteText"/>
        <w:tabs>
          <w:tab w:val="clear" w:pos="418"/>
          <w:tab w:val="right" w:pos="1476"/>
          <w:tab w:val="left" w:pos="1548"/>
          <w:tab w:val="right" w:pos="1836"/>
          <w:tab w:val="left" w:pos="1908"/>
        </w:tabs>
        <w:ind w:left="1548" w:right="1267" w:hanging="288"/>
        <w:rPr>
          <w:lang w:val="fr-FR"/>
        </w:rPr>
      </w:pPr>
      <w:r w:rsidRPr="00B9250E">
        <w:rPr>
          <w:i/>
          <w:lang w:val="fr-FR"/>
        </w:rPr>
        <w:t>Source</w:t>
      </w:r>
      <w:r w:rsidR="006645B6">
        <w:rPr>
          <w:lang w:val="fr-FR"/>
        </w:rPr>
        <w:t> :</w:t>
      </w:r>
      <w:r w:rsidRPr="00872599">
        <w:rPr>
          <w:lang w:val="fr-FR"/>
        </w:rPr>
        <w:t xml:space="preserve"> Statistiques sur l</w:t>
      </w:r>
      <w:r w:rsidR="006645B6">
        <w:rPr>
          <w:lang w:val="fr-FR"/>
        </w:rPr>
        <w:t>’</w:t>
      </w:r>
      <w:r w:rsidRPr="00872599">
        <w:rPr>
          <w:lang w:val="fr-FR"/>
        </w:rPr>
        <w:t>emploi et le lieu de travail, 2000 et 2007.</w:t>
      </w:r>
    </w:p>
    <w:p w:rsidR="00B9250E" w:rsidRPr="00B9250E" w:rsidRDefault="00B9250E" w:rsidP="00B9250E">
      <w:pPr>
        <w:pStyle w:val="SingleTxt"/>
        <w:spacing w:after="0" w:line="120" w:lineRule="exact"/>
        <w:rPr>
          <w:sz w:val="10"/>
          <w:lang w:val="fr-FR"/>
        </w:rPr>
      </w:pPr>
    </w:p>
    <w:p w:rsidR="00B9250E" w:rsidRPr="00B9250E" w:rsidRDefault="00B9250E" w:rsidP="00B9250E">
      <w:pPr>
        <w:pStyle w:val="SingleTxt"/>
        <w:spacing w:after="0" w:line="120" w:lineRule="exact"/>
        <w:rPr>
          <w:sz w:val="10"/>
          <w:lang w:val="fr-FR"/>
        </w:rPr>
      </w:pPr>
    </w:p>
    <w:p w:rsidR="00826E0F" w:rsidRPr="00872599" w:rsidRDefault="00B9250E" w:rsidP="00497599">
      <w:pPr>
        <w:pStyle w:val="SingleTxt"/>
        <w:rPr>
          <w:lang w:val="fr-FR" w:eastAsia="fr-FR"/>
        </w:rPr>
      </w:pPr>
      <w:r>
        <w:rPr>
          <w:lang w:val="fr-FR" w:eastAsia="fr-FR"/>
        </w:rPr>
        <w:tab/>
      </w:r>
      <w:r w:rsidR="00826E0F" w:rsidRPr="00872599">
        <w:rPr>
          <w:lang w:val="fr-FR" w:eastAsia="fr-FR"/>
        </w:rPr>
        <w:t>Tandis que le nombre total de travailleurs a pratiquement quadruplé en soixante-dix ans, le nombre de travailleuses a augmenté davantage encore car multiplié par 7. Dans les années 1930 , la proportion de femmes faisant partie de la population active n</w:t>
      </w:r>
      <w:r w:rsidR="006645B6">
        <w:rPr>
          <w:lang w:val="fr-FR" w:eastAsia="fr-FR"/>
        </w:rPr>
        <w:t>’</w:t>
      </w:r>
      <w:r w:rsidR="00826E0F" w:rsidRPr="00872599">
        <w:rPr>
          <w:lang w:val="fr-FR" w:eastAsia="fr-FR"/>
        </w:rPr>
        <w:t>était que de 25</w:t>
      </w:r>
      <w:r w:rsidR="006645B6">
        <w:rPr>
          <w:lang w:val="fr-FR" w:eastAsia="fr-FR"/>
        </w:rPr>
        <w:t xml:space="preserve"> %;</w:t>
      </w:r>
      <w:r w:rsidR="00826E0F" w:rsidRPr="00872599">
        <w:rPr>
          <w:lang w:val="fr-FR" w:eastAsia="fr-FR"/>
        </w:rPr>
        <w:t xml:space="preserve"> en 2000 les femmes représentaient déjà 44</w:t>
      </w:r>
      <w:r w:rsidR="006645B6">
        <w:rPr>
          <w:lang w:val="fr-FR" w:eastAsia="fr-FR"/>
        </w:rPr>
        <w:t> %</w:t>
      </w:r>
      <w:r w:rsidR="00826E0F" w:rsidRPr="00872599">
        <w:rPr>
          <w:lang w:val="fr-FR" w:eastAsia="fr-FR"/>
        </w:rPr>
        <w:t xml:space="preserve"> de la population active du Liechtenstein.</w:t>
      </w:r>
      <w:r w:rsidR="00826E0F">
        <w:rPr>
          <w:lang w:val="fr-FR" w:eastAsia="fr-FR"/>
        </w:rPr>
        <w:t xml:space="preserve"> Cette évolution n</w:t>
      </w:r>
      <w:r w:rsidR="006645B6">
        <w:rPr>
          <w:lang w:val="fr-FR" w:eastAsia="fr-FR"/>
        </w:rPr>
        <w:t>’</w:t>
      </w:r>
      <w:r w:rsidR="00826E0F">
        <w:rPr>
          <w:lang w:val="fr-FR" w:eastAsia="fr-FR"/>
        </w:rPr>
        <w:t xml:space="preserve">avait guère à </w:t>
      </w:r>
      <w:r w:rsidR="00826E0F" w:rsidRPr="00872599">
        <w:rPr>
          <w:lang w:val="fr-FR" w:eastAsia="fr-FR"/>
        </w:rPr>
        <w:t>voir avec l</w:t>
      </w:r>
      <w:r w:rsidR="006645B6">
        <w:rPr>
          <w:lang w:val="fr-FR" w:eastAsia="fr-FR"/>
        </w:rPr>
        <w:t>’</w:t>
      </w:r>
      <w:r w:rsidR="00826E0F" w:rsidRPr="00872599">
        <w:rPr>
          <w:lang w:val="fr-FR" w:eastAsia="fr-FR"/>
        </w:rPr>
        <w:t>égalité juridique entre les femmes et les hommes et avait commencé bien avant l</w:t>
      </w:r>
      <w:r w:rsidR="006645B6">
        <w:rPr>
          <w:lang w:val="fr-FR" w:eastAsia="fr-FR"/>
        </w:rPr>
        <w:t>’</w:t>
      </w:r>
      <w:r w:rsidR="00826E0F" w:rsidRPr="00872599">
        <w:rPr>
          <w:lang w:val="fr-FR" w:eastAsia="fr-FR"/>
        </w:rPr>
        <w:t>octroi du droit de vote aux femmes, parallèlement au développement économique et à l</w:t>
      </w:r>
      <w:r w:rsidR="006645B6">
        <w:rPr>
          <w:lang w:val="fr-FR" w:eastAsia="fr-FR"/>
        </w:rPr>
        <w:t>’</w:t>
      </w:r>
      <w:r w:rsidR="00826E0F" w:rsidRPr="00872599">
        <w:rPr>
          <w:lang w:val="fr-FR" w:eastAsia="fr-FR"/>
        </w:rPr>
        <w:t>augmentation du nombre d</w:t>
      </w:r>
      <w:r w:rsidR="006645B6">
        <w:rPr>
          <w:lang w:val="fr-FR" w:eastAsia="fr-FR"/>
        </w:rPr>
        <w:t>’</w:t>
      </w:r>
      <w:r w:rsidR="00826E0F" w:rsidRPr="00872599">
        <w:rPr>
          <w:lang w:val="fr-FR" w:eastAsia="fr-FR"/>
        </w:rPr>
        <w:t xml:space="preserve">emplois. </w:t>
      </w:r>
    </w:p>
    <w:p w:rsidR="00826E0F" w:rsidRPr="00872599" w:rsidRDefault="00B9250E" w:rsidP="00497599">
      <w:pPr>
        <w:pStyle w:val="SingleTxt"/>
        <w:rPr>
          <w:lang w:val="fr-FR" w:eastAsia="fr-FR"/>
        </w:rPr>
      </w:pPr>
      <w:r>
        <w:rPr>
          <w:lang w:val="fr-FR" w:eastAsia="fr-FR"/>
        </w:rPr>
        <w:tab/>
      </w:r>
      <w:r w:rsidR="00826E0F" w:rsidRPr="00872599">
        <w:rPr>
          <w:lang w:val="fr-FR" w:eastAsia="fr-FR"/>
        </w:rPr>
        <w:t>En raison de l</w:t>
      </w:r>
      <w:r w:rsidR="006645B6">
        <w:rPr>
          <w:lang w:val="fr-FR" w:eastAsia="fr-FR"/>
        </w:rPr>
        <w:t>’</w:t>
      </w:r>
      <w:r w:rsidR="00826E0F" w:rsidRPr="00872599">
        <w:rPr>
          <w:lang w:val="fr-FR" w:eastAsia="fr-FR"/>
        </w:rPr>
        <w:t>augmentation rapide du nombre d</w:t>
      </w:r>
      <w:r w:rsidR="006645B6">
        <w:rPr>
          <w:lang w:val="fr-FR" w:eastAsia="fr-FR"/>
        </w:rPr>
        <w:t>’</w:t>
      </w:r>
      <w:r w:rsidR="00826E0F" w:rsidRPr="00872599">
        <w:rPr>
          <w:lang w:val="fr-FR" w:eastAsia="fr-FR"/>
        </w:rPr>
        <w:t>emplois, il est devenu économiquement nécessaire d</w:t>
      </w:r>
      <w:r w:rsidR="006645B6">
        <w:rPr>
          <w:lang w:val="fr-FR" w:eastAsia="fr-FR"/>
        </w:rPr>
        <w:t>’</w:t>
      </w:r>
      <w:r w:rsidR="00826E0F" w:rsidRPr="00872599">
        <w:rPr>
          <w:lang w:val="fr-FR" w:eastAsia="fr-FR"/>
        </w:rPr>
        <w:t>embaucher des femmes, une situation acceptée au plan social et considérée comme normale. Ce qui est bien moins évident pour les femmes c</w:t>
      </w:r>
      <w:r w:rsidR="006645B6">
        <w:rPr>
          <w:lang w:val="fr-FR" w:eastAsia="fr-FR"/>
        </w:rPr>
        <w:t>’</w:t>
      </w:r>
      <w:r w:rsidR="00826E0F" w:rsidRPr="00872599">
        <w:rPr>
          <w:lang w:val="fr-FR" w:eastAsia="fr-FR"/>
        </w:rPr>
        <w:t>est d</w:t>
      </w:r>
      <w:r w:rsidR="006645B6">
        <w:rPr>
          <w:lang w:val="fr-FR" w:eastAsia="fr-FR"/>
        </w:rPr>
        <w:t>’</w:t>
      </w:r>
      <w:r w:rsidR="00826E0F" w:rsidRPr="00872599">
        <w:rPr>
          <w:lang w:val="fr-FR" w:eastAsia="fr-FR"/>
        </w:rPr>
        <w:t>avoir un accès égal aux emplois de haute responsabilité.</w:t>
      </w:r>
    </w:p>
    <w:p w:rsidR="00B9250E" w:rsidRPr="00B9250E" w:rsidRDefault="00B9250E" w:rsidP="00B9250E">
      <w:pPr>
        <w:pStyle w:val="SingleTxt"/>
        <w:spacing w:after="0" w:line="120" w:lineRule="exact"/>
        <w:rPr>
          <w:sz w:val="10"/>
          <w:lang w:val="fr-FR" w:eastAsia="fr-FR"/>
        </w:rPr>
      </w:pPr>
    </w:p>
    <w:p w:rsidR="00826E0F" w:rsidRPr="00872599" w:rsidRDefault="00B9250E" w:rsidP="00B9250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br w:type="page"/>
      </w:r>
      <w:r>
        <w:rPr>
          <w:lang w:val="fr-FR"/>
        </w:rPr>
        <w:tab/>
      </w:r>
      <w:r>
        <w:rPr>
          <w:lang w:val="fr-FR"/>
        </w:rPr>
        <w:tab/>
      </w:r>
      <w:r w:rsidR="00826E0F" w:rsidRPr="00B9250E">
        <w:rPr>
          <w:b w:val="0"/>
          <w:lang w:val="fr-FR"/>
        </w:rPr>
        <w:t>Tableau 10</w:t>
      </w:r>
      <w:r>
        <w:rPr>
          <w:lang w:val="fr-FR"/>
        </w:rPr>
        <w:br/>
      </w:r>
      <w:r w:rsidR="00826E0F" w:rsidRPr="00872599">
        <w:rPr>
          <w:lang w:val="fr-FR"/>
        </w:rPr>
        <w:t>Travailleurs par niveau d</w:t>
      </w:r>
      <w:r w:rsidR="006645B6">
        <w:rPr>
          <w:lang w:val="fr-FR"/>
        </w:rPr>
        <w:t>’</w:t>
      </w:r>
      <w:r w:rsidR="00826E0F" w:rsidRPr="00872599">
        <w:rPr>
          <w:lang w:val="fr-FR"/>
        </w:rPr>
        <w:t>emploi, secteur et sexe</w:t>
      </w:r>
    </w:p>
    <w:p w:rsidR="00B9250E" w:rsidRDefault="00B9250E"/>
    <w:tbl>
      <w:tblPr>
        <w:tblW w:w="7307" w:type="dxa"/>
        <w:tblInd w:w="1278" w:type="dxa"/>
        <w:tblLayout w:type="fixed"/>
        <w:tblCellMar>
          <w:left w:w="0" w:type="dxa"/>
          <w:right w:w="0" w:type="dxa"/>
        </w:tblCellMar>
        <w:tblLook w:val="0000" w:firstRow="0" w:lastRow="0" w:firstColumn="0" w:lastColumn="0" w:noHBand="0" w:noVBand="0"/>
      </w:tblPr>
      <w:tblGrid>
        <w:gridCol w:w="810"/>
        <w:gridCol w:w="711"/>
        <w:gridCol w:w="729"/>
        <w:gridCol w:w="684"/>
        <w:gridCol w:w="72"/>
        <w:gridCol w:w="747"/>
        <w:gridCol w:w="711"/>
        <w:gridCol w:w="738"/>
        <w:gridCol w:w="45"/>
        <w:gridCol w:w="630"/>
        <w:gridCol w:w="765"/>
        <w:gridCol w:w="665"/>
      </w:tblGrid>
      <w:tr w:rsidR="00A03470" w:rsidRPr="00B9250E" w:rsidTr="00A03470">
        <w:trPr>
          <w:trHeight w:val="261"/>
          <w:tblHeader/>
        </w:trPr>
        <w:tc>
          <w:tcPr>
            <w:tcW w:w="810" w:type="dxa"/>
            <w:vMerge w:val="restart"/>
            <w:tcBorders>
              <w:top w:val="single" w:sz="4" w:space="0" w:color="auto"/>
            </w:tcBorders>
            <w:shd w:val="clear" w:color="auto" w:fill="auto"/>
            <w:vAlign w:val="bottom"/>
          </w:tcPr>
          <w:p w:rsidR="00A03470" w:rsidRPr="00B9250E" w:rsidRDefault="00A03470" w:rsidP="00B9250E">
            <w:pPr>
              <w:pStyle w:val="SingleTxt"/>
              <w:tabs>
                <w:tab w:val="left" w:pos="288"/>
                <w:tab w:val="left" w:pos="576"/>
                <w:tab w:val="left" w:pos="864"/>
                <w:tab w:val="left" w:pos="1152"/>
              </w:tabs>
              <w:suppressAutoHyphens/>
              <w:spacing w:before="40" w:after="40" w:line="210" w:lineRule="exact"/>
              <w:ind w:left="0" w:right="29"/>
              <w:rPr>
                <w:i/>
                <w:sz w:val="14"/>
                <w:szCs w:val="14"/>
                <w:lang w:val="fr-FR"/>
              </w:rPr>
            </w:pPr>
            <w:r w:rsidRPr="00B9250E">
              <w:rPr>
                <w:i/>
                <w:sz w:val="14"/>
                <w:szCs w:val="14"/>
                <w:lang w:val="fr-FR"/>
              </w:rPr>
              <w:t> </w:t>
            </w:r>
          </w:p>
        </w:tc>
        <w:tc>
          <w:tcPr>
            <w:tcW w:w="2124" w:type="dxa"/>
            <w:gridSpan w:val="3"/>
            <w:tcBorders>
              <w:top w:val="single" w:sz="4" w:space="0" w:color="auto"/>
              <w:bottom w:val="single" w:sz="4" w:space="0" w:color="auto"/>
            </w:tcBorders>
            <w:shd w:val="clear" w:color="auto" w:fill="auto"/>
            <w:vAlign w:val="bottom"/>
          </w:tcPr>
          <w:p w:rsidR="00A03470" w:rsidRPr="00B9250E" w:rsidRDefault="00A03470" w:rsidP="00B9250E">
            <w:pPr>
              <w:pStyle w:val="SingleTxt"/>
              <w:suppressAutoHyphens/>
              <w:spacing w:before="80" w:after="80" w:line="160" w:lineRule="exact"/>
              <w:ind w:left="0" w:right="29"/>
              <w:jc w:val="right"/>
              <w:rPr>
                <w:i/>
                <w:sz w:val="14"/>
                <w:szCs w:val="14"/>
                <w:lang w:val="fr-FR"/>
              </w:rPr>
            </w:pPr>
            <w:r w:rsidRPr="00B9250E">
              <w:rPr>
                <w:i/>
                <w:sz w:val="14"/>
                <w:szCs w:val="14"/>
                <w:lang w:val="fr-FR"/>
              </w:rPr>
              <w:t>Plein temps (90</w:t>
            </w:r>
            <w:r>
              <w:rPr>
                <w:i/>
                <w:sz w:val="14"/>
                <w:szCs w:val="14"/>
                <w:lang w:val="fr-FR"/>
              </w:rPr>
              <w:t> %</w:t>
            </w:r>
            <w:r w:rsidRPr="00B9250E">
              <w:rPr>
                <w:i/>
                <w:sz w:val="14"/>
                <w:szCs w:val="14"/>
                <w:lang w:val="fr-FR"/>
              </w:rPr>
              <w:t xml:space="preserve"> ou plus)</w:t>
            </w:r>
          </w:p>
        </w:tc>
        <w:tc>
          <w:tcPr>
            <w:tcW w:w="72" w:type="dxa"/>
            <w:tcBorders>
              <w:top w:val="single" w:sz="4" w:space="0" w:color="auto"/>
            </w:tcBorders>
            <w:shd w:val="clear" w:color="auto" w:fill="auto"/>
            <w:vAlign w:val="bottom"/>
          </w:tcPr>
          <w:p w:rsidR="00A03470" w:rsidRPr="00B9250E" w:rsidRDefault="00A03470" w:rsidP="00B9250E">
            <w:pPr>
              <w:pStyle w:val="SingleTxt"/>
              <w:suppressAutoHyphens/>
              <w:spacing w:before="80" w:after="80" w:line="160" w:lineRule="exact"/>
              <w:ind w:left="0" w:right="29"/>
              <w:jc w:val="right"/>
              <w:rPr>
                <w:i/>
                <w:sz w:val="14"/>
                <w:szCs w:val="14"/>
                <w:lang w:val="fr-FR"/>
              </w:rPr>
            </w:pPr>
          </w:p>
        </w:tc>
        <w:tc>
          <w:tcPr>
            <w:tcW w:w="2196" w:type="dxa"/>
            <w:gridSpan w:val="3"/>
            <w:tcBorders>
              <w:top w:val="single" w:sz="4" w:space="0" w:color="auto"/>
              <w:bottom w:val="single" w:sz="4" w:space="0" w:color="auto"/>
            </w:tcBorders>
            <w:shd w:val="clear" w:color="auto" w:fill="auto"/>
            <w:vAlign w:val="bottom"/>
          </w:tcPr>
          <w:p w:rsidR="00A03470" w:rsidRPr="00B9250E" w:rsidRDefault="00A03470" w:rsidP="00B9250E">
            <w:pPr>
              <w:pStyle w:val="SingleTxt"/>
              <w:suppressAutoHyphens/>
              <w:spacing w:before="80" w:after="80" w:line="160" w:lineRule="exact"/>
              <w:ind w:left="0" w:right="29"/>
              <w:jc w:val="right"/>
              <w:rPr>
                <w:i/>
                <w:sz w:val="14"/>
                <w:szCs w:val="14"/>
                <w:lang w:val="fr-FR"/>
              </w:rPr>
            </w:pPr>
            <w:r w:rsidRPr="00B9250E">
              <w:rPr>
                <w:i/>
                <w:sz w:val="14"/>
                <w:szCs w:val="14"/>
                <w:lang w:val="fr-FR"/>
              </w:rPr>
              <w:t>Temps partiel (50</w:t>
            </w:r>
            <w:r>
              <w:rPr>
                <w:i/>
                <w:sz w:val="14"/>
                <w:szCs w:val="14"/>
                <w:lang w:val="fr-FR"/>
              </w:rPr>
              <w:t> %</w:t>
            </w:r>
            <w:r w:rsidRPr="00B9250E">
              <w:rPr>
                <w:i/>
                <w:sz w:val="14"/>
                <w:szCs w:val="14"/>
                <w:lang w:val="fr-FR"/>
              </w:rPr>
              <w:t xml:space="preserve"> à 89</w:t>
            </w:r>
            <w:r>
              <w:rPr>
                <w:i/>
                <w:sz w:val="14"/>
                <w:szCs w:val="14"/>
                <w:lang w:val="fr-FR"/>
              </w:rPr>
              <w:t> %</w:t>
            </w:r>
            <w:r w:rsidRPr="00B9250E">
              <w:rPr>
                <w:i/>
                <w:sz w:val="14"/>
                <w:szCs w:val="14"/>
                <w:lang w:val="fr-FR"/>
              </w:rPr>
              <w:t>)</w:t>
            </w:r>
          </w:p>
        </w:tc>
        <w:tc>
          <w:tcPr>
            <w:tcW w:w="45" w:type="dxa"/>
            <w:tcBorders>
              <w:top w:val="single" w:sz="4" w:space="0" w:color="auto"/>
            </w:tcBorders>
            <w:shd w:val="clear" w:color="auto" w:fill="auto"/>
            <w:vAlign w:val="bottom"/>
          </w:tcPr>
          <w:p w:rsidR="00A03470" w:rsidRPr="00B9250E" w:rsidRDefault="00A03470" w:rsidP="00B9250E">
            <w:pPr>
              <w:pStyle w:val="SingleTxt"/>
              <w:suppressAutoHyphens/>
              <w:spacing w:before="80" w:after="80" w:line="160" w:lineRule="exact"/>
              <w:ind w:left="0" w:right="29"/>
              <w:jc w:val="right"/>
              <w:rPr>
                <w:i/>
                <w:sz w:val="14"/>
                <w:szCs w:val="14"/>
                <w:lang w:val="fr-FR"/>
              </w:rPr>
            </w:pPr>
          </w:p>
        </w:tc>
        <w:tc>
          <w:tcPr>
            <w:tcW w:w="2060" w:type="dxa"/>
            <w:gridSpan w:val="3"/>
            <w:tcBorders>
              <w:top w:val="single" w:sz="4" w:space="0" w:color="auto"/>
              <w:bottom w:val="single" w:sz="4" w:space="0" w:color="auto"/>
            </w:tcBorders>
            <w:shd w:val="clear" w:color="auto" w:fill="auto"/>
            <w:vAlign w:val="bottom"/>
          </w:tcPr>
          <w:p w:rsidR="00A03470" w:rsidRPr="00B9250E" w:rsidRDefault="00A03470" w:rsidP="00B9250E">
            <w:pPr>
              <w:pStyle w:val="SingleTxt"/>
              <w:suppressAutoHyphens/>
              <w:spacing w:before="80" w:after="80" w:line="160" w:lineRule="exact"/>
              <w:ind w:left="0" w:right="29"/>
              <w:jc w:val="right"/>
              <w:rPr>
                <w:i/>
                <w:sz w:val="14"/>
                <w:szCs w:val="14"/>
                <w:lang w:val="fr-FR"/>
              </w:rPr>
            </w:pPr>
            <w:r w:rsidRPr="00B9250E">
              <w:rPr>
                <w:i/>
                <w:sz w:val="14"/>
                <w:szCs w:val="14"/>
                <w:lang w:val="fr-FR"/>
              </w:rPr>
              <w:t>Temps partiel (15</w:t>
            </w:r>
            <w:r>
              <w:rPr>
                <w:i/>
                <w:sz w:val="14"/>
                <w:szCs w:val="14"/>
                <w:lang w:val="fr-FR"/>
              </w:rPr>
              <w:t> %</w:t>
            </w:r>
            <w:r w:rsidRPr="00B9250E">
              <w:rPr>
                <w:i/>
                <w:sz w:val="14"/>
                <w:szCs w:val="14"/>
                <w:lang w:val="fr-FR"/>
              </w:rPr>
              <w:t xml:space="preserve"> à 49</w:t>
            </w:r>
            <w:r>
              <w:rPr>
                <w:i/>
                <w:sz w:val="14"/>
                <w:szCs w:val="14"/>
                <w:lang w:val="fr-FR"/>
              </w:rPr>
              <w:t> %</w:t>
            </w:r>
            <w:r w:rsidRPr="00B9250E">
              <w:rPr>
                <w:i/>
                <w:sz w:val="14"/>
                <w:szCs w:val="14"/>
                <w:lang w:val="fr-FR"/>
              </w:rPr>
              <w:t>)</w:t>
            </w:r>
          </w:p>
        </w:tc>
      </w:tr>
      <w:tr w:rsidR="00B9250E" w:rsidRPr="00B9250E" w:rsidTr="00A03470">
        <w:trPr>
          <w:trHeight w:val="261"/>
        </w:trPr>
        <w:tc>
          <w:tcPr>
            <w:tcW w:w="810" w:type="dxa"/>
            <w:vMerge/>
            <w:shd w:val="clear" w:color="auto" w:fill="auto"/>
            <w:vAlign w:val="bottom"/>
          </w:tcPr>
          <w:p w:rsidR="00B9250E" w:rsidRPr="00B9250E" w:rsidRDefault="00B9250E" w:rsidP="00B9250E">
            <w:pPr>
              <w:pStyle w:val="SingleTxt"/>
              <w:tabs>
                <w:tab w:val="left" w:pos="288"/>
                <w:tab w:val="left" w:pos="576"/>
                <w:tab w:val="left" w:pos="864"/>
                <w:tab w:val="left" w:pos="1152"/>
              </w:tabs>
              <w:suppressAutoHyphens/>
              <w:spacing w:before="40" w:after="40" w:line="210" w:lineRule="exact"/>
              <w:ind w:left="0" w:right="29"/>
              <w:rPr>
                <w:i/>
                <w:sz w:val="14"/>
                <w:szCs w:val="14"/>
                <w:lang w:val="fr-FR"/>
              </w:rPr>
            </w:pPr>
          </w:p>
        </w:tc>
        <w:tc>
          <w:tcPr>
            <w:tcW w:w="711" w:type="dxa"/>
            <w:tcBorders>
              <w:top w:val="single" w:sz="4" w:space="0" w:color="auto"/>
              <w:bottom w:val="single" w:sz="12" w:space="0" w:color="auto"/>
            </w:tcBorders>
            <w:shd w:val="clear" w:color="auto" w:fill="auto"/>
            <w:vAlign w:val="bottom"/>
          </w:tcPr>
          <w:p w:rsidR="00B9250E" w:rsidRPr="00B9250E" w:rsidRDefault="00B9250E" w:rsidP="00B9250E">
            <w:pPr>
              <w:pStyle w:val="SingleTxt"/>
              <w:tabs>
                <w:tab w:val="left" w:pos="288"/>
                <w:tab w:val="left" w:pos="576"/>
                <w:tab w:val="left" w:pos="864"/>
                <w:tab w:val="left" w:pos="1152"/>
              </w:tabs>
              <w:suppressAutoHyphens/>
              <w:spacing w:before="40" w:after="40" w:line="210" w:lineRule="exact"/>
              <w:ind w:left="0" w:right="29"/>
              <w:jc w:val="right"/>
              <w:rPr>
                <w:i/>
                <w:sz w:val="14"/>
                <w:szCs w:val="14"/>
                <w:lang w:val="fr-FR"/>
              </w:rPr>
            </w:pPr>
            <w:r w:rsidRPr="00B9250E">
              <w:rPr>
                <w:i/>
                <w:sz w:val="14"/>
                <w:szCs w:val="14"/>
                <w:lang w:val="fr-FR"/>
              </w:rPr>
              <w:t>Secteur 1</w:t>
            </w:r>
          </w:p>
        </w:tc>
        <w:tc>
          <w:tcPr>
            <w:tcW w:w="729" w:type="dxa"/>
            <w:tcBorders>
              <w:top w:val="single" w:sz="4" w:space="0" w:color="auto"/>
              <w:bottom w:val="single" w:sz="12" w:space="0" w:color="auto"/>
            </w:tcBorders>
            <w:shd w:val="clear" w:color="auto" w:fill="auto"/>
            <w:vAlign w:val="bottom"/>
          </w:tcPr>
          <w:p w:rsidR="00B9250E" w:rsidRPr="00B9250E" w:rsidRDefault="00B9250E" w:rsidP="00B9250E">
            <w:pPr>
              <w:pStyle w:val="SingleTxt"/>
              <w:tabs>
                <w:tab w:val="left" w:pos="288"/>
                <w:tab w:val="left" w:pos="576"/>
                <w:tab w:val="left" w:pos="864"/>
                <w:tab w:val="left" w:pos="1152"/>
              </w:tabs>
              <w:suppressAutoHyphens/>
              <w:spacing w:before="40" w:after="40" w:line="210" w:lineRule="exact"/>
              <w:ind w:left="0" w:right="29"/>
              <w:jc w:val="right"/>
              <w:rPr>
                <w:i/>
                <w:sz w:val="14"/>
                <w:szCs w:val="14"/>
                <w:lang w:val="fr-FR"/>
              </w:rPr>
            </w:pPr>
            <w:r w:rsidRPr="00B9250E">
              <w:rPr>
                <w:i/>
                <w:sz w:val="14"/>
                <w:szCs w:val="14"/>
                <w:lang w:val="fr-FR"/>
              </w:rPr>
              <w:t>Secteur 2</w:t>
            </w:r>
          </w:p>
        </w:tc>
        <w:tc>
          <w:tcPr>
            <w:tcW w:w="684" w:type="dxa"/>
            <w:tcBorders>
              <w:top w:val="single" w:sz="4" w:space="0" w:color="auto"/>
              <w:bottom w:val="single" w:sz="12" w:space="0" w:color="auto"/>
            </w:tcBorders>
            <w:shd w:val="clear" w:color="auto" w:fill="auto"/>
            <w:vAlign w:val="bottom"/>
          </w:tcPr>
          <w:p w:rsidR="00B9250E" w:rsidRPr="00B9250E" w:rsidRDefault="00B9250E" w:rsidP="00B9250E">
            <w:pPr>
              <w:pStyle w:val="SingleTxt"/>
              <w:tabs>
                <w:tab w:val="left" w:pos="288"/>
                <w:tab w:val="left" w:pos="576"/>
                <w:tab w:val="left" w:pos="864"/>
                <w:tab w:val="left" w:pos="1152"/>
              </w:tabs>
              <w:suppressAutoHyphens/>
              <w:spacing w:before="40" w:after="40" w:line="210" w:lineRule="exact"/>
              <w:ind w:left="0" w:right="29"/>
              <w:jc w:val="right"/>
              <w:rPr>
                <w:i/>
                <w:sz w:val="14"/>
                <w:szCs w:val="14"/>
                <w:lang w:val="fr-FR"/>
              </w:rPr>
            </w:pPr>
            <w:r w:rsidRPr="00B9250E">
              <w:rPr>
                <w:i/>
                <w:sz w:val="14"/>
                <w:szCs w:val="14"/>
                <w:lang w:val="fr-FR"/>
              </w:rPr>
              <w:t>Secteur 3</w:t>
            </w:r>
          </w:p>
        </w:tc>
        <w:tc>
          <w:tcPr>
            <w:tcW w:w="819" w:type="dxa"/>
            <w:gridSpan w:val="2"/>
            <w:tcBorders>
              <w:bottom w:val="single" w:sz="12" w:space="0" w:color="auto"/>
            </w:tcBorders>
            <w:shd w:val="clear" w:color="auto" w:fill="auto"/>
            <w:vAlign w:val="bottom"/>
          </w:tcPr>
          <w:p w:rsidR="00B9250E" w:rsidRPr="00B9250E" w:rsidRDefault="00B9250E" w:rsidP="00B9250E">
            <w:pPr>
              <w:pStyle w:val="SingleTxt"/>
              <w:tabs>
                <w:tab w:val="left" w:pos="288"/>
                <w:tab w:val="left" w:pos="576"/>
                <w:tab w:val="left" w:pos="864"/>
                <w:tab w:val="left" w:pos="1152"/>
              </w:tabs>
              <w:suppressAutoHyphens/>
              <w:spacing w:before="40" w:after="40" w:line="210" w:lineRule="exact"/>
              <w:ind w:left="0" w:right="29"/>
              <w:jc w:val="right"/>
              <w:rPr>
                <w:i/>
                <w:sz w:val="14"/>
                <w:szCs w:val="14"/>
                <w:lang w:val="fr-FR"/>
              </w:rPr>
            </w:pPr>
            <w:r w:rsidRPr="00B9250E">
              <w:rPr>
                <w:i/>
                <w:sz w:val="14"/>
                <w:szCs w:val="14"/>
                <w:lang w:val="fr-FR"/>
              </w:rPr>
              <w:t>Secteur 1</w:t>
            </w:r>
          </w:p>
        </w:tc>
        <w:tc>
          <w:tcPr>
            <w:tcW w:w="711" w:type="dxa"/>
            <w:tcBorders>
              <w:top w:val="single" w:sz="4" w:space="0" w:color="auto"/>
              <w:bottom w:val="single" w:sz="12" w:space="0" w:color="auto"/>
            </w:tcBorders>
            <w:shd w:val="clear" w:color="auto" w:fill="auto"/>
            <w:vAlign w:val="bottom"/>
          </w:tcPr>
          <w:p w:rsidR="00B9250E" w:rsidRPr="00B9250E" w:rsidRDefault="00B9250E" w:rsidP="00B9250E">
            <w:pPr>
              <w:pStyle w:val="SingleTxt"/>
              <w:tabs>
                <w:tab w:val="left" w:pos="288"/>
                <w:tab w:val="left" w:pos="576"/>
                <w:tab w:val="left" w:pos="864"/>
                <w:tab w:val="left" w:pos="1152"/>
              </w:tabs>
              <w:suppressAutoHyphens/>
              <w:spacing w:before="40" w:after="40" w:line="210" w:lineRule="exact"/>
              <w:ind w:left="0" w:right="29"/>
              <w:jc w:val="right"/>
              <w:rPr>
                <w:i/>
                <w:sz w:val="14"/>
                <w:szCs w:val="14"/>
                <w:lang w:val="fr-FR"/>
              </w:rPr>
            </w:pPr>
            <w:r w:rsidRPr="00B9250E">
              <w:rPr>
                <w:i/>
                <w:sz w:val="14"/>
                <w:szCs w:val="14"/>
                <w:lang w:val="fr-FR"/>
              </w:rPr>
              <w:t>Secteur 2</w:t>
            </w:r>
          </w:p>
        </w:tc>
        <w:tc>
          <w:tcPr>
            <w:tcW w:w="738" w:type="dxa"/>
            <w:tcBorders>
              <w:top w:val="single" w:sz="4" w:space="0" w:color="auto"/>
              <w:bottom w:val="single" w:sz="12" w:space="0" w:color="auto"/>
            </w:tcBorders>
            <w:shd w:val="clear" w:color="auto" w:fill="auto"/>
            <w:vAlign w:val="bottom"/>
          </w:tcPr>
          <w:p w:rsidR="00B9250E" w:rsidRPr="00B9250E" w:rsidRDefault="00B9250E" w:rsidP="00B9250E">
            <w:pPr>
              <w:pStyle w:val="SingleTxt"/>
              <w:tabs>
                <w:tab w:val="left" w:pos="288"/>
                <w:tab w:val="left" w:pos="576"/>
                <w:tab w:val="left" w:pos="864"/>
                <w:tab w:val="left" w:pos="1152"/>
              </w:tabs>
              <w:suppressAutoHyphens/>
              <w:spacing w:before="40" w:after="40" w:line="210" w:lineRule="exact"/>
              <w:ind w:left="0" w:right="29"/>
              <w:jc w:val="right"/>
              <w:rPr>
                <w:i/>
                <w:sz w:val="14"/>
                <w:szCs w:val="14"/>
                <w:lang w:val="fr-FR"/>
              </w:rPr>
            </w:pPr>
            <w:r w:rsidRPr="00B9250E">
              <w:rPr>
                <w:i/>
                <w:sz w:val="14"/>
                <w:szCs w:val="14"/>
                <w:lang w:val="fr-FR"/>
              </w:rPr>
              <w:t>Secteur 3</w:t>
            </w:r>
          </w:p>
        </w:tc>
        <w:tc>
          <w:tcPr>
            <w:tcW w:w="675" w:type="dxa"/>
            <w:gridSpan w:val="2"/>
            <w:tcBorders>
              <w:bottom w:val="single" w:sz="12" w:space="0" w:color="auto"/>
            </w:tcBorders>
            <w:shd w:val="clear" w:color="auto" w:fill="auto"/>
            <w:vAlign w:val="bottom"/>
          </w:tcPr>
          <w:p w:rsidR="00B9250E" w:rsidRPr="00B9250E" w:rsidRDefault="00B9250E" w:rsidP="00B9250E">
            <w:pPr>
              <w:pStyle w:val="SingleTxt"/>
              <w:tabs>
                <w:tab w:val="left" w:pos="288"/>
                <w:tab w:val="left" w:pos="576"/>
                <w:tab w:val="left" w:pos="864"/>
                <w:tab w:val="left" w:pos="1152"/>
              </w:tabs>
              <w:suppressAutoHyphens/>
              <w:spacing w:before="40" w:after="40" w:line="210" w:lineRule="exact"/>
              <w:ind w:left="0" w:right="29"/>
              <w:jc w:val="right"/>
              <w:rPr>
                <w:i/>
                <w:sz w:val="14"/>
                <w:szCs w:val="14"/>
                <w:lang w:val="fr-FR"/>
              </w:rPr>
            </w:pPr>
            <w:r w:rsidRPr="00B9250E">
              <w:rPr>
                <w:i/>
                <w:sz w:val="14"/>
                <w:szCs w:val="14"/>
                <w:lang w:val="fr-FR"/>
              </w:rPr>
              <w:t>Secteur 1</w:t>
            </w:r>
          </w:p>
        </w:tc>
        <w:tc>
          <w:tcPr>
            <w:tcW w:w="765" w:type="dxa"/>
            <w:tcBorders>
              <w:top w:val="single" w:sz="4" w:space="0" w:color="auto"/>
              <w:bottom w:val="single" w:sz="12" w:space="0" w:color="auto"/>
            </w:tcBorders>
            <w:shd w:val="clear" w:color="auto" w:fill="auto"/>
            <w:vAlign w:val="bottom"/>
          </w:tcPr>
          <w:p w:rsidR="00B9250E" w:rsidRPr="00B9250E" w:rsidRDefault="00B9250E" w:rsidP="00B9250E">
            <w:pPr>
              <w:pStyle w:val="SingleTxt"/>
              <w:tabs>
                <w:tab w:val="left" w:pos="288"/>
                <w:tab w:val="left" w:pos="576"/>
                <w:tab w:val="left" w:pos="864"/>
                <w:tab w:val="left" w:pos="1152"/>
              </w:tabs>
              <w:suppressAutoHyphens/>
              <w:spacing w:before="40" w:after="40" w:line="210" w:lineRule="exact"/>
              <w:ind w:left="0" w:right="29"/>
              <w:jc w:val="right"/>
              <w:rPr>
                <w:i/>
                <w:sz w:val="14"/>
                <w:szCs w:val="14"/>
                <w:lang w:val="fr-FR"/>
              </w:rPr>
            </w:pPr>
            <w:r w:rsidRPr="00B9250E">
              <w:rPr>
                <w:i/>
                <w:sz w:val="14"/>
                <w:szCs w:val="14"/>
                <w:lang w:val="fr-FR"/>
              </w:rPr>
              <w:t>Secteur 2</w:t>
            </w:r>
          </w:p>
        </w:tc>
        <w:tc>
          <w:tcPr>
            <w:tcW w:w="665" w:type="dxa"/>
            <w:tcBorders>
              <w:top w:val="single" w:sz="4" w:space="0" w:color="auto"/>
              <w:bottom w:val="single" w:sz="12" w:space="0" w:color="auto"/>
            </w:tcBorders>
            <w:shd w:val="clear" w:color="auto" w:fill="auto"/>
            <w:vAlign w:val="bottom"/>
          </w:tcPr>
          <w:p w:rsidR="00B9250E" w:rsidRPr="00B9250E" w:rsidRDefault="00B9250E" w:rsidP="00B9250E">
            <w:pPr>
              <w:pStyle w:val="SingleTxt"/>
              <w:tabs>
                <w:tab w:val="left" w:pos="288"/>
                <w:tab w:val="left" w:pos="576"/>
                <w:tab w:val="left" w:pos="864"/>
                <w:tab w:val="left" w:pos="1152"/>
              </w:tabs>
              <w:suppressAutoHyphens/>
              <w:spacing w:before="40" w:after="40" w:line="210" w:lineRule="exact"/>
              <w:ind w:left="0" w:right="29"/>
              <w:jc w:val="right"/>
              <w:rPr>
                <w:i/>
                <w:sz w:val="14"/>
                <w:szCs w:val="14"/>
                <w:lang w:val="fr-FR"/>
              </w:rPr>
            </w:pPr>
            <w:r w:rsidRPr="00B9250E">
              <w:rPr>
                <w:i/>
                <w:sz w:val="14"/>
                <w:szCs w:val="14"/>
                <w:lang w:val="fr-FR"/>
              </w:rPr>
              <w:t>Secteur 3</w:t>
            </w:r>
          </w:p>
        </w:tc>
      </w:tr>
      <w:tr w:rsidR="00B9250E" w:rsidRPr="00B9250E" w:rsidTr="00991EDD">
        <w:trPr>
          <w:trHeight w:hRule="exact" w:val="115"/>
        </w:trPr>
        <w:tc>
          <w:tcPr>
            <w:tcW w:w="810" w:type="dxa"/>
            <w:shd w:val="clear" w:color="auto" w:fill="auto"/>
            <w:vAlign w:val="bottom"/>
          </w:tcPr>
          <w:p w:rsidR="00B9250E" w:rsidRPr="00B9250E" w:rsidRDefault="00B9250E" w:rsidP="00B9250E">
            <w:pPr>
              <w:pStyle w:val="SingleTxt"/>
              <w:tabs>
                <w:tab w:val="left" w:pos="288"/>
                <w:tab w:val="left" w:pos="576"/>
                <w:tab w:val="left" w:pos="864"/>
                <w:tab w:val="left" w:pos="1152"/>
              </w:tabs>
              <w:suppressAutoHyphens/>
              <w:spacing w:before="40" w:after="40" w:line="210" w:lineRule="exact"/>
              <w:ind w:left="0" w:right="29"/>
              <w:rPr>
                <w:b/>
                <w:sz w:val="17"/>
                <w:lang w:val="fr-FR"/>
              </w:rPr>
            </w:pPr>
          </w:p>
        </w:tc>
        <w:tc>
          <w:tcPr>
            <w:tcW w:w="711" w:type="dxa"/>
            <w:tcBorders>
              <w:top w:val="single" w:sz="12" w:space="0" w:color="auto"/>
            </w:tcBorders>
            <w:shd w:val="clear" w:color="auto" w:fill="auto"/>
            <w:vAlign w:val="bottom"/>
          </w:tcPr>
          <w:p w:rsidR="00B9250E" w:rsidRPr="00B9250E" w:rsidRDefault="00B9250E" w:rsidP="00B9250E">
            <w:pPr>
              <w:pStyle w:val="SingleTxt"/>
              <w:tabs>
                <w:tab w:val="left" w:pos="288"/>
                <w:tab w:val="left" w:pos="576"/>
                <w:tab w:val="left" w:pos="864"/>
                <w:tab w:val="left" w:pos="1152"/>
              </w:tabs>
              <w:suppressAutoHyphens/>
              <w:spacing w:before="40" w:after="40" w:line="210" w:lineRule="exact"/>
              <w:ind w:left="0" w:right="29"/>
              <w:jc w:val="right"/>
              <w:rPr>
                <w:sz w:val="17"/>
                <w:lang w:val="fr-FR"/>
              </w:rPr>
            </w:pPr>
          </w:p>
        </w:tc>
        <w:tc>
          <w:tcPr>
            <w:tcW w:w="729" w:type="dxa"/>
            <w:tcBorders>
              <w:top w:val="single" w:sz="12" w:space="0" w:color="auto"/>
            </w:tcBorders>
            <w:shd w:val="clear" w:color="auto" w:fill="auto"/>
            <w:vAlign w:val="bottom"/>
          </w:tcPr>
          <w:p w:rsidR="00B9250E" w:rsidRPr="00B9250E" w:rsidRDefault="00B9250E" w:rsidP="00B9250E">
            <w:pPr>
              <w:pStyle w:val="SingleTxt"/>
              <w:tabs>
                <w:tab w:val="left" w:pos="288"/>
                <w:tab w:val="left" w:pos="576"/>
                <w:tab w:val="left" w:pos="864"/>
                <w:tab w:val="left" w:pos="1152"/>
              </w:tabs>
              <w:suppressAutoHyphens/>
              <w:spacing w:before="40" w:after="40" w:line="210" w:lineRule="exact"/>
              <w:ind w:left="0" w:right="29"/>
              <w:jc w:val="right"/>
              <w:rPr>
                <w:sz w:val="17"/>
                <w:lang w:val="fr-FR"/>
              </w:rPr>
            </w:pPr>
          </w:p>
        </w:tc>
        <w:tc>
          <w:tcPr>
            <w:tcW w:w="684" w:type="dxa"/>
            <w:tcBorders>
              <w:top w:val="single" w:sz="12" w:space="0" w:color="auto"/>
            </w:tcBorders>
            <w:shd w:val="clear" w:color="auto" w:fill="auto"/>
            <w:vAlign w:val="bottom"/>
          </w:tcPr>
          <w:p w:rsidR="00B9250E" w:rsidRPr="00B9250E" w:rsidRDefault="00B9250E" w:rsidP="00B9250E">
            <w:pPr>
              <w:pStyle w:val="SingleTxt"/>
              <w:tabs>
                <w:tab w:val="left" w:pos="288"/>
                <w:tab w:val="left" w:pos="576"/>
                <w:tab w:val="left" w:pos="864"/>
                <w:tab w:val="left" w:pos="1152"/>
              </w:tabs>
              <w:suppressAutoHyphens/>
              <w:spacing w:before="40" w:after="40" w:line="210" w:lineRule="exact"/>
              <w:ind w:left="0" w:right="29"/>
              <w:jc w:val="right"/>
              <w:rPr>
                <w:sz w:val="17"/>
                <w:lang w:val="fr-FR"/>
              </w:rPr>
            </w:pPr>
          </w:p>
        </w:tc>
        <w:tc>
          <w:tcPr>
            <w:tcW w:w="819" w:type="dxa"/>
            <w:gridSpan w:val="2"/>
            <w:tcBorders>
              <w:top w:val="single" w:sz="12" w:space="0" w:color="auto"/>
            </w:tcBorders>
            <w:shd w:val="clear" w:color="auto" w:fill="auto"/>
            <w:vAlign w:val="bottom"/>
          </w:tcPr>
          <w:p w:rsidR="00B9250E" w:rsidRPr="00B9250E" w:rsidRDefault="00B9250E" w:rsidP="00B9250E">
            <w:pPr>
              <w:pStyle w:val="SingleTxt"/>
              <w:tabs>
                <w:tab w:val="left" w:pos="288"/>
                <w:tab w:val="left" w:pos="576"/>
                <w:tab w:val="left" w:pos="864"/>
                <w:tab w:val="left" w:pos="1152"/>
              </w:tabs>
              <w:suppressAutoHyphens/>
              <w:spacing w:before="40" w:after="40" w:line="210" w:lineRule="exact"/>
              <w:ind w:left="0" w:right="29"/>
              <w:jc w:val="right"/>
              <w:rPr>
                <w:sz w:val="17"/>
                <w:lang w:val="fr-FR"/>
              </w:rPr>
            </w:pPr>
          </w:p>
        </w:tc>
        <w:tc>
          <w:tcPr>
            <w:tcW w:w="711" w:type="dxa"/>
            <w:tcBorders>
              <w:top w:val="single" w:sz="12" w:space="0" w:color="auto"/>
            </w:tcBorders>
            <w:shd w:val="clear" w:color="auto" w:fill="auto"/>
            <w:vAlign w:val="bottom"/>
          </w:tcPr>
          <w:p w:rsidR="00B9250E" w:rsidRPr="00B9250E" w:rsidRDefault="00B9250E" w:rsidP="00B9250E">
            <w:pPr>
              <w:pStyle w:val="SingleTxt"/>
              <w:tabs>
                <w:tab w:val="left" w:pos="288"/>
                <w:tab w:val="left" w:pos="576"/>
                <w:tab w:val="left" w:pos="864"/>
                <w:tab w:val="left" w:pos="1152"/>
              </w:tabs>
              <w:suppressAutoHyphens/>
              <w:spacing w:before="40" w:after="40" w:line="210" w:lineRule="exact"/>
              <w:ind w:left="0" w:right="29"/>
              <w:jc w:val="right"/>
              <w:rPr>
                <w:sz w:val="17"/>
                <w:lang w:val="fr-FR"/>
              </w:rPr>
            </w:pPr>
          </w:p>
        </w:tc>
        <w:tc>
          <w:tcPr>
            <w:tcW w:w="738" w:type="dxa"/>
            <w:tcBorders>
              <w:top w:val="single" w:sz="12" w:space="0" w:color="auto"/>
            </w:tcBorders>
            <w:shd w:val="clear" w:color="auto" w:fill="auto"/>
            <w:vAlign w:val="bottom"/>
          </w:tcPr>
          <w:p w:rsidR="00B9250E" w:rsidRPr="00B9250E" w:rsidRDefault="00B9250E" w:rsidP="00B9250E">
            <w:pPr>
              <w:pStyle w:val="SingleTxt"/>
              <w:tabs>
                <w:tab w:val="left" w:pos="288"/>
                <w:tab w:val="left" w:pos="576"/>
                <w:tab w:val="left" w:pos="864"/>
                <w:tab w:val="left" w:pos="1152"/>
              </w:tabs>
              <w:suppressAutoHyphens/>
              <w:spacing w:before="40" w:after="40" w:line="210" w:lineRule="exact"/>
              <w:ind w:left="0" w:right="29"/>
              <w:jc w:val="right"/>
              <w:rPr>
                <w:sz w:val="17"/>
                <w:lang w:val="fr-FR"/>
              </w:rPr>
            </w:pPr>
          </w:p>
        </w:tc>
        <w:tc>
          <w:tcPr>
            <w:tcW w:w="675" w:type="dxa"/>
            <w:gridSpan w:val="2"/>
            <w:tcBorders>
              <w:top w:val="single" w:sz="12" w:space="0" w:color="auto"/>
            </w:tcBorders>
            <w:shd w:val="clear" w:color="auto" w:fill="auto"/>
            <w:vAlign w:val="bottom"/>
          </w:tcPr>
          <w:p w:rsidR="00B9250E" w:rsidRPr="00B9250E" w:rsidRDefault="00B9250E" w:rsidP="00B9250E">
            <w:pPr>
              <w:pStyle w:val="SingleTxt"/>
              <w:tabs>
                <w:tab w:val="left" w:pos="288"/>
                <w:tab w:val="left" w:pos="576"/>
                <w:tab w:val="left" w:pos="864"/>
                <w:tab w:val="left" w:pos="1152"/>
              </w:tabs>
              <w:suppressAutoHyphens/>
              <w:spacing w:before="40" w:after="40" w:line="210" w:lineRule="exact"/>
              <w:ind w:left="0" w:right="29"/>
              <w:jc w:val="right"/>
              <w:rPr>
                <w:sz w:val="17"/>
                <w:lang w:val="fr-FR"/>
              </w:rPr>
            </w:pPr>
          </w:p>
        </w:tc>
        <w:tc>
          <w:tcPr>
            <w:tcW w:w="765" w:type="dxa"/>
            <w:tcBorders>
              <w:top w:val="single" w:sz="12" w:space="0" w:color="auto"/>
            </w:tcBorders>
            <w:shd w:val="clear" w:color="auto" w:fill="auto"/>
            <w:vAlign w:val="bottom"/>
          </w:tcPr>
          <w:p w:rsidR="00B9250E" w:rsidRPr="00B9250E" w:rsidRDefault="00B9250E" w:rsidP="00B9250E">
            <w:pPr>
              <w:pStyle w:val="SingleTxt"/>
              <w:tabs>
                <w:tab w:val="left" w:pos="288"/>
                <w:tab w:val="left" w:pos="576"/>
                <w:tab w:val="left" w:pos="864"/>
                <w:tab w:val="left" w:pos="1152"/>
              </w:tabs>
              <w:suppressAutoHyphens/>
              <w:spacing w:before="40" w:after="40" w:line="210" w:lineRule="exact"/>
              <w:ind w:left="0" w:right="29"/>
              <w:jc w:val="right"/>
              <w:rPr>
                <w:sz w:val="17"/>
                <w:lang w:val="fr-FR"/>
              </w:rPr>
            </w:pPr>
          </w:p>
        </w:tc>
        <w:tc>
          <w:tcPr>
            <w:tcW w:w="665" w:type="dxa"/>
            <w:tcBorders>
              <w:top w:val="single" w:sz="12" w:space="0" w:color="auto"/>
            </w:tcBorders>
            <w:shd w:val="clear" w:color="auto" w:fill="auto"/>
            <w:vAlign w:val="bottom"/>
          </w:tcPr>
          <w:p w:rsidR="00B9250E" w:rsidRPr="00B9250E" w:rsidRDefault="00B9250E" w:rsidP="00B9250E">
            <w:pPr>
              <w:pStyle w:val="SingleTxt"/>
              <w:tabs>
                <w:tab w:val="left" w:pos="288"/>
                <w:tab w:val="left" w:pos="576"/>
                <w:tab w:val="left" w:pos="864"/>
                <w:tab w:val="left" w:pos="1152"/>
              </w:tabs>
              <w:suppressAutoHyphens/>
              <w:spacing w:before="40" w:after="40" w:line="210" w:lineRule="exact"/>
              <w:ind w:left="0" w:right="29"/>
              <w:jc w:val="right"/>
              <w:rPr>
                <w:sz w:val="17"/>
                <w:lang w:val="fr-FR"/>
              </w:rPr>
            </w:pPr>
          </w:p>
        </w:tc>
      </w:tr>
      <w:tr w:rsidR="00B9250E" w:rsidRPr="00B9250E" w:rsidTr="00991EDD">
        <w:trPr>
          <w:trHeight w:val="300"/>
        </w:trPr>
        <w:tc>
          <w:tcPr>
            <w:tcW w:w="810" w:type="dxa"/>
            <w:shd w:val="clear" w:color="auto" w:fill="auto"/>
            <w:vAlign w:val="bottom"/>
          </w:tcPr>
          <w:p w:rsidR="00B9250E" w:rsidRPr="00991EDD" w:rsidRDefault="00B9250E" w:rsidP="00991EDD">
            <w:pPr>
              <w:pStyle w:val="SingleTxt"/>
              <w:tabs>
                <w:tab w:val="left" w:pos="288"/>
                <w:tab w:val="left" w:pos="576"/>
                <w:tab w:val="left" w:pos="864"/>
                <w:tab w:val="left" w:pos="1152"/>
              </w:tabs>
              <w:suppressAutoHyphens/>
              <w:spacing w:before="40" w:after="40" w:line="210" w:lineRule="exact"/>
              <w:ind w:left="0" w:right="0"/>
              <w:jc w:val="left"/>
              <w:rPr>
                <w:b/>
                <w:sz w:val="16"/>
                <w:szCs w:val="16"/>
                <w:lang w:val="fr-FR"/>
              </w:rPr>
            </w:pPr>
            <w:r w:rsidRPr="00991EDD">
              <w:rPr>
                <w:b/>
                <w:sz w:val="16"/>
                <w:szCs w:val="16"/>
                <w:lang w:val="fr-FR"/>
              </w:rPr>
              <w:t>Femmes</w:t>
            </w:r>
          </w:p>
        </w:tc>
        <w:tc>
          <w:tcPr>
            <w:tcW w:w="711" w:type="dxa"/>
            <w:shd w:val="clear" w:color="auto" w:fill="auto"/>
            <w:vAlign w:val="bottom"/>
          </w:tcPr>
          <w:p w:rsidR="00B9250E" w:rsidRPr="00991EDD" w:rsidRDefault="00B9250E" w:rsidP="00991EDD">
            <w:pPr>
              <w:pStyle w:val="SingleTxt"/>
              <w:tabs>
                <w:tab w:val="left" w:pos="288"/>
                <w:tab w:val="left" w:pos="576"/>
                <w:tab w:val="left" w:pos="864"/>
                <w:tab w:val="left" w:pos="1152"/>
              </w:tabs>
              <w:suppressAutoHyphens/>
              <w:spacing w:before="40" w:after="40" w:line="210" w:lineRule="exact"/>
              <w:ind w:left="0" w:right="0"/>
              <w:jc w:val="right"/>
              <w:rPr>
                <w:sz w:val="16"/>
                <w:szCs w:val="16"/>
                <w:lang w:val="fr-FR"/>
              </w:rPr>
            </w:pPr>
            <w:r w:rsidRPr="00991EDD">
              <w:rPr>
                <w:sz w:val="16"/>
                <w:szCs w:val="16"/>
                <w:lang w:val="fr-FR"/>
              </w:rPr>
              <w:t>58</w:t>
            </w:r>
          </w:p>
        </w:tc>
        <w:tc>
          <w:tcPr>
            <w:tcW w:w="729" w:type="dxa"/>
            <w:shd w:val="clear" w:color="auto" w:fill="auto"/>
            <w:vAlign w:val="bottom"/>
          </w:tcPr>
          <w:p w:rsidR="00B9250E" w:rsidRPr="00991EDD" w:rsidRDefault="00B9250E" w:rsidP="00991EDD">
            <w:pPr>
              <w:pStyle w:val="SingleTxt"/>
              <w:tabs>
                <w:tab w:val="left" w:pos="288"/>
                <w:tab w:val="left" w:pos="576"/>
                <w:tab w:val="left" w:pos="864"/>
                <w:tab w:val="left" w:pos="1152"/>
              </w:tabs>
              <w:suppressAutoHyphens/>
              <w:spacing w:before="40" w:after="40" w:line="210" w:lineRule="exact"/>
              <w:ind w:left="0" w:right="0"/>
              <w:jc w:val="right"/>
              <w:rPr>
                <w:sz w:val="16"/>
                <w:szCs w:val="16"/>
                <w:lang w:val="fr-FR"/>
              </w:rPr>
            </w:pPr>
            <w:r w:rsidRPr="00991EDD">
              <w:rPr>
                <w:sz w:val="16"/>
                <w:szCs w:val="16"/>
                <w:lang w:val="fr-FR"/>
              </w:rPr>
              <w:t>2 757</w:t>
            </w:r>
          </w:p>
        </w:tc>
        <w:tc>
          <w:tcPr>
            <w:tcW w:w="684" w:type="dxa"/>
            <w:shd w:val="clear" w:color="auto" w:fill="auto"/>
            <w:vAlign w:val="bottom"/>
          </w:tcPr>
          <w:p w:rsidR="00B9250E" w:rsidRPr="00991EDD" w:rsidRDefault="00B9250E" w:rsidP="00991EDD">
            <w:pPr>
              <w:pStyle w:val="SingleTxt"/>
              <w:tabs>
                <w:tab w:val="left" w:pos="288"/>
                <w:tab w:val="left" w:pos="576"/>
                <w:tab w:val="left" w:pos="864"/>
                <w:tab w:val="left" w:pos="1152"/>
              </w:tabs>
              <w:suppressAutoHyphens/>
              <w:spacing w:before="40" w:after="40" w:line="210" w:lineRule="exact"/>
              <w:ind w:left="0" w:right="0"/>
              <w:jc w:val="right"/>
              <w:rPr>
                <w:sz w:val="16"/>
                <w:szCs w:val="16"/>
                <w:lang w:val="fr-FR"/>
              </w:rPr>
            </w:pPr>
            <w:r w:rsidRPr="00991EDD">
              <w:rPr>
                <w:sz w:val="16"/>
                <w:szCs w:val="16"/>
                <w:lang w:val="fr-FR"/>
              </w:rPr>
              <w:t>4 798</w:t>
            </w:r>
          </w:p>
        </w:tc>
        <w:tc>
          <w:tcPr>
            <w:tcW w:w="819" w:type="dxa"/>
            <w:gridSpan w:val="2"/>
            <w:shd w:val="clear" w:color="auto" w:fill="auto"/>
            <w:vAlign w:val="bottom"/>
          </w:tcPr>
          <w:p w:rsidR="00B9250E" w:rsidRPr="00991EDD" w:rsidRDefault="00B9250E" w:rsidP="00991EDD">
            <w:pPr>
              <w:pStyle w:val="SingleTxt"/>
              <w:tabs>
                <w:tab w:val="left" w:pos="288"/>
                <w:tab w:val="left" w:pos="576"/>
                <w:tab w:val="left" w:pos="864"/>
                <w:tab w:val="left" w:pos="1152"/>
              </w:tabs>
              <w:suppressAutoHyphens/>
              <w:spacing w:before="40" w:after="40" w:line="210" w:lineRule="exact"/>
              <w:ind w:left="0" w:right="0"/>
              <w:jc w:val="right"/>
              <w:rPr>
                <w:sz w:val="16"/>
                <w:szCs w:val="16"/>
                <w:lang w:val="fr-FR"/>
              </w:rPr>
            </w:pPr>
            <w:r w:rsidRPr="00991EDD">
              <w:rPr>
                <w:sz w:val="16"/>
                <w:szCs w:val="16"/>
                <w:lang w:val="fr-FR"/>
              </w:rPr>
              <w:t>16</w:t>
            </w:r>
          </w:p>
        </w:tc>
        <w:tc>
          <w:tcPr>
            <w:tcW w:w="711" w:type="dxa"/>
            <w:shd w:val="clear" w:color="auto" w:fill="auto"/>
            <w:vAlign w:val="bottom"/>
          </w:tcPr>
          <w:p w:rsidR="00B9250E" w:rsidRPr="00991EDD" w:rsidRDefault="00B9250E" w:rsidP="00991EDD">
            <w:pPr>
              <w:pStyle w:val="SingleTxt"/>
              <w:tabs>
                <w:tab w:val="left" w:pos="288"/>
                <w:tab w:val="left" w:pos="576"/>
                <w:tab w:val="left" w:pos="864"/>
                <w:tab w:val="left" w:pos="1152"/>
              </w:tabs>
              <w:suppressAutoHyphens/>
              <w:spacing w:before="40" w:after="40" w:line="210" w:lineRule="exact"/>
              <w:ind w:left="0" w:right="0"/>
              <w:jc w:val="right"/>
              <w:rPr>
                <w:sz w:val="16"/>
                <w:szCs w:val="16"/>
                <w:lang w:val="fr-FR"/>
              </w:rPr>
            </w:pPr>
            <w:r w:rsidRPr="00991EDD">
              <w:rPr>
                <w:sz w:val="16"/>
                <w:szCs w:val="16"/>
                <w:lang w:val="fr-FR"/>
              </w:rPr>
              <w:t>633</w:t>
            </w:r>
          </w:p>
        </w:tc>
        <w:tc>
          <w:tcPr>
            <w:tcW w:w="738" w:type="dxa"/>
            <w:shd w:val="clear" w:color="auto" w:fill="auto"/>
            <w:vAlign w:val="bottom"/>
          </w:tcPr>
          <w:p w:rsidR="00B9250E" w:rsidRPr="00991EDD" w:rsidRDefault="00B9250E" w:rsidP="00991EDD">
            <w:pPr>
              <w:pStyle w:val="SingleTxt"/>
              <w:tabs>
                <w:tab w:val="left" w:pos="288"/>
                <w:tab w:val="left" w:pos="576"/>
                <w:tab w:val="left" w:pos="864"/>
                <w:tab w:val="left" w:pos="1152"/>
              </w:tabs>
              <w:suppressAutoHyphens/>
              <w:spacing w:before="40" w:after="40" w:line="210" w:lineRule="exact"/>
              <w:ind w:left="0" w:right="0"/>
              <w:jc w:val="right"/>
              <w:rPr>
                <w:sz w:val="16"/>
                <w:szCs w:val="16"/>
                <w:lang w:val="fr-FR"/>
              </w:rPr>
            </w:pPr>
            <w:r w:rsidRPr="00991EDD">
              <w:rPr>
                <w:sz w:val="16"/>
                <w:szCs w:val="16"/>
                <w:lang w:val="fr-FR"/>
              </w:rPr>
              <w:t>2 563</w:t>
            </w:r>
          </w:p>
        </w:tc>
        <w:tc>
          <w:tcPr>
            <w:tcW w:w="675" w:type="dxa"/>
            <w:gridSpan w:val="2"/>
            <w:shd w:val="clear" w:color="auto" w:fill="auto"/>
            <w:vAlign w:val="bottom"/>
          </w:tcPr>
          <w:p w:rsidR="00B9250E" w:rsidRPr="00991EDD" w:rsidRDefault="00B9250E" w:rsidP="00991EDD">
            <w:pPr>
              <w:pStyle w:val="SingleTxt"/>
              <w:tabs>
                <w:tab w:val="left" w:pos="288"/>
                <w:tab w:val="left" w:pos="576"/>
                <w:tab w:val="left" w:pos="864"/>
                <w:tab w:val="left" w:pos="1152"/>
              </w:tabs>
              <w:suppressAutoHyphens/>
              <w:spacing w:before="40" w:after="40" w:line="210" w:lineRule="exact"/>
              <w:ind w:left="0" w:right="0"/>
              <w:jc w:val="right"/>
              <w:rPr>
                <w:sz w:val="16"/>
                <w:szCs w:val="16"/>
                <w:lang w:val="fr-FR"/>
              </w:rPr>
            </w:pPr>
            <w:r w:rsidRPr="00991EDD">
              <w:rPr>
                <w:sz w:val="16"/>
                <w:szCs w:val="16"/>
                <w:lang w:val="fr-FR"/>
              </w:rPr>
              <w:t>18</w:t>
            </w:r>
          </w:p>
        </w:tc>
        <w:tc>
          <w:tcPr>
            <w:tcW w:w="765" w:type="dxa"/>
            <w:shd w:val="clear" w:color="auto" w:fill="auto"/>
            <w:vAlign w:val="bottom"/>
          </w:tcPr>
          <w:p w:rsidR="00B9250E" w:rsidRPr="00991EDD" w:rsidRDefault="00B9250E" w:rsidP="00991EDD">
            <w:pPr>
              <w:pStyle w:val="SingleTxt"/>
              <w:tabs>
                <w:tab w:val="left" w:pos="288"/>
                <w:tab w:val="left" w:pos="576"/>
                <w:tab w:val="left" w:pos="864"/>
                <w:tab w:val="left" w:pos="1152"/>
              </w:tabs>
              <w:suppressAutoHyphens/>
              <w:spacing w:before="40" w:after="40" w:line="210" w:lineRule="exact"/>
              <w:ind w:left="0" w:right="0"/>
              <w:jc w:val="right"/>
              <w:rPr>
                <w:sz w:val="16"/>
                <w:szCs w:val="16"/>
                <w:lang w:val="fr-FR"/>
              </w:rPr>
            </w:pPr>
            <w:r w:rsidRPr="00991EDD">
              <w:rPr>
                <w:sz w:val="16"/>
                <w:szCs w:val="16"/>
                <w:lang w:val="fr-FR"/>
              </w:rPr>
              <w:t>244</w:t>
            </w:r>
          </w:p>
        </w:tc>
        <w:tc>
          <w:tcPr>
            <w:tcW w:w="665" w:type="dxa"/>
            <w:shd w:val="clear" w:color="auto" w:fill="auto"/>
            <w:vAlign w:val="bottom"/>
          </w:tcPr>
          <w:p w:rsidR="00B9250E" w:rsidRPr="00991EDD" w:rsidRDefault="00B9250E" w:rsidP="00991EDD">
            <w:pPr>
              <w:pStyle w:val="SingleTxt"/>
              <w:tabs>
                <w:tab w:val="left" w:pos="288"/>
                <w:tab w:val="left" w:pos="576"/>
                <w:tab w:val="left" w:pos="864"/>
                <w:tab w:val="left" w:pos="1152"/>
              </w:tabs>
              <w:suppressAutoHyphens/>
              <w:spacing w:before="40" w:after="40" w:line="210" w:lineRule="exact"/>
              <w:ind w:left="0" w:right="0"/>
              <w:jc w:val="right"/>
              <w:rPr>
                <w:sz w:val="16"/>
                <w:szCs w:val="16"/>
                <w:lang w:val="fr-FR"/>
              </w:rPr>
            </w:pPr>
            <w:r w:rsidRPr="00991EDD">
              <w:rPr>
                <w:sz w:val="16"/>
                <w:szCs w:val="16"/>
                <w:lang w:val="fr-FR"/>
              </w:rPr>
              <w:t xml:space="preserve"> 1651</w:t>
            </w:r>
          </w:p>
        </w:tc>
      </w:tr>
      <w:tr w:rsidR="00B9250E" w:rsidRPr="00B9250E" w:rsidTr="00991EDD">
        <w:trPr>
          <w:trHeight w:val="315"/>
        </w:trPr>
        <w:tc>
          <w:tcPr>
            <w:tcW w:w="810" w:type="dxa"/>
            <w:tcBorders>
              <w:bottom w:val="single" w:sz="12" w:space="0" w:color="auto"/>
            </w:tcBorders>
            <w:shd w:val="clear" w:color="auto" w:fill="auto"/>
            <w:vAlign w:val="bottom"/>
          </w:tcPr>
          <w:p w:rsidR="00B9250E" w:rsidRPr="00991EDD" w:rsidRDefault="00B9250E" w:rsidP="00991EDD">
            <w:pPr>
              <w:pStyle w:val="SingleTxt"/>
              <w:tabs>
                <w:tab w:val="left" w:pos="288"/>
                <w:tab w:val="left" w:pos="576"/>
                <w:tab w:val="left" w:pos="864"/>
                <w:tab w:val="left" w:pos="1152"/>
              </w:tabs>
              <w:suppressAutoHyphens/>
              <w:spacing w:before="40" w:after="40" w:line="210" w:lineRule="exact"/>
              <w:ind w:left="0" w:right="0"/>
              <w:jc w:val="left"/>
              <w:rPr>
                <w:b/>
                <w:sz w:val="16"/>
                <w:szCs w:val="16"/>
                <w:lang w:val="fr-FR"/>
              </w:rPr>
            </w:pPr>
            <w:r w:rsidRPr="00991EDD">
              <w:rPr>
                <w:b/>
                <w:sz w:val="16"/>
                <w:szCs w:val="16"/>
                <w:lang w:val="fr-FR"/>
              </w:rPr>
              <w:t>Hommes</w:t>
            </w:r>
          </w:p>
        </w:tc>
        <w:tc>
          <w:tcPr>
            <w:tcW w:w="711" w:type="dxa"/>
            <w:tcBorders>
              <w:bottom w:val="single" w:sz="12" w:space="0" w:color="auto"/>
            </w:tcBorders>
            <w:shd w:val="clear" w:color="auto" w:fill="auto"/>
            <w:vAlign w:val="bottom"/>
          </w:tcPr>
          <w:p w:rsidR="00B9250E" w:rsidRPr="00991EDD" w:rsidRDefault="00B9250E" w:rsidP="00991EDD">
            <w:pPr>
              <w:pStyle w:val="SingleTxt"/>
              <w:tabs>
                <w:tab w:val="left" w:pos="288"/>
                <w:tab w:val="left" w:pos="576"/>
                <w:tab w:val="left" w:pos="864"/>
                <w:tab w:val="left" w:pos="1152"/>
              </w:tabs>
              <w:suppressAutoHyphens/>
              <w:spacing w:before="40" w:after="40" w:line="210" w:lineRule="exact"/>
              <w:ind w:left="0" w:right="0"/>
              <w:jc w:val="right"/>
              <w:rPr>
                <w:sz w:val="16"/>
                <w:szCs w:val="16"/>
                <w:lang w:val="fr-FR"/>
              </w:rPr>
            </w:pPr>
            <w:r w:rsidRPr="00991EDD">
              <w:rPr>
                <w:sz w:val="16"/>
                <w:szCs w:val="16"/>
                <w:lang w:val="fr-FR"/>
              </w:rPr>
              <w:t>264</w:t>
            </w:r>
          </w:p>
        </w:tc>
        <w:tc>
          <w:tcPr>
            <w:tcW w:w="729" w:type="dxa"/>
            <w:tcBorders>
              <w:bottom w:val="single" w:sz="12" w:space="0" w:color="auto"/>
            </w:tcBorders>
            <w:shd w:val="clear" w:color="auto" w:fill="auto"/>
            <w:vAlign w:val="bottom"/>
          </w:tcPr>
          <w:p w:rsidR="00B9250E" w:rsidRPr="00991EDD" w:rsidRDefault="00B9250E" w:rsidP="00991EDD">
            <w:pPr>
              <w:pStyle w:val="SingleTxt"/>
              <w:tabs>
                <w:tab w:val="left" w:pos="288"/>
                <w:tab w:val="left" w:pos="576"/>
                <w:tab w:val="left" w:pos="864"/>
                <w:tab w:val="left" w:pos="1152"/>
              </w:tabs>
              <w:suppressAutoHyphens/>
              <w:spacing w:before="40" w:after="40" w:line="210" w:lineRule="exact"/>
              <w:ind w:left="0" w:right="0"/>
              <w:jc w:val="right"/>
              <w:rPr>
                <w:sz w:val="16"/>
                <w:szCs w:val="16"/>
                <w:lang w:val="fr-FR"/>
              </w:rPr>
            </w:pPr>
            <w:r w:rsidRPr="00991EDD">
              <w:rPr>
                <w:sz w:val="16"/>
                <w:szCs w:val="16"/>
                <w:lang w:val="fr-FR"/>
              </w:rPr>
              <w:t>10 191</w:t>
            </w:r>
          </w:p>
        </w:tc>
        <w:tc>
          <w:tcPr>
            <w:tcW w:w="684" w:type="dxa"/>
            <w:tcBorders>
              <w:bottom w:val="single" w:sz="12" w:space="0" w:color="auto"/>
            </w:tcBorders>
            <w:shd w:val="clear" w:color="auto" w:fill="auto"/>
            <w:vAlign w:val="bottom"/>
          </w:tcPr>
          <w:p w:rsidR="00B9250E" w:rsidRPr="00991EDD" w:rsidRDefault="00B9250E" w:rsidP="00991EDD">
            <w:pPr>
              <w:pStyle w:val="SingleTxt"/>
              <w:tabs>
                <w:tab w:val="left" w:pos="288"/>
                <w:tab w:val="left" w:pos="576"/>
                <w:tab w:val="left" w:pos="864"/>
                <w:tab w:val="left" w:pos="1152"/>
              </w:tabs>
              <w:suppressAutoHyphens/>
              <w:spacing w:before="40" w:after="40" w:line="210" w:lineRule="exact"/>
              <w:ind w:left="0" w:right="0"/>
              <w:jc w:val="right"/>
              <w:rPr>
                <w:sz w:val="16"/>
                <w:szCs w:val="16"/>
                <w:lang w:val="fr-FR"/>
              </w:rPr>
            </w:pPr>
            <w:r w:rsidRPr="00991EDD">
              <w:rPr>
                <w:sz w:val="16"/>
                <w:szCs w:val="16"/>
                <w:lang w:val="fr-FR"/>
              </w:rPr>
              <w:t>7 816</w:t>
            </w:r>
          </w:p>
        </w:tc>
        <w:tc>
          <w:tcPr>
            <w:tcW w:w="819" w:type="dxa"/>
            <w:gridSpan w:val="2"/>
            <w:tcBorders>
              <w:bottom w:val="single" w:sz="12" w:space="0" w:color="auto"/>
            </w:tcBorders>
            <w:shd w:val="clear" w:color="auto" w:fill="auto"/>
            <w:vAlign w:val="bottom"/>
          </w:tcPr>
          <w:p w:rsidR="00B9250E" w:rsidRPr="00991EDD" w:rsidRDefault="00B9250E" w:rsidP="00991EDD">
            <w:pPr>
              <w:pStyle w:val="SingleTxt"/>
              <w:tabs>
                <w:tab w:val="left" w:pos="288"/>
                <w:tab w:val="left" w:pos="576"/>
                <w:tab w:val="left" w:pos="864"/>
                <w:tab w:val="left" w:pos="1152"/>
              </w:tabs>
              <w:suppressAutoHyphens/>
              <w:spacing w:before="40" w:after="40" w:line="210" w:lineRule="exact"/>
              <w:ind w:left="0" w:right="0"/>
              <w:jc w:val="right"/>
              <w:rPr>
                <w:sz w:val="16"/>
                <w:szCs w:val="16"/>
                <w:lang w:val="fr-FR"/>
              </w:rPr>
            </w:pPr>
            <w:r w:rsidRPr="00991EDD">
              <w:rPr>
                <w:sz w:val="16"/>
                <w:szCs w:val="16"/>
                <w:lang w:val="fr-FR"/>
              </w:rPr>
              <w:t>8</w:t>
            </w:r>
          </w:p>
        </w:tc>
        <w:tc>
          <w:tcPr>
            <w:tcW w:w="711" w:type="dxa"/>
            <w:tcBorders>
              <w:bottom w:val="single" w:sz="12" w:space="0" w:color="auto"/>
            </w:tcBorders>
            <w:shd w:val="clear" w:color="auto" w:fill="auto"/>
            <w:vAlign w:val="bottom"/>
          </w:tcPr>
          <w:p w:rsidR="00B9250E" w:rsidRPr="00991EDD" w:rsidRDefault="00B9250E" w:rsidP="00991EDD">
            <w:pPr>
              <w:pStyle w:val="SingleTxt"/>
              <w:tabs>
                <w:tab w:val="left" w:pos="288"/>
                <w:tab w:val="left" w:pos="576"/>
                <w:tab w:val="left" w:pos="864"/>
                <w:tab w:val="left" w:pos="1152"/>
              </w:tabs>
              <w:suppressAutoHyphens/>
              <w:spacing w:before="40" w:after="40" w:line="210" w:lineRule="exact"/>
              <w:ind w:left="0" w:right="0"/>
              <w:jc w:val="right"/>
              <w:rPr>
                <w:sz w:val="16"/>
                <w:szCs w:val="16"/>
                <w:lang w:val="fr-FR"/>
              </w:rPr>
            </w:pPr>
            <w:r w:rsidRPr="00991EDD">
              <w:rPr>
                <w:sz w:val="16"/>
                <w:szCs w:val="16"/>
                <w:lang w:val="fr-FR"/>
              </w:rPr>
              <w:t>194</w:t>
            </w:r>
          </w:p>
        </w:tc>
        <w:tc>
          <w:tcPr>
            <w:tcW w:w="738" w:type="dxa"/>
            <w:tcBorders>
              <w:bottom w:val="single" w:sz="12" w:space="0" w:color="auto"/>
            </w:tcBorders>
            <w:shd w:val="clear" w:color="auto" w:fill="auto"/>
            <w:vAlign w:val="bottom"/>
          </w:tcPr>
          <w:p w:rsidR="00B9250E" w:rsidRPr="00991EDD" w:rsidRDefault="00B9250E" w:rsidP="00991EDD">
            <w:pPr>
              <w:pStyle w:val="SingleTxt"/>
              <w:tabs>
                <w:tab w:val="left" w:pos="288"/>
                <w:tab w:val="left" w:pos="576"/>
                <w:tab w:val="left" w:pos="864"/>
                <w:tab w:val="left" w:pos="1152"/>
              </w:tabs>
              <w:suppressAutoHyphens/>
              <w:spacing w:before="40" w:after="40" w:line="210" w:lineRule="exact"/>
              <w:ind w:left="0" w:right="0"/>
              <w:jc w:val="right"/>
              <w:rPr>
                <w:sz w:val="16"/>
                <w:szCs w:val="16"/>
                <w:lang w:val="fr-FR"/>
              </w:rPr>
            </w:pPr>
            <w:r w:rsidRPr="00991EDD">
              <w:rPr>
                <w:sz w:val="16"/>
                <w:szCs w:val="16"/>
                <w:lang w:val="fr-FR"/>
              </w:rPr>
              <w:t>752</w:t>
            </w:r>
          </w:p>
        </w:tc>
        <w:tc>
          <w:tcPr>
            <w:tcW w:w="675" w:type="dxa"/>
            <w:gridSpan w:val="2"/>
            <w:tcBorders>
              <w:bottom w:val="single" w:sz="12" w:space="0" w:color="auto"/>
            </w:tcBorders>
            <w:shd w:val="clear" w:color="auto" w:fill="auto"/>
            <w:vAlign w:val="bottom"/>
          </w:tcPr>
          <w:p w:rsidR="00B9250E" w:rsidRPr="00991EDD" w:rsidRDefault="00B9250E" w:rsidP="00991EDD">
            <w:pPr>
              <w:pStyle w:val="SingleTxt"/>
              <w:tabs>
                <w:tab w:val="left" w:pos="288"/>
                <w:tab w:val="left" w:pos="576"/>
                <w:tab w:val="left" w:pos="864"/>
                <w:tab w:val="left" w:pos="1152"/>
              </w:tabs>
              <w:suppressAutoHyphens/>
              <w:spacing w:before="40" w:after="40" w:line="210" w:lineRule="exact"/>
              <w:ind w:left="0" w:right="0"/>
              <w:jc w:val="right"/>
              <w:rPr>
                <w:sz w:val="16"/>
                <w:szCs w:val="16"/>
                <w:lang w:val="fr-FR"/>
              </w:rPr>
            </w:pPr>
            <w:r w:rsidRPr="00991EDD">
              <w:rPr>
                <w:sz w:val="16"/>
                <w:szCs w:val="16"/>
                <w:lang w:val="fr-FR"/>
              </w:rPr>
              <w:t>5</w:t>
            </w:r>
          </w:p>
        </w:tc>
        <w:tc>
          <w:tcPr>
            <w:tcW w:w="765" w:type="dxa"/>
            <w:tcBorders>
              <w:bottom w:val="single" w:sz="12" w:space="0" w:color="auto"/>
            </w:tcBorders>
            <w:shd w:val="clear" w:color="auto" w:fill="auto"/>
            <w:vAlign w:val="bottom"/>
          </w:tcPr>
          <w:p w:rsidR="00B9250E" w:rsidRPr="00991EDD" w:rsidRDefault="00B9250E" w:rsidP="00991EDD">
            <w:pPr>
              <w:pStyle w:val="SingleTxt"/>
              <w:tabs>
                <w:tab w:val="left" w:pos="288"/>
                <w:tab w:val="left" w:pos="576"/>
                <w:tab w:val="left" w:pos="864"/>
                <w:tab w:val="left" w:pos="1152"/>
              </w:tabs>
              <w:suppressAutoHyphens/>
              <w:spacing w:before="40" w:after="40" w:line="210" w:lineRule="exact"/>
              <w:ind w:left="0" w:right="0"/>
              <w:jc w:val="right"/>
              <w:rPr>
                <w:sz w:val="16"/>
                <w:szCs w:val="16"/>
                <w:lang w:val="fr-FR"/>
              </w:rPr>
            </w:pPr>
            <w:r w:rsidRPr="00991EDD">
              <w:rPr>
                <w:sz w:val="16"/>
                <w:szCs w:val="16"/>
                <w:lang w:val="fr-FR"/>
              </w:rPr>
              <w:t>77</w:t>
            </w:r>
          </w:p>
        </w:tc>
        <w:tc>
          <w:tcPr>
            <w:tcW w:w="665" w:type="dxa"/>
            <w:tcBorders>
              <w:bottom w:val="single" w:sz="12" w:space="0" w:color="auto"/>
            </w:tcBorders>
            <w:shd w:val="clear" w:color="auto" w:fill="auto"/>
            <w:vAlign w:val="bottom"/>
          </w:tcPr>
          <w:p w:rsidR="00B9250E" w:rsidRPr="00991EDD" w:rsidRDefault="00B9250E" w:rsidP="00991EDD">
            <w:pPr>
              <w:pStyle w:val="SingleTxt"/>
              <w:tabs>
                <w:tab w:val="left" w:pos="288"/>
                <w:tab w:val="left" w:pos="576"/>
                <w:tab w:val="left" w:pos="864"/>
                <w:tab w:val="left" w:pos="1152"/>
              </w:tabs>
              <w:suppressAutoHyphens/>
              <w:spacing w:before="40" w:after="40" w:line="210" w:lineRule="exact"/>
              <w:ind w:left="0" w:right="0"/>
              <w:jc w:val="right"/>
              <w:rPr>
                <w:sz w:val="16"/>
                <w:szCs w:val="16"/>
                <w:lang w:val="fr-FR"/>
              </w:rPr>
            </w:pPr>
            <w:r w:rsidRPr="00991EDD">
              <w:rPr>
                <w:sz w:val="16"/>
                <w:szCs w:val="16"/>
                <w:lang w:val="fr-FR"/>
              </w:rPr>
              <w:t>387</w:t>
            </w:r>
          </w:p>
        </w:tc>
      </w:tr>
    </w:tbl>
    <w:p w:rsidR="00B9250E" w:rsidRPr="00B9250E" w:rsidRDefault="00B9250E" w:rsidP="00B9250E">
      <w:pPr>
        <w:pStyle w:val="FootnoteText"/>
        <w:tabs>
          <w:tab w:val="clear" w:pos="418"/>
          <w:tab w:val="right" w:pos="1476"/>
          <w:tab w:val="left" w:pos="1548"/>
          <w:tab w:val="right" w:pos="1836"/>
          <w:tab w:val="left" w:pos="1908"/>
        </w:tabs>
        <w:spacing w:line="120" w:lineRule="exact"/>
        <w:ind w:left="1548" w:right="1267" w:hanging="288"/>
        <w:rPr>
          <w:sz w:val="10"/>
          <w:lang w:val="fr-FR"/>
        </w:rPr>
      </w:pPr>
    </w:p>
    <w:p w:rsidR="00826E0F" w:rsidRPr="00872599" w:rsidRDefault="00826E0F" w:rsidP="00B9250E">
      <w:pPr>
        <w:pStyle w:val="FootnoteText"/>
        <w:tabs>
          <w:tab w:val="clear" w:pos="418"/>
          <w:tab w:val="right" w:pos="1476"/>
          <w:tab w:val="left" w:pos="1548"/>
          <w:tab w:val="right" w:pos="1836"/>
          <w:tab w:val="left" w:pos="1908"/>
        </w:tabs>
        <w:ind w:left="1548" w:right="1267" w:hanging="288"/>
        <w:rPr>
          <w:lang w:val="fr-FR"/>
        </w:rPr>
      </w:pPr>
      <w:r w:rsidRPr="00B9250E">
        <w:rPr>
          <w:i/>
          <w:lang w:val="fr-FR"/>
        </w:rPr>
        <w:t>Source</w:t>
      </w:r>
      <w:r w:rsidR="006645B6">
        <w:t> :</w:t>
      </w:r>
      <w:r w:rsidRPr="00872599">
        <w:rPr>
          <w:lang w:val="fr-FR"/>
        </w:rPr>
        <w:t xml:space="preserve"> Statistiques du Bureau des affaires économiques, de l</w:t>
      </w:r>
      <w:r w:rsidR="006645B6">
        <w:rPr>
          <w:lang w:val="fr-FR"/>
        </w:rPr>
        <w:t>’</w:t>
      </w:r>
      <w:r w:rsidRPr="00872599">
        <w:rPr>
          <w:lang w:val="fr-FR"/>
        </w:rPr>
        <w:t>emploi et du lieu de travail 2007.</w:t>
      </w:r>
    </w:p>
    <w:p w:rsidR="00B9250E" w:rsidRPr="00B9250E" w:rsidRDefault="00B9250E" w:rsidP="00B9250E">
      <w:pPr>
        <w:pStyle w:val="SingleTxt"/>
        <w:spacing w:after="0" w:line="120" w:lineRule="exact"/>
        <w:rPr>
          <w:b/>
          <w:sz w:val="10"/>
          <w:lang w:val="fr-FR"/>
        </w:rPr>
      </w:pPr>
    </w:p>
    <w:p w:rsidR="00826E0F" w:rsidRPr="00872599" w:rsidRDefault="00991EDD" w:rsidP="00497599">
      <w:pPr>
        <w:pStyle w:val="SingleTxt"/>
        <w:rPr>
          <w:lang w:val="fr-FR" w:eastAsia="fr-FR"/>
        </w:rPr>
      </w:pPr>
      <w:r>
        <w:rPr>
          <w:lang w:val="fr-FR" w:eastAsia="fr-FR"/>
        </w:rPr>
        <w:tab/>
      </w:r>
      <w:r w:rsidR="00826E0F" w:rsidRPr="00872599">
        <w:rPr>
          <w:lang w:val="fr-FR" w:eastAsia="fr-FR"/>
        </w:rPr>
        <w:t>Au 31 décembre 2007 (2006) 20,2</w:t>
      </w:r>
      <w:r w:rsidR="006645B6">
        <w:rPr>
          <w:lang w:val="fr-FR" w:eastAsia="fr-FR"/>
        </w:rPr>
        <w:t> %</w:t>
      </w:r>
      <w:r w:rsidR="00826E0F" w:rsidRPr="00872599">
        <w:rPr>
          <w:lang w:val="fr-FR" w:eastAsia="fr-FR"/>
        </w:rPr>
        <w:t xml:space="preserve"> (20</w:t>
      </w:r>
      <w:r w:rsidR="006645B6">
        <w:rPr>
          <w:lang w:val="fr-FR" w:eastAsia="fr-FR"/>
        </w:rPr>
        <w:t> %</w:t>
      </w:r>
      <w:r w:rsidR="00826E0F" w:rsidRPr="00872599">
        <w:rPr>
          <w:lang w:val="fr-FR" w:eastAsia="fr-FR"/>
        </w:rPr>
        <w:t>) de tous les travailleurs soit 6 548 (6 200) personnes travaillaient à temps partiel. Sur les 12 738 (12 017) femmes employées, 5 125 (4 910) soit 40,2</w:t>
      </w:r>
      <w:r w:rsidR="006645B6">
        <w:rPr>
          <w:lang w:val="fr-FR" w:eastAsia="fr-FR"/>
        </w:rPr>
        <w:t> %</w:t>
      </w:r>
      <w:r w:rsidR="00826E0F" w:rsidRPr="00872599">
        <w:rPr>
          <w:lang w:val="fr-FR" w:eastAsia="fr-FR"/>
        </w:rPr>
        <w:t xml:space="preserve"> (40,9</w:t>
      </w:r>
      <w:r w:rsidR="006645B6">
        <w:rPr>
          <w:lang w:val="fr-FR" w:eastAsia="fr-FR"/>
        </w:rPr>
        <w:t> %</w:t>
      </w:r>
      <w:r w:rsidR="00826E0F" w:rsidRPr="00872599">
        <w:rPr>
          <w:lang w:val="fr-FR" w:eastAsia="fr-FR"/>
        </w:rPr>
        <w:t>) travaillaient à temps partiel à la date d</w:t>
      </w:r>
      <w:r w:rsidR="006645B6">
        <w:rPr>
          <w:lang w:val="fr-FR" w:eastAsia="fr-FR"/>
        </w:rPr>
        <w:t>’</w:t>
      </w:r>
      <w:r w:rsidR="00826E0F" w:rsidRPr="00872599">
        <w:rPr>
          <w:lang w:val="fr-FR" w:eastAsia="fr-FR"/>
        </w:rPr>
        <w:t>établissement du rapport, contre seulement 1 423 (1 290) hommes soit 7,2</w:t>
      </w:r>
      <w:r w:rsidR="006645B6">
        <w:rPr>
          <w:lang w:val="fr-FR" w:eastAsia="fr-FR"/>
        </w:rPr>
        <w:t> %</w:t>
      </w:r>
      <w:r w:rsidR="00826E0F" w:rsidRPr="00872599">
        <w:rPr>
          <w:lang w:val="fr-FR" w:eastAsia="fr-FR"/>
        </w:rPr>
        <w:t xml:space="preserve"> (6,8</w:t>
      </w:r>
      <w:r w:rsidR="006645B6">
        <w:rPr>
          <w:lang w:val="fr-FR" w:eastAsia="fr-FR"/>
        </w:rPr>
        <w:t> %</w:t>
      </w:r>
      <w:r w:rsidR="00826E0F" w:rsidRPr="00872599">
        <w:rPr>
          <w:lang w:val="fr-FR" w:eastAsia="fr-FR"/>
        </w:rPr>
        <w:t>). Si l</w:t>
      </w:r>
      <w:r w:rsidR="006645B6">
        <w:rPr>
          <w:lang w:val="fr-FR" w:eastAsia="fr-FR"/>
        </w:rPr>
        <w:t>’</w:t>
      </w:r>
      <w:r w:rsidR="00826E0F" w:rsidRPr="00872599">
        <w:rPr>
          <w:lang w:val="fr-FR" w:eastAsia="fr-FR"/>
        </w:rPr>
        <w:t>on analyse la situation des employés à temps partiel par secteur, on constate que la plupart travaillaient dans le troisième secteur, à savoir 5 353 (4 998) personnes soit 81,8</w:t>
      </w:r>
      <w:r w:rsidR="006645B6">
        <w:rPr>
          <w:lang w:val="fr-FR" w:eastAsia="fr-FR"/>
        </w:rPr>
        <w:t> %</w:t>
      </w:r>
      <w:r w:rsidR="00826E0F" w:rsidRPr="00872599">
        <w:rPr>
          <w:lang w:val="fr-FR" w:eastAsia="fr-FR"/>
        </w:rPr>
        <w:t xml:space="preserve"> (80,6</w:t>
      </w:r>
      <w:r w:rsidR="006645B6">
        <w:rPr>
          <w:lang w:val="fr-FR" w:eastAsia="fr-FR"/>
        </w:rPr>
        <w:t> %</w:t>
      </w:r>
      <w:r w:rsidR="00826E0F" w:rsidRPr="00872599">
        <w:rPr>
          <w:lang w:val="fr-FR" w:eastAsia="fr-FR"/>
        </w:rPr>
        <w:t>) de tous les employés à temps partiel.</w:t>
      </w:r>
    </w:p>
    <w:p w:rsidR="00991EDD" w:rsidRPr="00991EDD" w:rsidRDefault="00991EDD" w:rsidP="00991EDD">
      <w:pPr>
        <w:pStyle w:val="SingleTxt"/>
        <w:spacing w:after="0" w:line="120" w:lineRule="exact"/>
        <w:rPr>
          <w:sz w:val="10"/>
          <w:lang w:val="fr-FR" w:eastAsia="fr-FR"/>
        </w:rPr>
      </w:pPr>
    </w:p>
    <w:p w:rsidR="00826E0F" w:rsidRPr="00872599" w:rsidRDefault="00991EDD" w:rsidP="00991ED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826E0F" w:rsidRPr="00872599">
        <w:rPr>
          <w:lang w:val="fr-FR"/>
        </w:rPr>
        <w:t xml:space="preserve">Chômage </w:t>
      </w:r>
    </w:p>
    <w:p w:rsidR="00991EDD" w:rsidRPr="00991EDD" w:rsidRDefault="00991EDD" w:rsidP="00991EDD">
      <w:pPr>
        <w:pStyle w:val="SingleTxt"/>
        <w:spacing w:after="0" w:line="120" w:lineRule="exact"/>
        <w:rPr>
          <w:sz w:val="10"/>
          <w:lang w:val="fr-FR" w:eastAsia="fr-FR"/>
        </w:rPr>
      </w:pPr>
    </w:p>
    <w:p w:rsidR="00826E0F" w:rsidRPr="00872599" w:rsidRDefault="00991EDD" w:rsidP="00497599">
      <w:pPr>
        <w:pStyle w:val="SingleTxt"/>
        <w:rPr>
          <w:lang w:val="fr-FR" w:eastAsia="fr-FR"/>
        </w:rPr>
      </w:pPr>
      <w:r>
        <w:rPr>
          <w:lang w:val="fr-FR" w:eastAsia="fr-FR"/>
        </w:rPr>
        <w:tab/>
      </w:r>
      <w:r w:rsidR="00826E0F" w:rsidRPr="00872599">
        <w:rPr>
          <w:lang w:val="fr-FR" w:eastAsia="fr-FR"/>
        </w:rPr>
        <w:t>Le taux de chômage annuel moyen des femmes (3,3</w:t>
      </w:r>
      <w:r w:rsidR="006645B6">
        <w:rPr>
          <w:lang w:val="fr-FR" w:eastAsia="fr-FR"/>
        </w:rPr>
        <w:t xml:space="preserve"> %</w:t>
      </w:r>
      <w:r w:rsidR="00826E0F" w:rsidRPr="00872599">
        <w:rPr>
          <w:lang w:val="fr-FR" w:eastAsia="fr-FR"/>
        </w:rPr>
        <w:t>) est supérieur à celui des hommes (2,6</w:t>
      </w:r>
      <w:r w:rsidR="006645B6">
        <w:rPr>
          <w:lang w:val="fr-FR" w:eastAsia="fr-FR"/>
        </w:rPr>
        <w:t xml:space="preserve"> %</w:t>
      </w:r>
      <w:r w:rsidR="00826E0F" w:rsidRPr="00872599">
        <w:rPr>
          <w:lang w:val="fr-FR" w:eastAsia="fr-FR"/>
        </w:rPr>
        <w:t>). Les femmes sont donc davantage touchées par le chômage. Pendant l</w:t>
      </w:r>
      <w:r w:rsidR="006645B6">
        <w:rPr>
          <w:lang w:val="fr-FR" w:eastAsia="fr-FR"/>
        </w:rPr>
        <w:t>’</w:t>
      </w:r>
      <w:r w:rsidR="00826E0F" w:rsidRPr="00872599">
        <w:rPr>
          <w:lang w:val="fr-FR" w:eastAsia="fr-FR"/>
        </w:rPr>
        <w:t>année 2007, le taux de chômage des femmes a été le plus fort (2,9</w:t>
      </w:r>
      <w:r w:rsidR="006645B6">
        <w:rPr>
          <w:lang w:val="fr-FR" w:eastAsia="fr-FR"/>
        </w:rPr>
        <w:t xml:space="preserve"> %</w:t>
      </w:r>
      <w:r w:rsidR="00826E0F" w:rsidRPr="00872599">
        <w:rPr>
          <w:lang w:val="fr-FR" w:eastAsia="fr-FR"/>
        </w:rPr>
        <w:t>) en janvier, le plus faible (2,8</w:t>
      </w:r>
      <w:r w:rsidR="006645B6">
        <w:rPr>
          <w:lang w:val="fr-FR" w:eastAsia="fr-FR"/>
        </w:rPr>
        <w:t xml:space="preserve"> %</w:t>
      </w:r>
      <w:r w:rsidR="00826E0F" w:rsidRPr="00872599">
        <w:rPr>
          <w:lang w:val="fr-FR" w:eastAsia="fr-FR"/>
        </w:rPr>
        <w:t>) en mai. À la fin de l</w:t>
      </w:r>
      <w:r w:rsidR="006645B6">
        <w:rPr>
          <w:lang w:val="fr-FR" w:eastAsia="fr-FR"/>
        </w:rPr>
        <w:t>’</w:t>
      </w:r>
      <w:r w:rsidR="00826E0F" w:rsidRPr="00872599">
        <w:rPr>
          <w:lang w:val="fr-FR" w:eastAsia="fr-FR"/>
        </w:rPr>
        <w:t>année, il était de 3</w:t>
      </w:r>
      <w:r w:rsidR="006645B6">
        <w:rPr>
          <w:lang w:val="fr-FR" w:eastAsia="fr-FR"/>
        </w:rPr>
        <w:t xml:space="preserve"> %</w:t>
      </w:r>
    </w:p>
    <w:p w:rsidR="00991EDD" w:rsidRPr="00991EDD" w:rsidRDefault="00991EDD" w:rsidP="00991EDD">
      <w:pPr>
        <w:pStyle w:val="SingleTxt"/>
        <w:spacing w:after="0" w:line="120" w:lineRule="exact"/>
        <w:rPr>
          <w:rFonts w:ascii="Arial" w:hAnsi="Arial" w:cs="Arial"/>
          <w:sz w:val="10"/>
          <w:lang w:val="fr-FR" w:eastAsia="fr-FR"/>
        </w:rPr>
      </w:pPr>
    </w:p>
    <w:p w:rsidR="00826E0F" w:rsidRDefault="00991EDD" w:rsidP="00991ED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826E0F" w:rsidRPr="00991EDD">
        <w:rPr>
          <w:b w:val="0"/>
          <w:lang w:val="fr-FR"/>
        </w:rPr>
        <w:t>Tableau 11</w:t>
      </w:r>
      <w:r>
        <w:rPr>
          <w:lang w:val="fr-FR"/>
        </w:rPr>
        <w:br/>
        <w:t>P</w:t>
      </w:r>
      <w:r w:rsidR="00826E0F" w:rsidRPr="00872599">
        <w:rPr>
          <w:lang w:val="fr-FR"/>
        </w:rPr>
        <w:t>ersonnes sans emploi et inactives au sein de la population permanente par sexe</w:t>
      </w:r>
    </w:p>
    <w:p w:rsidR="00991EDD" w:rsidRPr="00991EDD" w:rsidRDefault="00991EDD" w:rsidP="00991EDD">
      <w:pPr>
        <w:pStyle w:val="SingleTxt"/>
        <w:spacing w:after="0" w:line="120" w:lineRule="exact"/>
        <w:rPr>
          <w:sz w:val="10"/>
          <w:lang w:val="fr-FR"/>
        </w:rPr>
      </w:pPr>
    </w:p>
    <w:tbl>
      <w:tblPr>
        <w:tblW w:w="0" w:type="auto"/>
        <w:tblInd w:w="1395" w:type="dxa"/>
        <w:tblLayout w:type="fixed"/>
        <w:tblLook w:val="0000" w:firstRow="0" w:lastRow="0" w:firstColumn="0" w:lastColumn="0" w:noHBand="0" w:noVBand="0"/>
      </w:tblPr>
      <w:tblGrid>
        <w:gridCol w:w="1413"/>
        <w:gridCol w:w="1172"/>
        <w:gridCol w:w="1796"/>
        <w:gridCol w:w="1439"/>
        <w:gridCol w:w="1375"/>
      </w:tblGrid>
      <w:tr w:rsidR="00826E0F" w:rsidRPr="00991EDD" w:rsidTr="00A03470">
        <w:trPr>
          <w:tblHeader/>
        </w:trPr>
        <w:tc>
          <w:tcPr>
            <w:tcW w:w="1413" w:type="dxa"/>
            <w:tcBorders>
              <w:top w:val="single" w:sz="4" w:space="0" w:color="auto"/>
              <w:bottom w:val="single" w:sz="12" w:space="0" w:color="auto"/>
            </w:tcBorders>
            <w:shd w:val="clear" w:color="auto" w:fill="auto"/>
            <w:vAlign w:val="bottom"/>
          </w:tcPr>
          <w:p w:rsidR="00826E0F" w:rsidRPr="00991EDD" w:rsidRDefault="00826E0F" w:rsidP="00991EDD">
            <w:pPr>
              <w:pStyle w:val="SingleTxt"/>
              <w:suppressAutoHyphens/>
              <w:spacing w:before="80" w:after="80" w:line="160" w:lineRule="exact"/>
              <w:ind w:left="0" w:right="43"/>
              <w:rPr>
                <w:i/>
                <w:sz w:val="14"/>
                <w:lang w:val="fr-FR"/>
              </w:rPr>
            </w:pPr>
          </w:p>
        </w:tc>
        <w:tc>
          <w:tcPr>
            <w:tcW w:w="1172" w:type="dxa"/>
            <w:tcBorders>
              <w:top w:val="single" w:sz="4" w:space="0" w:color="auto"/>
              <w:bottom w:val="single" w:sz="12" w:space="0" w:color="auto"/>
            </w:tcBorders>
            <w:shd w:val="clear" w:color="auto" w:fill="auto"/>
            <w:vAlign w:val="bottom"/>
          </w:tcPr>
          <w:p w:rsidR="00826E0F" w:rsidRPr="00991EDD" w:rsidRDefault="00826E0F" w:rsidP="00991EDD">
            <w:pPr>
              <w:pStyle w:val="SingleTxt"/>
              <w:suppressAutoHyphens/>
              <w:spacing w:before="80" w:after="80" w:line="160" w:lineRule="exact"/>
              <w:ind w:left="0" w:right="43"/>
              <w:jc w:val="right"/>
              <w:rPr>
                <w:i/>
                <w:sz w:val="14"/>
                <w:lang w:val="fr-FR"/>
              </w:rPr>
            </w:pPr>
            <w:r w:rsidRPr="00991EDD">
              <w:rPr>
                <w:i/>
                <w:sz w:val="14"/>
                <w:lang w:val="fr-FR"/>
              </w:rPr>
              <w:t>Chômeurs</w:t>
            </w:r>
          </w:p>
        </w:tc>
        <w:tc>
          <w:tcPr>
            <w:tcW w:w="1796" w:type="dxa"/>
            <w:tcBorders>
              <w:top w:val="single" w:sz="4" w:space="0" w:color="auto"/>
              <w:bottom w:val="single" w:sz="12" w:space="0" w:color="auto"/>
            </w:tcBorders>
            <w:shd w:val="clear" w:color="auto" w:fill="auto"/>
            <w:vAlign w:val="bottom"/>
          </w:tcPr>
          <w:p w:rsidR="00826E0F" w:rsidRPr="00991EDD" w:rsidRDefault="00826E0F" w:rsidP="00991EDD">
            <w:pPr>
              <w:pStyle w:val="SingleTxt"/>
              <w:suppressAutoHyphens/>
              <w:spacing w:before="80" w:after="80" w:line="160" w:lineRule="exact"/>
              <w:ind w:left="0" w:right="43"/>
              <w:jc w:val="right"/>
              <w:rPr>
                <w:i/>
                <w:sz w:val="14"/>
                <w:lang w:val="fr-FR"/>
              </w:rPr>
            </w:pPr>
            <w:r w:rsidRPr="00991EDD">
              <w:rPr>
                <w:i/>
                <w:sz w:val="14"/>
                <w:lang w:val="fr-FR"/>
              </w:rPr>
              <w:t>Femmes/hommes au foyer</w:t>
            </w:r>
          </w:p>
        </w:tc>
        <w:tc>
          <w:tcPr>
            <w:tcW w:w="1439" w:type="dxa"/>
            <w:tcBorders>
              <w:top w:val="single" w:sz="4" w:space="0" w:color="auto"/>
              <w:bottom w:val="single" w:sz="12" w:space="0" w:color="auto"/>
            </w:tcBorders>
            <w:shd w:val="clear" w:color="auto" w:fill="auto"/>
            <w:vAlign w:val="bottom"/>
          </w:tcPr>
          <w:p w:rsidR="00826E0F" w:rsidRPr="00991EDD" w:rsidRDefault="00826E0F" w:rsidP="00991EDD">
            <w:pPr>
              <w:pStyle w:val="SingleTxt"/>
              <w:suppressAutoHyphens/>
              <w:spacing w:before="80" w:after="80" w:line="160" w:lineRule="exact"/>
              <w:ind w:left="0" w:right="43"/>
              <w:jc w:val="right"/>
              <w:rPr>
                <w:i/>
                <w:sz w:val="14"/>
                <w:lang w:val="fr-FR"/>
              </w:rPr>
            </w:pPr>
            <w:r w:rsidRPr="00991EDD">
              <w:rPr>
                <w:i/>
                <w:sz w:val="14"/>
                <w:lang w:val="fr-FR"/>
              </w:rPr>
              <w:t>Enfants/élèves/étudiants</w:t>
            </w:r>
          </w:p>
        </w:tc>
        <w:tc>
          <w:tcPr>
            <w:tcW w:w="1375" w:type="dxa"/>
            <w:tcBorders>
              <w:top w:val="single" w:sz="4" w:space="0" w:color="auto"/>
              <w:bottom w:val="single" w:sz="12" w:space="0" w:color="auto"/>
            </w:tcBorders>
            <w:shd w:val="clear" w:color="auto" w:fill="auto"/>
            <w:vAlign w:val="bottom"/>
          </w:tcPr>
          <w:p w:rsidR="00826E0F" w:rsidRPr="00991EDD" w:rsidRDefault="00826E0F" w:rsidP="00991EDD">
            <w:pPr>
              <w:pStyle w:val="SingleTxt"/>
              <w:suppressAutoHyphens/>
              <w:spacing w:before="80" w:after="80" w:line="160" w:lineRule="exact"/>
              <w:ind w:left="0" w:right="43"/>
              <w:jc w:val="right"/>
              <w:rPr>
                <w:i/>
                <w:sz w:val="14"/>
                <w:lang w:val="fr-FR"/>
              </w:rPr>
            </w:pPr>
            <w:r w:rsidRPr="00991EDD">
              <w:rPr>
                <w:i/>
                <w:sz w:val="14"/>
                <w:lang w:val="fr-FR"/>
              </w:rPr>
              <w:t>Retraités</w:t>
            </w:r>
          </w:p>
        </w:tc>
      </w:tr>
      <w:tr w:rsidR="00991EDD" w:rsidRPr="00991EDD" w:rsidTr="00A03470">
        <w:trPr>
          <w:trHeight w:hRule="exact" w:val="115"/>
          <w:tblHeader/>
        </w:trPr>
        <w:tc>
          <w:tcPr>
            <w:tcW w:w="1413" w:type="dxa"/>
            <w:tcBorders>
              <w:top w:val="single" w:sz="12" w:space="0" w:color="auto"/>
            </w:tcBorders>
            <w:shd w:val="clear" w:color="auto" w:fill="auto"/>
            <w:vAlign w:val="bottom"/>
          </w:tcPr>
          <w:p w:rsidR="00991EDD" w:rsidRPr="00991EDD" w:rsidRDefault="00991EDD" w:rsidP="00991EDD">
            <w:pPr>
              <w:pStyle w:val="SingleTxt"/>
              <w:suppressAutoHyphens/>
              <w:spacing w:before="40" w:after="40" w:line="210" w:lineRule="exact"/>
              <w:ind w:left="0" w:right="43"/>
              <w:rPr>
                <w:b/>
                <w:sz w:val="17"/>
                <w:lang w:val="fr-FR"/>
              </w:rPr>
            </w:pPr>
          </w:p>
        </w:tc>
        <w:tc>
          <w:tcPr>
            <w:tcW w:w="1172" w:type="dxa"/>
            <w:tcBorders>
              <w:top w:val="single" w:sz="12" w:space="0" w:color="auto"/>
            </w:tcBorders>
            <w:shd w:val="clear" w:color="auto" w:fill="auto"/>
            <w:vAlign w:val="bottom"/>
          </w:tcPr>
          <w:p w:rsidR="00991EDD" w:rsidRPr="00991EDD" w:rsidRDefault="00991EDD" w:rsidP="00991EDD">
            <w:pPr>
              <w:pStyle w:val="SingleTxt"/>
              <w:suppressAutoHyphens/>
              <w:spacing w:before="40" w:after="40" w:line="210" w:lineRule="exact"/>
              <w:ind w:left="0" w:right="43"/>
              <w:jc w:val="right"/>
              <w:rPr>
                <w:b/>
                <w:sz w:val="17"/>
                <w:lang w:val="fr-FR"/>
              </w:rPr>
            </w:pPr>
          </w:p>
        </w:tc>
        <w:tc>
          <w:tcPr>
            <w:tcW w:w="1796" w:type="dxa"/>
            <w:tcBorders>
              <w:top w:val="single" w:sz="12" w:space="0" w:color="auto"/>
            </w:tcBorders>
            <w:shd w:val="clear" w:color="auto" w:fill="auto"/>
            <w:vAlign w:val="bottom"/>
          </w:tcPr>
          <w:p w:rsidR="00991EDD" w:rsidRPr="00991EDD" w:rsidRDefault="00991EDD" w:rsidP="00991EDD">
            <w:pPr>
              <w:pStyle w:val="SingleTxt"/>
              <w:suppressAutoHyphens/>
              <w:spacing w:before="40" w:after="40" w:line="210" w:lineRule="exact"/>
              <w:ind w:left="0" w:right="43"/>
              <w:jc w:val="right"/>
              <w:rPr>
                <w:b/>
                <w:sz w:val="17"/>
                <w:lang w:val="fr-FR"/>
              </w:rPr>
            </w:pPr>
          </w:p>
        </w:tc>
        <w:tc>
          <w:tcPr>
            <w:tcW w:w="1439" w:type="dxa"/>
            <w:tcBorders>
              <w:top w:val="single" w:sz="12" w:space="0" w:color="auto"/>
            </w:tcBorders>
            <w:shd w:val="clear" w:color="auto" w:fill="auto"/>
            <w:vAlign w:val="bottom"/>
          </w:tcPr>
          <w:p w:rsidR="00991EDD" w:rsidRPr="00991EDD" w:rsidRDefault="00991EDD" w:rsidP="00991EDD">
            <w:pPr>
              <w:pStyle w:val="SingleTxt"/>
              <w:suppressAutoHyphens/>
              <w:spacing w:before="40" w:after="40" w:line="210" w:lineRule="exact"/>
              <w:ind w:left="0" w:right="43"/>
              <w:jc w:val="right"/>
              <w:rPr>
                <w:b/>
                <w:sz w:val="17"/>
                <w:lang w:val="fr-FR"/>
              </w:rPr>
            </w:pPr>
          </w:p>
        </w:tc>
        <w:tc>
          <w:tcPr>
            <w:tcW w:w="1375" w:type="dxa"/>
            <w:tcBorders>
              <w:top w:val="single" w:sz="12" w:space="0" w:color="auto"/>
            </w:tcBorders>
            <w:shd w:val="clear" w:color="auto" w:fill="auto"/>
            <w:vAlign w:val="bottom"/>
          </w:tcPr>
          <w:p w:rsidR="00991EDD" w:rsidRPr="00991EDD" w:rsidRDefault="00991EDD" w:rsidP="00991EDD">
            <w:pPr>
              <w:pStyle w:val="SingleTxt"/>
              <w:suppressAutoHyphens/>
              <w:spacing w:before="40" w:after="40" w:line="210" w:lineRule="exact"/>
              <w:ind w:left="0" w:right="43"/>
              <w:jc w:val="right"/>
              <w:rPr>
                <w:b/>
                <w:sz w:val="17"/>
                <w:lang w:val="fr-FR"/>
              </w:rPr>
            </w:pPr>
          </w:p>
        </w:tc>
      </w:tr>
      <w:tr w:rsidR="00826E0F" w:rsidRPr="00991EDD" w:rsidTr="00A03470">
        <w:tc>
          <w:tcPr>
            <w:tcW w:w="1413" w:type="dxa"/>
            <w:shd w:val="clear" w:color="auto" w:fill="auto"/>
            <w:vAlign w:val="bottom"/>
          </w:tcPr>
          <w:p w:rsidR="00826E0F" w:rsidRPr="00991EDD" w:rsidRDefault="00826E0F" w:rsidP="00991EDD">
            <w:pPr>
              <w:pStyle w:val="SingleTxt"/>
              <w:tabs>
                <w:tab w:val="left" w:pos="288"/>
                <w:tab w:val="left" w:pos="576"/>
                <w:tab w:val="left" w:pos="864"/>
                <w:tab w:val="left" w:pos="1152"/>
              </w:tabs>
              <w:suppressAutoHyphens/>
              <w:spacing w:before="40" w:after="40" w:line="210" w:lineRule="exact"/>
              <w:ind w:left="0" w:right="43"/>
              <w:jc w:val="left"/>
              <w:rPr>
                <w:b/>
                <w:sz w:val="17"/>
                <w:lang w:val="fr-FR"/>
              </w:rPr>
            </w:pPr>
            <w:r w:rsidRPr="00991EDD">
              <w:rPr>
                <w:b/>
                <w:sz w:val="17"/>
                <w:lang w:val="fr-FR"/>
              </w:rPr>
              <w:t>Femmes</w:t>
            </w:r>
          </w:p>
        </w:tc>
        <w:tc>
          <w:tcPr>
            <w:tcW w:w="1172" w:type="dxa"/>
            <w:shd w:val="clear" w:color="auto" w:fill="auto"/>
            <w:vAlign w:val="bottom"/>
          </w:tcPr>
          <w:p w:rsidR="00826E0F" w:rsidRPr="00991EDD" w:rsidRDefault="00826E0F" w:rsidP="00991EDD">
            <w:pPr>
              <w:pStyle w:val="SingleTxt"/>
              <w:tabs>
                <w:tab w:val="left" w:pos="288"/>
                <w:tab w:val="left" w:pos="576"/>
                <w:tab w:val="left" w:pos="864"/>
                <w:tab w:val="left" w:pos="1152"/>
              </w:tabs>
              <w:suppressAutoHyphens/>
              <w:spacing w:before="40" w:after="40" w:line="210" w:lineRule="exact"/>
              <w:ind w:left="0" w:right="43"/>
              <w:jc w:val="right"/>
              <w:rPr>
                <w:sz w:val="17"/>
                <w:lang w:val="fr-FR"/>
              </w:rPr>
            </w:pPr>
            <w:r w:rsidRPr="00991EDD">
              <w:rPr>
                <w:sz w:val="17"/>
                <w:lang w:val="fr-FR"/>
              </w:rPr>
              <w:t>430</w:t>
            </w:r>
          </w:p>
        </w:tc>
        <w:tc>
          <w:tcPr>
            <w:tcW w:w="1796" w:type="dxa"/>
            <w:shd w:val="clear" w:color="auto" w:fill="auto"/>
            <w:vAlign w:val="bottom"/>
          </w:tcPr>
          <w:p w:rsidR="00826E0F" w:rsidRPr="00991EDD" w:rsidRDefault="00826E0F" w:rsidP="00991EDD">
            <w:pPr>
              <w:pStyle w:val="SingleTxt"/>
              <w:tabs>
                <w:tab w:val="left" w:pos="288"/>
                <w:tab w:val="left" w:pos="576"/>
                <w:tab w:val="left" w:pos="864"/>
                <w:tab w:val="left" w:pos="1152"/>
              </w:tabs>
              <w:suppressAutoHyphens/>
              <w:spacing w:before="40" w:after="40" w:line="210" w:lineRule="exact"/>
              <w:ind w:left="0" w:right="43"/>
              <w:jc w:val="right"/>
              <w:rPr>
                <w:sz w:val="17"/>
                <w:lang w:val="fr-FR"/>
              </w:rPr>
            </w:pPr>
            <w:r w:rsidRPr="00991EDD">
              <w:rPr>
                <w:sz w:val="17"/>
                <w:lang w:val="fr-FR"/>
              </w:rPr>
              <w:t>3</w:t>
            </w:r>
            <w:r w:rsidR="00991EDD">
              <w:rPr>
                <w:sz w:val="17"/>
                <w:lang w:val="fr-FR"/>
              </w:rPr>
              <w:t xml:space="preserve"> </w:t>
            </w:r>
            <w:r w:rsidRPr="00991EDD">
              <w:rPr>
                <w:sz w:val="17"/>
                <w:lang w:val="fr-FR"/>
              </w:rPr>
              <w:t>086</w:t>
            </w:r>
          </w:p>
        </w:tc>
        <w:tc>
          <w:tcPr>
            <w:tcW w:w="1439" w:type="dxa"/>
            <w:shd w:val="clear" w:color="auto" w:fill="auto"/>
            <w:vAlign w:val="bottom"/>
          </w:tcPr>
          <w:p w:rsidR="00826E0F" w:rsidRPr="00991EDD" w:rsidRDefault="00826E0F" w:rsidP="00991EDD">
            <w:pPr>
              <w:pStyle w:val="SingleTxt"/>
              <w:tabs>
                <w:tab w:val="left" w:pos="288"/>
                <w:tab w:val="left" w:pos="576"/>
                <w:tab w:val="left" w:pos="864"/>
                <w:tab w:val="left" w:pos="1152"/>
              </w:tabs>
              <w:suppressAutoHyphens/>
              <w:spacing w:before="40" w:after="40" w:line="210" w:lineRule="exact"/>
              <w:ind w:left="0" w:right="43"/>
              <w:jc w:val="right"/>
              <w:rPr>
                <w:sz w:val="17"/>
                <w:lang w:val="fr-FR"/>
              </w:rPr>
            </w:pPr>
            <w:r w:rsidRPr="00991EDD">
              <w:rPr>
                <w:sz w:val="17"/>
                <w:lang w:val="fr-FR"/>
              </w:rPr>
              <w:t>4</w:t>
            </w:r>
            <w:r w:rsidR="00991EDD">
              <w:rPr>
                <w:sz w:val="17"/>
                <w:lang w:val="fr-FR"/>
              </w:rPr>
              <w:t xml:space="preserve"> </w:t>
            </w:r>
            <w:r w:rsidRPr="00991EDD">
              <w:rPr>
                <w:sz w:val="17"/>
                <w:lang w:val="fr-FR"/>
              </w:rPr>
              <w:t>176</w:t>
            </w:r>
          </w:p>
        </w:tc>
        <w:tc>
          <w:tcPr>
            <w:tcW w:w="1375" w:type="dxa"/>
            <w:shd w:val="clear" w:color="auto" w:fill="auto"/>
            <w:vAlign w:val="bottom"/>
          </w:tcPr>
          <w:p w:rsidR="00826E0F" w:rsidRPr="00991EDD" w:rsidRDefault="00826E0F" w:rsidP="00991EDD">
            <w:pPr>
              <w:pStyle w:val="SingleTxt"/>
              <w:tabs>
                <w:tab w:val="left" w:pos="288"/>
                <w:tab w:val="left" w:pos="576"/>
                <w:tab w:val="left" w:pos="864"/>
                <w:tab w:val="left" w:pos="1152"/>
              </w:tabs>
              <w:suppressAutoHyphens/>
              <w:spacing w:before="40" w:after="40" w:line="210" w:lineRule="exact"/>
              <w:ind w:left="0" w:right="43"/>
              <w:jc w:val="right"/>
              <w:rPr>
                <w:sz w:val="17"/>
                <w:lang w:val="fr-FR"/>
              </w:rPr>
            </w:pPr>
            <w:r w:rsidRPr="00991EDD">
              <w:rPr>
                <w:sz w:val="17"/>
                <w:lang w:val="fr-FR"/>
              </w:rPr>
              <w:t>2</w:t>
            </w:r>
            <w:r w:rsidR="00991EDD">
              <w:rPr>
                <w:sz w:val="17"/>
                <w:lang w:val="fr-FR"/>
              </w:rPr>
              <w:t xml:space="preserve"> </w:t>
            </w:r>
            <w:r w:rsidRPr="00991EDD">
              <w:rPr>
                <w:sz w:val="17"/>
                <w:lang w:val="fr-FR"/>
              </w:rPr>
              <w:t>739</w:t>
            </w:r>
          </w:p>
        </w:tc>
      </w:tr>
      <w:tr w:rsidR="00826E0F" w:rsidRPr="00991EDD" w:rsidTr="00A03470">
        <w:tc>
          <w:tcPr>
            <w:tcW w:w="1413" w:type="dxa"/>
            <w:shd w:val="clear" w:color="auto" w:fill="auto"/>
            <w:vAlign w:val="bottom"/>
          </w:tcPr>
          <w:p w:rsidR="00826E0F" w:rsidRPr="00991EDD" w:rsidRDefault="00826E0F" w:rsidP="00991EDD">
            <w:pPr>
              <w:pStyle w:val="SingleTxt"/>
              <w:tabs>
                <w:tab w:val="left" w:pos="288"/>
                <w:tab w:val="left" w:pos="576"/>
                <w:tab w:val="left" w:pos="864"/>
                <w:tab w:val="left" w:pos="1152"/>
              </w:tabs>
              <w:suppressAutoHyphens/>
              <w:spacing w:before="40" w:after="40" w:line="210" w:lineRule="exact"/>
              <w:ind w:left="0" w:right="43"/>
              <w:jc w:val="left"/>
              <w:rPr>
                <w:b/>
                <w:sz w:val="17"/>
                <w:lang w:val="fr-FR"/>
              </w:rPr>
            </w:pPr>
            <w:r w:rsidRPr="00991EDD">
              <w:rPr>
                <w:b/>
                <w:sz w:val="17"/>
                <w:lang w:val="fr-FR"/>
              </w:rPr>
              <w:t>Hommes</w:t>
            </w:r>
          </w:p>
        </w:tc>
        <w:tc>
          <w:tcPr>
            <w:tcW w:w="1172" w:type="dxa"/>
            <w:shd w:val="clear" w:color="auto" w:fill="auto"/>
            <w:vAlign w:val="bottom"/>
          </w:tcPr>
          <w:p w:rsidR="00826E0F" w:rsidRPr="00991EDD" w:rsidRDefault="00826E0F" w:rsidP="00991EDD">
            <w:pPr>
              <w:pStyle w:val="SingleTxt"/>
              <w:tabs>
                <w:tab w:val="left" w:pos="288"/>
                <w:tab w:val="left" w:pos="576"/>
                <w:tab w:val="left" w:pos="864"/>
                <w:tab w:val="left" w:pos="1152"/>
              </w:tabs>
              <w:suppressAutoHyphens/>
              <w:spacing w:before="40" w:after="40" w:line="210" w:lineRule="exact"/>
              <w:ind w:left="0" w:right="43"/>
              <w:jc w:val="right"/>
              <w:rPr>
                <w:sz w:val="17"/>
                <w:lang w:val="fr-FR"/>
              </w:rPr>
            </w:pPr>
            <w:r w:rsidRPr="00991EDD">
              <w:rPr>
                <w:sz w:val="17"/>
                <w:lang w:val="fr-FR"/>
              </w:rPr>
              <w:t>514</w:t>
            </w:r>
          </w:p>
        </w:tc>
        <w:tc>
          <w:tcPr>
            <w:tcW w:w="1796" w:type="dxa"/>
            <w:shd w:val="clear" w:color="auto" w:fill="auto"/>
            <w:vAlign w:val="bottom"/>
          </w:tcPr>
          <w:p w:rsidR="00826E0F" w:rsidRPr="00991EDD" w:rsidRDefault="00826E0F" w:rsidP="00991EDD">
            <w:pPr>
              <w:pStyle w:val="SingleTxt"/>
              <w:tabs>
                <w:tab w:val="left" w:pos="288"/>
                <w:tab w:val="left" w:pos="576"/>
                <w:tab w:val="left" w:pos="864"/>
                <w:tab w:val="left" w:pos="1152"/>
              </w:tabs>
              <w:suppressAutoHyphens/>
              <w:spacing w:before="40" w:after="40" w:line="210" w:lineRule="exact"/>
              <w:ind w:left="0" w:right="43"/>
              <w:jc w:val="right"/>
              <w:rPr>
                <w:sz w:val="17"/>
                <w:lang w:val="fr-FR"/>
              </w:rPr>
            </w:pPr>
            <w:r w:rsidRPr="00991EDD">
              <w:rPr>
                <w:sz w:val="17"/>
                <w:lang w:val="fr-FR"/>
              </w:rPr>
              <w:t>438</w:t>
            </w:r>
          </w:p>
        </w:tc>
        <w:tc>
          <w:tcPr>
            <w:tcW w:w="1439" w:type="dxa"/>
            <w:shd w:val="clear" w:color="auto" w:fill="auto"/>
            <w:vAlign w:val="bottom"/>
          </w:tcPr>
          <w:p w:rsidR="00826E0F" w:rsidRPr="00991EDD" w:rsidRDefault="00826E0F" w:rsidP="00991EDD">
            <w:pPr>
              <w:pStyle w:val="SingleTxt"/>
              <w:tabs>
                <w:tab w:val="left" w:pos="288"/>
                <w:tab w:val="left" w:pos="576"/>
                <w:tab w:val="left" w:pos="864"/>
                <w:tab w:val="left" w:pos="1152"/>
              </w:tabs>
              <w:suppressAutoHyphens/>
              <w:spacing w:before="40" w:after="40" w:line="210" w:lineRule="exact"/>
              <w:ind w:left="0" w:right="43"/>
              <w:jc w:val="right"/>
              <w:rPr>
                <w:sz w:val="17"/>
                <w:lang w:val="fr-FR"/>
              </w:rPr>
            </w:pPr>
            <w:r w:rsidRPr="00991EDD">
              <w:rPr>
                <w:sz w:val="17"/>
                <w:lang w:val="fr-FR"/>
              </w:rPr>
              <w:t>4</w:t>
            </w:r>
            <w:r w:rsidR="00991EDD">
              <w:rPr>
                <w:sz w:val="17"/>
                <w:lang w:val="fr-FR"/>
              </w:rPr>
              <w:t xml:space="preserve"> </w:t>
            </w:r>
            <w:r w:rsidRPr="00991EDD">
              <w:rPr>
                <w:sz w:val="17"/>
                <w:lang w:val="fr-FR"/>
              </w:rPr>
              <w:t>145</w:t>
            </w:r>
          </w:p>
        </w:tc>
        <w:tc>
          <w:tcPr>
            <w:tcW w:w="1375" w:type="dxa"/>
            <w:shd w:val="clear" w:color="auto" w:fill="auto"/>
            <w:vAlign w:val="bottom"/>
          </w:tcPr>
          <w:p w:rsidR="00826E0F" w:rsidRPr="00991EDD" w:rsidRDefault="00826E0F" w:rsidP="00991EDD">
            <w:pPr>
              <w:pStyle w:val="SingleTxt"/>
              <w:tabs>
                <w:tab w:val="left" w:pos="288"/>
                <w:tab w:val="left" w:pos="576"/>
                <w:tab w:val="left" w:pos="864"/>
                <w:tab w:val="left" w:pos="1152"/>
              </w:tabs>
              <w:suppressAutoHyphens/>
              <w:spacing w:before="40" w:after="40" w:line="210" w:lineRule="exact"/>
              <w:ind w:left="0" w:right="43"/>
              <w:jc w:val="right"/>
              <w:rPr>
                <w:sz w:val="17"/>
                <w:lang w:val="fr-FR"/>
              </w:rPr>
            </w:pPr>
            <w:r w:rsidRPr="00991EDD">
              <w:rPr>
                <w:sz w:val="17"/>
                <w:lang w:val="fr-FR"/>
              </w:rPr>
              <w:t>2</w:t>
            </w:r>
            <w:r w:rsidR="00991EDD">
              <w:rPr>
                <w:sz w:val="17"/>
                <w:lang w:val="fr-FR"/>
              </w:rPr>
              <w:t xml:space="preserve"> </w:t>
            </w:r>
            <w:r w:rsidRPr="00991EDD">
              <w:rPr>
                <w:sz w:val="17"/>
                <w:lang w:val="fr-FR"/>
              </w:rPr>
              <w:t>170</w:t>
            </w:r>
          </w:p>
        </w:tc>
      </w:tr>
      <w:tr w:rsidR="00826E0F" w:rsidRPr="00991EDD" w:rsidTr="00A03470">
        <w:tc>
          <w:tcPr>
            <w:tcW w:w="1413" w:type="dxa"/>
            <w:shd w:val="clear" w:color="auto" w:fill="auto"/>
            <w:vAlign w:val="bottom"/>
          </w:tcPr>
          <w:p w:rsidR="00826E0F" w:rsidRPr="00991EDD" w:rsidRDefault="00826E0F" w:rsidP="00991EDD">
            <w:pPr>
              <w:pStyle w:val="SingleTxt"/>
              <w:tabs>
                <w:tab w:val="left" w:pos="288"/>
                <w:tab w:val="left" w:pos="576"/>
                <w:tab w:val="left" w:pos="864"/>
                <w:tab w:val="left" w:pos="1152"/>
              </w:tabs>
              <w:suppressAutoHyphens/>
              <w:spacing w:before="40" w:after="40" w:line="210" w:lineRule="exact"/>
              <w:ind w:left="0" w:right="43"/>
              <w:jc w:val="left"/>
              <w:rPr>
                <w:b/>
                <w:sz w:val="17"/>
                <w:lang w:val="fr-FR"/>
              </w:rPr>
            </w:pPr>
            <w:r w:rsidRPr="00991EDD">
              <w:rPr>
                <w:b/>
                <w:sz w:val="17"/>
                <w:lang w:val="fr-FR"/>
              </w:rPr>
              <w:t>Total</w:t>
            </w:r>
          </w:p>
        </w:tc>
        <w:tc>
          <w:tcPr>
            <w:tcW w:w="1172" w:type="dxa"/>
            <w:shd w:val="clear" w:color="auto" w:fill="auto"/>
            <w:vAlign w:val="bottom"/>
          </w:tcPr>
          <w:p w:rsidR="00826E0F" w:rsidRPr="00991EDD" w:rsidRDefault="00826E0F" w:rsidP="00991EDD">
            <w:pPr>
              <w:pStyle w:val="SingleTxt"/>
              <w:tabs>
                <w:tab w:val="left" w:pos="288"/>
                <w:tab w:val="left" w:pos="576"/>
                <w:tab w:val="left" w:pos="864"/>
                <w:tab w:val="left" w:pos="1152"/>
              </w:tabs>
              <w:suppressAutoHyphens/>
              <w:spacing w:before="40" w:after="40" w:line="210" w:lineRule="exact"/>
              <w:ind w:left="0" w:right="43"/>
              <w:jc w:val="right"/>
              <w:rPr>
                <w:sz w:val="17"/>
                <w:lang w:val="fr-FR"/>
              </w:rPr>
            </w:pPr>
            <w:r w:rsidRPr="00991EDD">
              <w:rPr>
                <w:sz w:val="17"/>
                <w:lang w:val="fr-FR"/>
              </w:rPr>
              <w:t>944</w:t>
            </w:r>
          </w:p>
        </w:tc>
        <w:tc>
          <w:tcPr>
            <w:tcW w:w="1796" w:type="dxa"/>
            <w:shd w:val="clear" w:color="auto" w:fill="auto"/>
            <w:vAlign w:val="bottom"/>
          </w:tcPr>
          <w:p w:rsidR="00826E0F" w:rsidRPr="00991EDD" w:rsidRDefault="00826E0F" w:rsidP="00991EDD">
            <w:pPr>
              <w:pStyle w:val="SingleTxt"/>
              <w:tabs>
                <w:tab w:val="left" w:pos="288"/>
                <w:tab w:val="left" w:pos="576"/>
                <w:tab w:val="left" w:pos="864"/>
                <w:tab w:val="left" w:pos="1152"/>
              </w:tabs>
              <w:suppressAutoHyphens/>
              <w:spacing w:before="40" w:after="40" w:line="210" w:lineRule="exact"/>
              <w:ind w:left="0" w:right="43"/>
              <w:jc w:val="right"/>
              <w:rPr>
                <w:sz w:val="17"/>
                <w:lang w:val="fr-FR"/>
              </w:rPr>
            </w:pPr>
            <w:r w:rsidRPr="00991EDD">
              <w:rPr>
                <w:sz w:val="17"/>
                <w:lang w:val="fr-FR"/>
              </w:rPr>
              <w:t>3</w:t>
            </w:r>
            <w:r w:rsidR="00991EDD">
              <w:rPr>
                <w:sz w:val="17"/>
                <w:lang w:val="fr-FR"/>
              </w:rPr>
              <w:t xml:space="preserve"> </w:t>
            </w:r>
            <w:r w:rsidRPr="00991EDD">
              <w:rPr>
                <w:sz w:val="17"/>
                <w:lang w:val="fr-FR"/>
              </w:rPr>
              <w:t>542</w:t>
            </w:r>
          </w:p>
        </w:tc>
        <w:tc>
          <w:tcPr>
            <w:tcW w:w="1439" w:type="dxa"/>
            <w:shd w:val="clear" w:color="auto" w:fill="auto"/>
            <w:vAlign w:val="bottom"/>
          </w:tcPr>
          <w:p w:rsidR="00826E0F" w:rsidRPr="00991EDD" w:rsidRDefault="00826E0F" w:rsidP="00991EDD">
            <w:pPr>
              <w:pStyle w:val="SingleTxt"/>
              <w:tabs>
                <w:tab w:val="left" w:pos="288"/>
                <w:tab w:val="left" w:pos="576"/>
                <w:tab w:val="left" w:pos="864"/>
                <w:tab w:val="left" w:pos="1152"/>
              </w:tabs>
              <w:suppressAutoHyphens/>
              <w:spacing w:before="40" w:after="40" w:line="210" w:lineRule="exact"/>
              <w:ind w:left="0" w:right="43"/>
              <w:jc w:val="right"/>
              <w:rPr>
                <w:sz w:val="17"/>
                <w:lang w:val="fr-FR"/>
              </w:rPr>
            </w:pPr>
            <w:r w:rsidRPr="00991EDD">
              <w:rPr>
                <w:sz w:val="17"/>
                <w:lang w:val="fr-FR"/>
              </w:rPr>
              <w:t>8</w:t>
            </w:r>
            <w:r w:rsidR="00991EDD">
              <w:rPr>
                <w:sz w:val="17"/>
                <w:lang w:val="fr-FR"/>
              </w:rPr>
              <w:t xml:space="preserve"> </w:t>
            </w:r>
            <w:r w:rsidRPr="00991EDD">
              <w:rPr>
                <w:sz w:val="17"/>
                <w:lang w:val="fr-FR"/>
              </w:rPr>
              <w:t>321</w:t>
            </w:r>
          </w:p>
        </w:tc>
        <w:tc>
          <w:tcPr>
            <w:tcW w:w="1375" w:type="dxa"/>
            <w:shd w:val="clear" w:color="auto" w:fill="auto"/>
            <w:vAlign w:val="bottom"/>
          </w:tcPr>
          <w:p w:rsidR="00826E0F" w:rsidRPr="00991EDD" w:rsidRDefault="00826E0F" w:rsidP="00991EDD">
            <w:pPr>
              <w:pStyle w:val="SingleTxt"/>
              <w:tabs>
                <w:tab w:val="left" w:pos="288"/>
                <w:tab w:val="left" w:pos="576"/>
                <w:tab w:val="left" w:pos="864"/>
                <w:tab w:val="left" w:pos="1152"/>
              </w:tabs>
              <w:suppressAutoHyphens/>
              <w:spacing w:before="40" w:after="40" w:line="210" w:lineRule="exact"/>
              <w:ind w:left="0" w:right="43"/>
              <w:jc w:val="right"/>
              <w:rPr>
                <w:sz w:val="17"/>
                <w:lang w:val="fr-FR"/>
              </w:rPr>
            </w:pPr>
            <w:r w:rsidRPr="00991EDD">
              <w:rPr>
                <w:sz w:val="17"/>
                <w:lang w:val="fr-FR"/>
              </w:rPr>
              <w:t>4</w:t>
            </w:r>
            <w:r w:rsidR="00991EDD">
              <w:rPr>
                <w:sz w:val="17"/>
                <w:lang w:val="fr-FR"/>
              </w:rPr>
              <w:t xml:space="preserve"> </w:t>
            </w:r>
            <w:r w:rsidRPr="00991EDD">
              <w:rPr>
                <w:sz w:val="17"/>
                <w:lang w:val="fr-FR"/>
              </w:rPr>
              <w:t>909</w:t>
            </w:r>
          </w:p>
        </w:tc>
      </w:tr>
      <w:tr w:rsidR="00826E0F" w:rsidRPr="00991EDD" w:rsidTr="00A03470">
        <w:tc>
          <w:tcPr>
            <w:tcW w:w="1413" w:type="dxa"/>
            <w:shd w:val="clear" w:color="auto" w:fill="auto"/>
            <w:vAlign w:val="bottom"/>
          </w:tcPr>
          <w:p w:rsidR="00826E0F" w:rsidRPr="00991EDD" w:rsidRDefault="00826E0F" w:rsidP="00991EDD">
            <w:pPr>
              <w:pStyle w:val="SingleTxt"/>
              <w:tabs>
                <w:tab w:val="left" w:pos="288"/>
                <w:tab w:val="left" w:pos="576"/>
                <w:tab w:val="left" w:pos="864"/>
                <w:tab w:val="left" w:pos="1152"/>
              </w:tabs>
              <w:suppressAutoHyphens/>
              <w:spacing w:before="40" w:after="40" w:line="210" w:lineRule="exact"/>
              <w:ind w:left="0" w:right="43"/>
              <w:jc w:val="left"/>
              <w:rPr>
                <w:b/>
                <w:sz w:val="17"/>
                <w:lang w:val="fr-FR"/>
              </w:rPr>
            </w:pPr>
            <w:r w:rsidRPr="00991EDD">
              <w:rPr>
                <w:b/>
                <w:sz w:val="17"/>
                <w:lang w:val="fr-FR"/>
              </w:rPr>
              <w:t>Femmes en</w:t>
            </w:r>
            <w:r w:rsidR="006645B6">
              <w:rPr>
                <w:b/>
                <w:sz w:val="17"/>
                <w:lang w:val="fr-FR"/>
              </w:rPr>
              <w:t xml:space="preserve"> %</w:t>
            </w:r>
          </w:p>
        </w:tc>
        <w:tc>
          <w:tcPr>
            <w:tcW w:w="1172" w:type="dxa"/>
            <w:shd w:val="clear" w:color="auto" w:fill="auto"/>
            <w:vAlign w:val="bottom"/>
          </w:tcPr>
          <w:p w:rsidR="00826E0F" w:rsidRPr="00991EDD" w:rsidRDefault="00826E0F" w:rsidP="00991EDD">
            <w:pPr>
              <w:pStyle w:val="SingleTxt"/>
              <w:tabs>
                <w:tab w:val="left" w:pos="288"/>
                <w:tab w:val="left" w:pos="576"/>
                <w:tab w:val="left" w:pos="864"/>
                <w:tab w:val="left" w:pos="1152"/>
              </w:tabs>
              <w:suppressAutoHyphens/>
              <w:spacing w:before="40" w:after="40" w:line="210" w:lineRule="exact"/>
              <w:ind w:left="0" w:right="43"/>
              <w:jc w:val="right"/>
              <w:rPr>
                <w:sz w:val="17"/>
                <w:lang w:val="fr-FR"/>
              </w:rPr>
            </w:pPr>
            <w:r w:rsidRPr="00991EDD">
              <w:rPr>
                <w:sz w:val="17"/>
                <w:lang w:val="fr-FR"/>
              </w:rPr>
              <w:t>46</w:t>
            </w:r>
            <w:r w:rsidR="00991EDD">
              <w:rPr>
                <w:sz w:val="17"/>
                <w:lang w:val="fr-FR"/>
              </w:rPr>
              <w:t>,</w:t>
            </w:r>
            <w:r w:rsidRPr="00991EDD">
              <w:rPr>
                <w:sz w:val="17"/>
                <w:lang w:val="fr-FR"/>
              </w:rPr>
              <w:t>0</w:t>
            </w:r>
          </w:p>
        </w:tc>
        <w:tc>
          <w:tcPr>
            <w:tcW w:w="1796" w:type="dxa"/>
            <w:shd w:val="clear" w:color="auto" w:fill="auto"/>
            <w:vAlign w:val="bottom"/>
          </w:tcPr>
          <w:p w:rsidR="00826E0F" w:rsidRPr="00991EDD" w:rsidRDefault="00826E0F" w:rsidP="00991EDD">
            <w:pPr>
              <w:pStyle w:val="SingleTxt"/>
              <w:tabs>
                <w:tab w:val="left" w:pos="288"/>
                <w:tab w:val="left" w:pos="576"/>
                <w:tab w:val="left" w:pos="864"/>
                <w:tab w:val="left" w:pos="1152"/>
              </w:tabs>
              <w:suppressAutoHyphens/>
              <w:spacing w:before="40" w:after="40" w:line="210" w:lineRule="exact"/>
              <w:ind w:left="0" w:right="43"/>
              <w:jc w:val="right"/>
              <w:rPr>
                <w:sz w:val="17"/>
                <w:lang w:val="fr-FR"/>
              </w:rPr>
            </w:pPr>
            <w:r w:rsidRPr="00991EDD">
              <w:rPr>
                <w:sz w:val="17"/>
                <w:lang w:val="fr-FR"/>
              </w:rPr>
              <w:t>87</w:t>
            </w:r>
            <w:r w:rsidR="00991EDD">
              <w:rPr>
                <w:sz w:val="17"/>
                <w:lang w:val="fr-FR"/>
              </w:rPr>
              <w:t>,</w:t>
            </w:r>
            <w:r w:rsidRPr="00991EDD">
              <w:rPr>
                <w:sz w:val="17"/>
                <w:lang w:val="fr-FR"/>
              </w:rPr>
              <w:t>0</w:t>
            </w:r>
          </w:p>
        </w:tc>
        <w:tc>
          <w:tcPr>
            <w:tcW w:w="1439" w:type="dxa"/>
            <w:shd w:val="clear" w:color="auto" w:fill="auto"/>
            <w:vAlign w:val="bottom"/>
          </w:tcPr>
          <w:p w:rsidR="00826E0F" w:rsidRPr="00991EDD" w:rsidRDefault="00826E0F" w:rsidP="00991EDD">
            <w:pPr>
              <w:pStyle w:val="SingleTxt"/>
              <w:tabs>
                <w:tab w:val="left" w:pos="288"/>
                <w:tab w:val="left" w:pos="576"/>
                <w:tab w:val="left" w:pos="864"/>
                <w:tab w:val="left" w:pos="1152"/>
              </w:tabs>
              <w:suppressAutoHyphens/>
              <w:spacing w:before="40" w:after="40" w:line="210" w:lineRule="exact"/>
              <w:ind w:left="0" w:right="43"/>
              <w:jc w:val="right"/>
              <w:rPr>
                <w:sz w:val="17"/>
                <w:lang w:val="fr-FR"/>
              </w:rPr>
            </w:pPr>
            <w:r w:rsidRPr="00991EDD">
              <w:rPr>
                <w:sz w:val="17"/>
                <w:lang w:val="fr-FR"/>
              </w:rPr>
              <w:t>50</w:t>
            </w:r>
            <w:r w:rsidR="00991EDD">
              <w:rPr>
                <w:sz w:val="17"/>
                <w:lang w:val="fr-FR"/>
              </w:rPr>
              <w:t>,</w:t>
            </w:r>
            <w:r w:rsidRPr="00991EDD">
              <w:rPr>
                <w:sz w:val="17"/>
                <w:lang w:val="fr-FR"/>
              </w:rPr>
              <w:t>0</w:t>
            </w:r>
          </w:p>
        </w:tc>
        <w:tc>
          <w:tcPr>
            <w:tcW w:w="1375" w:type="dxa"/>
            <w:shd w:val="clear" w:color="auto" w:fill="auto"/>
            <w:vAlign w:val="bottom"/>
          </w:tcPr>
          <w:p w:rsidR="00826E0F" w:rsidRPr="00991EDD" w:rsidRDefault="00826E0F" w:rsidP="00991EDD">
            <w:pPr>
              <w:pStyle w:val="SingleTxt"/>
              <w:tabs>
                <w:tab w:val="left" w:pos="288"/>
                <w:tab w:val="left" w:pos="576"/>
                <w:tab w:val="left" w:pos="864"/>
                <w:tab w:val="left" w:pos="1152"/>
              </w:tabs>
              <w:suppressAutoHyphens/>
              <w:spacing w:before="40" w:after="40" w:line="210" w:lineRule="exact"/>
              <w:ind w:left="0" w:right="43"/>
              <w:jc w:val="right"/>
              <w:rPr>
                <w:sz w:val="17"/>
                <w:lang w:val="fr-FR"/>
              </w:rPr>
            </w:pPr>
            <w:r w:rsidRPr="00991EDD">
              <w:rPr>
                <w:sz w:val="17"/>
                <w:lang w:val="fr-FR"/>
              </w:rPr>
              <w:t>55</w:t>
            </w:r>
            <w:r w:rsidR="00991EDD">
              <w:rPr>
                <w:sz w:val="17"/>
                <w:lang w:val="fr-FR"/>
              </w:rPr>
              <w:t>,</w:t>
            </w:r>
            <w:r w:rsidRPr="00991EDD">
              <w:rPr>
                <w:sz w:val="17"/>
                <w:lang w:val="fr-FR"/>
              </w:rPr>
              <w:t>8</w:t>
            </w:r>
          </w:p>
        </w:tc>
      </w:tr>
      <w:tr w:rsidR="00826E0F" w:rsidRPr="00991EDD" w:rsidTr="00A03470">
        <w:tc>
          <w:tcPr>
            <w:tcW w:w="1413" w:type="dxa"/>
            <w:tcBorders>
              <w:bottom w:val="single" w:sz="12" w:space="0" w:color="auto"/>
            </w:tcBorders>
            <w:shd w:val="clear" w:color="auto" w:fill="auto"/>
            <w:vAlign w:val="bottom"/>
          </w:tcPr>
          <w:p w:rsidR="00826E0F" w:rsidRPr="00991EDD" w:rsidRDefault="00826E0F" w:rsidP="00991EDD">
            <w:pPr>
              <w:pStyle w:val="SingleTxt"/>
              <w:tabs>
                <w:tab w:val="left" w:pos="288"/>
                <w:tab w:val="left" w:pos="576"/>
                <w:tab w:val="left" w:pos="864"/>
                <w:tab w:val="left" w:pos="1152"/>
              </w:tabs>
              <w:suppressAutoHyphens/>
              <w:spacing w:before="40" w:after="40" w:line="210" w:lineRule="exact"/>
              <w:ind w:left="0" w:right="43"/>
              <w:jc w:val="left"/>
              <w:rPr>
                <w:b/>
                <w:sz w:val="17"/>
                <w:lang w:val="fr-FR"/>
              </w:rPr>
            </w:pPr>
            <w:r w:rsidRPr="00991EDD">
              <w:rPr>
                <w:b/>
                <w:sz w:val="17"/>
                <w:lang w:val="fr-FR"/>
              </w:rPr>
              <w:t>Hommes en</w:t>
            </w:r>
            <w:r w:rsidR="006645B6">
              <w:rPr>
                <w:b/>
                <w:sz w:val="17"/>
                <w:lang w:val="fr-FR"/>
              </w:rPr>
              <w:t xml:space="preserve"> %</w:t>
            </w:r>
          </w:p>
        </w:tc>
        <w:tc>
          <w:tcPr>
            <w:tcW w:w="1172" w:type="dxa"/>
            <w:tcBorders>
              <w:bottom w:val="single" w:sz="12" w:space="0" w:color="auto"/>
            </w:tcBorders>
            <w:shd w:val="clear" w:color="auto" w:fill="auto"/>
            <w:vAlign w:val="bottom"/>
          </w:tcPr>
          <w:p w:rsidR="00826E0F" w:rsidRPr="00991EDD" w:rsidRDefault="00826E0F" w:rsidP="00991EDD">
            <w:pPr>
              <w:pStyle w:val="SingleTxt"/>
              <w:tabs>
                <w:tab w:val="left" w:pos="288"/>
                <w:tab w:val="left" w:pos="576"/>
                <w:tab w:val="left" w:pos="864"/>
                <w:tab w:val="left" w:pos="1152"/>
              </w:tabs>
              <w:suppressAutoHyphens/>
              <w:spacing w:before="40" w:after="40" w:line="210" w:lineRule="exact"/>
              <w:ind w:left="0" w:right="43"/>
              <w:jc w:val="right"/>
              <w:rPr>
                <w:sz w:val="17"/>
                <w:lang w:val="fr-FR"/>
              </w:rPr>
            </w:pPr>
            <w:r w:rsidRPr="00991EDD">
              <w:rPr>
                <w:sz w:val="17"/>
                <w:lang w:val="fr-FR"/>
              </w:rPr>
              <w:t>54</w:t>
            </w:r>
            <w:r w:rsidR="00991EDD">
              <w:rPr>
                <w:sz w:val="17"/>
                <w:lang w:val="fr-FR"/>
              </w:rPr>
              <w:t>,</w:t>
            </w:r>
            <w:r w:rsidRPr="00991EDD">
              <w:rPr>
                <w:sz w:val="17"/>
                <w:lang w:val="fr-FR"/>
              </w:rPr>
              <w:t>0</w:t>
            </w:r>
          </w:p>
        </w:tc>
        <w:tc>
          <w:tcPr>
            <w:tcW w:w="1796" w:type="dxa"/>
            <w:tcBorders>
              <w:bottom w:val="single" w:sz="12" w:space="0" w:color="auto"/>
            </w:tcBorders>
            <w:shd w:val="clear" w:color="auto" w:fill="auto"/>
            <w:vAlign w:val="bottom"/>
          </w:tcPr>
          <w:p w:rsidR="00826E0F" w:rsidRPr="00991EDD" w:rsidRDefault="00826E0F" w:rsidP="00991EDD">
            <w:pPr>
              <w:pStyle w:val="SingleTxt"/>
              <w:tabs>
                <w:tab w:val="left" w:pos="288"/>
                <w:tab w:val="left" w:pos="576"/>
                <w:tab w:val="left" w:pos="864"/>
                <w:tab w:val="left" w:pos="1152"/>
              </w:tabs>
              <w:suppressAutoHyphens/>
              <w:spacing w:before="40" w:after="40" w:line="210" w:lineRule="exact"/>
              <w:ind w:left="0" w:right="43"/>
              <w:jc w:val="right"/>
              <w:rPr>
                <w:sz w:val="17"/>
                <w:lang w:val="fr-FR"/>
              </w:rPr>
            </w:pPr>
            <w:r w:rsidRPr="00991EDD">
              <w:rPr>
                <w:sz w:val="17"/>
                <w:lang w:val="fr-FR"/>
              </w:rPr>
              <w:t>13</w:t>
            </w:r>
            <w:r w:rsidR="00991EDD">
              <w:rPr>
                <w:sz w:val="17"/>
                <w:lang w:val="fr-FR"/>
              </w:rPr>
              <w:t>,</w:t>
            </w:r>
            <w:r w:rsidRPr="00991EDD">
              <w:rPr>
                <w:sz w:val="17"/>
                <w:lang w:val="fr-FR"/>
              </w:rPr>
              <w:t>0</w:t>
            </w:r>
          </w:p>
        </w:tc>
        <w:tc>
          <w:tcPr>
            <w:tcW w:w="1439" w:type="dxa"/>
            <w:tcBorders>
              <w:bottom w:val="single" w:sz="12" w:space="0" w:color="auto"/>
            </w:tcBorders>
            <w:shd w:val="clear" w:color="auto" w:fill="auto"/>
            <w:vAlign w:val="bottom"/>
          </w:tcPr>
          <w:p w:rsidR="00826E0F" w:rsidRPr="00991EDD" w:rsidRDefault="00826E0F" w:rsidP="00991EDD">
            <w:pPr>
              <w:pStyle w:val="SingleTxt"/>
              <w:tabs>
                <w:tab w:val="left" w:pos="288"/>
                <w:tab w:val="left" w:pos="576"/>
                <w:tab w:val="left" w:pos="864"/>
                <w:tab w:val="left" w:pos="1152"/>
              </w:tabs>
              <w:suppressAutoHyphens/>
              <w:spacing w:before="40" w:after="40" w:line="210" w:lineRule="exact"/>
              <w:ind w:left="0" w:right="43"/>
              <w:jc w:val="right"/>
              <w:rPr>
                <w:sz w:val="17"/>
                <w:lang w:val="fr-FR"/>
              </w:rPr>
            </w:pPr>
            <w:r w:rsidRPr="00991EDD">
              <w:rPr>
                <w:sz w:val="17"/>
                <w:lang w:val="fr-FR"/>
              </w:rPr>
              <w:t>50</w:t>
            </w:r>
            <w:r w:rsidR="00991EDD">
              <w:rPr>
                <w:sz w:val="17"/>
                <w:lang w:val="fr-FR"/>
              </w:rPr>
              <w:t>,</w:t>
            </w:r>
            <w:r w:rsidRPr="00991EDD">
              <w:rPr>
                <w:sz w:val="17"/>
                <w:lang w:val="fr-FR"/>
              </w:rPr>
              <w:t>0</w:t>
            </w:r>
          </w:p>
        </w:tc>
        <w:tc>
          <w:tcPr>
            <w:tcW w:w="1375" w:type="dxa"/>
            <w:tcBorders>
              <w:bottom w:val="single" w:sz="12" w:space="0" w:color="auto"/>
            </w:tcBorders>
            <w:shd w:val="clear" w:color="auto" w:fill="auto"/>
            <w:vAlign w:val="bottom"/>
          </w:tcPr>
          <w:p w:rsidR="00826E0F" w:rsidRPr="00991EDD" w:rsidRDefault="00826E0F" w:rsidP="00991EDD">
            <w:pPr>
              <w:pStyle w:val="SingleTxt"/>
              <w:tabs>
                <w:tab w:val="left" w:pos="288"/>
                <w:tab w:val="left" w:pos="576"/>
                <w:tab w:val="left" w:pos="864"/>
                <w:tab w:val="left" w:pos="1152"/>
              </w:tabs>
              <w:suppressAutoHyphens/>
              <w:spacing w:before="40" w:after="40" w:line="210" w:lineRule="exact"/>
              <w:ind w:left="0" w:right="43"/>
              <w:jc w:val="right"/>
              <w:rPr>
                <w:sz w:val="17"/>
                <w:lang w:val="fr-FR"/>
              </w:rPr>
            </w:pPr>
            <w:r w:rsidRPr="00991EDD">
              <w:rPr>
                <w:sz w:val="17"/>
                <w:lang w:val="fr-FR"/>
              </w:rPr>
              <w:t>44</w:t>
            </w:r>
            <w:r w:rsidR="00991EDD">
              <w:rPr>
                <w:sz w:val="17"/>
                <w:lang w:val="fr-FR"/>
              </w:rPr>
              <w:t>,</w:t>
            </w:r>
            <w:r w:rsidRPr="00991EDD">
              <w:rPr>
                <w:sz w:val="17"/>
                <w:lang w:val="fr-FR"/>
              </w:rPr>
              <w:t>2</w:t>
            </w:r>
          </w:p>
        </w:tc>
      </w:tr>
    </w:tbl>
    <w:p w:rsidR="00991EDD" w:rsidRPr="00991EDD" w:rsidRDefault="00991EDD" w:rsidP="00991EDD">
      <w:pPr>
        <w:pStyle w:val="SingleTxt"/>
        <w:spacing w:after="0" w:line="120" w:lineRule="exact"/>
        <w:rPr>
          <w:sz w:val="10"/>
          <w:lang w:val="fr-FR"/>
        </w:rPr>
      </w:pPr>
    </w:p>
    <w:p w:rsidR="00826E0F" w:rsidRPr="00872599" w:rsidRDefault="00826E0F" w:rsidP="00991EDD">
      <w:pPr>
        <w:pStyle w:val="FootnoteText"/>
        <w:tabs>
          <w:tab w:val="clear" w:pos="418"/>
          <w:tab w:val="right" w:pos="1476"/>
          <w:tab w:val="left" w:pos="1548"/>
          <w:tab w:val="right" w:pos="1836"/>
          <w:tab w:val="left" w:pos="1908"/>
        </w:tabs>
        <w:ind w:left="1548" w:right="1267" w:hanging="288"/>
        <w:rPr>
          <w:lang w:val="fr-FR"/>
        </w:rPr>
      </w:pPr>
      <w:r w:rsidRPr="00991EDD">
        <w:rPr>
          <w:i/>
          <w:lang w:val="fr-FR"/>
        </w:rPr>
        <w:t>Source</w:t>
      </w:r>
      <w:r w:rsidR="006645B6">
        <w:rPr>
          <w:lang w:val="fr-FR"/>
        </w:rPr>
        <w:t> :</w:t>
      </w:r>
      <w:r w:rsidRPr="00872599">
        <w:rPr>
          <w:lang w:val="fr-FR"/>
        </w:rPr>
        <w:t xml:space="preserve"> Statistiques démographiques pour 2006 du Bureau des affaires économiques,.</w:t>
      </w:r>
    </w:p>
    <w:p w:rsidR="00991EDD" w:rsidRPr="00991EDD" w:rsidRDefault="00991EDD" w:rsidP="00991EDD">
      <w:pPr>
        <w:pStyle w:val="SingleTxt"/>
        <w:spacing w:after="0" w:line="120" w:lineRule="exact"/>
        <w:rPr>
          <w:sz w:val="10"/>
          <w:lang w:val="fr-FR" w:eastAsia="fr-FR"/>
        </w:rPr>
      </w:pPr>
    </w:p>
    <w:p w:rsidR="00826E0F" w:rsidRPr="00872599" w:rsidRDefault="00991EDD" w:rsidP="00497599">
      <w:pPr>
        <w:pStyle w:val="SingleTxt"/>
        <w:rPr>
          <w:lang w:val="fr-FR" w:eastAsia="fr-FR"/>
        </w:rPr>
      </w:pPr>
      <w:r>
        <w:rPr>
          <w:lang w:val="fr-FR" w:eastAsia="fr-FR"/>
        </w:rPr>
        <w:tab/>
      </w:r>
      <w:r w:rsidR="00826E0F" w:rsidRPr="00872599">
        <w:rPr>
          <w:lang w:val="fr-FR" w:eastAsia="fr-FR"/>
        </w:rPr>
        <w:t>Il ressort d</w:t>
      </w:r>
      <w:r w:rsidR="006645B6">
        <w:rPr>
          <w:lang w:val="fr-FR" w:eastAsia="fr-FR"/>
        </w:rPr>
        <w:t>’</w:t>
      </w:r>
      <w:r w:rsidR="00826E0F" w:rsidRPr="00872599">
        <w:rPr>
          <w:lang w:val="fr-FR" w:eastAsia="fr-FR"/>
        </w:rPr>
        <w:t xml:space="preserve">une comparaison entre les sexes que la proportion de femmes étrangères au chômage </w:t>
      </w:r>
      <w:r w:rsidR="00CC772D" w:rsidRPr="00872599">
        <w:rPr>
          <w:lang w:val="fr-FR" w:eastAsia="fr-FR"/>
        </w:rPr>
        <w:t>était</w:t>
      </w:r>
      <w:r w:rsidR="00826E0F" w:rsidRPr="00872599">
        <w:rPr>
          <w:lang w:val="fr-FR" w:eastAsia="fr-FR"/>
        </w:rPr>
        <w:t xml:space="preserve"> de 48,2</w:t>
      </w:r>
      <w:r w:rsidR="006645B6">
        <w:rPr>
          <w:lang w:val="fr-FR" w:eastAsia="fr-FR"/>
        </w:rPr>
        <w:t xml:space="preserve"> %</w:t>
      </w:r>
      <w:r w:rsidR="00826E0F" w:rsidRPr="00872599">
        <w:rPr>
          <w:lang w:val="fr-FR" w:eastAsia="fr-FR"/>
        </w:rPr>
        <w:t>. Parmi les chômeurs ayant la nationalité du Liechtenstein, la proportion des femmes est légèrement inférieure (46</w:t>
      </w:r>
      <w:r w:rsidR="006645B6">
        <w:rPr>
          <w:lang w:val="fr-FR" w:eastAsia="fr-FR"/>
        </w:rPr>
        <w:t xml:space="preserve"> %</w:t>
      </w:r>
      <w:r w:rsidR="00826E0F" w:rsidRPr="00872599">
        <w:rPr>
          <w:lang w:val="fr-FR" w:eastAsia="fr-FR"/>
        </w:rPr>
        <w:t>). Quant aux hommes, 27,3</w:t>
      </w:r>
      <w:r w:rsidR="006645B6">
        <w:rPr>
          <w:lang w:val="fr-FR" w:eastAsia="fr-FR"/>
        </w:rPr>
        <w:t xml:space="preserve"> %</w:t>
      </w:r>
      <w:r w:rsidR="00826E0F" w:rsidRPr="00872599">
        <w:rPr>
          <w:lang w:val="fr-FR" w:eastAsia="fr-FR"/>
        </w:rPr>
        <w:t xml:space="preserve"> ont 50 ans ou plus, la proportion des femmes appartenant à ce groupe d</w:t>
      </w:r>
      <w:r w:rsidR="006645B6">
        <w:rPr>
          <w:lang w:val="fr-FR" w:eastAsia="fr-FR"/>
        </w:rPr>
        <w:t>’</w:t>
      </w:r>
      <w:r w:rsidR="00826E0F" w:rsidRPr="00872599">
        <w:rPr>
          <w:lang w:val="fr-FR" w:eastAsia="fr-FR"/>
        </w:rPr>
        <w:t>âge n</w:t>
      </w:r>
      <w:r w:rsidR="006645B6">
        <w:rPr>
          <w:lang w:val="fr-FR" w:eastAsia="fr-FR"/>
        </w:rPr>
        <w:t>’</w:t>
      </w:r>
      <w:r w:rsidR="00826E0F" w:rsidRPr="00872599">
        <w:rPr>
          <w:lang w:val="fr-FR" w:eastAsia="fr-FR"/>
        </w:rPr>
        <w:t>étant que de 22,9</w:t>
      </w:r>
      <w:r w:rsidR="006645B6">
        <w:rPr>
          <w:lang w:val="fr-FR" w:eastAsia="fr-FR"/>
        </w:rPr>
        <w:t xml:space="preserve"> %</w:t>
      </w:r>
      <w:r w:rsidR="00826E0F" w:rsidRPr="00A03470">
        <w:rPr>
          <w:rStyle w:val="FootnoteCharacters"/>
          <w:sz w:val="24"/>
          <w:szCs w:val="24"/>
          <w:lang w:val="en-US"/>
        </w:rPr>
        <w:footnoteReference w:id="17"/>
      </w:r>
      <w:r w:rsidR="00826E0F" w:rsidRPr="00872599">
        <w:rPr>
          <w:lang w:val="fr-FR" w:eastAsia="fr-FR"/>
        </w:rPr>
        <w:t>.</w:t>
      </w:r>
    </w:p>
    <w:p w:rsidR="00991EDD" w:rsidRPr="00991EDD" w:rsidRDefault="00991EDD" w:rsidP="00991ED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lang w:val="fr-FR" w:eastAsia="fr-FR"/>
        </w:rPr>
      </w:pPr>
    </w:p>
    <w:p w:rsidR="00826E0F" w:rsidRPr="00872599" w:rsidRDefault="00991EDD" w:rsidP="00991ED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eastAsia="fr-FR"/>
        </w:rPr>
      </w:pPr>
      <w:r>
        <w:rPr>
          <w:lang w:val="fr-FR" w:eastAsia="fr-FR"/>
        </w:rPr>
        <w:tab/>
      </w:r>
      <w:r>
        <w:rPr>
          <w:lang w:val="fr-FR" w:eastAsia="fr-FR"/>
        </w:rPr>
        <w:tab/>
      </w:r>
      <w:r w:rsidR="00826E0F" w:rsidRPr="00872599">
        <w:rPr>
          <w:lang w:val="fr-FR" w:eastAsia="fr-FR"/>
        </w:rPr>
        <w:t>Inégalité de rémunération</w:t>
      </w:r>
    </w:p>
    <w:p w:rsidR="00991EDD" w:rsidRPr="00991EDD" w:rsidRDefault="00991EDD" w:rsidP="00991EDD">
      <w:pPr>
        <w:pStyle w:val="SingleTxt"/>
        <w:keepNext/>
        <w:keepLines/>
        <w:spacing w:after="0" w:line="120" w:lineRule="exact"/>
        <w:rPr>
          <w:sz w:val="10"/>
          <w:lang w:val="fr-FR" w:eastAsia="fr-FR"/>
        </w:rPr>
      </w:pPr>
    </w:p>
    <w:p w:rsidR="00826E0F" w:rsidRPr="00872599" w:rsidRDefault="00991EDD" w:rsidP="00991EDD">
      <w:pPr>
        <w:pStyle w:val="SingleTxt"/>
        <w:keepNext/>
        <w:keepLines/>
        <w:rPr>
          <w:lang w:val="fr-FR" w:eastAsia="fr-FR"/>
        </w:rPr>
      </w:pPr>
      <w:r>
        <w:rPr>
          <w:lang w:val="fr-FR" w:eastAsia="fr-FR"/>
        </w:rPr>
        <w:tab/>
      </w:r>
      <w:r w:rsidR="00826E0F" w:rsidRPr="00872599">
        <w:rPr>
          <w:lang w:val="fr-FR" w:eastAsia="fr-FR"/>
        </w:rPr>
        <w:t>Après la première publication des statistiques sur les salair</w:t>
      </w:r>
      <w:r w:rsidR="00826E0F">
        <w:rPr>
          <w:lang w:val="fr-FR" w:eastAsia="fr-FR"/>
        </w:rPr>
        <w:t>es au Liechtenstein en</w:t>
      </w:r>
      <w:r w:rsidR="006645B6">
        <w:rPr>
          <w:lang w:val="fr-FR" w:eastAsia="fr-FR"/>
        </w:rPr>
        <w:t xml:space="preserve"> </w:t>
      </w:r>
      <w:r w:rsidR="00826E0F">
        <w:rPr>
          <w:lang w:val="fr-FR" w:eastAsia="fr-FR"/>
        </w:rPr>
        <w:t>2008, une</w:t>
      </w:r>
      <w:r w:rsidR="00826E0F" w:rsidRPr="00872599">
        <w:rPr>
          <w:lang w:val="fr-FR" w:eastAsia="fr-FR"/>
        </w:rPr>
        <w:t xml:space="preserve"> deuxième édition a été publiée en avril 2009 sur la base de chiffres correspondant à 2006. Les statistiques sur les salaires visent à donner un meilleur aperçu de la structure des salaires parmi les travailleurs employés au Liechtenstein et de fournir des données comparables au plan international.</w:t>
      </w:r>
    </w:p>
    <w:p w:rsidR="00826E0F" w:rsidRPr="00872599" w:rsidRDefault="00991EDD" w:rsidP="00497599">
      <w:pPr>
        <w:pStyle w:val="SingleTxt"/>
        <w:rPr>
          <w:lang w:val="fr-FR" w:eastAsia="fr-FR"/>
        </w:rPr>
      </w:pPr>
      <w:r>
        <w:rPr>
          <w:lang w:val="fr-FR"/>
        </w:rPr>
        <w:tab/>
      </w:r>
      <w:r w:rsidR="00826E0F" w:rsidRPr="00872599">
        <w:rPr>
          <w:lang w:val="fr-FR"/>
        </w:rPr>
        <w:t xml:space="preserve">En 2006, </w:t>
      </w:r>
      <w:r w:rsidR="00826E0F" w:rsidRPr="00872599">
        <w:rPr>
          <w:lang w:val="fr-FR" w:eastAsia="fr-FR"/>
        </w:rPr>
        <w:t>le salaire brut médian des personnes employées au Liechtenstein était de CHF 5 885. Par rapport au niveau de salaire en Suisse, le salaire brut au Liechtenstein était de 4</w:t>
      </w:r>
      <w:r w:rsidR="006645B6">
        <w:rPr>
          <w:lang w:val="fr-FR" w:eastAsia="fr-FR"/>
        </w:rPr>
        <w:t xml:space="preserve"> %</w:t>
      </w:r>
      <w:r w:rsidR="00826E0F" w:rsidRPr="00872599">
        <w:rPr>
          <w:lang w:val="fr-FR" w:eastAsia="fr-FR"/>
        </w:rPr>
        <w:t xml:space="preserve"> supérieur selon </w:t>
      </w:r>
      <w:r w:rsidR="00826E0F">
        <w:rPr>
          <w:lang w:val="fr-FR" w:eastAsia="fr-FR"/>
        </w:rPr>
        <w:t>l</w:t>
      </w:r>
      <w:r w:rsidR="006645B6">
        <w:rPr>
          <w:lang w:val="fr-FR" w:eastAsia="fr-FR"/>
        </w:rPr>
        <w:t>’</w:t>
      </w:r>
      <w:r w:rsidR="00826E0F">
        <w:rPr>
          <w:lang w:val="fr-FR" w:eastAsia="fr-FR"/>
        </w:rPr>
        <w:t>enquê</w:t>
      </w:r>
      <w:r w:rsidR="00826E0F" w:rsidRPr="00872599">
        <w:rPr>
          <w:lang w:val="fr-FR" w:eastAsia="fr-FR"/>
        </w:rPr>
        <w:t>te sur la structure des salaires en Suisse d</w:t>
      </w:r>
      <w:r w:rsidR="006645B6">
        <w:rPr>
          <w:lang w:val="fr-FR" w:eastAsia="fr-FR"/>
        </w:rPr>
        <w:t>’</w:t>
      </w:r>
      <w:r w:rsidR="00826E0F" w:rsidRPr="00872599">
        <w:rPr>
          <w:lang w:val="fr-FR" w:eastAsia="fr-FR"/>
        </w:rPr>
        <w:t>octobre 2006.</w:t>
      </w:r>
    </w:p>
    <w:p w:rsidR="00826E0F" w:rsidRPr="00872599" w:rsidRDefault="00CC5663" w:rsidP="00497599">
      <w:pPr>
        <w:pStyle w:val="SingleTxt"/>
        <w:rPr>
          <w:lang w:val="fr-FR" w:eastAsia="fr-FR"/>
        </w:rPr>
      </w:pPr>
      <w:r>
        <w:rPr>
          <w:lang w:val="fr-FR" w:eastAsia="fr-FR"/>
        </w:rPr>
        <w:tab/>
      </w:r>
      <w:r w:rsidR="00826E0F" w:rsidRPr="00872599">
        <w:rPr>
          <w:lang w:val="fr-FR" w:eastAsia="fr-FR"/>
        </w:rPr>
        <w:t>Les personnes se situant dans le quart inférieur de l</w:t>
      </w:r>
      <w:r w:rsidR="006645B6">
        <w:rPr>
          <w:lang w:val="fr-FR" w:eastAsia="fr-FR"/>
        </w:rPr>
        <w:t>’</w:t>
      </w:r>
      <w:r w:rsidR="00826E0F" w:rsidRPr="00872599">
        <w:rPr>
          <w:lang w:val="fr-FR" w:eastAsia="fr-FR"/>
        </w:rPr>
        <w:t>échelle des salaires gagnaient au plus CHF 4 534 par mois en 2006, alors que les personnes se situant dans le quart supérieur percevaient des salaires mensuels bruts de CHF 7 870 ou plus. Les salaires dans le quart le plus faible sont donc inférieurs de 22</w:t>
      </w:r>
      <w:r w:rsidR="006645B6">
        <w:rPr>
          <w:lang w:val="fr-FR" w:eastAsia="fr-FR"/>
        </w:rPr>
        <w:t xml:space="preserve"> %</w:t>
      </w:r>
      <w:r w:rsidR="00826E0F" w:rsidRPr="00872599">
        <w:rPr>
          <w:lang w:val="fr-FR" w:eastAsia="fr-FR"/>
        </w:rPr>
        <w:t xml:space="preserve"> ou plus au salaire mensuel brut médian qui était de CHF 5 885. Les salaires appartenant au quart supérieur commençaient 34</w:t>
      </w:r>
      <w:r w:rsidR="006645B6">
        <w:rPr>
          <w:lang w:val="fr-FR" w:eastAsia="fr-FR"/>
        </w:rPr>
        <w:t> %</w:t>
      </w:r>
      <w:r w:rsidR="00826E0F" w:rsidRPr="00872599">
        <w:rPr>
          <w:lang w:val="fr-FR" w:eastAsia="fr-FR"/>
        </w:rPr>
        <w:t xml:space="preserve"> au-dessus du salaire mensuel brut médian.</w:t>
      </w:r>
    </w:p>
    <w:p w:rsidR="00826E0F" w:rsidRPr="00872599" w:rsidRDefault="00CC5663" w:rsidP="00497599">
      <w:pPr>
        <w:pStyle w:val="SingleTxt"/>
        <w:rPr>
          <w:lang w:val="fr-FR" w:eastAsia="fr-FR"/>
        </w:rPr>
      </w:pPr>
      <w:r>
        <w:rPr>
          <w:lang w:val="fr-FR" w:eastAsia="fr-FR"/>
        </w:rPr>
        <w:tab/>
      </w:r>
      <w:r w:rsidR="00826E0F" w:rsidRPr="00872599">
        <w:rPr>
          <w:lang w:val="fr-FR" w:eastAsia="fr-FR"/>
        </w:rPr>
        <w:t>Si l</w:t>
      </w:r>
      <w:r w:rsidR="006645B6">
        <w:rPr>
          <w:lang w:val="fr-FR" w:eastAsia="fr-FR"/>
        </w:rPr>
        <w:t>’</w:t>
      </w:r>
      <w:r w:rsidR="00826E0F" w:rsidRPr="00872599">
        <w:rPr>
          <w:lang w:val="fr-FR" w:eastAsia="fr-FR"/>
        </w:rPr>
        <w:t>on extrapole en horaire de travail à plein temps, le salaire mensuel brut des femmes était de 20</w:t>
      </w:r>
      <w:r w:rsidR="006645B6">
        <w:rPr>
          <w:lang w:val="fr-FR" w:eastAsia="fr-FR"/>
        </w:rPr>
        <w:t> %</w:t>
      </w:r>
      <w:r w:rsidR="00826E0F" w:rsidRPr="00872599">
        <w:rPr>
          <w:lang w:val="fr-FR" w:eastAsia="fr-FR"/>
        </w:rPr>
        <w:t xml:space="preserve"> inférieur à celui des hommes en 2006. Chez les femmes, le salaire médian était de CHF 5 176, alors que celui des hommes atteignait </w:t>
      </w:r>
      <w:r w:rsidR="00826E0F" w:rsidRPr="00A4102E">
        <w:t>CHF6</w:t>
      </w:r>
      <w:r w:rsidR="00826E0F" w:rsidRPr="00872599">
        <w:rPr>
          <w:lang w:val="fr-FR" w:eastAsia="fr-FR"/>
        </w:rPr>
        <w:t xml:space="preserve"> 468. L</w:t>
      </w:r>
      <w:r w:rsidR="006645B6">
        <w:rPr>
          <w:lang w:val="fr-FR" w:eastAsia="fr-FR"/>
        </w:rPr>
        <w:t>’</w:t>
      </w:r>
      <w:r w:rsidR="00826E0F" w:rsidRPr="00872599">
        <w:rPr>
          <w:lang w:val="fr-FR" w:eastAsia="fr-FR"/>
        </w:rPr>
        <w:t>écart de rémunération en pourcentage entre les femmes et les hommes est légèrement plus marqué au Liechtenstein qu</w:t>
      </w:r>
      <w:r w:rsidR="006645B6">
        <w:rPr>
          <w:lang w:val="fr-FR" w:eastAsia="fr-FR"/>
        </w:rPr>
        <w:t>’</w:t>
      </w:r>
      <w:r w:rsidR="00826E0F" w:rsidRPr="00872599">
        <w:rPr>
          <w:lang w:val="fr-FR" w:eastAsia="fr-FR"/>
        </w:rPr>
        <w:t>en Suisse. L</w:t>
      </w:r>
      <w:r w:rsidR="006645B6">
        <w:rPr>
          <w:lang w:val="fr-FR" w:eastAsia="fr-FR"/>
        </w:rPr>
        <w:t>’</w:t>
      </w:r>
      <w:r w:rsidR="00826E0F" w:rsidRPr="00872599">
        <w:rPr>
          <w:lang w:val="fr-FR" w:eastAsia="fr-FR"/>
        </w:rPr>
        <w:t>enquête sur la structure des salaires en Suisse en 2006 montre un écart de salaire de 18,9</w:t>
      </w:r>
      <w:r w:rsidR="006645B6">
        <w:rPr>
          <w:lang w:val="fr-FR" w:eastAsia="fr-FR"/>
        </w:rPr>
        <w:t> %</w:t>
      </w:r>
      <w:r w:rsidR="00826E0F" w:rsidRPr="00872599">
        <w:rPr>
          <w:lang w:val="fr-FR" w:eastAsia="fr-FR"/>
        </w:rPr>
        <w:t xml:space="preserve"> entre les femmes et les hommes. Mais lorsqu</w:t>
      </w:r>
      <w:r w:rsidR="006645B6">
        <w:rPr>
          <w:lang w:val="fr-FR" w:eastAsia="fr-FR"/>
        </w:rPr>
        <w:t>’</w:t>
      </w:r>
      <w:r w:rsidR="00826E0F" w:rsidRPr="00872599">
        <w:rPr>
          <w:lang w:val="fr-FR" w:eastAsia="fr-FR"/>
        </w:rPr>
        <w:t>on évalue des écarts de salaire, il ne faut pas perdre de vue qu</w:t>
      </w:r>
      <w:r w:rsidR="006645B6">
        <w:rPr>
          <w:lang w:val="fr-FR" w:eastAsia="fr-FR"/>
        </w:rPr>
        <w:t>’</w:t>
      </w:r>
      <w:r w:rsidR="00826E0F" w:rsidRPr="00872599">
        <w:rPr>
          <w:lang w:val="fr-FR" w:eastAsia="fr-FR"/>
        </w:rPr>
        <w:t>ils sont en partie dus à des facteurs objectifs tels que l</w:t>
      </w:r>
      <w:r w:rsidR="006645B6">
        <w:rPr>
          <w:lang w:val="fr-FR" w:eastAsia="fr-FR"/>
        </w:rPr>
        <w:t>’</w:t>
      </w:r>
      <w:r w:rsidR="00826E0F" w:rsidRPr="00872599">
        <w:rPr>
          <w:lang w:val="fr-FR" w:eastAsia="fr-FR"/>
        </w:rPr>
        <w:t>âge, l</w:t>
      </w:r>
      <w:r w:rsidR="006645B6">
        <w:rPr>
          <w:lang w:val="fr-FR" w:eastAsia="fr-FR"/>
        </w:rPr>
        <w:t>’</w:t>
      </w:r>
      <w:r w:rsidR="00826E0F" w:rsidRPr="00872599">
        <w:rPr>
          <w:lang w:val="fr-FR" w:eastAsia="fr-FR"/>
        </w:rPr>
        <w:t>éducation, le secteur et les exigences de l</w:t>
      </w:r>
      <w:r w:rsidR="006645B6">
        <w:rPr>
          <w:lang w:val="fr-FR" w:eastAsia="fr-FR"/>
        </w:rPr>
        <w:t>’</w:t>
      </w:r>
      <w:r w:rsidR="00826E0F" w:rsidRPr="00872599">
        <w:rPr>
          <w:lang w:val="fr-FR" w:eastAsia="fr-FR"/>
        </w:rPr>
        <w:t>emploi. Il ressort d</w:t>
      </w:r>
      <w:r w:rsidR="006645B6">
        <w:rPr>
          <w:lang w:val="fr-FR" w:eastAsia="fr-FR"/>
        </w:rPr>
        <w:t>’</w:t>
      </w:r>
      <w:r w:rsidR="00826E0F" w:rsidRPr="00872599">
        <w:rPr>
          <w:lang w:val="fr-FR" w:eastAsia="fr-FR"/>
        </w:rPr>
        <w:t>une enquête menée en 2008 pour l</w:t>
      </w:r>
      <w:r w:rsidR="006645B6">
        <w:rPr>
          <w:lang w:val="fr-FR" w:eastAsia="fr-FR"/>
        </w:rPr>
        <w:t>’</w:t>
      </w:r>
      <w:r w:rsidR="00826E0F" w:rsidRPr="00872599">
        <w:rPr>
          <w:lang w:val="fr-FR" w:eastAsia="fr-FR"/>
        </w:rPr>
        <w:t>Office fédéral suisse de la statistique et le Bureau fédéral suisse de l</w:t>
      </w:r>
      <w:r w:rsidR="006645B6">
        <w:rPr>
          <w:lang w:val="fr-FR" w:eastAsia="fr-FR"/>
        </w:rPr>
        <w:t>’</w:t>
      </w:r>
      <w:r w:rsidR="00826E0F" w:rsidRPr="00872599">
        <w:rPr>
          <w:lang w:val="fr-FR" w:eastAsia="fr-FR"/>
        </w:rPr>
        <w:t>égalité entre femmes et hommes, que près de 40</w:t>
      </w:r>
      <w:r w:rsidR="006645B6">
        <w:rPr>
          <w:lang w:val="fr-FR" w:eastAsia="fr-FR"/>
        </w:rPr>
        <w:t> %</w:t>
      </w:r>
      <w:r w:rsidR="00826E0F" w:rsidRPr="00872599">
        <w:rPr>
          <w:lang w:val="fr-FR" w:eastAsia="fr-FR"/>
        </w:rPr>
        <w:t xml:space="preserve"> de l</w:t>
      </w:r>
      <w:r w:rsidR="006645B6">
        <w:rPr>
          <w:lang w:val="fr-FR" w:eastAsia="fr-FR"/>
        </w:rPr>
        <w:t>’</w:t>
      </w:r>
      <w:r w:rsidR="00826E0F" w:rsidRPr="00872599">
        <w:rPr>
          <w:lang w:val="fr-FR" w:eastAsia="fr-FR"/>
        </w:rPr>
        <w:t>écart moyen de rémunération entre les deux sexes en Suisse doivent être considérés comme correspondant à une discrimination salariale. Environ 60</w:t>
      </w:r>
      <w:r w:rsidR="006645B6">
        <w:rPr>
          <w:lang w:val="fr-FR" w:eastAsia="fr-FR"/>
        </w:rPr>
        <w:t> %</w:t>
      </w:r>
      <w:r w:rsidR="00826E0F" w:rsidRPr="00872599">
        <w:rPr>
          <w:lang w:val="fr-FR" w:eastAsia="fr-FR"/>
        </w:rPr>
        <w:t xml:space="preserve"> de l</w:t>
      </w:r>
      <w:r w:rsidR="006645B6">
        <w:rPr>
          <w:lang w:val="fr-FR" w:eastAsia="fr-FR"/>
        </w:rPr>
        <w:t>’</w:t>
      </w:r>
      <w:r w:rsidR="00826E0F" w:rsidRPr="00872599">
        <w:rPr>
          <w:lang w:val="fr-FR" w:eastAsia="fr-FR"/>
        </w:rPr>
        <w:t>écart de rémunération peuvent s</w:t>
      </w:r>
      <w:r w:rsidR="006645B6">
        <w:rPr>
          <w:lang w:val="fr-FR" w:eastAsia="fr-FR"/>
        </w:rPr>
        <w:t>’</w:t>
      </w:r>
      <w:r w:rsidR="00826E0F" w:rsidRPr="00872599">
        <w:rPr>
          <w:lang w:val="fr-FR" w:eastAsia="fr-FR"/>
        </w:rPr>
        <w:t>expliquer par un effet dit de manne, c</w:t>
      </w:r>
      <w:r w:rsidR="006645B6">
        <w:rPr>
          <w:lang w:val="fr-FR" w:eastAsia="fr-FR"/>
        </w:rPr>
        <w:t>’</w:t>
      </w:r>
      <w:r w:rsidR="00826E0F" w:rsidRPr="00872599">
        <w:rPr>
          <w:lang w:val="fr-FR" w:eastAsia="fr-FR"/>
        </w:rPr>
        <w:t>est-à-dire que les femmes gagnaient moins parce qu</w:t>
      </w:r>
      <w:r w:rsidR="006645B6">
        <w:rPr>
          <w:lang w:val="fr-FR" w:eastAsia="fr-FR"/>
        </w:rPr>
        <w:t>’</w:t>
      </w:r>
      <w:r w:rsidR="00826E0F" w:rsidRPr="00872599">
        <w:rPr>
          <w:lang w:val="fr-FR" w:eastAsia="fr-FR"/>
        </w:rPr>
        <w:t>elles étaient sous-représentées dans les postes de plus grande responsabilité et dans les fonctions d</w:t>
      </w:r>
      <w:r w:rsidR="006645B6">
        <w:rPr>
          <w:lang w:val="fr-FR" w:eastAsia="fr-FR"/>
        </w:rPr>
        <w:t>’</w:t>
      </w:r>
      <w:r w:rsidR="00826E0F" w:rsidRPr="00872599">
        <w:rPr>
          <w:lang w:val="fr-FR" w:eastAsia="fr-FR"/>
        </w:rPr>
        <w:t>encadrement et parce qu</w:t>
      </w:r>
      <w:r w:rsidR="006645B6">
        <w:rPr>
          <w:lang w:val="fr-FR" w:eastAsia="fr-FR"/>
        </w:rPr>
        <w:t>’</w:t>
      </w:r>
      <w:r w:rsidR="00826E0F" w:rsidRPr="00872599">
        <w:rPr>
          <w:lang w:val="fr-FR" w:eastAsia="fr-FR"/>
        </w:rPr>
        <w:t>elles travaillaient généralement dans des secteurs où les salaires sont plus faibles. En moyenne, les femmes avaient aussi un niveau d</w:t>
      </w:r>
      <w:r w:rsidR="006645B6">
        <w:rPr>
          <w:lang w:val="fr-FR" w:eastAsia="fr-FR"/>
        </w:rPr>
        <w:t>’</w:t>
      </w:r>
      <w:r w:rsidR="00826E0F" w:rsidRPr="00872599">
        <w:rPr>
          <w:lang w:val="fr-FR" w:eastAsia="fr-FR"/>
        </w:rPr>
        <w:t>instruction plus faible, étaient plus jeunes et avaient moins d</w:t>
      </w:r>
      <w:r w:rsidR="006645B6">
        <w:rPr>
          <w:lang w:val="fr-FR" w:eastAsia="fr-FR"/>
        </w:rPr>
        <w:t>’</w:t>
      </w:r>
      <w:r w:rsidR="00826E0F" w:rsidRPr="00872599">
        <w:rPr>
          <w:lang w:val="fr-FR" w:eastAsia="fr-FR"/>
        </w:rPr>
        <w:t>expérience de l</w:t>
      </w:r>
      <w:r w:rsidR="006645B6">
        <w:rPr>
          <w:lang w:val="fr-FR" w:eastAsia="fr-FR"/>
        </w:rPr>
        <w:t>’</w:t>
      </w:r>
      <w:r w:rsidR="00826E0F" w:rsidRPr="00872599">
        <w:rPr>
          <w:lang w:val="fr-FR" w:eastAsia="fr-FR"/>
        </w:rPr>
        <w:t>entreprise que les hommes. Du fait que l</w:t>
      </w:r>
      <w:r w:rsidR="006645B6">
        <w:rPr>
          <w:lang w:val="fr-FR" w:eastAsia="fr-FR"/>
        </w:rPr>
        <w:t>’</w:t>
      </w:r>
      <w:r w:rsidR="00826E0F" w:rsidRPr="00872599">
        <w:rPr>
          <w:lang w:val="fr-FR" w:eastAsia="fr-FR"/>
        </w:rPr>
        <w:t>écart global en pourcentage de rémunération entre les femmes et les hommes au Liechtenstein est du même ordre qu</w:t>
      </w:r>
      <w:r w:rsidR="006645B6">
        <w:rPr>
          <w:lang w:val="fr-FR" w:eastAsia="fr-FR"/>
        </w:rPr>
        <w:t>’</w:t>
      </w:r>
      <w:r w:rsidR="00826E0F" w:rsidRPr="00872599">
        <w:rPr>
          <w:lang w:val="fr-FR" w:eastAsia="fr-FR"/>
        </w:rPr>
        <w:t>en Suisse et que les deux marchés du travail sont étroitement liés on peut penser qu</w:t>
      </w:r>
      <w:r w:rsidR="006645B6">
        <w:rPr>
          <w:lang w:val="fr-FR" w:eastAsia="fr-FR"/>
        </w:rPr>
        <w:t>’</w:t>
      </w:r>
      <w:r w:rsidR="00826E0F" w:rsidRPr="00872599">
        <w:rPr>
          <w:lang w:val="fr-FR" w:eastAsia="fr-FR"/>
        </w:rPr>
        <w:t>au Liechtenstein également il existe un écart de rémunération entre femmes et hommes, même pour des postes de responsabilité égale.</w:t>
      </w:r>
    </w:p>
    <w:p w:rsidR="00826E0F" w:rsidRPr="00872599" w:rsidRDefault="00826E0F" w:rsidP="00497599">
      <w:pPr>
        <w:pStyle w:val="SingleTxt"/>
        <w:rPr>
          <w:rFonts w:ascii="Arial" w:hAnsi="Arial" w:cs="Arial"/>
          <w:lang w:val="fr-FR" w:eastAsia="fr-FR"/>
        </w:rPr>
      </w:pPr>
    </w:p>
    <w:p w:rsidR="00826E0F" w:rsidRPr="00872599" w:rsidRDefault="00826E0F" w:rsidP="00497599">
      <w:pPr>
        <w:pStyle w:val="SingleTxt"/>
        <w:rPr>
          <w:lang w:val="fr-FR"/>
        </w:rPr>
      </w:pPr>
    </w:p>
    <w:p w:rsidR="00826E0F" w:rsidRPr="00872599" w:rsidRDefault="00CC5663" w:rsidP="00CC566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br w:type="page"/>
      </w:r>
      <w:r>
        <w:rPr>
          <w:lang w:val="fr-FR"/>
        </w:rPr>
        <w:tab/>
      </w:r>
      <w:r>
        <w:rPr>
          <w:lang w:val="fr-FR"/>
        </w:rPr>
        <w:tab/>
      </w:r>
      <w:r w:rsidR="00826E0F" w:rsidRPr="00CC5663">
        <w:rPr>
          <w:b w:val="0"/>
          <w:lang w:val="fr-FR"/>
        </w:rPr>
        <w:t>Figure 1</w:t>
      </w:r>
      <w:r>
        <w:rPr>
          <w:lang w:val="fr-FR"/>
        </w:rPr>
        <w:br/>
      </w:r>
      <w:r w:rsidR="00826E0F" w:rsidRPr="00872599">
        <w:rPr>
          <w:lang w:val="fr-FR"/>
        </w:rPr>
        <w:t>Salaires bruts médians des femmes et des hommes, 2006</w:t>
      </w:r>
    </w:p>
    <w:p w:rsidR="00CC5663" w:rsidRPr="00CC5663" w:rsidRDefault="00CC5663" w:rsidP="00CC5663">
      <w:pPr>
        <w:pStyle w:val="SingleTxt"/>
        <w:spacing w:after="0" w:line="120" w:lineRule="exact"/>
        <w:rPr>
          <w:sz w:val="10"/>
          <w:lang w:val="fr-FR"/>
        </w:rPr>
      </w:pPr>
    </w:p>
    <w:p w:rsidR="00826E0F" w:rsidRPr="00872599" w:rsidRDefault="00CC5663" w:rsidP="00497599">
      <w:pPr>
        <w:pStyle w:val="SingleTxt"/>
        <w:rPr>
          <w:lang w:val="fr-FR"/>
        </w:rPr>
      </w:pPr>
      <w:r>
        <w:rPr>
          <w:noProof/>
          <w:w w:val="100"/>
          <w:lang w:val="en-US"/>
        </w:rPr>
        <w:pict>
          <v:group id="_x0000_s1114" editas="canvas" style="position:absolute;left:0;text-align:left;margin-left:58.45pt;margin-top:6.2pt;width:356.9pt;height:200.65pt;z-index:2;mso-wrap-distance-left:43.2pt" coordorigin="2455,2505" coordsize="7138,4013">
            <o:lock v:ext="edit" aspectratio="t"/>
            <v:shape id="_x0000_s1115" type="#_x0000_t75" style="position:absolute;left:2455;top:2505;width:7138;height:4013" o:preferrelative="f">
              <v:fill o:detectmouseclick="t"/>
              <v:path o:extrusionok="t" o:connecttype="none"/>
              <o:lock v:ext="edit" text="t"/>
            </v:shape>
            <v:rect id="_x0000_s1116" style="position:absolute;left:3300;top:2713;width:5635;height:3040" filled="f" stroked="f"/>
            <v:line id="_x0000_s1117" style="position:absolute" from="4102,2713" to="4103,5753" strokeweight="0"/>
            <v:line id="_x0000_s1118" style="position:absolute" from="4905,2713" to="4906,5753" strokeweight="0"/>
            <v:line id="_x0000_s1119" style="position:absolute" from="5709,2713" to="5710,5753" strokeweight="0"/>
            <v:line id="_x0000_s1120" style="position:absolute" from="6525,2713" to="6526,5753" strokeweight="0"/>
            <v:line id="_x0000_s1121" style="position:absolute" from="7328,2713" to="7329,5753" strokeweight="0"/>
            <v:line id="_x0000_s1122" style="position:absolute" from="8131,2713" to="8132,5753" strokeweight="0"/>
            <v:line id="_x0000_s1123" style="position:absolute" from="8935,2713" to="8935,5753" strokeweight="0"/>
            <v:rect id="_x0000_s1124" style="position:absolute;left:3300;top:5049;width:5136;height:401" fillcolor="#99f"/>
            <v:rect id="_x0000_s1125" style="position:absolute;left:3300;top:4026;width:4097;height:414" fillcolor="#99f"/>
            <v:rect id="_x0000_s1126" style="position:absolute;left:3285;top:2977;width:4679;height:400" fillcolor="#99f"/>
            <v:line id="_x0000_s1127" style="position:absolute" from="3300,5753" to="8935,5754" strokeweight="0"/>
            <v:line id="_x0000_s1128" style="position:absolute;flip:y" from="3300,5753" to="3301,5795" strokeweight="0"/>
            <v:line id="_x0000_s1129" style="position:absolute;flip:y" from="4102,5753" to="4103,5795" strokeweight="0"/>
            <v:line id="_x0000_s1130" style="position:absolute;flip:y" from="4905,5753" to="4906,5795" strokeweight="0"/>
            <v:line id="_x0000_s1131" style="position:absolute;flip:y" from="5709,5753" to="5710,5795" strokeweight="0"/>
            <v:line id="_x0000_s1132" style="position:absolute;flip:y" from="6525,5753" to="6526,5795" strokeweight="0"/>
            <v:line id="_x0000_s1133" style="position:absolute;flip:y" from="7328,5753" to="7329,5795" strokeweight="0"/>
            <v:line id="_x0000_s1134" style="position:absolute;flip:y" from="8131,5753" to="8132,5795" strokeweight="0"/>
            <v:line id="_x0000_s1135" style="position:absolute;flip:y" from="8935,5753" to="8935,5795" strokeweight="0"/>
            <v:line id="_x0000_s1136" style="position:absolute" from="3300,2713" to="3301,5753" strokeweight="0"/>
            <v:line id="_x0000_s1137" style="position:absolute" from="3258,5753" to="3300,5754" strokeweight="0"/>
            <v:line id="_x0000_s1138" style="position:absolute" from="3258,4744" to="3300,4745" strokeweight="0"/>
            <v:line id="_x0000_s1139" style="position:absolute" from="3258,3722" to="3300,3722" strokeweight="0"/>
            <v:line id="_x0000_s1140" style="position:absolute" from="3258,2713" to="3300,2713" strokeweight="0"/>
            <v:rect id="_x0000_s1141" style="position:absolute;left:7688;top:5146;width:711;height:239;mso-wrap-style:none" filled="f" stroked="f">
              <v:textbox inset="0,0,0,0">
                <w:txbxContent>
                  <w:p w:rsidR="006645B6" w:rsidRPr="00FA396E" w:rsidRDefault="006645B6" w:rsidP="00CC5663">
                    <w:pPr>
                      <w:rPr>
                        <w:rFonts w:ascii="Calibri" w:hAnsi="Calibri"/>
                        <w:sz w:val="16"/>
                        <w:szCs w:val="16"/>
                      </w:rPr>
                    </w:pPr>
                    <w:r>
                      <w:rPr>
                        <w:rFonts w:ascii="Calibri" w:hAnsi="Calibri"/>
                        <w:color w:val="000000"/>
                        <w:sz w:val="16"/>
                        <w:szCs w:val="16"/>
                        <w:lang w:val="en-US"/>
                      </w:rPr>
                      <w:t xml:space="preserve">CHF 6 </w:t>
                    </w:r>
                    <w:r w:rsidRPr="00FA396E">
                      <w:rPr>
                        <w:rFonts w:ascii="Calibri" w:hAnsi="Calibri"/>
                        <w:color w:val="000000"/>
                        <w:sz w:val="16"/>
                        <w:szCs w:val="16"/>
                        <w:lang w:val="en-US"/>
                      </w:rPr>
                      <w:t>468</w:t>
                    </w:r>
                  </w:p>
                </w:txbxContent>
              </v:textbox>
            </v:rect>
            <v:rect id="_x0000_s1142" style="position:absolute;left:6650;top:4137;width:707;height:348;mso-wrap-style:none" filled="f" stroked="f">
              <v:textbox inset="0,0,0,0">
                <w:txbxContent>
                  <w:p w:rsidR="006645B6" w:rsidRPr="00FA396E" w:rsidRDefault="006645B6" w:rsidP="00CC5663">
                    <w:pPr>
                      <w:rPr>
                        <w:rFonts w:ascii="Calibri" w:hAnsi="Calibri"/>
                        <w:sz w:val="16"/>
                        <w:szCs w:val="16"/>
                      </w:rPr>
                    </w:pPr>
                    <w:r>
                      <w:rPr>
                        <w:rFonts w:ascii="Calibri" w:hAnsi="Calibri"/>
                        <w:color w:val="000000"/>
                        <w:sz w:val="16"/>
                        <w:szCs w:val="16"/>
                        <w:lang w:val="en-US"/>
                      </w:rPr>
                      <w:t xml:space="preserve">CHF 5 </w:t>
                    </w:r>
                    <w:r w:rsidRPr="00FA396E">
                      <w:rPr>
                        <w:rFonts w:ascii="Calibri" w:hAnsi="Calibri"/>
                        <w:color w:val="000000"/>
                        <w:sz w:val="16"/>
                        <w:szCs w:val="16"/>
                        <w:lang w:val="en-US"/>
                      </w:rPr>
                      <w:t>176</w:t>
                    </w:r>
                  </w:p>
                </w:txbxContent>
              </v:textbox>
            </v:rect>
            <v:rect id="_x0000_s1143" style="position:absolute;left:7231;top:3114;width:711;height:291;mso-wrap-style:none" filled="f" stroked="f">
              <v:textbox inset="0,0,0,0">
                <w:txbxContent>
                  <w:p w:rsidR="006645B6" w:rsidRPr="00FA396E" w:rsidRDefault="006645B6" w:rsidP="00CC5663">
                    <w:pPr>
                      <w:rPr>
                        <w:rFonts w:ascii="Calibri" w:hAnsi="Calibri"/>
                        <w:sz w:val="16"/>
                        <w:szCs w:val="16"/>
                      </w:rPr>
                    </w:pPr>
                    <w:r>
                      <w:rPr>
                        <w:rFonts w:ascii="Calibri" w:hAnsi="Calibri"/>
                        <w:color w:val="000000"/>
                        <w:sz w:val="16"/>
                        <w:szCs w:val="16"/>
                        <w:lang w:val="en-US"/>
                      </w:rPr>
                      <w:t xml:space="preserve">CHF 5 </w:t>
                    </w:r>
                    <w:r w:rsidRPr="00FA396E">
                      <w:rPr>
                        <w:rFonts w:ascii="Calibri" w:hAnsi="Calibri"/>
                        <w:color w:val="000000"/>
                        <w:sz w:val="16"/>
                        <w:szCs w:val="16"/>
                        <w:lang w:val="en-US"/>
                      </w:rPr>
                      <w:t>885</w:t>
                    </w:r>
                  </w:p>
                </w:txbxContent>
              </v:textbox>
            </v:rect>
            <v:rect id="_x0000_s1144" style="position:absolute;left:3092;top:5878;width:408;height:480;mso-wrap-style:none" filled="f" stroked="f">
              <v:textbox style="mso-fit-shape-to-text:t" inset="0,0,0,0">
                <w:txbxContent>
                  <w:p w:rsidR="006645B6" w:rsidRPr="00FA396E" w:rsidRDefault="006645B6" w:rsidP="00CC5663">
                    <w:pPr>
                      <w:rPr>
                        <w:rFonts w:ascii="Calibri" w:hAnsi="Calibri"/>
                        <w:sz w:val="16"/>
                        <w:szCs w:val="16"/>
                      </w:rPr>
                    </w:pPr>
                    <w:r w:rsidRPr="00FA396E">
                      <w:rPr>
                        <w:rFonts w:ascii="Calibri" w:hAnsi="Calibri"/>
                        <w:color w:val="000000"/>
                        <w:sz w:val="16"/>
                        <w:szCs w:val="16"/>
                        <w:lang w:val="en-US"/>
                      </w:rPr>
                      <w:t>CHF 0</w:t>
                    </w:r>
                  </w:p>
                </w:txbxContent>
              </v:textbox>
            </v:rect>
            <v:rect id="_x0000_s1145" style="position:absolute;left:3756;top:5878;width:711;height:480;mso-wrap-style:none" filled="f" stroked="f">
              <v:textbox style="mso-fit-shape-to-text:t" inset="0,0,0,0">
                <w:txbxContent>
                  <w:p w:rsidR="006645B6" w:rsidRPr="00FA396E" w:rsidRDefault="006645B6" w:rsidP="00CC5663">
                    <w:pPr>
                      <w:rPr>
                        <w:rFonts w:ascii="Calibri" w:hAnsi="Calibri"/>
                        <w:sz w:val="16"/>
                        <w:szCs w:val="16"/>
                      </w:rPr>
                    </w:pPr>
                    <w:r>
                      <w:rPr>
                        <w:rFonts w:ascii="Calibri" w:hAnsi="Calibri"/>
                        <w:color w:val="000000"/>
                        <w:sz w:val="16"/>
                        <w:szCs w:val="16"/>
                        <w:lang w:val="en-US"/>
                      </w:rPr>
                      <w:t xml:space="preserve">CHF 1 </w:t>
                    </w:r>
                    <w:r w:rsidRPr="00FA396E">
                      <w:rPr>
                        <w:rFonts w:ascii="Calibri" w:hAnsi="Calibri"/>
                        <w:color w:val="000000"/>
                        <w:sz w:val="16"/>
                        <w:szCs w:val="16"/>
                        <w:lang w:val="en-US"/>
                      </w:rPr>
                      <w:t>000</w:t>
                    </w:r>
                  </w:p>
                </w:txbxContent>
              </v:textbox>
            </v:rect>
            <v:rect id="_x0000_s1146" style="position:absolute;left:4560;top:5878;width:711;height:480;mso-wrap-style:none" filled="f" stroked="f">
              <v:textbox style="mso-fit-shape-to-text:t" inset="0,0,0,0">
                <w:txbxContent>
                  <w:p w:rsidR="006645B6" w:rsidRPr="00FA396E" w:rsidRDefault="006645B6" w:rsidP="00CC5663">
                    <w:pPr>
                      <w:rPr>
                        <w:rFonts w:ascii="Calibri" w:hAnsi="Calibri"/>
                        <w:sz w:val="16"/>
                        <w:szCs w:val="16"/>
                      </w:rPr>
                    </w:pPr>
                    <w:r>
                      <w:rPr>
                        <w:rFonts w:ascii="Calibri" w:hAnsi="Calibri"/>
                        <w:color w:val="000000"/>
                        <w:sz w:val="16"/>
                        <w:szCs w:val="16"/>
                        <w:lang w:val="en-US"/>
                      </w:rPr>
                      <w:t xml:space="preserve">CHF 2 </w:t>
                    </w:r>
                    <w:r w:rsidRPr="00FA396E">
                      <w:rPr>
                        <w:rFonts w:ascii="Calibri" w:hAnsi="Calibri"/>
                        <w:color w:val="000000"/>
                        <w:sz w:val="16"/>
                        <w:szCs w:val="16"/>
                        <w:lang w:val="en-US"/>
                      </w:rPr>
                      <w:t>000</w:t>
                    </w:r>
                  </w:p>
                </w:txbxContent>
              </v:textbox>
            </v:rect>
            <v:rect id="_x0000_s1147" style="position:absolute;left:5362;top:5878;width:711;height:480;mso-wrap-style:none" filled="f" stroked="f">
              <v:textbox style="mso-fit-shape-to-text:t" inset="0,0,0,0">
                <w:txbxContent>
                  <w:p w:rsidR="006645B6" w:rsidRPr="00FA396E" w:rsidRDefault="006645B6" w:rsidP="00CC5663">
                    <w:pPr>
                      <w:rPr>
                        <w:rFonts w:ascii="Calibri" w:hAnsi="Calibri"/>
                        <w:sz w:val="16"/>
                        <w:szCs w:val="16"/>
                      </w:rPr>
                    </w:pPr>
                    <w:r>
                      <w:rPr>
                        <w:rFonts w:ascii="Calibri" w:hAnsi="Calibri"/>
                        <w:color w:val="000000"/>
                        <w:sz w:val="16"/>
                        <w:szCs w:val="16"/>
                        <w:lang w:val="en-US"/>
                      </w:rPr>
                      <w:t xml:space="preserve">CHF 3 </w:t>
                    </w:r>
                    <w:r w:rsidRPr="00FA396E">
                      <w:rPr>
                        <w:rFonts w:ascii="Calibri" w:hAnsi="Calibri"/>
                        <w:color w:val="000000"/>
                        <w:sz w:val="16"/>
                        <w:szCs w:val="16"/>
                        <w:lang w:val="en-US"/>
                      </w:rPr>
                      <w:t>000</w:t>
                    </w:r>
                  </w:p>
                </w:txbxContent>
              </v:textbox>
            </v:rect>
            <v:rect id="_x0000_s1148" style="position:absolute;left:6179;top:5878;width:711;height:480;mso-wrap-style:none" filled="f" stroked="f">
              <v:textbox style="mso-fit-shape-to-text:t" inset="0,0,0,0">
                <w:txbxContent>
                  <w:p w:rsidR="006645B6" w:rsidRPr="00FA396E" w:rsidRDefault="006645B6" w:rsidP="00CC5663">
                    <w:pPr>
                      <w:rPr>
                        <w:rFonts w:ascii="Calibri" w:hAnsi="Calibri"/>
                        <w:sz w:val="16"/>
                        <w:szCs w:val="16"/>
                      </w:rPr>
                    </w:pPr>
                    <w:r>
                      <w:rPr>
                        <w:rFonts w:ascii="Calibri" w:hAnsi="Calibri"/>
                        <w:color w:val="000000"/>
                        <w:sz w:val="16"/>
                        <w:szCs w:val="16"/>
                        <w:lang w:val="en-US"/>
                      </w:rPr>
                      <w:t xml:space="preserve">CHF 4 </w:t>
                    </w:r>
                    <w:r w:rsidRPr="00FA396E">
                      <w:rPr>
                        <w:rFonts w:ascii="Calibri" w:hAnsi="Calibri"/>
                        <w:color w:val="000000"/>
                        <w:sz w:val="16"/>
                        <w:szCs w:val="16"/>
                        <w:lang w:val="en-US"/>
                      </w:rPr>
                      <w:t>000</w:t>
                    </w:r>
                  </w:p>
                </w:txbxContent>
              </v:textbox>
            </v:rect>
            <v:rect id="_x0000_s1149" style="position:absolute;left:6982;top:5878;width:711;height:480;mso-wrap-style:none" filled="f" stroked="f">
              <v:textbox style="mso-fit-shape-to-text:t" inset="0,0,0,0">
                <w:txbxContent>
                  <w:p w:rsidR="006645B6" w:rsidRPr="00FA396E" w:rsidRDefault="006645B6" w:rsidP="00CC5663">
                    <w:pPr>
                      <w:rPr>
                        <w:rFonts w:ascii="Calibri" w:hAnsi="Calibri"/>
                        <w:sz w:val="16"/>
                        <w:szCs w:val="16"/>
                      </w:rPr>
                    </w:pPr>
                    <w:r>
                      <w:rPr>
                        <w:rFonts w:ascii="Calibri" w:hAnsi="Calibri"/>
                        <w:color w:val="000000"/>
                        <w:sz w:val="16"/>
                        <w:szCs w:val="16"/>
                        <w:lang w:val="en-US"/>
                      </w:rPr>
                      <w:t xml:space="preserve">CHF 5 </w:t>
                    </w:r>
                    <w:r w:rsidRPr="00FA396E">
                      <w:rPr>
                        <w:rFonts w:ascii="Calibri" w:hAnsi="Calibri"/>
                        <w:color w:val="000000"/>
                        <w:sz w:val="16"/>
                        <w:szCs w:val="16"/>
                        <w:lang w:val="en-US"/>
                      </w:rPr>
                      <w:t>000</w:t>
                    </w:r>
                  </w:p>
                </w:txbxContent>
              </v:textbox>
            </v:rect>
            <v:rect id="_x0000_s1150" style="position:absolute;left:7785;top:5878;width:711;height:480;mso-wrap-style:none" filled="f" stroked="f">
              <v:textbox style="mso-fit-shape-to-text:t" inset="0,0,0,0">
                <w:txbxContent>
                  <w:p w:rsidR="006645B6" w:rsidRPr="00FA396E" w:rsidRDefault="006645B6" w:rsidP="00CC5663">
                    <w:pPr>
                      <w:rPr>
                        <w:rFonts w:ascii="Calibri" w:hAnsi="Calibri"/>
                        <w:sz w:val="16"/>
                        <w:szCs w:val="16"/>
                      </w:rPr>
                    </w:pPr>
                    <w:r>
                      <w:rPr>
                        <w:rFonts w:ascii="Calibri" w:hAnsi="Calibri"/>
                        <w:color w:val="000000"/>
                        <w:sz w:val="16"/>
                        <w:szCs w:val="16"/>
                        <w:lang w:val="en-US"/>
                      </w:rPr>
                      <w:t xml:space="preserve">CHF 6 </w:t>
                    </w:r>
                    <w:r w:rsidRPr="00FA396E">
                      <w:rPr>
                        <w:rFonts w:ascii="Calibri" w:hAnsi="Calibri"/>
                        <w:color w:val="000000"/>
                        <w:sz w:val="16"/>
                        <w:szCs w:val="16"/>
                        <w:lang w:val="en-US"/>
                      </w:rPr>
                      <w:t>000</w:t>
                    </w:r>
                  </w:p>
                </w:txbxContent>
              </v:textbox>
            </v:rect>
            <v:rect id="_x0000_s1151" style="position:absolute;left:8588;top:5878;width:711;height:480;mso-wrap-style:none" filled="f" stroked="f">
              <v:textbox style="mso-fit-shape-to-text:t" inset="0,0,0,0">
                <w:txbxContent>
                  <w:p w:rsidR="006645B6" w:rsidRPr="00FA396E" w:rsidRDefault="006645B6" w:rsidP="00CC5663">
                    <w:pPr>
                      <w:rPr>
                        <w:rFonts w:ascii="Calibri" w:hAnsi="Calibri"/>
                        <w:sz w:val="16"/>
                        <w:szCs w:val="16"/>
                      </w:rPr>
                    </w:pPr>
                    <w:r>
                      <w:rPr>
                        <w:rFonts w:ascii="Calibri" w:hAnsi="Calibri"/>
                        <w:color w:val="000000"/>
                        <w:sz w:val="16"/>
                        <w:szCs w:val="16"/>
                        <w:lang w:val="en-US"/>
                      </w:rPr>
                      <w:t xml:space="preserve">CHF 7 </w:t>
                    </w:r>
                    <w:r w:rsidRPr="00FA396E">
                      <w:rPr>
                        <w:rFonts w:ascii="Calibri" w:hAnsi="Calibri"/>
                        <w:color w:val="000000"/>
                        <w:sz w:val="16"/>
                        <w:szCs w:val="16"/>
                        <w:lang w:val="en-US"/>
                      </w:rPr>
                      <w:t>000</w:t>
                    </w:r>
                  </w:p>
                </w:txbxContent>
              </v:textbox>
            </v:rect>
            <v:rect id="_x0000_s1152" style="position:absolute;left:2534;top:5146;width:647;height:240" filled="f" stroked="f">
              <v:textbox style="mso-fit-shape-to-text:t" inset="0,0,0,0">
                <w:txbxContent>
                  <w:p w:rsidR="006645B6" w:rsidRPr="00FA396E" w:rsidRDefault="006645B6" w:rsidP="00CC5663">
                    <w:pPr>
                      <w:rPr>
                        <w:rFonts w:ascii="Calibri" w:hAnsi="Calibri"/>
                        <w:sz w:val="16"/>
                        <w:szCs w:val="16"/>
                      </w:rPr>
                    </w:pPr>
                    <w:r>
                      <w:rPr>
                        <w:rFonts w:ascii="Calibri" w:hAnsi="Calibri"/>
                        <w:color w:val="000000"/>
                        <w:sz w:val="16"/>
                        <w:szCs w:val="16"/>
                        <w:lang w:val="en-US"/>
                      </w:rPr>
                      <w:t>Hommes</w:t>
                    </w:r>
                  </w:p>
                </w:txbxContent>
              </v:textbox>
            </v:rect>
            <v:rect id="_x0000_s1153" style="position:absolute;left:2596;top:4138;width:660;height:304" filled="f" stroked="f">
              <v:textbox inset="0,0,0,0">
                <w:txbxContent>
                  <w:p w:rsidR="006645B6" w:rsidRPr="00FA396E" w:rsidRDefault="006645B6" w:rsidP="00CC5663">
                    <w:pPr>
                      <w:rPr>
                        <w:rFonts w:ascii="Calibri" w:hAnsi="Calibri"/>
                        <w:sz w:val="16"/>
                        <w:szCs w:val="16"/>
                      </w:rPr>
                    </w:pPr>
                    <w:r>
                      <w:rPr>
                        <w:rFonts w:ascii="Calibri" w:hAnsi="Calibri"/>
                        <w:color w:val="000000"/>
                        <w:sz w:val="16"/>
                        <w:szCs w:val="16"/>
                        <w:lang w:val="en-US"/>
                      </w:rPr>
                      <w:t>Femmes</w:t>
                    </w:r>
                  </w:p>
                </w:txbxContent>
              </v:textbox>
            </v:rect>
            <v:rect id="_x0000_s1154" style="position:absolute;left:2635;top:3127;width:553;height:240" filled="f" stroked="f">
              <v:textbox style="mso-fit-shape-to-text:t" inset="0,0,0,0">
                <w:txbxContent>
                  <w:p w:rsidR="006645B6" w:rsidRPr="00FA396E" w:rsidRDefault="006645B6" w:rsidP="00CC5663">
                    <w:pPr>
                      <w:rPr>
                        <w:rFonts w:ascii="Calibri" w:hAnsi="Calibri"/>
                        <w:sz w:val="16"/>
                        <w:szCs w:val="16"/>
                      </w:rPr>
                    </w:pPr>
                    <w:r>
                      <w:rPr>
                        <w:rFonts w:ascii="Calibri" w:hAnsi="Calibri"/>
                        <w:color w:val="000000"/>
                        <w:sz w:val="16"/>
                        <w:szCs w:val="16"/>
                        <w:lang w:val="en-US"/>
                      </w:rPr>
                      <w:t>Total</w:t>
                    </w:r>
                  </w:p>
                </w:txbxContent>
              </v:textbox>
            </v:rect>
            <w10:wrap type="square"/>
          </v:group>
        </w:pict>
      </w:r>
    </w:p>
    <w:p w:rsidR="00826E0F" w:rsidRDefault="00826E0F" w:rsidP="00497599">
      <w:pPr>
        <w:pStyle w:val="SingleTxt"/>
        <w:rPr>
          <w:lang w:val="fr-FR"/>
        </w:rPr>
      </w:pPr>
    </w:p>
    <w:p w:rsidR="00CC5663" w:rsidRDefault="00CC5663" w:rsidP="00497599">
      <w:pPr>
        <w:pStyle w:val="SingleTxt"/>
        <w:rPr>
          <w:lang w:val="fr-FR"/>
        </w:rPr>
      </w:pPr>
    </w:p>
    <w:p w:rsidR="00CC5663" w:rsidRDefault="00CC5663" w:rsidP="00497599">
      <w:pPr>
        <w:pStyle w:val="SingleTxt"/>
        <w:rPr>
          <w:lang w:val="fr-FR"/>
        </w:rPr>
      </w:pPr>
    </w:p>
    <w:p w:rsidR="00CC5663" w:rsidRDefault="00CC5663" w:rsidP="00497599">
      <w:pPr>
        <w:pStyle w:val="SingleTxt"/>
        <w:rPr>
          <w:lang w:val="fr-FR"/>
        </w:rPr>
      </w:pPr>
    </w:p>
    <w:p w:rsidR="00CC5663" w:rsidRDefault="00CC5663" w:rsidP="00497599">
      <w:pPr>
        <w:pStyle w:val="SingleTxt"/>
        <w:rPr>
          <w:lang w:val="fr-FR"/>
        </w:rPr>
      </w:pPr>
    </w:p>
    <w:p w:rsidR="00CC5663" w:rsidRDefault="00CC5663" w:rsidP="00497599">
      <w:pPr>
        <w:pStyle w:val="SingleTxt"/>
        <w:rPr>
          <w:lang w:val="fr-FR"/>
        </w:rPr>
      </w:pPr>
    </w:p>
    <w:p w:rsidR="00CC5663" w:rsidRDefault="00CC5663" w:rsidP="00497599">
      <w:pPr>
        <w:pStyle w:val="SingleTxt"/>
        <w:rPr>
          <w:lang w:val="fr-FR"/>
        </w:rPr>
      </w:pPr>
    </w:p>
    <w:p w:rsidR="00CC5663" w:rsidRDefault="00CC5663" w:rsidP="00497599">
      <w:pPr>
        <w:pStyle w:val="SingleTxt"/>
        <w:rPr>
          <w:lang w:val="fr-FR"/>
        </w:rPr>
      </w:pPr>
    </w:p>
    <w:p w:rsidR="00CC5663" w:rsidRDefault="00CC5663" w:rsidP="00497599">
      <w:pPr>
        <w:pStyle w:val="SingleTxt"/>
        <w:rPr>
          <w:lang w:val="fr-FR"/>
        </w:rPr>
      </w:pPr>
    </w:p>
    <w:p w:rsidR="00CC5663" w:rsidRDefault="00CC5663" w:rsidP="00497599">
      <w:pPr>
        <w:pStyle w:val="SingleTxt"/>
        <w:rPr>
          <w:lang w:val="fr-FR"/>
        </w:rPr>
      </w:pPr>
    </w:p>
    <w:p w:rsidR="00CC5663" w:rsidRDefault="00CC5663" w:rsidP="00497599">
      <w:pPr>
        <w:pStyle w:val="SingleTxt"/>
        <w:rPr>
          <w:lang w:val="fr-FR"/>
        </w:rPr>
      </w:pPr>
    </w:p>
    <w:p w:rsidR="00826E0F" w:rsidRPr="00872599" w:rsidRDefault="00826E0F" w:rsidP="00497599">
      <w:pPr>
        <w:pStyle w:val="SingleTxt"/>
        <w:rPr>
          <w:lang w:val="fr-FR"/>
        </w:rPr>
      </w:pPr>
      <w:r w:rsidRPr="00CC5663">
        <w:rPr>
          <w:i/>
          <w:lang w:val="fr-FR"/>
        </w:rPr>
        <w:t>Source:</w:t>
      </w:r>
      <w:r w:rsidR="006645B6">
        <w:rPr>
          <w:lang w:val="fr-FR"/>
        </w:rPr>
        <w:t xml:space="preserve"> </w:t>
      </w:r>
      <w:r w:rsidRPr="00872599">
        <w:rPr>
          <w:lang w:val="fr-FR"/>
        </w:rPr>
        <w:t>Office de la statistique, Statistique sur les salaires 2006.</w:t>
      </w:r>
    </w:p>
    <w:p w:rsidR="00CC5663" w:rsidRPr="00CC5663" w:rsidRDefault="00CC5663" w:rsidP="00CC5663">
      <w:pPr>
        <w:pStyle w:val="SingleTxt"/>
        <w:spacing w:after="0" w:line="120" w:lineRule="exact"/>
        <w:rPr>
          <w:sz w:val="10"/>
          <w:lang w:val="fr-FR"/>
        </w:rPr>
      </w:pPr>
    </w:p>
    <w:p w:rsidR="00826E0F" w:rsidRPr="00872599" w:rsidRDefault="00CC5663" w:rsidP="00497599">
      <w:pPr>
        <w:pStyle w:val="SingleTxt"/>
        <w:rPr>
          <w:lang w:val="fr-FR"/>
        </w:rPr>
      </w:pPr>
      <w:r>
        <w:rPr>
          <w:lang w:val="fr-FR"/>
        </w:rPr>
        <w:tab/>
      </w:r>
      <w:r w:rsidR="00826E0F" w:rsidRPr="00872599">
        <w:rPr>
          <w:lang w:val="fr-FR"/>
        </w:rPr>
        <w:t>La discrimination en matière de salaire est passible de poursuites en vertu de la loi sur l</w:t>
      </w:r>
      <w:r w:rsidR="006645B6">
        <w:rPr>
          <w:lang w:val="fr-FR"/>
        </w:rPr>
        <w:t>’</w:t>
      </w:r>
      <w:r w:rsidR="00826E0F" w:rsidRPr="00872599">
        <w:rPr>
          <w:lang w:val="fr-FR"/>
        </w:rPr>
        <w:t>égalité entre les sexes. Depuis l</w:t>
      </w:r>
      <w:r w:rsidR="006645B6">
        <w:rPr>
          <w:lang w:val="fr-FR"/>
        </w:rPr>
        <w:t>’</w:t>
      </w:r>
      <w:r w:rsidR="00826E0F" w:rsidRPr="00872599">
        <w:rPr>
          <w:lang w:val="fr-FR"/>
        </w:rPr>
        <w:t>entrée en vigueur de cette loi, une plainte a été déposée dans le secteur public. La discrimination a été confirmée par l</w:t>
      </w:r>
      <w:r w:rsidR="006645B6">
        <w:rPr>
          <w:lang w:val="fr-FR"/>
        </w:rPr>
        <w:t>’</w:t>
      </w:r>
      <w:r w:rsidR="00826E0F" w:rsidRPr="00872599">
        <w:rPr>
          <w:lang w:val="fr-FR"/>
        </w:rPr>
        <w:t>administration. Le tribunal administratif du Liechtenstein a été saisi</w:t>
      </w:r>
      <w:r w:rsidR="006645B6">
        <w:rPr>
          <w:lang w:val="fr-FR"/>
        </w:rPr>
        <w:t xml:space="preserve"> </w:t>
      </w:r>
      <w:r w:rsidR="00826E0F" w:rsidRPr="00872599">
        <w:rPr>
          <w:lang w:val="fr-FR"/>
        </w:rPr>
        <w:t>et il a confirmé la décision de l</w:t>
      </w:r>
      <w:r w:rsidR="006645B6">
        <w:rPr>
          <w:lang w:val="fr-FR"/>
        </w:rPr>
        <w:t>’</w:t>
      </w:r>
      <w:r w:rsidR="00826E0F" w:rsidRPr="00872599">
        <w:rPr>
          <w:lang w:val="fr-FR"/>
        </w:rPr>
        <w:t>administration. L</w:t>
      </w:r>
      <w:r w:rsidR="006645B6">
        <w:rPr>
          <w:lang w:val="fr-FR"/>
        </w:rPr>
        <w:t>’</w:t>
      </w:r>
      <w:r w:rsidR="00826E0F" w:rsidRPr="00872599">
        <w:rPr>
          <w:lang w:val="fr-FR"/>
        </w:rPr>
        <w:t>employeur a été obligé de procéder à un versement rétroactif de salaire. Etant donné l</w:t>
      </w:r>
      <w:r w:rsidR="006645B6">
        <w:rPr>
          <w:lang w:val="fr-FR"/>
        </w:rPr>
        <w:t>’</w:t>
      </w:r>
      <w:r w:rsidR="00826E0F" w:rsidRPr="00872599">
        <w:rPr>
          <w:lang w:val="fr-FR"/>
        </w:rPr>
        <w:t>état actuel des données, aucune information sure ne peut être avancée sur des plaintes déposées en vertu de la loi sur l</w:t>
      </w:r>
      <w:r w:rsidR="006645B6">
        <w:rPr>
          <w:lang w:val="fr-FR"/>
        </w:rPr>
        <w:t>’</w:t>
      </w:r>
      <w:r w:rsidR="00826E0F" w:rsidRPr="00872599">
        <w:rPr>
          <w:lang w:val="fr-FR"/>
        </w:rPr>
        <w:t>égalité entre les sexes dans le secteur privé.</w:t>
      </w:r>
    </w:p>
    <w:p w:rsidR="00826E0F" w:rsidRPr="00872599" w:rsidRDefault="002544DB" w:rsidP="00497599">
      <w:pPr>
        <w:pStyle w:val="SingleTxt"/>
        <w:rPr>
          <w:lang w:val="fr-FR"/>
        </w:rPr>
      </w:pPr>
      <w:r>
        <w:rPr>
          <w:lang w:val="fr-FR" w:eastAsia="fr-FR"/>
        </w:rPr>
        <w:tab/>
      </w:r>
      <w:r w:rsidR="00826E0F" w:rsidRPr="00872599">
        <w:rPr>
          <w:lang w:val="fr-FR" w:eastAsia="fr-FR"/>
        </w:rPr>
        <w:t>En juillet 2006, le Gouvernement a chargé le groupe de travail pour la promotion de l</w:t>
      </w:r>
      <w:r w:rsidR="006645B6">
        <w:rPr>
          <w:lang w:val="fr-FR" w:eastAsia="fr-FR"/>
        </w:rPr>
        <w:t>’</w:t>
      </w:r>
      <w:r w:rsidR="00826E0F" w:rsidRPr="00872599">
        <w:rPr>
          <w:lang w:val="fr-FR" w:eastAsia="fr-FR"/>
        </w:rPr>
        <w:t>égalité entre les sexes ainsi que le Bureau de l</w:t>
      </w:r>
      <w:r w:rsidR="006645B6">
        <w:rPr>
          <w:lang w:val="fr-FR" w:eastAsia="fr-FR"/>
        </w:rPr>
        <w:t>’</w:t>
      </w:r>
      <w:r w:rsidR="00826E0F" w:rsidRPr="00872599">
        <w:rPr>
          <w:lang w:val="fr-FR" w:eastAsia="fr-FR"/>
        </w:rPr>
        <w:t>égalité des chances de procéder à une enquête sur l</w:t>
      </w:r>
      <w:r w:rsidR="006645B6">
        <w:rPr>
          <w:lang w:val="fr-FR" w:eastAsia="fr-FR"/>
        </w:rPr>
        <w:t>’</w:t>
      </w:r>
      <w:r w:rsidR="00826E0F" w:rsidRPr="00872599">
        <w:rPr>
          <w:lang w:val="fr-FR" w:eastAsia="fr-FR"/>
        </w:rPr>
        <w:t>écart de salaire entre les femmes et les hommes au sein de l</w:t>
      </w:r>
      <w:r w:rsidR="006645B6">
        <w:rPr>
          <w:lang w:val="fr-FR" w:eastAsia="fr-FR"/>
        </w:rPr>
        <w:t>’</w:t>
      </w:r>
      <w:r w:rsidR="00826E0F" w:rsidRPr="00872599">
        <w:rPr>
          <w:lang w:val="fr-FR" w:eastAsia="fr-FR"/>
        </w:rPr>
        <w:t>administration nationale. L</w:t>
      </w:r>
      <w:r w:rsidR="006645B6">
        <w:rPr>
          <w:lang w:val="fr-FR" w:eastAsia="fr-FR"/>
        </w:rPr>
        <w:t>’</w:t>
      </w:r>
      <w:r w:rsidR="00826E0F" w:rsidRPr="00872599">
        <w:rPr>
          <w:lang w:val="fr-FR" w:eastAsia="fr-FR"/>
        </w:rPr>
        <w:t>évaluation statistique des données en matière de salaires ne permet de relever aucune discrimination en la matière. Les écarts de salaire existants s</w:t>
      </w:r>
      <w:r w:rsidR="006645B6">
        <w:rPr>
          <w:lang w:val="fr-FR" w:eastAsia="fr-FR"/>
        </w:rPr>
        <w:t>’</w:t>
      </w:r>
      <w:r w:rsidR="00826E0F" w:rsidRPr="00872599">
        <w:rPr>
          <w:lang w:val="fr-FR" w:eastAsia="fr-FR"/>
        </w:rPr>
        <w:t>expliquent par l</w:t>
      </w:r>
      <w:r w:rsidR="006645B6">
        <w:rPr>
          <w:lang w:val="fr-FR" w:eastAsia="fr-FR"/>
        </w:rPr>
        <w:t>’</w:t>
      </w:r>
      <w:r w:rsidR="00826E0F" w:rsidRPr="00872599">
        <w:rPr>
          <w:lang w:val="fr-FR" w:eastAsia="fr-FR"/>
        </w:rPr>
        <w:t>appartenance à des catégories de salaire différentes selon les critères de référence appliqués par l</w:t>
      </w:r>
      <w:r w:rsidR="006645B6">
        <w:rPr>
          <w:lang w:val="fr-FR" w:eastAsia="fr-FR"/>
        </w:rPr>
        <w:t>’</w:t>
      </w:r>
      <w:r w:rsidR="00826E0F" w:rsidRPr="00872599">
        <w:rPr>
          <w:lang w:val="fr-FR" w:eastAsia="fr-FR"/>
        </w:rPr>
        <w:t>administration nationale. La variance entre les catégories de salaire est essentiellement due à l</w:t>
      </w:r>
      <w:r w:rsidR="006645B6">
        <w:rPr>
          <w:lang w:val="fr-FR" w:eastAsia="fr-FR"/>
        </w:rPr>
        <w:t>’</w:t>
      </w:r>
      <w:r w:rsidR="00826E0F" w:rsidRPr="00872599">
        <w:rPr>
          <w:lang w:val="fr-FR" w:eastAsia="fr-FR"/>
        </w:rPr>
        <w:t>âge. L</w:t>
      </w:r>
      <w:r w:rsidR="006645B6">
        <w:rPr>
          <w:lang w:val="fr-FR" w:eastAsia="fr-FR"/>
        </w:rPr>
        <w:t>’</w:t>
      </w:r>
      <w:r w:rsidR="00826E0F" w:rsidRPr="00872599">
        <w:rPr>
          <w:lang w:val="fr-FR" w:eastAsia="fr-FR"/>
        </w:rPr>
        <w:t xml:space="preserve">écart de salaire qui subsiste encore entre les femmes et les hommes </w:t>
      </w:r>
      <w:r w:rsidR="00826E0F">
        <w:rPr>
          <w:lang w:val="fr-FR" w:eastAsia="fr-FR"/>
        </w:rPr>
        <w:t xml:space="preserve">est </w:t>
      </w:r>
      <w:r w:rsidR="00826E0F" w:rsidRPr="00872599">
        <w:rPr>
          <w:lang w:val="fr-FR" w:eastAsia="fr-FR"/>
        </w:rPr>
        <w:t xml:space="preserve">essentiellement dû à une surreprésentation des femmes dans les catégories à faible salaire et à une surreprésentation dans les catégories à salaire plus élevé. Il en est particulièrement ainsi des femmes plus </w:t>
      </w:r>
      <w:r w:rsidR="00CC772D" w:rsidRPr="00872599">
        <w:rPr>
          <w:lang w:val="fr-FR" w:eastAsia="fr-FR"/>
        </w:rPr>
        <w:t>âgées</w:t>
      </w:r>
      <w:r w:rsidR="00826E0F" w:rsidRPr="00872599">
        <w:rPr>
          <w:lang w:val="fr-FR" w:eastAsia="fr-FR"/>
        </w:rPr>
        <w:t xml:space="preserve"> alors que l</w:t>
      </w:r>
      <w:r w:rsidR="006645B6">
        <w:rPr>
          <w:lang w:val="fr-FR" w:eastAsia="fr-FR"/>
        </w:rPr>
        <w:t>’</w:t>
      </w:r>
      <w:r w:rsidR="00826E0F" w:rsidRPr="00872599">
        <w:rPr>
          <w:lang w:val="fr-FR" w:eastAsia="fr-FR"/>
        </w:rPr>
        <w:t>on ne peut guère relever de différence entre les jeunes femmes et les jeunes hommes. L</w:t>
      </w:r>
      <w:r w:rsidR="006645B6">
        <w:rPr>
          <w:lang w:val="fr-FR" w:eastAsia="fr-FR"/>
        </w:rPr>
        <w:t>’</w:t>
      </w:r>
      <w:r w:rsidR="00826E0F" w:rsidRPr="00872599">
        <w:rPr>
          <w:lang w:val="fr-FR" w:eastAsia="fr-FR"/>
        </w:rPr>
        <w:t>administration nationale du Liechtenstein peut donc être considérée comme exemplaire en matière d</w:t>
      </w:r>
      <w:r w:rsidR="006645B6">
        <w:rPr>
          <w:lang w:val="fr-FR" w:eastAsia="fr-FR"/>
        </w:rPr>
        <w:t>’</w:t>
      </w:r>
      <w:r w:rsidR="00826E0F" w:rsidRPr="00872599">
        <w:rPr>
          <w:lang w:val="fr-FR" w:eastAsia="fr-FR"/>
        </w:rPr>
        <w:t>égalité de salaires entre les femmes et les hommes. L</w:t>
      </w:r>
      <w:r w:rsidR="006645B6">
        <w:rPr>
          <w:lang w:val="fr-FR" w:eastAsia="fr-FR"/>
        </w:rPr>
        <w:t>’</w:t>
      </w:r>
      <w:r w:rsidR="00826E0F" w:rsidRPr="00872599">
        <w:rPr>
          <w:lang w:val="fr-FR" w:eastAsia="fr-FR"/>
        </w:rPr>
        <w:t>écart de salaire n</w:t>
      </w:r>
      <w:r w:rsidR="006645B6">
        <w:rPr>
          <w:lang w:val="fr-FR" w:eastAsia="fr-FR"/>
        </w:rPr>
        <w:t>’</w:t>
      </w:r>
      <w:r w:rsidR="00826E0F" w:rsidRPr="00872599">
        <w:rPr>
          <w:lang w:val="fr-FR" w:eastAsia="fr-FR"/>
        </w:rPr>
        <w:t>est pas directement du à de la discrimination puisqu</w:t>
      </w:r>
      <w:r w:rsidR="006645B6">
        <w:rPr>
          <w:lang w:val="fr-FR" w:eastAsia="fr-FR"/>
        </w:rPr>
        <w:t>’</w:t>
      </w:r>
      <w:r w:rsidR="00826E0F" w:rsidRPr="00872599">
        <w:rPr>
          <w:lang w:val="fr-FR" w:eastAsia="fr-FR"/>
        </w:rPr>
        <w:t>en moyenne les hommes occupent des postes plus élevés et gagnent donc généralement davantage. L</w:t>
      </w:r>
      <w:r w:rsidR="006645B6">
        <w:rPr>
          <w:lang w:val="fr-FR" w:eastAsia="fr-FR"/>
        </w:rPr>
        <w:t>’</w:t>
      </w:r>
      <w:r w:rsidR="00826E0F" w:rsidRPr="00872599">
        <w:rPr>
          <w:lang w:val="fr-FR" w:eastAsia="fr-FR"/>
        </w:rPr>
        <w:t>écart entre les salaires moyens des femmes et ceux des hommes est d</w:t>
      </w:r>
      <w:r w:rsidR="006645B6">
        <w:rPr>
          <w:lang w:val="fr-FR" w:eastAsia="fr-FR"/>
        </w:rPr>
        <w:t>’</w:t>
      </w:r>
      <w:r w:rsidR="00826E0F" w:rsidRPr="00872599">
        <w:rPr>
          <w:lang w:val="fr-FR" w:eastAsia="fr-FR"/>
        </w:rPr>
        <w:t>autant plus prononcé que le groupe est âgé. Le salaire moyen des femmes et des hommes chez les jeunes jusqu</w:t>
      </w:r>
      <w:r w:rsidR="006645B6">
        <w:rPr>
          <w:lang w:val="fr-FR" w:eastAsia="fr-FR"/>
        </w:rPr>
        <w:t>’</w:t>
      </w:r>
      <w:r w:rsidR="00826E0F" w:rsidRPr="00872599">
        <w:rPr>
          <w:lang w:val="fr-FR" w:eastAsia="fr-FR"/>
        </w:rPr>
        <w:t>à 30 ans est pratiquement le même. Pour les groupes d</w:t>
      </w:r>
      <w:r w:rsidR="006645B6">
        <w:rPr>
          <w:lang w:val="fr-FR" w:eastAsia="fr-FR"/>
        </w:rPr>
        <w:t>’</w:t>
      </w:r>
      <w:r w:rsidR="00826E0F" w:rsidRPr="00872599">
        <w:rPr>
          <w:lang w:val="fr-FR" w:eastAsia="fr-FR"/>
        </w:rPr>
        <w:t>âges suivants, l</w:t>
      </w:r>
      <w:r w:rsidR="006645B6">
        <w:rPr>
          <w:lang w:val="fr-FR" w:eastAsia="fr-FR"/>
        </w:rPr>
        <w:t>’</w:t>
      </w:r>
      <w:r w:rsidR="00826E0F" w:rsidRPr="00872599">
        <w:rPr>
          <w:lang w:val="fr-FR" w:eastAsia="fr-FR"/>
        </w:rPr>
        <w:t>écart moyen se creuse. Chez les femmes, ce sont celles qui ont de 30 à 40 ans qui gagnent le plus. Les femmes plus âgées gagnent moins, sans doute essentiellement du fait qu</w:t>
      </w:r>
      <w:r w:rsidR="006645B6">
        <w:rPr>
          <w:lang w:val="fr-FR" w:eastAsia="fr-FR"/>
        </w:rPr>
        <w:t>’</w:t>
      </w:r>
      <w:r w:rsidR="00826E0F" w:rsidRPr="00872599">
        <w:rPr>
          <w:lang w:val="fr-FR" w:eastAsia="fr-FR"/>
        </w:rPr>
        <w:t>elles ont un niveau d</w:t>
      </w:r>
      <w:r w:rsidR="006645B6">
        <w:rPr>
          <w:lang w:val="fr-FR" w:eastAsia="fr-FR"/>
        </w:rPr>
        <w:t>’</w:t>
      </w:r>
      <w:r w:rsidR="00826E0F" w:rsidRPr="00872599">
        <w:rPr>
          <w:lang w:val="fr-FR" w:eastAsia="fr-FR"/>
        </w:rPr>
        <w:t>instruction moindre et occupent des fonctions de moindre responsabilité et sont donc classées</w:t>
      </w:r>
      <w:r w:rsidR="00826E0F">
        <w:rPr>
          <w:lang w:val="fr-FR" w:eastAsia="fr-FR"/>
        </w:rPr>
        <w:t xml:space="preserve"> dans des catégories de</w:t>
      </w:r>
      <w:r w:rsidR="00826E0F" w:rsidRPr="00872599">
        <w:rPr>
          <w:lang w:val="fr-FR" w:eastAsia="fr-FR"/>
        </w:rPr>
        <w:t xml:space="preserve"> salaire inférieur.</w:t>
      </w:r>
    </w:p>
    <w:p w:rsidR="002544DB" w:rsidRPr="002544DB" w:rsidRDefault="002544DB" w:rsidP="002544DB">
      <w:pPr>
        <w:pStyle w:val="SingleTxt"/>
        <w:spacing w:after="0" w:line="120" w:lineRule="exact"/>
        <w:rPr>
          <w:sz w:val="10"/>
          <w:lang w:val="fr-FR"/>
        </w:rPr>
      </w:pPr>
    </w:p>
    <w:p w:rsidR="00826E0F" w:rsidRPr="00872599" w:rsidRDefault="002544DB" w:rsidP="002544D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eastAsia="fr-FR"/>
        </w:rPr>
      </w:pPr>
      <w:r>
        <w:rPr>
          <w:lang w:val="fr-FR" w:eastAsia="fr-FR"/>
        </w:rPr>
        <w:tab/>
      </w:r>
      <w:r>
        <w:rPr>
          <w:lang w:val="fr-FR" w:eastAsia="fr-FR"/>
        </w:rPr>
        <w:tab/>
      </w:r>
      <w:r w:rsidR="00826E0F" w:rsidRPr="00872599">
        <w:rPr>
          <w:lang w:val="fr-FR" w:eastAsia="fr-FR"/>
        </w:rPr>
        <w:t>Journée de l</w:t>
      </w:r>
      <w:r w:rsidR="006645B6">
        <w:rPr>
          <w:lang w:val="fr-FR" w:eastAsia="fr-FR"/>
        </w:rPr>
        <w:t>’</w:t>
      </w:r>
      <w:r w:rsidR="00826E0F" w:rsidRPr="00872599">
        <w:rPr>
          <w:lang w:val="fr-FR" w:eastAsia="fr-FR"/>
        </w:rPr>
        <w:t>égalité salariale</w:t>
      </w:r>
    </w:p>
    <w:p w:rsidR="002544DB" w:rsidRPr="002544DB" w:rsidRDefault="002544DB" w:rsidP="002544DB">
      <w:pPr>
        <w:pStyle w:val="SingleTxt"/>
        <w:spacing w:after="0" w:line="120" w:lineRule="exact"/>
        <w:rPr>
          <w:sz w:val="10"/>
          <w:lang w:val="fr-FR" w:eastAsia="fr-FR"/>
        </w:rPr>
      </w:pPr>
    </w:p>
    <w:p w:rsidR="00826E0F" w:rsidRPr="00872599" w:rsidRDefault="002544DB" w:rsidP="00497599">
      <w:pPr>
        <w:pStyle w:val="SingleTxt"/>
        <w:rPr>
          <w:lang w:val="fr-FR" w:eastAsia="fr-FR"/>
        </w:rPr>
      </w:pPr>
      <w:r>
        <w:rPr>
          <w:lang w:val="fr-FR" w:eastAsia="fr-FR"/>
        </w:rPr>
        <w:tab/>
      </w:r>
      <w:r w:rsidR="00826E0F" w:rsidRPr="00872599">
        <w:rPr>
          <w:lang w:val="fr-FR" w:eastAsia="fr-FR"/>
        </w:rPr>
        <w:t>Le Bureau de l</w:t>
      </w:r>
      <w:r w:rsidR="006645B6">
        <w:rPr>
          <w:lang w:val="fr-FR" w:eastAsia="fr-FR"/>
        </w:rPr>
        <w:t>’</w:t>
      </w:r>
      <w:r w:rsidR="00826E0F" w:rsidRPr="00872599">
        <w:rPr>
          <w:lang w:val="fr-FR" w:eastAsia="fr-FR"/>
        </w:rPr>
        <w:t>égalité des chances a apporté un appui financier et un appui non-tangible à la première journée de l</w:t>
      </w:r>
      <w:r w:rsidR="006645B6">
        <w:rPr>
          <w:lang w:val="fr-FR" w:eastAsia="fr-FR"/>
        </w:rPr>
        <w:t>’</w:t>
      </w:r>
      <w:r w:rsidR="00826E0F" w:rsidRPr="00872599">
        <w:rPr>
          <w:lang w:val="fr-FR" w:eastAsia="fr-FR"/>
        </w:rPr>
        <w:t xml:space="preserve">égalité salariale organisée le 10 mars 2009 par le club des femmes </w:t>
      </w:r>
      <w:r w:rsidR="00826E0F" w:rsidRPr="00872599">
        <w:rPr>
          <w:lang w:val="fr-FR"/>
        </w:rPr>
        <w:t xml:space="preserve">entrepreneurs et professionnelles </w:t>
      </w:r>
      <w:r w:rsidR="00826E0F" w:rsidRPr="00872599">
        <w:rPr>
          <w:lang w:val="fr-FR" w:eastAsia="fr-FR"/>
        </w:rPr>
        <w:t>(BPW). Un stand d</w:t>
      </w:r>
      <w:r w:rsidR="006645B6">
        <w:rPr>
          <w:lang w:val="fr-FR" w:eastAsia="fr-FR"/>
        </w:rPr>
        <w:t>’</w:t>
      </w:r>
      <w:r w:rsidR="00826E0F" w:rsidRPr="00872599">
        <w:rPr>
          <w:lang w:val="fr-FR" w:eastAsia="fr-FR"/>
        </w:rPr>
        <w:t>information monté au centre de Vaduz a attiré l</w:t>
      </w:r>
      <w:r w:rsidR="006645B6">
        <w:rPr>
          <w:lang w:val="fr-FR" w:eastAsia="fr-FR"/>
        </w:rPr>
        <w:t>’</w:t>
      </w:r>
      <w:r w:rsidR="00826E0F" w:rsidRPr="00872599">
        <w:rPr>
          <w:lang w:val="fr-FR" w:eastAsia="fr-FR"/>
        </w:rPr>
        <w:t>attention sur le fait qu</w:t>
      </w:r>
      <w:r w:rsidR="006645B6">
        <w:rPr>
          <w:lang w:val="fr-FR" w:eastAsia="fr-FR"/>
        </w:rPr>
        <w:t>’</w:t>
      </w:r>
      <w:r w:rsidR="00826E0F" w:rsidRPr="00872599">
        <w:rPr>
          <w:lang w:val="fr-FR" w:eastAsia="fr-FR"/>
        </w:rPr>
        <w:t>en 2009 les femmes avaient dû travailler 49 jours de plus, c</w:t>
      </w:r>
      <w:r w:rsidR="006645B6">
        <w:rPr>
          <w:lang w:val="fr-FR" w:eastAsia="fr-FR"/>
        </w:rPr>
        <w:t>’</w:t>
      </w:r>
      <w:r w:rsidR="00826E0F" w:rsidRPr="00872599">
        <w:rPr>
          <w:lang w:val="fr-FR" w:eastAsia="fr-FR"/>
        </w:rPr>
        <w:t>est-à-dire jusqu</w:t>
      </w:r>
      <w:r w:rsidR="006645B6">
        <w:rPr>
          <w:lang w:val="fr-FR" w:eastAsia="fr-FR"/>
        </w:rPr>
        <w:t>’</w:t>
      </w:r>
      <w:r w:rsidR="00826E0F" w:rsidRPr="00872599">
        <w:rPr>
          <w:lang w:val="fr-FR" w:eastAsia="fr-FR"/>
        </w:rPr>
        <w:t>au 10 mars, pour gagner autant que les hommes .</w:t>
      </w:r>
    </w:p>
    <w:p w:rsidR="002544DB" w:rsidRPr="002544DB" w:rsidRDefault="002544DB" w:rsidP="002544DB">
      <w:pPr>
        <w:pStyle w:val="SingleTxt"/>
        <w:spacing w:after="0" w:line="120" w:lineRule="exact"/>
        <w:rPr>
          <w:sz w:val="10"/>
          <w:lang w:val="fr-FR" w:eastAsia="fr-FR"/>
        </w:rPr>
      </w:pPr>
    </w:p>
    <w:p w:rsidR="00826E0F" w:rsidRPr="00872599" w:rsidRDefault="002544DB" w:rsidP="002544D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eastAsia="fr-FR"/>
        </w:rPr>
      </w:pPr>
      <w:r>
        <w:rPr>
          <w:lang w:val="fr-FR" w:eastAsia="fr-FR"/>
        </w:rPr>
        <w:tab/>
      </w:r>
      <w:r>
        <w:rPr>
          <w:lang w:val="fr-FR" w:eastAsia="fr-FR"/>
        </w:rPr>
        <w:tab/>
      </w:r>
      <w:r w:rsidR="00826E0F" w:rsidRPr="00872599">
        <w:rPr>
          <w:lang w:val="fr-FR" w:eastAsia="fr-FR"/>
        </w:rPr>
        <w:t>Activité de l</w:t>
      </w:r>
      <w:r w:rsidR="006645B6">
        <w:rPr>
          <w:lang w:val="fr-FR" w:eastAsia="fr-FR"/>
        </w:rPr>
        <w:t>’</w:t>
      </w:r>
      <w:r w:rsidR="00826E0F" w:rsidRPr="00872599">
        <w:rPr>
          <w:lang w:val="fr-FR" w:eastAsia="fr-FR"/>
        </w:rPr>
        <w:t>administration nationale en faveur des femmes sur le lieu de travail</w:t>
      </w:r>
    </w:p>
    <w:p w:rsidR="002544DB" w:rsidRPr="002544DB" w:rsidRDefault="002544DB" w:rsidP="002544DB">
      <w:pPr>
        <w:pStyle w:val="SingleTxt"/>
        <w:spacing w:after="0" w:line="120" w:lineRule="exact"/>
        <w:rPr>
          <w:sz w:val="10"/>
          <w:lang w:val="fr-FR" w:eastAsia="fr-FR"/>
        </w:rPr>
      </w:pPr>
    </w:p>
    <w:p w:rsidR="00826E0F" w:rsidRPr="00872599" w:rsidRDefault="002544DB" w:rsidP="00497599">
      <w:pPr>
        <w:pStyle w:val="SingleTxt"/>
        <w:rPr>
          <w:lang w:val="fr-FR" w:eastAsia="fr-FR"/>
        </w:rPr>
      </w:pPr>
      <w:r>
        <w:rPr>
          <w:lang w:val="fr-FR" w:eastAsia="fr-FR"/>
        </w:rPr>
        <w:tab/>
      </w:r>
      <w:r w:rsidR="00826E0F" w:rsidRPr="00872599">
        <w:rPr>
          <w:lang w:val="fr-FR" w:eastAsia="fr-FR"/>
        </w:rPr>
        <w:t>Sur la base d</w:t>
      </w:r>
      <w:r w:rsidR="006645B6">
        <w:rPr>
          <w:lang w:val="fr-FR" w:eastAsia="fr-FR"/>
        </w:rPr>
        <w:t>’</w:t>
      </w:r>
      <w:r w:rsidR="00826E0F" w:rsidRPr="00872599">
        <w:rPr>
          <w:lang w:val="fr-FR" w:eastAsia="fr-FR"/>
        </w:rPr>
        <w:t>une décision prise par le Gouvernement le 14 mars 2007, le Bureau des ressources humaines et administratives a été chargé de recommander un plus grand nombre de femmes aux postes d</w:t>
      </w:r>
      <w:r w:rsidR="006645B6">
        <w:rPr>
          <w:lang w:val="fr-FR" w:eastAsia="fr-FR"/>
        </w:rPr>
        <w:t>’</w:t>
      </w:r>
      <w:r w:rsidR="00826E0F" w:rsidRPr="00872599">
        <w:rPr>
          <w:lang w:val="fr-FR" w:eastAsia="fr-FR"/>
        </w:rPr>
        <w:t>encadrement lorsque les qualifications étaient les mêmes ou étaient équivalentes, afin d</w:t>
      </w:r>
      <w:r w:rsidR="006645B6">
        <w:rPr>
          <w:lang w:val="fr-FR" w:eastAsia="fr-FR"/>
        </w:rPr>
        <w:t>’</w:t>
      </w:r>
      <w:r w:rsidR="00826E0F" w:rsidRPr="00872599">
        <w:rPr>
          <w:lang w:val="fr-FR" w:eastAsia="fr-FR"/>
        </w:rPr>
        <w:t>obtenir une plus forte représentation des femmes dans les postes de responsabilité.</w:t>
      </w:r>
    </w:p>
    <w:p w:rsidR="00826E0F" w:rsidRDefault="002544DB" w:rsidP="00497599">
      <w:pPr>
        <w:pStyle w:val="SingleTxt"/>
        <w:rPr>
          <w:lang w:val="fr-FR" w:eastAsia="fr-FR"/>
        </w:rPr>
      </w:pPr>
      <w:r>
        <w:rPr>
          <w:lang w:val="fr-FR" w:eastAsia="fr-FR"/>
        </w:rPr>
        <w:tab/>
      </w:r>
      <w:r w:rsidR="00826E0F" w:rsidRPr="00872599">
        <w:rPr>
          <w:lang w:val="fr-FR" w:eastAsia="fr-FR"/>
        </w:rPr>
        <w:t>Le Groupe de travail pour la promotion de l</w:t>
      </w:r>
      <w:r w:rsidR="006645B6">
        <w:rPr>
          <w:lang w:val="fr-FR" w:eastAsia="fr-FR"/>
        </w:rPr>
        <w:t>’</w:t>
      </w:r>
      <w:r w:rsidR="00826E0F" w:rsidRPr="00872599">
        <w:rPr>
          <w:lang w:val="fr-FR" w:eastAsia="fr-FR"/>
        </w:rPr>
        <w:t>égalité entre les femmes et les hommes au sein de l</w:t>
      </w:r>
      <w:r w:rsidR="006645B6">
        <w:rPr>
          <w:lang w:val="fr-FR" w:eastAsia="fr-FR"/>
        </w:rPr>
        <w:t>’</w:t>
      </w:r>
      <w:r w:rsidR="00826E0F" w:rsidRPr="00872599">
        <w:rPr>
          <w:lang w:val="fr-FR" w:eastAsia="fr-FR"/>
        </w:rPr>
        <w:t>administration nationale a été chargé</w:t>
      </w:r>
      <w:r w:rsidR="00826E0F">
        <w:rPr>
          <w:lang w:val="fr-FR" w:eastAsia="fr-FR"/>
        </w:rPr>
        <w:t>,</w:t>
      </w:r>
      <w:r w:rsidR="00826E0F" w:rsidRPr="00872599">
        <w:rPr>
          <w:lang w:val="fr-FR" w:eastAsia="fr-FR"/>
        </w:rPr>
        <w:t xml:space="preserve"> aux termes d</w:t>
      </w:r>
      <w:r w:rsidR="006645B6">
        <w:rPr>
          <w:lang w:val="fr-FR" w:eastAsia="fr-FR"/>
        </w:rPr>
        <w:t>’</w:t>
      </w:r>
      <w:r w:rsidR="00826E0F" w:rsidRPr="00872599">
        <w:rPr>
          <w:lang w:val="fr-FR" w:eastAsia="fr-FR"/>
        </w:rPr>
        <w:t>une décision prise par le Gouvernement en septembre 2008</w:t>
      </w:r>
      <w:r w:rsidR="00826E0F">
        <w:rPr>
          <w:lang w:val="fr-FR" w:eastAsia="fr-FR"/>
        </w:rPr>
        <w:t>,</w:t>
      </w:r>
      <w:r w:rsidR="00826E0F" w:rsidRPr="00872599">
        <w:rPr>
          <w:lang w:val="fr-FR" w:eastAsia="fr-FR"/>
        </w:rPr>
        <w:t xml:space="preserve"> de préparer diverses mesures prioritaires d</w:t>
      </w:r>
      <w:r w:rsidR="006645B6">
        <w:rPr>
          <w:lang w:val="fr-FR" w:eastAsia="fr-FR"/>
        </w:rPr>
        <w:t>’</w:t>
      </w:r>
      <w:r w:rsidR="00826E0F" w:rsidRPr="00872599">
        <w:rPr>
          <w:lang w:val="fr-FR" w:eastAsia="fr-FR"/>
        </w:rPr>
        <w:t xml:space="preserve">application en collaboration avec le Bureau des ressources humaines et administratives et </w:t>
      </w:r>
      <w:r w:rsidR="00826E0F">
        <w:rPr>
          <w:lang w:val="fr-FR" w:eastAsia="fr-FR"/>
        </w:rPr>
        <w:t>d</w:t>
      </w:r>
      <w:r w:rsidR="006645B6">
        <w:rPr>
          <w:lang w:val="fr-FR" w:eastAsia="fr-FR"/>
        </w:rPr>
        <w:t>’</w:t>
      </w:r>
      <w:r w:rsidR="00826E0F">
        <w:rPr>
          <w:lang w:val="fr-FR" w:eastAsia="fr-FR"/>
        </w:rPr>
        <w:t xml:space="preserve">en </w:t>
      </w:r>
      <w:r w:rsidR="00826E0F" w:rsidRPr="00872599">
        <w:rPr>
          <w:lang w:val="fr-FR" w:eastAsia="fr-FR"/>
        </w:rPr>
        <w:t xml:space="preserve">recommander </w:t>
      </w:r>
      <w:r w:rsidR="00826E0F">
        <w:rPr>
          <w:lang w:val="fr-FR" w:eastAsia="fr-FR"/>
        </w:rPr>
        <w:t xml:space="preserve">la mise en œuvre au </w:t>
      </w:r>
      <w:r w:rsidR="00826E0F" w:rsidRPr="00872599">
        <w:rPr>
          <w:lang w:val="fr-FR" w:eastAsia="fr-FR"/>
        </w:rPr>
        <w:t>Ministère de la famille et de l</w:t>
      </w:r>
      <w:r w:rsidR="006645B6">
        <w:rPr>
          <w:lang w:val="fr-FR" w:eastAsia="fr-FR"/>
        </w:rPr>
        <w:t>’</w:t>
      </w:r>
      <w:r w:rsidR="00826E0F" w:rsidRPr="00872599">
        <w:rPr>
          <w:lang w:val="fr-FR" w:eastAsia="fr-FR"/>
        </w:rPr>
        <w:t>égalité des chances. Il s</w:t>
      </w:r>
      <w:r w:rsidR="006645B6">
        <w:rPr>
          <w:lang w:val="fr-FR" w:eastAsia="fr-FR"/>
        </w:rPr>
        <w:t>’</w:t>
      </w:r>
      <w:r w:rsidR="00826E0F" w:rsidRPr="00872599">
        <w:rPr>
          <w:lang w:val="fr-FR" w:eastAsia="fr-FR"/>
        </w:rPr>
        <w:t>agissait entre autres d</w:t>
      </w:r>
      <w:r w:rsidR="006645B6">
        <w:rPr>
          <w:lang w:val="fr-FR" w:eastAsia="fr-FR"/>
        </w:rPr>
        <w:t>’</w:t>
      </w:r>
      <w:r w:rsidR="00826E0F" w:rsidRPr="00872599">
        <w:rPr>
          <w:lang w:val="fr-FR" w:eastAsia="fr-FR"/>
        </w:rPr>
        <w:t>évaluer les absences du personnel dues à des maladies ou à des accidents (employés femmes et hommes à plein temps et à temps partiel), de sensibiliser les supérieurs grâce à la conférence des directeurs de Bureau et de créer un nouveau Bureau de contact et d</w:t>
      </w:r>
      <w:r w:rsidR="006645B6">
        <w:rPr>
          <w:lang w:val="fr-FR" w:eastAsia="fr-FR"/>
        </w:rPr>
        <w:t>’</w:t>
      </w:r>
      <w:r w:rsidR="00826E0F" w:rsidRPr="00872599">
        <w:rPr>
          <w:lang w:val="fr-FR" w:eastAsia="fr-FR"/>
        </w:rPr>
        <w:t>orientation pour les questions liées au temps de travail et à la famille au sein du Bureau des ressources humaines et administratives.</w:t>
      </w:r>
    </w:p>
    <w:p w:rsidR="002544DB" w:rsidRPr="002544DB" w:rsidRDefault="002544DB" w:rsidP="002544DB">
      <w:pPr>
        <w:pStyle w:val="SingleTxt"/>
        <w:spacing w:after="0" w:line="120" w:lineRule="exact"/>
        <w:rPr>
          <w:sz w:val="10"/>
          <w:lang w:val="fr-FR" w:eastAsia="fr-FR"/>
        </w:rPr>
      </w:pPr>
    </w:p>
    <w:p w:rsidR="00826E0F" w:rsidRPr="00872599" w:rsidRDefault="002544DB" w:rsidP="002544DB">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eastAsia="fr-FR"/>
        </w:rPr>
      </w:pPr>
      <w:r>
        <w:rPr>
          <w:lang w:val="fr-FR" w:eastAsia="fr-FR"/>
        </w:rPr>
        <w:tab/>
      </w:r>
      <w:r w:rsidR="00826E0F" w:rsidRPr="00872599">
        <w:rPr>
          <w:lang w:val="fr-FR" w:eastAsia="fr-FR"/>
        </w:rPr>
        <w:t>b)</w:t>
      </w:r>
      <w:r w:rsidR="00826E0F" w:rsidRPr="00872599">
        <w:rPr>
          <w:lang w:val="fr-FR" w:eastAsia="fr-FR"/>
        </w:rPr>
        <w:tab/>
        <w:t>Mesures tendant à assurer aux femmes l</w:t>
      </w:r>
      <w:r w:rsidR="006645B6">
        <w:rPr>
          <w:lang w:val="fr-FR" w:eastAsia="fr-FR"/>
        </w:rPr>
        <w:t>’</w:t>
      </w:r>
      <w:r w:rsidR="00826E0F" w:rsidRPr="00872599">
        <w:rPr>
          <w:lang w:val="fr-FR" w:eastAsia="fr-FR"/>
        </w:rPr>
        <w:t xml:space="preserve">égalité sur le lieu de travail </w:t>
      </w:r>
    </w:p>
    <w:p w:rsidR="002544DB" w:rsidRPr="002544DB" w:rsidRDefault="002544DB" w:rsidP="002544DB">
      <w:pPr>
        <w:pStyle w:val="SingleTxt"/>
        <w:spacing w:after="0" w:line="120" w:lineRule="exact"/>
        <w:rPr>
          <w:sz w:val="10"/>
          <w:lang w:val="fr-FR" w:eastAsia="fr-FR"/>
        </w:rPr>
      </w:pPr>
    </w:p>
    <w:p w:rsidR="00826E0F" w:rsidRPr="00872599" w:rsidRDefault="002544DB" w:rsidP="00497599">
      <w:pPr>
        <w:pStyle w:val="SingleTxt"/>
        <w:rPr>
          <w:lang w:val="fr-FR" w:eastAsia="fr-FR"/>
        </w:rPr>
      </w:pPr>
      <w:r>
        <w:rPr>
          <w:lang w:val="fr-FR" w:eastAsia="fr-FR"/>
        </w:rPr>
        <w:tab/>
      </w:r>
      <w:r w:rsidR="00826E0F" w:rsidRPr="00872599">
        <w:rPr>
          <w:lang w:val="fr-FR" w:eastAsia="fr-FR"/>
        </w:rPr>
        <w:t>La loi sur l</w:t>
      </w:r>
      <w:r w:rsidR="006645B6">
        <w:rPr>
          <w:lang w:val="fr-FR" w:eastAsia="fr-FR"/>
        </w:rPr>
        <w:t>’</w:t>
      </w:r>
      <w:r w:rsidR="00826E0F" w:rsidRPr="00872599">
        <w:rPr>
          <w:lang w:val="fr-FR" w:eastAsia="fr-FR"/>
        </w:rPr>
        <w:t xml:space="preserve">égalité entre les sexes, promulguée le 5 mai 1999 et </w:t>
      </w:r>
      <w:r w:rsidR="00826E0F">
        <w:rPr>
          <w:lang w:val="fr-FR" w:eastAsia="fr-FR"/>
        </w:rPr>
        <w:t>révisée</w:t>
      </w:r>
      <w:r w:rsidR="00826E0F" w:rsidRPr="00872599">
        <w:rPr>
          <w:lang w:val="fr-FR" w:eastAsia="fr-FR"/>
        </w:rPr>
        <w:t xml:space="preserve"> en 2006, constitue pour le Liechtenstein l</w:t>
      </w:r>
      <w:r w:rsidR="006645B6">
        <w:rPr>
          <w:lang w:val="fr-FR" w:eastAsia="fr-FR"/>
        </w:rPr>
        <w:t>’</w:t>
      </w:r>
      <w:r w:rsidR="00826E0F" w:rsidRPr="00872599">
        <w:rPr>
          <w:lang w:val="fr-FR" w:eastAsia="fr-FR"/>
        </w:rPr>
        <w:t xml:space="preserve">instrument de mise en </w:t>
      </w:r>
      <w:r w:rsidR="00CC772D" w:rsidRPr="00872599">
        <w:rPr>
          <w:lang w:val="fr-FR" w:eastAsia="fr-FR"/>
        </w:rPr>
        <w:t>œuvre</w:t>
      </w:r>
      <w:r w:rsidR="00826E0F" w:rsidRPr="00872599">
        <w:rPr>
          <w:lang w:val="fr-FR" w:eastAsia="fr-FR"/>
        </w:rPr>
        <w:t xml:space="preserve"> d</w:t>
      </w:r>
      <w:r w:rsidR="006645B6">
        <w:rPr>
          <w:lang w:val="fr-FR" w:eastAsia="fr-FR"/>
        </w:rPr>
        <w:t>’</w:t>
      </w:r>
      <w:r w:rsidR="00826E0F" w:rsidRPr="00872599">
        <w:rPr>
          <w:lang w:val="fr-FR" w:eastAsia="fr-FR"/>
        </w:rPr>
        <w:t xml:space="preserve">une égalité de fait entre les femmes et les hommes sur le lieu de travail (voir les remarques </w:t>
      </w:r>
      <w:r w:rsidR="00826E0F">
        <w:rPr>
          <w:lang w:val="fr-FR" w:eastAsia="fr-FR"/>
        </w:rPr>
        <w:t xml:space="preserve">concernant </w:t>
      </w:r>
      <w:r w:rsidR="00826E0F" w:rsidRPr="00872599">
        <w:rPr>
          <w:lang w:val="fr-FR" w:eastAsia="fr-FR"/>
        </w:rPr>
        <w:t>l</w:t>
      </w:r>
      <w:r w:rsidR="006645B6">
        <w:rPr>
          <w:lang w:val="fr-FR" w:eastAsia="fr-FR"/>
        </w:rPr>
        <w:t>’</w:t>
      </w:r>
      <w:r w:rsidR="00826E0F" w:rsidRPr="00872599">
        <w:rPr>
          <w:lang w:val="fr-FR" w:eastAsia="fr-FR"/>
        </w:rPr>
        <w:t>article 2). Depuis l</w:t>
      </w:r>
      <w:r w:rsidR="006645B6">
        <w:rPr>
          <w:lang w:val="fr-FR" w:eastAsia="fr-FR"/>
        </w:rPr>
        <w:t>’</w:t>
      </w:r>
      <w:r w:rsidR="00826E0F" w:rsidRPr="00872599">
        <w:rPr>
          <w:lang w:val="fr-FR" w:eastAsia="fr-FR"/>
        </w:rPr>
        <w:t>entrée en vigueur de cette loi, divers efforts ont été déployés pour</w:t>
      </w:r>
      <w:r w:rsidR="00826E0F">
        <w:rPr>
          <w:lang w:val="fr-FR" w:eastAsia="fr-FR"/>
        </w:rPr>
        <w:t xml:space="preserve"> mieux</w:t>
      </w:r>
      <w:r w:rsidR="00826E0F" w:rsidRPr="00872599">
        <w:rPr>
          <w:lang w:val="fr-FR" w:eastAsia="fr-FR"/>
        </w:rPr>
        <w:t xml:space="preserve"> la faire connaître par le grand public.</w:t>
      </w:r>
    </w:p>
    <w:p w:rsidR="002544DB" w:rsidRPr="002544DB" w:rsidRDefault="002544DB" w:rsidP="002544DB">
      <w:pPr>
        <w:pStyle w:val="SingleTxt"/>
        <w:spacing w:after="0" w:line="120" w:lineRule="exact"/>
        <w:rPr>
          <w:b/>
          <w:sz w:val="10"/>
          <w:lang w:val="fr-FR" w:eastAsia="fr-FR"/>
        </w:rPr>
      </w:pPr>
    </w:p>
    <w:p w:rsidR="00826E0F" w:rsidRPr="00872599" w:rsidRDefault="002544DB" w:rsidP="002544D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eastAsia="fr-FR"/>
        </w:rPr>
      </w:pPr>
      <w:r>
        <w:rPr>
          <w:lang w:val="fr-FR" w:eastAsia="fr-FR"/>
        </w:rPr>
        <w:tab/>
      </w:r>
      <w:r>
        <w:rPr>
          <w:lang w:val="fr-FR" w:eastAsia="fr-FR"/>
        </w:rPr>
        <w:tab/>
      </w:r>
      <w:r w:rsidR="00826E0F" w:rsidRPr="00872599">
        <w:rPr>
          <w:lang w:val="fr-FR" w:eastAsia="fr-FR"/>
        </w:rPr>
        <w:t>Campagne d</w:t>
      </w:r>
      <w:r w:rsidR="006645B6">
        <w:rPr>
          <w:lang w:val="fr-FR" w:eastAsia="fr-FR"/>
        </w:rPr>
        <w:t>’</w:t>
      </w:r>
      <w:r w:rsidR="00826E0F" w:rsidRPr="00872599">
        <w:rPr>
          <w:lang w:val="fr-FR" w:eastAsia="fr-FR"/>
        </w:rPr>
        <w:t>information sur la loi sur l</w:t>
      </w:r>
      <w:r w:rsidR="006645B6">
        <w:rPr>
          <w:lang w:val="fr-FR" w:eastAsia="fr-FR"/>
        </w:rPr>
        <w:t>’</w:t>
      </w:r>
      <w:r w:rsidR="00826E0F" w:rsidRPr="00872599">
        <w:rPr>
          <w:lang w:val="fr-FR" w:eastAsia="fr-FR"/>
        </w:rPr>
        <w:t>égalité entre les sexes</w:t>
      </w:r>
    </w:p>
    <w:p w:rsidR="002544DB" w:rsidRPr="002544DB" w:rsidRDefault="002544DB" w:rsidP="002544DB">
      <w:pPr>
        <w:pStyle w:val="SingleTxt"/>
        <w:spacing w:after="0" w:line="120" w:lineRule="exact"/>
        <w:rPr>
          <w:sz w:val="10"/>
          <w:lang w:val="fr-FR" w:eastAsia="fr-FR"/>
        </w:rPr>
      </w:pPr>
    </w:p>
    <w:p w:rsidR="00826E0F" w:rsidRPr="00872599" w:rsidRDefault="002544DB" w:rsidP="00497599">
      <w:pPr>
        <w:pStyle w:val="SingleTxt"/>
        <w:rPr>
          <w:lang w:val="fr-FR" w:eastAsia="fr-FR"/>
        </w:rPr>
      </w:pPr>
      <w:r>
        <w:rPr>
          <w:lang w:val="fr-FR" w:eastAsia="fr-FR"/>
        </w:rPr>
        <w:tab/>
      </w:r>
      <w:r w:rsidR="00826E0F" w:rsidRPr="00872599">
        <w:rPr>
          <w:lang w:val="fr-FR" w:eastAsia="fr-FR"/>
        </w:rPr>
        <w:t>Depuis la dernière révision de la loi sur l</w:t>
      </w:r>
      <w:r w:rsidR="006645B6">
        <w:rPr>
          <w:lang w:val="fr-FR" w:eastAsia="fr-FR"/>
        </w:rPr>
        <w:t>’</w:t>
      </w:r>
      <w:r w:rsidR="00826E0F" w:rsidRPr="00872599">
        <w:rPr>
          <w:lang w:val="fr-FR" w:eastAsia="fr-FR"/>
        </w:rPr>
        <w:t xml:space="preserve">égalité entre les sexes </w:t>
      </w:r>
      <w:r w:rsidR="00826E0F" w:rsidRPr="00A03470">
        <w:rPr>
          <w:rStyle w:val="Normal"/>
          <w:szCs w:val="24"/>
          <w:lang w:val="en-US"/>
        </w:rPr>
        <w:footnoteReference w:id="18"/>
      </w:r>
      <w:r w:rsidR="00826E0F" w:rsidRPr="00872599">
        <w:rPr>
          <w:lang w:val="fr-FR" w:eastAsia="fr-FR"/>
        </w:rPr>
        <w:t xml:space="preserve"> tendant à mettre en </w:t>
      </w:r>
      <w:r w:rsidR="00CC772D" w:rsidRPr="00872599">
        <w:rPr>
          <w:lang w:val="fr-FR" w:eastAsia="fr-FR"/>
        </w:rPr>
        <w:t>œuvre</w:t>
      </w:r>
      <w:r w:rsidR="00826E0F" w:rsidRPr="00872599">
        <w:rPr>
          <w:lang w:val="fr-FR" w:eastAsia="fr-FR"/>
        </w:rPr>
        <w:t xml:space="preserve"> la directive 2002/73/EC, une campagne d</w:t>
      </w:r>
      <w:r w:rsidR="006645B6">
        <w:rPr>
          <w:lang w:val="fr-FR" w:eastAsia="fr-FR"/>
        </w:rPr>
        <w:t>’</w:t>
      </w:r>
      <w:r w:rsidR="00826E0F" w:rsidRPr="00872599">
        <w:rPr>
          <w:lang w:val="fr-FR" w:eastAsia="fr-FR"/>
        </w:rPr>
        <w:t>information a été menée auprès des employés et des employeurs. Cette campagne a été lancée en novembre 2006 par le Bureau de l</w:t>
      </w:r>
      <w:r w:rsidR="006645B6">
        <w:rPr>
          <w:lang w:val="fr-FR" w:eastAsia="fr-FR"/>
        </w:rPr>
        <w:t>’</w:t>
      </w:r>
      <w:r w:rsidR="00826E0F" w:rsidRPr="00872599">
        <w:rPr>
          <w:lang w:val="fr-FR" w:eastAsia="fr-FR"/>
        </w:rPr>
        <w:t>égalité des chances en collaboration avec le Bureau d</w:t>
      </w:r>
      <w:r w:rsidR="006645B6">
        <w:rPr>
          <w:lang w:val="fr-FR" w:eastAsia="fr-FR"/>
        </w:rPr>
        <w:t>’</w:t>
      </w:r>
      <w:r w:rsidR="00826E0F" w:rsidRPr="00872599">
        <w:rPr>
          <w:lang w:val="fr-FR" w:eastAsia="fr-FR"/>
        </w:rPr>
        <w:t>information et de contact pour les femmes et l</w:t>
      </w:r>
      <w:r w:rsidR="006645B6">
        <w:rPr>
          <w:lang w:val="fr-FR" w:eastAsia="fr-FR"/>
        </w:rPr>
        <w:t>’</w:t>
      </w:r>
      <w:r w:rsidR="00826E0F" w:rsidRPr="00872599">
        <w:rPr>
          <w:lang w:val="fr-FR" w:eastAsia="fr-FR"/>
        </w:rPr>
        <w:t>Association des employés du Liechtenstein (LANV). La chambre de commerce et d</w:t>
      </w:r>
      <w:r w:rsidR="006645B6">
        <w:rPr>
          <w:lang w:val="fr-FR" w:eastAsia="fr-FR"/>
        </w:rPr>
        <w:t>’</w:t>
      </w:r>
      <w:r w:rsidR="00826E0F" w:rsidRPr="00872599">
        <w:rPr>
          <w:lang w:val="fr-FR" w:eastAsia="fr-FR"/>
        </w:rPr>
        <w:t xml:space="preserve">industrie du Liechtenstein , </w:t>
      </w:r>
      <w:smartTag w:uri="urn:schemas-microsoft-com:office:smarttags" w:element="PersonName">
        <w:smartTagPr>
          <w:attr w:name="ProductID" w:val="la Wirtschaftskammer Liechtenstein"/>
        </w:smartTagPr>
        <w:r w:rsidR="00826E0F" w:rsidRPr="00872599">
          <w:rPr>
            <w:lang w:val="fr-FR" w:eastAsia="fr-FR"/>
          </w:rPr>
          <w:t>la Wirtschaftskammer Liechtenstein</w:t>
        </w:r>
      </w:smartTag>
      <w:r w:rsidR="00826E0F" w:rsidRPr="00872599">
        <w:rPr>
          <w:lang w:val="fr-FR" w:eastAsia="fr-FR"/>
        </w:rPr>
        <w:t xml:space="preserve"> et l</w:t>
      </w:r>
      <w:r w:rsidR="006645B6">
        <w:rPr>
          <w:lang w:val="fr-FR" w:eastAsia="fr-FR"/>
        </w:rPr>
        <w:t>’</w:t>
      </w:r>
      <w:r w:rsidR="00826E0F" w:rsidRPr="00872599">
        <w:rPr>
          <w:lang w:val="fr-FR" w:eastAsia="fr-FR"/>
        </w:rPr>
        <w:t>Association des banquiers du Liechtenstein apportent un appui non financier au projet. La campagne fournit de manière continue des informations aux employés sur leurs droits en donnant l</w:t>
      </w:r>
      <w:r w:rsidR="006645B6">
        <w:rPr>
          <w:lang w:val="fr-FR" w:eastAsia="fr-FR"/>
        </w:rPr>
        <w:t>’</w:t>
      </w:r>
      <w:r w:rsidR="00826E0F" w:rsidRPr="00872599">
        <w:rPr>
          <w:lang w:val="fr-FR" w:eastAsia="fr-FR"/>
        </w:rPr>
        <w:t>exemple de certains cas dans les journaux nationaux et sur l</w:t>
      </w:r>
      <w:r w:rsidR="006645B6">
        <w:rPr>
          <w:lang w:val="fr-FR" w:eastAsia="fr-FR"/>
        </w:rPr>
        <w:t>’</w:t>
      </w:r>
      <w:r w:rsidR="00826E0F" w:rsidRPr="00872599">
        <w:rPr>
          <w:lang w:val="fr-FR" w:eastAsia="fr-FR"/>
        </w:rPr>
        <w:t>Internet. Les employeurs sont informés de leurs obligations ont moyen de dépliants. En vue du lancement de la campagne, la brochure d</w:t>
      </w:r>
      <w:r w:rsidR="006645B6">
        <w:rPr>
          <w:lang w:val="fr-FR" w:eastAsia="fr-FR"/>
        </w:rPr>
        <w:t>’</w:t>
      </w:r>
      <w:r w:rsidR="00826E0F" w:rsidRPr="00872599">
        <w:rPr>
          <w:lang w:val="fr-FR" w:eastAsia="fr-FR"/>
        </w:rPr>
        <w:t xml:space="preserve">information </w:t>
      </w:r>
      <w:r w:rsidR="00A4102E">
        <w:rPr>
          <w:lang w:val="fr-FR" w:eastAsia="fr-FR"/>
        </w:rPr>
        <w:t>« </w:t>
      </w:r>
      <w:r w:rsidR="00826E0F" w:rsidRPr="00872599">
        <w:rPr>
          <w:lang w:val="fr-FR" w:eastAsia="fr-FR"/>
        </w:rPr>
        <w:t>L</w:t>
      </w:r>
      <w:r w:rsidR="006645B6">
        <w:rPr>
          <w:lang w:val="fr-FR" w:eastAsia="fr-FR"/>
        </w:rPr>
        <w:t>’</w:t>
      </w:r>
      <w:r w:rsidR="00826E0F" w:rsidRPr="00872599">
        <w:rPr>
          <w:lang w:val="fr-FR" w:eastAsia="fr-FR"/>
        </w:rPr>
        <w:t>égalité entre les femmes et les hommes le vaut bien</w:t>
      </w:r>
      <w:r w:rsidR="006645B6">
        <w:rPr>
          <w:lang w:val="fr-FR" w:eastAsia="fr-FR"/>
        </w:rPr>
        <w:t> »</w:t>
      </w:r>
      <w:r w:rsidR="00826E0F" w:rsidRPr="00872599">
        <w:rPr>
          <w:lang w:val="fr-FR" w:eastAsia="fr-FR"/>
        </w:rPr>
        <w:t xml:space="preserve"> et la brochure </w:t>
      </w:r>
      <w:r w:rsidR="00A4102E">
        <w:rPr>
          <w:lang w:val="fr-FR" w:eastAsia="fr-FR"/>
        </w:rPr>
        <w:t>« </w:t>
      </w:r>
      <w:r w:rsidR="00826E0F" w:rsidRPr="00872599">
        <w:rPr>
          <w:lang w:val="fr-FR" w:eastAsia="fr-FR"/>
        </w:rPr>
        <w:t>Harcèlement sexuel sur le lieu de travail</w:t>
      </w:r>
      <w:r w:rsidR="006645B6">
        <w:rPr>
          <w:lang w:val="fr-FR" w:eastAsia="fr-FR"/>
        </w:rPr>
        <w:t xml:space="preserve"> » </w:t>
      </w:r>
      <w:r w:rsidR="00826E0F" w:rsidRPr="00872599">
        <w:rPr>
          <w:lang w:val="fr-FR" w:eastAsia="fr-FR"/>
        </w:rPr>
        <w:t>ont été rééditées et diffusées dans quelque 400 entreprises (toutes les entreprises ayant plus de dix employés). Les sept dépliants et les cinq cas publiés à ce jour sont disponibles sur les sites Web du Bureau de l</w:t>
      </w:r>
      <w:r w:rsidR="006645B6">
        <w:rPr>
          <w:lang w:val="fr-FR" w:eastAsia="fr-FR"/>
        </w:rPr>
        <w:t>’</w:t>
      </w:r>
      <w:r w:rsidR="00826E0F" w:rsidRPr="00872599">
        <w:rPr>
          <w:lang w:val="fr-FR" w:eastAsia="fr-FR"/>
        </w:rPr>
        <w:t xml:space="preserve">égalité des chances et de </w:t>
      </w:r>
      <w:smartTag w:uri="urn:schemas-microsoft-com:office:smarttags" w:element="PersonName">
        <w:smartTagPr>
          <w:attr w:name="ProductID" w:val="la LANV. Le"/>
        </w:smartTagPr>
        <w:r w:rsidR="00826E0F" w:rsidRPr="00872599">
          <w:rPr>
            <w:lang w:val="fr-FR" w:eastAsia="fr-FR"/>
          </w:rPr>
          <w:t>la LANV. Le</w:t>
        </w:r>
      </w:smartTag>
      <w:r w:rsidR="00826E0F" w:rsidRPr="00872599">
        <w:rPr>
          <w:lang w:val="fr-FR" w:eastAsia="fr-FR"/>
        </w:rPr>
        <w:t xml:space="preserve"> cinquième dépliant qui traitait de l</w:t>
      </w:r>
      <w:r w:rsidR="006645B6">
        <w:rPr>
          <w:lang w:val="fr-FR" w:eastAsia="fr-FR"/>
        </w:rPr>
        <w:t>’</w:t>
      </w:r>
      <w:r w:rsidR="00826E0F" w:rsidRPr="00872599">
        <w:rPr>
          <w:lang w:val="fr-FR" w:eastAsia="fr-FR"/>
        </w:rPr>
        <w:t xml:space="preserve">égalité salariale et de la protection contre le renvoi a été publié en juin 2008, le sixième sur le </w:t>
      </w:r>
      <w:r w:rsidR="00A4102E">
        <w:rPr>
          <w:lang w:val="fr-FR" w:eastAsia="fr-FR"/>
        </w:rPr>
        <w:t>« </w:t>
      </w:r>
      <w:r w:rsidR="00826E0F" w:rsidRPr="00872599">
        <w:rPr>
          <w:lang w:val="fr-FR" w:eastAsia="fr-FR"/>
        </w:rPr>
        <w:t>Harcèlement sexuel sur le lieu de travail</w:t>
      </w:r>
      <w:r w:rsidR="006645B6">
        <w:rPr>
          <w:lang w:val="fr-FR" w:eastAsia="fr-FR"/>
        </w:rPr>
        <w:t> »</w:t>
      </w:r>
      <w:r w:rsidR="00826E0F" w:rsidRPr="00872599">
        <w:rPr>
          <w:lang w:val="fr-FR" w:eastAsia="fr-FR"/>
        </w:rPr>
        <w:t xml:space="preserve"> en octobre 2008 et le dépliant sur la </w:t>
      </w:r>
      <w:r w:rsidR="00A4102E">
        <w:rPr>
          <w:lang w:val="fr-FR" w:eastAsia="fr-FR"/>
        </w:rPr>
        <w:t>« </w:t>
      </w:r>
      <w:r w:rsidR="00826E0F" w:rsidRPr="00872599">
        <w:rPr>
          <w:lang w:val="fr-FR" w:eastAsia="fr-FR"/>
        </w:rPr>
        <w:t>Non embauche discriminatoire</w:t>
      </w:r>
      <w:r w:rsidR="006645B6">
        <w:rPr>
          <w:lang w:val="fr-FR" w:eastAsia="fr-FR"/>
        </w:rPr>
        <w:t> »</w:t>
      </w:r>
      <w:r w:rsidR="00826E0F" w:rsidRPr="00872599">
        <w:rPr>
          <w:lang w:val="fr-FR" w:eastAsia="fr-FR"/>
        </w:rPr>
        <w:t xml:space="preserve"> en mars 2009. </w:t>
      </w:r>
      <w:r w:rsidR="00826E0F">
        <w:rPr>
          <w:lang w:val="fr-FR" w:eastAsia="fr-FR"/>
        </w:rPr>
        <w:t>D</w:t>
      </w:r>
      <w:r w:rsidR="00826E0F" w:rsidRPr="00872599">
        <w:rPr>
          <w:lang w:val="fr-FR" w:eastAsia="fr-FR"/>
        </w:rPr>
        <w:t xml:space="preserve">es cas </w:t>
      </w:r>
      <w:r w:rsidR="00826E0F">
        <w:rPr>
          <w:lang w:val="fr-FR" w:eastAsia="fr-FR"/>
        </w:rPr>
        <w:t xml:space="preserve">sont </w:t>
      </w:r>
      <w:r w:rsidR="00826E0F" w:rsidRPr="00872599">
        <w:rPr>
          <w:lang w:val="fr-FR" w:eastAsia="fr-FR"/>
        </w:rPr>
        <w:t xml:space="preserve">donnés en exemple </w:t>
      </w:r>
      <w:r w:rsidR="00826E0F">
        <w:rPr>
          <w:lang w:val="fr-FR" w:eastAsia="fr-FR"/>
        </w:rPr>
        <w:t xml:space="preserve">aux employés </w:t>
      </w:r>
      <w:r w:rsidR="00826E0F" w:rsidRPr="00872599">
        <w:rPr>
          <w:lang w:val="fr-FR" w:eastAsia="fr-FR"/>
        </w:rPr>
        <w:t>au moyen d</w:t>
      </w:r>
      <w:r w:rsidR="006645B6">
        <w:rPr>
          <w:lang w:val="fr-FR" w:eastAsia="fr-FR"/>
        </w:rPr>
        <w:t>’</w:t>
      </w:r>
      <w:r w:rsidR="00826E0F" w:rsidRPr="00872599">
        <w:rPr>
          <w:lang w:val="fr-FR" w:eastAsia="fr-FR"/>
        </w:rPr>
        <w:t>annonces et d</w:t>
      </w:r>
      <w:r w:rsidR="006645B6">
        <w:rPr>
          <w:lang w:val="fr-FR" w:eastAsia="fr-FR"/>
        </w:rPr>
        <w:t>’</w:t>
      </w:r>
      <w:r w:rsidR="00826E0F" w:rsidRPr="00872599">
        <w:rPr>
          <w:lang w:val="fr-FR" w:eastAsia="fr-FR"/>
        </w:rPr>
        <w:t>articles dans les journaux. Les dépliants sont adressés par poste aux entreprises et aux services administratifs. Environ 25 entreprises ont passé commande pour un second envoi des dépliants et des brochures susmentionnées (environ 150 exemplaires).</w:t>
      </w:r>
    </w:p>
    <w:p w:rsidR="002544DB" w:rsidRPr="002544DB" w:rsidRDefault="002544DB" w:rsidP="002544DB">
      <w:pPr>
        <w:pStyle w:val="SingleTxt"/>
        <w:spacing w:after="0" w:line="120" w:lineRule="exact"/>
        <w:rPr>
          <w:sz w:val="10"/>
          <w:lang w:val="fr-FR" w:eastAsia="fr-FR"/>
        </w:rPr>
      </w:pPr>
    </w:p>
    <w:p w:rsidR="00826E0F" w:rsidRPr="00872599" w:rsidRDefault="002544DB" w:rsidP="002544D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eastAsia="fr-FR"/>
        </w:rPr>
      </w:pPr>
      <w:r>
        <w:rPr>
          <w:lang w:val="fr-FR" w:eastAsia="fr-FR"/>
        </w:rPr>
        <w:tab/>
      </w:r>
      <w:r>
        <w:rPr>
          <w:lang w:val="fr-FR" w:eastAsia="fr-FR"/>
        </w:rPr>
        <w:tab/>
      </w:r>
      <w:r w:rsidR="00826E0F" w:rsidRPr="00872599">
        <w:rPr>
          <w:lang w:val="fr-FR" w:eastAsia="fr-FR"/>
        </w:rPr>
        <w:t>Harcèlement sexuel sur le lieu de travail</w:t>
      </w:r>
    </w:p>
    <w:p w:rsidR="002544DB" w:rsidRPr="002544DB" w:rsidRDefault="002544DB" w:rsidP="002544DB">
      <w:pPr>
        <w:pStyle w:val="SingleTxt"/>
        <w:spacing w:after="0" w:line="120" w:lineRule="exact"/>
        <w:rPr>
          <w:sz w:val="10"/>
          <w:lang w:val="fr-FR" w:eastAsia="fr-FR"/>
        </w:rPr>
      </w:pPr>
    </w:p>
    <w:p w:rsidR="00826E0F" w:rsidRPr="00872599" w:rsidRDefault="002544DB" w:rsidP="00497599">
      <w:pPr>
        <w:pStyle w:val="SingleTxt"/>
        <w:rPr>
          <w:lang w:val="fr-FR" w:eastAsia="fr-FR"/>
        </w:rPr>
      </w:pPr>
      <w:r>
        <w:rPr>
          <w:lang w:val="fr-FR" w:eastAsia="fr-FR"/>
        </w:rPr>
        <w:tab/>
      </w:r>
      <w:r w:rsidR="00826E0F" w:rsidRPr="00872599">
        <w:rPr>
          <w:lang w:val="fr-FR" w:eastAsia="fr-FR"/>
        </w:rPr>
        <w:t xml:space="preserve">En novembre 2006, la brochure intitulée </w:t>
      </w:r>
      <w:r w:rsidR="00A4102E">
        <w:rPr>
          <w:lang w:val="fr-FR" w:eastAsia="fr-FR"/>
        </w:rPr>
        <w:t>« </w:t>
      </w:r>
      <w:r w:rsidR="00826E0F" w:rsidRPr="00872599">
        <w:rPr>
          <w:lang w:val="fr-FR" w:eastAsia="fr-FR"/>
        </w:rPr>
        <w:t>Pas avec moi</w:t>
      </w:r>
      <w:r w:rsidR="006645B6">
        <w:rPr>
          <w:lang w:val="fr-FR" w:eastAsia="fr-FR"/>
        </w:rPr>
        <w:t xml:space="preserve">! – </w:t>
      </w:r>
      <w:r w:rsidR="00826E0F" w:rsidRPr="00872599">
        <w:rPr>
          <w:lang w:val="fr-FR" w:eastAsia="fr-FR"/>
        </w:rPr>
        <w:t>le harcèlement sexuel sur le lieu de travail</w:t>
      </w:r>
      <w:r w:rsidR="00A4102E">
        <w:rPr>
          <w:lang w:val="fr-FR" w:eastAsia="fr-FR"/>
        </w:rPr>
        <w:t> </w:t>
      </w:r>
      <w:r w:rsidR="00826E0F" w:rsidRPr="00872599">
        <w:rPr>
          <w:lang w:val="fr-FR" w:eastAsia="fr-FR"/>
        </w:rPr>
        <w:t>»</w:t>
      </w:r>
      <w:r w:rsidR="006645B6">
        <w:rPr>
          <w:lang w:val="fr-FR" w:eastAsia="fr-FR"/>
        </w:rPr>
        <w:t xml:space="preserve"> </w:t>
      </w:r>
      <w:r w:rsidR="00826E0F" w:rsidRPr="00872599">
        <w:rPr>
          <w:lang w:val="fr-FR" w:eastAsia="fr-FR"/>
        </w:rPr>
        <w:t xml:space="preserve">a été </w:t>
      </w:r>
      <w:r w:rsidR="00CC772D" w:rsidRPr="00872599">
        <w:rPr>
          <w:lang w:val="fr-FR" w:eastAsia="fr-FR"/>
        </w:rPr>
        <w:t>revu</w:t>
      </w:r>
      <w:r w:rsidR="00826E0F" w:rsidRPr="00872599">
        <w:rPr>
          <w:lang w:val="fr-FR" w:eastAsia="fr-FR"/>
        </w:rPr>
        <w:t xml:space="preserve"> et rééditée. Son objectif essentiel est d</w:t>
      </w:r>
      <w:r w:rsidR="006645B6">
        <w:rPr>
          <w:lang w:val="fr-FR" w:eastAsia="fr-FR"/>
        </w:rPr>
        <w:t>’</w:t>
      </w:r>
      <w:r w:rsidR="00826E0F" w:rsidRPr="00872599">
        <w:rPr>
          <w:lang w:val="fr-FR" w:eastAsia="fr-FR"/>
        </w:rPr>
        <w:t>attirer l</w:t>
      </w:r>
      <w:r w:rsidR="006645B6">
        <w:rPr>
          <w:lang w:val="fr-FR" w:eastAsia="fr-FR"/>
        </w:rPr>
        <w:t>’</w:t>
      </w:r>
      <w:r w:rsidR="00826E0F" w:rsidRPr="00872599">
        <w:rPr>
          <w:lang w:val="fr-FR" w:eastAsia="fr-FR"/>
        </w:rPr>
        <w:t>attention sur le fait que le harcèlement sexuel sur le lieu de travail n</w:t>
      </w:r>
      <w:r w:rsidR="006645B6">
        <w:rPr>
          <w:lang w:val="fr-FR" w:eastAsia="fr-FR"/>
        </w:rPr>
        <w:t>’</w:t>
      </w:r>
      <w:r w:rsidR="00826E0F" w:rsidRPr="00872599">
        <w:rPr>
          <w:lang w:val="fr-FR" w:eastAsia="fr-FR"/>
        </w:rPr>
        <w:t>a pas cessé et ainsi de soutenir la prévention du harcèlement sexuel. Cette brochure contient une définition du harcèlement sexuel, donne des exemples et expliquent les effets et les conséquences du harcèlement ainsi que les mesures d</w:t>
      </w:r>
      <w:r w:rsidR="006645B6">
        <w:rPr>
          <w:lang w:val="fr-FR" w:eastAsia="fr-FR"/>
        </w:rPr>
        <w:t>’</w:t>
      </w:r>
      <w:r w:rsidR="00826E0F" w:rsidRPr="00872599">
        <w:rPr>
          <w:lang w:val="fr-FR" w:eastAsia="fr-FR"/>
        </w:rPr>
        <w:t xml:space="preserve">intervention efficaces. La brochure évoque les moyens juridiques à la disposition des victimes pour se défendre contre le harcèlement sexuel en application de la loi pénale sur les délits sexuels </w:t>
      </w:r>
      <w:r w:rsidR="00826E0F" w:rsidRPr="00A03470">
        <w:rPr>
          <w:rStyle w:val="Normal"/>
          <w:szCs w:val="24"/>
          <w:lang w:val="en-US"/>
        </w:rPr>
        <w:footnoteReference w:id="19"/>
      </w:r>
      <w:r w:rsidR="00826E0F" w:rsidRPr="00872599">
        <w:rPr>
          <w:lang w:val="fr-FR" w:eastAsia="fr-FR"/>
        </w:rPr>
        <w:t>ainsi que la responsabilité des employeurs, établie dans la loi sur l</w:t>
      </w:r>
      <w:r w:rsidR="006645B6">
        <w:rPr>
          <w:lang w:val="fr-FR" w:eastAsia="fr-FR"/>
        </w:rPr>
        <w:t>’</w:t>
      </w:r>
      <w:r w:rsidR="00826E0F" w:rsidRPr="00872599">
        <w:rPr>
          <w:lang w:val="fr-FR" w:eastAsia="fr-FR"/>
        </w:rPr>
        <w:t>égalité entre les femmes et les hommes, pour mettre en place un environnement de travail exempt de harcèlement.</w:t>
      </w:r>
    </w:p>
    <w:p w:rsidR="002544DB" w:rsidRPr="002544DB" w:rsidRDefault="002544DB" w:rsidP="002544DB">
      <w:pPr>
        <w:pStyle w:val="SingleTxt"/>
        <w:spacing w:after="0" w:line="120" w:lineRule="exact"/>
        <w:rPr>
          <w:sz w:val="10"/>
          <w:lang w:val="fr-FR" w:eastAsia="fr-FR"/>
        </w:rPr>
      </w:pPr>
    </w:p>
    <w:p w:rsidR="00826E0F" w:rsidRPr="00872599" w:rsidRDefault="002544DB" w:rsidP="002544D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eastAsia="fr-FR"/>
        </w:rPr>
      </w:pPr>
      <w:r>
        <w:rPr>
          <w:lang w:val="fr-FR" w:eastAsia="fr-FR"/>
        </w:rPr>
        <w:tab/>
      </w:r>
      <w:r>
        <w:rPr>
          <w:lang w:val="fr-FR" w:eastAsia="fr-FR"/>
        </w:rPr>
        <w:tab/>
      </w:r>
      <w:r w:rsidR="00826E0F" w:rsidRPr="00872599">
        <w:rPr>
          <w:lang w:val="fr-FR" w:eastAsia="fr-FR"/>
        </w:rPr>
        <w:t>Activité des ONG</w:t>
      </w:r>
    </w:p>
    <w:p w:rsidR="002544DB" w:rsidRPr="002544DB" w:rsidRDefault="002544DB" w:rsidP="002544DB">
      <w:pPr>
        <w:pStyle w:val="SingleTxt"/>
        <w:spacing w:after="0" w:line="120" w:lineRule="exact"/>
        <w:rPr>
          <w:sz w:val="10"/>
          <w:lang w:val="fr-FR" w:eastAsia="fr-FR"/>
        </w:rPr>
      </w:pPr>
    </w:p>
    <w:p w:rsidR="00826E0F" w:rsidRPr="00872599" w:rsidRDefault="002544DB" w:rsidP="00497599">
      <w:pPr>
        <w:pStyle w:val="SingleTxt"/>
        <w:rPr>
          <w:lang w:val="fr-FR" w:eastAsia="fr-FR"/>
        </w:rPr>
      </w:pPr>
      <w:r>
        <w:rPr>
          <w:lang w:val="fr-FR" w:eastAsia="fr-FR"/>
        </w:rPr>
        <w:tab/>
      </w:r>
      <w:r w:rsidR="00826E0F" w:rsidRPr="00872599">
        <w:rPr>
          <w:lang w:val="fr-FR" w:eastAsia="fr-FR"/>
        </w:rPr>
        <w:t>La loi sur l</w:t>
      </w:r>
      <w:r w:rsidR="006645B6">
        <w:rPr>
          <w:lang w:val="fr-FR" w:eastAsia="fr-FR"/>
        </w:rPr>
        <w:t>’</w:t>
      </w:r>
      <w:r w:rsidR="00826E0F" w:rsidRPr="00872599">
        <w:rPr>
          <w:lang w:val="fr-FR" w:eastAsia="fr-FR"/>
        </w:rPr>
        <w:t>égalité entre les femmes et les hommes prévoient qu</w:t>
      </w:r>
      <w:r w:rsidR="006645B6">
        <w:rPr>
          <w:lang w:val="fr-FR" w:eastAsia="fr-FR"/>
        </w:rPr>
        <w:t>’</w:t>
      </w:r>
      <w:r w:rsidR="00826E0F" w:rsidRPr="00872599">
        <w:rPr>
          <w:lang w:val="fr-FR" w:eastAsia="fr-FR"/>
        </w:rPr>
        <w:t>un appui financier peut être accordé pour mettre en place des programmes de conseils et de promotion en vue d</w:t>
      </w:r>
      <w:r w:rsidR="006645B6">
        <w:rPr>
          <w:lang w:val="fr-FR" w:eastAsia="fr-FR"/>
        </w:rPr>
        <w:t>’</w:t>
      </w:r>
      <w:r w:rsidR="00826E0F" w:rsidRPr="00872599">
        <w:rPr>
          <w:lang w:val="fr-FR" w:eastAsia="fr-FR"/>
        </w:rPr>
        <w:t>assurer l</w:t>
      </w:r>
      <w:r w:rsidR="006645B6">
        <w:rPr>
          <w:lang w:val="fr-FR" w:eastAsia="fr-FR"/>
        </w:rPr>
        <w:t>’</w:t>
      </w:r>
      <w:r w:rsidR="00826E0F" w:rsidRPr="00872599">
        <w:rPr>
          <w:lang w:val="fr-FR" w:eastAsia="fr-FR"/>
        </w:rPr>
        <w:t>égalité entre les femmes et les hommes dans la vie professionnelle. C</w:t>
      </w:r>
      <w:r w:rsidR="006645B6">
        <w:rPr>
          <w:lang w:val="fr-FR" w:eastAsia="fr-FR"/>
        </w:rPr>
        <w:t>’</w:t>
      </w:r>
      <w:r w:rsidR="00826E0F" w:rsidRPr="00872599">
        <w:rPr>
          <w:lang w:val="fr-FR" w:eastAsia="fr-FR"/>
        </w:rPr>
        <w:t>est ainsi qu</w:t>
      </w:r>
      <w:r w:rsidR="006645B6">
        <w:rPr>
          <w:lang w:val="fr-FR" w:eastAsia="fr-FR"/>
        </w:rPr>
        <w:t>’</w:t>
      </w:r>
      <w:r w:rsidR="00826E0F" w:rsidRPr="00872599">
        <w:rPr>
          <w:lang w:val="fr-FR" w:eastAsia="fr-FR"/>
        </w:rPr>
        <w:t>entre 2000 et 2008, le Bureau d</w:t>
      </w:r>
      <w:r w:rsidR="006645B6">
        <w:rPr>
          <w:lang w:val="fr-FR" w:eastAsia="fr-FR"/>
        </w:rPr>
        <w:t>’</w:t>
      </w:r>
      <w:r w:rsidR="00826E0F" w:rsidRPr="00872599">
        <w:rPr>
          <w:lang w:val="fr-FR" w:eastAsia="fr-FR"/>
        </w:rPr>
        <w:t>information et de contact pour les femmes a reçu un appui financier pour fournir des conseils et informer le public sur la loi sur l</w:t>
      </w:r>
      <w:r w:rsidR="006645B6">
        <w:rPr>
          <w:lang w:val="fr-FR" w:eastAsia="fr-FR"/>
        </w:rPr>
        <w:t>’</w:t>
      </w:r>
      <w:r w:rsidR="00826E0F" w:rsidRPr="00872599">
        <w:rPr>
          <w:lang w:val="fr-FR" w:eastAsia="fr-FR"/>
        </w:rPr>
        <w:t>égalité entre les femmes et les hommes. L</w:t>
      </w:r>
      <w:r w:rsidR="006645B6">
        <w:rPr>
          <w:lang w:val="fr-FR" w:eastAsia="fr-FR"/>
        </w:rPr>
        <w:t>’</w:t>
      </w:r>
      <w:r w:rsidR="00826E0F" w:rsidRPr="00872599">
        <w:rPr>
          <w:lang w:val="fr-FR" w:eastAsia="fr-FR"/>
        </w:rPr>
        <w:t>Association des employés du Liechtenstein a également reçu un appui financier en 2005 et en 2008 pour apporter des conseils et informer le public. L</w:t>
      </w:r>
      <w:r w:rsidR="006645B6">
        <w:rPr>
          <w:lang w:val="fr-FR" w:eastAsia="fr-FR"/>
        </w:rPr>
        <w:t>’</w:t>
      </w:r>
      <w:r w:rsidR="00826E0F" w:rsidRPr="00872599">
        <w:rPr>
          <w:lang w:val="fr-FR" w:eastAsia="fr-FR"/>
        </w:rPr>
        <w:t>enquête menée par l</w:t>
      </w:r>
      <w:r w:rsidR="006645B6">
        <w:rPr>
          <w:lang w:val="fr-FR" w:eastAsia="fr-FR"/>
        </w:rPr>
        <w:t>’</w:t>
      </w:r>
      <w:r w:rsidR="00826E0F" w:rsidRPr="00872599">
        <w:rPr>
          <w:lang w:val="fr-FR" w:eastAsia="fr-FR"/>
        </w:rPr>
        <w:t>Association du travail d</w:t>
      </w:r>
      <w:r w:rsidR="006645B6">
        <w:rPr>
          <w:lang w:val="fr-FR" w:eastAsia="fr-FR"/>
        </w:rPr>
        <w:t>’</w:t>
      </w:r>
      <w:r w:rsidR="00826E0F" w:rsidRPr="00872599">
        <w:rPr>
          <w:lang w:val="fr-FR" w:eastAsia="fr-FR"/>
        </w:rPr>
        <w:t>éducation des femmes sur les différences liées au sexe entre les jeunes femmes et les jeunes hommes entrepreneurs a également bénéficié d</w:t>
      </w:r>
      <w:r w:rsidR="006645B6">
        <w:rPr>
          <w:lang w:val="fr-FR" w:eastAsia="fr-FR"/>
        </w:rPr>
        <w:t>’</w:t>
      </w:r>
      <w:r w:rsidR="00826E0F" w:rsidRPr="00872599">
        <w:rPr>
          <w:lang w:val="fr-FR" w:eastAsia="fr-FR"/>
        </w:rPr>
        <w:t>un soutien financier.</w:t>
      </w:r>
    </w:p>
    <w:p w:rsidR="002544DB" w:rsidRPr="002544DB" w:rsidRDefault="002544DB" w:rsidP="002544DB">
      <w:pPr>
        <w:pStyle w:val="SingleTxt"/>
        <w:spacing w:after="0" w:line="120" w:lineRule="exact"/>
        <w:rPr>
          <w:sz w:val="10"/>
          <w:lang w:val="fr-FR"/>
        </w:rPr>
      </w:pPr>
    </w:p>
    <w:p w:rsidR="00826E0F" w:rsidRPr="00872599" w:rsidRDefault="002544DB" w:rsidP="002544DB">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00826E0F" w:rsidRPr="00872599">
        <w:rPr>
          <w:lang w:val="fr-FR"/>
        </w:rPr>
        <w:t>c)</w:t>
      </w:r>
      <w:r w:rsidR="00826E0F" w:rsidRPr="00872599">
        <w:rPr>
          <w:lang w:val="fr-FR"/>
        </w:rPr>
        <w:tab/>
        <w:t>Compatibilité famille-carrière</w:t>
      </w:r>
    </w:p>
    <w:p w:rsidR="002544DB" w:rsidRPr="002544DB" w:rsidRDefault="002544DB" w:rsidP="002544DB">
      <w:pPr>
        <w:pStyle w:val="SingleTxt"/>
        <w:spacing w:after="0" w:line="120" w:lineRule="exact"/>
        <w:rPr>
          <w:i/>
          <w:sz w:val="10"/>
          <w:lang w:val="fr-FR"/>
        </w:rPr>
      </w:pPr>
    </w:p>
    <w:p w:rsidR="00826E0F" w:rsidRPr="00872599" w:rsidRDefault="002544DB" w:rsidP="00497599">
      <w:pPr>
        <w:pStyle w:val="SingleTxt"/>
        <w:rPr>
          <w:lang w:val="fr-FR" w:eastAsia="fr-FR"/>
        </w:rPr>
      </w:pPr>
      <w:r>
        <w:rPr>
          <w:lang w:val="fr-FR" w:eastAsia="fr-FR"/>
        </w:rPr>
        <w:tab/>
      </w:r>
      <w:r w:rsidR="00826E0F" w:rsidRPr="00872599">
        <w:rPr>
          <w:lang w:val="fr-FR" w:eastAsia="fr-FR"/>
        </w:rPr>
        <w:t>Les femmes</w:t>
      </w:r>
      <w:r w:rsidR="006645B6">
        <w:rPr>
          <w:lang w:val="fr-FR" w:eastAsia="fr-FR"/>
        </w:rPr>
        <w:t xml:space="preserve"> – </w:t>
      </w:r>
      <w:r w:rsidR="00826E0F" w:rsidRPr="00872599">
        <w:rPr>
          <w:lang w:val="fr-FR" w:eastAsia="fr-FR"/>
        </w:rPr>
        <w:t>et de plus en plus également les hommes</w:t>
      </w:r>
      <w:r w:rsidR="006645B6">
        <w:rPr>
          <w:lang w:val="fr-FR" w:eastAsia="fr-FR"/>
        </w:rPr>
        <w:t xml:space="preserve"> – </w:t>
      </w:r>
      <w:r w:rsidR="00826E0F" w:rsidRPr="00872599">
        <w:rPr>
          <w:lang w:val="fr-FR" w:eastAsia="fr-FR"/>
        </w:rPr>
        <w:t>se trouvent confrontés à la question de la compatibilité famille</w:t>
      </w:r>
      <w:r w:rsidR="006645B6">
        <w:rPr>
          <w:lang w:val="fr-FR" w:eastAsia="fr-FR"/>
        </w:rPr>
        <w:t xml:space="preserve"> – </w:t>
      </w:r>
      <w:r w:rsidR="00826E0F" w:rsidRPr="00872599">
        <w:rPr>
          <w:lang w:val="fr-FR" w:eastAsia="fr-FR"/>
        </w:rPr>
        <w:t>carrière. Au Liechtenstein de nombreuses femmes ont maintenant de bonnes qualifications professionnelles de sorte qu</w:t>
      </w:r>
      <w:r w:rsidR="006645B6">
        <w:rPr>
          <w:lang w:val="fr-FR" w:eastAsia="fr-FR"/>
        </w:rPr>
        <w:t>’</w:t>
      </w:r>
      <w:r w:rsidR="00826E0F" w:rsidRPr="00872599">
        <w:rPr>
          <w:lang w:val="fr-FR" w:eastAsia="fr-FR"/>
        </w:rPr>
        <w:t>elles ne veulent plus abandonner complètement leur emploi pour tenir le ménage et élever les enfants. Inversement, un nombre croissant d</w:t>
      </w:r>
      <w:r w:rsidR="006645B6">
        <w:rPr>
          <w:lang w:val="fr-FR" w:eastAsia="fr-FR"/>
        </w:rPr>
        <w:t>’</w:t>
      </w:r>
      <w:r w:rsidR="00826E0F" w:rsidRPr="00872599">
        <w:rPr>
          <w:lang w:val="fr-FR" w:eastAsia="fr-FR"/>
        </w:rPr>
        <w:t>hommes souhaitent s</w:t>
      </w:r>
      <w:r w:rsidR="006645B6">
        <w:rPr>
          <w:lang w:val="fr-FR" w:eastAsia="fr-FR"/>
        </w:rPr>
        <w:t>’</w:t>
      </w:r>
      <w:r w:rsidR="00826E0F" w:rsidRPr="00872599">
        <w:rPr>
          <w:lang w:val="fr-FR" w:eastAsia="fr-FR"/>
        </w:rPr>
        <w:t>occuper plus à fond des travaux familiaux. Une répartition entre travail de famille et emploi fondée sur un esprit de collaboration prend donc de plus en plus importance. Pour que cette répartition puisse être mise en pratique dans la vie quotidienne, les employeurs doivent être disposés à offrir aux femmes et aux hommes sur le lieu de travail des structures respectueuses de la famille. Le principal obstacle à la compatibilité famille-emploi est donc le manque de volonté dans le secteur privé pour créer de meilleures conditions générales.</w:t>
      </w:r>
    </w:p>
    <w:p w:rsidR="002544DB" w:rsidRPr="002544DB" w:rsidRDefault="002544DB" w:rsidP="002544DB">
      <w:pPr>
        <w:pStyle w:val="SingleTxt"/>
        <w:spacing w:after="0" w:line="120" w:lineRule="exact"/>
        <w:rPr>
          <w:sz w:val="10"/>
          <w:lang w:val="fr-FR" w:eastAsia="fr-FR"/>
        </w:rPr>
      </w:pPr>
    </w:p>
    <w:p w:rsidR="00826E0F" w:rsidRPr="00872599" w:rsidRDefault="002544DB" w:rsidP="002544D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eastAsia="fr-FR"/>
        </w:rPr>
      </w:pPr>
      <w:r>
        <w:rPr>
          <w:lang w:val="fr-FR" w:eastAsia="fr-FR"/>
        </w:rPr>
        <w:tab/>
      </w:r>
      <w:r>
        <w:rPr>
          <w:lang w:val="fr-FR" w:eastAsia="fr-FR"/>
        </w:rPr>
        <w:tab/>
      </w:r>
      <w:r w:rsidR="00826E0F" w:rsidRPr="00872599">
        <w:rPr>
          <w:lang w:val="fr-FR" w:eastAsia="fr-FR"/>
        </w:rPr>
        <w:t>Prix pour l</w:t>
      </w:r>
      <w:r w:rsidR="006645B6">
        <w:rPr>
          <w:lang w:val="fr-FR" w:eastAsia="fr-FR"/>
        </w:rPr>
        <w:t>’</w:t>
      </w:r>
      <w:r w:rsidR="00826E0F" w:rsidRPr="00872599">
        <w:rPr>
          <w:lang w:val="fr-FR" w:eastAsia="fr-FR"/>
        </w:rPr>
        <w:t>égalité des chances</w:t>
      </w:r>
    </w:p>
    <w:p w:rsidR="002544DB" w:rsidRPr="002544DB" w:rsidRDefault="002544DB" w:rsidP="002544DB">
      <w:pPr>
        <w:pStyle w:val="SingleTxt"/>
        <w:spacing w:after="0" w:line="120" w:lineRule="exact"/>
        <w:rPr>
          <w:sz w:val="10"/>
          <w:lang w:val="fr-FR" w:eastAsia="fr-FR"/>
        </w:rPr>
      </w:pPr>
    </w:p>
    <w:p w:rsidR="00826E0F" w:rsidRPr="00872599" w:rsidRDefault="002544DB" w:rsidP="00497599">
      <w:pPr>
        <w:pStyle w:val="SingleTxt"/>
        <w:rPr>
          <w:lang w:val="fr-FR" w:eastAsia="fr-FR"/>
        </w:rPr>
      </w:pPr>
      <w:r>
        <w:rPr>
          <w:lang w:val="fr-FR" w:eastAsia="fr-FR"/>
        </w:rPr>
        <w:tab/>
      </w:r>
      <w:r w:rsidR="00826E0F" w:rsidRPr="00872599">
        <w:rPr>
          <w:lang w:val="fr-FR" w:eastAsia="fr-FR"/>
        </w:rPr>
        <w:t>Outre les mesures juridiques et institutionnelles, les principaux outils de soutien à la politique d</w:t>
      </w:r>
      <w:r w:rsidR="006645B6">
        <w:rPr>
          <w:lang w:val="fr-FR" w:eastAsia="fr-FR"/>
        </w:rPr>
        <w:t>’</w:t>
      </w:r>
      <w:r w:rsidR="00826E0F" w:rsidRPr="00872599">
        <w:rPr>
          <w:lang w:val="fr-FR" w:eastAsia="fr-FR"/>
        </w:rPr>
        <w:t>égalité au Liechtenstein sont les mesures de sensibilisation et l</w:t>
      </w:r>
      <w:r w:rsidR="006645B6">
        <w:rPr>
          <w:lang w:val="fr-FR" w:eastAsia="fr-FR"/>
        </w:rPr>
        <w:t>’</w:t>
      </w:r>
      <w:r w:rsidR="00826E0F" w:rsidRPr="00872599">
        <w:rPr>
          <w:lang w:val="fr-FR" w:eastAsia="fr-FR"/>
        </w:rPr>
        <w:t>encouragement des initiatives privées. C</w:t>
      </w:r>
      <w:r w:rsidR="006645B6">
        <w:rPr>
          <w:lang w:val="fr-FR" w:eastAsia="fr-FR"/>
        </w:rPr>
        <w:t>’</w:t>
      </w:r>
      <w:r w:rsidR="00826E0F" w:rsidRPr="00872599">
        <w:rPr>
          <w:lang w:val="fr-FR" w:eastAsia="fr-FR"/>
        </w:rPr>
        <w:t>est ainsi que le prix pour l</w:t>
      </w:r>
      <w:r w:rsidR="006645B6">
        <w:rPr>
          <w:lang w:val="fr-FR" w:eastAsia="fr-FR"/>
        </w:rPr>
        <w:t>’</w:t>
      </w:r>
      <w:r w:rsidR="00826E0F" w:rsidRPr="00872599">
        <w:rPr>
          <w:lang w:val="fr-FR" w:eastAsia="fr-FR"/>
        </w:rPr>
        <w:t>égalité des chances décerné par le Gouvernement tous les ans depuis 2000 récompense les activités favorables à la promotion des femmes et également, depuis 2008, les activités liées aux handicaps, à la migration/intégration, à l</w:t>
      </w:r>
      <w:r w:rsidR="006645B6">
        <w:rPr>
          <w:lang w:val="fr-FR" w:eastAsia="fr-FR"/>
        </w:rPr>
        <w:t>’</w:t>
      </w:r>
      <w:r w:rsidR="00826E0F" w:rsidRPr="00872599">
        <w:rPr>
          <w:lang w:val="fr-FR" w:eastAsia="fr-FR"/>
        </w:rPr>
        <w:t>âge, aux désavantages sociaux et à l</w:t>
      </w:r>
      <w:r w:rsidR="006645B6">
        <w:rPr>
          <w:lang w:val="fr-FR" w:eastAsia="fr-FR"/>
        </w:rPr>
        <w:t>’</w:t>
      </w:r>
      <w:r w:rsidR="00826E0F" w:rsidRPr="00872599">
        <w:rPr>
          <w:lang w:val="fr-FR" w:eastAsia="fr-FR"/>
        </w:rPr>
        <w:t>orientation sexuelle. Pour tenir compte de la promotion de l</w:t>
      </w:r>
      <w:r w:rsidR="006645B6">
        <w:rPr>
          <w:lang w:val="fr-FR" w:eastAsia="fr-FR"/>
        </w:rPr>
        <w:t>’</w:t>
      </w:r>
      <w:r w:rsidR="00826E0F" w:rsidRPr="00872599">
        <w:rPr>
          <w:lang w:val="fr-FR" w:eastAsia="fr-FR"/>
        </w:rPr>
        <w:t>égalité entre les femmes et les hommes, les candidats sont invités à appliquer une stratégie soucieuse de l</w:t>
      </w:r>
      <w:r w:rsidR="006645B6">
        <w:rPr>
          <w:lang w:val="fr-FR" w:eastAsia="fr-FR"/>
        </w:rPr>
        <w:t>’</w:t>
      </w:r>
      <w:r w:rsidR="00826E0F" w:rsidRPr="00872599">
        <w:rPr>
          <w:lang w:val="fr-FR" w:eastAsia="fr-FR"/>
        </w:rPr>
        <w:t>égalité entre les sexes dans l</w:t>
      </w:r>
      <w:r w:rsidR="006645B6">
        <w:rPr>
          <w:lang w:val="fr-FR" w:eastAsia="fr-FR"/>
        </w:rPr>
        <w:t>’</w:t>
      </w:r>
      <w:r w:rsidR="00826E0F" w:rsidRPr="00872599">
        <w:rPr>
          <w:lang w:val="fr-FR" w:eastAsia="fr-FR"/>
        </w:rPr>
        <w:t xml:space="preserve">élaboration et la mise en </w:t>
      </w:r>
      <w:r w:rsidR="00CC772D" w:rsidRPr="00872599">
        <w:rPr>
          <w:lang w:val="fr-FR" w:eastAsia="fr-FR"/>
        </w:rPr>
        <w:t>œuvre</w:t>
      </w:r>
      <w:r w:rsidR="00826E0F" w:rsidRPr="00872599">
        <w:rPr>
          <w:lang w:val="fr-FR" w:eastAsia="fr-FR"/>
        </w:rPr>
        <w:t xml:space="preserve"> de leurs projets. En 2008 le prix a été décerné à l</w:t>
      </w:r>
      <w:r w:rsidR="006645B6">
        <w:rPr>
          <w:lang w:val="fr-FR" w:eastAsia="fr-FR"/>
        </w:rPr>
        <w:t>’</w:t>
      </w:r>
      <w:r w:rsidR="00826E0F" w:rsidRPr="00872599">
        <w:rPr>
          <w:lang w:val="fr-FR" w:eastAsia="fr-FR"/>
        </w:rPr>
        <w:t xml:space="preserve">Association des handicapés du Liechtenstein pour son projet </w:t>
      </w:r>
      <w:r w:rsidR="00A4102E">
        <w:rPr>
          <w:lang w:val="fr-FR" w:eastAsia="fr-FR"/>
        </w:rPr>
        <w:t>« </w:t>
      </w:r>
      <w:r w:rsidR="00826E0F" w:rsidRPr="00872599">
        <w:rPr>
          <w:lang w:val="fr-FR" w:eastAsia="fr-FR"/>
        </w:rPr>
        <w:t>Foire aux talents</w:t>
      </w:r>
      <w:r w:rsidR="006645B6">
        <w:rPr>
          <w:lang w:val="fr-FR" w:eastAsia="fr-FR"/>
        </w:rPr>
        <w:t> »</w:t>
      </w:r>
      <w:r w:rsidR="00826E0F" w:rsidRPr="00872599">
        <w:rPr>
          <w:lang w:val="fr-FR" w:eastAsia="fr-FR"/>
        </w:rPr>
        <w:t>, en 2009 le lauréat a été l</w:t>
      </w:r>
      <w:r w:rsidR="006645B6">
        <w:rPr>
          <w:lang w:val="fr-FR" w:eastAsia="fr-FR"/>
        </w:rPr>
        <w:t>’</w:t>
      </w:r>
      <w:r w:rsidR="00826E0F" w:rsidRPr="00872599">
        <w:rPr>
          <w:lang w:val="fr-FR" w:eastAsia="fr-FR"/>
        </w:rPr>
        <w:t>établissement d</w:t>
      </w:r>
      <w:r w:rsidR="006645B6">
        <w:rPr>
          <w:lang w:val="fr-FR" w:eastAsia="fr-FR"/>
        </w:rPr>
        <w:t>’</w:t>
      </w:r>
      <w:r w:rsidR="00826E0F" w:rsidRPr="00872599">
        <w:rPr>
          <w:lang w:val="fr-FR" w:eastAsia="fr-FR"/>
        </w:rPr>
        <w:t xml:space="preserve">enseignement Gutenberg pour son </w:t>
      </w:r>
      <w:r w:rsidR="00A4102E">
        <w:rPr>
          <w:lang w:val="fr-FR" w:eastAsia="fr-FR"/>
        </w:rPr>
        <w:t>« </w:t>
      </w:r>
      <w:r w:rsidR="00826E0F" w:rsidRPr="00872599">
        <w:rPr>
          <w:lang w:val="fr-FR" w:eastAsia="fr-FR"/>
        </w:rPr>
        <w:t>Cours de compétences interculturelles</w:t>
      </w:r>
      <w:r w:rsidR="00A4102E">
        <w:rPr>
          <w:lang w:val="fr-FR" w:eastAsia="fr-FR"/>
        </w:rPr>
        <w:t> </w:t>
      </w:r>
      <w:r w:rsidR="00826E0F" w:rsidRPr="00872599">
        <w:rPr>
          <w:lang w:val="fr-FR" w:eastAsia="fr-FR"/>
        </w:rPr>
        <w:t>» . L</w:t>
      </w:r>
      <w:r w:rsidR="006645B6">
        <w:rPr>
          <w:lang w:val="fr-FR" w:eastAsia="fr-FR"/>
        </w:rPr>
        <w:t>’</w:t>
      </w:r>
      <w:r w:rsidR="00826E0F" w:rsidRPr="00872599">
        <w:rPr>
          <w:lang w:val="fr-FR" w:eastAsia="fr-FR"/>
        </w:rPr>
        <w:t>appel de candidature pour le prix de l</w:t>
      </w:r>
      <w:r w:rsidR="006645B6">
        <w:rPr>
          <w:lang w:val="fr-FR" w:eastAsia="fr-FR"/>
        </w:rPr>
        <w:t>’</w:t>
      </w:r>
      <w:r w:rsidR="00826E0F" w:rsidRPr="00872599">
        <w:rPr>
          <w:lang w:val="fr-FR" w:eastAsia="fr-FR"/>
        </w:rPr>
        <w:t>égalité des chances a été adressé directement à quelque 600 entreprises, services administratifs et organisations au Liechtenstein.</w:t>
      </w:r>
    </w:p>
    <w:p w:rsidR="002544DB" w:rsidRPr="002544DB" w:rsidRDefault="002544DB" w:rsidP="002544DB">
      <w:pPr>
        <w:pStyle w:val="SingleTxt"/>
        <w:spacing w:after="0" w:line="120" w:lineRule="exact"/>
        <w:rPr>
          <w:sz w:val="10"/>
          <w:lang w:val="fr-FR" w:eastAsia="fr-FR"/>
        </w:rPr>
      </w:pPr>
    </w:p>
    <w:p w:rsidR="00826E0F" w:rsidRPr="00872599" w:rsidRDefault="002544DB" w:rsidP="002544D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eastAsia="fr-FR"/>
        </w:rPr>
      </w:pPr>
      <w:r>
        <w:rPr>
          <w:lang w:val="fr-FR" w:eastAsia="fr-FR"/>
        </w:rPr>
        <w:tab/>
      </w:r>
      <w:r>
        <w:rPr>
          <w:lang w:val="fr-FR" w:eastAsia="fr-FR"/>
        </w:rPr>
        <w:tab/>
      </w:r>
      <w:r w:rsidR="00826E0F" w:rsidRPr="00872599">
        <w:rPr>
          <w:lang w:val="fr-FR" w:eastAsia="fr-FR"/>
        </w:rPr>
        <w:t xml:space="preserve">Manuel sur la vie professionnelle et la famille dans les PME </w:t>
      </w:r>
    </w:p>
    <w:p w:rsidR="00A4102E" w:rsidRPr="00A4102E" w:rsidRDefault="00A4102E" w:rsidP="00A4102E">
      <w:pPr>
        <w:pStyle w:val="SingleTxt"/>
        <w:spacing w:after="0" w:line="120" w:lineRule="exact"/>
        <w:rPr>
          <w:sz w:val="10"/>
          <w:lang w:val="fr-FR" w:eastAsia="fr-FR"/>
        </w:rPr>
      </w:pPr>
    </w:p>
    <w:p w:rsidR="00826E0F" w:rsidRPr="00872599" w:rsidRDefault="002544DB" w:rsidP="00497599">
      <w:pPr>
        <w:pStyle w:val="SingleTxt"/>
        <w:rPr>
          <w:lang w:val="fr-FR" w:eastAsia="fr-FR"/>
        </w:rPr>
      </w:pPr>
      <w:r>
        <w:rPr>
          <w:lang w:val="fr-FR" w:eastAsia="fr-FR"/>
        </w:rPr>
        <w:tab/>
      </w:r>
      <w:r w:rsidR="00826E0F" w:rsidRPr="00872599">
        <w:rPr>
          <w:lang w:val="fr-FR" w:eastAsia="fr-FR"/>
        </w:rPr>
        <w:t xml:space="preserve">Les petites et moyennes entreprises sont des employeurs importants. Elle contribuent à des décisions qui déterminent </w:t>
      </w:r>
      <w:r w:rsidR="00826E0F">
        <w:rPr>
          <w:lang w:val="fr-FR" w:eastAsia="fr-FR"/>
        </w:rPr>
        <w:t>l</w:t>
      </w:r>
      <w:r w:rsidR="006645B6">
        <w:rPr>
          <w:lang w:val="fr-FR" w:eastAsia="fr-FR"/>
        </w:rPr>
        <w:t>’</w:t>
      </w:r>
      <w:r w:rsidR="00826E0F">
        <w:rPr>
          <w:lang w:val="fr-FR" w:eastAsia="fr-FR"/>
        </w:rPr>
        <w:t>avenir de</w:t>
      </w:r>
      <w:r w:rsidR="00826E0F" w:rsidRPr="00872599">
        <w:rPr>
          <w:lang w:val="fr-FR" w:eastAsia="fr-FR"/>
        </w:rPr>
        <w:t xml:space="preserve"> structures favorables à la famille. La compatibilité famille-carrière est une question de grande importance sociale. L</w:t>
      </w:r>
      <w:r w:rsidR="006645B6">
        <w:rPr>
          <w:lang w:val="fr-FR" w:eastAsia="fr-FR"/>
        </w:rPr>
        <w:t>’</w:t>
      </w:r>
      <w:r w:rsidR="00826E0F" w:rsidRPr="00872599">
        <w:rPr>
          <w:lang w:val="fr-FR" w:eastAsia="fr-FR"/>
        </w:rPr>
        <w:t>évolution démographique appelle de nouvelles solutions conjointes entre les femmes et les hommes dans leur vie privée et dans leur carrière. Les PME n</w:t>
      </w:r>
      <w:r w:rsidR="006645B6">
        <w:rPr>
          <w:lang w:val="fr-FR" w:eastAsia="fr-FR"/>
        </w:rPr>
        <w:t>’</w:t>
      </w:r>
      <w:r w:rsidR="00826E0F" w:rsidRPr="00872599">
        <w:rPr>
          <w:lang w:val="fr-FR" w:eastAsia="fr-FR"/>
        </w:rPr>
        <w:t>ont peut-être pas les mêmes ressources que les grandes entreprises mais elles ont d</w:t>
      </w:r>
      <w:r w:rsidR="006645B6">
        <w:rPr>
          <w:lang w:val="fr-FR" w:eastAsia="fr-FR"/>
        </w:rPr>
        <w:t>’</w:t>
      </w:r>
      <w:r w:rsidR="00826E0F" w:rsidRPr="00872599">
        <w:rPr>
          <w:lang w:val="fr-FR" w:eastAsia="fr-FR"/>
        </w:rPr>
        <w:t>autres atouts à leur disposition comme il ressort du manuel sur la vie professionnelle et la famille et dans les PME qui aident ces dernières à mettre en pratique une gestion quotidienne favorable à la famille. Le manuel a été repris d</w:t>
      </w:r>
      <w:r w:rsidR="006645B6">
        <w:rPr>
          <w:lang w:val="fr-FR" w:eastAsia="fr-FR"/>
        </w:rPr>
        <w:t>’</w:t>
      </w:r>
      <w:r w:rsidR="00826E0F" w:rsidRPr="00872599">
        <w:rPr>
          <w:lang w:val="fr-FR" w:eastAsia="fr-FR"/>
        </w:rPr>
        <w:t>un manuel suisse et complété par des informations propres au Liechtenstein. La législation qui régit le congé parental, le congé de maternité, les dispositions en matière de travail à temps partiel, les régimes de pension et les assurances est en partie différente de la réglementation suisse. Il était important que les employeurs et les employés puissent consulter d</w:t>
      </w:r>
      <w:r w:rsidR="006645B6">
        <w:rPr>
          <w:lang w:val="fr-FR" w:eastAsia="fr-FR"/>
        </w:rPr>
        <w:t>’</w:t>
      </w:r>
      <w:r w:rsidR="00826E0F" w:rsidRPr="00872599">
        <w:rPr>
          <w:lang w:val="fr-FR" w:eastAsia="fr-FR"/>
        </w:rPr>
        <w:t>un simple coup d</w:t>
      </w:r>
      <w:r w:rsidR="006645B6">
        <w:rPr>
          <w:lang w:val="fr-FR" w:eastAsia="fr-FR"/>
        </w:rPr>
        <w:t>’</w:t>
      </w:r>
      <w:r w:rsidR="00CC772D" w:rsidRPr="00872599">
        <w:rPr>
          <w:lang w:val="fr-FR" w:eastAsia="fr-FR"/>
        </w:rPr>
        <w:t>œil</w:t>
      </w:r>
      <w:r w:rsidR="00826E0F" w:rsidRPr="00872599">
        <w:rPr>
          <w:lang w:val="fr-FR" w:eastAsia="fr-FR"/>
        </w:rPr>
        <w:t xml:space="preserve"> la réglementation du Liechtenstein .</w:t>
      </w:r>
    </w:p>
    <w:p w:rsidR="00826E0F" w:rsidRPr="00872599" w:rsidRDefault="002544DB" w:rsidP="00497599">
      <w:pPr>
        <w:pStyle w:val="SingleTxt"/>
        <w:rPr>
          <w:lang w:val="fr-FR" w:eastAsia="fr-FR"/>
        </w:rPr>
      </w:pPr>
      <w:r>
        <w:rPr>
          <w:lang w:val="fr-FR" w:eastAsia="fr-FR"/>
        </w:rPr>
        <w:tab/>
      </w:r>
      <w:r w:rsidR="00826E0F" w:rsidRPr="00872599">
        <w:rPr>
          <w:lang w:val="fr-FR" w:eastAsia="fr-FR"/>
        </w:rPr>
        <w:t>Dans une lettre adressée en septembre 2007 par le Ministère de la famille et de l</w:t>
      </w:r>
      <w:r w:rsidR="006645B6">
        <w:rPr>
          <w:lang w:val="fr-FR" w:eastAsia="fr-FR"/>
        </w:rPr>
        <w:t>’</w:t>
      </w:r>
      <w:r w:rsidR="00826E0F" w:rsidRPr="00872599">
        <w:rPr>
          <w:lang w:val="fr-FR" w:eastAsia="fr-FR"/>
        </w:rPr>
        <w:t xml:space="preserve">égalité des chances, toutes les entreprises ayant au moins dix employés (près de 400 entreprises et services administratifs) ont été invitées à se procurer gratuitement ce manuel </w:t>
      </w:r>
      <w:r w:rsidR="00826E0F">
        <w:rPr>
          <w:lang w:val="fr-FR" w:eastAsia="fr-FR"/>
        </w:rPr>
        <w:t>(120 envois ont été effectués</w:t>
      </w:r>
      <w:r w:rsidR="00826E0F" w:rsidRPr="00872599">
        <w:rPr>
          <w:lang w:val="fr-FR" w:eastAsia="fr-FR"/>
        </w:rPr>
        <w:t xml:space="preserve"> à ce jour</w:t>
      </w:r>
      <w:r w:rsidR="00826E0F">
        <w:rPr>
          <w:lang w:val="fr-FR" w:eastAsia="fr-FR"/>
        </w:rPr>
        <w:t>)</w:t>
      </w:r>
      <w:r w:rsidR="00826E0F" w:rsidRPr="00872599">
        <w:rPr>
          <w:lang w:val="fr-FR" w:eastAsia="fr-FR"/>
        </w:rPr>
        <w:t>. Le manuel a également été présenté aux médias.</w:t>
      </w:r>
    </w:p>
    <w:p w:rsidR="00826E0F" w:rsidRPr="00872599" w:rsidRDefault="002544DB" w:rsidP="00497599">
      <w:pPr>
        <w:pStyle w:val="SingleTxt"/>
        <w:rPr>
          <w:lang w:val="fr-FR" w:eastAsia="fr-FR"/>
        </w:rPr>
      </w:pPr>
      <w:r>
        <w:rPr>
          <w:lang w:val="fr-FR" w:eastAsia="fr-FR"/>
        </w:rPr>
        <w:tab/>
      </w:r>
      <w:r w:rsidR="00826E0F" w:rsidRPr="00872599">
        <w:rPr>
          <w:lang w:val="fr-FR" w:eastAsia="fr-FR"/>
        </w:rPr>
        <w:t>En mai</w:t>
      </w:r>
      <w:r w:rsidR="006645B6">
        <w:rPr>
          <w:lang w:val="fr-FR" w:eastAsia="fr-FR"/>
        </w:rPr>
        <w:t xml:space="preserve"> </w:t>
      </w:r>
      <w:r w:rsidR="00826E0F" w:rsidRPr="00872599">
        <w:rPr>
          <w:lang w:val="fr-FR" w:eastAsia="fr-FR"/>
        </w:rPr>
        <w:t xml:space="preserve">2009, la semaine des PME a été organisée pour la première fois au Liechtenstein </w:t>
      </w:r>
      <w:r w:rsidR="00826E0F">
        <w:rPr>
          <w:lang w:val="fr-FR" w:eastAsia="fr-FR"/>
        </w:rPr>
        <w:t xml:space="preserve">et ce </w:t>
      </w:r>
      <w:r w:rsidR="00826E0F" w:rsidRPr="00872599">
        <w:rPr>
          <w:lang w:val="fr-FR" w:eastAsia="fr-FR"/>
        </w:rPr>
        <w:t>autour de différents événements. Le manuel sur les PME et la brochure sur l</w:t>
      </w:r>
      <w:r w:rsidR="006645B6">
        <w:rPr>
          <w:lang w:val="fr-FR" w:eastAsia="fr-FR"/>
        </w:rPr>
        <w:t>’</w:t>
      </w:r>
      <w:r w:rsidR="00826E0F" w:rsidRPr="00872599">
        <w:rPr>
          <w:lang w:val="fr-FR" w:eastAsia="fr-FR"/>
        </w:rPr>
        <w:t>égalité entre les femmes et les hommes au sein de l</w:t>
      </w:r>
      <w:r w:rsidR="006645B6">
        <w:rPr>
          <w:lang w:val="fr-FR" w:eastAsia="fr-FR"/>
        </w:rPr>
        <w:t>’</w:t>
      </w:r>
      <w:r w:rsidR="00826E0F" w:rsidRPr="00872599">
        <w:rPr>
          <w:lang w:val="fr-FR" w:eastAsia="fr-FR"/>
        </w:rPr>
        <w:t>entreprise ont été diffusés à l</w:t>
      </w:r>
      <w:r w:rsidR="006645B6">
        <w:rPr>
          <w:lang w:val="fr-FR" w:eastAsia="fr-FR"/>
        </w:rPr>
        <w:t>’</w:t>
      </w:r>
      <w:r w:rsidR="00826E0F" w:rsidRPr="00872599">
        <w:rPr>
          <w:lang w:val="fr-FR" w:eastAsia="fr-FR"/>
        </w:rPr>
        <w:t>occasion de ces manifestations.</w:t>
      </w:r>
    </w:p>
    <w:p w:rsidR="002544DB" w:rsidRPr="002544DB" w:rsidRDefault="002544DB" w:rsidP="002544DB">
      <w:pPr>
        <w:pStyle w:val="SingleTxt"/>
        <w:spacing w:after="0" w:line="120" w:lineRule="exact"/>
        <w:rPr>
          <w:sz w:val="10"/>
          <w:lang w:val="fr-FR" w:eastAsia="fr-FR"/>
        </w:rPr>
      </w:pPr>
    </w:p>
    <w:p w:rsidR="00826E0F" w:rsidRPr="00872599" w:rsidRDefault="002544DB" w:rsidP="002544D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eastAsia="fr-FR"/>
        </w:rPr>
      </w:pPr>
      <w:r>
        <w:rPr>
          <w:lang w:val="fr-FR" w:eastAsia="fr-FR"/>
        </w:rPr>
        <w:tab/>
      </w:r>
      <w:r>
        <w:rPr>
          <w:lang w:val="fr-FR" w:eastAsia="fr-FR"/>
        </w:rPr>
        <w:tab/>
      </w:r>
      <w:r w:rsidR="00826E0F" w:rsidRPr="00872599">
        <w:rPr>
          <w:lang w:val="fr-FR" w:eastAsia="fr-FR"/>
        </w:rPr>
        <w:t xml:space="preserve">Postulat concernant la promotion de la famille </w:t>
      </w:r>
    </w:p>
    <w:p w:rsidR="002544DB" w:rsidRPr="002544DB" w:rsidRDefault="002544DB" w:rsidP="002544DB">
      <w:pPr>
        <w:pStyle w:val="SingleTxt"/>
        <w:spacing w:after="0" w:line="120" w:lineRule="exact"/>
        <w:rPr>
          <w:sz w:val="10"/>
          <w:lang w:val="fr-FR" w:eastAsia="fr-FR"/>
        </w:rPr>
      </w:pPr>
    </w:p>
    <w:p w:rsidR="00826E0F" w:rsidRPr="00872599" w:rsidRDefault="002544DB" w:rsidP="00497599">
      <w:pPr>
        <w:pStyle w:val="SingleTxt"/>
        <w:rPr>
          <w:lang w:val="fr-FR" w:eastAsia="fr-FR"/>
        </w:rPr>
      </w:pPr>
      <w:r>
        <w:rPr>
          <w:lang w:val="fr-FR" w:eastAsia="fr-FR"/>
        </w:rPr>
        <w:tab/>
      </w:r>
      <w:r w:rsidR="00826E0F" w:rsidRPr="00872599">
        <w:rPr>
          <w:lang w:val="fr-FR" w:eastAsia="fr-FR"/>
        </w:rPr>
        <w:t>Le 19 avril 2006, les membres du Parlement ont soumis un postulat concernant la promotion de la famille. Le Parlement a adressé ce postulat au Gouvernement accompagné de questions concernant les sujets suivants</w:t>
      </w:r>
      <w:r w:rsidR="006645B6">
        <w:rPr>
          <w:lang w:val="fr-FR" w:eastAsia="fr-FR"/>
        </w:rPr>
        <w:t> :</w:t>
      </w:r>
      <w:r w:rsidR="00826E0F" w:rsidRPr="00872599">
        <w:rPr>
          <w:lang w:val="fr-FR" w:eastAsia="fr-FR"/>
        </w:rPr>
        <w:t xml:space="preserve"> mise en place d</w:t>
      </w:r>
      <w:r w:rsidR="006645B6">
        <w:rPr>
          <w:lang w:val="fr-FR" w:eastAsia="fr-FR"/>
        </w:rPr>
        <w:t>’</w:t>
      </w:r>
      <w:r w:rsidR="00826E0F" w:rsidRPr="00872599">
        <w:rPr>
          <w:lang w:val="fr-FR" w:eastAsia="fr-FR"/>
        </w:rPr>
        <w:t>une allocation d</w:t>
      </w:r>
      <w:r w:rsidR="006645B6">
        <w:rPr>
          <w:lang w:val="fr-FR" w:eastAsia="fr-FR"/>
        </w:rPr>
        <w:t>’</w:t>
      </w:r>
      <w:r w:rsidR="00826E0F" w:rsidRPr="00872599">
        <w:rPr>
          <w:lang w:val="fr-FR" w:eastAsia="fr-FR"/>
        </w:rPr>
        <w:t>éducation, efficacité du congé parental, meilleur compatibilité famille-carrière, mise en place de mesures d</w:t>
      </w:r>
      <w:r w:rsidR="006645B6">
        <w:rPr>
          <w:lang w:val="fr-FR" w:eastAsia="fr-FR"/>
        </w:rPr>
        <w:t>’</w:t>
      </w:r>
      <w:r w:rsidR="00826E0F" w:rsidRPr="00872599">
        <w:rPr>
          <w:lang w:val="fr-FR" w:eastAsia="fr-FR"/>
        </w:rPr>
        <w:t>encouragement fiscal supplémentaires, réduction de la charge financière pesant sur les familles, demandes de pensions pour l</w:t>
      </w:r>
      <w:r w:rsidR="006645B6">
        <w:rPr>
          <w:lang w:val="fr-FR" w:eastAsia="fr-FR"/>
        </w:rPr>
        <w:t>’</w:t>
      </w:r>
      <w:r w:rsidR="00826E0F" w:rsidRPr="00872599">
        <w:rPr>
          <w:lang w:val="fr-FR" w:eastAsia="fr-FR"/>
        </w:rPr>
        <w:t>éducation des enfants, mise en place du fondement de mesures de promotion de la famille.</w:t>
      </w:r>
    </w:p>
    <w:p w:rsidR="00826E0F" w:rsidRPr="00872599" w:rsidRDefault="002544DB" w:rsidP="00497599">
      <w:pPr>
        <w:pStyle w:val="SingleTxt"/>
        <w:rPr>
          <w:lang w:val="fr-FR" w:eastAsia="fr-FR"/>
        </w:rPr>
      </w:pPr>
      <w:r>
        <w:rPr>
          <w:lang w:val="fr-FR" w:eastAsia="fr-FR"/>
        </w:rPr>
        <w:tab/>
      </w:r>
      <w:r w:rsidR="00826E0F" w:rsidRPr="00872599">
        <w:rPr>
          <w:lang w:val="fr-FR" w:eastAsia="fr-FR"/>
        </w:rPr>
        <w:t>Dans sa réponse au postulat, donnée</w:t>
      </w:r>
      <w:r w:rsidR="00826E0F">
        <w:rPr>
          <w:lang w:val="fr-FR" w:eastAsia="fr-FR"/>
        </w:rPr>
        <w:t xml:space="preserve"> le 21 août </w:t>
      </w:r>
      <w:r w:rsidR="00826E0F" w:rsidRPr="00872599">
        <w:rPr>
          <w:lang w:val="fr-FR" w:eastAsia="fr-FR"/>
        </w:rPr>
        <w:t>2007, le Gouvernement a proposé entre autres mesures:</w:t>
      </w:r>
    </w:p>
    <w:p w:rsidR="002544DB" w:rsidRPr="002544DB" w:rsidRDefault="002544DB" w:rsidP="002544DB">
      <w:pPr>
        <w:pStyle w:val="SingleTxt"/>
        <w:spacing w:after="0" w:line="120" w:lineRule="exact"/>
        <w:rPr>
          <w:sz w:val="10"/>
          <w:lang w:val="fr-FR" w:eastAsia="fr-FR"/>
        </w:rPr>
      </w:pPr>
    </w:p>
    <w:p w:rsidR="00826E0F" w:rsidRPr="00872599" w:rsidRDefault="002544DB" w:rsidP="002544DB">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eastAsia="fr-FR"/>
        </w:rPr>
      </w:pPr>
      <w:r>
        <w:rPr>
          <w:lang w:val="fr-FR" w:eastAsia="fr-FR"/>
        </w:rPr>
        <w:tab/>
      </w:r>
      <w:r>
        <w:rPr>
          <w:lang w:val="fr-FR" w:eastAsia="fr-FR"/>
        </w:rPr>
        <w:tab/>
      </w:r>
      <w:r w:rsidR="00826E0F" w:rsidRPr="00872599">
        <w:rPr>
          <w:lang w:val="fr-FR" w:eastAsia="fr-FR"/>
        </w:rPr>
        <w:t>Ecole de jour et structure d</w:t>
      </w:r>
      <w:r w:rsidR="006645B6">
        <w:rPr>
          <w:lang w:val="fr-FR" w:eastAsia="fr-FR"/>
        </w:rPr>
        <w:t>’</w:t>
      </w:r>
      <w:r w:rsidR="00826E0F" w:rsidRPr="00872599">
        <w:rPr>
          <w:lang w:val="fr-FR" w:eastAsia="fr-FR"/>
        </w:rPr>
        <w:t>appui pour les enfants dans les maternelles et les écoles:</w:t>
      </w:r>
    </w:p>
    <w:p w:rsidR="002544DB" w:rsidRPr="002544DB" w:rsidRDefault="002544DB" w:rsidP="002544DB">
      <w:pPr>
        <w:pStyle w:val="SingleTxt"/>
        <w:spacing w:after="0" w:line="120" w:lineRule="exact"/>
        <w:rPr>
          <w:sz w:val="10"/>
          <w:lang w:val="fr-FR" w:eastAsia="fr-FR"/>
        </w:rPr>
      </w:pPr>
    </w:p>
    <w:p w:rsidR="00826E0F" w:rsidRPr="00872599" w:rsidRDefault="002544DB" w:rsidP="00497599">
      <w:pPr>
        <w:pStyle w:val="SingleTxt"/>
        <w:rPr>
          <w:lang w:val="fr-FR" w:eastAsia="fr-FR"/>
        </w:rPr>
      </w:pPr>
      <w:r>
        <w:rPr>
          <w:lang w:val="fr-FR" w:eastAsia="fr-FR"/>
        </w:rPr>
        <w:tab/>
      </w:r>
      <w:r w:rsidR="00826E0F" w:rsidRPr="00872599">
        <w:rPr>
          <w:lang w:val="fr-FR" w:eastAsia="fr-FR"/>
        </w:rPr>
        <w:t xml:space="preserve">Une école de jour doit être </w:t>
      </w:r>
      <w:r w:rsidR="00CC772D" w:rsidRPr="00872599">
        <w:rPr>
          <w:lang w:val="fr-FR" w:eastAsia="fr-FR"/>
        </w:rPr>
        <w:t>mise</w:t>
      </w:r>
      <w:r w:rsidR="00826E0F" w:rsidRPr="00872599">
        <w:rPr>
          <w:lang w:val="fr-FR" w:eastAsia="fr-FR"/>
        </w:rPr>
        <w:t xml:space="preserve"> en place</w:t>
      </w:r>
      <w:r w:rsidR="00826E0F">
        <w:rPr>
          <w:lang w:val="fr-FR" w:eastAsia="fr-FR"/>
        </w:rPr>
        <w:t xml:space="preserve">, </w:t>
      </w:r>
      <w:r w:rsidR="00826E0F" w:rsidRPr="00872599">
        <w:rPr>
          <w:lang w:val="fr-FR" w:eastAsia="fr-FR"/>
        </w:rPr>
        <w:t>dans le Bas-Pays et une autre dans le Haut-Pays . En plus desdit</w:t>
      </w:r>
      <w:r w:rsidR="00826E0F">
        <w:rPr>
          <w:lang w:val="fr-FR" w:eastAsia="fr-FR"/>
        </w:rPr>
        <w:t>e</w:t>
      </w:r>
      <w:r w:rsidR="00826E0F" w:rsidRPr="00872599">
        <w:rPr>
          <w:lang w:val="fr-FR" w:eastAsia="fr-FR"/>
        </w:rPr>
        <w:t xml:space="preserve">s </w:t>
      </w:r>
      <w:r w:rsidR="00826E0F">
        <w:rPr>
          <w:lang w:val="fr-FR" w:eastAsia="fr-FR"/>
        </w:rPr>
        <w:t xml:space="preserve">écoles </w:t>
      </w:r>
      <w:r w:rsidR="00826E0F" w:rsidRPr="00872599">
        <w:rPr>
          <w:lang w:val="fr-FR" w:eastAsia="fr-FR"/>
        </w:rPr>
        <w:t xml:space="preserve">de jour, des projets doivent être lancés avec le soutien des municipalités. À moyen terme, ces services devraient être mis à disposition dans tous le pays. </w:t>
      </w:r>
    </w:p>
    <w:p w:rsidR="002544DB" w:rsidRPr="002544DB" w:rsidRDefault="002544DB" w:rsidP="002544DB">
      <w:pPr>
        <w:pStyle w:val="SingleTxt"/>
        <w:spacing w:after="0" w:line="120" w:lineRule="exact"/>
        <w:rPr>
          <w:sz w:val="10"/>
          <w:u w:val="single"/>
          <w:lang w:val="fr-FR" w:eastAsia="fr-FR"/>
        </w:rPr>
      </w:pPr>
    </w:p>
    <w:p w:rsidR="00826E0F" w:rsidRPr="00872599" w:rsidRDefault="002544DB" w:rsidP="002544DB">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eastAsia="fr-FR"/>
        </w:rPr>
      </w:pPr>
      <w:r>
        <w:rPr>
          <w:lang w:val="fr-FR" w:eastAsia="fr-FR"/>
        </w:rPr>
        <w:tab/>
      </w:r>
      <w:r>
        <w:rPr>
          <w:lang w:val="fr-FR" w:eastAsia="fr-FR"/>
        </w:rPr>
        <w:tab/>
      </w:r>
      <w:r w:rsidR="00826E0F" w:rsidRPr="00872599">
        <w:rPr>
          <w:lang w:val="fr-FR" w:eastAsia="fr-FR"/>
        </w:rPr>
        <w:t>Ajustement des allocations</w:t>
      </w:r>
      <w:r w:rsidR="006645B6">
        <w:rPr>
          <w:lang w:val="fr-FR" w:eastAsia="fr-FR"/>
        </w:rPr>
        <w:t> :</w:t>
      </w:r>
    </w:p>
    <w:p w:rsidR="002544DB" w:rsidRPr="002544DB" w:rsidRDefault="002544DB" w:rsidP="002544DB">
      <w:pPr>
        <w:pStyle w:val="SingleTxt"/>
        <w:spacing w:after="0" w:line="120" w:lineRule="exact"/>
        <w:rPr>
          <w:sz w:val="10"/>
          <w:lang w:val="fr-FR" w:eastAsia="fr-FR"/>
        </w:rPr>
      </w:pPr>
    </w:p>
    <w:p w:rsidR="00826E0F" w:rsidRPr="00872599" w:rsidRDefault="002544DB" w:rsidP="00497599">
      <w:pPr>
        <w:pStyle w:val="SingleTxt"/>
        <w:rPr>
          <w:lang w:val="fr-FR" w:eastAsia="fr-FR"/>
        </w:rPr>
      </w:pPr>
      <w:r>
        <w:rPr>
          <w:lang w:val="fr-FR" w:eastAsia="fr-FR"/>
        </w:rPr>
        <w:tab/>
      </w:r>
      <w:r w:rsidR="00826E0F">
        <w:rPr>
          <w:lang w:val="fr-FR" w:eastAsia="fr-FR"/>
        </w:rPr>
        <w:t>L</w:t>
      </w:r>
      <w:r w:rsidR="006645B6">
        <w:rPr>
          <w:lang w:val="fr-FR" w:eastAsia="fr-FR"/>
        </w:rPr>
        <w:t>’</w:t>
      </w:r>
      <w:r w:rsidR="00826E0F">
        <w:rPr>
          <w:lang w:val="fr-FR" w:eastAsia="fr-FR"/>
        </w:rPr>
        <w:t>ajustement (dû</w:t>
      </w:r>
      <w:r w:rsidR="00826E0F" w:rsidRPr="00872599">
        <w:rPr>
          <w:lang w:val="fr-FR" w:eastAsia="fr-FR"/>
        </w:rPr>
        <w:t xml:space="preserve"> à l</w:t>
      </w:r>
      <w:r w:rsidR="006645B6">
        <w:rPr>
          <w:lang w:val="fr-FR" w:eastAsia="fr-FR"/>
        </w:rPr>
        <w:t>’</w:t>
      </w:r>
      <w:r w:rsidR="00826E0F" w:rsidRPr="00872599">
        <w:rPr>
          <w:lang w:val="fr-FR" w:eastAsia="fr-FR"/>
        </w:rPr>
        <w:t>inflation) des allocations familiales et monoparentales ainsi que des allocations de naissance doit être effectué</w:t>
      </w:r>
      <w:r w:rsidR="006645B6">
        <w:rPr>
          <w:lang w:val="fr-FR" w:eastAsia="fr-FR"/>
        </w:rPr>
        <w:t xml:space="preserve"> </w:t>
      </w:r>
      <w:r w:rsidR="00826E0F" w:rsidRPr="00872599">
        <w:rPr>
          <w:lang w:val="fr-FR" w:eastAsia="fr-FR"/>
        </w:rPr>
        <w:t>régulièrement, au moins une fois tous les cinq ans. (Le Parlement a déjà approuvé le 14 mars 2007 une augmentation des allocations pour enfants et des allocations monoparentales ainsi que de l</w:t>
      </w:r>
      <w:r w:rsidR="006645B6">
        <w:rPr>
          <w:lang w:val="fr-FR" w:eastAsia="fr-FR"/>
        </w:rPr>
        <w:t>’</w:t>
      </w:r>
      <w:r w:rsidR="00826E0F" w:rsidRPr="00872599">
        <w:rPr>
          <w:lang w:val="fr-FR" w:eastAsia="fr-FR"/>
        </w:rPr>
        <w:t>allocation de naissance avec effet rétroactif au 1er janvier 2007).</w:t>
      </w:r>
    </w:p>
    <w:p w:rsidR="002544DB" w:rsidRPr="002544DB" w:rsidRDefault="002544DB" w:rsidP="002544DB">
      <w:pPr>
        <w:pStyle w:val="SingleTxt"/>
        <w:spacing w:after="0" w:line="120" w:lineRule="exact"/>
        <w:rPr>
          <w:sz w:val="10"/>
          <w:lang w:val="fr-FR" w:eastAsia="fr-FR"/>
        </w:rPr>
      </w:pPr>
    </w:p>
    <w:p w:rsidR="00826E0F" w:rsidRPr="00872599" w:rsidRDefault="002544DB" w:rsidP="002544DB">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eastAsia="fr-FR"/>
        </w:rPr>
      </w:pPr>
      <w:r>
        <w:rPr>
          <w:lang w:val="fr-FR" w:eastAsia="fr-FR"/>
        </w:rPr>
        <w:tab/>
      </w:r>
      <w:r>
        <w:rPr>
          <w:lang w:val="fr-FR" w:eastAsia="fr-FR"/>
        </w:rPr>
        <w:tab/>
      </w:r>
      <w:r w:rsidR="00826E0F" w:rsidRPr="00872599">
        <w:rPr>
          <w:lang w:val="fr-FR" w:eastAsia="fr-FR"/>
        </w:rPr>
        <w:t>Modèles de rôle</w:t>
      </w:r>
      <w:r w:rsidR="006645B6">
        <w:rPr>
          <w:lang w:val="fr-FR" w:eastAsia="fr-FR"/>
        </w:rPr>
        <w:t> :</w:t>
      </w:r>
    </w:p>
    <w:p w:rsidR="002544DB" w:rsidRPr="002544DB" w:rsidRDefault="002544DB" w:rsidP="002544DB">
      <w:pPr>
        <w:pStyle w:val="SingleTxt"/>
        <w:spacing w:after="0" w:line="120" w:lineRule="exact"/>
        <w:rPr>
          <w:sz w:val="10"/>
          <w:lang w:val="fr-FR" w:eastAsia="fr-FR"/>
        </w:rPr>
      </w:pPr>
    </w:p>
    <w:p w:rsidR="00826E0F" w:rsidRPr="00872599" w:rsidRDefault="002544DB" w:rsidP="00497599">
      <w:pPr>
        <w:pStyle w:val="SingleTxt"/>
        <w:rPr>
          <w:lang w:val="fr-FR" w:eastAsia="fr-FR"/>
        </w:rPr>
      </w:pPr>
      <w:r>
        <w:rPr>
          <w:lang w:val="fr-FR" w:eastAsia="fr-FR"/>
        </w:rPr>
        <w:tab/>
      </w:r>
      <w:r w:rsidR="00826E0F" w:rsidRPr="00872599">
        <w:rPr>
          <w:lang w:val="fr-FR" w:eastAsia="fr-FR"/>
        </w:rPr>
        <w:t>L</w:t>
      </w:r>
      <w:r w:rsidR="006645B6">
        <w:rPr>
          <w:lang w:val="fr-FR" w:eastAsia="fr-FR"/>
        </w:rPr>
        <w:t>’</w:t>
      </w:r>
      <w:r w:rsidR="00826E0F" w:rsidRPr="00872599">
        <w:rPr>
          <w:lang w:val="fr-FR" w:eastAsia="fr-FR"/>
        </w:rPr>
        <w:t>État doit défendre des modèles de rôle tels que les entreprises respectueuses de la famille et les services adaptés aux enfants.</w:t>
      </w:r>
    </w:p>
    <w:p w:rsidR="002544DB" w:rsidRPr="002544DB" w:rsidRDefault="002544DB" w:rsidP="002544DB">
      <w:pPr>
        <w:pStyle w:val="SingleTxt"/>
        <w:spacing w:after="0" w:line="120" w:lineRule="exact"/>
        <w:rPr>
          <w:sz w:val="10"/>
          <w:lang w:val="fr-FR" w:eastAsia="fr-FR"/>
        </w:rPr>
      </w:pPr>
    </w:p>
    <w:p w:rsidR="00826E0F" w:rsidRPr="00872599" w:rsidRDefault="002544DB" w:rsidP="002544DB">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eastAsia="fr-FR"/>
        </w:rPr>
      </w:pPr>
      <w:r>
        <w:rPr>
          <w:lang w:val="fr-FR" w:eastAsia="fr-FR"/>
        </w:rPr>
        <w:tab/>
      </w:r>
      <w:r>
        <w:rPr>
          <w:lang w:val="fr-FR" w:eastAsia="fr-FR"/>
        </w:rPr>
        <w:tab/>
      </w:r>
      <w:r w:rsidR="00826E0F" w:rsidRPr="00872599">
        <w:rPr>
          <w:lang w:val="fr-FR" w:eastAsia="fr-FR"/>
        </w:rPr>
        <w:t>Conseil de famille</w:t>
      </w:r>
      <w:r w:rsidR="006645B6">
        <w:rPr>
          <w:lang w:val="fr-FR" w:eastAsia="fr-FR"/>
        </w:rPr>
        <w:t> :</w:t>
      </w:r>
    </w:p>
    <w:p w:rsidR="002544DB" w:rsidRPr="002544DB" w:rsidRDefault="002544DB" w:rsidP="002544DB">
      <w:pPr>
        <w:pStyle w:val="SingleTxt"/>
        <w:spacing w:after="0" w:line="120" w:lineRule="exact"/>
        <w:rPr>
          <w:sz w:val="10"/>
          <w:lang w:val="fr-FR" w:eastAsia="fr-FR"/>
        </w:rPr>
      </w:pPr>
    </w:p>
    <w:p w:rsidR="00826E0F" w:rsidRPr="00872599" w:rsidRDefault="002544DB" w:rsidP="00497599">
      <w:pPr>
        <w:pStyle w:val="SingleTxt"/>
        <w:rPr>
          <w:lang w:val="fr-FR" w:eastAsia="fr-FR"/>
        </w:rPr>
      </w:pPr>
      <w:r>
        <w:rPr>
          <w:lang w:val="fr-FR" w:eastAsia="fr-FR"/>
        </w:rPr>
        <w:tab/>
      </w:r>
      <w:r w:rsidR="00826E0F" w:rsidRPr="00872599">
        <w:rPr>
          <w:lang w:val="fr-FR" w:eastAsia="fr-FR"/>
        </w:rPr>
        <w:t>Le conseil de famille est conçu pour accompagner l</w:t>
      </w:r>
      <w:r w:rsidR="006645B6">
        <w:rPr>
          <w:lang w:val="fr-FR" w:eastAsia="fr-FR"/>
        </w:rPr>
        <w:t>’</w:t>
      </w:r>
      <w:r w:rsidR="00826E0F" w:rsidRPr="00872599">
        <w:rPr>
          <w:lang w:val="fr-FR" w:eastAsia="fr-FR"/>
        </w:rPr>
        <w:t>évolution de la politique familiale et pour apporter des idées et des impulsions afin que d</w:t>
      </w:r>
      <w:r w:rsidR="006645B6">
        <w:rPr>
          <w:lang w:val="fr-FR" w:eastAsia="fr-FR"/>
        </w:rPr>
        <w:t>’</w:t>
      </w:r>
      <w:r w:rsidR="00826E0F" w:rsidRPr="00872599">
        <w:rPr>
          <w:lang w:val="fr-FR" w:eastAsia="fr-FR"/>
        </w:rPr>
        <w:t>autres mesures soient prises. Il lui incombe de prendre en compte l</w:t>
      </w:r>
      <w:r w:rsidR="006645B6">
        <w:rPr>
          <w:lang w:val="fr-FR" w:eastAsia="fr-FR"/>
        </w:rPr>
        <w:t>’</w:t>
      </w:r>
      <w:r w:rsidR="00826E0F" w:rsidRPr="00872599">
        <w:rPr>
          <w:lang w:val="fr-FR" w:eastAsia="fr-FR"/>
        </w:rPr>
        <w:t>étendue et la complexité de la promotion de la famille. Le conseil de famille se compose d</w:t>
      </w:r>
      <w:r w:rsidR="006645B6">
        <w:rPr>
          <w:lang w:val="fr-FR" w:eastAsia="fr-FR"/>
        </w:rPr>
        <w:t>’</w:t>
      </w:r>
      <w:r w:rsidR="00826E0F" w:rsidRPr="00872599">
        <w:rPr>
          <w:lang w:val="fr-FR" w:eastAsia="fr-FR"/>
        </w:rPr>
        <w:t>un organe de gestion et d</w:t>
      </w:r>
      <w:r w:rsidR="006645B6">
        <w:rPr>
          <w:lang w:val="fr-FR" w:eastAsia="fr-FR"/>
        </w:rPr>
        <w:t>’</w:t>
      </w:r>
      <w:r w:rsidR="00826E0F" w:rsidRPr="00872599">
        <w:rPr>
          <w:lang w:val="fr-FR" w:eastAsia="fr-FR"/>
        </w:rPr>
        <w:t>un sous-comité. Les sujets et les mesures suivants concernant la politique familiale doivent être discutés au sein du conseil de famille et donner lieu à l</w:t>
      </w:r>
      <w:r w:rsidR="006645B6">
        <w:rPr>
          <w:lang w:val="fr-FR" w:eastAsia="fr-FR"/>
        </w:rPr>
        <w:t>’</w:t>
      </w:r>
      <w:r w:rsidR="00826E0F" w:rsidRPr="00872599">
        <w:rPr>
          <w:lang w:val="fr-FR" w:eastAsia="fr-FR"/>
        </w:rPr>
        <w:t>adoption de mesures concrètes: des règles sur le renvoi prévoyant la protection en cas de maternité et la garantie de l</w:t>
      </w:r>
      <w:r w:rsidR="006645B6">
        <w:rPr>
          <w:lang w:val="fr-FR" w:eastAsia="fr-FR"/>
        </w:rPr>
        <w:t>’</w:t>
      </w:r>
      <w:r w:rsidR="00826E0F" w:rsidRPr="00872599">
        <w:rPr>
          <w:lang w:val="fr-FR" w:eastAsia="fr-FR"/>
        </w:rPr>
        <w:t>emploi pendant la grossesse et la maternité, des projets de nouvelles règles régissant le versement des allocations familiales à la suite de la révision de la politique familiale concernant les paiements à l</w:t>
      </w:r>
      <w:r w:rsidR="006645B6">
        <w:rPr>
          <w:lang w:val="fr-FR" w:eastAsia="fr-FR"/>
        </w:rPr>
        <w:t>’</w:t>
      </w:r>
      <w:r w:rsidR="00826E0F" w:rsidRPr="00872599">
        <w:rPr>
          <w:lang w:val="fr-FR" w:eastAsia="fr-FR"/>
        </w:rPr>
        <w:t>étranger, la mise en place d</w:t>
      </w:r>
      <w:r w:rsidR="006645B6">
        <w:rPr>
          <w:lang w:val="fr-FR" w:eastAsia="fr-FR"/>
        </w:rPr>
        <w:t>’</w:t>
      </w:r>
      <w:r w:rsidR="00826E0F" w:rsidRPr="00872599">
        <w:rPr>
          <w:lang w:val="fr-FR" w:eastAsia="fr-FR"/>
        </w:rPr>
        <w:t>une assise permettant d</w:t>
      </w:r>
      <w:r w:rsidR="006645B6">
        <w:rPr>
          <w:lang w:val="fr-FR" w:eastAsia="fr-FR"/>
        </w:rPr>
        <w:t>’</w:t>
      </w:r>
      <w:r w:rsidR="00826E0F" w:rsidRPr="00872599">
        <w:rPr>
          <w:lang w:val="fr-FR" w:eastAsia="fr-FR"/>
        </w:rPr>
        <w:t>assurer la sécurité financière des parents âgés ne travaillant pas, la possibilité d</w:t>
      </w:r>
      <w:r w:rsidR="006645B6">
        <w:rPr>
          <w:lang w:val="fr-FR" w:eastAsia="fr-FR"/>
        </w:rPr>
        <w:t>’</w:t>
      </w:r>
      <w:r w:rsidR="00826E0F" w:rsidRPr="00872599">
        <w:rPr>
          <w:lang w:val="fr-FR" w:eastAsia="fr-FR"/>
        </w:rPr>
        <w:t>extension du congé parental, les changements d</w:t>
      </w:r>
      <w:r w:rsidR="006645B6">
        <w:rPr>
          <w:lang w:val="fr-FR" w:eastAsia="fr-FR"/>
        </w:rPr>
        <w:t>’</w:t>
      </w:r>
      <w:r w:rsidR="00826E0F" w:rsidRPr="00872599">
        <w:rPr>
          <w:lang w:val="fr-FR" w:eastAsia="fr-FR"/>
        </w:rPr>
        <w:t>attitude au niveau social.</w:t>
      </w:r>
    </w:p>
    <w:p w:rsidR="002544DB" w:rsidRPr="002544DB" w:rsidRDefault="002544DB" w:rsidP="002544DB">
      <w:pPr>
        <w:pStyle w:val="SingleTxt"/>
        <w:spacing w:after="0" w:line="120" w:lineRule="exact"/>
        <w:rPr>
          <w:sz w:val="10"/>
          <w:lang w:val="fr-FR" w:eastAsia="fr-FR"/>
        </w:rPr>
      </w:pPr>
    </w:p>
    <w:p w:rsidR="00826E0F" w:rsidRPr="00872599" w:rsidRDefault="002544DB" w:rsidP="002544D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eastAsia="fr-FR"/>
        </w:rPr>
      </w:pPr>
      <w:r>
        <w:rPr>
          <w:lang w:val="fr-FR" w:eastAsia="fr-FR"/>
        </w:rPr>
        <w:tab/>
      </w:r>
      <w:r>
        <w:rPr>
          <w:lang w:val="fr-FR" w:eastAsia="fr-FR"/>
        </w:rPr>
        <w:tab/>
      </w:r>
      <w:r w:rsidR="00826E0F" w:rsidRPr="00872599">
        <w:rPr>
          <w:lang w:val="fr-FR" w:eastAsia="fr-FR"/>
        </w:rPr>
        <w:t>Garde des enfants hors de la maison</w:t>
      </w:r>
    </w:p>
    <w:p w:rsidR="002544DB" w:rsidRPr="002544DB" w:rsidRDefault="002544DB" w:rsidP="002544DB">
      <w:pPr>
        <w:pStyle w:val="SingleTxt"/>
        <w:spacing w:after="0" w:line="120" w:lineRule="exact"/>
        <w:rPr>
          <w:sz w:val="10"/>
          <w:lang w:val="fr-FR" w:eastAsia="fr-FR"/>
        </w:rPr>
      </w:pPr>
    </w:p>
    <w:p w:rsidR="00826E0F" w:rsidRDefault="002544DB" w:rsidP="00497599">
      <w:pPr>
        <w:pStyle w:val="SingleTxt"/>
        <w:rPr>
          <w:lang w:val="fr-FR" w:eastAsia="fr-FR"/>
        </w:rPr>
      </w:pPr>
      <w:r>
        <w:rPr>
          <w:lang w:val="fr-FR" w:eastAsia="fr-FR"/>
        </w:rPr>
        <w:tab/>
      </w:r>
      <w:r w:rsidR="00826E0F" w:rsidRPr="00872599">
        <w:rPr>
          <w:lang w:val="fr-FR" w:eastAsia="fr-FR"/>
        </w:rPr>
        <w:t>Un système abordable de garde des enfants hors de la maison rend plus compatible la vie de famille et la carrière et renforce l</w:t>
      </w:r>
      <w:r w:rsidR="006645B6">
        <w:rPr>
          <w:lang w:val="fr-FR" w:eastAsia="fr-FR"/>
        </w:rPr>
        <w:t>’</w:t>
      </w:r>
      <w:r w:rsidR="00826E0F" w:rsidRPr="00872599">
        <w:rPr>
          <w:lang w:val="fr-FR" w:eastAsia="fr-FR"/>
        </w:rPr>
        <w:t>égalité des chances sur le lieu de travail. Il n</w:t>
      </w:r>
      <w:r w:rsidR="006645B6">
        <w:rPr>
          <w:lang w:val="fr-FR" w:eastAsia="fr-FR"/>
        </w:rPr>
        <w:t>’</w:t>
      </w:r>
      <w:r w:rsidR="00826E0F" w:rsidRPr="00872599">
        <w:rPr>
          <w:lang w:val="fr-FR" w:eastAsia="fr-FR"/>
        </w:rPr>
        <w:t>existait que 58 centres d</w:t>
      </w:r>
      <w:r w:rsidR="006645B6">
        <w:rPr>
          <w:lang w:val="fr-FR" w:eastAsia="fr-FR"/>
        </w:rPr>
        <w:t>’</w:t>
      </w:r>
      <w:r w:rsidR="00826E0F" w:rsidRPr="00872599">
        <w:rPr>
          <w:lang w:val="fr-FR" w:eastAsia="fr-FR"/>
        </w:rPr>
        <w:t>accueil de jour au Liechtenstein en 2000, mais la capacité de ces centres est passée de 117 places en 2003 à 140 en 2005 pour atteindre 143 à l</w:t>
      </w:r>
      <w:r w:rsidR="006645B6">
        <w:rPr>
          <w:lang w:val="fr-FR" w:eastAsia="fr-FR"/>
        </w:rPr>
        <w:t>’</w:t>
      </w:r>
      <w:r w:rsidR="00826E0F" w:rsidRPr="00872599">
        <w:rPr>
          <w:lang w:val="fr-FR" w:eastAsia="fr-FR"/>
        </w:rPr>
        <w:t>heure actuelle. L</w:t>
      </w:r>
      <w:r w:rsidR="006645B6">
        <w:rPr>
          <w:lang w:val="fr-FR" w:eastAsia="fr-FR"/>
        </w:rPr>
        <w:t>’</w:t>
      </w:r>
      <w:r w:rsidR="00826E0F" w:rsidRPr="00872599">
        <w:rPr>
          <w:lang w:val="fr-FR" w:eastAsia="fr-FR"/>
        </w:rPr>
        <w:t>accueil de jour au Liechtenstein se caractérise déjà par de bonnes prestations de grande qualité. Il ressort toutefois d</w:t>
      </w:r>
      <w:r w:rsidR="006645B6">
        <w:rPr>
          <w:lang w:val="fr-FR" w:eastAsia="fr-FR"/>
        </w:rPr>
        <w:t>’</w:t>
      </w:r>
      <w:r w:rsidR="00826E0F" w:rsidRPr="00872599">
        <w:rPr>
          <w:lang w:val="fr-FR" w:eastAsia="fr-FR"/>
        </w:rPr>
        <w:t>une enquête sur la situation des familles que certains besoins restent encore à satisfaire notamment en ce qui concerne la souplesse des prestations offertes. Le Gouvernement a adopté une ordonnance pour que soit créé un centre d</w:t>
      </w:r>
      <w:r w:rsidR="006645B6">
        <w:rPr>
          <w:lang w:val="fr-FR" w:eastAsia="fr-FR"/>
        </w:rPr>
        <w:t>’</w:t>
      </w:r>
      <w:r w:rsidR="00826E0F" w:rsidRPr="00872599">
        <w:rPr>
          <w:lang w:val="fr-FR" w:eastAsia="fr-FR"/>
        </w:rPr>
        <w:t>accueil de jour dans le bas pays et un autre dans le haut pays. Par ailleurs, le Gouvernement a chargé le Ministère de la famille et de l</w:t>
      </w:r>
      <w:r w:rsidR="006645B6">
        <w:rPr>
          <w:lang w:val="fr-FR" w:eastAsia="fr-FR"/>
        </w:rPr>
        <w:t>’</w:t>
      </w:r>
      <w:r w:rsidR="00826E0F" w:rsidRPr="00872599">
        <w:rPr>
          <w:lang w:val="fr-FR" w:eastAsia="fr-FR"/>
        </w:rPr>
        <w:t xml:space="preserve">égalité des chances de mettre en </w:t>
      </w:r>
      <w:r w:rsidR="00CC772D" w:rsidRPr="00872599">
        <w:rPr>
          <w:lang w:val="fr-FR" w:eastAsia="fr-FR"/>
        </w:rPr>
        <w:t>œuvre</w:t>
      </w:r>
      <w:r w:rsidR="00826E0F" w:rsidRPr="00872599">
        <w:rPr>
          <w:lang w:val="fr-FR" w:eastAsia="fr-FR"/>
        </w:rPr>
        <w:t xml:space="preserve"> le concept de structures d</w:t>
      </w:r>
      <w:r w:rsidR="006645B6">
        <w:rPr>
          <w:lang w:val="fr-FR" w:eastAsia="fr-FR"/>
        </w:rPr>
        <w:t>’</w:t>
      </w:r>
      <w:r w:rsidR="00826E0F" w:rsidRPr="00872599">
        <w:rPr>
          <w:lang w:val="fr-FR" w:eastAsia="fr-FR"/>
        </w:rPr>
        <w:t>accueil de jour en dehors des établissements scolaires.</w:t>
      </w:r>
    </w:p>
    <w:p w:rsidR="00826E0F" w:rsidRPr="00872599" w:rsidRDefault="002544DB" w:rsidP="00497599">
      <w:pPr>
        <w:pStyle w:val="SingleTxt"/>
        <w:rPr>
          <w:lang w:val="fr-FR" w:eastAsia="fr-FR"/>
        </w:rPr>
      </w:pPr>
      <w:r>
        <w:rPr>
          <w:lang w:val="fr-FR" w:eastAsia="fr-FR"/>
        </w:rPr>
        <w:tab/>
      </w:r>
      <w:r w:rsidR="00826E0F" w:rsidRPr="00872599">
        <w:rPr>
          <w:lang w:val="fr-FR" w:eastAsia="fr-FR"/>
        </w:rPr>
        <w:t>Depuis le début de 2002, les employés de l</w:t>
      </w:r>
      <w:r w:rsidR="006645B6">
        <w:rPr>
          <w:lang w:val="fr-FR" w:eastAsia="fr-FR"/>
        </w:rPr>
        <w:t>’</w:t>
      </w:r>
      <w:r w:rsidR="00826E0F" w:rsidRPr="00872599">
        <w:rPr>
          <w:lang w:val="fr-FR" w:eastAsia="fr-FR"/>
        </w:rPr>
        <w:t>administration nationale se voient attribuer, autant que faire se peut, une place dans un centre d</w:t>
      </w:r>
      <w:r w:rsidR="006645B6">
        <w:rPr>
          <w:lang w:val="fr-FR" w:eastAsia="fr-FR"/>
        </w:rPr>
        <w:t>’</w:t>
      </w:r>
      <w:r w:rsidR="00826E0F" w:rsidRPr="00872599">
        <w:rPr>
          <w:lang w:val="fr-FR" w:eastAsia="fr-FR"/>
        </w:rPr>
        <w:t>accueil de jour géré par l</w:t>
      </w:r>
      <w:r w:rsidR="006645B6">
        <w:rPr>
          <w:lang w:val="fr-FR" w:eastAsia="fr-FR"/>
        </w:rPr>
        <w:t>’</w:t>
      </w:r>
      <w:r w:rsidR="00826E0F" w:rsidRPr="00872599">
        <w:rPr>
          <w:lang w:val="fr-FR" w:eastAsia="fr-FR"/>
        </w:rPr>
        <w:t>administration nationale. L</w:t>
      </w:r>
      <w:r w:rsidR="006645B6">
        <w:rPr>
          <w:lang w:val="fr-FR" w:eastAsia="fr-FR"/>
        </w:rPr>
        <w:t>’</w:t>
      </w:r>
      <w:r w:rsidR="00826E0F" w:rsidRPr="00872599">
        <w:rPr>
          <w:lang w:val="fr-FR" w:eastAsia="fr-FR"/>
        </w:rPr>
        <w:t>Association de l</w:t>
      </w:r>
      <w:r w:rsidR="006645B6">
        <w:rPr>
          <w:lang w:val="fr-FR" w:eastAsia="fr-FR"/>
        </w:rPr>
        <w:t>’</w:t>
      </w:r>
      <w:r w:rsidR="00826E0F" w:rsidRPr="00872599">
        <w:rPr>
          <w:lang w:val="fr-FR" w:eastAsia="fr-FR"/>
        </w:rPr>
        <w:t>accueil de jour du Liechtenstein est chargée de gérer, d</w:t>
      </w:r>
      <w:r w:rsidR="006645B6">
        <w:rPr>
          <w:lang w:val="fr-FR" w:eastAsia="fr-FR"/>
        </w:rPr>
        <w:t>’</w:t>
      </w:r>
      <w:r w:rsidR="00826E0F" w:rsidRPr="00872599">
        <w:rPr>
          <w:lang w:val="fr-FR" w:eastAsia="fr-FR"/>
        </w:rPr>
        <w:t>organiser, de doter en personnel et d</w:t>
      </w:r>
      <w:r w:rsidR="006645B6">
        <w:rPr>
          <w:lang w:val="fr-FR" w:eastAsia="fr-FR"/>
        </w:rPr>
        <w:t>’</w:t>
      </w:r>
      <w:r w:rsidR="00826E0F" w:rsidRPr="00872599">
        <w:rPr>
          <w:lang w:val="fr-FR" w:eastAsia="fr-FR"/>
        </w:rPr>
        <w:t>administrer la garderie. L</w:t>
      </w:r>
      <w:r w:rsidR="006645B6">
        <w:rPr>
          <w:lang w:val="fr-FR" w:eastAsia="fr-FR"/>
        </w:rPr>
        <w:t>’</w:t>
      </w:r>
      <w:r w:rsidR="00826E0F" w:rsidRPr="00872599">
        <w:rPr>
          <w:lang w:val="fr-FR" w:eastAsia="fr-FR"/>
        </w:rPr>
        <w:t>administration nationale fournit l</w:t>
      </w:r>
      <w:r w:rsidR="006645B6">
        <w:rPr>
          <w:lang w:val="fr-FR" w:eastAsia="fr-FR"/>
        </w:rPr>
        <w:t>’</w:t>
      </w:r>
      <w:r w:rsidR="00826E0F" w:rsidRPr="00872599">
        <w:rPr>
          <w:lang w:val="fr-FR" w:eastAsia="fr-FR"/>
        </w:rPr>
        <w:t>infrastructure et prend à sa charge le déficit annuel d</w:t>
      </w:r>
      <w:r w:rsidR="006645B6">
        <w:rPr>
          <w:lang w:val="fr-FR" w:eastAsia="fr-FR"/>
        </w:rPr>
        <w:t>’</w:t>
      </w:r>
      <w:r w:rsidR="00826E0F" w:rsidRPr="00872599">
        <w:rPr>
          <w:lang w:val="fr-FR" w:eastAsia="fr-FR"/>
        </w:rPr>
        <w:t>exploitation. Depuis janvier 2004, une entreprise du Liechtenstein offre au plan interne 13 places d</w:t>
      </w:r>
      <w:r w:rsidR="006645B6">
        <w:rPr>
          <w:lang w:val="fr-FR" w:eastAsia="fr-FR"/>
        </w:rPr>
        <w:t>’</w:t>
      </w:r>
      <w:r w:rsidR="00826E0F" w:rsidRPr="00872599">
        <w:rPr>
          <w:lang w:val="fr-FR" w:eastAsia="fr-FR"/>
        </w:rPr>
        <w:t>accueil de jour selon le modèle de l</w:t>
      </w:r>
      <w:r w:rsidR="006645B6">
        <w:rPr>
          <w:lang w:val="fr-FR" w:eastAsia="fr-FR"/>
        </w:rPr>
        <w:t>’</w:t>
      </w:r>
      <w:r w:rsidR="00826E0F" w:rsidRPr="00872599">
        <w:rPr>
          <w:lang w:val="fr-FR" w:eastAsia="fr-FR"/>
        </w:rPr>
        <w:t>administration nationale.</w:t>
      </w:r>
    </w:p>
    <w:p w:rsidR="00826E0F" w:rsidRPr="00872599" w:rsidRDefault="002544DB" w:rsidP="00497599">
      <w:pPr>
        <w:pStyle w:val="SingleTxt"/>
        <w:rPr>
          <w:lang w:val="fr-FR" w:eastAsia="fr-FR"/>
        </w:rPr>
      </w:pPr>
      <w:r>
        <w:rPr>
          <w:lang w:val="fr-FR" w:eastAsia="fr-FR"/>
        </w:rPr>
        <w:tab/>
      </w:r>
      <w:r w:rsidR="00826E0F" w:rsidRPr="00872599">
        <w:rPr>
          <w:lang w:val="fr-FR" w:eastAsia="fr-FR"/>
        </w:rPr>
        <w:t>À la fin de décembre 2007, un concept de structures d</w:t>
      </w:r>
      <w:r w:rsidR="006645B6">
        <w:rPr>
          <w:lang w:val="fr-FR" w:eastAsia="fr-FR"/>
        </w:rPr>
        <w:t>’</w:t>
      </w:r>
      <w:r w:rsidR="00826E0F" w:rsidRPr="00872599">
        <w:rPr>
          <w:lang w:val="fr-FR" w:eastAsia="fr-FR"/>
        </w:rPr>
        <w:t>accueil de jour hors des éta</w:t>
      </w:r>
      <w:r w:rsidR="00826E0F">
        <w:rPr>
          <w:lang w:val="fr-FR" w:eastAsia="fr-FR"/>
        </w:rPr>
        <w:t>blissements scolaires a été mis</w:t>
      </w:r>
      <w:r w:rsidR="00826E0F" w:rsidRPr="00872599">
        <w:rPr>
          <w:lang w:val="fr-FR" w:eastAsia="fr-FR"/>
        </w:rPr>
        <w:t xml:space="preserve"> au point dans les municipalités de Triesen et d</w:t>
      </w:r>
      <w:r w:rsidR="006645B6">
        <w:rPr>
          <w:lang w:val="fr-FR" w:eastAsia="fr-FR"/>
        </w:rPr>
        <w:t>’</w:t>
      </w:r>
      <w:r w:rsidR="00826E0F" w:rsidRPr="00872599">
        <w:rPr>
          <w:lang w:val="fr-FR" w:eastAsia="fr-FR"/>
        </w:rPr>
        <w:t>Eschen . Il s</w:t>
      </w:r>
      <w:r w:rsidR="006645B6">
        <w:rPr>
          <w:lang w:val="fr-FR" w:eastAsia="fr-FR"/>
        </w:rPr>
        <w:t>’</w:t>
      </w:r>
      <w:r w:rsidR="00826E0F" w:rsidRPr="00872599">
        <w:rPr>
          <w:lang w:val="fr-FR" w:eastAsia="fr-FR"/>
        </w:rPr>
        <w:t>agit de créer une structure d</w:t>
      </w:r>
      <w:r w:rsidR="006645B6">
        <w:rPr>
          <w:lang w:val="fr-FR" w:eastAsia="fr-FR"/>
        </w:rPr>
        <w:t>’</w:t>
      </w:r>
      <w:r w:rsidR="00826E0F" w:rsidRPr="00872599">
        <w:rPr>
          <w:lang w:val="fr-FR" w:eastAsia="fr-FR"/>
        </w:rPr>
        <w:t>accueil de jour qui complète des prestations offertes par l</w:t>
      </w:r>
      <w:r w:rsidR="006645B6">
        <w:rPr>
          <w:lang w:val="fr-FR" w:eastAsia="fr-FR"/>
        </w:rPr>
        <w:t>’</w:t>
      </w:r>
      <w:r w:rsidR="00826E0F" w:rsidRPr="00872599">
        <w:rPr>
          <w:lang w:val="fr-FR" w:eastAsia="fr-FR"/>
        </w:rPr>
        <w:t xml:space="preserve">école pour les enfants de quatre ans et </w:t>
      </w:r>
      <w:r w:rsidR="00826E0F">
        <w:rPr>
          <w:lang w:val="fr-FR" w:eastAsia="fr-FR"/>
        </w:rPr>
        <w:t xml:space="preserve">plus </w:t>
      </w:r>
      <w:r w:rsidR="00826E0F" w:rsidRPr="00872599">
        <w:rPr>
          <w:lang w:val="fr-FR" w:eastAsia="fr-FR"/>
        </w:rPr>
        <w:t>jusqu</w:t>
      </w:r>
      <w:r w:rsidR="006645B6">
        <w:rPr>
          <w:lang w:val="fr-FR" w:eastAsia="fr-FR"/>
        </w:rPr>
        <w:t>’</w:t>
      </w:r>
      <w:r w:rsidR="00826E0F" w:rsidRPr="00872599">
        <w:rPr>
          <w:lang w:val="fr-FR" w:eastAsia="fr-FR"/>
        </w:rPr>
        <w:t>à l</w:t>
      </w:r>
      <w:r w:rsidR="006645B6">
        <w:rPr>
          <w:lang w:val="fr-FR" w:eastAsia="fr-FR"/>
        </w:rPr>
        <w:t>’</w:t>
      </w:r>
      <w:r w:rsidR="00826E0F" w:rsidRPr="00872599">
        <w:rPr>
          <w:lang w:val="fr-FR" w:eastAsia="fr-FR"/>
        </w:rPr>
        <w:t>entrée dans le secondaire. Depuis 2009, des structures d</w:t>
      </w:r>
      <w:r w:rsidR="006645B6">
        <w:rPr>
          <w:lang w:val="fr-FR" w:eastAsia="fr-FR"/>
        </w:rPr>
        <w:t>’</w:t>
      </w:r>
      <w:r w:rsidR="00826E0F" w:rsidRPr="00872599">
        <w:rPr>
          <w:lang w:val="fr-FR" w:eastAsia="fr-FR"/>
        </w:rPr>
        <w:t>accueil de jour existent à Eschen, mises à disposition en collaboration avec l</w:t>
      </w:r>
      <w:r w:rsidR="006645B6">
        <w:rPr>
          <w:lang w:val="fr-FR" w:eastAsia="fr-FR"/>
        </w:rPr>
        <w:t>’</w:t>
      </w:r>
      <w:r w:rsidR="00826E0F" w:rsidRPr="00872599">
        <w:rPr>
          <w:lang w:val="fr-FR" w:eastAsia="fr-FR"/>
        </w:rPr>
        <w:t>Association de l</w:t>
      </w:r>
      <w:r w:rsidR="006645B6">
        <w:rPr>
          <w:lang w:val="fr-FR" w:eastAsia="fr-FR"/>
        </w:rPr>
        <w:t>’</w:t>
      </w:r>
      <w:r w:rsidR="00826E0F" w:rsidRPr="00872599">
        <w:rPr>
          <w:lang w:val="fr-FR" w:eastAsia="fr-FR"/>
        </w:rPr>
        <w:t>accueil de jour du Liechtenstein. Depuis août 2009, ce service est également fourni à Triesen.</w:t>
      </w:r>
    </w:p>
    <w:p w:rsidR="00826E0F" w:rsidRPr="00872599" w:rsidRDefault="002544DB" w:rsidP="00497599">
      <w:pPr>
        <w:pStyle w:val="SingleTxt"/>
        <w:rPr>
          <w:lang w:val="fr-FR" w:eastAsia="fr-FR"/>
        </w:rPr>
      </w:pPr>
      <w:r>
        <w:rPr>
          <w:lang w:val="fr-FR" w:eastAsia="fr-FR"/>
        </w:rPr>
        <w:tab/>
      </w:r>
      <w:r w:rsidR="00826E0F" w:rsidRPr="00872599">
        <w:rPr>
          <w:lang w:val="fr-FR" w:eastAsia="fr-FR"/>
        </w:rPr>
        <w:t xml:space="preserve">En août 2008, la municipalité de Schaan a ouvert la première école de jour au Liechtenstein avec une classe de 14 enfants </w:t>
      </w:r>
      <w:r w:rsidR="00826E0F">
        <w:rPr>
          <w:lang w:val="fr-FR" w:eastAsia="fr-FR"/>
        </w:rPr>
        <w:t>pour l</w:t>
      </w:r>
      <w:r w:rsidR="006645B6">
        <w:rPr>
          <w:lang w:val="fr-FR" w:eastAsia="fr-FR"/>
        </w:rPr>
        <w:t>’</w:t>
      </w:r>
      <w:r w:rsidR="00826E0F">
        <w:rPr>
          <w:lang w:val="fr-FR" w:eastAsia="fr-FR"/>
        </w:rPr>
        <w:t>année scolaire 2008-2009</w:t>
      </w:r>
      <w:r w:rsidR="00826E0F" w:rsidRPr="00872599">
        <w:rPr>
          <w:lang w:val="fr-FR" w:eastAsia="fr-FR"/>
        </w:rPr>
        <w:t>. Un modèle semblable est à l</w:t>
      </w:r>
      <w:r w:rsidR="006645B6">
        <w:rPr>
          <w:lang w:val="fr-FR" w:eastAsia="fr-FR"/>
        </w:rPr>
        <w:t>’</w:t>
      </w:r>
      <w:r w:rsidR="00826E0F" w:rsidRPr="00872599">
        <w:rPr>
          <w:lang w:val="fr-FR" w:eastAsia="fr-FR"/>
        </w:rPr>
        <w:t>examen à Vaduz et verra peut-être le jour pour l</w:t>
      </w:r>
      <w:r w:rsidR="006645B6">
        <w:rPr>
          <w:lang w:val="fr-FR" w:eastAsia="fr-FR"/>
        </w:rPr>
        <w:t>’</w:t>
      </w:r>
      <w:r w:rsidR="00826E0F" w:rsidRPr="00872599">
        <w:rPr>
          <w:lang w:val="fr-FR" w:eastAsia="fr-FR"/>
        </w:rPr>
        <w:t>année scolaire 2009/2010. Les centres d</w:t>
      </w:r>
      <w:r w:rsidR="006645B6">
        <w:rPr>
          <w:lang w:val="fr-FR" w:eastAsia="fr-FR"/>
        </w:rPr>
        <w:t>’</w:t>
      </w:r>
      <w:r w:rsidR="00826E0F" w:rsidRPr="00872599">
        <w:rPr>
          <w:lang w:val="fr-FR" w:eastAsia="fr-FR"/>
        </w:rPr>
        <w:t>accueil de jour ne sont pas une alternative aux structures d</w:t>
      </w:r>
      <w:r w:rsidR="006645B6">
        <w:rPr>
          <w:lang w:val="fr-FR" w:eastAsia="fr-FR"/>
        </w:rPr>
        <w:t>’</w:t>
      </w:r>
      <w:r w:rsidR="00826E0F" w:rsidRPr="00872599">
        <w:rPr>
          <w:lang w:val="fr-FR" w:eastAsia="fr-FR"/>
        </w:rPr>
        <w:t>accueil de jour mais les complètent. Alors que les structures d</w:t>
      </w:r>
      <w:r w:rsidR="006645B6">
        <w:rPr>
          <w:lang w:val="fr-FR" w:eastAsia="fr-FR"/>
        </w:rPr>
        <w:t>’</w:t>
      </w:r>
      <w:r w:rsidR="00826E0F" w:rsidRPr="00872599">
        <w:rPr>
          <w:lang w:val="fr-FR" w:eastAsia="fr-FR"/>
        </w:rPr>
        <w:t>accueil de jour offrent une garde en dehors des horaires scolaires (garderie, devoirs à l</w:t>
      </w:r>
      <w:r w:rsidR="006645B6">
        <w:rPr>
          <w:lang w:val="fr-FR" w:eastAsia="fr-FR"/>
        </w:rPr>
        <w:t>’</w:t>
      </w:r>
      <w:r w:rsidR="00826E0F" w:rsidRPr="00872599">
        <w:rPr>
          <w:lang w:val="fr-FR" w:eastAsia="fr-FR"/>
        </w:rPr>
        <w:t>école, etc.) et peuvent être organisées selon que de besoin, les centres d</w:t>
      </w:r>
      <w:r w:rsidR="006645B6">
        <w:rPr>
          <w:lang w:val="fr-FR" w:eastAsia="fr-FR"/>
        </w:rPr>
        <w:t>’</w:t>
      </w:r>
      <w:r w:rsidR="00826E0F" w:rsidRPr="00872599">
        <w:rPr>
          <w:lang w:val="fr-FR" w:eastAsia="fr-FR"/>
        </w:rPr>
        <w:t>accueil de jour doivent être considérés comme un modèle polyvalent. Les enfants admis dans une</w:t>
      </w:r>
      <w:r w:rsidR="006645B6">
        <w:rPr>
          <w:lang w:val="fr-FR" w:eastAsia="fr-FR"/>
        </w:rPr>
        <w:t xml:space="preserve"> </w:t>
      </w:r>
      <w:r w:rsidR="00826E0F" w:rsidRPr="00872599">
        <w:rPr>
          <w:lang w:val="fr-FR" w:eastAsia="fr-FR"/>
        </w:rPr>
        <w:t>école de jour sont généralement obligés de participer à la tota</w:t>
      </w:r>
      <w:r w:rsidR="00826E0F">
        <w:rPr>
          <w:lang w:val="fr-FR" w:eastAsia="fr-FR"/>
        </w:rPr>
        <w:t>lité du programme. Le modèle d</w:t>
      </w:r>
      <w:r w:rsidR="006645B6">
        <w:rPr>
          <w:lang w:val="fr-FR" w:eastAsia="fr-FR"/>
        </w:rPr>
        <w:t>’</w:t>
      </w:r>
      <w:r w:rsidR="00826E0F" w:rsidRPr="00872599">
        <w:rPr>
          <w:lang w:val="fr-FR" w:eastAsia="fr-FR"/>
        </w:rPr>
        <w:t>école de jour repose sur un concept pédagogique selon lequel les heures d</w:t>
      </w:r>
      <w:r w:rsidR="006645B6">
        <w:rPr>
          <w:lang w:val="fr-FR" w:eastAsia="fr-FR"/>
        </w:rPr>
        <w:t>’</w:t>
      </w:r>
      <w:r w:rsidR="00826E0F" w:rsidRPr="00872599">
        <w:rPr>
          <w:lang w:val="fr-FR" w:eastAsia="fr-FR"/>
        </w:rPr>
        <w:t>enseignement et le temps libre s</w:t>
      </w:r>
      <w:r w:rsidR="006645B6">
        <w:rPr>
          <w:lang w:val="fr-FR" w:eastAsia="fr-FR"/>
        </w:rPr>
        <w:t>’</w:t>
      </w:r>
      <w:r w:rsidR="00826E0F" w:rsidRPr="00872599">
        <w:rPr>
          <w:lang w:val="fr-FR" w:eastAsia="fr-FR"/>
        </w:rPr>
        <w:t>imbriquent sans solution de continuité et ne peuvent être répartis en phases distinctes. Les deux modèles doivent donc être nettement distingué</w:t>
      </w:r>
      <w:r w:rsidR="00826E0F">
        <w:rPr>
          <w:lang w:val="fr-FR" w:eastAsia="fr-FR"/>
        </w:rPr>
        <w:t>s</w:t>
      </w:r>
      <w:r w:rsidR="00826E0F" w:rsidRPr="00872599">
        <w:rPr>
          <w:lang w:val="fr-FR" w:eastAsia="fr-FR"/>
        </w:rPr>
        <w:t xml:space="preserve">. En plus de cette expérimentation </w:t>
      </w:r>
      <w:r w:rsidR="00826E0F">
        <w:rPr>
          <w:lang w:val="fr-FR" w:eastAsia="fr-FR"/>
        </w:rPr>
        <w:t>de</w:t>
      </w:r>
      <w:r w:rsidR="00826E0F" w:rsidRPr="00872599">
        <w:rPr>
          <w:lang w:val="fr-FR" w:eastAsia="fr-FR"/>
        </w:rPr>
        <w:t xml:space="preserve"> l</w:t>
      </w:r>
      <w:r w:rsidR="006645B6">
        <w:rPr>
          <w:lang w:val="fr-FR" w:eastAsia="fr-FR"/>
        </w:rPr>
        <w:t>’</w:t>
      </w:r>
      <w:r w:rsidR="00826E0F" w:rsidRPr="00872599">
        <w:rPr>
          <w:lang w:val="fr-FR" w:eastAsia="fr-FR"/>
        </w:rPr>
        <w:t xml:space="preserve"> école de jour, Schaan continuera d</w:t>
      </w:r>
      <w:r w:rsidR="006645B6">
        <w:rPr>
          <w:lang w:val="fr-FR" w:eastAsia="fr-FR"/>
        </w:rPr>
        <w:t>’</w:t>
      </w:r>
      <w:r w:rsidR="00826E0F" w:rsidRPr="00872599">
        <w:rPr>
          <w:lang w:val="fr-FR" w:eastAsia="fr-FR"/>
        </w:rPr>
        <w:t>offrir un large éventail de structures d</w:t>
      </w:r>
      <w:r w:rsidR="006645B6">
        <w:rPr>
          <w:lang w:val="fr-FR" w:eastAsia="fr-FR"/>
        </w:rPr>
        <w:t>’</w:t>
      </w:r>
      <w:r w:rsidR="00826E0F" w:rsidRPr="00872599">
        <w:rPr>
          <w:lang w:val="fr-FR" w:eastAsia="fr-FR"/>
        </w:rPr>
        <w:t>accueil de jour y compris, quatre après-midi, un service de garderie et de devoirs avant le retour à la maison.</w:t>
      </w:r>
    </w:p>
    <w:p w:rsidR="00826E0F" w:rsidRPr="00872599" w:rsidRDefault="002544DB" w:rsidP="00497599">
      <w:pPr>
        <w:pStyle w:val="SingleTxt"/>
        <w:rPr>
          <w:lang w:val="fr-FR" w:eastAsia="fr-FR"/>
        </w:rPr>
      </w:pPr>
      <w:r>
        <w:rPr>
          <w:lang w:val="fr-FR" w:eastAsia="fr-FR"/>
        </w:rPr>
        <w:tab/>
      </w:r>
      <w:r w:rsidR="00826E0F" w:rsidRPr="00872599">
        <w:rPr>
          <w:lang w:val="fr-FR" w:eastAsia="fr-FR"/>
        </w:rPr>
        <w:t xml:space="preserve">Le projet </w:t>
      </w:r>
      <w:r w:rsidR="00A4102E">
        <w:rPr>
          <w:lang w:val="fr-FR" w:eastAsia="fr-FR"/>
        </w:rPr>
        <w:t>« </w:t>
      </w:r>
      <w:r w:rsidR="00826E0F" w:rsidRPr="00872599">
        <w:rPr>
          <w:lang w:val="fr-FR" w:eastAsia="fr-FR"/>
        </w:rPr>
        <w:t>École Plus -Vivre et apprendre à Planken</w:t>
      </w:r>
      <w:r w:rsidR="00A4102E">
        <w:rPr>
          <w:lang w:val="fr-FR" w:eastAsia="fr-FR"/>
        </w:rPr>
        <w:t> </w:t>
      </w:r>
      <w:r w:rsidR="00826E0F" w:rsidRPr="00872599">
        <w:rPr>
          <w:lang w:val="fr-FR" w:eastAsia="fr-FR"/>
        </w:rPr>
        <w:t>»</w:t>
      </w:r>
      <w:r w:rsidR="006645B6">
        <w:rPr>
          <w:lang w:val="fr-FR" w:eastAsia="fr-FR"/>
        </w:rPr>
        <w:t xml:space="preserve"> </w:t>
      </w:r>
      <w:r w:rsidR="00826E0F" w:rsidRPr="00872599">
        <w:rPr>
          <w:lang w:val="fr-FR" w:eastAsia="fr-FR"/>
        </w:rPr>
        <w:t>n</w:t>
      </w:r>
      <w:r w:rsidR="006645B6">
        <w:rPr>
          <w:lang w:val="fr-FR" w:eastAsia="fr-FR"/>
        </w:rPr>
        <w:t>’</w:t>
      </w:r>
      <w:r w:rsidR="00826E0F" w:rsidRPr="00872599">
        <w:rPr>
          <w:lang w:val="fr-FR" w:eastAsia="fr-FR"/>
        </w:rPr>
        <w:t>a pu être réalisé que grâce à la coopération avec l</w:t>
      </w:r>
      <w:r w:rsidR="006645B6">
        <w:rPr>
          <w:lang w:val="fr-FR" w:eastAsia="fr-FR"/>
        </w:rPr>
        <w:t>’</w:t>
      </w:r>
      <w:r w:rsidR="00826E0F" w:rsidRPr="00872599">
        <w:rPr>
          <w:lang w:val="fr-FR" w:eastAsia="fr-FR"/>
        </w:rPr>
        <w:t>Association de la protection de l</w:t>
      </w:r>
      <w:r w:rsidR="006645B6">
        <w:rPr>
          <w:lang w:val="fr-FR" w:eastAsia="fr-FR"/>
        </w:rPr>
        <w:t>’</w:t>
      </w:r>
      <w:r w:rsidR="00826E0F" w:rsidRPr="00872599">
        <w:rPr>
          <w:lang w:val="fr-FR" w:eastAsia="fr-FR"/>
        </w:rPr>
        <w:t>enfance et avec celle des petites écoles. Il s</w:t>
      </w:r>
      <w:r w:rsidR="006645B6">
        <w:rPr>
          <w:lang w:val="fr-FR" w:eastAsia="fr-FR"/>
        </w:rPr>
        <w:t>’</w:t>
      </w:r>
      <w:r w:rsidR="00826E0F" w:rsidRPr="00872599">
        <w:rPr>
          <w:lang w:val="fr-FR" w:eastAsia="fr-FR"/>
        </w:rPr>
        <w:t>agit dans les deux cas d</w:t>
      </w:r>
      <w:r w:rsidR="006645B6">
        <w:rPr>
          <w:lang w:val="fr-FR" w:eastAsia="fr-FR"/>
        </w:rPr>
        <w:t>’</w:t>
      </w:r>
      <w:r w:rsidR="00826E0F" w:rsidRPr="00872599">
        <w:rPr>
          <w:lang w:val="fr-FR" w:eastAsia="fr-FR"/>
        </w:rPr>
        <w:t>organisations autonomes qui, grâce à une coopération intensive et efficace, fournit à une petite école des structures d</w:t>
      </w:r>
      <w:r w:rsidR="006645B6">
        <w:rPr>
          <w:lang w:val="fr-FR" w:eastAsia="fr-FR"/>
        </w:rPr>
        <w:t>’</w:t>
      </w:r>
      <w:r w:rsidR="00826E0F" w:rsidRPr="00872599">
        <w:rPr>
          <w:lang w:val="fr-FR" w:eastAsia="fr-FR"/>
        </w:rPr>
        <w:t>accueil de jour pour les enfants d</w:t>
      </w:r>
      <w:r w:rsidR="006645B6">
        <w:rPr>
          <w:lang w:val="fr-FR" w:eastAsia="fr-FR"/>
        </w:rPr>
        <w:t>’</w:t>
      </w:r>
      <w:r w:rsidR="00826E0F" w:rsidRPr="00872599">
        <w:rPr>
          <w:lang w:val="fr-FR" w:eastAsia="fr-FR"/>
        </w:rPr>
        <w:t>autres municipalités. Au total, le résultat est que 5 des 11 municipalités du Liechtenstein ont mis en place ou prévoi</w:t>
      </w:r>
      <w:r w:rsidR="00826E0F">
        <w:rPr>
          <w:lang w:val="fr-FR" w:eastAsia="fr-FR"/>
        </w:rPr>
        <w:t>en</w:t>
      </w:r>
      <w:r w:rsidR="00826E0F" w:rsidRPr="00872599">
        <w:rPr>
          <w:lang w:val="fr-FR" w:eastAsia="fr-FR"/>
        </w:rPr>
        <w:t>t de mettre en place des modèles d</w:t>
      </w:r>
      <w:r w:rsidR="006645B6">
        <w:rPr>
          <w:lang w:val="fr-FR" w:eastAsia="fr-FR"/>
        </w:rPr>
        <w:t>’</w:t>
      </w:r>
      <w:r w:rsidR="00826E0F" w:rsidRPr="00872599">
        <w:rPr>
          <w:lang w:val="fr-FR" w:eastAsia="fr-FR"/>
        </w:rPr>
        <w:t>école de jour ou de structures d</w:t>
      </w:r>
      <w:r w:rsidR="006645B6">
        <w:rPr>
          <w:lang w:val="fr-FR" w:eastAsia="fr-FR"/>
        </w:rPr>
        <w:t>’</w:t>
      </w:r>
      <w:r w:rsidR="00826E0F" w:rsidRPr="00872599">
        <w:rPr>
          <w:lang w:val="fr-FR" w:eastAsia="fr-FR"/>
        </w:rPr>
        <w:t>accueil de jour.</w:t>
      </w:r>
    </w:p>
    <w:p w:rsidR="002544DB" w:rsidRPr="002544DB" w:rsidRDefault="002544DB" w:rsidP="002544DB">
      <w:pPr>
        <w:pStyle w:val="SingleTxt"/>
        <w:spacing w:after="0" w:line="120" w:lineRule="exact"/>
        <w:rPr>
          <w:rFonts w:ascii="Arial" w:hAnsi="Arial" w:cs="Arial"/>
          <w:sz w:val="10"/>
          <w:lang w:val="fr-FR" w:eastAsia="fr-FR"/>
        </w:rPr>
      </w:pPr>
    </w:p>
    <w:p w:rsidR="00826E0F" w:rsidRPr="00872599" w:rsidRDefault="002544DB" w:rsidP="002544D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eastAsia="fr-FR"/>
        </w:rPr>
      </w:pPr>
      <w:r>
        <w:rPr>
          <w:lang w:val="fr-FR" w:eastAsia="fr-FR"/>
        </w:rPr>
        <w:tab/>
      </w:r>
      <w:r>
        <w:rPr>
          <w:lang w:val="fr-FR" w:eastAsia="fr-FR"/>
        </w:rPr>
        <w:tab/>
      </w:r>
      <w:r w:rsidR="00826E0F" w:rsidRPr="00872599">
        <w:rPr>
          <w:lang w:val="fr-FR" w:eastAsia="fr-FR"/>
        </w:rPr>
        <w:t>Réintégrer la population active</w:t>
      </w:r>
    </w:p>
    <w:p w:rsidR="002544DB" w:rsidRPr="002544DB" w:rsidRDefault="002544DB" w:rsidP="002544DB">
      <w:pPr>
        <w:pStyle w:val="SingleTxt"/>
        <w:spacing w:after="0" w:line="120" w:lineRule="exact"/>
        <w:rPr>
          <w:sz w:val="10"/>
          <w:lang w:val="fr-FR" w:eastAsia="fr-FR"/>
        </w:rPr>
      </w:pPr>
    </w:p>
    <w:p w:rsidR="00826E0F" w:rsidRPr="00872599" w:rsidRDefault="002544DB" w:rsidP="00497599">
      <w:pPr>
        <w:pStyle w:val="SingleTxt"/>
        <w:rPr>
          <w:lang w:val="fr-FR" w:eastAsia="fr-FR"/>
        </w:rPr>
      </w:pPr>
      <w:r>
        <w:rPr>
          <w:lang w:val="fr-FR" w:eastAsia="fr-FR"/>
        </w:rPr>
        <w:tab/>
      </w:r>
      <w:r w:rsidR="00826E0F" w:rsidRPr="00872599">
        <w:rPr>
          <w:lang w:val="fr-FR" w:eastAsia="fr-FR"/>
        </w:rPr>
        <w:t xml:space="preserve">Le </w:t>
      </w:r>
      <w:r w:rsidR="00826E0F">
        <w:rPr>
          <w:lang w:val="fr-FR" w:eastAsia="fr-FR"/>
        </w:rPr>
        <w:t>C</w:t>
      </w:r>
      <w:r w:rsidR="00826E0F" w:rsidRPr="00872599">
        <w:rPr>
          <w:lang w:val="fr-FR" w:eastAsia="fr-FR"/>
        </w:rPr>
        <w:t>entre d</w:t>
      </w:r>
      <w:r w:rsidR="006645B6">
        <w:rPr>
          <w:lang w:val="fr-FR" w:eastAsia="fr-FR"/>
        </w:rPr>
        <w:t>’</w:t>
      </w:r>
      <w:r w:rsidR="00826E0F" w:rsidRPr="00872599">
        <w:rPr>
          <w:lang w:val="fr-FR" w:eastAsia="fr-FR"/>
        </w:rPr>
        <w:t>orientation professionnelle offre gratuitement des conseils individualisés et différenciés aux femmes qui réintègrent la population active. Ces conseils consistent entre autres en une évaluation de la situation individuelle, y compris une évaluation de l</w:t>
      </w:r>
      <w:r w:rsidR="006645B6">
        <w:rPr>
          <w:lang w:val="fr-FR" w:eastAsia="fr-FR"/>
        </w:rPr>
        <w:t>’</w:t>
      </w:r>
      <w:r w:rsidR="00826E0F" w:rsidRPr="00872599">
        <w:rPr>
          <w:lang w:val="fr-FR" w:eastAsia="fr-FR"/>
        </w:rPr>
        <w:t>aptitude et de la qualification psychologiques.</w:t>
      </w:r>
    </w:p>
    <w:p w:rsidR="00826E0F" w:rsidRPr="00872599" w:rsidRDefault="002544DB" w:rsidP="00497599">
      <w:pPr>
        <w:pStyle w:val="SingleTxt"/>
        <w:rPr>
          <w:lang w:val="fr-FR" w:eastAsia="fr-FR"/>
        </w:rPr>
      </w:pPr>
      <w:r>
        <w:rPr>
          <w:lang w:val="fr-FR" w:eastAsia="fr-FR"/>
        </w:rPr>
        <w:tab/>
      </w:r>
      <w:r w:rsidR="00826E0F" w:rsidRPr="00872599">
        <w:rPr>
          <w:lang w:val="fr-FR" w:eastAsia="fr-FR"/>
        </w:rPr>
        <w:t>En 2007, le service du marché du travail du Bureau des affaires économiques a mis au point un programme pour les femmes souhaitant réintégrer la population active après une phase de leur vie consacrée à la famille. Le programme s</w:t>
      </w:r>
      <w:r w:rsidR="006645B6">
        <w:rPr>
          <w:lang w:val="fr-FR" w:eastAsia="fr-FR"/>
        </w:rPr>
        <w:t>’</w:t>
      </w:r>
      <w:r w:rsidR="00826E0F" w:rsidRPr="00872599">
        <w:rPr>
          <w:lang w:val="fr-FR" w:eastAsia="fr-FR"/>
        </w:rPr>
        <w:t>articule autour des objectifs suivants</w:t>
      </w:r>
      <w:r w:rsidR="006645B6">
        <w:rPr>
          <w:lang w:val="fr-FR" w:eastAsia="fr-FR"/>
        </w:rPr>
        <w:t> :</w:t>
      </w:r>
      <w:r w:rsidR="00826E0F" w:rsidRPr="00872599">
        <w:rPr>
          <w:lang w:val="fr-FR" w:eastAsia="fr-FR"/>
        </w:rPr>
        <w:t xml:space="preserve"> formation ciblée aux compétences sociales et techniques, communication, redécouverte, renforcement, perfectionnement et autre développement de ses propres ressources. Les domaines prioritaires comprennent</w:t>
      </w:r>
      <w:r w:rsidR="006645B6">
        <w:rPr>
          <w:lang w:val="fr-FR" w:eastAsia="fr-FR"/>
        </w:rPr>
        <w:t> :</w:t>
      </w:r>
      <w:r w:rsidR="00826E0F" w:rsidRPr="00872599">
        <w:rPr>
          <w:lang w:val="fr-FR" w:eastAsia="fr-FR"/>
        </w:rPr>
        <w:t xml:space="preserve"> l</w:t>
      </w:r>
      <w:r w:rsidR="006645B6">
        <w:rPr>
          <w:lang w:val="fr-FR" w:eastAsia="fr-FR"/>
        </w:rPr>
        <w:t>’</w:t>
      </w:r>
      <w:r w:rsidR="00826E0F" w:rsidRPr="00872599">
        <w:rPr>
          <w:lang w:val="fr-FR" w:eastAsia="fr-FR"/>
        </w:rPr>
        <w:t>analyse de la situation, l</w:t>
      </w:r>
      <w:r w:rsidR="006645B6">
        <w:rPr>
          <w:lang w:val="fr-FR" w:eastAsia="fr-FR"/>
        </w:rPr>
        <w:t>’</w:t>
      </w:r>
      <w:r w:rsidR="00826E0F" w:rsidRPr="00872599">
        <w:rPr>
          <w:lang w:val="fr-FR" w:eastAsia="fr-FR"/>
        </w:rPr>
        <w:t>orientation, la reconnaissance de sa propre valeur, la transposition en actes de cette valeur, la communication, les demandes d</w:t>
      </w:r>
      <w:r w:rsidR="006645B6">
        <w:rPr>
          <w:lang w:val="fr-FR" w:eastAsia="fr-FR"/>
        </w:rPr>
        <w:t>’</w:t>
      </w:r>
      <w:r w:rsidR="00826E0F" w:rsidRPr="00872599">
        <w:rPr>
          <w:lang w:val="fr-FR" w:eastAsia="fr-FR"/>
        </w:rPr>
        <w:t>emploi, le recyclage des connaissances en informatique, la communication non verbale, l</w:t>
      </w:r>
      <w:r w:rsidR="006645B6">
        <w:rPr>
          <w:lang w:val="fr-FR" w:eastAsia="fr-FR"/>
        </w:rPr>
        <w:t>’</w:t>
      </w:r>
      <w:r w:rsidR="00826E0F" w:rsidRPr="00872599">
        <w:rPr>
          <w:lang w:val="fr-FR" w:eastAsia="fr-FR"/>
        </w:rPr>
        <w:t>analyse des points forts et des points faibles personnels, la mise en place d</w:t>
      </w:r>
      <w:r w:rsidR="006645B6">
        <w:rPr>
          <w:lang w:val="fr-FR" w:eastAsia="fr-FR"/>
        </w:rPr>
        <w:t>’</w:t>
      </w:r>
      <w:r w:rsidR="00826E0F" w:rsidRPr="00872599">
        <w:rPr>
          <w:lang w:val="fr-FR" w:eastAsia="fr-FR"/>
        </w:rPr>
        <w:t>un plan d</w:t>
      </w:r>
      <w:r w:rsidR="006645B6">
        <w:rPr>
          <w:lang w:val="fr-FR" w:eastAsia="fr-FR"/>
        </w:rPr>
        <w:t>’</w:t>
      </w:r>
      <w:r w:rsidR="00826E0F" w:rsidRPr="00872599">
        <w:rPr>
          <w:lang w:val="fr-FR" w:eastAsia="fr-FR"/>
        </w:rPr>
        <w:t>avenir, la gestion des conflits et un stage. Le programme à mi-temps dure neuf semaines. Une garderie est disponible pour celles qui en ont besoin. Après un projet pilote réunissant en 200915 personnes intégrées à la vie active, le programme est dorénavant institutionnalisé. Il est dispensé quatre fois par an.</w:t>
      </w:r>
    </w:p>
    <w:p w:rsidR="002544DB" w:rsidRPr="002544DB" w:rsidRDefault="002544DB" w:rsidP="002544DB">
      <w:pPr>
        <w:pStyle w:val="SingleTxt"/>
        <w:spacing w:after="0" w:line="120" w:lineRule="exact"/>
        <w:rPr>
          <w:b/>
          <w:sz w:val="10"/>
          <w:lang w:val="fr-FR" w:eastAsia="fr-FR"/>
        </w:rPr>
      </w:pPr>
    </w:p>
    <w:p w:rsidR="00826E0F" w:rsidRPr="00872599" w:rsidRDefault="002544DB" w:rsidP="002544D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eastAsia="fr-FR"/>
        </w:rPr>
      </w:pPr>
      <w:r>
        <w:rPr>
          <w:lang w:val="fr-FR" w:eastAsia="fr-FR"/>
        </w:rPr>
        <w:tab/>
      </w:r>
      <w:r>
        <w:rPr>
          <w:lang w:val="fr-FR" w:eastAsia="fr-FR"/>
        </w:rPr>
        <w:tab/>
      </w:r>
      <w:r w:rsidR="00826E0F" w:rsidRPr="00872599">
        <w:rPr>
          <w:lang w:val="fr-FR" w:eastAsia="fr-FR"/>
        </w:rPr>
        <w:t>Interpellation concernant la relation famille</w:t>
      </w:r>
      <w:r w:rsidR="006645B6">
        <w:rPr>
          <w:lang w:val="fr-FR" w:eastAsia="fr-FR"/>
        </w:rPr>
        <w:t xml:space="preserve"> – </w:t>
      </w:r>
      <w:r w:rsidR="00826E0F" w:rsidRPr="00872599">
        <w:rPr>
          <w:lang w:val="fr-FR" w:eastAsia="fr-FR"/>
        </w:rPr>
        <w:t>carrière au Liechtenstein</w:t>
      </w:r>
    </w:p>
    <w:p w:rsidR="002544DB" w:rsidRPr="002544DB" w:rsidRDefault="002544DB" w:rsidP="002544DB">
      <w:pPr>
        <w:pStyle w:val="SingleTxt"/>
        <w:spacing w:after="0" w:line="120" w:lineRule="exact"/>
        <w:rPr>
          <w:sz w:val="10"/>
          <w:lang w:val="fr-FR" w:eastAsia="fr-FR"/>
        </w:rPr>
      </w:pPr>
    </w:p>
    <w:p w:rsidR="00826E0F" w:rsidRPr="00872599" w:rsidRDefault="002544DB" w:rsidP="00497599">
      <w:pPr>
        <w:pStyle w:val="SingleTxt"/>
        <w:rPr>
          <w:lang w:val="fr-FR" w:eastAsia="fr-FR"/>
        </w:rPr>
      </w:pPr>
      <w:r>
        <w:rPr>
          <w:lang w:val="fr-FR" w:eastAsia="fr-FR"/>
        </w:rPr>
        <w:tab/>
      </w:r>
      <w:r w:rsidR="00826E0F" w:rsidRPr="00872599">
        <w:rPr>
          <w:lang w:val="fr-FR" w:eastAsia="fr-FR"/>
        </w:rPr>
        <w:t>Le 20 septembre 2006, des membres du Parlement on</w:t>
      </w:r>
      <w:r w:rsidR="00826E0F">
        <w:rPr>
          <w:lang w:val="fr-FR" w:eastAsia="fr-FR"/>
        </w:rPr>
        <w:t>t soumis une interpellation reposant sur</w:t>
      </w:r>
      <w:r w:rsidR="00826E0F" w:rsidRPr="00872599">
        <w:rPr>
          <w:lang w:val="fr-FR" w:eastAsia="fr-FR"/>
        </w:rPr>
        <w:t xml:space="preserve"> 13 questions au sujet de la relation famille</w:t>
      </w:r>
      <w:r w:rsidR="006645B6">
        <w:rPr>
          <w:lang w:val="fr-FR" w:eastAsia="fr-FR"/>
        </w:rPr>
        <w:t xml:space="preserve"> – </w:t>
      </w:r>
      <w:r w:rsidR="00826E0F" w:rsidRPr="00872599">
        <w:rPr>
          <w:lang w:val="fr-FR" w:eastAsia="fr-FR"/>
        </w:rPr>
        <w:t>carrière au Liechtenstein. Le Gouvernement a répondu à l</w:t>
      </w:r>
      <w:r w:rsidR="006645B6">
        <w:rPr>
          <w:lang w:val="fr-FR" w:eastAsia="fr-FR"/>
        </w:rPr>
        <w:t>’</w:t>
      </w:r>
      <w:r w:rsidR="00826E0F" w:rsidRPr="00872599">
        <w:rPr>
          <w:lang w:val="fr-FR" w:eastAsia="fr-FR"/>
        </w:rPr>
        <w:t>interpellation le 31 octobre 2006. Des réponses ont été fournies aux questions con</w:t>
      </w:r>
      <w:r w:rsidR="00826E0F">
        <w:rPr>
          <w:lang w:val="fr-FR" w:eastAsia="fr-FR"/>
        </w:rPr>
        <w:t>cernant les structures d</w:t>
      </w:r>
      <w:r w:rsidR="006645B6">
        <w:rPr>
          <w:lang w:val="fr-FR" w:eastAsia="fr-FR"/>
        </w:rPr>
        <w:t>’</w:t>
      </w:r>
      <w:r w:rsidR="00826E0F">
        <w:rPr>
          <w:lang w:val="fr-FR" w:eastAsia="fr-FR"/>
        </w:rPr>
        <w:t>emploi</w:t>
      </w:r>
      <w:r w:rsidR="00826E0F" w:rsidRPr="00872599">
        <w:rPr>
          <w:lang w:val="fr-FR" w:eastAsia="fr-FR"/>
        </w:rPr>
        <w:t xml:space="preserve"> des femmes et des hommes ayant ou non des enfants à leur charge, l</w:t>
      </w:r>
      <w:r w:rsidR="006645B6">
        <w:rPr>
          <w:lang w:val="fr-FR" w:eastAsia="fr-FR"/>
        </w:rPr>
        <w:t>’</w:t>
      </w:r>
      <w:r w:rsidR="00826E0F" w:rsidRPr="00872599">
        <w:rPr>
          <w:lang w:val="fr-FR" w:eastAsia="fr-FR"/>
        </w:rPr>
        <w:t>abandon de la carrière après la naissance des enfants, la réintégration après la maternité, la réduction des heures d</w:t>
      </w:r>
      <w:r w:rsidR="006645B6">
        <w:rPr>
          <w:lang w:val="fr-FR" w:eastAsia="fr-FR"/>
        </w:rPr>
        <w:t>’</w:t>
      </w:r>
      <w:r w:rsidR="00826E0F" w:rsidRPr="00872599">
        <w:rPr>
          <w:lang w:val="fr-FR" w:eastAsia="fr-FR"/>
        </w:rPr>
        <w:t>emploi pour cause de maternité, l</w:t>
      </w:r>
      <w:r w:rsidR="006645B6">
        <w:rPr>
          <w:lang w:val="fr-FR" w:eastAsia="fr-FR"/>
        </w:rPr>
        <w:t>’</w:t>
      </w:r>
      <w:r w:rsidR="00826E0F" w:rsidRPr="00872599">
        <w:rPr>
          <w:lang w:val="fr-FR" w:eastAsia="fr-FR"/>
        </w:rPr>
        <w:t>utilisation du congé parental, l</w:t>
      </w:r>
      <w:r w:rsidR="006645B6">
        <w:rPr>
          <w:lang w:val="fr-FR" w:eastAsia="fr-FR"/>
        </w:rPr>
        <w:t>’</w:t>
      </w:r>
      <w:r w:rsidR="00826E0F" w:rsidRPr="00872599">
        <w:rPr>
          <w:lang w:val="fr-FR" w:eastAsia="fr-FR"/>
        </w:rPr>
        <w:t>emploi des parents seuls, le nombre d</w:t>
      </w:r>
      <w:r w:rsidR="006645B6">
        <w:rPr>
          <w:lang w:val="fr-FR" w:eastAsia="fr-FR"/>
        </w:rPr>
        <w:t>’</w:t>
      </w:r>
      <w:r w:rsidR="00826E0F" w:rsidRPr="00872599">
        <w:rPr>
          <w:lang w:val="fr-FR" w:eastAsia="fr-FR"/>
        </w:rPr>
        <w:t>enfants en garderie, les dépenses publiques au bénéfice des familles, l</w:t>
      </w:r>
      <w:r w:rsidR="006645B6">
        <w:rPr>
          <w:lang w:val="fr-FR" w:eastAsia="fr-FR"/>
        </w:rPr>
        <w:t>’</w:t>
      </w:r>
      <w:r w:rsidR="00826E0F" w:rsidRPr="00872599">
        <w:rPr>
          <w:lang w:val="fr-FR" w:eastAsia="fr-FR"/>
        </w:rPr>
        <w:t>accroissement des dépenses ces dernières années, la répartition de l</w:t>
      </w:r>
      <w:r w:rsidR="006645B6">
        <w:rPr>
          <w:lang w:val="fr-FR" w:eastAsia="fr-FR"/>
        </w:rPr>
        <w:t>’</w:t>
      </w:r>
      <w:r w:rsidR="00826E0F" w:rsidRPr="00872599">
        <w:rPr>
          <w:lang w:val="fr-FR" w:eastAsia="fr-FR"/>
        </w:rPr>
        <w:t>emploi à l</w:t>
      </w:r>
      <w:r w:rsidR="006645B6">
        <w:rPr>
          <w:lang w:val="fr-FR" w:eastAsia="fr-FR"/>
        </w:rPr>
        <w:t>’</w:t>
      </w:r>
      <w:r w:rsidR="00826E0F" w:rsidRPr="00872599">
        <w:rPr>
          <w:lang w:val="fr-FR" w:eastAsia="fr-FR"/>
        </w:rPr>
        <w:t>intérieur du couple (plein temps, temps partiel).</w:t>
      </w:r>
    </w:p>
    <w:p w:rsidR="002544DB" w:rsidRPr="002544DB" w:rsidRDefault="002544DB" w:rsidP="002544DB">
      <w:pPr>
        <w:pStyle w:val="SingleTxt"/>
        <w:spacing w:after="0" w:line="120" w:lineRule="exact"/>
        <w:rPr>
          <w:sz w:val="10"/>
          <w:lang w:val="fr-FR" w:eastAsia="fr-FR"/>
        </w:rPr>
      </w:pPr>
    </w:p>
    <w:p w:rsidR="00826E0F" w:rsidRPr="00872599" w:rsidRDefault="002544DB" w:rsidP="002544DB">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eastAsia="fr-FR"/>
        </w:rPr>
      </w:pPr>
      <w:r>
        <w:rPr>
          <w:lang w:val="fr-FR" w:eastAsia="fr-FR"/>
        </w:rPr>
        <w:tab/>
      </w:r>
      <w:r w:rsidR="00826E0F" w:rsidRPr="00872599">
        <w:rPr>
          <w:lang w:val="fr-FR" w:eastAsia="fr-FR"/>
        </w:rPr>
        <w:t>d)</w:t>
      </w:r>
      <w:r w:rsidR="00826E0F" w:rsidRPr="00872599">
        <w:rPr>
          <w:lang w:val="fr-FR" w:eastAsia="fr-FR"/>
        </w:rPr>
        <w:tab/>
        <w:t>Assurances sociales</w:t>
      </w:r>
    </w:p>
    <w:p w:rsidR="002544DB" w:rsidRPr="002544DB" w:rsidRDefault="002544DB" w:rsidP="002544DB">
      <w:pPr>
        <w:pStyle w:val="SingleTxt"/>
        <w:spacing w:after="0" w:line="120" w:lineRule="exact"/>
        <w:rPr>
          <w:sz w:val="10"/>
          <w:lang w:val="fr-FR" w:eastAsia="fr-FR"/>
        </w:rPr>
      </w:pPr>
    </w:p>
    <w:p w:rsidR="00826E0F" w:rsidRPr="00872599" w:rsidRDefault="002544DB" w:rsidP="00497599">
      <w:pPr>
        <w:pStyle w:val="SingleTxt"/>
        <w:rPr>
          <w:lang w:val="fr-FR" w:eastAsia="fr-FR"/>
        </w:rPr>
      </w:pPr>
      <w:r>
        <w:rPr>
          <w:lang w:val="fr-FR" w:eastAsia="fr-FR"/>
        </w:rPr>
        <w:tab/>
      </w:r>
      <w:r w:rsidR="00826E0F" w:rsidRPr="00872599">
        <w:rPr>
          <w:lang w:val="fr-FR" w:eastAsia="fr-FR"/>
        </w:rPr>
        <w:t>Le régime de sécurité sociale au Liechtenstein n</w:t>
      </w:r>
      <w:r w:rsidR="006645B6">
        <w:rPr>
          <w:lang w:val="fr-FR" w:eastAsia="fr-FR"/>
        </w:rPr>
        <w:t>’</w:t>
      </w:r>
      <w:r w:rsidR="00826E0F" w:rsidRPr="00872599">
        <w:rPr>
          <w:lang w:val="fr-FR" w:eastAsia="fr-FR"/>
        </w:rPr>
        <w:t>établit pas de discrimination directe en fonction du sexe. Toutefois, dans certains domaines, ce régime ne bénéficie qu</w:t>
      </w:r>
      <w:r w:rsidR="006645B6">
        <w:rPr>
          <w:lang w:val="fr-FR" w:eastAsia="fr-FR"/>
        </w:rPr>
        <w:t>’</w:t>
      </w:r>
      <w:r w:rsidR="00826E0F" w:rsidRPr="00872599">
        <w:rPr>
          <w:lang w:val="fr-FR" w:eastAsia="fr-FR"/>
        </w:rPr>
        <w:t xml:space="preserve">aux personnes qui ont </w:t>
      </w:r>
      <w:r w:rsidR="00826E0F">
        <w:rPr>
          <w:lang w:val="fr-FR" w:eastAsia="fr-FR"/>
        </w:rPr>
        <w:t xml:space="preserve">un emploi </w:t>
      </w:r>
      <w:r w:rsidR="00826E0F" w:rsidRPr="00872599">
        <w:rPr>
          <w:lang w:val="fr-FR" w:eastAsia="fr-FR"/>
        </w:rPr>
        <w:t>et les prestations garanties dépendent du montant de revenu obtenu. Les différences qui existent entre les femmes et les hommes du point de vue de la situation professionnelle (moins de femmes employées, interruption plus longue, travail à temps partiel beaucoup plus répandu, choix limité de carrières, salaire</w:t>
      </w:r>
      <w:r w:rsidR="00826E0F">
        <w:rPr>
          <w:lang w:val="fr-FR" w:eastAsia="fr-FR"/>
        </w:rPr>
        <w:t>s</w:t>
      </w:r>
      <w:r w:rsidR="00826E0F" w:rsidRPr="00872599">
        <w:rPr>
          <w:lang w:val="fr-FR" w:eastAsia="fr-FR"/>
        </w:rPr>
        <w:t xml:space="preserve"> moins élevés) font que les femmes bénéficient moins que les hommes des assurances sociales dans certains domaines.</w:t>
      </w:r>
    </w:p>
    <w:p w:rsidR="00826E0F" w:rsidRPr="00872599" w:rsidRDefault="002544DB" w:rsidP="00497599">
      <w:pPr>
        <w:pStyle w:val="SingleTxt"/>
        <w:rPr>
          <w:lang w:val="fr-FR" w:eastAsia="fr-FR"/>
        </w:rPr>
      </w:pPr>
      <w:r>
        <w:rPr>
          <w:lang w:val="fr-FR" w:eastAsia="fr-FR"/>
        </w:rPr>
        <w:tab/>
      </w:r>
      <w:r w:rsidR="00826E0F" w:rsidRPr="00872599">
        <w:rPr>
          <w:lang w:val="fr-FR" w:eastAsia="fr-FR"/>
        </w:rPr>
        <w:t>Il est particulièrement important pour les femmes de prévoir ce que sera leur situation financière pendant leur vieillesse. Elles ne peuvent s</w:t>
      </w:r>
      <w:r w:rsidR="006645B6">
        <w:rPr>
          <w:lang w:val="fr-FR" w:eastAsia="fr-FR"/>
        </w:rPr>
        <w:t>’</w:t>
      </w:r>
      <w:r w:rsidR="00826E0F" w:rsidRPr="00872599">
        <w:rPr>
          <w:lang w:val="fr-FR" w:eastAsia="fr-FR"/>
        </w:rPr>
        <w:t>assurer une autonomie à l</w:t>
      </w:r>
      <w:r w:rsidR="006645B6">
        <w:rPr>
          <w:lang w:val="fr-FR" w:eastAsia="fr-FR"/>
        </w:rPr>
        <w:t>’</w:t>
      </w:r>
      <w:r w:rsidR="00826E0F" w:rsidRPr="00872599">
        <w:rPr>
          <w:lang w:val="fr-FR" w:eastAsia="fr-FR"/>
        </w:rPr>
        <w:t>âge de la vieillesse au-dessus du niveau de subsistance que si elles ont leur propre emploi ou indirectement par l</w:t>
      </w:r>
      <w:r w:rsidR="006645B6">
        <w:rPr>
          <w:lang w:val="fr-FR" w:eastAsia="fr-FR"/>
        </w:rPr>
        <w:t>’</w:t>
      </w:r>
      <w:r w:rsidR="00826E0F" w:rsidRPr="00872599">
        <w:rPr>
          <w:lang w:val="fr-FR" w:eastAsia="fr-FR"/>
        </w:rPr>
        <w:t>intermédiaire de leur mari. Les mesures à prendre pour assurer la sécurité financière au moment de la vieillesse doivent dépendre de la situation familiale et de la situation en matière d</w:t>
      </w:r>
      <w:r w:rsidR="006645B6">
        <w:rPr>
          <w:lang w:val="fr-FR" w:eastAsia="fr-FR"/>
        </w:rPr>
        <w:t>’</w:t>
      </w:r>
      <w:r w:rsidR="00826E0F" w:rsidRPr="00872599">
        <w:rPr>
          <w:lang w:val="fr-FR" w:eastAsia="fr-FR"/>
        </w:rPr>
        <w:t>emploi. Au Liechtenstein, le Bureau d</w:t>
      </w:r>
      <w:r w:rsidR="006645B6">
        <w:rPr>
          <w:lang w:val="fr-FR" w:eastAsia="fr-FR"/>
        </w:rPr>
        <w:t>’</w:t>
      </w:r>
      <w:r w:rsidR="00826E0F" w:rsidRPr="00872599">
        <w:rPr>
          <w:lang w:val="fr-FR" w:eastAsia="fr-FR"/>
        </w:rPr>
        <w:t>information et de contact pour les femmes offre une orientation personnelle spécialement destinée aux femmes. En coopération avec ce bureau, le Bureau de l</w:t>
      </w:r>
      <w:r w:rsidR="006645B6">
        <w:rPr>
          <w:lang w:val="fr-FR" w:eastAsia="fr-FR"/>
        </w:rPr>
        <w:t>’</w:t>
      </w:r>
      <w:r w:rsidR="00826E0F" w:rsidRPr="00872599">
        <w:rPr>
          <w:lang w:val="fr-FR" w:eastAsia="fr-FR"/>
        </w:rPr>
        <w:t>égalité des chances a organisé des soirées d</w:t>
      </w:r>
      <w:r w:rsidR="006645B6">
        <w:rPr>
          <w:lang w:val="fr-FR" w:eastAsia="fr-FR"/>
        </w:rPr>
        <w:t>’</w:t>
      </w:r>
      <w:r w:rsidR="00826E0F" w:rsidRPr="00872599">
        <w:rPr>
          <w:lang w:val="fr-FR" w:eastAsia="fr-FR"/>
        </w:rPr>
        <w:t>information en 2003 sur la question de «Prévision pour la vieillesse</w:t>
      </w:r>
      <w:r w:rsidR="006645B6">
        <w:rPr>
          <w:lang w:val="fr-FR" w:eastAsia="fr-FR"/>
        </w:rPr>
        <w:t xml:space="preserve"> – </w:t>
      </w:r>
      <w:r w:rsidR="00826E0F" w:rsidRPr="00872599">
        <w:rPr>
          <w:lang w:val="fr-FR" w:eastAsia="fr-FR"/>
        </w:rPr>
        <w:t>ce</w:t>
      </w:r>
      <w:r w:rsidR="00826E0F">
        <w:rPr>
          <w:lang w:val="fr-FR" w:eastAsia="fr-FR"/>
        </w:rPr>
        <w:t xml:space="preserve"> que les femmes doivent savoir»</w:t>
      </w:r>
      <w:r w:rsidR="00826E0F" w:rsidRPr="00872599">
        <w:rPr>
          <w:lang w:val="fr-FR" w:eastAsia="fr-FR"/>
        </w:rPr>
        <w:t>. Lors de la première soirée, on a présenté l</w:t>
      </w:r>
      <w:r w:rsidR="006645B6">
        <w:rPr>
          <w:lang w:val="fr-FR" w:eastAsia="fr-FR"/>
        </w:rPr>
        <w:t>’</w:t>
      </w:r>
      <w:r w:rsidR="00826E0F" w:rsidRPr="00872599">
        <w:rPr>
          <w:lang w:val="fr-FR" w:eastAsia="fr-FR"/>
        </w:rPr>
        <w:t>assurance vieillesse et survivants (AVS) de l</w:t>
      </w:r>
      <w:r w:rsidR="006645B6">
        <w:rPr>
          <w:lang w:val="fr-FR" w:eastAsia="fr-FR"/>
        </w:rPr>
        <w:t>’</w:t>
      </w:r>
      <w:r w:rsidR="00826E0F" w:rsidRPr="00872599">
        <w:rPr>
          <w:lang w:val="fr-FR" w:eastAsia="fr-FR"/>
        </w:rPr>
        <w:t>État qui constitue le premier pilier du systè</w:t>
      </w:r>
      <w:r w:rsidR="00826E0F">
        <w:rPr>
          <w:lang w:val="fr-FR" w:eastAsia="fr-FR"/>
        </w:rPr>
        <w:t>me de retraite du Liechtenstein</w:t>
      </w:r>
      <w:r w:rsidR="00826E0F" w:rsidRPr="00872599">
        <w:rPr>
          <w:lang w:val="fr-FR" w:eastAsia="fr-FR"/>
        </w:rPr>
        <w:t xml:space="preserve">. La deuxième soirée, la discussion a porté sur les caisses de retraite professionnelles et sur </w:t>
      </w:r>
      <w:r w:rsidR="00826E0F">
        <w:rPr>
          <w:lang w:val="fr-FR" w:eastAsia="fr-FR"/>
        </w:rPr>
        <w:t>les fonds d</w:t>
      </w:r>
      <w:r w:rsidR="006645B6">
        <w:rPr>
          <w:lang w:val="fr-FR" w:eastAsia="fr-FR"/>
        </w:rPr>
        <w:t>’</w:t>
      </w:r>
      <w:r w:rsidR="00826E0F">
        <w:rPr>
          <w:lang w:val="fr-FR" w:eastAsia="fr-FR"/>
        </w:rPr>
        <w:t>épargne privés</w:t>
      </w:r>
      <w:r w:rsidR="00826E0F" w:rsidRPr="00872599">
        <w:rPr>
          <w:lang w:val="fr-FR" w:eastAsia="fr-FR"/>
        </w:rPr>
        <w:t xml:space="preserve"> (deuxième et troisième piliers). La brochure</w:t>
      </w:r>
      <w:r w:rsidR="00432049">
        <w:rPr>
          <w:lang w:val="fr-FR" w:eastAsia="fr-FR"/>
        </w:rPr>
        <w:t xml:space="preserve"> « </w:t>
      </w:r>
      <w:r w:rsidR="00826E0F" w:rsidRPr="00872599">
        <w:rPr>
          <w:lang w:val="fr-FR" w:eastAsia="fr-FR"/>
        </w:rPr>
        <w:t>Prévision pour la vieillesse</w:t>
      </w:r>
      <w:r w:rsidR="006645B6">
        <w:rPr>
          <w:lang w:val="fr-FR" w:eastAsia="fr-FR"/>
        </w:rPr>
        <w:t xml:space="preserve"> – </w:t>
      </w:r>
      <w:r w:rsidR="00826E0F" w:rsidRPr="00872599">
        <w:rPr>
          <w:lang w:val="fr-FR" w:eastAsia="fr-FR"/>
        </w:rPr>
        <w:t>ce que les femmes doivent savoir»</w:t>
      </w:r>
      <w:r w:rsidR="006645B6">
        <w:rPr>
          <w:lang w:val="fr-FR" w:eastAsia="fr-FR"/>
        </w:rPr>
        <w:t xml:space="preserve"> </w:t>
      </w:r>
      <w:r w:rsidR="00826E0F" w:rsidRPr="00872599">
        <w:rPr>
          <w:lang w:val="fr-FR" w:eastAsia="fr-FR"/>
        </w:rPr>
        <w:t>explique le modèle à trois piliers du régime d</w:t>
      </w:r>
      <w:r w:rsidR="006645B6">
        <w:rPr>
          <w:lang w:val="fr-FR" w:eastAsia="fr-FR"/>
        </w:rPr>
        <w:t>’</w:t>
      </w:r>
      <w:r w:rsidR="00826E0F" w:rsidRPr="00872599">
        <w:rPr>
          <w:lang w:val="fr-FR" w:eastAsia="fr-FR"/>
        </w:rPr>
        <w:t>assurance-vieillesse et survivants (AVS) de l</w:t>
      </w:r>
      <w:r w:rsidR="006645B6">
        <w:rPr>
          <w:lang w:val="fr-FR" w:eastAsia="fr-FR"/>
        </w:rPr>
        <w:t>’</w:t>
      </w:r>
      <w:r w:rsidR="00826E0F" w:rsidRPr="00872599">
        <w:rPr>
          <w:lang w:val="fr-FR" w:eastAsia="fr-FR"/>
        </w:rPr>
        <w:t>État et la situation des femmes en matière de prévision pour la vieillesse en fonction de la tranche de vie concernée et indique les contacts importants. Ces soirées d</w:t>
      </w:r>
      <w:r w:rsidR="006645B6">
        <w:rPr>
          <w:lang w:val="fr-FR" w:eastAsia="fr-FR"/>
        </w:rPr>
        <w:t>’</w:t>
      </w:r>
      <w:r w:rsidR="00826E0F" w:rsidRPr="00872599">
        <w:rPr>
          <w:lang w:val="fr-FR" w:eastAsia="fr-FR"/>
        </w:rPr>
        <w:t>information ont de nouveau été organisées en 2008.</w:t>
      </w:r>
    </w:p>
    <w:p w:rsidR="002544DB" w:rsidRPr="002544DB" w:rsidRDefault="002544DB" w:rsidP="002544DB">
      <w:pPr>
        <w:pStyle w:val="SingleTxt"/>
        <w:spacing w:after="0" w:line="120" w:lineRule="exact"/>
        <w:rPr>
          <w:b/>
          <w:sz w:val="10"/>
          <w:lang w:val="fr-FR" w:eastAsia="fr-FR"/>
        </w:rPr>
      </w:pPr>
    </w:p>
    <w:p w:rsidR="00826E0F" w:rsidRPr="00872599" w:rsidRDefault="002544DB" w:rsidP="002544D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bookmarkStart w:id="39" w:name="_Toc239741033"/>
      <w:r>
        <w:rPr>
          <w:lang w:val="fr-FR"/>
        </w:rPr>
        <w:tab/>
      </w:r>
      <w:r w:rsidR="00826E0F" w:rsidRPr="00872599">
        <w:rPr>
          <w:lang w:val="fr-FR"/>
        </w:rPr>
        <w:t>Article 12</w:t>
      </w:r>
      <w:r w:rsidR="003D3458">
        <w:rPr>
          <w:lang w:val="fr-FR"/>
        </w:rPr>
        <w:t>.</w:t>
      </w:r>
      <w:r w:rsidR="00826E0F" w:rsidRPr="00872599">
        <w:rPr>
          <w:lang w:val="fr-FR"/>
        </w:rPr>
        <w:tab/>
      </w:r>
      <w:bookmarkEnd w:id="37"/>
      <w:bookmarkEnd w:id="38"/>
      <w:bookmarkEnd w:id="39"/>
      <w:r w:rsidR="00826E0F" w:rsidRPr="00872599">
        <w:rPr>
          <w:lang w:val="fr-FR"/>
        </w:rPr>
        <w:t>Santé</w:t>
      </w:r>
    </w:p>
    <w:p w:rsidR="002544DB" w:rsidRPr="002544DB" w:rsidRDefault="002544DB" w:rsidP="002544DB">
      <w:pPr>
        <w:pStyle w:val="SingleTxt"/>
        <w:spacing w:after="0" w:line="120" w:lineRule="exact"/>
        <w:rPr>
          <w:sz w:val="10"/>
          <w:lang w:val="fr-FR"/>
        </w:rPr>
      </w:pPr>
    </w:p>
    <w:p w:rsidR="00826E0F" w:rsidRPr="00872599" w:rsidRDefault="002544DB" w:rsidP="00497599">
      <w:pPr>
        <w:pStyle w:val="SingleTxt"/>
        <w:rPr>
          <w:lang w:val="fr-FR"/>
        </w:rPr>
      </w:pPr>
      <w:r>
        <w:rPr>
          <w:lang w:val="fr-FR"/>
        </w:rPr>
        <w:tab/>
      </w:r>
      <w:r w:rsidR="00826E0F" w:rsidRPr="00872599">
        <w:rPr>
          <w:lang w:val="fr-FR"/>
        </w:rPr>
        <w:t>En règle générale, le système d</w:t>
      </w:r>
      <w:r w:rsidR="006645B6">
        <w:rPr>
          <w:lang w:val="fr-FR"/>
        </w:rPr>
        <w:t>’</w:t>
      </w:r>
      <w:r w:rsidR="00826E0F" w:rsidRPr="00872599">
        <w:rPr>
          <w:lang w:val="fr-FR"/>
        </w:rPr>
        <w:t>assurance médicale obligatoire du Liechtenstein et l</w:t>
      </w:r>
      <w:r w:rsidR="006645B6">
        <w:rPr>
          <w:lang w:val="fr-FR"/>
        </w:rPr>
        <w:t>’</w:t>
      </w:r>
      <w:r w:rsidR="00826E0F" w:rsidRPr="00872599">
        <w:rPr>
          <w:lang w:val="fr-FR"/>
        </w:rPr>
        <w:t>accès sans limite aux services médicaux garantissent de</w:t>
      </w:r>
      <w:r w:rsidR="00826E0F">
        <w:rPr>
          <w:lang w:val="fr-FR"/>
        </w:rPr>
        <w:t>s</w:t>
      </w:r>
      <w:r w:rsidR="00826E0F" w:rsidRPr="00872599">
        <w:rPr>
          <w:lang w:val="fr-FR"/>
        </w:rPr>
        <w:t xml:space="preserve"> soins de santé</w:t>
      </w:r>
      <w:r w:rsidR="00826E0F">
        <w:rPr>
          <w:lang w:val="fr-FR"/>
        </w:rPr>
        <w:t xml:space="preserve"> satisfaisants</w:t>
      </w:r>
      <w:r w:rsidR="00826E0F" w:rsidRPr="00872599">
        <w:rPr>
          <w:lang w:val="fr-FR"/>
        </w:rPr>
        <w:t>.</w:t>
      </w:r>
    </w:p>
    <w:p w:rsidR="002544DB" w:rsidRPr="002544DB" w:rsidRDefault="00826E0F" w:rsidP="002544DB">
      <w:pPr>
        <w:pStyle w:val="SingleTxt"/>
        <w:spacing w:after="0" w:line="120" w:lineRule="exact"/>
        <w:rPr>
          <w:sz w:val="10"/>
          <w:lang w:val="fr-FR"/>
        </w:rPr>
      </w:pPr>
      <w:r w:rsidRPr="00872599">
        <w:rPr>
          <w:lang w:val="fr-FR"/>
        </w:rPr>
        <w:t xml:space="preserve"> </w:t>
      </w:r>
    </w:p>
    <w:p w:rsidR="00826E0F" w:rsidRPr="00872599" w:rsidRDefault="002544DB" w:rsidP="002544DB">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00826E0F" w:rsidRPr="00872599">
        <w:rPr>
          <w:lang w:val="fr-FR"/>
        </w:rPr>
        <w:t>a)</w:t>
      </w:r>
      <w:r w:rsidR="00826E0F" w:rsidRPr="00872599">
        <w:rPr>
          <w:lang w:val="fr-FR"/>
        </w:rPr>
        <w:tab/>
        <w:t>Services de santé généraux</w:t>
      </w:r>
    </w:p>
    <w:p w:rsidR="002544DB" w:rsidRPr="002544DB" w:rsidRDefault="002544DB" w:rsidP="002544DB">
      <w:pPr>
        <w:pStyle w:val="SingleTxt"/>
        <w:spacing w:after="0" w:line="120" w:lineRule="exact"/>
        <w:rPr>
          <w:i/>
          <w:sz w:val="10"/>
          <w:u w:val="single"/>
          <w:lang w:val="fr-FR"/>
        </w:rPr>
      </w:pPr>
    </w:p>
    <w:p w:rsidR="002544DB" w:rsidRPr="002544DB" w:rsidRDefault="002544DB" w:rsidP="002544DB">
      <w:pPr>
        <w:pStyle w:val="SingleTxt"/>
        <w:pBdr>
          <w:top w:val="single" w:sz="4" w:space="1" w:color="auto"/>
          <w:left w:val="single" w:sz="4" w:space="4" w:color="auto"/>
          <w:bottom w:val="single" w:sz="4" w:space="1" w:color="auto"/>
          <w:right w:val="single" w:sz="4" w:space="4" w:color="auto"/>
        </w:pBdr>
        <w:spacing w:after="0" w:line="120" w:lineRule="exact"/>
        <w:rPr>
          <w:sz w:val="10"/>
          <w:lang w:val="fr-FR"/>
        </w:rPr>
      </w:pPr>
    </w:p>
    <w:p w:rsidR="00826E0F" w:rsidRPr="002544DB" w:rsidRDefault="00826E0F" w:rsidP="002544DB">
      <w:pPr>
        <w:pStyle w:val="SingleTxt"/>
        <w:pBdr>
          <w:top w:val="single" w:sz="4" w:space="1" w:color="auto"/>
          <w:left w:val="single" w:sz="4" w:space="4" w:color="auto"/>
          <w:bottom w:val="single" w:sz="4" w:space="1" w:color="auto"/>
          <w:right w:val="single" w:sz="4" w:space="4" w:color="auto"/>
        </w:pBdr>
        <w:rPr>
          <w:b/>
          <w:lang w:val="fr-FR"/>
        </w:rPr>
      </w:pPr>
      <w:r w:rsidRPr="002544DB">
        <w:rPr>
          <w:b/>
          <w:lang w:val="fr-FR"/>
        </w:rPr>
        <w:t xml:space="preserve">Recommandation du Comité de </w:t>
      </w:r>
      <w:smartTag w:uri="urn:schemas-microsoft-com:office:smarttags" w:element="PersonName">
        <w:smartTagPr>
          <w:attr w:name="ProductID" w:val="la CEDAW"/>
        </w:smartTagPr>
        <w:r w:rsidRPr="002544DB">
          <w:rPr>
            <w:b/>
            <w:lang w:val="fr-FR"/>
          </w:rPr>
          <w:t>la CEDAW</w:t>
        </w:r>
      </w:smartTag>
      <w:r w:rsidRPr="002544DB">
        <w:rPr>
          <w:b/>
          <w:lang w:val="fr-FR"/>
        </w:rPr>
        <w:t>, n</w:t>
      </w:r>
      <w:r w:rsidRPr="006645B6">
        <w:rPr>
          <w:b/>
          <w:vertAlign w:val="superscript"/>
          <w:lang w:val="fr-FR"/>
        </w:rPr>
        <w:t>o</w:t>
      </w:r>
      <w:r w:rsidR="006645B6">
        <w:rPr>
          <w:b/>
          <w:vertAlign w:val="superscript"/>
          <w:lang w:val="fr-FR"/>
        </w:rPr>
        <w:t xml:space="preserve"> </w:t>
      </w:r>
      <w:r w:rsidRPr="002544DB">
        <w:rPr>
          <w:b/>
          <w:lang w:val="fr-FR"/>
        </w:rPr>
        <w:t>26</w:t>
      </w:r>
      <w:r w:rsidR="003D3458">
        <w:rPr>
          <w:b/>
          <w:lang w:val="fr-FR"/>
        </w:rPr>
        <w:t> </w:t>
      </w:r>
      <w:r w:rsidRPr="002544DB">
        <w:rPr>
          <w:b/>
          <w:lang w:val="fr-FR"/>
        </w:rPr>
        <w:t>:</w:t>
      </w:r>
    </w:p>
    <w:p w:rsidR="002544DB" w:rsidRPr="002544DB" w:rsidRDefault="002544DB" w:rsidP="002544DB">
      <w:pPr>
        <w:pStyle w:val="SingleTxt"/>
        <w:pBdr>
          <w:top w:val="single" w:sz="4" w:space="1" w:color="auto"/>
          <w:left w:val="single" w:sz="4" w:space="4" w:color="auto"/>
          <w:bottom w:val="single" w:sz="4" w:space="1" w:color="auto"/>
          <w:right w:val="single" w:sz="4" w:space="4" w:color="auto"/>
        </w:pBdr>
        <w:spacing w:after="0" w:line="120" w:lineRule="exact"/>
        <w:rPr>
          <w:i/>
          <w:sz w:val="10"/>
          <w:lang w:val="fr-FR"/>
        </w:rPr>
      </w:pPr>
    </w:p>
    <w:p w:rsidR="00826E0F" w:rsidRPr="00872599" w:rsidRDefault="00826E0F" w:rsidP="002544DB">
      <w:pPr>
        <w:pStyle w:val="SingleTxt"/>
        <w:pBdr>
          <w:top w:val="single" w:sz="4" w:space="1" w:color="auto"/>
          <w:left w:val="single" w:sz="4" w:space="4" w:color="auto"/>
          <w:bottom w:val="single" w:sz="4" w:space="1" w:color="auto"/>
          <w:right w:val="single" w:sz="4" w:space="4" w:color="auto"/>
        </w:pBdr>
        <w:rPr>
          <w:i/>
          <w:lang w:val="fr-FR"/>
        </w:rPr>
      </w:pPr>
      <w:r w:rsidRPr="00872599">
        <w:rPr>
          <w:i/>
          <w:lang w:val="fr-FR"/>
        </w:rPr>
        <w:t>…</w:t>
      </w:r>
      <w:r w:rsidRPr="00872599">
        <w:rPr>
          <w:b/>
          <w:lang w:val="fr-FR"/>
        </w:rPr>
        <w:t xml:space="preserve"> </w:t>
      </w:r>
      <w:r w:rsidRPr="00872599">
        <w:rPr>
          <w:i/>
          <w:lang w:val="fr-FR"/>
        </w:rPr>
        <w:t>Il l</w:t>
      </w:r>
      <w:r w:rsidR="006645B6">
        <w:rPr>
          <w:i/>
          <w:lang w:val="fr-FR"/>
        </w:rPr>
        <w:t>’</w:t>
      </w:r>
      <w:r w:rsidRPr="00872599">
        <w:rPr>
          <w:i/>
          <w:lang w:val="fr-FR"/>
        </w:rPr>
        <w:t>encourage également à veiller attentivement à ce que les services de santé répondent sans sexisme à tous les problèmes de santé des femmes et, à cet égard, l</w:t>
      </w:r>
      <w:r w:rsidR="006645B6">
        <w:rPr>
          <w:i/>
          <w:lang w:val="fr-FR"/>
        </w:rPr>
        <w:t>’</w:t>
      </w:r>
      <w:r w:rsidRPr="00872599">
        <w:rPr>
          <w:i/>
          <w:lang w:val="fr-FR"/>
        </w:rPr>
        <w:t>invite à se servir de sa recommandation générale 24 comme d</w:t>
      </w:r>
      <w:r w:rsidR="006645B6">
        <w:rPr>
          <w:i/>
          <w:lang w:val="fr-FR"/>
        </w:rPr>
        <w:t>’</w:t>
      </w:r>
      <w:r w:rsidRPr="00872599">
        <w:rPr>
          <w:i/>
          <w:lang w:val="fr-FR"/>
        </w:rPr>
        <w:t>un cadre d</w:t>
      </w:r>
      <w:r w:rsidR="006645B6">
        <w:rPr>
          <w:i/>
          <w:lang w:val="fr-FR"/>
        </w:rPr>
        <w:t>’</w:t>
      </w:r>
      <w:r w:rsidRPr="00872599">
        <w:rPr>
          <w:i/>
          <w:lang w:val="fr-FR"/>
        </w:rPr>
        <w:t>action pour faire en sorte que tous les programmes et politiques de santé intègrent une démarche soucieuse de l</w:t>
      </w:r>
      <w:r w:rsidR="006645B6">
        <w:rPr>
          <w:i/>
          <w:lang w:val="fr-FR"/>
        </w:rPr>
        <w:t>’</w:t>
      </w:r>
      <w:r w:rsidRPr="00872599">
        <w:rPr>
          <w:i/>
          <w:lang w:val="fr-FR"/>
        </w:rPr>
        <w:t>égalité des sexes</w:t>
      </w:r>
      <w:r w:rsidRPr="00872599">
        <w:rPr>
          <w:b/>
          <w:lang w:val="fr-FR"/>
        </w:rPr>
        <w:t>.</w:t>
      </w:r>
      <w:r w:rsidR="006645B6">
        <w:rPr>
          <w:b/>
          <w:lang w:val="fr-FR"/>
        </w:rPr>
        <w:t xml:space="preserve"> </w:t>
      </w:r>
    </w:p>
    <w:p w:rsidR="002544DB" w:rsidRPr="002544DB" w:rsidRDefault="002544DB" w:rsidP="002544DB">
      <w:pPr>
        <w:pStyle w:val="SingleTxt"/>
        <w:pBdr>
          <w:top w:val="single" w:sz="4" w:space="1" w:color="auto"/>
          <w:left w:val="single" w:sz="4" w:space="4" w:color="auto"/>
          <w:bottom w:val="single" w:sz="4" w:space="1" w:color="auto"/>
          <w:right w:val="single" w:sz="4" w:space="4" w:color="auto"/>
        </w:pBdr>
        <w:spacing w:after="0" w:line="120" w:lineRule="exact"/>
        <w:rPr>
          <w:i/>
          <w:sz w:val="10"/>
          <w:lang w:val="fr-FR"/>
        </w:rPr>
      </w:pPr>
    </w:p>
    <w:p w:rsidR="002544DB" w:rsidRPr="002544DB" w:rsidRDefault="002544DB" w:rsidP="002544DB">
      <w:pPr>
        <w:pStyle w:val="SingleTxt"/>
        <w:spacing w:after="0" w:line="120" w:lineRule="exact"/>
        <w:rPr>
          <w:i/>
          <w:sz w:val="10"/>
          <w:u w:val="single"/>
          <w:lang w:val="fr-FR"/>
        </w:rPr>
      </w:pPr>
    </w:p>
    <w:p w:rsidR="00826E0F" w:rsidRPr="00872599" w:rsidRDefault="002544DB" w:rsidP="00497599">
      <w:pPr>
        <w:pStyle w:val="SingleTxt"/>
        <w:rPr>
          <w:lang w:val="fr-FR" w:eastAsia="fr-FR"/>
        </w:rPr>
      </w:pPr>
      <w:r>
        <w:rPr>
          <w:lang w:val="fr-FR" w:eastAsia="fr-FR"/>
        </w:rPr>
        <w:tab/>
      </w:r>
      <w:r w:rsidR="00826E0F" w:rsidRPr="00872599">
        <w:rPr>
          <w:lang w:val="fr-FR" w:eastAsia="fr-FR"/>
        </w:rPr>
        <w:t>Tous les cinq ans, les personnes âgées d</w:t>
      </w:r>
      <w:r w:rsidR="006645B6">
        <w:rPr>
          <w:lang w:val="fr-FR" w:eastAsia="fr-FR"/>
        </w:rPr>
        <w:t>’</w:t>
      </w:r>
      <w:r w:rsidR="00826E0F" w:rsidRPr="00872599">
        <w:rPr>
          <w:lang w:val="fr-FR" w:eastAsia="fr-FR"/>
        </w:rPr>
        <w:t>au moins 17 ans reçoivent par écrit une invitation du Bureau de la santé publique pour un contrôle préventif . Les femmes reçoivent une invitation supplémentaire tous les deux ans et demi pour un contrôle gynécologique préventif. S</w:t>
      </w:r>
      <w:r w:rsidR="006645B6">
        <w:rPr>
          <w:lang w:val="fr-FR" w:eastAsia="fr-FR"/>
        </w:rPr>
        <w:t>’</w:t>
      </w:r>
      <w:r w:rsidR="00826E0F" w:rsidRPr="00872599">
        <w:rPr>
          <w:lang w:val="fr-FR" w:eastAsia="fr-FR"/>
        </w:rPr>
        <w:t>il y a lieu, ce contrôle inclut également une consultation de planning familial. Le secrétariat du médecin prendra les mesures nécessaires pour d</w:t>
      </w:r>
      <w:r w:rsidR="006645B6">
        <w:rPr>
          <w:lang w:val="fr-FR" w:eastAsia="fr-FR"/>
        </w:rPr>
        <w:t>’</w:t>
      </w:r>
      <w:r w:rsidR="00826E0F" w:rsidRPr="00872599">
        <w:rPr>
          <w:lang w:val="fr-FR" w:eastAsia="fr-FR"/>
        </w:rPr>
        <w:t>éventuels examens de suivi. Les personnes de plus de soixante-dix ans</w:t>
      </w:r>
      <w:r w:rsidR="006645B6">
        <w:rPr>
          <w:lang w:val="fr-FR" w:eastAsia="fr-FR"/>
        </w:rPr>
        <w:t xml:space="preserve"> – </w:t>
      </w:r>
      <w:r w:rsidR="00826E0F" w:rsidRPr="00872599">
        <w:rPr>
          <w:lang w:val="fr-FR" w:eastAsia="fr-FR"/>
        </w:rPr>
        <w:t>qui pouvaient jusque-là continuer de participer à ce programme de leur propre gré – sont maintenant régulièrement invitées à passer des contrôles préventifs. L</w:t>
      </w:r>
      <w:r w:rsidR="006645B6">
        <w:rPr>
          <w:lang w:val="fr-FR" w:eastAsia="fr-FR"/>
        </w:rPr>
        <w:t>’</w:t>
      </w:r>
      <w:r w:rsidR="00826E0F" w:rsidRPr="00872599">
        <w:rPr>
          <w:lang w:val="fr-FR" w:eastAsia="fr-FR"/>
        </w:rPr>
        <w:t>âge limite a été supprimé par voie d</w:t>
      </w:r>
      <w:r w:rsidR="006645B6">
        <w:rPr>
          <w:lang w:val="fr-FR" w:eastAsia="fr-FR"/>
        </w:rPr>
        <w:t>’</w:t>
      </w:r>
      <w:r w:rsidR="00826E0F" w:rsidRPr="00872599">
        <w:rPr>
          <w:lang w:val="fr-FR" w:eastAsia="fr-FR"/>
        </w:rPr>
        <w:t>ordonnance. Les contrôles préventifs se font sur une base volontaire et gratuitement.</w:t>
      </w:r>
    </w:p>
    <w:p w:rsidR="00826E0F" w:rsidRPr="00872599" w:rsidRDefault="002544DB" w:rsidP="00497599">
      <w:pPr>
        <w:pStyle w:val="SingleTxt"/>
        <w:rPr>
          <w:lang w:val="fr-FR" w:eastAsia="fr-FR"/>
        </w:rPr>
      </w:pPr>
      <w:r>
        <w:rPr>
          <w:lang w:val="fr-FR" w:eastAsia="fr-FR"/>
        </w:rPr>
        <w:tab/>
      </w:r>
      <w:r w:rsidR="00826E0F" w:rsidRPr="00872599">
        <w:rPr>
          <w:lang w:val="fr-FR" w:eastAsia="fr-FR"/>
        </w:rPr>
        <w:t>Les femmes en couches qui n</w:t>
      </w:r>
      <w:r w:rsidR="006645B6">
        <w:rPr>
          <w:lang w:val="fr-FR" w:eastAsia="fr-FR"/>
        </w:rPr>
        <w:t>’</w:t>
      </w:r>
      <w:r w:rsidR="00826E0F" w:rsidRPr="00872599">
        <w:rPr>
          <w:lang w:val="fr-FR" w:eastAsia="fr-FR"/>
        </w:rPr>
        <w:t>étaient pas employées par un employeur pendant leur grossesse</w:t>
      </w:r>
      <w:r w:rsidR="00826E0F">
        <w:rPr>
          <w:lang w:val="fr-FR" w:eastAsia="fr-FR"/>
        </w:rPr>
        <w:t>,</w:t>
      </w:r>
      <w:r w:rsidR="00826E0F" w:rsidRPr="00872599">
        <w:rPr>
          <w:lang w:val="fr-FR" w:eastAsia="fr-FR"/>
        </w:rPr>
        <w:t xml:space="preserve"> c</w:t>
      </w:r>
      <w:r w:rsidR="006645B6">
        <w:rPr>
          <w:lang w:val="fr-FR" w:eastAsia="fr-FR"/>
        </w:rPr>
        <w:t>’</w:t>
      </w:r>
      <w:r w:rsidR="00826E0F" w:rsidRPr="00872599">
        <w:rPr>
          <w:lang w:val="fr-FR" w:eastAsia="fr-FR"/>
        </w:rPr>
        <w:t>est-à-dire qui ne peuvent prétendre à des indemnités journalières de maternité versées par le régime d</w:t>
      </w:r>
      <w:r w:rsidR="006645B6">
        <w:rPr>
          <w:lang w:val="fr-FR" w:eastAsia="fr-FR"/>
        </w:rPr>
        <w:t>’</w:t>
      </w:r>
      <w:r w:rsidR="00826E0F" w:rsidRPr="00872599">
        <w:rPr>
          <w:lang w:val="fr-FR" w:eastAsia="fr-FR"/>
        </w:rPr>
        <w:t xml:space="preserve">assurance médicale obligatoire ni </w:t>
      </w:r>
      <w:r w:rsidR="00826E0F">
        <w:rPr>
          <w:lang w:val="fr-FR" w:eastAsia="fr-FR"/>
        </w:rPr>
        <w:t>au maintien de leur</w:t>
      </w:r>
      <w:r w:rsidR="00826E0F" w:rsidRPr="00872599">
        <w:rPr>
          <w:lang w:val="fr-FR" w:eastAsia="fr-FR"/>
        </w:rPr>
        <w:t xml:space="preserve"> salaire par leur employeur peuvent, en remplacement, prétendre à une des allocations de maternité versées par l</w:t>
      </w:r>
      <w:r w:rsidR="006645B6">
        <w:rPr>
          <w:lang w:val="fr-FR" w:eastAsia="fr-FR"/>
        </w:rPr>
        <w:t>’</w:t>
      </w:r>
      <w:r w:rsidR="00826E0F" w:rsidRPr="00872599">
        <w:rPr>
          <w:lang w:val="fr-FR" w:eastAsia="fr-FR"/>
        </w:rPr>
        <w:t>État.</w:t>
      </w:r>
    </w:p>
    <w:p w:rsidR="00826E0F" w:rsidRPr="00872599" w:rsidRDefault="002544DB" w:rsidP="00497599">
      <w:pPr>
        <w:pStyle w:val="SingleTxt"/>
        <w:rPr>
          <w:lang w:val="fr-FR" w:eastAsia="fr-FR"/>
        </w:rPr>
      </w:pPr>
      <w:r>
        <w:rPr>
          <w:lang w:val="fr-FR" w:eastAsia="fr-FR"/>
        </w:rPr>
        <w:tab/>
      </w:r>
      <w:r w:rsidR="00826E0F" w:rsidRPr="00872599">
        <w:rPr>
          <w:lang w:val="fr-FR" w:eastAsia="fr-FR"/>
        </w:rPr>
        <w:t>Schwanger.li est un Bureau d</w:t>
      </w:r>
      <w:r w:rsidR="006645B6">
        <w:rPr>
          <w:lang w:val="fr-FR" w:eastAsia="fr-FR"/>
        </w:rPr>
        <w:t>’</w:t>
      </w:r>
      <w:r w:rsidR="00826E0F" w:rsidRPr="00872599">
        <w:rPr>
          <w:lang w:val="fr-FR" w:eastAsia="fr-FR"/>
        </w:rPr>
        <w:t>orientation psychosocial spécialisé qui dispense gratuitement –et anonymement si la demande en est faite- des avis et un soutien. En plus des conseils relatifs aux conflits liés à la grossesse, le Bureau donne également des conseils sur les sujets suivants</w:t>
      </w:r>
      <w:r w:rsidR="006645B6">
        <w:rPr>
          <w:lang w:val="fr-FR" w:eastAsia="fr-FR"/>
        </w:rPr>
        <w:t> :</w:t>
      </w:r>
      <w:r w:rsidR="00826E0F" w:rsidRPr="00872599">
        <w:rPr>
          <w:lang w:val="fr-FR" w:eastAsia="fr-FR"/>
        </w:rPr>
        <w:t xml:space="preserve"> planning familial, grossesse, tests prénataux, fausses couches, absence d</w:t>
      </w:r>
      <w:r w:rsidR="006645B6">
        <w:rPr>
          <w:lang w:val="fr-FR" w:eastAsia="fr-FR"/>
        </w:rPr>
        <w:t>’</w:t>
      </w:r>
      <w:r w:rsidR="00826E0F" w:rsidRPr="00872599">
        <w:rPr>
          <w:lang w:val="fr-FR" w:eastAsia="fr-FR"/>
        </w:rPr>
        <w:t>enfants non voulue et éducation sexuelle.</w:t>
      </w:r>
    </w:p>
    <w:p w:rsidR="00826E0F" w:rsidRPr="00872599" w:rsidRDefault="002544DB" w:rsidP="00497599">
      <w:pPr>
        <w:pStyle w:val="SingleTxt"/>
        <w:rPr>
          <w:lang w:val="fr-FR"/>
        </w:rPr>
      </w:pPr>
      <w:r>
        <w:rPr>
          <w:lang w:val="fr-FR"/>
        </w:rPr>
        <w:tab/>
      </w:r>
      <w:r w:rsidR="00826E0F" w:rsidRPr="00872599">
        <w:rPr>
          <w:lang w:val="fr-FR"/>
        </w:rPr>
        <w:t>La contraception, qui est légale au Liechtenstein, n</w:t>
      </w:r>
      <w:r w:rsidR="006645B6">
        <w:rPr>
          <w:lang w:val="fr-FR"/>
        </w:rPr>
        <w:t>’</w:t>
      </w:r>
      <w:r w:rsidR="00826E0F" w:rsidRPr="00872599">
        <w:rPr>
          <w:lang w:val="fr-FR"/>
        </w:rPr>
        <w:t>est pas financée par l</w:t>
      </w:r>
      <w:r w:rsidR="006645B6">
        <w:rPr>
          <w:lang w:val="fr-FR"/>
        </w:rPr>
        <w:t>’</w:t>
      </w:r>
      <w:r w:rsidR="00826E0F" w:rsidRPr="00872599">
        <w:rPr>
          <w:lang w:val="fr-FR"/>
        </w:rPr>
        <w:t>État.</w:t>
      </w:r>
    </w:p>
    <w:p w:rsidR="00826E0F" w:rsidRPr="00872599" w:rsidRDefault="002544DB" w:rsidP="00497599">
      <w:pPr>
        <w:pStyle w:val="SingleTxt"/>
        <w:rPr>
          <w:lang w:val="fr-FR"/>
        </w:rPr>
      </w:pPr>
      <w:r>
        <w:rPr>
          <w:lang w:val="fr-FR"/>
        </w:rPr>
        <w:tab/>
      </w:r>
      <w:r w:rsidR="00826E0F" w:rsidRPr="00872599">
        <w:rPr>
          <w:lang w:val="fr-FR"/>
        </w:rPr>
        <w:t>La société de lutte contre le cancer du Liechtenstein organise une fois par mois des réunions pour les personnes souffrant du cancer du sein.</w:t>
      </w:r>
    </w:p>
    <w:p w:rsidR="002544DB" w:rsidRPr="002544DB" w:rsidRDefault="002544DB" w:rsidP="002544DB">
      <w:pPr>
        <w:pStyle w:val="SingleTxt"/>
        <w:spacing w:after="0" w:line="120" w:lineRule="exact"/>
        <w:rPr>
          <w:sz w:val="10"/>
          <w:lang w:val="fr-FR"/>
        </w:rPr>
      </w:pPr>
    </w:p>
    <w:p w:rsidR="00826E0F" w:rsidRPr="00872599" w:rsidRDefault="002544DB" w:rsidP="002544DB">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00826E0F" w:rsidRPr="00872599">
        <w:rPr>
          <w:lang w:val="fr-FR"/>
        </w:rPr>
        <w:t>b)</w:t>
      </w:r>
      <w:r w:rsidR="00826E0F" w:rsidRPr="00872599">
        <w:rPr>
          <w:lang w:val="fr-FR"/>
        </w:rPr>
        <w:tab/>
        <w:t>Avortement</w:t>
      </w:r>
    </w:p>
    <w:p w:rsidR="002544DB" w:rsidRPr="002544DB" w:rsidRDefault="002544DB" w:rsidP="002544DB">
      <w:pPr>
        <w:pStyle w:val="SingleTxt"/>
        <w:spacing w:after="0" w:line="120" w:lineRule="exact"/>
        <w:rPr>
          <w:sz w:val="10"/>
          <w:lang w:val="fr-FR"/>
        </w:rPr>
      </w:pPr>
    </w:p>
    <w:p w:rsidR="002544DB" w:rsidRPr="002544DB" w:rsidRDefault="002544DB" w:rsidP="002544DB">
      <w:pPr>
        <w:pStyle w:val="SingleTxt"/>
        <w:pBdr>
          <w:top w:val="single" w:sz="4" w:space="1" w:color="auto"/>
          <w:left w:val="single" w:sz="4" w:space="4" w:color="auto"/>
          <w:bottom w:val="single" w:sz="4" w:space="1" w:color="auto"/>
          <w:right w:val="single" w:sz="4" w:space="4" w:color="auto"/>
        </w:pBdr>
        <w:spacing w:after="0" w:line="120" w:lineRule="exact"/>
        <w:rPr>
          <w:sz w:val="10"/>
          <w:lang w:val="fr-FR"/>
        </w:rPr>
      </w:pPr>
    </w:p>
    <w:p w:rsidR="00826E0F" w:rsidRPr="002544DB" w:rsidRDefault="00826E0F" w:rsidP="002544DB">
      <w:pPr>
        <w:pStyle w:val="SingleTxt"/>
        <w:pBdr>
          <w:top w:val="single" w:sz="4" w:space="1" w:color="auto"/>
          <w:left w:val="single" w:sz="4" w:space="4" w:color="auto"/>
          <w:bottom w:val="single" w:sz="4" w:space="1" w:color="auto"/>
          <w:right w:val="single" w:sz="4" w:space="4" w:color="auto"/>
        </w:pBdr>
        <w:rPr>
          <w:b/>
          <w:lang w:val="fr-FR"/>
        </w:rPr>
      </w:pPr>
      <w:r w:rsidRPr="002544DB">
        <w:rPr>
          <w:b/>
          <w:lang w:val="fr-FR"/>
        </w:rPr>
        <w:t xml:space="preserve">Recommandation du Comité de </w:t>
      </w:r>
      <w:smartTag w:uri="urn:schemas-microsoft-com:office:smarttags" w:element="PersonName">
        <w:smartTagPr>
          <w:attr w:name="ProductID" w:val="la CEDAW"/>
        </w:smartTagPr>
        <w:r w:rsidRPr="002544DB">
          <w:rPr>
            <w:b/>
            <w:lang w:val="fr-FR"/>
          </w:rPr>
          <w:t>la CEDAW</w:t>
        </w:r>
      </w:smartTag>
      <w:r w:rsidRPr="002544DB">
        <w:rPr>
          <w:b/>
          <w:lang w:val="fr-FR"/>
        </w:rPr>
        <w:t>, n</w:t>
      </w:r>
      <w:r w:rsidRPr="006645B6">
        <w:rPr>
          <w:b/>
          <w:vertAlign w:val="superscript"/>
          <w:lang w:val="fr-FR"/>
        </w:rPr>
        <w:t>o</w:t>
      </w:r>
      <w:r w:rsidR="006645B6">
        <w:rPr>
          <w:b/>
          <w:vertAlign w:val="superscript"/>
          <w:lang w:val="fr-FR"/>
        </w:rPr>
        <w:t xml:space="preserve"> </w:t>
      </w:r>
      <w:r w:rsidRPr="002544DB">
        <w:rPr>
          <w:b/>
          <w:lang w:val="fr-FR"/>
        </w:rPr>
        <w:t>26:</w:t>
      </w:r>
    </w:p>
    <w:p w:rsidR="00826E0F" w:rsidRPr="00872599" w:rsidRDefault="00826E0F" w:rsidP="002544DB">
      <w:pPr>
        <w:pStyle w:val="SingleTxt"/>
        <w:pBdr>
          <w:top w:val="single" w:sz="4" w:space="1" w:color="auto"/>
          <w:left w:val="single" w:sz="4" w:space="4" w:color="auto"/>
          <w:bottom w:val="single" w:sz="4" w:space="1" w:color="auto"/>
          <w:right w:val="single" w:sz="4" w:space="4" w:color="auto"/>
        </w:pBdr>
        <w:rPr>
          <w:i/>
          <w:lang w:val="fr-FR"/>
        </w:rPr>
      </w:pPr>
      <w:r w:rsidRPr="00872599">
        <w:rPr>
          <w:i/>
          <w:lang w:val="fr-FR"/>
        </w:rPr>
        <w:t>Le Comité recommande à l</w:t>
      </w:r>
      <w:r w:rsidR="006645B6">
        <w:rPr>
          <w:i/>
          <w:lang w:val="fr-FR"/>
        </w:rPr>
        <w:t>’</w:t>
      </w:r>
      <w:r w:rsidRPr="00872599">
        <w:rPr>
          <w:i/>
          <w:lang w:val="fr-FR"/>
        </w:rPr>
        <w:t>État partie d</w:t>
      </w:r>
      <w:r w:rsidR="006645B6">
        <w:rPr>
          <w:i/>
          <w:lang w:val="fr-FR"/>
        </w:rPr>
        <w:t>’</w:t>
      </w:r>
      <w:r w:rsidRPr="00872599">
        <w:rPr>
          <w:i/>
          <w:lang w:val="fr-FR"/>
        </w:rPr>
        <w:t>envisager de réexaminer les lois relatives à l</w:t>
      </w:r>
      <w:r w:rsidR="006645B6">
        <w:rPr>
          <w:i/>
          <w:lang w:val="fr-FR"/>
        </w:rPr>
        <w:t>’</w:t>
      </w:r>
      <w:r w:rsidRPr="00872599">
        <w:rPr>
          <w:i/>
          <w:lang w:val="fr-FR"/>
        </w:rPr>
        <w:t xml:space="preserve">avortement pour en supprimer les dispositions répressives applicables aux femmes qui se font avorter, conformément à sa propre recommandation générale 24 sur les femmes et la santé et à </w:t>
      </w:r>
      <w:smartTag w:uri="urn:schemas-microsoft-com:office:smarttags" w:element="PersonName">
        <w:smartTagPr>
          <w:attr w:name="ProductID" w:val="la D￩claration"/>
        </w:smartTagPr>
        <w:r w:rsidRPr="00872599">
          <w:rPr>
            <w:i/>
            <w:lang w:val="fr-FR"/>
          </w:rPr>
          <w:t>la Déclaration</w:t>
        </w:r>
      </w:smartTag>
      <w:r w:rsidRPr="00872599">
        <w:rPr>
          <w:i/>
          <w:lang w:val="fr-FR"/>
        </w:rPr>
        <w:t xml:space="preserve"> et au Plan d</w:t>
      </w:r>
      <w:r w:rsidR="006645B6">
        <w:rPr>
          <w:i/>
          <w:lang w:val="fr-FR"/>
        </w:rPr>
        <w:t>’</w:t>
      </w:r>
      <w:r w:rsidRPr="00872599">
        <w:rPr>
          <w:i/>
          <w:lang w:val="fr-FR"/>
        </w:rPr>
        <w:t>action de Beijing...</w:t>
      </w:r>
    </w:p>
    <w:p w:rsidR="002544DB" w:rsidRPr="002544DB" w:rsidRDefault="002544DB" w:rsidP="002544DB">
      <w:pPr>
        <w:pStyle w:val="SingleTxt"/>
        <w:pBdr>
          <w:top w:val="single" w:sz="4" w:space="1" w:color="auto"/>
          <w:left w:val="single" w:sz="4" w:space="4" w:color="auto"/>
          <w:bottom w:val="single" w:sz="4" w:space="1" w:color="auto"/>
          <w:right w:val="single" w:sz="4" w:space="4" w:color="auto"/>
        </w:pBdr>
        <w:spacing w:after="0" w:line="120" w:lineRule="exact"/>
        <w:rPr>
          <w:sz w:val="10"/>
          <w:lang w:val="fr-FR"/>
        </w:rPr>
      </w:pPr>
    </w:p>
    <w:p w:rsidR="002544DB" w:rsidRPr="002544DB" w:rsidRDefault="002544DB" w:rsidP="002544DB">
      <w:pPr>
        <w:pStyle w:val="SingleTxt"/>
        <w:spacing w:after="0" w:line="120" w:lineRule="exact"/>
        <w:rPr>
          <w:sz w:val="10"/>
          <w:lang w:val="fr-FR" w:eastAsia="fr-FR"/>
        </w:rPr>
      </w:pPr>
    </w:p>
    <w:p w:rsidR="00826E0F" w:rsidRPr="00872599" w:rsidRDefault="002544DB" w:rsidP="00497599">
      <w:pPr>
        <w:pStyle w:val="SingleTxt"/>
        <w:rPr>
          <w:lang w:val="fr-FR" w:eastAsia="fr-FR"/>
        </w:rPr>
      </w:pPr>
      <w:r>
        <w:rPr>
          <w:lang w:val="fr-FR" w:eastAsia="fr-FR"/>
        </w:rPr>
        <w:tab/>
      </w:r>
      <w:r w:rsidR="00C04160">
        <w:rPr>
          <w:lang w:val="fr-FR" w:eastAsia="fr-FR"/>
        </w:rPr>
        <w:t xml:space="preserve">À </w:t>
      </w:r>
      <w:r w:rsidR="00826E0F" w:rsidRPr="00872599">
        <w:rPr>
          <w:lang w:val="fr-FR" w:eastAsia="fr-FR"/>
        </w:rPr>
        <w:t>moins que la femme enceinte ne soit en danger ou qu</w:t>
      </w:r>
      <w:r w:rsidR="006645B6">
        <w:rPr>
          <w:lang w:val="fr-FR" w:eastAsia="fr-FR"/>
        </w:rPr>
        <w:t>’</w:t>
      </w:r>
      <w:r w:rsidR="00826E0F" w:rsidRPr="00872599">
        <w:rPr>
          <w:lang w:val="fr-FR" w:eastAsia="fr-FR"/>
        </w:rPr>
        <w:t>elle ait moins de 14</w:t>
      </w:r>
      <w:r w:rsidR="008A4E39">
        <w:rPr>
          <w:lang w:val="fr-FR" w:eastAsia="fr-FR"/>
        </w:rPr>
        <w:t> </w:t>
      </w:r>
      <w:r w:rsidR="00826E0F" w:rsidRPr="00872599">
        <w:rPr>
          <w:lang w:val="fr-FR" w:eastAsia="fr-FR"/>
        </w:rPr>
        <w:t>ans, au Liechtenstein l</w:t>
      </w:r>
      <w:r w:rsidR="006645B6">
        <w:rPr>
          <w:lang w:val="fr-FR" w:eastAsia="fr-FR"/>
        </w:rPr>
        <w:t>’</w:t>
      </w:r>
      <w:r w:rsidR="00826E0F" w:rsidRPr="00872599">
        <w:rPr>
          <w:lang w:val="fr-FR" w:eastAsia="fr-FR"/>
        </w:rPr>
        <w:t>avortement est passible d</w:t>
      </w:r>
      <w:r w:rsidR="006645B6">
        <w:rPr>
          <w:lang w:val="fr-FR" w:eastAsia="fr-FR"/>
        </w:rPr>
        <w:t>’</w:t>
      </w:r>
      <w:r w:rsidR="00826E0F" w:rsidRPr="00872599">
        <w:rPr>
          <w:lang w:val="fr-FR" w:eastAsia="fr-FR"/>
        </w:rPr>
        <w:t>une peine (par</w:t>
      </w:r>
      <w:r w:rsidR="008A4E39">
        <w:rPr>
          <w:lang w:val="fr-FR" w:eastAsia="fr-FR"/>
        </w:rPr>
        <w:t>. </w:t>
      </w:r>
      <w:r w:rsidR="00826E0F" w:rsidRPr="00872599">
        <w:rPr>
          <w:lang w:val="fr-FR" w:eastAsia="fr-FR"/>
        </w:rPr>
        <w:t xml:space="preserve">96 et suivants. StGB). Dans la mesure où </w:t>
      </w:r>
      <w:r w:rsidR="00826E0F">
        <w:rPr>
          <w:lang w:val="fr-FR" w:eastAsia="fr-FR"/>
        </w:rPr>
        <w:t xml:space="preserve">on est amené à penser </w:t>
      </w:r>
      <w:r w:rsidR="00826E0F" w:rsidRPr="00872599">
        <w:rPr>
          <w:lang w:val="fr-FR" w:eastAsia="fr-FR"/>
        </w:rPr>
        <w:t>que les avortements se pratiquent à l</w:t>
      </w:r>
      <w:r w:rsidR="006645B6">
        <w:rPr>
          <w:lang w:val="fr-FR" w:eastAsia="fr-FR"/>
        </w:rPr>
        <w:t>’</w:t>
      </w:r>
      <w:r w:rsidR="00826E0F" w:rsidRPr="00872599">
        <w:rPr>
          <w:lang w:val="fr-FR" w:eastAsia="fr-FR"/>
        </w:rPr>
        <w:t>étranger, l</w:t>
      </w:r>
      <w:r w:rsidR="006645B6">
        <w:rPr>
          <w:lang w:val="fr-FR" w:eastAsia="fr-FR"/>
        </w:rPr>
        <w:t>’</w:t>
      </w:r>
      <w:r w:rsidR="00826E0F" w:rsidRPr="00872599">
        <w:rPr>
          <w:lang w:val="fr-FR" w:eastAsia="fr-FR"/>
        </w:rPr>
        <w:t>opinion général</w:t>
      </w:r>
      <w:r w:rsidR="00826E0F">
        <w:rPr>
          <w:lang w:val="fr-FR" w:eastAsia="fr-FR"/>
        </w:rPr>
        <w:t>e</w:t>
      </w:r>
      <w:r w:rsidR="00826E0F" w:rsidRPr="00872599">
        <w:rPr>
          <w:lang w:val="fr-FR" w:eastAsia="fr-FR"/>
        </w:rPr>
        <w:t xml:space="preserve"> est que la répression ne constitue pas une protection efficace de la vie naissante. Un groupe de travail étudie la question des grossesses conflictuelles et recherche des solutions viables. Il s</w:t>
      </w:r>
      <w:r w:rsidR="006645B6">
        <w:rPr>
          <w:lang w:val="fr-FR" w:eastAsia="fr-FR"/>
        </w:rPr>
        <w:t>’</w:t>
      </w:r>
      <w:r w:rsidR="00826E0F" w:rsidRPr="00872599">
        <w:rPr>
          <w:lang w:val="fr-FR" w:eastAsia="fr-FR"/>
        </w:rPr>
        <w:t>agit avant tout de protéger la vie avant la naissance, de protéger la femme enceinte et de parvenir à une dépénalisation. À la suite d</w:t>
      </w:r>
      <w:r w:rsidR="006645B6">
        <w:rPr>
          <w:lang w:val="fr-FR" w:eastAsia="fr-FR"/>
        </w:rPr>
        <w:t>’</w:t>
      </w:r>
      <w:r w:rsidR="00826E0F" w:rsidRPr="00872599">
        <w:rPr>
          <w:lang w:val="fr-FR" w:eastAsia="fr-FR"/>
        </w:rPr>
        <w:t>un vote populaire tenu en novembre 2005, il a été décidé de modifier l</w:t>
      </w:r>
      <w:r w:rsidR="006645B6">
        <w:rPr>
          <w:lang w:val="fr-FR" w:eastAsia="fr-FR"/>
        </w:rPr>
        <w:t>’</w:t>
      </w:r>
      <w:r w:rsidR="00826E0F" w:rsidRPr="00872599">
        <w:rPr>
          <w:lang w:val="fr-FR" w:eastAsia="fr-FR"/>
        </w:rPr>
        <w:t xml:space="preserve">article 27 de </w:t>
      </w:r>
      <w:smartTag w:uri="urn:schemas-microsoft-com:office:smarttags" w:element="PersonName">
        <w:smartTagPr>
          <w:attr w:name="ProductID" w:val="la Constitution"/>
        </w:smartTagPr>
        <w:r w:rsidR="00826E0F" w:rsidRPr="00872599">
          <w:rPr>
            <w:lang w:val="fr-FR" w:eastAsia="fr-FR"/>
          </w:rPr>
          <w:t>la Constitution</w:t>
        </w:r>
      </w:smartTag>
      <w:r w:rsidR="00826E0F" w:rsidRPr="00872599">
        <w:rPr>
          <w:lang w:val="fr-FR" w:eastAsia="fr-FR"/>
        </w:rPr>
        <w:t xml:space="preserve"> pour prévoir l</w:t>
      </w:r>
      <w:r w:rsidR="006645B6">
        <w:rPr>
          <w:lang w:val="fr-FR" w:eastAsia="fr-FR"/>
        </w:rPr>
        <w:t>’</w:t>
      </w:r>
      <w:r w:rsidR="00826E0F" w:rsidRPr="00872599">
        <w:rPr>
          <w:lang w:val="fr-FR" w:eastAsia="fr-FR"/>
        </w:rPr>
        <w:t xml:space="preserve">obligation de respecter et de protéger la dignité humaine et </w:t>
      </w:r>
      <w:r w:rsidR="00826E0F">
        <w:rPr>
          <w:lang w:val="fr-FR" w:eastAsia="fr-FR"/>
        </w:rPr>
        <w:t xml:space="preserve">pour </w:t>
      </w:r>
      <w:r w:rsidR="00826E0F" w:rsidRPr="00872599">
        <w:rPr>
          <w:lang w:val="fr-FR" w:eastAsia="fr-FR"/>
        </w:rPr>
        <w:t xml:space="preserve">reconnaître explicitement le droit de toute personne à la vie (LGBl. 2005 </w:t>
      </w:r>
      <w:r w:rsidR="00A4102E" w:rsidRPr="00A4102E">
        <w:t>n</w:t>
      </w:r>
      <w:r w:rsidR="00826E0F" w:rsidRPr="00A4102E">
        <w:rPr>
          <w:vertAlign w:val="superscript"/>
        </w:rPr>
        <w:t>o</w:t>
      </w:r>
      <w:r w:rsidR="00A4102E">
        <w:t> </w:t>
      </w:r>
      <w:r w:rsidR="00826E0F" w:rsidRPr="00A4102E">
        <w:t>267</w:t>
      </w:r>
      <w:r w:rsidR="00826E0F" w:rsidRPr="00872599">
        <w:rPr>
          <w:lang w:val="fr-FR" w:eastAsia="fr-FR"/>
        </w:rPr>
        <w:t>). De nombreuses institutions assurent des services de consultation psychosociale en cas de grossesse conflictuelle.</w:t>
      </w:r>
    </w:p>
    <w:p w:rsidR="002544DB" w:rsidRPr="002544DB" w:rsidRDefault="002544DB" w:rsidP="002544DB">
      <w:pPr>
        <w:pStyle w:val="SingleTxt"/>
        <w:spacing w:after="0" w:line="120" w:lineRule="exact"/>
        <w:rPr>
          <w:rFonts w:ascii="Arial" w:hAnsi="Arial" w:cs="Arial"/>
          <w:sz w:val="10"/>
          <w:lang w:val="fr-FR" w:eastAsia="fr-FR"/>
        </w:rPr>
      </w:pPr>
    </w:p>
    <w:p w:rsidR="00826E0F" w:rsidRPr="00872599" w:rsidRDefault="002544DB" w:rsidP="002544DB">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00826E0F" w:rsidRPr="00872599">
        <w:rPr>
          <w:lang w:val="fr-FR"/>
        </w:rPr>
        <w:t>c)</w:t>
      </w:r>
      <w:r w:rsidR="00826E0F" w:rsidRPr="00872599">
        <w:rPr>
          <w:lang w:val="fr-FR"/>
        </w:rPr>
        <w:tab/>
        <w:t>La contraception et la prévention du SIDA</w:t>
      </w:r>
    </w:p>
    <w:p w:rsidR="002544DB" w:rsidRPr="002544DB" w:rsidRDefault="002544DB" w:rsidP="002544DB">
      <w:pPr>
        <w:pStyle w:val="SingleTxt"/>
        <w:spacing w:after="0" w:line="120" w:lineRule="exact"/>
        <w:rPr>
          <w:sz w:val="10"/>
          <w:lang w:val="fr-FR" w:eastAsia="fr-FR"/>
        </w:rPr>
      </w:pPr>
    </w:p>
    <w:p w:rsidR="00826E0F" w:rsidRPr="00872599" w:rsidRDefault="002544DB" w:rsidP="00497599">
      <w:pPr>
        <w:pStyle w:val="SingleTxt"/>
        <w:rPr>
          <w:lang w:val="fr-FR" w:eastAsia="fr-FR"/>
        </w:rPr>
      </w:pPr>
      <w:r>
        <w:rPr>
          <w:lang w:val="fr-FR" w:eastAsia="fr-FR"/>
        </w:rPr>
        <w:tab/>
      </w:r>
      <w:r w:rsidR="00826E0F" w:rsidRPr="00872599">
        <w:rPr>
          <w:lang w:val="fr-FR" w:eastAsia="fr-FR"/>
        </w:rPr>
        <w:t>En plus des consultati</w:t>
      </w:r>
      <w:r w:rsidR="00826E0F">
        <w:rPr>
          <w:lang w:val="fr-FR" w:eastAsia="fr-FR"/>
        </w:rPr>
        <w:t xml:space="preserve">ons concernant la sexualité et </w:t>
      </w:r>
      <w:r w:rsidR="00826E0F" w:rsidRPr="00872599">
        <w:rPr>
          <w:lang w:val="fr-FR" w:eastAsia="fr-FR"/>
        </w:rPr>
        <w:t>le VIH/SIDA, le Bureau pour les questions sexuelles et la prévention du VIH offre divers programmes d</w:t>
      </w:r>
      <w:r w:rsidR="006645B6">
        <w:rPr>
          <w:lang w:val="fr-FR" w:eastAsia="fr-FR"/>
        </w:rPr>
        <w:t>’</w:t>
      </w:r>
      <w:r w:rsidR="00826E0F" w:rsidRPr="00872599">
        <w:rPr>
          <w:lang w:val="fr-FR" w:eastAsia="fr-FR"/>
        </w:rPr>
        <w:t>information. Le Bureau assure des consultations sexospécifiques dans les écoles et les centres de jeunes à l</w:t>
      </w:r>
      <w:r w:rsidR="006645B6">
        <w:rPr>
          <w:lang w:val="fr-FR" w:eastAsia="fr-FR"/>
        </w:rPr>
        <w:t>’</w:t>
      </w:r>
      <w:r w:rsidR="00826E0F" w:rsidRPr="00872599">
        <w:rPr>
          <w:lang w:val="fr-FR" w:eastAsia="fr-FR"/>
        </w:rPr>
        <w:t>intention des jeunes femmes se trouvant à l</w:t>
      </w:r>
      <w:r w:rsidR="006645B6">
        <w:rPr>
          <w:lang w:val="fr-FR" w:eastAsia="fr-FR"/>
        </w:rPr>
        <w:t>’</w:t>
      </w:r>
      <w:r w:rsidR="00826E0F" w:rsidRPr="00872599">
        <w:rPr>
          <w:lang w:val="fr-FR" w:eastAsia="fr-FR"/>
        </w:rPr>
        <w:t>âge de la puberté. Ce travail porte entre autres sur des questions d</w:t>
      </w:r>
      <w:r w:rsidR="006645B6">
        <w:rPr>
          <w:lang w:val="fr-FR" w:eastAsia="fr-FR"/>
        </w:rPr>
        <w:t>’</w:t>
      </w:r>
      <w:r w:rsidR="00826E0F" w:rsidRPr="00872599">
        <w:rPr>
          <w:lang w:val="fr-FR" w:eastAsia="fr-FR"/>
        </w:rPr>
        <w:t>éducation sexuelle telles que la première menstruation, les relations avec des partenaires, la masturbation, le premier rapport sexuel, l</w:t>
      </w:r>
      <w:r w:rsidR="006645B6">
        <w:rPr>
          <w:lang w:val="fr-FR" w:eastAsia="fr-FR"/>
        </w:rPr>
        <w:t>’</w:t>
      </w:r>
      <w:r w:rsidR="00826E0F" w:rsidRPr="00872599">
        <w:rPr>
          <w:lang w:val="fr-FR" w:eastAsia="fr-FR"/>
        </w:rPr>
        <w:t>homosexualité et la pornographie. Sous le titre de «</w:t>
      </w:r>
      <w:r w:rsidR="00A4102E">
        <w:rPr>
          <w:lang w:val="fr-FR" w:eastAsia="fr-FR"/>
        </w:rPr>
        <w:t> </w:t>
      </w:r>
      <w:r w:rsidR="00826E0F" w:rsidRPr="00872599">
        <w:rPr>
          <w:lang w:val="fr-FR" w:eastAsia="fr-FR"/>
        </w:rPr>
        <w:t>Plus de désir que de frustration</w:t>
      </w:r>
      <w:r w:rsidR="006645B6">
        <w:rPr>
          <w:lang w:val="fr-FR" w:eastAsia="fr-FR"/>
        </w:rPr>
        <w:t> »</w:t>
      </w:r>
      <w:r w:rsidR="00826E0F" w:rsidRPr="00872599">
        <w:rPr>
          <w:lang w:val="fr-FR" w:eastAsia="fr-FR"/>
        </w:rPr>
        <w:t>, des courses sont dispensés sur le développement de la sexualité féminine.</w:t>
      </w:r>
    </w:p>
    <w:p w:rsidR="00826E0F" w:rsidRPr="00872599" w:rsidRDefault="002544DB" w:rsidP="00497599">
      <w:pPr>
        <w:pStyle w:val="SingleTxt"/>
        <w:rPr>
          <w:lang w:val="fr-FR" w:eastAsia="fr-FR"/>
        </w:rPr>
      </w:pPr>
      <w:r>
        <w:rPr>
          <w:lang w:val="fr-FR" w:eastAsia="fr-FR"/>
        </w:rPr>
        <w:tab/>
      </w:r>
      <w:r w:rsidR="00826E0F" w:rsidRPr="00872599">
        <w:rPr>
          <w:lang w:val="fr-FR" w:eastAsia="fr-FR"/>
        </w:rPr>
        <w:t xml:space="preserve">En coopération avec le </w:t>
      </w:r>
      <w:r w:rsidR="00826E0F">
        <w:rPr>
          <w:lang w:val="fr-FR" w:eastAsia="fr-FR"/>
        </w:rPr>
        <w:t xml:space="preserve">programme </w:t>
      </w:r>
      <w:r w:rsidR="00A4102E">
        <w:rPr>
          <w:lang w:val="fr-FR" w:eastAsia="fr-FR"/>
        </w:rPr>
        <w:t>« </w:t>
      </w:r>
      <w:r w:rsidR="00826E0F" w:rsidRPr="00872599">
        <w:rPr>
          <w:lang w:val="fr-FR" w:eastAsia="fr-FR"/>
        </w:rPr>
        <w:t>aha</w:t>
      </w:r>
      <w:r w:rsidR="006645B6">
        <w:rPr>
          <w:lang w:val="fr-FR" w:eastAsia="fr-FR"/>
        </w:rPr>
        <w:t xml:space="preserve"> – </w:t>
      </w:r>
      <w:r w:rsidR="00826E0F" w:rsidRPr="00872599">
        <w:rPr>
          <w:lang w:val="fr-FR" w:eastAsia="fr-FR"/>
        </w:rPr>
        <w:t xml:space="preserve">Info pour les jeunes» </w:t>
      </w:r>
      <w:r w:rsidR="00826E0F">
        <w:rPr>
          <w:lang w:val="fr-FR" w:eastAsia="fr-FR"/>
        </w:rPr>
        <w:t xml:space="preserve">du </w:t>
      </w:r>
      <w:r w:rsidR="00826E0F" w:rsidRPr="00872599">
        <w:rPr>
          <w:lang w:val="fr-FR" w:eastAsia="fr-FR"/>
        </w:rPr>
        <w:t>Bureau d</w:t>
      </w:r>
      <w:r w:rsidR="006645B6">
        <w:rPr>
          <w:lang w:val="fr-FR" w:eastAsia="fr-FR"/>
        </w:rPr>
        <w:t>’</w:t>
      </w:r>
      <w:r w:rsidR="00826E0F" w:rsidRPr="00872599">
        <w:rPr>
          <w:lang w:val="fr-FR" w:eastAsia="fr-FR"/>
        </w:rPr>
        <w:t>information des jeunes et l</w:t>
      </w:r>
      <w:r w:rsidR="006645B6">
        <w:rPr>
          <w:lang w:val="fr-FR" w:eastAsia="fr-FR"/>
        </w:rPr>
        <w:t>’</w:t>
      </w:r>
      <w:r w:rsidR="00826E0F" w:rsidRPr="00872599">
        <w:rPr>
          <w:lang w:val="fr-FR" w:eastAsia="fr-FR"/>
        </w:rPr>
        <w:t>établissement Gutenberg, le Bureau pour les questions sexuelles et la prévention du VIH réalise des journées «</w:t>
      </w:r>
      <w:r w:rsidR="00A4102E">
        <w:rPr>
          <w:lang w:val="fr-FR" w:eastAsia="fr-FR"/>
        </w:rPr>
        <w:t> </w:t>
      </w:r>
      <w:r w:rsidR="00826E0F" w:rsidRPr="00872599">
        <w:rPr>
          <w:lang w:val="fr-FR" w:eastAsia="fr-FR"/>
        </w:rPr>
        <w:t>Girl Power</w:t>
      </w:r>
      <w:r w:rsidR="00826E0F">
        <w:rPr>
          <w:lang w:val="fr-FR" w:eastAsia="fr-FR"/>
        </w:rPr>
        <w:t xml:space="preserve">» </w:t>
      </w:r>
      <w:r w:rsidR="00826E0F" w:rsidRPr="00872599">
        <w:rPr>
          <w:lang w:val="fr-FR" w:eastAsia="fr-FR"/>
        </w:rPr>
        <w:t xml:space="preserve">et </w:t>
      </w:r>
      <w:r w:rsidR="00A4102E">
        <w:rPr>
          <w:lang w:val="fr-FR" w:eastAsia="fr-FR"/>
        </w:rPr>
        <w:t>« </w:t>
      </w:r>
      <w:r w:rsidR="00826E0F" w:rsidRPr="00872599">
        <w:rPr>
          <w:lang w:val="fr-FR" w:eastAsia="fr-FR"/>
        </w:rPr>
        <w:t>Boy Power</w:t>
      </w:r>
      <w:r w:rsidR="00A4102E">
        <w:rPr>
          <w:lang w:val="fr-FR" w:eastAsia="fr-FR"/>
        </w:rPr>
        <w:t> </w:t>
      </w:r>
      <w:r w:rsidR="00826E0F" w:rsidRPr="00872599">
        <w:rPr>
          <w:lang w:val="fr-FR" w:eastAsia="fr-FR"/>
        </w:rPr>
        <w:t>». Sont spécifiquement visés les filles et les garçons qui traversent la puberté. Les journées Boy Power destinées aux garçons de 12 à 13 ans portent sur quatre domaines: connaissance du corps et changements liés à la puberté, faire face à l</w:t>
      </w:r>
      <w:r w:rsidR="006645B6">
        <w:rPr>
          <w:lang w:val="fr-FR" w:eastAsia="fr-FR"/>
        </w:rPr>
        <w:t>’</w:t>
      </w:r>
      <w:r w:rsidR="00826E0F" w:rsidRPr="00872599">
        <w:rPr>
          <w:lang w:val="fr-FR" w:eastAsia="fr-FR"/>
        </w:rPr>
        <w:t xml:space="preserve">agression; images de rôles masculins; et sexualité, contraception et protection dans les rapports. Pendant les journées </w:t>
      </w:r>
      <w:r w:rsidR="00A4102E">
        <w:rPr>
          <w:lang w:val="fr-FR" w:eastAsia="fr-FR"/>
        </w:rPr>
        <w:t>« </w:t>
      </w:r>
      <w:r w:rsidR="00826E0F" w:rsidRPr="00872599">
        <w:rPr>
          <w:lang w:val="fr-FR" w:eastAsia="fr-FR"/>
        </w:rPr>
        <w:t>Girl Power</w:t>
      </w:r>
      <w:r w:rsidR="006645B6">
        <w:rPr>
          <w:lang w:val="fr-FR" w:eastAsia="fr-FR"/>
        </w:rPr>
        <w:t> »</w:t>
      </w:r>
      <w:r w:rsidR="00826E0F" w:rsidRPr="00872599">
        <w:rPr>
          <w:lang w:val="fr-FR" w:eastAsia="fr-FR"/>
        </w:rPr>
        <w:t>, les filles âgées de 11 à 13 ans se penchent sur des questions telles que l</w:t>
      </w:r>
      <w:r w:rsidR="006645B6">
        <w:rPr>
          <w:lang w:val="fr-FR" w:eastAsia="fr-FR"/>
        </w:rPr>
        <w:t>’</w:t>
      </w:r>
      <w:r w:rsidR="00826E0F" w:rsidRPr="00872599">
        <w:rPr>
          <w:lang w:val="fr-FR" w:eastAsia="fr-FR"/>
        </w:rPr>
        <w:t xml:space="preserve">amitié, </w:t>
      </w:r>
      <w:r w:rsidR="00A4102E">
        <w:rPr>
          <w:lang w:val="fr-FR" w:eastAsia="fr-FR"/>
        </w:rPr>
        <w:t>« </w:t>
      </w:r>
      <w:r w:rsidR="00826E0F" w:rsidRPr="00872599">
        <w:rPr>
          <w:lang w:val="fr-FR" w:eastAsia="fr-FR"/>
        </w:rPr>
        <w:t>Mon Corps</w:t>
      </w:r>
      <w:r w:rsidR="006645B6">
        <w:rPr>
          <w:lang w:val="fr-FR" w:eastAsia="fr-FR"/>
        </w:rPr>
        <w:t> »</w:t>
      </w:r>
      <w:r w:rsidR="00826E0F" w:rsidRPr="00872599">
        <w:rPr>
          <w:lang w:val="fr-FR" w:eastAsia="fr-FR"/>
        </w:rPr>
        <w:t>, la puberté, la menstruation et l</w:t>
      </w:r>
      <w:r w:rsidR="006645B6">
        <w:rPr>
          <w:lang w:val="fr-FR" w:eastAsia="fr-FR"/>
        </w:rPr>
        <w:t>’</w:t>
      </w:r>
      <w:r w:rsidR="00826E0F" w:rsidRPr="00872599">
        <w:rPr>
          <w:lang w:val="fr-FR" w:eastAsia="fr-FR"/>
        </w:rPr>
        <w:t>éjaculation. Il s</w:t>
      </w:r>
      <w:r w:rsidR="006645B6">
        <w:rPr>
          <w:lang w:val="fr-FR" w:eastAsia="fr-FR"/>
        </w:rPr>
        <w:t>’</w:t>
      </w:r>
      <w:r w:rsidR="00826E0F" w:rsidRPr="00872599">
        <w:rPr>
          <w:lang w:val="fr-FR" w:eastAsia="fr-FR"/>
        </w:rPr>
        <w:t>agit de sensibiliser, d</w:t>
      </w:r>
      <w:r w:rsidR="006645B6">
        <w:rPr>
          <w:lang w:val="fr-FR" w:eastAsia="fr-FR"/>
        </w:rPr>
        <w:t>’</w:t>
      </w:r>
      <w:r w:rsidR="00826E0F" w:rsidRPr="00872599">
        <w:rPr>
          <w:lang w:val="fr-FR" w:eastAsia="fr-FR"/>
        </w:rPr>
        <w:t xml:space="preserve">améliorer les aptitudes à la communication et de renforcer la compétence comportementale. Le projet des journées </w:t>
      </w:r>
      <w:r w:rsidR="00A4102E">
        <w:rPr>
          <w:lang w:val="fr-FR" w:eastAsia="fr-FR"/>
        </w:rPr>
        <w:t>« </w:t>
      </w:r>
      <w:r w:rsidR="00826E0F" w:rsidRPr="00872599">
        <w:rPr>
          <w:lang w:val="fr-FR" w:eastAsia="fr-FR"/>
        </w:rPr>
        <w:t>Girl Power</w:t>
      </w:r>
      <w:r w:rsidR="006645B6">
        <w:rPr>
          <w:lang w:val="fr-FR" w:eastAsia="fr-FR"/>
        </w:rPr>
        <w:t> »</w:t>
      </w:r>
      <w:r w:rsidR="00826E0F" w:rsidRPr="00872599">
        <w:rPr>
          <w:lang w:val="fr-FR" w:eastAsia="fr-FR"/>
        </w:rPr>
        <w:t xml:space="preserve"> et </w:t>
      </w:r>
      <w:r w:rsidR="00A4102E">
        <w:rPr>
          <w:lang w:val="fr-FR" w:eastAsia="fr-FR"/>
        </w:rPr>
        <w:t>« </w:t>
      </w:r>
      <w:r w:rsidR="00826E0F" w:rsidRPr="00872599">
        <w:rPr>
          <w:lang w:val="fr-FR" w:eastAsia="fr-FR"/>
        </w:rPr>
        <w:t>Boy Power</w:t>
      </w:r>
      <w:r w:rsidR="006645B6">
        <w:rPr>
          <w:lang w:val="fr-FR" w:eastAsia="fr-FR"/>
        </w:rPr>
        <w:t> »</w:t>
      </w:r>
      <w:r w:rsidR="00826E0F" w:rsidRPr="00872599">
        <w:rPr>
          <w:lang w:val="fr-FR" w:eastAsia="fr-FR"/>
        </w:rPr>
        <w:t xml:space="preserve"> prépare au prix 2004 de l</w:t>
      </w:r>
      <w:r w:rsidR="006645B6">
        <w:rPr>
          <w:lang w:val="fr-FR" w:eastAsia="fr-FR"/>
        </w:rPr>
        <w:t>’</w:t>
      </w:r>
      <w:r w:rsidR="00826E0F" w:rsidRPr="00872599">
        <w:rPr>
          <w:lang w:val="fr-FR" w:eastAsia="fr-FR"/>
        </w:rPr>
        <w:t>égalité entre les femmes et les hommes.</w:t>
      </w:r>
    </w:p>
    <w:p w:rsidR="00826E0F" w:rsidRPr="00872599" w:rsidRDefault="002544DB" w:rsidP="00497599">
      <w:pPr>
        <w:pStyle w:val="SingleTxt"/>
        <w:rPr>
          <w:lang w:val="fr-FR" w:eastAsia="fr-FR"/>
        </w:rPr>
      </w:pPr>
      <w:r>
        <w:rPr>
          <w:lang w:val="fr-FR" w:eastAsia="fr-FR"/>
        </w:rPr>
        <w:tab/>
      </w:r>
      <w:r w:rsidR="00826E0F" w:rsidRPr="00872599">
        <w:rPr>
          <w:lang w:val="fr-FR" w:eastAsia="fr-FR"/>
        </w:rPr>
        <w:t>La lutte contre le VIH/SIDA est au centre de l</w:t>
      </w:r>
      <w:r w:rsidR="006645B6">
        <w:rPr>
          <w:lang w:val="fr-FR" w:eastAsia="fr-FR"/>
        </w:rPr>
        <w:t>’</w:t>
      </w:r>
      <w:r w:rsidR="00826E0F" w:rsidRPr="00872599">
        <w:rPr>
          <w:lang w:val="fr-FR" w:eastAsia="fr-FR"/>
        </w:rPr>
        <w:t>activité de la coopération humanitaire internationale et du développement. Dans le cadre de sa coopération multilatérale au développement, le Liechtenstein soutient diverses initiatives et programmes mondiaux tels que le Fonds mondial de lutte contre le SIDA, la tuberculose et le paludisme ainsi que ONUSIDA. Le VIH/SIDA est également au centre de la plupart des projets sanitaires et du service pour le développement du Liechtenstein (LED).</w:t>
      </w:r>
    </w:p>
    <w:p w:rsidR="002544DB" w:rsidRPr="002544DB" w:rsidRDefault="002544DB" w:rsidP="002544DB">
      <w:pPr>
        <w:pStyle w:val="SingleTxt"/>
        <w:spacing w:after="0" w:line="120" w:lineRule="exact"/>
        <w:rPr>
          <w:sz w:val="10"/>
          <w:lang w:val="fr-FR" w:eastAsia="fr-FR"/>
        </w:rPr>
      </w:pPr>
    </w:p>
    <w:p w:rsidR="00826E0F" w:rsidRPr="00872599" w:rsidRDefault="002544DB" w:rsidP="002544DB">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00826E0F" w:rsidRPr="00872599">
        <w:rPr>
          <w:lang w:val="fr-FR"/>
        </w:rPr>
        <w:t>d)</w:t>
      </w:r>
      <w:r w:rsidR="00826E0F" w:rsidRPr="00872599">
        <w:rPr>
          <w:lang w:val="fr-FR"/>
        </w:rPr>
        <w:tab/>
        <w:t>Drogues et programmes de rééducation</w:t>
      </w:r>
    </w:p>
    <w:p w:rsidR="002544DB" w:rsidRPr="002544DB" w:rsidRDefault="002544DB" w:rsidP="002544DB">
      <w:pPr>
        <w:pStyle w:val="SingleTxt"/>
        <w:spacing w:after="0" w:line="120" w:lineRule="exact"/>
        <w:rPr>
          <w:b/>
          <w:sz w:val="10"/>
          <w:lang w:val="fr-FR"/>
        </w:rPr>
      </w:pPr>
    </w:p>
    <w:p w:rsidR="00826E0F" w:rsidRPr="00872599" w:rsidRDefault="002544DB" w:rsidP="002544D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826E0F" w:rsidRPr="00872599">
        <w:rPr>
          <w:lang w:val="fr-FR"/>
        </w:rPr>
        <w:t>Étude sur la consommation de drogues chez les jeunes au Liechtenstein</w:t>
      </w:r>
    </w:p>
    <w:p w:rsidR="002544DB" w:rsidRPr="002544DB" w:rsidRDefault="002544DB" w:rsidP="002544DB">
      <w:pPr>
        <w:pStyle w:val="SingleTxt"/>
        <w:spacing w:after="0" w:line="120" w:lineRule="exact"/>
        <w:rPr>
          <w:sz w:val="10"/>
          <w:lang w:val="fr-FR"/>
        </w:rPr>
      </w:pPr>
    </w:p>
    <w:p w:rsidR="00826E0F" w:rsidRPr="00872599" w:rsidRDefault="002544DB" w:rsidP="00497599">
      <w:pPr>
        <w:pStyle w:val="SingleTxt"/>
        <w:rPr>
          <w:lang w:val="fr-FR"/>
        </w:rPr>
      </w:pPr>
      <w:r>
        <w:rPr>
          <w:lang w:val="fr-FR"/>
        </w:rPr>
        <w:tab/>
      </w:r>
      <w:r w:rsidR="00826E0F" w:rsidRPr="00872599">
        <w:rPr>
          <w:lang w:val="fr-FR"/>
        </w:rPr>
        <w:t>La première étude sur les jeunes au Liechtenstein, menée en 1999, incluait des questions sur la consommation d</w:t>
      </w:r>
      <w:r w:rsidR="006645B6">
        <w:rPr>
          <w:lang w:val="fr-FR"/>
        </w:rPr>
        <w:t>’</w:t>
      </w:r>
      <w:r w:rsidR="00826E0F" w:rsidRPr="00872599">
        <w:rPr>
          <w:lang w:val="fr-FR"/>
        </w:rPr>
        <w:t>alcool, de drogues illégales et de tabac. C</w:t>
      </w:r>
      <w:r w:rsidR="006645B6">
        <w:rPr>
          <w:lang w:val="fr-FR"/>
        </w:rPr>
        <w:t>’</w:t>
      </w:r>
      <w:r w:rsidR="00826E0F" w:rsidRPr="00872599">
        <w:rPr>
          <w:lang w:val="fr-FR"/>
        </w:rPr>
        <w:t>étaient les premières données vérifiées rassemblées de manière empirique au Liechtenstein sur la consommation de stimulants et de drogues addictives par les jeunes âgés de 12 à 20 ans.</w:t>
      </w:r>
    </w:p>
    <w:p w:rsidR="00826E0F" w:rsidRPr="00872599" w:rsidRDefault="002544DB" w:rsidP="00497599">
      <w:pPr>
        <w:pStyle w:val="SingleTxt"/>
        <w:rPr>
          <w:lang w:val="fr-FR"/>
        </w:rPr>
      </w:pPr>
      <w:r>
        <w:rPr>
          <w:lang w:val="fr-FR"/>
        </w:rPr>
        <w:tab/>
      </w:r>
      <w:r w:rsidR="00826E0F" w:rsidRPr="00872599">
        <w:rPr>
          <w:lang w:val="fr-FR"/>
        </w:rPr>
        <w:t>Aucune autre recherche n</w:t>
      </w:r>
      <w:r w:rsidR="006645B6">
        <w:rPr>
          <w:lang w:val="fr-FR"/>
        </w:rPr>
        <w:t>’</w:t>
      </w:r>
      <w:r w:rsidR="00826E0F" w:rsidRPr="00872599">
        <w:rPr>
          <w:lang w:val="fr-FR"/>
        </w:rPr>
        <w:t>a été menée les années suivantes. Pour diverses raisons, il a semblé nécessaire de procéder à une nouvelle étude en 2005. Une enquête poussée a été menée auprès du plus grand nombre de jeunes possible</w:t>
      </w:r>
      <w:r w:rsidR="00826E0F">
        <w:rPr>
          <w:lang w:val="fr-FR"/>
        </w:rPr>
        <w:t>,</w:t>
      </w:r>
      <w:r w:rsidR="00826E0F" w:rsidRPr="00872599">
        <w:rPr>
          <w:lang w:val="fr-FR"/>
        </w:rPr>
        <w:t xml:space="preserve"> âgés de 12 à 19 ans. On a commencé par recueillir des données de prévalence actuelles sur la consommation de drogues par les jeunes au Liechtenstein. Par ailleurs, les données actuelles ont été comparées avec celles de 1999 afin d</w:t>
      </w:r>
      <w:r w:rsidR="006645B6">
        <w:rPr>
          <w:lang w:val="fr-FR"/>
        </w:rPr>
        <w:t>’</w:t>
      </w:r>
      <w:r w:rsidR="00826E0F" w:rsidRPr="00872599">
        <w:rPr>
          <w:lang w:val="fr-FR"/>
        </w:rPr>
        <w:t>évaluer si au cours des six années écoulées une évolution s</w:t>
      </w:r>
      <w:r w:rsidR="006645B6">
        <w:rPr>
          <w:lang w:val="fr-FR"/>
        </w:rPr>
        <w:t>’</w:t>
      </w:r>
      <w:r w:rsidR="00826E0F" w:rsidRPr="00872599">
        <w:rPr>
          <w:lang w:val="fr-FR"/>
        </w:rPr>
        <w:t>était produite en matière de prévalence de la consommation de drogues et de modes de consommation. Cette étude s</w:t>
      </w:r>
      <w:r w:rsidR="006645B6">
        <w:rPr>
          <w:lang w:val="fr-FR"/>
        </w:rPr>
        <w:t>’</w:t>
      </w:r>
      <w:r w:rsidR="00826E0F" w:rsidRPr="00872599">
        <w:rPr>
          <w:lang w:val="fr-FR"/>
        </w:rPr>
        <w:t xml:space="preserve">inscrit dans la campagne de prévention de la toxicomanie </w:t>
      </w:r>
      <w:r w:rsidR="00A4102E">
        <w:rPr>
          <w:lang w:val="fr-FR"/>
        </w:rPr>
        <w:t>« </w:t>
      </w:r>
      <w:r w:rsidR="00826E0F" w:rsidRPr="00872599">
        <w:rPr>
          <w:lang w:val="fr-FR"/>
        </w:rPr>
        <w:t xml:space="preserve">TU dis comment» </w:t>
      </w:r>
      <w:r w:rsidR="00826E0F" w:rsidRPr="00A03470">
        <w:rPr>
          <w:rStyle w:val="FootnoteCharacters"/>
          <w:sz w:val="24"/>
          <w:szCs w:val="24"/>
          <w:lang w:val="fr-FR"/>
        </w:rPr>
        <w:footnoteReference w:id="20"/>
      </w:r>
      <w:r w:rsidR="00826E0F" w:rsidRPr="00872599">
        <w:rPr>
          <w:lang w:val="fr-FR"/>
        </w:rPr>
        <w:t>.</w:t>
      </w:r>
    </w:p>
    <w:p w:rsidR="00826E0F" w:rsidRPr="00872599" w:rsidRDefault="002544DB" w:rsidP="00497599">
      <w:pPr>
        <w:pStyle w:val="SingleTxt"/>
        <w:rPr>
          <w:lang w:val="fr-FR" w:eastAsia="fr-FR"/>
        </w:rPr>
      </w:pPr>
      <w:r>
        <w:rPr>
          <w:lang w:val="fr-FR" w:eastAsia="fr-FR"/>
        </w:rPr>
        <w:tab/>
      </w:r>
      <w:r w:rsidR="00826E0F" w:rsidRPr="00872599">
        <w:rPr>
          <w:lang w:val="fr-FR" w:eastAsia="fr-FR"/>
        </w:rPr>
        <w:t>L</w:t>
      </w:r>
      <w:r w:rsidR="006645B6">
        <w:rPr>
          <w:lang w:val="fr-FR" w:eastAsia="fr-FR"/>
        </w:rPr>
        <w:t>’</w:t>
      </w:r>
      <w:r w:rsidR="00826E0F" w:rsidRPr="00872599">
        <w:rPr>
          <w:lang w:val="fr-FR" w:eastAsia="fr-FR"/>
        </w:rPr>
        <w:t>étude sur la consommation de drogue</w:t>
      </w:r>
      <w:r w:rsidR="00826E0F">
        <w:rPr>
          <w:lang w:val="fr-FR" w:eastAsia="fr-FR"/>
        </w:rPr>
        <w:t>s</w:t>
      </w:r>
      <w:r w:rsidR="00826E0F" w:rsidRPr="00872599">
        <w:rPr>
          <w:lang w:val="fr-FR" w:eastAsia="fr-FR"/>
        </w:rPr>
        <w:t xml:space="preserve"> chez les jeunes au Liechtenstein a été publiée en juin 2008. On trouvera ci-dessous quelques résultats de cette étude:</w:t>
      </w:r>
    </w:p>
    <w:p w:rsidR="00826E0F" w:rsidRPr="00872599" w:rsidRDefault="002544DB" w:rsidP="002544DB">
      <w:pPr>
        <w:pStyle w:val="SingleTxt"/>
        <w:tabs>
          <w:tab w:val="right" w:pos="1685"/>
        </w:tabs>
        <w:ind w:left="1742" w:hanging="475"/>
        <w:rPr>
          <w:lang w:val="fr-FR" w:eastAsia="fr-FR"/>
        </w:rPr>
      </w:pPr>
      <w:r>
        <w:rPr>
          <w:lang w:val="fr-FR" w:eastAsia="fr-FR"/>
        </w:rPr>
        <w:tab/>
        <w:t>–</w:t>
      </w:r>
      <w:r>
        <w:rPr>
          <w:lang w:val="fr-FR" w:eastAsia="fr-FR"/>
        </w:rPr>
        <w:tab/>
      </w:r>
      <w:r w:rsidR="00826E0F" w:rsidRPr="00872599">
        <w:rPr>
          <w:lang w:val="fr-FR" w:eastAsia="fr-FR"/>
        </w:rPr>
        <w:t>Alcool (prévalence au cours de la vie)</w:t>
      </w:r>
      <w:r w:rsidR="006645B6">
        <w:rPr>
          <w:lang w:val="fr-FR" w:eastAsia="fr-FR"/>
        </w:rPr>
        <w:t> :</w:t>
      </w:r>
    </w:p>
    <w:p w:rsidR="002544DB" w:rsidRDefault="002544DB" w:rsidP="002544DB">
      <w:pPr>
        <w:pStyle w:val="SingleTxt"/>
        <w:ind w:left="1742" w:hanging="475"/>
        <w:rPr>
          <w:lang w:val="fr-FR" w:eastAsia="fr-FR"/>
        </w:rPr>
      </w:pPr>
      <w:r>
        <w:rPr>
          <w:lang w:val="fr-FR" w:eastAsia="fr-FR"/>
        </w:rPr>
        <w:tab/>
      </w:r>
      <w:r w:rsidR="00826E0F" w:rsidRPr="00872599">
        <w:rPr>
          <w:lang w:val="fr-FR" w:eastAsia="fr-FR"/>
        </w:rPr>
        <w:t>15</w:t>
      </w:r>
      <w:r w:rsidR="006645B6">
        <w:rPr>
          <w:lang w:val="fr-FR" w:eastAsia="fr-FR"/>
        </w:rPr>
        <w:t> %</w:t>
      </w:r>
      <w:r w:rsidR="00826E0F" w:rsidRPr="00872599">
        <w:rPr>
          <w:lang w:val="fr-FR" w:eastAsia="fr-FR"/>
        </w:rPr>
        <w:t xml:space="preserve"> des jeunes de 12 ans avaient déjà eu une première expérience de l</w:t>
      </w:r>
      <w:r w:rsidR="006645B6">
        <w:rPr>
          <w:lang w:val="fr-FR" w:eastAsia="fr-FR"/>
        </w:rPr>
        <w:t>’</w:t>
      </w:r>
      <w:r w:rsidR="00826E0F" w:rsidRPr="00872599">
        <w:rPr>
          <w:lang w:val="fr-FR" w:eastAsia="fr-FR"/>
        </w:rPr>
        <w:t>alcool</w:t>
      </w:r>
      <w:r w:rsidR="00826E0F">
        <w:rPr>
          <w:lang w:val="fr-FR" w:eastAsia="fr-FR"/>
        </w:rPr>
        <w:t>,</w:t>
      </w:r>
      <w:r w:rsidR="00826E0F" w:rsidRPr="00872599">
        <w:rPr>
          <w:lang w:val="fr-FR" w:eastAsia="fr-FR"/>
        </w:rPr>
        <w:t xml:space="preserve"> avec certains écarts selon le sexe.19</w:t>
      </w:r>
      <w:r w:rsidR="006645B6">
        <w:rPr>
          <w:lang w:val="fr-FR" w:eastAsia="fr-FR"/>
        </w:rPr>
        <w:t> %</w:t>
      </w:r>
      <w:r w:rsidR="00826E0F" w:rsidRPr="00872599">
        <w:rPr>
          <w:lang w:val="fr-FR" w:eastAsia="fr-FR"/>
        </w:rPr>
        <w:t xml:space="preserve"> des garçons et 12</w:t>
      </w:r>
      <w:r w:rsidR="006645B6">
        <w:rPr>
          <w:lang w:val="fr-FR" w:eastAsia="fr-FR"/>
        </w:rPr>
        <w:t> %</w:t>
      </w:r>
      <w:r w:rsidR="00826E0F" w:rsidRPr="00872599">
        <w:rPr>
          <w:lang w:val="fr-FR" w:eastAsia="fr-FR"/>
        </w:rPr>
        <w:t xml:space="preserve"> des filles avaient consommé de l</w:t>
      </w:r>
      <w:r w:rsidR="006645B6">
        <w:rPr>
          <w:lang w:val="fr-FR" w:eastAsia="fr-FR"/>
        </w:rPr>
        <w:t>’</w:t>
      </w:r>
      <w:r w:rsidR="00826E0F" w:rsidRPr="00872599">
        <w:rPr>
          <w:lang w:val="fr-FR" w:eastAsia="fr-FR"/>
        </w:rPr>
        <w:t>alcool au moins une fois. À 13 ans, la prévalence relative s</w:t>
      </w:r>
      <w:r w:rsidR="006645B6">
        <w:rPr>
          <w:lang w:val="fr-FR" w:eastAsia="fr-FR"/>
        </w:rPr>
        <w:t>’</w:t>
      </w:r>
      <w:r w:rsidR="00826E0F" w:rsidRPr="00872599">
        <w:rPr>
          <w:lang w:val="fr-FR" w:eastAsia="fr-FR"/>
        </w:rPr>
        <w:t>était inversée. À cet âge, un nombre bien plus important de filles (39</w:t>
      </w:r>
      <w:r w:rsidR="006645B6">
        <w:rPr>
          <w:lang w:val="fr-FR" w:eastAsia="fr-FR"/>
        </w:rPr>
        <w:t> %</w:t>
      </w:r>
      <w:r w:rsidR="00826E0F" w:rsidRPr="00872599">
        <w:rPr>
          <w:lang w:val="fr-FR" w:eastAsia="fr-FR"/>
        </w:rPr>
        <w:t>) que de garçons (28</w:t>
      </w:r>
      <w:r w:rsidR="006645B6">
        <w:rPr>
          <w:lang w:val="fr-FR" w:eastAsia="fr-FR"/>
        </w:rPr>
        <w:t> %</w:t>
      </w:r>
      <w:r w:rsidR="00826E0F" w:rsidRPr="00872599">
        <w:rPr>
          <w:lang w:val="fr-FR" w:eastAsia="fr-FR"/>
        </w:rPr>
        <w:t>) avaient consommé de l</w:t>
      </w:r>
      <w:r w:rsidR="006645B6">
        <w:rPr>
          <w:lang w:val="fr-FR" w:eastAsia="fr-FR"/>
        </w:rPr>
        <w:t>’</w:t>
      </w:r>
      <w:r w:rsidR="00826E0F" w:rsidRPr="00872599">
        <w:rPr>
          <w:lang w:val="fr-FR" w:eastAsia="fr-FR"/>
        </w:rPr>
        <w:t>alcool au moins une fois. 3</w:t>
      </w:r>
      <w:r w:rsidR="006645B6">
        <w:rPr>
          <w:lang w:val="fr-FR" w:eastAsia="fr-FR"/>
        </w:rPr>
        <w:t> %</w:t>
      </w:r>
      <w:r w:rsidR="00826E0F" w:rsidRPr="00872599">
        <w:rPr>
          <w:lang w:val="fr-FR" w:eastAsia="fr-FR"/>
        </w:rPr>
        <w:t xml:space="preserve"> des jeunes de 14 ans et 7</w:t>
      </w:r>
      <w:r w:rsidR="006645B6">
        <w:rPr>
          <w:lang w:val="fr-FR" w:eastAsia="fr-FR"/>
        </w:rPr>
        <w:t> %</w:t>
      </w:r>
      <w:r w:rsidR="00826E0F" w:rsidRPr="00872599">
        <w:rPr>
          <w:lang w:val="fr-FR" w:eastAsia="fr-FR"/>
        </w:rPr>
        <w:t xml:space="preserve"> des jeunes de 15 ans avaient déjà été ivres au moins vingt fois dans leur vie. À partir de l</w:t>
      </w:r>
      <w:r w:rsidR="006645B6">
        <w:rPr>
          <w:lang w:val="fr-FR" w:eastAsia="fr-FR"/>
        </w:rPr>
        <w:t>’</w:t>
      </w:r>
      <w:r w:rsidR="00826E0F" w:rsidRPr="00872599">
        <w:rPr>
          <w:lang w:val="fr-FR" w:eastAsia="fr-FR"/>
        </w:rPr>
        <w:t>âge de quatorze ans, les garçons s</w:t>
      </w:r>
      <w:r w:rsidR="006645B6">
        <w:rPr>
          <w:lang w:val="fr-FR" w:eastAsia="fr-FR"/>
        </w:rPr>
        <w:t>’</w:t>
      </w:r>
      <w:r w:rsidR="00CC772D" w:rsidRPr="00872599">
        <w:rPr>
          <w:lang w:val="fr-FR" w:eastAsia="fr-FR"/>
        </w:rPr>
        <w:t>enivraient</w:t>
      </w:r>
      <w:r w:rsidR="00826E0F" w:rsidRPr="00872599">
        <w:rPr>
          <w:lang w:val="fr-FR" w:eastAsia="fr-FR"/>
        </w:rPr>
        <w:t xml:space="preserve"> plus souvent que les filles.</w:t>
      </w:r>
    </w:p>
    <w:p w:rsidR="002544DB" w:rsidRDefault="002544DB" w:rsidP="002544DB">
      <w:pPr>
        <w:pStyle w:val="SingleTxt"/>
        <w:tabs>
          <w:tab w:val="right" w:pos="1685"/>
        </w:tabs>
        <w:ind w:left="1742" w:hanging="475"/>
        <w:rPr>
          <w:lang w:val="fr-FR" w:eastAsia="fr-FR"/>
        </w:rPr>
      </w:pPr>
      <w:r>
        <w:rPr>
          <w:lang w:val="fr-FR" w:eastAsia="fr-FR"/>
        </w:rPr>
        <w:tab/>
        <w:t>–</w:t>
      </w:r>
      <w:r>
        <w:rPr>
          <w:lang w:val="fr-FR" w:eastAsia="fr-FR"/>
        </w:rPr>
        <w:tab/>
      </w:r>
      <w:r w:rsidR="00826E0F" w:rsidRPr="00872599">
        <w:rPr>
          <w:lang w:val="fr-FR" w:eastAsia="fr-FR"/>
        </w:rPr>
        <w:t>Nicotine (prévalence au cours de la vie)</w:t>
      </w:r>
      <w:r w:rsidR="006645B6">
        <w:rPr>
          <w:lang w:val="fr-FR" w:eastAsia="fr-FR"/>
        </w:rPr>
        <w:t> :</w:t>
      </w:r>
    </w:p>
    <w:p w:rsidR="00826E0F" w:rsidRPr="00872599" w:rsidRDefault="002544DB" w:rsidP="002544DB">
      <w:pPr>
        <w:pStyle w:val="SingleTxt"/>
        <w:ind w:left="1742" w:hanging="475"/>
        <w:rPr>
          <w:lang w:val="fr-FR" w:eastAsia="fr-FR"/>
        </w:rPr>
      </w:pPr>
      <w:r>
        <w:rPr>
          <w:lang w:val="fr-FR" w:eastAsia="fr-FR"/>
        </w:rPr>
        <w:tab/>
      </w:r>
      <w:r w:rsidR="00826E0F" w:rsidRPr="00872599">
        <w:rPr>
          <w:lang w:val="fr-FR" w:eastAsia="fr-FR"/>
        </w:rPr>
        <w:t>20</w:t>
      </w:r>
      <w:r w:rsidR="006645B6">
        <w:rPr>
          <w:lang w:val="fr-FR" w:eastAsia="fr-FR"/>
        </w:rPr>
        <w:t> %</w:t>
      </w:r>
      <w:r w:rsidR="00826E0F" w:rsidRPr="00872599">
        <w:rPr>
          <w:lang w:val="fr-FR" w:eastAsia="fr-FR"/>
        </w:rPr>
        <w:t xml:space="preserve"> des garçons et 14</w:t>
      </w:r>
      <w:r w:rsidR="006645B6">
        <w:rPr>
          <w:lang w:val="fr-FR" w:eastAsia="fr-FR"/>
        </w:rPr>
        <w:t> %</w:t>
      </w:r>
      <w:r w:rsidR="00826E0F" w:rsidRPr="00872599">
        <w:rPr>
          <w:lang w:val="fr-FR" w:eastAsia="fr-FR"/>
        </w:rPr>
        <w:t xml:space="preserve"> des filles avaient fumé du tabac au moins une fois à l</w:t>
      </w:r>
      <w:r w:rsidR="006645B6">
        <w:rPr>
          <w:lang w:val="fr-FR" w:eastAsia="fr-FR"/>
        </w:rPr>
        <w:t>’</w:t>
      </w:r>
      <w:r w:rsidR="00826E0F" w:rsidRPr="00872599">
        <w:rPr>
          <w:lang w:val="fr-FR" w:eastAsia="fr-FR"/>
        </w:rPr>
        <w:t>âge de 12 ans. À présent, la prévalence relative s</w:t>
      </w:r>
      <w:r w:rsidR="006645B6">
        <w:rPr>
          <w:lang w:val="fr-FR" w:eastAsia="fr-FR"/>
        </w:rPr>
        <w:t>’</w:t>
      </w:r>
      <w:r w:rsidR="00826E0F" w:rsidRPr="00872599">
        <w:rPr>
          <w:lang w:val="fr-FR" w:eastAsia="fr-FR"/>
        </w:rPr>
        <w:t>est inversée.</w:t>
      </w:r>
    </w:p>
    <w:p w:rsidR="00826E0F" w:rsidRPr="00872599" w:rsidRDefault="002544DB" w:rsidP="002544DB">
      <w:pPr>
        <w:pStyle w:val="SingleTxt"/>
        <w:tabs>
          <w:tab w:val="right" w:pos="1685"/>
        </w:tabs>
        <w:ind w:left="1742" w:hanging="475"/>
        <w:rPr>
          <w:lang w:val="fr-FR" w:eastAsia="fr-FR"/>
        </w:rPr>
      </w:pPr>
      <w:r>
        <w:rPr>
          <w:lang w:val="fr-FR" w:eastAsia="fr-FR"/>
        </w:rPr>
        <w:tab/>
        <w:t>–</w:t>
      </w:r>
      <w:r>
        <w:rPr>
          <w:lang w:val="fr-FR" w:eastAsia="fr-FR"/>
        </w:rPr>
        <w:tab/>
      </w:r>
      <w:r w:rsidR="00826E0F" w:rsidRPr="00872599">
        <w:rPr>
          <w:lang w:val="fr-FR" w:eastAsia="fr-FR"/>
        </w:rPr>
        <w:t>Drogues illicites et produits pharmaceutiques (prévalence au cours de la vie):</w:t>
      </w:r>
    </w:p>
    <w:p w:rsidR="00826E0F" w:rsidRPr="00872599" w:rsidRDefault="002544DB" w:rsidP="002544DB">
      <w:pPr>
        <w:pStyle w:val="SingleTxt"/>
        <w:ind w:left="1742" w:hanging="475"/>
        <w:rPr>
          <w:lang w:val="fr-FR" w:eastAsia="fr-FR"/>
        </w:rPr>
      </w:pPr>
      <w:r>
        <w:rPr>
          <w:lang w:val="fr-FR" w:eastAsia="fr-FR"/>
        </w:rPr>
        <w:tab/>
        <w:t>L</w:t>
      </w:r>
      <w:r w:rsidR="00826E0F" w:rsidRPr="00872599">
        <w:rPr>
          <w:lang w:val="fr-FR" w:eastAsia="fr-FR"/>
        </w:rPr>
        <w:t>a consommation de drogues illicites commençait pour l</w:t>
      </w:r>
      <w:r w:rsidR="006645B6">
        <w:rPr>
          <w:lang w:val="fr-FR" w:eastAsia="fr-FR"/>
        </w:rPr>
        <w:t>’</w:t>
      </w:r>
      <w:r w:rsidR="00826E0F" w:rsidRPr="00872599">
        <w:rPr>
          <w:lang w:val="fr-FR" w:eastAsia="fr-FR"/>
        </w:rPr>
        <w:t>essentiel à l</w:t>
      </w:r>
      <w:r w:rsidR="006645B6">
        <w:rPr>
          <w:lang w:val="fr-FR" w:eastAsia="fr-FR"/>
        </w:rPr>
        <w:t>’</w:t>
      </w:r>
      <w:r w:rsidR="00826E0F" w:rsidRPr="00872599">
        <w:rPr>
          <w:lang w:val="fr-FR" w:eastAsia="fr-FR"/>
        </w:rPr>
        <w:t>âge de 15 ans. Un quart (27</w:t>
      </w:r>
      <w:r w:rsidR="006645B6">
        <w:rPr>
          <w:lang w:val="fr-FR" w:eastAsia="fr-FR"/>
        </w:rPr>
        <w:t> %</w:t>
      </w:r>
      <w:r w:rsidR="00826E0F" w:rsidRPr="00872599">
        <w:rPr>
          <w:lang w:val="fr-FR" w:eastAsia="fr-FR"/>
        </w:rPr>
        <w:t>) des garçons et un tiers (31</w:t>
      </w:r>
      <w:r w:rsidR="006645B6">
        <w:rPr>
          <w:lang w:val="fr-FR" w:eastAsia="fr-FR"/>
        </w:rPr>
        <w:t> %</w:t>
      </w:r>
      <w:r w:rsidR="00826E0F" w:rsidRPr="00872599">
        <w:rPr>
          <w:lang w:val="fr-FR" w:eastAsia="fr-FR"/>
        </w:rPr>
        <w:t>) des filles avaient pris des drogues illicites au moins une fois à cet âge. Dans l</w:t>
      </w:r>
      <w:r w:rsidR="006645B6">
        <w:rPr>
          <w:lang w:val="fr-FR" w:eastAsia="fr-FR"/>
        </w:rPr>
        <w:t>’</w:t>
      </w:r>
      <w:r w:rsidR="00826E0F" w:rsidRPr="00872599">
        <w:rPr>
          <w:lang w:val="fr-FR" w:eastAsia="fr-FR"/>
        </w:rPr>
        <w:t>ensemble, les garçons faisaient plus souvent l</w:t>
      </w:r>
      <w:r w:rsidR="006645B6">
        <w:rPr>
          <w:lang w:val="fr-FR" w:eastAsia="fr-FR"/>
        </w:rPr>
        <w:t>’</w:t>
      </w:r>
      <w:r w:rsidR="00826E0F" w:rsidRPr="00872599">
        <w:rPr>
          <w:lang w:val="fr-FR" w:eastAsia="fr-FR"/>
        </w:rPr>
        <w:t>expérience des drogues illicites que les filles. Cette différence sexospécifique était particulièrement notable chez les jeunes de 17 ans.</w:t>
      </w:r>
    </w:p>
    <w:p w:rsidR="00826E0F" w:rsidRPr="00872599" w:rsidRDefault="002544DB" w:rsidP="00497599">
      <w:pPr>
        <w:pStyle w:val="SingleTxt"/>
        <w:rPr>
          <w:lang w:val="fr-FR"/>
        </w:rPr>
      </w:pPr>
      <w:r>
        <w:rPr>
          <w:lang w:val="fr-FR"/>
        </w:rPr>
        <w:tab/>
      </w:r>
      <w:r w:rsidR="00826E0F" w:rsidRPr="00872599">
        <w:rPr>
          <w:lang w:val="fr-FR"/>
        </w:rPr>
        <w:t>La campagne de lutte contre l</w:t>
      </w:r>
      <w:r w:rsidR="006645B6">
        <w:rPr>
          <w:lang w:val="fr-FR"/>
        </w:rPr>
        <w:t>’</w:t>
      </w:r>
      <w:r w:rsidR="00826E0F" w:rsidRPr="00872599">
        <w:rPr>
          <w:lang w:val="fr-FR"/>
        </w:rPr>
        <w:t>addiction</w:t>
      </w:r>
      <w:r w:rsidR="00A4102E">
        <w:rPr>
          <w:lang w:val="fr-FR"/>
        </w:rPr>
        <w:t xml:space="preserve"> « </w:t>
      </w:r>
      <w:r w:rsidR="00826E0F" w:rsidRPr="00872599">
        <w:rPr>
          <w:lang w:val="fr-FR"/>
        </w:rPr>
        <w:t xml:space="preserve">TU dis comment» , qui a duré trois </w:t>
      </w:r>
      <w:r w:rsidR="00826E0F">
        <w:rPr>
          <w:lang w:val="fr-FR"/>
        </w:rPr>
        <w:t>ans (de mi-2006 à mi-2009) portait</w:t>
      </w:r>
      <w:r w:rsidR="00826E0F" w:rsidRPr="00872599">
        <w:rPr>
          <w:lang w:val="fr-FR"/>
        </w:rPr>
        <w:t xml:space="preserve"> essentiellement sur la prévention de la consommation d</w:t>
      </w:r>
      <w:r w:rsidR="006645B6">
        <w:rPr>
          <w:lang w:val="fr-FR"/>
        </w:rPr>
        <w:t>’</w:t>
      </w:r>
      <w:r w:rsidR="00826E0F" w:rsidRPr="00872599">
        <w:rPr>
          <w:lang w:val="fr-FR"/>
        </w:rPr>
        <w:t>alcool et de tabac. Il s</w:t>
      </w:r>
      <w:r w:rsidR="006645B6">
        <w:rPr>
          <w:lang w:val="fr-FR"/>
        </w:rPr>
        <w:t>’</w:t>
      </w:r>
      <w:r w:rsidR="00826E0F" w:rsidRPr="00872599">
        <w:rPr>
          <w:lang w:val="fr-FR"/>
        </w:rPr>
        <w:t>agit avant tout de renforcer le sens de la responsabilité chez les intéressé(e)s et chez leurs parents.</w:t>
      </w:r>
    </w:p>
    <w:p w:rsidR="002544DB" w:rsidRPr="002544DB" w:rsidRDefault="002544DB" w:rsidP="002544DB">
      <w:pPr>
        <w:pStyle w:val="SingleTxt"/>
        <w:spacing w:after="0" w:line="120" w:lineRule="exact"/>
        <w:rPr>
          <w:sz w:val="10"/>
          <w:lang w:val="fr-FR"/>
        </w:rPr>
      </w:pPr>
    </w:p>
    <w:p w:rsidR="00826E0F" w:rsidRPr="00872599" w:rsidRDefault="002544DB" w:rsidP="002544D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00826E0F" w:rsidRPr="00872599">
        <w:rPr>
          <w:lang w:val="fr-FR"/>
        </w:rPr>
        <w:t>Article 13</w:t>
      </w:r>
      <w:r w:rsidR="003D3458">
        <w:rPr>
          <w:lang w:val="fr-FR"/>
        </w:rPr>
        <w:t>.</w:t>
      </w:r>
      <w:r w:rsidR="00826E0F" w:rsidRPr="00872599">
        <w:rPr>
          <w:lang w:val="fr-FR"/>
        </w:rPr>
        <w:tab/>
        <w:t>Autres domaines de la vie économique et sociale</w:t>
      </w:r>
    </w:p>
    <w:p w:rsidR="002544DB" w:rsidRPr="002544DB" w:rsidRDefault="002544DB" w:rsidP="002544DB">
      <w:pPr>
        <w:pStyle w:val="SingleTxt"/>
        <w:spacing w:after="0" w:line="120" w:lineRule="exact"/>
        <w:rPr>
          <w:sz w:val="10"/>
          <w:lang w:val="fr-FR"/>
        </w:rPr>
      </w:pPr>
    </w:p>
    <w:p w:rsidR="00826E0F" w:rsidRPr="00872599" w:rsidRDefault="002544DB" w:rsidP="00497599">
      <w:pPr>
        <w:pStyle w:val="SingleTxt"/>
        <w:rPr>
          <w:lang w:val="fr-FR"/>
        </w:rPr>
      </w:pPr>
      <w:r>
        <w:rPr>
          <w:lang w:val="fr-FR"/>
        </w:rPr>
        <w:tab/>
      </w:r>
      <w:r w:rsidR="00826E0F" w:rsidRPr="00872599">
        <w:rPr>
          <w:lang w:val="fr-FR"/>
        </w:rPr>
        <w:t>Bien que le Liechtenstein soit un pays riche, il existe des groupes de population à faible revenu. En particulier les parents seuls (notamment les mères seules) ayant charge d</w:t>
      </w:r>
      <w:r w:rsidR="006645B6">
        <w:rPr>
          <w:lang w:val="fr-FR"/>
        </w:rPr>
        <w:t>’</w:t>
      </w:r>
      <w:r w:rsidR="00826E0F" w:rsidRPr="00872599">
        <w:rPr>
          <w:lang w:val="fr-FR"/>
        </w:rPr>
        <w:t>enfants, mais également les familles nombreuses dont un des parents seulement travaille se trouvent souvent confronté</w:t>
      </w:r>
      <w:r w:rsidR="00826E0F">
        <w:rPr>
          <w:lang w:val="fr-FR"/>
        </w:rPr>
        <w:t>e</w:t>
      </w:r>
      <w:r w:rsidR="00826E0F" w:rsidRPr="00872599">
        <w:rPr>
          <w:lang w:val="fr-FR"/>
        </w:rPr>
        <w:t xml:space="preserve">s à des difficultés financières. Les familles du Liechtenstein bénéficient donc de diverses mesures de soutien </w:t>
      </w:r>
      <w:r w:rsidR="00A4102E">
        <w:rPr>
          <w:lang w:val="fr-FR"/>
        </w:rPr>
        <w:t>[</w:t>
      </w:r>
      <w:r w:rsidR="00826E0F" w:rsidRPr="00872599">
        <w:rPr>
          <w:lang w:val="fr-FR"/>
        </w:rPr>
        <w:t xml:space="preserve">voir les remarques </w:t>
      </w:r>
      <w:r w:rsidR="00826E0F">
        <w:rPr>
          <w:lang w:val="fr-FR"/>
        </w:rPr>
        <w:t>concernant</w:t>
      </w:r>
      <w:r w:rsidR="00826E0F" w:rsidRPr="00872599">
        <w:rPr>
          <w:lang w:val="fr-FR"/>
        </w:rPr>
        <w:t xml:space="preserve"> l</w:t>
      </w:r>
      <w:r w:rsidR="006645B6">
        <w:rPr>
          <w:lang w:val="fr-FR"/>
        </w:rPr>
        <w:t>’</w:t>
      </w:r>
      <w:r w:rsidR="00826E0F" w:rsidRPr="00872599">
        <w:rPr>
          <w:lang w:val="fr-FR"/>
        </w:rPr>
        <w:t>article 5 b)</w:t>
      </w:r>
      <w:r w:rsidR="00A4102E">
        <w:rPr>
          <w:lang w:val="fr-FR"/>
        </w:rPr>
        <w:t>]</w:t>
      </w:r>
      <w:r w:rsidR="00826E0F" w:rsidRPr="00872599">
        <w:rPr>
          <w:lang w:val="fr-FR"/>
        </w:rPr>
        <w:t>.</w:t>
      </w:r>
    </w:p>
    <w:p w:rsidR="00826E0F" w:rsidRPr="00872599" w:rsidRDefault="002544DB" w:rsidP="00497599">
      <w:pPr>
        <w:pStyle w:val="SingleTxt"/>
        <w:rPr>
          <w:lang w:val="fr-FR"/>
        </w:rPr>
      </w:pPr>
      <w:r>
        <w:rPr>
          <w:lang w:val="fr-FR"/>
        </w:rPr>
        <w:tab/>
      </w:r>
      <w:r w:rsidR="00826E0F" w:rsidRPr="00872599">
        <w:rPr>
          <w:lang w:val="fr-FR"/>
        </w:rPr>
        <w:t>Si, malgré l</w:t>
      </w:r>
      <w:r w:rsidR="006645B6">
        <w:rPr>
          <w:lang w:val="fr-FR"/>
        </w:rPr>
        <w:t>’</w:t>
      </w:r>
      <w:r w:rsidR="00826E0F" w:rsidRPr="00872599">
        <w:rPr>
          <w:lang w:val="fr-FR"/>
        </w:rPr>
        <w:t>aide prévue à l</w:t>
      </w:r>
      <w:r w:rsidR="006645B6">
        <w:rPr>
          <w:lang w:val="fr-FR"/>
        </w:rPr>
        <w:t>’</w:t>
      </w:r>
      <w:r w:rsidR="00826E0F" w:rsidRPr="00872599">
        <w:rPr>
          <w:lang w:val="fr-FR"/>
        </w:rPr>
        <w:t>article 5 b), le revenu des parents ne suffit pas à couvrir les dépenses de subsistance des membres de la famille, les personnes concernées peuvent solliciter de l</w:t>
      </w:r>
      <w:r w:rsidR="006645B6">
        <w:rPr>
          <w:lang w:val="fr-FR"/>
        </w:rPr>
        <w:t>’</w:t>
      </w:r>
      <w:r w:rsidR="00826E0F" w:rsidRPr="00872599">
        <w:rPr>
          <w:lang w:val="fr-FR"/>
        </w:rPr>
        <w:t>État du Liechtenstein</w:t>
      </w:r>
      <w:r w:rsidR="00826E0F" w:rsidRPr="00A70244">
        <w:rPr>
          <w:lang w:val="fr-FR"/>
        </w:rPr>
        <w:t xml:space="preserve"> </w:t>
      </w:r>
      <w:r w:rsidR="00826E0F" w:rsidRPr="00872599">
        <w:rPr>
          <w:lang w:val="fr-FR"/>
        </w:rPr>
        <w:t>un soutien du revenu (aide sociale). Le soutien financier est fixé au cas par cas, compte tenu des efforts et des ressources raisonnablement attendus de la famille.</w:t>
      </w:r>
    </w:p>
    <w:p w:rsidR="00826E0F" w:rsidRDefault="002544DB" w:rsidP="00497599">
      <w:pPr>
        <w:pStyle w:val="SingleTxt"/>
        <w:rPr>
          <w:lang w:val="fr-FR"/>
        </w:rPr>
      </w:pPr>
      <w:r>
        <w:rPr>
          <w:lang w:val="fr-FR"/>
        </w:rPr>
        <w:tab/>
      </w:r>
      <w:r w:rsidR="00826E0F" w:rsidRPr="00872599">
        <w:rPr>
          <w:lang w:val="fr-FR"/>
        </w:rPr>
        <w:t xml:space="preserve">La participation à la vie culturelle et aux bénéfices du progrès scientifique est </w:t>
      </w:r>
      <w:r w:rsidR="00CC772D" w:rsidRPr="00872599">
        <w:rPr>
          <w:lang w:val="fr-FR"/>
        </w:rPr>
        <w:t>garantie</w:t>
      </w:r>
      <w:r w:rsidR="00826E0F" w:rsidRPr="00872599">
        <w:rPr>
          <w:lang w:val="fr-FR"/>
        </w:rPr>
        <w:t xml:space="preserve"> à égalité aux femmes et aux hommes au Liechtenstein . </w:t>
      </w:r>
    </w:p>
    <w:p w:rsidR="002544DB" w:rsidRPr="002544DB" w:rsidRDefault="002544DB" w:rsidP="002544DB">
      <w:pPr>
        <w:pStyle w:val="SingleTxt"/>
        <w:spacing w:after="0" w:line="120" w:lineRule="exact"/>
        <w:rPr>
          <w:sz w:val="10"/>
          <w:lang w:val="fr-FR"/>
        </w:rPr>
      </w:pPr>
    </w:p>
    <w:p w:rsidR="00826E0F" w:rsidRPr="00872599" w:rsidRDefault="002544DB" w:rsidP="002544D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bookmarkStart w:id="40" w:name="_Toc137007656"/>
      <w:bookmarkStart w:id="41" w:name="_Toc239741035"/>
      <w:r>
        <w:rPr>
          <w:lang w:val="fr-FR"/>
        </w:rPr>
        <w:tab/>
      </w:r>
      <w:r w:rsidR="00826E0F" w:rsidRPr="00872599">
        <w:rPr>
          <w:lang w:val="fr-FR"/>
        </w:rPr>
        <w:t>Article 14</w:t>
      </w:r>
      <w:r w:rsidR="003D3458">
        <w:rPr>
          <w:lang w:val="fr-FR"/>
        </w:rPr>
        <w:t>.</w:t>
      </w:r>
      <w:r w:rsidR="00826E0F" w:rsidRPr="00872599">
        <w:rPr>
          <w:lang w:val="fr-FR"/>
        </w:rPr>
        <w:tab/>
      </w:r>
      <w:bookmarkEnd w:id="40"/>
      <w:r w:rsidR="00826E0F" w:rsidRPr="00872599">
        <w:rPr>
          <w:lang w:val="fr-FR"/>
        </w:rPr>
        <w:t xml:space="preserve">Promotion </w:t>
      </w:r>
      <w:bookmarkEnd w:id="41"/>
      <w:r w:rsidR="00826E0F" w:rsidRPr="00872599">
        <w:rPr>
          <w:lang w:val="fr-FR"/>
        </w:rPr>
        <w:t>des femmes rurales</w:t>
      </w:r>
    </w:p>
    <w:p w:rsidR="002544DB" w:rsidRPr="002544DB" w:rsidRDefault="002544DB" w:rsidP="002544DB">
      <w:pPr>
        <w:pStyle w:val="SingleTxt"/>
        <w:spacing w:after="0" w:line="120" w:lineRule="exact"/>
        <w:rPr>
          <w:sz w:val="10"/>
          <w:lang w:val="fr-FR" w:eastAsia="fr-FR"/>
        </w:rPr>
      </w:pPr>
    </w:p>
    <w:p w:rsidR="00826E0F" w:rsidRPr="00872599" w:rsidRDefault="002544DB" w:rsidP="00497599">
      <w:pPr>
        <w:pStyle w:val="SingleTxt"/>
        <w:rPr>
          <w:lang w:val="fr-FR" w:eastAsia="fr-FR"/>
        </w:rPr>
      </w:pPr>
      <w:r>
        <w:rPr>
          <w:lang w:val="fr-FR" w:eastAsia="fr-FR"/>
        </w:rPr>
        <w:tab/>
      </w:r>
      <w:r w:rsidR="00826E0F" w:rsidRPr="00872599">
        <w:rPr>
          <w:lang w:val="fr-FR" w:eastAsia="fr-FR"/>
        </w:rPr>
        <w:t>Il n</w:t>
      </w:r>
      <w:r w:rsidR="006645B6">
        <w:rPr>
          <w:lang w:val="fr-FR" w:eastAsia="fr-FR"/>
        </w:rPr>
        <w:t>’</w:t>
      </w:r>
      <w:r w:rsidR="00826E0F" w:rsidRPr="00872599">
        <w:rPr>
          <w:lang w:val="fr-FR" w:eastAsia="fr-FR"/>
        </w:rPr>
        <w:t>existe pas au Liechtenstein de régions reculées et rurales au sens de l</w:t>
      </w:r>
      <w:r w:rsidR="006645B6">
        <w:rPr>
          <w:lang w:val="fr-FR" w:eastAsia="fr-FR"/>
        </w:rPr>
        <w:t>’</w:t>
      </w:r>
      <w:r w:rsidR="00826E0F" w:rsidRPr="00872599">
        <w:rPr>
          <w:lang w:val="fr-FR" w:eastAsia="fr-FR"/>
        </w:rPr>
        <w:t>article 14, de sorte qu</w:t>
      </w:r>
      <w:r w:rsidR="006645B6">
        <w:rPr>
          <w:lang w:val="fr-FR" w:eastAsia="fr-FR"/>
        </w:rPr>
        <w:t>’</w:t>
      </w:r>
      <w:r w:rsidR="00826E0F" w:rsidRPr="00872599">
        <w:rPr>
          <w:lang w:val="fr-FR" w:eastAsia="fr-FR"/>
        </w:rPr>
        <w:t>aucune mesure particulière de promotion n</w:t>
      </w:r>
      <w:r w:rsidR="006645B6">
        <w:rPr>
          <w:lang w:val="fr-FR" w:eastAsia="fr-FR"/>
        </w:rPr>
        <w:t>’</w:t>
      </w:r>
      <w:r w:rsidR="00826E0F" w:rsidRPr="00872599">
        <w:rPr>
          <w:lang w:val="fr-FR" w:eastAsia="fr-FR"/>
        </w:rPr>
        <w:t xml:space="preserve">est prévue dans le pays. En revanche, la coopération au développement du Liechtenstein se consacre essentiellement aux régions rurales et aux régions structurellement faibles de pays étrangers. </w:t>
      </w:r>
    </w:p>
    <w:p w:rsidR="002544DB" w:rsidRPr="002544DB" w:rsidRDefault="002544DB" w:rsidP="002544DB">
      <w:pPr>
        <w:pStyle w:val="SingleTxt"/>
        <w:spacing w:after="0" w:line="120" w:lineRule="exact"/>
        <w:rPr>
          <w:sz w:val="10"/>
          <w:lang w:val="fr-FR"/>
        </w:rPr>
      </w:pPr>
    </w:p>
    <w:p w:rsidR="00826E0F" w:rsidRPr="00872599" w:rsidRDefault="002544DB" w:rsidP="002544D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bookmarkStart w:id="42" w:name="_Toc239741036"/>
      <w:r>
        <w:rPr>
          <w:lang w:val="fr-FR"/>
        </w:rPr>
        <w:tab/>
      </w:r>
      <w:r w:rsidR="00826E0F" w:rsidRPr="00872599">
        <w:rPr>
          <w:lang w:val="fr-FR"/>
        </w:rPr>
        <w:t>Article 16</w:t>
      </w:r>
      <w:r w:rsidR="003D3458">
        <w:rPr>
          <w:lang w:val="fr-FR"/>
        </w:rPr>
        <w:t>.</w:t>
      </w:r>
      <w:r w:rsidR="00826E0F" w:rsidRPr="00872599">
        <w:rPr>
          <w:lang w:val="fr-FR"/>
        </w:rPr>
        <w:tab/>
        <w:t>Mariage et vie de famil</w:t>
      </w:r>
      <w:bookmarkEnd w:id="42"/>
      <w:r w:rsidR="00826E0F" w:rsidRPr="00872599">
        <w:rPr>
          <w:lang w:val="fr-FR"/>
        </w:rPr>
        <w:t>le</w:t>
      </w:r>
    </w:p>
    <w:p w:rsidR="002544DB" w:rsidRPr="002544DB" w:rsidRDefault="002544DB" w:rsidP="002544DB">
      <w:pPr>
        <w:pStyle w:val="SingleTxt"/>
        <w:keepNext/>
        <w:keepLines/>
        <w:spacing w:after="0" w:line="120" w:lineRule="exact"/>
        <w:rPr>
          <w:sz w:val="10"/>
          <w:lang w:val="fr-FR"/>
        </w:rPr>
      </w:pPr>
    </w:p>
    <w:p w:rsidR="002544DB" w:rsidRPr="002544DB" w:rsidRDefault="002544DB" w:rsidP="002544DB">
      <w:pPr>
        <w:pStyle w:val="SingleTxt"/>
        <w:keepNext/>
        <w:keepLines/>
        <w:pBdr>
          <w:top w:val="single" w:sz="4" w:space="1" w:color="auto"/>
          <w:left w:val="single" w:sz="4" w:space="4" w:color="auto"/>
          <w:bottom w:val="single" w:sz="4" w:space="1" w:color="auto"/>
          <w:right w:val="single" w:sz="4" w:space="4" w:color="auto"/>
        </w:pBdr>
        <w:spacing w:after="0" w:line="120" w:lineRule="exact"/>
        <w:rPr>
          <w:b/>
          <w:sz w:val="10"/>
          <w:lang w:val="fr-FR"/>
        </w:rPr>
      </w:pPr>
    </w:p>
    <w:p w:rsidR="00826E0F" w:rsidRPr="00872599" w:rsidRDefault="00826E0F" w:rsidP="002544DB">
      <w:pPr>
        <w:pStyle w:val="SingleTxt"/>
        <w:keepNext/>
        <w:keepLines/>
        <w:pBdr>
          <w:top w:val="single" w:sz="4" w:space="1" w:color="auto"/>
          <w:left w:val="single" w:sz="4" w:space="4" w:color="auto"/>
          <w:bottom w:val="single" w:sz="4" w:space="1" w:color="auto"/>
          <w:right w:val="single" w:sz="4" w:space="4" w:color="auto"/>
        </w:pBdr>
        <w:rPr>
          <w:b/>
          <w:lang w:val="fr-FR"/>
        </w:rPr>
      </w:pPr>
      <w:r w:rsidRPr="00872599">
        <w:rPr>
          <w:b/>
          <w:lang w:val="fr-FR"/>
        </w:rPr>
        <w:t xml:space="preserve">Recommandation du Comité de </w:t>
      </w:r>
      <w:smartTag w:uri="urn:schemas-microsoft-com:office:smarttags" w:element="PersonName">
        <w:smartTagPr>
          <w:attr w:name="ProductID" w:val="la CEDAW"/>
        </w:smartTagPr>
        <w:r w:rsidRPr="00872599">
          <w:rPr>
            <w:b/>
            <w:lang w:val="fr-FR"/>
          </w:rPr>
          <w:t>la CEDAW</w:t>
        </w:r>
      </w:smartTag>
      <w:r w:rsidRPr="00872599">
        <w:rPr>
          <w:b/>
          <w:lang w:val="fr-FR"/>
        </w:rPr>
        <w:t>, n</w:t>
      </w:r>
      <w:r w:rsidRPr="006645B6">
        <w:rPr>
          <w:b/>
          <w:vertAlign w:val="superscript"/>
          <w:lang w:val="fr-FR"/>
        </w:rPr>
        <w:t>o</w:t>
      </w:r>
      <w:r w:rsidR="006645B6">
        <w:rPr>
          <w:b/>
          <w:vertAlign w:val="superscript"/>
          <w:lang w:val="fr-FR"/>
        </w:rPr>
        <w:t xml:space="preserve"> </w:t>
      </w:r>
      <w:r w:rsidRPr="00872599">
        <w:rPr>
          <w:b/>
          <w:lang w:val="fr-FR"/>
        </w:rPr>
        <w:t>24:</w:t>
      </w:r>
    </w:p>
    <w:p w:rsidR="00826E0F" w:rsidRPr="00872599" w:rsidRDefault="00826E0F" w:rsidP="002544DB">
      <w:pPr>
        <w:pStyle w:val="SingleTxt"/>
        <w:keepNext/>
        <w:keepLines/>
        <w:pBdr>
          <w:top w:val="single" w:sz="4" w:space="1" w:color="auto"/>
          <w:left w:val="single" w:sz="4" w:space="4" w:color="auto"/>
          <w:bottom w:val="single" w:sz="4" w:space="1" w:color="auto"/>
          <w:right w:val="single" w:sz="4" w:space="4" w:color="auto"/>
        </w:pBdr>
        <w:rPr>
          <w:i/>
          <w:lang w:val="fr-FR"/>
        </w:rPr>
      </w:pPr>
      <w:r w:rsidRPr="00872599">
        <w:rPr>
          <w:i/>
          <w:lang w:val="fr-FR"/>
        </w:rPr>
        <w:t>Le Comité encourage l</w:t>
      </w:r>
      <w:r w:rsidR="006645B6">
        <w:rPr>
          <w:i/>
          <w:lang w:val="fr-FR"/>
        </w:rPr>
        <w:t>’</w:t>
      </w:r>
      <w:r w:rsidRPr="00872599">
        <w:rPr>
          <w:i/>
          <w:lang w:val="fr-FR"/>
        </w:rPr>
        <w:t>État partie à revoir les dispositions juridiques régissant actuellement le mariage et les relations familiales pour en élargir la portée aux couples vivant en union libre.</w:t>
      </w:r>
    </w:p>
    <w:p w:rsidR="002544DB" w:rsidRPr="002544DB" w:rsidRDefault="002544DB" w:rsidP="002544DB">
      <w:pPr>
        <w:pStyle w:val="SingleTxt"/>
        <w:spacing w:after="0" w:line="120" w:lineRule="exact"/>
        <w:rPr>
          <w:sz w:val="10"/>
          <w:lang w:val="fr-FR" w:eastAsia="fr-FR"/>
        </w:rPr>
      </w:pPr>
    </w:p>
    <w:p w:rsidR="00826E0F" w:rsidRPr="00872599" w:rsidRDefault="002544DB" w:rsidP="00497599">
      <w:pPr>
        <w:pStyle w:val="SingleTxt"/>
        <w:rPr>
          <w:lang w:val="fr-FR" w:eastAsia="fr-FR"/>
        </w:rPr>
      </w:pPr>
      <w:r>
        <w:rPr>
          <w:lang w:val="fr-FR" w:eastAsia="fr-FR"/>
        </w:rPr>
        <w:tab/>
      </w:r>
      <w:r w:rsidR="00826E0F" w:rsidRPr="00872599">
        <w:rPr>
          <w:lang w:val="fr-FR" w:eastAsia="fr-FR"/>
        </w:rPr>
        <w:t>Les remarques ci-dessous doivent être lues dans le contexte ci-après: le Liechtenstein s</w:t>
      </w:r>
      <w:r w:rsidR="006645B6">
        <w:rPr>
          <w:lang w:val="fr-FR" w:eastAsia="fr-FR"/>
        </w:rPr>
        <w:t>’</w:t>
      </w:r>
      <w:r w:rsidR="00826E0F" w:rsidRPr="00872599">
        <w:rPr>
          <w:lang w:val="fr-FR" w:eastAsia="fr-FR"/>
        </w:rPr>
        <w:t>efforce actuellement d</w:t>
      </w:r>
      <w:r w:rsidR="006645B6">
        <w:rPr>
          <w:lang w:val="fr-FR" w:eastAsia="fr-FR"/>
        </w:rPr>
        <w:t>’</w:t>
      </w:r>
      <w:r w:rsidR="00826E0F" w:rsidRPr="00872599">
        <w:rPr>
          <w:lang w:val="fr-FR" w:eastAsia="fr-FR"/>
        </w:rPr>
        <w:t>élaborer une loi sur l</w:t>
      </w:r>
      <w:r w:rsidR="006645B6">
        <w:rPr>
          <w:lang w:val="fr-FR" w:eastAsia="fr-FR"/>
        </w:rPr>
        <w:t>’</w:t>
      </w:r>
      <w:r w:rsidR="00826E0F" w:rsidRPr="00872599">
        <w:rPr>
          <w:lang w:val="fr-FR" w:eastAsia="fr-FR"/>
        </w:rPr>
        <w:t>enregistrement des couples de même sexe. Ce projet législatif en est encore à un stade très précoce. La proposition devrait être diffusée pour consultation à l</w:t>
      </w:r>
      <w:r w:rsidR="006645B6">
        <w:rPr>
          <w:lang w:val="fr-FR" w:eastAsia="fr-FR"/>
        </w:rPr>
        <w:t>’</w:t>
      </w:r>
      <w:r w:rsidR="00826E0F" w:rsidRPr="00872599">
        <w:rPr>
          <w:lang w:val="fr-FR" w:eastAsia="fr-FR"/>
        </w:rPr>
        <w:t>été ou à l</w:t>
      </w:r>
      <w:r w:rsidR="006645B6">
        <w:rPr>
          <w:lang w:val="fr-FR" w:eastAsia="fr-FR"/>
        </w:rPr>
        <w:t>’</w:t>
      </w:r>
      <w:r w:rsidR="00826E0F" w:rsidRPr="00872599">
        <w:rPr>
          <w:lang w:val="fr-FR" w:eastAsia="fr-FR"/>
        </w:rPr>
        <w:t>automne de 2009 au plus tard. La date d</w:t>
      </w:r>
      <w:r w:rsidR="006645B6">
        <w:rPr>
          <w:lang w:val="fr-FR" w:eastAsia="fr-FR"/>
        </w:rPr>
        <w:t>’</w:t>
      </w:r>
      <w:r w:rsidR="00826E0F" w:rsidRPr="00872599">
        <w:rPr>
          <w:lang w:val="fr-FR" w:eastAsia="fr-FR"/>
        </w:rPr>
        <w:t>entrée en vigueur n</w:t>
      </w:r>
      <w:r w:rsidR="006645B6">
        <w:rPr>
          <w:lang w:val="fr-FR" w:eastAsia="fr-FR"/>
        </w:rPr>
        <w:t>’</w:t>
      </w:r>
      <w:r w:rsidR="00826E0F" w:rsidRPr="00872599">
        <w:rPr>
          <w:lang w:val="fr-FR" w:eastAsia="fr-FR"/>
        </w:rPr>
        <w:t>a pas encore été fixée. La nouvelle loi introduira néanmoins divers changements qui sont déjà mentionnés ci-dessous.</w:t>
      </w:r>
    </w:p>
    <w:p w:rsidR="00826E0F" w:rsidRPr="00872599" w:rsidRDefault="002544DB" w:rsidP="00497599">
      <w:pPr>
        <w:pStyle w:val="SingleTxt"/>
        <w:rPr>
          <w:lang w:val="fr-FR" w:eastAsia="fr-FR"/>
        </w:rPr>
      </w:pPr>
      <w:r>
        <w:rPr>
          <w:lang w:val="fr-FR" w:eastAsia="fr-FR"/>
        </w:rPr>
        <w:tab/>
      </w:r>
      <w:r w:rsidR="00826E0F" w:rsidRPr="00872599">
        <w:rPr>
          <w:lang w:val="fr-FR" w:eastAsia="fr-FR"/>
        </w:rPr>
        <w:t>Au cours de l</w:t>
      </w:r>
      <w:r w:rsidR="006645B6">
        <w:rPr>
          <w:lang w:val="fr-FR" w:eastAsia="fr-FR"/>
        </w:rPr>
        <w:t>’</w:t>
      </w:r>
      <w:r w:rsidR="00826E0F" w:rsidRPr="00872599">
        <w:rPr>
          <w:lang w:val="fr-FR" w:eastAsia="fr-FR"/>
        </w:rPr>
        <w:t>élaboration de la nouvelle loi sur l</w:t>
      </w:r>
      <w:r w:rsidR="006645B6">
        <w:rPr>
          <w:lang w:val="fr-FR" w:eastAsia="fr-FR"/>
        </w:rPr>
        <w:t>’</w:t>
      </w:r>
      <w:r w:rsidR="00826E0F" w:rsidRPr="00872599">
        <w:rPr>
          <w:lang w:val="fr-FR" w:eastAsia="fr-FR"/>
        </w:rPr>
        <w:t>union civile au Liechtenstein, il est apparu qu</w:t>
      </w:r>
      <w:r w:rsidR="006645B6">
        <w:rPr>
          <w:lang w:val="fr-FR" w:eastAsia="fr-FR"/>
        </w:rPr>
        <w:t>’</w:t>
      </w:r>
      <w:r w:rsidR="00826E0F" w:rsidRPr="00872599">
        <w:rPr>
          <w:lang w:val="fr-FR" w:eastAsia="fr-FR"/>
        </w:rPr>
        <w:t xml:space="preserve">une définition précise des termes était indispensable. Le terme </w:t>
      </w:r>
      <w:r w:rsidR="00A4102E">
        <w:rPr>
          <w:lang w:val="fr-FR" w:eastAsia="fr-FR"/>
        </w:rPr>
        <w:t>« </w:t>
      </w:r>
      <w:r w:rsidR="00826E0F" w:rsidRPr="00872599">
        <w:rPr>
          <w:lang w:val="fr-FR" w:eastAsia="fr-FR"/>
        </w:rPr>
        <w:t>concubinage</w:t>
      </w:r>
      <w:r w:rsidR="00A4102E">
        <w:rPr>
          <w:lang w:val="fr-FR" w:eastAsia="fr-FR"/>
        </w:rPr>
        <w:t> </w:t>
      </w:r>
      <w:r w:rsidR="00826E0F" w:rsidRPr="00872599">
        <w:rPr>
          <w:lang w:val="fr-FR" w:eastAsia="fr-FR"/>
        </w:rPr>
        <w:t>» ne donne plus lieu à controverse depuis quelque temps déjà. Il était clairement réservé aux couples hétérosexuels non mariés mais en raison d</w:t>
      </w:r>
      <w:r w:rsidR="006645B6">
        <w:rPr>
          <w:lang w:val="fr-FR" w:eastAsia="fr-FR"/>
        </w:rPr>
        <w:t>’</w:t>
      </w:r>
      <w:r w:rsidR="00826E0F" w:rsidRPr="00872599">
        <w:rPr>
          <w:lang w:val="fr-FR" w:eastAsia="fr-FR"/>
        </w:rPr>
        <w:t xml:space="preserve">une récente évolution sociale dans de nombreux pays tels que </w:t>
      </w:r>
      <w:smartTag w:uri="urn:schemas-microsoft-com:office:smarttags" w:element="PersonName">
        <w:smartTagPr>
          <w:attr w:name="ProductID" w:val="la Suisse"/>
        </w:smartTagPr>
        <w:r w:rsidR="00826E0F" w:rsidRPr="00872599">
          <w:rPr>
            <w:lang w:val="fr-FR" w:eastAsia="fr-FR"/>
          </w:rPr>
          <w:t>la Suisse</w:t>
        </w:r>
      </w:smartTag>
      <w:r w:rsidR="00826E0F" w:rsidRPr="00872599">
        <w:rPr>
          <w:lang w:val="fr-FR" w:eastAsia="fr-FR"/>
        </w:rPr>
        <w:t>, il a également été étendu aux couples homosexuels non mariés.</w:t>
      </w:r>
    </w:p>
    <w:p w:rsidR="00826E0F" w:rsidRPr="00872599" w:rsidRDefault="002544DB" w:rsidP="00497599">
      <w:pPr>
        <w:pStyle w:val="SingleTxt"/>
        <w:rPr>
          <w:lang w:val="fr-FR" w:eastAsia="fr-FR"/>
        </w:rPr>
      </w:pPr>
      <w:r>
        <w:rPr>
          <w:lang w:val="fr-FR" w:eastAsia="fr-FR"/>
        </w:rPr>
        <w:tab/>
      </w:r>
      <w:r w:rsidR="00826E0F" w:rsidRPr="00872599">
        <w:rPr>
          <w:lang w:val="fr-FR" w:eastAsia="fr-FR"/>
        </w:rPr>
        <w:t>De ce fait, le projet de nouvelle loi sur l</w:t>
      </w:r>
      <w:r w:rsidR="006645B6">
        <w:rPr>
          <w:lang w:val="fr-FR" w:eastAsia="fr-FR"/>
        </w:rPr>
        <w:t>’</w:t>
      </w:r>
      <w:r w:rsidR="00826E0F" w:rsidRPr="00872599">
        <w:rPr>
          <w:lang w:val="fr-FR" w:eastAsia="fr-FR"/>
        </w:rPr>
        <w:t>union civile issu de la consultation définit les termes suivants à utiliser à l</w:t>
      </w:r>
      <w:r w:rsidR="006645B6">
        <w:rPr>
          <w:lang w:val="fr-FR" w:eastAsia="fr-FR"/>
        </w:rPr>
        <w:t>’</w:t>
      </w:r>
      <w:r w:rsidR="00826E0F" w:rsidRPr="00872599">
        <w:rPr>
          <w:lang w:val="fr-FR" w:eastAsia="fr-FR"/>
        </w:rPr>
        <w:t>avenir</w:t>
      </w:r>
      <w:r w:rsidR="006645B6">
        <w:rPr>
          <w:lang w:val="fr-FR" w:eastAsia="fr-FR"/>
        </w:rPr>
        <w:t> :</w:t>
      </w:r>
    </w:p>
    <w:p w:rsidR="002544DB" w:rsidRDefault="002544DB" w:rsidP="002544DB">
      <w:pPr>
        <w:pStyle w:val="SingleTxt"/>
        <w:tabs>
          <w:tab w:val="right" w:pos="1685"/>
        </w:tabs>
        <w:ind w:left="1742" w:hanging="475"/>
        <w:rPr>
          <w:lang w:val="fr-FR" w:eastAsia="fr-FR"/>
        </w:rPr>
      </w:pPr>
      <w:r>
        <w:rPr>
          <w:lang w:val="fr-FR" w:eastAsia="fr-FR"/>
        </w:rPr>
        <w:tab/>
        <w:t>–</w:t>
      </w:r>
      <w:r>
        <w:rPr>
          <w:lang w:val="fr-FR" w:eastAsia="fr-FR"/>
        </w:rPr>
        <w:tab/>
      </w:r>
      <w:r w:rsidR="00826E0F" w:rsidRPr="00872599">
        <w:rPr>
          <w:lang w:val="fr-FR" w:eastAsia="fr-FR"/>
        </w:rPr>
        <w:t>Mariage: conjoint (seulement pour les couples hétérosexuels)</w:t>
      </w:r>
    </w:p>
    <w:p w:rsidR="002544DB" w:rsidRDefault="002544DB" w:rsidP="002544DB">
      <w:pPr>
        <w:pStyle w:val="SingleTxt"/>
        <w:tabs>
          <w:tab w:val="right" w:pos="1685"/>
        </w:tabs>
        <w:ind w:left="1742" w:hanging="475"/>
        <w:rPr>
          <w:lang w:val="fr-FR" w:eastAsia="fr-FR"/>
        </w:rPr>
      </w:pPr>
      <w:r>
        <w:rPr>
          <w:lang w:val="fr-FR" w:eastAsia="fr-FR"/>
        </w:rPr>
        <w:tab/>
        <w:t>–</w:t>
      </w:r>
      <w:r>
        <w:rPr>
          <w:lang w:val="fr-FR" w:eastAsia="fr-FR"/>
        </w:rPr>
        <w:tab/>
      </w:r>
      <w:r w:rsidR="00826E0F" w:rsidRPr="00872599">
        <w:rPr>
          <w:lang w:val="fr-FR" w:eastAsia="fr-FR"/>
        </w:rPr>
        <w:t>Partenariat enregistré</w:t>
      </w:r>
      <w:r w:rsidR="006645B6">
        <w:rPr>
          <w:lang w:val="fr-FR" w:eastAsia="fr-FR"/>
        </w:rPr>
        <w:t> :</w:t>
      </w:r>
      <w:r w:rsidR="00826E0F" w:rsidRPr="00872599">
        <w:rPr>
          <w:lang w:val="fr-FR" w:eastAsia="fr-FR"/>
        </w:rPr>
        <w:t xml:space="preserve"> partenaire enregistré (seulement pour les couples homosexuels)</w:t>
      </w:r>
    </w:p>
    <w:p w:rsidR="00826E0F" w:rsidRPr="00872599" w:rsidRDefault="002544DB" w:rsidP="002544DB">
      <w:pPr>
        <w:pStyle w:val="SingleTxt"/>
        <w:tabs>
          <w:tab w:val="right" w:pos="1685"/>
        </w:tabs>
        <w:ind w:left="1742" w:hanging="475"/>
        <w:rPr>
          <w:lang w:val="fr-FR" w:eastAsia="fr-FR"/>
        </w:rPr>
      </w:pPr>
      <w:r>
        <w:rPr>
          <w:lang w:val="fr-FR" w:eastAsia="fr-FR"/>
        </w:rPr>
        <w:tab/>
        <w:t>–</w:t>
      </w:r>
      <w:r>
        <w:rPr>
          <w:lang w:val="fr-FR" w:eastAsia="fr-FR"/>
        </w:rPr>
        <w:tab/>
      </w:r>
      <w:r w:rsidR="00826E0F" w:rsidRPr="00872599">
        <w:rPr>
          <w:lang w:val="fr-FR" w:eastAsia="fr-FR"/>
        </w:rPr>
        <w:t>Union de fait</w:t>
      </w:r>
      <w:r w:rsidR="006645B6">
        <w:rPr>
          <w:lang w:val="fr-FR" w:eastAsia="fr-FR"/>
        </w:rPr>
        <w:t> :</w:t>
      </w:r>
      <w:r w:rsidR="00826E0F" w:rsidRPr="00872599">
        <w:rPr>
          <w:lang w:val="fr-FR" w:eastAsia="fr-FR"/>
        </w:rPr>
        <w:t xml:space="preserve"> personnes vivant en union de fait (tant les couples hétérosexuels qu</w:t>
      </w:r>
      <w:r w:rsidR="006645B6">
        <w:rPr>
          <w:lang w:val="fr-FR" w:eastAsia="fr-FR"/>
        </w:rPr>
        <w:t>’</w:t>
      </w:r>
      <w:r w:rsidR="00826E0F" w:rsidRPr="00872599">
        <w:rPr>
          <w:lang w:val="fr-FR" w:eastAsia="fr-FR"/>
        </w:rPr>
        <w:t>homosexuels)</w:t>
      </w:r>
    </w:p>
    <w:p w:rsidR="00826E0F" w:rsidRPr="00872599" w:rsidRDefault="002544DB" w:rsidP="00497599">
      <w:pPr>
        <w:pStyle w:val="SingleTxt"/>
        <w:rPr>
          <w:lang w:val="fr-FR" w:eastAsia="fr-FR"/>
        </w:rPr>
      </w:pPr>
      <w:r>
        <w:rPr>
          <w:lang w:val="fr-FR" w:eastAsia="fr-FR"/>
        </w:rPr>
        <w:tab/>
      </w:r>
      <w:r w:rsidR="00826E0F" w:rsidRPr="00872599">
        <w:rPr>
          <w:lang w:val="fr-FR" w:eastAsia="fr-FR"/>
        </w:rPr>
        <w:t>L</w:t>
      </w:r>
      <w:r w:rsidR="006645B6">
        <w:rPr>
          <w:lang w:val="fr-FR" w:eastAsia="fr-FR"/>
        </w:rPr>
        <w:t>’</w:t>
      </w:r>
      <w:r w:rsidR="00826E0F" w:rsidRPr="00872599">
        <w:rPr>
          <w:lang w:val="fr-FR" w:eastAsia="fr-FR"/>
        </w:rPr>
        <w:t xml:space="preserve">expression </w:t>
      </w:r>
      <w:r w:rsidR="00A4102E">
        <w:rPr>
          <w:lang w:val="fr-FR" w:eastAsia="fr-FR"/>
        </w:rPr>
        <w:t>« </w:t>
      </w:r>
      <w:r w:rsidR="00826E0F" w:rsidRPr="00872599">
        <w:rPr>
          <w:lang w:val="fr-FR" w:eastAsia="fr-FR"/>
        </w:rPr>
        <w:t>union de fait</w:t>
      </w:r>
      <w:r w:rsidR="006645B6">
        <w:rPr>
          <w:lang w:val="fr-FR" w:eastAsia="fr-FR"/>
        </w:rPr>
        <w:t> »</w:t>
      </w:r>
      <w:r w:rsidR="00826E0F" w:rsidRPr="00872599">
        <w:rPr>
          <w:lang w:val="fr-FR" w:eastAsia="fr-FR"/>
        </w:rPr>
        <w:t xml:space="preserve"> vise donc deux personnes qui, vivant une relation semblable au mariage, ont décidé de ne pas contracter mariage ni d</w:t>
      </w:r>
      <w:r w:rsidR="006645B6">
        <w:rPr>
          <w:lang w:val="fr-FR" w:eastAsia="fr-FR"/>
        </w:rPr>
        <w:t>’</w:t>
      </w:r>
      <w:r w:rsidR="00826E0F" w:rsidRPr="00872599">
        <w:rPr>
          <w:lang w:val="fr-FR" w:eastAsia="fr-FR"/>
        </w:rPr>
        <w:t>entrer dans un partenariat enregistré. C</w:t>
      </w:r>
      <w:r w:rsidR="006645B6">
        <w:rPr>
          <w:lang w:val="fr-FR" w:eastAsia="fr-FR"/>
        </w:rPr>
        <w:t>’</w:t>
      </w:r>
      <w:r w:rsidR="00826E0F" w:rsidRPr="00872599">
        <w:rPr>
          <w:lang w:val="fr-FR" w:eastAsia="fr-FR"/>
        </w:rPr>
        <w:t xml:space="preserve">est donc cette expression qui sera utilisée dorénavant au Liechtenstein à la place de </w:t>
      </w:r>
      <w:r w:rsidR="00A4102E">
        <w:rPr>
          <w:lang w:val="fr-FR" w:eastAsia="fr-FR"/>
        </w:rPr>
        <w:t>« </w:t>
      </w:r>
      <w:r w:rsidR="00826E0F" w:rsidRPr="00872599">
        <w:rPr>
          <w:lang w:val="fr-FR" w:eastAsia="fr-FR"/>
        </w:rPr>
        <w:t>concubinage» .</w:t>
      </w:r>
    </w:p>
    <w:p w:rsidR="00826E0F" w:rsidRPr="00872599" w:rsidRDefault="002544DB" w:rsidP="00497599">
      <w:pPr>
        <w:pStyle w:val="SingleTxt"/>
        <w:rPr>
          <w:lang w:val="fr-FR" w:eastAsia="fr-FR"/>
        </w:rPr>
      </w:pPr>
      <w:r>
        <w:rPr>
          <w:lang w:val="fr-FR" w:eastAsia="fr-FR"/>
        </w:rPr>
        <w:tab/>
      </w:r>
      <w:r w:rsidR="00826E0F" w:rsidRPr="00872599">
        <w:rPr>
          <w:lang w:val="fr-FR" w:eastAsia="fr-FR"/>
        </w:rPr>
        <w:t>Ces remarques préliminaires n</w:t>
      </w:r>
      <w:r w:rsidR="006645B6">
        <w:rPr>
          <w:lang w:val="fr-FR" w:eastAsia="fr-FR"/>
        </w:rPr>
        <w:t>’</w:t>
      </w:r>
      <w:r w:rsidR="00826E0F" w:rsidRPr="00872599">
        <w:rPr>
          <w:lang w:val="fr-FR" w:eastAsia="fr-FR"/>
        </w:rPr>
        <w:t>ont pour but que d</w:t>
      </w:r>
      <w:r w:rsidR="006645B6">
        <w:rPr>
          <w:lang w:val="fr-FR" w:eastAsia="fr-FR"/>
        </w:rPr>
        <w:t>’</w:t>
      </w:r>
      <w:r w:rsidR="00826E0F" w:rsidRPr="00872599">
        <w:rPr>
          <w:lang w:val="fr-FR" w:eastAsia="fr-FR"/>
        </w:rPr>
        <w:t>apporter des éclaircissements. Les questions qui suivent ne concernent que les couples hétérosexuels non mariés.</w:t>
      </w:r>
    </w:p>
    <w:p w:rsidR="00826E0F" w:rsidRPr="00872599" w:rsidRDefault="002544DB" w:rsidP="00497599">
      <w:pPr>
        <w:pStyle w:val="SingleTxt"/>
        <w:rPr>
          <w:lang w:val="fr-FR" w:eastAsia="fr-FR"/>
        </w:rPr>
      </w:pPr>
      <w:r>
        <w:rPr>
          <w:lang w:val="fr-FR" w:eastAsia="fr-FR"/>
        </w:rPr>
        <w:tab/>
      </w:r>
      <w:r w:rsidR="00826E0F" w:rsidRPr="00872599">
        <w:rPr>
          <w:lang w:val="fr-FR" w:eastAsia="fr-FR"/>
        </w:rPr>
        <w:t>Les couples vivant ensemble sans être mariés ne suscitent pas l</w:t>
      </w:r>
      <w:r w:rsidR="006645B6">
        <w:rPr>
          <w:lang w:val="fr-FR" w:eastAsia="fr-FR"/>
        </w:rPr>
        <w:t>’</w:t>
      </w:r>
      <w:r w:rsidR="00826E0F" w:rsidRPr="00872599">
        <w:rPr>
          <w:lang w:val="fr-FR" w:eastAsia="fr-FR"/>
        </w:rPr>
        <w:t>opprobre au Liechtenstein. L</w:t>
      </w:r>
      <w:r w:rsidR="006645B6">
        <w:rPr>
          <w:lang w:val="fr-FR" w:eastAsia="fr-FR"/>
        </w:rPr>
        <w:t>’</w:t>
      </w:r>
      <w:r w:rsidR="00826E0F" w:rsidRPr="00872599">
        <w:rPr>
          <w:lang w:val="fr-FR" w:eastAsia="fr-FR"/>
        </w:rPr>
        <w:t xml:space="preserve">union de fait (hétérosexuelle) est un mode de vie assez largement répandu, notamment </w:t>
      </w:r>
      <w:r w:rsidR="00826E0F">
        <w:rPr>
          <w:lang w:val="fr-FR" w:eastAsia="fr-FR"/>
        </w:rPr>
        <w:t xml:space="preserve">chez </w:t>
      </w:r>
      <w:r w:rsidR="00826E0F" w:rsidRPr="00872599">
        <w:rPr>
          <w:lang w:val="fr-FR" w:eastAsia="fr-FR"/>
        </w:rPr>
        <w:t>les jeunes couples. Dans certains domaines du droit, ces couples sont défavorisés par rapport aux couples mariés. Toutefois, ces derniers sont également défavorisés à certains égards par rapport aux couples non mariés. C</w:t>
      </w:r>
      <w:r w:rsidR="006645B6">
        <w:rPr>
          <w:lang w:val="fr-FR" w:eastAsia="fr-FR"/>
        </w:rPr>
        <w:t>’</w:t>
      </w:r>
      <w:r w:rsidR="00826E0F" w:rsidRPr="00872599">
        <w:rPr>
          <w:lang w:val="fr-FR" w:eastAsia="fr-FR"/>
        </w:rPr>
        <w:t>est ainsi que les couples mariés peuvent être désavantagés au plan fiscal. Lorsque des couples non mariés souhaitent consolider leurs relations financières et juridiques mutuelles, ils ont la possibilité de le faire au moyen d</w:t>
      </w:r>
      <w:r w:rsidR="006645B6">
        <w:rPr>
          <w:lang w:val="fr-FR" w:eastAsia="fr-FR"/>
        </w:rPr>
        <w:t>’</w:t>
      </w:r>
      <w:r w:rsidR="00826E0F" w:rsidRPr="00872599">
        <w:rPr>
          <w:lang w:val="fr-FR" w:eastAsia="fr-FR"/>
        </w:rPr>
        <w:t>un contrat. Le Bureau d</w:t>
      </w:r>
      <w:r w:rsidR="006645B6">
        <w:rPr>
          <w:lang w:val="fr-FR" w:eastAsia="fr-FR"/>
        </w:rPr>
        <w:t>’</w:t>
      </w:r>
      <w:r w:rsidR="00826E0F" w:rsidRPr="00872599">
        <w:rPr>
          <w:lang w:val="fr-FR" w:eastAsia="fr-FR"/>
        </w:rPr>
        <w:t>information et de contact pour les femmes fournit une brochure d</w:t>
      </w:r>
      <w:r w:rsidR="006645B6">
        <w:rPr>
          <w:lang w:val="fr-FR" w:eastAsia="fr-FR"/>
        </w:rPr>
        <w:t>’</w:t>
      </w:r>
      <w:r w:rsidR="00826E0F" w:rsidRPr="00872599">
        <w:rPr>
          <w:lang w:val="fr-FR" w:eastAsia="fr-FR"/>
        </w:rPr>
        <w:t>information sur l</w:t>
      </w:r>
      <w:r w:rsidR="006645B6">
        <w:rPr>
          <w:lang w:val="fr-FR" w:eastAsia="fr-FR"/>
        </w:rPr>
        <w:t>’</w:t>
      </w:r>
      <w:r w:rsidR="00826E0F" w:rsidRPr="00872599">
        <w:rPr>
          <w:lang w:val="fr-FR" w:eastAsia="fr-FR"/>
        </w:rPr>
        <w:t xml:space="preserve">union de fait (actuellement appelée </w:t>
      </w:r>
      <w:r w:rsidR="00A4102E">
        <w:rPr>
          <w:lang w:val="fr-FR" w:eastAsia="fr-FR"/>
        </w:rPr>
        <w:t>« </w:t>
      </w:r>
      <w:r w:rsidR="00826E0F" w:rsidRPr="00872599">
        <w:rPr>
          <w:lang w:val="fr-FR" w:eastAsia="fr-FR"/>
        </w:rPr>
        <w:t>concubinage</w:t>
      </w:r>
      <w:r w:rsidR="00A4102E">
        <w:rPr>
          <w:lang w:val="fr-FR" w:eastAsia="fr-FR"/>
        </w:rPr>
        <w:t> </w:t>
      </w:r>
      <w:r w:rsidR="00826E0F" w:rsidRPr="00872599">
        <w:rPr>
          <w:lang w:val="fr-FR" w:eastAsia="fr-FR"/>
        </w:rPr>
        <w:t>» ), qui porte sur la situation propre au Liechtenstein et peut être obtenue gratuitement sur l</w:t>
      </w:r>
      <w:r w:rsidR="006645B6">
        <w:rPr>
          <w:lang w:val="fr-FR" w:eastAsia="fr-FR"/>
        </w:rPr>
        <w:t>’</w:t>
      </w:r>
      <w:r w:rsidR="00826E0F" w:rsidRPr="00872599">
        <w:rPr>
          <w:lang w:val="fr-FR" w:eastAsia="fr-FR"/>
        </w:rPr>
        <w:t>Internet. Ces dernières années, certaines améliorations ont été apportées en ce qui concerne la situation des personnes vivant en union de fait. Depuis quelques années, par exemple, les citoyens du Liechtenstein et les résidents suisses ainsi que les citoyens de l</w:t>
      </w:r>
      <w:r w:rsidR="006645B6">
        <w:rPr>
          <w:lang w:val="fr-FR" w:eastAsia="fr-FR"/>
        </w:rPr>
        <w:t>’</w:t>
      </w:r>
      <w:r w:rsidR="00826E0F" w:rsidRPr="00872599">
        <w:rPr>
          <w:lang w:val="fr-FR" w:eastAsia="fr-FR"/>
        </w:rPr>
        <w:t>espace économique européen ont pu obtenir dans certaines circonstances le droit de résidence pour leur partenaire stable étranger. Depuis l</w:t>
      </w:r>
      <w:r w:rsidR="006645B6">
        <w:rPr>
          <w:lang w:val="fr-FR" w:eastAsia="fr-FR"/>
        </w:rPr>
        <w:t>’</w:t>
      </w:r>
      <w:r w:rsidR="00826E0F" w:rsidRPr="00872599">
        <w:rPr>
          <w:lang w:val="fr-FR" w:eastAsia="fr-FR"/>
        </w:rPr>
        <w:t>entrée en vigueur le 1er janvier 2009 de l</w:t>
      </w:r>
      <w:r w:rsidR="006645B6">
        <w:rPr>
          <w:lang w:val="fr-FR" w:eastAsia="fr-FR"/>
        </w:rPr>
        <w:t>’</w:t>
      </w:r>
      <w:r w:rsidR="00826E0F" w:rsidRPr="00872599">
        <w:rPr>
          <w:lang w:val="fr-FR" w:eastAsia="fr-FR"/>
        </w:rPr>
        <w:t>amendement portant modification de la loi sur l</w:t>
      </w:r>
      <w:r w:rsidR="006645B6">
        <w:rPr>
          <w:lang w:val="fr-FR" w:eastAsia="fr-FR"/>
        </w:rPr>
        <w:t>’</w:t>
      </w:r>
      <w:r w:rsidR="00826E0F" w:rsidRPr="00872599">
        <w:rPr>
          <w:lang w:val="fr-FR" w:eastAsia="fr-FR"/>
        </w:rPr>
        <w:t>assurance vieillesse pour les employés de l</w:t>
      </w:r>
      <w:r w:rsidR="006645B6">
        <w:rPr>
          <w:lang w:val="fr-FR" w:eastAsia="fr-FR"/>
        </w:rPr>
        <w:t>’</w:t>
      </w:r>
      <w:r w:rsidR="00826E0F" w:rsidRPr="00872599">
        <w:rPr>
          <w:lang w:val="fr-FR" w:eastAsia="fr-FR"/>
        </w:rPr>
        <w:t>État, les partenaires stables des assurés peuvent prétendre à un</w:t>
      </w:r>
      <w:r w:rsidR="00826E0F">
        <w:rPr>
          <w:lang w:val="fr-FR" w:eastAsia="fr-FR"/>
        </w:rPr>
        <w:t>e pension de partenaire stable</w:t>
      </w:r>
      <w:r w:rsidR="00826E0F" w:rsidRPr="00872599">
        <w:rPr>
          <w:lang w:val="fr-FR" w:eastAsia="fr-FR"/>
        </w:rPr>
        <w:t xml:space="preserve"> en cas de décès de l</w:t>
      </w:r>
      <w:r w:rsidR="006645B6">
        <w:rPr>
          <w:lang w:val="fr-FR" w:eastAsia="fr-FR"/>
        </w:rPr>
        <w:t>’</w:t>
      </w:r>
      <w:r w:rsidR="00826E0F" w:rsidRPr="00872599">
        <w:rPr>
          <w:lang w:val="fr-FR" w:eastAsia="fr-FR"/>
        </w:rPr>
        <w:t>assuré. La nouvelle loi de succession éliminera la restriction applicable aux conjoints et aux fiancé(e)s et tant les couples hétérosexuels non mariés que les couples du même sexe pourront se prévaloir de la nouvelle loi de succession (voir également les rema</w:t>
      </w:r>
      <w:r w:rsidR="00826E0F">
        <w:rPr>
          <w:lang w:val="fr-FR" w:eastAsia="fr-FR"/>
        </w:rPr>
        <w:t xml:space="preserve">rques concernant </w:t>
      </w:r>
      <w:r w:rsidR="00826E0F" w:rsidRPr="00872599">
        <w:rPr>
          <w:lang w:val="fr-FR" w:eastAsia="fr-FR"/>
        </w:rPr>
        <w:t>l</w:t>
      </w:r>
      <w:r w:rsidR="006645B6">
        <w:rPr>
          <w:lang w:val="fr-FR" w:eastAsia="fr-FR"/>
        </w:rPr>
        <w:t>’</w:t>
      </w:r>
      <w:r w:rsidR="00826E0F" w:rsidRPr="00872599">
        <w:rPr>
          <w:lang w:val="fr-FR" w:eastAsia="fr-FR"/>
        </w:rPr>
        <w:t>article 2).</w:t>
      </w:r>
    </w:p>
    <w:p w:rsidR="00826E0F" w:rsidRPr="00872599" w:rsidRDefault="002544DB" w:rsidP="00497599">
      <w:pPr>
        <w:pStyle w:val="SingleTxt"/>
        <w:rPr>
          <w:lang w:val="fr-FR" w:eastAsia="fr-FR"/>
        </w:rPr>
      </w:pPr>
      <w:r>
        <w:rPr>
          <w:lang w:val="fr-FR" w:eastAsia="fr-FR"/>
        </w:rPr>
        <w:tab/>
      </w:r>
      <w:r w:rsidR="00826E0F" w:rsidRPr="00872599">
        <w:rPr>
          <w:lang w:val="fr-FR" w:eastAsia="fr-FR"/>
        </w:rPr>
        <w:t>Les couples hétérosexuels non mariés peuvent espérer d</w:t>
      </w:r>
      <w:r w:rsidR="006645B6">
        <w:rPr>
          <w:lang w:val="fr-FR" w:eastAsia="fr-FR"/>
        </w:rPr>
        <w:t>’</w:t>
      </w:r>
      <w:r w:rsidR="00826E0F" w:rsidRPr="00872599">
        <w:rPr>
          <w:lang w:val="fr-FR" w:eastAsia="fr-FR"/>
        </w:rPr>
        <w:t>autres améliorations de leur situation dans le cadre de la loi sur l</w:t>
      </w:r>
      <w:r w:rsidR="006645B6">
        <w:rPr>
          <w:lang w:val="fr-FR" w:eastAsia="fr-FR"/>
        </w:rPr>
        <w:t>’</w:t>
      </w:r>
      <w:r w:rsidR="00826E0F" w:rsidRPr="00872599">
        <w:rPr>
          <w:lang w:val="fr-FR" w:eastAsia="fr-FR"/>
        </w:rPr>
        <w:t>union civile susmentionnée. Les règles juridiques régissant la situation des couples hétérosexuels non mariés ont été délibérément omises dans la loi sur l</w:t>
      </w:r>
      <w:r w:rsidR="006645B6">
        <w:rPr>
          <w:lang w:val="fr-FR" w:eastAsia="fr-FR"/>
        </w:rPr>
        <w:t>’</w:t>
      </w:r>
      <w:r w:rsidR="00826E0F" w:rsidRPr="00872599">
        <w:rPr>
          <w:lang w:val="fr-FR" w:eastAsia="fr-FR"/>
        </w:rPr>
        <w:t>union civile mais le projet global comprendra également plusieurs règles juridiques à l</w:t>
      </w:r>
      <w:r w:rsidR="006645B6">
        <w:rPr>
          <w:lang w:val="fr-FR" w:eastAsia="fr-FR"/>
        </w:rPr>
        <w:t>’</w:t>
      </w:r>
      <w:r w:rsidR="00826E0F" w:rsidRPr="00872599">
        <w:rPr>
          <w:lang w:val="fr-FR" w:eastAsia="fr-FR"/>
        </w:rPr>
        <w:t>intention des couples hétérosexuels non mariés. Par exemple, ces couples se verront accorder le droit de refuser de témoigner comme c</w:t>
      </w:r>
      <w:r w:rsidR="006645B6">
        <w:rPr>
          <w:lang w:val="fr-FR" w:eastAsia="fr-FR"/>
        </w:rPr>
        <w:t>’</w:t>
      </w:r>
      <w:r w:rsidR="00826E0F" w:rsidRPr="00872599">
        <w:rPr>
          <w:lang w:val="fr-FR" w:eastAsia="fr-FR"/>
        </w:rPr>
        <w:t>est le cas des conjoints et des couples enregistrés. Le fait qu</w:t>
      </w:r>
      <w:r w:rsidR="006645B6">
        <w:rPr>
          <w:lang w:val="fr-FR" w:eastAsia="fr-FR"/>
        </w:rPr>
        <w:t>’</w:t>
      </w:r>
      <w:r w:rsidR="00826E0F" w:rsidRPr="00872599">
        <w:rPr>
          <w:lang w:val="fr-FR" w:eastAsia="fr-FR"/>
        </w:rPr>
        <w:t>une personne puisse être contrainte à apporter des preuves à charge contre son partenaire permanent est inacceptable et ne permet</w:t>
      </w:r>
      <w:r w:rsidR="00826E0F">
        <w:rPr>
          <w:lang w:val="fr-FR" w:eastAsia="fr-FR"/>
        </w:rPr>
        <w:t xml:space="preserve"> probablement pas </w:t>
      </w:r>
      <w:r w:rsidR="00826E0F" w:rsidRPr="00872599">
        <w:rPr>
          <w:lang w:val="fr-FR" w:eastAsia="fr-FR"/>
        </w:rPr>
        <w:t>de mieux trouver la vérité. De ce fait, le Code de procédure pénale et le Code de procédure civile seront modifiés dans le cadre de la nouvelle loi sur l</w:t>
      </w:r>
      <w:r w:rsidR="006645B6">
        <w:rPr>
          <w:lang w:val="fr-FR" w:eastAsia="fr-FR"/>
        </w:rPr>
        <w:t>’</w:t>
      </w:r>
      <w:r w:rsidR="00826E0F" w:rsidRPr="00872599">
        <w:rPr>
          <w:lang w:val="fr-FR" w:eastAsia="fr-FR"/>
        </w:rPr>
        <w:t>union civile .</w:t>
      </w:r>
    </w:p>
    <w:p w:rsidR="002544DB" w:rsidRPr="002544DB" w:rsidRDefault="002544DB" w:rsidP="002544DB">
      <w:pPr>
        <w:pStyle w:val="SingleTxt"/>
        <w:spacing w:after="0" w:line="120" w:lineRule="exact"/>
        <w:rPr>
          <w:rFonts w:ascii="Arial" w:hAnsi="Arial" w:cs="Arial"/>
          <w:sz w:val="10"/>
          <w:lang w:val="fr-FR" w:eastAsia="fr-FR"/>
        </w:rPr>
      </w:pPr>
    </w:p>
    <w:p w:rsidR="00826E0F" w:rsidRPr="00872599" w:rsidRDefault="002544DB" w:rsidP="002544D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bookmarkStart w:id="43" w:name="_Toc239741037"/>
      <w:r>
        <w:rPr>
          <w:lang w:val="fr-FR"/>
        </w:rPr>
        <w:tab/>
      </w:r>
      <w:r w:rsidR="00826E0F" w:rsidRPr="00872599">
        <w:rPr>
          <w:lang w:val="fr-FR"/>
        </w:rPr>
        <w:t>Article 24</w:t>
      </w:r>
      <w:r w:rsidR="003D3458">
        <w:rPr>
          <w:lang w:val="fr-FR"/>
        </w:rPr>
        <w:t>.</w:t>
      </w:r>
      <w:r w:rsidR="00826E0F" w:rsidRPr="00872599">
        <w:rPr>
          <w:lang w:val="fr-FR"/>
        </w:rPr>
        <w:tab/>
      </w:r>
      <w:bookmarkEnd w:id="43"/>
      <w:r w:rsidR="00826E0F" w:rsidRPr="00872599">
        <w:rPr>
          <w:lang w:val="fr-FR"/>
        </w:rPr>
        <w:t>Sensibilisation du public</w:t>
      </w:r>
    </w:p>
    <w:p w:rsidR="002544DB" w:rsidRPr="002544DB" w:rsidRDefault="002544DB" w:rsidP="002544DB">
      <w:pPr>
        <w:pStyle w:val="SingleTxt"/>
        <w:spacing w:after="0" w:line="120" w:lineRule="exact"/>
        <w:rPr>
          <w:sz w:val="10"/>
          <w:lang w:val="fr-FR"/>
        </w:rPr>
      </w:pPr>
    </w:p>
    <w:p w:rsidR="00B77E50" w:rsidRPr="00B77E50" w:rsidRDefault="00B77E50" w:rsidP="00B77E50">
      <w:pPr>
        <w:pStyle w:val="SingleTxt"/>
        <w:pBdr>
          <w:top w:val="single" w:sz="4" w:space="1" w:color="auto"/>
          <w:left w:val="single" w:sz="4" w:space="4" w:color="auto"/>
          <w:bottom w:val="single" w:sz="4" w:space="1" w:color="auto"/>
          <w:right w:val="single" w:sz="4" w:space="4" w:color="auto"/>
        </w:pBdr>
        <w:spacing w:after="0" w:line="120" w:lineRule="exact"/>
        <w:rPr>
          <w:sz w:val="10"/>
          <w:lang w:val="fr-FR"/>
        </w:rPr>
      </w:pPr>
    </w:p>
    <w:p w:rsidR="00826E0F" w:rsidRPr="00A4102E" w:rsidRDefault="00826E0F" w:rsidP="00B77E50">
      <w:pPr>
        <w:pStyle w:val="SingleTxt"/>
        <w:pBdr>
          <w:top w:val="single" w:sz="4" w:space="1" w:color="auto"/>
          <w:left w:val="single" w:sz="4" w:space="4" w:color="auto"/>
          <w:bottom w:val="single" w:sz="4" w:space="1" w:color="auto"/>
          <w:right w:val="single" w:sz="4" w:space="4" w:color="auto"/>
        </w:pBdr>
        <w:rPr>
          <w:b/>
          <w:sz w:val="18"/>
          <w:szCs w:val="18"/>
          <w:lang w:val="fr-FR"/>
        </w:rPr>
      </w:pPr>
      <w:r w:rsidRPr="00A4102E">
        <w:rPr>
          <w:b/>
          <w:sz w:val="18"/>
          <w:szCs w:val="18"/>
          <w:lang w:val="fr-FR"/>
        </w:rPr>
        <w:t xml:space="preserve">Recommandation du Comité de </w:t>
      </w:r>
      <w:smartTag w:uri="urn:schemas-microsoft-com:office:smarttags" w:element="PersonName">
        <w:smartTagPr>
          <w:attr w:name="ProductID" w:val="la CEDAW"/>
        </w:smartTagPr>
        <w:r w:rsidRPr="00A4102E">
          <w:rPr>
            <w:b/>
            <w:sz w:val="18"/>
            <w:szCs w:val="18"/>
            <w:lang w:val="fr-FR"/>
          </w:rPr>
          <w:t>la CEDAW</w:t>
        </w:r>
      </w:smartTag>
      <w:r w:rsidRPr="00A4102E">
        <w:rPr>
          <w:b/>
          <w:sz w:val="18"/>
          <w:szCs w:val="18"/>
          <w:lang w:val="fr-FR"/>
        </w:rPr>
        <w:t>, n</w:t>
      </w:r>
      <w:r w:rsidRPr="00A4102E">
        <w:rPr>
          <w:b/>
          <w:sz w:val="18"/>
          <w:szCs w:val="18"/>
          <w:vertAlign w:val="superscript"/>
          <w:lang w:val="fr-FR"/>
        </w:rPr>
        <w:t>o</w:t>
      </w:r>
      <w:r w:rsidR="006645B6" w:rsidRPr="00A4102E">
        <w:rPr>
          <w:b/>
          <w:sz w:val="18"/>
          <w:szCs w:val="18"/>
          <w:vertAlign w:val="superscript"/>
          <w:lang w:val="fr-FR"/>
        </w:rPr>
        <w:t xml:space="preserve"> </w:t>
      </w:r>
      <w:r w:rsidRPr="00A4102E">
        <w:rPr>
          <w:b/>
          <w:sz w:val="18"/>
          <w:szCs w:val="18"/>
          <w:lang w:val="fr-FR"/>
        </w:rPr>
        <w:t>10</w:t>
      </w:r>
      <w:r w:rsidR="003D3458">
        <w:rPr>
          <w:b/>
          <w:sz w:val="18"/>
          <w:szCs w:val="18"/>
          <w:lang w:val="fr-FR"/>
        </w:rPr>
        <w:t> </w:t>
      </w:r>
      <w:r w:rsidRPr="00A4102E">
        <w:rPr>
          <w:b/>
          <w:sz w:val="18"/>
          <w:szCs w:val="18"/>
          <w:lang w:val="fr-FR"/>
        </w:rPr>
        <w:t xml:space="preserve">: </w:t>
      </w:r>
    </w:p>
    <w:p w:rsidR="00826E0F" w:rsidRPr="00A4102E" w:rsidRDefault="00826E0F" w:rsidP="00B77E50">
      <w:pPr>
        <w:pStyle w:val="SingleTxt"/>
        <w:pBdr>
          <w:top w:val="single" w:sz="4" w:space="1" w:color="auto"/>
          <w:left w:val="single" w:sz="4" w:space="4" w:color="auto"/>
          <w:bottom w:val="single" w:sz="4" w:space="1" w:color="auto"/>
          <w:right w:val="single" w:sz="4" w:space="4" w:color="auto"/>
        </w:pBdr>
        <w:rPr>
          <w:i/>
          <w:sz w:val="18"/>
          <w:szCs w:val="18"/>
          <w:lang w:val="fr-FR"/>
        </w:rPr>
      </w:pPr>
      <w:r w:rsidRPr="00A4102E">
        <w:rPr>
          <w:i/>
          <w:sz w:val="18"/>
          <w:szCs w:val="18"/>
          <w:lang w:val="fr-FR"/>
        </w:rPr>
        <w:t>Le Comité invite instamment l</w:t>
      </w:r>
      <w:r w:rsidR="006645B6" w:rsidRPr="00A4102E">
        <w:rPr>
          <w:i/>
          <w:sz w:val="18"/>
          <w:szCs w:val="18"/>
          <w:lang w:val="fr-FR"/>
        </w:rPr>
        <w:t>’</w:t>
      </w:r>
      <w:r w:rsidRPr="00A4102E">
        <w:rPr>
          <w:i/>
          <w:sz w:val="18"/>
          <w:szCs w:val="18"/>
          <w:lang w:val="fr-FR"/>
        </w:rPr>
        <w:t>État partie à mettre davantage l</w:t>
      </w:r>
      <w:r w:rsidR="006645B6" w:rsidRPr="00A4102E">
        <w:rPr>
          <w:i/>
          <w:sz w:val="18"/>
          <w:szCs w:val="18"/>
          <w:lang w:val="fr-FR"/>
        </w:rPr>
        <w:t>’</w:t>
      </w:r>
      <w:r w:rsidRPr="00A4102E">
        <w:rPr>
          <w:i/>
          <w:sz w:val="18"/>
          <w:szCs w:val="18"/>
          <w:lang w:val="fr-FR"/>
        </w:rPr>
        <w:t>accent dans les efforts qu</w:t>
      </w:r>
      <w:r w:rsidR="006645B6" w:rsidRPr="00A4102E">
        <w:rPr>
          <w:i/>
          <w:sz w:val="18"/>
          <w:szCs w:val="18"/>
          <w:lang w:val="fr-FR"/>
        </w:rPr>
        <w:t>’</w:t>
      </w:r>
      <w:r w:rsidRPr="00A4102E">
        <w:rPr>
          <w:i/>
          <w:sz w:val="18"/>
          <w:szCs w:val="18"/>
          <w:lang w:val="fr-FR"/>
        </w:rPr>
        <w:t>il déploie pour instaurer l</w:t>
      </w:r>
      <w:r w:rsidR="006645B6" w:rsidRPr="00A4102E">
        <w:rPr>
          <w:i/>
          <w:sz w:val="18"/>
          <w:szCs w:val="18"/>
          <w:lang w:val="fr-FR"/>
        </w:rPr>
        <w:t>’</w:t>
      </w:r>
      <w:r w:rsidRPr="00A4102E">
        <w:rPr>
          <w:i/>
          <w:sz w:val="18"/>
          <w:szCs w:val="18"/>
          <w:lang w:val="fr-FR"/>
        </w:rPr>
        <w:t xml:space="preserve">égalité des sexes sur </w:t>
      </w:r>
      <w:smartTag w:uri="urn:schemas-microsoft-com:office:smarttags" w:element="PersonName">
        <w:smartTagPr>
          <w:attr w:name="ProductID" w:val="la Convention"/>
        </w:smartTagPr>
        <w:r w:rsidRPr="00A4102E">
          <w:rPr>
            <w:i/>
            <w:sz w:val="18"/>
            <w:szCs w:val="18"/>
            <w:lang w:val="fr-FR"/>
          </w:rPr>
          <w:t>la Convention</w:t>
        </w:r>
      </w:smartTag>
      <w:r w:rsidRPr="00A4102E">
        <w:rPr>
          <w:i/>
          <w:sz w:val="18"/>
          <w:szCs w:val="18"/>
          <w:lang w:val="fr-FR"/>
        </w:rPr>
        <w:t xml:space="preserve"> en tant qu</w:t>
      </w:r>
      <w:r w:rsidR="006645B6" w:rsidRPr="00A4102E">
        <w:rPr>
          <w:i/>
          <w:sz w:val="18"/>
          <w:szCs w:val="18"/>
          <w:lang w:val="fr-FR"/>
        </w:rPr>
        <w:t>’</w:t>
      </w:r>
      <w:r w:rsidRPr="00A4102E">
        <w:rPr>
          <w:i/>
          <w:sz w:val="18"/>
          <w:szCs w:val="18"/>
          <w:lang w:val="fr-FR"/>
        </w:rPr>
        <w:t>instrument relatif aux droits de l</w:t>
      </w:r>
      <w:r w:rsidR="006645B6" w:rsidRPr="00A4102E">
        <w:rPr>
          <w:i/>
          <w:sz w:val="18"/>
          <w:szCs w:val="18"/>
          <w:lang w:val="fr-FR"/>
        </w:rPr>
        <w:t>’</w:t>
      </w:r>
      <w:r w:rsidRPr="00A4102E">
        <w:rPr>
          <w:i/>
          <w:sz w:val="18"/>
          <w:szCs w:val="18"/>
          <w:lang w:val="fr-FR"/>
        </w:rPr>
        <w:t>homme juridiquement contraignant et directement applicable. Il lui demande aussi de s</w:t>
      </w:r>
      <w:r w:rsidR="006645B6" w:rsidRPr="00A4102E">
        <w:rPr>
          <w:i/>
          <w:sz w:val="18"/>
          <w:szCs w:val="18"/>
          <w:lang w:val="fr-FR"/>
        </w:rPr>
        <w:t>’</w:t>
      </w:r>
      <w:r w:rsidRPr="00A4102E">
        <w:rPr>
          <w:i/>
          <w:sz w:val="18"/>
          <w:szCs w:val="18"/>
          <w:lang w:val="fr-FR"/>
        </w:rPr>
        <w:t xml:space="preserve">employer résolument à faire mieux connaître </w:t>
      </w:r>
      <w:smartTag w:uri="urn:schemas-microsoft-com:office:smarttags" w:element="PersonName">
        <w:smartTagPr>
          <w:attr w:name="ProductID" w:val="la Convention"/>
        </w:smartTagPr>
        <w:r w:rsidRPr="00A4102E">
          <w:rPr>
            <w:i/>
            <w:sz w:val="18"/>
            <w:szCs w:val="18"/>
            <w:lang w:val="fr-FR"/>
          </w:rPr>
          <w:t>la Convention</w:t>
        </w:r>
      </w:smartTag>
      <w:r w:rsidRPr="00A4102E">
        <w:rPr>
          <w:i/>
          <w:sz w:val="18"/>
          <w:szCs w:val="18"/>
          <w:lang w:val="fr-FR"/>
        </w:rPr>
        <w:t>, notamment aux magistrats et aux membres des professions juridiques des deux sexes, aux partis politiques, aux parlementaires et aux agents de l</w:t>
      </w:r>
      <w:r w:rsidR="006645B6" w:rsidRPr="00A4102E">
        <w:rPr>
          <w:i/>
          <w:sz w:val="18"/>
          <w:szCs w:val="18"/>
          <w:lang w:val="fr-FR"/>
        </w:rPr>
        <w:t>’</w:t>
      </w:r>
      <w:r w:rsidRPr="00A4102E">
        <w:rPr>
          <w:i/>
          <w:sz w:val="18"/>
          <w:szCs w:val="18"/>
          <w:lang w:val="fr-FR"/>
        </w:rPr>
        <w:t>État à tous les niveaux, en particulier aux responsables de l</w:t>
      </w:r>
      <w:r w:rsidR="006645B6" w:rsidRPr="00A4102E">
        <w:rPr>
          <w:i/>
          <w:sz w:val="18"/>
          <w:szCs w:val="18"/>
          <w:lang w:val="fr-FR"/>
        </w:rPr>
        <w:t>’</w:t>
      </w:r>
      <w:r w:rsidRPr="00A4102E">
        <w:rPr>
          <w:i/>
          <w:sz w:val="18"/>
          <w:szCs w:val="18"/>
          <w:lang w:val="fr-FR"/>
        </w:rPr>
        <w:t>application des lois, de sorte qu</w:t>
      </w:r>
      <w:r w:rsidR="006645B6" w:rsidRPr="00A4102E">
        <w:rPr>
          <w:i/>
          <w:sz w:val="18"/>
          <w:szCs w:val="18"/>
          <w:lang w:val="fr-FR"/>
        </w:rPr>
        <w:t>’</w:t>
      </w:r>
      <w:r w:rsidRPr="00A4102E">
        <w:rPr>
          <w:i/>
          <w:sz w:val="18"/>
          <w:szCs w:val="18"/>
          <w:lang w:val="fr-FR"/>
        </w:rPr>
        <w:t>elle soit davantage utilisée lors de l</w:t>
      </w:r>
      <w:r w:rsidR="006645B6" w:rsidRPr="00A4102E">
        <w:rPr>
          <w:i/>
          <w:sz w:val="18"/>
          <w:szCs w:val="18"/>
          <w:lang w:val="fr-FR"/>
        </w:rPr>
        <w:t>’</w:t>
      </w:r>
      <w:r w:rsidRPr="00A4102E">
        <w:rPr>
          <w:i/>
          <w:sz w:val="18"/>
          <w:szCs w:val="18"/>
          <w:lang w:val="fr-FR"/>
        </w:rPr>
        <w:t>élaboration et de la mise en œuvre de toutes les lois, politiques et programmes visant à appliquer concrètement le principe de l</w:t>
      </w:r>
      <w:r w:rsidR="006645B6" w:rsidRPr="00A4102E">
        <w:rPr>
          <w:i/>
          <w:sz w:val="18"/>
          <w:szCs w:val="18"/>
          <w:lang w:val="fr-FR"/>
        </w:rPr>
        <w:t>’</w:t>
      </w:r>
      <w:r w:rsidRPr="00A4102E">
        <w:rPr>
          <w:i/>
          <w:sz w:val="18"/>
          <w:szCs w:val="18"/>
          <w:lang w:val="fr-FR"/>
        </w:rPr>
        <w:t xml:space="preserve">égalité entre les femmes et les hommes. </w:t>
      </w:r>
    </w:p>
    <w:p w:rsidR="00826E0F" w:rsidRPr="00A4102E" w:rsidRDefault="00826E0F" w:rsidP="00B77E50">
      <w:pPr>
        <w:pStyle w:val="SingleTxt"/>
        <w:pBdr>
          <w:top w:val="single" w:sz="4" w:space="1" w:color="auto"/>
          <w:left w:val="single" w:sz="4" w:space="4" w:color="auto"/>
          <w:bottom w:val="single" w:sz="4" w:space="1" w:color="auto"/>
          <w:right w:val="single" w:sz="4" w:space="4" w:color="auto"/>
        </w:pBdr>
        <w:rPr>
          <w:i/>
          <w:sz w:val="18"/>
          <w:szCs w:val="18"/>
          <w:lang w:val="fr-FR"/>
        </w:rPr>
      </w:pPr>
      <w:r w:rsidRPr="00A4102E">
        <w:rPr>
          <w:i/>
          <w:sz w:val="18"/>
          <w:szCs w:val="18"/>
          <w:lang w:val="fr-FR"/>
        </w:rPr>
        <w:t>…</w:t>
      </w:r>
    </w:p>
    <w:p w:rsidR="00826E0F" w:rsidRPr="00A4102E" w:rsidRDefault="00826E0F" w:rsidP="00B77E50">
      <w:pPr>
        <w:pStyle w:val="SingleTxt"/>
        <w:pBdr>
          <w:top w:val="single" w:sz="4" w:space="1" w:color="auto"/>
          <w:left w:val="single" w:sz="4" w:space="4" w:color="auto"/>
          <w:bottom w:val="single" w:sz="4" w:space="1" w:color="auto"/>
          <w:right w:val="single" w:sz="4" w:space="4" w:color="auto"/>
        </w:pBdr>
        <w:rPr>
          <w:b/>
          <w:sz w:val="18"/>
          <w:szCs w:val="18"/>
          <w:lang w:val="fr-FR"/>
        </w:rPr>
      </w:pPr>
      <w:r w:rsidRPr="00A4102E">
        <w:rPr>
          <w:b/>
          <w:sz w:val="18"/>
          <w:szCs w:val="18"/>
          <w:lang w:val="fr-FR"/>
        </w:rPr>
        <w:t xml:space="preserve">Recommandation du Comité de </w:t>
      </w:r>
      <w:smartTag w:uri="urn:schemas-microsoft-com:office:smarttags" w:element="PersonName">
        <w:smartTagPr>
          <w:attr w:name="ProductID" w:val="la CEDAW"/>
        </w:smartTagPr>
        <w:r w:rsidRPr="00A4102E">
          <w:rPr>
            <w:b/>
            <w:sz w:val="18"/>
            <w:szCs w:val="18"/>
            <w:lang w:val="fr-FR"/>
          </w:rPr>
          <w:t>la CEDAW</w:t>
        </w:r>
      </w:smartTag>
      <w:r w:rsidRPr="00A4102E">
        <w:rPr>
          <w:b/>
          <w:sz w:val="18"/>
          <w:szCs w:val="18"/>
          <w:lang w:val="fr-FR"/>
        </w:rPr>
        <w:t>, n</w:t>
      </w:r>
      <w:r w:rsidRPr="00A4102E">
        <w:rPr>
          <w:b/>
          <w:sz w:val="18"/>
          <w:szCs w:val="18"/>
          <w:vertAlign w:val="superscript"/>
          <w:lang w:val="fr-FR"/>
        </w:rPr>
        <w:t>o</w:t>
      </w:r>
      <w:r w:rsidR="006645B6" w:rsidRPr="00A4102E">
        <w:rPr>
          <w:b/>
          <w:sz w:val="18"/>
          <w:szCs w:val="18"/>
          <w:vertAlign w:val="superscript"/>
          <w:lang w:val="fr-FR"/>
        </w:rPr>
        <w:t xml:space="preserve"> </w:t>
      </w:r>
      <w:r w:rsidRPr="00A4102E">
        <w:rPr>
          <w:b/>
          <w:sz w:val="18"/>
          <w:szCs w:val="18"/>
          <w:lang w:val="fr-FR"/>
        </w:rPr>
        <w:t>31</w:t>
      </w:r>
      <w:r w:rsidR="003D3458">
        <w:rPr>
          <w:b/>
          <w:sz w:val="18"/>
          <w:szCs w:val="18"/>
          <w:lang w:val="fr-FR"/>
        </w:rPr>
        <w:t> </w:t>
      </w:r>
      <w:r w:rsidRPr="00A4102E">
        <w:rPr>
          <w:b/>
          <w:sz w:val="18"/>
          <w:szCs w:val="18"/>
          <w:lang w:val="fr-FR"/>
        </w:rPr>
        <w:t>:</w:t>
      </w:r>
    </w:p>
    <w:p w:rsidR="00826E0F" w:rsidRPr="00872599" w:rsidRDefault="00826E0F" w:rsidP="00B77E50">
      <w:pPr>
        <w:pStyle w:val="SingleTxt"/>
        <w:pBdr>
          <w:top w:val="single" w:sz="4" w:space="1" w:color="auto"/>
          <w:left w:val="single" w:sz="4" w:space="4" w:color="auto"/>
          <w:bottom w:val="single" w:sz="4" w:space="1" w:color="auto"/>
          <w:right w:val="single" w:sz="4" w:space="4" w:color="auto"/>
        </w:pBdr>
        <w:rPr>
          <w:i/>
          <w:lang w:val="fr-FR"/>
        </w:rPr>
      </w:pPr>
      <w:r w:rsidRPr="00A4102E">
        <w:rPr>
          <w:i/>
          <w:sz w:val="18"/>
          <w:szCs w:val="18"/>
          <w:lang w:val="fr-FR"/>
        </w:rPr>
        <w:t>Le Comité demande que les présentes observations finales soient largement diffusées au Liechtenstein afin que la population, notamment les responsables gouvernementaux, les membres de la classe politique, les parlementaires et les organisations féminines et de défense des droits de l</w:t>
      </w:r>
      <w:r w:rsidR="006645B6" w:rsidRPr="00A4102E">
        <w:rPr>
          <w:i/>
          <w:sz w:val="18"/>
          <w:szCs w:val="18"/>
          <w:lang w:val="fr-FR"/>
        </w:rPr>
        <w:t>’</w:t>
      </w:r>
      <w:r w:rsidRPr="00A4102E">
        <w:rPr>
          <w:i/>
          <w:sz w:val="18"/>
          <w:szCs w:val="18"/>
          <w:lang w:val="fr-FR"/>
        </w:rPr>
        <w:t>homme, soit informée des mesures qui ont été prises pour assurer l</w:t>
      </w:r>
      <w:r w:rsidR="006645B6" w:rsidRPr="00A4102E">
        <w:rPr>
          <w:i/>
          <w:sz w:val="18"/>
          <w:szCs w:val="18"/>
          <w:lang w:val="fr-FR"/>
        </w:rPr>
        <w:t>’</w:t>
      </w:r>
      <w:r w:rsidRPr="00A4102E">
        <w:rPr>
          <w:i/>
          <w:sz w:val="18"/>
          <w:szCs w:val="18"/>
          <w:lang w:val="fr-FR"/>
        </w:rPr>
        <w:t>égalité de droit et de fait des femmes et des mesures qui restent à prendre à cet égard. Il demande à l</w:t>
      </w:r>
      <w:r w:rsidR="006645B6" w:rsidRPr="00A4102E">
        <w:rPr>
          <w:i/>
          <w:sz w:val="18"/>
          <w:szCs w:val="18"/>
          <w:lang w:val="fr-FR"/>
        </w:rPr>
        <w:t>’</w:t>
      </w:r>
      <w:r w:rsidRPr="00A4102E">
        <w:rPr>
          <w:i/>
          <w:sz w:val="18"/>
          <w:szCs w:val="18"/>
          <w:lang w:val="fr-FR"/>
        </w:rPr>
        <w:t>État partie de continuer de diffuser largement, notamment auprès des organisations féminines et de défense des droits de l</w:t>
      </w:r>
      <w:r w:rsidR="006645B6" w:rsidRPr="00A4102E">
        <w:rPr>
          <w:i/>
          <w:sz w:val="18"/>
          <w:szCs w:val="18"/>
          <w:lang w:val="fr-FR"/>
        </w:rPr>
        <w:t>’</w:t>
      </w:r>
      <w:r w:rsidRPr="00A4102E">
        <w:rPr>
          <w:i/>
          <w:sz w:val="18"/>
          <w:szCs w:val="18"/>
          <w:lang w:val="fr-FR"/>
        </w:rPr>
        <w:t xml:space="preserve">homme, </w:t>
      </w:r>
      <w:smartTag w:uri="urn:schemas-microsoft-com:office:smarttags" w:element="PersonName">
        <w:smartTagPr>
          <w:attr w:name="ProductID" w:val="la Convention"/>
        </w:smartTagPr>
        <w:r w:rsidRPr="00A4102E">
          <w:rPr>
            <w:i/>
            <w:sz w:val="18"/>
            <w:szCs w:val="18"/>
            <w:lang w:val="fr-FR"/>
          </w:rPr>
          <w:t>la Convention</w:t>
        </w:r>
      </w:smartTag>
      <w:r w:rsidRPr="00A4102E">
        <w:rPr>
          <w:i/>
          <w:sz w:val="18"/>
          <w:szCs w:val="18"/>
          <w:lang w:val="fr-FR"/>
        </w:rPr>
        <w:t xml:space="preserve"> et son Protocole facultatif, les recommandations générales du Comité, </w:t>
      </w:r>
      <w:smartTag w:uri="urn:schemas-microsoft-com:office:smarttags" w:element="PersonName">
        <w:smartTagPr>
          <w:attr w:name="ProductID" w:val="la D￩claration"/>
        </w:smartTagPr>
        <w:r w:rsidRPr="00A4102E">
          <w:rPr>
            <w:i/>
            <w:sz w:val="18"/>
            <w:szCs w:val="18"/>
            <w:lang w:val="fr-FR"/>
          </w:rPr>
          <w:t>la Déclaration</w:t>
        </w:r>
      </w:smartTag>
      <w:r w:rsidRPr="00A4102E">
        <w:rPr>
          <w:i/>
          <w:sz w:val="18"/>
          <w:szCs w:val="18"/>
          <w:lang w:val="fr-FR"/>
        </w:rPr>
        <w:t xml:space="preserve"> et le Plan d</w:t>
      </w:r>
      <w:r w:rsidR="006645B6" w:rsidRPr="00A4102E">
        <w:rPr>
          <w:i/>
          <w:sz w:val="18"/>
          <w:szCs w:val="18"/>
          <w:lang w:val="fr-FR"/>
        </w:rPr>
        <w:t>’</w:t>
      </w:r>
      <w:r w:rsidRPr="00A4102E">
        <w:rPr>
          <w:i/>
          <w:sz w:val="18"/>
          <w:szCs w:val="18"/>
          <w:lang w:val="fr-FR"/>
        </w:rPr>
        <w:t>action de Beijing et le document final de la vingt-troisième session extraordinaire de l</w:t>
      </w:r>
      <w:r w:rsidR="006645B6" w:rsidRPr="00A4102E">
        <w:rPr>
          <w:i/>
          <w:sz w:val="18"/>
          <w:szCs w:val="18"/>
          <w:lang w:val="fr-FR"/>
        </w:rPr>
        <w:t>’</w:t>
      </w:r>
      <w:r w:rsidRPr="00A4102E">
        <w:rPr>
          <w:i/>
          <w:sz w:val="18"/>
          <w:szCs w:val="18"/>
          <w:lang w:val="fr-FR"/>
        </w:rPr>
        <w:t xml:space="preserve">Assemblée générale intitulée </w:t>
      </w:r>
      <w:r w:rsidR="00A4102E" w:rsidRPr="00A4102E">
        <w:rPr>
          <w:i/>
          <w:sz w:val="18"/>
          <w:szCs w:val="18"/>
          <w:lang w:val="fr-FR"/>
        </w:rPr>
        <w:t>« </w:t>
      </w:r>
      <w:r w:rsidRPr="00A4102E">
        <w:rPr>
          <w:i/>
          <w:sz w:val="18"/>
          <w:szCs w:val="18"/>
          <w:lang w:val="fr-FR"/>
        </w:rPr>
        <w:t>Les femmes en l</w:t>
      </w:r>
      <w:r w:rsidR="006645B6" w:rsidRPr="00A4102E">
        <w:rPr>
          <w:i/>
          <w:sz w:val="18"/>
          <w:szCs w:val="18"/>
          <w:lang w:val="fr-FR"/>
        </w:rPr>
        <w:t>’</w:t>
      </w:r>
      <w:r w:rsidRPr="00A4102E">
        <w:rPr>
          <w:i/>
          <w:sz w:val="18"/>
          <w:szCs w:val="18"/>
          <w:lang w:val="fr-FR"/>
        </w:rPr>
        <w:t>an 2000</w:t>
      </w:r>
      <w:r w:rsidR="006645B6" w:rsidRPr="00A4102E">
        <w:rPr>
          <w:i/>
          <w:sz w:val="18"/>
          <w:szCs w:val="18"/>
          <w:lang w:val="fr-FR"/>
        </w:rPr>
        <w:t> :</w:t>
      </w:r>
      <w:r w:rsidRPr="00A4102E">
        <w:rPr>
          <w:i/>
          <w:sz w:val="18"/>
          <w:szCs w:val="18"/>
          <w:lang w:val="fr-FR"/>
        </w:rPr>
        <w:t xml:space="preserve"> égalité entre les sexes, développement et paix pour le XXIe siècl</w:t>
      </w:r>
      <w:r w:rsidRPr="00872599">
        <w:rPr>
          <w:i/>
          <w:lang w:val="fr-FR"/>
        </w:rPr>
        <w:t>e</w:t>
      </w:r>
      <w:r w:rsidR="006645B6">
        <w:rPr>
          <w:i/>
          <w:lang w:val="fr-FR"/>
        </w:rPr>
        <w:t> »</w:t>
      </w:r>
      <w:r w:rsidRPr="00872599">
        <w:rPr>
          <w:i/>
          <w:lang w:val="fr-FR"/>
        </w:rPr>
        <w:t>.</w:t>
      </w:r>
    </w:p>
    <w:p w:rsidR="00B77E50" w:rsidRPr="00B77E50" w:rsidRDefault="00B77E50" w:rsidP="00B77E50">
      <w:pPr>
        <w:pStyle w:val="SingleTxt"/>
        <w:spacing w:after="0" w:line="120" w:lineRule="exact"/>
        <w:rPr>
          <w:i/>
          <w:sz w:val="10"/>
          <w:lang w:val="fr-FR"/>
        </w:rPr>
      </w:pPr>
    </w:p>
    <w:p w:rsidR="00826E0F" w:rsidRPr="00872599" w:rsidRDefault="00B77E50" w:rsidP="00497599">
      <w:pPr>
        <w:pStyle w:val="SingleTxt"/>
        <w:rPr>
          <w:lang w:val="fr-FR" w:eastAsia="fr-FR"/>
        </w:rPr>
      </w:pPr>
      <w:r>
        <w:rPr>
          <w:lang w:val="fr-FR" w:eastAsia="fr-FR"/>
        </w:rPr>
        <w:tab/>
      </w:r>
      <w:r w:rsidR="00826E0F" w:rsidRPr="00872599">
        <w:rPr>
          <w:lang w:val="fr-FR" w:eastAsia="fr-FR"/>
        </w:rPr>
        <w:t xml:space="preserve">Pour sensibiliser davantage le public à </w:t>
      </w:r>
      <w:smartTag w:uri="urn:schemas-microsoft-com:office:smarttags" w:element="PersonName">
        <w:smartTagPr>
          <w:attr w:name="ProductID" w:val="la Convention"/>
        </w:smartTagPr>
        <w:r w:rsidR="00826E0F" w:rsidRPr="00872599">
          <w:rPr>
            <w:lang w:val="fr-FR" w:eastAsia="fr-FR"/>
          </w:rPr>
          <w:t>la Convention</w:t>
        </w:r>
      </w:smartTag>
      <w:r w:rsidR="00826E0F" w:rsidRPr="00872599">
        <w:rPr>
          <w:lang w:val="fr-FR" w:eastAsia="fr-FR"/>
        </w:rPr>
        <w:t>, un communiqué de presse a été publié sur la présentation des deuxième et troisième rapports périodiques du Liechtenstein le 26 juillet 2007 et sur les recommandations du Comité en août 2007. Le rapport du pays et les recommandations peuvent également être consultés par le public sur l</w:t>
      </w:r>
      <w:r w:rsidR="006645B6">
        <w:rPr>
          <w:lang w:val="fr-FR" w:eastAsia="fr-FR"/>
        </w:rPr>
        <w:t>’</w:t>
      </w:r>
      <w:r w:rsidR="00826E0F" w:rsidRPr="00872599">
        <w:rPr>
          <w:lang w:val="fr-FR" w:eastAsia="fr-FR"/>
        </w:rPr>
        <w:t>Internet (www.liechtenstein.li et www.scg.llv.li). Les recommandations, ainsi qu</w:t>
      </w:r>
      <w:r w:rsidR="006645B6">
        <w:rPr>
          <w:lang w:val="fr-FR" w:eastAsia="fr-FR"/>
        </w:rPr>
        <w:t>’</w:t>
      </w:r>
      <w:r w:rsidR="00826E0F" w:rsidRPr="00872599">
        <w:rPr>
          <w:lang w:val="fr-FR" w:eastAsia="fr-FR"/>
        </w:rPr>
        <w:t>une lettre d</w:t>
      </w:r>
      <w:r w:rsidR="006645B6">
        <w:rPr>
          <w:lang w:val="fr-FR" w:eastAsia="fr-FR"/>
        </w:rPr>
        <w:t>’</w:t>
      </w:r>
      <w:r w:rsidR="00826E0F" w:rsidRPr="00872599">
        <w:rPr>
          <w:lang w:val="fr-FR" w:eastAsia="fr-FR"/>
        </w:rPr>
        <w:t>accompagnement, ont été portées directement à l</w:t>
      </w:r>
      <w:r w:rsidR="006645B6">
        <w:rPr>
          <w:lang w:val="fr-FR" w:eastAsia="fr-FR"/>
        </w:rPr>
        <w:t>’</w:t>
      </w:r>
      <w:r w:rsidR="00826E0F" w:rsidRPr="00872599">
        <w:rPr>
          <w:lang w:val="fr-FR" w:eastAsia="fr-FR"/>
        </w:rPr>
        <w:t xml:space="preserve">attention des services administratifs compétents, de </w:t>
      </w:r>
      <w:smartTag w:uri="urn:schemas-microsoft-com:office:smarttags" w:element="PersonName">
        <w:smartTagPr>
          <w:attr w:name="ProductID" w:val="la Cour"/>
        </w:smartTagPr>
        <w:r w:rsidR="00826E0F" w:rsidRPr="00872599">
          <w:rPr>
            <w:lang w:val="fr-FR" w:eastAsia="fr-FR"/>
          </w:rPr>
          <w:t>la Cour</w:t>
        </w:r>
      </w:smartTag>
      <w:r w:rsidR="00826E0F" w:rsidRPr="00872599">
        <w:rPr>
          <w:lang w:val="fr-FR" w:eastAsia="fr-FR"/>
        </w:rPr>
        <w:t xml:space="preserve"> de justice, de la chambre des avocats, de la chambre de commerce et d</w:t>
      </w:r>
      <w:r w:rsidR="006645B6">
        <w:rPr>
          <w:lang w:val="fr-FR" w:eastAsia="fr-FR"/>
        </w:rPr>
        <w:t>’</w:t>
      </w:r>
      <w:r w:rsidR="00826E0F" w:rsidRPr="00872599">
        <w:rPr>
          <w:lang w:val="fr-FR" w:eastAsia="fr-FR"/>
        </w:rPr>
        <w:t xml:space="preserve">industrie, de </w:t>
      </w:r>
      <w:smartTag w:uri="urn:schemas-microsoft-com:office:smarttags" w:element="PersonName">
        <w:smartTagPr>
          <w:attr w:name="ProductID" w:val="la Wirtschaftskammer"/>
        </w:smartTagPr>
        <w:r w:rsidR="00826E0F" w:rsidRPr="00872599">
          <w:rPr>
            <w:lang w:val="fr-FR" w:eastAsia="fr-FR"/>
          </w:rPr>
          <w:t>la Wirtschaftskammer</w:t>
        </w:r>
      </w:smartTag>
      <w:r w:rsidR="00826E0F" w:rsidRPr="00872599">
        <w:rPr>
          <w:lang w:val="fr-FR" w:eastAsia="fr-FR"/>
        </w:rPr>
        <w:t>, du Parlement, des organisations représentées au sein du réseau des femmes, des partis politiques et de l</w:t>
      </w:r>
      <w:r w:rsidR="006645B6">
        <w:rPr>
          <w:lang w:val="fr-FR" w:eastAsia="fr-FR"/>
        </w:rPr>
        <w:t>’</w:t>
      </w:r>
      <w:r w:rsidR="00826E0F" w:rsidRPr="00872599">
        <w:rPr>
          <w:lang w:val="fr-FR" w:eastAsia="fr-FR"/>
        </w:rPr>
        <w:t>Association des employés du Liechtenstein (LANV).</w:t>
      </w:r>
    </w:p>
    <w:p w:rsidR="00B77E50" w:rsidRPr="00B77E50" w:rsidRDefault="00B77E50" w:rsidP="00B77E50">
      <w:pPr>
        <w:pStyle w:val="SingleTxt"/>
        <w:spacing w:after="0" w:line="120" w:lineRule="exact"/>
        <w:rPr>
          <w:sz w:val="10"/>
          <w:lang w:val="fr-FR"/>
        </w:rPr>
      </w:pPr>
    </w:p>
    <w:p w:rsidR="00826E0F" w:rsidRPr="00872599" w:rsidRDefault="00B77E50" w:rsidP="00B77E5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826E0F" w:rsidRPr="00872599">
        <w:rPr>
          <w:lang w:val="fr-FR"/>
        </w:rPr>
        <w:t>60</w:t>
      </w:r>
      <w:r w:rsidRPr="00B77E50">
        <w:rPr>
          <w:vertAlign w:val="superscript"/>
          <w:lang w:val="fr-FR"/>
        </w:rPr>
        <w:t>e</w:t>
      </w:r>
      <w:r w:rsidR="00826E0F" w:rsidRPr="00872599">
        <w:rPr>
          <w:lang w:val="fr-FR"/>
        </w:rPr>
        <w:t xml:space="preserve"> anniversaire de l</w:t>
      </w:r>
      <w:r w:rsidR="006645B6">
        <w:rPr>
          <w:lang w:val="fr-FR"/>
        </w:rPr>
        <w:t>’</w:t>
      </w:r>
      <w:r w:rsidR="00826E0F" w:rsidRPr="00872599">
        <w:rPr>
          <w:lang w:val="fr-FR"/>
        </w:rPr>
        <w:t xml:space="preserve">adoption de </w:t>
      </w:r>
      <w:smartTag w:uri="urn:schemas-microsoft-com:office:smarttags" w:element="PersonName">
        <w:smartTagPr>
          <w:attr w:name="ProductID" w:val="la D￩claration"/>
        </w:smartTagPr>
        <w:r w:rsidR="00826E0F" w:rsidRPr="00872599">
          <w:rPr>
            <w:lang w:val="fr-FR"/>
          </w:rPr>
          <w:t>la Déclaration</w:t>
        </w:r>
      </w:smartTag>
      <w:r w:rsidR="00826E0F" w:rsidRPr="00872599">
        <w:rPr>
          <w:lang w:val="fr-FR"/>
        </w:rPr>
        <w:t xml:space="preserve"> universelle des droits</w:t>
      </w:r>
      <w:r w:rsidR="003D3458">
        <w:rPr>
          <w:lang w:val="fr-FR"/>
        </w:rPr>
        <w:br/>
      </w:r>
      <w:r w:rsidR="00826E0F" w:rsidRPr="00872599">
        <w:rPr>
          <w:lang w:val="fr-FR"/>
        </w:rPr>
        <w:t>de l</w:t>
      </w:r>
      <w:r w:rsidR="006645B6">
        <w:rPr>
          <w:lang w:val="fr-FR"/>
        </w:rPr>
        <w:t>’</w:t>
      </w:r>
      <w:r w:rsidR="00826E0F" w:rsidRPr="00872599">
        <w:rPr>
          <w:lang w:val="fr-FR"/>
        </w:rPr>
        <w:t>homme</w:t>
      </w:r>
    </w:p>
    <w:p w:rsidR="00B77E50" w:rsidRPr="00B77E50" w:rsidRDefault="00B77E50" w:rsidP="00B77E50">
      <w:pPr>
        <w:pStyle w:val="SingleTxt"/>
        <w:spacing w:after="0" w:line="120" w:lineRule="exact"/>
        <w:rPr>
          <w:sz w:val="10"/>
          <w:lang w:val="fr-FR" w:eastAsia="fr-FR"/>
        </w:rPr>
      </w:pPr>
    </w:p>
    <w:p w:rsidR="00826E0F" w:rsidRPr="00872599" w:rsidRDefault="00B77E50" w:rsidP="00497599">
      <w:pPr>
        <w:pStyle w:val="SingleTxt"/>
        <w:rPr>
          <w:lang w:val="fr-FR"/>
        </w:rPr>
      </w:pPr>
      <w:r>
        <w:rPr>
          <w:lang w:val="fr-FR" w:eastAsia="fr-FR"/>
        </w:rPr>
        <w:tab/>
      </w:r>
      <w:r w:rsidR="00C04160">
        <w:rPr>
          <w:lang w:val="fr-FR" w:eastAsia="fr-FR"/>
        </w:rPr>
        <w:t xml:space="preserve">À </w:t>
      </w:r>
      <w:r w:rsidR="00826E0F" w:rsidRPr="00872599">
        <w:rPr>
          <w:lang w:val="fr-FR" w:eastAsia="fr-FR"/>
        </w:rPr>
        <w:t>l</w:t>
      </w:r>
      <w:r w:rsidR="006645B6">
        <w:rPr>
          <w:lang w:val="fr-FR" w:eastAsia="fr-FR"/>
        </w:rPr>
        <w:t>’</w:t>
      </w:r>
      <w:r w:rsidR="00826E0F" w:rsidRPr="00872599">
        <w:rPr>
          <w:lang w:val="fr-FR" w:eastAsia="fr-FR"/>
        </w:rPr>
        <w:t>occasion du 60e anniversaire de l</w:t>
      </w:r>
      <w:r w:rsidR="006645B6">
        <w:rPr>
          <w:lang w:val="fr-FR" w:eastAsia="fr-FR"/>
        </w:rPr>
        <w:t>’</w:t>
      </w:r>
      <w:r w:rsidR="00826E0F" w:rsidRPr="00872599">
        <w:rPr>
          <w:lang w:val="fr-FR" w:eastAsia="fr-FR"/>
        </w:rPr>
        <w:t xml:space="preserve">adoption de </w:t>
      </w:r>
      <w:smartTag w:uri="urn:schemas-microsoft-com:office:smarttags" w:element="PersonName">
        <w:smartTagPr>
          <w:attr w:name="ProductID" w:val="la D￩claration"/>
        </w:smartTagPr>
        <w:r w:rsidR="00826E0F" w:rsidRPr="00872599">
          <w:rPr>
            <w:lang w:val="fr-FR" w:eastAsia="fr-FR"/>
          </w:rPr>
          <w:t>la Déclaration</w:t>
        </w:r>
      </w:smartTag>
      <w:r w:rsidR="00826E0F" w:rsidRPr="00872599">
        <w:rPr>
          <w:lang w:val="fr-FR" w:eastAsia="fr-FR"/>
        </w:rPr>
        <w:t xml:space="preserve"> universelle des droits de l</w:t>
      </w:r>
      <w:r w:rsidR="006645B6">
        <w:rPr>
          <w:lang w:val="fr-FR" w:eastAsia="fr-FR"/>
        </w:rPr>
        <w:t>’</w:t>
      </w:r>
      <w:r w:rsidR="00826E0F" w:rsidRPr="00872599">
        <w:rPr>
          <w:lang w:val="fr-FR" w:eastAsia="fr-FR"/>
        </w:rPr>
        <w:t>homme, de nombreuses activités ont été organisées entre août et décembre 2008. Outre de nombreux articles dans les journaux et les revues, des activités éducatives et des manifestations culturelles ont été organisées. Dans tous les cas, l</w:t>
      </w:r>
      <w:r w:rsidR="006645B6">
        <w:rPr>
          <w:lang w:val="fr-FR" w:eastAsia="fr-FR"/>
        </w:rPr>
        <w:t>’</w:t>
      </w:r>
      <w:r w:rsidR="00826E0F" w:rsidRPr="00872599">
        <w:rPr>
          <w:lang w:val="fr-FR" w:eastAsia="fr-FR"/>
        </w:rPr>
        <w:t>accent a été mis sur l</w:t>
      </w:r>
      <w:r w:rsidR="006645B6">
        <w:rPr>
          <w:lang w:val="fr-FR" w:eastAsia="fr-FR"/>
        </w:rPr>
        <w:t>’</w:t>
      </w:r>
      <w:r w:rsidR="00826E0F" w:rsidRPr="00872599">
        <w:rPr>
          <w:lang w:val="fr-FR" w:eastAsia="fr-FR"/>
        </w:rPr>
        <w:t>importance centrale des droits de l</w:t>
      </w:r>
      <w:r w:rsidR="006645B6">
        <w:rPr>
          <w:lang w:val="fr-FR" w:eastAsia="fr-FR"/>
        </w:rPr>
        <w:t>’</w:t>
      </w:r>
      <w:r w:rsidR="00826E0F" w:rsidRPr="00872599">
        <w:rPr>
          <w:lang w:val="fr-FR" w:eastAsia="fr-FR"/>
        </w:rPr>
        <w:t>homme et le public cible a été sensibilisé à cette question</w:t>
      </w:r>
      <w:r w:rsidR="00826E0F" w:rsidRPr="00872599">
        <w:rPr>
          <w:lang w:val="fr-FR"/>
        </w:rPr>
        <w:t>.</w:t>
      </w:r>
    </w:p>
    <w:p w:rsidR="00B77E50" w:rsidRPr="00B77E50" w:rsidRDefault="00B77E50" w:rsidP="00B77E50">
      <w:pPr>
        <w:pStyle w:val="SingleTxt"/>
        <w:spacing w:after="0" w:line="120" w:lineRule="exact"/>
        <w:rPr>
          <w:sz w:val="10"/>
          <w:lang w:val="fr-FR" w:eastAsia="fr-FR"/>
        </w:rPr>
      </w:pPr>
    </w:p>
    <w:p w:rsidR="00826E0F" w:rsidRPr="00872599" w:rsidRDefault="00B77E50" w:rsidP="00B77E5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eastAsia="fr-FR"/>
        </w:rPr>
      </w:pPr>
      <w:r>
        <w:rPr>
          <w:lang w:val="fr-FR" w:eastAsia="fr-FR"/>
        </w:rPr>
        <w:tab/>
      </w:r>
      <w:r>
        <w:rPr>
          <w:lang w:val="fr-FR" w:eastAsia="fr-FR"/>
        </w:rPr>
        <w:tab/>
      </w:r>
      <w:r w:rsidR="00826E0F" w:rsidRPr="00872599">
        <w:rPr>
          <w:lang w:val="fr-FR" w:eastAsia="fr-FR"/>
        </w:rPr>
        <w:t>Possibilités de formation continue:</w:t>
      </w:r>
    </w:p>
    <w:p w:rsidR="00B77E50" w:rsidRPr="00B77E50" w:rsidRDefault="00B77E50" w:rsidP="00B77E50">
      <w:pPr>
        <w:pStyle w:val="SingleTxt"/>
        <w:spacing w:after="0" w:line="120" w:lineRule="exact"/>
        <w:rPr>
          <w:sz w:val="10"/>
          <w:lang w:val="fr-FR" w:eastAsia="fr-FR"/>
        </w:rPr>
      </w:pPr>
    </w:p>
    <w:p w:rsidR="00826E0F" w:rsidRPr="00872599" w:rsidRDefault="00B77E50" w:rsidP="00497599">
      <w:pPr>
        <w:pStyle w:val="SingleTxt"/>
        <w:rPr>
          <w:lang w:val="fr-FR" w:eastAsia="fr-FR"/>
        </w:rPr>
      </w:pPr>
      <w:r>
        <w:rPr>
          <w:lang w:val="fr-FR" w:eastAsia="fr-FR"/>
        </w:rPr>
        <w:tab/>
      </w:r>
      <w:r w:rsidR="00826E0F" w:rsidRPr="00872599">
        <w:rPr>
          <w:lang w:val="fr-FR" w:eastAsia="fr-FR"/>
        </w:rPr>
        <w:t xml:space="preserve">Le programme mis en place pour cette année anniversaire comprenait un cours de formation continue sur le thème </w:t>
      </w:r>
      <w:r w:rsidR="00A4102E">
        <w:rPr>
          <w:lang w:val="fr-FR" w:eastAsia="fr-FR"/>
        </w:rPr>
        <w:t>« </w:t>
      </w:r>
      <w:r w:rsidR="00826E0F" w:rsidRPr="00872599">
        <w:rPr>
          <w:lang w:val="fr-FR" w:eastAsia="fr-FR"/>
        </w:rPr>
        <w:t>La philosophie des droits de l</w:t>
      </w:r>
      <w:r w:rsidR="006645B6">
        <w:rPr>
          <w:lang w:val="fr-FR" w:eastAsia="fr-FR"/>
        </w:rPr>
        <w:t>’</w:t>
      </w:r>
      <w:r w:rsidR="00826E0F" w:rsidRPr="00872599">
        <w:rPr>
          <w:lang w:val="fr-FR" w:eastAsia="fr-FR"/>
        </w:rPr>
        <w:t>homme</w:t>
      </w:r>
      <w:r w:rsidR="006645B6">
        <w:rPr>
          <w:lang w:val="fr-FR" w:eastAsia="fr-FR"/>
        </w:rPr>
        <w:t xml:space="preserve"> » </w:t>
      </w:r>
      <w:r w:rsidR="00826E0F" w:rsidRPr="00872599">
        <w:rPr>
          <w:lang w:val="fr-FR" w:eastAsia="fr-FR"/>
        </w:rPr>
        <w:t>ainsi qu</w:t>
      </w:r>
      <w:r w:rsidR="006645B6">
        <w:rPr>
          <w:lang w:val="fr-FR" w:eastAsia="fr-FR"/>
        </w:rPr>
        <w:t>’</w:t>
      </w:r>
      <w:r w:rsidR="00826E0F" w:rsidRPr="00872599">
        <w:rPr>
          <w:lang w:val="fr-FR" w:eastAsia="fr-FR"/>
        </w:rPr>
        <w:t>une conférence à l</w:t>
      </w:r>
      <w:r w:rsidR="006645B6">
        <w:rPr>
          <w:lang w:val="fr-FR" w:eastAsia="fr-FR"/>
        </w:rPr>
        <w:t>’</w:t>
      </w:r>
      <w:r w:rsidR="00826E0F" w:rsidRPr="00872599">
        <w:rPr>
          <w:lang w:val="fr-FR" w:eastAsia="fr-FR"/>
        </w:rPr>
        <w:t>Institut du Liechtenstein intitulé</w:t>
      </w:r>
      <w:r w:rsidR="00432049">
        <w:rPr>
          <w:lang w:val="fr-FR" w:eastAsia="fr-FR"/>
        </w:rPr>
        <w:t xml:space="preserve"> « </w:t>
      </w:r>
      <w:r w:rsidR="00826E0F" w:rsidRPr="00872599">
        <w:rPr>
          <w:lang w:val="fr-FR" w:eastAsia="fr-FR"/>
        </w:rPr>
        <w:t>Les droits de l</w:t>
      </w:r>
      <w:r w:rsidR="006645B6">
        <w:rPr>
          <w:lang w:val="fr-FR" w:eastAsia="fr-FR"/>
        </w:rPr>
        <w:t>’</w:t>
      </w:r>
      <w:r w:rsidR="00826E0F" w:rsidRPr="00872599">
        <w:rPr>
          <w:lang w:val="fr-FR" w:eastAsia="fr-FR"/>
        </w:rPr>
        <w:t>homme et les devoirs de l</w:t>
      </w:r>
      <w:r w:rsidR="006645B6">
        <w:rPr>
          <w:lang w:val="fr-FR" w:eastAsia="fr-FR"/>
        </w:rPr>
        <w:t>’</w:t>
      </w:r>
      <w:r w:rsidR="00826E0F" w:rsidRPr="00872599">
        <w:rPr>
          <w:lang w:val="fr-FR" w:eastAsia="fr-FR"/>
        </w:rPr>
        <w:t>homme</w:t>
      </w:r>
      <w:r w:rsidR="006645B6">
        <w:rPr>
          <w:lang w:val="fr-FR" w:eastAsia="fr-FR"/>
        </w:rPr>
        <w:t xml:space="preserve"> – </w:t>
      </w:r>
      <w:r w:rsidR="00826E0F" w:rsidRPr="00872599">
        <w:rPr>
          <w:lang w:val="fr-FR" w:eastAsia="fr-FR"/>
        </w:rPr>
        <w:t>60 ans après la déclaration des droits de l</w:t>
      </w:r>
      <w:r w:rsidR="006645B6">
        <w:rPr>
          <w:lang w:val="fr-FR" w:eastAsia="fr-FR"/>
        </w:rPr>
        <w:t>’</w:t>
      </w:r>
      <w:r w:rsidR="00826E0F" w:rsidRPr="00872599">
        <w:rPr>
          <w:lang w:val="fr-FR" w:eastAsia="fr-FR"/>
        </w:rPr>
        <w:t>homme des Nations Unies</w:t>
      </w:r>
      <w:r w:rsidR="00A4102E">
        <w:rPr>
          <w:lang w:val="fr-FR" w:eastAsia="fr-FR"/>
        </w:rPr>
        <w:t> </w:t>
      </w:r>
      <w:r w:rsidR="00826E0F" w:rsidRPr="00872599">
        <w:rPr>
          <w:lang w:val="fr-FR" w:eastAsia="fr-FR"/>
        </w:rPr>
        <w:t>»</w:t>
      </w:r>
      <w:r w:rsidR="00A4102E">
        <w:rPr>
          <w:lang w:val="fr-FR" w:eastAsia="fr-FR"/>
        </w:rPr>
        <w:t>.</w:t>
      </w:r>
      <w:r w:rsidR="006645B6">
        <w:rPr>
          <w:lang w:val="fr-FR" w:eastAsia="fr-FR"/>
        </w:rPr>
        <w:t xml:space="preserve"> </w:t>
      </w:r>
      <w:r w:rsidR="00826E0F" w:rsidRPr="00872599">
        <w:rPr>
          <w:lang w:val="fr-FR" w:eastAsia="fr-FR"/>
        </w:rPr>
        <w:t>Par ailleurs, des cours ont été dispensés aux membres du personnel et aux stagiaires de l</w:t>
      </w:r>
      <w:r w:rsidR="006645B6">
        <w:rPr>
          <w:lang w:val="fr-FR" w:eastAsia="fr-FR"/>
        </w:rPr>
        <w:t>’</w:t>
      </w:r>
      <w:r w:rsidR="00826E0F" w:rsidRPr="00872599">
        <w:rPr>
          <w:lang w:val="fr-FR" w:eastAsia="fr-FR"/>
        </w:rPr>
        <w:t xml:space="preserve">administration nationale. Finalement, </w:t>
      </w:r>
      <w:r w:rsidR="00826E0F">
        <w:rPr>
          <w:lang w:val="fr-FR" w:eastAsia="fr-FR"/>
        </w:rPr>
        <w:t xml:space="preserve">ce sont </w:t>
      </w:r>
      <w:r w:rsidR="00826E0F" w:rsidRPr="00872599">
        <w:rPr>
          <w:lang w:val="fr-FR" w:eastAsia="fr-FR"/>
        </w:rPr>
        <w:t>les établissements d</w:t>
      </w:r>
      <w:r w:rsidR="006645B6">
        <w:rPr>
          <w:lang w:val="fr-FR" w:eastAsia="fr-FR"/>
        </w:rPr>
        <w:t>’</w:t>
      </w:r>
      <w:r w:rsidR="00826E0F" w:rsidRPr="00872599">
        <w:rPr>
          <w:lang w:val="fr-FR" w:eastAsia="fr-FR"/>
        </w:rPr>
        <w:t xml:space="preserve">enseignement secondaire </w:t>
      </w:r>
      <w:r w:rsidR="00826E0F">
        <w:rPr>
          <w:lang w:val="fr-FR" w:eastAsia="fr-FR"/>
        </w:rPr>
        <w:t xml:space="preserve">qui </w:t>
      </w:r>
      <w:r w:rsidR="00826E0F" w:rsidRPr="00872599">
        <w:rPr>
          <w:lang w:val="fr-FR" w:eastAsia="fr-FR"/>
        </w:rPr>
        <w:t>ont profité plus particulièrement de l</w:t>
      </w:r>
      <w:r w:rsidR="006645B6">
        <w:rPr>
          <w:lang w:val="fr-FR" w:eastAsia="fr-FR"/>
        </w:rPr>
        <w:t>’</w:t>
      </w:r>
      <w:r w:rsidR="00826E0F" w:rsidRPr="00872599">
        <w:rPr>
          <w:lang w:val="fr-FR" w:eastAsia="fr-FR"/>
        </w:rPr>
        <w:t>occasion offerte par cette année anniversaire pour étudier en profondeur la question des droits de l</w:t>
      </w:r>
      <w:r w:rsidR="006645B6">
        <w:rPr>
          <w:lang w:val="fr-FR" w:eastAsia="fr-FR"/>
        </w:rPr>
        <w:t>’</w:t>
      </w:r>
      <w:r w:rsidR="00826E0F" w:rsidRPr="00872599">
        <w:rPr>
          <w:lang w:val="fr-FR" w:eastAsia="fr-FR"/>
        </w:rPr>
        <w:t>homme.</w:t>
      </w:r>
    </w:p>
    <w:p w:rsidR="00B77E50" w:rsidRPr="00B77E50" w:rsidRDefault="00B77E50" w:rsidP="00B77E50">
      <w:pPr>
        <w:pStyle w:val="SingleTxt"/>
        <w:spacing w:after="0" w:line="120" w:lineRule="exact"/>
        <w:rPr>
          <w:sz w:val="10"/>
          <w:lang w:val="fr-FR" w:eastAsia="fr-FR"/>
        </w:rPr>
      </w:pPr>
    </w:p>
    <w:p w:rsidR="00826E0F" w:rsidRPr="00872599" w:rsidRDefault="00B77E50" w:rsidP="00B77E5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eastAsia="fr-FR"/>
        </w:rPr>
      </w:pPr>
      <w:r>
        <w:rPr>
          <w:lang w:val="fr-FR" w:eastAsia="fr-FR"/>
        </w:rPr>
        <w:tab/>
      </w:r>
      <w:r>
        <w:rPr>
          <w:lang w:val="fr-FR" w:eastAsia="fr-FR"/>
        </w:rPr>
        <w:tab/>
      </w:r>
      <w:r w:rsidR="00826E0F" w:rsidRPr="00872599">
        <w:rPr>
          <w:lang w:val="fr-FR" w:eastAsia="fr-FR"/>
        </w:rPr>
        <w:t>Journaux/revues</w:t>
      </w:r>
      <w:r w:rsidR="006645B6">
        <w:rPr>
          <w:lang w:val="fr-FR" w:eastAsia="fr-FR"/>
        </w:rPr>
        <w:t> :</w:t>
      </w:r>
    </w:p>
    <w:p w:rsidR="00B77E50" w:rsidRPr="00B77E50" w:rsidRDefault="00B77E50" w:rsidP="00B77E50">
      <w:pPr>
        <w:pStyle w:val="SingleTxt"/>
        <w:spacing w:after="0" w:line="120" w:lineRule="exact"/>
        <w:rPr>
          <w:sz w:val="10"/>
          <w:lang w:val="fr-FR" w:eastAsia="fr-FR"/>
        </w:rPr>
      </w:pPr>
    </w:p>
    <w:p w:rsidR="00826E0F" w:rsidRPr="00872599" w:rsidRDefault="00B77E50" w:rsidP="00497599">
      <w:pPr>
        <w:pStyle w:val="SingleTxt"/>
        <w:rPr>
          <w:lang w:val="fr-FR" w:eastAsia="fr-FR"/>
        </w:rPr>
      </w:pPr>
      <w:r>
        <w:rPr>
          <w:lang w:val="fr-FR" w:eastAsia="fr-FR"/>
        </w:rPr>
        <w:tab/>
      </w:r>
      <w:r w:rsidR="00826E0F" w:rsidRPr="00872599">
        <w:rPr>
          <w:lang w:val="fr-FR" w:eastAsia="fr-FR"/>
        </w:rPr>
        <w:t>A l</w:t>
      </w:r>
      <w:r w:rsidR="006645B6">
        <w:rPr>
          <w:lang w:val="fr-FR" w:eastAsia="fr-FR"/>
        </w:rPr>
        <w:t>’</w:t>
      </w:r>
      <w:r w:rsidR="00826E0F" w:rsidRPr="00872599">
        <w:rPr>
          <w:lang w:val="fr-FR" w:eastAsia="fr-FR"/>
        </w:rPr>
        <w:t>occasion de l</w:t>
      </w:r>
      <w:r w:rsidR="006645B6">
        <w:rPr>
          <w:lang w:val="fr-FR" w:eastAsia="fr-FR"/>
        </w:rPr>
        <w:t>’</w:t>
      </w:r>
      <w:r w:rsidR="00826E0F" w:rsidRPr="00872599">
        <w:rPr>
          <w:lang w:val="fr-FR" w:eastAsia="fr-FR"/>
        </w:rPr>
        <w:t>anniversaire, des articles centrés sur les droits de l</w:t>
      </w:r>
      <w:r w:rsidR="006645B6">
        <w:rPr>
          <w:lang w:val="fr-FR" w:eastAsia="fr-FR"/>
        </w:rPr>
        <w:t>’</w:t>
      </w:r>
      <w:r w:rsidR="00826E0F" w:rsidRPr="00872599">
        <w:rPr>
          <w:lang w:val="fr-FR" w:eastAsia="fr-FR"/>
        </w:rPr>
        <w:t xml:space="preserve">homme sont parus dans les deux journaux nationaux, dans la revue </w:t>
      </w:r>
      <w:r w:rsidR="00826E0F" w:rsidRPr="00872599">
        <w:rPr>
          <w:i/>
          <w:iCs/>
          <w:lang w:val="fr-FR" w:eastAsia="fr-FR"/>
        </w:rPr>
        <w:t>Blickwechsel</w:t>
      </w:r>
      <w:r w:rsidR="00826E0F" w:rsidRPr="00872599">
        <w:rPr>
          <w:lang w:val="fr-FR" w:eastAsia="fr-FR"/>
        </w:rPr>
        <w:t xml:space="preserve"> publiée par le service du développement du Liechtenstein (LED), dans la revue de jeunes </w:t>
      </w:r>
      <w:r w:rsidR="00826E0F" w:rsidRPr="00872599">
        <w:rPr>
          <w:i/>
          <w:iCs/>
          <w:lang w:val="fr-FR" w:eastAsia="fr-FR"/>
        </w:rPr>
        <w:t>flash</w:t>
      </w:r>
      <w:r w:rsidR="00826E0F" w:rsidRPr="00872599">
        <w:rPr>
          <w:lang w:val="fr-FR" w:eastAsia="fr-FR"/>
        </w:rPr>
        <w:t>, dans la revue des employés de l</w:t>
      </w:r>
      <w:r w:rsidR="006645B6">
        <w:rPr>
          <w:lang w:val="fr-FR" w:eastAsia="fr-FR"/>
        </w:rPr>
        <w:t>’</w:t>
      </w:r>
      <w:r w:rsidR="00826E0F" w:rsidRPr="00872599">
        <w:rPr>
          <w:lang w:val="fr-FR" w:eastAsia="fr-FR"/>
        </w:rPr>
        <w:t xml:space="preserve">administration nationale </w:t>
      </w:r>
      <w:r w:rsidR="00826E0F" w:rsidRPr="00872599">
        <w:rPr>
          <w:i/>
          <w:iCs/>
          <w:lang w:val="fr-FR" w:eastAsia="fr-FR"/>
        </w:rPr>
        <w:t>FLIP</w:t>
      </w:r>
      <w:r w:rsidR="00826E0F" w:rsidRPr="00872599">
        <w:rPr>
          <w:lang w:val="fr-FR" w:eastAsia="fr-FR"/>
        </w:rPr>
        <w:t xml:space="preserve"> et dans le journal scolaire </w:t>
      </w:r>
      <w:r w:rsidR="00826E0F" w:rsidRPr="00872599">
        <w:rPr>
          <w:i/>
          <w:iCs/>
          <w:lang w:val="fr-FR" w:eastAsia="fr-FR"/>
        </w:rPr>
        <w:t>Schule heute</w:t>
      </w:r>
      <w:r w:rsidR="00826E0F" w:rsidRPr="00872599">
        <w:rPr>
          <w:lang w:val="fr-FR" w:eastAsia="fr-FR"/>
        </w:rPr>
        <w:t>.</w:t>
      </w:r>
    </w:p>
    <w:p w:rsidR="00B77E50" w:rsidRPr="00B77E50" w:rsidRDefault="00B77E50" w:rsidP="00B77E50">
      <w:pPr>
        <w:pStyle w:val="SingleTxt"/>
        <w:spacing w:after="0" w:line="120" w:lineRule="exact"/>
        <w:rPr>
          <w:sz w:val="10"/>
          <w:lang w:val="fr-FR" w:eastAsia="fr-FR"/>
        </w:rPr>
      </w:pPr>
    </w:p>
    <w:p w:rsidR="00826E0F" w:rsidRPr="00872599" w:rsidRDefault="00B77E50" w:rsidP="00B77E5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eastAsia="fr-FR"/>
        </w:rPr>
      </w:pPr>
      <w:r>
        <w:rPr>
          <w:lang w:val="fr-FR" w:eastAsia="fr-FR"/>
        </w:rPr>
        <w:tab/>
      </w:r>
      <w:r>
        <w:rPr>
          <w:lang w:val="fr-FR" w:eastAsia="fr-FR"/>
        </w:rPr>
        <w:tab/>
      </w:r>
      <w:r w:rsidR="00826E0F" w:rsidRPr="00872599">
        <w:rPr>
          <w:lang w:val="fr-FR" w:eastAsia="fr-FR"/>
        </w:rPr>
        <w:t>Programme culturel</w:t>
      </w:r>
    </w:p>
    <w:p w:rsidR="00B77E50" w:rsidRPr="00B77E50" w:rsidRDefault="00B77E50" w:rsidP="00B77E50">
      <w:pPr>
        <w:pStyle w:val="SingleTxt"/>
        <w:spacing w:after="0" w:line="120" w:lineRule="exact"/>
        <w:rPr>
          <w:sz w:val="10"/>
          <w:lang w:val="fr-FR" w:eastAsia="fr-FR"/>
        </w:rPr>
      </w:pPr>
    </w:p>
    <w:p w:rsidR="00826E0F" w:rsidRPr="00872599" w:rsidRDefault="00B77E50" w:rsidP="00497599">
      <w:pPr>
        <w:pStyle w:val="SingleTxt"/>
        <w:rPr>
          <w:lang w:val="fr-FR" w:eastAsia="fr-FR"/>
        </w:rPr>
      </w:pPr>
      <w:r>
        <w:rPr>
          <w:lang w:val="fr-FR" w:eastAsia="fr-FR"/>
        </w:rPr>
        <w:tab/>
      </w:r>
      <w:r w:rsidR="00826E0F" w:rsidRPr="00872599">
        <w:rPr>
          <w:lang w:val="fr-FR" w:eastAsia="fr-FR"/>
        </w:rPr>
        <w:t>En plus des possibilités de formation continue et des informations diffusées dans les journaux et les revues, diverses manifestations culturelles ont été organisées. En décembre 2008, Filmclub Takino a présenté une série de films sur les droits de l</w:t>
      </w:r>
      <w:r w:rsidR="006645B6">
        <w:rPr>
          <w:lang w:val="fr-FR" w:eastAsia="fr-FR"/>
        </w:rPr>
        <w:t>’</w:t>
      </w:r>
      <w:r w:rsidR="00826E0F" w:rsidRPr="00872599">
        <w:rPr>
          <w:lang w:val="fr-FR" w:eastAsia="fr-FR"/>
        </w:rPr>
        <w:t>homme. Le 9 décembre, veille de la journée des droits de l</w:t>
      </w:r>
      <w:r w:rsidR="006645B6">
        <w:rPr>
          <w:lang w:val="fr-FR" w:eastAsia="fr-FR"/>
        </w:rPr>
        <w:t>’</w:t>
      </w:r>
      <w:r w:rsidR="00826E0F" w:rsidRPr="00872599">
        <w:rPr>
          <w:lang w:val="fr-FR" w:eastAsia="fr-FR"/>
        </w:rPr>
        <w:t>homme, l</w:t>
      </w:r>
      <w:r w:rsidR="006645B6">
        <w:rPr>
          <w:lang w:val="fr-FR" w:eastAsia="fr-FR"/>
        </w:rPr>
        <w:t>’</w:t>
      </w:r>
      <w:r w:rsidR="00826E0F" w:rsidRPr="00872599">
        <w:rPr>
          <w:lang w:val="fr-FR" w:eastAsia="fr-FR"/>
        </w:rPr>
        <w:t>année anniversaire s</w:t>
      </w:r>
      <w:r w:rsidR="006645B6">
        <w:rPr>
          <w:lang w:val="fr-FR" w:eastAsia="fr-FR"/>
        </w:rPr>
        <w:t>’</w:t>
      </w:r>
      <w:r w:rsidR="00826E0F" w:rsidRPr="00872599">
        <w:rPr>
          <w:lang w:val="fr-FR" w:eastAsia="fr-FR"/>
        </w:rPr>
        <w:t>est achevée par un festival ayant pour devise</w:t>
      </w:r>
      <w:r w:rsidR="006645B6">
        <w:rPr>
          <w:lang w:val="fr-FR" w:eastAsia="fr-FR"/>
        </w:rPr>
        <w:t> :</w:t>
      </w:r>
      <w:r w:rsidR="00432049">
        <w:rPr>
          <w:lang w:val="fr-FR" w:eastAsia="fr-FR"/>
        </w:rPr>
        <w:t xml:space="preserve"> « </w:t>
      </w:r>
      <w:r w:rsidR="00826E0F" w:rsidRPr="00872599">
        <w:rPr>
          <w:lang w:val="fr-FR" w:eastAsia="fr-FR"/>
        </w:rPr>
        <w:t>Vos droits</w:t>
      </w:r>
      <w:r w:rsidR="006645B6">
        <w:rPr>
          <w:lang w:val="fr-FR" w:eastAsia="fr-FR"/>
        </w:rPr>
        <w:t xml:space="preserve"> – </w:t>
      </w:r>
      <w:r w:rsidR="00826E0F" w:rsidRPr="00872599">
        <w:rPr>
          <w:lang w:val="fr-FR" w:eastAsia="fr-FR"/>
        </w:rPr>
        <w:t>les droits de l</w:t>
      </w:r>
      <w:r w:rsidR="006645B6">
        <w:rPr>
          <w:lang w:val="fr-FR" w:eastAsia="fr-FR"/>
        </w:rPr>
        <w:t>’</w:t>
      </w:r>
      <w:r w:rsidR="00826E0F" w:rsidRPr="00872599">
        <w:rPr>
          <w:lang w:val="fr-FR" w:eastAsia="fr-FR"/>
        </w:rPr>
        <w:t xml:space="preserve">homme pour tous.» </w:t>
      </w:r>
    </w:p>
    <w:p w:rsidR="00826E0F" w:rsidRPr="00872599" w:rsidRDefault="00B77E50" w:rsidP="00A4102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eastAsia="fr-FR"/>
        </w:rPr>
      </w:pPr>
      <w:bookmarkStart w:id="44" w:name="_Toc239741038"/>
      <w:r>
        <w:rPr>
          <w:lang w:val="fr-FR" w:eastAsia="fr-FR"/>
        </w:rPr>
        <w:tab/>
      </w:r>
      <w:r>
        <w:rPr>
          <w:lang w:val="fr-FR" w:eastAsia="fr-FR"/>
        </w:rPr>
        <w:tab/>
      </w:r>
      <w:r w:rsidR="00826E0F" w:rsidRPr="00872599">
        <w:rPr>
          <w:lang w:val="fr-FR" w:eastAsia="fr-FR"/>
        </w:rPr>
        <w:t>Discussions avec les parlementaires</w:t>
      </w:r>
    </w:p>
    <w:p w:rsidR="00B77E50" w:rsidRPr="00B77E50" w:rsidRDefault="00B77E50" w:rsidP="00A4102E">
      <w:pPr>
        <w:pStyle w:val="SingleTxt"/>
        <w:keepNext/>
        <w:keepLines/>
        <w:spacing w:after="0" w:line="120" w:lineRule="exact"/>
        <w:rPr>
          <w:sz w:val="10"/>
          <w:lang w:val="fr-FR" w:eastAsia="fr-FR"/>
        </w:rPr>
      </w:pPr>
    </w:p>
    <w:p w:rsidR="00826E0F" w:rsidRPr="00872599" w:rsidRDefault="00B77E50" w:rsidP="00A4102E">
      <w:pPr>
        <w:pStyle w:val="SingleTxt"/>
        <w:keepNext/>
        <w:keepLines/>
        <w:rPr>
          <w:lang w:val="fr-FR" w:eastAsia="fr-FR"/>
        </w:rPr>
      </w:pPr>
      <w:r>
        <w:rPr>
          <w:lang w:val="fr-FR" w:eastAsia="fr-FR"/>
        </w:rPr>
        <w:tab/>
      </w:r>
      <w:r w:rsidR="00826E0F" w:rsidRPr="00872599">
        <w:rPr>
          <w:lang w:val="fr-FR" w:eastAsia="fr-FR"/>
        </w:rPr>
        <w:t>Depuis mars 2007, le Bureau de l</w:t>
      </w:r>
      <w:r w:rsidR="006645B6">
        <w:rPr>
          <w:lang w:val="fr-FR" w:eastAsia="fr-FR"/>
        </w:rPr>
        <w:t>’</w:t>
      </w:r>
      <w:r w:rsidR="00826E0F" w:rsidRPr="00872599">
        <w:rPr>
          <w:lang w:val="fr-FR" w:eastAsia="fr-FR"/>
        </w:rPr>
        <w:t>égalité des chances a organisé deux séries annuelles de discussions avec les parlementaires femmes sur un sujet d</w:t>
      </w:r>
      <w:r w:rsidR="006645B6">
        <w:rPr>
          <w:lang w:val="fr-FR" w:eastAsia="fr-FR"/>
        </w:rPr>
        <w:t>’</w:t>
      </w:r>
      <w:r w:rsidR="00826E0F" w:rsidRPr="00872599">
        <w:rPr>
          <w:lang w:val="fr-FR" w:eastAsia="fr-FR"/>
        </w:rPr>
        <w:t xml:space="preserve">actualité. Dans ce cadre transpartisan, les parlementaires ont discuté en mai 2008 des recommandations du Comité de </w:t>
      </w:r>
      <w:smartTag w:uri="urn:schemas-microsoft-com:office:smarttags" w:element="PersonName">
        <w:smartTagPr>
          <w:attr w:name="ProductID" w:val="la CEDAW"/>
        </w:smartTagPr>
        <w:r w:rsidR="00826E0F" w:rsidRPr="00872599">
          <w:rPr>
            <w:lang w:val="fr-FR" w:eastAsia="fr-FR"/>
          </w:rPr>
          <w:t>la CEDAW</w:t>
        </w:r>
      </w:smartTag>
      <w:r w:rsidR="00826E0F" w:rsidRPr="00872599">
        <w:rPr>
          <w:lang w:val="fr-FR" w:eastAsia="fr-FR"/>
        </w:rPr>
        <w:t xml:space="preserve"> et ont étudié la manière de donner du poids à ces recommandations au Liechtenstein.</w:t>
      </w:r>
    </w:p>
    <w:p w:rsidR="00B77E50" w:rsidRPr="00B77E50" w:rsidRDefault="00B77E50" w:rsidP="00B77E50">
      <w:pPr>
        <w:pStyle w:val="SingleTxt"/>
        <w:spacing w:after="0" w:line="120" w:lineRule="exact"/>
        <w:rPr>
          <w:sz w:val="10"/>
          <w:lang w:val="fr-FR" w:eastAsia="fr-FR"/>
        </w:rPr>
      </w:pPr>
    </w:p>
    <w:p w:rsidR="00826E0F" w:rsidRPr="00872599" w:rsidRDefault="00B77E50" w:rsidP="00B77E5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eastAsia="fr-FR"/>
        </w:rPr>
      </w:pPr>
      <w:r>
        <w:rPr>
          <w:lang w:val="fr-FR" w:eastAsia="fr-FR"/>
        </w:rPr>
        <w:tab/>
      </w:r>
      <w:r>
        <w:rPr>
          <w:lang w:val="fr-FR" w:eastAsia="fr-FR"/>
        </w:rPr>
        <w:tab/>
      </w:r>
      <w:r w:rsidR="00826E0F" w:rsidRPr="00872599">
        <w:rPr>
          <w:lang w:val="fr-FR" w:eastAsia="fr-FR"/>
        </w:rPr>
        <w:t>Site Web</w:t>
      </w:r>
    </w:p>
    <w:p w:rsidR="00B77E50" w:rsidRPr="00B77E50" w:rsidRDefault="00B77E50" w:rsidP="00B77E50">
      <w:pPr>
        <w:pStyle w:val="SingleTxt"/>
        <w:spacing w:after="0" w:line="120" w:lineRule="exact"/>
        <w:rPr>
          <w:sz w:val="10"/>
          <w:lang w:val="fr-FR" w:eastAsia="fr-FR"/>
        </w:rPr>
      </w:pPr>
    </w:p>
    <w:p w:rsidR="00826E0F" w:rsidRPr="00872599" w:rsidRDefault="00B77E50" w:rsidP="00497599">
      <w:pPr>
        <w:pStyle w:val="SingleTxt"/>
        <w:rPr>
          <w:lang w:val="fr-FR" w:eastAsia="fr-FR"/>
        </w:rPr>
      </w:pPr>
      <w:r>
        <w:rPr>
          <w:lang w:val="fr-FR" w:eastAsia="fr-FR"/>
        </w:rPr>
        <w:tab/>
      </w:r>
      <w:r w:rsidR="00826E0F" w:rsidRPr="00872599">
        <w:rPr>
          <w:lang w:val="fr-FR" w:eastAsia="fr-FR"/>
        </w:rPr>
        <w:t>Dans les chapitres du site Web officiel du Liechtenstein (www.liechtenstein.li) consacrés à la politique étrangère, aux droits de l</w:t>
      </w:r>
      <w:r w:rsidR="006645B6">
        <w:rPr>
          <w:lang w:val="fr-FR" w:eastAsia="fr-FR"/>
        </w:rPr>
        <w:t>’</w:t>
      </w:r>
      <w:r w:rsidR="00826E0F" w:rsidRPr="00872599">
        <w:rPr>
          <w:lang w:val="fr-FR" w:eastAsia="fr-FR"/>
        </w:rPr>
        <w:t>homme et aux droits des femmes on trouve des informations détaillées sur l</w:t>
      </w:r>
      <w:r w:rsidR="006645B6">
        <w:rPr>
          <w:lang w:val="fr-FR" w:eastAsia="fr-FR"/>
        </w:rPr>
        <w:t>’</w:t>
      </w:r>
      <w:r w:rsidR="00826E0F" w:rsidRPr="00872599">
        <w:rPr>
          <w:lang w:val="fr-FR" w:eastAsia="fr-FR"/>
        </w:rPr>
        <w:t>engagement du Liechtenstein dans la défense des droits de l</w:t>
      </w:r>
      <w:r w:rsidR="006645B6">
        <w:rPr>
          <w:lang w:val="fr-FR" w:eastAsia="fr-FR"/>
        </w:rPr>
        <w:t>’</w:t>
      </w:r>
      <w:r w:rsidR="00826E0F" w:rsidRPr="00872599">
        <w:rPr>
          <w:lang w:val="fr-FR" w:eastAsia="fr-FR"/>
        </w:rPr>
        <w:t>homme. Ces informations comprennent tous les rapports de pays et toutes les recommandations.</w:t>
      </w:r>
    </w:p>
    <w:p w:rsidR="00B77E50" w:rsidRPr="00B77E50" w:rsidRDefault="00B77E50" w:rsidP="00B77E50">
      <w:pPr>
        <w:pStyle w:val="SingleTxt"/>
        <w:spacing w:after="0" w:line="120" w:lineRule="exact"/>
        <w:rPr>
          <w:sz w:val="10"/>
          <w:lang w:val="fr-FR"/>
        </w:rPr>
      </w:pPr>
    </w:p>
    <w:p w:rsidR="00826E0F" w:rsidRPr="00872599" w:rsidRDefault="00B77E50" w:rsidP="00B77E5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00826E0F" w:rsidRPr="00872599">
        <w:rPr>
          <w:lang w:val="fr-FR"/>
        </w:rPr>
        <w:t>Article 28</w:t>
      </w:r>
      <w:r w:rsidR="003D3458">
        <w:rPr>
          <w:lang w:val="fr-FR"/>
        </w:rPr>
        <w:t>.</w:t>
      </w:r>
      <w:r w:rsidR="00826E0F" w:rsidRPr="00872599">
        <w:rPr>
          <w:lang w:val="fr-FR"/>
        </w:rPr>
        <w:tab/>
        <w:t>R</w:t>
      </w:r>
      <w:bookmarkEnd w:id="44"/>
      <w:r w:rsidR="00826E0F" w:rsidRPr="00872599">
        <w:rPr>
          <w:lang w:val="fr-FR"/>
        </w:rPr>
        <w:t>éserves</w:t>
      </w:r>
    </w:p>
    <w:p w:rsidR="00B77E50" w:rsidRPr="00B77E50" w:rsidRDefault="00B77E50" w:rsidP="00B77E50">
      <w:pPr>
        <w:pStyle w:val="SingleTxt"/>
        <w:spacing w:after="0" w:line="120" w:lineRule="exact"/>
        <w:rPr>
          <w:sz w:val="10"/>
          <w:lang w:val="fr-FR"/>
        </w:rPr>
      </w:pPr>
      <w:bookmarkStart w:id="45" w:name="_Toc512341777"/>
    </w:p>
    <w:p w:rsidR="00B77E50" w:rsidRPr="00B77E50" w:rsidRDefault="00B77E50" w:rsidP="00B77E50">
      <w:pPr>
        <w:pStyle w:val="SingleTxt"/>
        <w:pBdr>
          <w:top w:val="single" w:sz="4" w:space="1" w:color="auto"/>
          <w:left w:val="single" w:sz="4" w:space="4" w:color="auto"/>
          <w:bottom w:val="single" w:sz="4" w:space="1" w:color="auto"/>
          <w:right w:val="single" w:sz="4" w:space="4" w:color="auto"/>
        </w:pBdr>
        <w:spacing w:after="0" w:line="120" w:lineRule="exact"/>
        <w:rPr>
          <w:b/>
          <w:sz w:val="10"/>
          <w:lang w:val="fr-FR"/>
        </w:rPr>
      </w:pPr>
    </w:p>
    <w:p w:rsidR="00826E0F" w:rsidRPr="00872599" w:rsidRDefault="00826E0F" w:rsidP="00B77E50">
      <w:pPr>
        <w:pStyle w:val="SingleTxt"/>
        <w:pBdr>
          <w:top w:val="single" w:sz="4" w:space="1" w:color="auto"/>
          <w:left w:val="single" w:sz="4" w:space="4" w:color="auto"/>
          <w:bottom w:val="single" w:sz="4" w:space="1" w:color="auto"/>
          <w:right w:val="single" w:sz="4" w:space="4" w:color="auto"/>
        </w:pBdr>
        <w:rPr>
          <w:b/>
          <w:lang w:val="fr-FR"/>
        </w:rPr>
      </w:pPr>
      <w:r w:rsidRPr="00872599">
        <w:rPr>
          <w:b/>
          <w:lang w:val="fr-FR"/>
        </w:rPr>
        <w:t xml:space="preserve">Recommandation du Comité de </w:t>
      </w:r>
      <w:smartTag w:uri="urn:schemas-microsoft-com:office:smarttags" w:element="PersonName">
        <w:smartTagPr>
          <w:attr w:name="ProductID" w:val="la CEDAW"/>
        </w:smartTagPr>
        <w:r w:rsidRPr="00872599">
          <w:rPr>
            <w:b/>
            <w:lang w:val="fr-FR"/>
          </w:rPr>
          <w:t>la CEDAW</w:t>
        </w:r>
      </w:smartTag>
      <w:r w:rsidRPr="00872599">
        <w:rPr>
          <w:b/>
          <w:lang w:val="fr-FR"/>
        </w:rPr>
        <w:t>, n</w:t>
      </w:r>
      <w:r w:rsidRPr="006645B6">
        <w:rPr>
          <w:b/>
          <w:vertAlign w:val="superscript"/>
          <w:lang w:val="fr-FR"/>
        </w:rPr>
        <w:t>o</w:t>
      </w:r>
      <w:r w:rsidR="006645B6">
        <w:rPr>
          <w:b/>
          <w:vertAlign w:val="superscript"/>
          <w:lang w:val="fr-FR"/>
        </w:rPr>
        <w:t xml:space="preserve"> </w:t>
      </w:r>
      <w:r w:rsidRPr="00872599">
        <w:rPr>
          <w:b/>
          <w:lang w:val="fr-FR"/>
        </w:rPr>
        <w:t>12</w:t>
      </w:r>
      <w:r w:rsidR="003D3458">
        <w:rPr>
          <w:b/>
          <w:lang w:val="fr-FR"/>
        </w:rPr>
        <w:t> </w:t>
      </w:r>
      <w:r w:rsidRPr="00872599">
        <w:rPr>
          <w:b/>
          <w:lang w:val="fr-FR"/>
        </w:rPr>
        <w:t>:</w:t>
      </w:r>
    </w:p>
    <w:p w:rsidR="00826E0F" w:rsidRPr="00872599" w:rsidRDefault="00826E0F" w:rsidP="00B77E50">
      <w:pPr>
        <w:pStyle w:val="SingleTxt"/>
        <w:pBdr>
          <w:top w:val="single" w:sz="4" w:space="1" w:color="auto"/>
          <w:left w:val="single" w:sz="4" w:space="4" w:color="auto"/>
          <w:bottom w:val="single" w:sz="4" w:space="1" w:color="auto"/>
          <w:right w:val="single" w:sz="4" w:space="4" w:color="auto"/>
        </w:pBdr>
        <w:rPr>
          <w:i/>
          <w:lang w:val="fr-FR"/>
        </w:rPr>
      </w:pPr>
      <w:r w:rsidRPr="00872599">
        <w:rPr>
          <w:i/>
          <w:lang w:val="fr-FR"/>
        </w:rPr>
        <w:t>Le Comité encourage l</w:t>
      </w:r>
      <w:r w:rsidR="006645B6">
        <w:rPr>
          <w:i/>
          <w:lang w:val="fr-FR"/>
        </w:rPr>
        <w:t>’</w:t>
      </w:r>
      <w:r w:rsidRPr="00872599">
        <w:rPr>
          <w:i/>
          <w:lang w:val="fr-FR"/>
        </w:rPr>
        <w:t>État partie à examiner sa réserve à l</w:t>
      </w:r>
      <w:r w:rsidR="006645B6">
        <w:rPr>
          <w:i/>
          <w:lang w:val="fr-FR"/>
        </w:rPr>
        <w:t>’</w:t>
      </w:r>
      <w:r w:rsidRPr="00872599">
        <w:rPr>
          <w:i/>
          <w:lang w:val="fr-FR"/>
        </w:rPr>
        <w:t xml:space="preserve">article premier de </w:t>
      </w:r>
      <w:smartTag w:uri="urn:schemas-microsoft-com:office:smarttags" w:element="PersonName">
        <w:smartTagPr>
          <w:attr w:name="ProductID" w:val="la Convention"/>
        </w:smartTagPr>
        <w:r w:rsidRPr="00872599">
          <w:rPr>
            <w:i/>
            <w:lang w:val="fr-FR"/>
          </w:rPr>
          <w:t>la Convention</w:t>
        </w:r>
      </w:smartTag>
      <w:r w:rsidRPr="00872599">
        <w:rPr>
          <w:i/>
          <w:lang w:val="fr-FR"/>
        </w:rPr>
        <w:t xml:space="preserve"> avec </w:t>
      </w:r>
      <w:smartTag w:uri="urn:schemas-microsoft-com:office:smarttags" w:element="PersonName">
        <w:smartTagPr>
          <w:attr w:name="ProductID" w:val="la Maison"/>
        </w:smartTagPr>
        <w:r w:rsidRPr="00872599">
          <w:rPr>
            <w:i/>
            <w:lang w:val="fr-FR"/>
          </w:rPr>
          <w:t>la Maison</w:t>
        </w:r>
      </w:smartTag>
      <w:r w:rsidRPr="00872599">
        <w:rPr>
          <w:i/>
          <w:lang w:val="fr-FR"/>
        </w:rPr>
        <w:t xml:space="preserve"> princière autonome du Liechtenstein en vue de la retirer.</w:t>
      </w:r>
      <w:r w:rsidRPr="00872599">
        <w:rPr>
          <w:b/>
          <w:lang w:val="fr-FR"/>
        </w:rPr>
        <w:t xml:space="preserve"> </w:t>
      </w:r>
    </w:p>
    <w:p w:rsidR="00B77E50" w:rsidRPr="00B77E50" w:rsidRDefault="00B77E50" w:rsidP="00B77E50">
      <w:pPr>
        <w:pStyle w:val="SingleTxt"/>
        <w:spacing w:after="0" w:line="120" w:lineRule="exact"/>
        <w:rPr>
          <w:sz w:val="10"/>
          <w:lang w:val="fr-FR"/>
        </w:rPr>
      </w:pPr>
    </w:p>
    <w:p w:rsidR="00826E0F" w:rsidRPr="00872599" w:rsidRDefault="00B77E50" w:rsidP="00497599">
      <w:pPr>
        <w:pStyle w:val="SingleTxt"/>
        <w:rPr>
          <w:lang w:val="fr-FR" w:eastAsia="fr-FR"/>
        </w:rPr>
      </w:pPr>
      <w:r>
        <w:rPr>
          <w:lang w:val="fr-FR" w:eastAsia="fr-FR"/>
        </w:rPr>
        <w:tab/>
      </w:r>
      <w:r w:rsidR="00826E0F" w:rsidRPr="00872599">
        <w:rPr>
          <w:lang w:val="fr-FR" w:eastAsia="fr-FR"/>
        </w:rPr>
        <w:t>Cette recommandation concerne la ligne successorale au sein de la maison princière. La loi sur la maison princière refuse aux femmes le droit de succession. L</w:t>
      </w:r>
      <w:r w:rsidR="006645B6">
        <w:rPr>
          <w:lang w:val="fr-FR" w:eastAsia="fr-FR"/>
        </w:rPr>
        <w:t>’</w:t>
      </w:r>
      <w:r w:rsidR="00826E0F" w:rsidRPr="00872599">
        <w:rPr>
          <w:lang w:val="fr-FR" w:eastAsia="fr-FR"/>
        </w:rPr>
        <w:t xml:space="preserve">article 3 de </w:t>
      </w:r>
      <w:smartTag w:uri="urn:schemas-microsoft-com:office:smarttags" w:element="PersonName">
        <w:smartTagPr>
          <w:attr w:name="ProductID" w:val="la Constitution"/>
        </w:smartTagPr>
        <w:r w:rsidR="00826E0F" w:rsidRPr="00872599">
          <w:rPr>
            <w:lang w:val="fr-FR" w:eastAsia="fr-FR"/>
          </w:rPr>
          <w:t>la Constitution</w:t>
        </w:r>
      </w:smartTag>
      <w:r w:rsidR="00826E0F" w:rsidRPr="00872599">
        <w:rPr>
          <w:lang w:val="fr-FR" w:eastAsia="fr-FR"/>
        </w:rPr>
        <w:t xml:space="preserve"> du Liechtenstein laisse à cette loi le soin de régler les questions de succession héréditaire au sein de la maison princière de Liechtenstein, l</w:t>
      </w:r>
      <w:r w:rsidR="006645B6">
        <w:rPr>
          <w:lang w:val="fr-FR" w:eastAsia="fr-FR"/>
        </w:rPr>
        <w:t>’</w:t>
      </w:r>
      <w:r w:rsidR="00826E0F" w:rsidRPr="00872599">
        <w:rPr>
          <w:lang w:val="fr-FR" w:eastAsia="fr-FR"/>
        </w:rPr>
        <w:t>âge de la majorité du Prince régnant et du Prince héréditaire ainsi que toutes questions concernant la tutelle éventuelle. L</w:t>
      </w:r>
      <w:r w:rsidR="006645B6">
        <w:rPr>
          <w:lang w:val="fr-FR" w:eastAsia="fr-FR"/>
        </w:rPr>
        <w:t>’</w:t>
      </w:r>
      <w:r w:rsidR="00826E0F" w:rsidRPr="00872599">
        <w:rPr>
          <w:lang w:val="fr-FR" w:eastAsia="fr-FR"/>
        </w:rPr>
        <w:t>État reconnaît ainsi l</w:t>
      </w:r>
      <w:r w:rsidR="006645B6">
        <w:rPr>
          <w:lang w:val="fr-FR" w:eastAsia="fr-FR"/>
        </w:rPr>
        <w:t>’</w:t>
      </w:r>
      <w:r w:rsidR="00826E0F" w:rsidRPr="00872599">
        <w:rPr>
          <w:lang w:val="fr-FR" w:eastAsia="fr-FR"/>
        </w:rPr>
        <w:t>autonomie de la maison princière qui est habilitée à régler ces questions relevant de l</w:t>
      </w:r>
      <w:r w:rsidR="006645B6">
        <w:rPr>
          <w:lang w:val="fr-FR" w:eastAsia="fr-FR"/>
        </w:rPr>
        <w:t>’</w:t>
      </w:r>
      <w:r w:rsidR="00826E0F" w:rsidRPr="00872599">
        <w:rPr>
          <w:lang w:val="fr-FR" w:eastAsia="fr-FR"/>
        </w:rPr>
        <w:t>État au moyen de la loi sur la maison princière. Cette loi est une loi statutaire autonome, une source de droit échappant à la législation ordinaire de l</w:t>
      </w:r>
      <w:r w:rsidR="006645B6">
        <w:rPr>
          <w:lang w:val="fr-FR" w:eastAsia="fr-FR"/>
        </w:rPr>
        <w:t>’</w:t>
      </w:r>
      <w:r w:rsidR="00826E0F" w:rsidRPr="00872599">
        <w:rPr>
          <w:lang w:val="fr-FR" w:eastAsia="fr-FR"/>
        </w:rPr>
        <w:t>État. Il y a également lieu de noter que dans la pratique, la disposition applicable (article 12) de la loi sur la maison princière n</w:t>
      </w:r>
      <w:r w:rsidR="006645B6">
        <w:rPr>
          <w:lang w:val="fr-FR" w:eastAsia="fr-FR"/>
        </w:rPr>
        <w:t>’</w:t>
      </w:r>
      <w:r w:rsidR="00826E0F" w:rsidRPr="00872599">
        <w:rPr>
          <w:lang w:val="fr-FR" w:eastAsia="fr-FR"/>
        </w:rPr>
        <w:t>a pas amené à exercer de discrimination contre les membres féminins de la maison princière puisque les premiers nés du précédent, de l</w:t>
      </w:r>
      <w:r w:rsidR="006645B6">
        <w:rPr>
          <w:lang w:val="fr-FR" w:eastAsia="fr-FR"/>
        </w:rPr>
        <w:t>’</w:t>
      </w:r>
      <w:r w:rsidR="00826E0F" w:rsidRPr="00872599">
        <w:rPr>
          <w:lang w:val="fr-FR" w:eastAsia="fr-FR"/>
        </w:rPr>
        <w:t>actuel et du futur Prince régnant ont tous été des garçons.</w:t>
      </w:r>
    </w:p>
    <w:p w:rsidR="00B77E50" w:rsidRPr="00B77E50" w:rsidRDefault="00B77E50" w:rsidP="00B77E50">
      <w:pPr>
        <w:pStyle w:val="SingleTxt"/>
        <w:spacing w:after="0" w:line="120" w:lineRule="exact"/>
        <w:rPr>
          <w:b/>
          <w:sz w:val="10"/>
          <w:lang w:val="fr-FR" w:eastAsia="fr-FR"/>
        </w:rPr>
      </w:pPr>
    </w:p>
    <w:p w:rsidR="00826E0F" w:rsidRPr="00872599" w:rsidRDefault="00B77E50" w:rsidP="00B77E5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bookmarkStart w:id="46" w:name="_Toc239741039"/>
      <w:bookmarkEnd w:id="45"/>
      <w:r>
        <w:rPr>
          <w:lang w:val="fr-FR"/>
        </w:rPr>
        <w:br w:type="page"/>
      </w:r>
      <w:r>
        <w:rPr>
          <w:lang w:val="fr-FR"/>
        </w:rPr>
        <w:tab/>
      </w:r>
      <w:r>
        <w:rPr>
          <w:lang w:val="fr-FR"/>
        </w:rPr>
        <w:tab/>
      </w:r>
      <w:r w:rsidR="00826E0F" w:rsidRPr="00872599">
        <w:rPr>
          <w:lang w:val="fr-FR"/>
        </w:rPr>
        <w:t>Appendice 1</w:t>
      </w:r>
      <w:r w:rsidR="003D3458">
        <w:t> </w:t>
      </w:r>
      <w:r w:rsidR="00826E0F" w:rsidRPr="00872599">
        <w:rPr>
          <w:lang w:val="fr-FR"/>
        </w:rPr>
        <w:t>:</w:t>
      </w:r>
      <w:bookmarkEnd w:id="46"/>
      <w:r w:rsidR="00826E0F" w:rsidRPr="00872599">
        <w:rPr>
          <w:lang w:val="fr-FR"/>
        </w:rPr>
        <w:t xml:space="preserve"> Textes juridiques</w:t>
      </w:r>
    </w:p>
    <w:p w:rsidR="00B77E50" w:rsidRPr="00B77E50" w:rsidRDefault="00B77E50" w:rsidP="00B77E50">
      <w:pPr>
        <w:pStyle w:val="SingleTxt"/>
        <w:spacing w:after="0" w:line="120" w:lineRule="exact"/>
        <w:rPr>
          <w:sz w:val="10"/>
          <w:highlight w:val="yellow"/>
          <w:lang w:val="fr-FR"/>
        </w:rPr>
      </w:pPr>
    </w:p>
    <w:p w:rsidR="00B77E50" w:rsidRPr="00B77E50" w:rsidRDefault="00B77E50" w:rsidP="00B77E50">
      <w:pPr>
        <w:pStyle w:val="SingleTxt"/>
        <w:spacing w:after="0" w:line="120" w:lineRule="exact"/>
        <w:rPr>
          <w:sz w:val="10"/>
          <w:highlight w:val="yellow"/>
          <w:lang w:val="fr-FR"/>
        </w:rPr>
      </w:pPr>
    </w:p>
    <w:p w:rsidR="00826E0F" w:rsidRPr="00872599" w:rsidRDefault="00826E0F" w:rsidP="00B77E50">
      <w:pPr>
        <w:pStyle w:val="SingleTxt"/>
        <w:ind w:left="1584" w:hanging="317"/>
        <w:rPr>
          <w:lang w:val="fr-FR"/>
        </w:rPr>
      </w:pPr>
      <w:r w:rsidRPr="00872599">
        <w:rPr>
          <w:lang w:val="fr-FR"/>
        </w:rPr>
        <w:t>Tous les textes juridiques peuvent être consultés sur le site Web www.gesetze.li (seulement en allemand).</w:t>
      </w:r>
    </w:p>
    <w:p w:rsidR="00826E0F" w:rsidRPr="00872599" w:rsidRDefault="00826E0F" w:rsidP="00B77E50">
      <w:pPr>
        <w:pStyle w:val="SingleTxt"/>
        <w:ind w:left="1584" w:hanging="317"/>
        <w:rPr>
          <w:lang w:val="fr-FR"/>
        </w:rPr>
      </w:pPr>
      <w:r w:rsidRPr="00872599">
        <w:rPr>
          <w:lang w:val="fr-FR"/>
        </w:rPr>
        <w:t>Code civil général du 1er juin 1811, publié en application de la loi du 5 octobre 1967 sur la rectification des dispositions juridiques adoptées avant le 1</w:t>
      </w:r>
      <w:r w:rsidRPr="008A4E39">
        <w:rPr>
          <w:vertAlign w:val="superscript"/>
          <w:lang w:val="fr-FR"/>
        </w:rPr>
        <w:t>er</w:t>
      </w:r>
      <w:r w:rsidRPr="00872599">
        <w:rPr>
          <w:lang w:val="fr-FR"/>
        </w:rPr>
        <w:t xml:space="preserve"> janvier 1963, LGBl. </w:t>
      </w:r>
      <w:r w:rsidR="00A4102E">
        <w:rPr>
          <w:lang w:val="fr-FR"/>
        </w:rPr>
        <w:t>n</w:t>
      </w:r>
      <w:r w:rsidR="00A4102E" w:rsidRPr="00A4102E">
        <w:rPr>
          <w:vertAlign w:val="superscript"/>
          <w:lang w:val="fr-FR"/>
        </w:rPr>
        <w:t>o</w:t>
      </w:r>
      <w:r w:rsidR="00A4102E">
        <w:rPr>
          <w:lang w:val="fr-FR"/>
        </w:rPr>
        <w:t> </w:t>
      </w:r>
      <w:r w:rsidRPr="00872599">
        <w:rPr>
          <w:lang w:val="fr-FR"/>
        </w:rPr>
        <w:t>34.</w:t>
      </w:r>
    </w:p>
    <w:p w:rsidR="00826E0F" w:rsidRPr="00872599" w:rsidRDefault="00826E0F" w:rsidP="00B77E50">
      <w:pPr>
        <w:pStyle w:val="SingleTxt"/>
        <w:ind w:left="1584" w:hanging="317"/>
        <w:rPr>
          <w:lang w:val="fr-FR"/>
        </w:rPr>
      </w:pPr>
      <w:r w:rsidRPr="00872599">
        <w:rPr>
          <w:lang w:val="fr-FR"/>
        </w:rPr>
        <w:t xml:space="preserve">Loi du 30 janvier 1961 sur les impôts nationaux et municipaux (Loi sur la fiscalité), LGBl. 1961 </w:t>
      </w:r>
      <w:r w:rsidR="00A4102E">
        <w:rPr>
          <w:lang w:val="fr-FR"/>
        </w:rPr>
        <w:t>n</w:t>
      </w:r>
      <w:r w:rsidR="00A4102E" w:rsidRPr="00A4102E">
        <w:rPr>
          <w:vertAlign w:val="superscript"/>
          <w:lang w:val="fr-FR"/>
        </w:rPr>
        <w:t>o</w:t>
      </w:r>
      <w:r w:rsidR="00A4102E">
        <w:rPr>
          <w:lang w:val="fr-FR"/>
        </w:rPr>
        <w:t> </w:t>
      </w:r>
      <w:r w:rsidRPr="00872599">
        <w:rPr>
          <w:lang w:val="fr-FR"/>
        </w:rPr>
        <w:t>7.</w:t>
      </w:r>
    </w:p>
    <w:p w:rsidR="00826E0F" w:rsidRPr="00872599" w:rsidRDefault="00826E0F" w:rsidP="00B77E50">
      <w:pPr>
        <w:pStyle w:val="SingleTxt"/>
        <w:ind w:left="1584" w:hanging="317"/>
        <w:rPr>
          <w:lang w:val="fr-FR"/>
        </w:rPr>
      </w:pPr>
      <w:r w:rsidRPr="00872599">
        <w:rPr>
          <w:lang w:val="fr-FR"/>
        </w:rPr>
        <w:t xml:space="preserve">Loi du 18 décembre 1985 sur les allocations familiales (Loi sur les allocations familiales), LGBl. 1986 </w:t>
      </w:r>
      <w:r w:rsidR="00A4102E">
        <w:rPr>
          <w:lang w:val="fr-FR"/>
        </w:rPr>
        <w:t>n</w:t>
      </w:r>
      <w:r w:rsidR="00A4102E" w:rsidRPr="00A4102E">
        <w:rPr>
          <w:vertAlign w:val="superscript"/>
          <w:lang w:val="fr-FR"/>
        </w:rPr>
        <w:t>o</w:t>
      </w:r>
      <w:r w:rsidR="00A4102E">
        <w:rPr>
          <w:lang w:val="fr-FR"/>
        </w:rPr>
        <w:t> 2</w:t>
      </w:r>
    </w:p>
    <w:p w:rsidR="00826E0F" w:rsidRPr="00872599" w:rsidRDefault="00826E0F" w:rsidP="00B77E50">
      <w:pPr>
        <w:pStyle w:val="SingleTxt"/>
        <w:ind w:left="1584" w:hanging="317"/>
        <w:rPr>
          <w:lang w:val="fr-FR"/>
        </w:rPr>
      </w:pPr>
      <w:r w:rsidRPr="00872599">
        <w:rPr>
          <w:lang w:val="fr-FR"/>
        </w:rPr>
        <w:t xml:space="preserve">Loi du 20 octobre 1987 sur les pensions professionnelles (Loi sur les pensions professionnelles), LGBl. 1988 </w:t>
      </w:r>
      <w:r w:rsidR="00A4102E">
        <w:rPr>
          <w:lang w:val="fr-FR"/>
        </w:rPr>
        <w:t>n</w:t>
      </w:r>
      <w:r w:rsidR="00A4102E" w:rsidRPr="00A4102E">
        <w:rPr>
          <w:vertAlign w:val="superscript"/>
          <w:lang w:val="fr-FR"/>
        </w:rPr>
        <w:t>o</w:t>
      </w:r>
      <w:r w:rsidR="00A4102E">
        <w:rPr>
          <w:lang w:val="fr-FR"/>
        </w:rPr>
        <w:t> 12</w:t>
      </w:r>
    </w:p>
    <w:p w:rsidR="00826E0F" w:rsidRPr="00872599" w:rsidRDefault="00826E0F" w:rsidP="00B77E50">
      <w:pPr>
        <w:pStyle w:val="SingleTxt"/>
        <w:ind w:left="1584" w:hanging="317"/>
        <w:rPr>
          <w:lang w:val="fr-FR"/>
        </w:rPr>
      </w:pPr>
      <w:r w:rsidRPr="00872599">
        <w:rPr>
          <w:lang w:val="fr-FR"/>
        </w:rPr>
        <w:t>Loi du 20 décembre 1988 sur l</w:t>
      </w:r>
      <w:r w:rsidR="006645B6">
        <w:rPr>
          <w:lang w:val="fr-FR"/>
        </w:rPr>
        <w:t>’</w:t>
      </w:r>
      <w:r w:rsidRPr="00872599">
        <w:rPr>
          <w:lang w:val="fr-FR"/>
        </w:rPr>
        <w:t>assurance vieillesse des employés de l</w:t>
      </w:r>
      <w:r w:rsidR="006645B6">
        <w:rPr>
          <w:lang w:val="fr-FR"/>
        </w:rPr>
        <w:t>’</w:t>
      </w:r>
      <w:r w:rsidRPr="00872599">
        <w:rPr>
          <w:lang w:val="fr-FR"/>
        </w:rPr>
        <w:t>État (Loi sur l</w:t>
      </w:r>
      <w:r w:rsidR="006645B6">
        <w:rPr>
          <w:lang w:val="fr-FR"/>
        </w:rPr>
        <w:t>’</w:t>
      </w:r>
      <w:r w:rsidRPr="00872599">
        <w:rPr>
          <w:lang w:val="fr-FR"/>
        </w:rPr>
        <w:t xml:space="preserve">assurance vieillesse), LGBl. 1989 </w:t>
      </w:r>
      <w:r w:rsidR="00A4102E">
        <w:rPr>
          <w:lang w:val="fr-FR"/>
        </w:rPr>
        <w:t>n</w:t>
      </w:r>
      <w:r w:rsidR="00A4102E" w:rsidRPr="00A4102E">
        <w:rPr>
          <w:vertAlign w:val="superscript"/>
          <w:lang w:val="fr-FR"/>
        </w:rPr>
        <w:t>o</w:t>
      </w:r>
      <w:r w:rsidR="00A4102E">
        <w:rPr>
          <w:lang w:val="fr-FR"/>
        </w:rPr>
        <w:t> 7</w:t>
      </w:r>
    </w:p>
    <w:p w:rsidR="00826E0F" w:rsidRPr="00872599" w:rsidRDefault="00826E0F" w:rsidP="00B77E50">
      <w:pPr>
        <w:pStyle w:val="SingleTxt"/>
        <w:ind w:left="1584" w:hanging="317"/>
        <w:rPr>
          <w:lang w:val="fr-FR"/>
        </w:rPr>
      </w:pPr>
      <w:r w:rsidRPr="00872599">
        <w:rPr>
          <w:lang w:val="fr-FR"/>
        </w:rPr>
        <w:t>Loi du 10 mars 1999 sur l</w:t>
      </w:r>
      <w:r w:rsidR="006645B6">
        <w:rPr>
          <w:lang w:val="fr-FR"/>
        </w:rPr>
        <w:t>’</w:t>
      </w:r>
      <w:r w:rsidRPr="00872599">
        <w:rPr>
          <w:lang w:val="fr-FR"/>
        </w:rPr>
        <w:t>égalité des femmes et des hommes (Loi sur l</w:t>
      </w:r>
      <w:r w:rsidR="006645B6">
        <w:rPr>
          <w:lang w:val="fr-FR"/>
        </w:rPr>
        <w:t>’</w:t>
      </w:r>
      <w:r w:rsidRPr="00872599">
        <w:rPr>
          <w:lang w:val="fr-FR"/>
        </w:rPr>
        <w:t xml:space="preserve">égalité </w:t>
      </w:r>
      <w:r>
        <w:rPr>
          <w:lang w:val="fr-FR"/>
        </w:rPr>
        <w:t xml:space="preserve">entre les </w:t>
      </w:r>
      <w:r w:rsidRPr="00872599">
        <w:rPr>
          <w:lang w:val="fr-FR"/>
        </w:rPr>
        <w:t xml:space="preserve">sexes), LGBl. 1999 </w:t>
      </w:r>
      <w:r w:rsidR="00A4102E">
        <w:rPr>
          <w:lang w:val="fr-FR"/>
        </w:rPr>
        <w:t>n</w:t>
      </w:r>
      <w:r w:rsidR="00A4102E" w:rsidRPr="00A4102E">
        <w:rPr>
          <w:vertAlign w:val="subscript"/>
          <w:lang w:val="fr-FR"/>
        </w:rPr>
        <w:t>o</w:t>
      </w:r>
      <w:r w:rsidR="00A4102E">
        <w:rPr>
          <w:lang w:val="fr-FR"/>
        </w:rPr>
        <w:t> </w:t>
      </w:r>
      <w:r w:rsidRPr="00872599">
        <w:rPr>
          <w:lang w:val="fr-FR"/>
        </w:rPr>
        <w:t>96</w:t>
      </w:r>
    </w:p>
    <w:p w:rsidR="00826E0F" w:rsidRPr="00872599" w:rsidRDefault="00826E0F" w:rsidP="00B77E50">
      <w:pPr>
        <w:pStyle w:val="SingleTxt"/>
        <w:ind w:left="1584" w:hanging="317"/>
        <w:rPr>
          <w:lang w:val="fr-FR"/>
        </w:rPr>
      </w:pPr>
      <w:r w:rsidRPr="00872599">
        <w:rPr>
          <w:lang w:val="fr-FR"/>
        </w:rPr>
        <w:t>Loi du 25 novembre 2004 sur l</w:t>
      </w:r>
      <w:r w:rsidR="006645B6">
        <w:rPr>
          <w:lang w:val="fr-FR"/>
        </w:rPr>
        <w:t>’</w:t>
      </w:r>
      <w:r w:rsidRPr="00872599">
        <w:rPr>
          <w:lang w:val="fr-FR"/>
        </w:rPr>
        <w:t>enseignement supérieur (Loi sur l</w:t>
      </w:r>
      <w:r w:rsidR="006645B6">
        <w:rPr>
          <w:lang w:val="fr-FR"/>
        </w:rPr>
        <w:t>’</w:t>
      </w:r>
      <w:r w:rsidRPr="00872599">
        <w:rPr>
          <w:lang w:val="fr-FR"/>
        </w:rPr>
        <w:t xml:space="preserve">enseignement supérieur), LGBl. 2005 </w:t>
      </w:r>
      <w:r w:rsidR="00A4102E">
        <w:rPr>
          <w:lang w:val="fr-FR"/>
        </w:rPr>
        <w:t>n</w:t>
      </w:r>
      <w:r w:rsidR="00A4102E" w:rsidRPr="00A4102E">
        <w:rPr>
          <w:vertAlign w:val="subscript"/>
          <w:lang w:val="fr-FR"/>
        </w:rPr>
        <w:t>o</w:t>
      </w:r>
      <w:r w:rsidR="00A4102E">
        <w:rPr>
          <w:lang w:val="fr-FR"/>
        </w:rPr>
        <w:t> </w:t>
      </w:r>
      <w:r w:rsidRPr="00872599">
        <w:rPr>
          <w:lang w:val="fr-FR"/>
        </w:rPr>
        <w:t>2.</w:t>
      </w:r>
    </w:p>
    <w:p w:rsidR="00826E0F" w:rsidRPr="00872599" w:rsidRDefault="00826E0F" w:rsidP="00B77E50">
      <w:pPr>
        <w:pStyle w:val="SingleTxt"/>
        <w:ind w:left="1584" w:hanging="317"/>
        <w:rPr>
          <w:lang w:val="fr-FR"/>
        </w:rPr>
      </w:pPr>
      <w:r w:rsidRPr="00872599">
        <w:rPr>
          <w:lang w:val="fr-FR"/>
        </w:rPr>
        <w:t>Loi du 25 octobre 2006 sur l</w:t>
      </w:r>
      <w:r w:rsidR="006645B6">
        <w:rPr>
          <w:lang w:val="fr-FR"/>
        </w:rPr>
        <w:t>’</w:t>
      </w:r>
      <w:r w:rsidRPr="00872599">
        <w:rPr>
          <w:lang w:val="fr-FR"/>
        </w:rPr>
        <w:t>égalité pour les handicapés (Loi sur l</w:t>
      </w:r>
      <w:r w:rsidR="006645B6">
        <w:rPr>
          <w:lang w:val="fr-FR"/>
        </w:rPr>
        <w:t>’</w:t>
      </w:r>
      <w:r w:rsidRPr="00872599">
        <w:rPr>
          <w:lang w:val="fr-FR"/>
        </w:rPr>
        <w:t xml:space="preserve">égalité pour les handicapés), LGBl. 2006 </w:t>
      </w:r>
      <w:r w:rsidR="00A4102E">
        <w:rPr>
          <w:lang w:val="fr-FR"/>
        </w:rPr>
        <w:t>n</w:t>
      </w:r>
      <w:r w:rsidR="00A4102E" w:rsidRPr="00A4102E">
        <w:rPr>
          <w:vertAlign w:val="superscript"/>
          <w:lang w:val="fr-FR"/>
        </w:rPr>
        <w:t>o</w:t>
      </w:r>
      <w:r w:rsidR="00A4102E">
        <w:rPr>
          <w:lang w:val="fr-FR"/>
        </w:rPr>
        <w:t> 2</w:t>
      </w:r>
      <w:r w:rsidRPr="00872599">
        <w:rPr>
          <w:lang w:val="fr-FR"/>
        </w:rPr>
        <w:t>3.</w:t>
      </w:r>
    </w:p>
    <w:p w:rsidR="00826E0F" w:rsidRPr="00872599" w:rsidRDefault="00826E0F" w:rsidP="00B77E50">
      <w:pPr>
        <w:pStyle w:val="SingleTxt"/>
        <w:ind w:left="1584" w:hanging="317"/>
        <w:rPr>
          <w:lang w:val="fr-FR"/>
        </w:rPr>
      </w:pPr>
      <w:r w:rsidRPr="00872599">
        <w:rPr>
          <w:lang w:val="fr-FR"/>
        </w:rPr>
        <w:t xml:space="preserve">Loi du 26 avril 2007 sur la coopération humanitaire internationale et le développement (Loi sur la coopération humanitaire internationale et le développement), LGBl. 2007 </w:t>
      </w:r>
      <w:r w:rsidR="00A4102E">
        <w:rPr>
          <w:lang w:val="fr-FR"/>
        </w:rPr>
        <w:t>n</w:t>
      </w:r>
      <w:r w:rsidR="00A4102E" w:rsidRPr="00A4102E">
        <w:rPr>
          <w:vertAlign w:val="superscript"/>
          <w:lang w:val="fr-FR"/>
        </w:rPr>
        <w:t>o</w:t>
      </w:r>
      <w:r w:rsidR="00A4102E">
        <w:rPr>
          <w:lang w:val="fr-FR"/>
        </w:rPr>
        <w:t> </w:t>
      </w:r>
      <w:r w:rsidRPr="00872599">
        <w:rPr>
          <w:lang w:val="fr-FR"/>
        </w:rPr>
        <w:t>149.</w:t>
      </w:r>
    </w:p>
    <w:p w:rsidR="00826E0F" w:rsidRPr="00872599" w:rsidRDefault="00826E0F" w:rsidP="00B77E50">
      <w:pPr>
        <w:pStyle w:val="SingleTxt"/>
        <w:ind w:left="1584" w:hanging="317"/>
        <w:rPr>
          <w:lang w:val="fr-FR"/>
        </w:rPr>
      </w:pPr>
      <w:r w:rsidRPr="00872599">
        <w:rPr>
          <w:lang w:val="fr-FR"/>
        </w:rPr>
        <w:t>L</w:t>
      </w:r>
      <w:r>
        <w:rPr>
          <w:lang w:val="fr-FR"/>
        </w:rPr>
        <w:t>oi du 24 novembre</w:t>
      </w:r>
      <w:r w:rsidRPr="00872599">
        <w:rPr>
          <w:lang w:val="fr-FR"/>
        </w:rPr>
        <w:t xml:space="preserve"> 2006 sur la supervision des institutions chargées des retraites professionnelles (Loi sur les caisses de retraite), LGBl. 2007, </w:t>
      </w:r>
      <w:r w:rsidR="009F53EF">
        <w:rPr>
          <w:lang w:val="fr-FR"/>
        </w:rPr>
        <w:t>n</w:t>
      </w:r>
      <w:r w:rsidR="009F53EF" w:rsidRPr="009F53EF">
        <w:rPr>
          <w:vertAlign w:val="superscript"/>
          <w:lang w:val="fr-FR"/>
        </w:rPr>
        <w:t>o</w:t>
      </w:r>
      <w:r w:rsidR="009F53EF">
        <w:rPr>
          <w:lang w:val="fr-FR"/>
        </w:rPr>
        <w:t> </w:t>
      </w:r>
      <w:r w:rsidRPr="00872599">
        <w:rPr>
          <w:lang w:val="fr-FR"/>
        </w:rPr>
        <w:t>11.</w:t>
      </w:r>
    </w:p>
    <w:p w:rsidR="00826E0F" w:rsidRPr="00872599" w:rsidRDefault="00826E0F" w:rsidP="00B77E50">
      <w:pPr>
        <w:pStyle w:val="SingleTxt"/>
        <w:ind w:left="1584" w:hanging="317"/>
        <w:rPr>
          <w:lang w:val="fr-FR"/>
        </w:rPr>
      </w:pPr>
      <w:r w:rsidRPr="00872599">
        <w:rPr>
          <w:lang w:val="fr-FR"/>
        </w:rPr>
        <w:t>Loi du 22 juin 2007 sur l</w:t>
      </w:r>
      <w:r w:rsidR="006645B6">
        <w:rPr>
          <w:lang w:val="fr-FR"/>
        </w:rPr>
        <w:t>’</w:t>
      </w:r>
      <w:r w:rsidRPr="00872599">
        <w:rPr>
          <w:lang w:val="fr-FR"/>
        </w:rPr>
        <w:t>aide aux victimes de la criminalité (Loi sur l</w:t>
      </w:r>
      <w:r w:rsidR="006645B6">
        <w:rPr>
          <w:lang w:val="fr-FR"/>
        </w:rPr>
        <w:t>’</w:t>
      </w:r>
      <w:r w:rsidRPr="00872599">
        <w:rPr>
          <w:lang w:val="fr-FR"/>
        </w:rPr>
        <w:t>aide aux victimes),</w:t>
      </w:r>
      <w:r w:rsidR="006645B6">
        <w:rPr>
          <w:lang w:val="fr-FR"/>
        </w:rPr>
        <w:t xml:space="preserve"> </w:t>
      </w:r>
      <w:r w:rsidRPr="00872599">
        <w:rPr>
          <w:lang w:val="fr-FR"/>
        </w:rPr>
        <w:t xml:space="preserve">LGBl. 2007 </w:t>
      </w:r>
      <w:r w:rsidR="009F53EF">
        <w:rPr>
          <w:lang w:val="fr-FR"/>
        </w:rPr>
        <w:t>n</w:t>
      </w:r>
      <w:r w:rsidR="009F53EF" w:rsidRPr="009F53EF">
        <w:rPr>
          <w:vertAlign w:val="superscript"/>
          <w:lang w:val="fr-FR"/>
        </w:rPr>
        <w:t>o</w:t>
      </w:r>
      <w:r w:rsidR="009F53EF">
        <w:rPr>
          <w:lang w:val="fr-FR"/>
        </w:rPr>
        <w:t> </w:t>
      </w:r>
      <w:r w:rsidRPr="00872599">
        <w:rPr>
          <w:lang w:val="fr-FR"/>
        </w:rPr>
        <w:t>228</w:t>
      </w:r>
    </w:p>
    <w:p w:rsidR="00826E0F" w:rsidRPr="00872599" w:rsidRDefault="00826E0F" w:rsidP="00B77E50">
      <w:pPr>
        <w:pStyle w:val="SingleTxt"/>
        <w:ind w:left="1584" w:hanging="317"/>
        <w:rPr>
          <w:lang w:val="fr-FR"/>
        </w:rPr>
      </w:pPr>
      <w:r w:rsidRPr="00872599">
        <w:rPr>
          <w:lang w:val="fr-FR"/>
        </w:rPr>
        <w:t>Loi du 2 avril 2008 sur l</w:t>
      </w:r>
      <w:r w:rsidR="006645B6">
        <w:rPr>
          <w:lang w:val="fr-FR"/>
        </w:rPr>
        <w:t>’</w:t>
      </w:r>
      <w:r w:rsidRPr="00872599">
        <w:rPr>
          <w:lang w:val="fr-FR"/>
        </w:rPr>
        <w:t>emploi des employés de l</w:t>
      </w:r>
      <w:r w:rsidR="006645B6">
        <w:rPr>
          <w:lang w:val="fr-FR"/>
        </w:rPr>
        <w:t>’</w:t>
      </w:r>
      <w:r w:rsidRPr="00872599">
        <w:rPr>
          <w:lang w:val="fr-FR"/>
        </w:rPr>
        <w:t>État (Loi sur les employés de l</w:t>
      </w:r>
      <w:r w:rsidR="006645B6">
        <w:rPr>
          <w:lang w:val="fr-FR"/>
        </w:rPr>
        <w:t>’</w:t>
      </w:r>
      <w:r w:rsidRPr="00872599">
        <w:rPr>
          <w:lang w:val="fr-FR"/>
        </w:rPr>
        <w:t xml:space="preserve">État), LGBl. 2008 </w:t>
      </w:r>
      <w:r w:rsidR="009F53EF">
        <w:rPr>
          <w:lang w:val="fr-FR"/>
        </w:rPr>
        <w:t>n</w:t>
      </w:r>
      <w:r w:rsidR="009F53EF" w:rsidRPr="009F53EF">
        <w:rPr>
          <w:vertAlign w:val="superscript"/>
          <w:lang w:val="fr-FR"/>
        </w:rPr>
        <w:t>o</w:t>
      </w:r>
      <w:r w:rsidR="009F53EF">
        <w:rPr>
          <w:lang w:val="fr-FR"/>
        </w:rPr>
        <w:t> </w:t>
      </w:r>
      <w:r w:rsidRPr="00872599">
        <w:rPr>
          <w:lang w:val="fr-FR"/>
        </w:rPr>
        <w:t>144.</w:t>
      </w:r>
    </w:p>
    <w:p w:rsidR="00826E0F" w:rsidRPr="00872599" w:rsidRDefault="00826E0F" w:rsidP="00B77E50">
      <w:pPr>
        <w:pStyle w:val="SingleTxt"/>
        <w:ind w:left="1584" w:hanging="317"/>
        <w:rPr>
          <w:lang w:val="fr-FR"/>
        </w:rPr>
      </w:pPr>
      <w:r w:rsidRPr="00872599">
        <w:rPr>
          <w:lang w:val="fr-FR"/>
        </w:rPr>
        <w:t xml:space="preserve">Loi du 17 septembre 2008 sur les étrangers (Loi sur les étrangers), LGBl. 2008 </w:t>
      </w:r>
      <w:r w:rsidR="009F53EF">
        <w:rPr>
          <w:lang w:val="fr-FR"/>
        </w:rPr>
        <w:t>n</w:t>
      </w:r>
      <w:r w:rsidRPr="009F53EF">
        <w:rPr>
          <w:vertAlign w:val="superscript"/>
          <w:lang w:val="fr-FR"/>
        </w:rPr>
        <w:t>o</w:t>
      </w:r>
      <w:r w:rsidR="009F53EF">
        <w:rPr>
          <w:lang w:val="fr-FR"/>
        </w:rPr>
        <w:t> 31</w:t>
      </w:r>
      <w:r w:rsidRPr="00872599">
        <w:rPr>
          <w:lang w:val="fr-FR"/>
        </w:rPr>
        <w:t>1.</w:t>
      </w:r>
    </w:p>
    <w:p w:rsidR="00826E0F" w:rsidRPr="00872599" w:rsidRDefault="00826E0F" w:rsidP="00B77E50">
      <w:pPr>
        <w:pStyle w:val="SingleTxt"/>
        <w:ind w:left="1584" w:hanging="317"/>
        <w:rPr>
          <w:lang w:val="fr-FR"/>
        </w:rPr>
      </w:pPr>
      <w:r w:rsidRPr="00872599">
        <w:rPr>
          <w:lang w:val="fr-FR"/>
        </w:rPr>
        <w:t xml:space="preserve">Loi sur la maison princière du Liechtenstein du 26 octobre 1993, LGBl. 1993 </w:t>
      </w:r>
      <w:r w:rsidR="009F53EF">
        <w:rPr>
          <w:lang w:val="fr-FR"/>
        </w:rPr>
        <w:t>n</w:t>
      </w:r>
      <w:r w:rsidRPr="009F53EF">
        <w:rPr>
          <w:vertAlign w:val="superscript"/>
          <w:lang w:val="fr-FR"/>
        </w:rPr>
        <w:t>o</w:t>
      </w:r>
      <w:r w:rsidR="009F53EF">
        <w:rPr>
          <w:lang w:val="fr-FR"/>
        </w:rPr>
        <w:t> </w:t>
      </w:r>
      <w:r w:rsidRPr="00872599">
        <w:rPr>
          <w:lang w:val="fr-FR"/>
        </w:rPr>
        <w:t>100.</w:t>
      </w:r>
    </w:p>
    <w:p w:rsidR="00826E0F" w:rsidRPr="00872599" w:rsidRDefault="00826E0F" w:rsidP="00B77E50">
      <w:pPr>
        <w:pStyle w:val="SingleTxt"/>
        <w:ind w:left="1584" w:hanging="317"/>
        <w:rPr>
          <w:lang w:val="fr-FR"/>
        </w:rPr>
      </w:pPr>
      <w:r w:rsidRPr="00872599">
        <w:rPr>
          <w:lang w:val="fr-FR"/>
        </w:rPr>
        <w:t xml:space="preserve">Code pénal (StGB) du 24 juin 1987, LGBl. 1988 </w:t>
      </w:r>
      <w:r w:rsidR="009F53EF">
        <w:rPr>
          <w:lang w:val="fr-FR"/>
        </w:rPr>
        <w:t>n</w:t>
      </w:r>
      <w:r w:rsidR="009F53EF" w:rsidRPr="009F53EF">
        <w:rPr>
          <w:vertAlign w:val="superscript"/>
          <w:lang w:val="fr-FR"/>
        </w:rPr>
        <w:t>o</w:t>
      </w:r>
      <w:r w:rsidR="009F53EF">
        <w:rPr>
          <w:lang w:val="fr-FR"/>
        </w:rPr>
        <w:t> </w:t>
      </w:r>
      <w:r w:rsidRPr="00872599">
        <w:rPr>
          <w:lang w:val="fr-FR"/>
        </w:rPr>
        <w:t>37.</w:t>
      </w:r>
    </w:p>
    <w:p w:rsidR="00826E0F" w:rsidRPr="00872599" w:rsidRDefault="00826E0F" w:rsidP="00B77E50">
      <w:pPr>
        <w:pStyle w:val="SingleTxt"/>
        <w:ind w:left="1584" w:hanging="317"/>
        <w:rPr>
          <w:lang w:val="fr-FR"/>
        </w:rPr>
      </w:pPr>
      <w:r w:rsidRPr="00872599">
        <w:rPr>
          <w:lang w:val="fr-FR"/>
        </w:rPr>
        <w:t xml:space="preserve">Code de procédure pénale (StPO) du 18 octobre 1988, LGBl. 1988 </w:t>
      </w:r>
      <w:r w:rsidR="009F53EF">
        <w:rPr>
          <w:lang w:val="fr-FR"/>
        </w:rPr>
        <w:t>n</w:t>
      </w:r>
      <w:r w:rsidRPr="009F53EF">
        <w:rPr>
          <w:vertAlign w:val="superscript"/>
          <w:lang w:val="fr-FR"/>
        </w:rPr>
        <w:t>o</w:t>
      </w:r>
      <w:r w:rsidR="009F53EF">
        <w:rPr>
          <w:lang w:val="fr-FR"/>
        </w:rPr>
        <w:t> </w:t>
      </w:r>
      <w:r w:rsidRPr="00872599">
        <w:rPr>
          <w:lang w:val="fr-FR"/>
        </w:rPr>
        <w:t>62.</w:t>
      </w:r>
    </w:p>
    <w:p w:rsidR="00826E0F" w:rsidRPr="00872599" w:rsidRDefault="00826E0F" w:rsidP="00B77E50">
      <w:pPr>
        <w:pStyle w:val="SingleTxt"/>
        <w:ind w:left="1584" w:hanging="317"/>
        <w:rPr>
          <w:lang w:val="fr-FR"/>
        </w:rPr>
      </w:pPr>
      <w:r w:rsidRPr="00872599">
        <w:rPr>
          <w:lang w:val="fr-FR"/>
        </w:rPr>
        <w:t>Constitution de la principauté du Liechtenstein du 5 octobre 1921, LGBl. 1921</w:t>
      </w:r>
      <w:r w:rsidR="009F53EF">
        <w:rPr>
          <w:lang w:val="fr-FR"/>
        </w:rPr>
        <w:t xml:space="preserve"> n</w:t>
      </w:r>
      <w:r w:rsidR="009F53EF" w:rsidRPr="009F53EF">
        <w:rPr>
          <w:vertAlign w:val="subscript"/>
          <w:lang w:val="fr-FR"/>
        </w:rPr>
        <w:t>o</w:t>
      </w:r>
      <w:r w:rsidR="009F53EF">
        <w:rPr>
          <w:lang w:val="fr-FR"/>
        </w:rPr>
        <w:t> </w:t>
      </w:r>
      <w:r w:rsidRPr="00872599">
        <w:rPr>
          <w:lang w:val="fr-FR"/>
        </w:rPr>
        <w:t>15.</w:t>
      </w:r>
    </w:p>
    <w:p w:rsidR="00826E0F" w:rsidRPr="00872599" w:rsidRDefault="00826E0F" w:rsidP="00B77E50">
      <w:pPr>
        <w:pStyle w:val="SingleTxt"/>
        <w:ind w:left="1584" w:hanging="317"/>
        <w:rPr>
          <w:lang w:val="fr-FR"/>
        </w:rPr>
      </w:pPr>
      <w:r w:rsidRPr="00872599">
        <w:rPr>
          <w:lang w:val="fr-FR"/>
        </w:rPr>
        <w:t>Ordonnance du 16 décembre 2008 sur l</w:t>
      </w:r>
      <w:r w:rsidR="006645B6">
        <w:rPr>
          <w:lang w:val="fr-FR"/>
        </w:rPr>
        <w:t>’</w:t>
      </w:r>
      <w:r w:rsidRPr="00872599">
        <w:rPr>
          <w:lang w:val="fr-FR"/>
        </w:rPr>
        <w:t xml:space="preserve">admission et le séjour des étrangers, LGBl. 2008 </w:t>
      </w:r>
      <w:r w:rsidR="009F53EF">
        <w:rPr>
          <w:lang w:val="fr-FR"/>
        </w:rPr>
        <w:t>n</w:t>
      </w:r>
      <w:r w:rsidR="009F53EF" w:rsidRPr="009F53EF">
        <w:rPr>
          <w:vertAlign w:val="superscript"/>
          <w:lang w:val="fr-FR"/>
        </w:rPr>
        <w:t>o</w:t>
      </w:r>
      <w:r w:rsidR="009F53EF">
        <w:rPr>
          <w:lang w:val="fr-FR"/>
        </w:rPr>
        <w:t> </w:t>
      </w:r>
      <w:r w:rsidRPr="00872599">
        <w:rPr>
          <w:lang w:val="fr-FR"/>
        </w:rPr>
        <w:t>350.</w:t>
      </w:r>
    </w:p>
    <w:p w:rsidR="00826E0F" w:rsidRPr="00872599" w:rsidRDefault="00B77E50" w:rsidP="00B77E5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bookmarkStart w:id="47" w:name="_Toc239741040"/>
      <w:r>
        <w:rPr>
          <w:lang w:val="fr-FR"/>
        </w:rPr>
        <w:tab/>
      </w:r>
      <w:r>
        <w:rPr>
          <w:lang w:val="fr-FR"/>
        </w:rPr>
        <w:tab/>
      </w:r>
      <w:r w:rsidR="00826E0F" w:rsidRPr="00872599">
        <w:rPr>
          <w:lang w:val="fr-FR"/>
        </w:rPr>
        <w:t>Appendice 2</w:t>
      </w:r>
      <w:r w:rsidR="003D3458">
        <w:rPr>
          <w:lang w:val="fr-FR"/>
        </w:rPr>
        <w:t> </w:t>
      </w:r>
      <w:r w:rsidR="00826E0F" w:rsidRPr="00872599">
        <w:rPr>
          <w:lang w:val="fr-FR"/>
        </w:rPr>
        <w:t xml:space="preserve">: Contributions du Liechtenstein aux projets </w:t>
      </w:r>
      <w:r w:rsidR="00826E0F">
        <w:rPr>
          <w:lang w:val="fr-FR"/>
        </w:rPr>
        <w:t>intéressant</w:t>
      </w:r>
      <w:r w:rsidR="00826E0F" w:rsidRPr="00872599">
        <w:rPr>
          <w:lang w:val="fr-FR"/>
        </w:rPr>
        <w:t xml:space="preserve"> les femmes dans les pays en développement de 2006</w:t>
      </w:r>
      <w:r>
        <w:rPr>
          <w:lang w:val="fr-FR"/>
        </w:rPr>
        <w:br/>
      </w:r>
      <w:r w:rsidR="00826E0F" w:rsidRPr="00872599">
        <w:rPr>
          <w:lang w:val="fr-FR"/>
        </w:rPr>
        <w:t>à 2009</w:t>
      </w:r>
      <w:r w:rsidR="00826E0F" w:rsidRPr="00A03470">
        <w:rPr>
          <w:rStyle w:val="FootnoteReference"/>
          <w:b w:val="0"/>
          <w:bCs/>
          <w:sz w:val="24"/>
          <w:szCs w:val="24"/>
          <w:lang w:val="fr-FR"/>
        </w:rPr>
        <w:footnoteReference w:id="21"/>
      </w:r>
      <w:bookmarkEnd w:id="47"/>
    </w:p>
    <w:p w:rsidR="00B77E50" w:rsidRPr="00B77E50" w:rsidRDefault="00B77E50" w:rsidP="00B77E50">
      <w:pPr>
        <w:pStyle w:val="SingleTxt"/>
        <w:spacing w:after="0" w:line="120" w:lineRule="exact"/>
        <w:rPr>
          <w:sz w:val="10"/>
          <w:lang w:val="fr-FR"/>
        </w:rPr>
      </w:pPr>
    </w:p>
    <w:tbl>
      <w:tblPr>
        <w:tblW w:w="0" w:type="auto"/>
        <w:tblInd w:w="1267" w:type="dxa"/>
        <w:tblLayout w:type="fixed"/>
        <w:tblLook w:val="0000" w:firstRow="0" w:lastRow="0" w:firstColumn="0" w:lastColumn="0" w:noHBand="0" w:noVBand="0"/>
      </w:tblPr>
      <w:tblGrid>
        <w:gridCol w:w="6401"/>
        <w:gridCol w:w="755"/>
        <w:gridCol w:w="1454"/>
      </w:tblGrid>
      <w:tr w:rsidR="00826E0F" w:rsidRPr="005D03C4" w:rsidTr="005D03C4">
        <w:trPr>
          <w:trHeight w:val="255"/>
          <w:tblHeader/>
        </w:trPr>
        <w:tc>
          <w:tcPr>
            <w:tcW w:w="6401" w:type="dxa"/>
            <w:tcBorders>
              <w:top w:val="single" w:sz="4" w:space="0" w:color="auto"/>
              <w:bottom w:val="single" w:sz="12" w:space="0" w:color="auto"/>
            </w:tcBorders>
            <w:shd w:val="clear" w:color="auto" w:fill="auto"/>
            <w:vAlign w:val="bottom"/>
          </w:tcPr>
          <w:p w:rsidR="00826E0F" w:rsidRPr="005D03C4" w:rsidRDefault="00826E0F" w:rsidP="005D03C4">
            <w:pPr>
              <w:pStyle w:val="SingleTxt"/>
              <w:suppressAutoHyphens/>
              <w:spacing w:before="80" w:after="80" w:line="160" w:lineRule="exact"/>
              <w:ind w:left="0" w:right="43"/>
              <w:rPr>
                <w:i/>
                <w:sz w:val="14"/>
                <w:lang w:val="fr-FR"/>
              </w:rPr>
            </w:pPr>
            <w:r w:rsidRPr="005D03C4">
              <w:rPr>
                <w:i/>
                <w:sz w:val="14"/>
                <w:lang w:val="fr-FR"/>
              </w:rPr>
              <w:t>Nom</w:t>
            </w:r>
          </w:p>
        </w:tc>
        <w:tc>
          <w:tcPr>
            <w:tcW w:w="755" w:type="dxa"/>
            <w:tcBorders>
              <w:top w:val="single" w:sz="4" w:space="0" w:color="auto"/>
              <w:bottom w:val="single" w:sz="12" w:space="0" w:color="auto"/>
            </w:tcBorders>
            <w:shd w:val="clear" w:color="auto" w:fill="auto"/>
            <w:vAlign w:val="bottom"/>
          </w:tcPr>
          <w:p w:rsidR="00826E0F" w:rsidRPr="005D03C4" w:rsidRDefault="00826E0F" w:rsidP="005D03C4">
            <w:pPr>
              <w:pStyle w:val="SingleTxt"/>
              <w:suppressAutoHyphens/>
              <w:spacing w:before="80" w:after="80" w:line="160" w:lineRule="exact"/>
              <w:ind w:left="0" w:right="43"/>
              <w:jc w:val="right"/>
              <w:rPr>
                <w:i/>
                <w:sz w:val="14"/>
                <w:lang w:val="fr-FR"/>
              </w:rPr>
            </w:pPr>
            <w:r w:rsidRPr="005D03C4">
              <w:rPr>
                <w:i/>
                <w:sz w:val="14"/>
                <w:lang w:val="fr-FR"/>
              </w:rPr>
              <w:t>Année</w:t>
            </w:r>
          </w:p>
        </w:tc>
        <w:tc>
          <w:tcPr>
            <w:tcW w:w="1454" w:type="dxa"/>
            <w:tcBorders>
              <w:top w:val="single" w:sz="4" w:space="0" w:color="auto"/>
              <w:bottom w:val="single" w:sz="12" w:space="0" w:color="auto"/>
            </w:tcBorders>
            <w:shd w:val="clear" w:color="auto" w:fill="auto"/>
            <w:vAlign w:val="bottom"/>
          </w:tcPr>
          <w:p w:rsidR="00826E0F" w:rsidRPr="005D03C4" w:rsidRDefault="00826E0F" w:rsidP="005D03C4">
            <w:pPr>
              <w:pStyle w:val="SingleTxt"/>
              <w:suppressAutoHyphens/>
              <w:spacing w:before="80" w:after="80" w:line="160" w:lineRule="exact"/>
              <w:ind w:left="0" w:right="43"/>
              <w:jc w:val="right"/>
              <w:rPr>
                <w:i/>
                <w:sz w:val="14"/>
                <w:lang w:val="fr-FR"/>
              </w:rPr>
            </w:pPr>
            <w:r w:rsidRPr="005D03C4">
              <w:rPr>
                <w:i/>
                <w:sz w:val="14"/>
                <w:lang w:val="fr-FR"/>
              </w:rPr>
              <w:t>Contribution (en CHF)</w:t>
            </w:r>
          </w:p>
        </w:tc>
      </w:tr>
      <w:tr w:rsidR="005D03C4" w:rsidRPr="005D03C4" w:rsidTr="005D03C4">
        <w:trPr>
          <w:trHeight w:hRule="exact" w:val="115"/>
          <w:tblHeader/>
        </w:trPr>
        <w:tc>
          <w:tcPr>
            <w:tcW w:w="6401" w:type="dxa"/>
            <w:tcBorders>
              <w:top w:val="single" w:sz="12" w:space="0" w:color="auto"/>
            </w:tcBorders>
            <w:shd w:val="clear" w:color="auto" w:fill="auto"/>
            <w:vAlign w:val="bottom"/>
          </w:tcPr>
          <w:p w:rsidR="005D03C4" w:rsidRPr="005D03C4" w:rsidRDefault="005D03C4" w:rsidP="005D03C4">
            <w:pPr>
              <w:pStyle w:val="SingleTxt"/>
              <w:suppressAutoHyphens/>
              <w:spacing w:before="40" w:after="40" w:line="210" w:lineRule="exact"/>
              <w:ind w:left="0" w:right="43"/>
              <w:rPr>
                <w:sz w:val="17"/>
                <w:lang w:val="fr-FR"/>
              </w:rPr>
            </w:pPr>
          </w:p>
        </w:tc>
        <w:tc>
          <w:tcPr>
            <w:tcW w:w="755" w:type="dxa"/>
            <w:tcBorders>
              <w:top w:val="single" w:sz="12" w:space="0" w:color="auto"/>
            </w:tcBorders>
            <w:shd w:val="clear" w:color="auto" w:fill="auto"/>
            <w:vAlign w:val="bottom"/>
          </w:tcPr>
          <w:p w:rsidR="005D03C4" w:rsidRPr="005D03C4" w:rsidRDefault="005D03C4" w:rsidP="005D03C4">
            <w:pPr>
              <w:pStyle w:val="SingleTxt"/>
              <w:suppressAutoHyphens/>
              <w:spacing w:before="40" w:after="40" w:line="210" w:lineRule="exact"/>
              <w:ind w:left="0" w:right="43"/>
              <w:jc w:val="right"/>
              <w:rPr>
                <w:sz w:val="17"/>
                <w:lang w:val="fr-FR"/>
              </w:rPr>
            </w:pPr>
          </w:p>
        </w:tc>
        <w:tc>
          <w:tcPr>
            <w:tcW w:w="1454" w:type="dxa"/>
            <w:tcBorders>
              <w:top w:val="single" w:sz="12" w:space="0" w:color="auto"/>
            </w:tcBorders>
            <w:shd w:val="clear" w:color="auto" w:fill="auto"/>
            <w:vAlign w:val="bottom"/>
          </w:tcPr>
          <w:p w:rsidR="005D03C4" w:rsidRPr="005D03C4" w:rsidRDefault="005D03C4" w:rsidP="005D03C4">
            <w:pPr>
              <w:pStyle w:val="SingleTxt"/>
              <w:suppressAutoHyphens/>
              <w:spacing w:before="40" w:after="40" w:line="210" w:lineRule="exact"/>
              <w:ind w:left="0" w:right="43"/>
              <w:jc w:val="right"/>
              <w:rPr>
                <w:sz w:val="17"/>
                <w:lang w:val="fr-FR"/>
              </w:rPr>
            </w:pPr>
          </w:p>
        </w:tc>
      </w:tr>
      <w:tr w:rsidR="00826E0F" w:rsidRPr="005D03C4" w:rsidTr="005D03C4">
        <w:trPr>
          <w:trHeight w:val="255"/>
        </w:trPr>
        <w:tc>
          <w:tcPr>
            <w:tcW w:w="6401" w:type="dxa"/>
            <w:shd w:val="clear" w:color="auto" w:fill="auto"/>
            <w:vAlign w:val="bottom"/>
          </w:tcPr>
          <w:p w:rsidR="00826E0F" w:rsidRPr="005D03C4" w:rsidRDefault="00826E0F" w:rsidP="005D03C4">
            <w:pPr>
              <w:pStyle w:val="SingleTxt"/>
              <w:tabs>
                <w:tab w:val="left" w:pos="288"/>
                <w:tab w:val="left" w:pos="576"/>
                <w:tab w:val="left" w:pos="864"/>
                <w:tab w:val="left" w:pos="1152"/>
              </w:tabs>
              <w:suppressAutoHyphens/>
              <w:spacing w:before="40" w:after="40" w:line="210" w:lineRule="exact"/>
              <w:ind w:left="0" w:right="43"/>
              <w:rPr>
                <w:sz w:val="17"/>
                <w:lang w:val="fr-FR"/>
              </w:rPr>
            </w:pPr>
            <w:r w:rsidRPr="005D03C4">
              <w:rPr>
                <w:sz w:val="17"/>
                <w:lang w:val="fr-FR"/>
              </w:rPr>
              <w:t>Centre d</w:t>
            </w:r>
            <w:r w:rsidR="006645B6">
              <w:rPr>
                <w:sz w:val="17"/>
                <w:lang w:val="fr-FR"/>
              </w:rPr>
              <w:t>’</w:t>
            </w:r>
            <w:r w:rsidRPr="005D03C4">
              <w:rPr>
                <w:sz w:val="17"/>
                <w:lang w:val="fr-FR"/>
              </w:rPr>
              <w:t>accueil de jour en Afghanistan</w:t>
            </w:r>
          </w:p>
        </w:tc>
        <w:tc>
          <w:tcPr>
            <w:tcW w:w="755" w:type="dxa"/>
            <w:shd w:val="clear" w:color="auto" w:fill="auto"/>
            <w:vAlign w:val="bottom"/>
          </w:tcPr>
          <w:p w:rsidR="00826E0F" w:rsidRPr="005D03C4" w:rsidRDefault="00826E0F" w:rsidP="005D03C4">
            <w:pPr>
              <w:pStyle w:val="SingleTxt"/>
              <w:tabs>
                <w:tab w:val="left" w:pos="288"/>
                <w:tab w:val="left" w:pos="576"/>
                <w:tab w:val="left" w:pos="864"/>
                <w:tab w:val="left" w:pos="1152"/>
              </w:tabs>
              <w:suppressAutoHyphens/>
              <w:spacing w:before="40" w:after="40" w:line="210" w:lineRule="exact"/>
              <w:ind w:left="0" w:right="43"/>
              <w:jc w:val="right"/>
              <w:rPr>
                <w:sz w:val="17"/>
                <w:lang w:val="fr-FR"/>
              </w:rPr>
            </w:pPr>
            <w:r w:rsidRPr="005D03C4">
              <w:rPr>
                <w:sz w:val="17"/>
                <w:lang w:val="fr-FR"/>
              </w:rPr>
              <w:t>2006</w:t>
            </w:r>
          </w:p>
        </w:tc>
        <w:tc>
          <w:tcPr>
            <w:tcW w:w="1454" w:type="dxa"/>
            <w:shd w:val="clear" w:color="auto" w:fill="auto"/>
            <w:vAlign w:val="bottom"/>
          </w:tcPr>
          <w:p w:rsidR="00826E0F" w:rsidRPr="005D03C4" w:rsidRDefault="00826E0F" w:rsidP="005D03C4">
            <w:pPr>
              <w:pStyle w:val="SingleTxt"/>
              <w:tabs>
                <w:tab w:val="left" w:pos="288"/>
                <w:tab w:val="left" w:pos="576"/>
                <w:tab w:val="left" w:pos="864"/>
                <w:tab w:val="left" w:pos="1152"/>
              </w:tabs>
              <w:suppressAutoHyphens/>
              <w:spacing w:before="40" w:after="40" w:line="210" w:lineRule="exact"/>
              <w:ind w:left="0" w:right="43"/>
              <w:jc w:val="right"/>
              <w:rPr>
                <w:sz w:val="17"/>
                <w:lang w:val="fr-FR"/>
              </w:rPr>
            </w:pPr>
            <w:r w:rsidRPr="005D03C4">
              <w:rPr>
                <w:sz w:val="17"/>
                <w:lang w:val="fr-FR"/>
              </w:rPr>
              <w:t xml:space="preserve">91 060 </w:t>
            </w:r>
          </w:p>
        </w:tc>
      </w:tr>
      <w:tr w:rsidR="00826E0F" w:rsidRPr="005D03C4" w:rsidTr="005D03C4">
        <w:trPr>
          <w:trHeight w:val="255"/>
        </w:trPr>
        <w:tc>
          <w:tcPr>
            <w:tcW w:w="6401" w:type="dxa"/>
            <w:shd w:val="clear" w:color="auto" w:fill="auto"/>
            <w:vAlign w:val="bottom"/>
          </w:tcPr>
          <w:p w:rsidR="00826E0F" w:rsidRPr="005D03C4" w:rsidRDefault="00826E0F" w:rsidP="005D03C4">
            <w:pPr>
              <w:pStyle w:val="SingleTxt"/>
              <w:tabs>
                <w:tab w:val="left" w:pos="288"/>
                <w:tab w:val="left" w:pos="576"/>
                <w:tab w:val="left" w:pos="864"/>
                <w:tab w:val="left" w:pos="1152"/>
              </w:tabs>
              <w:suppressAutoHyphens/>
              <w:spacing w:before="40" w:after="40" w:line="210" w:lineRule="exact"/>
              <w:ind w:left="0" w:right="43"/>
              <w:rPr>
                <w:sz w:val="17"/>
                <w:lang w:val="fr-FR"/>
              </w:rPr>
            </w:pPr>
            <w:r w:rsidRPr="005D03C4">
              <w:rPr>
                <w:sz w:val="17"/>
                <w:lang w:val="fr-FR"/>
              </w:rPr>
              <w:t>Contribution à l</w:t>
            </w:r>
            <w:r w:rsidR="006645B6">
              <w:rPr>
                <w:sz w:val="17"/>
                <w:lang w:val="fr-FR"/>
              </w:rPr>
              <w:t>’</w:t>
            </w:r>
            <w:r w:rsidRPr="005D03C4">
              <w:rPr>
                <w:sz w:val="17"/>
                <w:lang w:val="fr-FR"/>
              </w:rPr>
              <w:t xml:space="preserve">UNIFEM pour la promotion des femmes dans les processus de paix </w:t>
            </w:r>
          </w:p>
        </w:tc>
        <w:tc>
          <w:tcPr>
            <w:tcW w:w="755" w:type="dxa"/>
            <w:shd w:val="clear" w:color="auto" w:fill="auto"/>
            <w:vAlign w:val="bottom"/>
          </w:tcPr>
          <w:p w:rsidR="00826E0F" w:rsidRPr="005D03C4" w:rsidRDefault="00826E0F" w:rsidP="005D03C4">
            <w:pPr>
              <w:pStyle w:val="SingleTxt"/>
              <w:tabs>
                <w:tab w:val="left" w:pos="288"/>
                <w:tab w:val="left" w:pos="576"/>
                <w:tab w:val="left" w:pos="864"/>
                <w:tab w:val="left" w:pos="1152"/>
              </w:tabs>
              <w:suppressAutoHyphens/>
              <w:spacing w:before="40" w:after="40" w:line="210" w:lineRule="exact"/>
              <w:ind w:left="0" w:right="43"/>
              <w:jc w:val="right"/>
              <w:rPr>
                <w:sz w:val="17"/>
                <w:lang w:val="fr-FR"/>
              </w:rPr>
            </w:pPr>
            <w:r w:rsidRPr="005D03C4">
              <w:rPr>
                <w:sz w:val="17"/>
                <w:lang w:val="fr-FR"/>
              </w:rPr>
              <w:t>2006</w:t>
            </w:r>
          </w:p>
        </w:tc>
        <w:tc>
          <w:tcPr>
            <w:tcW w:w="1454" w:type="dxa"/>
            <w:shd w:val="clear" w:color="auto" w:fill="auto"/>
            <w:vAlign w:val="bottom"/>
          </w:tcPr>
          <w:p w:rsidR="00826E0F" w:rsidRPr="005D03C4" w:rsidRDefault="00826E0F" w:rsidP="005D03C4">
            <w:pPr>
              <w:pStyle w:val="SingleTxt"/>
              <w:tabs>
                <w:tab w:val="left" w:pos="288"/>
                <w:tab w:val="left" w:pos="576"/>
                <w:tab w:val="left" w:pos="864"/>
                <w:tab w:val="left" w:pos="1152"/>
              </w:tabs>
              <w:suppressAutoHyphens/>
              <w:spacing w:before="40" w:after="40" w:line="210" w:lineRule="exact"/>
              <w:ind w:left="0" w:right="43"/>
              <w:jc w:val="right"/>
              <w:rPr>
                <w:sz w:val="17"/>
                <w:lang w:val="fr-FR"/>
              </w:rPr>
            </w:pPr>
            <w:r w:rsidRPr="005D03C4">
              <w:rPr>
                <w:sz w:val="17"/>
                <w:lang w:val="fr-FR"/>
              </w:rPr>
              <w:t xml:space="preserve">12 500 </w:t>
            </w:r>
          </w:p>
        </w:tc>
      </w:tr>
      <w:tr w:rsidR="00826E0F" w:rsidRPr="005D03C4" w:rsidTr="005D03C4">
        <w:trPr>
          <w:trHeight w:val="255"/>
        </w:trPr>
        <w:tc>
          <w:tcPr>
            <w:tcW w:w="6401" w:type="dxa"/>
            <w:shd w:val="clear" w:color="auto" w:fill="auto"/>
            <w:vAlign w:val="bottom"/>
          </w:tcPr>
          <w:p w:rsidR="00826E0F" w:rsidRPr="005D03C4" w:rsidRDefault="00826E0F" w:rsidP="005D03C4">
            <w:pPr>
              <w:pStyle w:val="SingleTxt"/>
              <w:tabs>
                <w:tab w:val="left" w:pos="288"/>
                <w:tab w:val="left" w:pos="576"/>
                <w:tab w:val="left" w:pos="864"/>
                <w:tab w:val="left" w:pos="1152"/>
              </w:tabs>
              <w:suppressAutoHyphens/>
              <w:spacing w:before="40" w:after="40" w:line="210" w:lineRule="exact"/>
              <w:ind w:left="0" w:right="43"/>
              <w:rPr>
                <w:sz w:val="17"/>
                <w:lang w:val="fr-FR"/>
              </w:rPr>
            </w:pPr>
            <w:r w:rsidRPr="005D03C4">
              <w:rPr>
                <w:sz w:val="17"/>
                <w:lang w:val="fr-FR"/>
              </w:rPr>
              <w:t>Centre d</w:t>
            </w:r>
            <w:r w:rsidR="006645B6">
              <w:rPr>
                <w:sz w:val="17"/>
                <w:lang w:val="fr-FR"/>
              </w:rPr>
              <w:t>’</w:t>
            </w:r>
            <w:r w:rsidRPr="005D03C4">
              <w:rPr>
                <w:sz w:val="17"/>
                <w:lang w:val="fr-FR"/>
              </w:rPr>
              <w:t>éducation des femmes Granja Hogar (Bolivie)</w:t>
            </w:r>
          </w:p>
        </w:tc>
        <w:tc>
          <w:tcPr>
            <w:tcW w:w="755" w:type="dxa"/>
            <w:shd w:val="clear" w:color="auto" w:fill="auto"/>
            <w:vAlign w:val="bottom"/>
          </w:tcPr>
          <w:p w:rsidR="00826E0F" w:rsidRPr="005D03C4" w:rsidRDefault="00826E0F" w:rsidP="005D03C4">
            <w:pPr>
              <w:pStyle w:val="SingleTxt"/>
              <w:tabs>
                <w:tab w:val="left" w:pos="288"/>
                <w:tab w:val="left" w:pos="576"/>
                <w:tab w:val="left" w:pos="864"/>
                <w:tab w:val="left" w:pos="1152"/>
              </w:tabs>
              <w:suppressAutoHyphens/>
              <w:spacing w:before="40" w:after="40" w:line="210" w:lineRule="exact"/>
              <w:ind w:left="0" w:right="43"/>
              <w:jc w:val="right"/>
              <w:rPr>
                <w:sz w:val="17"/>
                <w:lang w:val="fr-FR"/>
              </w:rPr>
            </w:pPr>
            <w:r w:rsidRPr="005D03C4">
              <w:rPr>
                <w:sz w:val="17"/>
                <w:lang w:val="fr-FR"/>
              </w:rPr>
              <w:t>2006</w:t>
            </w:r>
          </w:p>
        </w:tc>
        <w:tc>
          <w:tcPr>
            <w:tcW w:w="1454" w:type="dxa"/>
            <w:shd w:val="clear" w:color="auto" w:fill="auto"/>
            <w:vAlign w:val="bottom"/>
          </w:tcPr>
          <w:p w:rsidR="00826E0F" w:rsidRPr="005D03C4" w:rsidRDefault="00826E0F" w:rsidP="005D03C4">
            <w:pPr>
              <w:pStyle w:val="SingleTxt"/>
              <w:tabs>
                <w:tab w:val="left" w:pos="288"/>
                <w:tab w:val="left" w:pos="576"/>
                <w:tab w:val="left" w:pos="864"/>
                <w:tab w:val="left" w:pos="1152"/>
              </w:tabs>
              <w:suppressAutoHyphens/>
              <w:spacing w:before="40" w:after="40" w:line="210" w:lineRule="exact"/>
              <w:ind w:left="0" w:right="43"/>
              <w:jc w:val="right"/>
              <w:rPr>
                <w:sz w:val="17"/>
                <w:lang w:val="fr-FR"/>
              </w:rPr>
            </w:pPr>
            <w:r w:rsidRPr="005D03C4">
              <w:rPr>
                <w:sz w:val="17"/>
                <w:lang w:val="fr-FR"/>
              </w:rPr>
              <w:t xml:space="preserve">146 195 </w:t>
            </w:r>
          </w:p>
        </w:tc>
      </w:tr>
      <w:tr w:rsidR="00826E0F" w:rsidRPr="005D03C4" w:rsidTr="005D03C4">
        <w:trPr>
          <w:trHeight w:val="255"/>
        </w:trPr>
        <w:tc>
          <w:tcPr>
            <w:tcW w:w="6401" w:type="dxa"/>
            <w:shd w:val="clear" w:color="auto" w:fill="auto"/>
            <w:vAlign w:val="bottom"/>
          </w:tcPr>
          <w:p w:rsidR="00826E0F" w:rsidRPr="005D03C4" w:rsidRDefault="00826E0F" w:rsidP="005D03C4">
            <w:pPr>
              <w:pStyle w:val="SingleTxt"/>
              <w:tabs>
                <w:tab w:val="left" w:pos="288"/>
                <w:tab w:val="left" w:pos="576"/>
                <w:tab w:val="left" w:pos="864"/>
                <w:tab w:val="left" w:pos="1152"/>
              </w:tabs>
              <w:suppressAutoHyphens/>
              <w:spacing w:before="40" w:after="40" w:line="210" w:lineRule="exact"/>
              <w:ind w:left="0" w:right="43"/>
              <w:rPr>
                <w:sz w:val="17"/>
                <w:lang w:val="fr-FR"/>
              </w:rPr>
            </w:pPr>
            <w:r w:rsidRPr="005D03C4">
              <w:rPr>
                <w:sz w:val="17"/>
                <w:lang w:val="fr-FR"/>
              </w:rPr>
              <w:t>Promotion des femmes dans la région de Thiès (Sénégal)</w:t>
            </w:r>
          </w:p>
        </w:tc>
        <w:tc>
          <w:tcPr>
            <w:tcW w:w="755" w:type="dxa"/>
            <w:shd w:val="clear" w:color="auto" w:fill="auto"/>
            <w:vAlign w:val="bottom"/>
          </w:tcPr>
          <w:p w:rsidR="00826E0F" w:rsidRPr="005D03C4" w:rsidRDefault="00826E0F" w:rsidP="005D03C4">
            <w:pPr>
              <w:pStyle w:val="SingleTxt"/>
              <w:tabs>
                <w:tab w:val="left" w:pos="288"/>
                <w:tab w:val="left" w:pos="576"/>
                <w:tab w:val="left" w:pos="864"/>
                <w:tab w:val="left" w:pos="1152"/>
              </w:tabs>
              <w:suppressAutoHyphens/>
              <w:spacing w:before="40" w:after="40" w:line="210" w:lineRule="exact"/>
              <w:ind w:left="0" w:right="43"/>
              <w:jc w:val="right"/>
              <w:rPr>
                <w:sz w:val="17"/>
                <w:lang w:val="fr-FR"/>
              </w:rPr>
            </w:pPr>
            <w:r w:rsidRPr="005D03C4">
              <w:rPr>
                <w:sz w:val="17"/>
                <w:lang w:val="fr-FR"/>
              </w:rPr>
              <w:t>2006</w:t>
            </w:r>
          </w:p>
        </w:tc>
        <w:tc>
          <w:tcPr>
            <w:tcW w:w="1454" w:type="dxa"/>
            <w:shd w:val="clear" w:color="auto" w:fill="auto"/>
            <w:vAlign w:val="bottom"/>
          </w:tcPr>
          <w:p w:rsidR="00826E0F" w:rsidRPr="005D03C4" w:rsidRDefault="00826E0F" w:rsidP="005D03C4">
            <w:pPr>
              <w:pStyle w:val="SingleTxt"/>
              <w:tabs>
                <w:tab w:val="left" w:pos="288"/>
                <w:tab w:val="left" w:pos="576"/>
                <w:tab w:val="left" w:pos="864"/>
                <w:tab w:val="left" w:pos="1152"/>
              </w:tabs>
              <w:suppressAutoHyphens/>
              <w:spacing w:before="40" w:after="40" w:line="210" w:lineRule="exact"/>
              <w:ind w:left="0" w:right="43"/>
              <w:jc w:val="right"/>
              <w:rPr>
                <w:sz w:val="17"/>
                <w:lang w:val="fr-FR"/>
              </w:rPr>
            </w:pPr>
            <w:r w:rsidRPr="005D03C4">
              <w:rPr>
                <w:sz w:val="17"/>
                <w:lang w:val="fr-FR"/>
              </w:rPr>
              <w:t xml:space="preserve">15 146 </w:t>
            </w:r>
          </w:p>
        </w:tc>
      </w:tr>
      <w:tr w:rsidR="00826E0F" w:rsidRPr="005D03C4" w:rsidTr="005D03C4">
        <w:trPr>
          <w:trHeight w:val="255"/>
        </w:trPr>
        <w:tc>
          <w:tcPr>
            <w:tcW w:w="6401" w:type="dxa"/>
            <w:shd w:val="clear" w:color="auto" w:fill="auto"/>
            <w:vAlign w:val="bottom"/>
          </w:tcPr>
          <w:p w:rsidR="00826E0F" w:rsidRPr="005D03C4" w:rsidRDefault="00826E0F" w:rsidP="005D03C4">
            <w:pPr>
              <w:pStyle w:val="SingleTxt"/>
              <w:tabs>
                <w:tab w:val="left" w:pos="288"/>
                <w:tab w:val="left" w:pos="576"/>
                <w:tab w:val="left" w:pos="864"/>
                <w:tab w:val="left" w:pos="1152"/>
              </w:tabs>
              <w:suppressAutoHyphens/>
              <w:spacing w:before="40" w:after="40" w:line="210" w:lineRule="exact"/>
              <w:ind w:left="0" w:right="43"/>
              <w:rPr>
                <w:sz w:val="17"/>
                <w:lang w:val="fr-FR"/>
              </w:rPr>
            </w:pPr>
            <w:r w:rsidRPr="005D03C4">
              <w:rPr>
                <w:sz w:val="17"/>
                <w:lang w:val="fr-FR"/>
              </w:rPr>
              <w:t>Centre des femmes de Lupane (Zimbabwe)</w:t>
            </w:r>
          </w:p>
        </w:tc>
        <w:tc>
          <w:tcPr>
            <w:tcW w:w="755" w:type="dxa"/>
            <w:shd w:val="clear" w:color="auto" w:fill="auto"/>
            <w:vAlign w:val="bottom"/>
          </w:tcPr>
          <w:p w:rsidR="00826E0F" w:rsidRPr="005D03C4" w:rsidRDefault="00826E0F" w:rsidP="005D03C4">
            <w:pPr>
              <w:pStyle w:val="SingleTxt"/>
              <w:tabs>
                <w:tab w:val="left" w:pos="288"/>
                <w:tab w:val="left" w:pos="576"/>
                <w:tab w:val="left" w:pos="864"/>
                <w:tab w:val="left" w:pos="1152"/>
              </w:tabs>
              <w:suppressAutoHyphens/>
              <w:spacing w:before="40" w:after="40" w:line="210" w:lineRule="exact"/>
              <w:ind w:left="0" w:right="43"/>
              <w:jc w:val="right"/>
              <w:rPr>
                <w:sz w:val="17"/>
                <w:lang w:val="fr-FR"/>
              </w:rPr>
            </w:pPr>
            <w:r w:rsidRPr="005D03C4">
              <w:rPr>
                <w:sz w:val="17"/>
                <w:lang w:val="fr-FR"/>
              </w:rPr>
              <w:t>2006</w:t>
            </w:r>
          </w:p>
        </w:tc>
        <w:tc>
          <w:tcPr>
            <w:tcW w:w="1454" w:type="dxa"/>
            <w:shd w:val="clear" w:color="auto" w:fill="auto"/>
            <w:vAlign w:val="bottom"/>
          </w:tcPr>
          <w:p w:rsidR="00826E0F" w:rsidRPr="005D03C4" w:rsidRDefault="00826E0F" w:rsidP="005D03C4">
            <w:pPr>
              <w:pStyle w:val="SingleTxt"/>
              <w:tabs>
                <w:tab w:val="left" w:pos="288"/>
                <w:tab w:val="left" w:pos="576"/>
                <w:tab w:val="left" w:pos="864"/>
                <w:tab w:val="left" w:pos="1152"/>
              </w:tabs>
              <w:suppressAutoHyphens/>
              <w:spacing w:before="40" w:after="40" w:line="210" w:lineRule="exact"/>
              <w:ind w:left="0" w:right="43"/>
              <w:jc w:val="right"/>
              <w:rPr>
                <w:sz w:val="17"/>
                <w:lang w:val="fr-FR"/>
              </w:rPr>
            </w:pPr>
            <w:r w:rsidRPr="005D03C4">
              <w:rPr>
                <w:sz w:val="17"/>
                <w:lang w:val="fr-FR"/>
              </w:rPr>
              <w:t xml:space="preserve">99 833 </w:t>
            </w:r>
          </w:p>
        </w:tc>
      </w:tr>
      <w:tr w:rsidR="00826E0F" w:rsidRPr="005D03C4" w:rsidTr="005D03C4">
        <w:trPr>
          <w:trHeight w:val="255"/>
        </w:trPr>
        <w:tc>
          <w:tcPr>
            <w:tcW w:w="6401" w:type="dxa"/>
            <w:shd w:val="clear" w:color="auto" w:fill="auto"/>
            <w:vAlign w:val="bottom"/>
          </w:tcPr>
          <w:p w:rsidR="00826E0F" w:rsidRPr="005D03C4" w:rsidRDefault="00826E0F" w:rsidP="005D03C4">
            <w:pPr>
              <w:pStyle w:val="SingleTxt"/>
              <w:tabs>
                <w:tab w:val="left" w:pos="288"/>
                <w:tab w:val="left" w:pos="576"/>
                <w:tab w:val="left" w:pos="864"/>
                <w:tab w:val="left" w:pos="1152"/>
              </w:tabs>
              <w:suppressAutoHyphens/>
              <w:spacing w:before="40" w:after="40" w:line="210" w:lineRule="exact"/>
              <w:ind w:left="0" w:right="43"/>
              <w:rPr>
                <w:sz w:val="17"/>
                <w:lang w:val="fr-FR"/>
              </w:rPr>
            </w:pPr>
            <w:r w:rsidRPr="005D03C4">
              <w:rPr>
                <w:sz w:val="17"/>
                <w:lang w:val="fr-FR"/>
              </w:rPr>
              <w:t>Santé et nutrition des mères et des enfants (Burkina Faso)</w:t>
            </w:r>
          </w:p>
        </w:tc>
        <w:tc>
          <w:tcPr>
            <w:tcW w:w="755" w:type="dxa"/>
            <w:shd w:val="clear" w:color="auto" w:fill="auto"/>
            <w:vAlign w:val="bottom"/>
          </w:tcPr>
          <w:p w:rsidR="00826E0F" w:rsidRPr="005D03C4" w:rsidRDefault="00826E0F" w:rsidP="005D03C4">
            <w:pPr>
              <w:pStyle w:val="SingleTxt"/>
              <w:tabs>
                <w:tab w:val="left" w:pos="288"/>
                <w:tab w:val="left" w:pos="576"/>
                <w:tab w:val="left" w:pos="864"/>
                <w:tab w:val="left" w:pos="1152"/>
              </w:tabs>
              <w:suppressAutoHyphens/>
              <w:spacing w:before="40" w:after="40" w:line="210" w:lineRule="exact"/>
              <w:ind w:left="0" w:right="43"/>
              <w:jc w:val="right"/>
              <w:rPr>
                <w:sz w:val="17"/>
                <w:lang w:val="fr-FR"/>
              </w:rPr>
            </w:pPr>
            <w:r w:rsidRPr="005D03C4">
              <w:rPr>
                <w:sz w:val="17"/>
                <w:lang w:val="fr-FR"/>
              </w:rPr>
              <w:t>2006</w:t>
            </w:r>
          </w:p>
        </w:tc>
        <w:tc>
          <w:tcPr>
            <w:tcW w:w="1454" w:type="dxa"/>
            <w:shd w:val="clear" w:color="auto" w:fill="auto"/>
            <w:vAlign w:val="bottom"/>
          </w:tcPr>
          <w:p w:rsidR="00826E0F" w:rsidRPr="005D03C4" w:rsidRDefault="00826E0F" w:rsidP="005D03C4">
            <w:pPr>
              <w:pStyle w:val="SingleTxt"/>
              <w:tabs>
                <w:tab w:val="left" w:pos="288"/>
                <w:tab w:val="left" w:pos="576"/>
                <w:tab w:val="left" w:pos="864"/>
                <w:tab w:val="left" w:pos="1152"/>
              </w:tabs>
              <w:suppressAutoHyphens/>
              <w:spacing w:before="40" w:after="40" w:line="210" w:lineRule="exact"/>
              <w:ind w:left="0" w:right="43"/>
              <w:jc w:val="right"/>
              <w:rPr>
                <w:sz w:val="17"/>
                <w:lang w:val="fr-FR"/>
              </w:rPr>
            </w:pPr>
            <w:r w:rsidRPr="005D03C4">
              <w:rPr>
                <w:sz w:val="17"/>
                <w:lang w:val="fr-FR"/>
              </w:rPr>
              <w:t xml:space="preserve">206 074 </w:t>
            </w:r>
          </w:p>
        </w:tc>
      </w:tr>
      <w:tr w:rsidR="00826E0F" w:rsidRPr="005D03C4" w:rsidTr="005D03C4">
        <w:trPr>
          <w:trHeight w:val="255"/>
        </w:trPr>
        <w:tc>
          <w:tcPr>
            <w:tcW w:w="6401" w:type="dxa"/>
            <w:shd w:val="clear" w:color="auto" w:fill="auto"/>
            <w:vAlign w:val="bottom"/>
          </w:tcPr>
          <w:p w:rsidR="00826E0F" w:rsidRPr="005D03C4" w:rsidRDefault="00826E0F" w:rsidP="005D03C4">
            <w:pPr>
              <w:pStyle w:val="SingleTxt"/>
              <w:tabs>
                <w:tab w:val="left" w:pos="288"/>
                <w:tab w:val="left" w:pos="576"/>
                <w:tab w:val="left" w:pos="864"/>
                <w:tab w:val="left" w:pos="1152"/>
              </w:tabs>
              <w:suppressAutoHyphens/>
              <w:spacing w:before="40" w:after="40" w:line="210" w:lineRule="exact"/>
              <w:ind w:left="0" w:right="43"/>
              <w:rPr>
                <w:sz w:val="17"/>
                <w:lang w:val="fr-FR"/>
              </w:rPr>
            </w:pPr>
            <w:r w:rsidRPr="005D03C4">
              <w:rPr>
                <w:sz w:val="17"/>
                <w:lang w:val="fr-FR"/>
              </w:rPr>
              <w:t xml:space="preserve">Programme du </w:t>
            </w:r>
            <w:r w:rsidRPr="005D03C4">
              <w:rPr>
                <w:sz w:val="17"/>
                <w:lang w:val="fr-FR"/>
              </w:rPr>
              <w:t>BIDDH</w:t>
            </w:r>
            <w:r w:rsidRPr="005D03C4">
              <w:rPr>
                <w:sz w:val="17"/>
                <w:lang w:val="fr-FR"/>
              </w:rPr>
              <w:t xml:space="preserve"> pour les droits de l</w:t>
            </w:r>
            <w:r w:rsidR="006645B6">
              <w:rPr>
                <w:sz w:val="17"/>
                <w:lang w:val="fr-FR"/>
              </w:rPr>
              <w:t>’</w:t>
            </w:r>
            <w:r w:rsidRPr="005D03C4">
              <w:rPr>
                <w:sz w:val="17"/>
                <w:lang w:val="fr-FR"/>
              </w:rPr>
              <w:t>homme, les femmes et la sécurité en Asie centrale</w:t>
            </w:r>
          </w:p>
        </w:tc>
        <w:tc>
          <w:tcPr>
            <w:tcW w:w="755" w:type="dxa"/>
            <w:shd w:val="clear" w:color="auto" w:fill="auto"/>
            <w:vAlign w:val="bottom"/>
          </w:tcPr>
          <w:p w:rsidR="00826E0F" w:rsidRPr="005D03C4" w:rsidRDefault="00826E0F" w:rsidP="005D03C4">
            <w:pPr>
              <w:pStyle w:val="SingleTxt"/>
              <w:tabs>
                <w:tab w:val="left" w:pos="288"/>
                <w:tab w:val="left" w:pos="576"/>
                <w:tab w:val="left" w:pos="864"/>
                <w:tab w:val="left" w:pos="1152"/>
              </w:tabs>
              <w:suppressAutoHyphens/>
              <w:spacing w:before="40" w:after="40" w:line="210" w:lineRule="exact"/>
              <w:ind w:left="0" w:right="43"/>
              <w:jc w:val="right"/>
              <w:rPr>
                <w:sz w:val="17"/>
                <w:lang w:val="fr-FR"/>
              </w:rPr>
            </w:pPr>
            <w:r w:rsidRPr="005D03C4">
              <w:rPr>
                <w:sz w:val="17"/>
                <w:lang w:val="fr-FR"/>
              </w:rPr>
              <w:t>2006</w:t>
            </w:r>
          </w:p>
        </w:tc>
        <w:tc>
          <w:tcPr>
            <w:tcW w:w="1454" w:type="dxa"/>
            <w:shd w:val="clear" w:color="auto" w:fill="auto"/>
            <w:vAlign w:val="bottom"/>
          </w:tcPr>
          <w:p w:rsidR="00826E0F" w:rsidRPr="005D03C4" w:rsidRDefault="00826E0F" w:rsidP="005D03C4">
            <w:pPr>
              <w:pStyle w:val="SingleTxt"/>
              <w:tabs>
                <w:tab w:val="left" w:pos="288"/>
                <w:tab w:val="left" w:pos="576"/>
                <w:tab w:val="left" w:pos="864"/>
                <w:tab w:val="left" w:pos="1152"/>
              </w:tabs>
              <w:suppressAutoHyphens/>
              <w:spacing w:before="40" w:after="40" w:line="210" w:lineRule="exact"/>
              <w:ind w:left="0" w:right="43"/>
              <w:jc w:val="right"/>
              <w:rPr>
                <w:sz w:val="17"/>
                <w:lang w:val="fr-FR"/>
              </w:rPr>
            </w:pPr>
            <w:r w:rsidRPr="005D03C4">
              <w:rPr>
                <w:sz w:val="17"/>
                <w:lang w:val="fr-FR"/>
              </w:rPr>
              <w:t xml:space="preserve">30 000 </w:t>
            </w:r>
          </w:p>
        </w:tc>
      </w:tr>
      <w:tr w:rsidR="00826E0F" w:rsidRPr="005D03C4" w:rsidTr="005D03C4">
        <w:trPr>
          <w:trHeight w:val="255"/>
        </w:trPr>
        <w:tc>
          <w:tcPr>
            <w:tcW w:w="6401" w:type="dxa"/>
            <w:shd w:val="clear" w:color="auto" w:fill="auto"/>
            <w:vAlign w:val="bottom"/>
          </w:tcPr>
          <w:p w:rsidR="00826E0F" w:rsidRPr="005D03C4" w:rsidRDefault="00826E0F" w:rsidP="005D03C4">
            <w:pPr>
              <w:pStyle w:val="SingleTxt"/>
              <w:tabs>
                <w:tab w:val="left" w:pos="288"/>
                <w:tab w:val="left" w:pos="576"/>
                <w:tab w:val="left" w:pos="864"/>
                <w:tab w:val="left" w:pos="1152"/>
              </w:tabs>
              <w:suppressAutoHyphens/>
              <w:spacing w:before="40" w:after="40" w:line="210" w:lineRule="exact"/>
              <w:ind w:left="0" w:right="43"/>
              <w:rPr>
                <w:sz w:val="17"/>
                <w:lang w:val="fr-FR"/>
              </w:rPr>
            </w:pPr>
            <w:r w:rsidRPr="005D03C4">
              <w:rPr>
                <w:sz w:val="17"/>
                <w:lang w:val="fr-FR"/>
              </w:rPr>
              <w:t>Projet pour les femmes, les enfants et l</w:t>
            </w:r>
            <w:r w:rsidR="006645B6">
              <w:rPr>
                <w:sz w:val="17"/>
                <w:lang w:val="fr-FR"/>
              </w:rPr>
              <w:t>’</w:t>
            </w:r>
            <w:r w:rsidRPr="005D03C4">
              <w:rPr>
                <w:sz w:val="17"/>
                <w:lang w:val="fr-FR"/>
              </w:rPr>
              <w:t>éducation au Sénégal</w:t>
            </w:r>
          </w:p>
        </w:tc>
        <w:tc>
          <w:tcPr>
            <w:tcW w:w="755" w:type="dxa"/>
            <w:shd w:val="clear" w:color="auto" w:fill="auto"/>
            <w:vAlign w:val="bottom"/>
          </w:tcPr>
          <w:p w:rsidR="00826E0F" w:rsidRPr="005D03C4" w:rsidRDefault="00826E0F" w:rsidP="005D03C4">
            <w:pPr>
              <w:pStyle w:val="SingleTxt"/>
              <w:tabs>
                <w:tab w:val="left" w:pos="288"/>
                <w:tab w:val="left" w:pos="576"/>
                <w:tab w:val="left" w:pos="864"/>
                <w:tab w:val="left" w:pos="1152"/>
              </w:tabs>
              <w:suppressAutoHyphens/>
              <w:spacing w:before="40" w:after="40" w:line="210" w:lineRule="exact"/>
              <w:ind w:left="0" w:right="43"/>
              <w:jc w:val="right"/>
              <w:rPr>
                <w:sz w:val="17"/>
                <w:lang w:val="fr-FR"/>
              </w:rPr>
            </w:pPr>
            <w:r w:rsidRPr="005D03C4">
              <w:rPr>
                <w:sz w:val="17"/>
                <w:lang w:val="fr-FR"/>
              </w:rPr>
              <w:t>2006</w:t>
            </w:r>
          </w:p>
        </w:tc>
        <w:tc>
          <w:tcPr>
            <w:tcW w:w="1454" w:type="dxa"/>
            <w:shd w:val="clear" w:color="auto" w:fill="auto"/>
            <w:vAlign w:val="bottom"/>
          </w:tcPr>
          <w:p w:rsidR="00826E0F" w:rsidRPr="005D03C4" w:rsidRDefault="00826E0F" w:rsidP="005D03C4">
            <w:pPr>
              <w:pStyle w:val="SingleTxt"/>
              <w:tabs>
                <w:tab w:val="left" w:pos="288"/>
                <w:tab w:val="left" w:pos="576"/>
                <w:tab w:val="left" w:pos="864"/>
                <w:tab w:val="left" w:pos="1152"/>
              </w:tabs>
              <w:suppressAutoHyphens/>
              <w:spacing w:before="40" w:after="40" w:line="210" w:lineRule="exact"/>
              <w:ind w:left="0" w:right="43"/>
              <w:jc w:val="right"/>
              <w:rPr>
                <w:sz w:val="17"/>
                <w:lang w:val="fr-FR"/>
              </w:rPr>
            </w:pPr>
            <w:r w:rsidRPr="005D03C4">
              <w:rPr>
                <w:sz w:val="17"/>
                <w:lang w:val="fr-FR"/>
              </w:rPr>
              <w:t xml:space="preserve">62 588 </w:t>
            </w:r>
          </w:p>
        </w:tc>
      </w:tr>
      <w:tr w:rsidR="00826E0F" w:rsidRPr="005D03C4" w:rsidTr="005D03C4">
        <w:trPr>
          <w:trHeight w:val="255"/>
        </w:trPr>
        <w:tc>
          <w:tcPr>
            <w:tcW w:w="6401" w:type="dxa"/>
            <w:shd w:val="clear" w:color="auto" w:fill="auto"/>
            <w:vAlign w:val="bottom"/>
          </w:tcPr>
          <w:p w:rsidR="00826E0F" w:rsidRPr="005D03C4" w:rsidRDefault="00826E0F" w:rsidP="005D03C4">
            <w:pPr>
              <w:pStyle w:val="SingleTxt"/>
              <w:tabs>
                <w:tab w:val="left" w:pos="288"/>
                <w:tab w:val="left" w:pos="576"/>
                <w:tab w:val="left" w:pos="864"/>
                <w:tab w:val="left" w:pos="1152"/>
              </w:tabs>
              <w:suppressAutoHyphens/>
              <w:spacing w:before="40" w:after="40" w:line="210" w:lineRule="exact"/>
              <w:ind w:left="0" w:right="43"/>
              <w:rPr>
                <w:sz w:val="17"/>
                <w:lang w:val="fr-FR"/>
              </w:rPr>
            </w:pPr>
            <w:r w:rsidRPr="005D03C4">
              <w:rPr>
                <w:sz w:val="17"/>
                <w:lang w:val="fr-FR"/>
              </w:rPr>
              <w:t>Appui aux femmes dans le secteur de la pêcherie au Sénégal</w:t>
            </w:r>
          </w:p>
        </w:tc>
        <w:tc>
          <w:tcPr>
            <w:tcW w:w="755" w:type="dxa"/>
            <w:shd w:val="clear" w:color="auto" w:fill="auto"/>
            <w:vAlign w:val="bottom"/>
          </w:tcPr>
          <w:p w:rsidR="00826E0F" w:rsidRPr="005D03C4" w:rsidRDefault="00826E0F" w:rsidP="005D03C4">
            <w:pPr>
              <w:pStyle w:val="SingleTxt"/>
              <w:tabs>
                <w:tab w:val="left" w:pos="288"/>
                <w:tab w:val="left" w:pos="576"/>
                <w:tab w:val="left" w:pos="864"/>
                <w:tab w:val="left" w:pos="1152"/>
              </w:tabs>
              <w:suppressAutoHyphens/>
              <w:spacing w:before="40" w:after="40" w:line="210" w:lineRule="exact"/>
              <w:ind w:left="0" w:right="43"/>
              <w:jc w:val="right"/>
              <w:rPr>
                <w:sz w:val="17"/>
                <w:lang w:val="fr-FR"/>
              </w:rPr>
            </w:pPr>
            <w:r w:rsidRPr="005D03C4">
              <w:rPr>
                <w:sz w:val="17"/>
                <w:lang w:val="fr-FR"/>
              </w:rPr>
              <w:t>2006</w:t>
            </w:r>
          </w:p>
        </w:tc>
        <w:tc>
          <w:tcPr>
            <w:tcW w:w="1454" w:type="dxa"/>
            <w:shd w:val="clear" w:color="auto" w:fill="auto"/>
            <w:vAlign w:val="bottom"/>
          </w:tcPr>
          <w:p w:rsidR="00826E0F" w:rsidRPr="005D03C4" w:rsidRDefault="00826E0F" w:rsidP="005D03C4">
            <w:pPr>
              <w:pStyle w:val="SingleTxt"/>
              <w:tabs>
                <w:tab w:val="left" w:pos="288"/>
                <w:tab w:val="left" w:pos="576"/>
                <w:tab w:val="left" w:pos="864"/>
                <w:tab w:val="left" w:pos="1152"/>
              </w:tabs>
              <w:suppressAutoHyphens/>
              <w:spacing w:before="40" w:after="40" w:line="210" w:lineRule="exact"/>
              <w:ind w:left="0" w:right="43"/>
              <w:jc w:val="right"/>
              <w:rPr>
                <w:sz w:val="17"/>
                <w:lang w:val="fr-FR"/>
              </w:rPr>
            </w:pPr>
            <w:r w:rsidRPr="005D03C4">
              <w:rPr>
                <w:sz w:val="17"/>
                <w:lang w:val="fr-FR"/>
              </w:rPr>
              <w:t xml:space="preserve">156 751 </w:t>
            </w:r>
          </w:p>
        </w:tc>
      </w:tr>
      <w:tr w:rsidR="00826E0F" w:rsidRPr="005D03C4" w:rsidTr="005D03C4">
        <w:trPr>
          <w:trHeight w:val="255"/>
        </w:trPr>
        <w:tc>
          <w:tcPr>
            <w:tcW w:w="6401" w:type="dxa"/>
            <w:shd w:val="clear" w:color="auto" w:fill="auto"/>
            <w:vAlign w:val="bottom"/>
          </w:tcPr>
          <w:p w:rsidR="00826E0F" w:rsidRPr="005D03C4" w:rsidRDefault="00826E0F" w:rsidP="005D03C4">
            <w:pPr>
              <w:pStyle w:val="SingleTxt"/>
              <w:tabs>
                <w:tab w:val="left" w:pos="288"/>
                <w:tab w:val="left" w:pos="576"/>
                <w:tab w:val="left" w:pos="864"/>
                <w:tab w:val="left" w:pos="1152"/>
              </w:tabs>
              <w:suppressAutoHyphens/>
              <w:spacing w:before="40" w:after="40" w:line="210" w:lineRule="exact"/>
              <w:ind w:left="0" w:right="43"/>
              <w:rPr>
                <w:sz w:val="17"/>
                <w:lang w:val="fr-FR"/>
              </w:rPr>
            </w:pPr>
            <w:r w:rsidRPr="005D03C4">
              <w:rPr>
                <w:sz w:val="17"/>
                <w:lang w:val="fr-FR"/>
              </w:rPr>
              <w:t xml:space="preserve">Contribution au budget général de </w:t>
            </w:r>
            <w:smartTag w:uri="urn:schemas-microsoft-com:office:smarttags" w:element="PersonName">
              <w:smartTagPr>
                <w:attr w:name="ProductID" w:val="la Fondation Sommet"/>
              </w:smartTagPr>
              <w:r w:rsidRPr="005D03C4">
                <w:rPr>
                  <w:sz w:val="17"/>
                  <w:lang w:val="fr-FR"/>
                </w:rPr>
                <w:t>la Fondation Sommet</w:t>
              </w:r>
            </w:smartTag>
            <w:r w:rsidRPr="005D03C4">
              <w:rPr>
                <w:sz w:val="17"/>
                <w:lang w:val="fr-FR"/>
              </w:rPr>
              <w:t xml:space="preserve"> mondial des femmes</w:t>
            </w:r>
          </w:p>
        </w:tc>
        <w:tc>
          <w:tcPr>
            <w:tcW w:w="755" w:type="dxa"/>
            <w:shd w:val="clear" w:color="auto" w:fill="auto"/>
            <w:vAlign w:val="bottom"/>
          </w:tcPr>
          <w:p w:rsidR="00826E0F" w:rsidRPr="005D03C4" w:rsidRDefault="00826E0F" w:rsidP="005D03C4">
            <w:pPr>
              <w:pStyle w:val="SingleTxt"/>
              <w:tabs>
                <w:tab w:val="left" w:pos="288"/>
                <w:tab w:val="left" w:pos="576"/>
                <w:tab w:val="left" w:pos="864"/>
                <w:tab w:val="left" w:pos="1152"/>
              </w:tabs>
              <w:suppressAutoHyphens/>
              <w:spacing w:before="40" w:after="40" w:line="210" w:lineRule="exact"/>
              <w:ind w:left="0" w:right="43"/>
              <w:jc w:val="right"/>
              <w:rPr>
                <w:sz w:val="17"/>
                <w:lang w:val="fr-FR"/>
              </w:rPr>
            </w:pPr>
            <w:r w:rsidRPr="005D03C4">
              <w:rPr>
                <w:sz w:val="17"/>
                <w:lang w:val="fr-FR"/>
              </w:rPr>
              <w:t>2007</w:t>
            </w:r>
          </w:p>
        </w:tc>
        <w:tc>
          <w:tcPr>
            <w:tcW w:w="1454" w:type="dxa"/>
            <w:shd w:val="clear" w:color="auto" w:fill="auto"/>
            <w:vAlign w:val="bottom"/>
          </w:tcPr>
          <w:p w:rsidR="00826E0F" w:rsidRPr="005D03C4" w:rsidRDefault="00826E0F" w:rsidP="005D03C4">
            <w:pPr>
              <w:pStyle w:val="SingleTxt"/>
              <w:tabs>
                <w:tab w:val="left" w:pos="288"/>
                <w:tab w:val="left" w:pos="576"/>
                <w:tab w:val="left" w:pos="864"/>
                <w:tab w:val="left" w:pos="1152"/>
              </w:tabs>
              <w:suppressAutoHyphens/>
              <w:spacing w:before="40" w:after="40" w:line="210" w:lineRule="exact"/>
              <w:ind w:left="0" w:right="43"/>
              <w:jc w:val="right"/>
              <w:rPr>
                <w:sz w:val="17"/>
                <w:lang w:val="fr-FR"/>
              </w:rPr>
            </w:pPr>
            <w:r w:rsidRPr="005D03C4">
              <w:rPr>
                <w:sz w:val="17"/>
                <w:lang w:val="fr-FR"/>
              </w:rPr>
              <w:t xml:space="preserve">10 000 </w:t>
            </w:r>
          </w:p>
        </w:tc>
      </w:tr>
      <w:tr w:rsidR="00826E0F" w:rsidRPr="005D03C4" w:rsidTr="005D03C4">
        <w:trPr>
          <w:trHeight w:val="255"/>
        </w:trPr>
        <w:tc>
          <w:tcPr>
            <w:tcW w:w="6401" w:type="dxa"/>
            <w:shd w:val="clear" w:color="auto" w:fill="auto"/>
            <w:vAlign w:val="bottom"/>
          </w:tcPr>
          <w:p w:rsidR="00826E0F" w:rsidRPr="005D03C4" w:rsidRDefault="00826E0F" w:rsidP="005D03C4">
            <w:pPr>
              <w:pStyle w:val="SingleTxt"/>
              <w:tabs>
                <w:tab w:val="left" w:pos="288"/>
                <w:tab w:val="left" w:pos="576"/>
                <w:tab w:val="left" w:pos="864"/>
                <w:tab w:val="left" w:pos="1152"/>
              </w:tabs>
              <w:suppressAutoHyphens/>
              <w:spacing w:before="40" w:after="40" w:line="210" w:lineRule="exact"/>
              <w:ind w:left="0" w:right="43"/>
              <w:rPr>
                <w:sz w:val="17"/>
                <w:lang w:val="fr-FR"/>
              </w:rPr>
            </w:pPr>
            <w:r w:rsidRPr="005D03C4">
              <w:rPr>
                <w:sz w:val="17"/>
                <w:lang w:val="fr-FR"/>
              </w:rPr>
              <w:t>Centre de formation professionnelle CETA –formation des femmes (Bolivie)</w:t>
            </w:r>
          </w:p>
        </w:tc>
        <w:tc>
          <w:tcPr>
            <w:tcW w:w="755" w:type="dxa"/>
            <w:shd w:val="clear" w:color="auto" w:fill="auto"/>
            <w:vAlign w:val="bottom"/>
          </w:tcPr>
          <w:p w:rsidR="00826E0F" w:rsidRPr="005D03C4" w:rsidRDefault="00826E0F" w:rsidP="005D03C4">
            <w:pPr>
              <w:pStyle w:val="SingleTxt"/>
              <w:tabs>
                <w:tab w:val="left" w:pos="288"/>
                <w:tab w:val="left" w:pos="576"/>
                <w:tab w:val="left" w:pos="864"/>
                <w:tab w:val="left" w:pos="1152"/>
              </w:tabs>
              <w:suppressAutoHyphens/>
              <w:spacing w:before="40" w:after="40" w:line="210" w:lineRule="exact"/>
              <w:ind w:left="0" w:right="43"/>
              <w:jc w:val="right"/>
              <w:rPr>
                <w:sz w:val="17"/>
                <w:lang w:val="fr-FR"/>
              </w:rPr>
            </w:pPr>
            <w:r w:rsidRPr="005D03C4">
              <w:rPr>
                <w:sz w:val="17"/>
                <w:lang w:val="fr-FR"/>
              </w:rPr>
              <w:t>2007</w:t>
            </w:r>
          </w:p>
        </w:tc>
        <w:tc>
          <w:tcPr>
            <w:tcW w:w="1454" w:type="dxa"/>
            <w:shd w:val="clear" w:color="auto" w:fill="auto"/>
            <w:vAlign w:val="bottom"/>
          </w:tcPr>
          <w:p w:rsidR="00826E0F" w:rsidRPr="005D03C4" w:rsidRDefault="00826E0F" w:rsidP="005D03C4">
            <w:pPr>
              <w:pStyle w:val="SingleTxt"/>
              <w:tabs>
                <w:tab w:val="left" w:pos="288"/>
                <w:tab w:val="left" w:pos="576"/>
                <w:tab w:val="left" w:pos="864"/>
                <w:tab w:val="left" w:pos="1152"/>
              </w:tabs>
              <w:suppressAutoHyphens/>
              <w:spacing w:before="40" w:after="40" w:line="210" w:lineRule="exact"/>
              <w:ind w:left="0" w:right="43"/>
              <w:jc w:val="right"/>
              <w:rPr>
                <w:sz w:val="17"/>
                <w:lang w:val="fr-FR"/>
              </w:rPr>
            </w:pPr>
            <w:r w:rsidRPr="005D03C4">
              <w:rPr>
                <w:sz w:val="17"/>
                <w:lang w:val="fr-FR"/>
              </w:rPr>
              <w:t xml:space="preserve">150 750 </w:t>
            </w:r>
          </w:p>
        </w:tc>
      </w:tr>
      <w:tr w:rsidR="00826E0F" w:rsidRPr="005D03C4" w:rsidTr="005D03C4">
        <w:trPr>
          <w:trHeight w:val="255"/>
        </w:trPr>
        <w:tc>
          <w:tcPr>
            <w:tcW w:w="6401" w:type="dxa"/>
            <w:shd w:val="clear" w:color="auto" w:fill="auto"/>
            <w:vAlign w:val="bottom"/>
          </w:tcPr>
          <w:p w:rsidR="00826E0F" w:rsidRPr="005D03C4" w:rsidRDefault="00826E0F" w:rsidP="005D03C4">
            <w:pPr>
              <w:pStyle w:val="SingleTxt"/>
              <w:tabs>
                <w:tab w:val="left" w:pos="288"/>
                <w:tab w:val="left" w:pos="576"/>
                <w:tab w:val="left" w:pos="864"/>
                <w:tab w:val="left" w:pos="1152"/>
              </w:tabs>
              <w:suppressAutoHyphens/>
              <w:spacing w:before="40" w:after="40" w:line="210" w:lineRule="exact"/>
              <w:ind w:left="0" w:right="43"/>
              <w:rPr>
                <w:sz w:val="17"/>
                <w:lang w:val="fr-FR"/>
              </w:rPr>
            </w:pPr>
            <w:r w:rsidRPr="005D03C4">
              <w:rPr>
                <w:sz w:val="17"/>
                <w:lang w:val="fr-FR"/>
              </w:rPr>
              <w:t>CIDEM – Vie des femmes sans violence intrafamilial ni sexuelle (Bolivie)</w:t>
            </w:r>
          </w:p>
        </w:tc>
        <w:tc>
          <w:tcPr>
            <w:tcW w:w="755" w:type="dxa"/>
            <w:shd w:val="clear" w:color="auto" w:fill="auto"/>
            <w:vAlign w:val="bottom"/>
          </w:tcPr>
          <w:p w:rsidR="00826E0F" w:rsidRPr="005D03C4" w:rsidRDefault="00826E0F" w:rsidP="005D03C4">
            <w:pPr>
              <w:pStyle w:val="SingleTxt"/>
              <w:tabs>
                <w:tab w:val="left" w:pos="288"/>
                <w:tab w:val="left" w:pos="576"/>
                <w:tab w:val="left" w:pos="864"/>
                <w:tab w:val="left" w:pos="1152"/>
              </w:tabs>
              <w:suppressAutoHyphens/>
              <w:spacing w:before="40" w:after="40" w:line="210" w:lineRule="exact"/>
              <w:ind w:left="0" w:right="43"/>
              <w:jc w:val="right"/>
              <w:rPr>
                <w:sz w:val="17"/>
                <w:lang w:val="fr-FR"/>
              </w:rPr>
            </w:pPr>
            <w:r w:rsidRPr="005D03C4">
              <w:rPr>
                <w:sz w:val="17"/>
                <w:lang w:val="fr-FR"/>
              </w:rPr>
              <w:t>2007</w:t>
            </w:r>
          </w:p>
        </w:tc>
        <w:tc>
          <w:tcPr>
            <w:tcW w:w="1454" w:type="dxa"/>
            <w:shd w:val="clear" w:color="auto" w:fill="auto"/>
            <w:vAlign w:val="bottom"/>
          </w:tcPr>
          <w:p w:rsidR="00826E0F" w:rsidRPr="005D03C4" w:rsidRDefault="00826E0F" w:rsidP="005D03C4">
            <w:pPr>
              <w:pStyle w:val="SingleTxt"/>
              <w:tabs>
                <w:tab w:val="left" w:pos="288"/>
                <w:tab w:val="left" w:pos="576"/>
                <w:tab w:val="left" w:pos="864"/>
                <w:tab w:val="left" w:pos="1152"/>
              </w:tabs>
              <w:suppressAutoHyphens/>
              <w:spacing w:before="40" w:after="40" w:line="210" w:lineRule="exact"/>
              <w:ind w:left="0" w:right="43"/>
              <w:jc w:val="right"/>
              <w:rPr>
                <w:sz w:val="17"/>
                <w:lang w:val="fr-FR"/>
              </w:rPr>
            </w:pPr>
            <w:r w:rsidRPr="005D03C4">
              <w:rPr>
                <w:sz w:val="17"/>
                <w:lang w:val="fr-FR"/>
              </w:rPr>
              <w:t xml:space="preserve">124 907 </w:t>
            </w:r>
          </w:p>
        </w:tc>
      </w:tr>
      <w:tr w:rsidR="00826E0F" w:rsidRPr="005D03C4" w:rsidTr="005D03C4">
        <w:trPr>
          <w:trHeight w:val="255"/>
        </w:trPr>
        <w:tc>
          <w:tcPr>
            <w:tcW w:w="6401" w:type="dxa"/>
            <w:shd w:val="clear" w:color="auto" w:fill="auto"/>
            <w:vAlign w:val="bottom"/>
          </w:tcPr>
          <w:p w:rsidR="00826E0F" w:rsidRPr="005D03C4" w:rsidRDefault="00826E0F" w:rsidP="005D03C4">
            <w:pPr>
              <w:pStyle w:val="SingleTxt"/>
              <w:tabs>
                <w:tab w:val="left" w:pos="288"/>
                <w:tab w:val="left" w:pos="576"/>
                <w:tab w:val="left" w:pos="864"/>
                <w:tab w:val="left" w:pos="1152"/>
              </w:tabs>
              <w:suppressAutoHyphens/>
              <w:spacing w:before="40" w:after="40" w:line="210" w:lineRule="exact"/>
              <w:ind w:left="0" w:right="43"/>
              <w:rPr>
                <w:sz w:val="17"/>
                <w:lang w:val="fr-FR"/>
              </w:rPr>
            </w:pPr>
            <w:r w:rsidRPr="005D03C4">
              <w:rPr>
                <w:sz w:val="17"/>
                <w:lang w:val="fr-FR"/>
              </w:rPr>
              <w:t>Centre d</w:t>
            </w:r>
            <w:r w:rsidR="006645B6">
              <w:rPr>
                <w:sz w:val="17"/>
                <w:lang w:val="fr-FR"/>
              </w:rPr>
              <w:t>’</w:t>
            </w:r>
            <w:r w:rsidRPr="005D03C4">
              <w:rPr>
                <w:sz w:val="17"/>
                <w:lang w:val="fr-FR"/>
              </w:rPr>
              <w:t>éducation des femmes Granja Hogar (Bolivie)</w:t>
            </w:r>
          </w:p>
        </w:tc>
        <w:tc>
          <w:tcPr>
            <w:tcW w:w="755" w:type="dxa"/>
            <w:shd w:val="clear" w:color="auto" w:fill="auto"/>
            <w:vAlign w:val="bottom"/>
          </w:tcPr>
          <w:p w:rsidR="00826E0F" w:rsidRPr="005D03C4" w:rsidRDefault="00826E0F" w:rsidP="005D03C4">
            <w:pPr>
              <w:pStyle w:val="SingleTxt"/>
              <w:tabs>
                <w:tab w:val="left" w:pos="288"/>
                <w:tab w:val="left" w:pos="576"/>
                <w:tab w:val="left" w:pos="864"/>
                <w:tab w:val="left" w:pos="1152"/>
              </w:tabs>
              <w:suppressAutoHyphens/>
              <w:spacing w:before="40" w:after="40" w:line="210" w:lineRule="exact"/>
              <w:ind w:left="0" w:right="43"/>
              <w:jc w:val="right"/>
              <w:rPr>
                <w:sz w:val="17"/>
                <w:lang w:val="fr-FR"/>
              </w:rPr>
            </w:pPr>
            <w:r w:rsidRPr="005D03C4">
              <w:rPr>
                <w:sz w:val="17"/>
                <w:lang w:val="fr-FR"/>
              </w:rPr>
              <w:t>2007</w:t>
            </w:r>
          </w:p>
        </w:tc>
        <w:tc>
          <w:tcPr>
            <w:tcW w:w="1454" w:type="dxa"/>
            <w:shd w:val="clear" w:color="auto" w:fill="auto"/>
            <w:vAlign w:val="bottom"/>
          </w:tcPr>
          <w:p w:rsidR="00826E0F" w:rsidRPr="005D03C4" w:rsidRDefault="00826E0F" w:rsidP="005D03C4">
            <w:pPr>
              <w:pStyle w:val="SingleTxt"/>
              <w:tabs>
                <w:tab w:val="left" w:pos="288"/>
                <w:tab w:val="left" w:pos="576"/>
                <w:tab w:val="left" w:pos="864"/>
                <w:tab w:val="left" w:pos="1152"/>
              </w:tabs>
              <w:suppressAutoHyphens/>
              <w:spacing w:before="40" w:after="40" w:line="210" w:lineRule="exact"/>
              <w:ind w:left="0" w:right="43"/>
              <w:jc w:val="right"/>
              <w:rPr>
                <w:sz w:val="17"/>
                <w:lang w:val="fr-FR"/>
              </w:rPr>
            </w:pPr>
            <w:r w:rsidRPr="005D03C4">
              <w:rPr>
                <w:sz w:val="17"/>
                <w:lang w:val="fr-FR"/>
              </w:rPr>
              <w:t xml:space="preserve">104 000 </w:t>
            </w:r>
          </w:p>
        </w:tc>
      </w:tr>
      <w:tr w:rsidR="00826E0F" w:rsidRPr="005D03C4" w:rsidTr="005D03C4">
        <w:trPr>
          <w:trHeight w:val="255"/>
        </w:trPr>
        <w:tc>
          <w:tcPr>
            <w:tcW w:w="6401" w:type="dxa"/>
            <w:shd w:val="clear" w:color="auto" w:fill="auto"/>
            <w:vAlign w:val="bottom"/>
          </w:tcPr>
          <w:p w:rsidR="00826E0F" w:rsidRPr="005D03C4" w:rsidRDefault="00826E0F" w:rsidP="005D03C4">
            <w:pPr>
              <w:pStyle w:val="SingleTxt"/>
              <w:tabs>
                <w:tab w:val="left" w:pos="288"/>
                <w:tab w:val="left" w:pos="576"/>
                <w:tab w:val="left" w:pos="864"/>
                <w:tab w:val="left" w:pos="1152"/>
              </w:tabs>
              <w:suppressAutoHyphens/>
              <w:spacing w:before="40" w:after="40" w:line="210" w:lineRule="exact"/>
              <w:ind w:left="0" w:right="43"/>
              <w:rPr>
                <w:sz w:val="17"/>
                <w:lang w:val="fr-FR"/>
              </w:rPr>
            </w:pPr>
            <w:r w:rsidRPr="005D03C4">
              <w:rPr>
                <w:sz w:val="17"/>
                <w:lang w:val="fr-FR"/>
              </w:rPr>
              <w:t>Centre des femmes de Lupane (Zimbabwe)</w:t>
            </w:r>
          </w:p>
        </w:tc>
        <w:tc>
          <w:tcPr>
            <w:tcW w:w="755" w:type="dxa"/>
            <w:shd w:val="clear" w:color="auto" w:fill="auto"/>
            <w:vAlign w:val="bottom"/>
          </w:tcPr>
          <w:p w:rsidR="00826E0F" w:rsidRPr="005D03C4" w:rsidRDefault="00826E0F" w:rsidP="005D03C4">
            <w:pPr>
              <w:pStyle w:val="SingleTxt"/>
              <w:tabs>
                <w:tab w:val="left" w:pos="288"/>
                <w:tab w:val="left" w:pos="576"/>
                <w:tab w:val="left" w:pos="864"/>
                <w:tab w:val="left" w:pos="1152"/>
              </w:tabs>
              <w:suppressAutoHyphens/>
              <w:spacing w:before="40" w:after="40" w:line="210" w:lineRule="exact"/>
              <w:ind w:left="0" w:right="43"/>
              <w:jc w:val="right"/>
              <w:rPr>
                <w:sz w:val="17"/>
                <w:lang w:val="fr-FR"/>
              </w:rPr>
            </w:pPr>
            <w:r w:rsidRPr="005D03C4">
              <w:rPr>
                <w:sz w:val="17"/>
                <w:lang w:val="fr-FR"/>
              </w:rPr>
              <w:t>2007</w:t>
            </w:r>
          </w:p>
        </w:tc>
        <w:tc>
          <w:tcPr>
            <w:tcW w:w="1454" w:type="dxa"/>
            <w:shd w:val="clear" w:color="auto" w:fill="auto"/>
            <w:vAlign w:val="bottom"/>
          </w:tcPr>
          <w:p w:rsidR="00826E0F" w:rsidRPr="005D03C4" w:rsidRDefault="00826E0F" w:rsidP="005D03C4">
            <w:pPr>
              <w:pStyle w:val="SingleTxt"/>
              <w:tabs>
                <w:tab w:val="left" w:pos="288"/>
                <w:tab w:val="left" w:pos="576"/>
                <w:tab w:val="left" w:pos="864"/>
                <w:tab w:val="left" w:pos="1152"/>
              </w:tabs>
              <w:suppressAutoHyphens/>
              <w:spacing w:before="40" w:after="40" w:line="210" w:lineRule="exact"/>
              <w:ind w:left="0" w:right="43"/>
              <w:jc w:val="right"/>
              <w:rPr>
                <w:sz w:val="17"/>
                <w:lang w:val="fr-FR"/>
              </w:rPr>
            </w:pPr>
            <w:r w:rsidRPr="005D03C4">
              <w:rPr>
                <w:sz w:val="17"/>
                <w:lang w:val="fr-FR"/>
              </w:rPr>
              <w:t xml:space="preserve">140 517 </w:t>
            </w:r>
          </w:p>
        </w:tc>
      </w:tr>
      <w:tr w:rsidR="00826E0F" w:rsidRPr="005D03C4" w:rsidTr="005D03C4">
        <w:trPr>
          <w:trHeight w:val="255"/>
        </w:trPr>
        <w:tc>
          <w:tcPr>
            <w:tcW w:w="6401" w:type="dxa"/>
            <w:shd w:val="clear" w:color="auto" w:fill="auto"/>
            <w:vAlign w:val="bottom"/>
          </w:tcPr>
          <w:p w:rsidR="00826E0F" w:rsidRPr="005D03C4" w:rsidRDefault="00826E0F" w:rsidP="005D03C4">
            <w:pPr>
              <w:pStyle w:val="SingleTxt"/>
              <w:tabs>
                <w:tab w:val="left" w:pos="288"/>
                <w:tab w:val="left" w:pos="576"/>
                <w:tab w:val="left" w:pos="864"/>
                <w:tab w:val="left" w:pos="1152"/>
              </w:tabs>
              <w:suppressAutoHyphens/>
              <w:spacing w:before="40" w:after="40" w:line="210" w:lineRule="exact"/>
              <w:ind w:left="0" w:right="43"/>
              <w:rPr>
                <w:sz w:val="17"/>
                <w:lang w:val="fr-FR"/>
              </w:rPr>
            </w:pPr>
            <w:r w:rsidRPr="005D03C4">
              <w:rPr>
                <w:sz w:val="17"/>
                <w:lang w:val="fr-FR"/>
              </w:rPr>
              <w:t>Contribution volontaire au budget général de l</w:t>
            </w:r>
            <w:r w:rsidR="006645B6">
              <w:rPr>
                <w:sz w:val="17"/>
                <w:lang w:val="fr-FR"/>
              </w:rPr>
              <w:t>’</w:t>
            </w:r>
            <w:r w:rsidRPr="005D03C4">
              <w:rPr>
                <w:sz w:val="17"/>
                <w:lang w:val="fr-FR"/>
              </w:rPr>
              <w:t>UNIFEM</w:t>
            </w:r>
          </w:p>
        </w:tc>
        <w:tc>
          <w:tcPr>
            <w:tcW w:w="755" w:type="dxa"/>
            <w:shd w:val="clear" w:color="auto" w:fill="auto"/>
            <w:vAlign w:val="bottom"/>
          </w:tcPr>
          <w:p w:rsidR="00826E0F" w:rsidRPr="005D03C4" w:rsidRDefault="00826E0F" w:rsidP="005D03C4">
            <w:pPr>
              <w:pStyle w:val="SingleTxt"/>
              <w:tabs>
                <w:tab w:val="left" w:pos="288"/>
                <w:tab w:val="left" w:pos="576"/>
                <w:tab w:val="left" w:pos="864"/>
                <w:tab w:val="left" w:pos="1152"/>
              </w:tabs>
              <w:suppressAutoHyphens/>
              <w:spacing w:before="40" w:after="40" w:line="210" w:lineRule="exact"/>
              <w:ind w:left="0" w:right="43"/>
              <w:jc w:val="right"/>
              <w:rPr>
                <w:sz w:val="17"/>
                <w:lang w:val="fr-FR"/>
              </w:rPr>
            </w:pPr>
            <w:r w:rsidRPr="005D03C4">
              <w:rPr>
                <w:sz w:val="17"/>
                <w:lang w:val="fr-FR"/>
              </w:rPr>
              <w:t>2007</w:t>
            </w:r>
          </w:p>
        </w:tc>
        <w:tc>
          <w:tcPr>
            <w:tcW w:w="1454" w:type="dxa"/>
            <w:shd w:val="clear" w:color="auto" w:fill="auto"/>
            <w:vAlign w:val="bottom"/>
          </w:tcPr>
          <w:p w:rsidR="00826E0F" w:rsidRPr="005D03C4" w:rsidRDefault="00826E0F" w:rsidP="005D03C4">
            <w:pPr>
              <w:pStyle w:val="SingleTxt"/>
              <w:tabs>
                <w:tab w:val="left" w:pos="288"/>
                <w:tab w:val="left" w:pos="576"/>
                <w:tab w:val="left" w:pos="864"/>
                <w:tab w:val="left" w:pos="1152"/>
              </w:tabs>
              <w:suppressAutoHyphens/>
              <w:spacing w:before="40" w:after="40" w:line="210" w:lineRule="exact"/>
              <w:ind w:left="0" w:right="43"/>
              <w:jc w:val="right"/>
              <w:rPr>
                <w:sz w:val="17"/>
                <w:lang w:val="fr-FR"/>
              </w:rPr>
            </w:pPr>
            <w:r w:rsidRPr="005D03C4">
              <w:rPr>
                <w:sz w:val="17"/>
                <w:lang w:val="fr-FR"/>
              </w:rPr>
              <w:t xml:space="preserve">10 000 </w:t>
            </w:r>
          </w:p>
        </w:tc>
      </w:tr>
      <w:tr w:rsidR="00826E0F" w:rsidRPr="005D03C4" w:rsidTr="005D03C4">
        <w:trPr>
          <w:trHeight w:val="255"/>
        </w:trPr>
        <w:tc>
          <w:tcPr>
            <w:tcW w:w="6401" w:type="dxa"/>
            <w:shd w:val="clear" w:color="auto" w:fill="auto"/>
            <w:vAlign w:val="bottom"/>
          </w:tcPr>
          <w:p w:rsidR="00826E0F" w:rsidRPr="005D03C4" w:rsidRDefault="00826E0F" w:rsidP="005D03C4">
            <w:pPr>
              <w:pStyle w:val="SingleTxt"/>
              <w:tabs>
                <w:tab w:val="left" w:pos="288"/>
                <w:tab w:val="left" w:pos="576"/>
                <w:tab w:val="left" w:pos="864"/>
                <w:tab w:val="left" w:pos="1152"/>
              </w:tabs>
              <w:suppressAutoHyphens/>
              <w:spacing w:before="40" w:after="40" w:line="210" w:lineRule="exact"/>
              <w:ind w:left="0" w:right="43"/>
              <w:rPr>
                <w:sz w:val="17"/>
                <w:lang w:val="fr-FR"/>
              </w:rPr>
            </w:pPr>
            <w:r w:rsidRPr="005D03C4">
              <w:rPr>
                <w:sz w:val="17"/>
                <w:lang w:val="fr-FR"/>
              </w:rPr>
              <w:t xml:space="preserve">Santé et nutrition des mères et des enfants (Burkina Faso) </w:t>
            </w:r>
          </w:p>
        </w:tc>
        <w:tc>
          <w:tcPr>
            <w:tcW w:w="755" w:type="dxa"/>
            <w:shd w:val="clear" w:color="auto" w:fill="auto"/>
            <w:vAlign w:val="bottom"/>
          </w:tcPr>
          <w:p w:rsidR="00826E0F" w:rsidRPr="005D03C4" w:rsidRDefault="00826E0F" w:rsidP="005D03C4">
            <w:pPr>
              <w:pStyle w:val="SingleTxt"/>
              <w:tabs>
                <w:tab w:val="left" w:pos="288"/>
                <w:tab w:val="left" w:pos="576"/>
                <w:tab w:val="left" w:pos="864"/>
                <w:tab w:val="left" w:pos="1152"/>
              </w:tabs>
              <w:suppressAutoHyphens/>
              <w:spacing w:before="40" w:after="40" w:line="210" w:lineRule="exact"/>
              <w:ind w:left="0" w:right="43"/>
              <w:jc w:val="right"/>
              <w:rPr>
                <w:sz w:val="17"/>
                <w:lang w:val="fr-FR"/>
              </w:rPr>
            </w:pPr>
            <w:r w:rsidRPr="005D03C4">
              <w:rPr>
                <w:sz w:val="17"/>
                <w:lang w:val="fr-FR"/>
              </w:rPr>
              <w:t>2007</w:t>
            </w:r>
          </w:p>
        </w:tc>
        <w:tc>
          <w:tcPr>
            <w:tcW w:w="1454" w:type="dxa"/>
            <w:shd w:val="clear" w:color="auto" w:fill="auto"/>
            <w:vAlign w:val="bottom"/>
          </w:tcPr>
          <w:p w:rsidR="00826E0F" w:rsidRPr="005D03C4" w:rsidRDefault="00826E0F" w:rsidP="005D03C4">
            <w:pPr>
              <w:pStyle w:val="SingleTxt"/>
              <w:tabs>
                <w:tab w:val="left" w:pos="288"/>
                <w:tab w:val="left" w:pos="576"/>
                <w:tab w:val="left" w:pos="864"/>
                <w:tab w:val="left" w:pos="1152"/>
              </w:tabs>
              <w:suppressAutoHyphens/>
              <w:spacing w:before="40" w:after="40" w:line="210" w:lineRule="exact"/>
              <w:ind w:left="0" w:right="43"/>
              <w:jc w:val="right"/>
              <w:rPr>
                <w:sz w:val="17"/>
                <w:lang w:val="fr-FR"/>
              </w:rPr>
            </w:pPr>
            <w:r w:rsidRPr="005D03C4">
              <w:rPr>
                <w:sz w:val="17"/>
                <w:lang w:val="fr-FR"/>
              </w:rPr>
              <w:t xml:space="preserve">212 193 </w:t>
            </w:r>
          </w:p>
        </w:tc>
      </w:tr>
      <w:tr w:rsidR="00826E0F" w:rsidRPr="005D03C4" w:rsidTr="005D03C4">
        <w:trPr>
          <w:trHeight w:val="255"/>
        </w:trPr>
        <w:tc>
          <w:tcPr>
            <w:tcW w:w="6401" w:type="dxa"/>
            <w:shd w:val="clear" w:color="auto" w:fill="auto"/>
            <w:vAlign w:val="bottom"/>
          </w:tcPr>
          <w:p w:rsidR="00826E0F" w:rsidRPr="005D03C4" w:rsidRDefault="00826E0F" w:rsidP="005D03C4">
            <w:pPr>
              <w:pStyle w:val="SingleTxt"/>
              <w:tabs>
                <w:tab w:val="left" w:pos="288"/>
                <w:tab w:val="left" w:pos="576"/>
                <w:tab w:val="left" w:pos="864"/>
                <w:tab w:val="left" w:pos="1152"/>
              </w:tabs>
              <w:suppressAutoHyphens/>
              <w:spacing w:before="40" w:after="40" w:line="210" w:lineRule="exact"/>
              <w:ind w:left="0" w:right="43"/>
              <w:rPr>
                <w:sz w:val="17"/>
                <w:lang w:val="fr-FR"/>
              </w:rPr>
            </w:pPr>
            <w:r w:rsidRPr="005D03C4">
              <w:rPr>
                <w:sz w:val="17"/>
                <w:lang w:val="fr-FR"/>
              </w:rPr>
              <w:t>Logement pour les mères et les enfants en prison (Moldova)</w:t>
            </w:r>
          </w:p>
        </w:tc>
        <w:tc>
          <w:tcPr>
            <w:tcW w:w="755" w:type="dxa"/>
            <w:shd w:val="clear" w:color="auto" w:fill="auto"/>
            <w:vAlign w:val="bottom"/>
          </w:tcPr>
          <w:p w:rsidR="00826E0F" w:rsidRPr="005D03C4" w:rsidRDefault="00826E0F" w:rsidP="005D03C4">
            <w:pPr>
              <w:pStyle w:val="SingleTxt"/>
              <w:tabs>
                <w:tab w:val="left" w:pos="288"/>
                <w:tab w:val="left" w:pos="576"/>
                <w:tab w:val="left" w:pos="864"/>
                <w:tab w:val="left" w:pos="1152"/>
              </w:tabs>
              <w:suppressAutoHyphens/>
              <w:spacing w:before="40" w:after="40" w:line="210" w:lineRule="exact"/>
              <w:ind w:left="0" w:right="43"/>
              <w:jc w:val="right"/>
              <w:rPr>
                <w:sz w:val="17"/>
                <w:lang w:val="fr-FR"/>
              </w:rPr>
            </w:pPr>
            <w:r w:rsidRPr="005D03C4">
              <w:rPr>
                <w:sz w:val="17"/>
                <w:lang w:val="fr-FR"/>
              </w:rPr>
              <w:t>2007</w:t>
            </w:r>
          </w:p>
        </w:tc>
        <w:tc>
          <w:tcPr>
            <w:tcW w:w="1454" w:type="dxa"/>
            <w:shd w:val="clear" w:color="auto" w:fill="auto"/>
            <w:vAlign w:val="bottom"/>
          </w:tcPr>
          <w:p w:rsidR="00826E0F" w:rsidRPr="005D03C4" w:rsidRDefault="00826E0F" w:rsidP="005D03C4">
            <w:pPr>
              <w:pStyle w:val="SingleTxt"/>
              <w:tabs>
                <w:tab w:val="left" w:pos="288"/>
                <w:tab w:val="left" w:pos="576"/>
                <w:tab w:val="left" w:pos="864"/>
                <w:tab w:val="left" w:pos="1152"/>
              </w:tabs>
              <w:suppressAutoHyphens/>
              <w:spacing w:before="40" w:after="40" w:line="210" w:lineRule="exact"/>
              <w:ind w:left="0" w:right="43"/>
              <w:jc w:val="right"/>
              <w:rPr>
                <w:sz w:val="17"/>
                <w:lang w:val="fr-FR"/>
              </w:rPr>
            </w:pPr>
            <w:r w:rsidRPr="005D03C4">
              <w:rPr>
                <w:sz w:val="17"/>
                <w:lang w:val="fr-FR"/>
              </w:rPr>
              <w:t xml:space="preserve">128 000 </w:t>
            </w:r>
          </w:p>
        </w:tc>
      </w:tr>
      <w:tr w:rsidR="00826E0F" w:rsidRPr="005D03C4" w:rsidTr="005D03C4">
        <w:trPr>
          <w:trHeight w:val="255"/>
        </w:trPr>
        <w:tc>
          <w:tcPr>
            <w:tcW w:w="6401" w:type="dxa"/>
            <w:shd w:val="clear" w:color="auto" w:fill="auto"/>
            <w:vAlign w:val="bottom"/>
          </w:tcPr>
          <w:p w:rsidR="00826E0F" w:rsidRPr="005D03C4" w:rsidRDefault="00826E0F" w:rsidP="005D03C4">
            <w:pPr>
              <w:pStyle w:val="SingleTxt"/>
              <w:tabs>
                <w:tab w:val="left" w:pos="288"/>
                <w:tab w:val="left" w:pos="576"/>
                <w:tab w:val="left" w:pos="864"/>
                <w:tab w:val="left" w:pos="1152"/>
              </w:tabs>
              <w:suppressAutoHyphens/>
              <w:spacing w:before="40" w:after="40" w:line="210" w:lineRule="exact"/>
              <w:ind w:left="0" w:right="43"/>
              <w:rPr>
                <w:sz w:val="17"/>
                <w:lang w:val="fr-FR"/>
              </w:rPr>
            </w:pPr>
            <w:r w:rsidRPr="005D03C4">
              <w:rPr>
                <w:sz w:val="17"/>
                <w:lang w:val="fr-FR"/>
              </w:rPr>
              <w:t>Appui à un centre d</w:t>
            </w:r>
            <w:r w:rsidR="006645B6">
              <w:rPr>
                <w:sz w:val="17"/>
                <w:lang w:val="fr-FR"/>
              </w:rPr>
              <w:t>’</w:t>
            </w:r>
            <w:r w:rsidRPr="005D03C4">
              <w:rPr>
                <w:sz w:val="17"/>
                <w:lang w:val="fr-FR"/>
              </w:rPr>
              <w:t>accueil de femmes à Prizren (Kosovo)</w:t>
            </w:r>
          </w:p>
        </w:tc>
        <w:tc>
          <w:tcPr>
            <w:tcW w:w="755" w:type="dxa"/>
            <w:shd w:val="clear" w:color="auto" w:fill="auto"/>
            <w:vAlign w:val="bottom"/>
          </w:tcPr>
          <w:p w:rsidR="00826E0F" w:rsidRPr="005D03C4" w:rsidRDefault="00826E0F" w:rsidP="005D03C4">
            <w:pPr>
              <w:pStyle w:val="SingleTxt"/>
              <w:tabs>
                <w:tab w:val="left" w:pos="288"/>
                <w:tab w:val="left" w:pos="576"/>
                <w:tab w:val="left" w:pos="864"/>
                <w:tab w:val="left" w:pos="1152"/>
              </w:tabs>
              <w:suppressAutoHyphens/>
              <w:spacing w:before="40" w:after="40" w:line="210" w:lineRule="exact"/>
              <w:ind w:left="0" w:right="43"/>
              <w:jc w:val="right"/>
              <w:rPr>
                <w:sz w:val="17"/>
                <w:lang w:val="fr-FR"/>
              </w:rPr>
            </w:pPr>
            <w:r w:rsidRPr="005D03C4">
              <w:rPr>
                <w:sz w:val="17"/>
                <w:lang w:val="fr-FR"/>
              </w:rPr>
              <w:t>2007</w:t>
            </w:r>
          </w:p>
        </w:tc>
        <w:tc>
          <w:tcPr>
            <w:tcW w:w="1454" w:type="dxa"/>
            <w:shd w:val="clear" w:color="auto" w:fill="auto"/>
            <w:vAlign w:val="bottom"/>
          </w:tcPr>
          <w:p w:rsidR="00826E0F" w:rsidRPr="005D03C4" w:rsidRDefault="00826E0F" w:rsidP="005D03C4">
            <w:pPr>
              <w:pStyle w:val="SingleTxt"/>
              <w:tabs>
                <w:tab w:val="left" w:pos="288"/>
                <w:tab w:val="left" w:pos="576"/>
                <w:tab w:val="left" w:pos="864"/>
                <w:tab w:val="left" w:pos="1152"/>
              </w:tabs>
              <w:suppressAutoHyphens/>
              <w:spacing w:before="40" w:after="40" w:line="210" w:lineRule="exact"/>
              <w:ind w:left="0" w:right="43"/>
              <w:jc w:val="right"/>
              <w:rPr>
                <w:sz w:val="17"/>
                <w:lang w:val="fr-FR"/>
              </w:rPr>
            </w:pPr>
            <w:r w:rsidRPr="005D03C4">
              <w:rPr>
                <w:sz w:val="17"/>
                <w:lang w:val="fr-FR"/>
              </w:rPr>
              <w:t xml:space="preserve">24 000 </w:t>
            </w:r>
          </w:p>
        </w:tc>
      </w:tr>
      <w:tr w:rsidR="00826E0F" w:rsidRPr="005D03C4" w:rsidTr="005D03C4">
        <w:trPr>
          <w:trHeight w:val="255"/>
        </w:trPr>
        <w:tc>
          <w:tcPr>
            <w:tcW w:w="6401" w:type="dxa"/>
            <w:shd w:val="clear" w:color="auto" w:fill="auto"/>
            <w:vAlign w:val="bottom"/>
          </w:tcPr>
          <w:p w:rsidR="00826E0F" w:rsidRPr="005D03C4" w:rsidRDefault="00826E0F" w:rsidP="005D03C4">
            <w:pPr>
              <w:pStyle w:val="SingleTxt"/>
              <w:tabs>
                <w:tab w:val="left" w:pos="288"/>
                <w:tab w:val="left" w:pos="576"/>
                <w:tab w:val="left" w:pos="864"/>
                <w:tab w:val="left" w:pos="1152"/>
              </w:tabs>
              <w:suppressAutoHyphens/>
              <w:spacing w:before="40" w:after="40" w:line="210" w:lineRule="exact"/>
              <w:ind w:left="0" w:right="43"/>
              <w:rPr>
                <w:sz w:val="17"/>
                <w:lang w:val="fr-FR"/>
              </w:rPr>
            </w:pPr>
            <w:r w:rsidRPr="005D03C4">
              <w:rPr>
                <w:sz w:val="17"/>
                <w:lang w:val="fr-FR"/>
              </w:rPr>
              <w:t xml:space="preserve">Contribution au budget général de </w:t>
            </w:r>
            <w:smartTag w:uri="urn:schemas-microsoft-com:office:smarttags" w:element="PersonName">
              <w:smartTagPr>
                <w:attr w:name="ProductID" w:val="la Fondation Sommet"/>
              </w:smartTagPr>
              <w:r w:rsidRPr="005D03C4">
                <w:rPr>
                  <w:sz w:val="17"/>
                  <w:lang w:val="fr-FR"/>
                </w:rPr>
                <w:t>la Fondation Sommet</w:t>
              </w:r>
            </w:smartTag>
            <w:r w:rsidRPr="005D03C4">
              <w:rPr>
                <w:sz w:val="17"/>
                <w:lang w:val="fr-FR"/>
              </w:rPr>
              <w:t xml:space="preserve"> mondial des femmes</w:t>
            </w:r>
          </w:p>
        </w:tc>
        <w:tc>
          <w:tcPr>
            <w:tcW w:w="755" w:type="dxa"/>
            <w:shd w:val="clear" w:color="auto" w:fill="auto"/>
            <w:vAlign w:val="bottom"/>
          </w:tcPr>
          <w:p w:rsidR="00826E0F" w:rsidRPr="005D03C4" w:rsidRDefault="00826E0F" w:rsidP="005D03C4">
            <w:pPr>
              <w:pStyle w:val="SingleTxt"/>
              <w:tabs>
                <w:tab w:val="left" w:pos="288"/>
                <w:tab w:val="left" w:pos="576"/>
                <w:tab w:val="left" w:pos="864"/>
                <w:tab w:val="left" w:pos="1152"/>
              </w:tabs>
              <w:suppressAutoHyphens/>
              <w:spacing w:before="40" w:after="40" w:line="210" w:lineRule="exact"/>
              <w:ind w:left="0" w:right="43"/>
              <w:jc w:val="right"/>
              <w:rPr>
                <w:sz w:val="17"/>
                <w:lang w:val="fr-FR"/>
              </w:rPr>
            </w:pPr>
            <w:r w:rsidRPr="005D03C4">
              <w:rPr>
                <w:sz w:val="17"/>
                <w:lang w:val="fr-FR"/>
              </w:rPr>
              <w:t>2008</w:t>
            </w:r>
          </w:p>
        </w:tc>
        <w:tc>
          <w:tcPr>
            <w:tcW w:w="1454" w:type="dxa"/>
            <w:shd w:val="clear" w:color="auto" w:fill="auto"/>
            <w:vAlign w:val="bottom"/>
          </w:tcPr>
          <w:p w:rsidR="00826E0F" w:rsidRPr="005D03C4" w:rsidRDefault="00826E0F" w:rsidP="005D03C4">
            <w:pPr>
              <w:pStyle w:val="SingleTxt"/>
              <w:tabs>
                <w:tab w:val="left" w:pos="288"/>
                <w:tab w:val="left" w:pos="576"/>
                <w:tab w:val="left" w:pos="864"/>
                <w:tab w:val="left" w:pos="1152"/>
              </w:tabs>
              <w:suppressAutoHyphens/>
              <w:spacing w:before="40" w:after="40" w:line="210" w:lineRule="exact"/>
              <w:ind w:left="0" w:right="43"/>
              <w:jc w:val="right"/>
              <w:rPr>
                <w:sz w:val="17"/>
                <w:lang w:val="fr-FR"/>
              </w:rPr>
            </w:pPr>
            <w:r w:rsidRPr="005D03C4">
              <w:rPr>
                <w:sz w:val="17"/>
                <w:lang w:val="fr-FR"/>
              </w:rPr>
              <w:t xml:space="preserve">10 000 </w:t>
            </w:r>
          </w:p>
        </w:tc>
      </w:tr>
      <w:tr w:rsidR="00826E0F" w:rsidRPr="005D03C4" w:rsidTr="005D03C4">
        <w:trPr>
          <w:trHeight w:val="255"/>
        </w:trPr>
        <w:tc>
          <w:tcPr>
            <w:tcW w:w="6401" w:type="dxa"/>
            <w:shd w:val="clear" w:color="auto" w:fill="auto"/>
            <w:vAlign w:val="bottom"/>
          </w:tcPr>
          <w:p w:rsidR="00826E0F" w:rsidRPr="005D03C4" w:rsidRDefault="00826E0F" w:rsidP="005D03C4">
            <w:pPr>
              <w:pStyle w:val="SingleTxt"/>
              <w:tabs>
                <w:tab w:val="left" w:pos="288"/>
                <w:tab w:val="left" w:pos="576"/>
                <w:tab w:val="left" w:pos="864"/>
                <w:tab w:val="left" w:pos="1152"/>
              </w:tabs>
              <w:suppressAutoHyphens/>
              <w:spacing w:before="40" w:after="40" w:line="210" w:lineRule="exact"/>
              <w:ind w:left="0" w:right="43"/>
              <w:rPr>
                <w:sz w:val="17"/>
                <w:lang w:val="fr-FR"/>
              </w:rPr>
            </w:pPr>
            <w:r w:rsidRPr="005D03C4">
              <w:rPr>
                <w:sz w:val="17"/>
                <w:lang w:val="fr-FR"/>
              </w:rPr>
              <w:t>Centre de formation professionnelle CETA –formation des femmes (Bolivie)</w:t>
            </w:r>
          </w:p>
        </w:tc>
        <w:tc>
          <w:tcPr>
            <w:tcW w:w="755" w:type="dxa"/>
            <w:shd w:val="clear" w:color="auto" w:fill="auto"/>
            <w:vAlign w:val="bottom"/>
          </w:tcPr>
          <w:p w:rsidR="00826E0F" w:rsidRPr="005D03C4" w:rsidRDefault="00826E0F" w:rsidP="005D03C4">
            <w:pPr>
              <w:pStyle w:val="SingleTxt"/>
              <w:tabs>
                <w:tab w:val="left" w:pos="288"/>
                <w:tab w:val="left" w:pos="576"/>
                <w:tab w:val="left" w:pos="864"/>
                <w:tab w:val="left" w:pos="1152"/>
              </w:tabs>
              <w:suppressAutoHyphens/>
              <w:spacing w:before="40" w:after="40" w:line="210" w:lineRule="exact"/>
              <w:ind w:left="0" w:right="43"/>
              <w:jc w:val="right"/>
              <w:rPr>
                <w:sz w:val="17"/>
                <w:lang w:val="fr-FR"/>
              </w:rPr>
            </w:pPr>
            <w:r w:rsidRPr="005D03C4">
              <w:rPr>
                <w:sz w:val="17"/>
                <w:lang w:val="fr-FR"/>
              </w:rPr>
              <w:t>2008</w:t>
            </w:r>
          </w:p>
        </w:tc>
        <w:tc>
          <w:tcPr>
            <w:tcW w:w="1454" w:type="dxa"/>
            <w:shd w:val="clear" w:color="auto" w:fill="auto"/>
            <w:vAlign w:val="bottom"/>
          </w:tcPr>
          <w:p w:rsidR="00826E0F" w:rsidRPr="005D03C4" w:rsidRDefault="00826E0F" w:rsidP="005D03C4">
            <w:pPr>
              <w:pStyle w:val="SingleTxt"/>
              <w:tabs>
                <w:tab w:val="left" w:pos="288"/>
                <w:tab w:val="left" w:pos="576"/>
                <w:tab w:val="left" w:pos="864"/>
                <w:tab w:val="left" w:pos="1152"/>
              </w:tabs>
              <w:suppressAutoHyphens/>
              <w:spacing w:before="40" w:after="40" w:line="210" w:lineRule="exact"/>
              <w:ind w:left="0" w:right="43"/>
              <w:jc w:val="right"/>
              <w:rPr>
                <w:sz w:val="17"/>
                <w:lang w:val="fr-FR"/>
              </w:rPr>
            </w:pPr>
            <w:r w:rsidRPr="005D03C4">
              <w:rPr>
                <w:sz w:val="17"/>
                <w:lang w:val="fr-FR"/>
              </w:rPr>
              <w:t xml:space="preserve">170 056 </w:t>
            </w:r>
          </w:p>
        </w:tc>
      </w:tr>
      <w:tr w:rsidR="00826E0F" w:rsidRPr="005D03C4" w:rsidTr="005D03C4">
        <w:trPr>
          <w:trHeight w:val="255"/>
        </w:trPr>
        <w:tc>
          <w:tcPr>
            <w:tcW w:w="6401" w:type="dxa"/>
            <w:shd w:val="clear" w:color="auto" w:fill="auto"/>
            <w:vAlign w:val="bottom"/>
          </w:tcPr>
          <w:p w:rsidR="00826E0F" w:rsidRPr="005D03C4" w:rsidRDefault="00826E0F" w:rsidP="005D03C4">
            <w:pPr>
              <w:pStyle w:val="SingleTxt"/>
              <w:tabs>
                <w:tab w:val="left" w:pos="288"/>
                <w:tab w:val="left" w:pos="576"/>
                <w:tab w:val="left" w:pos="864"/>
                <w:tab w:val="left" w:pos="1152"/>
              </w:tabs>
              <w:suppressAutoHyphens/>
              <w:spacing w:before="40" w:after="40" w:line="210" w:lineRule="exact"/>
              <w:ind w:left="0" w:right="43"/>
              <w:rPr>
                <w:sz w:val="17"/>
                <w:lang w:val="fr-FR"/>
              </w:rPr>
            </w:pPr>
            <w:r w:rsidRPr="005D03C4">
              <w:rPr>
                <w:sz w:val="17"/>
                <w:lang w:val="fr-FR"/>
              </w:rPr>
              <w:t>CIDEM – Vie des femmes sans violence intrafamiliale ni sexuelle (Bolivie)</w:t>
            </w:r>
          </w:p>
        </w:tc>
        <w:tc>
          <w:tcPr>
            <w:tcW w:w="755" w:type="dxa"/>
            <w:shd w:val="clear" w:color="auto" w:fill="auto"/>
            <w:vAlign w:val="bottom"/>
          </w:tcPr>
          <w:p w:rsidR="00826E0F" w:rsidRPr="005D03C4" w:rsidRDefault="00826E0F" w:rsidP="005D03C4">
            <w:pPr>
              <w:pStyle w:val="SingleTxt"/>
              <w:tabs>
                <w:tab w:val="left" w:pos="288"/>
                <w:tab w:val="left" w:pos="576"/>
                <w:tab w:val="left" w:pos="864"/>
                <w:tab w:val="left" w:pos="1152"/>
              </w:tabs>
              <w:suppressAutoHyphens/>
              <w:spacing w:before="40" w:after="40" w:line="210" w:lineRule="exact"/>
              <w:ind w:left="0" w:right="43"/>
              <w:jc w:val="right"/>
              <w:rPr>
                <w:sz w:val="17"/>
                <w:lang w:val="fr-FR"/>
              </w:rPr>
            </w:pPr>
            <w:r w:rsidRPr="005D03C4">
              <w:rPr>
                <w:sz w:val="17"/>
                <w:lang w:val="fr-FR"/>
              </w:rPr>
              <w:t>2008</w:t>
            </w:r>
          </w:p>
        </w:tc>
        <w:tc>
          <w:tcPr>
            <w:tcW w:w="1454" w:type="dxa"/>
            <w:shd w:val="clear" w:color="auto" w:fill="auto"/>
            <w:vAlign w:val="bottom"/>
          </w:tcPr>
          <w:p w:rsidR="00826E0F" w:rsidRPr="005D03C4" w:rsidRDefault="00826E0F" w:rsidP="005D03C4">
            <w:pPr>
              <w:pStyle w:val="SingleTxt"/>
              <w:tabs>
                <w:tab w:val="left" w:pos="288"/>
                <w:tab w:val="left" w:pos="576"/>
                <w:tab w:val="left" w:pos="864"/>
                <w:tab w:val="left" w:pos="1152"/>
              </w:tabs>
              <w:suppressAutoHyphens/>
              <w:spacing w:before="40" w:after="40" w:line="210" w:lineRule="exact"/>
              <w:ind w:left="0" w:right="43"/>
              <w:jc w:val="right"/>
              <w:rPr>
                <w:sz w:val="17"/>
                <w:lang w:val="fr-FR"/>
              </w:rPr>
            </w:pPr>
            <w:r w:rsidRPr="005D03C4">
              <w:rPr>
                <w:sz w:val="17"/>
                <w:lang w:val="fr-FR"/>
              </w:rPr>
              <w:t xml:space="preserve">124 132 </w:t>
            </w:r>
          </w:p>
        </w:tc>
      </w:tr>
      <w:tr w:rsidR="00826E0F" w:rsidRPr="005D03C4" w:rsidTr="005D03C4">
        <w:trPr>
          <w:trHeight w:val="255"/>
        </w:trPr>
        <w:tc>
          <w:tcPr>
            <w:tcW w:w="6401" w:type="dxa"/>
            <w:shd w:val="clear" w:color="auto" w:fill="auto"/>
            <w:vAlign w:val="bottom"/>
          </w:tcPr>
          <w:p w:rsidR="00826E0F" w:rsidRPr="005D03C4" w:rsidRDefault="00826E0F" w:rsidP="005D03C4">
            <w:pPr>
              <w:pStyle w:val="SingleTxt"/>
              <w:tabs>
                <w:tab w:val="left" w:pos="288"/>
                <w:tab w:val="left" w:pos="576"/>
                <w:tab w:val="left" w:pos="864"/>
                <w:tab w:val="left" w:pos="1152"/>
              </w:tabs>
              <w:suppressAutoHyphens/>
              <w:spacing w:before="40" w:after="40" w:line="210" w:lineRule="exact"/>
              <w:ind w:left="0" w:right="43"/>
              <w:rPr>
                <w:sz w:val="17"/>
                <w:lang w:val="fr-FR"/>
              </w:rPr>
            </w:pPr>
            <w:r w:rsidRPr="005D03C4">
              <w:rPr>
                <w:sz w:val="17"/>
                <w:lang w:val="fr-FR"/>
              </w:rPr>
              <w:t>Lutte contre la traite (Bosnie-Herzégovine)</w:t>
            </w:r>
          </w:p>
        </w:tc>
        <w:tc>
          <w:tcPr>
            <w:tcW w:w="755" w:type="dxa"/>
            <w:shd w:val="clear" w:color="auto" w:fill="auto"/>
            <w:vAlign w:val="bottom"/>
          </w:tcPr>
          <w:p w:rsidR="00826E0F" w:rsidRPr="005D03C4" w:rsidRDefault="00826E0F" w:rsidP="005D03C4">
            <w:pPr>
              <w:pStyle w:val="SingleTxt"/>
              <w:tabs>
                <w:tab w:val="left" w:pos="288"/>
                <w:tab w:val="left" w:pos="576"/>
                <w:tab w:val="left" w:pos="864"/>
                <w:tab w:val="left" w:pos="1152"/>
              </w:tabs>
              <w:suppressAutoHyphens/>
              <w:spacing w:before="40" w:after="40" w:line="210" w:lineRule="exact"/>
              <w:ind w:left="0" w:right="43"/>
              <w:jc w:val="right"/>
              <w:rPr>
                <w:sz w:val="17"/>
                <w:lang w:val="fr-FR"/>
              </w:rPr>
            </w:pPr>
            <w:r w:rsidRPr="005D03C4">
              <w:rPr>
                <w:sz w:val="17"/>
                <w:lang w:val="fr-FR"/>
              </w:rPr>
              <w:t>2008</w:t>
            </w:r>
          </w:p>
        </w:tc>
        <w:tc>
          <w:tcPr>
            <w:tcW w:w="1454" w:type="dxa"/>
            <w:shd w:val="clear" w:color="auto" w:fill="auto"/>
            <w:vAlign w:val="bottom"/>
          </w:tcPr>
          <w:p w:rsidR="00826E0F" w:rsidRPr="005D03C4" w:rsidRDefault="00826E0F" w:rsidP="005D03C4">
            <w:pPr>
              <w:pStyle w:val="SingleTxt"/>
              <w:tabs>
                <w:tab w:val="left" w:pos="288"/>
                <w:tab w:val="left" w:pos="576"/>
                <w:tab w:val="left" w:pos="864"/>
                <w:tab w:val="left" w:pos="1152"/>
              </w:tabs>
              <w:suppressAutoHyphens/>
              <w:spacing w:before="40" w:after="40" w:line="210" w:lineRule="exact"/>
              <w:ind w:left="0" w:right="43"/>
              <w:jc w:val="right"/>
              <w:rPr>
                <w:sz w:val="17"/>
                <w:lang w:val="fr-FR"/>
              </w:rPr>
            </w:pPr>
            <w:r w:rsidRPr="005D03C4">
              <w:rPr>
                <w:sz w:val="17"/>
                <w:lang w:val="fr-FR"/>
              </w:rPr>
              <w:t xml:space="preserve">54 304 </w:t>
            </w:r>
          </w:p>
        </w:tc>
      </w:tr>
      <w:tr w:rsidR="00826E0F" w:rsidRPr="005D03C4" w:rsidTr="005D03C4">
        <w:trPr>
          <w:trHeight w:val="255"/>
        </w:trPr>
        <w:tc>
          <w:tcPr>
            <w:tcW w:w="6401" w:type="dxa"/>
            <w:shd w:val="clear" w:color="auto" w:fill="auto"/>
            <w:vAlign w:val="bottom"/>
          </w:tcPr>
          <w:p w:rsidR="00826E0F" w:rsidRPr="005D03C4" w:rsidRDefault="00826E0F" w:rsidP="005D03C4">
            <w:pPr>
              <w:pStyle w:val="SingleTxt"/>
              <w:tabs>
                <w:tab w:val="left" w:pos="288"/>
                <w:tab w:val="left" w:pos="576"/>
                <w:tab w:val="left" w:pos="864"/>
                <w:tab w:val="left" w:pos="1152"/>
              </w:tabs>
              <w:suppressAutoHyphens/>
              <w:spacing w:before="40" w:after="40" w:line="210" w:lineRule="exact"/>
              <w:ind w:left="0" w:right="43"/>
              <w:rPr>
                <w:sz w:val="17"/>
                <w:lang w:val="fr-FR"/>
              </w:rPr>
            </w:pPr>
            <w:r w:rsidRPr="005D03C4">
              <w:rPr>
                <w:sz w:val="17"/>
                <w:lang w:val="fr-FR"/>
              </w:rPr>
              <w:t>Fonds de l</w:t>
            </w:r>
            <w:r w:rsidR="006645B6">
              <w:rPr>
                <w:sz w:val="17"/>
                <w:lang w:val="fr-FR"/>
              </w:rPr>
              <w:t>’</w:t>
            </w:r>
            <w:r w:rsidRPr="005D03C4">
              <w:rPr>
                <w:sz w:val="17"/>
                <w:lang w:val="fr-FR"/>
              </w:rPr>
              <w:t>UNIFEM pour l</w:t>
            </w:r>
            <w:r w:rsidR="006645B6">
              <w:rPr>
                <w:sz w:val="17"/>
                <w:lang w:val="fr-FR"/>
              </w:rPr>
              <w:t>’</w:t>
            </w:r>
            <w:r w:rsidRPr="005D03C4">
              <w:rPr>
                <w:sz w:val="17"/>
                <w:lang w:val="fr-FR"/>
              </w:rPr>
              <w:t>élimination de la violence contre les femmes</w:t>
            </w:r>
          </w:p>
        </w:tc>
        <w:tc>
          <w:tcPr>
            <w:tcW w:w="755" w:type="dxa"/>
            <w:shd w:val="clear" w:color="auto" w:fill="auto"/>
            <w:vAlign w:val="bottom"/>
          </w:tcPr>
          <w:p w:rsidR="00826E0F" w:rsidRPr="005D03C4" w:rsidRDefault="00826E0F" w:rsidP="005D03C4">
            <w:pPr>
              <w:pStyle w:val="SingleTxt"/>
              <w:tabs>
                <w:tab w:val="left" w:pos="288"/>
                <w:tab w:val="left" w:pos="576"/>
                <w:tab w:val="left" w:pos="864"/>
                <w:tab w:val="left" w:pos="1152"/>
              </w:tabs>
              <w:suppressAutoHyphens/>
              <w:spacing w:before="40" w:after="40" w:line="210" w:lineRule="exact"/>
              <w:ind w:left="0" w:right="43"/>
              <w:jc w:val="right"/>
              <w:rPr>
                <w:sz w:val="17"/>
                <w:lang w:val="fr-FR"/>
              </w:rPr>
            </w:pPr>
            <w:r w:rsidRPr="005D03C4">
              <w:rPr>
                <w:sz w:val="17"/>
                <w:lang w:val="fr-FR"/>
              </w:rPr>
              <w:t>2008</w:t>
            </w:r>
          </w:p>
        </w:tc>
        <w:tc>
          <w:tcPr>
            <w:tcW w:w="1454" w:type="dxa"/>
            <w:shd w:val="clear" w:color="auto" w:fill="auto"/>
            <w:vAlign w:val="bottom"/>
          </w:tcPr>
          <w:p w:rsidR="00826E0F" w:rsidRPr="005D03C4" w:rsidRDefault="00826E0F" w:rsidP="005D03C4">
            <w:pPr>
              <w:pStyle w:val="SingleTxt"/>
              <w:tabs>
                <w:tab w:val="left" w:pos="288"/>
                <w:tab w:val="left" w:pos="576"/>
                <w:tab w:val="left" w:pos="864"/>
                <w:tab w:val="left" w:pos="1152"/>
              </w:tabs>
              <w:suppressAutoHyphens/>
              <w:spacing w:before="40" w:after="40" w:line="210" w:lineRule="exact"/>
              <w:ind w:left="0" w:right="43"/>
              <w:jc w:val="right"/>
              <w:rPr>
                <w:sz w:val="17"/>
                <w:lang w:val="fr-FR"/>
              </w:rPr>
            </w:pPr>
            <w:r w:rsidRPr="005D03C4">
              <w:rPr>
                <w:sz w:val="17"/>
                <w:lang w:val="fr-FR"/>
              </w:rPr>
              <w:t xml:space="preserve">12 500 </w:t>
            </w:r>
          </w:p>
        </w:tc>
      </w:tr>
      <w:tr w:rsidR="00826E0F" w:rsidRPr="005D03C4" w:rsidTr="005D03C4">
        <w:trPr>
          <w:trHeight w:val="255"/>
        </w:trPr>
        <w:tc>
          <w:tcPr>
            <w:tcW w:w="6401" w:type="dxa"/>
            <w:shd w:val="clear" w:color="auto" w:fill="auto"/>
            <w:vAlign w:val="bottom"/>
          </w:tcPr>
          <w:p w:rsidR="00826E0F" w:rsidRPr="005D03C4" w:rsidRDefault="00826E0F" w:rsidP="005D03C4">
            <w:pPr>
              <w:pStyle w:val="SingleTxt"/>
              <w:tabs>
                <w:tab w:val="left" w:pos="288"/>
                <w:tab w:val="left" w:pos="576"/>
                <w:tab w:val="left" w:pos="864"/>
                <w:tab w:val="left" w:pos="1152"/>
              </w:tabs>
              <w:suppressAutoHyphens/>
              <w:spacing w:before="40" w:after="40" w:line="210" w:lineRule="exact"/>
              <w:ind w:left="0" w:right="43"/>
              <w:rPr>
                <w:sz w:val="17"/>
                <w:lang w:val="fr-FR"/>
              </w:rPr>
            </w:pPr>
            <w:r w:rsidRPr="005D03C4">
              <w:rPr>
                <w:sz w:val="17"/>
                <w:lang w:val="fr-FR"/>
              </w:rPr>
              <w:t>Centre d</w:t>
            </w:r>
            <w:r w:rsidR="006645B6">
              <w:rPr>
                <w:sz w:val="17"/>
                <w:lang w:val="fr-FR"/>
              </w:rPr>
              <w:t>’</w:t>
            </w:r>
            <w:r w:rsidRPr="005D03C4">
              <w:rPr>
                <w:sz w:val="17"/>
                <w:lang w:val="fr-FR"/>
              </w:rPr>
              <w:t>éducation des femmes Granja Hogar (Bolivie)</w:t>
            </w:r>
          </w:p>
        </w:tc>
        <w:tc>
          <w:tcPr>
            <w:tcW w:w="755" w:type="dxa"/>
            <w:shd w:val="clear" w:color="auto" w:fill="auto"/>
            <w:vAlign w:val="bottom"/>
          </w:tcPr>
          <w:p w:rsidR="00826E0F" w:rsidRPr="005D03C4" w:rsidRDefault="00826E0F" w:rsidP="005D03C4">
            <w:pPr>
              <w:pStyle w:val="SingleTxt"/>
              <w:tabs>
                <w:tab w:val="left" w:pos="288"/>
                <w:tab w:val="left" w:pos="576"/>
                <w:tab w:val="left" w:pos="864"/>
                <w:tab w:val="left" w:pos="1152"/>
              </w:tabs>
              <w:suppressAutoHyphens/>
              <w:spacing w:before="40" w:after="40" w:line="210" w:lineRule="exact"/>
              <w:ind w:left="0" w:right="43"/>
              <w:jc w:val="right"/>
              <w:rPr>
                <w:sz w:val="17"/>
                <w:lang w:val="fr-FR"/>
              </w:rPr>
            </w:pPr>
            <w:r w:rsidRPr="005D03C4">
              <w:rPr>
                <w:sz w:val="17"/>
                <w:lang w:val="fr-FR"/>
              </w:rPr>
              <w:t>2008</w:t>
            </w:r>
          </w:p>
        </w:tc>
        <w:tc>
          <w:tcPr>
            <w:tcW w:w="1454" w:type="dxa"/>
            <w:shd w:val="clear" w:color="auto" w:fill="auto"/>
            <w:vAlign w:val="bottom"/>
          </w:tcPr>
          <w:p w:rsidR="00826E0F" w:rsidRPr="005D03C4" w:rsidRDefault="00826E0F" w:rsidP="005D03C4">
            <w:pPr>
              <w:pStyle w:val="SingleTxt"/>
              <w:tabs>
                <w:tab w:val="left" w:pos="288"/>
                <w:tab w:val="left" w:pos="576"/>
                <w:tab w:val="left" w:pos="864"/>
                <w:tab w:val="left" w:pos="1152"/>
              </w:tabs>
              <w:suppressAutoHyphens/>
              <w:spacing w:before="40" w:after="40" w:line="210" w:lineRule="exact"/>
              <w:ind w:left="0" w:right="43"/>
              <w:jc w:val="right"/>
              <w:rPr>
                <w:sz w:val="17"/>
                <w:lang w:val="fr-FR"/>
              </w:rPr>
            </w:pPr>
            <w:r w:rsidRPr="005D03C4">
              <w:rPr>
                <w:sz w:val="17"/>
                <w:lang w:val="fr-FR"/>
              </w:rPr>
              <w:t xml:space="preserve">100 000 </w:t>
            </w:r>
          </w:p>
        </w:tc>
      </w:tr>
      <w:tr w:rsidR="00826E0F" w:rsidRPr="005D03C4" w:rsidTr="005D03C4">
        <w:trPr>
          <w:trHeight w:val="255"/>
        </w:trPr>
        <w:tc>
          <w:tcPr>
            <w:tcW w:w="6401" w:type="dxa"/>
            <w:shd w:val="clear" w:color="auto" w:fill="auto"/>
            <w:vAlign w:val="bottom"/>
          </w:tcPr>
          <w:p w:rsidR="00826E0F" w:rsidRPr="005D03C4" w:rsidRDefault="00826E0F" w:rsidP="005D03C4">
            <w:pPr>
              <w:pStyle w:val="SingleTxt"/>
              <w:tabs>
                <w:tab w:val="left" w:pos="288"/>
                <w:tab w:val="left" w:pos="576"/>
                <w:tab w:val="left" w:pos="864"/>
                <w:tab w:val="left" w:pos="1152"/>
              </w:tabs>
              <w:suppressAutoHyphens/>
              <w:spacing w:before="40" w:after="40" w:line="210" w:lineRule="exact"/>
              <w:ind w:left="0" w:right="43"/>
              <w:rPr>
                <w:sz w:val="17"/>
                <w:lang w:val="fr-FR"/>
              </w:rPr>
            </w:pPr>
            <w:r w:rsidRPr="005D03C4">
              <w:rPr>
                <w:sz w:val="17"/>
                <w:lang w:val="fr-FR"/>
              </w:rPr>
              <w:t>Centre des femmes de Lupane (Zimbabwe)</w:t>
            </w:r>
          </w:p>
        </w:tc>
        <w:tc>
          <w:tcPr>
            <w:tcW w:w="755" w:type="dxa"/>
            <w:shd w:val="clear" w:color="auto" w:fill="auto"/>
            <w:vAlign w:val="bottom"/>
          </w:tcPr>
          <w:p w:rsidR="00826E0F" w:rsidRPr="005D03C4" w:rsidRDefault="00826E0F" w:rsidP="005D03C4">
            <w:pPr>
              <w:pStyle w:val="SingleTxt"/>
              <w:tabs>
                <w:tab w:val="left" w:pos="288"/>
                <w:tab w:val="left" w:pos="576"/>
                <w:tab w:val="left" w:pos="864"/>
                <w:tab w:val="left" w:pos="1152"/>
              </w:tabs>
              <w:suppressAutoHyphens/>
              <w:spacing w:before="40" w:after="40" w:line="210" w:lineRule="exact"/>
              <w:ind w:left="0" w:right="43"/>
              <w:jc w:val="right"/>
              <w:rPr>
                <w:sz w:val="17"/>
                <w:lang w:val="fr-FR"/>
              </w:rPr>
            </w:pPr>
            <w:r w:rsidRPr="005D03C4">
              <w:rPr>
                <w:sz w:val="17"/>
                <w:lang w:val="fr-FR"/>
              </w:rPr>
              <w:t>2008</w:t>
            </w:r>
          </w:p>
        </w:tc>
        <w:tc>
          <w:tcPr>
            <w:tcW w:w="1454" w:type="dxa"/>
            <w:shd w:val="clear" w:color="auto" w:fill="auto"/>
            <w:vAlign w:val="bottom"/>
          </w:tcPr>
          <w:p w:rsidR="00826E0F" w:rsidRPr="005D03C4" w:rsidRDefault="00826E0F" w:rsidP="005D03C4">
            <w:pPr>
              <w:pStyle w:val="SingleTxt"/>
              <w:tabs>
                <w:tab w:val="left" w:pos="288"/>
                <w:tab w:val="left" w:pos="576"/>
                <w:tab w:val="left" w:pos="864"/>
                <w:tab w:val="left" w:pos="1152"/>
              </w:tabs>
              <w:suppressAutoHyphens/>
              <w:spacing w:before="40" w:after="40" w:line="210" w:lineRule="exact"/>
              <w:ind w:left="0" w:right="43"/>
              <w:jc w:val="right"/>
              <w:rPr>
                <w:sz w:val="17"/>
                <w:lang w:val="fr-FR"/>
              </w:rPr>
            </w:pPr>
            <w:r w:rsidRPr="005D03C4">
              <w:rPr>
                <w:sz w:val="17"/>
                <w:lang w:val="fr-FR"/>
              </w:rPr>
              <w:t xml:space="preserve">100 000 </w:t>
            </w:r>
          </w:p>
        </w:tc>
      </w:tr>
      <w:tr w:rsidR="00826E0F" w:rsidRPr="005D03C4" w:rsidTr="005D03C4">
        <w:trPr>
          <w:trHeight w:val="255"/>
        </w:trPr>
        <w:tc>
          <w:tcPr>
            <w:tcW w:w="6401" w:type="dxa"/>
            <w:shd w:val="clear" w:color="auto" w:fill="auto"/>
            <w:vAlign w:val="bottom"/>
          </w:tcPr>
          <w:p w:rsidR="00826E0F" w:rsidRPr="005D03C4" w:rsidRDefault="00826E0F" w:rsidP="005D03C4">
            <w:pPr>
              <w:pStyle w:val="SingleTxt"/>
              <w:tabs>
                <w:tab w:val="left" w:pos="288"/>
                <w:tab w:val="left" w:pos="576"/>
                <w:tab w:val="left" w:pos="864"/>
                <w:tab w:val="left" w:pos="1152"/>
              </w:tabs>
              <w:suppressAutoHyphens/>
              <w:spacing w:before="40" w:after="40" w:line="210" w:lineRule="exact"/>
              <w:ind w:left="0" w:right="43"/>
              <w:rPr>
                <w:sz w:val="17"/>
                <w:lang w:val="fr-FR"/>
              </w:rPr>
            </w:pPr>
            <w:r w:rsidRPr="005D03C4">
              <w:rPr>
                <w:sz w:val="17"/>
                <w:lang w:val="fr-FR"/>
              </w:rPr>
              <w:t>Contribution volontaire au budget général de l</w:t>
            </w:r>
            <w:r w:rsidR="006645B6">
              <w:rPr>
                <w:sz w:val="17"/>
                <w:lang w:val="fr-FR"/>
              </w:rPr>
              <w:t>’</w:t>
            </w:r>
            <w:r w:rsidRPr="005D03C4">
              <w:rPr>
                <w:sz w:val="17"/>
                <w:lang w:val="fr-FR"/>
              </w:rPr>
              <w:t>UNIFEM</w:t>
            </w:r>
          </w:p>
        </w:tc>
        <w:tc>
          <w:tcPr>
            <w:tcW w:w="755" w:type="dxa"/>
            <w:shd w:val="clear" w:color="auto" w:fill="auto"/>
            <w:vAlign w:val="bottom"/>
          </w:tcPr>
          <w:p w:rsidR="00826E0F" w:rsidRPr="005D03C4" w:rsidRDefault="00826E0F" w:rsidP="005D03C4">
            <w:pPr>
              <w:pStyle w:val="SingleTxt"/>
              <w:tabs>
                <w:tab w:val="left" w:pos="288"/>
                <w:tab w:val="left" w:pos="576"/>
                <w:tab w:val="left" w:pos="864"/>
                <w:tab w:val="left" w:pos="1152"/>
              </w:tabs>
              <w:suppressAutoHyphens/>
              <w:spacing w:before="40" w:after="40" w:line="210" w:lineRule="exact"/>
              <w:ind w:left="0" w:right="43"/>
              <w:jc w:val="right"/>
              <w:rPr>
                <w:sz w:val="17"/>
                <w:lang w:val="fr-FR"/>
              </w:rPr>
            </w:pPr>
            <w:r w:rsidRPr="005D03C4">
              <w:rPr>
                <w:sz w:val="17"/>
                <w:lang w:val="fr-FR"/>
              </w:rPr>
              <w:t>2008</w:t>
            </w:r>
          </w:p>
        </w:tc>
        <w:tc>
          <w:tcPr>
            <w:tcW w:w="1454" w:type="dxa"/>
            <w:shd w:val="clear" w:color="auto" w:fill="auto"/>
            <w:vAlign w:val="bottom"/>
          </w:tcPr>
          <w:p w:rsidR="00826E0F" w:rsidRPr="005D03C4" w:rsidRDefault="00826E0F" w:rsidP="005D03C4">
            <w:pPr>
              <w:pStyle w:val="SingleTxt"/>
              <w:tabs>
                <w:tab w:val="left" w:pos="288"/>
                <w:tab w:val="left" w:pos="576"/>
                <w:tab w:val="left" w:pos="864"/>
                <w:tab w:val="left" w:pos="1152"/>
              </w:tabs>
              <w:suppressAutoHyphens/>
              <w:spacing w:before="40" w:after="40" w:line="210" w:lineRule="exact"/>
              <w:ind w:left="0" w:right="43"/>
              <w:jc w:val="right"/>
              <w:rPr>
                <w:sz w:val="17"/>
                <w:lang w:val="fr-FR"/>
              </w:rPr>
            </w:pPr>
            <w:r w:rsidRPr="005D03C4">
              <w:rPr>
                <w:sz w:val="17"/>
                <w:lang w:val="fr-FR"/>
              </w:rPr>
              <w:t xml:space="preserve">12 500 </w:t>
            </w:r>
          </w:p>
        </w:tc>
      </w:tr>
      <w:tr w:rsidR="00826E0F" w:rsidRPr="005D03C4" w:rsidTr="005D03C4">
        <w:trPr>
          <w:trHeight w:val="255"/>
        </w:trPr>
        <w:tc>
          <w:tcPr>
            <w:tcW w:w="6401" w:type="dxa"/>
            <w:shd w:val="clear" w:color="auto" w:fill="auto"/>
            <w:vAlign w:val="bottom"/>
          </w:tcPr>
          <w:p w:rsidR="00826E0F" w:rsidRPr="005D03C4" w:rsidRDefault="00826E0F" w:rsidP="005D03C4">
            <w:pPr>
              <w:pStyle w:val="SingleTxt"/>
              <w:tabs>
                <w:tab w:val="left" w:pos="288"/>
                <w:tab w:val="left" w:pos="576"/>
                <w:tab w:val="left" w:pos="864"/>
                <w:tab w:val="left" w:pos="1152"/>
              </w:tabs>
              <w:suppressAutoHyphens/>
              <w:spacing w:before="40" w:after="40" w:line="210" w:lineRule="exact"/>
              <w:ind w:left="0" w:right="43"/>
              <w:rPr>
                <w:sz w:val="17"/>
                <w:lang w:val="fr-FR"/>
              </w:rPr>
            </w:pPr>
            <w:r w:rsidRPr="005D03C4">
              <w:rPr>
                <w:sz w:val="17"/>
                <w:lang w:val="fr-FR"/>
              </w:rPr>
              <w:t>Programme d</w:t>
            </w:r>
            <w:r w:rsidR="006645B6">
              <w:rPr>
                <w:sz w:val="17"/>
                <w:lang w:val="fr-FR"/>
              </w:rPr>
              <w:t>’</w:t>
            </w:r>
            <w:r w:rsidRPr="005D03C4">
              <w:rPr>
                <w:sz w:val="17"/>
                <w:lang w:val="fr-FR"/>
              </w:rPr>
              <w:t>appui aux femmes dans la province de Parwan (Afghanistan)</w:t>
            </w:r>
          </w:p>
        </w:tc>
        <w:tc>
          <w:tcPr>
            <w:tcW w:w="755" w:type="dxa"/>
            <w:shd w:val="clear" w:color="auto" w:fill="auto"/>
            <w:vAlign w:val="bottom"/>
          </w:tcPr>
          <w:p w:rsidR="00826E0F" w:rsidRPr="005D03C4" w:rsidRDefault="00826E0F" w:rsidP="005D03C4">
            <w:pPr>
              <w:pStyle w:val="SingleTxt"/>
              <w:tabs>
                <w:tab w:val="left" w:pos="288"/>
                <w:tab w:val="left" w:pos="576"/>
                <w:tab w:val="left" w:pos="864"/>
                <w:tab w:val="left" w:pos="1152"/>
              </w:tabs>
              <w:suppressAutoHyphens/>
              <w:spacing w:before="40" w:after="40" w:line="210" w:lineRule="exact"/>
              <w:ind w:left="0" w:right="43"/>
              <w:jc w:val="right"/>
              <w:rPr>
                <w:sz w:val="17"/>
                <w:lang w:val="fr-FR"/>
              </w:rPr>
            </w:pPr>
            <w:r w:rsidRPr="005D03C4">
              <w:rPr>
                <w:sz w:val="17"/>
                <w:lang w:val="fr-FR"/>
              </w:rPr>
              <w:t>2008</w:t>
            </w:r>
          </w:p>
        </w:tc>
        <w:tc>
          <w:tcPr>
            <w:tcW w:w="1454" w:type="dxa"/>
            <w:shd w:val="clear" w:color="auto" w:fill="auto"/>
            <w:vAlign w:val="bottom"/>
          </w:tcPr>
          <w:p w:rsidR="00826E0F" w:rsidRPr="005D03C4" w:rsidRDefault="00826E0F" w:rsidP="005D03C4">
            <w:pPr>
              <w:pStyle w:val="SingleTxt"/>
              <w:tabs>
                <w:tab w:val="left" w:pos="288"/>
                <w:tab w:val="left" w:pos="576"/>
                <w:tab w:val="left" w:pos="864"/>
                <w:tab w:val="left" w:pos="1152"/>
              </w:tabs>
              <w:suppressAutoHyphens/>
              <w:spacing w:before="40" w:after="40" w:line="210" w:lineRule="exact"/>
              <w:ind w:left="0" w:right="43"/>
              <w:jc w:val="right"/>
              <w:rPr>
                <w:sz w:val="17"/>
                <w:lang w:val="fr-FR"/>
              </w:rPr>
            </w:pPr>
            <w:r w:rsidRPr="005D03C4">
              <w:rPr>
                <w:sz w:val="17"/>
                <w:lang w:val="fr-FR"/>
              </w:rPr>
              <w:t xml:space="preserve">129 709 </w:t>
            </w:r>
          </w:p>
        </w:tc>
      </w:tr>
      <w:tr w:rsidR="00826E0F" w:rsidRPr="005D03C4" w:rsidTr="005D03C4">
        <w:trPr>
          <w:trHeight w:val="205"/>
        </w:trPr>
        <w:tc>
          <w:tcPr>
            <w:tcW w:w="6401" w:type="dxa"/>
            <w:shd w:val="clear" w:color="auto" w:fill="auto"/>
            <w:vAlign w:val="bottom"/>
          </w:tcPr>
          <w:p w:rsidR="00826E0F" w:rsidRPr="005D03C4" w:rsidRDefault="00826E0F" w:rsidP="005D03C4">
            <w:pPr>
              <w:pStyle w:val="SingleTxt"/>
              <w:tabs>
                <w:tab w:val="left" w:pos="288"/>
                <w:tab w:val="left" w:pos="576"/>
                <w:tab w:val="left" w:pos="864"/>
                <w:tab w:val="left" w:pos="1152"/>
              </w:tabs>
              <w:suppressAutoHyphens/>
              <w:spacing w:before="40" w:after="40" w:line="210" w:lineRule="exact"/>
              <w:ind w:left="0" w:right="43"/>
              <w:rPr>
                <w:sz w:val="17"/>
                <w:lang w:val="fr-FR"/>
              </w:rPr>
            </w:pPr>
            <w:r w:rsidRPr="005D03C4">
              <w:rPr>
                <w:sz w:val="17"/>
                <w:lang w:val="fr-FR"/>
              </w:rPr>
              <w:t>Instruction de base dispensée aux jeunes femmes dans la province de Parwan (Afghanistan)</w:t>
            </w:r>
          </w:p>
        </w:tc>
        <w:tc>
          <w:tcPr>
            <w:tcW w:w="755" w:type="dxa"/>
            <w:shd w:val="clear" w:color="auto" w:fill="auto"/>
            <w:vAlign w:val="bottom"/>
          </w:tcPr>
          <w:p w:rsidR="00826E0F" w:rsidRPr="005D03C4" w:rsidRDefault="00826E0F" w:rsidP="005D03C4">
            <w:pPr>
              <w:pStyle w:val="SingleTxt"/>
              <w:tabs>
                <w:tab w:val="left" w:pos="288"/>
                <w:tab w:val="left" w:pos="576"/>
                <w:tab w:val="left" w:pos="864"/>
                <w:tab w:val="left" w:pos="1152"/>
              </w:tabs>
              <w:suppressAutoHyphens/>
              <w:spacing w:before="40" w:after="40" w:line="210" w:lineRule="exact"/>
              <w:ind w:left="0" w:right="43"/>
              <w:jc w:val="right"/>
              <w:rPr>
                <w:sz w:val="17"/>
                <w:lang w:val="fr-FR"/>
              </w:rPr>
            </w:pPr>
            <w:r w:rsidRPr="005D03C4">
              <w:rPr>
                <w:sz w:val="17"/>
                <w:lang w:val="fr-FR"/>
              </w:rPr>
              <w:t>2009</w:t>
            </w:r>
          </w:p>
        </w:tc>
        <w:tc>
          <w:tcPr>
            <w:tcW w:w="1454" w:type="dxa"/>
            <w:shd w:val="clear" w:color="auto" w:fill="auto"/>
            <w:vAlign w:val="bottom"/>
          </w:tcPr>
          <w:p w:rsidR="00826E0F" w:rsidRPr="005D03C4" w:rsidRDefault="00826E0F" w:rsidP="005D03C4">
            <w:pPr>
              <w:pStyle w:val="SingleTxt"/>
              <w:tabs>
                <w:tab w:val="left" w:pos="288"/>
                <w:tab w:val="left" w:pos="576"/>
                <w:tab w:val="left" w:pos="864"/>
                <w:tab w:val="left" w:pos="1152"/>
              </w:tabs>
              <w:suppressAutoHyphens/>
              <w:spacing w:before="40" w:after="40" w:line="210" w:lineRule="exact"/>
              <w:ind w:left="0" w:right="43"/>
              <w:jc w:val="right"/>
              <w:rPr>
                <w:sz w:val="17"/>
                <w:lang w:val="fr-FR"/>
              </w:rPr>
            </w:pPr>
            <w:r w:rsidRPr="005D03C4">
              <w:rPr>
                <w:sz w:val="17"/>
                <w:lang w:val="fr-FR"/>
              </w:rPr>
              <w:t xml:space="preserve">184 369 </w:t>
            </w:r>
          </w:p>
        </w:tc>
      </w:tr>
      <w:tr w:rsidR="00826E0F" w:rsidRPr="005D03C4" w:rsidTr="005D03C4">
        <w:trPr>
          <w:trHeight w:val="255"/>
        </w:trPr>
        <w:tc>
          <w:tcPr>
            <w:tcW w:w="6401" w:type="dxa"/>
            <w:shd w:val="clear" w:color="auto" w:fill="auto"/>
            <w:vAlign w:val="bottom"/>
          </w:tcPr>
          <w:p w:rsidR="00826E0F" w:rsidRPr="005D03C4" w:rsidRDefault="00826E0F" w:rsidP="005D03C4">
            <w:pPr>
              <w:pStyle w:val="SingleTxt"/>
              <w:tabs>
                <w:tab w:val="left" w:pos="288"/>
                <w:tab w:val="left" w:pos="576"/>
                <w:tab w:val="left" w:pos="864"/>
                <w:tab w:val="left" w:pos="1152"/>
              </w:tabs>
              <w:suppressAutoHyphens/>
              <w:spacing w:before="40" w:after="40" w:line="210" w:lineRule="exact"/>
              <w:ind w:left="0" w:right="43"/>
              <w:rPr>
                <w:sz w:val="17"/>
                <w:lang w:val="fr-FR"/>
              </w:rPr>
            </w:pPr>
            <w:r w:rsidRPr="005D03C4">
              <w:rPr>
                <w:sz w:val="17"/>
                <w:lang w:val="fr-FR"/>
              </w:rPr>
              <w:t>Fonds de l</w:t>
            </w:r>
            <w:r w:rsidR="006645B6">
              <w:rPr>
                <w:sz w:val="17"/>
                <w:lang w:val="fr-FR"/>
              </w:rPr>
              <w:t>’</w:t>
            </w:r>
            <w:r w:rsidRPr="005D03C4">
              <w:rPr>
                <w:sz w:val="17"/>
                <w:lang w:val="fr-FR"/>
              </w:rPr>
              <w:t>UNIFEM pour l</w:t>
            </w:r>
            <w:r w:rsidR="006645B6">
              <w:rPr>
                <w:sz w:val="17"/>
                <w:lang w:val="fr-FR"/>
              </w:rPr>
              <w:t>’</w:t>
            </w:r>
            <w:r w:rsidRPr="005D03C4">
              <w:rPr>
                <w:sz w:val="17"/>
                <w:lang w:val="fr-FR"/>
              </w:rPr>
              <w:t>élimination de la violence contre les femmes</w:t>
            </w:r>
          </w:p>
        </w:tc>
        <w:tc>
          <w:tcPr>
            <w:tcW w:w="755" w:type="dxa"/>
            <w:shd w:val="clear" w:color="auto" w:fill="auto"/>
            <w:vAlign w:val="bottom"/>
          </w:tcPr>
          <w:p w:rsidR="00826E0F" w:rsidRPr="005D03C4" w:rsidRDefault="00826E0F" w:rsidP="005D03C4">
            <w:pPr>
              <w:pStyle w:val="SingleTxt"/>
              <w:tabs>
                <w:tab w:val="left" w:pos="288"/>
                <w:tab w:val="left" w:pos="576"/>
                <w:tab w:val="left" w:pos="864"/>
                <w:tab w:val="left" w:pos="1152"/>
              </w:tabs>
              <w:suppressAutoHyphens/>
              <w:spacing w:before="40" w:after="40" w:line="210" w:lineRule="exact"/>
              <w:ind w:left="0" w:right="43"/>
              <w:jc w:val="right"/>
              <w:rPr>
                <w:sz w:val="17"/>
                <w:lang w:val="fr-FR"/>
              </w:rPr>
            </w:pPr>
            <w:r w:rsidRPr="005D03C4">
              <w:rPr>
                <w:sz w:val="17"/>
                <w:lang w:val="fr-FR"/>
              </w:rPr>
              <w:t>2009</w:t>
            </w:r>
          </w:p>
        </w:tc>
        <w:tc>
          <w:tcPr>
            <w:tcW w:w="1454" w:type="dxa"/>
            <w:shd w:val="clear" w:color="auto" w:fill="auto"/>
            <w:vAlign w:val="bottom"/>
          </w:tcPr>
          <w:p w:rsidR="00826E0F" w:rsidRPr="005D03C4" w:rsidRDefault="00826E0F" w:rsidP="005D03C4">
            <w:pPr>
              <w:pStyle w:val="SingleTxt"/>
              <w:tabs>
                <w:tab w:val="left" w:pos="288"/>
                <w:tab w:val="left" w:pos="576"/>
                <w:tab w:val="left" w:pos="864"/>
                <w:tab w:val="left" w:pos="1152"/>
              </w:tabs>
              <w:suppressAutoHyphens/>
              <w:spacing w:before="40" w:after="40" w:line="210" w:lineRule="exact"/>
              <w:ind w:left="0" w:right="43"/>
              <w:jc w:val="right"/>
              <w:rPr>
                <w:sz w:val="17"/>
                <w:lang w:val="fr-FR"/>
              </w:rPr>
            </w:pPr>
            <w:r w:rsidRPr="005D03C4">
              <w:rPr>
                <w:sz w:val="17"/>
                <w:lang w:val="fr-FR"/>
              </w:rPr>
              <w:t xml:space="preserve">20 000 </w:t>
            </w:r>
          </w:p>
        </w:tc>
      </w:tr>
      <w:tr w:rsidR="00826E0F" w:rsidRPr="005D03C4" w:rsidTr="005D03C4">
        <w:trPr>
          <w:trHeight w:val="255"/>
        </w:trPr>
        <w:tc>
          <w:tcPr>
            <w:tcW w:w="6401" w:type="dxa"/>
            <w:shd w:val="clear" w:color="auto" w:fill="auto"/>
            <w:vAlign w:val="bottom"/>
          </w:tcPr>
          <w:p w:rsidR="00826E0F" w:rsidRPr="005D03C4" w:rsidRDefault="00826E0F" w:rsidP="005D03C4">
            <w:pPr>
              <w:pStyle w:val="SingleTxt"/>
              <w:tabs>
                <w:tab w:val="left" w:pos="288"/>
                <w:tab w:val="left" w:pos="576"/>
                <w:tab w:val="left" w:pos="864"/>
                <w:tab w:val="left" w:pos="1152"/>
              </w:tabs>
              <w:suppressAutoHyphens/>
              <w:spacing w:before="40" w:after="40" w:line="210" w:lineRule="exact"/>
              <w:ind w:left="0" w:right="43"/>
              <w:rPr>
                <w:sz w:val="17"/>
                <w:lang w:val="fr-FR"/>
              </w:rPr>
            </w:pPr>
            <w:r w:rsidRPr="005D03C4">
              <w:rPr>
                <w:sz w:val="17"/>
                <w:lang w:val="fr-FR"/>
              </w:rPr>
              <w:t>Centre d</w:t>
            </w:r>
            <w:r w:rsidR="006645B6">
              <w:rPr>
                <w:sz w:val="17"/>
                <w:lang w:val="fr-FR"/>
              </w:rPr>
              <w:t>’</w:t>
            </w:r>
            <w:r w:rsidRPr="005D03C4">
              <w:rPr>
                <w:sz w:val="17"/>
                <w:lang w:val="fr-FR"/>
              </w:rPr>
              <w:t>éducation des femmes Granja Hogar (Bolivie)</w:t>
            </w:r>
          </w:p>
        </w:tc>
        <w:tc>
          <w:tcPr>
            <w:tcW w:w="755" w:type="dxa"/>
            <w:shd w:val="clear" w:color="auto" w:fill="auto"/>
            <w:vAlign w:val="bottom"/>
          </w:tcPr>
          <w:p w:rsidR="00826E0F" w:rsidRPr="005D03C4" w:rsidRDefault="00826E0F" w:rsidP="005D03C4">
            <w:pPr>
              <w:pStyle w:val="SingleTxt"/>
              <w:tabs>
                <w:tab w:val="left" w:pos="288"/>
                <w:tab w:val="left" w:pos="576"/>
                <w:tab w:val="left" w:pos="864"/>
                <w:tab w:val="left" w:pos="1152"/>
              </w:tabs>
              <w:suppressAutoHyphens/>
              <w:spacing w:before="40" w:after="40" w:line="210" w:lineRule="exact"/>
              <w:ind w:left="0" w:right="43"/>
              <w:jc w:val="right"/>
              <w:rPr>
                <w:sz w:val="17"/>
                <w:lang w:val="fr-FR"/>
              </w:rPr>
            </w:pPr>
            <w:r w:rsidRPr="005D03C4">
              <w:rPr>
                <w:sz w:val="17"/>
                <w:lang w:val="fr-FR"/>
              </w:rPr>
              <w:t>2009</w:t>
            </w:r>
          </w:p>
        </w:tc>
        <w:tc>
          <w:tcPr>
            <w:tcW w:w="1454" w:type="dxa"/>
            <w:shd w:val="clear" w:color="auto" w:fill="auto"/>
            <w:vAlign w:val="bottom"/>
          </w:tcPr>
          <w:p w:rsidR="00826E0F" w:rsidRPr="005D03C4" w:rsidRDefault="00826E0F" w:rsidP="005D03C4">
            <w:pPr>
              <w:pStyle w:val="SingleTxt"/>
              <w:tabs>
                <w:tab w:val="left" w:pos="288"/>
                <w:tab w:val="left" w:pos="576"/>
                <w:tab w:val="left" w:pos="864"/>
                <w:tab w:val="left" w:pos="1152"/>
              </w:tabs>
              <w:suppressAutoHyphens/>
              <w:spacing w:before="40" w:after="40" w:line="210" w:lineRule="exact"/>
              <w:ind w:left="0" w:right="43"/>
              <w:jc w:val="right"/>
              <w:rPr>
                <w:sz w:val="17"/>
                <w:lang w:val="fr-FR"/>
              </w:rPr>
            </w:pPr>
            <w:r w:rsidRPr="005D03C4">
              <w:rPr>
                <w:sz w:val="17"/>
                <w:lang w:val="fr-FR"/>
              </w:rPr>
              <w:t xml:space="preserve">100 000 </w:t>
            </w:r>
          </w:p>
        </w:tc>
      </w:tr>
      <w:tr w:rsidR="00826E0F" w:rsidRPr="005D03C4" w:rsidTr="005D03C4">
        <w:trPr>
          <w:trHeight w:val="255"/>
        </w:trPr>
        <w:tc>
          <w:tcPr>
            <w:tcW w:w="6401" w:type="dxa"/>
            <w:shd w:val="clear" w:color="auto" w:fill="auto"/>
            <w:vAlign w:val="bottom"/>
          </w:tcPr>
          <w:p w:rsidR="00826E0F" w:rsidRPr="005D03C4" w:rsidRDefault="00826E0F" w:rsidP="005D03C4">
            <w:pPr>
              <w:pStyle w:val="SingleTxt"/>
              <w:tabs>
                <w:tab w:val="left" w:pos="288"/>
                <w:tab w:val="left" w:pos="576"/>
                <w:tab w:val="left" w:pos="864"/>
                <w:tab w:val="left" w:pos="1152"/>
              </w:tabs>
              <w:suppressAutoHyphens/>
              <w:spacing w:before="40" w:after="40" w:line="210" w:lineRule="exact"/>
              <w:ind w:left="0" w:right="43"/>
              <w:rPr>
                <w:sz w:val="17"/>
                <w:lang w:val="fr-FR"/>
              </w:rPr>
            </w:pPr>
            <w:r w:rsidRPr="005D03C4">
              <w:rPr>
                <w:sz w:val="17"/>
                <w:lang w:val="fr-FR"/>
              </w:rPr>
              <w:t>Coopératives de femmes dans le secteur de la construction (Bolivie)</w:t>
            </w:r>
          </w:p>
        </w:tc>
        <w:tc>
          <w:tcPr>
            <w:tcW w:w="755" w:type="dxa"/>
            <w:shd w:val="clear" w:color="auto" w:fill="auto"/>
            <w:vAlign w:val="bottom"/>
          </w:tcPr>
          <w:p w:rsidR="00826E0F" w:rsidRPr="005D03C4" w:rsidRDefault="00826E0F" w:rsidP="005D03C4">
            <w:pPr>
              <w:pStyle w:val="SingleTxt"/>
              <w:tabs>
                <w:tab w:val="left" w:pos="288"/>
                <w:tab w:val="left" w:pos="576"/>
                <w:tab w:val="left" w:pos="864"/>
                <w:tab w:val="left" w:pos="1152"/>
              </w:tabs>
              <w:suppressAutoHyphens/>
              <w:spacing w:before="40" w:after="40" w:line="210" w:lineRule="exact"/>
              <w:ind w:left="0" w:right="43"/>
              <w:jc w:val="right"/>
              <w:rPr>
                <w:sz w:val="17"/>
                <w:lang w:val="fr-FR"/>
              </w:rPr>
            </w:pPr>
            <w:r w:rsidRPr="005D03C4">
              <w:rPr>
                <w:sz w:val="17"/>
                <w:lang w:val="fr-FR"/>
              </w:rPr>
              <w:t>2009</w:t>
            </w:r>
          </w:p>
        </w:tc>
        <w:tc>
          <w:tcPr>
            <w:tcW w:w="1454" w:type="dxa"/>
            <w:shd w:val="clear" w:color="auto" w:fill="auto"/>
            <w:vAlign w:val="bottom"/>
          </w:tcPr>
          <w:p w:rsidR="00826E0F" w:rsidRPr="005D03C4" w:rsidRDefault="00826E0F" w:rsidP="005D03C4">
            <w:pPr>
              <w:pStyle w:val="SingleTxt"/>
              <w:tabs>
                <w:tab w:val="left" w:pos="288"/>
                <w:tab w:val="left" w:pos="576"/>
                <w:tab w:val="left" w:pos="864"/>
                <w:tab w:val="left" w:pos="1152"/>
              </w:tabs>
              <w:suppressAutoHyphens/>
              <w:spacing w:before="40" w:after="40" w:line="210" w:lineRule="exact"/>
              <w:ind w:left="0" w:right="43"/>
              <w:jc w:val="right"/>
              <w:rPr>
                <w:sz w:val="17"/>
                <w:lang w:val="fr-FR"/>
              </w:rPr>
            </w:pPr>
            <w:r w:rsidRPr="005D03C4">
              <w:rPr>
                <w:sz w:val="17"/>
                <w:lang w:val="fr-FR"/>
              </w:rPr>
              <w:t xml:space="preserve">80 403 </w:t>
            </w:r>
          </w:p>
        </w:tc>
      </w:tr>
      <w:tr w:rsidR="00826E0F" w:rsidRPr="005D03C4" w:rsidTr="005D03C4">
        <w:trPr>
          <w:trHeight w:val="255"/>
        </w:trPr>
        <w:tc>
          <w:tcPr>
            <w:tcW w:w="6401" w:type="dxa"/>
            <w:shd w:val="clear" w:color="auto" w:fill="auto"/>
            <w:vAlign w:val="bottom"/>
          </w:tcPr>
          <w:p w:rsidR="00826E0F" w:rsidRPr="005D03C4" w:rsidRDefault="00826E0F" w:rsidP="005D03C4">
            <w:pPr>
              <w:pStyle w:val="SingleTxt"/>
              <w:tabs>
                <w:tab w:val="left" w:pos="288"/>
                <w:tab w:val="left" w:pos="576"/>
                <w:tab w:val="left" w:pos="864"/>
                <w:tab w:val="left" w:pos="1152"/>
              </w:tabs>
              <w:suppressAutoHyphens/>
              <w:spacing w:before="40" w:after="40" w:line="210" w:lineRule="exact"/>
              <w:ind w:left="0" w:right="43"/>
              <w:rPr>
                <w:sz w:val="17"/>
                <w:lang w:val="fr-FR"/>
              </w:rPr>
            </w:pPr>
            <w:r w:rsidRPr="005D03C4">
              <w:rPr>
                <w:sz w:val="17"/>
                <w:lang w:val="fr-FR"/>
              </w:rPr>
              <w:t>Centre des femmes de Lupane (Zimbabwe)</w:t>
            </w:r>
          </w:p>
        </w:tc>
        <w:tc>
          <w:tcPr>
            <w:tcW w:w="755" w:type="dxa"/>
            <w:shd w:val="clear" w:color="auto" w:fill="auto"/>
            <w:vAlign w:val="bottom"/>
          </w:tcPr>
          <w:p w:rsidR="00826E0F" w:rsidRPr="005D03C4" w:rsidRDefault="00826E0F" w:rsidP="005D03C4">
            <w:pPr>
              <w:pStyle w:val="SingleTxt"/>
              <w:tabs>
                <w:tab w:val="left" w:pos="288"/>
                <w:tab w:val="left" w:pos="576"/>
                <w:tab w:val="left" w:pos="864"/>
                <w:tab w:val="left" w:pos="1152"/>
              </w:tabs>
              <w:suppressAutoHyphens/>
              <w:spacing w:before="40" w:after="40" w:line="210" w:lineRule="exact"/>
              <w:ind w:left="0" w:right="43"/>
              <w:jc w:val="right"/>
              <w:rPr>
                <w:sz w:val="17"/>
                <w:lang w:val="fr-FR"/>
              </w:rPr>
            </w:pPr>
            <w:r w:rsidRPr="005D03C4">
              <w:rPr>
                <w:sz w:val="17"/>
                <w:lang w:val="fr-FR"/>
              </w:rPr>
              <w:t>2009</w:t>
            </w:r>
          </w:p>
        </w:tc>
        <w:tc>
          <w:tcPr>
            <w:tcW w:w="1454" w:type="dxa"/>
            <w:shd w:val="clear" w:color="auto" w:fill="auto"/>
            <w:vAlign w:val="bottom"/>
          </w:tcPr>
          <w:p w:rsidR="00826E0F" w:rsidRPr="005D03C4" w:rsidRDefault="00826E0F" w:rsidP="005D03C4">
            <w:pPr>
              <w:pStyle w:val="SingleTxt"/>
              <w:tabs>
                <w:tab w:val="left" w:pos="288"/>
                <w:tab w:val="left" w:pos="576"/>
                <w:tab w:val="left" w:pos="864"/>
                <w:tab w:val="left" w:pos="1152"/>
              </w:tabs>
              <w:suppressAutoHyphens/>
              <w:spacing w:before="40" w:after="40" w:line="210" w:lineRule="exact"/>
              <w:ind w:left="0" w:right="43"/>
              <w:jc w:val="right"/>
              <w:rPr>
                <w:sz w:val="17"/>
                <w:lang w:val="fr-FR"/>
              </w:rPr>
            </w:pPr>
            <w:r w:rsidRPr="005D03C4">
              <w:rPr>
                <w:sz w:val="17"/>
                <w:lang w:val="fr-FR"/>
              </w:rPr>
              <w:t xml:space="preserve">130 961 </w:t>
            </w:r>
          </w:p>
        </w:tc>
      </w:tr>
      <w:tr w:rsidR="00826E0F" w:rsidRPr="005D03C4" w:rsidTr="005D03C4">
        <w:trPr>
          <w:trHeight w:val="255"/>
        </w:trPr>
        <w:tc>
          <w:tcPr>
            <w:tcW w:w="6401" w:type="dxa"/>
            <w:shd w:val="clear" w:color="auto" w:fill="auto"/>
            <w:vAlign w:val="bottom"/>
          </w:tcPr>
          <w:p w:rsidR="00826E0F" w:rsidRPr="005D03C4" w:rsidRDefault="00826E0F" w:rsidP="005D03C4">
            <w:pPr>
              <w:pStyle w:val="SingleTxt"/>
              <w:tabs>
                <w:tab w:val="left" w:pos="288"/>
                <w:tab w:val="left" w:pos="576"/>
                <w:tab w:val="left" w:pos="864"/>
                <w:tab w:val="left" w:pos="1152"/>
              </w:tabs>
              <w:suppressAutoHyphens/>
              <w:spacing w:before="40" w:after="40" w:line="210" w:lineRule="exact"/>
              <w:ind w:left="0" w:right="43"/>
              <w:rPr>
                <w:sz w:val="17"/>
                <w:lang w:val="fr-FR"/>
              </w:rPr>
            </w:pPr>
            <w:r w:rsidRPr="005D03C4">
              <w:rPr>
                <w:sz w:val="17"/>
                <w:lang w:val="fr-FR"/>
              </w:rPr>
              <w:t>Contribution volontaire au budget général de l</w:t>
            </w:r>
            <w:r w:rsidR="006645B6">
              <w:rPr>
                <w:sz w:val="17"/>
                <w:lang w:val="fr-FR"/>
              </w:rPr>
              <w:t>’</w:t>
            </w:r>
            <w:r w:rsidRPr="005D03C4">
              <w:rPr>
                <w:sz w:val="17"/>
                <w:lang w:val="fr-FR"/>
              </w:rPr>
              <w:t>UNIFEM</w:t>
            </w:r>
          </w:p>
        </w:tc>
        <w:tc>
          <w:tcPr>
            <w:tcW w:w="755" w:type="dxa"/>
            <w:shd w:val="clear" w:color="auto" w:fill="auto"/>
            <w:vAlign w:val="bottom"/>
          </w:tcPr>
          <w:p w:rsidR="00826E0F" w:rsidRPr="005D03C4" w:rsidRDefault="00826E0F" w:rsidP="005D03C4">
            <w:pPr>
              <w:pStyle w:val="SingleTxt"/>
              <w:tabs>
                <w:tab w:val="left" w:pos="288"/>
                <w:tab w:val="left" w:pos="576"/>
                <w:tab w:val="left" w:pos="864"/>
                <w:tab w:val="left" w:pos="1152"/>
              </w:tabs>
              <w:suppressAutoHyphens/>
              <w:spacing w:before="40" w:after="40" w:line="210" w:lineRule="exact"/>
              <w:ind w:left="0" w:right="43"/>
              <w:jc w:val="right"/>
              <w:rPr>
                <w:sz w:val="17"/>
                <w:lang w:val="fr-FR"/>
              </w:rPr>
            </w:pPr>
            <w:r w:rsidRPr="005D03C4">
              <w:rPr>
                <w:sz w:val="17"/>
                <w:lang w:val="fr-FR"/>
              </w:rPr>
              <w:t>2009</w:t>
            </w:r>
          </w:p>
        </w:tc>
        <w:tc>
          <w:tcPr>
            <w:tcW w:w="1454" w:type="dxa"/>
            <w:shd w:val="clear" w:color="auto" w:fill="auto"/>
            <w:vAlign w:val="bottom"/>
          </w:tcPr>
          <w:p w:rsidR="00826E0F" w:rsidRPr="005D03C4" w:rsidRDefault="00826E0F" w:rsidP="005D03C4">
            <w:pPr>
              <w:pStyle w:val="SingleTxt"/>
              <w:tabs>
                <w:tab w:val="left" w:pos="288"/>
                <w:tab w:val="left" w:pos="576"/>
                <w:tab w:val="left" w:pos="864"/>
                <w:tab w:val="left" w:pos="1152"/>
              </w:tabs>
              <w:suppressAutoHyphens/>
              <w:spacing w:before="40" w:after="40" w:line="210" w:lineRule="exact"/>
              <w:ind w:left="0" w:right="43"/>
              <w:jc w:val="right"/>
              <w:rPr>
                <w:sz w:val="17"/>
                <w:lang w:val="fr-FR"/>
              </w:rPr>
            </w:pPr>
            <w:r w:rsidRPr="005D03C4">
              <w:rPr>
                <w:sz w:val="17"/>
                <w:lang w:val="fr-FR"/>
              </w:rPr>
              <w:t xml:space="preserve">15 000 </w:t>
            </w:r>
          </w:p>
        </w:tc>
      </w:tr>
      <w:tr w:rsidR="00826E0F" w:rsidRPr="005D03C4" w:rsidTr="005D03C4">
        <w:trPr>
          <w:trHeight w:val="255"/>
        </w:trPr>
        <w:tc>
          <w:tcPr>
            <w:tcW w:w="6401" w:type="dxa"/>
            <w:shd w:val="clear" w:color="auto" w:fill="auto"/>
            <w:vAlign w:val="bottom"/>
          </w:tcPr>
          <w:p w:rsidR="00826E0F" w:rsidRPr="005D03C4" w:rsidRDefault="00826E0F" w:rsidP="005D03C4">
            <w:pPr>
              <w:pStyle w:val="SingleTxt"/>
              <w:tabs>
                <w:tab w:val="left" w:pos="288"/>
                <w:tab w:val="left" w:pos="576"/>
                <w:tab w:val="left" w:pos="864"/>
                <w:tab w:val="left" w:pos="1152"/>
              </w:tabs>
              <w:suppressAutoHyphens/>
              <w:spacing w:before="40" w:after="40" w:line="210" w:lineRule="exact"/>
              <w:ind w:left="0" w:right="43"/>
              <w:rPr>
                <w:sz w:val="17"/>
                <w:lang w:val="fr-FR"/>
              </w:rPr>
            </w:pPr>
            <w:r w:rsidRPr="005D03C4">
              <w:rPr>
                <w:sz w:val="17"/>
                <w:lang w:val="fr-FR"/>
              </w:rPr>
              <w:t>IPTK – Femmes entrepreneurs (Bolivie)</w:t>
            </w:r>
          </w:p>
        </w:tc>
        <w:tc>
          <w:tcPr>
            <w:tcW w:w="755" w:type="dxa"/>
            <w:shd w:val="clear" w:color="auto" w:fill="auto"/>
            <w:vAlign w:val="bottom"/>
          </w:tcPr>
          <w:p w:rsidR="00826E0F" w:rsidRPr="005D03C4" w:rsidRDefault="00826E0F" w:rsidP="005D03C4">
            <w:pPr>
              <w:pStyle w:val="SingleTxt"/>
              <w:tabs>
                <w:tab w:val="left" w:pos="288"/>
                <w:tab w:val="left" w:pos="576"/>
                <w:tab w:val="left" w:pos="864"/>
                <w:tab w:val="left" w:pos="1152"/>
              </w:tabs>
              <w:suppressAutoHyphens/>
              <w:spacing w:before="40" w:after="40" w:line="210" w:lineRule="exact"/>
              <w:ind w:left="0" w:right="43"/>
              <w:jc w:val="right"/>
              <w:rPr>
                <w:sz w:val="17"/>
                <w:lang w:val="fr-FR"/>
              </w:rPr>
            </w:pPr>
            <w:r w:rsidRPr="005D03C4">
              <w:rPr>
                <w:sz w:val="17"/>
                <w:lang w:val="fr-FR"/>
              </w:rPr>
              <w:t>2009</w:t>
            </w:r>
          </w:p>
        </w:tc>
        <w:tc>
          <w:tcPr>
            <w:tcW w:w="1454" w:type="dxa"/>
            <w:shd w:val="clear" w:color="auto" w:fill="auto"/>
            <w:vAlign w:val="bottom"/>
          </w:tcPr>
          <w:p w:rsidR="00826E0F" w:rsidRPr="005D03C4" w:rsidRDefault="00826E0F" w:rsidP="005D03C4">
            <w:pPr>
              <w:pStyle w:val="SingleTxt"/>
              <w:tabs>
                <w:tab w:val="left" w:pos="288"/>
                <w:tab w:val="left" w:pos="576"/>
                <w:tab w:val="left" w:pos="864"/>
                <w:tab w:val="left" w:pos="1152"/>
              </w:tabs>
              <w:suppressAutoHyphens/>
              <w:spacing w:before="40" w:after="40" w:line="210" w:lineRule="exact"/>
              <w:ind w:left="0" w:right="43"/>
              <w:jc w:val="right"/>
              <w:rPr>
                <w:sz w:val="17"/>
                <w:lang w:val="fr-FR"/>
              </w:rPr>
            </w:pPr>
            <w:r w:rsidRPr="005D03C4">
              <w:rPr>
                <w:sz w:val="17"/>
                <w:lang w:val="fr-FR"/>
              </w:rPr>
              <w:t>26 356.00</w:t>
            </w:r>
          </w:p>
        </w:tc>
      </w:tr>
      <w:tr w:rsidR="00826E0F" w:rsidRPr="005D03C4" w:rsidTr="003D3458">
        <w:trPr>
          <w:trHeight w:val="255"/>
        </w:trPr>
        <w:tc>
          <w:tcPr>
            <w:tcW w:w="6401" w:type="dxa"/>
            <w:tcBorders>
              <w:bottom w:val="single" w:sz="4" w:space="0" w:color="auto"/>
            </w:tcBorders>
            <w:shd w:val="clear" w:color="auto" w:fill="auto"/>
            <w:vAlign w:val="bottom"/>
          </w:tcPr>
          <w:p w:rsidR="00826E0F" w:rsidRPr="005D03C4" w:rsidRDefault="00826E0F" w:rsidP="005D03C4">
            <w:pPr>
              <w:pStyle w:val="SingleTxt"/>
              <w:tabs>
                <w:tab w:val="left" w:pos="288"/>
                <w:tab w:val="left" w:pos="576"/>
                <w:tab w:val="left" w:pos="864"/>
                <w:tab w:val="left" w:pos="1152"/>
              </w:tabs>
              <w:suppressAutoHyphens/>
              <w:spacing w:before="40" w:after="40" w:line="210" w:lineRule="exact"/>
              <w:ind w:left="0" w:right="43"/>
              <w:rPr>
                <w:sz w:val="17"/>
                <w:lang w:val="fr-FR"/>
              </w:rPr>
            </w:pPr>
            <w:r w:rsidRPr="005D03C4">
              <w:rPr>
                <w:sz w:val="17"/>
                <w:lang w:val="fr-FR"/>
              </w:rPr>
              <w:t>Programme d</w:t>
            </w:r>
            <w:r w:rsidR="006645B6">
              <w:rPr>
                <w:sz w:val="17"/>
                <w:lang w:val="fr-FR"/>
              </w:rPr>
              <w:t>’</w:t>
            </w:r>
            <w:r w:rsidRPr="005D03C4">
              <w:rPr>
                <w:sz w:val="17"/>
                <w:lang w:val="fr-FR"/>
              </w:rPr>
              <w:t>appui aux femmes dans la province de Parwan (Afghanistan)</w:t>
            </w:r>
          </w:p>
        </w:tc>
        <w:tc>
          <w:tcPr>
            <w:tcW w:w="755" w:type="dxa"/>
            <w:tcBorders>
              <w:bottom w:val="single" w:sz="4" w:space="0" w:color="auto"/>
            </w:tcBorders>
            <w:shd w:val="clear" w:color="auto" w:fill="auto"/>
            <w:vAlign w:val="bottom"/>
          </w:tcPr>
          <w:p w:rsidR="00826E0F" w:rsidRPr="005D03C4" w:rsidRDefault="00826E0F" w:rsidP="005D03C4">
            <w:pPr>
              <w:pStyle w:val="SingleTxt"/>
              <w:tabs>
                <w:tab w:val="left" w:pos="288"/>
                <w:tab w:val="left" w:pos="576"/>
                <w:tab w:val="left" w:pos="864"/>
                <w:tab w:val="left" w:pos="1152"/>
              </w:tabs>
              <w:suppressAutoHyphens/>
              <w:spacing w:before="40" w:after="40" w:line="210" w:lineRule="exact"/>
              <w:ind w:left="0" w:right="43"/>
              <w:jc w:val="right"/>
              <w:rPr>
                <w:sz w:val="17"/>
                <w:lang w:val="fr-FR"/>
              </w:rPr>
            </w:pPr>
            <w:r w:rsidRPr="005D03C4">
              <w:rPr>
                <w:sz w:val="17"/>
                <w:lang w:val="fr-FR"/>
              </w:rPr>
              <w:t>2009</w:t>
            </w:r>
          </w:p>
        </w:tc>
        <w:tc>
          <w:tcPr>
            <w:tcW w:w="1454" w:type="dxa"/>
            <w:tcBorders>
              <w:bottom w:val="single" w:sz="4" w:space="0" w:color="auto"/>
            </w:tcBorders>
            <w:shd w:val="clear" w:color="auto" w:fill="auto"/>
            <w:vAlign w:val="bottom"/>
          </w:tcPr>
          <w:p w:rsidR="00826E0F" w:rsidRPr="005D03C4" w:rsidRDefault="00826E0F" w:rsidP="005D03C4">
            <w:pPr>
              <w:pStyle w:val="SingleTxt"/>
              <w:tabs>
                <w:tab w:val="left" w:pos="288"/>
                <w:tab w:val="left" w:pos="576"/>
                <w:tab w:val="left" w:pos="864"/>
                <w:tab w:val="left" w:pos="1152"/>
              </w:tabs>
              <w:suppressAutoHyphens/>
              <w:spacing w:before="40" w:after="40" w:line="210" w:lineRule="exact"/>
              <w:ind w:left="0" w:right="43"/>
              <w:jc w:val="right"/>
              <w:rPr>
                <w:sz w:val="17"/>
                <w:lang w:val="fr-FR"/>
              </w:rPr>
            </w:pPr>
            <w:r w:rsidRPr="005D03C4">
              <w:rPr>
                <w:sz w:val="17"/>
                <w:lang w:val="fr-FR"/>
              </w:rPr>
              <w:t xml:space="preserve">127 189 </w:t>
            </w:r>
          </w:p>
        </w:tc>
      </w:tr>
      <w:tr w:rsidR="00826E0F" w:rsidRPr="005D03C4" w:rsidTr="003D3458">
        <w:trPr>
          <w:trHeight w:val="255"/>
        </w:trPr>
        <w:tc>
          <w:tcPr>
            <w:tcW w:w="6401" w:type="dxa"/>
            <w:tcBorders>
              <w:top w:val="single" w:sz="4" w:space="0" w:color="auto"/>
              <w:bottom w:val="single" w:sz="12" w:space="0" w:color="auto"/>
            </w:tcBorders>
            <w:shd w:val="clear" w:color="auto" w:fill="auto"/>
            <w:vAlign w:val="bottom"/>
          </w:tcPr>
          <w:p w:rsidR="00826E0F" w:rsidRPr="005D03C4" w:rsidRDefault="005D03C4" w:rsidP="005D03C4">
            <w:pPr>
              <w:pStyle w:val="SingleTxt"/>
              <w:tabs>
                <w:tab w:val="left" w:pos="288"/>
                <w:tab w:val="left" w:pos="576"/>
                <w:tab w:val="left" w:pos="864"/>
                <w:tab w:val="left" w:pos="1152"/>
              </w:tabs>
              <w:suppressAutoHyphens/>
              <w:spacing w:before="80" w:after="80" w:line="210" w:lineRule="exact"/>
              <w:ind w:left="0" w:right="43"/>
              <w:rPr>
                <w:b/>
                <w:sz w:val="17"/>
                <w:lang w:val="fr-FR"/>
              </w:rPr>
            </w:pPr>
            <w:r>
              <w:rPr>
                <w:b/>
                <w:sz w:val="17"/>
                <w:lang w:val="fr-FR"/>
              </w:rPr>
              <w:tab/>
            </w:r>
            <w:r w:rsidR="00826E0F" w:rsidRPr="005D03C4">
              <w:rPr>
                <w:b/>
                <w:sz w:val="17"/>
                <w:lang w:val="fr-FR"/>
              </w:rPr>
              <w:t>Total</w:t>
            </w:r>
          </w:p>
        </w:tc>
        <w:tc>
          <w:tcPr>
            <w:tcW w:w="755" w:type="dxa"/>
            <w:tcBorders>
              <w:top w:val="single" w:sz="4" w:space="0" w:color="auto"/>
              <w:bottom w:val="single" w:sz="12" w:space="0" w:color="auto"/>
            </w:tcBorders>
            <w:shd w:val="clear" w:color="auto" w:fill="auto"/>
            <w:vAlign w:val="bottom"/>
          </w:tcPr>
          <w:p w:rsidR="00826E0F" w:rsidRPr="005D03C4" w:rsidRDefault="00826E0F" w:rsidP="005D03C4">
            <w:pPr>
              <w:pStyle w:val="SingleTxt"/>
              <w:tabs>
                <w:tab w:val="left" w:pos="288"/>
                <w:tab w:val="left" w:pos="576"/>
                <w:tab w:val="left" w:pos="864"/>
                <w:tab w:val="left" w:pos="1152"/>
              </w:tabs>
              <w:suppressAutoHyphens/>
              <w:spacing w:before="80" w:after="80" w:line="210" w:lineRule="exact"/>
              <w:ind w:left="0" w:right="43"/>
              <w:jc w:val="right"/>
              <w:rPr>
                <w:b/>
                <w:sz w:val="17"/>
                <w:lang w:val="fr-FR"/>
              </w:rPr>
            </w:pPr>
          </w:p>
        </w:tc>
        <w:tc>
          <w:tcPr>
            <w:tcW w:w="1454" w:type="dxa"/>
            <w:tcBorders>
              <w:top w:val="single" w:sz="4" w:space="0" w:color="auto"/>
              <w:bottom w:val="single" w:sz="12" w:space="0" w:color="auto"/>
            </w:tcBorders>
            <w:shd w:val="clear" w:color="auto" w:fill="auto"/>
            <w:vAlign w:val="bottom"/>
          </w:tcPr>
          <w:p w:rsidR="00826E0F" w:rsidRPr="005D03C4" w:rsidRDefault="00826E0F" w:rsidP="005D03C4">
            <w:pPr>
              <w:pStyle w:val="SingleTxt"/>
              <w:tabs>
                <w:tab w:val="left" w:pos="288"/>
                <w:tab w:val="left" w:pos="576"/>
                <w:tab w:val="left" w:pos="864"/>
                <w:tab w:val="left" w:pos="1152"/>
              </w:tabs>
              <w:suppressAutoHyphens/>
              <w:spacing w:before="80" w:after="80" w:line="210" w:lineRule="exact"/>
              <w:ind w:left="0" w:right="43"/>
              <w:jc w:val="right"/>
              <w:rPr>
                <w:b/>
                <w:sz w:val="17"/>
                <w:lang w:val="fr-FR"/>
              </w:rPr>
            </w:pPr>
            <w:r w:rsidRPr="005D03C4">
              <w:rPr>
                <w:b/>
                <w:sz w:val="17"/>
                <w:lang w:val="fr-FR"/>
              </w:rPr>
              <w:t xml:space="preserve">3 121 993 </w:t>
            </w:r>
          </w:p>
        </w:tc>
      </w:tr>
    </w:tbl>
    <w:p w:rsidR="00826E0F" w:rsidRPr="005D03C4" w:rsidRDefault="005D03C4" w:rsidP="005D03C4">
      <w:pPr>
        <w:pStyle w:val="SingleTxt"/>
        <w:spacing w:after="0" w:line="240" w:lineRule="auto"/>
        <w:rPr>
          <w:lang w:val="fr-FR"/>
        </w:rPr>
      </w:pPr>
      <w:r>
        <w:rPr>
          <w:noProof/>
          <w:w w:val="100"/>
          <w:lang w:val="en-US"/>
        </w:rPr>
        <w:pict>
          <v:line id="_x0000_s1155" style="position:absolute;left:0;text-align:left;z-index:3;mso-position-horizontal-relative:page;mso-position-vertical-relative:text" from="270pt,24pt" to="342pt,24pt" strokeweight=".25pt">
            <w10:wrap anchorx="page"/>
          </v:line>
        </w:pict>
      </w:r>
    </w:p>
    <w:sectPr w:rsidR="00826E0F" w:rsidRPr="005D03C4" w:rsidSect="007C6982">
      <w:headerReference w:type="even" r:id="rId15"/>
      <w:headerReference w:type="default" r:id="rId16"/>
      <w:footerReference w:type="even" r:id="rId17"/>
      <w:headerReference w:type="first" r:id="rId18"/>
      <w:type w:val="continuous"/>
      <w:pgSz w:w="12240" w:h="15840" w:code="1"/>
      <w:pgMar w:top="1742" w:right="1195" w:bottom="1901" w:left="1195" w:header="576" w:footer="1037"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0-06-09T11:29:00Z" w:initials="Start">
    <w:p w:rsidR="00CF5EB7" w:rsidRDefault="00CF5EB7">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NO&gt;&gt;N1028878f&lt;&lt;ODS JOB NO&gt;&gt;</w:t>
      </w:r>
    </w:p>
    <w:p w:rsidR="00CF5EB7" w:rsidRDefault="00CF5EB7">
      <w:pPr>
        <w:pStyle w:val="CommentText"/>
      </w:pPr>
      <w:r>
        <w:t>&lt;&lt;ODS DOC SYMBOL1&gt;&gt;CEDAW/C/LIE/4&lt;&lt;ODS DOC SYMBOL1&gt;&gt;</w:t>
      </w:r>
    </w:p>
    <w:p w:rsidR="00CF5EB7" w:rsidRDefault="00CF5EB7">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0F8" w:rsidRDefault="000900F8" w:rsidP="006B4497">
      <w:pPr>
        <w:pStyle w:val="Footer"/>
      </w:pPr>
      <w:r>
        <w:separator/>
      </w:r>
    </w:p>
  </w:endnote>
  <w:endnote w:type="continuationSeparator" w:id="0">
    <w:p w:rsidR="000900F8" w:rsidRDefault="000900F8" w:rsidP="006B4497">
      <w:pPr>
        <w:pStyle w:val="Foot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ridien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CellMar>
        <w:left w:w="70" w:type="dxa"/>
        <w:right w:w="70" w:type="dxa"/>
      </w:tblCellMar>
      <w:tblLook w:val="0000" w:firstRow="0" w:lastRow="0" w:firstColumn="0" w:lastColumn="0" w:noHBand="0" w:noVBand="0"/>
    </w:tblPr>
    <w:tblGrid>
      <w:gridCol w:w="4995"/>
      <w:gridCol w:w="4995"/>
    </w:tblGrid>
    <w:tr w:rsidR="006645B6" w:rsidTr="006B4497">
      <w:tblPrEx>
        <w:tblCellMar>
          <w:top w:w="0" w:type="dxa"/>
          <w:bottom w:w="0" w:type="dxa"/>
        </w:tblCellMar>
      </w:tblPrEx>
      <w:tc>
        <w:tcPr>
          <w:tcW w:w="4995" w:type="dxa"/>
          <w:shd w:val="clear" w:color="auto" w:fill="auto"/>
        </w:tcPr>
        <w:p w:rsidR="006645B6" w:rsidRPr="006B4497" w:rsidRDefault="006645B6" w:rsidP="006B4497">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3A23C9">
            <w:rPr>
              <w:b w:val="0"/>
              <w:w w:val="103"/>
              <w:sz w:val="14"/>
            </w:rPr>
            <w:t>10-28878</w:t>
          </w:r>
          <w:r>
            <w:rPr>
              <w:b w:val="0"/>
              <w:w w:val="103"/>
              <w:sz w:val="14"/>
            </w:rPr>
            <w:fldChar w:fldCharType="end"/>
          </w:r>
        </w:p>
      </w:tc>
      <w:tc>
        <w:tcPr>
          <w:tcW w:w="4995" w:type="dxa"/>
          <w:shd w:val="clear" w:color="auto" w:fill="auto"/>
        </w:tcPr>
        <w:p w:rsidR="006645B6" w:rsidRPr="006B4497" w:rsidRDefault="006645B6" w:rsidP="006B4497">
          <w:pPr>
            <w:pStyle w:val="Footer"/>
            <w:rPr>
              <w:w w:val="103"/>
            </w:rPr>
          </w:pPr>
          <w:r>
            <w:rPr>
              <w:w w:val="103"/>
            </w:rPr>
            <w:fldChar w:fldCharType="begin"/>
          </w:r>
          <w:r>
            <w:rPr>
              <w:w w:val="103"/>
            </w:rPr>
            <w:instrText xml:space="preserve"> PAGE  \* MERGEFORMAT </w:instrText>
          </w:r>
          <w:r>
            <w:rPr>
              <w:w w:val="103"/>
            </w:rPr>
            <w:fldChar w:fldCharType="separate"/>
          </w:r>
          <w:r>
            <w:rPr>
              <w:w w:val="103"/>
            </w:rPr>
            <w:t>44</w:t>
          </w:r>
          <w:r>
            <w:rPr>
              <w:w w:val="103"/>
            </w:rPr>
            <w:fldChar w:fldCharType="end"/>
          </w:r>
        </w:p>
      </w:tc>
    </w:tr>
  </w:tbl>
  <w:p w:rsidR="006645B6" w:rsidRPr="006B4497" w:rsidRDefault="006645B6" w:rsidP="006B44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CellMar>
        <w:left w:w="70" w:type="dxa"/>
        <w:right w:w="70" w:type="dxa"/>
      </w:tblCellMar>
      <w:tblLook w:val="0000" w:firstRow="0" w:lastRow="0" w:firstColumn="0" w:lastColumn="0" w:noHBand="0" w:noVBand="0"/>
    </w:tblPr>
    <w:tblGrid>
      <w:gridCol w:w="4995"/>
      <w:gridCol w:w="4995"/>
    </w:tblGrid>
    <w:tr w:rsidR="006645B6" w:rsidTr="006B4497">
      <w:tblPrEx>
        <w:tblCellMar>
          <w:top w:w="0" w:type="dxa"/>
          <w:bottom w:w="0" w:type="dxa"/>
        </w:tblCellMar>
      </w:tblPrEx>
      <w:tc>
        <w:tcPr>
          <w:tcW w:w="4995" w:type="dxa"/>
          <w:shd w:val="clear" w:color="auto" w:fill="auto"/>
        </w:tcPr>
        <w:p w:rsidR="006645B6" w:rsidRPr="006B4497" w:rsidRDefault="006645B6" w:rsidP="006B4497">
          <w:pPr>
            <w:pStyle w:val="Footer"/>
            <w:jc w:val="right"/>
            <w:rPr>
              <w:w w:val="103"/>
            </w:rPr>
          </w:pPr>
          <w:r>
            <w:rPr>
              <w:w w:val="103"/>
            </w:rPr>
            <w:fldChar w:fldCharType="begin"/>
          </w:r>
          <w:r>
            <w:rPr>
              <w:w w:val="103"/>
            </w:rPr>
            <w:instrText xml:space="preserve"> PAGE  \* MERGEFORMAT </w:instrText>
          </w:r>
          <w:r>
            <w:rPr>
              <w:w w:val="103"/>
            </w:rPr>
            <w:fldChar w:fldCharType="separate"/>
          </w:r>
          <w:r w:rsidR="00ED17B0">
            <w:rPr>
              <w:w w:val="103"/>
            </w:rPr>
            <w:t>59</w:t>
          </w:r>
          <w:r>
            <w:rPr>
              <w:w w:val="103"/>
            </w:rPr>
            <w:fldChar w:fldCharType="end"/>
          </w:r>
        </w:p>
      </w:tc>
      <w:tc>
        <w:tcPr>
          <w:tcW w:w="4995" w:type="dxa"/>
          <w:shd w:val="clear" w:color="auto" w:fill="auto"/>
        </w:tcPr>
        <w:p w:rsidR="006645B6" w:rsidRPr="006B4497" w:rsidRDefault="006645B6" w:rsidP="006B4497">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3A23C9">
            <w:rPr>
              <w:b w:val="0"/>
              <w:w w:val="103"/>
              <w:sz w:val="14"/>
            </w:rPr>
            <w:t>10-28878</w:t>
          </w:r>
          <w:r>
            <w:rPr>
              <w:b w:val="0"/>
              <w:w w:val="103"/>
              <w:sz w:val="14"/>
            </w:rPr>
            <w:fldChar w:fldCharType="end"/>
          </w:r>
        </w:p>
      </w:tc>
    </w:tr>
  </w:tbl>
  <w:p w:rsidR="006645B6" w:rsidRPr="006B4497" w:rsidRDefault="006645B6" w:rsidP="006B449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D8F" w:rsidRDefault="00B73D8F">
    <w:pPr>
      <w:pStyle w:val="Footer"/>
    </w:pPr>
  </w:p>
  <w:p w:rsidR="00B73D8F" w:rsidRDefault="00B73D8F" w:rsidP="00B73D8F">
    <w:pPr>
      <w:spacing w:line="240" w:lineRule="auto"/>
    </w:pPr>
    <w:r>
      <w:t>10-28878X (F)    240510    090610</w:t>
    </w:r>
  </w:p>
  <w:p w:rsidR="006645B6" w:rsidRPr="00B73D8F" w:rsidRDefault="00B73D8F" w:rsidP="00B73D8F">
    <w:pPr>
      <w:spacing w:before="80" w:line="210" w:lineRule="exact"/>
      <w:rPr>
        <w:rFonts w:ascii="Barcode 3 of 9 by request" w:hAnsi="Barcode 3 of 9 by request"/>
        <w:w w:val="100"/>
        <w:sz w:val="24"/>
      </w:rPr>
    </w:pPr>
    <w:r>
      <w:rPr>
        <w:rFonts w:ascii="Barcode 3 of 9 by request" w:hAnsi="Barcode 3 of 9 by request"/>
        <w:w w:val="100"/>
        <w:sz w:val="24"/>
      </w:rPr>
      <w:t>*1028878*</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6645B6">
      <w:tblPrEx>
        <w:tblCellMar>
          <w:top w:w="0" w:type="dxa"/>
          <w:bottom w:w="0" w:type="dxa"/>
        </w:tblCellMar>
      </w:tblPrEx>
      <w:tc>
        <w:tcPr>
          <w:tcW w:w="5033" w:type="dxa"/>
          <w:shd w:val="clear" w:color="auto" w:fill="auto"/>
        </w:tcPr>
        <w:p w:rsidR="006645B6" w:rsidRPr="002F1228" w:rsidRDefault="006645B6">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3A23C9">
            <w:rPr>
              <w:b w:val="0"/>
              <w:w w:val="103"/>
              <w:sz w:val="14"/>
            </w:rPr>
            <w:t>10-28878</w:t>
          </w:r>
          <w:r>
            <w:rPr>
              <w:b w:val="0"/>
              <w:w w:val="103"/>
              <w:sz w:val="14"/>
            </w:rPr>
            <w:fldChar w:fldCharType="end"/>
          </w:r>
        </w:p>
      </w:tc>
      <w:tc>
        <w:tcPr>
          <w:tcW w:w="5033" w:type="dxa"/>
          <w:shd w:val="clear" w:color="auto" w:fill="auto"/>
        </w:tcPr>
        <w:p w:rsidR="006645B6" w:rsidRPr="002F1228" w:rsidRDefault="006645B6">
          <w:pPr>
            <w:pStyle w:val="Footer"/>
            <w:rPr>
              <w:w w:val="103"/>
            </w:rPr>
          </w:pPr>
          <w:r>
            <w:rPr>
              <w:w w:val="103"/>
            </w:rPr>
            <w:fldChar w:fldCharType="begin"/>
          </w:r>
          <w:r>
            <w:rPr>
              <w:w w:val="103"/>
            </w:rPr>
            <w:instrText xml:space="preserve"> PAGE  \* MERGEFORMAT </w:instrText>
          </w:r>
          <w:r>
            <w:rPr>
              <w:w w:val="103"/>
            </w:rPr>
            <w:fldChar w:fldCharType="separate"/>
          </w:r>
          <w:r w:rsidR="00ED17B0">
            <w:rPr>
              <w:w w:val="103"/>
            </w:rPr>
            <w:t>60</w:t>
          </w:r>
          <w:r>
            <w:rPr>
              <w:w w:val="103"/>
            </w:rPr>
            <w:fldChar w:fldCharType="end"/>
          </w:r>
        </w:p>
      </w:tc>
    </w:tr>
  </w:tbl>
  <w:p w:rsidR="006645B6" w:rsidRPr="002F1228" w:rsidRDefault="006645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0F8" w:rsidRPr="00A03470" w:rsidRDefault="000900F8" w:rsidP="00A03470">
      <w:pPr>
        <w:pStyle w:val="Footer"/>
        <w:spacing w:after="80"/>
        <w:ind w:left="792"/>
        <w:rPr>
          <w:sz w:val="16"/>
        </w:rPr>
      </w:pPr>
      <w:r w:rsidRPr="00A03470">
        <w:rPr>
          <w:sz w:val="16"/>
        </w:rPr>
        <w:t>__________________</w:t>
      </w:r>
    </w:p>
  </w:footnote>
  <w:footnote w:type="continuationSeparator" w:id="0">
    <w:p w:rsidR="000900F8" w:rsidRPr="00A03470" w:rsidRDefault="000900F8" w:rsidP="00A03470">
      <w:pPr>
        <w:pStyle w:val="Footer"/>
        <w:spacing w:after="80"/>
        <w:ind w:left="792"/>
        <w:rPr>
          <w:sz w:val="16"/>
        </w:rPr>
      </w:pPr>
      <w:r w:rsidRPr="00A03470">
        <w:rPr>
          <w:sz w:val="16"/>
        </w:rPr>
        <w:t>__________________</w:t>
      </w:r>
    </w:p>
  </w:footnote>
  <w:footnote w:id="1">
    <w:p w:rsidR="006645B6" w:rsidRPr="00FC41C9" w:rsidRDefault="00A03470" w:rsidP="00A03470">
      <w:pPr>
        <w:tabs>
          <w:tab w:val="right" w:pos="1195"/>
          <w:tab w:val="left" w:pos="1267"/>
          <w:tab w:val="left" w:pos="1742"/>
          <w:tab w:val="left" w:pos="2218"/>
          <w:tab w:val="left" w:pos="2693"/>
        </w:tabs>
        <w:ind w:left="1267" w:right="1260" w:hanging="432"/>
        <w:rPr>
          <w:lang w:val="fr-FR"/>
        </w:rPr>
      </w:pPr>
      <w:r>
        <w:rPr>
          <w:lang w:val="fr-FR"/>
        </w:rPr>
        <w:tab/>
      </w:r>
      <w:r w:rsidR="006645B6" w:rsidRPr="00751E5D">
        <w:rPr>
          <w:rStyle w:val="FootnoteCharacters"/>
        </w:rPr>
        <w:footnoteRef/>
      </w:r>
      <w:r w:rsidR="006645B6" w:rsidRPr="00FC41C9">
        <w:rPr>
          <w:lang w:val="fr-FR"/>
        </w:rPr>
        <w:tab/>
      </w:r>
      <w:r w:rsidR="006645B6" w:rsidRPr="00A03470">
        <w:rPr>
          <w:sz w:val="17"/>
          <w:szCs w:val="17"/>
          <w:lang w:val="fr-FR"/>
        </w:rPr>
        <w:t>L’espace économique européen (EEE) comprend les 27 États membres de l’Union européenne et trois États membres del’AELE (Islande, Liechtenstein et Norvège)</w:t>
      </w:r>
      <w:r w:rsidR="006645B6" w:rsidRPr="00FC41C9">
        <w:rPr>
          <w:lang w:val="fr-FR"/>
        </w:rPr>
        <w:t xml:space="preserve">. </w:t>
      </w:r>
    </w:p>
  </w:footnote>
  <w:footnote w:id="2">
    <w:p w:rsidR="006645B6" w:rsidRPr="00FE61EC" w:rsidRDefault="00F65ED6" w:rsidP="00A03470">
      <w:pPr>
        <w:tabs>
          <w:tab w:val="right" w:pos="1195"/>
          <w:tab w:val="left" w:pos="1267"/>
          <w:tab w:val="left" w:pos="1742"/>
          <w:tab w:val="left" w:pos="2218"/>
          <w:tab w:val="left" w:pos="2693"/>
        </w:tabs>
        <w:ind w:left="1267" w:right="1260" w:hanging="432"/>
        <w:rPr>
          <w:lang w:val="fr-FR"/>
        </w:rPr>
      </w:pPr>
      <w:r>
        <w:rPr>
          <w:lang w:val="fr-FR"/>
        </w:rPr>
        <w:tab/>
      </w:r>
      <w:r w:rsidR="006645B6" w:rsidRPr="00751E5D">
        <w:rPr>
          <w:rStyle w:val="FootnoteCharacters"/>
        </w:rPr>
        <w:footnoteRef/>
      </w:r>
      <w:r w:rsidR="006645B6" w:rsidRPr="00FE61EC">
        <w:rPr>
          <w:lang w:val="fr-FR"/>
        </w:rPr>
        <w:tab/>
        <w:t xml:space="preserve"> CEDH, PIDCP, CEDAW, Comité contre la torture, </w:t>
      </w:r>
      <w:r w:rsidR="006645B6">
        <w:rPr>
          <w:lang w:val="fr-FR"/>
        </w:rPr>
        <w:t>CIEDR</w:t>
      </w:r>
      <w:r w:rsidR="006645B6" w:rsidRPr="00FE61EC">
        <w:rPr>
          <w:lang w:val="fr-FR"/>
        </w:rPr>
        <w:t>.</w:t>
      </w:r>
    </w:p>
  </w:footnote>
  <w:footnote w:id="3">
    <w:p w:rsidR="006645B6" w:rsidRPr="004D6367" w:rsidRDefault="00A03470" w:rsidP="00A03470">
      <w:pPr>
        <w:tabs>
          <w:tab w:val="right" w:pos="1195"/>
          <w:tab w:val="left" w:pos="1267"/>
          <w:tab w:val="left" w:pos="1742"/>
          <w:tab w:val="left" w:pos="2218"/>
          <w:tab w:val="left" w:pos="2693"/>
        </w:tabs>
        <w:ind w:left="1267" w:right="1260" w:hanging="432"/>
        <w:rPr>
          <w:lang w:val="fr-FR"/>
        </w:rPr>
      </w:pPr>
      <w:r>
        <w:rPr>
          <w:lang w:val="fr-FR"/>
        </w:rPr>
        <w:tab/>
      </w:r>
      <w:r w:rsidR="006645B6" w:rsidRPr="00751E5D">
        <w:rPr>
          <w:rStyle w:val="FootnoteCharacters"/>
        </w:rPr>
        <w:footnoteRef/>
      </w:r>
      <w:r w:rsidR="006645B6" w:rsidRPr="004D6367">
        <w:rPr>
          <w:lang w:val="fr-FR"/>
        </w:rPr>
        <w:tab/>
        <w:t>Loi du 22 juin 2007 sur l</w:t>
      </w:r>
      <w:r w:rsidR="006645B6">
        <w:rPr>
          <w:lang w:val="fr-FR"/>
        </w:rPr>
        <w:t>’</w:t>
      </w:r>
      <w:r w:rsidR="006645B6" w:rsidRPr="004D6367">
        <w:rPr>
          <w:lang w:val="fr-FR"/>
        </w:rPr>
        <w:t>assistance aux victim</w:t>
      </w:r>
      <w:r w:rsidR="006645B6">
        <w:rPr>
          <w:lang w:val="fr-FR"/>
        </w:rPr>
        <w:t>e</w:t>
      </w:r>
      <w:r w:rsidR="006645B6" w:rsidRPr="004D6367">
        <w:rPr>
          <w:lang w:val="fr-FR"/>
        </w:rPr>
        <w:t xml:space="preserve">s </w:t>
      </w:r>
      <w:r w:rsidR="006645B6">
        <w:rPr>
          <w:lang w:val="fr-FR"/>
        </w:rPr>
        <w:t xml:space="preserve">de la criminalité </w:t>
      </w:r>
      <w:r w:rsidR="006645B6" w:rsidRPr="004D6367">
        <w:rPr>
          <w:lang w:val="fr-FR"/>
        </w:rPr>
        <w:t>(</w:t>
      </w:r>
      <w:r w:rsidR="006645B6">
        <w:rPr>
          <w:lang w:val="fr-FR"/>
        </w:rPr>
        <w:t xml:space="preserve">Loi sur l’assistance aux victimes, VAA), </w:t>
      </w:r>
      <w:r w:rsidR="006645B6" w:rsidRPr="004D6367">
        <w:rPr>
          <w:lang w:val="fr-FR"/>
        </w:rPr>
        <w:t xml:space="preserve">Gazette </w:t>
      </w:r>
      <w:r w:rsidR="006645B6">
        <w:rPr>
          <w:lang w:val="fr-FR"/>
        </w:rPr>
        <w:t xml:space="preserve">juridique du </w:t>
      </w:r>
      <w:r w:rsidR="006645B6" w:rsidRPr="004D6367">
        <w:rPr>
          <w:lang w:val="fr-FR"/>
        </w:rPr>
        <w:t>Liechtenstein</w:t>
      </w:r>
      <w:r w:rsidR="006645B6">
        <w:rPr>
          <w:lang w:val="fr-FR"/>
        </w:rPr>
        <w:t>,</w:t>
      </w:r>
      <w:r w:rsidR="006645B6" w:rsidRPr="004D6367">
        <w:rPr>
          <w:lang w:val="fr-FR"/>
        </w:rPr>
        <w:t xml:space="preserve"> LGBl. 2007 </w:t>
      </w:r>
      <w:r w:rsidR="00F65ED6">
        <w:rPr>
          <w:lang w:val="fr-FR"/>
        </w:rPr>
        <w:t>n</w:t>
      </w:r>
      <w:r w:rsidR="00F65ED6" w:rsidRPr="00F65ED6">
        <w:rPr>
          <w:vertAlign w:val="superscript"/>
          <w:lang w:val="fr-FR"/>
        </w:rPr>
        <w:t>o</w:t>
      </w:r>
      <w:r w:rsidR="00F65ED6">
        <w:rPr>
          <w:lang w:val="fr-FR"/>
        </w:rPr>
        <w:t> </w:t>
      </w:r>
      <w:r w:rsidR="006645B6" w:rsidRPr="004D6367">
        <w:rPr>
          <w:lang w:val="fr-FR"/>
        </w:rPr>
        <w:t>228.</w:t>
      </w:r>
    </w:p>
    <w:p w:rsidR="006645B6" w:rsidRPr="004D6367" w:rsidRDefault="006645B6" w:rsidP="00826E0F">
      <w:pPr>
        <w:ind w:left="360" w:hanging="360"/>
        <w:rPr>
          <w:lang w:val="fr-FR"/>
        </w:rPr>
      </w:pPr>
    </w:p>
  </w:footnote>
  <w:footnote w:id="4">
    <w:p w:rsidR="006645B6" w:rsidRPr="00146162" w:rsidRDefault="00A03470" w:rsidP="00A03470">
      <w:pPr>
        <w:tabs>
          <w:tab w:val="right" w:pos="1195"/>
          <w:tab w:val="left" w:pos="1267"/>
          <w:tab w:val="left" w:pos="1742"/>
          <w:tab w:val="left" w:pos="2218"/>
          <w:tab w:val="left" w:pos="2693"/>
        </w:tabs>
        <w:ind w:left="1267" w:right="1260" w:hanging="432"/>
        <w:rPr>
          <w:lang w:val="fr-FR"/>
        </w:rPr>
      </w:pPr>
      <w:r>
        <w:rPr>
          <w:lang w:val="fr-FR"/>
        </w:rPr>
        <w:tab/>
      </w:r>
      <w:r w:rsidR="006645B6" w:rsidRPr="00751E5D">
        <w:rPr>
          <w:rStyle w:val="FootnoteCharacters"/>
        </w:rPr>
        <w:footnoteRef/>
      </w:r>
      <w:r w:rsidR="006645B6">
        <w:rPr>
          <w:lang w:val="fr-FR"/>
        </w:rPr>
        <w:tab/>
      </w:r>
      <w:r w:rsidR="006645B6" w:rsidRPr="00502778">
        <w:t xml:space="preserve">Code pénal du 24 juin 1987 (StGB), LGBl. 1988 </w:t>
      </w:r>
      <w:r w:rsidR="00C04160">
        <w:t>n</w:t>
      </w:r>
      <w:r w:rsidR="00C04160" w:rsidRPr="00C04160">
        <w:rPr>
          <w:vertAlign w:val="superscript"/>
        </w:rPr>
        <w:t>o</w:t>
      </w:r>
      <w:r w:rsidR="00C04160">
        <w:t> </w:t>
      </w:r>
      <w:r w:rsidR="006645B6" w:rsidRPr="00502778">
        <w:t>37.</w:t>
      </w:r>
    </w:p>
  </w:footnote>
  <w:footnote w:id="5">
    <w:p w:rsidR="006645B6" w:rsidRPr="009D5087" w:rsidRDefault="00C04160" w:rsidP="00A03470">
      <w:pPr>
        <w:tabs>
          <w:tab w:val="right" w:pos="1195"/>
          <w:tab w:val="left" w:pos="1267"/>
          <w:tab w:val="left" w:pos="1742"/>
          <w:tab w:val="left" w:pos="2218"/>
          <w:tab w:val="left" w:pos="2693"/>
        </w:tabs>
        <w:ind w:left="1267" w:right="1260" w:hanging="432"/>
        <w:rPr>
          <w:lang w:val="fr-FR"/>
        </w:rPr>
      </w:pPr>
      <w:r>
        <w:rPr>
          <w:lang w:val="fr-FR"/>
        </w:rPr>
        <w:tab/>
      </w:r>
      <w:r w:rsidR="006645B6" w:rsidRPr="00751E5D">
        <w:rPr>
          <w:rStyle w:val="FootnoteCharacters"/>
        </w:rPr>
        <w:footnoteRef/>
      </w:r>
      <w:r w:rsidR="006645B6" w:rsidRPr="009D5087">
        <w:rPr>
          <w:lang w:val="fr-FR"/>
        </w:rPr>
        <w:tab/>
        <w:t>Loi du 17 septembre 2008 sur les étrangers (</w:t>
      </w:r>
      <w:r w:rsidR="006645B6">
        <w:rPr>
          <w:lang w:val="fr-FR"/>
        </w:rPr>
        <w:t xml:space="preserve">Loi </w:t>
      </w:r>
      <w:r w:rsidR="006645B6" w:rsidRPr="009D5087">
        <w:rPr>
          <w:lang w:val="fr-FR"/>
        </w:rPr>
        <w:t xml:space="preserve">sur les étrangers, AuG), LGBl. 2008 </w:t>
      </w:r>
      <w:r>
        <w:rPr>
          <w:lang w:val="fr-FR"/>
        </w:rPr>
        <w:t>n</w:t>
      </w:r>
      <w:r w:rsidRPr="00C04160">
        <w:rPr>
          <w:vertAlign w:val="superscript"/>
          <w:lang w:val="fr-FR"/>
        </w:rPr>
        <w:t>o</w:t>
      </w:r>
      <w:r w:rsidR="006645B6" w:rsidRPr="009D5087">
        <w:rPr>
          <w:lang w:val="fr-FR"/>
        </w:rPr>
        <w:t> 311.</w:t>
      </w:r>
    </w:p>
  </w:footnote>
  <w:footnote w:id="6">
    <w:p w:rsidR="006645B6" w:rsidRPr="00DB3183" w:rsidRDefault="00C04160" w:rsidP="00A03470">
      <w:pPr>
        <w:tabs>
          <w:tab w:val="right" w:pos="1195"/>
          <w:tab w:val="left" w:pos="1267"/>
          <w:tab w:val="left" w:pos="1742"/>
          <w:tab w:val="left" w:pos="2218"/>
          <w:tab w:val="left" w:pos="2693"/>
        </w:tabs>
        <w:ind w:left="1267" w:right="1260" w:hanging="432"/>
        <w:rPr>
          <w:lang w:val="fr-FR"/>
        </w:rPr>
      </w:pPr>
      <w:r>
        <w:rPr>
          <w:lang w:val="fr-FR"/>
        </w:rPr>
        <w:tab/>
      </w:r>
      <w:r w:rsidR="006645B6" w:rsidRPr="00751E5D">
        <w:rPr>
          <w:rStyle w:val="FootnoteCharacters"/>
        </w:rPr>
        <w:footnoteRef/>
      </w:r>
      <w:r w:rsidR="006645B6" w:rsidRPr="00DB3183">
        <w:rPr>
          <w:lang w:val="fr-FR"/>
        </w:rPr>
        <w:tab/>
      </w:r>
      <w:r w:rsidR="006645B6">
        <w:rPr>
          <w:lang w:val="fr-FR"/>
        </w:rPr>
        <w:t>L</w:t>
      </w:r>
      <w:r w:rsidR="006645B6">
        <w:rPr>
          <w:szCs w:val="24"/>
          <w:lang w:val="fr-FR"/>
        </w:rPr>
        <w:t>oi de 2007 sur la coopération humanitaire internationale et le développement</w:t>
      </w:r>
      <w:r w:rsidR="006645B6" w:rsidRPr="00DB3183">
        <w:rPr>
          <w:lang w:val="fr-FR"/>
        </w:rPr>
        <w:t xml:space="preserve">, LGBl. 2007 </w:t>
      </w:r>
      <w:r w:rsidR="008A4E39">
        <w:rPr>
          <w:lang w:val="fr-FR"/>
        </w:rPr>
        <w:t>n</w:t>
      </w:r>
      <w:r w:rsidR="008A4E39" w:rsidRPr="008A4E39">
        <w:rPr>
          <w:vertAlign w:val="superscript"/>
          <w:lang w:val="fr-FR"/>
        </w:rPr>
        <w:t>o</w:t>
      </w:r>
      <w:r w:rsidR="008A4E39">
        <w:rPr>
          <w:lang w:val="fr-FR"/>
        </w:rPr>
        <w:t> </w:t>
      </w:r>
      <w:r w:rsidR="006645B6" w:rsidRPr="00DB3183">
        <w:rPr>
          <w:lang w:val="fr-FR"/>
        </w:rPr>
        <w:t>149.</w:t>
      </w:r>
    </w:p>
  </w:footnote>
  <w:footnote w:id="7">
    <w:p w:rsidR="006645B6" w:rsidRPr="000F3250" w:rsidRDefault="00C04160" w:rsidP="00A03470">
      <w:pPr>
        <w:tabs>
          <w:tab w:val="right" w:pos="1195"/>
          <w:tab w:val="left" w:pos="1267"/>
          <w:tab w:val="left" w:pos="1742"/>
          <w:tab w:val="left" w:pos="2218"/>
          <w:tab w:val="left" w:pos="2693"/>
        </w:tabs>
        <w:ind w:left="1267" w:right="1260" w:hanging="432"/>
        <w:rPr>
          <w:color w:val="000000"/>
          <w:lang w:val="fr-FR"/>
        </w:rPr>
      </w:pPr>
      <w:r>
        <w:rPr>
          <w:lang w:val="fr-FR"/>
        </w:rPr>
        <w:tab/>
      </w:r>
      <w:r w:rsidR="006645B6" w:rsidRPr="00751E5D">
        <w:rPr>
          <w:rStyle w:val="FootnoteCharacters"/>
        </w:rPr>
        <w:footnoteRef/>
      </w:r>
      <w:r w:rsidR="006645B6" w:rsidRPr="000F3250">
        <w:rPr>
          <w:lang w:val="fr-FR"/>
        </w:rPr>
        <w:tab/>
        <w:t xml:space="preserve">Loi du </w:t>
      </w:r>
      <w:r w:rsidR="006645B6" w:rsidRPr="000F3250">
        <w:rPr>
          <w:color w:val="000000"/>
          <w:lang w:val="fr-FR"/>
        </w:rPr>
        <w:t xml:space="preserve">18 décembre 1985 </w:t>
      </w:r>
      <w:r w:rsidR="006645B6">
        <w:rPr>
          <w:color w:val="000000"/>
          <w:lang w:val="fr-FR"/>
        </w:rPr>
        <w:t>sur les allocations familiales</w:t>
      </w:r>
      <w:r w:rsidR="006645B6" w:rsidRPr="000F3250">
        <w:rPr>
          <w:color w:val="000000"/>
          <w:lang w:val="fr-FR"/>
        </w:rPr>
        <w:t>,</w:t>
      </w:r>
      <w:r w:rsidR="006645B6" w:rsidRPr="000F3250">
        <w:rPr>
          <w:lang w:val="fr-FR"/>
        </w:rPr>
        <w:t xml:space="preserve"> </w:t>
      </w:r>
      <w:r w:rsidR="006645B6" w:rsidRPr="000F3250">
        <w:rPr>
          <w:color w:val="000000"/>
          <w:lang w:val="fr-FR"/>
        </w:rPr>
        <w:t xml:space="preserve">LGBl. 1986 </w:t>
      </w:r>
      <w:r>
        <w:rPr>
          <w:color w:val="000000"/>
          <w:lang w:val="fr-FR"/>
        </w:rPr>
        <w:t>n</w:t>
      </w:r>
      <w:r w:rsidRPr="00C04160">
        <w:rPr>
          <w:color w:val="000000"/>
          <w:vertAlign w:val="superscript"/>
          <w:lang w:val="fr-FR"/>
        </w:rPr>
        <w:t>o</w:t>
      </w:r>
      <w:r>
        <w:rPr>
          <w:color w:val="000000"/>
          <w:lang w:val="fr-FR"/>
        </w:rPr>
        <w:t> </w:t>
      </w:r>
      <w:r w:rsidR="006645B6" w:rsidRPr="000F3250">
        <w:rPr>
          <w:color w:val="000000"/>
          <w:lang w:val="fr-FR"/>
        </w:rPr>
        <w:t>28.</w:t>
      </w:r>
    </w:p>
  </w:footnote>
  <w:footnote w:id="8">
    <w:p w:rsidR="006645B6" w:rsidRPr="000F3250" w:rsidRDefault="00C04160" w:rsidP="00A03470">
      <w:pPr>
        <w:tabs>
          <w:tab w:val="right" w:pos="1195"/>
          <w:tab w:val="left" w:pos="1267"/>
          <w:tab w:val="left" w:pos="1742"/>
          <w:tab w:val="left" w:pos="2218"/>
          <w:tab w:val="left" w:pos="2693"/>
        </w:tabs>
        <w:ind w:left="1267" w:right="1260" w:hanging="432"/>
        <w:rPr>
          <w:color w:val="000000"/>
          <w:lang w:val="fr-FR"/>
        </w:rPr>
      </w:pPr>
      <w:r>
        <w:rPr>
          <w:lang w:val="fr-FR"/>
        </w:rPr>
        <w:tab/>
      </w:r>
      <w:r w:rsidR="006645B6" w:rsidRPr="00751E5D">
        <w:rPr>
          <w:rStyle w:val="FootnoteCharacters"/>
        </w:rPr>
        <w:footnoteRef/>
      </w:r>
      <w:r w:rsidR="006645B6" w:rsidRPr="000F3250">
        <w:rPr>
          <w:lang w:val="fr-FR"/>
        </w:rPr>
        <w:tab/>
        <w:t xml:space="preserve">Loi du </w:t>
      </w:r>
      <w:r w:rsidR="006645B6" w:rsidRPr="000F3250">
        <w:rPr>
          <w:color w:val="000000"/>
          <w:lang w:val="fr-FR"/>
        </w:rPr>
        <w:t xml:space="preserve">10 mars 1999 portant modification de la loi sur les allocations familiales, LGBl. 1999 </w:t>
      </w:r>
      <w:r>
        <w:rPr>
          <w:color w:val="000000"/>
          <w:lang w:val="fr-FR"/>
        </w:rPr>
        <w:t>n</w:t>
      </w:r>
      <w:r w:rsidRPr="00C04160">
        <w:rPr>
          <w:color w:val="000000"/>
          <w:vertAlign w:val="superscript"/>
          <w:lang w:val="fr-FR"/>
        </w:rPr>
        <w:t>o</w:t>
      </w:r>
      <w:r>
        <w:rPr>
          <w:color w:val="000000"/>
          <w:lang w:val="fr-FR"/>
        </w:rPr>
        <w:t> </w:t>
      </w:r>
      <w:r w:rsidR="006645B6" w:rsidRPr="000F3250">
        <w:rPr>
          <w:color w:val="000000"/>
          <w:lang w:val="fr-FR"/>
        </w:rPr>
        <w:t>98.</w:t>
      </w:r>
    </w:p>
  </w:footnote>
  <w:footnote w:id="9">
    <w:p w:rsidR="006645B6" w:rsidRPr="00121A3F" w:rsidRDefault="00C04160" w:rsidP="00A03470">
      <w:pPr>
        <w:tabs>
          <w:tab w:val="right" w:pos="1195"/>
          <w:tab w:val="left" w:pos="1267"/>
          <w:tab w:val="left" w:pos="1742"/>
          <w:tab w:val="left" w:pos="2218"/>
          <w:tab w:val="left" w:pos="2693"/>
        </w:tabs>
        <w:ind w:left="1267" w:right="1260" w:hanging="432"/>
        <w:rPr>
          <w:lang w:val="fr-FR"/>
        </w:rPr>
      </w:pPr>
      <w:r>
        <w:rPr>
          <w:lang w:val="fr-FR"/>
        </w:rPr>
        <w:tab/>
      </w:r>
      <w:r w:rsidR="006645B6" w:rsidRPr="00751E5D">
        <w:rPr>
          <w:rStyle w:val="FootnoteCharacters"/>
        </w:rPr>
        <w:footnoteRef/>
      </w:r>
      <w:r w:rsidR="006645B6" w:rsidRPr="00121A3F">
        <w:rPr>
          <w:lang w:val="fr-FR"/>
        </w:rPr>
        <w:tab/>
        <w:t>Loi du 30 janvier 1961 sur les imp</w:t>
      </w:r>
      <w:r w:rsidR="006645B6">
        <w:rPr>
          <w:lang w:val="fr-FR"/>
        </w:rPr>
        <w:t>ôts nationaux et municipaux</w:t>
      </w:r>
      <w:r w:rsidR="006645B6" w:rsidRPr="00121A3F">
        <w:rPr>
          <w:lang w:val="fr-FR"/>
        </w:rPr>
        <w:t xml:space="preserve"> (</w:t>
      </w:r>
      <w:r w:rsidR="006645B6">
        <w:rPr>
          <w:lang w:val="fr-FR"/>
        </w:rPr>
        <w:t>Loi sur la fiscalité</w:t>
      </w:r>
      <w:r w:rsidR="006645B6" w:rsidRPr="00121A3F">
        <w:rPr>
          <w:lang w:val="fr-FR"/>
        </w:rPr>
        <w:t xml:space="preserve">), LGBl. 1961 </w:t>
      </w:r>
      <w:r>
        <w:rPr>
          <w:lang w:val="fr-FR"/>
        </w:rPr>
        <w:t>n</w:t>
      </w:r>
      <w:r w:rsidRPr="00C04160">
        <w:rPr>
          <w:vertAlign w:val="superscript"/>
          <w:lang w:val="fr-FR"/>
        </w:rPr>
        <w:t>o</w:t>
      </w:r>
      <w:r>
        <w:rPr>
          <w:lang w:val="fr-FR"/>
        </w:rPr>
        <w:t> </w:t>
      </w:r>
      <w:r w:rsidR="006645B6" w:rsidRPr="00121A3F">
        <w:rPr>
          <w:lang w:val="fr-FR"/>
        </w:rPr>
        <w:t>7.</w:t>
      </w:r>
    </w:p>
  </w:footnote>
  <w:footnote w:id="10">
    <w:p w:rsidR="006645B6" w:rsidRPr="00121A3F" w:rsidRDefault="00C04160" w:rsidP="00A03470">
      <w:pPr>
        <w:tabs>
          <w:tab w:val="right" w:pos="1195"/>
          <w:tab w:val="left" w:pos="1267"/>
          <w:tab w:val="left" w:pos="1742"/>
          <w:tab w:val="left" w:pos="2218"/>
          <w:tab w:val="left" w:pos="2693"/>
        </w:tabs>
        <w:ind w:left="1267" w:right="1260" w:hanging="432"/>
        <w:rPr>
          <w:lang w:val="fr-FR"/>
        </w:rPr>
      </w:pPr>
      <w:r>
        <w:rPr>
          <w:lang w:val="fr-FR"/>
        </w:rPr>
        <w:tab/>
      </w:r>
      <w:r w:rsidR="006645B6" w:rsidRPr="00751E5D">
        <w:rPr>
          <w:rStyle w:val="FootnoteCharacters"/>
        </w:rPr>
        <w:footnoteRef/>
      </w:r>
      <w:r w:rsidR="006645B6" w:rsidRPr="00121A3F">
        <w:rPr>
          <w:lang w:val="fr-FR"/>
        </w:rPr>
        <w:tab/>
        <w:t xml:space="preserve">Deuxième rapport sur la pauvreté, les bas revenus et le désavantage social, </w:t>
      </w:r>
      <w:r w:rsidR="006645B6">
        <w:rPr>
          <w:lang w:val="fr-FR"/>
        </w:rPr>
        <w:t>Bureau des affaires sociales</w:t>
      </w:r>
      <w:r w:rsidR="006645B6" w:rsidRPr="00121A3F">
        <w:rPr>
          <w:lang w:val="fr-FR"/>
        </w:rPr>
        <w:t xml:space="preserve">, </w:t>
      </w:r>
      <w:r w:rsidR="006645B6">
        <w:rPr>
          <w:lang w:val="fr-FR"/>
        </w:rPr>
        <w:t>juillet</w:t>
      </w:r>
      <w:r w:rsidR="00A03470">
        <w:rPr>
          <w:lang w:val="fr-FR"/>
        </w:rPr>
        <w:t xml:space="preserve"> </w:t>
      </w:r>
      <w:r w:rsidR="006645B6" w:rsidRPr="00121A3F">
        <w:rPr>
          <w:lang w:val="fr-FR"/>
        </w:rPr>
        <w:t>2008.</w:t>
      </w:r>
    </w:p>
  </w:footnote>
  <w:footnote w:id="11">
    <w:p w:rsidR="006645B6" w:rsidRPr="002E279F" w:rsidRDefault="000E00B5" w:rsidP="00A03470">
      <w:pPr>
        <w:tabs>
          <w:tab w:val="right" w:pos="1195"/>
          <w:tab w:val="left" w:pos="1267"/>
          <w:tab w:val="left" w:pos="1742"/>
          <w:tab w:val="left" w:pos="2218"/>
          <w:tab w:val="left" w:pos="2693"/>
        </w:tabs>
        <w:ind w:left="1267" w:right="1260" w:hanging="432"/>
        <w:rPr>
          <w:lang w:val="fr-FR"/>
        </w:rPr>
      </w:pPr>
      <w:r>
        <w:rPr>
          <w:lang w:val="fr-FR"/>
        </w:rPr>
        <w:tab/>
      </w:r>
      <w:r w:rsidR="006645B6" w:rsidRPr="00751E5D">
        <w:rPr>
          <w:rStyle w:val="FootnoteCharacters"/>
        </w:rPr>
        <w:footnoteRef/>
      </w:r>
      <w:r w:rsidR="006645B6" w:rsidRPr="002E279F">
        <w:rPr>
          <w:lang w:val="fr-FR"/>
        </w:rPr>
        <w:tab/>
        <w:t xml:space="preserve">Code de procédure pénale du 18 octobre 1988 (StPO); LGBl. 1988 </w:t>
      </w:r>
      <w:r>
        <w:rPr>
          <w:lang w:val="fr-FR"/>
        </w:rPr>
        <w:t>n</w:t>
      </w:r>
      <w:r w:rsidR="006645B6" w:rsidRPr="000E00B5">
        <w:rPr>
          <w:vertAlign w:val="superscript"/>
          <w:lang w:val="fr-FR"/>
        </w:rPr>
        <w:t>o</w:t>
      </w:r>
      <w:r>
        <w:rPr>
          <w:vertAlign w:val="superscript"/>
          <w:lang w:val="fr-FR"/>
        </w:rPr>
        <w:t> </w:t>
      </w:r>
      <w:r w:rsidR="006645B6" w:rsidRPr="002E279F">
        <w:rPr>
          <w:lang w:val="fr-FR"/>
        </w:rPr>
        <w:t xml:space="preserve"> 62.</w:t>
      </w:r>
    </w:p>
  </w:footnote>
  <w:footnote w:id="12">
    <w:p w:rsidR="006645B6" w:rsidRPr="000C1D82" w:rsidRDefault="006645B6" w:rsidP="00A03470">
      <w:pPr>
        <w:tabs>
          <w:tab w:val="right" w:pos="1195"/>
          <w:tab w:val="left" w:pos="1267"/>
          <w:tab w:val="left" w:pos="1742"/>
          <w:tab w:val="left" w:pos="2218"/>
          <w:tab w:val="left" w:pos="2693"/>
        </w:tabs>
        <w:ind w:left="1267" w:right="1260" w:hanging="432"/>
        <w:rPr>
          <w:lang w:val="fr-FR"/>
        </w:rPr>
      </w:pPr>
      <w:r>
        <w:rPr>
          <w:lang w:val="fr-FR"/>
        </w:rPr>
        <w:tab/>
      </w:r>
      <w:r w:rsidRPr="00751E5D">
        <w:rPr>
          <w:rStyle w:val="FootnoteCharacters"/>
        </w:rPr>
        <w:footnoteRef/>
      </w:r>
      <w:r w:rsidRPr="000C1D82">
        <w:rPr>
          <w:lang w:val="fr-FR"/>
        </w:rPr>
        <w:tab/>
        <w:t>Décision fondamentale sur l</w:t>
      </w:r>
      <w:r>
        <w:rPr>
          <w:lang w:val="fr-FR"/>
        </w:rPr>
        <w:t>’</w:t>
      </w:r>
      <w:r w:rsidRPr="000C1D82">
        <w:rPr>
          <w:lang w:val="fr-FR"/>
        </w:rPr>
        <w:t>article 16 e) de l</w:t>
      </w:r>
      <w:r>
        <w:rPr>
          <w:lang w:val="fr-FR"/>
        </w:rPr>
        <w:t>’</w:t>
      </w:r>
      <w:r w:rsidRPr="000C1D82">
        <w:rPr>
          <w:lang w:val="fr-FR"/>
        </w:rPr>
        <w:t>Ordonnance sur l</w:t>
      </w:r>
      <w:r>
        <w:rPr>
          <w:lang w:val="fr-FR"/>
        </w:rPr>
        <w:t>’</w:t>
      </w:r>
      <w:r w:rsidRPr="000C1D82">
        <w:rPr>
          <w:lang w:val="fr-FR"/>
        </w:rPr>
        <w:t xml:space="preserve">admission et le séjour </w:t>
      </w:r>
      <w:r>
        <w:rPr>
          <w:lang w:val="fr-FR"/>
        </w:rPr>
        <w:t xml:space="preserve">des étrangers </w:t>
      </w:r>
      <w:r w:rsidRPr="000C1D82">
        <w:rPr>
          <w:lang w:val="fr-FR"/>
        </w:rPr>
        <w:t xml:space="preserve">(RA 2008/3368-2532); </w:t>
      </w:r>
      <w:r>
        <w:rPr>
          <w:i/>
          <w:lang w:val="fr-FR"/>
        </w:rPr>
        <w:t>précédemment</w:t>
      </w:r>
      <w:r w:rsidRPr="000C1D82">
        <w:rPr>
          <w:lang w:val="fr-FR"/>
        </w:rPr>
        <w:t>: Décision fondamentale sur l</w:t>
      </w:r>
      <w:r>
        <w:rPr>
          <w:lang w:val="fr-FR"/>
        </w:rPr>
        <w:t>’</w:t>
      </w:r>
      <w:r w:rsidRPr="000C1D82">
        <w:rPr>
          <w:lang w:val="fr-FR"/>
        </w:rPr>
        <w:t>article 54, paragraph</w:t>
      </w:r>
      <w:r>
        <w:rPr>
          <w:lang w:val="fr-FR"/>
        </w:rPr>
        <w:t xml:space="preserve">e 1 </w:t>
      </w:r>
      <w:r w:rsidRPr="000C1D82">
        <w:rPr>
          <w:lang w:val="fr-FR"/>
        </w:rPr>
        <w:t>h) de l</w:t>
      </w:r>
      <w:r>
        <w:rPr>
          <w:lang w:val="fr-FR"/>
        </w:rPr>
        <w:t>’</w:t>
      </w:r>
      <w:r w:rsidRPr="000C1D82">
        <w:rPr>
          <w:lang w:val="fr-FR"/>
        </w:rPr>
        <w:t xml:space="preserve">Ordonnance </w:t>
      </w:r>
      <w:r>
        <w:rPr>
          <w:lang w:val="fr-FR"/>
        </w:rPr>
        <w:t>sur le mouvement des p</w:t>
      </w:r>
      <w:r w:rsidRPr="000C1D82">
        <w:rPr>
          <w:lang w:val="fr-FR"/>
        </w:rPr>
        <w:t>erson</w:t>
      </w:r>
      <w:r>
        <w:rPr>
          <w:lang w:val="fr-FR"/>
        </w:rPr>
        <w:t>ne</w:t>
      </w:r>
      <w:r w:rsidRPr="000C1D82">
        <w:rPr>
          <w:lang w:val="fr-FR"/>
        </w:rPr>
        <w:t>s (PVO), LGBl. 2004 No. 253 (RA 2005/28-2510).</w:t>
      </w:r>
    </w:p>
  </w:footnote>
  <w:footnote w:id="13">
    <w:p w:rsidR="006645B6" w:rsidRPr="00DF0E57" w:rsidRDefault="00A03470" w:rsidP="00A03470">
      <w:pPr>
        <w:tabs>
          <w:tab w:val="right" w:pos="1195"/>
          <w:tab w:val="left" w:pos="1267"/>
          <w:tab w:val="left" w:pos="1742"/>
          <w:tab w:val="left" w:pos="2218"/>
          <w:tab w:val="left" w:pos="2693"/>
        </w:tabs>
        <w:ind w:left="1267" w:right="1260" w:hanging="432"/>
        <w:rPr>
          <w:lang w:val="fr-FR"/>
        </w:rPr>
      </w:pPr>
      <w:r>
        <w:rPr>
          <w:lang w:val="fr-FR"/>
        </w:rPr>
        <w:tab/>
      </w:r>
      <w:r w:rsidR="006645B6" w:rsidRPr="00751E5D">
        <w:rPr>
          <w:rStyle w:val="FootnoteCharacters"/>
        </w:rPr>
        <w:footnoteRef/>
      </w:r>
      <w:r w:rsidR="006645B6" w:rsidRPr="00DF0E57">
        <w:rPr>
          <w:lang w:val="fr-FR"/>
        </w:rPr>
        <w:tab/>
        <w:t>Ordonnance du 16 décembre 2008 sur l</w:t>
      </w:r>
      <w:r w:rsidR="006645B6">
        <w:rPr>
          <w:lang w:val="fr-FR"/>
        </w:rPr>
        <w:t>’</w:t>
      </w:r>
      <w:r w:rsidR="006645B6" w:rsidRPr="00DF0E57">
        <w:rPr>
          <w:lang w:val="fr-FR"/>
        </w:rPr>
        <w:t xml:space="preserve">admission et le séjour des étrangers, LGBl. 2008 </w:t>
      </w:r>
      <w:r w:rsidR="000E00B5">
        <w:rPr>
          <w:lang w:val="fr-FR"/>
        </w:rPr>
        <w:t>no </w:t>
      </w:r>
      <w:r w:rsidR="006645B6" w:rsidRPr="00DF0E57">
        <w:rPr>
          <w:lang w:val="fr-FR"/>
        </w:rPr>
        <w:t>350.</w:t>
      </w:r>
    </w:p>
  </w:footnote>
  <w:footnote w:id="14">
    <w:p w:rsidR="006645B6" w:rsidRPr="00121A3F" w:rsidRDefault="000E00B5" w:rsidP="00A03470">
      <w:pPr>
        <w:tabs>
          <w:tab w:val="right" w:pos="1195"/>
          <w:tab w:val="left" w:pos="1267"/>
          <w:tab w:val="left" w:pos="1742"/>
          <w:tab w:val="left" w:pos="2218"/>
          <w:tab w:val="left" w:pos="2693"/>
        </w:tabs>
        <w:ind w:left="1267" w:right="1260" w:hanging="432"/>
        <w:rPr>
          <w:color w:val="000000"/>
          <w:lang w:val="fr-FR"/>
        </w:rPr>
      </w:pPr>
      <w:r>
        <w:rPr>
          <w:lang w:val="fr-FR"/>
        </w:rPr>
        <w:tab/>
      </w:r>
      <w:r w:rsidR="006645B6" w:rsidRPr="00751E5D">
        <w:rPr>
          <w:rStyle w:val="FootnoteCharacters"/>
        </w:rPr>
        <w:footnoteRef/>
      </w:r>
      <w:r w:rsidR="006645B6" w:rsidRPr="00121A3F">
        <w:rPr>
          <w:lang w:val="fr-FR"/>
        </w:rPr>
        <w:tab/>
        <w:t xml:space="preserve"> Loi du </w:t>
      </w:r>
      <w:r w:rsidR="006645B6" w:rsidRPr="00121A3F">
        <w:rPr>
          <w:color w:val="000000"/>
          <w:lang w:val="fr-FR"/>
        </w:rPr>
        <w:t>25 novembre 2004 sur l</w:t>
      </w:r>
      <w:r w:rsidR="006645B6">
        <w:rPr>
          <w:color w:val="000000"/>
          <w:lang w:val="fr-FR"/>
        </w:rPr>
        <w:t>’</w:t>
      </w:r>
      <w:r w:rsidR="006645B6" w:rsidRPr="00121A3F">
        <w:rPr>
          <w:color w:val="000000"/>
          <w:lang w:val="fr-FR"/>
        </w:rPr>
        <w:t>enseignement supérieur (</w:t>
      </w:r>
      <w:r w:rsidR="006645B6">
        <w:rPr>
          <w:color w:val="000000"/>
          <w:lang w:val="fr-FR"/>
        </w:rPr>
        <w:t>Loi sur l’enseignement supérieur</w:t>
      </w:r>
      <w:r w:rsidR="006645B6" w:rsidRPr="00121A3F">
        <w:rPr>
          <w:color w:val="000000"/>
          <w:lang w:val="fr-FR"/>
        </w:rPr>
        <w:t xml:space="preserve">; HSG), LGBl. 2005 </w:t>
      </w:r>
      <w:r>
        <w:rPr>
          <w:color w:val="000000"/>
          <w:lang w:val="fr-FR"/>
        </w:rPr>
        <w:t>n</w:t>
      </w:r>
      <w:r w:rsidRPr="000E00B5">
        <w:rPr>
          <w:color w:val="000000"/>
          <w:vertAlign w:val="superscript"/>
          <w:lang w:val="fr-FR"/>
        </w:rPr>
        <w:t>o</w:t>
      </w:r>
      <w:r>
        <w:rPr>
          <w:color w:val="000000"/>
          <w:lang w:val="fr-FR"/>
        </w:rPr>
        <w:t> </w:t>
      </w:r>
      <w:r w:rsidR="006645B6" w:rsidRPr="00121A3F">
        <w:rPr>
          <w:color w:val="000000"/>
          <w:lang w:val="fr-FR"/>
        </w:rPr>
        <w:t xml:space="preserve"> 2.</w:t>
      </w:r>
    </w:p>
  </w:footnote>
  <w:footnote w:id="15">
    <w:p w:rsidR="006645B6" w:rsidRPr="004D6367" w:rsidRDefault="000E00B5" w:rsidP="00A03470">
      <w:pPr>
        <w:tabs>
          <w:tab w:val="right" w:pos="1195"/>
          <w:tab w:val="left" w:pos="1267"/>
          <w:tab w:val="left" w:pos="1742"/>
          <w:tab w:val="left" w:pos="2218"/>
          <w:tab w:val="left" w:pos="2693"/>
        </w:tabs>
        <w:ind w:left="1267" w:right="1260" w:hanging="432"/>
        <w:rPr>
          <w:lang w:val="fr-FR"/>
        </w:rPr>
      </w:pPr>
      <w:r>
        <w:rPr>
          <w:lang w:val="fr-FR"/>
        </w:rPr>
        <w:tab/>
      </w:r>
      <w:r w:rsidR="006645B6" w:rsidRPr="00751E5D">
        <w:rPr>
          <w:rStyle w:val="FootnoteCharacters"/>
        </w:rPr>
        <w:footnoteRef/>
      </w:r>
      <w:r w:rsidR="006645B6" w:rsidRPr="004D6367">
        <w:rPr>
          <w:lang w:val="fr-FR"/>
        </w:rPr>
        <w:tab/>
        <w:t>Enseignement actuellement suspendu.</w:t>
      </w:r>
    </w:p>
  </w:footnote>
  <w:footnote w:id="16">
    <w:p w:rsidR="006645B6" w:rsidRPr="009127EF" w:rsidRDefault="00A4102E" w:rsidP="00A03470">
      <w:pPr>
        <w:tabs>
          <w:tab w:val="right" w:pos="1195"/>
          <w:tab w:val="left" w:pos="1267"/>
          <w:tab w:val="left" w:pos="1742"/>
          <w:tab w:val="left" w:pos="2218"/>
          <w:tab w:val="left" w:pos="2693"/>
        </w:tabs>
        <w:ind w:left="1267" w:right="1260" w:hanging="432"/>
        <w:rPr>
          <w:lang w:val="fr-FR"/>
        </w:rPr>
      </w:pPr>
      <w:r>
        <w:rPr>
          <w:lang w:val="fr-FR"/>
        </w:rPr>
        <w:tab/>
      </w:r>
      <w:r w:rsidR="006645B6" w:rsidRPr="00751E5D">
        <w:rPr>
          <w:rStyle w:val="FootnoteCharacters"/>
        </w:rPr>
        <w:footnoteRef/>
      </w:r>
      <w:r w:rsidR="006645B6" w:rsidRPr="009127EF">
        <w:rPr>
          <w:lang w:val="fr-FR"/>
        </w:rPr>
        <w:tab/>
        <w:t xml:space="preserve"> </w:t>
      </w:r>
      <w:r>
        <w:rPr>
          <w:lang w:val="fr-FR"/>
        </w:rPr>
        <w:t>S</w:t>
      </w:r>
      <w:r w:rsidR="006645B6" w:rsidRPr="009127EF">
        <w:rPr>
          <w:lang w:val="fr-FR"/>
        </w:rPr>
        <w:t>ource</w:t>
      </w:r>
      <w:r>
        <w:rPr>
          <w:lang w:val="fr-FR"/>
        </w:rPr>
        <w:t> </w:t>
      </w:r>
      <w:r w:rsidR="006645B6" w:rsidRPr="009127EF">
        <w:rPr>
          <w:lang w:val="fr-FR"/>
        </w:rPr>
        <w:t>: Bu</w:t>
      </w:r>
      <w:r w:rsidR="006645B6">
        <w:rPr>
          <w:lang w:val="fr-FR"/>
        </w:rPr>
        <w:t xml:space="preserve">reau des affaires économiques. </w:t>
      </w:r>
      <w:r w:rsidR="006645B6" w:rsidRPr="009127EF">
        <w:rPr>
          <w:lang w:val="fr-FR"/>
        </w:rPr>
        <w:t>Statistiques de l</w:t>
      </w:r>
      <w:r w:rsidR="006645B6">
        <w:rPr>
          <w:lang w:val="fr-FR"/>
        </w:rPr>
        <w:t xml:space="preserve">’éducation </w:t>
      </w:r>
      <w:r w:rsidR="006645B6" w:rsidRPr="009127EF">
        <w:rPr>
          <w:lang w:val="fr-FR"/>
        </w:rPr>
        <w:t>2008.</w:t>
      </w:r>
    </w:p>
  </w:footnote>
  <w:footnote w:id="17">
    <w:p w:rsidR="006645B6" w:rsidRPr="00826E0F" w:rsidRDefault="00A4102E" w:rsidP="00A03470">
      <w:pPr>
        <w:tabs>
          <w:tab w:val="right" w:pos="1195"/>
          <w:tab w:val="left" w:pos="1267"/>
          <w:tab w:val="left" w:pos="1742"/>
          <w:tab w:val="left" w:pos="2218"/>
          <w:tab w:val="left" w:pos="2693"/>
        </w:tabs>
        <w:ind w:left="1267" w:right="1260" w:hanging="432"/>
        <w:rPr>
          <w:lang w:val="fr-FR"/>
        </w:rPr>
      </w:pPr>
      <w:r>
        <w:rPr>
          <w:lang w:val="fr-FR"/>
        </w:rPr>
        <w:tab/>
      </w:r>
      <w:r w:rsidR="006645B6" w:rsidRPr="00751E5D">
        <w:rPr>
          <w:rStyle w:val="FootnoteCharacters"/>
        </w:rPr>
        <w:footnoteRef/>
      </w:r>
      <w:r w:rsidR="006645B6" w:rsidRPr="009127EF">
        <w:rPr>
          <w:lang w:val="fr-FR"/>
        </w:rPr>
        <w:tab/>
        <w:t>Source</w:t>
      </w:r>
      <w:r>
        <w:t xml:space="preserve"> </w:t>
      </w:r>
      <w:r w:rsidR="006645B6" w:rsidRPr="009127EF">
        <w:rPr>
          <w:lang w:val="fr-FR"/>
        </w:rPr>
        <w:t xml:space="preserve">: Bureau des affaires économiques. </w:t>
      </w:r>
      <w:r w:rsidR="006645B6" w:rsidRPr="00826E0F">
        <w:rPr>
          <w:lang w:val="fr-FR"/>
        </w:rPr>
        <w:t>Statistiques sur le chômage 2007.</w:t>
      </w:r>
    </w:p>
  </w:footnote>
  <w:footnote w:id="18">
    <w:p w:rsidR="006645B6" w:rsidRPr="002229F9" w:rsidRDefault="00A4102E" w:rsidP="00A03470">
      <w:pPr>
        <w:tabs>
          <w:tab w:val="right" w:pos="1195"/>
          <w:tab w:val="left" w:pos="1267"/>
          <w:tab w:val="left" w:pos="1742"/>
          <w:tab w:val="left" w:pos="2218"/>
          <w:tab w:val="left" w:pos="2693"/>
        </w:tabs>
        <w:ind w:left="1267" w:right="1260" w:hanging="432"/>
        <w:rPr>
          <w:lang w:val="fr-FR"/>
        </w:rPr>
      </w:pPr>
      <w:r>
        <w:rPr>
          <w:lang w:val="fr-FR"/>
        </w:rPr>
        <w:tab/>
      </w:r>
      <w:r w:rsidR="006645B6" w:rsidRPr="00751E5D">
        <w:rPr>
          <w:rStyle w:val="FootnoteCharacters"/>
        </w:rPr>
        <w:footnoteRef/>
      </w:r>
      <w:r w:rsidR="006645B6" w:rsidRPr="002229F9">
        <w:rPr>
          <w:lang w:val="fr-FR"/>
        </w:rPr>
        <w:tab/>
        <w:t xml:space="preserve"> Loi du 10 mars 1999 sur l</w:t>
      </w:r>
      <w:r w:rsidR="006645B6">
        <w:rPr>
          <w:lang w:val="fr-FR"/>
        </w:rPr>
        <w:t>’</w:t>
      </w:r>
      <w:r w:rsidR="006645B6" w:rsidRPr="002229F9">
        <w:rPr>
          <w:lang w:val="fr-FR"/>
        </w:rPr>
        <w:t xml:space="preserve">égalité entre les femmes et les hommes, LGBl. 1999 </w:t>
      </w:r>
      <w:r>
        <w:rPr>
          <w:lang w:val="fr-FR"/>
        </w:rPr>
        <w:t>n</w:t>
      </w:r>
      <w:r w:rsidR="006645B6" w:rsidRPr="00A4102E">
        <w:rPr>
          <w:vertAlign w:val="superscript"/>
          <w:lang w:val="fr-FR"/>
        </w:rPr>
        <w:t>o</w:t>
      </w:r>
      <w:r>
        <w:rPr>
          <w:lang w:val="fr-FR"/>
        </w:rPr>
        <w:t> </w:t>
      </w:r>
      <w:r w:rsidR="006645B6" w:rsidRPr="002229F9">
        <w:rPr>
          <w:lang w:val="fr-FR"/>
        </w:rPr>
        <w:t>96.</w:t>
      </w:r>
    </w:p>
  </w:footnote>
  <w:footnote w:id="19">
    <w:p w:rsidR="006645B6" w:rsidRPr="00541B76" w:rsidRDefault="006645B6" w:rsidP="00A03470">
      <w:pPr>
        <w:tabs>
          <w:tab w:val="right" w:pos="1195"/>
          <w:tab w:val="left" w:pos="1267"/>
          <w:tab w:val="left" w:pos="1742"/>
          <w:tab w:val="left" w:pos="2218"/>
          <w:tab w:val="left" w:pos="2693"/>
        </w:tabs>
        <w:ind w:left="1267" w:right="1260" w:hanging="432"/>
        <w:rPr>
          <w:lang w:val="fr-FR"/>
        </w:rPr>
      </w:pPr>
      <w:r w:rsidRPr="00751E5D">
        <w:rPr>
          <w:rStyle w:val="FootnoteCharacters"/>
        </w:rPr>
        <w:footnoteRef/>
      </w:r>
      <w:r w:rsidRPr="00541B76">
        <w:rPr>
          <w:lang w:val="fr-FR"/>
        </w:rPr>
        <w:tab/>
        <w:t xml:space="preserve"> </w:t>
      </w:r>
      <w:r w:rsidRPr="00541B76">
        <w:rPr>
          <w:lang w:val="fr-FR"/>
        </w:rPr>
        <w:tab/>
        <w:t xml:space="preserve">Loi du 13 décembre 2000 </w:t>
      </w:r>
      <w:r>
        <w:rPr>
          <w:lang w:val="fr-FR"/>
        </w:rPr>
        <w:t xml:space="preserve">portant modification du code pénal </w:t>
      </w:r>
      <w:r w:rsidRPr="00541B76">
        <w:rPr>
          <w:lang w:val="fr-FR"/>
        </w:rPr>
        <w:t>(</w:t>
      </w:r>
      <w:r>
        <w:rPr>
          <w:lang w:val="fr-FR"/>
        </w:rPr>
        <w:t>Loi sur les délits sexuels</w:t>
      </w:r>
      <w:r w:rsidRPr="00541B76">
        <w:rPr>
          <w:lang w:val="fr-FR"/>
        </w:rPr>
        <w:t xml:space="preserve">), LGBl. 2001 </w:t>
      </w:r>
      <w:r w:rsidR="00A4102E">
        <w:rPr>
          <w:lang w:val="fr-FR"/>
        </w:rPr>
        <w:t>n</w:t>
      </w:r>
      <w:r w:rsidR="00A4102E" w:rsidRPr="00A4102E">
        <w:rPr>
          <w:vertAlign w:val="subscript"/>
          <w:lang w:val="fr-FR"/>
        </w:rPr>
        <w:t>o</w:t>
      </w:r>
      <w:r w:rsidR="00A4102E">
        <w:rPr>
          <w:lang w:val="fr-FR"/>
        </w:rPr>
        <w:t> </w:t>
      </w:r>
      <w:r w:rsidRPr="00541B76">
        <w:rPr>
          <w:lang w:val="fr-FR"/>
        </w:rPr>
        <w:t>16.</w:t>
      </w:r>
    </w:p>
  </w:footnote>
  <w:footnote w:id="20">
    <w:p w:rsidR="006645B6" w:rsidRPr="00D91896" w:rsidRDefault="00A4102E" w:rsidP="00A03470">
      <w:pPr>
        <w:tabs>
          <w:tab w:val="right" w:pos="1195"/>
          <w:tab w:val="left" w:pos="1267"/>
          <w:tab w:val="left" w:pos="1742"/>
          <w:tab w:val="left" w:pos="2218"/>
          <w:tab w:val="left" w:pos="2693"/>
        </w:tabs>
        <w:ind w:left="1267" w:right="1260" w:hanging="432"/>
        <w:rPr>
          <w:lang w:val="de-CH"/>
        </w:rPr>
      </w:pPr>
      <w:r>
        <w:rPr>
          <w:lang w:val="fr-FR"/>
        </w:rPr>
        <w:tab/>
      </w:r>
      <w:r w:rsidR="006645B6" w:rsidRPr="00751E5D">
        <w:rPr>
          <w:rStyle w:val="FootnoteCharacters"/>
        </w:rPr>
        <w:footnoteRef/>
      </w:r>
      <w:r w:rsidR="006645B6" w:rsidRPr="009127EF">
        <w:rPr>
          <w:lang w:val="fr-FR"/>
        </w:rPr>
        <w:tab/>
        <w:t xml:space="preserve">En dialecte du Liechtenstein: </w:t>
      </w:r>
      <w:r w:rsidR="00432049">
        <w:rPr>
          <w:lang w:val="fr-FR"/>
        </w:rPr>
        <w:t>« </w:t>
      </w:r>
      <w:r w:rsidR="006645B6" w:rsidRPr="009127EF">
        <w:rPr>
          <w:lang w:val="fr-FR"/>
        </w:rPr>
        <w:t xml:space="preserve">DU </w:t>
      </w:r>
      <w:r w:rsidR="006645B6" w:rsidRPr="00D91896">
        <w:rPr>
          <w:lang w:val="de-CH"/>
        </w:rPr>
        <w:t>sescht wia</w:t>
      </w:r>
      <w:r w:rsidR="00432049">
        <w:rPr>
          <w:lang w:val="de-CH"/>
        </w:rPr>
        <w:t>“</w:t>
      </w:r>
      <w:r w:rsidR="006645B6" w:rsidRPr="00D91896">
        <w:rPr>
          <w:lang w:val="de-CH"/>
        </w:rPr>
        <w:t>.</w:t>
      </w:r>
    </w:p>
  </w:footnote>
  <w:footnote w:id="21">
    <w:p w:rsidR="006645B6" w:rsidRPr="00751E5D" w:rsidRDefault="006645B6" w:rsidP="00A03470">
      <w:pPr>
        <w:pStyle w:val="FootnoteText"/>
        <w:tabs>
          <w:tab w:val="clear" w:pos="418"/>
          <w:tab w:val="right" w:pos="1195"/>
          <w:tab w:val="left" w:pos="1267"/>
          <w:tab w:val="left" w:pos="1742"/>
          <w:tab w:val="left" w:pos="2218"/>
          <w:tab w:val="left" w:pos="2693"/>
        </w:tabs>
        <w:ind w:left="1267" w:right="1260" w:hanging="432"/>
      </w:pPr>
      <w:r w:rsidRPr="00751E5D">
        <w:rPr>
          <w:rStyle w:val="FootnoteReference"/>
        </w:rPr>
        <w:footnoteRef/>
      </w:r>
      <w:r w:rsidRPr="00751E5D">
        <w:t xml:space="preserve"> </w:t>
      </w:r>
      <w:r w:rsidRPr="00751E5D">
        <w:tab/>
      </w:r>
      <w:r w:rsidR="00C04160">
        <w:t xml:space="preserve">À </w:t>
      </w:r>
      <w:r>
        <w:t>la mi</w:t>
      </w:r>
      <w:r w:rsidRPr="00751E5D">
        <w:t>-2009.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6645B6" w:rsidTr="0040594D">
      <w:tblPrEx>
        <w:tblCellMar>
          <w:top w:w="0" w:type="dxa"/>
          <w:bottom w:w="0" w:type="dxa"/>
        </w:tblCellMar>
      </w:tblPrEx>
      <w:trPr>
        <w:trHeight w:hRule="exact" w:val="864"/>
      </w:trPr>
      <w:tc>
        <w:tcPr>
          <w:tcW w:w="4838" w:type="dxa"/>
          <w:shd w:val="clear" w:color="auto" w:fill="auto"/>
          <w:vAlign w:val="bottom"/>
        </w:tcPr>
        <w:p w:rsidR="006645B6" w:rsidRPr="0040594D" w:rsidRDefault="006645B6" w:rsidP="0040594D">
          <w:pPr>
            <w:pStyle w:val="Header"/>
            <w:spacing w:after="80"/>
            <w:rPr>
              <w:b/>
            </w:rPr>
          </w:pPr>
          <w:r>
            <w:rPr>
              <w:b/>
            </w:rPr>
            <w:fldChar w:fldCharType="begin"/>
          </w:r>
          <w:r>
            <w:rPr>
              <w:b/>
            </w:rPr>
            <w:instrText xml:space="preserve"> DOCVARIABLE "sss1" \* MERGEFORMAT </w:instrText>
          </w:r>
          <w:r>
            <w:rPr>
              <w:b/>
            </w:rPr>
            <w:fldChar w:fldCharType="separate"/>
          </w:r>
          <w:r w:rsidR="003A23C9">
            <w:rPr>
              <w:b/>
            </w:rPr>
            <w:t>CEDAW/C/LIE/4</w:t>
          </w:r>
          <w:r>
            <w:rPr>
              <w:b/>
            </w:rPr>
            <w:fldChar w:fldCharType="end"/>
          </w:r>
        </w:p>
      </w:tc>
      <w:tc>
        <w:tcPr>
          <w:tcW w:w="5033" w:type="dxa"/>
          <w:shd w:val="clear" w:color="auto" w:fill="auto"/>
          <w:vAlign w:val="bottom"/>
        </w:tcPr>
        <w:p w:rsidR="006645B6" w:rsidRDefault="006645B6" w:rsidP="0040594D">
          <w:pPr>
            <w:pStyle w:val="Header"/>
          </w:pPr>
        </w:p>
      </w:tc>
    </w:tr>
  </w:tbl>
  <w:p w:rsidR="006645B6" w:rsidRPr="0040594D" w:rsidRDefault="006645B6" w:rsidP="004059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6645B6" w:rsidTr="0040594D">
      <w:tblPrEx>
        <w:tblCellMar>
          <w:top w:w="0" w:type="dxa"/>
          <w:bottom w:w="0" w:type="dxa"/>
        </w:tblCellMar>
      </w:tblPrEx>
      <w:trPr>
        <w:trHeight w:hRule="exact" w:val="864"/>
      </w:trPr>
      <w:tc>
        <w:tcPr>
          <w:tcW w:w="4838" w:type="dxa"/>
          <w:shd w:val="clear" w:color="auto" w:fill="auto"/>
          <w:vAlign w:val="bottom"/>
        </w:tcPr>
        <w:p w:rsidR="006645B6" w:rsidRDefault="006645B6" w:rsidP="0040594D">
          <w:pPr>
            <w:pStyle w:val="Header"/>
          </w:pPr>
        </w:p>
      </w:tc>
      <w:tc>
        <w:tcPr>
          <w:tcW w:w="5033" w:type="dxa"/>
          <w:shd w:val="clear" w:color="auto" w:fill="auto"/>
          <w:vAlign w:val="bottom"/>
        </w:tcPr>
        <w:p w:rsidR="006645B6" w:rsidRPr="0040594D" w:rsidRDefault="006645B6" w:rsidP="0040594D">
          <w:pPr>
            <w:pStyle w:val="Header"/>
            <w:spacing w:after="80"/>
            <w:jc w:val="right"/>
            <w:rPr>
              <w:b/>
            </w:rPr>
          </w:pPr>
          <w:r>
            <w:rPr>
              <w:b/>
            </w:rPr>
            <w:fldChar w:fldCharType="begin"/>
          </w:r>
          <w:r>
            <w:rPr>
              <w:b/>
            </w:rPr>
            <w:instrText xml:space="preserve"> DOCVARIABLE "sss1" \* MERGEFORMAT </w:instrText>
          </w:r>
          <w:r>
            <w:rPr>
              <w:b/>
            </w:rPr>
            <w:fldChar w:fldCharType="separate"/>
          </w:r>
          <w:r w:rsidR="003A23C9">
            <w:rPr>
              <w:b/>
            </w:rPr>
            <w:t>CEDAW/C/LIE/4</w:t>
          </w:r>
          <w:r>
            <w:rPr>
              <w:b/>
            </w:rPr>
            <w:fldChar w:fldCharType="end"/>
          </w:r>
        </w:p>
      </w:tc>
    </w:tr>
  </w:tbl>
  <w:p w:rsidR="006645B6" w:rsidRPr="0040594D" w:rsidRDefault="006645B6" w:rsidP="0040594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6645B6" w:rsidRPr="00DA6F2F" w:rsidTr="006B4497">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6645B6" w:rsidRDefault="006645B6" w:rsidP="006B4497">
          <w:pPr>
            <w:pStyle w:val="Header"/>
            <w:spacing w:after="120"/>
          </w:pPr>
        </w:p>
      </w:tc>
      <w:tc>
        <w:tcPr>
          <w:tcW w:w="2059" w:type="dxa"/>
          <w:tcBorders>
            <w:bottom w:val="single" w:sz="4" w:space="0" w:color="auto"/>
          </w:tcBorders>
          <w:shd w:val="clear" w:color="auto" w:fill="auto"/>
          <w:vAlign w:val="bottom"/>
        </w:tcPr>
        <w:p w:rsidR="006645B6" w:rsidRPr="006B4497" w:rsidRDefault="006645B6" w:rsidP="006B4497">
          <w:pPr>
            <w:pStyle w:val="HCh"/>
            <w:spacing w:after="80"/>
            <w:rPr>
              <w:b w:val="0"/>
              <w:spacing w:val="2"/>
              <w:w w:val="96"/>
            </w:rPr>
          </w:pPr>
          <w:r>
            <w:rPr>
              <w:b w:val="0"/>
              <w:spacing w:val="2"/>
              <w:w w:val="96"/>
            </w:rPr>
            <w:t>Nations Unies</w:t>
          </w:r>
        </w:p>
      </w:tc>
      <w:tc>
        <w:tcPr>
          <w:tcW w:w="58" w:type="dxa"/>
          <w:tcBorders>
            <w:bottom w:val="single" w:sz="4" w:space="0" w:color="auto"/>
          </w:tcBorders>
          <w:shd w:val="clear" w:color="auto" w:fill="auto"/>
          <w:vAlign w:val="bottom"/>
        </w:tcPr>
        <w:p w:rsidR="006645B6" w:rsidRDefault="006645B6" w:rsidP="006B4497">
          <w:pPr>
            <w:pStyle w:val="Header"/>
            <w:spacing w:after="120"/>
          </w:pPr>
        </w:p>
      </w:tc>
      <w:tc>
        <w:tcPr>
          <w:tcW w:w="6523" w:type="dxa"/>
          <w:gridSpan w:val="3"/>
          <w:tcBorders>
            <w:bottom w:val="single" w:sz="4" w:space="0" w:color="auto"/>
          </w:tcBorders>
          <w:shd w:val="clear" w:color="auto" w:fill="auto"/>
          <w:vAlign w:val="bottom"/>
        </w:tcPr>
        <w:p w:rsidR="006645B6" w:rsidRPr="00873AAA" w:rsidRDefault="006645B6" w:rsidP="00873AAA">
          <w:pPr>
            <w:spacing w:after="80" w:line="240" w:lineRule="auto"/>
            <w:jc w:val="right"/>
            <w:rPr>
              <w:position w:val="-4"/>
              <w:lang w:val="en-US"/>
            </w:rPr>
          </w:pPr>
          <w:r>
            <w:rPr>
              <w:position w:val="-4"/>
              <w:sz w:val="40"/>
              <w:lang w:val="en-US"/>
            </w:rPr>
            <w:t>CEDAW</w:t>
          </w:r>
          <w:r>
            <w:rPr>
              <w:position w:val="-4"/>
              <w:lang w:val="en-US"/>
            </w:rPr>
            <w:t>/C/LIE/4</w:t>
          </w:r>
        </w:p>
      </w:tc>
    </w:tr>
    <w:tr w:rsidR="006645B6" w:rsidRPr="006B4497" w:rsidTr="006B4497">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6645B6" w:rsidRDefault="006645B6" w:rsidP="006B4497">
          <w:pPr>
            <w:pStyle w:val="Header"/>
            <w:spacing w:before="880"/>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6645B6" w:rsidRPr="006B4497" w:rsidRDefault="006645B6" w:rsidP="006B4497">
          <w:pPr>
            <w:pStyle w:val="Header"/>
            <w:spacing w:before="880"/>
            <w:ind w:left="-72"/>
          </w:pPr>
        </w:p>
      </w:tc>
      <w:tc>
        <w:tcPr>
          <w:tcW w:w="5227" w:type="dxa"/>
          <w:gridSpan w:val="3"/>
          <w:tcBorders>
            <w:top w:val="single" w:sz="4" w:space="0" w:color="auto"/>
            <w:bottom w:val="single" w:sz="12" w:space="0" w:color="auto"/>
          </w:tcBorders>
          <w:shd w:val="clear" w:color="auto" w:fill="auto"/>
        </w:tcPr>
        <w:p w:rsidR="006645B6" w:rsidRPr="006B4497" w:rsidRDefault="006645B6" w:rsidP="006B4497">
          <w:pPr>
            <w:pStyle w:val="XLarge"/>
            <w:spacing w:before="109" w:line="330" w:lineRule="exact"/>
            <w:rPr>
              <w:sz w:val="34"/>
            </w:rPr>
          </w:pPr>
          <w:r>
            <w:rPr>
              <w:sz w:val="34"/>
            </w:rPr>
            <w:t>Convention sur l</w:t>
          </w:r>
          <w:r>
            <w:rPr>
              <w:sz w:val="34"/>
              <w:vertAlign w:val="superscript"/>
            </w:rPr>
            <w:t>’</w:t>
          </w:r>
          <w:r>
            <w:rPr>
              <w:sz w:val="34"/>
            </w:rPr>
            <w:t>élimination</w:t>
          </w:r>
          <w:r>
            <w:rPr>
              <w:sz w:val="34"/>
            </w:rPr>
            <w:br/>
            <w:t>de toutes les formes</w:t>
          </w:r>
          <w:r>
            <w:rPr>
              <w:sz w:val="34"/>
            </w:rPr>
            <w:br/>
            <w:t>de discrimination à l</w:t>
          </w:r>
          <w:r>
            <w:rPr>
              <w:sz w:val="34"/>
              <w:vertAlign w:val="superscript"/>
            </w:rPr>
            <w:t>’</w:t>
          </w:r>
          <w:r>
            <w:rPr>
              <w:sz w:val="34"/>
            </w:rPr>
            <w:t>égard</w:t>
          </w:r>
          <w:r w:rsidR="00A03470">
            <w:rPr>
              <w:sz w:val="34"/>
            </w:rPr>
            <w:br/>
          </w:r>
          <w:r>
            <w:rPr>
              <w:sz w:val="34"/>
            </w:rPr>
            <w:t xml:space="preserve">des femmes </w:t>
          </w:r>
        </w:p>
      </w:tc>
      <w:tc>
        <w:tcPr>
          <w:tcW w:w="245" w:type="dxa"/>
          <w:tcBorders>
            <w:top w:val="single" w:sz="4" w:space="0" w:color="auto"/>
            <w:bottom w:val="single" w:sz="12" w:space="0" w:color="auto"/>
          </w:tcBorders>
          <w:shd w:val="clear" w:color="auto" w:fill="auto"/>
        </w:tcPr>
        <w:p w:rsidR="006645B6" w:rsidRPr="00430B2C" w:rsidRDefault="006645B6" w:rsidP="006B4497">
          <w:pPr>
            <w:pStyle w:val="Header"/>
            <w:spacing w:before="109"/>
            <w:rPr>
              <w:lang w:val="fr-FR"/>
            </w:rPr>
          </w:pPr>
        </w:p>
      </w:tc>
      <w:tc>
        <w:tcPr>
          <w:tcW w:w="3180" w:type="dxa"/>
          <w:gridSpan w:val="2"/>
          <w:tcBorders>
            <w:top w:val="single" w:sz="4" w:space="0" w:color="auto"/>
            <w:bottom w:val="single" w:sz="12" w:space="0" w:color="auto"/>
          </w:tcBorders>
          <w:shd w:val="clear" w:color="auto" w:fill="auto"/>
        </w:tcPr>
        <w:p w:rsidR="006645B6" w:rsidRDefault="006645B6" w:rsidP="006B4497">
          <w:pPr>
            <w:spacing w:before="240"/>
          </w:pPr>
          <w:r>
            <w:t>Distr. générale</w:t>
          </w:r>
        </w:p>
        <w:p w:rsidR="006645B6" w:rsidRDefault="006645B6" w:rsidP="006B4497">
          <w:r>
            <w:t>24 mars 2010</w:t>
          </w:r>
        </w:p>
        <w:p w:rsidR="006645B6" w:rsidRDefault="006645B6" w:rsidP="006B4497">
          <w:r>
            <w:t>Français</w:t>
          </w:r>
        </w:p>
        <w:p w:rsidR="006645B6" w:rsidRPr="006B4497" w:rsidRDefault="006645B6" w:rsidP="006B4497">
          <w:r>
            <w:t>Original</w:t>
          </w:r>
          <w:r>
            <w:rPr>
              <w:vertAlign w:val="superscript"/>
            </w:rPr>
            <w:t> </w:t>
          </w:r>
          <w:r w:rsidRPr="00A27F12">
            <w:t>:</w:t>
          </w:r>
          <w:r>
            <w:t xml:space="preserve"> anglais</w:t>
          </w:r>
        </w:p>
      </w:tc>
    </w:tr>
  </w:tbl>
  <w:p w:rsidR="006645B6" w:rsidRPr="00430B2C" w:rsidRDefault="006645B6" w:rsidP="006B4497">
    <w:pPr>
      <w:pStyle w:val="Header"/>
      <w:spacing w:line="240" w:lineRule="auto"/>
      <w:rPr>
        <w:sz w:val="2"/>
        <w:lang w:val="fr-FR"/>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6645B6" w:rsidTr="00873AAA">
      <w:tblPrEx>
        <w:tblCellMar>
          <w:top w:w="0" w:type="dxa"/>
          <w:bottom w:w="0" w:type="dxa"/>
        </w:tblCellMar>
      </w:tblPrEx>
      <w:trPr>
        <w:trHeight w:hRule="exact" w:val="864"/>
      </w:trPr>
      <w:tc>
        <w:tcPr>
          <w:tcW w:w="4838" w:type="dxa"/>
          <w:shd w:val="clear" w:color="auto" w:fill="auto"/>
          <w:vAlign w:val="bottom"/>
        </w:tcPr>
        <w:p w:rsidR="006645B6" w:rsidRPr="00873AAA" w:rsidRDefault="006645B6" w:rsidP="00873AAA">
          <w:pPr>
            <w:pStyle w:val="Header"/>
            <w:spacing w:after="80"/>
            <w:rPr>
              <w:b/>
            </w:rPr>
          </w:pPr>
          <w:r>
            <w:rPr>
              <w:b/>
            </w:rPr>
            <w:fldChar w:fldCharType="begin"/>
          </w:r>
          <w:r>
            <w:rPr>
              <w:b/>
            </w:rPr>
            <w:instrText xml:space="preserve"> DOCVARIABLE "sss1" \* MERGEFORMAT </w:instrText>
          </w:r>
          <w:r>
            <w:rPr>
              <w:b/>
            </w:rPr>
            <w:fldChar w:fldCharType="separate"/>
          </w:r>
          <w:r w:rsidR="003A23C9">
            <w:rPr>
              <w:b/>
            </w:rPr>
            <w:t>CEDAW/C/LIE/4</w:t>
          </w:r>
          <w:r>
            <w:rPr>
              <w:b/>
            </w:rPr>
            <w:fldChar w:fldCharType="end"/>
          </w:r>
        </w:p>
      </w:tc>
      <w:tc>
        <w:tcPr>
          <w:tcW w:w="5033" w:type="dxa"/>
          <w:shd w:val="clear" w:color="auto" w:fill="auto"/>
          <w:vAlign w:val="bottom"/>
        </w:tcPr>
        <w:p w:rsidR="006645B6" w:rsidRDefault="006645B6" w:rsidP="00873AAA">
          <w:pPr>
            <w:pStyle w:val="Header"/>
          </w:pPr>
        </w:p>
      </w:tc>
    </w:tr>
  </w:tbl>
  <w:p w:rsidR="006645B6" w:rsidRPr="00873AAA" w:rsidRDefault="006645B6" w:rsidP="00873AA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6645B6" w:rsidTr="00873AAA">
      <w:tblPrEx>
        <w:tblCellMar>
          <w:top w:w="0" w:type="dxa"/>
          <w:bottom w:w="0" w:type="dxa"/>
        </w:tblCellMar>
      </w:tblPrEx>
      <w:trPr>
        <w:trHeight w:hRule="exact" w:val="864"/>
      </w:trPr>
      <w:tc>
        <w:tcPr>
          <w:tcW w:w="4838" w:type="dxa"/>
          <w:shd w:val="clear" w:color="auto" w:fill="auto"/>
          <w:vAlign w:val="bottom"/>
        </w:tcPr>
        <w:p w:rsidR="006645B6" w:rsidRDefault="006645B6" w:rsidP="00873AAA">
          <w:pPr>
            <w:pStyle w:val="Header"/>
          </w:pPr>
        </w:p>
      </w:tc>
      <w:tc>
        <w:tcPr>
          <w:tcW w:w="5033" w:type="dxa"/>
          <w:shd w:val="clear" w:color="auto" w:fill="auto"/>
          <w:vAlign w:val="bottom"/>
        </w:tcPr>
        <w:p w:rsidR="006645B6" w:rsidRPr="00873AAA" w:rsidRDefault="006645B6" w:rsidP="00873AAA">
          <w:pPr>
            <w:pStyle w:val="Header"/>
            <w:spacing w:after="80"/>
            <w:jc w:val="right"/>
            <w:rPr>
              <w:b/>
            </w:rPr>
          </w:pPr>
          <w:r>
            <w:rPr>
              <w:b/>
            </w:rPr>
            <w:fldChar w:fldCharType="begin"/>
          </w:r>
          <w:r>
            <w:rPr>
              <w:b/>
            </w:rPr>
            <w:instrText xml:space="preserve"> DOCVARIABLE "sss1" \* MERGEFORMAT </w:instrText>
          </w:r>
          <w:r>
            <w:rPr>
              <w:b/>
            </w:rPr>
            <w:fldChar w:fldCharType="separate"/>
          </w:r>
          <w:r w:rsidR="003A23C9">
            <w:rPr>
              <w:b/>
            </w:rPr>
            <w:t>CEDAW/C/LIE/4</w:t>
          </w:r>
          <w:r>
            <w:rPr>
              <w:b/>
            </w:rPr>
            <w:fldChar w:fldCharType="end"/>
          </w:r>
        </w:p>
      </w:tc>
    </w:tr>
  </w:tbl>
  <w:p w:rsidR="006645B6" w:rsidRPr="00873AAA" w:rsidRDefault="006645B6" w:rsidP="00873AA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6645B6">
      <w:tblPrEx>
        <w:tblCellMar>
          <w:top w:w="0" w:type="dxa"/>
          <w:bottom w:w="0" w:type="dxa"/>
        </w:tblCellMar>
      </w:tblPrEx>
      <w:trPr>
        <w:trHeight w:hRule="exact" w:val="864"/>
      </w:trPr>
      <w:tc>
        <w:tcPr>
          <w:tcW w:w="1267" w:type="dxa"/>
          <w:tcBorders>
            <w:bottom w:val="single" w:sz="4" w:space="0" w:color="auto"/>
          </w:tcBorders>
          <w:shd w:val="clear" w:color="auto" w:fill="auto"/>
          <w:vAlign w:val="bottom"/>
        </w:tcPr>
        <w:p w:rsidR="006645B6" w:rsidRDefault="006645B6">
          <w:pPr>
            <w:pStyle w:val="Header"/>
            <w:spacing w:after="120"/>
          </w:pPr>
        </w:p>
      </w:tc>
      <w:tc>
        <w:tcPr>
          <w:tcW w:w="1872" w:type="dxa"/>
          <w:tcBorders>
            <w:bottom w:val="single" w:sz="4" w:space="0" w:color="auto"/>
          </w:tcBorders>
          <w:shd w:val="clear" w:color="auto" w:fill="auto"/>
          <w:vAlign w:val="bottom"/>
        </w:tcPr>
        <w:p w:rsidR="006645B6" w:rsidRPr="002F1228" w:rsidRDefault="006645B6">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6645B6" w:rsidRDefault="006645B6">
          <w:pPr>
            <w:pStyle w:val="Header"/>
            <w:spacing w:after="120"/>
          </w:pPr>
        </w:p>
      </w:tc>
      <w:tc>
        <w:tcPr>
          <w:tcW w:w="6523" w:type="dxa"/>
          <w:gridSpan w:val="4"/>
          <w:tcBorders>
            <w:bottom w:val="single" w:sz="4" w:space="0" w:color="auto"/>
          </w:tcBorders>
          <w:shd w:val="clear" w:color="auto" w:fill="auto"/>
          <w:vAlign w:val="bottom"/>
        </w:tcPr>
        <w:p w:rsidR="006645B6" w:rsidRPr="002F1228" w:rsidRDefault="006645B6">
          <w:pPr>
            <w:spacing w:after="80" w:line="240" w:lineRule="auto"/>
            <w:jc w:val="right"/>
            <w:rPr>
              <w:position w:val="-4"/>
            </w:rPr>
          </w:pPr>
          <w:r>
            <w:rPr>
              <w:position w:val="-4"/>
              <w:sz w:val="40"/>
            </w:rPr>
            <w:t>CEDAW</w:t>
          </w:r>
          <w:r w:rsidRPr="00493637">
            <w:rPr>
              <w:position w:val="-4"/>
            </w:rPr>
            <w:t>/C/LIE/4</w:t>
          </w:r>
        </w:p>
      </w:tc>
    </w:tr>
    <w:tr w:rsidR="006645B6" w:rsidRPr="002F1228">
      <w:tblPrEx>
        <w:tblCellMar>
          <w:top w:w="0" w:type="dxa"/>
          <w:bottom w:w="0" w:type="dxa"/>
        </w:tblCellMar>
      </w:tblPrEx>
      <w:trPr>
        <w:gridAfter w:val="1"/>
        <w:wAfter w:w="28" w:type="dxa"/>
        <w:trHeight w:hRule="exact" w:val="3098"/>
      </w:trPr>
      <w:tc>
        <w:tcPr>
          <w:tcW w:w="1267" w:type="dxa"/>
          <w:tcBorders>
            <w:top w:val="single" w:sz="4" w:space="0" w:color="auto"/>
            <w:bottom w:val="single" w:sz="12" w:space="0" w:color="auto"/>
          </w:tcBorders>
          <w:shd w:val="clear" w:color="auto" w:fill="auto"/>
        </w:tcPr>
        <w:p w:rsidR="006645B6" w:rsidRDefault="006645B6">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6.25pt;height:46.5pt">
                <v:imagedata r:id="rId1" o:title="_unlogo"/>
              </v:shape>
            </w:pict>
          </w:r>
        </w:p>
        <w:p w:rsidR="006645B6" w:rsidRPr="002F1228" w:rsidRDefault="006645B6">
          <w:pPr>
            <w:pStyle w:val="Header"/>
            <w:spacing w:before="109"/>
          </w:pPr>
        </w:p>
      </w:tc>
      <w:tc>
        <w:tcPr>
          <w:tcW w:w="5227" w:type="dxa"/>
          <w:gridSpan w:val="3"/>
          <w:tcBorders>
            <w:top w:val="single" w:sz="4" w:space="0" w:color="auto"/>
            <w:bottom w:val="single" w:sz="12" w:space="0" w:color="auto"/>
          </w:tcBorders>
          <w:shd w:val="clear" w:color="auto" w:fill="auto"/>
        </w:tcPr>
        <w:p w:rsidR="006645B6" w:rsidRPr="007D073A" w:rsidRDefault="006645B6" w:rsidP="00826E0F">
          <w:pPr>
            <w:pStyle w:val="SingleTxt"/>
            <w:spacing w:after="0" w:line="120" w:lineRule="exact"/>
            <w:rPr>
              <w:sz w:val="10"/>
            </w:rPr>
          </w:pPr>
        </w:p>
        <w:p w:rsidR="006645B6" w:rsidRPr="007D073A" w:rsidRDefault="006645B6" w:rsidP="00826E0F">
          <w:pPr>
            <w:framePr w:w="9792" w:h="432" w:hSpace="180" w:wrap="around" w:hAnchor="page" w:x="1210" w:yAlign="bottom"/>
            <w:spacing w:line="240" w:lineRule="auto"/>
            <w:rPr>
              <w:sz w:val="10"/>
            </w:rPr>
          </w:pPr>
        </w:p>
        <w:p w:rsidR="006645B6" w:rsidRPr="007D073A" w:rsidRDefault="006645B6" w:rsidP="00826E0F">
          <w:pPr>
            <w:framePr w:w="9792" w:h="432" w:hSpace="180" w:wrap="around" w:hAnchor="page" w:x="1210" w:yAlign="bottom"/>
            <w:spacing w:line="240" w:lineRule="auto"/>
            <w:rPr>
              <w:sz w:val="6"/>
            </w:rPr>
          </w:pPr>
          <w:r w:rsidRPr="007D073A">
            <w:rPr>
              <w:noProof/>
              <w:sz w:val="6"/>
              <w:lang w:val="en-US"/>
            </w:rPr>
            <w:pict>
              <v:line id="_x0000_s2049" style="position:absolute;z-index:1;mso-position-horizontal-relative:page" from="108pt,-1pt" to="180pt,-1pt" strokeweight=".25pt">
                <w10:wrap anchorx="page"/>
              </v:line>
            </w:pict>
          </w:r>
        </w:p>
        <w:p w:rsidR="006645B6" w:rsidRPr="00493637" w:rsidRDefault="006645B6" w:rsidP="00826E0F">
          <w:pPr>
            <w:framePr w:w="9792" w:h="432" w:hSpace="180" w:wrap="around" w:hAnchor="page" w:x="1210" w:yAlign="bottom"/>
            <w:rPr>
              <w:sz w:val="22"/>
              <w:szCs w:val="22"/>
            </w:rPr>
          </w:pPr>
          <w:r>
            <w:rPr>
              <w:sz w:val="17"/>
            </w:rPr>
            <w:tab/>
          </w:r>
        </w:p>
        <w:p w:rsidR="006645B6" w:rsidRPr="007D073A" w:rsidRDefault="006645B6" w:rsidP="00826E0F">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p>
        <w:p w:rsidR="006645B6" w:rsidRPr="00723D15" w:rsidRDefault="006645B6" w:rsidP="00826E0F">
          <w:pPr>
            <w:widowControl w:val="0"/>
          </w:pPr>
          <w:r>
            <w:tab/>
          </w:r>
          <w:r>
            <w:rPr>
              <w:b/>
              <w:bCs/>
            </w:rPr>
            <w:t xml:space="preserve">Convention </w:t>
          </w:r>
          <w:r w:rsidRPr="00723D15">
            <w:rPr>
              <w:b/>
              <w:bCs/>
            </w:rPr>
            <w:t>sur l</w:t>
          </w:r>
          <w:r>
            <w:rPr>
              <w:b/>
              <w:bCs/>
            </w:rPr>
            <w:t>’</w:t>
          </w:r>
          <w:r w:rsidRPr="00723D15">
            <w:rPr>
              <w:b/>
              <w:bCs/>
            </w:rPr>
            <w:t xml:space="preserve">élimination </w:t>
          </w:r>
          <w:r w:rsidRPr="00723D15">
            <w:rPr>
              <w:b/>
              <w:bCs/>
            </w:rPr>
            <w:tab/>
          </w:r>
          <w:r w:rsidRPr="00723D15">
            <w:rPr>
              <w:b/>
              <w:bCs/>
            </w:rPr>
            <w:tab/>
          </w:r>
          <w:r w:rsidRPr="00723D15">
            <w:rPr>
              <w:b/>
              <w:bCs/>
            </w:rPr>
            <w:tab/>
          </w:r>
          <w:r w:rsidRPr="00723D15">
            <w:rPr>
              <w:b/>
              <w:bCs/>
            </w:rPr>
            <w:tab/>
          </w:r>
          <w:r w:rsidRPr="00723D15">
            <w:rPr>
              <w:b/>
              <w:bCs/>
            </w:rPr>
            <w:tab/>
          </w:r>
        </w:p>
        <w:p w:rsidR="006645B6" w:rsidRPr="00723D15" w:rsidRDefault="006645B6" w:rsidP="00826E0F">
          <w:pPr>
            <w:widowControl w:val="0"/>
          </w:pPr>
          <w:r w:rsidRPr="00723D15">
            <w:rPr>
              <w:b/>
              <w:bCs/>
            </w:rPr>
            <w:t xml:space="preserve">de toutes les formes de discrimination </w:t>
          </w:r>
          <w:r w:rsidRPr="00723D15">
            <w:rPr>
              <w:b/>
              <w:bCs/>
            </w:rPr>
            <w:tab/>
          </w:r>
          <w:r w:rsidRPr="00723D15">
            <w:rPr>
              <w:b/>
              <w:bCs/>
            </w:rPr>
            <w:tab/>
          </w:r>
          <w:r w:rsidRPr="00723D15">
            <w:rPr>
              <w:b/>
              <w:bCs/>
            </w:rPr>
            <w:tab/>
          </w:r>
          <w:r w:rsidRPr="00723D15">
            <w:rPr>
              <w:b/>
              <w:bCs/>
            </w:rPr>
            <w:tab/>
          </w:r>
        </w:p>
        <w:p w:rsidR="006645B6" w:rsidRPr="00723D15" w:rsidRDefault="006645B6" w:rsidP="00826E0F">
          <w:pPr>
            <w:widowControl w:val="0"/>
          </w:pPr>
          <w:r w:rsidRPr="00723D15">
            <w:rPr>
              <w:b/>
              <w:bCs/>
            </w:rPr>
            <w:t>à l</w:t>
          </w:r>
          <w:r>
            <w:rPr>
              <w:b/>
              <w:bCs/>
            </w:rPr>
            <w:t>’</w:t>
          </w:r>
          <w:r w:rsidRPr="00723D15">
            <w:rPr>
              <w:b/>
              <w:bCs/>
            </w:rPr>
            <w:t>égard des femmes</w:t>
          </w:r>
          <w:r w:rsidRPr="00723D15">
            <w:rPr>
              <w:b/>
              <w:bCs/>
            </w:rPr>
            <w:tab/>
          </w:r>
          <w:r w:rsidRPr="00723D15">
            <w:rPr>
              <w:b/>
              <w:bCs/>
            </w:rPr>
            <w:tab/>
          </w:r>
          <w:r w:rsidRPr="00723D15">
            <w:rPr>
              <w:b/>
              <w:bCs/>
            </w:rPr>
            <w:tab/>
          </w:r>
          <w:r w:rsidRPr="00723D15">
            <w:rPr>
              <w:b/>
              <w:bCs/>
            </w:rPr>
            <w:tab/>
          </w:r>
          <w:r w:rsidRPr="00723D15">
            <w:rPr>
              <w:b/>
              <w:bCs/>
            </w:rPr>
            <w:tab/>
          </w:r>
          <w:r w:rsidRPr="00723D15">
            <w:rPr>
              <w:b/>
              <w:bCs/>
            </w:rPr>
            <w:tab/>
          </w:r>
          <w:r w:rsidRPr="00723D15">
            <w:rPr>
              <w:b/>
              <w:bCs/>
            </w:rPr>
            <w:tab/>
          </w:r>
        </w:p>
        <w:p w:rsidR="006645B6" w:rsidRPr="002F1228" w:rsidRDefault="006645B6">
          <w:pPr>
            <w:pStyle w:val="XLarge"/>
            <w:spacing w:before="109" w:line="330" w:lineRule="exact"/>
            <w:rPr>
              <w:sz w:val="34"/>
            </w:rPr>
          </w:pPr>
        </w:p>
      </w:tc>
      <w:tc>
        <w:tcPr>
          <w:tcW w:w="245" w:type="dxa"/>
          <w:tcBorders>
            <w:top w:val="single" w:sz="4" w:space="0" w:color="auto"/>
            <w:bottom w:val="single" w:sz="12" w:space="0" w:color="auto"/>
          </w:tcBorders>
          <w:shd w:val="clear" w:color="auto" w:fill="auto"/>
        </w:tcPr>
        <w:p w:rsidR="006645B6" w:rsidRPr="002F1228" w:rsidRDefault="006645B6">
          <w:pPr>
            <w:pStyle w:val="Header"/>
            <w:spacing w:before="109"/>
          </w:pPr>
        </w:p>
      </w:tc>
      <w:tc>
        <w:tcPr>
          <w:tcW w:w="3140" w:type="dxa"/>
          <w:tcBorders>
            <w:top w:val="single" w:sz="4" w:space="0" w:color="auto"/>
            <w:bottom w:val="single" w:sz="12" w:space="0" w:color="auto"/>
          </w:tcBorders>
          <w:shd w:val="clear" w:color="auto" w:fill="auto"/>
        </w:tcPr>
        <w:p w:rsidR="006645B6" w:rsidRDefault="006645B6">
          <w:pPr>
            <w:spacing w:before="240"/>
          </w:pPr>
          <w:r>
            <w:t>Distr.: générale</w:t>
          </w:r>
        </w:p>
        <w:p w:rsidR="006645B6" w:rsidRDefault="006645B6">
          <w:r>
            <w:t>24 mars 2010</w:t>
          </w:r>
        </w:p>
        <w:p w:rsidR="006645B6" w:rsidRDefault="006645B6">
          <w:r>
            <w:t>Original: Anglais</w:t>
          </w:r>
        </w:p>
        <w:p w:rsidR="006645B6" w:rsidRDefault="006645B6"/>
        <w:p w:rsidR="006645B6" w:rsidRDefault="006645B6"/>
        <w:p w:rsidR="006645B6" w:rsidRPr="00513F86" w:rsidRDefault="006645B6" w:rsidP="00826E0F">
          <w:pPr>
            <w:rPr>
              <w:b/>
              <w:bCs/>
              <w:sz w:val="18"/>
              <w:szCs w:val="18"/>
              <w:u w:val="single"/>
            </w:rPr>
          </w:pPr>
          <w:r>
            <w:rPr>
              <w:lang w:val="fr-FR" w:eastAsia="fr-FR"/>
            </w:rPr>
            <w:t>Version provisoire non éditée</w:t>
          </w:r>
        </w:p>
      </w:tc>
    </w:tr>
  </w:tbl>
  <w:p w:rsidR="006645B6" w:rsidRPr="00826E0F" w:rsidRDefault="006645B6">
    <w:pPr>
      <w:pStyle w:val="Header"/>
      <w:rPr>
        <w:sz w:val="2"/>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00000009"/>
    <w:name w:val="WW8Num2"/>
    <w:lvl w:ilvl="0">
      <w:numFmt w:val="bullet"/>
      <w:lvlText w:val="-"/>
      <w:lvlJc w:val="left"/>
      <w:pPr>
        <w:tabs>
          <w:tab w:val="num" w:pos="360"/>
        </w:tabs>
        <w:ind w:left="360" w:hanging="360"/>
      </w:pPr>
      <w:rPr>
        <w:rFonts w:ascii="Calibri" w:hAnsi="Calibri"/>
      </w:rPr>
    </w:lvl>
  </w:abstractNum>
  <w:abstractNum w:abstractNumId="1">
    <w:nsid w:val="0000000A"/>
    <w:multiLevelType w:val="singleLevel"/>
    <w:tmpl w:val="0000000A"/>
    <w:name w:val="WW8Num3"/>
    <w:lvl w:ilvl="0">
      <w:numFmt w:val="bullet"/>
      <w:lvlText w:val="-"/>
      <w:lvlJc w:val="left"/>
      <w:pPr>
        <w:tabs>
          <w:tab w:val="num" w:pos="360"/>
        </w:tabs>
        <w:ind w:left="360" w:hanging="360"/>
      </w:pPr>
      <w:rPr>
        <w:rFonts w:ascii="Calibri" w:hAnsi="Calibri" w:cs="Times New Roman"/>
      </w:rPr>
    </w:lvl>
  </w:abstractNum>
  <w:abstractNum w:abstractNumId="2">
    <w:nsid w:val="0000000B"/>
    <w:multiLevelType w:val="multilevel"/>
    <w:tmpl w:val="11CC32A2"/>
    <w:name w:val="WW8Num4"/>
    <w:lvl w:ilvl="0">
      <w:start w:val="1"/>
      <w:numFmt w:val="decimal"/>
      <w:lvlText w:val="%1)"/>
      <w:lvlJc w:val="left"/>
      <w:pPr>
        <w:tabs>
          <w:tab w:val="num" w:pos="720"/>
        </w:tabs>
        <w:ind w:left="720" w:hanging="360"/>
      </w:pPr>
      <w:rPr>
        <w:lang w:val="fr-F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24F4501"/>
    <w:multiLevelType w:val="hybridMultilevel"/>
    <w:tmpl w:val="A26CBC30"/>
    <w:name w:val="WW8Num5"/>
    <w:lvl w:ilvl="0">
      <w:start w:val="24"/>
      <w:numFmt w:val="bullet"/>
      <w:lvlText w:val=""/>
      <w:lvlJc w:val="left"/>
      <w:pPr>
        <w:tabs>
          <w:tab w:val="num" w:pos="720"/>
        </w:tabs>
        <w:ind w:left="720" w:hanging="360"/>
      </w:pPr>
      <w:rPr>
        <w:rFonts w:ascii="Symbol" w:eastAsia="Times New Roman" w:hAnsi="Symbol" w:cs="Times New Roman" w:hint="default"/>
        <w:b/>
        <w:sz w:val="24"/>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051B0E73"/>
    <w:multiLevelType w:val="singleLevel"/>
    <w:tmpl w:val="EB060382"/>
    <w:name w:val="WW8Num6"/>
    <w:lvl w:ilvl="0">
      <w:start w:val="1"/>
      <w:numFmt w:val="decimal"/>
      <w:lvlRestart w:val="0"/>
      <w:lvlText w:val="%1."/>
      <w:lvlJc w:val="left"/>
      <w:pPr>
        <w:tabs>
          <w:tab w:val="num" w:pos="1742"/>
        </w:tabs>
        <w:ind w:left="1267" w:firstLine="0"/>
      </w:pPr>
      <w:rPr>
        <w:rFonts w:ascii="Times New Roman" w:hAnsi="Times New Roman" w:hint="default"/>
        <w:b w:val="0"/>
        <w:i w:val="0"/>
        <w:color w:val="auto"/>
        <w:w w:val="100"/>
        <w:sz w:val="20"/>
      </w:rPr>
    </w:lvl>
  </w:abstractNum>
  <w:abstractNum w:abstractNumId="5">
    <w:nsid w:val="06E35664"/>
    <w:multiLevelType w:val="hybridMultilevel"/>
    <w:tmpl w:val="E32CC24E"/>
    <w:name w:val="WW8Num7"/>
    <w:lvl w:ilvl="0">
      <w:start w:val="1"/>
      <w:numFmt w:val="bullet"/>
      <w:lvlText w:val=""/>
      <w:lvlJc w:val="left"/>
      <w:pPr>
        <w:tabs>
          <w:tab w:val="num" w:pos="357"/>
        </w:tabs>
        <w:ind w:left="357" w:hanging="357"/>
      </w:pPr>
      <w:rPr>
        <w:rFonts w:ascii="Symbol" w:hAnsi="Symbol" w:hint="default"/>
      </w:rPr>
    </w:lvl>
    <w:lvl w:ilvl="1">
      <w:start w:val="1"/>
      <w:numFmt w:val="decimal"/>
      <w:lvlText w:val="%2."/>
      <w:lvlJc w:val="left"/>
      <w:pPr>
        <w:tabs>
          <w:tab w:val="num" w:pos="1008"/>
        </w:tabs>
        <w:ind w:left="1008" w:hanging="360"/>
      </w:pPr>
    </w:lvl>
    <w:lvl w:ilvl="2">
      <w:start w:val="1"/>
      <w:numFmt w:val="decimal"/>
      <w:lvlText w:val="%3."/>
      <w:lvlJc w:val="left"/>
      <w:pPr>
        <w:tabs>
          <w:tab w:val="num" w:pos="1728"/>
        </w:tabs>
        <w:ind w:left="1728" w:hanging="360"/>
      </w:pPr>
    </w:lvl>
    <w:lvl w:ilvl="3">
      <w:start w:val="1"/>
      <w:numFmt w:val="decimal"/>
      <w:lvlText w:val="%4."/>
      <w:lvlJc w:val="left"/>
      <w:pPr>
        <w:tabs>
          <w:tab w:val="num" w:pos="2448"/>
        </w:tabs>
        <w:ind w:left="2448" w:hanging="360"/>
      </w:pPr>
    </w:lvl>
    <w:lvl w:ilvl="4">
      <w:start w:val="1"/>
      <w:numFmt w:val="decimal"/>
      <w:lvlText w:val="%5."/>
      <w:lvlJc w:val="left"/>
      <w:pPr>
        <w:tabs>
          <w:tab w:val="num" w:pos="3168"/>
        </w:tabs>
        <w:ind w:left="3168" w:hanging="360"/>
      </w:pPr>
    </w:lvl>
    <w:lvl w:ilvl="5">
      <w:start w:val="1"/>
      <w:numFmt w:val="decimal"/>
      <w:lvlText w:val="%6."/>
      <w:lvlJc w:val="left"/>
      <w:pPr>
        <w:tabs>
          <w:tab w:val="num" w:pos="3888"/>
        </w:tabs>
        <w:ind w:left="3888" w:hanging="360"/>
      </w:pPr>
    </w:lvl>
    <w:lvl w:ilvl="6">
      <w:start w:val="1"/>
      <w:numFmt w:val="decimal"/>
      <w:lvlText w:val="%7."/>
      <w:lvlJc w:val="left"/>
      <w:pPr>
        <w:tabs>
          <w:tab w:val="num" w:pos="4608"/>
        </w:tabs>
        <w:ind w:left="4608" w:hanging="360"/>
      </w:pPr>
    </w:lvl>
    <w:lvl w:ilvl="7">
      <w:start w:val="1"/>
      <w:numFmt w:val="decimal"/>
      <w:lvlText w:val="%8."/>
      <w:lvlJc w:val="left"/>
      <w:pPr>
        <w:tabs>
          <w:tab w:val="num" w:pos="5328"/>
        </w:tabs>
        <w:ind w:left="5328" w:hanging="360"/>
      </w:pPr>
    </w:lvl>
    <w:lvl w:ilvl="8">
      <w:start w:val="1"/>
      <w:numFmt w:val="decimal"/>
      <w:lvlText w:val="%9."/>
      <w:lvlJc w:val="left"/>
      <w:pPr>
        <w:tabs>
          <w:tab w:val="num" w:pos="6048"/>
        </w:tabs>
        <w:ind w:left="6048" w:hanging="360"/>
      </w:pPr>
    </w:lvl>
  </w:abstractNum>
  <w:abstractNum w:abstractNumId="6">
    <w:nsid w:val="0A9C2A6C"/>
    <w:multiLevelType w:val="singleLevel"/>
    <w:tmpl w:val="40C4F6DC"/>
    <w:name w:val="WW8Num8"/>
    <w:lvl w:ilvl="0">
      <w:start w:val="31"/>
      <w:numFmt w:val="decimal"/>
      <w:lvlRestart w:val="0"/>
      <w:lvlText w:val="%1."/>
      <w:lvlJc w:val="left"/>
      <w:pPr>
        <w:tabs>
          <w:tab w:val="num" w:pos="1742"/>
        </w:tabs>
        <w:ind w:left="1267" w:firstLine="0"/>
      </w:pPr>
      <w:rPr>
        <w:rFonts w:hint="default"/>
        <w:b w:val="0"/>
        <w:w w:val="100"/>
      </w:rPr>
    </w:lvl>
  </w:abstractNum>
  <w:abstractNum w:abstractNumId="7">
    <w:nsid w:val="0AA33756"/>
    <w:multiLevelType w:val="singleLevel"/>
    <w:tmpl w:val="EB060382"/>
    <w:name w:val="WW8Num9"/>
    <w:lvl w:ilvl="0">
      <w:start w:val="1"/>
      <w:numFmt w:val="decimal"/>
      <w:lvlRestart w:val="0"/>
      <w:lvlText w:val="%1."/>
      <w:lvlJc w:val="left"/>
      <w:pPr>
        <w:tabs>
          <w:tab w:val="num" w:pos="1742"/>
        </w:tabs>
        <w:ind w:left="1267" w:firstLine="0"/>
      </w:pPr>
      <w:rPr>
        <w:rFonts w:ascii="Times New Roman" w:hAnsi="Times New Roman" w:hint="default"/>
        <w:b w:val="0"/>
        <w:i w:val="0"/>
        <w:color w:val="auto"/>
        <w:w w:val="100"/>
        <w:sz w:val="20"/>
      </w:rPr>
    </w:lvl>
  </w:abstractNum>
  <w:abstractNum w:abstractNumId="8">
    <w:nsid w:val="11A80916"/>
    <w:multiLevelType w:val="singleLevel"/>
    <w:tmpl w:val="DFECE106"/>
    <w:name w:val="WW8Num10"/>
    <w:lvl w:ilvl="0">
      <w:start w:val="1"/>
      <w:numFmt w:val="decimal"/>
      <w:lvlRestart w:val="0"/>
      <w:lvlText w:val="%1."/>
      <w:lvlJc w:val="left"/>
      <w:pPr>
        <w:tabs>
          <w:tab w:val="num" w:pos="655"/>
        </w:tabs>
        <w:ind w:left="180" w:firstLine="0"/>
      </w:pPr>
      <w:rPr>
        <w:rFonts w:hint="default"/>
        <w:w w:val="100"/>
      </w:rPr>
    </w:lvl>
  </w:abstractNum>
  <w:abstractNum w:abstractNumId="9">
    <w:nsid w:val="153370DF"/>
    <w:multiLevelType w:val="hybridMultilevel"/>
    <w:tmpl w:val="BBA08E4E"/>
    <w:name w:val="WW8Num11"/>
    <w:lvl w:ilvl="0">
      <w:start w:val="1"/>
      <w:numFmt w:val="bullet"/>
      <w:lvlText w:val=""/>
      <w:lvlJc w:val="left"/>
      <w:pPr>
        <w:tabs>
          <w:tab w:val="num" w:pos="357"/>
        </w:tabs>
        <w:ind w:left="357" w:hanging="357"/>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nsid w:val="1CBA48DE"/>
    <w:multiLevelType w:val="singleLevel"/>
    <w:tmpl w:val="86ACDAD2"/>
    <w:lvl w:ilvl="0">
      <w:start w:val="19"/>
      <w:numFmt w:val="decimal"/>
      <w:lvlRestart w:val="0"/>
      <w:lvlText w:val="%1."/>
      <w:lvlJc w:val="left"/>
      <w:pPr>
        <w:tabs>
          <w:tab w:val="num" w:pos="1742"/>
        </w:tabs>
        <w:ind w:left="1267" w:firstLine="0"/>
      </w:pPr>
      <w:rPr>
        <w:b w:val="0"/>
        <w:w w:val="100"/>
      </w:rPr>
    </w:lvl>
  </w:abstractNum>
  <w:abstractNum w:abstractNumId="11">
    <w:nsid w:val="217D6B34"/>
    <w:multiLevelType w:val="singleLevel"/>
    <w:tmpl w:val="CB3E860C"/>
    <w:lvl w:ilvl="0">
      <w:start w:val="40"/>
      <w:numFmt w:val="decimal"/>
      <w:lvlRestart w:val="0"/>
      <w:lvlText w:val="%1."/>
      <w:lvlJc w:val="left"/>
      <w:pPr>
        <w:tabs>
          <w:tab w:val="num" w:pos="1742"/>
        </w:tabs>
        <w:ind w:left="1267" w:firstLine="0"/>
      </w:pPr>
      <w:rPr>
        <w:rFonts w:hint="default"/>
        <w:b w:val="0"/>
        <w:w w:val="100"/>
      </w:rPr>
    </w:lvl>
  </w:abstractNum>
  <w:abstractNum w:abstractNumId="12">
    <w:nsid w:val="37FC0743"/>
    <w:multiLevelType w:val="hybridMultilevel"/>
    <w:tmpl w:val="4D148BC2"/>
    <w:lvl w:ilvl="0">
      <w:numFmt w:val="bullet"/>
      <w:pStyle w:val="buastrich"/>
      <w:lvlText w:val="-"/>
      <w:lvlJc w:val="left"/>
      <w:pPr>
        <w:tabs>
          <w:tab w:val="num" w:pos="705"/>
        </w:tabs>
        <w:ind w:left="705" w:hanging="360"/>
      </w:pPr>
      <w:rPr>
        <w:rFonts w:ascii="Meridien Roman" w:eastAsia="Times New Roman" w:hAnsi="Meridien Roman" w:cs="Times New Roman" w:hint="default"/>
      </w:rPr>
    </w:lvl>
    <w:lvl w:ilvl="1" w:tentative="1">
      <w:start w:val="1"/>
      <w:numFmt w:val="bullet"/>
      <w:lvlText w:val="o"/>
      <w:lvlJc w:val="left"/>
      <w:pPr>
        <w:tabs>
          <w:tab w:val="num" w:pos="1440"/>
        </w:tabs>
        <w:ind w:left="1440" w:hanging="360"/>
      </w:pPr>
      <w:rPr>
        <w:rFonts w:ascii="Courier New" w:hAnsi="Courier New" w:cs="Arial Unicode M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rial Unicode M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rial Unicode M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nsid w:val="47C6489A"/>
    <w:multiLevelType w:val="multilevel"/>
    <w:tmpl w:val="AAB42938"/>
    <w:lvl w:ilvl="0">
      <w:start w:val="1"/>
      <w:numFmt w:val="upperRoman"/>
      <w:lvlText w:val="%1."/>
      <w:lvlJc w:val="right"/>
      <w:pPr>
        <w:tabs>
          <w:tab w:val="num" w:pos="1296"/>
        </w:tabs>
        <w:ind w:left="1296" w:hanging="216"/>
      </w:pPr>
      <w:rPr>
        <w:rFonts w:hint="default"/>
        <w:sz w:val="20"/>
      </w:rPr>
    </w:lvl>
    <w:lvl w:ilvl="1">
      <w:start w:val="1"/>
      <w:numFmt w:val="decimal"/>
      <w:lvlText w:val="%2."/>
      <w:lvlJc w:val="left"/>
      <w:pPr>
        <w:tabs>
          <w:tab w:val="num" w:pos="1728"/>
        </w:tabs>
        <w:ind w:left="1728" w:hanging="432"/>
      </w:pPr>
      <w:rPr>
        <w:rFonts w:hint="default"/>
      </w:rPr>
    </w:lvl>
    <w:lvl w:ilvl="2">
      <w:start w:val="1"/>
      <w:numFmt w:val="decimal"/>
      <w:lvlText w:val="%3."/>
      <w:lvlJc w:val="left"/>
      <w:pPr>
        <w:tabs>
          <w:tab w:val="num" w:pos="2160"/>
        </w:tabs>
        <w:ind w:left="2160" w:hanging="432"/>
      </w:pPr>
      <w:rPr>
        <w:rFonts w:hint="default"/>
      </w:rPr>
    </w:lvl>
    <w:lvl w:ilvl="3">
      <w:start w:val="1"/>
      <w:numFmt w:val="lowerLetter"/>
      <w:lvlText w:val="%4)"/>
      <w:lvlJc w:val="left"/>
      <w:pPr>
        <w:tabs>
          <w:tab w:val="num" w:pos="2592"/>
        </w:tabs>
        <w:ind w:left="2592" w:hanging="432"/>
      </w:pPr>
      <w:rPr>
        <w:rFonts w:hint="default"/>
      </w:rPr>
    </w:lvl>
    <w:lvl w:ilvl="4">
      <w:start w:val="1"/>
      <w:numFmt w:val="lowerRoman"/>
      <w:lvlText w:val="%5)"/>
      <w:lvlJc w:val="left"/>
      <w:pPr>
        <w:tabs>
          <w:tab w:val="num" w:pos="3024"/>
        </w:tabs>
        <w:ind w:left="3024" w:hanging="432"/>
      </w:pPr>
      <w:rPr>
        <w:rFonts w:hint="default"/>
      </w:rPr>
    </w:lvl>
    <w:lvl w:ilvl="5">
      <w:start w:val="1"/>
      <w:numFmt w:val="lowerLetter"/>
      <w:lvlText w:val="%6."/>
      <w:lvlJc w:val="left"/>
      <w:pPr>
        <w:tabs>
          <w:tab w:val="num" w:pos="3456"/>
        </w:tabs>
        <w:ind w:left="3456" w:hanging="432"/>
      </w:pPr>
      <w:rPr>
        <w:rFonts w:hint="default"/>
      </w:rPr>
    </w:lvl>
    <w:lvl w:ilvl="6">
      <w:start w:val="1"/>
      <w:numFmt w:val="lowerRoman"/>
      <w:lvlText w:val="%7."/>
      <w:lvlJc w:val="left"/>
      <w:pPr>
        <w:tabs>
          <w:tab w:val="num" w:pos="3888"/>
        </w:tabs>
        <w:ind w:left="3888" w:hanging="432"/>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nsid w:val="5B7852ED"/>
    <w:multiLevelType w:val="hybridMultilevel"/>
    <w:tmpl w:val="217CFF48"/>
    <w:name w:val="TO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1"/>
  </w:num>
  <w:num w:numId="3">
    <w:abstractNumId w:val="13"/>
  </w:num>
  <w:num w:numId="4">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75"/>
  <w:doNotHyphenateCaps/>
  <w:evenAndOddHeaders/>
  <w:drawingGridHorizontalSpacing w:val="105"/>
  <w:displayHorizontalDrawingGridEvery w:val="2"/>
  <w:displayVertic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1028878"/>
    <w:docVar w:name="CreationDt" w:val="14/09/2009 16:27:14"/>
    <w:docVar w:name="DocCategory" w:val="Doc"/>
    <w:docVar w:name="DocType" w:val="Final"/>
    <w:docVar w:name="FooterJN" w:val="10-28878"/>
    <w:docVar w:name="jobn" w:val="10-28878 (F)"/>
    <w:docVar w:name="jobnDT" w:val="10-28878 (F)            "/>
    <w:docVar w:name="jobnDTDT" w:val="10-28878 (F)            210510"/>
    <w:docVar w:name="JobNo" w:val="1028878F"/>
    <w:docVar w:name="OandT" w:val="CLE"/>
    <w:docVar w:name="sss1" w:val="CEDAW/C/LIE/4"/>
    <w:docVar w:name="sss2" w:val="-"/>
    <w:docVar w:name="Symbol1" w:val="CEDAW/C/LIE/4"/>
    <w:docVar w:name="Symbol2" w:val="-"/>
  </w:docVars>
  <w:rsids>
    <w:rsidRoot w:val="00EA3E8F"/>
    <w:rsid w:val="00002445"/>
    <w:rsid w:val="00006C51"/>
    <w:rsid w:val="00015212"/>
    <w:rsid w:val="00017793"/>
    <w:rsid w:val="000254A1"/>
    <w:rsid w:val="000311C6"/>
    <w:rsid w:val="0003141F"/>
    <w:rsid w:val="00031562"/>
    <w:rsid w:val="00034175"/>
    <w:rsid w:val="00035962"/>
    <w:rsid w:val="00043B1A"/>
    <w:rsid w:val="000461C4"/>
    <w:rsid w:val="00055923"/>
    <w:rsid w:val="00070746"/>
    <w:rsid w:val="00071D7D"/>
    <w:rsid w:val="000746E9"/>
    <w:rsid w:val="00075E7A"/>
    <w:rsid w:val="00077F98"/>
    <w:rsid w:val="00080A04"/>
    <w:rsid w:val="00085EEC"/>
    <w:rsid w:val="000900F8"/>
    <w:rsid w:val="00097EFC"/>
    <w:rsid w:val="000B1C46"/>
    <w:rsid w:val="000B22E6"/>
    <w:rsid w:val="000C21C1"/>
    <w:rsid w:val="000C5814"/>
    <w:rsid w:val="000C700F"/>
    <w:rsid w:val="000C78F4"/>
    <w:rsid w:val="000D3248"/>
    <w:rsid w:val="000D7998"/>
    <w:rsid w:val="000E00B5"/>
    <w:rsid w:val="000E34DE"/>
    <w:rsid w:val="000F5D55"/>
    <w:rsid w:val="00106264"/>
    <w:rsid w:val="00106B3D"/>
    <w:rsid w:val="001163BE"/>
    <w:rsid w:val="001277E7"/>
    <w:rsid w:val="00152C37"/>
    <w:rsid w:val="00157FAB"/>
    <w:rsid w:val="00160040"/>
    <w:rsid w:val="0016276E"/>
    <w:rsid w:val="001667F5"/>
    <w:rsid w:val="00166D06"/>
    <w:rsid w:val="00174407"/>
    <w:rsid w:val="00174836"/>
    <w:rsid w:val="00190233"/>
    <w:rsid w:val="001910AA"/>
    <w:rsid w:val="001924D4"/>
    <w:rsid w:val="00193194"/>
    <w:rsid w:val="001A6E1D"/>
    <w:rsid w:val="001B5DA9"/>
    <w:rsid w:val="001C1470"/>
    <w:rsid w:val="001D353E"/>
    <w:rsid w:val="001D5298"/>
    <w:rsid w:val="001D60DD"/>
    <w:rsid w:val="001E6C14"/>
    <w:rsid w:val="0020188B"/>
    <w:rsid w:val="00215288"/>
    <w:rsid w:val="0022145E"/>
    <w:rsid w:val="00221A20"/>
    <w:rsid w:val="00227EFF"/>
    <w:rsid w:val="0023129A"/>
    <w:rsid w:val="00235047"/>
    <w:rsid w:val="00240AE5"/>
    <w:rsid w:val="00240CA5"/>
    <w:rsid w:val="002544DB"/>
    <w:rsid w:val="00254F8D"/>
    <w:rsid w:val="002550CF"/>
    <w:rsid w:val="00260CFC"/>
    <w:rsid w:val="002617AF"/>
    <w:rsid w:val="00265A65"/>
    <w:rsid w:val="00276009"/>
    <w:rsid w:val="00282223"/>
    <w:rsid w:val="0028318C"/>
    <w:rsid w:val="00284A1E"/>
    <w:rsid w:val="00295BCD"/>
    <w:rsid w:val="002A05C9"/>
    <w:rsid w:val="002A3B1E"/>
    <w:rsid w:val="002C2AB3"/>
    <w:rsid w:val="002C5418"/>
    <w:rsid w:val="002D0A36"/>
    <w:rsid w:val="002D3BDD"/>
    <w:rsid w:val="002E5F65"/>
    <w:rsid w:val="002E62C1"/>
    <w:rsid w:val="002F0874"/>
    <w:rsid w:val="002F208A"/>
    <w:rsid w:val="002F3821"/>
    <w:rsid w:val="003017AF"/>
    <w:rsid w:val="00301ED1"/>
    <w:rsid w:val="0031111A"/>
    <w:rsid w:val="0031636A"/>
    <w:rsid w:val="003234D8"/>
    <w:rsid w:val="0032503C"/>
    <w:rsid w:val="003275AB"/>
    <w:rsid w:val="00340690"/>
    <w:rsid w:val="00356ABB"/>
    <w:rsid w:val="00357E4E"/>
    <w:rsid w:val="00386EB2"/>
    <w:rsid w:val="003A199E"/>
    <w:rsid w:val="003A23C9"/>
    <w:rsid w:val="003A2AA7"/>
    <w:rsid w:val="003A3015"/>
    <w:rsid w:val="003A4210"/>
    <w:rsid w:val="003B13C3"/>
    <w:rsid w:val="003B3369"/>
    <w:rsid w:val="003B552F"/>
    <w:rsid w:val="003B561D"/>
    <w:rsid w:val="003B567E"/>
    <w:rsid w:val="003D3458"/>
    <w:rsid w:val="003D3B6D"/>
    <w:rsid w:val="003D4038"/>
    <w:rsid w:val="003D6E9A"/>
    <w:rsid w:val="003E286E"/>
    <w:rsid w:val="003F0338"/>
    <w:rsid w:val="003F1979"/>
    <w:rsid w:val="003F492B"/>
    <w:rsid w:val="003F6AC3"/>
    <w:rsid w:val="00405592"/>
    <w:rsid w:val="0040594D"/>
    <w:rsid w:val="00406050"/>
    <w:rsid w:val="00410F9C"/>
    <w:rsid w:val="004125F2"/>
    <w:rsid w:val="00424821"/>
    <w:rsid w:val="0042701F"/>
    <w:rsid w:val="00430B2C"/>
    <w:rsid w:val="00432049"/>
    <w:rsid w:val="004545F3"/>
    <w:rsid w:val="00460BE0"/>
    <w:rsid w:val="00463BA3"/>
    <w:rsid w:val="00466CCB"/>
    <w:rsid w:val="00467BD4"/>
    <w:rsid w:val="004825E6"/>
    <w:rsid w:val="00482F1C"/>
    <w:rsid w:val="00491B6D"/>
    <w:rsid w:val="00497599"/>
    <w:rsid w:val="004B25D7"/>
    <w:rsid w:val="004B632B"/>
    <w:rsid w:val="004B7A0C"/>
    <w:rsid w:val="004B7ECB"/>
    <w:rsid w:val="004C1ED7"/>
    <w:rsid w:val="004D631E"/>
    <w:rsid w:val="004D7532"/>
    <w:rsid w:val="004E6E2E"/>
    <w:rsid w:val="004F4E23"/>
    <w:rsid w:val="004F57F6"/>
    <w:rsid w:val="00500830"/>
    <w:rsid w:val="005017EA"/>
    <w:rsid w:val="00503D1D"/>
    <w:rsid w:val="00515A4C"/>
    <w:rsid w:val="00517736"/>
    <w:rsid w:val="005234D6"/>
    <w:rsid w:val="00531721"/>
    <w:rsid w:val="005335F9"/>
    <w:rsid w:val="00535F87"/>
    <w:rsid w:val="005378F1"/>
    <w:rsid w:val="0054266D"/>
    <w:rsid w:val="0054580D"/>
    <w:rsid w:val="0055241C"/>
    <w:rsid w:val="00556043"/>
    <w:rsid w:val="00556F36"/>
    <w:rsid w:val="00562788"/>
    <w:rsid w:val="00570034"/>
    <w:rsid w:val="00583A7B"/>
    <w:rsid w:val="00585EB4"/>
    <w:rsid w:val="00597930"/>
    <w:rsid w:val="005B5660"/>
    <w:rsid w:val="005C6621"/>
    <w:rsid w:val="005D03C4"/>
    <w:rsid w:val="005D6604"/>
    <w:rsid w:val="005D7D92"/>
    <w:rsid w:val="005E1786"/>
    <w:rsid w:val="005E1FA2"/>
    <w:rsid w:val="005E7EF0"/>
    <w:rsid w:val="005F0659"/>
    <w:rsid w:val="005F3FE9"/>
    <w:rsid w:val="00601DB8"/>
    <w:rsid w:val="00601E32"/>
    <w:rsid w:val="0060203F"/>
    <w:rsid w:val="00605D82"/>
    <w:rsid w:val="00617697"/>
    <w:rsid w:val="00617CBC"/>
    <w:rsid w:val="006200A9"/>
    <w:rsid w:val="00626095"/>
    <w:rsid w:val="006277CB"/>
    <w:rsid w:val="00632F47"/>
    <w:rsid w:val="006400F6"/>
    <w:rsid w:val="006527A2"/>
    <w:rsid w:val="00652FB0"/>
    <w:rsid w:val="00653189"/>
    <w:rsid w:val="00655659"/>
    <w:rsid w:val="006557FA"/>
    <w:rsid w:val="006645B6"/>
    <w:rsid w:val="006714CE"/>
    <w:rsid w:val="00671B08"/>
    <w:rsid w:val="00673DE2"/>
    <w:rsid w:val="00675281"/>
    <w:rsid w:val="0067579D"/>
    <w:rsid w:val="00685691"/>
    <w:rsid w:val="00691C61"/>
    <w:rsid w:val="006A0DF6"/>
    <w:rsid w:val="006A1DD2"/>
    <w:rsid w:val="006A26C7"/>
    <w:rsid w:val="006A278A"/>
    <w:rsid w:val="006A661A"/>
    <w:rsid w:val="006B0961"/>
    <w:rsid w:val="006B4497"/>
    <w:rsid w:val="006C10E7"/>
    <w:rsid w:val="006C38EC"/>
    <w:rsid w:val="006C6756"/>
    <w:rsid w:val="006D6722"/>
    <w:rsid w:val="006E072D"/>
    <w:rsid w:val="006E40BC"/>
    <w:rsid w:val="006F2A18"/>
    <w:rsid w:val="006F4266"/>
    <w:rsid w:val="006F5E47"/>
    <w:rsid w:val="0070081A"/>
    <w:rsid w:val="00703114"/>
    <w:rsid w:val="00704E36"/>
    <w:rsid w:val="00710DEC"/>
    <w:rsid w:val="007153A4"/>
    <w:rsid w:val="0071608F"/>
    <w:rsid w:val="00717CE8"/>
    <w:rsid w:val="0072108F"/>
    <w:rsid w:val="0072294F"/>
    <w:rsid w:val="00725C07"/>
    <w:rsid w:val="007265DB"/>
    <w:rsid w:val="00735215"/>
    <w:rsid w:val="007379CB"/>
    <w:rsid w:val="00743242"/>
    <w:rsid w:val="007520FE"/>
    <w:rsid w:val="00754CB8"/>
    <w:rsid w:val="007550E1"/>
    <w:rsid w:val="00755EFA"/>
    <w:rsid w:val="00760600"/>
    <w:rsid w:val="007729A4"/>
    <w:rsid w:val="007751D6"/>
    <w:rsid w:val="00781C3B"/>
    <w:rsid w:val="00786F48"/>
    <w:rsid w:val="007948C0"/>
    <w:rsid w:val="007A10E6"/>
    <w:rsid w:val="007A4462"/>
    <w:rsid w:val="007B0C8C"/>
    <w:rsid w:val="007B6667"/>
    <w:rsid w:val="007B7401"/>
    <w:rsid w:val="007B7BA2"/>
    <w:rsid w:val="007C1417"/>
    <w:rsid w:val="007C346D"/>
    <w:rsid w:val="007C554D"/>
    <w:rsid w:val="007C6767"/>
    <w:rsid w:val="007C6982"/>
    <w:rsid w:val="007E2C9B"/>
    <w:rsid w:val="007F629E"/>
    <w:rsid w:val="007F65D7"/>
    <w:rsid w:val="00806E57"/>
    <w:rsid w:val="00815D6C"/>
    <w:rsid w:val="00817F48"/>
    <w:rsid w:val="00826529"/>
    <w:rsid w:val="00826E0F"/>
    <w:rsid w:val="00830129"/>
    <w:rsid w:val="00834227"/>
    <w:rsid w:val="0083486F"/>
    <w:rsid w:val="008368B2"/>
    <w:rsid w:val="008501A3"/>
    <w:rsid w:val="008530AE"/>
    <w:rsid w:val="008532CE"/>
    <w:rsid w:val="00864EF1"/>
    <w:rsid w:val="008675DF"/>
    <w:rsid w:val="0086763B"/>
    <w:rsid w:val="00873AAA"/>
    <w:rsid w:val="00893C66"/>
    <w:rsid w:val="0089530A"/>
    <w:rsid w:val="008A4E39"/>
    <w:rsid w:val="008B3E57"/>
    <w:rsid w:val="008B49EF"/>
    <w:rsid w:val="008B71B4"/>
    <w:rsid w:val="008C2663"/>
    <w:rsid w:val="008C6987"/>
    <w:rsid w:val="008D25A5"/>
    <w:rsid w:val="008D32C7"/>
    <w:rsid w:val="008E1BD6"/>
    <w:rsid w:val="008E2CBD"/>
    <w:rsid w:val="008E603D"/>
    <w:rsid w:val="008E798D"/>
    <w:rsid w:val="008F0015"/>
    <w:rsid w:val="008F0221"/>
    <w:rsid w:val="008F7028"/>
    <w:rsid w:val="008F7C3C"/>
    <w:rsid w:val="009121F6"/>
    <w:rsid w:val="009123FC"/>
    <w:rsid w:val="00916AEB"/>
    <w:rsid w:val="009236C1"/>
    <w:rsid w:val="00924530"/>
    <w:rsid w:val="00925A11"/>
    <w:rsid w:val="00927140"/>
    <w:rsid w:val="009278D2"/>
    <w:rsid w:val="00942725"/>
    <w:rsid w:val="00945242"/>
    <w:rsid w:val="009462EC"/>
    <w:rsid w:val="00947E34"/>
    <w:rsid w:val="00950158"/>
    <w:rsid w:val="009656F9"/>
    <w:rsid w:val="009741A9"/>
    <w:rsid w:val="00980632"/>
    <w:rsid w:val="00981A7D"/>
    <w:rsid w:val="00983F5B"/>
    <w:rsid w:val="00986714"/>
    <w:rsid w:val="00986A30"/>
    <w:rsid w:val="00986BFE"/>
    <w:rsid w:val="00991EDD"/>
    <w:rsid w:val="009D3462"/>
    <w:rsid w:val="009E5F27"/>
    <w:rsid w:val="009F53EF"/>
    <w:rsid w:val="009F6575"/>
    <w:rsid w:val="00A01D05"/>
    <w:rsid w:val="00A03470"/>
    <w:rsid w:val="00A11406"/>
    <w:rsid w:val="00A13A93"/>
    <w:rsid w:val="00A14392"/>
    <w:rsid w:val="00A27997"/>
    <w:rsid w:val="00A27F12"/>
    <w:rsid w:val="00A36EDB"/>
    <w:rsid w:val="00A4102E"/>
    <w:rsid w:val="00A41781"/>
    <w:rsid w:val="00A431BB"/>
    <w:rsid w:val="00A43667"/>
    <w:rsid w:val="00A47D27"/>
    <w:rsid w:val="00A53EB2"/>
    <w:rsid w:val="00A5563F"/>
    <w:rsid w:val="00A610B5"/>
    <w:rsid w:val="00A665B7"/>
    <w:rsid w:val="00A6753F"/>
    <w:rsid w:val="00A8254D"/>
    <w:rsid w:val="00A8719C"/>
    <w:rsid w:val="00A912D5"/>
    <w:rsid w:val="00A96FCC"/>
    <w:rsid w:val="00A97334"/>
    <w:rsid w:val="00AA41FD"/>
    <w:rsid w:val="00AC1550"/>
    <w:rsid w:val="00AE7E61"/>
    <w:rsid w:val="00AF1ABB"/>
    <w:rsid w:val="00AF287E"/>
    <w:rsid w:val="00AF30EA"/>
    <w:rsid w:val="00B0440E"/>
    <w:rsid w:val="00B050DC"/>
    <w:rsid w:val="00B10C5F"/>
    <w:rsid w:val="00B11F48"/>
    <w:rsid w:val="00B13B18"/>
    <w:rsid w:val="00B146E8"/>
    <w:rsid w:val="00B14DE4"/>
    <w:rsid w:val="00B20BEE"/>
    <w:rsid w:val="00B226A8"/>
    <w:rsid w:val="00B3035A"/>
    <w:rsid w:val="00B31F7A"/>
    <w:rsid w:val="00B353E3"/>
    <w:rsid w:val="00B419FD"/>
    <w:rsid w:val="00B50D66"/>
    <w:rsid w:val="00B56EE6"/>
    <w:rsid w:val="00B624C2"/>
    <w:rsid w:val="00B67AED"/>
    <w:rsid w:val="00B71439"/>
    <w:rsid w:val="00B7163D"/>
    <w:rsid w:val="00B73D8F"/>
    <w:rsid w:val="00B75CC4"/>
    <w:rsid w:val="00B77E50"/>
    <w:rsid w:val="00B8234F"/>
    <w:rsid w:val="00B84D00"/>
    <w:rsid w:val="00B90965"/>
    <w:rsid w:val="00B9250E"/>
    <w:rsid w:val="00B92747"/>
    <w:rsid w:val="00B966C2"/>
    <w:rsid w:val="00BA1324"/>
    <w:rsid w:val="00BA19C8"/>
    <w:rsid w:val="00BA1A75"/>
    <w:rsid w:val="00BA6D4A"/>
    <w:rsid w:val="00BB1346"/>
    <w:rsid w:val="00BB1D30"/>
    <w:rsid w:val="00BB2E17"/>
    <w:rsid w:val="00BB2E9F"/>
    <w:rsid w:val="00BD2ADA"/>
    <w:rsid w:val="00BD385D"/>
    <w:rsid w:val="00BE3992"/>
    <w:rsid w:val="00BF3E0C"/>
    <w:rsid w:val="00BF730D"/>
    <w:rsid w:val="00C04160"/>
    <w:rsid w:val="00C108CA"/>
    <w:rsid w:val="00C13713"/>
    <w:rsid w:val="00C22B5E"/>
    <w:rsid w:val="00C23BEB"/>
    <w:rsid w:val="00C25BE4"/>
    <w:rsid w:val="00C263A3"/>
    <w:rsid w:val="00C309D3"/>
    <w:rsid w:val="00C50B42"/>
    <w:rsid w:val="00C5160B"/>
    <w:rsid w:val="00C57564"/>
    <w:rsid w:val="00C74D57"/>
    <w:rsid w:val="00C752AF"/>
    <w:rsid w:val="00C75C5F"/>
    <w:rsid w:val="00C806C9"/>
    <w:rsid w:val="00C82736"/>
    <w:rsid w:val="00CA2F59"/>
    <w:rsid w:val="00CA6F16"/>
    <w:rsid w:val="00CA75CC"/>
    <w:rsid w:val="00CB29E0"/>
    <w:rsid w:val="00CB30A1"/>
    <w:rsid w:val="00CB5BC8"/>
    <w:rsid w:val="00CB6E47"/>
    <w:rsid w:val="00CC5663"/>
    <w:rsid w:val="00CC772D"/>
    <w:rsid w:val="00CD0353"/>
    <w:rsid w:val="00CD23D6"/>
    <w:rsid w:val="00CE42AA"/>
    <w:rsid w:val="00CE67A3"/>
    <w:rsid w:val="00CF2D7C"/>
    <w:rsid w:val="00CF356F"/>
    <w:rsid w:val="00CF5EB7"/>
    <w:rsid w:val="00D02B55"/>
    <w:rsid w:val="00D04B28"/>
    <w:rsid w:val="00D10FEE"/>
    <w:rsid w:val="00D13F29"/>
    <w:rsid w:val="00D16D33"/>
    <w:rsid w:val="00D17442"/>
    <w:rsid w:val="00D17677"/>
    <w:rsid w:val="00D24FEA"/>
    <w:rsid w:val="00D316FF"/>
    <w:rsid w:val="00D33409"/>
    <w:rsid w:val="00D3509F"/>
    <w:rsid w:val="00D408BC"/>
    <w:rsid w:val="00D41C37"/>
    <w:rsid w:val="00D42100"/>
    <w:rsid w:val="00D4675F"/>
    <w:rsid w:val="00D51CE4"/>
    <w:rsid w:val="00D657CF"/>
    <w:rsid w:val="00D731D8"/>
    <w:rsid w:val="00D75508"/>
    <w:rsid w:val="00D764AB"/>
    <w:rsid w:val="00D86FF8"/>
    <w:rsid w:val="00D96396"/>
    <w:rsid w:val="00DA09CD"/>
    <w:rsid w:val="00DA6F2F"/>
    <w:rsid w:val="00DA7521"/>
    <w:rsid w:val="00DB3460"/>
    <w:rsid w:val="00DC1DAE"/>
    <w:rsid w:val="00DC4EB5"/>
    <w:rsid w:val="00DC5A66"/>
    <w:rsid w:val="00DC6D3B"/>
    <w:rsid w:val="00DE0B81"/>
    <w:rsid w:val="00DE100C"/>
    <w:rsid w:val="00DE16DD"/>
    <w:rsid w:val="00DE4D9A"/>
    <w:rsid w:val="00DE7FA2"/>
    <w:rsid w:val="00DF34AB"/>
    <w:rsid w:val="00DF7F2A"/>
    <w:rsid w:val="00E038B9"/>
    <w:rsid w:val="00E054A5"/>
    <w:rsid w:val="00E12600"/>
    <w:rsid w:val="00E1322C"/>
    <w:rsid w:val="00E1536C"/>
    <w:rsid w:val="00E23B47"/>
    <w:rsid w:val="00E23DD7"/>
    <w:rsid w:val="00E248EE"/>
    <w:rsid w:val="00E25271"/>
    <w:rsid w:val="00E324E0"/>
    <w:rsid w:val="00E334F4"/>
    <w:rsid w:val="00E3378B"/>
    <w:rsid w:val="00E35C76"/>
    <w:rsid w:val="00E453C6"/>
    <w:rsid w:val="00E535AD"/>
    <w:rsid w:val="00E56DD5"/>
    <w:rsid w:val="00E60DC7"/>
    <w:rsid w:val="00E62634"/>
    <w:rsid w:val="00E717BD"/>
    <w:rsid w:val="00E733A6"/>
    <w:rsid w:val="00E76451"/>
    <w:rsid w:val="00E76C7F"/>
    <w:rsid w:val="00EA2B2A"/>
    <w:rsid w:val="00EA3E8F"/>
    <w:rsid w:val="00EA52B5"/>
    <w:rsid w:val="00EA7E4B"/>
    <w:rsid w:val="00EB2BA3"/>
    <w:rsid w:val="00EB370B"/>
    <w:rsid w:val="00EC2466"/>
    <w:rsid w:val="00EC4716"/>
    <w:rsid w:val="00EC4E11"/>
    <w:rsid w:val="00ED17B0"/>
    <w:rsid w:val="00ED20D8"/>
    <w:rsid w:val="00EE509F"/>
    <w:rsid w:val="00EF5C0E"/>
    <w:rsid w:val="00EF7CF2"/>
    <w:rsid w:val="00F02427"/>
    <w:rsid w:val="00F053C7"/>
    <w:rsid w:val="00F147BD"/>
    <w:rsid w:val="00F14A0D"/>
    <w:rsid w:val="00F16F90"/>
    <w:rsid w:val="00F17CC0"/>
    <w:rsid w:val="00F21088"/>
    <w:rsid w:val="00F22C0D"/>
    <w:rsid w:val="00F32978"/>
    <w:rsid w:val="00F33D3D"/>
    <w:rsid w:val="00F36F1E"/>
    <w:rsid w:val="00F42D3E"/>
    <w:rsid w:val="00F44E97"/>
    <w:rsid w:val="00F463A5"/>
    <w:rsid w:val="00F5036D"/>
    <w:rsid w:val="00F52757"/>
    <w:rsid w:val="00F55B0B"/>
    <w:rsid w:val="00F55D3A"/>
    <w:rsid w:val="00F60DE1"/>
    <w:rsid w:val="00F632EC"/>
    <w:rsid w:val="00F65ED6"/>
    <w:rsid w:val="00F81B7D"/>
    <w:rsid w:val="00F83613"/>
    <w:rsid w:val="00F8715E"/>
    <w:rsid w:val="00F9406E"/>
    <w:rsid w:val="00FA70D5"/>
    <w:rsid w:val="00FA731C"/>
    <w:rsid w:val="00FB337C"/>
    <w:rsid w:val="00FB64CF"/>
    <w:rsid w:val="00FC04AB"/>
    <w:rsid w:val="00FD3383"/>
    <w:rsid w:val="00FD7A9A"/>
    <w:rsid w:val="00FE725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7E4B"/>
    <w:pPr>
      <w:spacing w:line="240" w:lineRule="exact"/>
    </w:pPr>
    <w:rPr>
      <w:spacing w:val="4"/>
      <w:w w:val="103"/>
      <w:kern w:val="14"/>
      <w:lang w:val="fr-CA" w:eastAsia="en-US"/>
    </w:rPr>
  </w:style>
  <w:style w:type="paragraph" w:styleId="Heading1">
    <w:name w:val="heading 1"/>
    <w:basedOn w:val="Normal"/>
    <w:next w:val="Normal"/>
    <w:qFormat/>
    <w:rsid w:val="00826E0F"/>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26E0F"/>
    <w:pPr>
      <w:keepNext/>
      <w:keepLines/>
      <w:tabs>
        <w:tab w:val="left" w:pos="851"/>
      </w:tabs>
      <w:overflowPunct w:val="0"/>
      <w:autoSpaceDE w:val="0"/>
      <w:autoSpaceDN w:val="0"/>
      <w:adjustRightInd w:val="0"/>
      <w:spacing w:before="480" w:line="240" w:lineRule="auto"/>
      <w:ind w:left="1416" w:hanging="708"/>
      <w:textAlignment w:val="baseline"/>
      <w:outlineLvl w:val="1"/>
    </w:pPr>
    <w:rPr>
      <w:b/>
      <w:spacing w:val="0"/>
      <w:w w:val="100"/>
      <w:kern w:val="0"/>
      <w:sz w:val="28"/>
      <w:lang w:val="de-DE" w:eastAsia="de-CH"/>
    </w:rPr>
  </w:style>
  <w:style w:type="paragraph" w:styleId="Heading3">
    <w:name w:val="heading 3"/>
    <w:basedOn w:val="Normal"/>
    <w:next w:val="Normal"/>
    <w:qFormat/>
    <w:rsid w:val="00826E0F"/>
    <w:pPr>
      <w:keepNext/>
      <w:spacing w:before="240" w:after="60"/>
      <w:outlineLvl w:val="2"/>
    </w:pPr>
    <w:rPr>
      <w:rFonts w:ascii="Arial" w:hAnsi="Arial" w:cs="Arial"/>
      <w:b/>
      <w:bCs/>
      <w:sz w:val="26"/>
      <w:szCs w:val="26"/>
    </w:rPr>
  </w:style>
  <w:style w:type="paragraph" w:styleId="Heading4">
    <w:name w:val="heading 4"/>
    <w:basedOn w:val="Normal"/>
    <w:next w:val="Normal"/>
    <w:qFormat/>
    <w:rsid w:val="00826E0F"/>
    <w:pPr>
      <w:keepNext/>
      <w:spacing w:before="240" w:after="60"/>
      <w:outlineLvl w:val="3"/>
    </w:pPr>
    <w:rPr>
      <w:b/>
      <w:bCs/>
      <w:sz w:val="28"/>
      <w:szCs w:val="28"/>
    </w:rPr>
  </w:style>
  <w:style w:type="paragraph" w:styleId="Heading5">
    <w:name w:val="heading 5"/>
    <w:basedOn w:val="Normal"/>
    <w:next w:val="Normal"/>
    <w:qFormat/>
    <w:rsid w:val="00826E0F"/>
    <w:pPr>
      <w:overflowPunct w:val="0"/>
      <w:autoSpaceDE w:val="0"/>
      <w:autoSpaceDN w:val="0"/>
      <w:adjustRightInd w:val="0"/>
      <w:spacing w:before="240" w:after="60" w:line="240" w:lineRule="auto"/>
      <w:ind w:left="709" w:hanging="708"/>
      <w:textAlignment w:val="baseline"/>
      <w:outlineLvl w:val="4"/>
    </w:pPr>
    <w:rPr>
      <w:rFonts w:ascii="Arial" w:hAnsi="Arial"/>
      <w:b/>
      <w:i/>
      <w:spacing w:val="0"/>
      <w:w w:val="100"/>
      <w:kern w:val="0"/>
      <w:lang w:val="de-DE" w:eastAsia="de-CH"/>
    </w:rPr>
  </w:style>
  <w:style w:type="paragraph" w:styleId="Heading6">
    <w:name w:val="heading 6"/>
    <w:basedOn w:val="Normal"/>
    <w:next w:val="Normal"/>
    <w:qFormat/>
    <w:rsid w:val="00826E0F"/>
    <w:pPr>
      <w:tabs>
        <w:tab w:val="left" w:pos="851"/>
      </w:tabs>
      <w:overflowPunct w:val="0"/>
      <w:autoSpaceDE w:val="0"/>
      <w:autoSpaceDN w:val="0"/>
      <w:adjustRightInd w:val="0"/>
      <w:spacing w:before="240" w:after="60" w:line="320" w:lineRule="atLeast"/>
      <w:ind w:left="709" w:hanging="708"/>
      <w:textAlignment w:val="baseline"/>
      <w:outlineLvl w:val="5"/>
    </w:pPr>
    <w:rPr>
      <w:spacing w:val="0"/>
      <w:w w:val="100"/>
      <w:kern w:val="0"/>
      <w:sz w:val="22"/>
      <w:u w:val="single"/>
      <w:lang w:val="de-DE" w:eastAsia="de-CH"/>
    </w:rPr>
  </w:style>
  <w:style w:type="paragraph" w:styleId="Heading7">
    <w:name w:val="heading 7"/>
    <w:basedOn w:val="Normal"/>
    <w:next w:val="Normal"/>
    <w:qFormat/>
    <w:rsid w:val="00826E0F"/>
    <w:pPr>
      <w:tabs>
        <w:tab w:val="left" w:pos="851"/>
      </w:tabs>
      <w:overflowPunct w:val="0"/>
      <w:autoSpaceDE w:val="0"/>
      <w:autoSpaceDN w:val="0"/>
      <w:adjustRightInd w:val="0"/>
      <w:spacing w:before="240" w:after="60" w:line="320" w:lineRule="atLeast"/>
      <w:ind w:left="4956" w:hanging="708"/>
      <w:textAlignment w:val="baseline"/>
      <w:outlineLvl w:val="6"/>
    </w:pPr>
    <w:rPr>
      <w:rFonts w:ascii="Arial" w:hAnsi="Arial"/>
      <w:spacing w:val="0"/>
      <w:w w:val="100"/>
      <w:kern w:val="0"/>
      <w:lang w:val="de-DE" w:eastAsia="de-CH"/>
    </w:rPr>
  </w:style>
  <w:style w:type="paragraph" w:styleId="Heading8">
    <w:name w:val="heading 8"/>
    <w:basedOn w:val="Normal"/>
    <w:next w:val="Normal"/>
    <w:qFormat/>
    <w:rsid w:val="00C75C5F"/>
    <w:pPr>
      <w:spacing w:before="240" w:after="60"/>
      <w:outlineLvl w:val="7"/>
    </w:pPr>
    <w:rPr>
      <w:i/>
      <w:iCs/>
      <w:sz w:val="24"/>
      <w:szCs w:val="24"/>
    </w:rPr>
  </w:style>
  <w:style w:type="paragraph" w:styleId="Heading9">
    <w:name w:val="heading 9"/>
    <w:basedOn w:val="Normal"/>
    <w:next w:val="Normal"/>
    <w:qFormat/>
    <w:rsid w:val="00C75C5F"/>
    <w:pPr>
      <w:spacing w:before="240" w:after="60"/>
      <w:outlineLvl w:val="8"/>
    </w:pPr>
    <w:rPr>
      <w:rFonts w:ascii="Arial" w:hAnsi="Arial" w:cs="Arial"/>
      <w:sz w:val="22"/>
      <w:szCs w:val="22"/>
    </w:rPr>
  </w:style>
  <w:style w:type="character" w:default="1" w:styleId="DefaultParagraphFont">
    <w:name w:val="Default Paragraph Font"/>
    <w:semiHidden/>
    <w:rsid w:val="00EA7E4B"/>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EA7E4B"/>
  </w:style>
  <w:style w:type="paragraph" w:customStyle="1" w:styleId="H1">
    <w:name w:val="_ H_1"/>
    <w:basedOn w:val="Normal"/>
    <w:next w:val="SingleTxt"/>
    <w:rsid w:val="00EA7E4B"/>
    <w:pPr>
      <w:keepNext/>
      <w:keepLines/>
      <w:suppressAutoHyphens/>
      <w:spacing w:line="270" w:lineRule="exact"/>
      <w:outlineLvl w:val="0"/>
    </w:pPr>
    <w:rPr>
      <w:b/>
      <w:sz w:val="24"/>
    </w:rPr>
  </w:style>
  <w:style w:type="paragraph" w:customStyle="1" w:styleId="SingleTxt">
    <w:name w:val="__Single Txt"/>
    <w:basedOn w:val="Normal"/>
    <w:rsid w:val="00EA7E4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customStyle="1" w:styleId="HCh">
    <w:name w:val="_ H _Ch"/>
    <w:basedOn w:val="H1"/>
    <w:next w:val="SingleTxt"/>
    <w:rsid w:val="00EA7E4B"/>
    <w:pPr>
      <w:spacing w:line="300" w:lineRule="exact"/>
    </w:pPr>
    <w:rPr>
      <w:spacing w:val="-2"/>
      <w:sz w:val="28"/>
    </w:rPr>
  </w:style>
  <w:style w:type="paragraph" w:customStyle="1" w:styleId="HM">
    <w:name w:val="_ H __M"/>
    <w:basedOn w:val="HCh"/>
    <w:next w:val="Normal"/>
    <w:rsid w:val="00EA7E4B"/>
    <w:pPr>
      <w:spacing w:line="360" w:lineRule="exact"/>
    </w:pPr>
    <w:rPr>
      <w:spacing w:val="-3"/>
      <w:w w:val="99"/>
      <w:sz w:val="34"/>
    </w:rPr>
  </w:style>
  <w:style w:type="paragraph" w:customStyle="1" w:styleId="H23">
    <w:name w:val="_ H_2/3"/>
    <w:basedOn w:val="H1"/>
    <w:next w:val="SingleTxt"/>
    <w:rsid w:val="00EA7E4B"/>
    <w:pPr>
      <w:spacing w:line="240" w:lineRule="exact"/>
      <w:outlineLvl w:val="1"/>
    </w:pPr>
    <w:rPr>
      <w:spacing w:val="2"/>
      <w:sz w:val="20"/>
    </w:rPr>
  </w:style>
  <w:style w:type="paragraph" w:customStyle="1" w:styleId="H4">
    <w:name w:val="_ H_4"/>
    <w:basedOn w:val="Normal"/>
    <w:next w:val="SingleTxt"/>
    <w:rsid w:val="00EA7E4B"/>
    <w:pPr>
      <w:keepNext/>
      <w:keepLines/>
      <w:tabs>
        <w:tab w:val="right" w:pos="360"/>
      </w:tabs>
      <w:suppressAutoHyphens/>
      <w:outlineLvl w:val="3"/>
    </w:pPr>
    <w:rPr>
      <w:i/>
      <w:spacing w:val="3"/>
    </w:rPr>
  </w:style>
  <w:style w:type="paragraph" w:customStyle="1" w:styleId="H56">
    <w:name w:val="_ H_5/6"/>
    <w:basedOn w:val="Normal"/>
    <w:next w:val="Normal"/>
    <w:rsid w:val="00EA7E4B"/>
    <w:pPr>
      <w:keepNext/>
      <w:keepLines/>
      <w:tabs>
        <w:tab w:val="right" w:pos="360"/>
      </w:tabs>
      <w:suppressAutoHyphens/>
      <w:outlineLvl w:val="4"/>
    </w:pPr>
  </w:style>
  <w:style w:type="paragraph" w:customStyle="1" w:styleId="DualTxt">
    <w:name w:val="__Dual Txt"/>
    <w:basedOn w:val="Normal"/>
    <w:rsid w:val="00EA7E4B"/>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EA7E4B"/>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rsid w:val="00EA7E4B"/>
    <w:pPr>
      <w:spacing w:line="540" w:lineRule="exact"/>
    </w:pPr>
    <w:rPr>
      <w:spacing w:val="-8"/>
      <w:w w:val="96"/>
      <w:sz w:val="57"/>
    </w:rPr>
  </w:style>
  <w:style w:type="paragraph" w:customStyle="1" w:styleId="SS">
    <w:name w:val="__S_S"/>
    <w:basedOn w:val="HCh"/>
    <w:next w:val="Normal"/>
    <w:rsid w:val="00EA7E4B"/>
    <w:pPr>
      <w:ind w:left="1267" w:right="1267"/>
    </w:pPr>
  </w:style>
  <w:style w:type="character" w:styleId="CommentReference">
    <w:name w:val="annotation reference"/>
    <w:semiHidden/>
    <w:rsid w:val="00EA7E4B"/>
    <w:rPr>
      <w:sz w:val="6"/>
    </w:rPr>
  </w:style>
  <w:style w:type="character" w:styleId="FootnoteReference">
    <w:name w:val="footnote reference"/>
    <w:semiHidden/>
    <w:rsid w:val="00EA7E4B"/>
    <w:rPr>
      <w:rFonts w:ascii="Times New Roman" w:hAnsi="Times New Roman"/>
      <w:dstrike w:val="0"/>
      <w:color w:val="auto"/>
      <w:spacing w:val="-5"/>
      <w:w w:val="130"/>
      <w:position w:val="-4"/>
      <w:sz w:val="20"/>
      <w:vertAlign w:val="superscript"/>
    </w:rPr>
  </w:style>
  <w:style w:type="character" w:styleId="EndnoteReference">
    <w:name w:val="endnote reference"/>
    <w:basedOn w:val="FootnoteReference"/>
    <w:semiHidden/>
    <w:rsid w:val="00EA7E4B"/>
    <w:rPr>
      <w:rFonts w:ascii="Times New Roman" w:hAnsi="Times New Roman"/>
      <w:dstrike w:val="0"/>
      <w:color w:val="auto"/>
      <w:spacing w:val="-5"/>
      <w:w w:val="130"/>
      <w:position w:val="-4"/>
      <w:sz w:val="20"/>
      <w:vertAlign w:val="superscript"/>
    </w:rPr>
  </w:style>
  <w:style w:type="paragraph" w:styleId="FootnoteText">
    <w:name w:val="footnote text"/>
    <w:basedOn w:val="Normal"/>
    <w:semiHidden/>
    <w:rsid w:val="006E40BC"/>
    <w:pPr>
      <w:widowControl w:val="0"/>
      <w:tabs>
        <w:tab w:val="right" w:pos="418"/>
      </w:tabs>
      <w:suppressAutoHyphens/>
      <w:spacing w:line="210" w:lineRule="exact"/>
      <w:ind w:left="475" w:hanging="475"/>
    </w:pPr>
    <w:rPr>
      <w:spacing w:val="5"/>
      <w:w w:val="104"/>
      <w:sz w:val="17"/>
    </w:rPr>
  </w:style>
  <w:style w:type="paragraph" w:styleId="EndnoteText">
    <w:name w:val="endnote text"/>
    <w:basedOn w:val="Normal"/>
    <w:semiHidden/>
    <w:rsid w:val="00B8234F"/>
    <w:pPr>
      <w:tabs>
        <w:tab w:val="right" w:pos="418"/>
      </w:tabs>
      <w:suppressAutoHyphens/>
      <w:spacing w:after="80" w:line="210" w:lineRule="exact"/>
      <w:ind w:left="475" w:hanging="475"/>
    </w:pPr>
    <w:rPr>
      <w:spacing w:val="5"/>
      <w:w w:val="104"/>
      <w:sz w:val="17"/>
    </w:rPr>
  </w:style>
  <w:style w:type="paragraph" w:styleId="Footer">
    <w:name w:val="footer"/>
    <w:rsid w:val="00EA7E4B"/>
    <w:pPr>
      <w:tabs>
        <w:tab w:val="center" w:pos="4320"/>
        <w:tab w:val="right" w:pos="8640"/>
      </w:tabs>
      <w:spacing w:line="210" w:lineRule="exact"/>
    </w:pPr>
    <w:rPr>
      <w:b/>
      <w:noProof/>
      <w:spacing w:val="3"/>
      <w:w w:val="105"/>
      <w:sz w:val="17"/>
      <w:lang w:val="en-US" w:eastAsia="en-US"/>
    </w:rPr>
  </w:style>
  <w:style w:type="paragraph" w:styleId="Header">
    <w:name w:val="header"/>
    <w:rsid w:val="00EA7E4B"/>
    <w:pPr>
      <w:tabs>
        <w:tab w:val="center" w:pos="4320"/>
        <w:tab w:val="right" w:pos="8640"/>
      </w:tabs>
      <w:spacing w:line="210" w:lineRule="exact"/>
    </w:pPr>
    <w:rPr>
      <w:noProof/>
      <w:spacing w:val="3"/>
      <w:w w:val="105"/>
      <w:sz w:val="17"/>
      <w:lang w:val="en-US" w:eastAsia="en-US"/>
    </w:rPr>
  </w:style>
  <w:style w:type="character" w:styleId="LineNumber">
    <w:name w:val="line number"/>
    <w:rsid w:val="00EA7E4B"/>
    <w:rPr>
      <w:sz w:val="14"/>
    </w:rPr>
  </w:style>
  <w:style w:type="paragraph" w:customStyle="1" w:styleId="Small">
    <w:name w:val="Small"/>
    <w:basedOn w:val="Normal"/>
    <w:next w:val="Normal"/>
    <w:rsid w:val="00EA7E4B"/>
    <w:pPr>
      <w:tabs>
        <w:tab w:val="right" w:pos="9965"/>
      </w:tabs>
      <w:spacing w:line="210" w:lineRule="exact"/>
    </w:pPr>
    <w:rPr>
      <w:spacing w:val="5"/>
      <w:w w:val="104"/>
      <w:sz w:val="17"/>
    </w:rPr>
  </w:style>
  <w:style w:type="paragraph" w:customStyle="1" w:styleId="SmallX">
    <w:name w:val="SmallX"/>
    <w:basedOn w:val="Small"/>
    <w:next w:val="Normal"/>
    <w:rsid w:val="00EA7E4B"/>
    <w:pPr>
      <w:spacing w:line="180" w:lineRule="exact"/>
      <w:jc w:val="right"/>
    </w:pPr>
    <w:rPr>
      <w:spacing w:val="6"/>
      <w:w w:val="106"/>
      <w:sz w:val="14"/>
    </w:rPr>
  </w:style>
  <w:style w:type="paragraph" w:customStyle="1" w:styleId="XLarge">
    <w:name w:val="XLarge"/>
    <w:basedOn w:val="HM"/>
    <w:rsid w:val="00EA7E4B"/>
    <w:pPr>
      <w:tabs>
        <w:tab w:val="right" w:leader="dot" w:pos="360"/>
      </w:tabs>
      <w:spacing w:line="390" w:lineRule="exact"/>
    </w:pPr>
    <w:rPr>
      <w:spacing w:val="-4"/>
      <w:w w:val="98"/>
      <w:sz w:val="40"/>
    </w:rPr>
  </w:style>
  <w:style w:type="paragraph" w:styleId="CommentText">
    <w:name w:val="annotation text"/>
    <w:basedOn w:val="Normal"/>
    <w:semiHidden/>
    <w:rsid w:val="006B4497"/>
  </w:style>
  <w:style w:type="paragraph" w:styleId="CommentSubject">
    <w:name w:val="annotation subject"/>
    <w:basedOn w:val="CommentText"/>
    <w:next w:val="CommentText"/>
    <w:semiHidden/>
    <w:rsid w:val="006B4497"/>
    <w:rPr>
      <w:b/>
      <w:bCs/>
    </w:rPr>
  </w:style>
  <w:style w:type="paragraph" w:styleId="BalloonText">
    <w:name w:val="Balloon Text"/>
    <w:basedOn w:val="Normal"/>
    <w:semiHidden/>
    <w:rsid w:val="006B4497"/>
    <w:rPr>
      <w:rFonts w:ascii="Tahoma" w:hAnsi="Tahoma" w:cs="Tahoma"/>
      <w:sz w:val="16"/>
      <w:szCs w:val="16"/>
    </w:rPr>
  </w:style>
  <w:style w:type="paragraph" w:styleId="ListParagraph">
    <w:name w:val="List Paragraph"/>
    <w:basedOn w:val="Normal"/>
    <w:qFormat/>
    <w:rsid w:val="00DA6F2F"/>
    <w:pPr>
      <w:spacing w:line="240" w:lineRule="auto"/>
      <w:ind w:left="720"/>
    </w:pPr>
    <w:rPr>
      <w:rFonts w:ascii="Calibri" w:hAnsi="Calibri"/>
      <w:b/>
      <w:spacing w:val="0"/>
      <w:w w:val="100"/>
      <w:kern w:val="0"/>
      <w:sz w:val="24"/>
      <w:szCs w:val="24"/>
      <w:lang w:val="en-US" w:eastAsia="en-AU"/>
    </w:rPr>
  </w:style>
  <w:style w:type="paragraph" w:styleId="NormalWeb">
    <w:name w:val="Normal (Web)"/>
    <w:basedOn w:val="Normal"/>
    <w:rsid w:val="00DA6F2F"/>
    <w:pPr>
      <w:spacing w:before="100" w:beforeAutospacing="1" w:after="100" w:afterAutospacing="1" w:line="240" w:lineRule="auto"/>
    </w:pPr>
    <w:rPr>
      <w:spacing w:val="0"/>
      <w:w w:val="100"/>
      <w:kern w:val="0"/>
      <w:sz w:val="24"/>
      <w:szCs w:val="24"/>
      <w:lang w:val="en-AU" w:eastAsia="en-AU"/>
    </w:rPr>
  </w:style>
  <w:style w:type="character" w:styleId="Hyperlink">
    <w:name w:val="Hyperlink"/>
    <w:rsid w:val="00DA6F2F"/>
    <w:rPr>
      <w:color w:val="0000FF"/>
      <w:u w:val="none"/>
    </w:rPr>
  </w:style>
  <w:style w:type="table" w:styleId="TableGrid">
    <w:name w:val="Table Grid"/>
    <w:basedOn w:val="TableNormal"/>
    <w:rsid w:val="0055241C"/>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E35C76"/>
    <w:pPr>
      <w:spacing w:after="120" w:line="480" w:lineRule="auto"/>
    </w:pPr>
    <w:rPr>
      <w:spacing w:val="0"/>
      <w:w w:val="100"/>
      <w:kern w:val="0"/>
      <w:sz w:val="24"/>
      <w:szCs w:val="24"/>
      <w:lang w:val="en-AU" w:eastAsia="en-AU"/>
    </w:rPr>
  </w:style>
  <w:style w:type="character" w:customStyle="1" w:styleId="BodyText2Char">
    <w:name w:val="Body Text 2 Char"/>
    <w:link w:val="BodyText2"/>
    <w:rsid w:val="00E35C76"/>
    <w:rPr>
      <w:sz w:val="24"/>
      <w:szCs w:val="24"/>
      <w:lang w:val="en-AU" w:eastAsia="en-AU" w:bidi="ar-SA"/>
    </w:rPr>
  </w:style>
  <w:style w:type="character" w:styleId="PageNumber">
    <w:name w:val="page number"/>
    <w:basedOn w:val="DefaultParagraphFont"/>
    <w:rsid w:val="00826E0F"/>
  </w:style>
  <w:style w:type="paragraph" w:styleId="TOC1">
    <w:name w:val="toc 1"/>
    <w:basedOn w:val="Normal"/>
    <w:next w:val="Normal"/>
    <w:semiHidden/>
    <w:rsid w:val="00826E0F"/>
    <w:pPr>
      <w:tabs>
        <w:tab w:val="right" w:leader="dot" w:pos="8505"/>
      </w:tabs>
      <w:overflowPunct w:val="0"/>
      <w:autoSpaceDE w:val="0"/>
      <w:autoSpaceDN w:val="0"/>
      <w:adjustRightInd w:val="0"/>
      <w:spacing w:before="120" w:after="120" w:line="240" w:lineRule="auto"/>
      <w:textAlignment w:val="baseline"/>
    </w:pPr>
    <w:rPr>
      <w:b/>
      <w:caps/>
      <w:spacing w:val="0"/>
      <w:w w:val="100"/>
      <w:kern w:val="0"/>
      <w:lang w:val="de-DE" w:eastAsia="de-CH"/>
    </w:rPr>
  </w:style>
  <w:style w:type="paragraph" w:customStyle="1" w:styleId="inhverzstrich">
    <w:name w:val="inhverz_strich"/>
    <w:basedOn w:val="Normal"/>
    <w:rsid w:val="00826E0F"/>
    <w:pPr>
      <w:numPr>
        <w:numId w:val="2"/>
      </w:numPr>
      <w:spacing w:before="40" w:line="360" w:lineRule="atLeast"/>
      <w:ind w:left="567"/>
      <w:jc w:val="both"/>
    </w:pPr>
    <w:rPr>
      <w:spacing w:val="0"/>
      <w:w w:val="100"/>
      <w:kern w:val="0"/>
      <w:sz w:val="24"/>
      <w:szCs w:val="24"/>
      <w:lang w:val="de-CH" w:eastAsia="de-DE"/>
    </w:rPr>
  </w:style>
  <w:style w:type="paragraph" w:customStyle="1" w:styleId="buatext">
    <w:name w:val="buatext"/>
    <w:basedOn w:val="Normal"/>
    <w:rsid w:val="00826E0F"/>
    <w:pPr>
      <w:tabs>
        <w:tab w:val="right" w:pos="7938"/>
      </w:tabs>
      <w:spacing w:before="440" w:line="360" w:lineRule="auto"/>
      <w:jc w:val="both"/>
    </w:pPr>
    <w:rPr>
      <w:spacing w:val="0"/>
      <w:w w:val="100"/>
      <w:kern w:val="0"/>
      <w:sz w:val="24"/>
      <w:szCs w:val="24"/>
      <w:lang w:val="de-CH" w:eastAsia="de-DE"/>
    </w:rPr>
  </w:style>
  <w:style w:type="character" w:customStyle="1" w:styleId="contenttextb1">
    <w:name w:val="contenttextb1"/>
    <w:rsid w:val="00826E0F"/>
    <w:rPr>
      <w:b/>
      <w:bCs/>
      <w:strike w:val="0"/>
      <w:dstrike w:val="0"/>
      <w:color w:val="000000"/>
      <w:sz w:val="19"/>
      <w:szCs w:val="19"/>
      <w:u w:val="none"/>
      <w:effect w:val="none"/>
    </w:rPr>
  </w:style>
  <w:style w:type="character" w:customStyle="1" w:styleId="contenttext1">
    <w:name w:val="contenttext1"/>
    <w:rsid w:val="00826E0F"/>
    <w:rPr>
      <w:strike w:val="0"/>
      <w:dstrike w:val="0"/>
      <w:color w:val="000000"/>
      <w:sz w:val="19"/>
      <w:szCs w:val="19"/>
      <w:u w:val="none"/>
      <w:effect w:val="none"/>
    </w:rPr>
  </w:style>
  <w:style w:type="paragraph" w:styleId="Caption">
    <w:name w:val="caption"/>
    <w:basedOn w:val="Normal"/>
    <w:next w:val="Normal"/>
    <w:qFormat/>
    <w:rsid w:val="00826E0F"/>
    <w:pPr>
      <w:keepNext/>
      <w:spacing w:before="120" w:line="240" w:lineRule="auto"/>
      <w:jc w:val="both"/>
    </w:pPr>
    <w:rPr>
      <w:i/>
      <w:noProof/>
      <w:color w:val="000000"/>
      <w:spacing w:val="0"/>
      <w:w w:val="100"/>
      <w:kern w:val="0"/>
      <w:sz w:val="24"/>
      <w:lang w:val="de-CH" w:eastAsia="de-DE"/>
    </w:rPr>
  </w:style>
  <w:style w:type="paragraph" w:customStyle="1" w:styleId="BeschriftungLegende">
    <w:name w:val="Beschriftung Legende"/>
    <w:basedOn w:val="Caption"/>
    <w:autoRedefine/>
    <w:rsid w:val="00826E0F"/>
    <w:pPr>
      <w:shd w:val="clear" w:color="auto" w:fill="FFFFFF"/>
      <w:spacing w:before="0" w:line="320" w:lineRule="atLeast"/>
    </w:pPr>
    <w:rPr>
      <w:szCs w:val="24"/>
      <w:lang w:val="de-DE"/>
    </w:rPr>
  </w:style>
  <w:style w:type="character" w:styleId="Strong">
    <w:name w:val="Strong"/>
    <w:qFormat/>
    <w:rsid w:val="00826E0F"/>
    <w:rPr>
      <w:b/>
      <w:bCs/>
    </w:rPr>
  </w:style>
  <w:style w:type="character" w:customStyle="1" w:styleId="suchausdruck1">
    <w:name w:val="suchausdruck1"/>
    <w:rsid w:val="00826E0F"/>
    <w:rPr>
      <w:b/>
      <w:bCs/>
      <w:i w:val="0"/>
      <w:iCs w:val="0"/>
      <w:vanish w:val="0"/>
      <w:webHidden w:val="0"/>
      <w:color w:val="000000"/>
      <w:sz w:val="23"/>
      <w:szCs w:val="23"/>
      <w:shd w:val="clear" w:color="auto" w:fill="FFFF00"/>
      <w:specVanish w:val="0"/>
    </w:rPr>
  </w:style>
  <w:style w:type="paragraph" w:customStyle="1" w:styleId="ParaNo">
    <w:name w:val="ParaNo."/>
    <w:basedOn w:val="Normal"/>
    <w:rsid w:val="00826E0F"/>
    <w:pPr>
      <w:numPr>
        <w:numId w:val="1"/>
      </w:numPr>
      <w:tabs>
        <w:tab w:val="left" w:pos="737"/>
      </w:tabs>
      <w:spacing w:after="240" w:line="240" w:lineRule="auto"/>
    </w:pPr>
    <w:rPr>
      <w:spacing w:val="0"/>
      <w:w w:val="100"/>
      <w:kern w:val="0"/>
      <w:sz w:val="24"/>
      <w:lang w:val="fr-CH"/>
    </w:rPr>
  </w:style>
  <w:style w:type="paragraph" w:styleId="TOC3">
    <w:name w:val="toc 3"/>
    <w:basedOn w:val="Normal"/>
    <w:next w:val="Normal"/>
    <w:autoRedefine/>
    <w:semiHidden/>
    <w:rsid w:val="00826E0F"/>
    <w:pPr>
      <w:tabs>
        <w:tab w:val="left" w:pos="1620"/>
        <w:tab w:val="right" w:leader="dot" w:pos="9000"/>
        <w:tab w:val="right" w:leader="dot" w:pos="9062"/>
      </w:tabs>
      <w:overflowPunct w:val="0"/>
      <w:autoSpaceDE w:val="0"/>
      <w:autoSpaceDN w:val="0"/>
      <w:adjustRightInd w:val="0"/>
      <w:spacing w:line="320" w:lineRule="atLeast"/>
      <w:ind w:left="480"/>
      <w:textAlignment w:val="baseline"/>
    </w:pPr>
    <w:rPr>
      <w:rFonts w:ascii="Calibri" w:hAnsi="Calibri"/>
      <w:i/>
      <w:noProof/>
      <w:spacing w:val="0"/>
      <w:w w:val="100"/>
      <w:kern w:val="0"/>
      <w:lang w:val="de-DE" w:eastAsia="de-CH"/>
    </w:rPr>
  </w:style>
  <w:style w:type="character" w:customStyle="1" w:styleId="content">
    <w:name w:val="content"/>
    <w:basedOn w:val="DefaultParagraphFont"/>
    <w:rsid w:val="00826E0F"/>
  </w:style>
  <w:style w:type="character" w:styleId="Emphasis">
    <w:name w:val="Emphasis"/>
    <w:qFormat/>
    <w:rsid w:val="00826E0F"/>
    <w:rPr>
      <w:i/>
      <w:iCs/>
    </w:rPr>
  </w:style>
  <w:style w:type="character" w:customStyle="1" w:styleId="normal1">
    <w:name w:val="normal1"/>
    <w:rsid w:val="00826E0F"/>
    <w:rPr>
      <w:rFonts w:ascii="Arial" w:hAnsi="Arial" w:cs="Arial" w:hint="default"/>
      <w:b w:val="0"/>
      <w:bCs w:val="0"/>
      <w:sz w:val="12"/>
      <w:szCs w:val="12"/>
      <w:shd w:val="clear" w:color="auto" w:fill="FFFFFF"/>
    </w:rPr>
  </w:style>
  <w:style w:type="paragraph" w:customStyle="1" w:styleId="CharCharCharCharCharCharCharCharChar">
    <w:name w:val=" Char Char Char Char Char Char Char Char Char"/>
    <w:basedOn w:val="Normal"/>
    <w:rsid w:val="00826E0F"/>
    <w:pPr>
      <w:spacing w:after="160"/>
    </w:pPr>
    <w:rPr>
      <w:rFonts w:cs="Arial"/>
      <w:spacing w:val="0"/>
      <w:w w:val="100"/>
      <w:kern w:val="0"/>
      <w:lang w:val="en-US" w:eastAsia="de-CH"/>
    </w:rPr>
  </w:style>
  <w:style w:type="paragraph" w:customStyle="1" w:styleId="buastrich">
    <w:name w:val="buastrich"/>
    <w:basedOn w:val="Normal"/>
    <w:rsid w:val="00826E0F"/>
    <w:pPr>
      <w:numPr>
        <w:numId w:val="4"/>
      </w:numPr>
      <w:tabs>
        <w:tab w:val="clear" w:pos="705"/>
      </w:tabs>
      <w:spacing w:before="100" w:line="360" w:lineRule="auto"/>
      <w:ind w:left="567" w:hanging="510"/>
      <w:jc w:val="both"/>
    </w:pPr>
    <w:rPr>
      <w:rFonts w:ascii="Calibri" w:hAnsi="Calibri"/>
      <w:spacing w:val="0"/>
      <w:w w:val="100"/>
      <w:kern w:val="0"/>
      <w:sz w:val="24"/>
      <w:szCs w:val="24"/>
      <w:lang w:val="de-CH" w:eastAsia="de-DE"/>
    </w:rPr>
  </w:style>
  <w:style w:type="character" w:customStyle="1" w:styleId="FootnoteCharacters">
    <w:name w:val="Footnote Characters"/>
    <w:rsid w:val="00826E0F"/>
    <w:rPr>
      <w:sz w:val="20"/>
      <w:vertAlign w:val="superscript"/>
    </w:rPr>
  </w:style>
  <w:style w:type="paragraph" w:styleId="TOC2">
    <w:name w:val="toc 2"/>
    <w:basedOn w:val="Normal"/>
    <w:next w:val="Normal"/>
    <w:autoRedefine/>
    <w:rsid w:val="00826E0F"/>
    <w:pPr>
      <w:overflowPunct w:val="0"/>
      <w:autoSpaceDE w:val="0"/>
      <w:autoSpaceDN w:val="0"/>
      <w:adjustRightInd w:val="0"/>
      <w:spacing w:line="320" w:lineRule="atLeast"/>
      <w:ind w:left="240"/>
      <w:textAlignment w:val="baseline"/>
    </w:pPr>
    <w:rPr>
      <w:spacing w:val="0"/>
      <w:w w:val="100"/>
      <w:kern w:val="0"/>
      <w:sz w:val="24"/>
      <w:lang w:val="de-DE" w:eastAsia="de-CH"/>
    </w:rPr>
  </w:style>
  <w:style w:type="paragraph" w:styleId="TOC4">
    <w:name w:val="toc 4"/>
    <w:basedOn w:val="Normal"/>
    <w:next w:val="Normal"/>
    <w:autoRedefine/>
    <w:rsid w:val="00826E0F"/>
    <w:pPr>
      <w:overflowPunct w:val="0"/>
      <w:autoSpaceDE w:val="0"/>
      <w:autoSpaceDN w:val="0"/>
      <w:adjustRightInd w:val="0"/>
      <w:spacing w:line="320" w:lineRule="atLeast"/>
      <w:ind w:left="720"/>
      <w:textAlignment w:val="baseline"/>
    </w:pPr>
    <w:rPr>
      <w:spacing w:val="0"/>
      <w:w w:val="100"/>
      <w:kern w:val="0"/>
      <w:sz w:val="24"/>
      <w:lang w:val="de-DE" w:eastAsia="de-CH"/>
    </w:rPr>
  </w:style>
  <w:style w:type="paragraph" w:styleId="TOC5">
    <w:name w:val="toc 5"/>
    <w:basedOn w:val="Normal"/>
    <w:next w:val="Normal"/>
    <w:autoRedefine/>
    <w:rsid w:val="00826E0F"/>
    <w:pPr>
      <w:overflowPunct w:val="0"/>
      <w:autoSpaceDE w:val="0"/>
      <w:autoSpaceDN w:val="0"/>
      <w:adjustRightInd w:val="0"/>
      <w:spacing w:line="320" w:lineRule="atLeast"/>
      <w:ind w:left="960"/>
      <w:textAlignment w:val="baseline"/>
    </w:pPr>
    <w:rPr>
      <w:spacing w:val="0"/>
      <w:w w:val="100"/>
      <w:kern w:val="0"/>
      <w:sz w:val="24"/>
      <w:lang w:val="de-DE" w:eastAsia="de-CH"/>
    </w:rPr>
  </w:style>
  <w:style w:type="paragraph" w:styleId="TOC6">
    <w:name w:val="toc 6"/>
    <w:basedOn w:val="Normal"/>
    <w:next w:val="Normal"/>
    <w:autoRedefine/>
    <w:rsid w:val="00826E0F"/>
    <w:pPr>
      <w:overflowPunct w:val="0"/>
      <w:autoSpaceDE w:val="0"/>
      <w:autoSpaceDN w:val="0"/>
      <w:adjustRightInd w:val="0"/>
      <w:spacing w:line="320" w:lineRule="atLeast"/>
      <w:ind w:left="1200"/>
      <w:textAlignment w:val="baseline"/>
    </w:pPr>
    <w:rPr>
      <w:spacing w:val="0"/>
      <w:w w:val="100"/>
      <w:kern w:val="0"/>
      <w:sz w:val="24"/>
      <w:lang w:val="de-DE" w:eastAsia="de-CH"/>
    </w:rPr>
  </w:style>
  <w:style w:type="paragraph" w:styleId="TOC7">
    <w:name w:val="toc 7"/>
    <w:basedOn w:val="Normal"/>
    <w:next w:val="Normal"/>
    <w:autoRedefine/>
    <w:rsid w:val="00826E0F"/>
    <w:pPr>
      <w:overflowPunct w:val="0"/>
      <w:autoSpaceDE w:val="0"/>
      <w:autoSpaceDN w:val="0"/>
      <w:adjustRightInd w:val="0"/>
      <w:spacing w:line="320" w:lineRule="atLeast"/>
      <w:ind w:left="1440"/>
      <w:textAlignment w:val="baseline"/>
    </w:pPr>
    <w:rPr>
      <w:spacing w:val="0"/>
      <w:w w:val="100"/>
      <w:kern w:val="0"/>
      <w:sz w:val="24"/>
      <w:lang w:val="de-DE" w:eastAsia="de-CH"/>
    </w:rPr>
  </w:style>
  <w:style w:type="paragraph" w:styleId="TOC8">
    <w:name w:val="toc 8"/>
    <w:basedOn w:val="Normal"/>
    <w:next w:val="Normal"/>
    <w:autoRedefine/>
    <w:rsid w:val="00826E0F"/>
    <w:pPr>
      <w:overflowPunct w:val="0"/>
      <w:autoSpaceDE w:val="0"/>
      <w:autoSpaceDN w:val="0"/>
      <w:adjustRightInd w:val="0"/>
      <w:spacing w:line="320" w:lineRule="atLeast"/>
      <w:ind w:left="1680"/>
      <w:textAlignment w:val="baseline"/>
    </w:pPr>
    <w:rPr>
      <w:spacing w:val="0"/>
      <w:w w:val="100"/>
      <w:kern w:val="0"/>
      <w:sz w:val="24"/>
      <w:lang w:val="de-DE" w:eastAsia="de-CH"/>
    </w:rPr>
  </w:style>
  <w:style w:type="paragraph" w:styleId="TOC9">
    <w:name w:val="toc 9"/>
    <w:basedOn w:val="Normal"/>
    <w:next w:val="Normal"/>
    <w:autoRedefine/>
    <w:rsid w:val="00826E0F"/>
    <w:pPr>
      <w:overflowPunct w:val="0"/>
      <w:autoSpaceDE w:val="0"/>
      <w:autoSpaceDN w:val="0"/>
      <w:adjustRightInd w:val="0"/>
      <w:spacing w:line="320" w:lineRule="atLeast"/>
      <w:ind w:left="1920"/>
      <w:textAlignment w:val="baseline"/>
    </w:pPr>
    <w:rPr>
      <w:spacing w:val="0"/>
      <w:w w:val="100"/>
      <w:kern w:val="0"/>
      <w:sz w:val="24"/>
      <w:lang w:val="de-DE" w:eastAsia="de-CH"/>
    </w:rPr>
  </w:style>
  <w:style w:type="paragraph" w:styleId="Index1">
    <w:name w:val="index 1"/>
    <w:basedOn w:val="Normal"/>
    <w:next w:val="Normal"/>
    <w:autoRedefine/>
    <w:rsid w:val="00826E0F"/>
    <w:pPr>
      <w:overflowPunct w:val="0"/>
      <w:autoSpaceDE w:val="0"/>
      <w:autoSpaceDN w:val="0"/>
      <w:adjustRightInd w:val="0"/>
      <w:spacing w:line="320" w:lineRule="atLeast"/>
      <w:ind w:left="240" w:hanging="240"/>
      <w:textAlignment w:val="baseline"/>
    </w:pPr>
    <w:rPr>
      <w:spacing w:val="0"/>
      <w:w w:val="100"/>
      <w:kern w:val="0"/>
      <w:sz w:val="24"/>
      <w:lang w:val="de-DE" w:eastAsia="de-CH"/>
    </w:rPr>
  </w:style>
  <w:style w:type="paragraph" w:styleId="Index2">
    <w:name w:val="index 2"/>
    <w:basedOn w:val="Normal"/>
    <w:next w:val="Normal"/>
    <w:autoRedefine/>
    <w:rsid w:val="00826E0F"/>
    <w:pPr>
      <w:overflowPunct w:val="0"/>
      <w:autoSpaceDE w:val="0"/>
      <w:autoSpaceDN w:val="0"/>
      <w:adjustRightInd w:val="0"/>
      <w:spacing w:line="320" w:lineRule="atLeast"/>
      <w:ind w:left="480" w:hanging="240"/>
      <w:textAlignment w:val="baseline"/>
    </w:pPr>
    <w:rPr>
      <w:spacing w:val="0"/>
      <w:w w:val="100"/>
      <w:kern w:val="0"/>
      <w:sz w:val="24"/>
      <w:lang w:val="de-DE" w:eastAsia="de-CH"/>
    </w:rPr>
  </w:style>
  <w:style w:type="paragraph" w:styleId="Index3">
    <w:name w:val="index 3"/>
    <w:basedOn w:val="Normal"/>
    <w:next w:val="Normal"/>
    <w:autoRedefine/>
    <w:rsid w:val="00826E0F"/>
    <w:pPr>
      <w:overflowPunct w:val="0"/>
      <w:autoSpaceDE w:val="0"/>
      <w:autoSpaceDN w:val="0"/>
      <w:adjustRightInd w:val="0"/>
      <w:spacing w:line="320" w:lineRule="atLeast"/>
      <w:ind w:left="720" w:hanging="240"/>
      <w:textAlignment w:val="baseline"/>
    </w:pPr>
    <w:rPr>
      <w:spacing w:val="0"/>
      <w:w w:val="100"/>
      <w:kern w:val="0"/>
      <w:sz w:val="24"/>
      <w:lang w:val="de-DE" w:eastAsia="de-CH"/>
    </w:rPr>
  </w:style>
  <w:style w:type="paragraph" w:styleId="Index4">
    <w:name w:val="index 4"/>
    <w:basedOn w:val="Normal"/>
    <w:next w:val="Normal"/>
    <w:autoRedefine/>
    <w:rsid w:val="00826E0F"/>
    <w:pPr>
      <w:overflowPunct w:val="0"/>
      <w:autoSpaceDE w:val="0"/>
      <w:autoSpaceDN w:val="0"/>
      <w:adjustRightInd w:val="0"/>
      <w:spacing w:line="320" w:lineRule="atLeast"/>
      <w:ind w:left="960" w:hanging="240"/>
      <w:textAlignment w:val="baseline"/>
    </w:pPr>
    <w:rPr>
      <w:spacing w:val="0"/>
      <w:w w:val="100"/>
      <w:kern w:val="0"/>
      <w:sz w:val="24"/>
      <w:lang w:val="de-DE" w:eastAsia="de-CH"/>
    </w:rPr>
  </w:style>
  <w:style w:type="paragraph" w:styleId="Index5">
    <w:name w:val="index 5"/>
    <w:basedOn w:val="Normal"/>
    <w:next w:val="Normal"/>
    <w:autoRedefine/>
    <w:rsid w:val="00826E0F"/>
    <w:pPr>
      <w:overflowPunct w:val="0"/>
      <w:autoSpaceDE w:val="0"/>
      <w:autoSpaceDN w:val="0"/>
      <w:adjustRightInd w:val="0"/>
      <w:spacing w:line="320" w:lineRule="atLeast"/>
      <w:ind w:left="1200" w:hanging="240"/>
      <w:textAlignment w:val="baseline"/>
    </w:pPr>
    <w:rPr>
      <w:spacing w:val="0"/>
      <w:w w:val="100"/>
      <w:kern w:val="0"/>
      <w:sz w:val="24"/>
      <w:lang w:val="de-DE" w:eastAsia="de-CH"/>
    </w:rPr>
  </w:style>
  <w:style w:type="paragraph" w:styleId="Index6">
    <w:name w:val="index 6"/>
    <w:basedOn w:val="Normal"/>
    <w:next w:val="Normal"/>
    <w:autoRedefine/>
    <w:rsid w:val="00826E0F"/>
    <w:pPr>
      <w:overflowPunct w:val="0"/>
      <w:autoSpaceDE w:val="0"/>
      <w:autoSpaceDN w:val="0"/>
      <w:adjustRightInd w:val="0"/>
      <w:spacing w:line="320" w:lineRule="atLeast"/>
      <w:ind w:left="1440" w:hanging="240"/>
      <w:textAlignment w:val="baseline"/>
    </w:pPr>
    <w:rPr>
      <w:spacing w:val="0"/>
      <w:w w:val="100"/>
      <w:kern w:val="0"/>
      <w:sz w:val="24"/>
      <w:lang w:val="de-DE" w:eastAsia="de-CH"/>
    </w:rPr>
  </w:style>
  <w:style w:type="paragraph" w:styleId="Index7">
    <w:name w:val="index 7"/>
    <w:basedOn w:val="Normal"/>
    <w:next w:val="Normal"/>
    <w:autoRedefine/>
    <w:rsid w:val="00826E0F"/>
    <w:pPr>
      <w:overflowPunct w:val="0"/>
      <w:autoSpaceDE w:val="0"/>
      <w:autoSpaceDN w:val="0"/>
      <w:adjustRightInd w:val="0"/>
      <w:spacing w:line="320" w:lineRule="atLeast"/>
      <w:ind w:left="1680" w:hanging="240"/>
      <w:textAlignment w:val="baseline"/>
    </w:pPr>
    <w:rPr>
      <w:spacing w:val="0"/>
      <w:w w:val="100"/>
      <w:kern w:val="0"/>
      <w:sz w:val="24"/>
      <w:lang w:val="de-DE" w:eastAsia="de-CH"/>
    </w:rPr>
  </w:style>
  <w:style w:type="paragraph" w:styleId="Index8">
    <w:name w:val="index 8"/>
    <w:basedOn w:val="Normal"/>
    <w:next w:val="Normal"/>
    <w:autoRedefine/>
    <w:rsid w:val="00826E0F"/>
    <w:pPr>
      <w:overflowPunct w:val="0"/>
      <w:autoSpaceDE w:val="0"/>
      <w:autoSpaceDN w:val="0"/>
      <w:adjustRightInd w:val="0"/>
      <w:spacing w:line="320" w:lineRule="atLeast"/>
      <w:ind w:left="1920" w:hanging="240"/>
      <w:textAlignment w:val="baseline"/>
    </w:pPr>
    <w:rPr>
      <w:spacing w:val="0"/>
      <w:w w:val="100"/>
      <w:kern w:val="0"/>
      <w:sz w:val="24"/>
      <w:lang w:val="de-DE" w:eastAsia="de-CH"/>
    </w:rPr>
  </w:style>
  <w:style w:type="paragraph" w:styleId="Index9">
    <w:name w:val="index 9"/>
    <w:basedOn w:val="Normal"/>
    <w:next w:val="Normal"/>
    <w:autoRedefine/>
    <w:rsid w:val="00826E0F"/>
    <w:pPr>
      <w:overflowPunct w:val="0"/>
      <w:autoSpaceDE w:val="0"/>
      <w:autoSpaceDN w:val="0"/>
      <w:adjustRightInd w:val="0"/>
      <w:spacing w:line="320" w:lineRule="atLeast"/>
      <w:ind w:left="2160" w:hanging="240"/>
      <w:textAlignment w:val="baseline"/>
    </w:pPr>
    <w:rPr>
      <w:spacing w:val="0"/>
      <w:w w:val="100"/>
      <w:kern w:val="0"/>
      <w:sz w:val="24"/>
      <w:lang w:val="de-DE" w:eastAsia="de-CH"/>
    </w:rPr>
  </w:style>
  <w:style w:type="paragraph" w:styleId="IndexHeading">
    <w:name w:val="index heading"/>
    <w:basedOn w:val="Normal"/>
    <w:next w:val="Index1"/>
    <w:rsid w:val="00826E0F"/>
    <w:pPr>
      <w:tabs>
        <w:tab w:val="left" w:pos="851"/>
      </w:tabs>
      <w:overflowPunct w:val="0"/>
      <w:autoSpaceDE w:val="0"/>
      <w:autoSpaceDN w:val="0"/>
      <w:adjustRightInd w:val="0"/>
      <w:spacing w:line="320" w:lineRule="atLeast"/>
      <w:textAlignment w:val="baseline"/>
    </w:pPr>
    <w:rPr>
      <w:spacing w:val="0"/>
      <w:w w:val="100"/>
      <w:kern w:val="0"/>
      <w:sz w:val="24"/>
      <w:lang w:val="de-DE" w:eastAsia="de-CH"/>
    </w:rPr>
  </w:style>
  <w:style w:type="character" w:customStyle="1" w:styleId="WW8Num1z4">
    <w:name w:val="WW8Num1z4"/>
    <w:rsid w:val="00826E0F"/>
    <w:rPr>
      <w:b/>
      <w:i/>
      <w:u w:val="none"/>
    </w:rPr>
  </w:style>
  <w:style w:type="character" w:customStyle="1" w:styleId="WW8Num1z5">
    <w:name w:val="WW8Num1z5"/>
    <w:rsid w:val="00826E0F"/>
    <w:rPr>
      <w:b w:val="0"/>
      <w:i w:val="0"/>
      <w:u w:val="single"/>
    </w:rPr>
  </w:style>
  <w:style w:type="character" w:customStyle="1" w:styleId="WW8Num2z4">
    <w:name w:val="WW8Num2z4"/>
    <w:rsid w:val="00826E0F"/>
    <w:rPr>
      <w:b/>
      <w:i/>
      <w:u w:val="none"/>
    </w:rPr>
  </w:style>
  <w:style w:type="character" w:customStyle="1" w:styleId="WW8Num2z5">
    <w:name w:val="WW8Num2z5"/>
    <w:rsid w:val="00826E0F"/>
    <w:rPr>
      <w:b w:val="0"/>
      <w:i w:val="0"/>
      <w:u w:val="single"/>
    </w:rPr>
  </w:style>
  <w:style w:type="character" w:customStyle="1" w:styleId="WW8Num5z0">
    <w:name w:val="WW8Num5z0"/>
    <w:rsid w:val="00826E0F"/>
    <w:rPr>
      <w:rFonts w:ascii="Symbol" w:hAnsi="Symbol"/>
    </w:rPr>
  </w:style>
  <w:style w:type="character" w:customStyle="1" w:styleId="WW8Num7z0">
    <w:name w:val="WW8Num7z0"/>
    <w:rsid w:val="00826E0F"/>
    <w:rPr>
      <w:rFonts w:ascii="Calibri" w:hAnsi="Calibri" w:cs="Times New Roman"/>
    </w:rPr>
  </w:style>
  <w:style w:type="character" w:customStyle="1" w:styleId="WW8Num8z0">
    <w:name w:val="WW8Num8z0"/>
    <w:rsid w:val="00826E0F"/>
    <w:rPr>
      <w:rFonts w:ascii="Symbol" w:hAnsi="Symbol"/>
      <w:sz w:val="20"/>
    </w:rPr>
  </w:style>
  <w:style w:type="character" w:customStyle="1" w:styleId="WW8Num9z0">
    <w:name w:val="WW8Num9z0"/>
    <w:rsid w:val="00826E0F"/>
    <w:rPr>
      <w:rFonts w:ascii="Symbol" w:hAnsi="Symbol"/>
    </w:rPr>
  </w:style>
  <w:style w:type="character" w:customStyle="1" w:styleId="WW8Num10z0">
    <w:name w:val="WW8Num10z0"/>
    <w:rsid w:val="00826E0F"/>
    <w:rPr>
      <w:rFonts w:ascii="Calibri" w:hAnsi="Calibri" w:cs="Times New Roman"/>
    </w:rPr>
  </w:style>
  <w:style w:type="character" w:customStyle="1" w:styleId="Absatz-Standardschriftart1">
    <w:name w:val="Absatz-Standardschriftart1"/>
    <w:rsid w:val="00826E0F"/>
  </w:style>
  <w:style w:type="character" w:customStyle="1" w:styleId="WW-Absatz-Standardschriftart">
    <w:name w:val="WW-Absatz-Standardschriftart"/>
    <w:rsid w:val="00826E0F"/>
  </w:style>
  <w:style w:type="character" w:customStyle="1" w:styleId="WW-Absatz-Standardschriftart1">
    <w:name w:val="WW-Absatz-Standardschriftart1"/>
    <w:rsid w:val="00826E0F"/>
  </w:style>
  <w:style w:type="character" w:customStyle="1" w:styleId="WW8Num6z0">
    <w:name w:val="WW8Num6z0"/>
    <w:rsid w:val="00826E0F"/>
    <w:rPr>
      <w:rFonts w:ascii="Symbol" w:hAnsi="Symbol"/>
    </w:rPr>
  </w:style>
  <w:style w:type="character" w:customStyle="1" w:styleId="WW8Num11z0">
    <w:name w:val="WW8Num11z0"/>
    <w:rsid w:val="00826E0F"/>
    <w:rPr>
      <w:rFonts w:ascii="Symbol" w:hAnsi="Symbol"/>
    </w:rPr>
  </w:style>
  <w:style w:type="character" w:customStyle="1" w:styleId="WW-Absatz-Standardschriftart11">
    <w:name w:val="WW-Absatz-Standardschriftart11"/>
    <w:rsid w:val="00826E0F"/>
  </w:style>
  <w:style w:type="character" w:customStyle="1" w:styleId="WW-Absatz-Standardschriftart111">
    <w:name w:val="WW-Absatz-Standardschriftart111"/>
    <w:rsid w:val="00826E0F"/>
  </w:style>
  <w:style w:type="character" w:customStyle="1" w:styleId="WW-Absatz-Standardschriftart1111">
    <w:name w:val="WW-Absatz-Standardschriftart1111"/>
    <w:rsid w:val="00826E0F"/>
  </w:style>
  <w:style w:type="character" w:customStyle="1" w:styleId="WW-Absatz-Standardschriftart11111">
    <w:name w:val="WW-Absatz-Standardschriftart11111"/>
    <w:rsid w:val="00826E0F"/>
  </w:style>
  <w:style w:type="character" w:customStyle="1" w:styleId="WW-Absatz-Standardschriftart111111">
    <w:name w:val="WW-Absatz-Standardschriftart111111"/>
    <w:rsid w:val="00826E0F"/>
  </w:style>
  <w:style w:type="character" w:customStyle="1" w:styleId="WW-Absatz-Standardschriftart1111111">
    <w:name w:val="WW-Absatz-Standardschriftart1111111"/>
    <w:rsid w:val="00826E0F"/>
  </w:style>
  <w:style w:type="character" w:customStyle="1" w:styleId="WW-Absatz-Standardschriftart11111111">
    <w:name w:val="WW-Absatz-Standardschriftart11111111"/>
    <w:rsid w:val="00826E0F"/>
  </w:style>
  <w:style w:type="character" w:customStyle="1" w:styleId="WW-Absatz-Standardschriftart111111111">
    <w:name w:val="WW-Absatz-Standardschriftart111111111"/>
    <w:rsid w:val="00826E0F"/>
  </w:style>
  <w:style w:type="character" w:customStyle="1" w:styleId="WW-Absatz-Standardschriftart1111111111">
    <w:name w:val="WW-Absatz-Standardschriftart1111111111"/>
    <w:rsid w:val="00826E0F"/>
  </w:style>
  <w:style w:type="character" w:customStyle="1" w:styleId="WW-Absatz-Standardschriftart11111111111">
    <w:name w:val="WW-Absatz-Standardschriftart11111111111"/>
    <w:rsid w:val="00826E0F"/>
  </w:style>
  <w:style w:type="character" w:customStyle="1" w:styleId="WW-Absatz-Standardschriftart111111111111">
    <w:name w:val="WW-Absatz-Standardschriftart111111111111"/>
    <w:rsid w:val="00826E0F"/>
  </w:style>
  <w:style w:type="character" w:customStyle="1" w:styleId="WW-Absatz-Standardschriftart1111111111111">
    <w:name w:val="WW-Absatz-Standardschriftart1111111111111"/>
    <w:rsid w:val="00826E0F"/>
  </w:style>
  <w:style w:type="character" w:customStyle="1" w:styleId="WW-Absatz-Standardschriftart11111111111111">
    <w:name w:val="WW-Absatz-Standardschriftart11111111111111"/>
    <w:rsid w:val="00826E0F"/>
  </w:style>
  <w:style w:type="character" w:customStyle="1" w:styleId="WW-Absatz-Standardschriftart111111111111111">
    <w:name w:val="WW-Absatz-Standardschriftart111111111111111"/>
    <w:rsid w:val="00826E0F"/>
  </w:style>
  <w:style w:type="character" w:customStyle="1" w:styleId="WW-Absatz-Standardschriftart1111111111111111">
    <w:name w:val="WW-Absatz-Standardschriftart1111111111111111"/>
    <w:rsid w:val="00826E0F"/>
  </w:style>
  <w:style w:type="character" w:customStyle="1" w:styleId="WW-Absatz-Standardschriftart11111111111111111">
    <w:name w:val="WW-Absatz-Standardschriftart11111111111111111"/>
    <w:rsid w:val="00826E0F"/>
  </w:style>
  <w:style w:type="character" w:customStyle="1" w:styleId="WW-Absatz-Standardschriftart111111111111111111">
    <w:name w:val="WW-Absatz-Standardschriftart111111111111111111"/>
    <w:rsid w:val="00826E0F"/>
  </w:style>
  <w:style w:type="character" w:customStyle="1" w:styleId="WW-Absatz-Standardschriftart1111111111111111111">
    <w:name w:val="WW-Absatz-Standardschriftart1111111111111111111"/>
    <w:rsid w:val="00826E0F"/>
  </w:style>
  <w:style w:type="character" w:customStyle="1" w:styleId="WW-Absatz-Standardschriftart11111111111111111111">
    <w:name w:val="WW-Absatz-Standardschriftart11111111111111111111"/>
    <w:rsid w:val="00826E0F"/>
  </w:style>
  <w:style w:type="character" w:customStyle="1" w:styleId="WW-Absatz-Standardschriftart111111111111111111111">
    <w:name w:val="WW-Absatz-Standardschriftart111111111111111111111"/>
    <w:rsid w:val="00826E0F"/>
  </w:style>
  <w:style w:type="character" w:customStyle="1" w:styleId="WW-Absatz-Standardschriftart1111111111111111111111">
    <w:name w:val="WW-Absatz-Standardschriftart1111111111111111111111"/>
    <w:rsid w:val="00826E0F"/>
  </w:style>
  <w:style w:type="character" w:customStyle="1" w:styleId="WW-Absatz-Standardschriftart11111111111111111111111">
    <w:name w:val="WW-Absatz-Standardschriftart11111111111111111111111"/>
    <w:rsid w:val="00826E0F"/>
  </w:style>
  <w:style w:type="character" w:customStyle="1" w:styleId="WW-Absatz-Standardschriftart111111111111111111111111">
    <w:name w:val="WW-Absatz-Standardschriftart111111111111111111111111"/>
    <w:rsid w:val="00826E0F"/>
  </w:style>
  <w:style w:type="character" w:customStyle="1" w:styleId="WW-Absatz-Standardschriftart1111111111111111111111111">
    <w:name w:val="WW-Absatz-Standardschriftart1111111111111111111111111"/>
    <w:rsid w:val="00826E0F"/>
  </w:style>
  <w:style w:type="character" w:customStyle="1" w:styleId="WW-Absatz-Standardschriftart11111111111111111111111111">
    <w:name w:val="WW-Absatz-Standardschriftart11111111111111111111111111"/>
    <w:rsid w:val="00826E0F"/>
  </w:style>
  <w:style w:type="character" w:customStyle="1" w:styleId="WW8Num5z1">
    <w:name w:val="WW8Num5z1"/>
    <w:rsid w:val="00826E0F"/>
    <w:rPr>
      <w:rFonts w:ascii="Courier New" w:hAnsi="Courier New" w:cs="Courier New"/>
    </w:rPr>
  </w:style>
  <w:style w:type="character" w:customStyle="1" w:styleId="WW8Num5z2">
    <w:name w:val="WW8Num5z2"/>
    <w:rsid w:val="00826E0F"/>
    <w:rPr>
      <w:rFonts w:ascii="Wingdings" w:hAnsi="Wingdings"/>
    </w:rPr>
  </w:style>
  <w:style w:type="character" w:customStyle="1" w:styleId="WW8Num6z1">
    <w:name w:val="WW8Num6z1"/>
    <w:rsid w:val="00826E0F"/>
    <w:rPr>
      <w:rFonts w:ascii="Courier New" w:hAnsi="Courier New" w:cs="Courier New"/>
    </w:rPr>
  </w:style>
  <w:style w:type="character" w:customStyle="1" w:styleId="WW8Num6z2">
    <w:name w:val="WW8Num6z2"/>
    <w:rsid w:val="00826E0F"/>
    <w:rPr>
      <w:rFonts w:ascii="Wingdings" w:hAnsi="Wingdings"/>
    </w:rPr>
  </w:style>
  <w:style w:type="character" w:customStyle="1" w:styleId="WW8Num8z1">
    <w:name w:val="WW8Num8z1"/>
    <w:rsid w:val="00826E0F"/>
    <w:rPr>
      <w:rFonts w:ascii="Courier New" w:hAnsi="Courier New"/>
      <w:sz w:val="20"/>
    </w:rPr>
  </w:style>
  <w:style w:type="character" w:customStyle="1" w:styleId="WW8Num8z2">
    <w:name w:val="WW8Num8z2"/>
    <w:rsid w:val="00826E0F"/>
    <w:rPr>
      <w:rFonts w:ascii="Wingdings" w:hAnsi="Wingdings"/>
      <w:sz w:val="20"/>
    </w:rPr>
  </w:style>
  <w:style w:type="character" w:customStyle="1" w:styleId="WW8Num9z1">
    <w:name w:val="WW8Num9z1"/>
    <w:rsid w:val="00826E0F"/>
    <w:rPr>
      <w:rFonts w:ascii="Courier New" w:hAnsi="Courier New" w:cs="Courier New"/>
    </w:rPr>
  </w:style>
  <w:style w:type="character" w:customStyle="1" w:styleId="WW8Num9z2">
    <w:name w:val="WW8Num9z2"/>
    <w:rsid w:val="00826E0F"/>
    <w:rPr>
      <w:rFonts w:ascii="Wingdings" w:hAnsi="Wingdings"/>
    </w:rPr>
  </w:style>
  <w:style w:type="character" w:customStyle="1" w:styleId="WW8Num11z1">
    <w:name w:val="WW8Num11z1"/>
    <w:rsid w:val="00826E0F"/>
    <w:rPr>
      <w:rFonts w:ascii="Courier New" w:hAnsi="Courier New" w:cs="Courier New"/>
    </w:rPr>
  </w:style>
  <w:style w:type="character" w:customStyle="1" w:styleId="WW8Num11z2">
    <w:name w:val="WW8Num11z2"/>
    <w:rsid w:val="00826E0F"/>
    <w:rPr>
      <w:rFonts w:ascii="Wingdings" w:hAnsi="Wingdings"/>
    </w:rPr>
  </w:style>
  <w:style w:type="character" w:customStyle="1" w:styleId="WW8Num12z0">
    <w:name w:val="WW8Num12z0"/>
    <w:rsid w:val="00826E0F"/>
    <w:rPr>
      <w:rFonts w:ascii="Symbol" w:hAnsi="Symbol"/>
    </w:rPr>
  </w:style>
  <w:style w:type="character" w:customStyle="1" w:styleId="WW8Num12z1">
    <w:name w:val="WW8Num12z1"/>
    <w:rsid w:val="00826E0F"/>
    <w:rPr>
      <w:rFonts w:ascii="Courier New" w:hAnsi="Courier New" w:cs="Courier New"/>
    </w:rPr>
  </w:style>
  <w:style w:type="character" w:customStyle="1" w:styleId="WW8Num12z2">
    <w:name w:val="WW8Num12z2"/>
    <w:rsid w:val="00826E0F"/>
    <w:rPr>
      <w:rFonts w:ascii="Wingdings" w:hAnsi="Wingdings"/>
    </w:rPr>
  </w:style>
  <w:style w:type="character" w:customStyle="1" w:styleId="WW8Num13z0">
    <w:name w:val="WW8Num13z0"/>
    <w:rsid w:val="00826E0F"/>
    <w:rPr>
      <w:rFonts w:ascii="Symbol" w:hAnsi="Symbol"/>
      <w:sz w:val="20"/>
    </w:rPr>
  </w:style>
  <w:style w:type="character" w:customStyle="1" w:styleId="WW8Num13z1">
    <w:name w:val="WW8Num13z1"/>
    <w:rsid w:val="00826E0F"/>
    <w:rPr>
      <w:rFonts w:ascii="Courier New" w:hAnsi="Courier New"/>
      <w:sz w:val="20"/>
    </w:rPr>
  </w:style>
  <w:style w:type="character" w:customStyle="1" w:styleId="WW8Num13z2">
    <w:name w:val="WW8Num13z2"/>
    <w:rsid w:val="00826E0F"/>
    <w:rPr>
      <w:rFonts w:ascii="Wingdings" w:hAnsi="Wingdings"/>
      <w:sz w:val="20"/>
    </w:rPr>
  </w:style>
  <w:style w:type="character" w:customStyle="1" w:styleId="WW8Num14z0">
    <w:name w:val="WW8Num14z0"/>
    <w:rsid w:val="00826E0F"/>
    <w:rPr>
      <w:rFonts w:ascii="Symbol" w:hAnsi="Symbol"/>
      <w:sz w:val="20"/>
    </w:rPr>
  </w:style>
  <w:style w:type="character" w:customStyle="1" w:styleId="WW8Num14z1">
    <w:name w:val="WW8Num14z1"/>
    <w:rsid w:val="00826E0F"/>
    <w:rPr>
      <w:rFonts w:ascii="Courier New" w:hAnsi="Courier New"/>
      <w:sz w:val="20"/>
    </w:rPr>
  </w:style>
  <w:style w:type="character" w:customStyle="1" w:styleId="WW8Num14z2">
    <w:name w:val="WW8Num14z2"/>
    <w:rsid w:val="00826E0F"/>
    <w:rPr>
      <w:rFonts w:ascii="Wingdings" w:hAnsi="Wingdings"/>
      <w:sz w:val="20"/>
    </w:rPr>
  </w:style>
  <w:style w:type="character" w:customStyle="1" w:styleId="WW8Num16z0">
    <w:name w:val="WW8Num16z0"/>
    <w:rsid w:val="00826E0F"/>
    <w:rPr>
      <w:rFonts w:ascii="Symbol" w:hAnsi="Symbol"/>
    </w:rPr>
  </w:style>
  <w:style w:type="character" w:customStyle="1" w:styleId="WW8Num16z1">
    <w:name w:val="WW8Num16z1"/>
    <w:rsid w:val="00826E0F"/>
    <w:rPr>
      <w:rFonts w:ascii="Courier New" w:hAnsi="Courier New" w:cs="Courier New"/>
    </w:rPr>
  </w:style>
  <w:style w:type="character" w:customStyle="1" w:styleId="WW8Num16z2">
    <w:name w:val="WW8Num16z2"/>
    <w:rsid w:val="00826E0F"/>
    <w:rPr>
      <w:rFonts w:ascii="Wingdings" w:hAnsi="Wingdings"/>
    </w:rPr>
  </w:style>
  <w:style w:type="character" w:customStyle="1" w:styleId="WW8Num17z0">
    <w:name w:val="WW8Num17z0"/>
    <w:rsid w:val="00826E0F"/>
    <w:rPr>
      <w:rFonts w:ascii="Symbol" w:hAnsi="Symbol"/>
    </w:rPr>
  </w:style>
  <w:style w:type="character" w:customStyle="1" w:styleId="WW8Num17z1">
    <w:name w:val="WW8Num17z1"/>
    <w:rsid w:val="00826E0F"/>
    <w:rPr>
      <w:rFonts w:ascii="Courier New" w:hAnsi="Courier New" w:cs="Courier New"/>
    </w:rPr>
  </w:style>
  <w:style w:type="character" w:customStyle="1" w:styleId="WW8Num17z2">
    <w:name w:val="WW8Num17z2"/>
    <w:rsid w:val="00826E0F"/>
    <w:rPr>
      <w:rFonts w:ascii="Wingdings" w:hAnsi="Wingdings"/>
    </w:rPr>
  </w:style>
  <w:style w:type="character" w:customStyle="1" w:styleId="WW8Num19z0">
    <w:name w:val="WW8Num19z0"/>
    <w:rsid w:val="00826E0F"/>
    <w:rPr>
      <w:rFonts w:ascii="Symbol" w:hAnsi="Symbol"/>
    </w:rPr>
  </w:style>
  <w:style w:type="character" w:customStyle="1" w:styleId="WW8Num19z1">
    <w:name w:val="WW8Num19z1"/>
    <w:rsid w:val="00826E0F"/>
    <w:rPr>
      <w:rFonts w:ascii="Courier New" w:hAnsi="Courier New" w:cs="Courier New"/>
    </w:rPr>
  </w:style>
  <w:style w:type="character" w:customStyle="1" w:styleId="WW8Num19z2">
    <w:name w:val="WW8Num19z2"/>
    <w:rsid w:val="00826E0F"/>
    <w:rPr>
      <w:rFonts w:ascii="Wingdings" w:hAnsi="Wingdings"/>
    </w:rPr>
  </w:style>
  <w:style w:type="character" w:customStyle="1" w:styleId="WW8Num20z0">
    <w:name w:val="WW8Num20z0"/>
    <w:rsid w:val="00826E0F"/>
    <w:rPr>
      <w:rFonts w:ascii="Symbol" w:hAnsi="Symbol"/>
    </w:rPr>
  </w:style>
  <w:style w:type="character" w:customStyle="1" w:styleId="WW8Num20z1">
    <w:name w:val="WW8Num20z1"/>
    <w:rsid w:val="00826E0F"/>
    <w:rPr>
      <w:rFonts w:ascii="Courier New" w:hAnsi="Courier New" w:cs="Courier New"/>
    </w:rPr>
  </w:style>
  <w:style w:type="character" w:customStyle="1" w:styleId="WW8Num20z2">
    <w:name w:val="WW8Num20z2"/>
    <w:rsid w:val="00826E0F"/>
    <w:rPr>
      <w:rFonts w:ascii="Wingdings" w:hAnsi="Wingdings"/>
    </w:rPr>
  </w:style>
  <w:style w:type="character" w:customStyle="1" w:styleId="WW8Num22z0">
    <w:name w:val="WW8Num22z0"/>
    <w:rsid w:val="00826E0F"/>
    <w:rPr>
      <w:rFonts w:ascii="Symbol" w:hAnsi="Symbol"/>
    </w:rPr>
  </w:style>
  <w:style w:type="character" w:customStyle="1" w:styleId="WW8Num22z1">
    <w:name w:val="WW8Num22z1"/>
    <w:rsid w:val="00826E0F"/>
    <w:rPr>
      <w:rFonts w:ascii="Courier New" w:hAnsi="Courier New" w:cs="Courier New"/>
    </w:rPr>
  </w:style>
  <w:style w:type="character" w:customStyle="1" w:styleId="WW8Num22z2">
    <w:name w:val="WW8Num22z2"/>
    <w:rsid w:val="00826E0F"/>
    <w:rPr>
      <w:rFonts w:ascii="Wingdings" w:hAnsi="Wingdings"/>
    </w:rPr>
  </w:style>
  <w:style w:type="character" w:customStyle="1" w:styleId="WW8Num23z0">
    <w:name w:val="WW8Num23z0"/>
    <w:rsid w:val="00826E0F"/>
    <w:rPr>
      <w:rFonts w:ascii="Wingdings" w:eastAsia="Times New Roman" w:hAnsi="Wingdings" w:cs="Times New Roman"/>
    </w:rPr>
  </w:style>
  <w:style w:type="character" w:customStyle="1" w:styleId="WW8Num23z1">
    <w:name w:val="WW8Num23z1"/>
    <w:rsid w:val="00826E0F"/>
    <w:rPr>
      <w:rFonts w:ascii="Courier New" w:hAnsi="Courier New" w:cs="Courier New"/>
    </w:rPr>
  </w:style>
  <w:style w:type="character" w:customStyle="1" w:styleId="WW8Num23z2">
    <w:name w:val="WW8Num23z2"/>
    <w:rsid w:val="00826E0F"/>
    <w:rPr>
      <w:rFonts w:ascii="Wingdings" w:hAnsi="Wingdings"/>
    </w:rPr>
  </w:style>
  <w:style w:type="character" w:customStyle="1" w:styleId="WW8Num23z3">
    <w:name w:val="WW8Num23z3"/>
    <w:rsid w:val="00826E0F"/>
    <w:rPr>
      <w:rFonts w:ascii="Symbol" w:hAnsi="Symbol"/>
    </w:rPr>
  </w:style>
  <w:style w:type="character" w:customStyle="1" w:styleId="WW8Num24z0">
    <w:name w:val="WW8Num24z0"/>
    <w:rsid w:val="00826E0F"/>
    <w:rPr>
      <w:rFonts w:ascii="Symbol" w:hAnsi="Symbol"/>
      <w:sz w:val="20"/>
    </w:rPr>
  </w:style>
  <w:style w:type="character" w:customStyle="1" w:styleId="WW8Num24z1">
    <w:name w:val="WW8Num24z1"/>
    <w:rsid w:val="00826E0F"/>
    <w:rPr>
      <w:rFonts w:ascii="Courier New" w:hAnsi="Courier New"/>
      <w:sz w:val="20"/>
    </w:rPr>
  </w:style>
  <w:style w:type="character" w:customStyle="1" w:styleId="WW8Num24z2">
    <w:name w:val="WW8Num24z2"/>
    <w:rsid w:val="00826E0F"/>
    <w:rPr>
      <w:rFonts w:ascii="Wingdings" w:hAnsi="Wingdings"/>
      <w:sz w:val="20"/>
    </w:rPr>
  </w:style>
  <w:style w:type="character" w:customStyle="1" w:styleId="WW8Num25z0">
    <w:name w:val="WW8Num25z0"/>
    <w:rsid w:val="00826E0F"/>
    <w:rPr>
      <w:rFonts w:ascii="Meridien Roman" w:eastAsia="Times New Roman" w:hAnsi="Meridien Roman" w:cs="Times New Roman"/>
    </w:rPr>
  </w:style>
  <w:style w:type="character" w:customStyle="1" w:styleId="WW8Num25z1">
    <w:name w:val="WW8Num25z1"/>
    <w:rsid w:val="00826E0F"/>
    <w:rPr>
      <w:rFonts w:ascii="Courier New" w:hAnsi="Courier New" w:cs="Courier New"/>
    </w:rPr>
  </w:style>
  <w:style w:type="character" w:customStyle="1" w:styleId="WW8Num25z2">
    <w:name w:val="WW8Num25z2"/>
    <w:rsid w:val="00826E0F"/>
    <w:rPr>
      <w:rFonts w:ascii="Wingdings" w:hAnsi="Wingdings"/>
    </w:rPr>
  </w:style>
  <w:style w:type="character" w:customStyle="1" w:styleId="WW8Num25z3">
    <w:name w:val="WW8Num25z3"/>
    <w:rsid w:val="00826E0F"/>
    <w:rPr>
      <w:rFonts w:ascii="Symbol" w:hAnsi="Symbol"/>
    </w:rPr>
  </w:style>
  <w:style w:type="character" w:customStyle="1" w:styleId="WW8Num26z0">
    <w:name w:val="WW8Num26z0"/>
    <w:rsid w:val="00826E0F"/>
    <w:rPr>
      <w:rFonts w:ascii="Symbol" w:hAnsi="Symbol"/>
    </w:rPr>
  </w:style>
  <w:style w:type="character" w:customStyle="1" w:styleId="WW8Num26z1">
    <w:name w:val="WW8Num26z1"/>
    <w:rsid w:val="00826E0F"/>
    <w:rPr>
      <w:rFonts w:ascii="Courier New" w:hAnsi="Courier New" w:cs="Courier New"/>
    </w:rPr>
  </w:style>
  <w:style w:type="character" w:customStyle="1" w:styleId="WW8Num26z2">
    <w:name w:val="WW8Num26z2"/>
    <w:rsid w:val="00826E0F"/>
    <w:rPr>
      <w:rFonts w:ascii="Wingdings" w:hAnsi="Wingdings"/>
    </w:rPr>
  </w:style>
  <w:style w:type="character" w:customStyle="1" w:styleId="WW8Num30z0">
    <w:name w:val="WW8Num30z0"/>
    <w:rsid w:val="00826E0F"/>
    <w:rPr>
      <w:rFonts w:ascii="Calibri" w:eastAsia="Times New Roman" w:hAnsi="Calibri" w:cs="Times New Roman"/>
    </w:rPr>
  </w:style>
  <w:style w:type="character" w:customStyle="1" w:styleId="WW8Num30z1">
    <w:name w:val="WW8Num30z1"/>
    <w:rsid w:val="00826E0F"/>
    <w:rPr>
      <w:rFonts w:ascii="Courier New" w:hAnsi="Courier New" w:cs="Courier New"/>
    </w:rPr>
  </w:style>
  <w:style w:type="character" w:customStyle="1" w:styleId="WW8Num30z2">
    <w:name w:val="WW8Num30z2"/>
    <w:rsid w:val="00826E0F"/>
    <w:rPr>
      <w:rFonts w:ascii="Wingdings" w:hAnsi="Wingdings"/>
    </w:rPr>
  </w:style>
  <w:style w:type="character" w:customStyle="1" w:styleId="WW8Num30z3">
    <w:name w:val="WW8Num30z3"/>
    <w:rsid w:val="00826E0F"/>
    <w:rPr>
      <w:rFonts w:ascii="Symbol" w:hAnsi="Symbol"/>
    </w:rPr>
  </w:style>
  <w:style w:type="character" w:customStyle="1" w:styleId="WW8Num31z0">
    <w:name w:val="WW8Num31z0"/>
    <w:rsid w:val="00826E0F"/>
    <w:rPr>
      <w:rFonts w:ascii="Calibri" w:eastAsia="Times New Roman" w:hAnsi="Calibri" w:cs="Times New Roman"/>
    </w:rPr>
  </w:style>
  <w:style w:type="character" w:customStyle="1" w:styleId="WW8Num31z1">
    <w:name w:val="WW8Num31z1"/>
    <w:rsid w:val="00826E0F"/>
    <w:rPr>
      <w:rFonts w:ascii="Courier New" w:hAnsi="Courier New" w:cs="Courier New"/>
    </w:rPr>
  </w:style>
  <w:style w:type="character" w:customStyle="1" w:styleId="WW8Num31z2">
    <w:name w:val="WW8Num31z2"/>
    <w:rsid w:val="00826E0F"/>
    <w:rPr>
      <w:rFonts w:ascii="Wingdings" w:hAnsi="Wingdings"/>
    </w:rPr>
  </w:style>
  <w:style w:type="character" w:customStyle="1" w:styleId="WW8Num31z3">
    <w:name w:val="WW8Num31z3"/>
    <w:rsid w:val="00826E0F"/>
    <w:rPr>
      <w:rFonts w:ascii="Symbol" w:hAnsi="Symbol"/>
    </w:rPr>
  </w:style>
  <w:style w:type="character" w:customStyle="1" w:styleId="WW8Num32z0">
    <w:name w:val="WW8Num32z0"/>
    <w:rsid w:val="00826E0F"/>
    <w:rPr>
      <w:rFonts w:ascii="Symbol" w:hAnsi="Symbol"/>
    </w:rPr>
  </w:style>
  <w:style w:type="character" w:customStyle="1" w:styleId="WW8Num32z1">
    <w:name w:val="WW8Num32z1"/>
    <w:rsid w:val="00826E0F"/>
    <w:rPr>
      <w:rFonts w:ascii="Courier New" w:hAnsi="Courier New" w:cs="Courier New"/>
    </w:rPr>
  </w:style>
  <w:style w:type="character" w:customStyle="1" w:styleId="WW8Num32z2">
    <w:name w:val="WW8Num32z2"/>
    <w:rsid w:val="00826E0F"/>
    <w:rPr>
      <w:rFonts w:ascii="Wingdings" w:hAnsi="Wingdings"/>
    </w:rPr>
  </w:style>
  <w:style w:type="character" w:customStyle="1" w:styleId="WW8Num33z0">
    <w:name w:val="WW8Num33z0"/>
    <w:rsid w:val="00826E0F"/>
    <w:rPr>
      <w:rFonts w:ascii="Symbol" w:hAnsi="Symbol"/>
    </w:rPr>
  </w:style>
  <w:style w:type="character" w:customStyle="1" w:styleId="WW8Num33z1">
    <w:name w:val="WW8Num33z1"/>
    <w:rsid w:val="00826E0F"/>
    <w:rPr>
      <w:rFonts w:ascii="Courier New" w:hAnsi="Courier New" w:cs="Courier New"/>
    </w:rPr>
  </w:style>
  <w:style w:type="character" w:customStyle="1" w:styleId="WW8Num33z2">
    <w:name w:val="WW8Num33z2"/>
    <w:rsid w:val="00826E0F"/>
    <w:rPr>
      <w:rFonts w:ascii="Wingdings" w:hAnsi="Wingdings"/>
    </w:rPr>
  </w:style>
  <w:style w:type="character" w:customStyle="1" w:styleId="WW8Num34z0">
    <w:name w:val="WW8Num34z0"/>
    <w:rsid w:val="00826E0F"/>
    <w:rPr>
      <w:rFonts w:ascii="Calibri" w:eastAsia="Times New Roman" w:hAnsi="Calibri" w:cs="Times New Roman"/>
    </w:rPr>
  </w:style>
  <w:style w:type="character" w:customStyle="1" w:styleId="WW8Num34z1">
    <w:name w:val="WW8Num34z1"/>
    <w:rsid w:val="00826E0F"/>
    <w:rPr>
      <w:rFonts w:ascii="Courier New" w:hAnsi="Courier New" w:cs="Courier New"/>
    </w:rPr>
  </w:style>
  <w:style w:type="character" w:customStyle="1" w:styleId="WW8Num34z2">
    <w:name w:val="WW8Num34z2"/>
    <w:rsid w:val="00826E0F"/>
    <w:rPr>
      <w:rFonts w:ascii="Wingdings" w:hAnsi="Wingdings"/>
    </w:rPr>
  </w:style>
  <w:style w:type="character" w:customStyle="1" w:styleId="WW8Num34z3">
    <w:name w:val="WW8Num34z3"/>
    <w:rsid w:val="00826E0F"/>
    <w:rPr>
      <w:rFonts w:ascii="Symbol" w:hAnsi="Symbol"/>
    </w:rPr>
  </w:style>
  <w:style w:type="character" w:customStyle="1" w:styleId="WW8Num35z0">
    <w:name w:val="WW8Num35z0"/>
    <w:rsid w:val="00826E0F"/>
    <w:rPr>
      <w:rFonts w:ascii="Symbol" w:hAnsi="Symbol"/>
    </w:rPr>
  </w:style>
  <w:style w:type="character" w:customStyle="1" w:styleId="WW8Num35z1">
    <w:name w:val="WW8Num35z1"/>
    <w:rsid w:val="00826E0F"/>
    <w:rPr>
      <w:rFonts w:ascii="Courier New" w:hAnsi="Courier New" w:cs="Courier New"/>
    </w:rPr>
  </w:style>
  <w:style w:type="character" w:customStyle="1" w:styleId="WW8Num35z2">
    <w:name w:val="WW8Num35z2"/>
    <w:rsid w:val="00826E0F"/>
    <w:rPr>
      <w:rFonts w:ascii="Wingdings" w:hAnsi="Wingdings"/>
    </w:rPr>
  </w:style>
  <w:style w:type="character" w:customStyle="1" w:styleId="WW8Num36z0">
    <w:name w:val="WW8Num36z0"/>
    <w:rsid w:val="00826E0F"/>
    <w:rPr>
      <w:rFonts w:ascii="Symbol" w:hAnsi="Symbol"/>
    </w:rPr>
  </w:style>
  <w:style w:type="character" w:customStyle="1" w:styleId="WW8Num36z1">
    <w:name w:val="WW8Num36z1"/>
    <w:rsid w:val="00826E0F"/>
    <w:rPr>
      <w:rFonts w:ascii="Courier New" w:hAnsi="Courier New" w:cs="Courier New"/>
    </w:rPr>
  </w:style>
  <w:style w:type="character" w:customStyle="1" w:styleId="WW8Num36z2">
    <w:name w:val="WW8Num36z2"/>
    <w:rsid w:val="00826E0F"/>
    <w:rPr>
      <w:rFonts w:ascii="Wingdings" w:hAnsi="Wingdings"/>
    </w:rPr>
  </w:style>
  <w:style w:type="character" w:customStyle="1" w:styleId="WW8Num37z0">
    <w:name w:val="WW8Num37z0"/>
    <w:rsid w:val="00826E0F"/>
    <w:rPr>
      <w:rFonts w:ascii="Symbol" w:hAnsi="Symbol"/>
    </w:rPr>
  </w:style>
  <w:style w:type="character" w:customStyle="1" w:styleId="WW8Num37z1">
    <w:name w:val="WW8Num37z1"/>
    <w:rsid w:val="00826E0F"/>
    <w:rPr>
      <w:rFonts w:ascii="Courier New" w:hAnsi="Courier New" w:cs="Courier New"/>
    </w:rPr>
  </w:style>
  <w:style w:type="character" w:customStyle="1" w:styleId="WW8Num37z2">
    <w:name w:val="WW8Num37z2"/>
    <w:rsid w:val="00826E0F"/>
    <w:rPr>
      <w:rFonts w:ascii="Wingdings" w:hAnsi="Wingdings"/>
    </w:rPr>
  </w:style>
  <w:style w:type="character" w:customStyle="1" w:styleId="WW8Num38z0">
    <w:name w:val="WW8Num38z0"/>
    <w:rsid w:val="00826E0F"/>
    <w:rPr>
      <w:rFonts w:ascii="Symbol" w:hAnsi="Symbol"/>
    </w:rPr>
  </w:style>
  <w:style w:type="character" w:customStyle="1" w:styleId="WW8Num38z1">
    <w:name w:val="WW8Num38z1"/>
    <w:rsid w:val="00826E0F"/>
    <w:rPr>
      <w:rFonts w:ascii="Courier New" w:hAnsi="Courier New" w:cs="Courier New"/>
    </w:rPr>
  </w:style>
  <w:style w:type="character" w:customStyle="1" w:styleId="WW8Num38z2">
    <w:name w:val="WW8Num38z2"/>
    <w:rsid w:val="00826E0F"/>
    <w:rPr>
      <w:rFonts w:ascii="Wingdings" w:hAnsi="Wingdings"/>
    </w:rPr>
  </w:style>
  <w:style w:type="character" w:customStyle="1" w:styleId="WW8Num39z4">
    <w:name w:val="WW8Num39z4"/>
    <w:rsid w:val="00826E0F"/>
    <w:rPr>
      <w:b/>
      <w:i/>
      <w:u w:val="none"/>
    </w:rPr>
  </w:style>
  <w:style w:type="character" w:customStyle="1" w:styleId="WW8Num39z5">
    <w:name w:val="WW8Num39z5"/>
    <w:rsid w:val="00826E0F"/>
    <w:rPr>
      <w:b w:val="0"/>
      <w:i w:val="0"/>
      <w:u w:val="single"/>
    </w:rPr>
  </w:style>
  <w:style w:type="character" w:customStyle="1" w:styleId="WW8Num40z0">
    <w:name w:val="WW8Num40z0"/>
    <w:rsid w:val="00826E0F"/>
    <w:rPr>
      <w:rFonts w:ascii="Symbol" w:hAnsi="Symbol"/>
    </w:rPr>
  </w:style>
  <w:style w:type="character" w:customStyle="1" w:styleId="WW8Num40z1">
    <w:name w:val="WW8Num40z1"/>
    <w:rsid w:val="00826E0F"/>
    <w:rPr>
      <w:rFonts w:ascii="Courier New" w:hAnsi="Courier New" w:cs="Courier New"/>
    </w:rPr>
  </w:style>
  <w:style w:type="character" w:customStyle="1" w:styleId="WW8Num40z2">
    <w:name w:val="WW8Num40z2"/>
    <w:rsid w:val="00826E0F"/>
    <w:rPr>
      <w:rFonts w:ascii="Wingdings" w:hAnsi="Wingdings"/>
    </w:rPr>
  </w:style>
  <w:style w:type="character" w:customStyle="1" w:styleId="WW8Num41z0">
    <w:name w:val="WW8Num41z0"/>
    <w:rsid w:val="00826E0F"/>
    <w:rPr>
      <w:rFonts w:ascii="Symbol" w:hAnsi="Symbol"/>
      <w:sz w:val="20"/>
    </w:rPr>
  </w:style>
  <w:style w:type="character" w:customStyle="1" w:styleId="WW8Num41z1">
    <w:name w:val="WW8Num41z1"/>
    <w:rsid w:val="00826E0F"/>
    <w:rPr>
      <w:rFonts w:ascii="Courier New" w:hAnsi="Courier New"/>
      <w:sz w:val="20"/>
    </w:rPr>
  </w:style>
  <w:style w:type="character" w:customStyle="1" w:styleId="WW8Num41z2">
    <w:name w:val="WW8Num41z2"/>
    <w:rsid w:val="00826E0F"/>
    <w:rPr>
      <w:rFonts w:ascii="Wingdings" w:hAnsi="Wingdings"/>
      <w:sz w:val="20"/>
    </w:rPr>
  </w:style>
  <w:style w:type="character" w:customStyle="1" w:styleId="WW8Num42z0">
    <w:name w:val="WW8Num42z0"/>
    <w:rsid w:val="00826E0F"/>
    <w:rPr>
      <w:rFonts w:ascii="Symbol" w:hAnsi="Symbol"/>
    </w:rPr>
  </w:style>
  <w:style w:type="character" w:customStyle="1" w:styleId="WW8Num42z1">
    <w:name w:val="WW8Num42z1"/>
    <w:rsid w:val="00826E0F"/>
    <w:rPr>
      <w:rFonts w:ascii="Courier New" w:hAnsi="Courier New" w:cs="Courier New"/>
    </w:rPr>
  </w:style>
  <w:style w:type="character" w:customStyle="1" w:styleId="WW8Num42z2">
    <w:name w:val="WW8Num42z2"/>
    <w:rsid w:val="00826E0F"/>
    <w:rPr>
      <w:rFonts w:ascii="Wingdings" w:hAnsi="Wingdings"/>
    </w:rPr>
  </w:style>
  <w:style w:type="character" w:customStyle="1" w:styleId="WW8Num43z0">
    <w:name w:val="WW8Num43z0"/>
    <w:rsid w:val="00826E0F"/>
    <w:rPr>
      <w:rFonts w:ascii="Calibri" w:eastAsia="Times New Roman" w:hAnsi="Calibri" w:cs="Times New Roman"/>
    </w:rPr>
  </w:style>
  <w:style w:type="character" w:customStyle="1" w:styleId="WW8Num43z1">
    <w:name w:val="WW8Num43z1"/>
    <w:rsid w:val="00826E0F"/>
    <w:rPr>
      <w:rFonts w:ascii="Courier New" w:hAnsi="Courier New" w:cs="Courier New"/>
    </w:rPr>
  </w:style>
  <w:style w:type="character" w:customStyle="1" w:styleId="WW8Num43z2">
    <w:name w:val="WW8Num43z2"/>
    <w:rsid w:val="00826E0F"/>
    <w:rPr>
      <w:rFonts w:ascii="Wingdings" w:hAnsi="Wingdings"/>
    </w:rPr>
  </w:style>
  <w:style w:type="character" w:customStyle="1" w:styleId="WW8Num43z3">
    <w:name w:val="WW8Num43z3"/>
    <w:rsid w:val="00826E0F"/>
    <w:rPr>
      <w:rFonts w:ascii="Symbol" w:hAnsi="Symbol"/>
    </w:rPr>
  </w:style>
  <w:style w:type="character" w:customStyle="1" w:styleId="WW8NumSt3z0">
    <w:name w:val="WW8NumSt3z0"/>
    <w:rsid w:val="00826E0F"/>
    <w:rPr>
      <w:rFonts w:ascii="Symbol" w:hAnsi="Symbol"/>
    </w:rPr>
  </w:style>
  <w:style w:type="character" w:customStyle="1" w:styleId="WW8NumSt12z0">
    <w:name w:val="WW8NumSt12z0"/>
    <w:rsid w:val="00826E0F"/>
    <w:rPr>
      <w:rFonts w:ascii="Symbol" w:hAnsi="Symbol"/>
    </w:rPr>
  </w:style>
  <w:style w:type="character" w:customStyle="1" w:styleId="WW8NumSt31z0">
    <w:name w:val="WW8NumSt31z0"/>
    <w:rsid w:val="00826E0F"/>
    <w:rPr>
      <w:rFonts w:ascii="Wingdings" w:hAnsi="Wingdings"/>
      <w:sz w:val="20"/>
    </w:rPr>
  </w:style>
  <w:style w:type="character" w:customStyle="1" w:styleId="WW-Absatz-Standardschriftart111111111111111111111111111">
    <w:name w:val="WW-Absatz-Standardschriftart111111111111111111111111111"/>
    <w:rsid w:val="00826E0F"/>
  </w:style>
  <w:style w:type="character" w:customStyle="1" w:styleId="Kommentarzeichen1">
    <w:name w:val="Kommentarzeichen1"/>
    <w:rsid w:val="00826E0F"/>
    <w:rPr>
      <w:sz w:val="16"/>
      <w:szCs w:val="16"/>
    </w:rPr>
  </w:style>
  <w:style w:type="character" w:customStyle="1" w:styleId="EndnoteCharacters">
    <w:name w:val="Endnote Characters"/>
    <w:rsid w:val="00826E0F"/>
    <w:rPr>
      <w:vertAlign w:val="superscript"/>
    </w:rPr>
  </w:style>
  <w:style w:type="character" w:customStyle="1" w:styleId="WW-EndnoteCharacters">
    <w:name w:val="WW-Endnote Characters"/>
    <w:rsid w:val="00826E0F"/>
  </w:style>
  <w:style w:type="character" w:customStyle="1" w:styleId="NumberingSymbols">
    <w:name w:val="Numbering Symbols"/>
    <w:rsid w:val="00826E0F"/>
  </w:style>
  <w:style w:type="paragraph" w:customStyle="1" w:styleId="Heading">
    <w:name w:val="Heading"/>
    <w:basedOn w:val="Normal"/>
    <w:next w:val="BodyText"/>
    <w:rsid w:val="00826E0F"/>
    <w:pPr>
      <w:keepNext/>
      <w:tabs>
        <w:tab w:val="left" w:pos="851"/>
      </w:tabs>
      <w:overflowPunct w:val="0"/>
      <w:autoSpaceDE w:val="0"/>
      <w:spacing w:before="240" w:after="120" w:line="320" w:lineRule="atLeast"/>
      <w:textAlignment w:val="baseline"/>
    </w:pPr>
    <w:rPr>
      <w:rFonts w:ascii="Arial" w:eastAsia="MS Mincho" w:hAnsi="Arial" w:cs="Tahoma"/>
      <w:spacing w:val="0"/>
      <w:w w:val="100"/>
      <w:kern w:val="0"/>
      <w:sz w:val="28"/>
      <w:szCs w:val="28"/>
      <w:lang w:val="de-DE" w:eastAsia="ar-SA"/>
    </w:rPr>
  </w:style>
  <w:style w:type="paragraph" w:styleId="List">
    <w:name w:val="List"/>
    <w:basedOn w:val="BodyText"/>
    <w:rsid w:val="00826E0F"/>
    <w:pPr>
      <w:autoSpaceDN/>
      <w:adjustRightInd/>
    </w:pPr>
    <w:rPr>
      <w:rFonts w:ascii="Times" w:hAnsi="Times" w:cs="Tahoma"/>
      <w:lang w:eastAsia="ar-SA"/>
    </w:rPr>
  </w:style>
  <w:style w:type="paragraph" w:customStyle="1" w:styleId="Index">
    <w:name w:val="Index"/>
    <w:basedOn w:val="Normal"/>
    <w:rsid w:val="00826E0F"/>
    <w:pPr>
      <w:suppressLineNumbers/>
      <w:tabs>
        <w:tab w:val="left" w:pos="851"/>
      </w:tabs>
      <w:overflowPunct w:val="0"/>
      <w:autoSpaceDE w:val="0"/>
      <w:spacing w:line="320" w:lineRule="atLeast"/>
      <w:textAlignment w:val="baseline"/>
    </w:pPr>
    <w:rPr>
      <w:rFonts w:ascii="Times" w:hAnsi="Times" w:cs="Tahoma"/>
      <w:spacing w:val="0"/>
      <w:w w:val="100"/>
      <w:kern w:val="0"/>
      <w:sz w:val="24"/>
      <w:lang w:val="de-DE" w:eastAsia="ar-SA"/>
    </w:rPr>
  </w:style>
  <w:style w:type="paragraph" w:customStyle="1" w:styleId="StandardWeb1">
    <w:name w:val="Standard (Web)1"/>
    <w:basedOn w:val="Normal"/>
    <w:rsid w:val="00826E0F"/>
    <w:pPr>
      <w:tabs>
        <w:tab w:val="left" w:pos="851"/>
      </w:tabs>
      <w:spacing w:before="280" w:after="280" w:line="240" w:lineRule="auto"/>
    </w:pPr>
    <w:rPr>
      <w:spacing w:val="0"/>
      <w:w w:val="100"/>
      <w:kern w:val="0"/>
      <w:sz w:val="24"/>
      <w:szCs w:val="24"/>
      <w:lang w:val="de-CH" w:eastAsia="ar-SA"/>
    </w:rPr>
  </w:style>
  <w:style w:type="paragraph" w:customStyle="1" w:styleId="Beschriftung1">
    <w:name w:val="Beschriftung1"/>
    <w:basedOn w:val="Normal"/>
    <w:next w:val="Normal"/>
    <w:rsid w:val="00826E0F"/>
    <w:pPr>
      <w:keepNext/>
      <w:tabs>
        <w:tab w:val="left" w:pos="851"/>
      </w:tabs>
      <w:spacing w:before="120" w:line="240" w:lineRule="auto"/>
      <w:jc w:val="both"/>
    </w:pPr>
    <w:rPr>
      <w:i/>
      <w:color w:val="000000"/>
      <w:spacing w:val="0"/>
      <w:w w:val="100"/>
      <w:kern w:val="0"/>
      <w:sz w:val="24"/>
      <w:lang w:val="de-CH" w:eastAsia="ar-SA"/>
    </w:rPr>
  </w:style>
  <w:style w:type="paragraph" w:customStyle="1" w:styleId="Kommentartext1">
    <w:name w:val="Kommentartext1"/>
    <w:basedOn w:val="Normal"/>
    <w:rsid w:val="00826E0F"/>
    <w:pPr>
      <w:tabs>
        <w:tab w:val="left" w:pos="851"/>
      </w:tabs>
      <w:spacing w:line="240" w:lineRule="auto"/>
    </w:pPr>
    <w:rPr>
      <w:spacing w:val="0"/>
      <w:w w:val="100"/>
      <w:kern w:val="0"/>
      <w:lang w:val="en-GB" w:eastAsia="ar-SA"/>
    </w:rPr>
  </w:style>
  <w:style w:type="paragraph" w:customStyle="1" w:styleId="Sprechblasentext1">
    <w:name w:val="Sprechblasentext1"/>
    <w:basedOn w:val="Normal"/>
    <w:rsid w:val="00826E0F"/>
    <w:pPr>
      <w:tabs>
        <w:tab w:val="left" w:pos="851"/>
      </w:tabs>
      <w:overflowPunct w:val="0"/>
      <w:autoSpaceDE w:val="0"/>
      <w:spacing w:line="320" w:lineRule="atLeast"/>
      <w:textAlignment w:val="baseline"/>
    </w:pPr>
    <w:rPr>
      <w:rFonts w:ascii="Tahoma" w:hAnsi="Tahoma" w:cs="Tahoma"/>
      <w:spacing w:val="0"/>
      <w:w w:val="100"/>
      <w:kern w:val="0"/>
      <w:sz w:val="16"/>
      <w:szCs w:val="16"/>
      <w:lang w:val="de-DE" w:eastAsia="ar-SA"/>
    </w:rPr>
  </w:style>
  <w:style w:type="paragraph" w:customStyle="1" w:styleId="Kommentarthema1">
    <w:name w:val="Kommentarthema1"/>
    <w:basedOn w:val="Kommentartext1"/>
    <w:next w:val="Kommentartext1"/>
    <w:rsid w:val="00826E0F"/>
    <w:pPr>
      <w:overflowPunct w:val="0"/>
      <w:autoSpaceDE w:val="0"/>
      <w:spacing w:line="320" w:lineRule="atLeast"/>
      <w:textAlignment w:val="baseline"/>
    </w:pPr>
    <w:rPr>
      <w:b/>
      <w:bCs/>
      <w:lang w:val="de-DE"/>
    </w:rPr>
  </w:style>
  <w:style w:type="paragraph" w:customStyle="1" w:styleId="Contents10">
    <w:name w:val="Contents 10"/>
    <w:basedOn w:val="Index"/>
    <w:rsid w:val="00826E0F"/>
    <w:pPr>
      <w:tabs>
        <w:tab w:val="left" w:pos="-29027"/>
        <w:tab w:val="left" w:pos="-26480"/>
        <w:tab w:val="left" w:pos="-23933"/>
        <w:tab w:val="left" w:pos="-21386"/>
        <w:tab w:val="left" w:pos="-18839"/>
        <w:tab w:val="left" w:pos="-16292"/>
        <w:tab w:val="left" w:pos="-13745"/>
        <w:tab w:val="left" w:pos="-11198"/>
        <w:tab w:val="left" w:pos="-8651"/>
        <w:tab w:val="left" w:pos="-6104"/>
        <w:tab w:val="left" w:pos="-3557"/>
        <w:tab w:val="left" w:pos="-1010"/>
        <w:tab w:val="left" w:pos="1537"/>
        <w:tab w:val="left" w:pos="3398"/>
        <w:tab w:val="left" w:pos="4084"/>
        <w:tab w:val="left" w:pos="5945"/>
        <w:tab w:val="left" w:pos="6631"/>
        <w:tab w:val="left" w:pos="8492"/>
        <w:tab w:val="left" w:pos="11039"/>
        <w:tab w:val="left" w:pos="13586"/>
        <w:tab w:val="right" w:leader="dot" w:pos="15752"/>
        <w:tab w:val="left" w:pos="16133"/>
        <w:tab w:val="left" w:pos="18680"/>
        <w:tab w:val="left" w:pos="21227"/>
        <w:tab w:val="left" w:pos="23774"/>
        <w:tab w:val="left" w:pos="26321"/>
        <w:tab w:val="left" w:pos="28868"/>
        <w:tab w:val="left" w:pos="31415"/>
        <w:tab w:val="left" w:pos="-31574"/>
      </w:tabs>
      <w:ind w:left="2547"/>
    </w:pPr>
  </w:style>
  <w:style w:type="paragraph" w:customStyle="1" w:styleId="TableContents">
    <w:name w:val="Table Contents"/>
    <w:basedOn w:val="Normal"/>
    <w:rsid w:val="00826E0F"/>
    <w:pPr>
      <w:suppressLineNumbers/>
      <w:tabs>
        <w:tab w:val="left" w:pos="851"/>
      </w:tabs>
      <w:overflowPunct w:val="0"/>
      <w:autoSpaceDE w:val="0"/>
      <w:spacing w:line="320" w:lineRule="atLeast"/>
      <w:textAlignment w:val="baseline"/>
    </w:pPr>
    <w:rPr>
      <w:spacing w:val="0"/>
      <w:w w:val="100"/>
      <w:kern w:val="0"/>
      <w:sz w:val="24"/>
      <w:lang w:val="de-DE" w:eastAsia="ar-SA"/>
    </w:rPr>
  </w:style>
  <w:style w:type="paragraph" w:customStyle="1" w:styleId="TableHeading">
    <w:name w:val="Table Heading"/>
    <w:basedOn w:val="TableContents"/>
    <w:rsid w:val="00826E0F"/>
    <w:pPr>
      <w:jc w:val="center"/>
    </w:pPr>
    <w:rPr>
      <w:b/>
      <w:bCs/>
    </w:rPr>
  </w:style>
  <w:style w:type="paragraph" w:customStyle="1" w:styleId="Heading10">
    <w:name w:val="Heading 10"/>
    <w:basedOn w:val="Heading"/>
    <w:next w:val="BodyText"/>
    <w:rsid w:val="00826E0F"/>
    <w:pPr>
      <w:numPr>
        <w:numId w:val="1"/>
      </w:numPr>
    </w:pPr>
    <w:rPr>
      <w:b/>
      <w:bCs/>
      <w:sz w:val="21"/>
      <w:szCs w:val="21"/>
    </w:rPr>
  </w:style>
  <w:style w:type="paragraph" w:styleId="BodyText">
    <w:name w:val="Body Text"/>
    <w:basedOn w:val="Normal"/>
    <w:link w:val="BodyTextChar"/>
    <w:rsid w:val="00826E0F"/>
    <w:pPr>
      <w:tabs>
        <w:tab w:val="left" w:pos="851"/>
      </w:tabs>
      <w:overflowPunct w:val="0"/>
      <w:autoSpaceDE w:val="0"/>
      <w:autoSpaceDN w:val="0"/>
      <w:adjustRightInd w:val="0"/>
      <w:spacing w:after="120" w:line="320" w:lineRule="atLeast"/>
      <w:textAlignment w:val="baseline"/>
    </w:pPr>
    <w:rPr>
      <w:spacing w:val="0"/>
      <w:w w:val="100"/>
      <w:kern w:val="0"/>
      <w:sz w:val="24"/>
      <w:lang w:val="de-DE" w:eastAsia="de-CH"/>
    </w:rPr>
  </w:style>
  <w:style w:type="character" w:customStyle="1" w:styleId="BodyTextChar">
    <w:name w:val="Body Text Char"/>
    <w:link w:val="BodyText"/>
    <w:rsid w:val="00826E0F"/>
    <w:rPr>
      <w:sz w:val="24"/>
      <w:lang w:val="de-DE" w:eastAsia="de-CH" w:bidi="ar-SA"/>
    </w:rPr>
  </w:style>
  <w:style w:type="paragraph" w:customStyle="1" w:styleId="std">
    <w:name w:val="std"/>
    <w:basedOn w:val="Normal"/>
    <w:rsid w:val="00826E0F"/>
    <w:pPr>
      <w:spacing w:line="240" w:lineRule="auto"/>
    </w:pPr>
    <w:rPr>
      <w:spacing w:val="0"/>
      <w:w w:val="100"/>
      <w:kern w:val="0"/>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9595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header6.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TotalTime>
  <Pages>1</Pages>
  <Words>26716</Words>
  <Characters>146939</Characters>
  <Application>Microsoft Office Word</Application>
  <DocSecurity>4</DocSecurity>
  <Lines>1224</Lines>
  <Paragraphs>346</Paragraphs>
  <ScaleCrop>false</ScaleCrop>
  <HeadingPairs>
    <vt:vector size="2" baseType="variant">
      <vt:variant>
        <vt:lpstr>Title</vt:lpstr>
      </vt:variant>
      <vt:variant>
        <vt:i4>1</vt:i4>
      </vt:variant>
    </vt:vector>
  </HeadingPairs>
  <TitlesOfParts>
    <vt:vector size="1" baseType="lpstr">
      <vt:lpstr>Ftpu</vt:lpstr>
    </vt:vector>
  </TitlesOfParts>
  <Company>United Nations</Company>
  <LinksUpToDate>false</LinksUpToDate>
  <CharactersWithSpaces>173309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dc:title>
  <dc:subject/>
  <dc:creator>FTPU User</dc:creator>
  <cp:keywords/>
  <dc:description/>
  <cp:lastModifiedBy>FTPU User</cp:lastModifiedBy>
  <cp:revision>12</cp:revision>
  <cp:lastPrinted>2010-06-09T09:38:00Z</cp:lastPrinted>
  <dcterms:created xsi:type="dcterms:W3CDTF">2010-06-09T09:27:00Z</dcterms:created>
  <dcterms:modified xsi:type="dcterms:W3CDTF">2010-06-09T11:31:00Z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2">
    <vt:lpwstr/>
  </property>
  <property fmtid="{D5CDD505-2E9C-101B-9397-08002B2CF9AE}" pid="3" name="Translator">
    <vt:lpwstr/>
  </property>
  <property fmtid="{D5CDD505-2E9C-101B-9397-08002B2CF9AE}" pid="4" name="JobNo">
    <vt:lpwstr>1028878F</vt:lpwstr>
  </property>
  <property fmtid="{D5CDD505-2E9C-101B-9397-08002B2CF9AE}" pid="5" name="Symbol1">
    <vt:lpwstr>CEDAW/C/LIE/4</vt:lpwstr>
  </property>
  <property fmtid="{D5CDD505-2E9C-101B-9397-08002B2CF9AE}" pid="6" name="Comment">
    <vt:lpwstr>archiving</vt:lpwstr>
  </property>
  <property fmtid="{D5CDD505-2E9C-101B-9397-08002B2CF9AE}" pid="7" name="DraftPages">
    <vt:lpwstr> 60</vt:lpwstr>
  </property>
  <property fmtid="{D5CDD505-2E9C-101B-9397-08002B2CF9AE}" pid="8" name="Operator">
    <vt:lpwstr>pad</vt:lpwstr>
  </property>
</Properties>
</file>