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094AAF"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094AAF" w:rsidRDefault="00094AAF" w:rsidP="00094AAF">
            <w:pPr>
              <w:bidi w:val="0"/>
              <w:spacing w:after="20"/>
              <w:jc w:val="left"/>
              <w:rPr>
                <w:szCs w:val="20"/>
                <w:lang w:val="fr-FR"/>
              </w:rPr>
            </w:pPr>
            <w:r w:rsidRPr="00094AAF">
              <w:rPr>
                <w:sz w:val="40"/>
                <w:szCs w:val="20"/>
                <w:lang w:val="fr-FR"/>
              </w:rPr>
              <w:t>CEDAW</w:t>
            </w:r>
            <w:r w:rsidRPr="00094AAF">
              <w:rPr>
                <w:szCs w:val="20"/>
                <w:lang w:val="fr-FR"/>
              </w:rPr>
              <w:t>/C/LIE/Q/</w:t>
            </w:r>
            <w:r w:rsidR="00EC4C3C">
              <w:rPr>
                <w:szCs w:val="20"/>
              </w:rPr>
              <w:t>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094AAF" w:rsidRDefault="00094AAF" w:rsidP="00094AAF">
            <w:pPr>
              <w:bidi w:val="0"/>
              <w:spacing w:before="240"/>
              <w:jc w:val="left"/>
            </w:pPr>
            <w:r>
              <w:t>Distr.: General</w:t>
            </w:r>
          </w:p>
          <w:p w:rsidR="00094AAF" w:rsidRDefault="00094AAF" w:rsidP="00094AAF">
            <w:pPr>
              <w:bidi w:val="0"/>
              <w:jc w:val="left"/>
            </w:pPr>
            <w:r>
              <w:t>14 September 2010</w:t>
            </w:r>
          </w:p>
          <w:p w:rsidR="00094AAF" w:rsidRDefault="00094AAF" w:rsidP="00094AAF">
            <w:pPr>
              <w:bidi w:val="0"/>
              <w:jc w:val="left"/>
            </w:pPr>
            <w:r>
              <w:t>Arabic</w:t>
            </w:r>
          </w:p>
          <w:p w:rsidR="00257225" w:rsidRPr="008B4BC6" w:rsidRDefault="00094AAF" w:rsidP="00094AAF">
            <w:pPr>
              <w:bidi w:val="0"/>
              <w:jc w:val="left"/>
            </w:pPr>
            <w:r>
              <w:t>Original: English</w:t>
            </w:r>
          </w:p>
        </w:tc>
      </w:tr>
    </w:tbl>
    <w:p w:rsidR="008B4BC6" w:rsidRPr="00094AAF" w:rsidRDefault="00094AAF" w:rsidP="00094AAF">
      <w:pPr>
        <w:spacing w:before="120" w:line="380" w:lineRule="exact"/>
        <w:rPr>
          <w:rFonts w:hint="cs"/>
          <w:b/>
          <w:bCs/>
          <w:sz w:val="36"/>
          <w:szCs w:val="36"/>
          <w:rtl/>
        </w:rPr>
      </w:pPr>
      <w:r w:rsidRPr="00094AAF">
        <w:rPr>
          <w:rFonts w:hint="cs"/>
          <w:b/>
          <w:bCs/>
          <w:sz w:val="36"/>
          <w:szCs w:val="36"/>
          <w:rtl/>
        </w:rPr>
        <w:t>اللجنة المعنية بالقضاء على التمييز ضد المرأة</w:t>
      </w:r>
    </w:p>
    <w:p w:rsidR="00094AAF" w:rsidRPr="004A41F2" w:rsidRDefault="00094AAF" w:rsidP="00094AAF">
      <w:pPr>
        <w:tabs>
          <w:tab w:val="left" w:pos="662"/>
          <w:tab w:val="left" w:pos="1267"/>
          <w:tab w:val="left" w:pos="1987"/>
          <w:tab w:val="left" w:pos="2650"/>
        </w:tabs>
        <w:spacing w:line="380" w:lineRule="exact"/>
        <w:rPr>
          <w:rFonts w:hint="cs"/>
          <w:b/>
          <w:bCs/>
          <w:rtl/>
        </w:rPr>
      </w:pPr>
      <w:r w:rsidRPr="004A41F2">
        <w:rPr>
          <w:rFonts w:hint="cs"/>
          <w:b/>
          <w:bCs/>
          <w:rtl/>
        </w:rPr>
        <w:t>الفريق العامل لما قبل الدورة</w:t>
      </w:r>
    </w:p>
    <w:p w:rsidR="00094AAF" w:rsidRPr="004A41F2" w:rsidRDefault="00094AAF" w:rsidP="00094AAF">
      <w:pPr>
        <w:tabs>
          <w:tab w:val="left" w:pos="662"/>
          <w:tab w:val="left" w:pos="1267"/>
          <w:tab w:val="left" w:pos="1987"/>
          <w:tab w:val="left" w:pos="2650"/>
        </w:tabs>
        <w:spacing w:line="380" w:lineRule="exact"/>
        <w:rPr>
          <w:rFonts w:hint="cs"/>
          <w:b/>
          <w:bCs/>
          <w:rtl/>
        </w:rPr>
      </w:pPr>
      <w:r w:rsidRPr="004A41F2">
        <w:rPr>
          <w:rFonts w:hint="cs"/>
          <w:b/>
          <w:bCs/>
          <w:rtl/>
        </w:rPr>
        <w:t xml:space="preserve">الدورة </w:t>
      </w:r>
      <w:r>
        <w:rPr>
          <w:rFonts w:hint="cs"/>
          <w:b/>
          <w:bCs/>
          <w:rtl/>
        </w:rPr>
        <w:t>الثامنة</w:t>
      </w:r>
      <w:r w:rsidRPr="004A41F2">
        <w:rPr>
          <w:rFonts w:hint="cs"/>
          <w:b/>
          <w:bCs/>
          <w:rtl/>
        </w:rPr>
        <w:t xml:space="preserve"> والأربعون</w:t>
      </w:r>
    </w:p>
    <w:p w:rsidR="00094AAF" w:rsidRPr="004A41F2" w:rsidRDefault="00094AAF" w:rsidP="00094AAF">
      <w:pPr>
        <w:tabs>
          <w:tab w:val="left" w:pos="662"/>
          <w:tab w:val="left" w:pos="1267"/>
          <w:tab w:val="left" w:pos="1987"/>
          <w:tab w:val="left" w:pos="2650"/>
        </w:tabs>
        <w:spacing w:line="380" w:lineRule="exact"/>
        <w:rPr>
          <w:rFonts w:hint="cs"/>
          <w:rtl/>
        </w:rPr>
      </w:pPr>
      <w:r>
        <w:rPr>
          <w:rFonts w:hint="cs"/>
          <w:rtl/>
        </w:rPr>
        <w:t>17 كانون الثاني/يناير - 4 شباط/فبراير 2011</w:t>
      </w:r>
      <w:bookmarkStart w:id="0" w:name="TmpSave"/>
      <w:bookmarkEnd w:id="0"/>
    </w:p>
    <w:p w:rsidR="00094AAF" w:rsidRPr="004A41F2" w:rsidRDefault="00094AAF" w:rsidP="00094AAF">
      <w:pPr>
        <w:pStyle w:val="HChGA"/>
        <w:rPr>
          <w:rFonts w:hint="cs"/>
          <w:rtl/>
        </w:rPr>
      </w:pPr>
      <w:r>
        <w:rPr>
          <w:rFonts w:hint="cs"/>
          <w:rtl/>
        </w:rPr>
        <w:tab/>
      </w:r>
      <w:r>
        <w:rPr>
          <w:rFonts w:hint="cs"/>
          <w:rtl/>
        </w:rPr>
        <w:tab/>
      </w:r>
      <w:r w:rsidRPr="004A41F2">
        <w:rPr>
          <w:rFonts w:hint="cs"/>
          <w:rtl/>
        </w:rPr>
        <w:t>قائمة القضايا والأسئلة المطروحة فيما يتعلق بالنظر في التقارير الدورية</w:t>
      </w:r>
    </w:p>
    <w:p w:rsidR="00094AAF" w:rsidRPr="004A41F2" w:rsidRDefault="00094AAF" w:rsidP="00094AAF">
      <w:pPr>
        <w:pStyle w:val="H1GA"/>
        <w:rPr>
          <w:rFonts w:hint="cs"/>
          <w:rtl/>
        </w:rPr>
      </w:pPr>
      <w:r>
        <w:rPr>
          <w:rFonts w:hint="cs"/>
          <w:rtl/>
        </w:rPr>
        <w:tab/>
      </w:r>
      <w:r>
        <w:rPr>
          <w:rFonts w:hint="cs"/>
          <w:rtl/>
        </w:rPr>
        <w:tab/>
        <w:t>ليختنشتاين</w:t>
      </w:r>
    </w:p>
    <w:p w:rsidR="00094AAF" w:rsidRPr="004A41F2" w:rsidRDefault="00094AAF" w:rsidP="004D6168">
      <w:pPr>
        <w:pStyle w:val="SingleTxtGA"/>
        <w:rPr>
          <w:rFonts w:hint="cs"/>
          <w:rtl/>
        </w:rPr>
      </w:pPr>
      <w:r>
        <w:rPr>
          <w:rFonts w:hint="cs"/>
          <w:rtl/>
        </w:rPr>
        <w:tab/>
      </w:r>
      <w:r w:rsidRPr="004A41F2">
        <w:rPr>
          <w:rFonts w:hint="cs"/>
          <w:rtl/>
        </w:rPr>
        <w:t>نظر الفريق العامل لما قبل الدورة في التقرير</w:t>
      </w:r>
      <w:r>
        <w:rPr>
          <w:rFonts w:hint="cs"/>
          <w:rtl/>
        </w:rPr>
        <w:t xml:space="preserve"> الدوري الرابع لليختنشتاين </w:t>
      </w:r>
      <w:r w:rsidRPr="004A41F2">
        <w:rPr>
          <w:rFonts w:hint="cs"/>
          <w:rtl/>
        </w:rPr>
        <w:t>(</w:t>
      </w:r>
      <w:r w:rsidRPr="004A41F2">
        <w:t>CEDAW/C/</w:t>
      </w:r>
      <w:r>
        <w:t>LIE</w:t>
      </w:r>
      <w:r w:rsidRPr="004A41F2">
        <w:t>/</w:t>
      </w:r>
      <w:r>
        <w:t>4</w:t>
      </w:r>
      <w:r w:rsidRPr="004A41F2">
        <w:rPr>
          <w:rFonts w:hint="cs"/>
          <w:rtl/>
        </w:rPr>
        <w:t>).</w:t>
      </w:r>
    </w:p>
    <w:p w:rsidR="00094AAF" w:rsidRDefault="004D6168" w:rsidP="004D6168">
      <w:pPr>
        <w:pStyle w:val="H23GA"/>
        <w:rPr>
          <w:rFonts w:hint="cs"/>
          <w:rtl/>
        </w:rPr>
      </w:pPr>
      <w:r>
        <w:rPr>
          <w:rFonts w:hint="cs"/>
          <w:rtl/>
        </w:rPr>
        <w:tab/>
      </w:r>
      <w:r>
        <w:rPr>
          <w:rFonts w:hint="cs"/>
          <w:rtl/>
        </w:rPr>
        <w:tab/>
      </w:r>
      <w:r w:rsidR="00094AAF">
        <w:rPr>
          <w:rFonts w:hint="cs"/>
          <w:rtl/>
        </w:rPr>
        <w:t xml:space="preserve">مسائل </w:t>
      </w:r>
      <w:r w:rsidR="00094AAF" w:rsidRPr="004A41F2">
        <w:rPr>
          <w:rFonts w:hint="cs"/>
          <w:rtl/>
        </w:rPr>
        <w:t>عامة</w:t>
      </w:r>
    </w:p>
    <w:p w:rsidR="00094AAF" w:rsidRDefault="00094AAF" w:rsidP="004D6168">
      <w:pPr>
        <w:pStyle w:val="SingleTxtGA"/>
        <w:rPr>
          <w:lang w:val="fr-CH"/>
        </w:rPr>
      </w:pPr>
      <w:r>
        <w:rPr>
          <w:rFonts w:hint="cs"/>
          <w:rtl/>
          <w:lang w:val="fr-CH"/>
        </w:rPr>
        <w:t>1-</w:t>
      </w:r>
      <w:r>
        <w:rPr>
          <w:rFonts w:hint="cs"/>
          <w:rtl/>
          <w:lang w:val="fr-CH"/>
        </w:rPr>
        <w:tab/>
        <w:t>يرجى تقديم معلومات إضافية عن عملية إعداد التقرير الدوري الرابع. وينبغي أن تشمل هذه المعلومات طبيعة المشاورات التي أجريت مع المنظمات غير الحكومية ونطاقها و</w:t>
      </w:r>
      <w:r w:rsidR="004D6168">
        <w:rPr>
          <w:rFonts w:hint="cs"/>
          <w:rtl/>
          <w:lang w:val="fr-CH"/>
        </w:rPr>
        <w:t xml:space="preserve">هل </w:t>
      </w:r>
      <w:r>
        <w:rPr>
          <w:rFonts w:hint="cs"/>
          <w:rtl/>
          <w:lang w:val="fr-CH"/>
        </w:rPr>
        <w:t xml:space="preserve">عَرَضت </w:t>
      </w:r>
      <w:r w:rsidR="004D6168">
        <w:rPr>
          <w:rFonts w:hint="cs"/>
          <w:rtl/>
          <w:lang w:val="fr-CH"/>
        </w:rPr>
        <w:t xml:space="preserve">الحكومة </w:t>
      </w:r>
      <w:r>
        <w:rPr>
          <w:rFonts w:hint="cs"/>
          <w:rtl/>
          <w:lang w:val="fr-CH"/>
        </w:rPr>
        <w:t xml:space="preserve">التقرير على البرلمان. </w:t>
      </w:r>
    </w:p>
    <w:p w:rsidR="00094AAF" w:rsidRDefault="00094AAF" w:rsidP="004D6168">
      <w:pPr>
        <w:pStyle w:val="SingleTxtGA"/>
        <w:rPr>
          <w:rFonts w:eastAsia="SimSun" w:hint="cs"/>
          <w:rtl/>
          <w:lang w:eastAsia="zh-CN"/>
        </w:rPr>
      </w:pPr>
      <w:r>
        <w:rPr>
          <w:rFonts w:hint="cs"/>
          <w:rtl/>
          <w:lang w:val="fr-CH"/>
        </w:rPr>
        <w:t>2-</w:t>
      </w:r>
      <w:r>
        <w:rPr>
          <w:rFonts w:hint="cs"/>
          <w:rtl/>
          <w:lang w:val="fr-CH"/>
        </w:rPr>
        <w:tab/>
        <w:t>ويرجى بيان ما إذا كانت قد أُجريت أي مشاورات مع إمارة ليختنشتاين المستقلة بغرض استكشاف إمكانية سحب الدولة الطرف تحفظها على المادة 1 من الاتفاقية المتعلقة بتوارث العرش، وفقاً لتوصية اللجنة في تعليقاتها الختامية على التقريرين الدوريين الثاني والثالث</w:t>
      </w:r>
      <w:r w:rsidR="004D6168">
        <w:rPr>
          <w:rFonts w:hint="cs"/>
          <w:rtl/>
          <w:lang w:val="fr-CH"/>
        </w:rPr>
        <w:t xml:space="preserve"> للدولة الطرف</w:t>
      </w:r>
      <w:r>
        <w:rPr>
          <w:rFonts w:hint="cs"/>
          <w:rtl/>
          <w:lang w:val="fr-CH"/>
        </w:rPr>
        <w:t xml:space="preserve"> (</w:t>
      </w:r>
      <w:r>
        <w:rPr>
          <w:rFonts w:eastAsia="SimSun"/>
          <w:lang w:eastAsia="zh-CN"/>
        </w:rPr>
        <w:t>CEDAW/C/LIE/CO/3</w:t>
      </w:r>
      <w:r>
        <w:rPr>
          <w:rFonts w:eastAsia="SimSun" w:hint="cs"/>
          <w:rtl/>
          <w:lang w:eastAsia="zh-CN"/>
        </w:rPr>
        <w:t>، الفقرة 12).</w:t>
      </w:r>
    </w:p>
    <w:p w:rsidR="00094AAF" w:rsidRPr="004D6168" w:rsidRDefault="004D6168" w:rsidP="004D6168">
      <w:pPr>
        <w:pStyle w:val="H23GA"/>
        <w:rPr>
          <w:rFonts w:hint="cs"/>
          <w:rtl/>
        </w:rPr>
      </w:pPr>
      <w:r>
        <w:rPr>
          <w:rtl/>
        </w:rPr>
        <w:br w:type="page"/>
      </w:r>
      <w:r>
        <w:rPr>
          <w:rFonts w:hint="cs"/>
          <w:rtl/>
        </w:rPr>
        <w:tab/>
      </w:r>
      <w:r>
        <w:rPr>
          <w:rFonts w:hint="cs"/>
          <w:rtl/>
        </w:rPr>
        <w:tab/>
      </w:r>
      <w:r w:rsidR="00094AAF" w:rsidRPr="004D6168">
        <w:rPr>
          <w:rFonts w:hint="cs"/>
          <w:rtl/>
        </w:rPr>
        <w:t>المركز القانوني للاتفاقية والإطار التشريعي والمؤسسي</w:t>
      </w:r>
    </w:p>
    <w:p w:rsidR="00094AAF" w:rsidRDefault="00094AAF" w:rsidP="004D6168">
      <w:pPr>
        <w:pStyle w:val="SingleTxtGA"/>
        <w:rPr>
          <w:rFonts w:eastAsia="SimSun" w:hint="cs"/>
          <w:rtl/>
          <w:lang w:eastAsia="zh-CN"/>
        </w:rPr>
      </w:pPr>
      <w:r>
        <w:rPr>
          <w:rFonts w:eastAsia="SimSun" w:hint="cs"/>
          <w:rtl/>
          <w:lang w:eastAsia="zh-CN"/>
        </w:rPr>
        <w:t>3-</w:t>
      </w:r>
      <w:r>
        <w:rPr>
          <w:rFonts w:eastAsia="SimSun" w:hint="cs"/>
          <w:rtl/>
          <w:lang w:eastAsia="zh-CN"/>
        </w:rPr>
        <w:tab/>
      </w:r>
      <w:r>
        <w:rPr>
          <w:rFonts w:hint="cs"/>
          <w:rtl/>
          <w:lang w:val="fr-CH"/>
        </w:rPr>
        <w:t xml:space="preserve">يرجى تقديم أمثلة، إن وُجِدت، على </w:t>
      </w:r>
      <w:r w:rsidR="004D6168">
        <w:rPr>
          <w:rFonts w:hint="cs"/>
          <w:rtl/>
          <w:lang w:val="fr-CH"/>
        </w:rPr>
        <w:t xml:space="preserve">أحكام </w:t>
      </w:r>
      <w:r>
        <w:rPr>
          <w:rFonts w:hint="cs"/>
          <w:rtl/>
          <w:lang w:val="fr-CH"/>
        </w:rPr>
        <w:t xml:space="preserve">المحاكم التي تطبِّق بصورة مباشرة أحكام الاتفاقية (الصفحة </w:t>
      </w:r>
      <w:r w:rsidR="004D6168">
        <w:rPr>
          <w:rFonts w:hint="cs"/>
          <w:rtl/>
          <w:lang w:val="fr-CH"/>
        </w:rPr>
        <w:t>7</w:t>
      </w:r>
      <w:r>
        <w:rPr>
          <w:rFonts w:hint="cs"/>
          <w:rtl/>
          <w:lang w:val="fr-CH"/>
        </w:rPr>
        <w:t>)</w:t>
      </w:r>
      <w:r>
        <w:rPr>
          <w:rFonts w:hint="cs"/>
          <w:vertAlign w:val="superscript"/>
          <w:rtl/>
          <w:lang w:val="fr-CH"/>
        </w:rPr>
        <w:t>(</w:t>
      </w:r>
      <w:r>
        <w:rPr>
          <w:rStyle w:val="FootnoteReference"/>
          <w:rtl/>
          <w:lang w:val="fr-CH"/>
        </w:rPr>
        <w:footnoteReference w:id="1"/>
      </w:r>
      <w:r>
        <w:rPr>
          <w:rFonts w:hint="cs"/>
          <w:vertAlign w:val="superscript"/>
          <w:rtl/>
          <w:lang w:val="fr-CH"/>
        </w:rPr>
        <w:t>)</w:t>
      </w:r>
      <w:r>
        <w:rPr>
          <w:rFonts w:hint="cs"/>
          <w:rtl/>
          <w:lang w:val="fr-CH"/>
        </w:rPr>
        <w:t xml:space="preserve">. ويرجى بيان ما إذا كان الطابع المُلزِم </w:t>
      </w:r>
      <w:r w:rsidR="004D6168">
        <w:rPr>
          <w:rFonts w:hint="cs"/>
          <w:rtl/>
          <w:lang w:val="fr-CH"/>
        </w:rPr>
        <w:t xml:space="preserve">قانوناً والانطباق </w:t>
      </w:r>
      <w:r>
        <w:rPr>
          <w:rFonts w:hint="cs"/>
          <w:rtl/>
          <w:lang w:val="fr-CH"/>
        </w:rPr>
        <w:t>المباشر للاتفاقية يشكلان جزءاً من التدريب المهني للقضاة والمحامين و</w:t>
      </w:r>
      <w:r w:rsidR="004D6168">
        <w:rPr>
          <w:rFonts w:hint="cs"/>
          <w:rtl/>
          <w:lang w:val="fr-CH"/>
        </w:rPr>
        <w:t xml:space="preserve">الموظفين المكلفين بإنفاذ </w:t>
      </w:r>
      <w:r>
        <w:rPr>
          <w:rFonts w:hint="cs"/>
          <w:rtl/>
          <w:lang w:val="fr-CH"/>
        </w:rPr>
        <w:t>القانون، وفقا</w:t>
      </w:r>
      <w:r w:rsidR="004D6168">
        <w:rPr>
          <w:rFonts w:hint="cs"/>
          <w:rtl/>
          <w:lang w:val="fr-CH"/>
        </w:rPr>
        <w:t>ً</w:t>
      </w:r>
      <w:r>
        <w:rPr>
          <w:rFonts w:hint="cs"/>
          <w:rtl/>
          <w:lang w:val="fr-CH"/>
        </w:rPr>
        <w:t xml:space="preserve"> لتوصية اللجنة (</w:t>
      </w:r>
      <w:r>
        <w:rPr>
          <w:rFonts w:eastAsia="SimSun"/>
          <w:lang w:eastAsia="zh-CN"/>
        </w:rPr>
        <w:t>CEDAW/C/LIE/CO/3</w:t>
      </w:r>
      <w:r>
        <w:rPr>
          <w:rFonts w:eastAsia="SimSun" w:hint="cs"/>
          <w:rtl/>
          <w:lang w:eastAsia="zh-CN"/>
        </w:rPr>
        <w:t>، الفقرة 10).</w:t>
      </w:r>
    </w:p>
    <w:p w:rsidR="00094AAF" w:rsidRDefault="00094AAF" w:rsidP="004D6168">
      <w:pPr>
        <w:pStyle w:val="SingleTxtGA"/>
        <w:rPr>
          <w:rFonts w:hint="cs"/>
          <w:rtl/>
          <w:lang w:val="fr-CH"/>
        </w:rPr>
      </w:pPr>
      <w:r>
        <w:rPr>
          <w:rFonts w:eastAsia="SimSun" w:hint="cs"/>
          <w:rtl/>
          <w:lang w:eastAsia="zh-CN"/>
        </w:rPr>
        <w:t>4-</w:t>
      </w:r>
      <w:r>
        <w:rPr>
          <w:rFonts w:eastAsia="SimSun" w:hint="cs"/>
          <w:rtl/>
          <w:lang w:eastAsia="zh-CN"/>
        </w:rPr>
        <w:tab/>
        <w:t xml:space="preserve">يرجى </w:t>
      </w:r>
      <w:r>
        <w:rPr>
          <w:rFonts w:hint="cs"/>
          <w:rtl/>
          <w:lang w:val="fr-CH"/>
        </w:rPr>
        <w:t xml:space="preserve">تقديم معلومات </w:t>
      </w:r>
      <w:r w:rsidR="004D6168">
        <w:rPr>
          <w:rFonts w:hint="cs"/>
          <w:rtl/>
          <w:lang w:val="fr-CH"/>
        </w:rPr>
        <w:t>محدَّثة ع</w:t>
      </w:r>
      <w:r>
        <w:rPr>
          <w:rFonts w:hint="cs"/>
          <w:rtl/>
          <w:lang w:val="fr-CH"/>
        </w:rPr>
        <w:t>ن التعديلات التي أُدخلت على قانون المساواة بين الجنسين، وقانون المعاشات التقاعدية المهنية، وقانون صناديق المعاشات التقاعدية، و</w:t>
      </w:r>
      <w:r w:rsidR="004D6168">
        <w:rPr>
          <w:rFonts w:hint="cs"/>
          <w:rtl/>
          <w:lang w:val="fr-CH"/>
        </w:rPr>
        <w:t>ال</w:t>
      </w:r>
      <w:r>
        <w:rPr>
          <w:rFonts w:hint="cs"/>
          <w:rtl/>
          <w:lang w:val="fr-CH"/>
        </w:rPr>
        <w:t xml:space="preserve">قانون </w:t>
      </w:r>
      <w:r w:rsidR="004D6168">
        <w:rPr>
          <w:rFonts w:hint="cs"/>
          <w:rtl/>
          <w:lang w:val="fr-CH"/>
        </w:rPr>
        <w:t>المدني العام</w:t>
      </w:r>
      <w:r>
        <w:rPr>
          <w:rFonts w:hint="cs"/>
          <w:rtl/>
          <w:lang w:val="fr-CH"/>
        </w:rPr>
        <w:t xml:space="preserve">، وهي تعديلات تهدف إلى تنفيذ توجيه الاتحاد الأوروبي </w:t>
      </w:r>
      <w:r>
        <w:rPr>
          <w:rFonts w:eastAsia="SimSun"/>
          <w:lang w:eastAsia="zh-CN"/>
        </w:rPr>
        <w:t>2006/54/EC</w:t>
      </w:r>
      <w:r>
        <w:rPr>
          <w:rFonts w:eastAsia="SimSun" w:hint="cs"/>
          <w:rtl/>
          <w:lang w:eastAsia="zh-CN"/>
        </w:rPr>
        <w:t xml:space="preserve"> المعني بإنفاذ تكافؤ الفرص والمساواة في المعاملة بين الرجال والنساء في </w:t>
      </w:r>
      <w:r w:rsidR="004D6168">
        <w:rPr>
          <w:rFonts w:eastAsia="SimSun" w:hint="cs"/>
          <w:rtl/>
          <w:lang w:eastAsia="zh-CN"/>
        </w:rPr>
        <w:t xml:space="preserve">مسائل العمالة والمهنة، </w:t>
      </w:r>
      <w:r>
        <w:rPr>
          <w:rFonts w:eastAsia="SimSun" w:hint="cs"/>
          <w:rtl/>
          <w:lang w:eastAsia="zh-CN"/>
        </w:rPr>
        <w:t xml:space="preserve">كما يشير إلى ذلك تقرير </w:t>
      </w:r>
      <w:r>
        <w:rPr>
          <w:rFonts w:hint="cs"/>
          <w:rtl/>
          <w:lang w:val="fr-CH"/>
        </w:rPr>
        <w:t xml:space="preserve">الدولة الطرف (الصفحة </w:t>
      </w:r>
      <w:r w:rsidR="004D6168">
        <w:rPr>
          <w:rFonts w:hint="cs"/>
          <w:rtl/>
          <w:lang w:val="fr-CH"/>
        </w:rPr>
        <w:t>16</w:t>
      </w:r>
      <w:r>
        <w:rPr>
          <w:rFonts w:hint="cs"/>
          <w:rtl/>
          <w:lang w:val="fr-CH"/>
        </w:rPr>
        <w:t>).</w:t>
      </w:r>
    </w:p>
    <w:p w:rsidR="00094AAF" w:rsidRDefault="00094AAF" w:rsidP="00EC4C3C">
      <w:pPr>
        <w:pStyle w:val="SingleTxtGA"/>
        <w:rPr>
          <w:rFonts w:eastAsia="SimSun" w:hint="cs"/>
          <w:rtl/>
          <w:lang w:eastAsia="zh-CN"/>
        </w:rPr>
      </w:pPr>
      <w:r>
        <w:rPr>
          <w:rFonts w:hint="cs"/>
          <w:rtl/>
          <w:lang w:val="fr-CH"/>
        </w:rPr>
        <w:t>5-</w:t>
      </w:r>
      <w:r>
        <w:rPr>
          <w:rFonts w:hint="cs"/>
          <w:rtl/>
          <w:lang w:val="fr-CH"/>
        </w:rPr>
        <w:tab/>
        <w:t xml:space="preserve">يرجى تقديم معلومات، إن وُجدت، </w:t>
      </w:r>
      <w:r w:rsidR="004D6168">
        <w:rPr>
          <w:rFonts w:hint="cs"/>
          <w:rtl/>
          <w:lang w:val="fr-CH"/>
        </w:rPr>
        <w:t xml:space="preserve">عن نتائج استعراض ولاية واختصاصات </w:t>
      </w:r>
      <w:r>
        <w:rPr>
          <w:rFonts w:hint="cs"/>
          <w:rtl/>
          <w:lang w:val="fr-CH"/>
        </w:rPr>
        <w:t xml:space="preserve">لجنة تكافؤ الفرص ومكتب تكافؤ الفرص (الصفحة </w:t>
      </w:r>
      <w:r w:rsidR="004D6168">
        <w:rPr>
          <w:rFonts w:hint="cs"/>
          <w:rtl/>
          <w:lang w:val="fr-CH"/>
        </w:rPr>
        <w:t>9</w:t>
      </w:r>
      <w:r>
        <w:rPr>
          <w:rFonts w:hint="cs"/>
          <w:rtl/>
          <w:lang w:val="fr-CH"/>
        </w:rPr>
        <w:t xml:space="preserve">). ويرجى كذلك ذكر الجهود المبذولة لتعزيز تنفيذ تعميم المنظور الجنساني وتطبيقه بصورة فعالة على </w:t>
      </w:r>
      <w:r w:rsidR="00EC4C3C">
        <w:rPr>
          <w:rFonts w:hint="cs"/>
          <w:rtl/>
          <w:lang w:val="fr-CH"/>
        </w:rPr>
        <w:t>ال</w:t>
      </w:r>
      <w:r>
        <w:rPr>
          <w:rFonts w:hint="cs"/>
          <w:rtl/>
          <w:lang w:val="fr-CH"/>
        </w:rPr>
        <w:t>مستو</w:t>
      </w:r>
      <w:r w:rsidR="00EC4C3C">
        <w:rPr>
          <w:rFonts w:hint="cs"/>
          <w:rtl/>
          <w:lang w:val="fr-CH"/>
        </w:rPr>
        <w:t xml:space="preserve">ى الوطني ومستوى الحكم </w:t>
      </w:r>
      <w:r>
        <w:rPr>
          <w:rFonts w:hint="cs"/>
          <w:rtl/>
          <w:lang w:val="fr-CH"/>
        </w:rPr>
        <w:t xml:space="preserve">المحلي، بما في ذلك في عملية </w:t>
      </w:r>
      <w:r w:rsidR="00EC4C3C">
        <w:rPr>
          <w:rFonts w:hint="cs"/>
          <w:rtl/>
          <w:lang w:val="fr-CH"/>
        </w:rPr>
        <w:t xml:space="preserve">إعداد </w:t>
      </w:r>
      <w:r>
        <w:rPr>
          <w:rFonts w:hint="cs"/>
          <w:rtl/>
          <w:lang w:val="fr-CH"/>
        </w:rPr>
        <w:t xml:space="preserve">الميزانية، بالإضافة إلى نشر </w:t>
      </w:r>
      <w:r w:rsidR="00EC4C3C">
        <w:rPr>
          <w:rFonts w:hint="cs"/>
          <w:rtl/>
          <w:lang w:val="fr-CH"/>
        </w:rPr>
        <w:t xml:space="preserve">المبدأ التوجيهي </w:t>
      </w:r>
      <w:r>
        <w:rPr>
          <w:rFonts w:hint="cs"/>
          <w:rtl/>
          <w:lang w:val="fr-CH"/>
        </w:rPr>
        <w:t xml:space="preserve">المتعلق بتنفيذ هذه الاستراتيجية في الإدارة، الذي أُعِدّ </w:t>
      </w:r>
      <w:r w:rsidR="00EC4C3C">
        <w:rPr>
          <w:rFonts w:hint="cs"/>
          <w:rtl/>
          <w:lang w:val="fr-CH"/>
        </w:rPr>
        <w:t>في إطار ا</w:t>
      </w:r>
      <w:r>
        <w:rPr>
          <w:rFonts w:hint="cs"/>
          <w:rtl/>
          <w:lang w:val="fr-CH"/>
        </w:rPr>
        <w:t>لمشروع الأقاليمي المعنون "</w:t>
      </w:r>
      <w:r>
        <w:rPr>
          <w:rFonts w:eastAsia="SimSun"/>
          <w:lang w:eastAsia="zh-CN"/>
        </w:rPr>
        <w:t>Ländergender</w:t>
      </w:r>
      <w:r>
        <w:rPr>
          <w:rFonts w:eastAsia="SimSun" w:hint="cs"/>
          <w:rtl/>
          <w:lang w:eastAsia="zh-CN"/>
        </w:rPr>
        <w:t>" للفترة 2004-2006 (</w:t>
      </w:r>
      <w:r>
        <w:rPr>
          <w:rFonts w:hint="cs"/>
          <w:rtl/>
          <w:lang w:val="fr-CH"/>
        </w:rPr>
        <w:t xml:space="preserve">الصفحة </w:t>
      </w:r>
      <w:r w:rsidR="00EC4C3C">
        <w:rPr>
          <w:rFonts w:eastAsia="SimSun" w:hint="cs"/>
          <w:rtl/>
          <w:lang w:eastAsia="zh-CN"/>
        </w:rPr>
        <w:t>19</w:t>
      </w:r>
      <w:r>
        <w:rPr>
          <w:rFonts w:eastAsia="SimSun" w:hint="cs"/>
          <w:rtl/>
          <w:lang w:eastAsia="zh-CN"/>
        </w:rPr>
        <w:t xml:space="preserve">). يرجى توضيح </w:t>
      </w:r>
      <w:r w:rsidR="00EC4C3C">
        <w:rPr>
          <w:rFonts w:eastAsia="SimSun" w:hint="cs"/>
          <w:rtl/>
          <w:lang w:eastAsia="zh-CN"/>
        </w:rPr>
        <w:t xml:space="preserve">هل نَفذت </w:t>
      </w:r>
      <w:r>
        <w:rPr>
          <w:rFonts w:eastAsia="SimSun" w:hint="cs"/>
          <w:rtl/>
          <w:lang w:eastAsia="zh-CN"/>
        </w:rPr>
        <w:t xml:space="preserve">عمليات تقييم أثر نوع الجنس في تنفيذ السياسات القائمة وفي صياغة سياسات جديدة من أجل تحديد أثرها </w:t>
      </w:r>
      <w:r w:rsidR="00EC4C3C">
        <w:rPr>
          <w:rFonts w:eastAsia="SimSun" w:hint="cs"/>
          <w:rtl/>
          <w:lang w:eastAsia="zh-CN"/>
        </w:rPr>
        <w:t xml:space="preserve">المتباين على </w:t>
      </w:r>
      <w:r>
        <w:rPr>
          <w:rFonts w:eastAsia="SimSun" w:hint="cs"/>
          <w:rtl/>
          <w:lang w:eastAsia="zh-CN"/>
        </w:rPr>
        <w:t xml:space="preserve">النساء والرجال. </w:t>
      </w:r>
    </w:p>
    <w:p w:rsidR="00094AAF" w:rsidRDefault="00094AAF" w:rsidP="00EC4C3C">
      <w:pPr>
        <w:pStyle w:val="SingleTxtGA"/>
        <w:rPr>
          <w:rFonts w:eastAsia="SimSun" w:hint="cs"/>
          <w:rtl/>
          <w:lang w:eastAsia="zh-CN"/>
        </w:rPr>
      </w:pPr>
      <w:r>
        <w:rPr>
          <w:rFonts w:eastAsia="SimSun" w:hint="cs"/>
          <w:rtl/>
          <w:lang w:eastAsia="zh-CN"/>
        </w:rPr>
        <w:t>6-</w:t>
      </w:r>
      <w:r>
        <w:rPr>
          <w:rFonts w:eastAsia="SimSun" w:hint="cs"/>
          <w:rtl/>
          <w:lang w:eastAsia="zh-CN"/>
        </w:rPr>
        <w:tab/>
        <w:t>يرجى وصف الآليات المؤسسية المتاحة</w:t>
      </w:r>
      <w:r w:rsidRPr="00890134">
        <w:rPr>
          <w:rFonts w:eastAsia="SimSun" w:hint="cs"/>
          <w:rtl/>
          <w:lang w:eastAsia="zh-CN"/>
        </w:rPr>
        <w:t xml:space="preserve"> </w:t>
      </w:r>
      <w:r>
        <w:rPr>
          <w:rFonts w:eastAsia="SimSun" w:hint="cs"/>
          <w:rtl/>
          <w:lang w:eastAsia="zh-CN"/>
        </w:rPr>
        <w:t xml:space="preserve">للنساء، بالإضافة إلى </w:t>
      </w:r>
      <w:r w:rsidR="00EC4C3C">
        <w:rPr>
          <w:rFonts w:eastAsia="SimSun" w:hint="cs"/>
          <w:rtl/>
          <w:lang w:eastAsia="zh-CN"/>
        </w:rPr>
        <w:t xml:space="preserve">التماس العدالة في </w:t>
      </w:r>
      <w:r>
        <w:rPr>
          <w:rFonts w:eastAsia="SimSun" w:hint="cs"/>
          <w:rtl/>
          <w:lang w:eastAsia="zh-CN"/>
        </w:rPr>
        <w:t>المحاكم، لرفع شكاوى تتعلق بالتمييز الجنسي و</w:t>
      </w:r>
      <w:r w:rsidR="00EC4C3C">
        <w:rPr>
          <w:rFonts w:eastAsia="SimSun" w:hint="cs"/>
          <w:rtl/>
          <w:lang w:eastAsia="zh-CN"/>
        </w:rPr>
        <w:t xml:space="preserve">الجنساني ضدهن. </w:t>
      </w:r>
      <w:r>
        <w:rPr>
          <w:rFonts w:eastAsia="SimSun" w:hint="cs"/>
          <w:rtl/>
          <w:lang w:eastAsia="zh-CN"/>
        </w:rPr>
        <w:t>ويرجى كذلك تقديم معلومات تغطي الفترة المشمولة بالتقرير عن متوسط عدد النساء اللائي يسعيْن سنويا</w:t>
      </w:r>
      <w:r w:rsidR="00D91D4F">
        <w:rPr>
          <w:rFonts w:eastAsia="SimSun" w:hint="cs"/>
          <w:rtl/>
          <w:lang w:eastAsia="zh-CN"/>
        </w:rPr>
        <w:t>ً</w:t>
      </w:r>
      <w:r>
        <w:rPr>
          <w:rFonts w:eastAsia="SimSun" w:hint="cs"/>
          <w:rtl/>
          <w:lang w:eastAsia="zh-CN"/>
        </w:rPr>
        <w:t xml:space="preserve"> للحصول على المشورة والاستشارة القانونية في حالات </w:t>
      </w:r>
      <w:r w:rsidR="00EC4C3C">
        <w:rPr>
          <w:rFonts w:eastAsia="SimSun" w:hint="cs"/>
          <w:rtl/>
          <w:lang w:eastAsia="zh-CN"/>
        </w:rPr>
        <w:t xml:space="preserve">ادعاء </w:t>
      </w:r>
      <w:r>
        <w:rPr>
          <w:rFonts w:eastAsia="SimSun" w:hint="cs"/>
          <w:rtl/>
          <w:lang w:eastAsia="zh-CN"/>
        </w:rPr>
        <w:t xml:space="preserve">التمييز في مكتب تكافؤ الفرص وعن </w:t>
      </w:r>
      <w:r w:rsidR="00EC4C3C">
        <w:rPr>
          <w:rFonts w:eastAsia="SimSun" w:hint="cs"/>
          <w:rtl/>
          <w:lang w:eastAsia="zh-CN"/>
        </w:rPr>
        <w:t xml:space="preserve">أنواع وجوهر </w:t>
      </w:r>
      <w:r>
        <w:rPr>
          <w:rFonts w:eastAsia="SimSun" w:hint="cs"/>
          <w:rtl/>
          <w:lang w:eastAsia="zh-CN"/>
        </w:rPr>
        <w:t>القضايا السائدة المسجلة في هذا المكتب و</w:t>
      </w:r>
      <w:r w:rsidR="00EC4C3C">
        <w:rPr>
          <w:rFonts w:eastAsia="SimSun" w:hint="cs"/>
          <w:rtl/>
          <w:lang w:eastAsia="zh-CN"/>
        </w:rPr>
        <w:t xml:space="preserve">بادعاءات التمييز </w:t>
      </w:r>
      <w:r>
        <w:rPr>
          <w:rFonts w:eastAsia="SimSun" w:hint="cs"/>
          <w:rtl/>
          <w:lang w:eastAsia="zh-CN"/>
        </w:rPr>
        <w:t>ضد المرأة.</w:t>
      </w:r>
    </w:p>
    <w:p w:rsidR="00094AAF" w:rsidRPr="00B559E8" w:rsidRDefault="00D91D4F" w:rsidP="00D91D4F">
      <w:pPr>
        <w:pStyle w:val="H23GA"/>
        <w:rPr>
          <w:rFonts w:eastAsia="SimSun" w:hint="cs"/>
          <w:strike/>
          <w:rtl/>
        </w:rPr>
      </w:pPr>
      <w:r>
        <w:rPr>
          <w:rFonts w:hint="cs"/>
          <w:rtl/>
        </w:rPr>
        <w:tab/>
      </w:r>
      <w:r>
        <w:rPr>
          <w:rFonts w:hint="cs"/>
          <w:rtl/>
        </w:rPr>
        <w:tab/>
      </w:r>
      <w:r w:rsidR="00EC4C3C">
        <w:rPr>
          <w:rFonts w:hint="cs"/>
          <w:rtl/>
        </w:rPr>
        <w:t xml:space="preserve">إبراز دور </w:t>
      </w:r>
      <w:r w:rsidR="00094AAF" w:rsidRPr="004D6168">
        <w:rPr>
          <w:rFonts w:hint="cs"/>
          <w:rtl/>
        </w:rPr>
        <w:t>الاتفاقية</w:t>
      </w:r>
    </w:p>
    <w:p w:rsidR="00094AAF" w:rsidRDefault="00094AAF" w:rsidP="00EC4C3C">
      <w:pPr>
        <w:pStyle w:val="SingleTxtGA"/>
        <w:rPr>
          <w:rFonts w:hint="cs"/>
          <w:rtl/>
          <w:lang w:val="fr-CH"/>
        </w:rPr>
      </w:pPr>
      <w:r>
        <w:rPr>
          <w:rFonts w:eastAsia="SimSun" w:hint="cs"/>
          <w:rtl/>
          <w:lang w:eastAsia="zh-CN"/>
        </w:rPr>
        <w:t>7-</w:t>
      </w:r>
      <w:r>
        <w:rPr>
          <w:rFonts w:eastAsia="SimSun" w:hint="cs"/>
          <w:rtl/>
          <w:lang w:eastAsia="zh-CN"/>
        </w:rPr>
        <w:tab/>
        <w:t xml:space="preserve">نُظِّمت </w:t>
      </w:r>
      <w:r w:rsidR="00EC4C3C">
        <w:rPr>
          <w:rFonts w:eastAsia="SimSun" w:hint="cs"/>
          <w:rtl/>
          <w:lang w:eastAsia="zh-CN"/>
        </w:rPr>
        <w:t xml:space="preserve">أحداث </w:t>
      </w:r>
      <w:r>
        <w:rPr>
          <w:rFonts w:eastAsia="SimSun" w:hint="cs"/>
          <w:rtl/>
          <w:lang w:eastAsia="zh-CN"/>
        </w:rPr>
        <w:t xml:space="preserve">عديدة في الفترة 2008/2009 بمناسبة الاحتفال بالذكرى الستين لاعتماد الإعلان العالمي </w:t>
      </w:r>
      <w:r>
        <w:rPr>
          <w:rFonts w:hint="cs"/>
          <w:rtl/>
          <w:lang w:val="fr-CH"/>
        </w:rPr>
        <w:t xml:space="preserve">لحقوق الإنسان (الصفحات </w:t>
      </w:r>
      <w:r w:rsidR="00EC4C3C">
        <w:rPr>
          <w:rFonts w:hint="cs"/>
          <w:rtl/>
          <w:lang w:val="fr-CH"/>
        </w:rPr>
        <w:t>23 و49 و71-72</w:t>
      </w:r>
      <w:r>
        <w:rPr>
          <w:rFonts w:hint="cs"/>
          <w:rtl/>
          <w:lang w:val="fr-CH"/>
        </w:rPr>
        <w:t>). يرجى توضي</w:t>
      </w:r>
      <w:r w:rsidR="00EC4C3C">
        <w:rPr>
          <w:rFonts w:hint="cs"/>
          <w:rtl/>
          <w:lang w:val="fr-CH"/>
        </w:rPr>
        <w:t>ـ</w:t>
      </w:r>
      <w:r>
        <w:rPr>
          <w:rFonts w:hint="cs"/>
          <w:rtl/>
          <w:lang w:val="fr-CH"/>
        </w:rPr>
        <w:t>ح ما إذا كان الاحتفال بالذكرى الثلاثين لاعتماد الاتفاقية والذكرى العاشرة لاعتماد بروتوكول</w:t>
      </w:r>
      <w:r w:rsidR="00EC4C3C">
        <w:rPr>
          <w:rFonts w:hint="cs"/>
          <w:rtl/>
          <w:lang w:val="fr-CH"/>
        </w:rPr>
        <w:t>ها</w:t>
      </w:r>
      <w:r>
        <w:rPr>
          <w:rFonts w:hint="cs"/>
          <w:rtl/>
          <w:lang w:val="fr-CH"/>
        </w:rPr>
        <w:t xml:space="preserve"> الاختياري في عام 2009 قد استُغلا أيضاً للتوعية بحقوق الإنسان للمرأة وبالإجراءات المتاحة للمرأة بموجب البروتوكول الاختياري. و</w:t>
      </w:r>
      <w:r w:rsidR="00EC4C3C">
        <w:rPr>
          <w:rFonts w:hint="cs"/>
          <w:rtl/>
          <w:lang w:val="fr-CH"/>
        </w:rPr>
        <w:t xml:space="preserve">في حالة </w:t>
      </w:r>
      <w:r>
        <w:rPr>
          <w:rFonts w:hint="cs"/>
          <w:rtl/>
          <w:lang w:val="fr-CH"/>
        </w:rPr>
        <w:t xml:space="preserve">القيام بهذه الأنشطة، يرجى تقديم معلومات إضافية عنها. </w:t>
      </w:r>
    </w:p>
    <w:p w:rsidR="00094AAF" w:rsidRPr="004D6168" w:rsidRDefault="00094AAF" w:rsidP="004D6168">
      <w:pPr>
        <w:pStyle w:val="H23GA"/>
        <w:rPr>
          <w:rFonts w:hint="cs"/>
          <w:rtl/>
        </w:rPr>
      </w:pPr>
      <w:r w:rsidRPr="004D6168">
        <w:rPr>
          <w:rFonts w:hint="cs"/>
          <w:rtl/>
        </w:rPr>
        <w:tab/>
      </w:r>
      <w:r w:rsidRPr="004D6168">
        <w:rPr>
          <w:rFonts w:hint="cs"/>
          <w:rtl/>
        </w:rPr>
        <w:tab/>
        <w:t>التدابير الخاصة المؤقتة</w:t>
      </w:r>
    </w:p>
    <w:p w:rsidR="00094AAF" w:rsidRDefault="00094AAF" w:rsidP="00094AAF">
      <w:pPr>
        <w:pStyle w:val="SingleTxtGA"/>
        <w:rPr>
          <w:rFonts w:hint="cs"/>
          <w:rtl/>
        </w:rPr>
      </w:pPr>
      <w:r>
        <w:rPr>
          <w:rFonts w:hint="cs"/>
          <w:rtl/>
          <w:lang w:val="fr-CH"/>
        </w:rPr>
        <w:t>8-</w:t>
      </w:r>
      <w:r>
        <w:rPr>
          <w:rFonts w:hint="cs"/>
          <w:rtl/>
          <w:lang w:val="fr-CH"/>
        </w:rPr>
        <w:tab/>
        <w:t>يرجى تقديم أمثلة إضافية عن التدابير المتخذة لتعزيز المساواة بحكم الأمر الواقع بين النساء والرجال والإسراع فيها (</w:t>
      </w:r>
      <w:r>
        <w:rPr>
          <w:rFonts w:eastAsia="SimSun"/>
          <w:lang w:eastAsia="zh-CN"/>
        </w:rPr>
        <w:t>CEDAW/C/LIE/CO/3</w:t>
      </w:r>
      <w:r>
        <w:rPr>
          <w:rFonts w:hint="cs"/>
          <w:rtl/>
        </w:rPr>
        <w:t>، الفقرة 14)، بما في ذلك التدابير الخاصة المؤقتة (المرجع نفسه، الفقرة 20)، وبيان مدى تجلّي التزام الدولة الطرف بتحقيق أهداف إعلان ومنهاج عمل بيجين في ه</w:t>
      </w:r>
      <w:r w:rsidR="00EC4C3C">
        <w:rPr>
          <w:rFonts w:hint="cs"/>
          <w:rtl/>
        </w:rPr>
        <w:t>ـ</w:t>
      </w:r>
      <w:r>
        <w:rPr>
          <w:rFonts w:hint="cs"/>
          <w:rtl/>
        </w:rPr>
        <w:t>ذه التدابير (المرجع نفسه، الفقرة 28)، وتوضيح ما إذا كانت الاتفاقية تُستخدم كإطار قانوني لاعتماد هذه الأهداف وتنفيذها.</w:t>
      </w:r>
    </w:p>
    <w:p w:rsidR="00094AAF" w:rsidRDefault="00094AAF" w:rsidP="00EC4C3C">
      <w:pPr>
        <w:pStyle w:val="SingleTxtGA"/>
        <w:rPr>
          <w:rFonts w:hint="cs"/>
          <w:rtl/>
        </w:rPr>
      </w:pPr>
      <w:r>
        <w:rPr>
          <w:rFonts w:hint="cs"/>
          <w:rtl/>
        </w:rPr>
        <w:t>9-</w:t>
      </w:r>
      <w:r>
        <w:rPr>
          <w:rFonts w:hint="cs"/>
          <w:rtl/>
        </w:rPr>
        <w:tab/>
        <w:t>وبالرغم من أن قانون المساواة بين الجنسين يتيح الأساس القانوني لتطبيق التدابير المؤقتة الخاصة بإعمال المساواة الموضوعية بين الجنسين، يشير التقرير إلى أن</w:t>
      </w:r>
      <w:r w:rsidR="00EC4C3C">
        <w:rPr>
          <w:rFonts w:hint="cs"/>
          <w:rtl/>
        </w:rPr>
        <w:t>ه</w:t>
      </w:r>
      <w:r>
        <w:rPr>
          <w:rFonts w:hint="cs"/>
          <w:rtl/>
        </w:rPr>
        <w:t xml:space="preserve"> "</w:t>
      </w:r>
      <w:r w:rsidR="00EC4C3C">
        <w:rPr>
          <w:rFonts w:hint="cs"/>
          <w:rtl/>
        </w:rPr>
        <w:t xml:space="preserve">يحق لأي مؤسسة أن تحدد بحرية </w:t>
      </w:r>
      <w:r>
        <w:rPr>
          <w:rFonts w:hint="cs"/>
          <w:rtl/>
        </w:rPr>
        <w:t>أفضل طريقة لتنفيذ التدابير المختارة" (</w:t>
      </w:r>
      <w:r>
        <w:rPr>
          <w:rFonts w:hint="cs"/>
          <w:rtl/>
          <w:lang w:val="fr-CH"/>
        </w:rPr>
        <w:t xml:space="preserve">الصفحة </w:t>
      </w:r>
      <w:r w:rsidR="00EC4C3C">
        <w:rPr>
          <w:rFonts w:hint="cs"/>
          <w:rtl/>
        </w:rPr>
        <w:t>24</w:t>
      </w:r>
      <w:r>
        <w:rPr>
          <w:rFonts w:hint="cs"/>
          <w:rtl/>
        </w:rPr>
        <w:t xml:space="preserve">). يرجى توضيح المبادرات التي اتخذتها الدولة الطرف من أجل تشجيع أصحاب العمل في القطاع الخاص على اتباع سياسات فعالة تهدف إلى تحقيق المساواة الموضوعية (بحكم الواقع) بين الجنسين، بما في ذلك عن طريق اللجوء إلى التدابير الخاصة المؤقتة. </w:t>
      </w:r>
    </w:p>
    <w:p w:rsidR="00094AAF" w:rsidRDefault="00094AAF" w:rsidP="004D6168">
      <w:pPr>
        <w:pStyle w:val="H23GA"/>
        <w:rPr>
          <w:rFonts w:hint="cs"/>
          <w:rtl/>
        </w:rPr>
      </w:pPr>
      <w:r>
        <w:rPr>
          <w:rFonts w:hint="cs"/>
          <w:rtl/>
        </w:rPr>
        <w:tab/>
      </w:r>
      <w:r>
        <w:rPr>
          <w:rFonts w:hint="cs"/>
          <w:rtl/>
        </w:rPr>
        <w:tab/>
        <w:t>القوالب النمطية والتعليم</w:t>
      </w:r>
    </w:p>
    <w:p w:rsidR="00094AAF" w:rsidRDefault="00094AAF" w:rsidP="00EC4C3C">
      <w:pPr>
        <w:pStyle w:val="SingleTxtGA"/>
        <w:rPr>
          <w:rFonts w:hint="cs"/>
          <w:rtl/>
        </w:rPr>
      </w:pPr>
      <w:r>
        <w:rPr>
          <w:rFonts w:hint="cs"/>
          <w:rtl/>
        </w:rPr>
        <w:t>10-</w:t>
      </w:r>
      <w:r>
        <w:rPr>
          <w:rFonts w:hint="cs"/>
          <w:rtl/>
        </w:rPr>
        <w:tab/>
        <w:t>يرجى بيان ما إذا كانت الدولة الطرف قد اعتمدت سياسة شاملة، تستهدف النساء والرجال و</w:t>
      </w:r>
      <w:r w:rsidR="00EC4C3C">
        <w:rPr>
          <w:rFonts w:hint="cs"/>
          <w:rtl/>
        </w:rPr>
        <w:t xml:space="preserve">الفتيان والفتيات، بما في ذلك اتخاذ تدابير قانونية وإدارية وتدابير توعية، ترمي إلى مكافحة </w:t>
      </w:r>
      <w:r>
        <w:rPr>
          <w:rFonts w:hint="cs"/>
          <w:rtl/>
        </w:rPr>
        <w:t>القوالب النمطية التقليدية المتعلقة بأدوار النساء والرجال في المجتمع، وفقاً لتوصية اللجنة (</w:t>
      </w:r>
      <w:r>
        <w:rPr>
          <w:rFonts w:eastAsia="SimSun"/>
          <w:lang w:eastAsia="zh-CN"/>
        </w:rPr>
        <w:t>CEDAW/C/LIE/CO/3</w:t>
      </w:r>
      <w:r>
        <w:rPr>
          <w:rFonts w:hint="cs"/>
          <w:rtl/>
        </w:rPr>
        <w:t>، الفقرة 22؛ انظر كذلك التوصية التي قبلت بها ليختنشتاين أثناء الاستعراض الدوري الشامل (</w:t>
      </w:r>
      <w:r>
        <w:t>A/HRC/10/77</w:t>
      </w:r>
      <w:r>
        <w:rPr>
          <w:rFonts w:hint="cs"/>
          <w:rtl/>
        </w:rPr>
        <w:t>، الفقرة 64، التوصية 6)).</w:t>
      </w:r>
    </w:p>
    <w:p w:rsidR="00094AAF" w:rsidRDefault="00094AAF" w:rsidP="004D6168">
      <w:pPr>
        <w:pStyle w:val="H23GA"/>
        <w:rPr>
          <w:rFonts w:hint="cs"/>
          <w:rtl/>
        </w:rPr>
      </w:pPr>
      <w:r>
        <w:rPr>
          <w:rFonts w:hint="cs"/>
          <w:rtl/>
        </w:rPr>
        <w:tab/>
      </w:r>
      <w:r>
        <w:rPr>
          <w:rFonts w:hint="cs"/>
          <w:rtl/>
        </w:rPr>
        <w:tab/>
        <w:t>العنف ضد المرأة</w:t>
      </w:r>
    </w:p>
    <w:p w:rsidR="00094AAF" w:rsidRDefault="00094AAF" w:rsidP="00EC4C3C">
      <w:pPr>
        <w:pStyle w:val="SingleTxtGA"/>
        <w:rPr>
          <w:rFonts w:hint="cs"/>
          <w:rtl/>
        </w:rPr>
      </w:pPr>
      <w:r>
        <w:rPr>
          <w:rFonts w:hint="cs"/>
          <w:rtl/>
        </w:rPr>
        <w:t>11-</w:t>
      </w:r>
      <w:r>
        <w:rPr>
          <w:rFonts w:hint="cs"/>
          <w:rtl/>
        </w:rPr>
        <w:tab/>
        <w:t xml:space="preserve">يرجى بيان ما إذا كانت الدولة الطرف قد اعتمدت خطة العمل الوطنية لمكافحة العنف المنزلي التي </w:t>
      </w:r>
      <w:r w:rsidR="00EC4C3C">
        <w:rPr>
          <w:rFonts w:hint="cs"/>
          <w:rtl/>
        </w:rPr>
        <w:t xml:space="preserve">أعدها </w:t>
      </w:r>
      <w:r>
        <w:rPr>
          <w:rFonts w:hint="cs"/>
          <w:rtl/>
        </w:rPr>
        <w:t>مكتب تكافؤ الفرص (</w:t>
      </w:r>
      <w:r>
        <w:rPr>
          <w:rFonts w:hint="cs"/>
          <w:rtl/>
          <w:lang w:val="fr-CH"/>
        </w:rPr>
        <w:t xml:space="preserve">الصفحة </w:t>
      </w:r>
      <w:r w:rsidR="00EC4C3C">
        <w:rPr>
          <w:rFonts w:hint="cs"/>
          <w:rtl/>
        </w:rPr>
        <w:t>32</w:t>
      </w:r>
      <w:r>
        <w:rPr>
          <w:rFonts w:hint="cs"/>
          <w:rtl/>
        </w:rPr>
        <w:t>). وإذا كان الرد بالإيجاب، يرجى تقديم معلومات عن التدابير التي تتضمنها خطة العمل، والموارد المخصصة لتنفيذها والآليات المسؤولة عن تنسيق تنفيذها و</w:t>
      </w:r>
      <w:r w:rsidR="00EC4C3C">
        <w:rPr>
          <w:rFonts w:hint="cs"/>
          <w:rtl/>
        </w:rPr>
        <w:t>رصدها</w:t>
      </w:r>
      <w:r>
        <w:rPr>
          <w:rFonts w:hint="cs"/>
          <w:rtl/>
        </w:rPr>
        <w:t>.</w:t>
      </w:r>
    </w:p>
    <w:p w:rsidR="00094AAF" w:rsidRDefault="00094AAF" w:rsidP="00EC4C3C">
      <w:pPr>
        <w:pStyle w:val="SingleTxtGA"/>
        <w:rPr>
          <w:rFonts w:hint="cs"/>
          <w:rtl/>
        </w:rPr>
      </w:pPr>
      <w:r>
        <w:rPr>
          <w:rFonts w:hint="cs"/>
          <w:rtl/>
        </w:rPr>
        <w:t>12-</w:t>
      </w:r>
      <w:r>
        <w:rPr>
          <w:rFonts w:hint="cs"/>
          <w:rtl/>
        </w:rPr>
        <w:tab/>
        <w:t xml:space="preserve">يرجى توضيح </w:t>
      </w:r>
      <w:r w:rsidR="00EC4C3C">
        <w:rPr>
          <w:rFonts w:hint="cs"/>
          <w:rtl/>
        </w:rPr>
        <w:t xml:space="preserve">سبب </w:t>
      </w:r>
      <w:r>
        <w:rPr>
          <w:rFonts w:hint="cs"/>
          <w:rtl/>
        </w:rPr>
        <w:t>رفض الدولة الطرف التوصية، الموجهة إليها أثناء الاستعراض الدوري الشامل، والتي تقضي بإرساء مبدأ الملاحقة القضائية التلقائية بالنسبة إلى جميع أعمال العنف المنزلي</w:t>
      </w:r>
      <w:r>
        <w:rPr>
          <w:rFonts w:hint="cs"/>
          <w:vertAlign w:val="superscript"/>
          <w:rtl/>
          <w:lang w:val="fr-CH"/>
        </w:rPr>
        <w:t>(</w:t>
      </w:r>
      <w:r>
        <w:rPr>
          <w:rStyle w:val="FootnoteReference"/>
          <w:rtl/>
          <w:lang w:val="fr-CH"/>
        </w:rPr>
        <w:footnoteReference w:id="2"/>
      </w:r>
      <w:r>
        <w:rPr>
          <w:rFonts w:hint="cs"/>
          <w:vertAlign w:val="superscript"/>
          <w:rtl/>
          <w:lang w:val="fr-CH"/>
        </w:rPr>
        <w:t>)</w:t>
      </w:r>
      <w:r>
        <w:rPr>
          <w:rFonts w:hint="cs"/>
          <w:rtl/>
        </w:rPr>
        <w:t>.</w:t>
      </w:r>
    </w:p>
    <w:p w:rsidR="00094AAF" w:rsidRDefault="00094AAF" w:rsidP="00EC4C3C">
      <w:pPr>
        <w:pStyle w:val="SingleTxtGA"/>
        <w:rPr>
          <w:rFonts w:hint="cs"/>
          <w:rtl/>
        </w:rPr>
      </w:pPr>
      <w:r>
        <w:rPr>
          <w:rFonts w:hint="cs"/>
          <w:rtl/>
        </w:rPr>
        <w:t>13-</w:t>
      </w:r>
      <w:r>
        <w:rPr>
          <w:rFonts w:hint="cs"/>
          <w:rtl/>
        </w:rPr>
        <w:tab/>
        <w:t xml:space="preserve">يرجى توضيح التدابير التي اتخذتها الدولة الطرف للتصدي للعنف المنزلي الذي تواجهه الأجنبيات، وبخاصة التدابير الرامية إلى تشجيعهن على الإبلاغ عن حالات العنف المنزلي وعلى هجر </w:t>
      </w:r>
      <w:r w:rsidR="00EC4C3C">
        <w:rPr>
          <w:rFonts w:hint="cs"/>
          <w:rtl/>
        </w:rPr>
        <w:t xml:space="preserve">عشير </w:t>
      </w:r>
      <w:r>
        <w:rPr>
          <w:rFonts w:hint="cs"/>
          <w:rtl/>
        </w:rPr>
        <w:t xml:space="preserve">عنيف أو الانفصال عن زوج عنيف دون الخوف من فقدان تصريح الإقامة عندما يرتبط مركزهن القانوني في البلد بعلاقتهن الزوجية. يرجى تقديم معلومات عن عدد الأجنبيات اللائي سُمح لهن بالبقاء في ليختنشتاين عقب طلاقهن من زوج </w:t>
      </w:r>
      <w:r w:rsidR="00EC4C3C">
        <w:rPr>
          <w:rFonts w:hint="cs"/>
          <w:rtl/>
        </w:rPr>
        <w:t xml:space="preserve">يسيء معاملتهن </w:t>
      </w:r>
      <w:r>
        <w:rPr>
          <w:rFonts w:hint="cs"/>
          <w:rtl/>
        </w:rPr>
        <w:t>(</w:t>
      </w:r>
      <w:r>
        <w:rPr>
          <w:rFonts w:eastAsia="SimSun"/>
          <w:lang w:eastAsia="zh-CN"/>
        </w:rPr>
        <w:t>A/HRC/10/77</w:t>
      </w:r>
      <w:r>
        <w:rPr>
          <w:rFonts w:hint="cs"/>
          <w:rtl/>
        </w:rPr>
        <w:t>، الفقرة 31).</w:t>
      </w:r>
    </w:p>
    <w:p w:rsidR="00094AAF" w:rsidRDefault="00094AAF" w:rsidP="00EC4C3C">
      <w:pPr>
        <w:pStyle w:val="SingleTxtGA"/>
        <w:rPr>
          <w:rFonts w:hint="cs"/>
          <w:rtl/>
        </w:rPr>
      </w:pPr>
      <w:r w:rsidRPr="003F60D6">
        <w:rPr>
          <w:rFonts w:hint="cs"/>
          <w:spacing w:val="-2"/>
          <w:rtl/>
        </w:rPr>
        <w:t>14-</w:t>
      </w:r>
      <w:r w:rsidRPr="003F60D6">
        <w:rPr>
          <w:rFonts w:hint="cs"/>
          <w:spacing w:val="-2"/>
          <w:rtl/>
        </w:rPr>
        <w:tab/>
        <w:t xml:space="preserve">وفي ضوء النسبة المتدنية من الإدانات في قضايا العنف الجنسي (الصفحتان </w:t>
      </w:r>
      <w:r w:rsidR="00EC4C3C" w:rsidRPr="003F60D6">
        <w:rPr>
          <w:rFonts w:hint="cs"/>
          <w:spacing w:val="-2"/>
          <w:rtl/>
        </w:rPr>
        <w:t>33 و34</w:t>
      </w:r>
      <w:r w:rsidRPr="003F60D6">
        <w:rPr>
          <w:rFonts w:hint="cs"/>
          <w:spacing w:val="-2"/>
          <w:rtl/>
        </w:rPr>
        <w:t xml:space="preserve">)، يرجى تقديم معلومات </w:t>
      </w:r>
      <w:r w:rsidR="00EC4C3C" w:rsidRPr="003F60D6">
        <w:rPr>
          <w:rFonts w:hint="cs"/>
          <w:spacing w:val="-2"/>
          <w:rtl/>
        </w:rPr>
        <w:t xml:space="preserve">مفصلة </w:t>
      </w:r>
      <w:r w:rsidRPr="003F60D6">
        <w:rPr>
          <w:rFonts w:hint="cs"/>
          <w:spacing w:val="-2"/>
          <w:rtl/>
        </w:rPr>
        <w:t xml:space="preserve">عن أسباب إنهاء إجراءات الدعاوى الجنائية في </w:t>
      </w:r>
      <w:r w:rsidR="00EC4C3C" w:rsidRPr="003F60D6">
        <w:rPr>
          <w:rFonts w:hint="cs"/>
          <w:spacing w:val="-2"/>
          <w:rtl/>
        </w:rPr>
        <w:t>غالبية</w:t>
      </w:r>
      <w:r w:rsidR="00EC4C3C">
        <w:rPr>
          <w:rFonts w:hint="cs"/>
          <w:rtl/>
        </w:rPr>
        <w:t xml:space="preserve"> </w:t>
      </w:r>
      <w:r>
        <w:rPr>
          <w:rFonts w:hint="cs"/>
          <w:rtl/>
        </w:rPr>
        <w:t>القضايا. ويرجى كذلك تقديم معلومات إحصائية محدَّثة لعام 2009 وبيان العقوبات التي فُرضت على الجناة المُدانين بجرائم جنسية منذ عام 2007.</w:t>
      </w:r>
    </w:p>
    <w:p w:rsidR="00094AAF" w:rsidRDefault="00094AAF" w:rsidP="003F60D6">
      <w:pPr>
        <w:pStyle w:val="SingleTxtGA"/>
        <w:rPr>
          <w:rFonts w:hint="cs"/>
          <w:rtl/>
        </w:rPr>
      </w:pPr>
      <w:r>
        <w:rPr>
          <w:rFonts w:hint="cs"/>
          <w:rtl/>
        </w:rPr>
        <w:t>15-</w:t>
      </w:r>
      <w:r>
        <w:rPr>
          <w:rFonts w:hint="cs"/>
          <w:rtl/>
        </w:rPr>
        <w:tab/>
        <w:t>يرجى تقديم معلومات عن أي تحقيقات في الحالات المُبلغ عنها بشأن الإيذاء اللفظي والبدني للمسلمات اللائي يرتدين الحجاب، وكذلك مقاضاة وإدانة الجناة وتعويض ضحيات هذا الإيذاء</w:t>
      </w:r>
      <w:r>
        <w:rPr>
          <w:rFonts w:hint="cs"/>
          <w:vertAlign w:val="superscript"/>
          <w:rtl/>
          <w:lang w:val="fr-CH"/>
        </w:rPr>
        <w:t>(</w:t>
      </w:r>
      <w:r>
        <w:rPr>
          <w:rStyle w:val="FootnoteReference"/>
          <w:rtl/>
          <w:lang w:val="fr-CH"/>
        </w:rPr>
        <w:footnoteReference w:id="3"/>
      </w:r>
      <w:r>
        <w:rPr>
          <w:rFonts w:hint="cs"/>
          <w:vertAlign w:val="superscript"/>
          <w:rtl/>
          <w:lang w:val="fr-CH"/>
        </w:rPr>
        <w:t>)</w:t>
      </w:r>
      <w:r>
        <w:rPr>
          <w:rFonts w:hint="cs"/>
          <w:rtl/>
        </w:rPr>
        <w:t>.</w:t>
      </w:r>
    </w:p>
    <w:p w:rsidR="00094AAF" w:rsidRDefault="00094AAF" w:rsidP="004D6168">
      <w:pPr>
        <w:pStyle w:val="H23GA"/>
        <w:rPr>
          <w:rFonts w:hint="cs"/>
          <w:rtl/>
        </w:rPr>
      </w:pPr>
      <w:r>
        <w:rPr>
          <w:rFonts w:hint="cs"/>
          <w:rtl/>
        </w:rPr>
        <w:tab/>
      </w:r>
      <w:r>
        <w:rPr>
          <w:rFonts w:hint="cs"/>
          <w:rtl/>
        </w:rPr>
        <w:tab/>
        <w:t>الاتجار بالنساء والفتيات واستغلالهن في البغاء</w:t>
      </w:r>
    </w:p>
    <w:p w:rsidR="00094AAF" w:rsidRDefault="00094AAF" w:rsidP="003F60D6">
      <w:pPr>
        <w:pStyle w:val="SingleTxtGA"/>
        <w:rPr>
          <w:rFonts w:hint="cs"/>
          <w:rtl/>
        </w:rPr>
      </w:pPr>
      <w:r>
        <w:rPr>
          <w:rFonts w:hint="cs"/>
          <w:rtl/>
        </w:rPr>
        <w:t>16-</w:t>
      </w:r>
      <w:r>
        <w:rPr>
          <w:rFonts w:hint="cs"/>
          <w:rtl/>
        </w:rPr>
        <w:tab/>
        <w:t>يشير التقري</w:t>
      </w:r>
      <w:r w:rsidR="008D2138">
        <w:rPr>
          <w:rFonts w:hint="cs"/>
          <w:rtl/>
        </w:rPr>
        <w:t>ـ</w:t>
      </w:r>
      <w:r>
        <w:rPr>
          <w:rFonts w:hint="cs"/>
          <w:rtl/>
        </w:rPr>
        <w:t>ر إلى عدم تسجي</w:t>
      </w:r>
      <w:r w:rsidR="008D2138">
        <w:rPr>
          <w:rFonts w:hint="cs"/>
          <w:rtl/>
        </w:rPr>
        <w:t>ـ</w:t>
      </w:r>
      <w:r>
        <w:rPr>
          <w:rFonts w:hint="cs"/>
          <w:rtl/>
        </w:rPr>
        <w:t xml:space="preserve">ل أي </w:t>
      </w:r>
      <w:r w:rsidR="003F60D6">
        <w:rPr>
          <w:rFonts w:hint="cs"/>
          <w:rtl/>
        </w:rPr>
        <w:t>حال</w:t>
      </w:r>
      <w:r w:rsidR="008D2138">
        <w:rPr>
          <w:rFonts w:hint="cs"/>
          <w:rtl/>
        </w:rPr>
        <w:t>ـ</w:t>
      </w:r>
      <w:r w:rsidR="003F60D6">
        <w:rPr>
          <w:rFonts w:hint="cs"/>
          <w:rtl/>
        </w:rPr>
        <w:t>ة من حالات الاتج</w:t>
      </w:r>
      <w:r w:rsidR="008D2138">
        <w:rPr>
          <w:rFonts w:hint="cs"/>
          <w:rtl/>
        </w:rPr>
        <w:t>ـ</w:t>
      </w:r>
      <w:r w:rsidR="003F60D6">
        <w:rPr>
          <w:rFonts w:hint="cs"/>
          <w:rtl/>
        </w:rPr>
        <w:t xml:space="preserve">ار بالبشر (الصفحتان 34-35). </w:t>
      </w:r>
      <w:r>
        <w:rPr>
          <w:rFonts w:hint="cs"/>
          <w:rtl/>
        </w:rPr>
        <w:t>يرجى توضيح ما إذا كانت الدولة الطرف تزمع القيام بتحقيقات تلقائية لحالات الاتجار المش</w:t>
      </w:r>
      <w:r w:rsidR="003F60D6">
        <w:rPr>
          <w:rFonts w:hint="cs"/>
          <w:rtl/>
        </w:rPr>
        <w:t xml:space="preserve">تبه </w:t>
      </w:r>
      <w:r>
        <w:rPr>
          <w:rFonts w:hint="cs"/>
          <w:rtl/>
        </w:rPr>
        <w:t xml:space="preserve">بها، فضلاً عن تحليل شامل لتقييم </w:t>
      </w:r>
      <w:r w:rsidR="003F60D6">
        <w:rPr>
          <w:rFonts w:hint="cs"/>
          <w:rtl/>
        </w:rPr>
        <w:t xml:space="preserve">وضع </w:t>
      </w:r>
      <w:r>
        <w:rPr>
          <w:rFonts w:hint="cs"/>
          <w:rtl/>
        </w:rPr>
        <w:t>الأجنبيات اللائي يعملن كراقصات في النوادي الليلية في الدولة الطرف (الصفح</w:t>
      </w:r>
      <w:r w:rsidR="003F60D6">
        <w:rPr>
          <w:rFonts w:hint="cs"/>
          <w:rtl/>
        </w:rPr>
        <w:t>ة 35</w:t>
      </w:r>
      <w:r>
        <w:rPr>
          <w:rFonts w:hint="cs"/>
          <w:rtl/>
        </w:rPr>
        <w:t>)، وفقا لتوصية لجنة مناهضة التعذيب في ملاحظاتها الختامية (</w:t>
      </w:r>
      <w:r>
        <w:t>CAT/C/LIE/CO/3</w:t>
      </w:r>
      <w:r>
        <w:rPr>
          <w:rFonts w:hint="cs"/>
          <w:rtl/>
        </w:rPr>
        <w:t xml:space="preserve">، الفقرة 31). ويرجى كذلك توضيح مدى إتاحة نتائج تقييم مشروع </w:t>
      </w:r>
      <w:r w:rsidR="003F60D6">
        <w:rPr>
          <w:rFonts w:hint="cs"/>
          <w:rtl/>
        </w:rPr>
        <w:t>"ماغدالينا الوقائ</w:t>
      </w:r>
      <w:r w:rsidR="008D2138">
        <w:rPr>
          <w:rFonts w:hint="cs"/>
          <w:rtl/>
        </w:rPr>
        <w:t>ـ</w:t>
      </w:r>
      <w:r w:rsidR="003F60D6">
        <w:rPr>
          <w:rFonts w:hint="cs"/>
          <w:rtl/>
        </w:rPr>
        <w:t xml:space="preserve">ي لضحايا الاتجار بالبشر المحتملين" </w:t>
      </w:r>
      <w:r>
        <w:rPr>
          <w:rFonts w:hint="cs"/>
          <w:rtl/>
        </w:rPr>
        <w:t>(</w:t>
      </w:r>
      <w:r>
        <w:rPr>
          <w:rFonts w:hint="cs"/>
          <w:rtl/>
          <w:lang w:val="fr-CH"/>
        </w:rPr>
        <w:t xml:space="preserve">الصفحة </w:t>
      </w:r>
      <w:r w:rsidR="003F60D6">
        <w:rPr>
          <w:rFonts w:hint="cs"/>
          <w:rtl/>
        </w:rPr>
        <w:t>36</w:t>
      </w:r>
      <w:r>
        <w:rPr>
          <w:rFonts w:hint="cs"/>
          <w:rtl/>
        </w:rPr>
        <w:t xml:space="preserve">)، وإذا كان الرد بالإيجاب، يرجى تقديم معلومات عن </w:t>
      </w:r>
      <w:r w:rsidR="003F60D6">
        <w:rPr>
          <w:rFonts w:hint="cs"/>
          <w:rtl/>
        </w:rPr>
        <w:t xml:space="preserve">نتائج التقييم وعن الجهود المتوخاة </w:t>
      </w:r>
      <w:r>
        <w:rPr>
          <w:rFonts w:hint="cs"/>
          <w:rtl/>
        </w:rPr>
        <w:t>للاستمرار في تعزيز منع الاتجار بالنساء اللائي يعملن كراقصات واستغلالهن في البغاء.</w:t>
      </w:r>
    </w:p>
    <w:p w:rsidR="00094AAF" w:rsidRDefault="00094AAF" w:rsidP="003F60D6">
      <w:pPr>
        <w:pStyle w:val="SingleTxtGA"/>
        <w:rPr>
          <w:rFonts w:hint="cs"/>
          <w:rtl/>
        </w:rPr>
      </w:pPr>
      <w:r>
        <w:rPr>
          <w:rFonts w:hint="cs"/>
          <w:rtl/>
        </w:rPr>
        <w:t>17-</w:t>
      </w:r>
      <w:r>
        <w:rPr>
          <w:rFonts w:hint="cs"/>
          <w:rtl/>
        </w:rPr>
        <w:tab/>
        <w:t xml:space="preserve">يرجى تقديم معلومات عن التدابير المتخذة لمنع استغلال الأطفال في المواد الإباحية ومكافحته، ولا سيما مع مراعاة ضعف الفتيات </w:t>
      </w:r>
      <w:r w:rsidR="003F60D6">
        <w:rPr>
          <w:rFonts w:hint="cs"/>
          <w:rtl/>
        </w:rPr>
        <w:t>تحديداً</w:t>
      </w:r>
      <w:r>
        <w:rPr>
          <w:rFonts w:hint="cs"/>
          <w:rtl/>
        </w:rPr>
        <w:t>، وعن حالات مواطني ليختنشتاين الذين ي</w:t>
      </w:r>
      <w:r w:rsidR="003F60D6">
        <w:rPr>
          <w:rFonts w:hint="cs"/>
          <w:rtl/>
        </w:rPr>
        <w:t xml:space="preserve">حاكَمون </w:t>
      </w:r>
      <w:r>
        <w:rPr>
          <w:rFonts w:hint="cs"/>
          <w:rtl/>
        </w:rPr>
        <w:t xml:space="preserve">داخل الدولة الطرف </w:t>
      </w:r>
      <w:r w:rsidR="003F60D6">
        <w:rPr>
          <w:rFonts w:hint="cs"/>
          <w:rtl/>
        </w:rPr>
        <w:t>أ</w:t>
      </w:r>
      <w:r>
        <w:rPr>
          <w:rFonts w:hint="cs"/>
          <w:rtl/>
        </w:rPr>
        <w:t>و</w:t>
      </w:r>
      <w:r w:rsidR="003F60D6">
        <w:rPr>
          <w:rFonts w:hint="cs"/>
          <w:rtl/>
        </w:rPr>
        <w:t xml:space="preserve"> </w:t>
      </w:r>
      <w:r>
        <w:rPr>
          <w:rFonts w:hint="cs"/>
          <w:rtl/>
        </w:rPr>
        <w:t>خارجها، بسبب ارتكابهم جرائم جنسية في الخارج، وبخاصة تلك التي تشمل أطفالاً.</w:t>
      </w:r>
    </w:p>
    <w:p w:rsidR="00094AAF" w:rsidRPr="004D6168" w:rsidRDefault="00094AAF" w:rsidP="003F60D6">
      <w:pPr>
        <w:pStyle w:val="H23GA"/>
      </w:pPr>
      <w:r w:rsidRPr="004D6168">
        <w:rPr>
          <w:rFonts w:hint="cs"/>
          <w:rtl/>
        </w:rPr>
        <w:tab/>
      </w:r>
      <w:r w:rsidRPr="004D6168">
        <w:rPr>
          <w:rFonts w:hint="cs"/>
          <w:rtl/>
        </w:rPr>
        <w:tab/>
        <w:t xml:space="preserve">المشاركة </w:t>
      </w:r>
      <w:r w:rsidR="003F60D6">
        <w:rPr>
          <w:rFonts w:hint="cs"/>
          <w:rtl/>
        </w:rPr>
        <w:t xml:space="preserve">في الحياة السياسية والعامة </w:t>
      </w:r>
      <w:r w:rsidRPr="004D6168">
        <w:rPr>
          <w:rFonts w:hint="cs"/>
          <w:rtl/>
        </w:rPr>
        <w:t>وفي اتخاذ القرار</w:t>
      </w:r>
    </w:p>
    <w:p w:rsidR="00094AAF" w:rsidRDefault="00094AAF" w:rsidP="003F60D6">
      <w:pPr>
        <w:pStyle w:val="SingleTxtGA"/>
        <w:rPr>
          <w:rFonts w:hint="cs"/>
          <w:rtl/>
          <w:lang w:val="fr-CH"/>
        </w:rPr>
      </w:pPr>
      <w:r>
        <w:rPr>
          <w:rFonts w:hint="cs"/>
          <w:rtl/>
          <w:lang w:val="fr-CH"/>
        </w:rPr>
        <w:t>18-</w:t>
      </w:r>
      <w:r>
        <w:rPr>
          <w:rFonts w:hint="cs"/>
          <w:rtl/>
          <w:lang w:val="fr-CH"/>
        </w:rPr>
        <w:tab/>
        <w:t>يرجى توضيح سبب انخفاض تمثيل النساء في البرلمان وفي المجالس البلدية، بالرغم من التدابير المذكورة في التقري</w:t>
      </w:r>
      <w:r w:rsidR="003F60D6">
        <w:rPr>
          <w:rFonts w:hint="cs"/>
          <w:rtl/>
          <w:lang w:val="fr-CH"/>
        </w:rPr>
        <w:t>ـ</w:t>
      </w:r>
      <w:r>
        <w:rPr>
          <w:rFonts w:hint="cs"/>
          <w:rtl/>
          <w:lang w:val="fr-CH"/>
        </w:rPr>
        <w:t xml:space="preserve">ر والرامية إلى تعزيز مشاركة النساء في الحياة السياسية (الصفحات </w:t>
      </w:r>
      <w:r w:rsidR="003F60D6">
        <w:rPr>
          <w:rFonts w:hint="cs"/>
          <w:rtl/>
          <w:lang w:val="fr-CH"/>
        </w:rPr>
        <w:t>38-42</w:t>
      </w:r>
      <w:r>
        <w:rPr>
          <w:rFonts w:hint="cs"/>
          <w:rtl/>
          <w:lang w:val="fr-CH"/>
        </w:rPr>
        <w:t xml:space="preserve">). ويرجى بيان ما إذا كانت هناك أي خطط لتحديد حصص قانونية للنساء في الانتخابات العامة والمحلية. </w:t>
      </w:r>
    </w:p>
    <w:p w:rsidR="00094AAF" w:rsidRDefault="00094AAF" w:rsidP="003F60D6">
      <w:pPr>
        <w:pStyle w:val="SingleTxtGA"/>
        <w:rPr>
          <w:rFonts w:hint="cs"/>
          <w:rtl/>
          <w:lang w:val="fr-CH"/>
        </w:rPr>
      </w:pPr>
      <w:r>
        <w:rPr>
          <w:rFonts w:hint="cs"/>
          <w:rtl/>
          <w:lang w:val="fr-CH"/>
        </w:rPr>
        <w:t>19-</w:t>
      </w:r>
      <w:r>
        <w:rPr>
          <w:rFonts w:hint="cs"/>
          <w:rtl/>
          <w:lang w:val="fr-CH"/>
        </w:rPr>
        <w:tab/>
        <w:t xml:space="preserve">يرجى تقديم معلومات عن العوائق التي تحول دون تنفيذ القرار الذي اعتمدته الحكومة في عام 1997 بعدم تمثيل أي من نوعي الجنس بنسبة تزيد عن الثلثين في الهيئات التي تعينها الحكومة. ما هو عدد النساء اللائي التحقن باللجان والمجالس الاستشارية العامة عن طريق "مجمَّع </w:t>
      </w:r>
      <w:r w:rsidR="003F60D6">
        <w:rPr>
          <w:rFonts w:hint="cs"/>
          <w:rtl/>
          <w:lang w:val="fr-CH"/>
        </w:rPr>
        <w:t>المرأة</w:t>
      </w:r>
      <w:r>
        <w:rPr>
          <w:rFonts w:hint="cs"/>
          <w:rtl/>
          <w:lang w:val="fr-CH"/>
        </w:rPr>
        <w:t xml:space="preserve">" المُنشأ في عام 1999 (الصفحة </w:t>
      </w:r>
      <w:r w:rsidR="003F60D6">
        <w:rPr>
          <w:rFonts w:hint="cs"/>
          <w:rtl/>
          <w:lang w:val="fr-CH"/>
        </w:rPr>
        <w:t>41</w:t>
      </w:r>
      <w:r>
        <w:rPr>
          <w:rFonts w:hint="cs"/>
          <w:rtl/>
          <w:lang w:val="fr-CH"/>
        </w:rPr>
        <w:t>)؟</w:t>
      </w:r>
    </w:p>
    <w:p w:rsidR="00094AAF" w:rsidRDefault="00094AAF" w:rsidP="003F60D6">
      <w:pPr>
        <w:pStyle w:val="SingleTxtGA"/>
        <w:rPr>
          <w:rFonts w:hint="cs"/>
          <w:rtl/>
          <w:lang w:val="fr-CH"/>
        </w:rPr>
      </w:pPr>
      <w:r>
        <w:rPr>
          <w:rFonts w:hint="cs"/>
          <w:rtl/>
          <w:lang w:val="fr-CH"/>
        </w:rPr>
        <w:t>20-</w:t>
      </w:r>
      <w:r>
        <w:rPr>
          <w:rFonts w:hint="cs"/>
          <w:rtl/>
          <w:lang w:val="fr-CH"/>
        </w:rPr>
        <w:tab/>
        <w:t xml:space="preserve">يرجى ذكر ما إذا كانت قد اتخذت تدابير خاصة مؤقتة </w:t>
      </w:r>
      <w:r w:rsidR="003F60D6">
        <w:rPr>
          <w:rFonts w:hint="cs"/>
          <w:rtl/>
          <w:lang w:val="fr-CH"/>
        </w:rPr>
        <w:t xml:space="preserve">لزيادة </w:t>
      </w:r>
      <w:r>
        <w:rPr>
          <w:rFonts w:hint="cs"/>
          <w:rtl/>
          <w:lang w:val="fr-CH"/>
        </w:rPr>
        <w:t xml:space="preserve">تمثيل النساء في </w:t>
      </w:r>
      <w:r w:rsidR="003F60D6">
        <w:rPr>
          <w:rFonts w:hint="cs"/>
          <w:rtl/>
          <w:lang w:val="fr-CH"/>
        </w:rPr>
        <w:t xml:space="preserve">الوظائف العامة </w:t>
      </w:r>
      <w:r>
        <w:rPr>
          <w:rFonts w:hint="cs"/>
          <w:rtl/>
          <w:lang w:val="fr-CH"/>
        </w:rPr>
        <w:t xml:space="preserve">والجهاز القضائي والسلك الدبلوماسي (الصفحات </w:t>
      </w:r>
      <w:r w:rsidR="003F60D6">
        <w:rPr>
          <w:rFonts w:hint="cs"/>
          <w:rtl/>
          <w:lang w:val="fr-CH"/>
        </w:rPr>
        <w:t>39-44</w:t>
      </w:r>
      <w:r>
        <w:rPr>
          <w:rFonts w:hint="cs"/>
          <w:rtl/>
          <w:lang w:val="fr-CH"/>
        </w:rPr>
        <w:t>).</w:t>
      </w:r>
    </w:p>
    <w:p w:rsidR="00094AAF" w:rsidRPr="004D6168" w:rsidRDefault="00094AAF" w:rsidP="004D6168">
      <w:pPr>
        <w:pStyle w:val="H23GA"/>
        <w:rPr>
          <w:rFonts w:hint="cs"/>
          <w:rtl/>
        </w:rPr>
      </w:pPr>
      <w:r w:rsidRPr="004D6168">
        <w:rPr>
          <w:rFonts w:hint="cs"/>
          <w:rtl/>
        </w:rPr>
        <w:tab/>
      </w:r>
      <w:r w:rsidRPr="004D6168">
        <w:rPr>
          <w:rFonts w:hint="cs"/>
          <w:rtl/>
        </w:rPr>
        <w:tab/>
        <w:t>التعليم</w:t>
      </w:r>
    </w:p>
    <w:p w:rsidR="00094AAF" w:rsidRPr="003F60D6" w:rsidRDefault="00094AAF" w:rsidP="00D91D4F">
      <w:pPr>
        <w:pStyle w:val="SingleTxtGA"/>
        <w:rPr>
          <w:rFonts w:hint="cs"/>
          <w:spacing w:val="2"/>
          <w:rtl/>
          <w:lang w:val="fr-CH"/>
        </w:rPr>
      </w:pPr>
      <w:r w:rsidRPr="003F60D6">
        <w:rPr>
          <w:rFonts w:hint="cs"/>
          <w:spacing w:val="2"/>
          <w:rtl/>
          <w:lang w:val="fr-CH"/>
        </w:rPr>
        <w:t>21-</w:t>
      </w:r>
      <w:r w:rsidRPr="003F60D6">
        <w:rPr>
          <w:rFonts w:hint="cs"/>
          <w:spacing w:val="2"/>
          <w:rtl/>
          <w:lang w:val="fr-CH"/>
        </w:rPr>
        <w:tab/>
        <w:t>يرجى تقديم معلومات مفصَّلة عن التدابير المتخذة من أجل تشجيع النساء والفتيات على متابعة الوظائف الأكاديمية، والتصدي لاختلال التوازن بين الفتيان والفتيات في مجال التدريب المهني الأساسي (التلمذة الحرفية)، ولا سيما في المهن التقنية والحرفية (الصفح</w:t>
      </w:r>
      <w:r w:rsidR="003F60D6" w:rsidRPr="003F60D6">
        <w:rPr>
          <w:rFonts w:hint="cs"/>
          <w:spacing w:val="2"/>
          <w:rtl/>
          <w:lang w:val="fr-CH"/>
        </w:rPr>
        <w:t>ا</w:t>
      </w:r>
      <w:r w:rsidRPr="003F60D6">
        <w:rPr>
          <w:rFonts w:hint="cs"/>
          <w:spacing w:val="2"/>
          <w:rtl/>
          <w:lang w:val="fr-CH"/>
        </w:rPr>
        <w:t xml:space="preserve">ت </w:t>
      </w:r>
      <w:r w:rsidR="003F60D6" w:rsidRPr="003F60D6">
        <w:rPr>
          <w:rFonts w:hint="cs"/>
          <w:spacing w:val="2"/>
          <w:rtl/>
          <w:lang w:val="fr-CH"/>
        </w:rPr>
        <w:t>45-47</w:t>
      </w:r>
      <w:r w:rsidRPr="003F60D6">
        <w:rPr>
          <w:rFonts w:hint="cs"/>
          <w:spacing w:val="2"/>
          <w:rtl/>
          <w:lang w:val="fr-CH"/>
        </w:rPr>
        <w:t>).</w:t>
      </w:r>
    </w:p>
    <w:p w:rsidR="00094AAF" w:rsidRDefault="00094AAF" w:rsidP="003F60D6">
      <w:pPr>
        <w:pStyle w:val="SingleTxtGA"/>
        <w:rPr>
          <w:rFonts w:hint="cs"/>
          <w:rtl/>
          <w:lang w:val="fr-CH"/>
        </w:rPr>
      </w:pPr>
      <w:r>
        <w:rPr>
          <w:rFonts w:hint="cs"/>
          <w:rtl/>
          <w:lang w:val="fr-CH"/>
        </w:rPr>
        <w:t>22-</w:t>
      </w:r>
      <w:r>
        <w:rPr>
          <w:rFonts w:hint="cs"/>
          <w:rtl/>
          <w:lang w:val="fr-CH"/>
        </w:rPr>
        <w:tab/>
        <w:t xml:space="preserve">لا تتيح المعلومات الواردة في التقرير أي بيانات إحصائية محدَّثة بشأن النساء والرجال المسجلين في الدراسات العليا واستكمال النساء والرجال شهاداتهم الجامعية، ولا تتضمن معلومات عن استفادتهم من الهبات والمِنح الدراسية. ويفتقر التقرير أيضاً </w:t>
      </w:r>
      <w:r w:rsidR="003F60D6">
        <w:rPr>
          <w:rFonts w:hint="cs"/>
          <w:rtl/>
          <w:lang w:val="fr-CH"/>
        </w:rPr>
        <w:t>إلى ا</w:t>
      </w:r>
      <w:r>
        <w:rPr>
          <w:rFonts w:hint="cs"/>
          <w:rtl/>
          <w:lang w:val="fr-CH"/>
        </w:rPr>
        <w:t xml:space="preserve">لبيانات المتعلقة </w:t>
      </w:r>
      <w:r w:rsidR="003F60D6">
        <w:rPr>
          <w:rFonts w:hint="cs"/>
          <w:rtl/>
          <w:lang w:val="fr-CH"/>
        </w:rPr>
        <w:t>بنوع الجنس بين ا</w:t>
      </w:r>
      <w:r>
        <w:rPr>
          <w:rFonts w:hint="cs"/>
          <w:rtl/>
          <w:lang w:val="fr-CH"/>
        </w:rPr>
        <w:t>لمدرسين في جميع مستويات نظام التعليم</w:t>
      </w:r>
      <w:r w:rsidR="003F60D6">
        <w:rPr>
          <w:rFonts w:hint="cs"/>
          <w:rtl/>
          <w:lang w:val="fr-CH"/>
        </w:rPr>
        <w:t>،</w:t>
      </w:r>
      <w:r>
        <w:rPr>
          <w:rFonts w:hint="cs"/>
          <w:rtl/>
          <w:lang w:val="fr-CH"/>
        </w:rPr>
        <w:t xml:space="preserve"> والنساء والرجال في مراكز قيادة المؤسسات التعليمية. يرجى تقديم هذه ا</w:t>
      </w:r>
      <w:r w:rsidR="003F60D6">
        <w:rPr>
          <w:rFonts w:hint="cs"/>
          <w:rtl/>
          <w:lang w:val="fr-CH"/>
        </w:rPr>
        <w:t>لبيانات،</w:t>
      </w:r>
      <w:r>
        <w:rPr>
          <w:rFonts w:hint="cs"/>
          <w:rtl/>
          <w:lang w:val="fr-CH"/>
        </w:rPr>
        <w:t xml:space="preserve"> بما في ذلك النسبة المئوية للنساء اللائي يتولين وظائف مثل الأساتذة وكبار المحاضرين في مؤسسات التعليم العالي الخمس في الدولة الطرف (الصفح</w:t>
      </w:r>
      <w:r w:rsidR="003F60D6">
        <w:rPr>
          <w:rFonts w:hint="cs"/>
          <w:rtl/>
          <w:lang w:val="fr-CH"/>
        </w:rPr>
        <w:t>تان 45-46</w:t>
      </w:r>
      <w:r>
        <w:rPr>
          <w:rFonts w:hint="cs"/>
          <w:rtl/>
          <w:lang w:val="fr-CH"/>
        </w:rPr>
        <w:t xml:space="preserve">) وتوضيح ما إذا كان منظور المساواة بين الجنسين، في إطار حقوق الإنسان، يندرج في برامج </w:t>
      </w:r>
      <w:r w:rsidR="003F60D6">
        <w:rPr>
          <w:rFonts w:hint="cs"/>
          <w:rtl/>
          <w:lang w:val="fr-CH"/>
        </w:rPr>
        <w:t>ا</w:t>
      </w:r>
      <w:r>
        <w:rPr>
          <w:rFonts w:hint="cs"/>
          <w:rtl/>
          <w:lang w:val="fr-CH"/>
        </w:rPr>
        <w:t xml:space="preserve">لتدريب </w:t>
      </w:r>
      <w:r w:rsidR="003F60D6">
        <w:rPr>
          <w:rFonts w:hint="cs"/>
          <w:rtl/>
          <w:lang w:val="fr-CH"/>
        </w:rPr>
        <w:t>الأولى للمدرسين وإعادة تدريبهم وتدريبهم أثناء العمل</w:t>
      </w:r>
      <w:r>
        <w:rPr>
          <w:rFonts w:hint="cs"/>
          <w:rtl/>
          <w:lang w:val="fr-CH"/>
        </w:rPr>
        <w:t>.</w:t>
      </w:r>
    </w:p>
    <w:p w:rsidR="00094AAF" w:rsidRPr="004D6168" w:rsidRDefault="003F60D6" w:rsidP="003F60D6">
      <w:pPr>
        <w:pStyle w:val="H23GA"/>
        <w:rPr>
          <w:rFonts w:hint="cs"/>
          <w:rtl/>
        </w:rPr>
      </w:pPr>
      <w:r>
        <w:rPr>
          <w:rtl/>
        </w:rPr>
        <w:br w:type="page"/>
      </w:r>
      <w:r w:rsidR="00094AAF" w:rsidRPr="004D6168">
        <w:rPr>
          <w:rFonts w:hint="cs"/>
          <w:rtl/>
        </w:rPr>
        <w:tab/>
      </w:r>
      <w:r w:rsidR="00094AAF" w:rsidRPr="004D6168">
        <w:rPr>
          <w:rFonts w:hint="cs"/>
          <w:rtl/>
        </w:rPr>
        <w:tab/>
        <w:t>العمالة والضمان الاجتماعي</w:t>
      </w:r>
    </w:p>
    <w:p w:rsidR="00094AAF" w:rsidRPr="003565CA" w:rsidRDefault="00094AAF" w:rsidP="00D91D4F">
      <w:pPr>
        <w:pStyle w:val="SingleTxtGA"/>
        <w:rPr>
          <w:rFonts w:hint="cs"/>
          <w:rtl/>
        </w:rPr>
      </w:pPr>
      <w:r>
        <w:rPr>
          <w:rFonts w:hint="cs"/>
          <w:rtl/>
          <w:lang w:val="fr-CH"/>
        </w:rPr>
        <w:t>23-</w:t>
      </w:r>
      <w:r>
        <w:rPr>
          <w:rFonts w:hint="cs"/>
          <w:rtl/>
          <w:lang w:val="fr-CH"/>
        </w:rPr>
        <w:tab/>
        <w:t>في ضوء الفارق في الأجور بين الجنسين وتركّز النساء في فئات الأجور الدنيا (الصفح</w:t>
      </w:r>
      <w:r w:rsidR="008D621D">
        <w:rPr>
          <w:rFonts w:hint="cs"/>
          <w:rtl/>
          <w:lang w:val="fr-CH"/>
        </w:rPr>
        <w:t>ات</w:t>
      </w:r>
      <w:r>
        <w:rPr>
          <w:rFonts w:hint="cs"/>
          <w:rtl/>
          <w:lang w:val="fr-CH"/>
        </w:rPr>
        <w:t xml:space="preserve"> </w:t>
      </w:r>
      <w:r w:rsidR="008D621D">
        <w:rPr>
          <w:rFonts w:hint="cs"/>
          <w:rtl/>
          <w:lang w:val="fr-CH"/>
        </w:rPr>
        <w:t>49-</w:t>
      </w:r>
      <w:r w:rsidR="00D91D4F">
        <w:rPr>
          <w:rFonts w:hint="cs"/>
          <w:rtl/>
          <w:lang w:val="fr-CH"/>
        </w:rPr>
        <w:t>52</w:t>
      </w:r>
      <w:r>
        <w:rPr>
          <w:rFonts w:hint="cs"/>
          <w:rtl/>
          <w:lang w:val="fr-CH"/>
        </w:rPr>
        <w:t>)، وكذلك افتقارهن إلى ترتيبات عمل مرنة لا سيما في القطاع الخاص (الصفح</w:t>
      </w:r>
      <w:r w:rsidR="008D621D">
        <w:rPr>
          <w:rFonts w:hint="cs"/>
          <w:rtl/>
          <w:lang w:val="fr-CH"/>
        </w:rPr>
        <w:t>تان 58-59</w:t>
      </w:r>
      <w:r>
        <w:rPr>
          <w:rFonts w:hint="cs"/>
          <w:rtl/>
          <w:lang w:val="fr-CH"/>
        </w:rPr>
        <w:t xml:space="preserve">)، يرجى تقديم معلومات عن التدابير المتخذة لتنفيذ التوصيات التالية </w:t>
      </w:r>
      <w:r w:rsidR="008D621D">
        <w:rPr>
          <w:rFonts w:hint="cs"/>
          <w:rtl/>
          <w:lang w:val="fr-CH"/>
        </w:rPr>
        <w:t>التي وردت في ا</w:t>
      </w:r>
      <w:r>
        <w:rPr>
          <w:rFonts w:hint="cs"/>
          <w:rtl/>
          <w:lang w:val="fr-CH"/>
        </w:rPr>
        <w:t>لملاحظات الختامي</w:t>
      </w:r>
      <w:r w:rsidR="008D621D">
        <w:rPr>
          <w:rFonts w:hint="cs"/>
          <w:rtl/>
          <w:lang w:val="fr-CH"/>
        </w:rPr>
        <w:t>ـ</w:t>
      </w:r>
      <w:r>
        <w:rPr>
          <w:rFonts w:hint="cs"/>
          <w:rtl/>
          <w:lang w:val="fr-CH"/>
        </w:rPr>
        <w:t>ة السابقة للجنة (</w:t>
      </w:r>
      <w:r>
        <w:rPr>
          <w:rFonts w:eastAsia="SimSun"/>
          <w:lang w:eastAsia="zh-CN"/>
        </w:rPr>
        <w:t>CEDAW/C/LIE/CO/3</w:t>
      </w:r>
      <w:r>
        <w:rPr>
          <w:rFonts w:eastAsia="SimSun" w:hint="cs"/>
          <w:rtl/>
          <w:lang w:eastAsia="zh-CN"/>
        </w:rPr>
        <w:t xml:space="preserve">، الفقرة 16): (أ) </w:t>
      </w:r>
      <w:r w:rsidRPr="003565CA">
        <w:rPr>
          <w:rFonts w:hint="cs"/>
          <w:rtl/>
        </w:rPr>
        <w:t>توفير الفرص التثقيفية والتدريبية المعززة للمرأة</w:t>
      </w:r>
      <w:r>
        <w:rPr>
          <w:rFonts w:hint="cs"/>
          <w:rtl/>
        </w:rPr>
        <w:t xml:space="preserve">؛ (ب) </w:t>
      </w:r>
      <w:r w:rsidRPr="003565CA">
        <w:rPr>
          <w:rFonts w:hint="cs"/>
          <w:rtl/>
        </w:rPr>
        <w:t>تعزيز ورصد تطبيق التدابير الحالية المتعلقة بالأجر المتساوي للعمل المتساوي والعمل المتساوي القيمة</w:t>
      </w:r>
      <w:r>
        <w:rPr>
          <w:rFonts w:hint="cs"/>
          <w:rtl/>
        </w:rPr>
        <w:t xml:space="preserve">؛ (ج) </w:t>
      </w:r>
      <w:r w:rsidRPr="003565CA">
        <w:rPr>
          <w:rFonts w:hint="cs"/>
          <w:rtl/>
        </w:rPr>
        <w:t>ترتيبات العمل المرنة، والعمل على أساس عدم التفرغ، في القطاعين العام والخاص</w:t>
      </w:r>
      <w:r>
        <w:rPr>
          <w:rFonts w:hint="cs"/>
          <w:rtl/>
        </w:rPr>
        <w:t>؛ و(د)</w:t>
      </w:r>
      <w:r w:rsidR="003F60D6">
        <w:rPr>
          <w:rFonts w:hint="cs"/>
          <w:rtl/>
        </w:rPr>
        <w:t xml:space="preserve"> </w:t>
      </w:r>
      <w:r w:rsidRPr="003565CA">
        <w:rPr>
          <w:rFonts w:hint="cs"/>
          <w:rtl/>
        </w:rPr>
        <w:t xml:space="preserve">إيجاد حوافز مالية تشجع الآباء على </w:t>
      </w:r>
      <w:r>
        <w:rPr>
          <w:rFonts w:hint="cs"/>
          <w:rtl/>
        </w:rPr>
        <w:t>استخدام الإجازة الوالدية</w:t>
      </w:r>
      <w:r w:rsidRPr="003565CA">
        <w:rPr>
          <w:rFonts w:hint="cs"/>
          <w:rtl/>
        </w:rPr>
        <w:t>.</w:t>
      </w:r>
    </w:p>
    <w:p w:rsidR="00094AAF" w:rsidRDefault="00094AAF" w:rsidP="00B611CA">
      <w:pPr>
        <w:pStyle w:val="SingleTxtGA"/>
        <w:rPr>
          <w:rFonts w:hint="cs"/>
          <w:rtl/>
          <w:lang w:val="fr-CH"/>
        </w:rPr>
      </w:pPr>
      <w:r>
        <w:rPr>
          <w:rFonts w:eastAsia="SimSun" w:hint="cs"/>
          <w:rtl/>
          <w:lang w:eastAsia="zh-CN"/>
        </w:rPr>
        <w:t>24-</w:t>
      </w:r>
      <w:r>
        <w:rPr>
          <w:rFonts w:eastAsia="SimSun" w:hint="cs"/>
          <w:rtl/>
          <w:lang w:eastAsia="zh-CN"/>
        </w:rPr>
        <w:tab/>
        <w:t xml:space="preserve">وبينما يبين التقرير أنه من أجل تعزيز تقاسم المسؤوليات الأسرية على </w:t>
      </w:r>
      <w:r w:rsidR="00B611CA">
        <w:rPr>
          <w:rFonts w:eastAsia="SimSun" w:hint="cs"/>
          <w:rtl/>
          <w:lang w:eastAsia="zh-CN"/>
        </w:rPr>
        <w:t xml:space="preserve">قدم المساواة </w:t>
      </w:r>
      <w:r>
        <w:rPr>
          <w:rFonts w:eastAsia="SimSun" w:hint="cs"/>
          <w:rtl/>
          <w:lang w:eastAsia="zh-CN"/>
        </w:rPr>
        <w:t xml:space="preserve">بين المرأة والرجل، واتخاذ الدولة </w:t>
      </w:r>
      <w:r>
        <w:rPr>
          <w:rFonts w:hint="cs"/>
          <w:rtl/>
          <w:lang w:val="fr-CH"/>
        </w:rPr>
        <w:t>الطرف خطوات لزيادة إتاحة مرافق الرعاية النهارية للأطفال الذين بلغوا سن الدراسة (الصفح</w:t>
      </w:r>
      <w:r w:rsidR="00B611CA">
        <w:rPr>
          <w:rFonts w:hint="cs"/>
          <w:rtl/>
          <w:lang w:val="fr-CH"/>
        </w:rPr>
        <w:t>ة 59</w:t>
      </w:r>
      <w:r>
        <w:rPr>
          <w:rFonts w:hint="cs"/>
          <w:rtl/>
          <w:lang w:val="fr-CH"/>
        </w:rPr>
        <w:t xml:space="preserve">)، لم تُقدَّم بيانات عن عدد الأطفال المسجلين في </w:t>
      </w:r>
      <w:r w:rsidR="00B611CA">
        <w:rPr>
          <w:rFonts w:hint="cs"/>
          <w:rtl/>
          <w:lang w:val="fr-CH"/>
        </w:rPr>
        <w:t xml:space="preserve">دور حضانة </w:t>
      </w:r>
      <w:r>
        <w:rPr>
          <w:rFonts w:hint="cs"/>
          <w:rtl/>
          <w:lang w:val="fr-CH"/>
        </w:rPr>
        <w:t>الرعاية النهارية ورياض الأطفال والمدارس النهارية. يرجى تقديم بيانات عن عدد هؤلاء الأطفال مبوبة حسب نوع الجنس والسن.</w:t>
      </w:r>
    </w:p>
    <w:p w:rsidR="00094AAF" w:rsidRDefault="00094AAF" w:rsidP="00B611CA">
      <w:pPr>
        <w:pStyle w:val="SingleTxtGA"/>
        <w:rPr>
          <w:rFonts w:hint="cs"/>
          <w:rtl/>
          <w:lang w:val="fr-CH"/>
        </w:rPr>
      </w:pPr>
      <w:r>
        <w:rPr>
          <w:rFonts w:hint="cs"/>
          <w:rtl/>
          <w:lang w:val="fr-CH"/>
        </w:rPr>
        <w:t>25-</w:t>
      </w:r>
      <w:r>
        <w:rPr>
          <w:rFonts w:hint="cs"/>
          <w:rtl/>
          <w:lang w:val="fr-CH"/>
        </w:rPr>
        <w:tab/>
        <w:t xml:space="preserve">ويبين التقرير أنه </w:t>
      </w:r>
      <w:r w:rsidR="00B611CA">
        <w:rPr>
          <w:rFonts w:hint="cs"/>
          <w:rtl/>
          <w:lang w:val="fr-CH"/>
        </w:rPr>
        <w:t xml:space="preserve">نتيجة </w:t>
      </w:r>
      <w:r>
        <w:rPr>
          <w:rFonts w:hint="cs"/>
          <w:rtl/>
          <w:lang w:val="fr-CH"/>
        </w:rPr>
        <w:t xml:space="preserve">أمور منها زيادة فترات الانقطاع عن العمل، تتلقى المرأة </w:t>
      </w:r>
      <w:r w:rsidR="00B611CA">
        <w:rPr>
          <w:rFonts w:hint="cs"/>
          <w:rtl/>
          <w:lang w:val="fr-CH"/>
        </w:rPr>
        <w:t xml:space="preserve">استحقاقات </w:t>
      </w:r>
      <w:r>
        <w:rPr>
          <w:rFonts w:hint="cs"/>
          <w:rtl/>
          <w:lang w:val="fr-CH"/>
        </w:rPr>
        <w:t>أقل من الرجل في بعض مجالات التأمين</w:t>
      </w:r>
      <w:r w:rsidR="00B611CA">
        <w:rPr>
          <w:rFonts w:hint="cs"/>
          <w:rtl/>
          <w:lang w:val="fr-CH"/>
        </w:rPr>
        <w:t>ات الاجتماعية (الصفحتان 62-63)</w:t>
      </w:r>
      <w:r>
        <w:rPr>
          <w:rFonts w:hint="cs"/>
          <w:rtl/>
          <w:lang w:val="fr-CH"/>
        </w:rPr>
        <w:t xml:space="preserve">. وفي هذا الصدد، يرجى بيان ما إذا كانت الدولة الطرف تزمع حساب فترات تنشئة الأطفال ورعايتهم في </w:t>
      </w:r>
      <w:r w:rsidR="00B611CA">
        <w:rPr>
          <w:rFonts w:hint="cs"/>
          <w:rtl/>
          <w:lang w:val="fr-CH"/>
        </w:rPr>
        <w:t>الاستحقاقات المتراكمة عند الشيخوخة وغيرها من الاستحقاقات</w:t>
      </w:r>
      <w:r>
        <w:rPr>
          <w:rFonts w:hint="cs"/>
          <w:rtl/>
          <w:lang w:val="fr-CH"/>
        </w:rPr>
        <w:t xml:space="preserve">. </w:t>
      </w:r>
    </w:p>
    <w:p w:rsidR="00094AAF" w:rsidRDefault="00094AAF" w:rsidP="00D91D4F">
      <w:pPr>
        <w:pStyle w:val="SingleTxtGA"/>
        <w:rPr>
          <w:rFonts w:hint="cs"/>
          <w:rtl/>
          <w:lang w:val="fr-CH"/>
        </w:rPr>
      </w:pPr>
      <w:r>
        <w:rPr>
          <w:rFonts w:hint="cs"/>
          <w:rtl/>
          <w:lang w:val="fr-CH"/>
        </w:rPr>
        <w:t>26-</w:t>
      </w:r>
      <w:r>
        <w:rPr>
          <w:rFonts w:hint="cs"/>
          <w:rtl/>
          <w:lang w:val="fr-CH"/>
        </w:rPr>
        <w:tab/>
        <w:t xml:space="preserve">ويشير التقرير إلى أن معدل البطالة أعلى في أوساط النساء منه في أوساط الرجال، وإلى أن ما يربو على 40 في المائة من النساء العاملات يشتغلن على أساس عدم التفرغ (الصفحة </w:t>
      </w:r>
      <w:r w:rsidR="00B611CA">
        <w:rPr>
          <w:rFonts w:hint="cs"/>
          <w:rtl/>
          <w:lang w:val="fr-CH"/>
        </w:rPr>
        <w:t>51</w:t>
      </w:r>
      <w:r>
        <w:rPr>
          <w:rFonts w:hint="cs"/>
          <w:rtl/>
          <w:lang w:val="fr-CH"/>
        </w:rPr>
        <w:t xml:space="preserve">). يرجى بيان التدابير المحددة التي اتخذتها الدولة الطرف لمكافحة هذه الظاهرة بغية ضمان </w:t>
      </w:r>
      <w:r w:rsidR="00B611CA">
        <w:rPr>
          <w:rFonts w:hint="cs"/>
          <w:rtl/>
          <w:lang w:val="fr-CH"/>
        </w:rPr>
        <w:t>حصول المرأة على وظائف كاملة التفرغ ودائمة</w:t>
      </w:r>
      <w:r>
        <w:rPr>
          <w:rFonts w:hint="cs"/>
          <w:rtl/>
          <w:lang w:val="fr-CH"/>
        </w:rPr>
        <w:t xml:space="preserve">. ويرجى كذلك تقديم معلومات عن التدابير المتخذة </w:t>
      </w:r>
      <w:r w:rsidR="00C35BAD">
        <w:rPr>
          <w:rFonts w:hint="cs"/>
          <w:rtl/>
          <w:lang w:val="fr-CH"/>
        </w:rPr>
        <w:t xml:space="preserve">للتصدي بفعالية للفصل الأفقي والرأسي في سوق العمل، </w:t>
      </w:r>
      <w:r>
        <w:rPr>
          <w:rFonts w:hint="cs"/>
          <w:rtl/>
          <w:lang w:val="fr-CH"/>
        </w:rPr>
        <w:t xml:space="preserve">بما في ذلك معلومات عن النتائج التي </w:t>
      </w:r>
      <w:r w:rsidR="00C35BAD">
        <w:rPr>
          <w:rFonts w:hint="cs"/>
          <w:rtl/>
          <w:lang w:val="fr-CH"/>
        </w:rPr>
        <w:t xml:space="preserve">تحققت </w:t>
      </w:r>
      <w:r>
        <w:rPr>
          <w:rFonts w:hint="cs"/>
          <w:rtl/>
          <w:lang w:val="fr-CH"/>
        </w:rPr>
        <w:t xml:space="preserve">عن طريق تنفيذ التدابير ذات الأولوية الرامية إلى زيادة حصة النساء في وظائف الإدارة، وفقاً لتوصية الفريق العامل المعني بتعزيز المساواة بين الجنسين في الإدارة الوطنية (الصفحة </w:t>
      </w:r>
      <w:r w:rsidR="00C35BAD">
        <w:rPr>
          <w:rFonts w:hint="cs"/>
          <w:rtl/>
          <w:lang w:val="fr-CH"/>
        </w:rPr>
        <w:t>54</w:t>
      </w:r>
      <w:r>
        <w:rPr>
          <w:rFonts w:hint="cs"/>
          <w:rtl/>
          <w:lang w:val="fr-CH"/>
        </w:rPr>
        <w:t>).</w:t>
      </w:r>
    </w:p>
    <w:p w:rsidR="00094AAF" w:rsidRDefault="00094AAF" w:rsidP="00C35BAD">
      <w:pPr>
        <w:pStyle w:val="SingleTxtGA"/>
        <w:rPr>
          <w:rFonts w:hint="cs"/>
          <w:rtl/>
          <w:lang w:val="fr-CH"/>
        </w:rPr>
      </w:pPr>
      <w:r>
        <w:rPr>
          <w:rFonts w:hint="cs"/>
          <w:rtl/>
          <w:lang w:val="fr-CH"/>
        </w:rPr>
        <w:t>27-</w:t>
      </w:r>
      <w:r>
        <w:rPr>
          <w:rFonts w:hint="cs"/>
          <w:rtl/>
          <w:lang w:val="fr-CH"/>
        </w:rPr>
        <w:tab/>
        <w:t xml:space="preserve">ويُلزِم قانون المساواة بين الجنسين أصحاب العمل بتهيئة بيئة عمل </w:t>
      </w:r>
      <w:r w:rsidR="00C35BAD">
        <w:rPr>
          <w:rFonts w:hint="cs"/>
          <w:rtl/>
          <w:lang w:val="fr-CH"/>
        </w:rPr>
        <w:t>خالية من التحرش</w:t>
      </w:r>
      <w:r>
        <w:rPr>
          <w:rFonts w:hint="cs"/>
          <w:rtl/>
          <w:lang w:val="fr-CH"/>
        </w:rPr>
        <w:t xml:space="preserve">. يرجى توضيح الجهة التي تتابع امتثال أصحاب العمل لالتزاماتهم القانونية ويرجى تقديم معلومات عن الشكاوى التي قدمتها النساء وفقاً لأحكام القانون الجنائي (الحاشية 19، الصفحة </w:t>
      </w:r>
      <w:r w:rsidR="00C35BAD">
        <w:rPr>
          <w:rFonts w:hint="cs"/>
          <w:rtl/>
          <w:lang w:val="fr-CH"/>
        </w:rPr>
        <w:t>57</w:t>
      </w:r>
      <w:r>
        <w:rPr>
          <w:rFonts w:hint="cs"/>
          <w:rtl/>
          <w:lang w:val="fr-CH"/>
        </w:rPr>
        <w:t>) وهي الأحكام التي تتعلق بحظر التحرش الجنسي في موقع العمل وتقديم معلومات كذلك عما آلت إليه هذه القضايا.</w:t>
      </w:r>
    </w:p>
    <w:p w:rsidR="00094AAF" w:rsidRPr="004D6168" w:rsidRDefault="00094AAF" w:rsidP="004D6168">
      <w:pPr>
        <w:pStyle w:val="H23GA"/>
        <w:rPr>
          <w:rFonts w:hint="cs"/>
          <w:rtl/>
        </w:rPr>
      </w:pPr>
      <w:r w:rsidRPr="004D6168">
        <w:rPr>
          <w:rFonts w:hint="cs"/>
          <w:rtl/>
        </w:rPr>
        <w:tab/>
      </w:r>
      <w:r w:rsidRPr="004D6168">
        <w:rPr>
          <w:rFonts w:hint="cs"/>
          <w:rtl/>
        </w:rPr>
        <w:tab/>
        <w:t>الصحة</w:t>
      </w:r>
    </w:p>
    <w:p w:rsidR="00094AAF" w:rsidRDefault="00094AAF" w:rsidP="00C35BAD">
      <w:pPr>
        <w:pStyle w:val="SingleTxtGA"/>
        <w:rPr>
          <w:rFonts w:hint="cs"/>
          <w:rtl/>
        </w:rPr>
      </w:pPr>
      <w:r>
        <w:rPr>
          <w:rFonts w:hint="cs"/>
          <w:rtl/>
          <w:lang w:val="fr-CH"/>
        </w:rPr>
        <w:t>28-</w:t>
      </w:r>
      <w:r>
        <w:rPr>
          <w:rFonts w:hint="cs"/>
          <w:rtl/>
          <w:lang w:val="fr-CH"/>
        </w:rPr>
        <w:tab/>
        <w:t>يرجى تقديم معلومات عن التقدم الذي أحرزه الفريق العامل المعني با</w:t>
      </w:r>
      <w:r w:rsidR="00C35BAD">
        <w:rPr>
          <w:rFonts w:hint="cs"/>
          <w:rtl/>
          <w:lang w:val="fr-CH"/>
        </w:rPr>
        <w:t xml:space="preserve">لخلافات </w:t>
      </w:r>
      <w:r>
        <w:rPr>
          <w:rFonts w:hint="cs"/>
          <w:rtl/>
          <w:lang w:val="fr-CH"/>
        </w:rPr>
        <w:t xml:space="preserve">المتعلقة بالحمل (الصفحة </w:t>
      </w:r>
      <w:r w:rsidR="00C35BAD">
        <w:rPr>
          <w:rFonts w:hint="cs"/>
          <w:rtl/>
          <w:lang w:val="fr-CH"/>
        </w:rPr>
        <w:t>64</w:t>
      </w:r>
      <w:r>
        <w:rPr>
          <w:rFonts w:hint="cs"/>
          <w:rtl/>
          <w:lang w:val="fr-CH"/>
        </w:rPr>
        <w:t>) في إيجاد حلول لعدم تجريم المرأة التي تتعرض لعملية إجهاض، وفقاً لتوصية اللجنة (</w:t>
      </w:r>
      <w:r>
        <w:rPr>
          <w:rFonts w:eastAsia="SimSun"/>
          <w:lang w:eastAsia="zh-CN"/>
        </w:rPr>
        <w:t>CEDAW/C/LIE/CO/3</w:t>
      </w:r>
      <w:r>
        <w:rPr>
          <w:rFonts w:hint="cs"/>
          <w:rtl/>
        </w:rPr>
        <w:t>، الفقرة 26).</w:t>
      </w:r>
    </w:p>
    <w:p w:rsidR="00094AAF" w:rsidRPr="004D6168" w:rsidRDefault="00094AAF" w:rsidP="004D6168">
      <w:pPr>
        <w:pStyle w:val="H23GA"/>
        <w:rPr>
          <w:rFonts w:hint="cs"/>
          <w:rtl/>
        </w:rPr>
      </w:pPr>
      <w:r w:rsidRPr="004D6168">
        <w:rPr>
          <w:rFonts w:hint="cs"/>
          <w:rtl/>
        </w:rPr>
        <w:tab/>
      </w:r>
      <w:r w:rsidRPr="004D6168">
        <w:rPr>
          <w:rFonts w:hint="cs"/>
          <w:rtl/>
        </w:rPr>
        <w:tab/>
        <w:t>المسنات</w:t>
      </w:r>
    </w:p>
    <w:p w:rsidR="00094AAF" w:rsidRDefault="00094AAF" w:rsidP="00C35BAD">
      <w:pPr>
        <w:pStyle w:val="SingleTxtGA"/>
        <w:rPr>
          <w:rFonts w:hint="cs"/>
          <w:rtl/>
        </w:rPr>
      </w:pPr>
      <w:r>
        <w:rPr>
          <w:rFonts w:hint="cs"/>
          <w:rtl/>
        </w:rPr>
        <w:t>29-</w:t>
      </w:r>
      <w:r>
        <w:rPr>
          <w:rFonts w:hint="cs"/>
          <w:rtl/>
        </w:rPr>
        <w:tab/>
      </w:r>
      <w:r w:rsidR="00C35BAD">
        <w:rPr>
          <w:rFonts w:hint="cs"/>
          <w:rtl/>
        </w:rPr>
        <w:t xml:space="preserve">كشفت </w:t>
      </w:r>
      <w:r>
        <w:rPr>
          <w:rFonts w:hint="cs"/>
          <w:rtl/>
        </w:rPr>
        <w:t>الدراسة المعنية بحالة النساء اللائي تجاوز</w:t>
      </w:r>
      <w:r w:rsidR="00C35BAD">
        <w:rPr>
          <w:rFonts w:hint="cs"/>
          <w:rtl/>
        </w:rPr>
        <w:t xml:space="preserve">ت أعمارهن </w:t>
      </w:r>
      <w:r>
        <w:rPr>
          <w:rFonts w:hint="cs"/>
          <w:rtl/>
        </w:rPr>
        <w:t xml:space="preserve">50 عاماً والتي أُجريت في إطار المشروع </w:t>
      </w:r>
      <w:r w:rsidR="00C35BAD">
        <w:rPr>
          <w:rFonts w:hint="cs"/>
          <w:rtl/>
        </w:rPr>
        <w:t>ا</w:t>
      </w:r>
      <w:r>
        <w:rPr>
          <w:rFonts w:hint="cs"/>
          <w:rtl/>
        </w:rPr>
        <w:t xml:space="preserve">لأقاليمي "حياة </w:t>
      </w:r>
      <w:r w:rsidR="00C35BAD">
        <w:rPr>
          <w:rFonts w:hint="cs"/>
          <w:rtl/>
        </w:rPr>
        <w:t xml:space="preserve">المرأة بعد سن الخمسين" عن وجود اختلافات كبيرة بين </w:t>
      </w:r>
      <w:r>
        <w:rPr>
          <w:rFonts w:hint="cs"/>
          <w:rtl/>
        </w:rPr>
        <w:t>حياة النساء والرجال في هذه الشريحة العمرية؛ وأوصت الدراسة باتخاذ تدابير أُرسلت إلى المكاتب المعنية لمعالجتها (</w:t>
      </w:r>
      <w:r>
        <w:rPr>
          <w:rFonts w:hint="cs"/>
          <w:rtl/>
          <w:lang w:val="fr-CH"/>
        </w:rPr>
        <w:t xml:space="preserve">الصفحة </w:t>
      </w:r>
      <w:r w:rsidR="00C35BAD">
        <w:rPr>
          <w:rFonts w:hint="cs"/>
          <w:rtl/>
        </w:rPr>
        <w:t>20</w:t>
      </w:r>
      <w:r>
        <w:rPr>
          <w:rFonts w:hint="cs"/>
          <w:rtl/>
        </w:rPr>
        <w:t xml:space="preserve">). يرجى توضيح التدابير التي اتخذتها الدولة الطرف و/أو التي تزمع اتخاذها لمعالجة هذه </w:t>
      </w:r>
      <w:r w:rsidR="00C35BAD">
        <w:rPr>
          <w:rFonts w:hint="cs"/>
          <w:rtl/>
        </w:rPr>
        <w:t xml:space="preserve">الاختلافات </w:t>
      </w:r>
      <w:r>
        <w:rPr>
          <w:rFonts w:hint="cs"/>
          <w:rtl/>
        </w:rPr>
        <w:t xml:space="preserve">وتقديم معلومات وبيانات إحصائية شاملة عن حالة المسنات في جميع المجالات التي تغطيها الاتفاقية. </w:t>
      </w:r>
    </w:p>
    <w:p w:rsidR="00094AAF" w:rsidRPr="004D6168" w:rsidRDefault="00094AAF" w:rsidP="004D6168">
      <w:pPr>
        <w:pStyle w:val="H23GA"/>
        <w:rPr>
          <w:rFonts w:hint="cs"/>
          <w:rtl/>
        </w:rPr>
      </w:pPr>
      <w:r w:rsidRPr="004D6168">
        <w:rPr>
          <w:rFonts w:hint="cs"/>
          <w:rtl/>
        </w:rPr>
        <w:tab/>
      </w:r>
      <w:r w:rsidRPr="004D6168">
        <w:rPr>
          <w:rFonts w:hint="cs"/>
          <w:rtl/>
        </w:rPr>
        <w:tab/>
        <w:t>الفئات المحرومة من النساء</w:t>
      </w:r>
    </w:p>
    <w:p w:rsidR="00094AAF" w:rsidRDefault="00094AAF" w:rsidP="00C35BAD">
      <w:pPr>
        <w:pStyle w:val="SingleTxtGA"/>
        <w:rPr>
          <w:rFonts w:hint="cs"/>
          <w:rtl/>
        </w:rPr>
      </w:pPr>
      <w:r>
        <w:rPr>
          <w:rFonts w:hint="cs"/>
          <w:rtl/>
        </w:rPr>
        <w:t>30-</w:t>
      </w:r>
      <w:r>
        <w:rPr>
          <w:rFonts w:hint="cs"/>
          <w:rtl/>
        </w:rPr>
        <w:tab/>
        <w:t>يفيد التقرير أن أحد أهداف قانون موظفي الدولة يتمثل في دعم إدماج الأشخاص ذوي الإعاقة وتشغيلهم (</w:t>
      </w:r>
      <w:r>
        <w:rPr>
          <w:rFonts w:hint="cs"/>
          <w:rtl/>
          <w:lang w:val="fr-CH"/>
        </w:rPr>
        <w:t xml:space="preserve">الصفحة </w:t>
      </w:r>
      <w:r w:rsidR="00C35BAD">
        <w:rPr>
          <w:rFonts w:hint="cs"/>
          <w:rtl/>
        </w:rPr>
        <w:t>14</w:t>
      </w:r>
      <w:r>
        <w:rPr>
          <w:rFonts w:hint="cs"/>
          <w:rtl/>
        </w:rPr>
        <w:t xml:space="preserve">). يرجى تقديم معلومات عن التدابير المُتخذة لتحسين فرص تشغيل النساء ذوات الإعاقة وعما </w:t>
      </w:r>
      <w:r w:rsidR="00C35BAD">
        <w:rPr>
          <w:rFonts w:hint="cs"/>
          <w:rtl/>
        </w:rPr>
        <w:t xml:space="preserve">تحقق </w:t>
      </w:r>
      <w:r>
        <w:rPr>
          <w:rFonts w:hint="cs"/>
          <w:rtl/>
        </w:rPr>
        <w:t>من نتائج عن طريق تنفيذ هذه التدابير، فضلاً عن أثر بدء نفاذ قانون المساواة للأشخاص ذوي الإعاقة في كانون الثاني/يناير 2007 (</w:t>
      </w:r>
      <w:r>
        <w:rPr>
          <w:rFonts w:hint="cs"/>
          <w:rtl/>
          <w:lang w:val="fr-CH"/>
        </w:rPr>
        <w:t>الصفح</w:t>
      </w:r>
      <w:r w:rsidR="00C35BAD">
        <w:rPr>
          <w:rFonts w:hint="cs"/>
          <w:rtl/>
          <w:lang w:val="fr-CH"/>
        </w:rPr>
        <w:t>تان 15-16</w:t>
      </w:r>
      <w:r>
        <w:rPr>
          <w:rFonts w:hint="cs"/>
          <w:rtl/>
        </w:rPr>
        <w:t xml:space="preserve">) المتعلق بتحسين حالة النساء ذوات الإعاقة في جميع المجالات التي تغطيها الاتفاقية. </w:t>
      </w:r>
    </w:p>
    <w:p w:rsidR="00094AAF" w:rsidRDefault="00094AAF" w:rsidP="00C35BAD">
      <w:pPr>
        <w:pStyle w:val="SingleTxtGA"/>
        <w:rPr>
          <w:rFonts w:hint="cs"/>
          <w:rtl/>
        </w:rPr>
      </w:pPr>
      <w:r>
        <w:rPr>
          <w:rFonts w:hint="cs"/>
          <w:rtl/>
        </w:rPr>
        <w:t>31-</w:t>
      </w:r>
      <w:r>
        <w:rPr>
          <w:rFonts w:hint="cs"/>
          <w:rtl/>
        </w:rPr>
        <w:tab/>
        <w:t xml:space="preserve">ويرجى تقديم معلومات عن حالة المهاجرات وفقاً للتوصية العامة رقم 26(2008) الصادرة عن اللجنة، ولا سيما </w:t>
      </w:r>
      <w:r w:rsidR="00C35BAD">
        <w:rPr>
          <w:rFonts w:hint="cs"/>
          <w:rtl/>
        </w:rPr>
        <w:t xml:space="preserve">مشاركتهن </w:t>
      </w:r>
      <w:r>
        <w:rPr>
          <w:rFonts w:hint="cs"/>
          <w:rtl/>
        </w:rPr>
        <w:t xml:space="preserve">في التعليم الثانوي والتعليم العالي وفي عمليات </w:t>
      </w:r>
      <w:r w:rsidR="00C35BAD">
        <w:rPr>
          <w:rFonts w:hint="cs"/>
          <w:rtl/>
        </w:rPr>
        <w:t xml:space="preserve">صنع </w:t>
      </w:r>
      <w:r>
        <w:rPr>
          <w:rFonts w:hint="cs"/>
          <w:rtl/>
        </w:rPr>
        <w:t>القرار. يرجى كذلك وصف ظروف استقبال ملتمسات اللجوء والتدابير المتخذة لضمان اتباع نهج يراعي نوع الجنس في إجراء</w:t>
      </w:r>
      <w:r w:rsidR="00C35BAD">
        <w:rPr>
          <w:rFonts w:hint="cs"/>
          <w:rtl/>
        </w:rPr>
        <w:t>ات</w:t>
      </w:r>
      <w:r>
        <w:rPr>
          <w:rFonts w:hint="cs"/>
          <w:rtl/>
        </w:rPr>
        <w:t xml:space="preserve"> اللجوء ولحماية النساء والفتيات ملتمسات اللجوء من أن تصبحن ضحيات الاتجار أو الاستغلال الجنسي.</w:t>
      </w:r>
    </w:p>
    <w:p w:rsidR="00094AAF" w:rsidRPr="004D6168" w:rsidRDefault="00094AAF" w:rsidP="004D6168">
      <w:pPr>
        <w:pStyle w:val="H23GA"/>
        <w:rPr>
          <w:rFonts w:hint="cs"/>
          <w:rtl/>
        </w:rPr>
      </w:pPr>
      <w:r w:rsidRPr="004D6168">
        <w:rPr>
          <w:rFonts w:hint="cs"/>
          <w:rtl/>
        </w:rPr>
        <w:tab/>
      </w:r>
      <w:r w:rsidRPr="004D6168">
        <w:rPr>
          <w:rFonts w:hint="cs"/>
          <w:rtl/>
        </w:rPr>
        <w:tab/>
        <w:t>الزواج والأسرة</w:t>
      </w:r>
    </w:p>
    <w:p w:rsidR="00094AAF" w:rsidRDefault="00094AAF" w:rsidP="00C35BAD">
      <w:pPr>
        <w:pStyle w:val="SingleTxtGA"/>
        <w:rPr>
          <w:rFonts w:hint="cs"/>
          <w:rtl/>
        </w:rPr>
      </w:pPr>
      <w:r>
        <w:rPr>
          <w:rFonts w:hint="cs"/>
          <w:rtl/>
        </w:rPr>
        <w:t>32-</w:t>
      </w:r>
      <w:r>
        <w:rPr>
          <w:rFonts w:hint="cs"/>
          <w:rtl/>
        </w:rPr>
        <w:tab/>
        <w:t xml:space="preserve">يرجى بيان ما إذا كان المشروع الجديد لقانون </w:t>
      </w:r>
      <w:r w:rsidR="00C35BAD">
        <w:rPr>
          <w:rFonts w:hint="cs"/>
          <w:rtl/>
        </w:rPr>
        <w:t xml:space="preserve">المعاشرة </w:t>
      </w:r>
      <w:r>
        <w:rPr>
          <w:rFonts w:hint="cs"/>
          <w:rtl/>
        </w:rPr>
        <w:t>المنزلية قد اعتُ</w:t>
      </w:r>
      <w:r w:rsidR="00C35BAD">
        <w:rPr>
          <w:rFonts w:hint="cs"/>
          <w:rtl/>
        </w:rPr>
        <w:t>مد، و</w:t>
      </w:r>
      <w:r>
        <w:rPr>
          <w:rFonts w:hint="cs"/>
          <w:rtl/>
        </w:rPr>
        <w:t xml:space="preserve">توضيح </w:t>
      </w:r>
      <w:r w:rsidR="00C35BAD">
        <w:rPr>
          <w:rFonts w:hint="cs"/>
          <w:rtl/>
        </w:rPr>
        <w:t xml:space="preserve">إلى أي مدى يتصدى لعيوب الاقتران بحكم الواقع بين </w:t>
      </w:r>
      <w:r>
        <w:rPr>
          <w:rFonts w:hint="cs"/>
          <w:rtl/>
        </w:rPr>
        <w:t xml:space="preserve">النساء والرجال مقارنةً بالأزواج المتزوجين، ومدى انطباق مشروع القانون على </w:t>
      </w:r>
      <w:r w:rsidR="00C35BAD">
        <w:rPr>
          <w:rFonts w:hint="cs"/>
          <w:rtl/>
        </w:rPr>
        <w:t xml:space="preserve">حالات الاقتران بحكم الواقع بين شخصين من نفس الجنس </w:t>
      </w:r>
      <w:r>
        <w:rPr>
          <w:rFonts w:hint="cs"/>
          <w:rtl/>
        </w:rPr>
        <w:t xml:space="preserve">(الصفحتان </w:t>
      </w:r>
      <w:r w:rsidR="00C35BAD">
        <w:rPr>
          <w:rFonts w:hint="cs"/>
          <w:rtl/>
        </w:rPr>
        <w:t>68 و69</w:t>
      </w:r>
      <w:r>
        <w:rPr>
          <w:rFonts w:hint="cs"/>
          <w:rtl/>
        </w:rPr>
        <w:t>)</w:t>
      </w:r>
      <w:r w:rsidR="00C35BAD">
        <w:rPr>
          <w:rFonts w:hint="cs"/>
          <w:rtl/>
        </w:rPr>
        <w:t xml:space="preserve">، وهل يقر مشروع القانون بالمعاشرة المسجلة بين شخصين </w:t>
      </w:r>
      <w:r>
        <w:rPr>
          <w:rFonts w:hint="cs"/>
          <w:rtl/>
        </w:rPr>
        <w:t>من نفس الجنس (</w:t>
      </w:r>
      <w:r>
        <w:t>A/HRC/10/77</w:t>
      </w:r>
      <w:r>
        <w:rPr>
          <w:rFonts w:hint="cs"/>
          <w:rtl/>
        </w:rPr>
        <w:t>، الفقرة 64، التوصية 10).</w:t>
      </w:r>
    </w:p>
    <w:p w:rsidR="00094AAF" w:rsidRDefault="00094AAF" w:rsidP="00C35BAD">
      <w:pPr>
        <w:pStyle w:val="SingleTxtGA"/>
        <w:rPr>
          <w:rFonts w:hint="cs"/>
          <w:rtl/>
        </w:rPr>
      </w:pPr>
      <w:r w:rsidRPr="00C35BAD">
        <w:rPr>
          <w:rFonts w:hint="cs"/>
          <w:spacing w:val="2"/>
          <w:rtl/>
        </w:rPr>
        <w:t>33-</w:t>
      </w:r>
      <w:r w:rsidRPr="00C35BAD">
        <w:rPr>
          <w:rFonts w:hint="cs"/>
          <w:spacing w:val="2"/>
          <w:rtl/>
        </w:rPr>
        <w:tab/>
        <w:t>يرجى توضيح ما إذا ك</w:t>
      </w:r>
      <w:r w:rsidR="00C35BAD">
        <w:rPr>
          <w:rFonts w:hint="cs"/>
          <w:spacing w:val="2"/>
          <w:rtl/>
        </w:rPr>
        <w:t>ـ</w:t>
      </w:r>
      <w:r w:rsidRPr="00C35BAD">
        <w:rPr>
          <w:rFonts w:hint="cs"/>
          <w:spacing w:val="2"/>
          <w:rtl/>
        </w:rPr>
        <w:t>ان قانون الميراث الجدي</w:t>
      </w:r>
      <w:r w:rsidR="00C35BAD">
        <w:rPr>
          <w:rFonts w:hint="cs"/>
          <w:spacing w:val="2"/>
          <w:rtl/>
        </w:rPr>
        <w:t>ـ</w:t>
      </w:r>
      <w:r w:rsidRPr="00C35BAD">
        <w:rPr>
          <w:rFonts w:hint="cs"/>
          <w:spacing w:val="2"/>
          <w:rtl/>
        </w:rPr>
        <w:t xml:space="preserve">د المشار إليه في التقرير (الصفحتان </w:t>
      </w:r>
      <w:r w:rsidR="00C35BAD" w:rsidRPr="00C35BAD">
        <w:rPr>
          <w:rFonts w:hint="cs"/>
          <w:spacing w:val="2"/>
          <w:rtl/>
        </w:rPr>
        <w:t>14-15</w:t>
      </w:r>
      <w:r w:rsidRPr="00C35BAD">
        <w:rPr>
          <w:rFonts w:hint="cs"/>
          <w:spacing w:val="2"/>
          <w:rtl/>
        </w:rPr>
        <w:t>)</w:t>
      </w:r>
      <w:r>
        <w:rPr>
          <w:rFonts w:hint="cs"/>
          <w:rtl/>
        </w:rPr>
        <w:t xml:space="preserve"> قد اعتُمد</w:t>
      </w:r>
      <w:r w:rsidR="00C35BAD">
        <w:rPr>
          <w:rFonts w:hint="cs"/>
          <w:rtl/>
        </w:rPr>
        <w:t>،</w:t>
      </w:r>
      <w:r>
        <w:rPr>
          <w:rFonts w:hint="cs"/>
          <w:rtl/>
        </w:rPr>
        <w:t xml:space="preserve"> ويرجى تقديم تفاصيل عن الأحكام المتعلقة بالمساواة بين النساء والرجال. يرجى كذلك توضيح مدى مراعاة </w:t>
      </w:r>
      <w:r w:rsidR="00C35BAD">
        <w:rPr>
          <w:rFonts w:hint="cs"/>
          <w:rtl/>
        </w:rPr>
        <w:t xml:space="preserve">الاقتراح المقدم من الشبكة النسائية وعضوات البرلمان إلى الحكومة من أجل إدخال تعديلات على قانون الميراث </w:t>
      </w:r>
      <w:r>
        <w:rPr>
          <w:rFonts w:hint="cs"/>
          <w:rtl/>
        </w:rPr>
        <w:t>(</w:t>
      </w:r>
      <w:r>
        <w:rPr>
          <w:rFonts w:hint="cs"/>
          <w:rtl/>
          <w:lang w:val="fr-CH"/>
        </w:rPr>
        <w:t xml:space="preserve">الصفحة </w:t>
      </w:r>
      <w:r w:rsidR="00C35BAD">
        <w:rPr>
          <w:rFonts w:hint="cs"/>
          <w:rtl/>
        </w:rPr>
        <w:t>18</w:t>
      </w:r>
      <w:r>
        <w:rPr>
          <w:rFonts w:hint="cs"/>
          <w:rtl/>
        </w:rPr>
        <w:t>).</w:t>
      </w:r>
    </w:p>
    <w:p w:rsidR="00094AAF" w:rsidRPr="00C35BAD" w:rsidRDefault="00C35BAD" w:rsidP="00C35BAD">
      <w:pPr>
        <w:spacing w:before="120"/>
        <w:jc w:val="center"/>
        <w:rPr>
          <w:rFonts w:hint="cs"/>
          <w:u w:val="single"/>
          <w:rtl/>
        </w:rPr>
      </w:pPr>
      <w:r>
        <w:rPr>
          <w:u w:val="single"/>
          <w:rtl/>
        </w:rPr>
        <w:tab/>
      </w:r>
      <w:r>
        <w:rPr>
          <w:u w:val="single"/>
          <w:rtl/>
        </w:rPr>
        <w:tab/>
      </w:r>
      <w:r>
        <w:rPr>
          <w:u w:val="single"/>
          <w:rtl/>
        </w:rPr>
        <w:tab/>
      </w:r>
    </w:p>
    <w:sectPr w:rsidR="00094AAF" w:rsidRPr="00C35BAD"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52" w:rsidRPr="00FE6865" w:rsidRDefault="00773352" w:rsidP="00FE6865">
      <w:pPr>
        <w:pStyle w:val="Footer"/>
      </w:pPr>
    </w:p>
  </w:endnote>
  <w:endnote w:type="continuationSeparator" w:id="0">
    <w:p w:rsidR="00773352" w:rsidRDefault="0077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AF" w:rsidRPr="00094AAF" w:rsidRDefault="00094AAF" w:rsidP="00094AAF">
    <w:pPr>
      <w:pStyle w:val="Footer"/>
      <w:tabs>
        <w:tab w:val="right" w:pos="9598"/>
      </w:tabs>
    </w:pPr>
    <w:r>
      <w:t>GE.10-44927</w:t>
    </w:r>
    <w:r>
      <w:tab/>
    </w:r>
    <w:r w:rsidRPr="00094AAF">
      <w:rPr>
        <w:b/>
        <w:sz w:val="18"/>
      </w:rPr>
      <w:fldChar w:fldCharType="begin"/>
    </w:r>
    <w:r w:rsidRPr="00094AAF">
      <w:rPr>
        <w:b/>
        <w:sz w:val="18"/>
      </w:rPr>
      <w:instrText xml:space="preserve"> PAGE  \* MERGEFORMAT </w:instrText>
    </w:r>
    <w:r w:rsidRPr="00094AAF">
      <w:rPr>
        <w:b/>
        <w:sz w:val="18"/>
      </w:rPr>
      <w:fldChar w:fldCharType="separate"/>
    </w:r>
    <w:r w:rsidR="00427058">
      <w:rPr>
        <w:b/>
        <w:noProof/>
        <w:sz w:val="18"/>
      </w:rPr>
      <w:t>8</w:t>
    </w:r>
    <w:r w:rsidRPr="00094A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AF" w:rsidRPr="00094AAF" w:rsidRDefault="00094AAF" w:rsidP="00094AAF">
    <w:pPr>
      <w:pStyle w:val="Footer"/>
      <w:tabs>
        <w:tab w:val="right" w:pos="9598"/>
      </w:tabs>
      <w:rPr>
        <w:b/>
        <w:sz w:val="18"/>
      </w:rPr>
    </w:pPr>
    <w:r w:rsidRPr="00094AAF">
      <w:rPr>
        <w:b/>
        <w:sz w:val="18"/>
      </w:rPr>
      <w:fldChar w:fldCharType="begin"/>
    </w:r>
    <w:r w:rsidRPr="00094AAF">
      <w:rPr>
        <w:b/>
        <w:sz w:val="18"/>
      </w:rPr>
      <w:instrText xml:space="preserve"> PAGE  \* MERGEFORMAT </w:instrText>
    </w:r>
    <w:r w:rsidRPr="00094AAF">
      <w:rPr>
        <w:b/>
        <w:sz w:val="18"/>
      </w:rPr>
      <w:fldChar w:fldCharType="separate"/>
    </w:r>
    <w:r w:rsidR="00427058">
      <w:rPr>
        <w:b/>
        <w:noProof/>
        <w:sz w:val="18"/>
      </w:rPr>
      <w:t>7</w:t>
    </w:r>
    <w:r w:rsidRPr="00094AAF">
      <w:rPr>
        <w:b/>
        <w:sz w:val="18"/>
      </w:rPr>
      <w:fldChar w:fldCharType="end"/>
    </w:r>
    <w:r>
      <w:rPr>
        <w:b/>
        <w:sz w:val="18"/>
      </w:rPr>
      <w:tab/>
    </w:r>
    <w:r>
      <w:t>GE.10-44927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55" w:rsidRDefault="00094AAF" w:rsidP="00094AAF">
    <w:pPr>
      <w:pStyle w:val="Footer"/>
      <w:jc w:val="right"/>
    </w:pPr>
    <w:r>
      <w:rPr>
        <w:sz w:val="20"/>
      </w:rPr>
      <w:t>(A)   GE.10-44927</w:t>
    </w:r>
    <w:r w:rsidR="001A4E5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4D6168">
      <w:rPr>
        <w:sz w:val="20"/>
      </w:rPr>
      <w:t xml:space="preserve">    261010    271010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52" w:rsidRDefault="00773352" w:rsidP="00834FF4">
      <w:pPr>
        <w:pStyle w:val="Footer"/>
        <w:bidi/>
        <w:spacing w:after="80" w:line="200" w:lineRule="exact"/>
        <w:ind w:left="680"/>
      </w:pPr>
      <w:r>
        <w:rPr>
          <w:rFonts w:hint="cs"/>
          <w:rtl/>
        </w:rPr>
        <w:t>__________</w:t>
      </w:r>
    </w:p>
  </w:footnote>
  <w:footnote w:type="continuationSeparator" w:id="0">
    <w:p w:rsidR="00773352" w:rsidRDefault="00773352" w:rsidP="00834FF4">
      <w:pPr>
        <w:pStyle w:val="Footer"/>
        <w:bidi/>
        <w:spacing w:after="80" w:line="200" w:lineRule="exact"/>
        <w:ind w:left="680"/>
      </w:pPr>
      <w:r>
        <w:rPr>
          <w:rFonts w:hint="cs"/>
          <w:rtl/>
        </w:rPr>
        <w:t>__________</w:t>
      </w:r>
    </w:p>
  </w:footnote>
  <w:footnote w:id="1">
    <w:p w:rsidR="00094AAF" w:rsidRPr="00EC4C3C" w:rsidRDefault="00094AAF" w:rsidP="00EC4C3C">
      <w:pPr>
        <w:pStyle w:val="FootnoteText"/>
        <w:numPr>
          <w:ilvl w:val="0"/>
          <w:numId w:val="40"/>
        </w:numPr>
        <w:tabs>
          <w:tab w:val="left" w:pos="1253"/>
        </w:tabs>
        <w:spacing w:after="60" w:line="300" w:lineRule="exact"/>
        <w:ind w:left="1248" w:right="1247"/>
        <w:rPr>
          <w:rFonts w:hint="cs"/>
          <w:sz w:val="18"/>
          <w:szCs w:val="26"/>
          <w:rtl/>
        </w:rPr>
      </w:pPr>
      <w:r w:rsidRPr="00EC4C3C">
        <w:rPr>
          <w:rFonts w:hint="cs"/>
          <w:sz w:val="18"/>
          <w:szCs w:val="26"/>
          <w:rtl/>
        </w:rPr>
        <w:t>تشير أرقام الفقرات الواردة بين قوسين غير المرفقة برمز الوثيقة إلى التقرير الدوري الرابع لليختنشتاين الصادر بالرمز (</w:t>
      </w:r>
      <w:r w:rsidRPr="00EC4C3C">
        <w:rPr>
          <w:sz w:val="18"/>
          <w:szCs w:val="26"/>
        </w:rPr>
        <w:t>CEDAW/C/LIE/4</w:t>
      </w:r>
      <w:r w:rsidRPr="00EC4C3C">
        <w:rPr>
          <w:rFonts w:hint="cs"/>
          <w:sz w:val="18"/>
          <w:szCs w:val="26"/>
          <w:rtl/>
        </w:rPr>
        <w:t>).</w:t>
      </w:r>
    </w:p>
  </w:footnote>
  <w:footnote w:id="2">
    <w:p w:rsidR="00094AAF" w:rsidRDefault="00094AAF" w:rsidP="00D91D4F">
      <w:pPr>
        <w:pStyle w:val="FootnoteText"/>
        <w:numPr>
          <w:ilvl w:val="0"/>
          <w:numId w:val="40"/>
        </w:numPr>
        <w:tabs>
          <w:tab w:val="left" w:pos="1253"/>
        </w:tabs>
        <w:spacing w:after="60" w:line="300" w:lineRule="exact"/>
        <w:ind w:left="1248" w:right="1247"/>
        <w:rPr>
          <w:sz w:val="18"/>
          <w:szCs w:val="26"/>
        </w:rPr>
      </w:pPr>
      <w:r>
        <w:rPr>
          <w:rFonts w:hint="cs"/>
          <w:sz w:val="18"/>
          <w:szCs w:val="26"/>
          <w:rtl/>
        </w:rPr>
        <w:t>تقرير الفريق العامل المعني بالاستعراض الدوري الشامل: ليختنشتاين: وجهات نظر تتعلق بالاستنتاجات و/أو التوصيات وتعهدات طوعي</w:t>
      </w:r>
      <w:r w:rsidR="00EC4C3C">
        <w:rPr>
          <w:rFonts w:hint="cs"/>
          <w:sz w:val="18"/>
          <w:szCs w:val="26"/>
          <w:rtl/>
        </w:rPr>
        <w:t>ـ</w:t>
      </w:r>
      <w:r>
        <w:rPr>
          <w:rFonts w:hint="cs"/>
          <w:sz w:val="18"/>
          <w:szCs w:val="26"/>
          <w:rtl/>
        </w:rPr>
        <w:t xml:space="preserve">ة وردود تقدمها الدولة قيد الاستعراض </w:t>
      </w:r>
      <w:r>
        <w:rPr>
          <w:sz w:val="18"/>
          <w:szCs w:val="26"/>
        </w:rPr>
        <w:t>(A/HRC/10/77/Add.1)</w:t>
      </w:r>
      <w:r>
        <w:rPr>
          <w:rFonts w:eastAsia="SimSun" w:hint="cs"/>
          <w:sz w:val="18"/>
          <w:szCs w:val="26"/>
          <w:rtl/>
          <w:lang w:eastAsia="zh-CN"/>
        </w:rPr>
        <w:t xml:space="preserve">، </w:t>
      </w:r>
      <w:r w:rsidR="00EC4C3C">
        <w:rPr>
          <w:rFonts w:eastAsia="SimSun" w:hint="cs"/>
          <w:sz w:val="18"/>
          <w:szCs w:val="26"/>
          <w:rtl/>
          <w:lang w:eastAsia="zh-CN"/>
        </w:rPr>
        <w:t xml:space="preserve">الصفحة </w:t>
      </w:r>
      <w:r w:rsidR="00D91D4F">
        <w:rPr>
          <w:rFonts w:eastAsia="SimSun" w:hint="cs"/>
          <w:sz w:val="18"/>
          <w:szCs w:val="26"/>
          <w:rtl/>
          <w:lang w:eastAsia="zh-CN"/>
        </w:rPr>
        <w:t>4</w:t>
      </w:r>
      <w:r w:rsidR="00EC4C3C">
        <w:rPr>
          <w:rFonts w:eastAsia="SimSun" w:hint="cs"/>
          <w:sz w:val="18"/>
          <w:szCs w:val="26"/>
          <w:rtl/>
          <w:lang w:eastAsia="zh-CN"/>
        </w:rPr>
        <w:t>،</w:t>
      </w:r>
      <w:r>
        <w:rPr>
          <w:rFonts w:eastAsia="SimSun" w:hint="cs"/>
          <w:sz w:val="18"/>
          <w:szCs w:val="26"/>
          <w:rtl/>
          <w:lang w:eastAsia="zh-CN"/>
        </w:rPr>
        <w:t xml:space="preserve"> التوصية 12.</w:t>
      </w:r>
    </w:p>
  </w:footnote>
  <w:footnote w:id="3">
    <w:p w:rsidR="00094AAF" w:rsidRDefault="00094AAF" w:rsidP="00EC4C3C">
      <w:pPr>
        <w:pStyle w:val="FootnoteText"/>
        <w:numPr>
          <w:ilvl w:val="0"/>
          <w:numId w:val="40"/>
        </w:numPr>
        <w:tabs>
          <w:tab w:val="left" w:pos="1253"/>
        </w:tabs>
        <w:spacing w:after="60" w:line="300" w:lineRule="exact"/>
        <w:ind w:left="1248" w:right="1247"/>
        <w:rPr>
          <w:sz w:val="18"/>
          <w:szCs w:val="26"/>
        </w:rPr>
      </w:pPr>
      <w:r>
        <w:rPr>
          <w:rFonts w:hint="cs"/>
          <w:sz w:val="18"/>
          <w:szCs w:val="26"/>
          <w:rtl/>
        </w:rPr>
        <w:t xml:space="preserve">المفوضية الأوروبية </w:t>
      </w:r>
      <w:r w:rsidR="00EC4C3C">
        <w:rPr>
          <w:rFonts w:hint="cs"/>
          <w:sz w:val="18"/>
          <w:szCs w:val="26"/>
          <w:rtl/>
        </w:rPr>
        <w:t xml:space="preserve">لمكافحة </w:t>
      </w:r>
      <w:r>
        <w:rPr>
          <w:rFonts w:hint="cs"/>
          <w:sz w:val="18"/>
          <w:szCs w:val="26"/>
          <w:rtl/>
        </w:rPr>
        <w:t>العنصرية والتعصب. "</w:t>
      </w:r>
      <w:r>
        <w:rPr>
          <w:rFonts w:eastAsia="SimSun" w:hint="cs"/>
          <w:sz w:val="18"/>
          <w:szCs w:val="26"/>
          <w:rtl/>
          <w:lang w:eastAsia="zh-CN"/>
        </w:rPr>
        <w:t>التقرير الثالث المعني بليختنشتاين المعتمد في 14 كانون الأول/ديسمبر 2007"، (ستراسبورغ، 2008). الفقرة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AF" w:rsidRPr="00094AAF" w:rsidRDefault="00094AAF" w:rsidP="00EC4C3C">
    <w:pPr>
      <w:pStyle w:val="Header"/>
      <w:jc w:val="right"/>
    </w:pPr>
    <w:r w:rsidRPr="00094AAF">
      <w:t>CEDAW/C/LIE/Q/</w:t>
    </w:r>
    <w:r w:rsidR="00EC4C3C">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55" w:rsidRPr="00094AAF" w:rsidRDefault="00094AAF" w:rsidP="00EC4C3C">
    <w:pPr>
      <w:pStyle w:val="Header"/>
      <w:jc w:val="left"/>
    </w:pPr>
    <w:r w:rsidRPr="00094AAF">
      <w:t>CEDAW/C/LIE/Q/</w:t>
    </w:r>
    <w:r w:rsidR="00EC4C3C">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55" w:rsidRDefault="001A4E5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1A4E55" w:rsidRPr="00460CB7" w:rsidRDefault="001A4E55"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223F5E"/>
    <w:multiLevelType w:val="hybridMultilevel"/>
    <w:tmpl w:val="6A5E18F8"/>
    <w:lvl w:ilvl="0" w:tplc="E2B4D462">
      <w:start w:val="1"/>
      <w:numFmt w:val="decimal"/>
      <w:lvlText w:val="(%1)"/>
      <w:lvlJc w:val="right"/>
      <w:pPr>
        <w:tabs>
          <w:tab w:val="num" w:pos="1292"/>
        </w:tabs>
        <w:ind w:left="1292" w:hanging="227"/>
      </w:pPr>
      <w:rPr>
        <w:rFonts w:ascii="Traditional Arabic" w:hAnsi="Traditional Arabic" w:cs="Traditional Arabic" w:hint="cs"/>
        <w:b w:val="0"/>
        <w:bCs w:val="0"/>
        <w:sz w:val="26"/>
        <w:szCs w:val="26"/>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E55"/>
    <w:rsid w:val="00040E25"/>
    <w:rsid w:val="00042149"/>
    <w:rsid w:val="000448E5"/>
    <w:rsid w:val="000648EA"/>
    <w:rsid w:val="00094AAF"/>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4E55"/>
    <w:rsid w:val="001A5161"/>
    <w:rsid w:val="001A60BD"/>
    <w:rsid w:val="002225D3"/>
    <w:rsid w:val="002244FB"/>
    <w:rsid w:val="00232277"/>
    <w:rsid w:val="0023736D"/>
    <w:rsid w:val="00257225"/>
    <w:rsid w:val="00310160"/>
    <w:rsid w:val="00341A8C"/>
    <w:rsid w:val="003519E6"/>
    <w:rsid w:val="003B4356"/>
    <w:rsid w:val="003F08A8"/>
    <w:rsid w:val="003F60D6"/>
    <w:rsid w:val="004250E3"/>
    <w:rsid w:val="00427058"/>
    <w:rsid w:val="00460CB7"/>
    <w:rsid w:val="00472A81"/>
    <w:rsid w:val="004A20A6"/>
    <w:rsid w:val="004B2C92"/>
    <w:rsid w:val="004D6168"/>
    <w:rsid w:val="004D6A3A"/>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73352"/>
    <w:rsid w:val="0079344E"/>
    <w:rsid w:val="007E197F"/>
    <w:rsid w:val="007F68C4"/>
    <w:rsid w:val="008153DE"/>
    <w:rsid w:val="00834FF4"/>
    <w:rsid w:val="00852A10"/>
    <w:rsid w:val="00862634"/>
    <w:rsid w:val="00866C59"/>
    <w:rsid w:val="00877306"/>
    <w:rsid w:val="008A6242"/>
    <w:rsid w:val="008B4BC6"/>
    <w:rsid w:val="008D2138"/>
    <w:rsid w:val="008D621D"/>
    <w:rsid w:val="00901E57"/>
    <w:rsid w:val="009070DF"/>
    <w:rsid w:val="00922026"/>
    <w:rsid w:val="00935F0E"/>
    <w:rsid w:val="0095208F"/>
    <w:rsid w:val="00977B3F"/>
    <w:rsid w:val="009814AE"/>
    <w:rsid w:val="009901D3"/>
    <w:rsid w:val="00996BBE"/>
    <w:rsid w:val="009B2C03"/>
    <w:rsid w:val="009D1DD5"/>
    <w:rsid w:val="009F722C"/>
    <w:rsid w:val="00A26157"/>
    <w:rsid w:val="00A265C3"/>
    <w:rsid w:val="00A43F9A"/>
    <w:rsid w:val="00A53F38"/>
    <w:rsid w:val="00A543D4"/>
    <w:rsid w:val="00AD0014"/>
    <w:rsid w:val="00AD4CF2"/>
    <w:rsid w:val="00AF0BBA"/>
    <w:rsid w:val="00B25BBD"/>
    <w:rsid w:val="00B30468"/>
    <w:rsid w:val="00B44E31"/>
    <w:rsid w:val="00B611CA"/>
    <w:rsid w:val="00BA4F7E"/>
    <w:rsid w:val="00BB2C41"/>
    <w:rsid w:val="00BC55C8"/>
    <w:rsid w:val="00BC5C10"/>
    <w:rsid w:val="00BE2964"/>
    <w:rsid w:val="00C21623"/>
    <w:rsid w:val="00C24FBD"/>
    <w:rsid w:val="00C35BAD"/>
    <w:rsid w:val="00C473BA"/>
    <w:rsid w:val="00C611ED"/>
    <w:rsid w:val="00C6490A"/>
    <w:rsid w:val="00C64FE1"/>
    <w:rsid w:val="00C74296"/>
    <w:rsid w:val="00C8345E"/>
    <w:rsid w:val="00CA5F7C"/>
    <w:rsid w:val="00D51067"/>
    <w:rsid w:val="00D75657"/>
    <w:rsid w:val="00D91D4F"/>
    <w:rsid w:val="00D960AD"/>
    <w:rsid w:val="00DA0E0E"/>
    <w:rsid w:val="00DB0C39"/>
    <w:rsid w:val="00DB6C86"/>
    <w:rsid w:val="00DB7679"/>
    <w:rsid w:val="00DF1702"/>
    <w:rsid w:val="00DF4DD8"/>
    <w:rsid w:val="00DF668E"/>
    <w:rsid w:val="00E04826"/>
    <w:rsid w:val="00E14D2B"/>
    <w:rsid w:val="00E20DBA"/>
    <w:rsid w:val="00E6524A"/>
    <w:rsid w:val="00E660D6"/>
    <w:rsid w:val="00E771AB"/>
    <w:rsid w:val="00EA796F"/>
    <w:rsid w:val="00EB077B"/>
    <w:rsid w:val="00EC4C3C"/>
    <w:rsid w:val="00EC50B9"/>
    <w:rsid w:val="00ED26A0"/>
    <w:rsid w:val="00F1727A"/>
    <w:rsid w:val="00F34764"/>
    <w:rsid w:val="00F352EB"/>
    <w:rsid w:val="00F54E3C"/>
    <w:rsid w:val="00F7225E"/>
    <w:rsid w:val="00F874BD"/>
    <w:rsid w:val="00FB1D0B"/>
    <w:rsid w:val="00FE55A3"/>
    <w:rsid w:val="00FE6865"/>
    <w:rsid w:val="00FF3C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
    <w:name w:val="__Single Txt"/>
    <w:basedOn w:val="Normal"/>
    <w:rsid w:val="00094AAF"/>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8</Pages>
  <Words>1938</Words>
  <Characters>11053</Characters>
  <Application>Microsoft Office Word</Application>
  <DocSecurity>4</DocSecurity>
  <Lines>92</Lines>
  <Paragraphs>25</Paragraphs>
  <ScaleCrop>false</ScaleCrop>
  <HeadingPairs>
    <vt:vector size="2" baseType="variant">
      <vt:variant>
        <vt:lpstr>العنوان</vt:lpstr>
      </vt:variant>
      <vt:variant>
        <vt:i4>1</vt:i4>
      </vt:variant>
    </vt:vector>
  </HeadingPairs>
  <TitlesOfParts>
    <vt:vector size="1" baseType="lpstr">
      <vt:lpstr>CEDAW/C/LIE/Q/4</vt:lpstr>
    </vt:vector>
  </TitlesOfParts>
  <Company>CSD</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CEDAW/C/LIE/Q/4</dc:title>
  <dc:subject>Ferjani/Sabet</dc:subject>
  <dc:creator>HAMOUDA</dc:creator>
  <cp:keywords/>
  <dc:description>تدقيق: غادة</dc:description>
  <cp:lastModifiedBy>HAMOUDA</cp:lastModifiedBy>
  <cp:revision>2</cp:revision>
  <cp:lastPrinted>2010-10-27T11:08:00Z</cp:lastPrinted>
  <dcterms:created xsi:type="dcterms:W3CDTF">2010-10-27T11:09:00Z</dcterms:created>
  <dcterms:modified xsi:type="dcterms:W3CDTF">2010-10-27T11:09:00Z</dcterms:modified>
</cp:coreProperties>
</file>