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52D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52D98" w:rsidP="00652D98">
            <w:pPr>
              <w:jc w:val="right"/>
            </w:pPr>
            <w:proofErr w:type="spellStart"/>
            <w:r w:rsidRPr="00652D98">
              <w:rPr>
                <w:sz w:val="40"/>
              </w:rPr>
              <w:t>CCPR</w:t>
            </w:r>
            <w:proofErr w:type="spellEnd"/>
            <w:r>
              <w:t>/C/</w:t>
            </w:r>
            <w:proofErr w:type="spellStart"/>
            <w:r>
              <w:t>JOR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/5</w:t>
            </w:r>
          </w:p>
        </w:tc>
      </w:tr>
      <w:tr w:rsidR="002D5AAC" w:rsidRPr="00310436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52D98" w:rsidRDefault="00652D98" w:rsidP="00BC3629">
            <w:pPr>
              <w:spacing w:before="240"/>
              <w:rPr>
                <w:lang w:val="en-US"/>
              </w:rPr>
            </w:pPr>
            <w:r w:rsidRPr="00652D98">
              <w:rPr>
                <w:lang w:val="en-US"/>
              </w:rPr>
              <w:t>Distr.: General</w:t>
            </w:r>
          </w:p>
          <w:p w:rsidR="00652D98" w:rsidRPr="00652D98" w:rsidRDefault="00652D98" w:rsidP="00652D98">
            <w:pPr>
              <w:spacing w:line="240" w:lineRule="exact"/>
              <w:rPr>
                <w:lang w:val="en-US"/>
              </w:rPr>
            </w:pPr>
            <w:r w:rsidRPr="00652D98">
              <w:rPr>
                <w:lang w:val="en-US"/>
              </w:rPr>
              <w:t>4 December 2017</w:t>
            </w:r>
          </w:p>
          <w:p w:rsidR="00652D98" w:rsidRPr="00652D98" w:rsidRDefault="00652D98" w:rsidP="00652D98">
            <w:pPr>
              <w:spacing w:line="240" w:lineRule="exact"/>
              <w:rPr>
                <w:lang w:val="en-US"/>
              </w:rPr>
            </w:pPr>
            <w:r w:rsidRPr="00652D98">
              <w:rPr>
                <w:lang w:val="en-US"/>
              </w:rPr>
              <w:t>Russian</w:t>
            </w:r>
          </w:p>
          <w:p w:rsidR="00652D98" w:rsidRPr="00652D98" w:rsidRDefault="00652D98" w:rsidP="00652D98">
            <w:pPr>
              <w:spacing w:line="240" w:lineRule="exact"/>
              <w:rPr>
                <w:lang w:val="en-US"/>
              </w:rPr>
            </w:pPr>
            <w:r w:rsidRPr="00652D98">
              <w:rPr>
                <w:lang w:val="en-US"/>
              </w:rPr>
              <w:t>Original: English</w:t>
            </w:r>
          </w:p>
        </w:tc>
      </w:tr>
    </w:tbl>
    <w:p w:rsidR="00652D98" w:rsidRPr="00652D98" w:rsidRDefault="00652D98" w:rsidP="00652D98">
      <w:pPr>
        <w:rPr>
          <w:b/>
          <w:sz w:val="24"/>
          <w:szCs w:val="24"/>
        </w:rPr>
      </w:pPr>
      <w:r w:rsidRPr="00652D98">
        <w:rPr>
          <w:b/>
          <w:sz w:val="24"/>
          <w:szCs w:val="24"/>
        </w:rPr>
        <w:t>Комитет по правам человека</w:t>
      </w:r>
    </w:p>
    <w:p w:rsidR="00652D98" w:rsidRPr="00652D98" w:rsidRDefault="00652D98" w:rsidP="00652D98">
      <w:pPr>
        <w:pStyle w:val="HChGR"/>
      </w:pPr>
      <w:r w:rsidRPr="00652D98">
        <w:tab/>
      </w:r>
      <w:r w:rsidRPr="00652D98">
        <w:tab/>
        <w:t>Заключительные замечания по пятому периодическому докладу Иордании</w:t>
      </w:r>
      <w:r w:rsidRPr="004578BC">
        <w:rPr>
          <w:b w:val="0"/>
          <w:bCs/>
          <w:sz w:val="20"/>
        </w:rPr>
        <w:footnoteReference w:customMarkFollows="1" w:id="1"/>
        <w:t>*</w:t>
      </w:r>
    </w:p>
    <w:p w:rsidR="00652D98" w:rsidRPr="00652D98" w:rsidRDefault="00652D98" w:rsidP="00652D98">
      <w:pPr>
        <w:pStyle w:val="SingleTxtGR"/>
      </w:pPr>
      <w:r w:rsidRPr="00652D98">
        <w:t>1.</w:t>
      </w:r>
      <w:r w:rsidRPr="00652D98">
        <w:tab/>
        <w:t>Комитет рассмотрел пятый периодический доклад Иордании (</w:t>
      </w:r>
      <w:proofErr w:type="spellStart"/>
      <w:r w:rsidRPr="00652D98">
        <w:t>CCPR</w:t>
      </w:r>
      <w:proofErr w:type="spellEnd"/>
      <w:r w:rsidRPr="00652D98">
        <w:t>/C/</w:t>
      </w:r>
      <w:proofErr w:type="spellStart"/>
      <w:r w:rsidRPr="00652D98">
        <w:t>JOR</w:t>
      </w:r>
      <w:proofErr w:type="spellEnd"/>
      <w:r w:rsidRPr="00652D98">
        <w:t>/5) на своих 3420-м и 3421-м заседаниях (</w:t>
      </w:r>
      <w:proofErr w:type="spellStart"/>
      <w:r w:rsidRPr="00652D98">
        <w:t>CCPR</w:t>
      </w:r>
      <w:proofErr w:type="spellEnd"/>
      <w:r w:rsidRPr="00652D98">
        <w:t>/C/SR.3420 и</w:t>
      </w:r>
      <w:r>
        <w:rPr>
          <w:lang w:val="en-US"/>
        </w:rPr>
        <w:t> </w:t>
      </w:r>
      <w:r w:rsidRPr="00652D98">
        <w:t>3421), состоявшихся 19 и 20 октября 2017 года. На своих 3443-м и 3445-м заседаниях, состоявшихся 6 и 7 ноября 2017 года, Комитет принял настоящие заключительные замечания.</w:t>
      </w:r>
    </w:p>
    <w:p w:rsidR="00652D98" w:rsidRPr="00652D98" w:rsidRDefault="00652D98" w:rsidP="00652D98">
      <w:pPr>
        <w:pStyle w:val="H1GR"/>
      </w:pPr>
      <w:r>
        <w:tab/>
      </w:r>
      <w:r w:rsidRPr="00652D98">
        <w:t>A.</w:t>
      </w:r>
      <w:r w:rsidRPr="00652D98">
        <w:tab/>
        <w:t>Введение</w:t>
      </w:r>
    </w:p>
    <w:p w:rsidR="00652D98" w:rsidRPr="00652D98" w:rsidRDefault="00652D98" w:rsidP="00652D98">
      <w:pPr>
        <w:pStyle w:val="SingleTxtGR"/>
      </w:pPr>
      <w:r w:rsidRPr="00652D98">
        <w:t>2.</w:t>
      </w:r>
      <w:r w:rsidRPr="00652D98">
        <w:tab/>
        <w:t>Комитет приветствует представление пятого периодического доклада Иордании и содержащуюся в нем информацию. Он выражает удовлетворение в связи с возможностью возобновить конструктивный диалог с делегацией государства-участника по вопросу о мерах, принятых за отчетный период с целью осуществления положений Пакта. Комитет благодарит государство-участника за письменные ответы (</w:t>
      </w:r>
      <w:proofErr w:type="spellStart"/>
      <w:r w:rsidRPr="00652D98">
        <w:t>CCPR</w:t>
      </w:r>
      <w:proofErr w:type="spellEnd"/>
      <w:r w:rsidRPr="00652D98">
        <w:t>/C/</w:t>
      </w:r>
      <w:proofErr w:type="spellStart"/>
      <w:r w:rsidRPr="00652D98">
        <w:t>JOR</w:t>
      </w:r>
      <w:proofErr w:type="spellEnd"/>
      <w:r w:rsidRPr="00652D98">
        <w:t>/Q/5/Add.1) на перечень вопросов (</w:t>
      </w:r>
      <w:proofErr w:type="spellStart"/>
      <w:r w:rsidRPr="00652D98">
        <w:t>CCPR</w:t>
      </w:r>
      <w:proofErr w:type="spellEnd"/>
      <w:r w:rsidRPr="00652D98">
        <w:t>/</w:t>
      </w:r>
      <w:r w:rsidR="004578BC">
        <w:br/>
      </w:r>
      <w:r w:rsidRPr="00652D98">
        <w:t>C/</w:t>
      </w:r>
      <w:proofErr w:type="spellStart"/>
      <w:r w:rsidRPr="00652D98">
        <w:t>JOR</w:t>
      </w:r>
      <w:proofErr w:type="spellEnd"/>
      <w:r w:rsidRPr="00652D98">
        <w:t>/Q/5), которые были дополнены устными ответами делегации в ходе диалога, а также за дополнительную информацию, предоставленную ему в письменном виде.</w:t>
      </w:r>
    </w:p>
    <w:p w:rsidR="00652D98" w:rsidRPr="00652D98" w:rsidRDefault="00652D98" w:rsidP="00652D98">
      <w:pPr>
        <w:pStyle w:val="H1GR"/>
      </w:pPr>
      <w:r>
        <w:tab/>
      </w:r>
      <w:r w:rsidRPr="00652D98">
        <w:t>B.</w:t>
      </w:r>
      <w:r w:rsidRPr="00652D98">
        <w:tab/>
        <w:t>Позитивные аспекты</w:t>
      </w:r>
    </w:p>
    <w:p w:rsidR="00652D98" w:rsidRPr="00652D98" w:rsidRDefault="00652D98" w:rsidP="00652D98">
      <w:pPr>
        <w:pStyle w:val="SingleTxtGR"/>
      </w:pPr>
      <w:r w:rsidRPr="00652D98">
        <w:t>3.</w:t>
      </w:r>
      <w:r w:rsidRPr="00652D98">
        <w:tab/>
        <w:t>Комитет приветствует законодательные и институциональные меры, принятые государством-участником, в частности:</w:t>
      </w:r>
    </w:p>
    <w:p w:rsidR="00652D98" w:rsidRPr="00652D98" w:rsidRDefault="00652D98" w:rsidP="00652D98">
      <w:pPr>
        <w:pStyle w:val="SingleTxtGR"/>
      </w:pPr>
      <w:r w:rsidRPr="00652D98">
        <w:tab/>
        <w:t>a)</w:t>
      </w:r>
      <w:r w:rsidRPr="00652D98">
        <w:tab/>
        <w:t>внесение изменений в Конституцию Иордании (2011 год);</w:t>
      </w:r>
    </w:p>
    <w:p w:rsidR="00652D98" w:rsidRPr="00652D98" w:rsidRDefault="00652D98" w:rsidP="00652D98">
      <w:pPr>
        <w:pStyle w:val="SingleTxtGR"/>
      </w:pPr>
      <w:r w:rsidRPr="00652D98">
        <w:tab/>
        <w:t>b)</w:t>
      </w:r>
      <w:r w:rsidRPr="00652D98">
        <w:tab/>
        <w:t xml:space="preserve">создание Конституционного суда (2012 год); </w:t>
      </w:r>
    </w:p>
    <w:p w:rsidR="00652D98" w:rsidRPr="00652D98" w:rsidRDefault="00652D98" w:rsidP="00652D98">
      <w:pPr>
        <w:pStyle w:val="SingleTxtGR"/>
      </w:pPr>
      <w:r w:rsidRPr="00652D98">
        <w:tab/>
        <w:t>с)</w:t>
      </w:r>
      <w:r w:rsidRPr="00652D98">
        <w:tab/>
        <w:t>создание независимой избирательной комиссии (2011 год);</w:t>
      </w:r>
    </w:p>
    <w:p w:rsidR="00652D98" w:rsidRPr="00652D98" w:rsidRDefault="00652D98" w:rsidP="00652D98">
      <w:pPr>
        <w:pStyle w:val="SingleTxtGR"/>
      </w:pPr>
      <w:r w:rsidRPr="00652D98">
        <w:tab/>
        <w:t>d)</w:t>
      </w:r>
      <w:r w:rsidRPr="00652D98">
        <w:tab/>
        <w:t>назначение координатора по правам человека (2014 год);</w:t>
      </w:r>
    </w:p>
    <w:p w:rsidR="00652D98" w:rsidRPr="00652D98" w:rsidRDefault="00652D98" w:rsidP="00652D98">
      <w:pPr>
        <w:pStyle w:val="SingleTxtGR"/>
      </w:pPr>
      <w:r w:rsidRPr="00652D98">
        <w:tab/>
        <w:t>e)</w:t>
      </w:r>
      <w:r w:rsidRPr="00652D98">
        <w:tab/>
        <w:t>принятие национального плана действий в области прав человека на период 2016–2025 годов.</w:t>
      </w:r>
    </w:p>
    <w:p w:rsidR="00652D98" w:rsidRPr="00652D98" w:rsidRDefault="00652D98" w:rsidP="00652D98">
      <w:pPr>
        <w:pStyle w:val="H1GR"/>
      </w:pPr>
      <w:r>
        <w:lastRenderedPageBreak/>
        <w:tab/>
      </w:r>
      <w:r w:rsidRPr="00652D98">
        <w:t>C.</w:t>
      </w:r>
      <w:r w:rsidRPr="00652D98">
        <w:tab/>
        <w:t>Основные вопросы, вызывающие обеспокоенность, и</w:t>
      </w:r>
      <w:r>
        <w:rPr>
          <w:lang w:val="en-US"/>
        </w:rPr>
        <w:t> </w:t>
      </w:r>
      <w:r w:rsidRPr="00652D98">
        <w:t>рекомендации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 xml:space="preserve">Применение Пакта во внутреннем праве </w:t>
      </w:r>
    </w:p>
    <w:p w:rsidR="00652D98" w:rsidRPr="00652D98" w:rsidRDefault="00652D98" w:rsidP="00652D98">
      <w:pPr>
        <w:pStyle w:val="SingleTxtGR"/>
      </w:pPr>
      <w:r w:rsidRPr="00652D98">
        <w:t>4.</w:t>
      </w:r>
      <w:r w:rsidRPr="00652D98">
        <w:tab/>
        <w:t>Комитет отмечает, что</w:t>
      </w:r>
      <w:r w:rsidR="00243E6E">
        <w:t>,</w:t>
      </w:r>
      <w:r w:rsidRPr="00652D98">
        <w:t xml:space="preserve"> несмотря на преимущественную силу положений Пакта по сравнению с национальным законодательством, в Конституции статус Пакта отдельно не уточняется. Он отмечает также, что в случае расхождений между норм</w:t>
      </w:r>
      <w:r w:rsidR="00243E6E">
        <w:t>ами шариата и положениями Пакта</w:t>
      </w:r>
      <w:r w:rsidRPr="00652D98">
        <w:t xml:space="preserve"> верховенств</w:t>
      </w:r>
      <w:r w:rsidR="00243E6E">
        <w:t>о</w:t>
      </w:r>
      <w:r w:rsidRPr="00652D98">
        <w:t xml:space="preserve"> Пакта отдельно не признается. Комитет далее отмечает, что существующий Закон о личном статусе, отражающий нормы шариата, применяется ко всем иорданцам независимо от их религиозной принадлежности (статья 2).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5.</w:t>
      </w:r>
      <w:r w:rsidRPr="00652D98">
        <w:tab/>
      </w:r>
      <w:r w:rsidRPr="00652D98">
        <w:rPr>
          <w:b/>
          <w:bCs/>
        </w:rPr>
        <w:t>Государству-участнику следует обеспечить полное осуществление положений Пакта в своем национальном законодательстве, а также толкование и применение внутренних законов, в том числе основанных на нормах шариата, в соответствии с его обязательствами по Пакту. Кроме того, государству-участнику следует приложить дополнительные усилия для повышения информированности о Пакте судей, прокуроров, сотрудников судебных органов и адвокатов. Государству-участнику следует изучить возможность принятия единого закона о личном статусе, который применялся бы ко всем гражданам и постоянным жителям Иордании, независимо от религиозной принадлежности. Государству-участнику следует также рассмотреть вопрос о присоединении к Факультативному протоколу к Пакту.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Национальные учреждения, занимающиеся поощрением и защитой прав человека</w:t>
      </w:r>
    </w:p>
    <w:p w:rsidR="00652D98" w:rsidRPr="00652D98" w:rsidRDefault="00652D98" w:rsidP="00652D98">
      <w:pPr>
        <w:pStyle w:val="SingleTxtGR"/>
      </w:pPr>
      <w:r w:rsidRPr="00652D98">
        <w:t>6.</w:t>
      </w:r>
      <w:r w:rsidRPr="00652D98">
        <w:tab/>
        <w:t xml:space="preserve">Комитет с удовлетворением отмечает расширение полномочий Национального центра по правам человека с целью укрепления независимости его членов, а также его повторную аттестацию в 2016 году Глобальным альянсом национальных правозащитных учреждений в качестве национального правозащитного учреждения категории «А». В то же время Комитет обеспокоен тем, что Центр не располагает достаточными средствами для эффективного выполнения своих задач (статья 2). 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7.</w:t>
      </w:r>
      <w:r w:rsidRPr="00652D98">
        <w:tab/>
      </w:r>
      <w:r w:rsidRPr="00652D98">
        <w:rPr>
          <w:b/>
          <w:bCs/>
        </w:rPr>
        <w:t>Государству-участнику следует предоставить Национальному центру по правам человека людские и финансовые ресурсы, необходимые для выполнения его мандата, а также установить четкий порядок подачи и рассмотрения жалоб, касающихся нарушений прав человека.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 xml:space="preserve">Недискриминация и равенство </w:t>
      </w:r>
    </w:p>
    <w:p w:rsidR="00652D98" w:rsidRPr="00652D98" w:rsidRDefault="00652D98" w:rsidP="00652D98">
      <w:pPr>
        <w:pStyle w:val="SingleTxtGR"/>
      </w:pPr>
      <w:r w:rsidRPr="00652D98">
        <w:t>8.</w:t>
      </w:r>
      <w:r w:rsidRPr="00652D98">
        <w:tab/>
        <w:t>Несмотря на то, что в первом пункте статьи 6 Конституции предусматривается равенство перед законом, Комитет выражает сожаление в связи с отсутствием всеобъемлющего законодательства о борьбе с дискриминацией по всем указанным в Пакте признакам, в том числе по признаку пола, сексуальной ориентации и гендерной идентичности, а также выражает обеспокоенность в связи с дискриминационными положениями Закона о личном статусе, неблагоприятно сказывающимися на равноправии женщин. Он особенно обеспокоен ранними браками, в которые вступают девочки моложе 18 лет, допустимостью полигамии, вопросами наследования и невозможностью для иорданских женщин передавать свое гражданство детям (статьи 2–3, 23–24 и 26).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9.</w:t>
      </w:r>
      <w:r w:rsidRPr="00652D98">
        <w:tab/>
      </w:r>
      <w:r w:rsidRPr="00652D98">
        <w:rPr>
          <w:b/>
          <w:bCs/>
        </w:rPr>
        <w:t xml:space="preserve">Государству-участнику следует принять все необходимые меры, чтобы обеспечить включение в его нормативно-правовую базу исчерпывающего перечня признаков дискриминации, включая пол, сексуальную ориентацию и гендерную идентичность, и привести свое законодательство, включая Закон о статусе личности, в соответствие с положениями Пакта. Государству-участнику следует принять меры, чтобы де-юре и де-факто не допускать дискриминации женщин в любых ее формах, в частности в вопросах брака, развода, наследования и передачи гражданства своим детям </w:t>
      </w:r>
      <w:r w:rsidRPr="00652D98">
        <w:rPr>
          <w:b/>
          <w:bCs/>
        </w:rPr>
        <w:lastRenderedPageBreak/>
        <w:t>или супругу. Ему следует продолжать укреплять свои усилия по борьбе с дискриминационными традициями и обычаями, включая ранние браки и полигамию. Государству-участнику следует организовать информационно-просветительские кампании, направленные на поощрение гендерного равенства и недискриминации.</w:t>
      </w:r>
      <w:r w:rsidRPr="00652D98">
        <w:t xml:space="preserve"> 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Насилие в отношении женщин, включая насилие в семье</w:t>
      </w:r>
    </w:p>
    <w:p w:rsidR="00652D98" w:rsidRPr="00652D98" w:rsidRDefault="00652D98" w:rsidP="00652D98">
      <w:pPr>
        <w:pStyle w:val="SingleTxtGR"/>
      </w:pPr>
      <w:r w:rsidRPr="00652D98">
        <w:t>10.</w:t>
      </w:r>
      <w:r w:rsidRPr="00652D98">
        <w:tab/>
        <w:t xml:space="preserve">Приветствуя вступление в силу Закона о защите от насилия в семье и отмену статьи 308 Уголовного кодекса, которая позволяла насильникам избежать ответственности путем женитьбы на своей жертве, Комитет продолжает испытывать обеспокоенность в связи со статьей 292 Уголовного кодекса, в которой предусмотрено исключение, и, таким образом, отсутствие уголовной ответственности для случая сексуального акта между супругами, совершаемого без согласия одного из них. Комитет обеспокоен также в связи со статьей 98 Уголовного кодекса, которой предусмотрено уменьшение наказания за убийство в случае согласия семьи жертвы. Кроме того, он обеспокоен политикой превентивных мер, таких как заключение под стражу в целях защиты, как заявляется, применяемых для защиты женщин от насилия или преступлений, совершаемых в защиту чести. Комитет отмечает, что на практике в борьбе с насилием в семье сохраняются значительные упущения (статьи 2–3, 6–7 и 26). 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11.</w:t>
      </w:r>
      <w:r w:rsidRPr="00652D98">
        <w:tab/>
      </w:r>
      <w:r w:rsidRPr="00652D98">
        <w:rPr>
          <w:b/>
          <w:bCs/>
        </w:rPr>
        <w:t>Государству-участнику следует: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a)</w:t>
      </w:r>
      <w:r w:rsidRPr="00652D98">
        <w:rPr>
          <w:b/>
          <w:bCs/>
        </w:rPr>
        <w:tab/>
        <w:t>укрепить нормативно-правовую базу защиты женщин от насилия в семье, в частности путем внесения поправки в статью 292 Уголовного кодекса для установления уголовной ответственности за изнасилование в браке и изъятия положений о смягчающих обстоятельствах для преступлений, совершаемых в защиту чести;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b)</w:t>
      </w:r>
      <w:r w:rsidRPr="00652D98">
        <w:rPr>
          <w:b/>
          <w:bCs/>
        </w:rPr>
        <w:tab/>
        <w:t xml:space="preserve">пересмотреть свою политику в отношении такой меры, как заключение под стражу в целях защиты, и принять все надлежащие меры, чтобы обеспечить женщинам, пытающимся укрыться от насилия в семье, доступ к приютам и поддержке без ограничения их свободы; 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с)</w:t>
      </w:r>
      <w:r w:rsidRPr="00652D98">
        <w:rPr>
          <w:b/>
          <w:bCs/>
        </w:rPr>
        <w:tab/>
        <w:t>разработать и осуществлять более эффективные программы профессиональной подготовки для сотрудников правоохранительных органов, судей, прокуроров и адвокатов, а также для сотрудников административного департамента губернаторов, занимающихся вопросами защиты семьи, а кроме того оказывать помощь жертвам насилия в семье;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d)</w:t>
      </w:r>
      <w:r w:rsidRPr="00652D98">
        <w:rPr>
          <w:b/>
          <w:bCs/>
        </w:rPr>
        <w:tab/>
        <w:t>проводить информационно-просветительские кампании по борьбе с насилием в отношении женщин, включая насилие в семье, провести исследования для изучения коренных причин насилия в отношении женщин и использовать их результаты как основу для совершенствования усилий по повышению информированности в целях предотвращения и искоренения насилия в отношении женщин.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Меры по борьбе с терроризмом</w:t>
      </w:r>
    </w:p>
    <w:p w:rsidR="00652D98" w:rsidRPr="00652D98" w:rsidRDefault="00652D98" w:rsidP="00652D98">
      <w:pPr>
        <w:pStyle w:val="SingleTxtGR"/>
      </w:pPr>
      <w:r w:rsidRPr="00652D98">
        <w:t>12.</w:t>
      </w:r>
      <w:r w:rsidRPr="00652D98">
        <w:tab/>
        <w:t xml:space="preserve">Комитет выражает обеспокоенность в связи с положениями Закона о предотвращении терроризма 2006 года, включая поправки 2014 года, в результате чего определение терроризма было расширено и отныне включает такие деяния, как нарушение общественного порядка, действия, </w:t>
      </w:r>
      <w:r w:rsidR="00FF5204" w:rsidRPr="00652D98">
        <w:t>сеющие</w:t>
      </w:r>
      <w:r w:rsidRPr="00652D98">
        <w:t xml:space="preserve"> рознь, и онлайн-деятельность по оказанию поддержки террористическим группам или распространению их идей. Столь общие положения могут позволить властям задерживать и привлекать к ответственности, в частности, лиц, осуществляющих свое право на свободу выражения мнений и мирных собраний. Комитет особенно обеспокоен тем, что это широкое определение терроризма является частью более масштабного комплекса мер безопасности, таких как осуществление полномочий задерживать и заключать под стражу полицией и разведывательными службами и передача дел подозреваемых в Суд по делам о государ</w:t>
      </w:r>
      <w:r w:rsidRPr="00652D98">
        <w:lastRenderedPageBreak/>
        <w:t>ственной безопасности, судьи которого назначаются органами исполнительной власти (статьи 2, 9, 14, 19 и 21).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13.</w:t>
      </w:r>
      <w:r w:rsidRPr="00652D98">
        <w:tab/>
      </w:r>
      <w:r w:rsidRPr="00652D98">
        <w:rPr>
          <w:b/>
          <w:bCs/>
        </w:rPr>
        <w:t>Государству-участнику следует: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a)</w:t>
      </w:r>
      <w:r w:rsidRPr="00652D98">
        <w:rPr>
          <w:b/>
          <w:bCs/>
        </w:rPr>
        <w:tab/>
        <w:t>пересмотреть Закон о предотвращении терроризма, чтобы обеспечить соответствие содержащегося в нем определения терроризма и террористических актов Пакту и международным стандартам;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b)</w:t>
      </w:r>
      <w:r w:rsidRPr="00652D98">
        <w:rPr>
          <w:b/>
          <w:bCs/>
        </w:rPr>
        <w:tab/>
        <w:t>обеспечить передачу заключенных под контроль гражданских структур и предоставление им всех основных правовых гарантий;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с)</w:t>
      </w:r>
      <w:r w:rsidRPr="00652D98">
        <w:rPr>
          <w:b/>
          <w:bCs/>
        </w:rPr>
        <w:tab/>
        <w:t>обеспечить рассмотрение дел подозреваемых в общегражданских судах при полном соблюдении процессуальных норм.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Смертная казнь</w:t>
      </w:r>
    </w:p>
    <w:p w:rsidR="00652D98" w:rsidRPr="00652D98" w:rsidRDefault="00652D98" w:rsidP="00652D98">
      <w:pPr>
        <w:pStyle w:val="SingleTxtGR"/>
      </w:pPr>
      <w:r w:rsidRPr="00652D98">
        <w:t>14.</w:t>
      </w:r>
      <w:r w:rsidRPr="00652D98">
        <w:tab/>
        <w:t>Комитет обеспокоен сообщениями о том, что в недавний период, в 2014 и</w:t>
      </w:r>
      <w:r w:rsidR="00FF5204">
        <w:t> </w:t>
      </w:r>
      <w:r w:rsidRPr="00652D98">
        <w:t xml:space="preserve">2017 годах, государство-участник привело в исполнение несколько смертных приговоров, де-факто прервав мораторий на смертную казнь, действовавший с апреля 2007 года. Он обеспокоен также тем, что внутреннее законодательство сохраняет смертную казнь за преступления, которые не могут быть отнесены к категории </w:t>
      </w:r>
      <w:r w:rsidR="00FF5204">
        <w:t>«</w:t>
      </w:r>
      <w:r w:rsidRPr="00652D98">
        <w:t>самых тяжких преступлений</w:t>
      </w:r>
      <w:r w:rsidR="00FF5204">
        <w:t>»</w:t>
      </w:r>
      <w:r w:rsidRPr="00652D98">
        <w:t xml:space="preserve"> по смыслу Пакта (статья 6).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15.</w:t>
      </w:r>
      <w:r w:rsidRPr="00652D98">
        <w:tab/>
      </w:r>
      <w:r w:rsidRPr="00652D98">
        <w:rPr>
          <w:b/>
          <w:bCs/>
        </w:rPr>
        <w:t xml:space="preserve">Государству-участнику следует принять все необходимые меры, чтобы обеспечить назначение наказания в виде смертной казни только за самые тяжкие преступления, в ходе которых было совершено преднамеренное убийство. Ему следует также рассмотреть возможность восстановления моратория на смертную казнь и присоединения ко второму Факультативному протоколу к Пакту, направленному на отмену смертной казни. 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Пытки и жестокое обращение</w:t>
      </w:r>
    </w:p>
    <w:p w:rsidR="00652D98" w:rsidRPr="00652D98" w:rsidRDefault="00652D98" w:rsidP="00652D98">
      <w:pPr>
        <w:pStyle w:val="SingleTxtGR"/>
      </w:pPr>
      <w:r w:rsidRPr="00652D98">
        <w:t>16.</w:t>
      </w:r>
      <w:r w:rsidRPr="00652D98">
        <w:tab/>
        <w:t xml:space="preserve">Принимая к сведению поправки, внесенные в Конституцию в 2011 году и содержащие упоминание о запрещении пыток, Комитет отмечает, что определение пытки в статье 208 Уголовного кодекса не в полной мере предусматривает уголовную ответственность за все деяния и для всех субъектов, охватываемых признанным на международном уровне определением пытки. В этой связи Комитет отмечает, что в силу подпункта с) статьи 81 Закона об общественной </w:t>
      </w:r>
      <w:proofErr w:type="spellStart"/>
      <w:proofErr w:type="gramStart"/>
      <w:r w:rsidRPr="00652D98">
        <w:t>бе</w:t>
      </w:r>
      <w:r w:rsidR="007F6373">
        <w:t>-</w:t>
      </w:r>
      <w:r w:rsidRPr="00652D98">
        <w:t>зопасности</w:t>
      </w:r>
      <w:proofErr w:type="spellEnd"/>
      <w:proofErr w:type="gramEnd"/>
      <w:r w:rsidRPr="00652D98">
        <w:t xml:space="preserve"> глава Управления государственной безопасности имеет право выносить решения, квалифицирующие пытки как правонарушения, за которые предусматривается наказание в виде лишения свободы сроком до трех лет. Он</w:t>
      </w:r>
      <w:r w:rsidR="007F6373">
        <w:t> </w:t>
      </w:r>
      <w:r w:rsidRPr="00652D98">
        <w:t xml:space="preserve">также с обеспокоенностью отмечает отсутствие независимого механизма приема жалоб и рассмотрения дел о предполагаемых пытках или неправомерном обращении, а также малое число расследований и случаев привлечения к ответственности в рамках таких дел (статьи 2 и 7). 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17.</w:t>
      </w:r>
      <w:r w:rsidRPr="00652D98">
        <w:tab/>
      </w:r>
      <w:r w:rsidRPr="00652D98">
        <w:rPr>
          <w:b/>
          <w:bCs/>
        </w:rPr>
        <w:t>Государству-участнику следует: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a)</w:t>
      </w:r>
      <w:r w:rsidRPr="00652D98">
        <w:rPr>
          <w:b/>
          <w:bCs/>
        </w:rPr>
        <w:tab/>
        <w:t>пересмотреть свое уголовное законодательство, с тем чтобы обеспечить полное соответствие определения пытки Пакту и международным стандартам, включение принципа полного запрещения во внутреннее законодательство и отсутствие срока давности за преступление пытки;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b)</w:t>
      </w:r>
      <w:r w:rsidRPr="00652D98">
        <w:rPr>
          <w:b/>
          <w:bCs/>
        </w:rPr>
        <w:tab/>
        <w:t>предусмотреть за пытки меры наказания, соразмерные тяжести этих преступлений;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rPr>
          <w:b/>
          <w:bCs/>
        </w:rPr>
        <w:tab/>
        <w:t>с)</w:t>
      </w:r>
      <w:r w:rsidRPr="00652D98">
        <w:rPr>
          <w:b/>
          <w:bCs/>
        </w:rPr>
        <w:tab/>
        <w:t xml:space="preserve">создать эффективный и независимый механизм получения жалоб и расследования предполагаемых случаев пыток и обеспечить жертвам пыток или неправомерного обращения доступ к полному возмещению. </w:t>
      </w:r>
    </w:p>
    <w:p w:rsidR="00652D98" w:rsidRPr="00652D98" w:rsidRDefault="00652D98" w:rsidP="00652D98">
      <w:pPr>
        <w:pStyle w:val="H23GR"/>
      </w:pPr>
      <w:r w:rsidRPr="00652D98">
        <w:lastRenderedPageBreak/>
        <w:tab/>
      </w:r>
      <w:r w:rsidRPr="00652D98">
        <w:tab/>
        <w:t>Право на жизнь, свобода и личная неприкосновенность и обращение с</w:t>
      </w:r>
      <w:r w:rsidR="007F6373">
        <w:t> </w:t>
      </w:r>
      <w:r w:rsidRPr="00652D98">
        <w:t>лицами, лишенными свободы</w:t>
      </w:r>
    </w:p>
    <w:p w:rsidR="00652D98" w:rsidRPr="00652D98" w:rsidRDefault="00652D98" w:rsidP="00652D98">
      <w:pPr>
        <w:pStyle w:val="SingleTxtGR"/>
      </w:pPr>
      <w:r w:rsidRPr="00652D98">
        <w:t>18.</w:t>
      </w:r>
      <w:r w:rsidRPr="00652D98">
        <w:tab/>
        <w:t>Комитет обеспокоен сообщениями о пытках и ненадлежащем обращении, а также о гибели людей, находившихся в руках государственных органов, в местах содержания под стражей. Хотя Комитет признает роль Национального центра по правам человека в посещении мест содержания под стражей, он обеспокоен тем, что Закон о предупреждении преступности предоставляет губернаторам, возглавляющим административные районы, полномочия задерживать людей на длительные периоды, причем возможности обжалования такого решения в суде крайне ограничены. Комитет отмечает, что</w:t>
      </w:r>
      <w:r w:rsidR="00B9351A">
        <w:t>,</w:t>
      </w:r>
      <w:r w:rsidRPr="00652D98">
        <w:t xml:space="preserve"> хотя возможность подачи апелляционной жалобы существует, подавать ее могут только дорогостоящие адвока</w:t>
      </w:r>
      <w:r w:rsidR="00B9351A">
        <w:t>ты, имеющие особую квалификацию,</w:t>
      </w:r>
      <w:r w:rsidRPr="00652D98">
        <w:t xml:space="preserve"> и что это средство защиты имеет мало шансов на успех и на практике применяется редко. Комитет обеспокоен также сообщениями о том, что в соответствии с такой практикой до 30 000 человек, включая тысячи женщин, содержатся под стражей в течение многих месяцев, а в крайних случаях – лет (статьи 6–7 и 9–10). 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19.</w:t>
      </w:r>
      <w:r w:rsidRPr="00652D98">
        <w:tab/>
      </w:r>
      <w:r w:rsidRPr="00652D98">
        <w:rPr>
          <w:b/>
          <w:bCs/>
        </w:rPr>
        <w:t xml:space="preserve">Комитет вновь рекомендует (см. </w:t>
      </w:r>
      <w:proofErr w:type="spellStart"/>
      <w:r w:rsidRPr="00652D98">
        <w:rPr>
          <w:b/>
          <w:bCs/>
        </w:rPr>
        <w:t>CCPR</w:t>
      </w:r>
      <w:proofErr w:type="spellEnd"/>
      <w:r w:rsidRPr="00652D98">
        <w:rPr>
          <w:b/>
          <w:bCs/>
        </w:rPr>
        <w:t>/C/</w:t>
      </w:r>
      <w:proofErr w:type="spellStart"/>
      <w:r w:rsidRPr="00652D98">
        <w:rPr>
          <w:b/>
          <w:bCs/>
        </w:rPr>
        <w:t>JOR</w:t>
      </w:r>
      <w:proofErr w:type="spellEnd"/>
      <w:r w:rsidRPr="00652D98">
        <w:rPr>
          <w:b/>
          <w:bCs/>
        </w:rPr>
        <w:t>/</w:t>
      </w:r>
      <w:proofErr w:type="spellStart"/>
      <w:r w:rsidRPr="00652D98">
        <w:rPr>
          <w:b/>
          <w:bCs/>
        </w:rPr>
        <w:t>CO</w:t>
      </w:r>
      <w:proofErr w:type="spellEnd"/>
      <w:r w:rsidRPr="00652D98">
        <w:rPr>
          <w:b/>
          <w:bCs/>
        </w:rPr>
        <w:t>/4, пункт 11) государству-участнику внести изменения в Закон о предотвращении преступности, с тем чтобы положить конец практике административного задержания. Пока эти изменения еще не внесены, государству-участнику следует предпринять конкретные шаги, чтобы значительно сократить число административно задержанных. Кроме того, государству-участнику следует обеспечить административно задержанным доступ к независимому и беспристрастному суду, наделенному полномочиями выносить решения о законности их содержания под стражей. Ему следует расширить доступ независимых организаций во все места лишения свободы, в том числе на объекты Главного разведывательного управления, для их посещения.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Добровольное прерывание беременности</w:t>
      </w:r>
    </w:p>
    <w:p w:rsidR="00652D98" w:rsidRPr="00652D98" w:rsidRDefault="00652D98" w:rsidP="00652D98">
      <w:pPr>
        <w:pStyle w:val="SingleTxtGR"/>
      </w:pPr>
      <w:r w:rsidRPr="00652D98">
        <w:t>20.</w:t>
      </w:r>
      <w:r w:rsidRPr="00652D98">
        <w:tab/>
        <w:t>Комитет отмечает, что аборт является уголовным преступлением (Уголовный кодекс с изменениями 2011 года, статьи 321–325), за исключением случаев, когда жизнь или здоровье беременной женщины находится под угрозой (Закон о здравоохранении 2008 года, статья 12). Комитет обеспокоен тем, что никаких других исключений не допускается, а это приводит к небезопасным абортам. Он обеспокоен также тем, что Уголовный кодекс предусматривает такое основание для смягчения наказания за аборт, как защита чести семьи, даже в тех случаях, когда аборты выполняются без согласия женщины. Кроме того, Комитет выражает обеспокоенность в связи с сообщениями о том, что на основании положений Уголовного кодекса об абортах женщины привлекались к уголовной ответственности (статьи 3, 6–7, 17 и 26).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21.</w:t>
      </w:r>
      <w:r w:rsidRPr="00652D98">
        <w:tab/>
      </w:r>
      <w:r w:rsidRPr="00652D98">
        <w:rPr>
          <w:b/>
          <w:bCs/>
        </w:rPr>
        <w:t xml:space="preserve">Государству-участнику следует внести изменения в свое законодательство, чтобы гарантировать безопасный, законный и эффективный доступ к абортам в тех случаях, когда вынашивание беременности стало бы причиной серьезной боли или страданий беременной женщины или девочки, особенно в тех случаях, когда беременность наступила в результате изнасилования или </w:t>
      </w:r>
      <w:proofErr w:type="gramStart"/>
      <w:r w:rsidRPr="00652D98">
        <w:rPr>
          <w:b/>
          <w:bCs/>
        </w:rPr>
        <w:t>инцеста</w:t>
      </w:r>
      <w:proofErr w:type="gramEnd"/>
      <w:r w:rsidRPr="00652D98">
        <w:rPr>
          <w:b/>
          <w:bCs/>
        </w:rPr>
        <w:t xml:space="preserve"> или же не может быть выношена. Кроме того, государство-участник не может регулировать вопросы, связанные с беременностью или абортом, во всех других случаях образом, противоречащим его обязанности не допускать выполнения женщинами и девочками </w:t>
      </w:r>
      <w:proofErr w:type="gramStart"/>
      <w:r w:rsidRPr="00652D98">
        <w:rPr>
          <w:b/>
          <w:bCs/>
        </w:rPr>
        <w:t>небе</w:t>
      </w:r>
      <w:r w:rsidR="00A20E99">
        <w:rPr>
          <w:b/>
          <w:bCs/>
        </w:rPr>
        <w:t>-</w:t>
      </w:r>
      <w:proofErr w:type="spellStart"/>
      <w:r w:rsidRPr="00652D98">
        <w:rPr>
          <w:b/>
          <w:bCs/>
        </w:rPr>
        <w:t>зопасных</w:t>
      </w:r>
      <w:proofErr w:type="spellEnd"/>
      <w:proofErr w:type="gramEnd"/>
      <w:r w:rsidRPr="00652D98">
        <w:rPr>
          <w:b/>
          <w:bCs/>
        </w:rPr>
        <w:t xml:space="preserve"> абортов, и ему следует соответствующим образом пересмотреть свои законы об абортах. Ему не следует применять уголовные санкции в отношении женщин и девочек, делающих аборт, или медицинских учреждений, оказывающих им в этом помощь, поскольку принятие подобных мер вынуждает женщин и девочек прибегать к небезопасным абортам. </w:t>
      </w:r>
      <w:proofErr w:type="spellStart"/>
      <w:proofErr w:type="gramStart"/>
      <w:r w:rsidRPr="00652D98">
        <w:rPr>
          <w:b/>
          <w:bCs/>
        </w:rPr>
        <w:t>Го</w:t>
      </w:r>
      <w:proofErr w:type="spellEnd"/>
      <w:r w:rsidR="00A20E99">
        <w:rPr>
          <w:b/>
          <w:bCs/>
        </w:rPr>
        <w:t>-</w:t>
      </w:r>
      <w:proofErr w:type="spellStart"/>
      <w:r w:rsidRPr="00652D98">
        <w:rPr>
          <w:b/>
          <w:bCs/>
        </w:rPr>
        <w:t>сударству</w:t>
      </w:r>
      <w:proofErr w:type="spellEnd"/>
      <w:proofErr w:type="gramEnd"/>
      <w:r w:rsidRPr="00652D98">
        <w:rPr>
          <w:b/>
          <w:bCs/>
        </w:rPr>
        <w:t>-участнику следует обеспечить наличие медицинских учреждений и гарантированный доступ в них для выполнения легальных абортов, а также не допускать, чтобы на пути женщин и девочек появлялись право</w:t>
      </w:r>
      <w:r w:rsidRPr="00652D98">
        <w:rPr>
          <w:b/>
          <w:bCs/>
        </w:rPr>
        <w:lastRenderedPageBreak/>
        <w:t>вые препятствия, в том числе нормы об уголовной ответственности, вынуждающие их прибегать к небезопасным абортам, которые ставят под угрозу их жизнь и здоровье. Ему следует также предусмотреть обязательное требование добровольного согласия женщины на аборт и наказывать в уголовном порядке лиц, пытающихся тем или иным образом вынудить женщину сделать аборт. Государству-участнику следует также обеспечить доступ к противозачаточным средствам и проводить образовательные и информационно-просветительские программы, в которых особое внимание уделялось бы сексуальному и репродуктивному здоровью и соответствующим правам женщин.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Домашние работники-мигранты</w:t>
      </w:r>
    </w:p>
    <w:p w:rsidR="00652D98" w:rsidRPr="00652D98" w:rsidRDefault="00652D98" w:rsidP="00652D98">
      <w:pPr>
        <w:pStyle w:val="SingleTxtGR"/>
      </w:pPr>
      <w:r w:rsidRPr="00652D98">
        <w:t>22.</w:t>
      </w:r>
      <w:r w:rsidRPr="00652D98">
        <w:tab/>
        <w:t xml:space="preserve">Признавая усилия, предпринимаемые государством-участником для защиты трудящихся-мигрантов, в частности мигрантов – домашних работников, Комитет по-прежнему обеспокоен утверждениями о том, что работодатели забирают паспорта, не выплачивают зарплату и ограничивают свободы работников, как и о том, что власти задерживают не имеющих документов трудящихся-мигрантов на длительный срок, прежде чем передать их дела на рассмотрение компетентным судебным органам (статьи 2, 8 и 26). 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23.</w:t>
      </w:r>
      <w:r w:rsidRPr="00652D98">
        <w:tab/>
      </w:r>
      <w:r w:rsidRPr="00652D98">
        <w:rPr>
          <w:b/>
          <w:bCs/>
        </w:rPr>
        <w:t>Государству-участнику следует обеспечить мигрантам – домашним работникам те же права, которыми обладают другие работники в соответствии с нормами трудового права, а также соблюдение законодательства, защищающего их от злоупотреблений.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Беженцы и недопущение принудительного возвращения</w:t>
      </w:r>
    </w:p>
    <w:p w:rsidR="00652D98" w:rsidRPr="00652D98" w:rsidRDefault="00652D98" w:rsidP="00652D98">
      <w:pPr>
        <w:pStyle w:val="SingleTxtGR"/>
      </w:pPr>
      <w:r w:rsidRPr="00652D98">
        <w:t>24.</w:t>
      </w:r>
      <w:r w:rsidRPr="00652D98">
        <w:tab/>
        <w:t xml:space="preserve">Принимая во внимание тяжкое бремя, которое ложится на государство-участник в сегодняшней ситуации притока беженцев из Сирийской Арабской Республики, включая палестинских беженцев, Комитет выражает обеспокоенность по поводу условий и достаточности питания и медицинской помощи для просителей убежища в лагере </w:t>
      </w:r>
      <w:proofErr w:type="spellStart"/>
      <w:r w:rsidRPr="00652D98">
        <w:t>Рукбан</w:t>
      </w:r>
      <w:proofErr w:type="spellEnd"/>
      <w:r w:rsidRPr="00652D98">
        <w:t xml:space="preserve"> на границе между Иорданией и Сирийской Арабской Республикой. Комитет особо обеспокоен отказами государства-участника в приеме ходатайств о предоставлении убежища и сообщениями о случаях принудительного возвращения палестинских беженцев в Сирийскую Арабскую Республику, что порождает серьезные вопросы в отношении соблюдения принципа недопустимости принудительного возвращения. Комитет обеспокоен также тем, что иорданцев палестинского происхождения лишают гражданства, в результате чего они подвергаются высокому риску задержания, ограничения свободы передвижения по территории страны и незаконной высылки (статьи 2, 6–7, 9–10, 13 и 26).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25.</w:t>
      </w:r>
      <w:r w:rsidRPr="00652D98">
        <w:tab/>
      </w:r>
      <w:r w:rsidRPr="00652D98">
        <w:rPr>
          <w:b/>
          <w:bCs/>
        </w:rPr>
        <w:t>Государству-участнику следует принять все необходимые меры, чтобы обеспечить соблюдение принципа недопущения принудительного возвращения, в том числе в отношении палестинских беженцев независимо от статуса, в силу которого они находятся в Иордании, и ввести процессуальные гарантии недопущения принудительного возвращения, включая пересмотр решения независимым судебным органом и эффективные средства правовой защиты. Государству-участнику следует не допускать лишения людей гражданства, за исключением случаев, которые предусмотрены положениями национального законодательства, соответствующими положениям Пакта и международным стандартам, и подлежат независимому судебному контролю. Кроме того, ему следует принять меры по улучшению положения и условий жизни беженцев в лагерях.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Право на справедливое судебное разбирательство и независимость судебных органов</w:t>
      </w:r>
    </w:p>
    <w:p w:rsidR="00652D98" w:rsidRPr="00652D98" w:rsidRDefault="00652D98" w:rsidP="00652D98">
      <w:pPr>
        <w:pStyle w:val="SingleTxtGR"/>
      </w:pPr>
      <w:r w:rsidRPr="00652D98">
        <w:t>26.</w:t>
      </w:r>
      <w:r w:rsidRPr="00652D98">
        <w:tab/>
        <w:t>Комитет вновь выражает свою обеспокоенность в связи с тем, что Суд по делам о государственной безопасности все еще существует. Он обеспокоен также тем, что этот Суд обладает широкой юрисдикцией, которая была распро</w:t>
      </w:r>
      <w:r w:rsidRPr="00652D98">
        <w:lastRenderedPageBreak/>
        <w:t>странена и на террористические акты. Кроме того, Комитет обеспокоен сообщениями о том, что он не является ни независимым, ни беспристрастным, что он регулярно рассматривает дела гражданских лиц на основании Закона о предотвращении терроризма и что его практика нарушает право на справедливое судебное разбирательство (статья 14).</w:t>
      </w:r>
    </w:p>
    <w:p w:rsidR="00652D98" w:rsidRPr="00652D98" w:rsidRDefault="00652D98" w:rsidP="00652D98">
      <w:pPr>
        <w:pStyle w:val="SingleTxtGR"/>
      </w:pPr>
      <w:r w:rsidRPr="00652D98">
        <w:t>27.</w:t>
      </w:r>
      <w:r w:rsidRPr="00652D98">
        <w:tab/>
      </w:r>
      <w:r w:rsidRPr="00652D98">
        <w:rPr>
          <w:b/>
          <w:bCs/>
        </w:rPr>
        <w:t xml:space="preserve">Комитет, как он уже рекомендовал ранее в 1994 (см. </w:t>
      </w:r>
      <w:proofErr w:type="spellStart"/>
      <w:r w:rsidRPr="00652D98">
        <w:rPr>
          <w:b/>
          <w:bCs/>
        </w:rPr>
        <w:t>CCPR</w:t>
      </w:r>
      <w:proofErr w:type="spellEnd"/>
      <w:r w:rsidRPr="00652D98">
        <w:rPr>
          <w:b/>
          <w:bCs/>
        </w:rPr>
        <w:t>/C/79/</w:t>
      </w:r>
      <w:r w:rsidR="00985985">
        <w:rPr>
          <w:b/>
          <w:bCs/>
        </w:rPr>
        <w:br/>
      </w:r>
      <w:r w:rsidRPr="00652D98">
        <w:rPr>
          <w:b/>
          <w:bCs/>
        </w:rPr>
        <w:t>Add.35, пункт 16) и 2010 годах (</w:t>
      </w:r>
      <w:proofErr w:type="spellStart"/>
      <w:r w:rsidRPr="00652D98">
        <w:rPr>
          <w:b/>
          <w:bCs/>
        </w:rPr>
        <w:t>CCPR</w:t>
      </w:r>
      <w:proofErr w:type="spellEnd"/>
      <w:r w:rsidRPr="00652D98">
        <w:rPr>
          <w:b/>
          <w:bCs/>
        </w:rPr>
        <w:t>/C/</w:t>
      </w:r>
      <w:proofErr w:type="spellStart"/>
      <w:r w:rsidRPr="00652D98">
        <w:rPr>
          <w:b/>
          <w:bCs/>
        </w:rPr>
        <w:t>JOR</w:t>
      </w:r>
      <w:proofErr w:type="spellEnd"/>
      <w:r w:rsidRPr="00652D98">
        <w:rPr>
          <w:b/>
          <w:bCs/>
        </w:rPr>
        <w:t>/</w:t>
      </w:r>
      <w:proofErr w:type="spellStart"/>
      <w:r w:rsidRPr="00652D98">
        <w:rPr>
          <w:b/>
          <w:bCs/>
        </w:rPr>
        <w:t>CO</w:t>
      </w:r>
      <w:proofErr w:type="spellEnd"/>
      <w:r w:rsidRPr="00652D98">
        <w:rPr>
          <w:b/>
          <w:bCs/>
        </w:rPr>
        <w:t xml:space="preserve">/4, пункт 12), рекомендует государству-участнику упразднить Суд по делам о государственной </w:t>
      </w:r>
      <w:proofErr w:type="spellStart"/>
      <w:proofErr w:type="gramStart"/>
      <w:r w:rsidRPr="00652D98">
        <w:rPr>
          <w:b/>
          <w:bCs/>
        </w:rPr>
        <w:t>бе</w:t>
      </w:r>
      <w:r w:rsidR="00985985">
        <w:rPr>
          <w:b/>
          <w:bCs/>
        </w:rPr>
        <w:t>-</w:t>
      </w:r>
      <w:r w:rsidRPr="00652D98">
        <w:rPr>
          <w:b/>
          <w:bCs/>
        </w:rPr>
        <w:t>зопасности</w:t>
      </w:r>
      <w:proofErr w:type="spellEnd"/>
      <w:proofErr w:type="gramEnd"/>
      <w:r w:rsidRPr="00652D98">
        <w:rPr>
          <w:b/>
          <w:bCs/>
        </w:rPr>
        <w:t>.</w:t>
      </w:r>
      <w:r w:rsidRPr="00652D98">
        <w:t xml:space="preserve"> 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Свобода совести, религии или убеждений</w:t>
      </w:r>
    </w:p>
    <w:p w:rsidR="00652D98" w:rsidRPr="00652D98" w:rsidRDefault="00652D98" w:rsidP="00652D98">
      <w:pPr>
        <w:pStyle w:val="SingleTxtGR"/>
      </w:pPr>
      <w:r w:rsidRPr="00652D98">
        <w:t>28.</w:t>
      </w:r>
      <w:r w:rsidRPr="00652D98">
        <w:tab/>
        <w:t>Комитет обеспокоен ограничениями свободы религии, в том числе ограничениями, в силу которых лица, отступившие от ислама, не могут заключать браки или поражаются в правах наследования (статьи 2, 18 и 26).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29.</w:t>
      </w:r>
      <w:r w:rsidRPr="00652D98">
        <w:tab/>
      </w:r>
      <w:r w:rsidRPr="00652D98">
        <w:rPr>
          <w:b/>
          <w:bCs/>
        </w:rPr>
        <w:t xml:space="preserve">Государству-участнику следует принять меры, чтобы обеспечить соблюдение свободы религии или убеждений всех людей, а также полное соответствие его законодательства и практики положениям Пакта. 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Свобода выражения мнений</w:t>
      </w:r>
    </w:p>
    <w:p w:rsidR="00652D98" w:rsidRPr="00652D98" w:rsidRDefault="00652D98" w:rsidP="00652D98">
      <w:pPr>
        <w:pStyle w:val="SingleTxtGR"/>
      </w:pPr>
      <w:r w:rsidRPr="00652D98">
        <w:t>30.</w:t>
      </w:r>
      <w:r w:rsidRPr="00652D98">
        <w:tab/>
        <w:t xml:space="preserve">Приветствуя предоставленную государством-участником информацию о разработке стратегии в отношении средств массовой информации на период с 2011 по 2015 год, Комитет выражает обеспокоенность в связи с сообщениями о том, что на основании Уголовного кодекса и Закона о предотвращении терроризма журналистам по-прежнему грозит уголовное преследование и санкции за выражение мнений, считающихся критическими, включая </w:t>
      </w:r>
      <w:r w:rsidR="00C90636">
        <w:t>«</w:t>
      </w:r>
      <w:r w:rsidRPr="00652D98">
        <w:t>оскорбление Его Величества</w:t>
      </w:r>
      <w:r w:rsidR="00C90636">
        <w:t>»</w:t>
      </w:r>
      <w:r w:rsidRPr="00652D98">
        <w:t xml:space="preserve"> (статья 19).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31.</w:t>
      </w:r>
      <w:r w:rsidRPr="00652D98">
        <w:tab/>
      </w:r>
      <w:r w:rsidRPr="00652D98">
        <w:rPr>
          <w:b/>
          <w:bCs/>
        </w:rPr>
        <w:t>Государству-участнику следует принять необходимые меры для защиты журналистов, чтобы они могли свободно и беспрепятственно осуществлять свою деятельность. Ему следует расследовать нападения на них и привлекать виновных к ответственности. Ему следует также пересмотреть свое законодательство, с тем чтобы исключить возможность уголовного наказания лиц, выражающих критические мнения, и чтобы всякое ограничение деятельности прессы и других СМИ осуществлялось в соответствии с Пактом.</w:t>
      </w:r>
    </w:p>
    <w:p w:rsidR="00652D98" w:rsidRPr="00652D98" w:rsidRDefault="00652D98" w:rsidP="00652D98">
      <w:pPr>
        <w:pStyle w:val="H23GR"/>
      </w:pPr>
      <w:r w:rsidRPr="00652D98">
        <w:tab/>
      </w:r>
      <w:r w:rsidRPr="00652D98">
        <w:tab/>
        <w:t>Свобода мирных собраний и ассоциации</w:t>
      </w:r>
    </w:p>
    <w:p w:rsidR="00652D98" w:rsidRPr="00652D98" w:rsidRDefault="00652D98" w:rsidP="00652D98">
      <w:pPr>
        <w:pStyle w:val="SingleTxtGR"/>
      </w:pPr>
      <w:r w:rsidRPr="00652D98">
        <w:t>32.</w:t>
      </w:r>
      <w:r w:rsidRPr="00652D98">
        <w:tab/>
        <w:t>Комитет отмечает, что посредством Закона об общественных собраниях 2011 года правительство предприняло шаги для содействия мирным собраниям, в частности предусмотрев уведомительный порядок проведения манифестаций. Вместе с тем Комитет с обеспокоенностью отмечает сообщения о том, что на практике этот Закон не соблюдается. Комитет обеспокоен тем, что многие манифестации были запрещены, что участники и организаторы задерживались на основании Закона о предупреждении преступности и Закона о предотвращении терроризма и многие из них были вынуждены подписать обязательство не участвовать в манифестациях и что на организации гражданского общества налагаются серьезные ограничения, в том числе в части финансирования (статьи 19 и 21–22).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33.</w:t>
      </w:r>
      <w:r w:rsidRPr="00652D98">
        <w:tab/>
      </w:r>
      <w:r w:rsidRPr="00652D98">
        <w:rPr>
          <w:b/>
          <w:bCs/>
        </w:rPr>
        <w:t xml:space="preserve">Государству-участнику следует гарантировать право на мирные собрания в соответствии со статьей 21 Пакта и международными стандартами. Государству-участнику не следует прибегать к законам и мерам в области безопасности для запугивания представителей гражданского общества, осуществляющих это право, а следует обеспечить им возможность свободно осуществлять свою деятельность, имея доступ к финансированию. </w:t>
      </w:r>
    </w:p>
    <w:p w:rsidR="00652D98" w:rsidRPr="00652D98" w:rsidRDefault="00652D98" w:rsidP="00652D98">
      <w:pPr>
        <w:pStyle w:val="H23GR"/>
      </w:pPr>
      <w:r w:rsidRPr="00652D98">
        <w:lastRenderedPageBreak/>
        <w:tab/>
      </w:r>
      <w:r w:rsidRPr="00652D98">
        <w:tab/>
        <w:t>Участие в общественной жизни</w:t>
      </w:r>
    </w:p>
    <w:p w:rsidR="00652D98" w:rsidRPr="00652D98" w:rsidRDefault="00652D98" w:rsidP="00652D98">
      <w:pPr>
        <w:pStyle w:val="SingleTxtGR"/>
      </w:pPr>
      <w:r w:rsidRPr="00652D98">
        <w:t>34.</w:t>
      </w:r>
      <w:r w:rsidRPr="00652D98">
        <w:tab/>
        <w:t>Хотя Комитет приветствует создание Национальной комиссии по делам женщин и расширение участия женщин в политической жизни, он отмечает, что доля женщин, занятых в промышленном и государственном секторах, по-прежнему мала (статья 25).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35.</w:t>
      </w:r>
      <w:r w:rsidRPr="00652D98">
        <w:tab/>
      </w:r>
      <w:r w:rsidRPr="00652D98">
        <w:rPr>
          <w:b/>
          <w:bCs/>
        </w:rPr>
        <w:t xml:space="preserve">Государству-участнику следует принять все меры, в том числе временные специальные меры, необходимые для дальнейшего расширения участия женщин в государственном и частном секторах, особенно на руководящих должностях. </w:t>
      </w:r>
    </w:p>
    <w:p w:rsidR="00652D98" w:rsidRPr="00652D98" w:rsidRDefault="00652D98" w:rsidP="00652D98">
      <w:pPr>
        <w:pStyle w:val="H1GR"/>
      </w:pPr>
      <w:r>
        <w:tab/>
      </w:r>
      <w:r w:rsidRPr="00652D98">
        <w:t>D.</w:t>
      </w:r>
      <w:r w:rsidRPr="00652D98">
        <w:tab/>
        <w:t>Распространение информации и последующая деятельность</w:t>
      </w:r>
    </w:p>
    <w:p w:rsidR="00652D98" w:rsidRPr="00652D98" w:rsidRDefault="00652D98" w:rsidP="00652D98">
      <w:pPr>
        <w:pStyle w:val="SingleTxtGR"/>
        <w:rPr>
          <w:b/>
          <w:bCs/>
        </w:rPr>
      </w:pPr>
      <w:r w:rsidRPr="00652D98">
        <w:t>36.</w:t>
      </w:r>
      <w:r w:rsidRPr="00652D98">
        <w:tab/>
        <w:t>Государству-участнику следует обеспечить широкое распространение Пакта, своего пятого периодического доклада, письменных ответов на перечень вопросов Комитета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</w:t>
      </w:r>
      <w:r w:rsidRPr="00652D98">
        <w:rPr>
          <w:b/>
          <w:bCs/>
        </w:rPr>
        <w:t xml:space="preserve"> </w:t>
      </w:r>
    </w:p>
    <w:p w:rsidR="00652D98" w:rsidRPr="00652D98" w:rsidRDefault="00652D98" w:rsidP="00652D98">
      <w:pPr>
        <w:pStyle w:val="SingleTxtGR"/>
      </w:pPr>
      <w:r w:rsidRPr="00652D98">
        <w:t>37.</w:t>
      </w:r>
      <w:r w:rsidRPr="00652D98">
        <w:tab/>
        <w:t xml:space="preserve">В соответствии с пунктом 5 правила 71 правил процедуры Комитета </w:t>
      </w:r>
      <w:proofErr w:type="spellStart"/>
      <w:proofErr w:type="gramStart"/>
      <w:r w:rsidRPr="00652D98">
        <w:t>го</w:t>
      </w:r>
      <w:proofErr w:type="spellEnd"/>
      <w:r w:rsidR="00757C8C">
        <w:t>-</w:t>
      </w:r>
      <w:proofErr w:type="spellStart"/>
      <w:r w:rsidRPr="00652D98">
        <w:t>сударству</w:t>
      </w:r>
      <w:proofErr w:type="spellEnd"/>
      <w:proofErr w:type="gramEnd"/>
      <w:r w:rsidRPr="00652D98">
        <w:t>-участнику предлагается представить к 10 ноября 2019 года информацию о выполнении им рекомендаций Комитета, изложенных в пунктах 11 (</w:t>
      </w:r>
      <w:r w:rsidR="00757C8C">
        <w:t>«</w:t>
      </w:r>
      <w:r w:rsidRPr="00652D98">
        <w:t>Насилие в отношении женщин, включая насилие в семье</w:t>
      </w:r>
      <w:r w:rsidR="00757C8C">
        <w:t>»</w:t>
      </w:r>
      <w:r w:rsidRPr="00652D98">
        <w:t>), 19 (</w:t>
      </w:r>
      <w:r w:rsidR="00757C8C">
        <w:t>«</w:t>
      </w:r>
      <w:r w:rsidRPr="00652D98">
        <w:t>Право на жизнь, свободу и личную неприкосновенность и гуманное обращение с лицами, лишенными свободы</w:t>
      </w:r>
      <w:r w:rsidR="00757C8C">
        <w:t>»</w:t>
      </w:r>
      <w:r w:rsidRPr="00652D98">
        <w:t>) и 25 (</w:t>
      </w:r>
      <w:r w:rsidR="00757C8C">
        <w:t>«</w:t>
      </w:r>
      <w:r w:rsidRPr="00652D98">
        <w:t>Беженцы и недопущение принудительного возвращения</w:t>
      </w:r>
      <w:r w:rsidR="00757C8C">
        <w:t>»</w:t>
      </w:r>
      <w:r w:rsidRPr="00652D98">
        <w:t>) выше.</w:t>
      </w:r>
    </w:p>
    <w:p w:rsidR="00652D98" w:rsidRDefault="00652D98" w:rsidP="00652D98">
      <w:pPr>
        <w:pStyle w:val="SingleTxtGR"/>
      </w:pPr>
      <w:r w:rsidRPr="00652D98">
        <w:t>38.</w:t>
      </w:r>
      <w:r w:rsidRPr="00652D98">
        <w:tab/>
        <w:t>Комитет просит государство-участник представить свой следующий периодический доклад к 10 ноября 2022 года и включить в этот доклад конкретную обновленную информацию об осуществлении рекомендаций, вынесенных в настоящих заключительных замечаниях, и Пакта в целом. 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 В соответствии с резолюцией 68/268 Генеральной Ассамблеи объем доклада не должен превышать 21 200 слов. В качестве альтернативного варианта Комитет предлагает государству-участнику не позднее, чем в течение года с момента принятия настоящих заключительных замечаний, согласиться использовать упрощенную процедуру представления докладов, согласно которой Комитет направляет государству-участнику перечень вопросов до представления его доклада. Ответы государства-участника на этот перечень вопросов будут представлять собой следующий периодический доклад, представляемый в соответствии со статьей 40 Пакта.</w:t>
      </w:r>
    </w:p>
    <w:p w:rsidR="00652D98" w:rsidRPr="00652D98" w:rsidRDefault="00652D98" w:rsidP="00652D9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D98" w:rsidRPr="00652D98" w:rsidRDefault="00652D98" w:rsidP="00652D98">
      <w:pPr>
        <w:pStyle w:val="SingleTxtGR"/>
      </w:pPr>
    </w:p>
    <w:p w:rsidR="00381C24" w:rsidRPr="00652D98" w:rsidRDefault="00381C24" w:rsidP="002E5067"/>
    <w:sectPr w:rsidR="00381C24" w:rsidRPr="00652D98" w:rsidSect="00652D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0A" w:rsidRPr="00A312BC" w:rsidRDefault="009B380A" w:rsidP="00A312BC"/>
  </w:endnote>
  <w:endnote w:type="continuationSeparator" w:id="0">
    <w:p w:rsidR="009B380A" w:rsidRPr="00A312BC" w:rsidRDefault="009B38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98" w:rsidRPr="00652D98" w:rsidRDefault="00652D98">
    <w:pPr>
      <w:pStyle w:val="a8"/>
    </w:pPr>
    <w:r w:rsidRPr="00652D98">
      <w:rPr>
        <w:b/>
        <w:sz w:val="18"/>
      </w:rPr>
      <w:fldChar w:fldCharType="begin"/>
    </w:r>
    <w:r w:rsidRPr="00652D98">
      <w:rPr>
        <w:b/>
        <w:sz w:val="18"/>
      </w:rPr>
      <w:instrText xml:space="preserve"> PAGE  \* MERGEFORMAT </w:instrText>
    </w:r>
    <w:r w:rsidRPr="00652D98">
      <w:rPr>
        <w:b/>
        <w:sz w:val="18"/>
      </w:rPr>
      <w:fldChar w:fldCharType="separate"/>
    </w:r>
    <w:r w:rsidR="00310436">
      <w:rPr>
        <w:b/>
        <w:noProof/>
        <w:sz w:val="18"/>
      </w:rPr>
      <w:t>8</w:t>
    </w:r>
    <w:r w:rsidRPr="00652D98">
      <w:rPr>
        <w:b/>
        <w:sz w:val="18"/>
      </w:rPr>
      <w:fldChar w:fldCharType="end"/>
    </w:r>
    <w:r>
      <w:rPr>
        <w:b/>
        <w:sz w:val="18"/>
      </w:rPr>
      <w:tab/>
    </w:r>
    <w:r>
      <w:t>GE.17-21522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98" w:rsidRPr="00652D98" w:rsidRDefault="00652D98" w:rsidP="00652D98">
    <w:pPr>
      <w:pStyle w:val="a8"/>
      <w:tabs>
        <w:tab w:val="clear" w:pos="9639"/>
        <w:tab w:val="right" w:pos="9638"/>
      </w:tabs>
      <w:rPr>
        <w:b/>
        <w:sz w:val="18"/>
      </w:rPr>
    </w:pPr>
    <w:r>
      <w:t>GE.17-21522</w:t>
    </w:r>
    <w:r>
      <w:tab/>
    </w:r>
    <w:r w:rsidRPr="00652D98">
      <w:rPr>
        <w:b/>
        <w:sz w:val="18"/>
      </w:rPr>
      <w:fldChar w:fldCharType="begin"/>
    </w:r>
    <w:r w:rsidRPr="00652D98">
      <w:rPr>
        <w:b/>
        <w:sz w:val="18"/>
      </w:rPr>
      <w:instrText xml:space="preserve"> PAGE  \* MERGEFORMAT </w:instrText>
    </w:r>
    <w:r w:rsidRPr="00652D98">
      <w:rPr>
        <w:b/>
        <w:sz w:val="18"/>
      </w:rPr>
      <w:fldChar w:fldCharType="separate"/>
    </w:r>
    <w:r w:rsidR="00310436">
      <w:rPr>
        <w:b/>
        <w:noProof/>
        <w:sz w:val="18"/>
      </w:rPr>
      <w:t>7</w:t>
    </w:r>
    <w:r w:rsidRPr="00652D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52D98" w:rsidRDefault="00652D98" w:rsidP="00652D9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21522  (</w:t>
    </w:r>
    <w:proofErr w:type="gramEnd"/>
    <w:r>
      <w:t>R)</w:t>
    </w:r>
    <w:r w:rsidR="0027762C">
      <w:rPr>
        <w:lang w:val="en-US"/>
      </w:rPr>
      <w:t xml:space="preserve">  111217  111217</w:t>
    </w:r>
    <w:r>
      <w:br/>
    </w:r>
    <w:r w:rsidRPr="00652D98">
      <w:rPr>
        <w:rFonts w:ascii="C39T30Lfz" w:hAnsi="C39T30Lfz"/>
        <w:spacing w:val="0"/>
        <w:w w:val="100"/>
        <w:sz w:val="56"/>
      </w:rPr>
      <w:t></w:t>
    </w:r>
    <w:r w:rsidRPr="00652D98">
      <w:rPr>
        <w:rFonts w:ascii="C39T30Lfz" w:hAnsi="C39T30Lfz"/>
        <w:spacing w:val="0"/>
        <w:w w:val="100"/>
        <w:sz w:val="56"/>
      </w:rPr>
      <w:t></w:t>
    </w:r>
    <w:r w:rsidRPr="00652D98">
      <w:rPr>
        <w:rFonts w:ascii="C39T30Lfz" w:hAnsi="C39T30Lfz"/>
        <w:spacing w:val="0"/>
        <w:w w:val="100"/>
        <w:sz w:val="56"/>
      </w:rPr>
      <w:t></w:t>
    </w:r>
    <w:r w:rsidRPr="00652D98">
      <w:rPr>
        <w:rFonts w:ascii="C39T30Lfz" w:hAnsi="C39T30Lfz"/>
        <w:spacing w:val="0"/>
        <w:w w:val="100"/>
        <w:sz w:val="56"/>
      </w:rPr>
      <w:t></w:t>
    </w:r>
    <w:r w:rsidRPr="00652D98">
      <w:rPr>
        <w:rFonts w:ascii="C39T30Lfz" w:hAnsi="C39T30Lfz"/>
        <w:spacing w:val="0"/>
        <w:w w:val="100"/>
        <w:sz w:val="56"/>
      </w:rPr>
      <w:t></w:t>
    </w:r>
    <w:r w:rsidRPr="00652D98">
      <w:rPr>
        <w:rFonts w:ascii="C39T30Lfz" w:hAnsi="C39T30Lfz"/>
        <w:spacing w:val="0"/>
        <w:w w:val="100"/>
        <w:sz w:val="56"/>
      </w:rPr>
      <w:t></w:t>
    </w:r>
    <w:r w:rsidRPr="00652D98">
      <w:rPr>
        <w:rFonts w:ascii="C39T30Lfz" w:hAnsi="C39T30Lfz"/>
        <w:spacing w:val="0"/>
        <w:w w:val="100"/>
        <w:sz w:val="56"/>
      </w:rPr>
      <w:t></w:t>
    </w:r>
    <w:r w:rsidRPr="00652D98">
      <w:rPr>
        <w:rFonts w:ascii="C39T30Lfz" w:hAnsi="C39T30Lfz"/>
        <w:spacing w:val="0"/>
        <w:w w:val="100"/>
        <w:sz w:val="56"/>
      </w:rPr>
      <w:t></w:t>
    </w:r>
    <w:r w:rsidRPr="00652D9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JOR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JOR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0A" w:rsidRPr="001075E9" w:rsidRDefault="009B38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380A" w:rsidRDefault="009B38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52D98" w:rsidRPr="00DC6AE4" w:rsidRDefault="00652D98" w:rsidP="00652D98">
      <w:pPr>
        <w:pStyle w:val="ad"/>
        <w:rPr>
          <w:lang w:val="ru-RU"/>
        </w:rPr>
      </w:pPr>
      <w:r>
        <w:rPr>
          <w:lang w:val="ru-RU"/>
        </w:rPr>
        <w:tab/>
      </w:r>
      <w:r w:rsidRPr="00C03C2E">
        <w:rPr>
          <w:sz w:val="20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Приняты Комитетом на его 121-й сессии (16 октября – 10 ноября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98" w:rsidRPr="00652D98" w:rsidRDefault="0031043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</w:t>
    </w:r>
    <w:proofErr w:type="spellStart"/>
    <w:r>
      <w:t>JOR</w:t>
    </w:r>
    <w:proofErr w:type="spellEnd"/>
    <w:r>
      <w:t>/CO/5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98" w:rsidRPr="00652D98" w:rsidRDefault="00310436" w:rsidP="00652D9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</w:t>
    </w:r>
    <w:proofErr w:type="spellStart"/>
    <w:r>
      <w:t>JOR</w:t>
    </w:r>
    <w:proofErr w:type="spellEnd"/>
    <w:r>
      <w:t>/CO/5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A"/>
    <w:rsid w:val="00033EE1"/>
    <w:rsid w:val="00042B72"/>
    <w:rsid w:val="000558BD"/>
    <w:rsid w:val="000B57E7"/>
    <w:rsid w:val="000B6373"/>
    <w:rsid w:val="000F09DF"/>
    <w:rsid w:val="000F61B2"/>
    <w:rsid w:val="001075E9"/>
    <w:rsid w:val="00133628"/>
    <w:rsid w:val="00180183"/>
    <w:rsid w:val="0018024D"/>
    <w:rsid w:val="0018649F"/>
    <w:rsid w:val="00196389"/>
    <w:rsid w:val="001B3EF6"/>
    <w:rsid w:val="001C7A89"/>
    <w:rsid w:val="00243E6E"/>
    <w:rsid w:val="0027762C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043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578BC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2D98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57C8C"/>
    <w:rsid w:val="00791B9D"/>
    <w:rsid w:val="007F6373"/>
    <w:rsid w:val="00825F8D"/>
    <w:rsid w:val="00834B71"/>
    <w:rsid w:val="0086445C"/>
    <w:rsid w:val="00894693"/>
    <w:rsid w:val="008A08D7"/>
    <w:rsid w:val="008A208B"/>
    <w:rsid w:val="008B6909"/>
    <w:rsid w:val="00906890"/>
    <w:rsid w:val="00911BE4"/>
    <w:rsid w:val="00951972"/>
    <w:rsid w:val="009608F3"/>
    <w:rsid w:val="00985985"/>
    <w:rsid w:val="009918E2"/>
    <w:rsid w:val="009A24AC"/>
    <w:rsid w:val="009B380A"/>
    <w:rsid w:val="00A14DA8"/>
    <w:rsid w:val="00A20E99"/>
    <w:rsid w:val="00A312BC"/>
    <w:rsid w:val="00A34D07"/>
    <w:rsid w:val="00A84021"/>
    <w:rsid w:val="00A84D35"/>
    <w:rsid w:val="00A917B3"/>
    <w:rsid w:val="00AB4B51"/>
    <w:rsid w:val="00B10CC7"/>
    <w:rsid w:val="00B136DB"/>
    <w:rsid w:val="00B539E7"/>
    <w:rsid w:val="00B62458"/>
    <w:rsid w:val="00B9351A"/>
    <w:rsid w:val="00BC18B2"/>
    <w:rsid w:val="00BC3629"/>
    <w:rsid w:val="00BD33EE"/>
    <w:rsid w:val="00BF1A04"/>
    <w:rsid w:val="00C0177C"/>
    <w:rsid w:val="00C03C2E"/>
    <w:rsid w:val="00C106D6"/>
    <w:rsid w:val="00C46D5A"/>
    <w:rsid w:val="00C60F0C"/>
    <w:rsid w:val="00C805C9"/>
    <w:rsid w:val="00C90636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02223"/>
    <w:rsid w:val="00F43903"/>
    <w:rsid w:val="00F94155"/>
    <w:rsid w:val="00F9783F"/>
    <w:rsid w:val="00FC636C"/>
    <w:rsid w:val="00FD2EF7"/>
    <w:rsid w:val="00FE447E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8DFBBD-0D86-45ED-AC55-E2AC86E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3096</Words>
  <Characters>21270</Characters>
  <Application>Microsoft Office Word</Application>
  <DocSecurity>0</DocSecurity>
  <Lines>393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CCPR/C/JOR/CO/5</vt:lpstr>
      <vt:lpstr>A/</vt:lpstr>
    </vt:vector>
  </TitlesOfParts>
  <Company>DCM</Company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CCPR/C/JOR/CO/5</dc:title>
  <dc:subject/>
  <dc:creator>Sharkina</dc:creator>
  <cp:keywords/>
  <cp:lastModifiedBy>Tatiana Sharkina</cp:lastModifiedBy>
  <cp:revision>4</cp:revision>
  <cp:lastPrinted>2017-12-11T17:14:00Z</cp:lastPrinted>
  <dcterms:created xsi:type="dcterms:W3CDTF">2017-12-11T17:14:00Z</dcterms:created>
  <dcterms:modified xsi:type="dcterms:W3CDTF">2017-12-11T17:15:00Z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