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42EFF" w:rsidP="00E42EFF">
            <w:pPr>
              <w:bidi w:val="0"/>
              <w:spacing w:after="20"/>
              <w:jc w:val="left"/>
              <w:rPr>
                <w:szCs w:val="20"/>
              </w:rPr>
            </w:pPr>
            <w:r w:rsidRPr="00E42EFF">
              <w:rPr>
                <w:sz w:val="40"/>
                <w:szCs w:val="20"/>
              </w:rPr>
              <w:t>CCPR</w:t>
            </w:r>
            <w:r>
              <w:rPr>
                <w:szCs w:val="20"/>
              </w:rPr>
              <w:t>/C/JOR/CO/4/Add.1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42EFF" w:rsidRDefault="00E42EFF" w:rsidP="00E42EFF">
            <w:pPr>
              <w:bidi w:val="0"/>
              <w:spacing w:before="240"/>
              <w:jc w:val="left"/>
            </w:pPr>
            <w:r>
              <w:t>Distr.: General</w:t>
            </w:r>
          </w:p>
          <w:p w:rsidR="00E42EFF" w:rsidRDefault="00E42EFF" w:rsidP="00E42EFF">
            <w:pPr>
              <w:bidi w:val="0"/>
              <w:jc w:val="left"/>
            </w:pPr>
            <w:r>
              <w:t>20 August 2014</w:t>
            </w:r>
          </w:p>
          <w:p w:rsidR="00E42EFF" w:rsidRDefault="00E42EFF" w:rsidP="00E42EFF">
            <w:pPr>
              <w:bidi w:val="0"/>
              <w:jc w:val="left"/>
            </w:pPr>
          </w:p>
          <w:p w:rsidR="00257225" w:rsidRPr="008B4BC6" w:rsidRDefault="00E42EFF" w:rsidP="00E42EFF">
            <w:pPr>
              <w:bidi w:val="0"/>
              <w:jc w:val="left"/>
            </w:pPr>
            <w:r>
              <w:t>Original: Arabic</w:t>
            </w:r>
          </w:p>
        </w:tc>
      </w:tr>
    </w:tbl>
    <w:p w:rsidR="00E42EFF" w:rsidRPr="00E42EFF" w:rsidRDefault="00E42EFF" w:rsidP="00E42EFF">
      <w:pPr>
        <w:spacing w:before="120" w:line="380" w:lineRule="exact"/>
        <w:rPr>
          <w:rFonts w:hint="cs"/>
          <w:b/>
          <w:bCs/>
          <w:sz w:val="26"/>
          <w:szCs w:val="36"/>
          <w:rtl/>
        </w:rPr>
      </w:pPr>
      <w:r w:rsidRPr="00E42EFF">
        <w:rPr>
          <w:rFonts w:hint="cs"/>
          <w:b/>
          <w:bCs/>
          <w:sz w:val="26"/>
          <w:szCs w:val="36"/>
          <w:rtl/>
        </w:rPr>
        <w:t>اللجنة المعنية بحقوق الإنسان</w:t>
      </w:r>
    </w:p>
    <w:p w:rsidR="00E42EFF" w:rsidRPr="00E42EFF" w:rsidRDefault="00E42EFF" w:rsidP="00106296">
      <w:pPr>
        <w:pStyle w:val="HChGA"/>
        <w:spacing w:before="600"/>
        <w:rPr>
          <w:rFonts w:hint="cs"/>
          <w:rtl/>
        </w:rPr>
      </w:pPr>
      <w:r w:rsidRPr="00E42EFF">
        <w:rPr>
          <w:rFonts w:hint="cs"/>
          <w:rtl/>
        </w:rPr>
        <w:tab/>
      </w:r>
      <w:r w:rsidRPr="00E42EFF">
        <w:rPr>
          <w:rFonts w:hint="cs"/>
          <w:rtl/>
        </w:rPr>
        <w:tab/>
        <w:t>الملاحظات الختامية بشأن التقرير الدوري الرابع للأردن</w:t>
      </w:r>
    </w:p>
    <w:p w:rsidR="00E42EFF" w:rsidRPr="00E42EFF" w:rsidRDefault="00E42EFF" w:rsidP="00E42EFF">
      <w:pPr>
        <w:pStyle w:val="H23GA"/>
        <w:rPr>
          <w:rFonts w:hint="cs"/>
          <w:rtl/>
        </w:rPr>
      </w:pPr>
      <w:r w:rsidRPr="00E42EFF">
        <w:rPr>
          <w:rFonts w:hint="cs"/>
          <w:rtl/>
        </w:rPr>
        <w:tab/>
      </w:r>
      <w:r w:rsidRPr="00E42EFF">
        <w:rPr>
          <w:rFonts w:hint="cs"/>
          <w:rtl/>
        </w:rPr>
        <w:tab/>
        <w:t>إضافة</w:t>
      </w:r>
    </w:p>
    <w:p w:rsidR="00E42EFF" w:rsidRPr="00E42EFF" w:rsidRDefault="00E42EFF" w:rsidP="000C17C5">
      <w:pPr>
        <w:pStyle w:val="H1GA"/>
        <w:rPr>
          <w:rFonts w:hint="cs"/>
          <w:rtl/>
        </w:rPr>
      </w:pPr>
      <w:r w:rsidRPr="00E42EFF">
        <w:rPr>
          <w:rFonts w:hint="cs"/>
          <w:rtl/>
        </w:rPr>
        <w:tab/>
      </w:r>
      <w:r w:rsidRPr="00E42EFF">
        <w:rPr>
          <w:rFonts w:hint="cs"/>
          <w:rtl/>
        </w:rPr>
        <w:tab/>
        <w:t>المعلومات الواردة من الأردن</w:t>
      </w:r>
      <w:r w:rsidR="00106296">
        <w:rPr>
          <w:rFonts w:hint="cs"/>
          <w:rtl/>
        </w:rPr>
        <w:t xml:space="preserve"> </w:t>
      </w:r>
      <w:r w:rsidRPr="00E42EFF">
        <w:rPr>
          <w:rFonts w:hint="cs"/>
          <w:rtl/>
        </w:rPr>
        <w:t>بشأن متابعة الملاحظات الختامية</w:t>
      </w:r>
      <w:r w:rsidR="000C17C5" w:rsidRPr="000C17C5">
        <w:rPr>
          <w:rStyle w:val="FootnoteReference"/>
          <w:sz w:val="20"/>
          <w:vertAlign w:val="baseline"/>
          <w:rtl/>
        </w:rPr>
        <w:footnoteReference w:customMarkFollows="1" w:id="1"/>
        <w:t>*</w:t>
      </w:r>
    </w:p>
    <w:p w:rsidR="00E42EFF" w:rsidRPr="00E42EFF" w:rsidRDefault="00E42EFF" w:rsidP="0075056D">
      <w:pPr>
        <w:pStyle w:val="SingleTxtGA"/>
        <w:jc w:val="right"/>
        <w:rPr>
          <w:rFonts w:hint="cs"/>
          <w:rtl/>
        </w:rPr>
      </w:pPr>
      <w:r w:rsidRPr="00E42EFF">
        <w:rPr>
          <w:rFonts w:hint="cs"/>
          <w:rtl/>
        </w:rPr>
        <w:t>[تاريخ الاستلام: 21 آب/أغسطس 2013]</w:t>
      </w:r>
    </w:p>
    <w:p w:rsidR="00E42EFF" w:rsidRPr="00E42EFF" w:rsidRDefault="00E42EFF" w:rsidP="00E42EFF">
      <w:pPr>
        <w:pStyle w:val="H1GA"/>
        <w:rPr>
          <w:rtl/>
        </w:rPr>
      </w:pPr>
      <w:r w:rsidRPr="00E42EFF">
        <w:rPr>
          <w:rFonts w:hint="cs"/>
          <w:rtl/>
        </w:rPr>
        <w:tab/>
      </w:r>
      <w:r w:rsidRPr="00E42EFF">
        <w:rPr>
          <w:rFonts w:hint="cs"/>
          <w:rtl/>
        </w:rPr>
        <w:tab/>
      </w:r>
      <w:r w:rsidRPr="00E42EFF">
        <w:rPr>
          <w:rtl/>
        </w:rPr>
        <w:t xml:space="preserve">التوصية رقم (5) المتعلقة بالمركز الوطني لحقوق </w:t>
      </w:r>
      <w:r w:rsidRPr="00E42EFF">
        <w:rPr>
          <w:rFonts w:hint="cs"/>
          <w:rtl/>
        </w:rPr>
        <w:t>الإنسان</w:t>
      </w:r>
    </w:p>
    <w:p w:rsidR="00E42EFF" w:rsidRPr="00E42EFF" w:rsidRDefault="00E42EFF" w:rsidP="00E42EFF">
      <w:pPr>
        <w:pStyle w:val="SingleTxtGA"/>
        <w:rPr>
          <w:rtl/>
        </w:rPr>
      </w:pPr>
      <w:r w:rsidRPr="00E42EFF">
        <w:rPr>
          <w:rFonts w:hint="cs"/>
          <w:rtl/>
        </w:rPr>
        <w:t>1-</w:t>
      </w:r>
      <w:r w:rsidRPr="00E42EFF">
        <w:rPr>
          <w:rFonts w:hint="cs"/>
          <w:rtl/>
        </w:rPr>
        <w:tab/>
      </w:r>
      <w:r w:rsidRPr="00E42EFF">
        <w:rPr>
          <w:rtl/>
        </w:rPr>
        <w:t xml:space="preserve">يتمتع المركز بشخصية اعتبارية ذات استقلال مالي وإداري، وله بهذه الصفة القيام بجميع التصرفات القانونية بما في ذلك إبرام العقود وتملك الأموال المنقولة وغير المنقولة وله حق التقاضي.كما يتمتع المركز باستقلال تام في ممارسة أنشطته وفعالياته الفكرية والسياسية والإنسانية المتعلقة بحقوق </w:t>
      </w:r>
      <w:r w:rsidR="004F5810" w:rsidRPr="00E42EFF">
        <w:rPr>
          <w:rFonts w:hint="cs"/>
          <w:rtl/>
        </w:rPr>
        <w:t>الإنسان</w:t>
      </w:r>
      <w:r w:rsidRPr="00E42EFF">
        <w:rPr>
          <w:rtl/>
        </w:rPr>
        <w:t xml:space="preserve"> ولا يساءل المجلس أو أي من أعضائه عن الإجراءات التي يتخذها في حدود اختصاصاته المبينة في القانون. يتولى الإشراف على المركز وإدارته مجلس أمناء لا يتجاوز عدد أعضائه واحدا</w:t>
      </w:r>
      <w:r w:rsidR="00EE3855">
        <w:rPr>
          <w:rFonts w:hint="cs"/>
          <w:rtl/>
        </w:rPr>
        <w:t>ً</w:t>
      </w:r>
      <w:r w:rsidRPr="00E42EFF">
        <w:rPr>
          <w:rtl/>
        </w:rPr>
        <w:t xml:space="preserve"> وعشرين عضوا</w:t>
      </w:r>
      <w:r w:rsidR="00EE3855">
        <w:rPr>
          <w:rFonts w:hint="cs"/>
          <w:rtl/>
        </w:rPr>
        <w:t>ً</w:t>
      </w:r>
      <w:r w:rsidRPr="00E42EFF">
        <w:rPr>
          <w:rtl/>
        </w:rPr>
        <w:t xml:space="preserve">، يعين رئيسه وأعضاؤه بإرادة ملكية سامية بناء على </w:t>
      </w:r>
      <w:proofErr w:type="spellStart"/>
      <w:r w:rsidRPr="00E42EFF">
        <w:rPr>
          <w:rtl/>
        </w:rPr>
        <w:t>تنسيب</w:t>
      </w:r>
      <w:proofErr w:type="spellEnd"/>
      <w:r w:rsidRPr="00E42EFF">
        <w:rPr>
          <w:rtl/>
        </w:rPr>
        <w:t xml:space="preserve"> من رئيس الوزراء ويجوز وبالطريقة ذاتها إنهاء عضوية أي منهم وتعيين بديل له للمدة المتبقية من عضويته. و ينتخب المجلس من بين أعضائه نائبا</w:t>
      </w:r>
      <w:r w:rsidR="0047095E">
        <w:rPr>
          <w:rFonts w:hint="cs"/>
          <w:rtl/>
        </w:rPr>
        <w:t>ً</w:t>
      </w:r>
      <w:r w:rsidRPr="00E42EFF">
        <w:rPr>
          <w:rtl/>
        </w:rPr>
        <w:t xml:space="preserve"> للرئيس يقوم مقام</w:t>
      </w:r>
      <w:r w:rsidRPr="00E42EFF">
        <w:rPr>
          <w:rFonts w:hint="cs"/>
          <w:rtl/>
        </w:rPr>
        <w:t>ه</w:t>
      </w:r>
      <w:r w:rsidRPr="00E42EFF">
        <w:rPr>
          <w:rtl/>
        </w:rPr>
        <w:t xml:space="preserve"> عند غيابه. و</w:t>
      </w:r>
      <w:r w:rsidRPr="00E42EFF">
        <w:rPr>
          <w:rFonts w:hint="cs"/>
          <w:rtl/>
        </w:rPr>
        <w:t>لا يو</w:t>
      </w:r>
      <w:r w:rsidR="0075056D">
        <w:rPr>
          <w:rFonts w:hint="cs"/>
          <w:rtl/>
        </w:rPr>
        <w:t>جد للحكومة أي سلطة على المركز و</w:t>
      </w:r>
      <w:r w:rsidRPr="00E42EFF">
        <w:rPr>
          <w:rFonts w:hint="cs"/>
          <w:rtl/>
        </w:rPr>
        <w:t xml:space="preserve">هو يتمتع بحرية التعليق على سياسة الحكومة أو الإجراءات التي تتخذها، وسلوك </w:t>
      </w:r>
      <w:proofErr w:type="spellStart"/>
      <w:r w:rsidRPr="00E42EFF">
        <w:rPr>
          <w:rFonts w:hint="cs"/>
          <w:rtl/>
        </w:rPr>
        <w:t>مسؤوليها</w:t>
      </w:r>
      <w:proofErr w:type="spellEnd"/>
      <w:r w:rsidRPr="00E42EFF">
        <w:rPr>
          <w:rFonts w:hint="cs"/>
          <w:rtl/>
        </w:rPr>
        <w:t xml:space="preserve"> أو نقدها.</w:t>
      </w:r>
    </w:p>
    <w:p w:rsidR="00E42EFF" w:rsidRPr="00E42EFF" w:rsidRDefault="00E42EFF" w:rsidP="00E42EFF">
      <w:pPr>
        <w:pStyle w:val="SingleTxtGA"/>
        <w:rPr>
          <w:rtl/>
        </w:rPr>
      </w:pPr>
      <w:r w:rsidRPr="00E42EFF">
        <w:rPr>
          <w:rFonts w:hint="cs"/>
          <w:rtl/>
        </w:rPr>
        <w:t>2-</w:t>
      </w:r>
      <w:r w:rsidRPr="00E42EFF">
        <w:rPr>
          <w:rFonts w:hint="cs"/>
          <w:rtl/>
        </w:rPr>
        <w:tab/>
        <w:t xml:space="preserve">أما فيما يتعلق بالدعم المالي للمركز تحرص الحكومة على تقديم الدعم المالي له سنوياً لتمكينه من القيام بمسؤولياته، و ذلك بالرغم من الضائقة المالية التي تعانيها خزينة الدولة حيث خصص للمركز على سبيل المثال مبلغ 382 ألف دينار أردني لعام 2013. </w:t>
      </w:r>
    </w:p>
    <w:p w:rsidR="00E42EFF" w:rsidRPr="00E42EFF" w:rsidRDefault="00E42EFF" w:rsidP="00E42EFF">
      <w:pPr>
        <w:pStyle w:val="H1GA"/>
        <w:rPr>
          <w:rtl/>
        </w:rPr>
      </w:pPr>
      <w:r w:rsidRPr="00E42EFF">
        <w:rPr>
          <w:rFonts w:hint="cs"/>
          <w:rtl/>
        </w:rPr>
        <w:tab/>
      </w:r>
      <w:r w:rsidRPr="00E42EFF">
        <w:rPr>
          <w:rFonts w:hint="cs"/>
          <w:rtl/>
        </w:rPr>
        <w:tab/>
      </w:r>
      <w:r w:rsidRPr="00E42EFF">
        <w:rPr>
          <w:rtl/>
        </w:rPr>
        <w:t xml:space="preserve">التوصية رقم (11) </w:t>
      </w:r>
      <w:r w:rsidRPr="00E42EFF">
        <w:rPr>
          <w:rFonts w:hint="cs"/>
          <w:rtl/>
        </w:rPr>
        <w:t>المتعلقة</w:t>
      </w:r>
      <w:r w:rsidRPr="00E42EFF">
        <w:rPr>
          <w:rtl/>
        </w:rPr>
        <w:t xml:space="preserve"> بقانون منع الجرائم</w:t>
      </w:r>
    </w:p>
    <w:p w:rsidR="00E42EFF" w:rsidRPr="00E42EFF" w:rsidRDefault="00E42EFF" w:rsidP="00E42EFF">
      <w:pPr>
        <w:pStyle w:val="SingleTxtGA"/>
        <w:rPr>
          <w:rtl/>
          <w:lang w:bidi="ar-JO"/>
        </w:rPr>
      </w:pPr>
      <w:r w:rsidRPr="00E42EFF">
        <w:rPr>
          <w:rFonts w:hint="cs"/>
          <w:rtl/>
          <w:lang w:bidi="ar-JO"/>
        </w:rPr>
        <w:t>3-</w:t>
      </w:r>
      <w:r w:rsidRPr="00E42EFF">
        <w:rPr>
          <w:rFonts w:hint="cs"/>
          <w:rtl/>
          <w:lang w:bidi="ar-JO"/>
        </w:rPr>
        <w:tab/>
      </w:r>
      <w:r w:rsidRPr="00E42EFF">
        <w:rPr>
          <w:rtl/>
          <w:lang w:bidi="ar-JO"/>
        </w:rPr>
        <w:t xml:space="preserve">فيما يتعلق بالفقرة (11) المتعلقة بقانون منع الجرائم رقم (7) لسنة 1954 وقلق اللجنة من تخويل هذا القانون الحكام الإداريين صلاحيات تمكنهم من توقيف أي شخص يعتبرون </w:t>
      </w:r>
      <w:r w:rsidRPr="00E42EFF">
        <w:rPr>
          <w:rFonts w:hint="cs"/>
          <w:rtl/>
          <w:lang w:bidi="ar-JO"/>
        </w:rPr>
        <w:t>أ</w:t>
      </w:r>
      <w:r w:rsidRPr="00E42EFF">
        <w:rPr>
          <w:rtl/>
          <w:lang w:bidi="ar-JO"/>
        </w:rPr>
        <w:t>نه يمثل خطرا</w:t>
      </w:r>
      <w:r w:rsidR="0047095E">
        <w:rPr>
          <w:rFonts w:hint="cs"/>
          <w:rtl/>
          <w:lang w:bidi="ar-JO"/>
        </w:rPr>
        <w:t>ً</w:t>
      </w:r>
      <w:r w:rsidRPr="00E42EFF">
        <w:rPr>
          <w:rtl/>
          <w:lang w:bidi="ar-JO"/>
        </w:rPr>
        <w:t xml:space="preserve"> على المجتمع</w:t>
      </w:r>
      <w:r w:rsidRPr="00E42EFF">
        <w:rPr>
          <w:rFonts w:hint="cs"/>
          <w:rtl/>
          <w:lang w:bidi="ar-JO"/>
        </w:rPr>
        <w:t>،</w:t>
      </w:r>
      <w:r w:rsidRPr="00E42EFF">
        <w:rPr>
          <w:rtl/>
          <w:lang w:bidi="ar-JO"/>
        </w:rPr>
        <w:t xml:space="preserve"> وذلك دون قرار اتهام ودون توفير الضمانات القانونية ودون صدور أي أمر قضائي في الموضوع</w:t>
      </w:r>
      <w:r w:rsidRPr="00E42EFF">
        <w:rPr>
          <w:rFonts w:hint="cs"/>
          <w:rtl/>
          <w:lang w:bidi="ar-JO"/>
        </w:rPr>
        <w:t>،</w:t>
      </w:r>
      <w:r w:rsidRPr="00E42EFF">
        <w:rPr>
          <w:rtl/>
          <w:lang w:bidi="ar-JO"/>
        </w:rPr>
        <w:t xml:space="preserve"> فتجدر </w:t>
      </w:r>
      <w:r w:rsidRPr="00E42EFF">
        <w:rPr>
          <w:rFonts w:hint="cs"/>
          <w:rtl/>
          <w:lang w:bidi="ar-JO"/>
        </w:rPr>
        <w:t>الإشارة</w:t>
      </w:r>
      <w:r w:rsidRPr="00E42EFF">
        <w:rPr>
          <w:rtl/>
          <w:lang w:bidi="ar-JO"/>
        </w:rPr>
        <w:t xml:space="preserve"> </w:t>
      </w:r>
      <w:r w:rsidRPr="00E42EFF">
        <w:rPr>
          <w:rFonts w:hint="cs"/>
          <w:rtl/>
          <w:lang w:bidi="ar-JO"/>
        </w:rPr>
        <w:t>إلى</w:t>
      </w:r>
      <w:r w:rsidRPr="00E42EFF">
        <w:rPr>
          <w:rtl/>
          <w:lang w:bidi="ar-JO"/>
        </w:rPr>
        <w:t xml:space="preserve"> ما يلي:</w:t>
      </w:r>
    </w:p>
    <w:p w:rsidR="00E42EFF" w:rsidRPr="00E42EFF" w:rsidRDefault="00E42EFF" w:rsidP="00E42EFF">
      <w:pPr>
        <w:pStyle w:val="SingleTxtGA"/>
        <w:rPr>
          <w:rFonts w:hint="cs"/>
        </w:rPr>
      </w:pPr>
      <w:r>
        <w:rPr>
          <w:rFonts w:hint="cs"/>
          <w:rtl/>
          <w:lang w:bidi="ar-JO"/>
        </w:rPr>
        <w:tab/>
      </w:r>
      <w:r w:rsidRPr="00E42EFF">
        <w:rPr>
          <w:rFonts w:hint="cs"/>
          <w:rtl/>
          <w:lang w:bidi="ar-JO"/>
        </w:rPr>
        <w:t>(</w:t>
      </w:r>
      <w:r w:rsidRPr="00E42EFF">
        <w:rPr>
          <w:rtl/>
          <w:lang w:bidi="ar-JO"/>
        </w:rPr>
        <w:t>أ</w:t>
      </w:r>
      <w:r>
        <w:rPr>
          <w:rFonts w:hint="cs"/>
          <w:rtl/>
          <w:lang w:bidi="ar-JO"/>
        </w:rPr>
        <w:t>)</w:t>
      </w:r>
      <w:r>
        <w:rPr>
          <w:rFonts w:hint="cs"/>
          <w:rtl/>
          <w:lang w:bidi="ar-JO"/>
        </w:rPr>
        <w:tab/>
      </w:r>
      <w:r w:rsidRPr="00E42EFF">
        <w:rPr>
          <w:rtl/>
          <w:lang w:bidi="ar-JO"/>
        </w:rPr>
        <w:t xml:space="preserve">المادة (3) من قانون منع الجرائم نصت على </w:t>
      </w:r>
      <w:r w:rsidRPr="00E42EFF">
        <w:rPr>
          <w:rFonts w:hint="cs"/>
          <w:rtl/>
          <w:lang w:bidi="ar-JO"/>
        </w:rPr>
        <w:t>أ</w:t>
      </w:r>
      <w:r w:rsidRPr="00E42EFF">
        <w:rPr>
          <w:rtl/>
          <w:lang w:bidi="ar-JO"/>
        </w:rPr>
        <w:t>نه: "</w:t>
      </w:r>
      <w:r w:rsidRPr="00E42EFF">
        <w:rPr>
          <w:rFonts w:hint="cs"/>
          <w:rtl/>
          <w:lang w:bidi="ar-JO"/>
        </w:rPr>
        <w:t>إذا</w:t>
      </w:r>
      <w:r w:rsidRPr="00E42EFF">
        <w:rPr>
          <w:rtl/>
          <w:lang w:bidi="ar-JO"/>
        </w:rPr>
        <w:t xml:space="preserve"> اتصل بالمتصرف </w:t>
      </w:r>
      <w:r w:rsidRPr="00E42EFF">
        <w:rPr>
          <w:rFonts w:hint="cs"/>
          <w:rtl/>
          <w:lang w:bidi="ar-JO"/>
        </w:rPr>
        <w:t>أو</w:t>
      </w:r>
      <w:r w:rsidRPr="00E42EFF">
        <w:rPr>
          <w:rtl/>
          <w:lang w:bidi="ar-JO"/>
        </w:rPr>
        <w:t xml:space="preserve"> كان لديه ما يحمله على الاعتقاد بوجود شخص في منطقة اختصاصه ينتسب </w:t>
      </w:r>
      <w:r w:rsidRPr="00E42EFF">
        <w:rPr>
          <w:rFonts w:hint="cs"/>
          <w:rtl/>
          <w:lang w:bidi="ar-JO"/>
        </w:rPr>
        <w:t>لأي</w:t>
      </w:r>
      <w:r w:rsidRPr="00E42EFF">
        <w:rPr>
          <w:rtl/>
          <w:lang w:bidi="ar-JO"/>
        </w:rPr>
        <w:t xml:space="preserve"> صنف من </w:t>
      </w:r>
      <w:r w:rsidRPr="00E42EFF">
        <w:rPr>
          <w:rFonts w:hint="cs"/>
          <w:rtl/>
          <w:lang w:bidi="ar-JO"/>
        </w:rPr>
        <w:t>الأصناف</w:t>
      </w:r>
      <w:r w:rsidRPr="00E42EFF">
        <w:rPr>
          <w:rtl/>
          <w:lang w:bidi="ar-JO"/>
        </w:rPr>
        <w:t xml:space="preserve"> المذكورة </w:t>
      </w:r>
      <w:r w:rsidRPr="00E42EFF">
        <w:rPr>
          <w:rFonts w:hint="cs"/>
          <w:rtl/>
          <w:lang w:bidi="ar-JO"/>
        </w:rPr>
        <w:t>أدناه</w:t>
      </w:r>
      <w:r w:rsidRPr="00E42EFF">
        <w:rPr>
          <w:rtl/>
          <w:lang w:bidi="ar-JO"/>
        </w:rPr>
        <w:t xml:space="preserve"> </w:t>
      </w:r>
      <w:r w:rsidRPr="00E42EFF">
        <w:rPr>
          <w:rFonts w:hint="cs"/>
          <w:rtl/>
          <w:lang w:bidi="ar-JO"/>
        </w:rPr>
        <w:t>ورأى</w:t>
      </w:r>
      <w:r w:rsidRPr="00E42EFF">
        <w:rPr>
          <w:rtl/>
          <w:lang w:bidi="ar-JO"/>
        </w:rPr>
        <w:t xml:space="preserve"> </w:t>
      </w:r>
      <w:r w:rsidRPr="00E42EFF">
        <w:rPr>
          <w:rFonts w:hint="cs"/>
          <w:rtl/>
          <w:lang w:bidi="ar-JO"/>
        </w:rPr>
        <w:t>أن</w:t>
      </w:r>
      <w:r w:rsidRPr="00E42EFF">
        <w:rPr>
          <w:rtl/>
          <w:lang w:bidi="ar-JO"/>
        </w:rPr>
        <w:t xml:space="preserve"> هنالك </w:t>
      </w:r>
      <w:r w:rsidRPr="00E42EFF">
        <w:rPr>
          <w:rFonts w:hint="cs"/>
          <w:rtl/>
          <w:lang w:bidi="ar-JO"/>
        </w:rPr>
        <w:t>أسبابا</w:t>
      </w:r>
      <w:r w:rsidR="0047095E">
        <w:rPr>
          <w:rFonts w:hint="cs"/>
          <w:rtl/>
          <w:lang w:bidi="ar-JO"/>
        </w:rPr>
        <w:t>ً</w:t>
      </w:r>
      <w:r w:rsidRPr="00E42EFF">
        <w:rPr>
          <w:rtl/>
          <w:lang w:bidi="ar-JO"/>
        </w:rPr>
        <w:t xml:space="preserve"> كافية لاتخاذ </w:t>
      </w:r>
      <w:r w:rsidRPr="00E42EFF">
        <w:rPr>
          <w:rFonts w:hint="cs"/>
          <w:rtl/>
          <w:lang w:bidi="ar-JO"/>
        </w:rPr>
        <w:t>الإجراءات</w:t>
      </w:r>
      <w:r w:rsidRPr="00E42EFF">
        <w:rPr>
          <w:rtl/>
          <w:lang w:bidi="ar-JO"/>
        </w:rPr>
        <w:t xml:space="preserve"> فيجوز له </w:t>
      </w:r>
      <w:r w:rsidRPr="00E42EFF">
        <w:rPr>
          <w:rFonts w:hint="cs"/>
          <w:rtl/>
          <w:lang w:bidi="ar-JO"/>
        </w:rPr>
        <w:t>أن</w:t>
      </w:r>
      <w:r w:rsidRPr="00E42EFF">
        <w:rPr>
          <w:rtl/>
          <w:lang w:bidi="ar-JO"/>
        </w:rPr>
        <w:t xml:space="preserve"> يصدر </w:t>
      </w:r>
      <w:r w:rsidRPr="00E42EFF">
        <w:rPr>
          <w:rFonts w:hint="cs"/>
          <w:rtl/>
          <w:lang w:bidi="ar-JO"/>
        </w:rPr>
        <w:t>إلى</w:t>
      </w:r>
      <w:r w:rsidRPr="00E42EFF">
        <w:rPr>
          <w:rtl/>
          <w:lang w:bidi="ar-JO"/>
        </w:rPr>
        <w:t xml:space="preserve"> الشخص المذكور مذكرة حضور بالصيغة المدرجة في الذيل </w:t>
      </w:r>
      <w:r w:rsidRPr="00E42EFF">
        <w:rPr>
          <w:rFonts w:hint="cs"/>
          <w:rtl/>
          <w:lang w:bidi="ar-JO"/>
        </w:rPr>
        <w:t>الأول</w:t>
      </w:r>
      <w:r w:rsidRPr="00E42EFF">
        <w:rPr>
          <w:rtl/>
          <w:lang w:bidi="ar-JO"/>
        </w:rPr>
        <w:t xml:space="preserve"> لهذا القانون، يكلفه فيها بالحضور </w:t>
      </w:r>
      <w:r w:rsidRPr="00E42EFF">
        <w:rPr>
          <w:rFonts w:hint="cs"/>
          <w:rtl/>
          <w:lang w:bidi="ar-JO"/>
        </w:rPr>
        <w:t>أمامه</w:t>
      </w:r>
      <w:r w:rsidRPr="00E42EFF">
        <w:rPr>
          <w:rtl/>
          <w:lang w:bidi="ar-JO"/>
        </w:rPr>
        <w:t xml:space="preserve"> ليبين </w:t>
      </w:r>
      <w:r w:rsidRPr="00E42EFF">
        <w:rPr>
          <w:rFonts w:hint="cs"/>
          <w:rtl/>
          <w:lang w:bidi="ar-JO"/>
        </w:rPr>
        <w:t>إذا</w:t>
      </w:r>
      <w:r w:rsidRPr="00E42EFF">
        <w:rPr>
          <w:rtl/>
          <w:lang w:bidi="ar-JO"/>
        </w:rPr>
        <w:t xml:space="preserve"> كان لديه </w:t>
      </w:r>
      <w:r w:rsidRPr="00E42EFF">
        <w:rPr>
          <w:rFonts w:hint="cs"/>
          <w:rtl/>
          <w:lang w:bidi="ar-JO"/>
        </w:rPr>
        <w:t>أسباب</w:t>
      </w:r>
      <w:r w:rsidRPr="00E42EFF">
        <w:rPr>
          <w:rtl/>
          <w:lang w:bidi="ar-JO"/>
        </w:rPr>
        <w:t xml:space="preserve"> تمنع من ربطه بتعهد، </w:t>
      </w:r>
      <w:r w:rsidRPr="00E42EFF">
        <w:rPr>
          <w:rFonts w:hint="cs"/>
          <w:rtl/>
          <w:lang w:bidi="ar-JO"/>
        </w:rPr>
        <w:t>إما</w:t>
      </w:r>
      <w:r w:rsidRPr="00E42EFF">
        <w:rPr>
          <w:rtl/>
          <w:lang w:bidi="ar-JO"/>
        </w:rPr>
        <w:t xml:space="preserve"> بكفالة </w:t>
      </w:r>
      <w:proofErr w:type="spellStart"/>
      <w:r w:rsidRPr="00E42EFF">
        <w:rPr>
          <w:rtl/>
          <w:lang w:bidi="ar-JO"/>
        </w:rPr>
        <w:t>كفلاء</w:t>
      </w:r>
      <w:proofErr w:type="spellEnd"/>
      <w:r w:rsidRPr="00E42EFF">
        <w:rPr>
          <w:rtl/>
          <w:lang w:bidi="ar-JO"/>
        </w:rPr>
        <w:t xml:space="preserve"> </w:t>
      </w:r>
      <w:r w:rsidRPr="00E42EFF">
        <w:rPr>
          <w:rFonts w:hint="cs"/>
          <w:rtl/>
          <w:lang w:bidi="ar-JO"/>
        </w:rPr>
        <w:t>وإما</w:t>
      </w:r>
      <w:r w:rsidRPr="00E42EFF">
        <w:rPr>
          <w:rtl/>
          <w:lang w:bidi="ar-JO"/>
        </w:rPr>
        <w:t xml:space="preserve"> بدون ذلك، حسب الصيغة المدرجة في الذيل الثاني لهذا القانون يتعهد فيه ب</w:t>
      </w:r>
      <w:r w:rsidRPr="00E42EFF">
        <w:rPr>
          <w:rFonts w:hint="cs"/>
          <w:rtl/>
          <w:lang w:bidi="ar-JO"/>
        </w:rPr>
        <w:t>أ</w:t>
      </w:r>
      <w:r w:rsidRPr="00E42EFF">
        <w:rPr>
          <w:rtl/>
          <w:lang w:bidi="ar-JO"/>
        </w:rPr>
        <w:t xml:space="preserve">ن يكون حسن السيرة خلال المدة التي يستصوب المتصرف تحديدها على </w:t>
      </w:r>
      <w:r w:rsidRPr="00E42EFF">
        <w:rPr>
          <w:rFonts w:hint="cs"/>
          <w:rtl/>
          <w:lang w:bidi="ar-JO"/>
        </w:rPr>
        <w:t>أن</w:t>
      </w:r>
      <w:r w:rsidR="0062574C">
        <w:rPr>
          <w:rtl/>
          <w:lang w:bidi="ar-JO"/>
        </w:rPr>
        <w:t xml:space="preserve"> لا تتجاوز سنة واحدة</w:t>
      </w:r>
      <w:r w:rsidR="0062574C">
        <w:rPr>
          <w:rFonts w:hint="cs"/>
          <w:rtl/>
          <w:lang w:bidi="ar-JO"/>
        </w:rPr>
        <w:t>؛</w:t>
      </w:r>
    </w:p>
    <w:p w:rsidR="00E42EFF" w:rsidRPr="00E42EFF" w:rsidRDefault="00E42EFF" w:rsidP="0075056D">
      <w:pPr>
        <w:pStyle w:val="Roman1GA"/>
        <w:tabs>
          <w:tab w:val="clear" w:pos="2041"/>
          <w:tab w:val="num" w:pos="2618"/>
        </w:tabs>
        <w:bidi/>
        <w:ind w:left="2618" w:hanging="511"/>
        <w:rPr>
          <w:rtl/>
          <w:lang w:bidi="ar-JO"/>
        </w:rPr>
      </w:pPr>
      <w:r w:rsidRPr="00E42EFF">
        <w:rPr>
          <w:rtl/>
          <w:lang w:bidi="ar-JO"/>
        </w:rPr>
        <w:t xml:space="preserve">كل من وجد في مكان عام </w:t>
      </w:r>
      <w:r w:rsidRPr="00E42EFF">
        <w:rPr>
          <w:rFonts w:hint="cs"/>
          <w:rtl/>
          <w:lang w:bidi="ar-JO"/>
        </w:rPr>
        <w:t>أو</w:t>
      </w:r>
      <w:r w:rsidRPr="00E42EFF">
        <w:rPr>
          <w:rtl/>
          <w:lang w:bidi="ar-JO"/>
        </w:rPr>
        <w:t xml:space="preserve"> خاص في ظروف تقنع المتصرف </w:t>
      </w:r>
      <w:r w:rsidRPr="00E42EFF">
        <w:rPr>
          <w:rFonts w:hint="cs"/>
          <w:rtl/>
          <w:lang w:bidi="ar-JO"/>
        </w:rPr>
        <w:t>بأنه</w:t>
      </w:r>
      <w:r w:rsidRPr="00E42EFF">
        <w:rPr>
          <w:rtl/>
          <w:lang w:bidi="ar-JO"/>
        </w:rPr>
        <w:t xml:space="preserve"> كان على وشك ارتكاب </w:t>
      </w:r>
      <w:r w:rsidRPr="00E42EFF">
        <w:rPr>
          <w:rFonts w:hint="cs"/>
          <w:rtl/>
          <w:lang w:bidi="ar-JO"/>
        </w:rPr>
        <w:t>أي</w:t>
      </w:r>
      <w:r w:rsidRPr="00E42EFF">
        <w:rPr>
          <w:rtl/>
          <w:lang w:bidi="ar-JO"/>
        </w:rPr>
        <w:t xml:space="preserve"> جرم </w:t>
      </w:r>
      <w:r w:rsidRPr="00E42EFF">
        <w:rPr>
          <w:rFonts w:hint="cs"/>
          <w:rtl/>
          <w:lang w:bidi="ar-JO"/>
        </w:rPr>
        <w:t>أو</w:t>
      </w:r>
      <w:r w:rsidRPr="00E42EFF">
        <w:rPr>
          <w:rtl/>
          <w:lang w:bidi="ar-JO"/>
        </w:rPr>
        <w:t xml:space="preserve"> المساعدة على </w:t>
      </w:r>
      <w:r w:rsidR="0062574C">
        <w:rPr>
          <w:rFonts w:hint="cs"/>
          <w:rtl/>
          <w:lang w:bidi="ar-JO"/>
        </w:rPr>
        <w:t>ارتكابه؛</w:t>
      </w:r>
    </w:p>
    <w:p w:rsidR="00E42EFF" w:rsidRPr="00E42EFF" w:rsidRDefault="00E42EFF" w:rsidP="00E42EFF">
      <w:pPr>
        <w:pStyle w:val="Roman1GA"/>
        <w:tabs>
          <w:tab w:val="clear" w:pos="2041"/>
          <w:tab w:val="num" w:pos="2618"/>
        </w:tabs>
        <w:bidi/>
        <w:ind w:left="2618" w:hanging="511"/>
        <w:rPr>
          <w:rtl/>
          <w:lang w:bidi="ar-JO"/>
        </w:rPr>
      </w:pPr>
      <w:r w:rsidRPr="00E42EFF">
        <w:rPr>
          <w:rtl/>
          <w:lang w:bidi="ar-JO"/>
        </w:rPr>
        <w:t xml:space="preserve">كل من اعتاد </w:t>
      </w:r>
      <w:proofErr w:type="spellStart"/>
      <w:r w:rsidRPr="00E42EFF">
        <w:rPr>
          <w:rtl/>
          <w:lang w:bidi="ar-JO"/>
        </w:rPr>
        <w:t>اللصوصية</w:t>
      </w:r>
      <w:proofErr w:type="spellEnd"/>
      <w:r w:rsidRPr="00E42EFF">
        <w:rPr>
          <w:rtl/>
          <w:lang w:bidi="ar-JO"/>
        </w:rPr>
        <w:t xml:space="preserve"> </w:t>
      </w:r>
      <w:r w:rsidRPr="00E42EFF">
        <w:rPr>
          <w:rFonts w:hint="cs"/>
          <w:rtl/>
          <w:lang w:bidi="ar-JO"/>
        </w:rPr>
        <w:t>أو</w:t>
      </w:r>
      <w:r w:rsidRPr="00E42EFF">
        <w:rPr>
          <w:rtl/>
          <w:lang w:bidi="ar-JO"/>
        </w:rPr>
        <w:t xml:space="preserve"> السرقة </w:t>
      </w:r>
      <w:r w:rsidRPr="00E42EFF">
        <w:rPr>
          <w:rFonts w:hint="cs"/>
          <w:rtl/>
          <w:lang w:bidi="ar-JO"/>
        </w:rPr>
        <w:t>أو</w:t>
      </w:r>
      <w:r w:rsidRPr="00E42EFF">
        <w:rPr>
          <w:rtl/>
          <w:lang w:bidi="ar-JO"/>
        </w:rPr>
        <w:t xml:space="preserve"> حيازة </w:t>
      </w:r>
      <w:r w:rsidRPr="00E42EFF">
        <w:rPr>
          <w:rFonts w:hint="cs"/>
          <w:rtl/>
          <w:lang w:bidi="ar-JO"/>
        </w:rPr>
        <w:t>الأموال</w:t>
      </w:r>
      <w:r w:rsidRPr="00E42EFF">
        <w:rPr>
          <w:rtl/>
          <w:lang w:bidi="ar-JO"/>
        </w:rPr>
        <w:t xml:space="preserve"> المسروقة </w:t>
      </w:r>
      <w:r w:rsidRPr="00E42EFF">
        <w:rPr>
          <w:rFonts w:hint="cs"/>
          <w:rtl/>
          <w:lang w:bidi="ar-JO"/>
        </w:rPr>
        <w:t>أو</w:t>
      </w:r>
      <w:r w:rsidRPr="00E42EFF">
        <w:rPr>
          <w:rtl/>
          <w:lang w:bidi="ar-JO"/>
        </w:rPr>
        <w:t xml:space="preserve"> اعتاد حماية اللصوص </w:t>
      </w:r>
      <w:r w:rsidRPr="00E42EFF">
        <w:rPr>
          <w:rFonts w:hint="cs"/>
          <w:rtl/>
          <w:lang w:bidi="ar-JO"/>
        </w:rPr>
        <w:t>أو</w:t>
      </w:r>
      <w:r w:rsidRPr="00E42EFF">
        <w:rPr>
          <w:rtl/>
          <w:lang w:bidi="ar-JO"/>
        </w:rPr>
        <w:t xml:space="preserve"> </w:t>
      </w:r>
      <w:r w:rsidRPr="00E42EFF">
        <w:rPr>
          <w:rFonts w:hint="cs"/>
          <w:rtl/>
          <w:lang w:bidi="ar-JO"/>
        </w:rPr>
        <w:t>إيواءهم</w:t>
      </w:r>
      <w:r w:rsidRPr="00E42EFF">
        <w:rPr>
          <w:rtl/>
          <w:lang w:bidi="ar-JO"/>
        </w:rPr>
        <w:t xml:space="preserve"> </w:t>
      </w:r>
      <w:r w:rsidRPr="00E42EFF">
        <w:rPr>
          <w:rFonts w:hint="cs"/>
          <w:rtl/>
          <w:lang w:bidi="ar-JO"/>
        </w:rPr>
        <w:t>أو</w:t>
      </w:r>
      <w:r w:rsidRPr="00E42EFF">
        <w:rPr>
          <w:rtl/>
          <w:lang w:bidi="ar-JO"/>
        </w:rPr>
        <w:t xml:space="preserve"> المساعدة على </w:t>
      </w:r>
      <w:r w:rsidRPr="00E42EFF">
        <w:rPr>
          <w:rFonts w:hint="cs"/>
          <w:rtl/>
          <w:lang w:bidi="ar-JO"/>
        </w:rPr>
        <w:t>إخفاء</w:t>
      </w:r>
      <w:r w:rsidRPr="00E42EFF">
        <w:rPr>
          <w:rtl/>
          <w:lang w:bidi="ar-JO"/>
        </w:rPr>
        <w:t xml:space="preserve"> </w:t>
      </w:r>
      <w:r w:rsidRPr="00E42EFF">
        <w:rPr>
          <w:rFonts w:hint="cs"/>
          <w:rtl/>
          <w:lang w:bidi="ar-JO"/>
        </w:rPr>
        <w:t>الأموال</w:t>
      </w:r>
      <w:r w:rsidRPr="00E42EFF">
        <w:rPr>
          <w:rtl/>
          <w:lang w:bidi="ar-JO"/>
        </w:rPr>
        <w:t xml:space="preserve"> المسروقة </w:t>
      </w:r>
      <w:r w:rsidRPr="00E42EFF">
        <w:rPr>
          <w:rFonts w:hint="cs"/>
          <w:rtl/>
          <w:lang w:bidi="ar-JO"/>
        </w:rPr>
        <w:t>أو</w:t>
      </w:r>
      <w:r w:rsidR="0062574C">
        <w:rPr>
          <w:rtl/>
          <w:lang w:bidi="ar-JO"/>
        </w:rPr>
        <w:t xml:space="preserve"> التصرف فيها</w:t>
      </w:r>
      <w:r w:rsidR="0062574C">
        <w:rPr>
          <w:rFonts w:hint="cs"/>
          <w:rtl/>
          <w:lang w:bidi="ar-JO"/>
        </w:rPr>
        <w:t>؛</w:t>
      </w:r>
    </w:p>
    <w:p w:rsidR="00E42EFF" w:rsidRPr="00E42EFF" w:rsidRDefault="00E42EFF" w:rsidP="00E42EFF">
      <w:pPr>
        <w:pStyle w:val="Roman1GA"/>
        <w:tabs>
          <w:tab w:val="clear" w:pos="2041"/>
          <w:tab w:val="num" w:pos="2618"/>
        </w:tabs>
        <w:bidi/>
        <w:ind w:left="2618" w:hanging="511"/>
        <w:rPr>
          <w:rtl/>
          <w:lang w:bidi="ar-JO"/>
        </w:rPr>
      </w:pPr>
      <w:r w:rsidRPr="00E42EFF">
        <w:rPr>
          <w:rtl/>
          <w:lang w:bidi="ar-JO"/>
        </w:rPr>
        <w:t>كل من كان في حالة تجعل وجوده طليقاً بلا كفالة خطراً على الناس</w:t>
      </w:r>
      <w:r w:rsidRPr="00E42EFF">
        <w:rPr>
          <w:rFonts w:hint="cs"/>
          <w:rtl/>
          <w:lang w:bidi="ar-JO"/>
        </w:rPr>
        <w:t>"؛</w:t>
      </w:r>
    </w:p>
    <w:p w:rsidR="00E42EFF" w:rsidRPr="00E42EFF" w:rsidRDefault="00E42EFF" w:rsidP="00E42EFF">
      <w:pPr>
        <w:pStyle w:val="SingleTxtGA"/>
        <w:rPr>
          <w:rFonts w:hint="cs"/>
          <w:rtl/>
          <w:lang w:bidi="ar-JO"/>
        </w:rPr>
      </w:pPr>
      <w:r>
        <w:rPr>
          <w:rtl/>
          <w:lang w:bidi="ar-JO"/>
        </w:rPr>
        <w:tab/>
      </w:r>
      <w:r w:rsidRPr="00E42EFF">
        <w:rPr>
          <w:rFonts w:hint="cs"/>
          <w:rtl/>
          <w:lang w:bidi="ar-JO"/>
        </w:rPr>
        <w:t>(ب)</w:t>
      </w:r>
      <w:r>
        <w:rPr>
          <w:rFonts w:hint="cs"/>
          <w:rtl/>
          <w:lang w:bidi="ar-JO"/>
        </w:rPr>
        <w:tab/>
      </w:r>
      <w:r w:rsidRPr="00E42EFF">
        <w:rPr>
          <w:rFonts w:hint="cs"/>
          <w:rtl/>
          <w:lang w:bidi="ar-JO"/>
        </w:rPr>
        <w:t>إ</w:t>
      </w:r>
      <w:r w:rsidRPr="00E42EFF">
        <w:rPr>
          <w:rFonts w:hint="cs"/>
          <w:rtl/>
        </w:rPr>
        <w:t>ن</w:t>
      </w:r>
      <w:r w:rsidRPr="00E42EFF">
        <w:rPr>
          <w:rtl/>
        </w:rPr>
        <w:t xml:space="preserve"> الإجراءات </w:t>
      </w:r>
      <w:r w:rsidRPr="00E42EFF">
        <w:rPr>
          <w:rtl/>
          <w:lang w:bidi="ar-JO"/>
        </w:rPr>
        <w:t>والتدابير</w:t>
      </w:r>
      <w:r w:rsidRPr="00E42EFF">
        <w:rPr>
          <w:rtl/>
        </w:rPr>
        <w:t xml:space="preserve"> الضبطية تعتبر إجراءات وقائية تستهدف حماية النظام العام من الاعتداء عليه أو انتهاكه عن طريق توقع الأحداث ومنع وقوعها</w:t>
      </w:r>
      <w:r w:rsidRPr="00E42EFF">
        <w:rPr>
          <w:rFonts w:hint="cs"/>
          <w:rtl/>
        </w:rPr>
        <w:t>؛</w:t>
      </w:r>
    </w:p>
    <w:p w:rsidR="00E42EFF" w:rsidRPr="00E42EFF" w:rsidRDefault="00E42EFF" w:rsidP="00E42EFF">
      <w:pPr>
        <w:pStyle w:val="SingleTxtGA"/>
        <w:rPr>
          <w:rtl/>
          <w:lang w:bidi="ar-JO"/>
        </w:rPr>
      </w:pPr>
      <w:r>
        <w:rPr>
          <w:rtl/>
          <w:lang w:bidi="ar-JO"/>
        </w:rPr>
        <w:tab/>
      </w:r>
      <w:r w:rsidRPr="00E42EFF">
        <w:rPr>
          <w:rFonts w:hint="cs"/>
          <w:rtl/>
          <w:lang w:bidi="ar-JO"/>
        </w:rPr>
        <w:t>(ج)</w:t>
      </w:r>
      <w:r>
        <w:rPr>
          <w:rFonts w:hint="cs"/>
          <w:rtl/>
          <w:lang w:bidi="ar-JO"/>
        </w:rPr>
        <w:tab/>
      </w:r>
      <w:r w:rsidRPr="00E42EFF">
        <w:rPr>
          <w:rtl/>
        </w:rPr>
        <w:t xml:space="preserve">كما ويتضمن القانون مجموعة من الإجراءات والتدابير التـي كفلها المشرع للشخص المعني </w:t>
      </w:r>
      <w:r w:rsidRPr="00E42EFF">
        <w:rPr>
          <w:rtl/>
          <w:lang w:bidi="ar-JO"/>
        </w:rPr>
        <w:t>حتى</w:t>
      </w:r>
      <w:r w:rsidRPr="00E42EFF">
        <w:rPr>
          <w:rtl/>
        </w:rPr>
        <w:t xml:space="preserve"> يضمن خضوعه لإجراءات عادلة من حيث </w:t>
      </w:r>
      <w:r w:rsidRPr="00E42EFF">
        <w:rPr>
          <w:rtl/>
          <w:lang w:bidi="ar-JO"/>
        </w:rPr>
        <w:t>التحقيق</w:t>
      </w:r>
      <w:r w:rsidRPr="00E42EFF">
        <w:rPr>
          <w:rtl/>
        </w:rPr>
        <w:t xml:space="preserve"> وسماع الشهود وحضور المحامين والسماح للمتضرر الطعن بالقرارات الإدارية لدى محكمة العدل العليا</w:t>
      </w:r>
      <w:r w:rsidRPr="00E42EFF">
        <w:rPr>
          <w:rFonts w:hint="cs"/>
          <w:rtl/>
        </w:rPr>
        <w:t>،</w:t>
      </w:r>
      <w:r w:rsidRPr="00E42EFF">
        <w:rPr>
          <w:rtl/>
        </w:rPr>
        <w:t xml:space="preserve"> وهذا ما تضمنته المادة الخامسة في فقرتيها </w:t>
      </w:r>
      <w:r w:rsidRPr="00E42EFF">
        <w:rPr>
          <w:rFonts w:hint="cs"/>
          <w:rtl/>
        </w:rPr>
        <w:t>الأولى</w:t>
      </w:r>
      <w:r w:rsidRPr="00E42EFF">
        <w:rPr>
          <w:rtl/>
        </w:rPr>
        <w:t xml:space="preserve"> والرابعة من هذا القانون حيث نصت على </w:t>
      </w:r>
      <w:r w:rsidRPr="00E42EFF">
        <w:rPr>
          <w:rFonts w:hint="cs"/>
          <w:rtl/>
        </w:rPr>
        <w:t>أ</w:t>
      </w:r>
      <w:r w:rsidRPr="00E42EFF">
        <w:rPr>
          <w:rtl/>
        </w:rPr>
        <w:t>نه: "1</w:t>
      </w:r>
      <w:r w:rsidRPr="00E42EFF">
        <w:rPr>
          <w:rFonts w:hint="cs"/>
          <w:rtl/>
        </w:rPr>
        <w:t>-</w:t>
      </w:r>
      <w:r w:rsidRPr="00E42EFF">
        <w:rPr>
          <w:rtl/>
        </w:rPr>
        <w:t xml:space="preserve"> لدى حضور </w:t>
      </w:r>
      <w:r w:rsidRPr="00E42EFF">
        <w:rPr>
          <w:rFonts w:hint="cs"/>
          <w:rtl/>
        </w:rPr>
        <w:t>أو</w:t>
      </w:r>
      <w:r w:rsidRPr="00E42EFF">
        <w:rPr>
          <w:rtl/>
        </w:rPr>
        <w:t xml:space="preserve"> </w:t>
      </w:r>
      <w:r w:rsidRPr="00E42EFF">
        <w:rPr>
          <w:rFonts w:hint="cs"/>
          <w:rtl/>
        </w:rPr>
        <w:t>إحضار</w:t>
      </w:r>
      <w:r w:rsidRPr="00E42EFF">
        <w:rPr>
          <w:rtl/>
        </w:rPr>
        <w:t xml:space="preserve"> شخص </w:t>
      </w:r>
      <w:r w:rsidRPr="00E42EFF">
        <w:rPr>
          <w:rFonts w:hint="cs"/>
          <w:rtl/>
        </w:rPr>
        <w:t>أمام</w:t>
      </w:r>
      <w:r w:rsidRPr="00E42EFF">
        <w:rPr>
          <w:rtl/>
        </w:rPr>
        <w:t xml:space="preserve"> المتصرف يشرع بالتحقيق في صحة </w:t>
      </w:r>
      <w:r w:rsidRPr="00E42EFF">
        <w:rPr>
          <w:rFonts w:hint="cs"/>
          <w:rtl/>
        </w:rPr>
        <w:t>الأخبار</w:t>
      </w:r>
      <w:r w:rsidRPr="00E42EFF">
        <w:rPr>
          <w:rtl/>
        </w:rPr>
        <w:t xml:space="preserve"> الذي اتخذت </w:t>
      </w:r>
      <w:r w:rsidRPr="00E42EFF">
        <w:rPr>
          <w:rFonts w:hint="cs"/>
          <w:rtl/>
        </w:rPr>
        <w:t>الإجراءات</w:t>
      </w:r>
      <w:r w:rsidRPr="00E42EFF">
        <w:rPr>
          <w:rtl/>
        </w:rPr>
        <w:t xml:space="preserve"> بالاستناد </w:t>
      </w:r>
      <w:r w:rsidRPr="00E42EFF">
        <w:rPr>
          <w:rFonts w:hint="cs"/>
          <w:rtl/>
        </w:rPr>
        <w:t>إليه</w:t>
      </w:r>
      <w:r w:rsidRPr="00E42EFF">
        <w:rPr>
          <w:rtl/>
        </w:rPr>
        <w:t xml:space="preserve"> ويسمع </w:t>
      </w:r>
      <w:r w:rsidRPr="00E42EFF">
        <w:rPr>
          <w:rFonts w:hint="cs"/>
          <w:rtl/>
        </w:rPr>
        <w:t>أية</w:t>
      </w:r>
      <w:r w:rsidRPr="00E42EFF">
        <w:rPr>
          <w:rtl/>
        </w:rPr>
        <w:t xml:space="preserve"> </w:t>
      </w:r>
      <w:proofErr w:type="spellStart"/>
      <w:r w:rsidRPr="00E42EFF">
        <w:rPr>
          <w:rtl/>
        </w:rPr>
        <w:t>بينات</w:t>
      </w:r>
      <w:proofErr w:type="spellEnd"/>
      <w:r w:rsidRPr="00E42EFF">
        <w:rPr>
          <w:rtl/>
        </w:rPr>
        <w:t xml:space="preserve"> </w:t>
      </w:r>
      <w:r w:rsidRPr="00E42EFF">
        <w:rPr>
          <w:rFonts w:hint="cs"/>
          <w:rtl/>
        </w:rPr>
        <w:t>أخرى</w:t>
      </w:r>
      <w:r w:rsidRPr="00E42EFF">
        <w:rPr>
          <w:rtl/>
        </w:rPr>
        <w:t xml:space="preserve"> يرى ضرورة لسماعها. 4</w:t>
      </w:r>
      <w:r w:rsidRPr="00E42EFF">
        <w:rPr>
          <w:rFonts w:hint="cs"/>
          <w:rtl/>
        </w:rPr>
        <w:t>-</w:t>
      </w:r>
      <w:r w:rsidRPr="00E42EFF">
        <w:rPr>
          <w:rtl/>
        </w:rPr>
        <w:t xml:space="preserve"> تتبع في </w:t>
      </w:r>
      <w:r w:rsidRPr="00E42EFF">
        <w:rPr>
          <w:rFonts w:hint="cs"/>
          <w:rtl/>
        </w:rPr>
        <w:t>الإجراءات</w:t>
      </w:r>
      <w:r w:rsidRPr="00E42EFF">
        <w:rPr>
          <w:rtl/>
        </w:rPr>
        <w:t xml:space="preserve"> التي تجري بمقتضى هذا القانون فيما يتعلق </w:t>
      </w:r>
      <w:r w:rsidRPr="00E42EFF">
        <w:rPr>
          <w:rFonts w:hint="cs"/>
          <w:rtl/>
        </w:rPr>
        <w:t>بأخذ</w:t>
      </w:r>
      <w:r w:rsidRPr="00E42EFF">
        <w:rPr>
          <w:rtl/>
        </w:rPr>
        <w:t xml:space="preserve"> الشهادة بعد اليمين واستجواب الشهود ومناقشتهم وحضور المحامين وتبليغ </w:t>
      </w:r>
      <w:r w:rsidRPr="00E42EFF">
        <w:rPr>
          <w:rFonts w:hint="cs"/>
          <w:rtl/>
        </w:rPr>
        <w:t>الأوامر</w:t>
      </w:r>
      <w:r w:rsidRPr="00E42EFF">
        <w:rPr>
          <w:rtl/>
        </w:rPr>
        <w:t xml:space="preserve"> ومذكرات الحضور وسائر المستندات والاعتراض على </w:t>
      </w:r>
      <w:r w:rsidRPr="00E42EFF">
        <w:rPr>
          <w:rFonts w:hint="cs"/>
          <w:rtl/>
        </w:rPr>
        <w:t>الأحكام</w:t>
      </w:r>
      <w:r w:rsidRPr="00E42EFF">
        <w:rPr>
          <w:rtl/>
        </w:rPr>
        <w:t xml:space="preserve"> وتنفيذ القرارات، </w:t>
      </w:r>
      <w:r w:rsidRPr="00E42EFF">
        <w:rPr>
          <w:rFonts w:hint="cs"/>
          <w:rtl/>
        </w:rPr>
        <w:t>الأصول</w:t>
      </w:r>
      <w:r w:rsidRPr="00E42EFF">
        <w:rPr>
          <w:rtl/>
        </w:rPr>
        <w:t xml:space="preserve"> نفسها المتبعة في </w:t>
      </w:r>
      <w:r w:rsidRPr="00E42EFF">
        <w:rPr>
          <w:rFonts w:hint="cs"/>
          <w:rtl/>
        </w:rPr>
        <w:t>الإجراءات</w:t>
      </w:r>
      <w:r w:rsidRPr="00E42EFF">
        <w:rPr>
          <w:rtl/>
        </w:rPr>
        <w:t xml:space="preserve"> الجزائية لدى المحاكم البدائية ويشترط في ذلك:</w:t>
      </w:r>
    </w:p>
    <w:p w:rsidR="00E42EFF" w:rsidRPr="00E42EFF" w:rsidRDefault="00E42EFF" w:rsidP="0075056D">
      <w:pPr>
        <w:pStyle w:val="Roman1GA"/>
        <w:numPr>
          <w:ilvl w:val="0"/>
          <w:numId w:val="40"/>
        </w:numPr>
        <w:tabs>
          <w:tab w:val="clear" w:pos="2041"/>
          <w:tab w:val="num" w:pos="2618"/>
        </w:tabs>
        <w:bidi/>
        <w:ind w:left="2618" w:hanging="511"/>
        <w:rPr>
          <w:rFonts w:hint="cs"/>
          <w:rtl/>
        </w:rPr>
      </w:pPr>
      <w:r w:rsidRPr="00E42EFF">
        <w:rPr>
          <w:rFonts w:hint="cs"/>
          <w:rtl/>
        </w:rPr>
        <w:t>أن</w:t>
      </w:r>
      <w:r w:rsidRPr="00E42EFF">
        <w:rPr>
          <w:rtl/>
        </w:rPr>
        <w:t xml:space="preserve"> لا توجه تهمة تختلف عن التهمة المذكورة في </w:t>
      </w:r>
      <w:r w:rsidRPr="00E42EFF">
        <w:rPr>
          <w:rFonts w:hint="cs"/>
          <w:rtl/>
        </w:rPr>
        <w:t>الأخبار</w:t>
      </w:r>
      <w:r w:rsidRPr="00E42EFF">
        <w:rPr>
          <w:rtl/>
        </w:rPr>
        <w:t xml:space="preserve"> المشار </w:t>
      </w:r>
      <w:r w:rsidRPr="00E42EFF">
        <w:rPr>
          <w:rFonts w:hint="cs"/>
          <w:rtl/>
        </w:rPr>
        <w:t>إليها</w:t>
      </w:r>
      <w:r w:rsidRPr="00E42EFF">
        <w:rPr>
          <w:rtl/>
        </w:rPr>
        <w:t xml:space="preserve"> في مذكرة الح</w:t>
      </w:r>
      <w:r w:rsidR="0062574C">
        <w:rPr>
          <w:rtl/>
        </w:rPr>
        <w:t>ضور</w:t>
      </w:r>
      <w:r w:rsidR="0062574C">
        <w:rPr>
          <w:rFonts w:hint="cs"/>
          <w:rtl/>
        </w:rPr>
        <w:t>؛</w:t>
      </w:r>
    </w:p>
    <w:p w:rsidR="00E42EFF" w:rsidRPr="00E42EFF" w:rsidRDefault="00E42EFF" w:rsidP="0075056D">
      <w:pPr>
        <w:pStyle w:val="Roman1GA"/>
        <w:tabs>
          <w:tab w:val="clear" w:pos="2041"/>
          <w:tab w:val="num" w:pos="2618"/>
        </w:tabs>
        <w:bidi/>
        <w:ind w:left="2618" w:hanging="511"/>
        <w:rPr>
          <w:rFonts w:hint="cs"/>
          <w:rtl/>
        </w:rPr>
      </w:pPr>
      <w:r w:rsidRPr="00E42EFF">
        <w:rPr>
          <w:rtl/>
        </w:rPr>
        <w:t xml:space="preserve">ليس من الضروري في </w:t>
      </w:r>
      <w:r w:rsidRPr="00E42EFF">
        <w:rPr>
          <w:rFonts w:hint="cs"/>
          <w:rtl/>
          <w:lang w:bidi="ar-JO"/>
        </w:rPr>
        <w:t>الإجراءات</w:t>
      </w:r>
      <w:r w:rsidRPr="00E42EFF">
        <w:rPr>
          <w:rtl/>
        </w:rPr>
        <w:t xml:space="preserve"> التي تتخذ بمقتضى هذا القانون </w:t>
      </w:r>
      <w:r w:rsidRPr="00E42EFF">
        <w:rPr>
          <w:rFonts w:hint="cs"/>
          <w:rtl/>
        </w:rPr>
        <w:t>إثبات</w:t>
      </w:r>
      <w:r w:rsidRPr="00E42EFF">
        <w:rPr>
          <w:rtl/>
        </w:rPr>
        <w:t xml:space="preserve"> </w:t>
      </w:r>
      <w:r w:rsidRPr="00E42EFF">
        <w:rPr>
          <w:rFonts w:hint="cs"/>
          <w:rtl/>
        </w:rPr>
        <w:t>أن</w:t>
      </w:r>
      <w:r w:rsidRPr="00E42EFF">
        <w:rPr>
          <w:rtl/>
        </w:rPr>
        <w:t xml:space="preserve"> المتهم ارتكب فعلاً معيناً </w:t>
      </w:r>
      <w:r w:rsidRPr="00E42EFF">
        <w:rPr>
          <w:rFonts w:hint="cs"/>
          <w:rtl/>
        </w:rPr>
        <w:t>أو</w:t>
      </w:r>
      <w:r w:rsidRPr="00E42EFF">
        <w:rPr>
          <w:rtl/>
        </w:rPr>
        <w:t xml:space="preserve"> </w:t>
      </w:r>
      <w:r w:rsidRPr="00E42EFF">
        <w:rPr>
          <w:rFonts w:hint="cs"/>
          <w:rtl/>
        </w:rPr>
        <w:t>أفعالا</w:t>
      </w:r>
      <w:r w:rsidR="0047095E">
        <w:rPr>
          <w:rFonts w:hint="cs"/>
          <w:rtl/>
        </w:rPr>
        <w:t>ً</w:t>
      </w:r>
      <w:r w:rsidR="0062574C">
        <w:rPr>
          <w:rtl/>
        </w:rPr>
        <w:t xml:space="preserve"> معينة</w:t>
      </w:r>
      <w:r w:rsidR="0062574C">
        <w:rPr>
          <w:rFonts w:hint="cs"/>
          <w:rtl/>
        </w:rPr>
        <w:t>؛</w:t>
      </w:r>
    </w:p>
    <w:p w:rsidR="00E42EFF" w:rsidRPr="00E42EFF" w:rsidRDefault="00E42EFF" w:rsidP="0075056D">
      <w:pPr>
        <w:pStyle w:val="Roman1GA"/>
        <w:tabs>
          <w:tab w:val="clear" w:pos="2041"/>
          <w:tab w:val="num" w:pos="2618"/>
        </w:tabs>
        <w:bidi/>
        <w:ind w:left="2618" w:hanging="511"/>
        <w:rPr>
          <w:rtl/>
        </w:rPr>
      </w:pPr>
      <w:r w:rsidRPr="00E42EFF">
        <w:rPr>
          <w:rFonts w:hint="cs"/>
          <w:rtl/>
        </w:rPr>
        <w:t>أن</w:t>
      </w:r>
      <w:r w:rsidRPr="00E42EFF">
        <w:rPr>
          <w:rtl/>
        </w:rPr>
        <w:t xml:space="preserve"> لا يزيد التعهد </w:t>
      </w:r>
      <w:r w:rsidRPr="00E42EFF">
        <w:rPr>
          <w:rFonts w:hint="cs"/>
          <w:rtl/>
        </w:rPr>
        <w:t>بإلزامه</w:t>
      </w:r>
      <w:r w:rsidRPr="00E42EFF">
        <w:rPr>
          <w:rtl/>
        </w:rPr>
        <w:t xml:space="preserve"> </w:t>
      </w:r>
      <w:r w:rsidRPr="00E42EFF">
        <w:rPr>
          <w:rtl/>
          <w:lang w:bidi="ar-JO"/>
        </w:rPr>
        <w:t>على</w:t>
      </w:r>
      <w:r w:rsidRPr="00E42EFF">
        <w:rPr>
          <w:rtl/>
        </w:rPr>
        <w:t xml:space="preserve"> المحافظة على </w:t>
      </w:r>
      <w:r w:rsidRPr="00E42EFF">
        <w:rPr>
          <w:rFonts w:hint="cs"/>
          <w:rtl/>
        </w:rPr>
        <w:t>الأمن</w:t>
      </w:r>
      <w:r w:rsidRPr="00E42EFF">
        <w:rPr>
          <w:rtl/>
        </w:rPr>
        <w:t xml:space="preserve"> </w:t>
      </w:r>
      <w:r w:rsidRPr="00E42EFF">
        <w:rPr>
          <w:rFonts w:hint="cs"/>
          <w:rtl/>
        </w:rPr>
        <w:t>أو</w:t>
      </w:r>
      <w:r w:rsidRPr="00E42EFF">
        <w:rPr>
          <w:rtl/>
        </w:rPr>
        <w:t xml:space="preserve"> الامتناع عن القيام </w:t>
      </w:r>
      <w:r w:rsidRPr="00E42EFF">
        <w:rPr>
          <w:rFonts w:hint="cs"/>
          <w:rtl/>
        </w:rPr>
        <w:t>بأفعال</w:t>
      </w:r>
      <w:r w:rsidRPr="00E42EFF">
        <w:rPr>
          <w:rtl/>
        </w:rPr>
        <w:t xml:space="preserve"> من ش</w:t>
      </w:r>
      <w:r w:rsidRPr="00E42EFF">
        <w:rPr>
          <w:rFonts w:hint="cs"/>
          <w:rtl/>
        </w:rPr>
        <w:t>أ</w:t>
      </w:r>
      <w:r w:rsidRPr="00E42EFF">
        <w:rPr>
          <w:rtl/>
        </w:rPr>
        <w:t xml:space="preserve">نها </w:t>
      </w:r>
      <w:r w:rsidRPr="00E42EFF">
        <w:rPr>
          <w:rFonts w:hint="cs"/>
          <w:rtl/>
        </w:rPr>
        <w:t>أن</w:t>
      </w:r>
      <w:r w:rsidRPr="00E42EFF">
        <w:rPr>
          <w:rtl/>
        </w:rPr>
        <w:t xml:space="preserve"> تكدر صفو </w:t>
      </w:r>
      <w:r w:rsidRPr="00E42EFF">
        <w:rPr>
          <w:rFonts w:hint="cs"/>
          <w:rtl/>
        </w:rPr>
        <w:t>الطمأنينة</w:t>
      </w:r>
      <w:r w:rsidRPr="00E42EFF">
        <w:rPr>
          <w:rtl/>
        </w:rPr>
        <w:t xml:space="preserve"> العامة </w:t>
      </w:r>
      <w:r w:rsidRPr="00E42EFF">
        <w:rPr>
          <w:rFonts w:hint="cs"/>
          <w:rtl/>
        </w:rPr>
        <w:t>أو</w:t>
      </w:r>
      <w:r w:rsidRPr="00E42EFF">
        <w:rPr>
          <w:rtl/>
        </w:rPr>
        <w:t xml:space="preserve"> </w:t>
      </w:r>
      <w:r w:rsidRPr="00E42EFF">
        <w:rPr>
          <w:rFonts w:hint="cs"/>
          <w:rtl/>
        </w:rPr>
        <w:t>أن</w:t>
      </w:r>
      <w:r w:rsidRPr="00E42EFF">
        <w:rPr>
          <w:rtl/>
        </w:rPr>
        <w:t xml:space="preserve"> يكون حسن السيرة</w:t>
      </w:r>
      <w:r w:rsidRPr="00E42EFF">
        <w:rPr>
          <w:rFonts w:hint="cs"/>
          <w:rtl/>
        </w:rPr>
        <w:t>"؛</w:t>
      </w:r>
    </w:p>
    <w:p w:rsidR="00E42EFF" w:rsidRPr="00E42EFF" w:rsidRDefault="00E42EFF" w:rsidP="0075056D">
      <w:pPr>
        <w:pStyle w:val="SingleTxtGA"/>
        <w:rPr>
          <w:rtl/>
        </w:rPr>
      </w:pPr>
      <w:r>
        <w:rPr>
          <w:rFonts w:hint="cs"/>
          <w:rtl/>
        </w:rPr>
        <w:tab/>
      </w:r>
      <w:r w:rsidRPr="00E42EFF">
        <w:rPr>
          <w:rFonts w:hint="cs"/>
          <w:rtl/>
        </w:rPr>
        <w:t>(</w:t>
      </w:r>
      <w:r w:rsidR="0075056D">
        <w:rPr>
          <w:rFonts w:hint="cs"/>
          <w:rtl/>
        </w:rPr>
        <w:t>د</w:t>
      </w:r>
      <w:r>
        <w:rPr>
          <w:rFonts w:hint="cs"/>
          <w:rtl/>
        </w:rPr>
        <w:t>)</w:t>
      </w:r>
      <w:r>
        <w:rPr>
          <w:rFonts w:hint="cs"/>
          <w:rtl/>
        </w:rPr>
        <w:tab/>
      </w:r>
      <w:r w:rsidRPr="00E42EFF">
        <w:rPr>
          <w:rFonts w:hint="cs"/>
          <w:rtl/>
        </w:rPr>
        <w:t>إن</w:t>
      </w:r>
      <w:r w:rsidRPr="00E42EFF">
        <w:rPr>
          <w:rtl/>
        </w:rPr>
        <w:t xml:space="preserve"> قرار التوقيف الذي يقوم باتخاذه المتصرف وفق </w:t>
      </w:r>
      <w:r w:rsidRPr="00E42EFF">
        <w:rPr>
          <w:rFonts w:hint="cs"/>
          <w:rtl/>
        </w:rPr>
        <w:t>أحكام</w:t>
      </w:r>
      <w:r w:rsidRPr="00E42EFF">
        <w:rPr>
          <w:rtl/>
        </w:rPr>
        <w:t xml:space="preserve"> قانون منع الجرائم هو قرار </w:t>
      </w:r>
      <w:r w:rsidRPr="00E42EFF">
        <w:rPr>
          <w:rFonts w:hint="cs"/>
          <w:rtl/>
        </w:rPr>
        <w:t>إداري</w:t>
      </w:r>
      <w:r w:rsidRPr="00E42EFF">
        <w:rPr>
          <w:rtl/>
        </w:rPr>
        <w:t xml:space="preserve"> ووفقا</w:t>
      </w:r>
      <w:r w:rsidR="0047095E">
        <w:rPr>
          <w:rFonts w:hint="cs"/>
          <w:rtl/>
        </w:rPr>
        <w:t>ً</w:t>
      </w:r>
      <w:r w:rsidRPr="00E42EFF">
        <w:rPr>
          <w:rtl/>
        </w:rPr>
        <w:t xml:space="preserve"> للقواعد العامة يجب أن يصدر القرار الإداري وفقا</w:t>
      </w:r>
      <w:r w:rsidR="0047095E">
        <w:rPr>
          <w:rFonts w:hint="cs"/>
          <w:rtl/>
        </w:rPr>
        <w:t>ً</w:t>
      </w:r>
      <w:r w:rsidRPr="00E42EFF">
        <w:rPr>
          <w:rtl/>
        </w:rPr>
        <w:t xml:space="preserve"> للإجراءات المرسومة قانونا</w:t>
      </w:r>
      <w:r w:rsidR="0047095E">
        <w:rPr>
          <w:rFonts w:hint="cs"/>
          <w:rtl/>
        </w:rPr>
        <w:t>ً</w:t>
      </w:r>
      <w:r w:rsidRPr="00E42EFF">
        <w:rPr>
          <w:rtl/>
        </w:rPr>
        <w:t xml:space="preserve"> من حيث شموله على عناصر القرار </w:t>
      </w:r>
      <w:r w:rsidRPr="00E42EFF">
        <w:rPr>
          <w:rFonts w:hint="cs"/>
          <w:rtl/>
        </w:rPr>
        <w:t>الإداري</w:t>
      </w:r>
      <w:r w:rsidRPr="00E42EFF">
        <w:rPr>
          <w:rtl/>
        </w:rPr>
        <w:t>. وتختص محكمة العدل العليا بالنظر بالطعون المقدمة في قرارات التوقيف الإداري إلغاءً وتعويضاً حيث قامت بإلغاء العديد من القرارات غير المشروعة، وقضت بتعويض الأشخاص الذي</w:t>
      </w:r>
      <w:r w:rsidRPr="00E42EFF">
        <w:rPr>
          <w:rFonts w:hint="cs"/>
          <w:rtl/>
        </w:rPr>
        <w:t>ن</w:t>
      </w:r>
      <w:r w:rsidRPr="00E42EFF">
        <w:rPr>
          <w:rtl/>
        </w:rPr>
        <w:t xml:space="preserve"> صدرت بحقهم قرارات اعتقال غير مشروعة وبالتالي إن صدر قرار غير مشروع يمكن تحريك دعوى المسؤولية الإدارية ضد الإدارة مصدرة قرار التوقيف.</w:t>
      </w:r>
    </w:p>
    <w:p w:rsidR="00E42EFF" w:rsidRPr="00E42EFF" w:rsidRDefault="00E42EFF" w:rsidP="00E42EFF">
      <w:pPr>
        <w:pStyle w:val="SingleTxtGA"/>
        <w:rPr>
          <w:spacing w:val="-1"/>
          <w:rtl/>
        </w:rPr>
      </w:pPr>
      <w:r w:rsidRPr="00E42EFF">
        <w:rPr>
          <w:rFonts w:hint="cs"/>
          <w:spacing w:val="-1"/>
          <w:rtl/>
          <w:lang w:bidi="ar-JO"/>
        </w:rPr>
        <w:t>4-</w:t>
      </w:r>
      <w:r w:rsidRPr="00E42EFF">
        <w:rPr>
          <w:rFonts w:hint="cs"/>
          <w:spacing w:val="-1"/>
          <w:rtl/>
          <w:lang w:bidi="ar-JO"/>
        </w:rPr>
        <w:tab/>
      </w:r>
      <w:r w:rsidRPr="00E42EFF">
        <w:rPr>
          <w:spacing w:val="-1"/>
          <w:rtl/>
          <w:lang w:bidi="ar-JO"/>
        </w:rPr>
        <w:t xml:space="preserve">وقد اعتبرت محكمة العدل العليا </w:t>
      </w:r>
      <w:r w:rsidRPr="00E42EFF">
        <w:rPr>
          <w:rFonts w:hint="cs"/>
          <w:spacing w:val="-1"/>
          <w:rtl/>
          <w:lang w:bidi="ar-JO"/>
        </w:rPr>
        <w:t>أن</w:t>
      </w:r>
      <w:r w:rsidRPr="00E42EFF">
        <w:rPr>
          <w:spacing w:val="-1"/>
          <w:rtl/>
          <w:lang w:bidi="ar-JO"/>
        </w:rPr>
        <w:t xml:space="preserve"> الحالات التي يجوز فيها التوقيف وفق </w:t>
      </w:r>
      <w:r w:rsidRPr="00E42EFF">
        <w:rPr>
          <w:rFonts w:hint="cs"/>
          <w:spacing w:val="-1"/>
          <w:rtl/>
          <w:lang w:bidi="ar-JO"/>
        </w:rPr>
        <w:t>أحكام</w:t>
      </w:r>
      <w:r w:rsidRPr="00E42EFF">
        <w:rPr>
          <w:spacing w:val="-1"/>
          <w:rtl/>
          <w:lang w:bidi="ar-JO"/>
        </w:rPr>
        <w:t xml:space="preserve"> قانون منع الجرائم محددة عل</w:t>
      </w:r>
      <w:r w:rsidRPr="00E42EFF">
        <w:rPr>
          <w:rFonts w:hint="cs"/>
          <w:spacing w:val="-1"/>
          <w:rtl/>
          <w:lang w:bidi="ar-JO"/>
        </w:rPr>
        <w:t>ى</w:t>
      </w:r>
      <w:r w:rsidRPr="00E42EFF">
        <w:rPr>
          <w:spacing w:val="-1"/>
          <w:rtl/>
          <w:lang w:bidi="ar-JO"/>
        </w:rPr>
        <w:t xml:space="preserve"> سبيل الحصر، </w:t>
      </w:r>
      <w:r w:rsidRPr="00E42EFF">
        <w:rPr>
          <w:rFonts w:hint="cs"/>
          <w:spacing w:val="-1"/>
          <w:rtl/>
          <w:lang w:bidi="ar-JO"/>
        </w:rPr>
        <w:t>وأعلنت</w:t>
      </w:r>
      <w:r w:rsidRPr="00E42EFF">
        <w:rPr>
          <w:spacing w:val="-1"/>
          <w:rtl/>
          <w:lang w:bidi="ar-JO"/>
        </w:rPr>
        <w:t xml:space="preserve"> عدم مشروعية القرارات الإدارية الصادرة بالتوقيف إذا كانت تخرج عن الحالات المحددة حصراً في المادة الثالثة من قانون منع الجرائم رقم</w:t>
      </w:r>
      <w:r>
        <w:rPr>
          <w:rFonts w:hint="eastAsia"/>
          <w:spacing w:val="-1"/>
          <w:rtl/>
          <w:lang w:bidi="ar-JO"/>
        </w:rPr>
        <w:t> </w:t>
      </w:r>
      <w:r w:rsidRPr="00E42EFF">
        <w:rPr>
          <w:spacing w:val="-1"/>
          <w:rtl/>
          <w:lang w:bidi="ar-JO"/>
        </w:rPr>
        <w:t>(7) لسنة 1954 (</w:t>
      </w:r>
      <w:r w:rsidRPr="00E42EFF">
        <w:rPr>
          <w:spacing w:val="-1"/>
          <w:rtl/>
        </w:rPr>
        <w:t xml:space="preserve">قرار محكمة العدل العليا </w:t>
      </w:r>
      <w:r w:rsidRPr="00E42EFF">
        <w:rPr>
          <w:rFonts w:hint="cs"/>
          <w:spacing w:val="-1"/>
          <w:rtl/>
        </w:rPr>
        <w:t>الأردنية</w:t>
      </w:r>
      <w:r w:rsidRPr="00E42EFF">
        <w:rPr>
          <w:spacing w:val="-1"/>
          <w:rtl/>
        </w:rPr>
        <w:t xml:space="preserve"> رقم 558/1999 (هيئة خماسية) تاريخ 20</w:t>
      </w:r>
      <w:r>
        <w:rPr>
          <w:rFonts w:hint="cs"/>
          <w:spacing w:val="-1"/>
          <w:rtl/>
        </w:rPr>
        <w:t xml:space="preserve"> كانون الثاني/يناير </w:t>
      </w:r>
      <w:r w:rsidRPr="00E42EFF">
        <w:rPr>
          <w:spacing w:val="-1"/>
          <w:rtl/>
        </w:rPr>
        <w:t xml:space="preserve">2000 الذي نص على </w:t>
      </w:r>
      <w:r w:rsidRPr="00E42EFF">
        <w:rPr>
          <w:rFonts w:hint="cs"/>
          <w:spacing w:val="-1"/>
          <w:rtl/>
        </w:rPr>
        <w:t>أ</w:t>
      </w:r>
      <w:r w:rsidRPr="00E42EFF">
        <w:rPr>
          <w:spacing w:val="-1"/>
          <w:rtl/>
        </w:rPr>
        <w:t xml:space="preserve">نه وبما </w:t>
      </w:r>
      <w:r w:rsidRPr="00E42EFF">
        <w:rPr>
          <w:rFonts w:hint="cs"/>
          <w:spacing w:val="-1"/>
          <w:rtl/>
        </w:rPr>
        <w:t>أن</w:t>
      </w:r>
      <w:r w:rsidRPr="00E42EFF">
        <w:rPr>
          <w:spacing w:val="-1"/>
          <w:rtl/>
        </w:rPr>
        <w:t xml:space="preserve"> </w:t>
      </w:r>
      <w:r w:rsidRPr="00E42EFF">
        <w:rPr>
          <w:rFonts w:hint="cs"/>
          <w:spacing w:val="-1"/>
          <w:rtl/>
        </w:rPr>
        <w:t>أيا</w:t>
      </w:r>
      <w:r w:rsidR="0047095E">
        <w:rPr>
          <w:rFonts w:hint="cs"/>
          <w:spacing w:val="-1"/>
          <w:rtl/>
        </w:rPr>
        <w:t>ً</w:t>
      </w:r>
      <w:r w:rsidRPr="00E42EFF">
        <w:rPr>
          <w:spacing w:val="-1"/>
          <w:rtl/>
        </w:rPr>
        <w:t xml:space="preserve"> من الحالات المنصوص عليها في المادة الثالثة من قانون منع الجرائم رقم 7 لسنة 1954 لم تتوفر في </w:t>
      </w:r>
      <w:r w:rsidRPr="00E42EFF">
        <w:rPr>
          <w:rFonts w:hint="cs"/>
          <w:spacing w:val="-1"/>
          <w:rtl/>
        </w:rPr>
        <w:t>الأفعال</w:t>
      </w:r>
      <w:r w:rsidRPr="00E42EFF">
        <w:rPr>
          <w:spacing w:val="-1"/>
          <w:rtl/>
        </w:rPr>
        <w:t xml:space="preserve"> المنسوبة للمستدعي، ف</w:t>
      </w:r>
      <w:r w:rsidRPr="00E42EFF">
        <w:rPr>
          <w:rFonts w:hint="cs"/>
          <w:spacing w:val="-1"/>
          <w:rtl/>
        </w:rPr>
        <w:t>إ</w:t>
      </w:r>
      <w:r w:rsidRPr="00E42EFF">
        <w:rPr>
          <w:spacing w:val="-1"/>
          <w:rtl/>
        </w:rPr>
        <w:t>ن قرار المحافظ بوضع المستدعي تحت رقابة الشرطة يكون مخالفا</w:t>
      </w:r>
      <w:r w:rsidR="0047095E">
        <w:rPr>
          <w:rFonts w:hint="cs"/>
          <w:spacing w:val="-1"/>
          <w:rtl/>
        </w:rPr>
        <w:t>ً</w:t>
      </w:r>
      <w:r w:rsidRPr="00E42EFF">
        <w:rPr>
          <w:spacing w:val="-1"/>
          <w:rtl/>
        </w:rPr>
        <w:t xml:space="preserve"> </w:t>
      </w:r>
      <w:r w:rsidRPr="00E42EFF">
        <w:rPr>
          <w:rFonts w:hint="cs"/>
          <w:spacing w:val="-1"/>
          <w:rtl/>
        </w:rPr>
        <w:t>لأحكام</w:t>
      </w:r>
      <w:r w:rsidRPr="00E42EFF">
        <w:rPr>
          <w:spacing w:val="-1"/>
          <w:rtl/>
        </w:rPr>
        <w:t xml:space="preserve"> القانون، يضاف لذلك </w:t>
      </w:r>
      <w:r w:rsidRPr="00E42EFF">
        <w:rPr>
          <w:rFonts w:hint="cs"/>
          <w:spacing w:val="-1"/>
          <w:rtl/>
        </w:rPr>
        <w:t>أن</w:t>
      </w:r>
      <w:r w:rsidRPr="00E42EFF">
        <w:rPr>
          <w:spacing w:val="-1"/>
          <w:rtl/>
        </w:rPr>
        <w:t xml:space="preserve"> المستدعي ضده لم يطبق </w:t>
      </w:r>
      <w:r w:rsidRPr="00E42EFF">
        <w:rPr>
          <w:rFonts w:hint="cs"/>
          <w:spacing w:val="-1"/>
          <w:rtl/>
        </w:rPr>
        <w:t>أحكام</w:t>
      </w:r>
      <w:r w:rsidRPr="00E42EFF">
        <w:rPr>
          <w:spacing w:val="-1"/>
          <w:rtl/>
        </w:rPr>
        <w:t xml:space="preserve"> المادة الرابعة من ذات القانون بحق المستدعي والتي توجب التحقيق معه في صحة </w:t>
      </w:r>
      <w:r w:rsidRPr="00E42EFF">
        <w:rPr>
          <w:rFonts w:hint="cs"/>
          <w:spacing w:val="-1"/>
          <w:rtl/>
        </w:rPr>
        <w:t>الأخبار</w:t>
      </w:r>
      <w:r w:rsidRPr="00E42EFF">
        <w:rPr>
          <w:spacing w:val="-1"/>
          <w:rtl/>
        </w:rPr>
        <w:t xml:space="preserve"> الذي اتخذت </w:t>
      </w:r>
      <w:r w:rsidRPr="00E42EFF">
        <w:rPr>
          <w:rFonts w:hint="cs"/>
          <w:spacing w:val="-1"/>
          <w:rtl/>
        </w:rPr>
        <w:t>الإجراءات</w:t>
      </w:r>
      <w:r w:rsidRPr="00E42EFF">
        <w:rPr>
          <w:spacing w:val="-1"/>
          <w:rtl/>
        </w:rPr>
        <w:t xml:space="preserve"> بالاستناد </w:t>
      </w:r>
      <w:r w:rsidRPr="00E42EFF">
        <w:rPr>
          <w:rFonts w:hint="cs"/>
          <w:spacing w:val="-1"/>
          <w:rtl/>
        </w:rPr>
        <w:t>إليه</w:t>
      </w:r>
      <w:r w:rsidRPr="00E42EFF">
        <w:rPr>
          <w:spacing w:val="-1"/>
          <w:rtl/>
        </w:rPr>
        <w:t>).</w:t>
      </w:r>
    </w:p>
    <w:p w:rsidR="00E42EFF" w:rsidRPr="00E42EFF" w:rsidRDefault="00E42EFF" w:rsidP="00E42EFF">
      <w:pPr>
        <w:pStyle w:val="SingleTxtGA"/>
        <w:rPr>
          <w:rtl/>
        </w:rPr>
      </w:pPr>
      <w:r w:rsidRPr="00E42EFF">
        <w:rPr>
          <w:rFonts w:hint="cs"/>
          <w:rtl/>
        </w:rPr>
        <w:t>5-</w:t>
      </w:r>
      <w:r w:rsidRPr="00E42EFF">
        <w:rPr>
          <w:rFonts w:hint="cs"/>
          <w:rtl/>
        </w:rPr>
        <w:tab/>
        <w:t xml:space="preserve">إن قانون منع الجرائم هو </w:t>
      </w:r>
      <w:r w:rsidRPr="00E42EFF">
        <w:rPr>
          <w:rFonts w:hint="cs"/>
          <w:rtl/>
          <w:lang w:bidi="ar-JO"/>
        </w:rPr>
        <w:t>قانون</w:t>
      </w:r>
      <w:r w:rsidRPr="00E42EFF">
        <w:rPr>
          <w:rFonts w:hint="cs"/>
          <w:rtl/>
        </w:rPr>
        <w:t xml:space="preserve"> وقائي يطبق قبل وقوع الجريمة أما بعد ارتكاب الجريمة فيصبح ذلك من اختصاص القضاء،كما يطبق حصرياً في أضيق الحالات في قضايا القتل، والشرف، وتقطيع الوجه، وقضايا السفاح، وهي قضايا تثور نظرا</w:t>
      </w:r>
      <w:r w:rsidR="0047095E">
        <w:rPr>
          <w:rFonts w:hint="cs"/>
          <w:rtl/>
        </w:rPr>
        <w:t>ً</w:t>
      </w:r>
      <w:r w:rsidRPr="00E42EFF">
        <w:rPr>
          <w:rFonts w:hint="cs"/>
          <w:rtl/>
        </w:rPr>
        <w:t xml:space="preserve"> لتكوين المجتمع الأردني ذي الطابع العشائري ومن مميزات تطبيقه: السرية وخصوصا</w:t>
      </w:r>
      <w:r w:rsidR="0047095E">
        <w:rPr>
          <w:rFonts w:hint="cs"/>
          <w:rtl/>
        </w:rPr>
        <w:t>ً</w:t>
      </w:r>
      <w:r w:rsidRPr="00E42EFF">
        <w:rPr>
          <w:rFonts w:hint="cs"/>
          <w:rtl/>
        </w:rPr>
        <w:t xml:space="preserve"> في قضايا الشرف والسفاح، والسرعة في حل القضايا دون إبطاء، وعدم وجود تكاليف مادية كرسوم التقاضي. كما تجدر الإشارة إلى أن التوقيف الإداري مقتصر على ذوي الأسبقيات </w:t>
      </w:r>
      <w:proofErr w:type="spellStart"/>
      <w:r w:rsidRPr="00E42EFF">
        <w:rPr>
          <w:rFonts w:hint="cs"/>
          <w:rtl/>
        </w:rPr>
        <w:t>الجرمية</w:t>
      </w:r>
      <w:proofErr w:type="spellEnd"/>
      <w:r w:rsidRPr="00E42EFF">
        <w:rPr>
          <w:rFonts w:hint="cs"/>
          <w:rtl/>
        </w:rPr>
        <w:t xml:space="preserve"> والذين هم معروفون لدى الأجهزة الأمنية ويشكل وجودهم طلقاء خطراً على أمن الأفراد وممتلكاتهم. إن إلغاء هذا القانون سيحدث "فراغاً أمنياً" وذلك بتفاقم عمليات السلب والنهب والاعتداء على المواطنين من قبل أصحاب السوابق، ويعد هذا القا</w:t>
      </w:r>
      <w:r w:rsidR="0047095E">
        <w:rPr>
          <w:rFonts w:hint="cs"/>
          <w:rtl/>
        </w:rPr>
        <w:t>نون ضرورة ملحة ومطلباً شعبياً و</w:t>
      </w:r>
      <w:r w:rsidRPr="00E42EFF">
        <w:rPr>
          <w:rFonts w:hint="cs"/>
          <w:rtl/>
        </w:rPr>
        <w:t>اجتماعياً.</w:t>
      </w:r>
    </w:p>
    <w:p w:rsidR="00E42EFF" w:rsidRPr="00E42EFF" w:rsidRDefault="00E42EFF" w:rsidP="00075AF2">
      <w:pPr>
        <w:pStyle w:val="H1GA"/>
        <w:rPr>
          <w:rtl/>
        </w:rPr>
      </w:pPr>
      <w:r w:rsidRPr="00E42EFF">
        <w:rPr>
          <w:rFonts w:hint="cs"/>
          <w:rtl/>
        </w:rPr>
        <w:tab/>
      </w:r>
      <w:r w:rsidRPr="00E42EFF">
        <w:rPr>
          <w:rFonts w:hint="cs"/>
          <w:rtl/>
        </w:rPr>
        <w:tab/>
        <w:t>التوصية رقم (12) المتعلقة بمحكمة أمن الدولة</w:t>
      </w:r>
    </w:p>
    <w:p w:rsidR="00E42EFF" w:rsidRPr="00E42EFF" w:rsidRDefault="00E42EFF" w:rsidP="00E42EFF">
      <w:pPr>
        <w:pStyle w:val="SingleTxtGA"/>
        <w:rPr>
          <w:rtl/>
        </w:rPr>
      </w:pPr>
      <w:r w:rsidRPr="00E42EFF">
        <w:rPr>
          <w:rFonts w:hint="cs"/>
          <w:rtl/>
        </w:rPr>
        <w:t>6-</w:t>
      </w:r>
      <w:r w:rsidRPr="00E42EFF">
        <w:rPr>
          <w:rFonts w:hint="cs"/>
          <w:rtl/>
        </w:rPr>
        <w:tab/>
      </w:r>
      <w:r w:rsidRPr="00E42EFF">
        <w:rPr>
          <w:rtl/>
        </w:rPr>
        <w:t xml:space="preserve">وفيما يتعلق بالفقرة (12) الخاصة بمحكمة </w:t>
      </w:r>
      <w:r w:rsidRPr="00E42EFF">
        <w:rPr>
          <w:rFonts w:hint="cs"/>
          <w:rtl/>
        </w:rPr>
        <w:t>بأمن</w:t>
      </w:r>
      <w:r w:rsidRPr="00E42EFF">
        <w:rPr>
          <w:rtl/>
        </w:rPr>
        <w:t xml:space="preserve"> الدولة وتكرار اللجنة </w:t>
      </w:r>
      <w:r w:rsidRPr="00E42EFF">
        <w:rPr>
          <w:rFonts w:hint="cs"/>
          <w:rtl/>
        </w:rPr>
        <w:t>الإعراب</w:t>
      </w:r>
      <w:r w:rsidRPr="00E42EFF">
        <w:rPr>
          <w:rtl/>
        </w:rPr>
        <w:t xml:space="preserve"> عن عدم استقلالية محكمة </w:t>
      </w:r>
      <w:r w:rsidRPr="00E42EFF">
        <w:rPr>
          <w:rFonts w:hint="cs"/>
          <w:rtl/>
        </w:rPr>
        <w:t>أ</w:t>
      </w:r>
      <w:r w:rsidRPr="00E42EFF">
        <w:rPr>
          <w:rtl/>
        </w:rPr>
        <w:t xml:space="preserve">من الدولة سواء من حيث تنظيمها </w:t>
      </w:r>
      <w:r w:rsidRPr="00E42EFF">
        <w:rPr>
          <w:rFonts w:hint="cs"/>
          <w:rtl/>
        </w:rPr>
        <w:t>أو</w:t>
      </w:r>
      <w:r w:rsidRPr="00E42EFF">
        <w:rPr>
          <w:rtl/>
        </w:rPr>
        <w:t xml:space="preserve"> عملها</w:t>
      </w:r>
      <w:r w:rsidRPr="00E42EFF">
        <w:rPr>
          <w:rFonts w:hint="cs"/>
          <w:rtl/>
        </w:rPr>
        <w:t>،</w:t>
      </w:r>
      <w:r w:rsidRPr="00E42EFF">
        <w:rPr>
          <w:rtl/>
        </w:rPr>
        <w:t xml:space="preserve"> وقلق اللجنة من </w:t>
      </w:r>
      <w:r w:rsidRPr="00E42EFF">
        <w:rPr>
          <w:rFonts w:hint="cs"/>
          <w:rtl/>
        </w:rPr>
        <w:t>أن</w:t>
      </w:r>
      <w:r w:rsidRPr="00E42EFF">
        <w:rPr>
          <w:rtl/>
        </w:rPr>
        <w:t xml:space="preserve"> قانون محكمة </w:t>
      </w:r>
      <w:r w:rsidRPr="00E42EFF">
        <w:rPr>
          <w:rFonts w:hint="cs"/>
          <w:rtl/>
        </w:rPr>
        <w:t>أ</w:t>
      </w:r>
      <w:r w:rsidRPr="00E42EFF">
        <w:rPr>
          <w:rtl/>
        </w:rPr>
        <w:t>من الدولة يخول رئيس الوزراء صلاحيات تخوله ب</w:t>
      </w:r>
      <w:r w:rsidRPr="00E42EFF">
        <w:rPr>
          <w:rFonts w:hint="cs"/>
          <w:rtl/>
        </w:rPr>
        <w:t>أ</w:t>
      </w:r>
      <w:r w:rsidRPr="00E42EFF">
        <w:rPr>
          <w:rtl/>
        </w:rPr>
        <w:t xml:space="preserve">ن يحيل </w:t>
      </w:r>
      <w:r w:rsidRPr="00E42EFF">
        <w:rPr>
          <w:rFonts w:hint="cs"/>
          <w:rtl/>
        </w:rPr>
        <w:t>إلى</w:t>
      </w:r>
      <w:r w:rsidRPr="00E42EFF">
        <w:rPr>
          <w:rtl/>
        </w:rPr>
        <w:t xml:space="preserve"> هذه المحكمة قضايا لا تتعلق </w:t>
      </w:r>
      <w:r w:rsidRPr="00E42EFF">
        <w:rPr>
          <w:rFonts w:hint="cs"/>
          <w:rtl/>
        </w:rPr>
        <w:t>بأمن</w:t>
      </w:r>
      <w:r w:rsidRPr="00E42EFF">
        <w:rPr>
          <w:rtl/>
        </w:rPr>
        <w:t xml:space="preserve"> الدولة</w:t>
      </w:r>
      <w:r w:rsidRPr="00E42EFF">
        <w:rPr>
          <w:rFonts w:hint="cs"/>
          <w:rtl/>
        </w:rPr>
        <w:t>،</w:t>
      </w:r>
      <w:r w:rsidRPr="00E42EFF">
        <w:rPr>
          <w:rtl/>
        </w:rPr>
        <w:t xml:space="preserve"> فتجدر الإشارة هنا إلى ما يلي:</w:t>
      </w:r>
    </w:p>
    <w:p w:rsidR="00E42EFF" w:rsidRPr="00E42EFF" w:rsidRDefault="00075AF2" w:rsidP="00E42EFF">
      <w:pPr>
        <w:pStyle w:val="SingleTxtGA"/>
        <w:rPr>
          <w:rFonts w:hint="cs"/>
          <w:rtl/>
        </w:rPr>
      </w:pPr>
      <w:r>
        <w:rPr>
          <w:b/>
          <w:bCs/>
          <w:rtl/>
        </w:rPr>
        <w:tab/>
      </w:r>
      <w:r w:rsidR="00E42EFF" w:rsidRPr="00E42EFF">
        <w:rPr>
          <w:rFonts w:hint="cs"/>
          <w:b/>
          <w:bCs/>
          <w:rtl/>
        </w:rPr>
        <w:t>(أ)</w:t>
      </w:r>
      <w:r>
        <w:rPr>
          <w:rFonts w:hint="cs"/>
          <w:rtl/>
        </w:rPr>
        <w:tab/>
      </w:r>
      <w:r w:rsidR="00E42EFF" w:rsidRPr="00E42EFF">
        <w:rPr>
          <w:rtl/>
        </w:rPr>
        <w:t xml:space="preserve">قانون محكمة أمن الدولة وتعديلاته رقم (7) لسنة </w:t>
      </w:r>
      <w:r w:rsidR="00E42EFF" w:rsidRPr="00E42EFF">
        <w:rPr>
          <w:rFonts w:hint="cs"/>
          <w:rtl/>
        </w:rPr>
        <w:t>1959</w:t>
      </w:r>
      <w:r w:rsidR="00E42EFF" w:rsidRPr="00E42EFF">
        <w:rPr>
          <w:rtl/>
        </w:rPr>
        <w:t xml:space="preserve"> الذي نص في المادة الثانية منه على </w:t>
      </w:r>
      <w:r w:rsidR="00E42EFF" w:rsidRPr="00E42EFF">
        <w:rPr>
          <w:rFonts w:hint="cs"/>
          <w:rtl/>
        </w:rPr>
        <w:t>أ</w:t>
      </w:r>
      <w:r w:rsidR="00E42EFF" w:rsidRPr="00E42EFF">
        <w:rPr>
          <w:rtl/>
        </w:rPr>
        <w:t xml:space="preserve">نه "في أحوال خاصة تقتضيها المصلحة العامة يحق لرئيس الوزراء أن يشكل محكمة خاصة واحدة أو أكثر تدعى محكمة أمن الدولة تؤلف كل منها من ثلاثة من القضاة المدنيين و/أو القضاة العسكريين يعينهم رئيس الوزراء بناء على </w:t>
      </w:r>
      <w:proofErr w:type="spellStart"/>
      <w:r w:rsidR="00E42EFF" w:rsidRPr="00E42EFF">
        <w:rPr>
          <w:rtl/>
        </w:rPr>
        <w:t>تنسيب</w:t>
      </w:r>
      <w:proofErr w:type="spellEnd"/>
      <w:r w:rsidR="00E42EFF" w:rsidRPr="00E42EFF">
        <w:rPr>
          <w:rtl/>
        </w:rPr>
        <w:t xml:space="preserve"> وزير العدل بالنسبة للمدنيين ورئيس هيئة الأركان المشتركة بالنسبة للعسكريين وينشر القرار في الجريدة الرسمية"</w:t>
      </w:r>
      <w:r w:rsidR="00E42EFF" w:rsidRPr="00E42EFF">
        <w:rPr>
          <w:rFonts w:hint="cs"/>
          <w:rtl/>
        </w:rPr>
        <w:t>،</w:t>
      </w:r>
      <w:r w:rsidR="00E42EFF" w:rsidRPr="00E42EFF">
        <w:rPr>
          <w:rtl/>
        </w:rPr>
        <w:t xml:space="preserve"> وأن التحقيق والمحاكمة أمام محكمة أمن الدولة تتم وف</w:t>
      </w:r>
      <w:r w:rsidR="00E42EFF" w:rsidRPr="00E42EFF">
        <w:rPr>
          <w:rtl/>
          <w:lang w:bidi="ar-JO"/>
        </w:rPr>
        <w:t>قا</w:t>
      </w:r>
      <w:r w:rsidR="00451D4A">
        <w:rPr>
          <w:rFonts w:hint="cs"/>
          <w:rtl/>
        </w:rPr>
        <w:t>ً</w:t>
      </w:r>
      <w:r w:rsidR="00E42EFF" w:rsidRPr="00E42EFF">
        <w:rPr>
          <w:rtl/>
        </w:rPr>
        <w:t xml:space="preserve"> لأحكام القانون</w:t>
      </w:r>
      <w:r w:rsidR="00E42EFF" w:rsidRPr="00E42EFF">
        <w:rPr>
          <w:rFonts w:hint="cs"/>
          <w:rtl/>
        </w:rPr>
        <w:t>؛</w:t>
      </w:r>
    </w:p>
    <w:p w:rsidR="00BB7C5B" w:rsidRDefault="00BB7C5B" w:rsidP="00E42EFF">
      <w:pPr>
        <w:pStyle w:val="SingleTxtGA"/>
        <w:rPr>
          <w:rFonts w:hint="cs"/>
          <w:rtl/>
        </w:rPr>
      </w:pPr>
      <w:r>
        <w:rPr>
          <w:rFonts w:hint="cs"/>
          <w:rtl/>
        </w:rPr>
        <w:tab/>
        <w:t>(ب)</w:t>
      </w:r>
      <w:r>
        <w:rPr>
          <w:rFonts w:hint="cs"/>
          <w:rtl/>
        </w:rPr>
        <w:tab/>
        <w:t xml:space="preserve">إن محكمة أمن الدولة تتشكل من قضاة مدنيين وعسكريين، وجميعهم يمارسون عملهم باستقلالية تامة، ولأي منهم الحق في مخالفة رأي الأغلبية من خلال إصدار قرار مخالف. علماً بأن قرارات محكمة أمن الدولة تصدر بالإجماع أو بالأغلبية </w:t>
      </w:r>
      <w:r w:rsidR="0009074B">
        <w:rPr>
          <w:rFonts w:hint="cs"/>
          <w:rtl/>
        </w:rPr>
        <w:t>و</w:t>
      </w:r>
      <w:r>
        <w:rPr>
          <w:rFonts w:hint="cs"/>
          <w:rtl/>
        </w:rPr>
        <w:t>يتمتع قضاتها بتأهيل عالٍ وخبرة طويلة واستقلالية مما يمكن هذه المحكمة من الفصل في القضايا المنظورة أمامها على نحو يكفل حق الدفاع تحقيقاً للعدالة كما أن إجراءات التقاضي المطبقة أمام محكمة أمن الدولة هي ذات الإجراءات المطبقة أمام المحاكم النظامية وتخضع قراراتها للطعن أمام محكمة التمييز التي تملك صلاحية الرقابة الموضوعية على قرارات محكمة أمن الدولة. وهذا ما يؤكد استقلالية محكمة أمن الدولة في قراراتها وأعمالها، مما يشكل انسجاماً مع المعايير الدولية للمحاكمة العادلة؛</w:t>
      </w:r>
    </w:p>
    <w:p w:rsidR="00E42EFF" w:rsidRPr="00E42EFF" w:rsidRDefault="00075AF2" w:rsidP="00E42EFF">
      <w:pPr>
        <w:pStyle w:val="SingleTxtGA"/>
        <w:rPr>
          <w:rFonts w:hint="cs"/>
          <w:rtl/>
        </w:rPr>
      </w:pPr>
      <w:r>
        <w:rPr>
          <w:rFonts w:hint="cs"/>
          <w:rtl/>
        </w:rPr>
        <w:tab/>
      </w:r>
      <w:r w:rsidR="00E42EFF" w:rsidRPr="00E42EFF">
        <w:rPr>
          <w:rFonts w:hint="cs"/>
          <w:rtl/>
        </w:rPr>
        <w:t>(</w:t>
      </w:r>
      <w:r w:rsidR="00E42EFF" w:rsidRPr="00E42EFF">
        <w:rPr>
          <w:rtl/>
        </w:rPr>
        <w:t>ج</w:t>
      </w:r>
      <w:r w:rsidR="00E42EFF" w:rsidRPr="00E42EFF">
        <w:rPr>
          <w:rFonts w:hint="cs"/>
          <w:rtl/>
        </w:rPr>
        <w:t>)</w:t>
      </w:r>
      <w:r>
        <w:rPr>
          <w:rFonts w:hint="cs"/>
          <w:rtl/>
        </w:rPr>
        <w:tab/>
      </w:r>
      <w:r w:rsidR="00E42EFF" w:rsidRPr="00E42EFF">
        <w:rPr>
          <w:rFonts w:hint="cs"/>
          <w:rtl/>
        </w:rPr>
        <w:t>إن</w:t>
      </w:r>
      <w:r w:rsidR="00E42EFF" w:rsidRPr="00E42EFF">
        <w:rPr>
          <w:rtl/>
        </w:rPr>
        <w:t xml:space="preserve"> </w:t>
      </w:r>
      <w:r w:rsidR="00E42EFF" w:rsidRPr="00E42EFF">
        <w:rPr>
          <w:rtl/>
          <w:lang w:bidi="ar-JO"/>
        </w:rPr>
        <w:t>محكمة أمن الدولة تختص بمحاكمة أشخاص مدنيين لا يتمتعون بالصفة العسكرية ولا علاقة لهم بالعمل العسكري لكن لخطورة الجرائم المسند النظر فيها إلى المحكمة تم منحها هذا الاختصاص و</w:t>
      </w:r>
      <w:r w:rsidR="00E42EFF" w:rsidRPr="00E42EFF">
        <w:rPr>
          <w:rFonts w:hint="cs"/>
          <w:rtl/>
          <w:lang w:bidi="ar-JO"/>
        </w:rPr>
        <w:t>إ</w:t>
      </w:r>
      <w:r w:rsidR="00E42EFF" w:rsidRPr="00E42EFF">
        <w:rPr>
          <w:rtl/>
          <w:lang w:bidi="ar-JO"/>
        </w:rPr>
        <w:t>ن قضاة المحكمة المدني</w:t>
      </w:r>
      <w:r w:rsidR="00E42EFF" w:rsidRPr="00E42EFF">
        <w:rPr>
          <w:rFonts w:hint="cs"/>
          <w:rtl/>
          <w:lang w:bidi="ar-JO"/>
        </w:rPr>
        <w:t>ي</w:t>
      </w:r>
      <w:r w:rsidR="00E42EFF" w:rsidRPr="00E42EFF">
        <w:rPr>
          <w:rtl/>
          <w:lang w:bidi="ar-JO"/>
        </w:rPr>
        <w:t>ن هم المختصون بنظر قضايا المدنيين وفقا</w:t>
      </w:r>
      <w:r w:rsidR="00451D4A">
        <w:rPr>
          <w:rFonts w:hint="cs"/>
          <w:rtl/>
          <w:lang w:bidi="ar-JO"/>
        </w:rPr>
        <w:t>ً</w:t>
      </w:r>
      <w:r w:rsidR="00E42EFF" w:rsidRPr="00E42EFF">
        <w:rPr>
          <w:rtl/>
          <w:lang w:bidi="ar-JO"/>
        </w:rPr>
        <w:t xml:space="preserve"> للتعديلات </w:t>
      </w:r>
      <w:r w:rsidR="00E42EFF" w:rsidRPr="00E42EFF">
        <w:rPr>
          <w:rtl/>
        </w:rPr>
        <w:t>الدستورية</w:t>
      </w:r>
      <w:r w:rsidR="00E42EFF" w:rsidRPr="00E42EFF">
        <w:rPr>
          <w:rtl/>
          <w:lang w:bidi="ar-JO"/>
        </w:rPr>
        <w:t xml:space="preserve"> الأخيرة حيث ورد في نص المادة (101/2): "</w:t>
      </w:r>
      <w:r w:rsidR="00E42EFF" w:rsidRPr="00E42EFF">
        <w:rPr>
          <w:rtl/>
        </w:rPr>
        <w:t>لا يجوز محاكمة أي شخص مدني في قضية جزائية لا يكون جميع قضاتها مدنيين، ويستثنى من ذلك جرائم الخيانة والتجسس والإرهاب وجرائم المخدرات وتزييف العملة".</w:t>
      </w:r>
      <w:r w:rsidR="00E42EFF" w:rsidRPr="00E42EFF">
        <w:rPr>
          <w:rFonts w:hint="cs"/>
          <w:rtl/>
        </w:rPr>
        <w:t xml:space="preserve"> </w:t>
      </w:r>
      <w:r w:rsidR="00E42EFF" w:rsidRPr="00E42EFF">
        <w:rPr>
          <w:rtl/>
        </w:rPr>
        <w:t>لذلك فإن صلاحيات هذه المحكمة محددة على سبيل الحصر في عدد من الجرائم التي تتعلق</w:t>
      </w:r>
      <w:r w:rsidR="00E42EFF" w:rsidRPr="00E42EFF">
        <w:rPr>
          <w:rtl/>
          <w:lang w:bidi="ar-JO"/>
        </w:rPr>
        <w:t xml:space="preserve"> </w:t>
      </w:r>
      <w:r w:rsidR="00E42EFF" w:rsidRPr="00E42EFF">
        <w:rPr>
          <w:rtl/>
        </w:rPr>
        <w:t>بحماية أمن الدولة أو النظام العام</w:t>
      </w:r>
      <w:r w:rsidR="00E42EFF" w:rsidRPr="00E42EFF">
        <w:rPr>
          <w:rFonts w:hint="cs"/>
          <w:rtl/>
        </w:rPr>
        <w:t>؛</w:t>
      </w:r>
    </w:p>
    <w:p w:rsidR="00E42EFF" w:rsidRDefault="00075AF2" w:rsidP="00E42EFF">
      <w:pPr>
        <w:pStyle w:val="SingleTxtGA"/>
        <w:rPr>
          <w:rFonts w:hint="cs"/>
          <w:rtl/>
        </w:rPr>
      </w:pPr>
      <w:r>
        <w:rPr>
          <w:rtl/>
        </w:rPr>
        <w:tab/>
      </w:r>
      <w:r w:rsidR="00E42EFF" w:rsidRPr="00E42EFF">
        <w:rPr>
          <w:rFonts w:hint="cs"/>
          <w:rtl/>
        </w:rPr>
        <w:t>(</w:t>
      </w:r>
      <w:r w:rsidR="00E42EFF" w:rsidRPr="00E42EFF">
        <w:rPr>
          <w:rtl/>
        </w:rPr>
        <w:t>د</w:t>
      </w:r>
      <w:r w:rsidR="00E42EFF" w:rsidRPr="00E42EFF">
        <w:rPr>
          <w:rFonts w:hint="cs"/>
          <w:rtl/>
        </w:rPr>
        <w:t>)</w:t>
      </w:r>
      <w:r>
        <w:rPr>
          <w:rFonts w:hint="cs"/>
          <w:rtl/>
        </w:rPr>
        <w:tab/>
      </w:r>
      <w:r w:rsidR="00E42EFF" w:rsidRPr="00E42EFF">
        <w:rPr>
          <w:rtl/>
        </w:rPr>
        <w:t>قلصت التعديلات الدستورية الأخيرة لسنة 2011 من اختصاصات محكمة أمن الدولة حيث نصت المادة</w:t>
      </w:r>
      <w:r w:rsidR="00E42EFF" w:rsidRPr="00E42EFF">
        <w:rPr>
          <w:rFonts w:hint="cs"/>
          <w:rtl/>
        </w:rPr>
        <w:t xml:space="preserve"> (101/2)</w:t>
      </w:r>
      <w:r w:rsidR="00E42EFF" w:rsidRPr="00E42EFF">
        <w:rPr>
          <w:rtl/>
        </w:rPr>
        <w:t xml:space="preserve"> من الدستور على </w:t>
      </w:r>
      <w:r w:rsidR="00E42EFF" w:rsidRPr="00E42EFF">
        <w:rPr>
          <w:rFonts w:hint="cs"/>
          <w:rtl/>
        </w:rPr>
        <w:t>أ</w:t>
      </w:r>
      <w:r w:rsidR="00E42EFF" w:rsidRPr="00E42EFF">
        <w:rPr>
          <w:rtl/>
        </w:rPr>
        <w:t>نه: "لا يجوز محاكمة أي شخص مدني في قضية جزائية لا يكون جميع قضاتها مدنيين، ويستثنى من ذلك جرائم الخيانة والتجسس والإرهاب وجرائم المخدرات وتزييف العملة" وبذلك قصر اختصاص هذه المحكمة على أربع حالات فقط وهي جرائم الخيانة والتجسس وجرائم المخدرات وتزييف العملة.</w:t>
      </w:r>
    </w:p>
    <w:p w:rsidR="00075AF2" w:rsidRPr="00075AF2" w:rsidRDefault="00075AF2" w:rsidP="00075AF2">
      <w:pPr>
        <w:spacing w:before="120"/>
        <w:jc w:val="center"/>
        <w:rPr>
          <w:rFonts w:hint="cs"/>
          <w:u w:val="single"/>
          <w:rtl/>
        </w:rPr>
      </w:pPr>
      <w:r>
        <w:rPr>
          <w:u w:val="single"/>
          <w:rtl/>
        </w:rPr>
        <w:tab/>
      </w:r>
      <w:r>
        <w:rPr>
          <w:u w:val="single"/>
          <w:rtl/>
        </w:rPr>
        <w:tab/>
      </w:r>
      <w:r>
        <w:rPr>
          <w:u w:val="single"/>
          <w:rtl/>
        </w:rPr>
        <w:tab/>
      </w:r>
    </w:p>
    <w:sectPr w:rsidR="00075AF2" w:rsidRPr="00075AF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09" w:rsidRPr="00FE6865" w:rsidRDefault="003E4C09" w:rsidP="00FE6865">
      <w:pPr>
        <w:pStyle w:val="Footer"/>
      </w:pPr>
    </w:p>
  </w:endnote>
  <w:endnote w:type="continuationSeparator" w:id="0">
    <w:p w:rsidR="003E4C09" w:rsidRDefault="003E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5" w:rsidRPr="00E42EFF" w:rsidRDefault="00EE3855" w:rsidP="00E42EFF">
    <w:pPr>
      <w:pStyle w:val="Footer"/>
      <w:tabs>
        <w:tab w:val="right" w:pos="9598"/>
      </w:tabs>
    </w:pPr>
    <w:r>
      <w:t>GE.14-14253</w:t>
    </w:r>
    <w:r>
      <w:tab/>
    </w:r>
    <w:r w:rsidRPr="00E42EFF">
      <w:rPr>
        <w:b/>
        <w:sz w:val="18"/>
      </w:rPr>
      <w:fldChar w:fldCharType="begin"/>
    </w:r>
    <w:r w:rsidRPr="00E42EFF">
      <w:rPr>
        <w:b/>
        <w:sz w:val="18"/>
      </w:rPr>
      <w:instrText xml:space="preserve"> PAGE  \* MERGEFORMAT </w:instrText>
    </w:r>
    <w:r w:rsidRPr="00E42EFF">
      <w:rPr>
        <w:b/>
        <w:sz w:val="18"/>
      </w:rPr>
      <w:fldChar w:fldCharType="separate"/>
    </w:r>
    <w:r w:rsidR="00B32B86">
      <w:rPr>
        <w:b/>
        <w:noProof/>
        <w:sz w:val="18"/>
      </w:rPr>
      <w:t>4</w:t>
    </w:r>
    <w:r w:rsidRPr="00E42EF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5" w:rsidRPr="00E42EFF" w:rsidRDefault="00EE3855" w:rsidP="00E42EFF">
    <w:pPr>
      <w:pStyle w:val="Footer"/>
      <w:tabs>
        <w:tab w:val="right" w:pos="9598"/>
      </w:tabs>
      <w:rPr>
        <w:b/>
        <w:sz w:val="18"/>
      </w:rPr>
    </w:pPr>
    <w:r w:rsidRPr="00E42EFF">
      <w:rPr>
        <w:b/>
        <w:sz w:val="18"/>
      </w:rPr>
      <w:fldChar w:fldCharType="begin"/>
    </w:r>
    <w:r w:rsidRPr="00E42EFF">
      <w:rPr>
        <w:b/>
        <w:sz w:val="18"/>
      </w:rPr>
      <w:instrText xml:space="preserve"> PAGE  \* MERGEFORMAT </w:instrText>
    </w:r>
    <w:r w:rsidRPr="00E42EFF">
      <w:rPr>
        <w:b/>
        <w:sz w:val="18"/>
      </w:rPr>
      <w:fldChar w:fldCharType="separate"/>
    </w:r>
    <w:r w:rsidR="00B32B86">
      <w:rPr>
        <w:b/>
        <w:noProof/>
        <w:sz w:val="18"/>
      </w:rPr>
      <w:t>5</w:t>
    </w:r>
    <w:r w:rsidRPr="00E42EFF">
      <w:rPr>
        <w:b/>
        <w:sz w:val="18"/>
      </w:rPr>
      <w:fldChar w:fldCharType="end"/>
    </w:r>
    <w:r>
      <w:rPr>
        <w:b/>
        <w:sz w:val="18"/>
      </w:rPr>
      <w:tab/>
    </w:r>
    <w:r>
      <w:t>GE.14-14253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5" w:rsidRDefault="00EE3855" w:rsidP="00E42FFB">
    <w:pPr>
      <w:pStyle w:val="Footer"/>
      <w:jc w:val="right"/>
    </w:pPr>
    <w:r>
      <w:rPr>
        <w:sz w:val="20"/>
      </w:rPr>
      <w:t>(A)   GE.14-14253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250814    2</w:t>
    </w:r>
    <w:r w:rsidR="00E42FFB">
      <w:rPr>
        <w:sz w:val="20"/>
      </w:rPr>
      <w:t>6</w:t>
    </w:r>
    <w:r>
      <w:rPr>
        <w:sz w:val="20"/>
      </w:rPr>
      <w:t>0814</w:t>
    </w:r>
    <w:r w:rsidR="00B32B86">
      <w:br/>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sidRPr="00B32B86">
      <w:rPr>
        <w:rFonts w:ascii="C39T30Lfz" w:hAnsi="C39T30Lfz"/>
        <w:sz w:val="56"/>
      </w:rPr>
      <w:t></w:t>
    </w:r>
    <w:r w:rsidR="00B32B86">
      <w:rPr>
        <w:rFonts w:ascii="C39T30Lfz" w:hAnsi="C39T30Lfz"/>
        <w:sz w:val="56"/>
      </w:rPr>
      <w:tab/>
    </w:r>
    <w:r w:rsidR="00B32B86">
      <w:rPr>
        <w:noProof/>
        <w:lang w:val="en-US"/>
      </w:rPr>
      <w:pict>
        <v:shape id="_x0000_s2054" type="#_x0000_t75" style="position:absolute;left:0;text-align:left;margin-left:.05pt;margin-top:0;width:50.25pt;height:50.25pt;z-index:3;mso-position-horizontal-relative:text;mso-position-vertical-relative:text" o:allowincell="f">
          <v:imagedata r:id="rId2" o:title="Add"/>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09" w:rsidRDefault="003E4C09" w:rsidP="007E4686">
      <w:pPr>
        <w:pStyle w:val="Footer"/>
        <w:bidi/>
        <w:spacing w:after="80" w:line="200" w:lineRule="exact"/>
        <w:ind w:left="680"/>
      </w:pPr>
      <w:r>
        <w:rPr>
          <w:rFonts w:hint="cs"/>
          <w:rtl/>
        </w:rPr>
        <w:t>__________</w:t>
      </w:r>
    </w:p>
  </w:footnote>
  <w:footnote w:type="continuationSeparator" w:id="0">
    <w:p w:rsidR="003E4C09" w:rsidRDefault="003E4C09" w:rsidP="007E4686">
      <w:pPr>
        <w:pStyle w:val="Footer"/>
        <w:bidi/>
        <w:spacing w:after="80" w:line="200" w:lineRule="exact"/>
        <w:ind w:left="680"/>
      </w:pPr>
      <w:r>
        <w:rPr>
          <w:rFonts w:hint="cs"/>
          <w:rtl/>
        </w:rPr>
        <w:t>__________</w:t>
      </w:r>
    </w:p>
  </w:footnote>
  <w:footnote w:id="1">
    <w:p w:rsidR="000C17C5" w:rsidRPr="000C17C5" w:rsidRDefault="000C17C5" w:rsidP="00B32B86">
      <w:pPr>
        <w:pStyle w:val="footnoteText0"/>
        <w:spacing w:after="240"/>
        <w:rPr>
          <w:rFonts w:hint="cs"/>
          <w:rtl/>
          <w:lang w:bidi="ar"/>
        </w:rPr>
      </w:pPr>
      <w:r>
        <w:rPr>
          <w:rtl/>
        </w:rPr>
        <w:tab/>
      </w:r>
      <w:r w:rsidRPr="000C17C5">
        <w:rPr>
          <w:rStyle w:val="FootnoteReference"/>
          <w:sz w:val="20"/>
          <w:vertAlign w:val="baseline"/>
          <w:rtl/>
        </w:rPr>
        <w:t>*</w:t>
      </w:r>
      <w:r>
        <w:rPr>
          <w:rtl/>
        </w:rPr>
        <w:tab/>
      </w:r>
      <w:r w:rsidRPr="000C17C5">
        <w:rPr>
          <w:rFonts w:hint="cs"/>
          <w:rtl/>
          <w:lang w:bidi="ar"/>
        </w:rPr>
        <w:t>تصدر هذه الوثيقة من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5" w:rsidRPr="00E42EFF" w:rsidRDefault="00EE3855" w:rsidP="00E42EFF">
    <w:pPr>
      <w:pStyle w:val="Header"/>
      <w:jc w:val="right"/>
    </w:pPr>
    <w:r w:rsidRPr="00E42EFF">
      <w:t>CCPR/C/JOR/CO/4/Add.1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5" w:rsidRPr="00E42EFF" w:rsidRDefault="00EE3855" w:rsidP="00E42EFF">
    <w:pPr>
      <w:pStyle w:val="Header"/>
      <w:jc w:val="left"/>
    </w:pPr>
    <w:r w:rsidRPr="00E42EFF">
      <w:t>CCPR/C/JOR/CO/4/Add.1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55" w:rsidRDefault="00EE385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E3855" w:rsidRPr="008F6743" w:rsidRDefault="00EE385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AD24BDF8"/>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 w:numId="40">
    <w:abstractNumId w:val="8"/>
    <w:lvlOverride w:ilvl="0">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7AB"/>
    <w:rsid w:val="00040E25"/>
    <w:rsid w:val="00042149"/>
    <w:rsid w:val="000648EA"/>
    <w:rsid w:val="00075AF2"/>
    <w:rsid w:val="0009074B"/>
    <w:rsid w:val="000957C8"/>
    <w:rsid w:val="00097049"/>
    <w:rsid w:val="000A04D5"/>
    <w:rsid w:val="000B52F2"/>
    <w:rsid w:val="000C17C5"/>
    <w:rsid w:val="000D0EAE"/>
    <w:rsid w:val="000D5380"/>
    <w:rsid w:val="000D6654"/>
    <w:rsid w:val="000E103D"/>
    <w:rsid w:val="000F0264"/>
    <w:rsid w:val="000F2EBF"/>
    <w:rsid w:val="000F3A9F"/>
    <w:rsid w:val="000F5FF6"/>
    <w:rsid w:val="000F7172"/>
    <w:rsid w:val="001022B5"/>
    <w:rsid w:val="00106296"/>
    <w:rsid w:val="00113FA5"/>
    <w:rsid w:val="001455A0"/>
    <w:rsid w:val="001602A3"/>
    <w:rsid w:val="001A5161"/>
    <w:rsid w:val="001A60BD"/>
    <w:rsid w:val="001C6D53"/>
    <w:rsid w:val="00232277"/>
    <w:rsid w:val="0023736D"/>
    <w:rsid w:val="002457AB"/>
    <w:rsid w:val="00257225"/>
    <w:rsid w:val="00294D9A"/>
    <w:rsid w:val="00310160"/>
    <w:rsid w:val="00341A8C"/>
    <w:rsid w:val="003519E6"/>
    <w:rsid w:val="00355F81"/>
    <w:rsid w:val="003B4356"/>
    <w:rsid w:val="003E4C09"/>
    <w:rsid w:val="003F08A8"/>
    <w:rsid w:val="004250E3"/>
    <w:rsid w:val="0044376D"/>
    <w:rsid w:val="00451D4A"/>
    <w:rsid w:val="00454034"/>
    <w:rsid w:val="0047095E"/>
    <w:rsid w:val="00472A81"/>
    <w:rsid w:val="004A20A6"/>
    <w:rsid w:val="004B2C92"/>
    <w:rsid w:val="004D6A3A"/>
    <w:rsid w:val="004F4AD7"/>
    <w:rsid w:val="004F5810"/>
    <w:rsid w:val="005575AE"/>
    <w:rsid w:val="00557CD3"/>
    <w:rsid w:val="00571432"/>
    <w:rsid w:val="005732A2"/>
    <w:rsid w:val="005762A5"/>
    <w:rsid w:val="00590BA3"/>
    <w:rsid w:val="005B46D9"/>
    <w:rsid w:val="005B7AE0"/>
    <w:rsid w:val="005E23F5"/>
    <w:rsid w:val="005F146F"/>
    <w:rsid w:val="005F71B6"/>
    <w:rsid w:val="0062574C"/>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5056D"/>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26157"/>
    <w:rsid w:val="00A265C3"/>
    <w:rsid w:val="00A276F1"/>
    <w:rsid w:val="00A43F9A"/>
    <w:rsid w:val="00A53F38"/>
    <w:rsid w:val="00A543D4"/>
    <w:rsid w:val="00AD0014"/>
    <w:rsid w:val="00AD4CF2"/>
    <w:rsid w:val="00AF0BBA"/>
    <w:rsid w:val="00B25159"/>
    <w:rsid w:val="00B30468"/>
    <w:rsid w:val="00B32B86"/>
    <w:rsid w:val="00B44E31"/>
    <w:rsid w:val="00BA4F7E"/>
    <w:rsid w:val="00BB2C41"/>
    <w:rsid w:val="00BB7C5B"/>
    <w:rsid w:val="00BC55C8"/>
    <w:rsid w:val="00BC5C10"/>
    <w:rsid w:val="00BE2964"/>
    <w:rsid w:val="00C12DC8"/>
    <w:rsid w:val="00C21623"/>
    <w:rsid w:val="00C24FBD"/>
    <w:rsid w:val="00C473BA"/>
    <w:rsid w:val="00C611ED"/>
    <w:rsid w:val="00C6490A"/>
    <w:rsid w:val="00C64FE1"/>
    <w:rsid w:val="00C726D2"/>
    <w:rsid w:val="00C74296"/>
    <w:rsid w:val="00C76011"/>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42EFF"/>
    <w:rsid w:val="00E42FFB"/>
    <w:rsid w:val="00E6524A"/>
    <w:rsid w:val="00E660D6"/>
    <w:rsid w:val="00E771AB"/>
    <w:rsid w:val="00EA796F"/>
    <w:rsid w:val="00EB077B"/>
    <w:rsid w:val="00EC50B9"/>
    <w:rsid w:val="00ED26A0"/>
    <w:rsid w:val="00EE3855"/>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5</Pages>
  <Words>1386</Words>
  <Characters>6878</Characters>
  <Application>Microsoft Office Word</Application>
  <DocSecurity>4</DocSecurity>
  <Lines>127</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CCPR/C/JOR/CO/4/Add.1</vt:lpstr>
      <vt:lpstr>CCPR/C/JOR/CO/4/Add.1</vt:lpstr>
    </vt:vector>
  </TitlesOfParts>
  <Company>CSD</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CCPR/C/JOR/CO/4/Add.1</dc:title>
  <dc:subject/>
  <dc:creator>SAYED</dc:creator>
  <cp:keywords/>
  <dc:description/>
  <cp:lastModifiedBy>TPS</cp:lastModifiedBy>
  <cp:revision>2</cp:revision>
  <cp:lastPrinted>2009-10-16T12:16:00Z</cp:lastPrinted>
  <dcterms:created xsi:type="dcterms:W3CDTF">2014-08-26T08:21:00Z</dcterms:created>
  <dcterms:modified xsi:type="dcterms:W3CDTF">2014-08-26T08:21:00Z</dcterms:modified>
</cp:coreProperties>
</file>