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AF7F6C" w:rsidTr="00DD35CF">
        <w:trPr>
          <w:trHeight w:hRule="exact" w:val="851"/>
        </w:trPr>
        <w:tc>
          <w:tcPr>
            <w:tcW w:w="1276" w:type="dxa"/>
            <w:tcBorders>
              <w:bottom w:val="single" w:sz="4" w:space="0" w:color="auto"/>
            </w:tcBorders>
          </w:tcPr>
          <w:p w:rsidR="003D7914" w:rsidRPr="00DB58B5" w:rsidRDefault="003D7914" w:rsidP="00851BC9"/>
        </w:tc>
        <w:tc>
          <w:tcPr>
            <w:tcW w:w="2268" w:type="dxa"/>
            <w:tcBorders>
              <w:bottom w:val="single" w:sz="4" w:space="0" w:color="auto"/>
            </w:tcBorders>
            <w:vAlign w:val="bottom"/>
          </w:tcPr>
          <w:p w:rsidR="003D7914" w:rsidRPr="00DB58B5" w:rsidRDefault="003D7914" w:rsidP="00DD35C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7914" w:rsidRPr="00851BC9" w:rsidRDefault="00851BC9" w:rsidP="00851BC9">
            <w:pPr>
              <w:jc w:val="right"/>
              <w:rPr>
                <w:lang w:val="en-CA"/>
              </w:rPr>
            </w:pPr>
            <w:r w:rsidRPr="00851BC9">
              <w:rPr>
                <w:sz w:val="40"/>
                <w:lang w:val="en-CA"/>
              </w:rPr>
              <w:t>CMW</w:t>
            </w:r>
            <w:r w:rsidRPr="00851BC9">
              <w:rPr>
                <w:lang w:val="en-CA"/>
              </w:rPr>
              <w:t>/C/TUR/CO/1/Add.1</w:t>
            </w:r>
          </w:p>
        </w:tc>
      </w:tr>
      <w:tr w:rsidR="003D7914" w:rsidRPr="00DB58B5" w:rsidTr="00DD35CF">
        <w:trPr>
          <w:trHeight w:hRule="exact" w:val="2835"/>
        </w:trPr>
        <w:tc>
          <w:tcPr>
            <w:tcW w:w="1276" w:type="dxa"/>
            <w:tcBorders>
              <w:top w:val="single" w:sz="4" w:space="0" w:color="auto"/>
              <w:bottom w:val="single" w:sz="12" w:space="0" w:color="auto"/>
            </w:tcBorders>
          </w:tcPr>
          <w:p w:rsidR="003D7914" w:rsidRPr="00DB58B5" w:rsidRDefault="003D7914" w:rsidP="00DD35CF">
            <w:pPr>
              <w:spacing w:before="120"/>
              <w:jc w:val="center"/>
            </w:pPr>
            <w:r>
              <w:rPr>
                <w:noProof/>
                <w:lang w:eastAsia="fr-CH"/>
              </w:rPr>
              <w:drawing>
                <wp:inline distT="0" distB="0" distL="0" distR="0" wp14:anchorId="1FE478AB" wp14:editId="1AF5FD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7914" w:rsidRPr="00740562" w:rsidRDefault="003D7914" w:rsidP="00DD35CF">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rsidR="003D7914" w:rsidRDefault="00851BC9" w:rsidP="00DD35CF">
            <w:pPr>
              <w:spacing w:before="240"/>
            </w:pPr>
            <w:proofErr w:type="spellStart"/>
            <w:r>
              <w:t>Distr</w:t>
            </w:r>
            <w:proofErr w:type="spellEnd"/>
            <w:r>
              <w:t>. générale</w:t>
            </w:r>
          </w:p>
          <w:p w:rsidR="00851BC9" w:rsidRDefault="00851BC9" w:rsidP="00851BC9">
            <w:pPr>
              <w:spacing w:line="240" w:lineRule="exact"/>
            </w:pPr>
            <w:r>
              <w:t>5 août 2019</w:t>
            </w:r>
          </w:p>
          <w:p w:rsidR="00851BC9" w:rsidRDefault="00851BC9" w:rsidP="00851BC9">
            <w:pPr>
              <w:spacing w:line="240" w:lineRule="exact"/>
            </w:pPr>
            <w:r>
              <w:t>Français</w:t>
            </w:r>
          </w:p>
          <w:p w:rsidR="00851BC9" w:rsidRDefault="00851BC9" w:rsidP="00851BC9">
            <w:pPr>
              <w:spacing w:line="240" w:lineRule="exact"/>
            </w:pPr>
            <w:r>
              <w:t>Original : anglais</w:t>
            </w:r>
          </w:p>
          <w:p w:rsidR="00851BC9" w:rsidRPr="00DB58B5" w:rsidRDefault="000D22AA" w:rsidP="00851BC9">
            <w:pPr>
              <w:spacing w:line="240" w:lineRule="exact"/>
            </w:pPr>
            <w:r>
              <w:t>Anglais, espagnol et français</w:t>
            </w:r>
            <w:r w:rsidR="00D1547E">
              <w:t xml:space="preserve"> seulement</w:t>
            </w:r>
          </w:p>
        </w:tc>
      </w:tr>
    </w:tbl>
    <w:p w:rsidR="00851BC9" w:rsidRPr="00BE62A7" w:rsidRDefault="00851BC9" w:rsidP="008F572B">
      <w:pPr>
        <w:spacing w:before="120"/>
        <w:rPr>
          <w:b/>
          <w:sz w:val="24"/>
          <w:szCs w:val="24"/>
        </w:rPr>
      </w:pPr>
      <w:r w:rsidRPr="00BE62A7">
        <w:rPr>
          <w:b/>
          <w:sz w:val="24"/>
          <w:szCs w:val="24"/>
        </w:rPr>
        <w:t>Comité pour la protection des droits de tous les travailleurs</w:t>
      </w:r>
      <w:r w:rsidRPr="00BE62A7">
        <w:rPr>
          <w:b/>
          <w:sz w:val="24"/>
          <w:szCs w:val="24"/>
        </w:rPr>
        <w:br/>
        <w:t>migrants et des membres de leur famille</w:t>
      </w:r>
    </w:p>
    <w:p w:rsidR="00851BC9" w:rsidRPr="00BE62A7" w:rsidRDefault="00851BC9" w:rsidP="008F572B">
      <w:pPr>
        <w:rPr>
          <w:b/>
          <w:bCs/>
        </w:rPr>
      </w:pPr>
      <w:r w:rsidRPr="00851BC9">
        <w:rPr>
          <w:b/>
          <w:bCs/>
        </w:rPr>
        <w:t>Trente</w:t>
      </w:r>
      <w:r w:rsidR="00AF7F6C">
        <w:rPr>
          <w:b/>
          <w:bCs/>
        </w:rPr>
        <w:t xml:space="preserve"> </w:t>
      </w:r>
      <w:r w:rsidRPr="00851BC9">
        <w:rPr>
          <w:b/>
          <w:bCs/>
        </w:rPr>
        <w:t>et</w:t>
      </w:r>
      <w:r w:rsidR="00AF7F6C">
        <w:rPr>
          <w:b/>
          <w:bCs/>
        </w:rPr>
        <w:t xml:space="preserve"> </w:t>
      </w:r>
      <w:r w:rsidRPr="00851BC9">
        <w:rPr>
          <w:b/>
          <w:bCs/>
        </w:rPr>
        <w:t xml:space="preserve">unième </w:t>
      </w:r>
      <w:r w:rsidRPr="00BE62A7">
        <w:rPr>
          <w:b/>
          <w:bCs/>
        </w:rPr>
        <w:t xml:space="preserve">session </w:t>
      </w:r>
    </w:p>
    <w:p w:rsidR="00851BC9" w:rsidRPr="00BE62A7" w:rsidRDefault="00851BC9" w:rsidP="008F572B">
      <w:r w:rsidRPr="00851BC9">
        <w:t>2-11</w:t>
      </w:r>
      <w:r>
        <w:t> </w:t>
      </w:r>
      <w:r w:rsidRPr="00851BC9">
        <w:t>septembre 2019</w:t>
      </w:r>
    </w:p>
    <w:p w:rsidR="00851BC9" w:rsidRPr="00BE62A7" w:rsidRDefault="00851BC9" w:rsidP="008F572B">
      <w:r w:rsidRPr="00BE62A7">
        <w:t xml:space="preserve">Point </w:t>
      </w:r>
      <w:r>
        <w:t>5</w:t>
      </w:r>
      <w:r w:rsidRPr="00BE62A7">
        <w:t xml:space="preserve"> de l</w:t>
      </w:r>
      <w:r w:rsidR="001D2961">
        <w:t>’</w:t>
      </w:r>
      <w:r w:rsidRPr="00BE62A7">
        <w:t>ordre du jour provisoire</w:t>
      </w:r>
    </w:p>
    <w:p w:rsidR="00851BC9" w:rsidRPr="00BE62A7" w:rsidRDefault="00851BC9" w:rsidP="008F572B">
      <w:pPr>
        <w:spacing w:line="240" w:lineRule="auto"/>
        <w:rPr>
          <w:b/>
          <w:bCs/>
        </w:rPr>
      </w:pPr>
      <w:r w:rsidRPr="00445A6F">
        <w:rPr>
          <w:b/>
        </w:rPr>
        <w:t xml:space="preserve">Examen des rapports soumis par les États parties </w:t>
      </w:r>
      <w:r>
        <w:rPr>
          <w:b/>
        </w:rPr>
        <w:br/>
      </w:r>
      <w:r w:rsidRPr="00445A6F">
        <w:rPr>
          <w:b/>
        </w:rPr>
        <w:t>en application de l</w:t>
      </w:r>
      <w:r w:rsidR="001D2961">
        <w:rPr>
          <w:b/>
        </w:rPr>
        <w:t>’</w:t>
      </w:r>
      <w:r w:rsidRPr="00445A6F">
        <w:rPr>
          <w:b/>
        </w:rPr>
        <w:t>article 73 de la Convention</w:t>
      </w:r>
    </w:p>
    <w:p w:rsidR="00851BC9" w:rsidRPr="00BE62A7" w:rsidRDefault="00851BC9" w:rsidP="00D1547E">
      <w:pPr>
        <w:pStyle w:val="HMG"/>
      </w:pPr>
      <w:r w:rsidRPr="00BE62A7">
        <w:tab/>
      </w:r>
      <w:r w:rsidRPr="00BE62A7">
        <w:rPr>
          <w:szCs w:val="34"/>
        </w:rPr>
        <w:tab/>
      </w:r>
      <w:r w:rsidRPr="00BE62A7">
        <w:t>Observations finales concernant le</w:t>
      </w:r>
      <w:r>
        <w:t xml:space="preserve"> </w:t>
      </w:r>
      <w:r w:rsidRPr="00BE62A7">
        <w:t xml:space="preserve">rapport </w:t>
      </w:r>
      <w:r>
        <w:t xml:space="preserve">initial </w:t>
      </w:r>
      <w:r>
        <w:br/>
      </w:r>
      <w:r w:rsidRPr="00BE62A7">
        <w:t xml:space="preserve">de </w:t>
      </w:r>
      <w:r>
        <w:t>la Turqui</w:t>
      </w:r>
      <w:bookmarkStart w:id="0" w:name="_GoBack"/>
      <w:bookmarkEnd w:id="0"/>
      <w:r>
        <w:t>e</w:t>
      </w:r>
    </w:p>
    <w:p w:rsidR="00851BC9" w:rsidRPr="00BE62A7" w:rsidRDefault="00851BC9" w:rsidP="00D1547E">
      <w:pPr>
        <w:pStyle w:val="H1G"/>
      </w:pPr>
      <w:r w:rsidRPr="00BE62A7">
        <w:tab/>
      </w:r>
      <w:r w:rsidRPr="00BE62A7">
        <w:tab/>
        <w:t>Additif</w:t>
      </w:r>
    </w:p>
    <w:p w:rsidR="00851BC9" w:rsidRPr="00BE62A7" w:rsidRDefault="00851BC9" w:rsidP="00D1547E">
      <w:pPr>
        <w:pStyle w:val="HChG"/>
      </w:pPr>
      <w:r w:rsidRPr="00BE62A7">
        <w:tab/>
      </w:r>
      <w:r w:rsidRPr="00BE62A7">
        <w:tab/>
        <w:t xml:space="preserve">Renseignements reçus de </w:t>
      </w:r>
      <w:r>
        <w:t>la Turquie</w:t>
      </w:r>
      <w:r w:rsidRPr="00BE62A7">
        <w:t xml:space="preserve"> au sujet</w:t>
      </w:r>
      <w:r w:rsidRPr="00BE62A7">
        <w:br/>
        <w:t>de la suite donnée aux observations finales</w:t>
      </w:r>
      <w:r w:rsidR="00D243C5" w:rsidRPr="00D243C5">
        <w:rPr>
          <w:rStyle w:val="Appelnotedebasdep"/>
          <w:b w:val="0"/>
          <w:sz w:val="20"/>
          <w:vertAlign w:val="baseline"/>
        </w:rPr>
        <w:footnoteReference w:customMarkFollows="1" w:id="2"/>
        <w:t>*</w:t>
      </w:r>
    </w:p>
    <w:p w:rsidR="00851BC9" w:rsidRPr="00BE62A7" w:rsidRDefault="00851BC9" w:rsidP="008F572B">
      <w:pPr>
        <w:pStyle w:val="SingleTxtG"/>
        <w:jc w:val="right"/>
      </w:pPr>
      <w:r>
        <w:t>[Date de réception : 22 juillet 2019]</w:t>
      </w:r>
    </w:p>
    <w:p w:rsidR="00851BC9" w:rsidRPr="00D1547E" w:rsidRDefault="00851BC9" w:rsidP="00851BC9">
      <w:pPr>
        <w:pStyle w:val="SingleTxtG"/>
      </w:pPr>
      <w:r>
        <w:br w:type="page"/>
      </w:r>
      <w:r w:rsidRPr="00445A6F">
        <w:rPr>
          <w:lang w:val="fr-FR"/>
        </w:rPr>
        <w:lastRenderedPageBreak/>
        <w:t>1.</w:t>
      </w:r>
      <w:r w:rsidRPr="00445A6F">
        <w:rPr>
          <w:lang w:val="fr-FR"/>
        </w:rPr>
        <w:tab/>
      </w:r>
      <w:r w:rsidRPr="00D1547E">
        <w:rPr>
          <w:lang w:val="fr-FR"/>
        </w:rPr>
        <w:t>Le Comité invite l</w:t>
      </w:r>
      <w:r w:rsidR="001D2961" w:rsidRPr="00D1547E">
        <w:rPr>
          <w:lang w:val="fr-FR"/>
        </w:rPr>
        <w:t>’</w:t>
      </w:r>
      <w:r w:rsidRPr="00D1547E">
        <w:rPr>
          <w:lang w:val="fr-FR"/>
        </w:rPr>
        <w:t>État partie à lui fournir, dans les deux ans, c</w:t>
      </w:r>
      <w:r w:rsidR="001D2961" w:rsidRPr="00D1547E">
        <w:rPr>
          <w:lang w:val="fr-FR"/>
        </w:rPr>
        <w:t>’</w:t>
      </w:r>
      <w:r w:rsidRPr="00D1547E">
        <w:rPr>
          <w:lang w:val="fr-FR"/>
        </w:rPr>
        <w:t>est-à-dire le 1</w:t>
      </w:r>
      <w:r w:rsidRPr="00D1547E">
        <w:rPr>
          <w:vertAlign w:val="superscript"/>
          <w:lang w:val="fr-FR"/>
        </w:rPr>
        <w:t>er</w:t>
      </w:r>
      <w:r w:rsidRPr="00D1547E">
        <w:rPr>
          <w:lang w:val="fr-FR"/>
        </w:rPr>
        <w:t xml:space="preserve"> mai 2018 au plus tard, des informations écrites sur la mise en œuvre des recommandations figurant aux paragraphes 18, 48 et 54 de ses observations finales. </w:t>
      </w:r>
    </w:p>
    <w:p w:rsidR="00851BC9" w:rsidRPr="00445A6F" w:rsidRDefault="00851BC9" w:rsidP="00851BC9">
      <w:pPr>
        <w:pStyle w:val="H23G"/>
      </w:pPr>
      <w:r w:rsidRPr="00445A6F">
        <w:rPr>
          <w:lang w:val="fr-FR"/>
        </w:rPr>
        <w:tab/>
      </w:r>
      <w:r w:rsidRPr="00445A6F">
        <w:rPr>
          <w:lang w:val="fr-FR"/>
        </w:rPr>
        <w:tab/>
      </w:r>
      <w:r w:rsidRPr="00445A6F">
        <w:rPr>
          <w:bCs/>
          <w:lang w:val="fr-FR"/>
        </w:rPr>
        <w:t>Paragraphe 18 des observations finales</w:t>
      </w:r>
    </w:p>
    <w:p w:rsidR="00851BC9" w:rsidRPr="00445A6F" w:rsidRDefault="00851BC9" w:rsidP="00D243C5">
      <w:pPr>
        <w:pStyle w:val="SingleTxtG"/>
        <w:ind w:firstLine="567"/>
        <w:rPr>
          <w:b/>
          <w:bCs/>
        </w:rPr>
      </w:pPr>
      <w:r w:rsidRPr="00445A6F">
        <w:rPr>
          <w:b/>
          <w:bCs/>
          <w:lang w:val="fr-FR"/>
        </w:rPr>
        <w:t>Le Comité recommande à l</w:t>
      </w:r>
      <w:r w:rsidR="001D2961">
        <w:rPr>
          <w:b/>
          <w:bCs/>
          <w:lang w:val="fr-FR"/>
        </w:rPr>
        <w:t>’</w:t>
      </w:r>
      <w:r w:rsidRPr="00445A6F">
        <w:rPr>
          <w:b/>
          <w:bCs/>
          <w:lang w:val="fr-FR"/>
        </w:rPr>
        <w:t>État partie d</w:t>
      </w:r>
      <w:r w:rsidR="001D2961">
        <w:rPr>
          <w:b/>
          <w:bCs/>
          <w:lang w:val="fr-FR"/>
        </w:rPr>
        <w:t>’</w:t>
      </w:r>
      <w:r w:rsidRPr="00445A6F">
        <w:rPr>
          <w:b/>
          <w:bCs/>
          <w:lang w:val="fr-FR"/>
        </w:rPr>
        <w:t>envisager de faire les déclarations prévues aux articles 76 et 77 de la Convention.</w:t>
      </w:r>
    </w:p>
    <w:p w:rsidR="00851BC9" w:rsidRPr="00445A6F" w:rsidRDefault="00851BC9" w:rsidP="00851BC9">
      <w:pPr>
        <w:pStyle w:val="H23G"/>
      </w:pPr>
      <w:r w:rsidRPr="00445A6F">
        <w:rPr>
          <w:lang w:val="fr-FR"/>
        </w:rPr>
        <w:tab/>
      </w:r>
      <w:r w:rsidRPr="00445A6F">
        <w:rPr>
          <w:lang w:val="fr-FR"/>
        </w:rPr>
        <w:tab/>
      </w:r>
      <w:r w:rsidRPr="00445A6F">
        <w:rPr>
          <w:bCs/>
          <w:lang w:val="fr-FR"/>
        </w:rPr>
        <w:t>Paragraphe 48 des observations finales</w:t>
      </w:r>
    </w:p>
    <w:p w:rsidR="00851BC9" w:rsidRPr="00445A6F" w:rsidRDefault="00851BC9" w:rsidP="00D243C5">
      <w:pPr>
        <w:pStyle w:val="SingleTxtG"/>
        <w:ind w:firstLine="567"/>
        <w:rPr>
          <w:b/>
          <w:bCs/>
        </w:rPr>
      </w:pPr>
      <w:r w:rsidRPr="00445A6F">
        <w:rPr>
          <w:b/>
          <w:bCs/>
          <w:lang w:val="fr-FR"/>
        </w:rPr>
        <w:t>Le Comité recommande à l</w:t>
      </w:r>
      <w:r w:rsidR="001D2961">
        <w:rPr>
          <w:b/>
          <w:bCs/>
          <w:lang w:val="fr-FR"/>
        </w:rPr>
        <w:t>’</w:t>
      </w:r>
      <w:r w:rsidRPr="00445A6F">
        <w:rPr>
          <w:b/>
          <w:bCs/>
          <w:lang w:val="fr-FR"/>
        </w:rPr>
        <w:t>État partie</w:t>
      </w:r>
      <w:r>
        <w:rPr>
          <w:b/>
          <w:bCs/>
          <w:lang w:val="fr-FR"/>
        </w:rPr>
        <w:t> </w:t>
      </w:r>
      <w:r w:rsidRPr="00445A6F">
        <w:rPr>
          <w:b/>
          <w:bCs/>
          <w:lang w:val="fr-FR"/>
        </w:rPr>
        <w:t>:</w:t>
      </w:r>
    </w:p>
    <w:p w:rsidR="00851BC9" w:rsidRPr="00445A6F" w:rsidRDefault="00851BC9" w:rsidP="00851BC9">
      <w:pPr>
        <w:pStyle w:val="SingleTxtG"/>
        <w:ind w:firstLine="567"/>
        <w:rPr>
          <w:b/>
          <w:bCs/>
        </w:rPr>
      </w:pPr>
      <w:r w:rsidRPr="00445A6F">
        <w:rPr>
          <w:lang w:val="fr-FR"/>
        </w:rPr>
        <w:t>a)</w:t>
      </w:r>
      <w:r w:rsidRPr="00445A6F">
        <w:rPr>
          <w:lang w:val="fr-FR"/>
        </w:rPr>
        <w:tab/>
      </w:r>
      <w:r w:rsidRPr="00445A6F">
        <w:rPr>
          <w:b/>
          <w:bCs/>
          <w:lang w:val="fr-FR"/>
        </w:rPr>
        <w:t>De faire en sorte que la rétention administrative ne soit utilisée qu</w:t>
      </w:r>
      <w:r w:rsidR="001D2961">
        <w:rPr>
          <w:b/>
          <w:bCs/>
          <w:lang w:val="fr-FR"/>
        </w:rPr>
        <w:t>’</w:t>
      </w:r>
      <w:r w:rsidRPr="00445A6F">
        <w:rPr>
          <w:b/>
          <w:bCs/>
          <w:lang w:val="fr-FR"/>
        </w:rPr>
        <w:t>en dernier recours et de veiller à promouvoir d</w:t>
      </w:r>
      <w:r w:rsidR="001D2961">
        <w:rPr>
          <w:b/>
          <w:bCs/>
          <w:lang w:val="fr-FR"/>
        </w:rPr>
        <w:t>’</w:t>
      </w:r>
      <w:r w:rsidRPr="00445A6F">
        <w:rPr>
          <w:b/>
          <w:bCs/>
          <w:lang w:val="fr-FR"/>
        </w:rPr>
        <w:t>autres solutions que la détention, conformément à l</w:t>
      </w:r>
      <w:r w:rsidR="001D2961">
        <w:rPr>
          <w:b/>
          <w:bCs/>
          <w:lang w:val="fr-FR"/>
        </w:rPr>
        <w:t>’</w:t>
      </w:r>
      <w:r w:rsidRPr="00445A6F">
        <w:rPr>
          <w:b/>
          <w:bCs/>
          <w:lang w:val="fr-FR"/>
        </w:rPr>
        <w:t xml:space="preserve">observation générale </w:t>
      </w:r>
      <w:r w:rsidRPr="00851BC9">
        <w:rPr>
          <w:rFonts w:eastAsia="MS Mincho"/>
          <w:b/>
          <w:bCs/>
          <w:szCs w:val="22"/>
          <w:lang w:val="fr-FR"/>
        </w:rPr>
        <w:t>n</w:t>
      </w:r>
      <w:r w:rsidRPr="00851BC9">
        <w:rPr>
          <w:rFonts w:eastAsia="MS Mincho"/>
          <w:b/>
          <w:bCs/>
          <w:szCs w:val="22"/>
          <w:vertAlign w:val="superscript"/>
          <w:lang w:val="fr-FR"/>
        </w:rPr>
        <w:t>o</w:t>
      </w:r>
      <w:r>
        <w:rPr>
          <w:b/>
          <w:bCs/>
          <w:lang w:val="fr-FR"/>
        </w:rPr>
        <w:t> </w:t>
      </w:r>
      <w:r w:rsidRPr="00445A6F">
        <w:rPr>
          <w:b/>
          <w:bCs/>
          <w:lang w:val="fr-FR"/>
        </w:rPr>
        <w:t>2 (2013) du Comité sur les droits des travailleurs migrants en situation irrégulière et des membres de leur famille</w:t>
      </w:r>
      <w:r>
        <w:rPr>
          <w:b/>
          <w:bCs/>
          <w:lang w:val="fr-FR"/>
        </w:rPr>
        <w:t> </w:t>
      </w:r>
      <w:r w:rsidRPr="00445A6F">
        <w:rPr>
          <w:b/>
          <w:bCs/>
          <w:lang w:val="fr-FR"/>
        </w:rPr>
        <w:t>;</w:t>
      </w:r>
    </w:p>
    <w:p w:rsidR="00851BC9" w:rsidRPr="00445A6F" w:rsidRDefault="00851BC9" w:rsidP="00851BC9">
      <w:pPr>
        <w:pStyle w:val="SingleTxtG"/>
      </w:pPr>
      <w:r w:rsidRPr="00445A6F">
        <w:rPr>
          <w:lang w:val="fr-FR"/>
        </w:rPr>
        <w:t>2.</w:t>
      </w:r>
      <w:r w:rsidRPr="00445A6F">
        <w:rPr>
          <w:lang w:val="fr-FR"/>
        </w:rPr>
        <w:tab/>
        <w:t xml:space="preserve">La loi </w:t>
      </w:r>
      <w:r w:rsidRPr="00851BC9">
        <w:rPr>
          <w:rFonts w:eastAsia="MS Mincho"/>
          <w:szCs w:val="22"/>
          <w:lang w:val="fr-FR"/>
        </w:rPr>
        <w:t>n</w:t>
      </w:r>
      <w:r w:rsidRPr="00851BC9">
        <w:rPr>
          <w:rFonts w:eastAsia="MS Mincho"/>
          <w:szCs w:val="22"/>
          <w:vertAlign w:val="superscript"/>
          <w:lang w:val="fr-FR"/>
        </w:rPr>
        <w:t>o</w:t>
      </w:r>
      <w:r>
        <w:rPr>
          <w:lang w:val="fr-FR"/>
        </w:rPr>
        <w:t> </w:t>
      </w:r>
      <w:r w:rsidRPr="00445A6F">
        <w:rPr>
          <w:lang w:val="fr-FR"/>
        </w:rPr>
        <w:t xml:space="preserve">6458 relative aux étrangers et à la protection internationale a introduit des solutions de substitution à </w:t>
      </w:r>
      <w:r>
        <w:rPr>
          <w:lang w:val="fr-FR"/>
        </w:rPr>
        <w:t>la rétention</w:t>
      </w:r>
      <w:r w:rsidRPr="00445A6F">
        <w:rPr>
          <w:lang w:val="fr-FR"/>
        </w:rPr>
        <w:t xml:space="preserve"> administrati</w:t>
      </w:r>
      <w:r>
        <w:rPr>
          <w:lang w:val="fr-FR"/>
        </w:rPr>
        <w:t>ve</w:t>
      </w:r>
      <w:r w:rsidRPr="00445A6F">
        <w:rPr>
          <w:lang w:val="fr-FR"/>
        </w:rPr>
        <w:t xml:space="preserve">. Les articles 54 et 55 de la loi introduisent de nouvelles pratiques. Les étrangers ne sont placés en </w:t>
      </w:r>
      <w:r>
        <w:rPr>
          <w:lang w:val="fr-FR"/>
        </w:rPr>
        <w:t>rétention</w:t>
      </w:r>
      <w:r w:rsidRPr="00445A6F">
        <w:rPr>
          <w:lang w:val="fr-FR"/>
        </w:rPr>
        <w:t xml:space="preserve"> que </w:t>
      </w:r>
      <w:r>
        <w:rPr>
          <w:lang w:val="fr-FR"/>
        </w:rPr>
        <w:t>s</w:t>
      </w:r>
      <w:r w:rsidR="001D2961">
        <w:rPr>
          <w:lang w:val="fr-FR"/>
        </w:rPr>
        <w:t>’</w:t>
      </w:r>
      <w:r w:rsidRPr="00445A6F">
        <w:rPr>
          <w:lang w:val="fr-FR"/>
        </w:rPr>
        <w:t>il existe un risque de fuite ou de disparition.</w:t>
      </w:r>
    </w:p>
    <w:p w:rsidR="00851BC9" w:rsidRPr="00445A6F" w:rsidRDefault="00851BC9" w:rsidP="00851BC9">
      <w:pPr>
        <w:pStyle w:val="SingleTxtG"/>
        <w:ind w:firstLine="567"/>
        <w:rPr>
          <w:b/>
          <w:bCs/>
        </w:rPr>
      </w:pPr>
      <w:r w:rsidRPr="00445A6F">
        <w:rPr>
          <w:lang w:val="fr-FR"/>
        </w:rPr>
        <w:t>b)</w:t>
      </w:r>
      <w:r w:rsidRPr="00445A6F">
        <w:rPr>
          <w:lang w:val="fr-FR"/>
        </w:rPr>
        <w:tab/>
      </w:r>
      <w:r w:rsidRPr="00445A6F">
        <w:rPr>
          <w:b/>
          <w:bCs/>
          <w:lang w:val="fr-FR"/>
        </w:rPr>
        <w:t xml:space="preserve">De mettre fin </w:t>
      </w:r>
      <w:proofErr w:type="spellStart"/>
      <w:r w:rsidRPr="00445A6F">
        <w:rPr>
          <w:b/>
          <w:bCs/>
          <w:lang w:val="fr-FR"/>
        </w:rPr>
        <w:t>compl</w:t>
      </w:r>
      <w:r w:rsidR="00D1547E">
        <w:rPr>
          <w:b/>
          <w:bCs/>
          <w:lang w:val="fr-FR"/>
        </w:rPr>
        <w:t>è</w:t>
      </w:r>
      <w:r w:rsidRPr="00445A6F">
        <w:rPr>
          <w:b/>
          <w:bCs/>
          <w:lang w:val="fr-FR"/>
        </w:rPr>
        <w:t>tement</w:t>
      </w:r>
      <w:proofErr w:type="spellEnd"/>
      <w:r w:rsidRPr="00445A6F">
        <w:rPr>
          <w:b/>
          <w:bCs/>
          <w:lang w:val="fr-FR"/>
        </w:rPr>
        <w:t xml:space="preserve"> et sans délai à la détention des enfants en raison de leur statut migratoire ou de celui de leurs parents, et de trouver des solutions de rechange à la détention qui permettent aux enfants d</w:t>
      </w:r>
      <w:r w:rsidR="001D2961">
        <w:rPr>
          <w:b/>
          <w:bCs/>
          <w:lang w:val="fr-FR"/>
        </w:rPr>
        <w:t>’</w:t>
      </w:r>
      <w:r w:rsidRPr="00445A6F">
        <w:rPr>
          <w:b/>
          <w:bCs/>
          <w:lang w:val="fr-FR"/>
        </w:rPr>
        <w:t>être logés avec les membres de leur famille et/ou leur tuteur dans des lieux non fermés au sein de la communauté, le temps que leur statut migratoire soit déterminé, dans le respect de leur intérêt supérieur et des droits de l</w:t>
      </w:r>
      <w:r w:rsidR="001D2961">
        <w:rPr>
          <w:b/>
          <w:bCs/>
          <w:lang w:val="fr-FR"/>
        </w:rPr>
        <w:t>’</w:t>
      </w:r>
      <w:r w:rsidRPr="00445A6F">
        <w:rPr>
          <w:b/>
          <w:bCs/>
          <w:lang w:val="fr-FR"/>
        </w:rPr>
        <w:t>enfant à la liberté et à une vie de famille</w:t>
      </w:r>
      <w:r>
        <w:rPr>
          <w:b/>
          <w:bCs/>
          <w:lang w:val="fr-FR"/>
        </w:rPr>
        <w:t> </w:t>
      </w:r>
      <w:r w:rsidRPr="00445A6F">
        <w:rPr>
          <w:b/>
          <w:bCs/>
          <w:lang w:val="fr-FR"/>
        </w:rPr>
        <w:t>;</w:t>
      </w:r>
    </w:p>
    <w:p w:rsidR="00851BC9" w:rsidRPr="00445A6F" w:rsidRDefault="00851BC9" w:rsidP="00851BC9">
      <w:pPr>
        <w:pStyle w:val="SingleTxtG"/>
      </w:pPr>
      <w:r w:rsidRPr="00445A6F">
        <w:rPr>
          <w:lang w:val="fr-FR"/>
        </w:rPr>
        <w:t>3.</w:t>
      </w:r>
      <w:r w:rsidRPr="00445A6F">
        <w:rPr>
          <w:lang w:val="fr-FR"/>
        </w:rPr>
        <w:tab/>
        <w:t xml:space="preserve">Les enfants </w:t>
      </w:r>
      <w:r>
        <w:rPr>
          <w:lang w:val="fr-FR"/>
        </w:rPr>
        <w:t>placés</w:t>
      </w:r>
      <w:r w:rsidRPr="00445A6F">
        <w:rPr>
          <w:lang w:val="fr-FR"/>
        </w:rPr>
        <w:t xml:space="preserve"> dans </w:t>
      </w:r>
      <w:r>
        <w:rPr>
          <w:lang w:val="fr-FR"/>
        </w:rPr>
        <w:t>un</w:t>
      </w:r>
      <w:r w:rsidRPr="00445A6F">
        <w:rPr>
          <w:lang w:val="fr-FR"/>
        </w:rPr>
        <w:t xml:space="preserve"> centre de </w:t>
      </w:r>
      <w:r>
        <w:rPr>
          <w:lang w:val="fr-FR"/>
        </w:rPr>
        <w:t>r</w:t>
      </w:r>
      <w:r w:rsidRPr="00445A6F">
        <w:rPr>
          <w:lang w:val="fr-FR"/>
        </w:rPr>
        <w:t xml:space="preserve">étention </w:t>
      </w:r>
      <w:r>
        <w:rPr>
          <w:lang w:val="fr-FR"/>
        </w:rPr>
        <w:t xml:space="preserve">ne le sont </w:t>
      </w:r>
      <w:r w:rsidRPr="00445A6F">
        <w:rPr>
          <w:lang w:val="fr-FR"/>
        </w:rPr>
        <w:t xml:space="preserve">ni en raison de leur statut migratoire ni pour un quelconque autre </w:t>
      </w:r>
      <w:r>
        <w:rPr>
          <w:lang w:val="fr-FR"/>
        </w:rPr>
        <w:t>motif</w:t>
      </w:r>
      <w:r w:rsidRPr="00445A6F">
        <w:rPr>
          <w:lang w:val="fr-FR"/>
        </w:rPr>
        <w:t xml:space="preserve">. Les enfants dont les parents sont placés en </w:t>
      </w:r>
      <w:r>
        <w:rPr>
          <w:lang w:val="fr-FR"/>
        </w:rPr>
        <w:t xml:space="preserve">rétention </w:t>
      </w:r>
      <w:r w:rsidRPr="00445A6F">
        <w:rPr>
          <w:lang w:val="fr-FR"/>
        </w:rPr>
        <w:t>administrati</w:t>
      </w:r>
      <w:r>
        <w:rPr>
          <w:lang w:val="fr-FR"/>
        </w:rPr>
        <w:t>ve</w:t>
      </w:r>
      <w:r w:rsidRPr="00445A6F">
        <w:rPr>
          <w:lang w:val="fr-FR"/>
        </w:rPr>
        <w:t xml:space="preserve"> peuvent</w:t>
      </w:r>
      <w:r>
        <w:rPr>
          <w:lang w:val="fr-FR"/>
        </w:rPr>
        <w:t xml:space="preserve">, le cas échéant, </w:t>
      </w:r>
      <w:r w:rsidRPr="00445A6F">
        <w:rPr>
          <w:lang w:val="fr-FR"/>
        </w:rPr>
        <w:t xml:space="preserve">rester chez des proches qui se trouvent dans le pays. </w:t>
      </w:r>
      <w:r>
        <w:rPr>
          <w:lang w:val="fr-FR"/>
        </w:rPr>
        <w:t>De</w:t>
      </w:r>
      <w:r w:rsidRPr="00445A6F">
        <w:rPr>
          <w:lang w:val="fr-FR"/>
        </w:rPr>
        <w:t xml:space="preserve">s enfants </w:t>
      </w:r>
      <w:r>
        <w:rPr>
          <w:lang w:val="fr-FR"/>
        </w:rPr>
        <w:t xml:space="preserve">peuvent en revanche être </w:t>
      </w:r>
      <w:r w:rsidRPr="00445A6F">
        <w:rPr>
          <w:lang w:val="fr-FR"/>
        </w:rPr>
        <w:t>autorisés à rester avec leurs parents</w:t>
      </w:r>
      <w:r>
        <w:rPr>
          <w:lang w:val="fr-FR"/>
        </w:rPr>
        <w:t xml:space="preserve"> placés en rétention administrative si</w:t>
      </w:r>
      <w:r w:rsidRPr="00445A6F">
        <w:rPr>
          <w:lang w:val="fr-FR"/>
        </w:rPr>
        <w:t xml:space="preserve"> eux-mêmes ou leurs parents ne veulent pas être séparés. </w:t>
      </w:r>
      <w:r>
        <w:rPr>
          <w:lang w:val="fr-FR"/>
        </w:rPr>
        <w:t>L</w:t>
      </w:r>
      <w:r w:rsidR="001D2961">
        <w:rPr>
          <w:lang w:val="fr-FR"/>
        </w:rPr>
        <w:t>’</w:t>
      </w:r>
      <w:r w:rsidRPr="00445A6F">
        <w:rPr>
          <w:lang w:val="fr-FR"/>
        </w:rPr>
        <w:t xml:space="preserve">enfant </w:t>
      </w:r>
      <w:r>
        <w:rPr>
          <w:lang w:val="fr-FR"/>
        </w:rPr>
        <w:t>n</w:t>
      </w:r>
      <w:r w:rsidR="001D2961">
        <w:rPr>
          <w:lang w:val="fr-FR"/>
        </w:rPr>
        <w:t>’</w:t>
      </w:r>
      <w:r>
        <w:rPr>
          <w:lang w:val="fr-FR"/>
        </w:rPr>
        <w:t xml:space="preserve">est ainsi en aucune circonstance </w:t>
      </w:r>
      <w:r w:rsidRPr="00445A6F">
        <w:rPr>
          <w:lang w:val="fr-FR"/>
        </w:rPr>
        <w:t>séparé de ses parents. Les besoins de</w:t>
      </w:r>
      <w:r>
        <w:rPr>
          <w:lang w:val="fr-FR"/>
        </w:rPr>
        <w:t xml:space="preserve"> ce</w:t>
      </w:r>
      <w:r w:rsidRPr="00445A6F">
        <w:rPr>
          <w:lang w:val="fr-FR"/>
        </w:rPr>
        <w:t>s enfants</w:t>
      </w:r>
      <w:r>
        <w:rPr>
          <w:lang w:val="fr-FR"/>
        </w:rPr>
        <w:t xml:space="preserve"> (</w:t>
      </w:r>
      <w:r w:rsidRPr="00445A6F">
        <w:rPr>
          <w:lang w:val="fr-FR"/>
        </w:rPr>
        <w:t>éducation, santé, alimentation, aliments d</w:t>
      </w:r>
      <w:r w:rsidR="001D2961">
        <w:rPr>
          <w:lang w:val="fr-FR"/>
        </w:rPr>
        <w:t>’</w:t>
      </w:r>
      <w:r w:rsidRPr="00445A6F">
        <w:rPr>
          <w:lang w:val="fr-FR"/>
        </w:rPr>
        <w:t>appoint, lait, aliments</w:t>
      </w:r>
      <w:r>
        <w:rPr>
          <w:lang w:val="fr-FR"/>
        </w:rPr>
        <w:t>,</w:t>
      </w:r>
      <w:r w:rsidRPr="00445A6F">
        <w:rPr>
          <w:lang w:val="fr-FR"/>
        </w:rPr>
        <w:t xml:space="preserve"> couches pour bébés,</w:t>
      </w:r>
      <w:r>
        <w:rPr>
          <w:lang w:val="fr-FR"/>
        </w:rPr>
        <w:t xml:space="preserve"> etc.)</w:t>
      </w:r>
      <w:r w:rsidRPr="00445A6F">
        <w:rPr>
          <w:lang w:val="fr-FR"/>
        </w:rPr>
        <w:t xml:space="preserve"> sont satisfaits. L</w:t>
      </w:r>
      <w:r w:rsidR="001D2961">
        <w:rPr>
          <w:lang w:val="fr-FR"/>
        </w:rPr>
        <w:t>’</w:t>
      </w:r>
      <w:r w:rsidRPr="00445A6F">
        <w:rPr>
          <w:lang w:val="fr-FR"/>
        </w:rPr>
        <w:t>intérêt supérieur de l</w:t>
      </w:r>
      <w:r w:rsidR="001D2961">
        <w:rPr>
          <w:lang w:val="fr-FR"/>
        </w:rPr>
        <w:t>’</w:t>
      </w:r>
      <w:r w:rsidRPr="00445A6F">
        <w:rPr>
          <w:lang w:val="fr-FR"/>
        </w:rPr>
        <w:t xml:space="preserve">enfant est respecté chaque </w:t>
      </w:r>
      <w:r>
        <w:rPr>
          <w:lang w:val="fr-FR"/>
        </w:rPr>
        <w:t>fois qu</w:t>
      </w:r>
      <w:r w:rsidR="001D2961">
        <w:rPr>
          <w:lang w:val="fr-FR"/>
        </w:rPr>
        <w:t>’</w:t>
      </w:r>
      <w:r>
        <w:rPr>
          <w:lang w:val="fr-FR"/>
        </w:rPr>
        <w:t>est prise</w:t>
      </w:r>
      <w:r w:rsidRPr="00A549B4">
        <w:t xml:space="preserve"> </w:t>
      </w:r>
      <w:r w:rsidRPr="00A549B4">
        <w:rPr>
          <w:lang w:val="fr-FR"/>
        </w:rPr>
        <w:t>une décision</w:t>
      </w:r>
      <w:r>
        <w:rPr>
          <w:lang w:val="fr-FR"/>
        </w:rPr>
        <w:t xml:space="preserve"> le concernant</w:t>
      </w:r>
      <w:r w:rsidRPr="00445A6F">
        <w:rPr>
          <w:lang w:val="fr-FR"/>
        </w:rPr>
        <w:t>. Des professionnels qualifiés apportent un soutien psychologique</w:t>
      </w:r>
      <w:r>
        <w:rPr>
          <w:lang w:val="fr-FR"/>
        </w:rPr>
        <w:t xml:space="preserve"> à ces enfants et </w:t>
      </w:r>
      <w:r w:rsidRPr="00445A6F">
        <w:rPr>
          <w:lang w:val="fr-FR"/>
        </w:rPr>
        <w:t xml:space="preserve">les procédures </w:t>
      </w:r>
      <w:r>
        <w:rPr>
          <w:lang w:val="fr-FR"/>
        </w:rPr>
        <w:t xml:space="preserve">les concernant ont la priorité </w:t>
      </w:r>
      <w:r w:rsidRPr="00445A6F">
        <w:rPr>
          <w:lang w:val="fr-FR"/>
        </w:rPr>
        <w:t xml:space="preserve">et </w:t>
      </w:r>
      <w:r>
        <w:rPr>
          <w:lang w:val="fr-FR"/>
        </w:rPr>
        <w:t xml:space="preserve">sont </w:t>
      </w:r>
      <w:r w:rsidRPr="00445A6F">
        <w:rPr>
          <w:lang w:val="fr-FR"/>
        </w:rPr>
        <w:t xml:space="preserve">accélérées. </w:t>
      </w:r>
      <w:r>
        <w:rPr>
          <w:lang w:val="fr-FR"/>
        </w:rPr>
        <w:t xml:space="preserve">Il est recouru à des </w:t>
      </w:r>
      <w:r w:rsidRPr="00445A6F">
        <w:rPr>
          <w:lang w:val="fr-FR"/>
        </w:rPr>
        <w:t xml:space="preserve">mesures de substitution à la </w:t>
      </w:r>
      <w:r>
        <w:rPr>
          <w:lang w:val="fr-FR"/>
        </w:rPr>
        <w:t>r</w:t>
      </w:r>
      <w:r w:rsidRPr="00445A6F">
        <w:rPr>
          <w:lang w:val="fr-FR"/>
        </w:rPr>
        <w:t>étention, telles que l</w:t>
      </w:r>
      <w:r w:rsidR="001D2961">
        <w:rPr>
          <w:lang w:val="fr-FR"/>
        </w:rPr>
        <w:t>’</w:t>
      </w:r>
      <w:r w:rsidRPr="00445A6F">
        <w:rPr>
          <w:lang w:val="fr-FR"/>
        </w:rPr>
        <w:t xml:space="preserve">obligation de </w:t>
      </w:r>
      <w:r>
        <w:rPr>
          <w:lang w:val="fr-FR"/>
        </w:rPr>
        <w:t>se présenter à un endroit déterminé pour y signer un registre</w:t>
      </w:r>
      <w:r w:rsidRPr="00445A6F">
        <w:rPr>
          <w:lang w:val="fr-FR"/>
        </w:rPr>
        <w:t xml:space="preserve">. </w:t>
      </w:r>
    </w:p>
    <w:p w:rsidR="00851BC9" w:rsidRPr="00445A6F" w:rsidRDefault="00851BC9" w:rsidP="00851BC9">
      <w:pPr>
        <w:pStyle w:val="SingleTxtG"/>
        <w:ind w:firstLine="567"/>
        <w:rPr>
          <w:b/>
          <w:bCs/>
        </w:rPr>
      </w:pPr>
      <w:r w:rsidRPr="00445A6F">
        <w:rPr>
          <w:lang w:val="fr-FR"/>
        </w:rPr>
        <w:t>c)</w:t>
      </w:r>
      <w:r w:rsidRPr="00445A6F">
        <w:rPr>
          <w:lang w:val="fr-FR"/>
        </w:rPr>
        <w:tab/>
      </w:r>
      <w:r w:rsidRPr="00445A6F">
        <w:rPr>
          <w:b/>
          <w:bCs/>
          <w:lang w:val="fr-FR"/>
        </w:rPr>
        <w:t>De faire en sorte que toutes ses politiques et pratiques continuent d</w:t>
      </w:r>
      <w:r w:rsidR="001D2961">
        <w:rPr>
          <w:b/>
          <w:bCs/>
          <w:lang w:val="fr-FR"/>
        </w:rPr>
        <w:t>’</w:t>
      </w:r>
      <w:r w:rsidRPr="00445A6F">
        <w:rPr>
          <w:b/>
          <w:bCs/>
          <w:lang w:val="fr-FR"/>
        </w:rPr>
        <w:t>obéir à une approche humanitaire plutôt que sécuritaire, notamment en accordant la priorité aux solutions non privatives de liberté au lieu de recourir davantage à la détention.</w:t>
      </w:r>
      <w:r w:rsidRPr="00445A6F">
        <w:rPr>
          <w:lang w:val="fr-FR"/>
        </w:rPr>
        <w:t xml:space="preserve"> </w:t>
      </w:r>
    </w:p>
    <w:p w:rsidR="00851BC9" w:rsidRPr="00445A6F" w:rsidRDefault="00851BC9" w:rsidP="00851BC9">
      <w:pPr>
        <w:pStyle w:val="H23G"/>
      </w:pPr>
      <w:r w:rsidRPr="00445A6F">
        <w:rPr>
          <w:lang w:val="fr-FR"/>
        </w:rPr>
        <w:tab/>
      </w:r>
      <w:r w:rsidRPr="00445A6F">
        <w:rPr>
          <w:lang w:val="fr-FR"/>
        </w:rPr>
        <w:tab/>
      </w:r>
      <w:r w:rsidRPr="00445A6F">
        <w:rPr>
          <w:bCs/>
          <w:lang w:val="fr-FR"/>
        </w:rPr>
        <w:t>Paragraphe 52 des observations finales</w:t>
      </w:r>
    </w:p>
    <w:p w:rsidR="00851BC9" w:rsidRPr="00445A6F" w:rsidRDefault="00851BC9" w:rsidP="00D243C5">
      <w:pPr>
        <w:pStyle w:val="SingleTxtG"/>
        <w:ind w:firstLine="567"/>
        <w:rPr>
          <w:b/>
          <w:bCs/>
        </w:rPr>
      </w:pPr>
      <w:r w:rsidRPr="00445A6F">
        <w:rPr>
          <w:b/>
          <w:bCs/>
          <w:lang w:val="fr-FR"/>
        </w:rPr>
        <w:t>Le Comité recommande à l</w:t>
      </w:r>
      <w:r w:rsidR="001D2961">
        <w:rPr>
          <w:b/>
          <w:bCs/>
          <w:lang w:val="fr-FR"/>
        </w:rPr>
        <w:t>’</w:t>
      </w:r>
      <w:r w:rsidRPr="00445A6F">
        <w:rPr>
          <w:b/>
          <w:bCs/>
          <w:lang w:val="fr-FR"/>
        </w:rPr>
        <w:t>État partie</w:t>
      </w:r>
      <w:r w:rsidR="001D2961">
        <w:rPr>
          <w:b/>
          <w:bCs/>
          <w:lang w:val="fr-FR"/>
        </w:rPr>
        <w:t> </w:t>
      </w:r>
      <w:r w:rsidRPr="00445A6F">
        <w:rPr>
          <w:b/>
          <w:bCs/>
          <w:lang w:val="fr-FR"/>
        </w:rPr>
        <w:t>:</w:t>
      </w:r>
    </w:p>
    <w:p w:rsidR="00851BC9" w:rsidRPr="00445A6F" w:rsidRDefault="00851BC9" w:rsidP="00851BC9">
      <w:pPr>
        <w:pStyle w:val="SingleTxtG"/>
        <w:ind w:firstLine="567"/>
        <w:rPr>
          <w:b/>
          <w:bCs/>
        </w:rPr>
      </w:pPr>
      <w:r w:rsidRPr="00445A6F">
        <w:rPr>
          <w:lang w:val="fr-FR"/>
        </w:rPr>
        <w:t>a)</w:t>
      </w:r>
      <w:r w:rsidRPr="00445A6F">
        <w:rPr>
          <w:lang w:val="fr-FR"/>
        </w:rPr>
        <w:tab/>
      </w:r>
      <w:r w:rsidRPr="00445A6F">
        <w:rPr>
          <w:b/>
          <w:bCs/>
          <w:lang w:val="fr-FR"/>
        </w:rPr>
        <w:t>De prendre les mesures nécessaires pour que, dans les procédures administratives et judiciaires, notamment celles relatives à la détention et à l</w:t>
      </w:r>
      <w:r w:rsidR="001D2961">
        <w:rPr>
          <w:b/>
          <w:bCs/>
          <w:lang w:val="fr-FR"/>
        </w:rPr>
        <w:t>’</w:t>
      </w:r>
      <w:r w:rsidRPr="00445A6F">
        <w:rPr>
          <w:b/>
          <w:bCs/>
          <w:lang w:val="fr-FR"/>
        </w:rPr>
        <w:t>expulsion, les travailleurs migrants et les membres de leur famille, en particulier ceux qui sont en situation irrégulière, bénéficient d</w:t>
      </w:r>
      <w:r w:rsidR="001D2961">
        <w:rPr>
          <w:b/>
          <w:bCs/>
          <w:lang w:val="fr-FR"/>
        </w:rPr>
        <w:t>’</w:t>
      </w:r>
      <w:r w:rsidRPr="00445A6F">
        <w:rPr>
          <w:b/>
          <w:bCs/>
          <w:lang w:val="fr-FR"/>
        </w:rPr>
        <w:t>une procédure régulière, sur un pied d</w:t>
      </w:r>
      <w:r w:rsidR="001D2961">
        <w:rPr>
          <w:b/>
          <w:bCs/>
          <w:lang w:val="fr-FR"/>
        </w:rPr>
        <w:t>’</w:t>
      </w:r>
      <w:r w:rsidRPr="00445A6F">
        <w:rPr>
          <w:b/>
          <w:bCs/>
          <w:lang w:val="fr-FR"/>
        </w:rPr>
        <w:t>égalité avec les ressortissants de l</w:t>
      </w:r>
      <w:r w:rsidR="001D2961">
        <w:rPr>
          <w:b/>
          <w:bCs/>
          <w:lang w:val="fr-FR"/>
        </w:rPr>
        <w:t>’</w:t>
      </w:r>
      <w:r w:rsidRPr="00445A6F">
        <w:rPr>
          <w:b/>
          <w:bCs/>
          <w:lang w:val="fr-FR"/>
        </w:rPr>
        <w:t>État partie.</w:t>
      </w:r>
    </w:p>
    <w:p w:rsidR="00851BC9" w:rsidRPr="00445A6F" w:rsidRDefault="00851BC9" w:rsidP="00851BC9">
      <w:pPr>
        <w:pStyle w:val="SingleTxtG"/>
      </w:pPr>
      <w:r w:rsidRPr="00445A6F">
        <w:rPr>
          <w:lang w:val="fr-FR"/>
        </w:rPr>
        <w:t>4.</w:t>
      </w:r>
      <w:r w:rsidRPr="00445A6F">
        <w:rPr>
          <w:lang w:val="fr-FR"/>
        </w:rPr>
        <w:tab/>
        <w:t xml:space="preserve">Les diverses procédures, les décisions prises ainsi que les procédures administratives et judiciaires se déroulent et sont rédigées dans une langue que les étrangers </w:t>
      </w:r>
      <w:r>
        <w:rPr>
          <w:lang w:val="fr-FR"/>
        </w:rPr>
        <w:t xml:space="preserve">visés </w:t>
      </w:r>
      <w:r w:rsidRPr="00445A6F">
        <w:rPr>
          <w:lang w:val="fr-FR"/>
        </w:rPr>
        <w:t xml:space="preserve">comprennent. Les étrangers ne rencontrent pas de problèmes </w:t>
      </w:r>
      <w:r>
        <w:rPr>
          <w:lang w:val="fr-FR"/>
        </w:rPr>
        <w:t xml:space="preserve">pour accéder </w:t>
      </w:r>
      <w:r w:rsidRPr="00445A6F">
        <w:rPr>
          <w:lang w:val="fr-FR"/>
        </w:rPr>
        <w:t>aux autorités judiciaires et administratives.</w:t>
      </w:r>
    </w:p>
    <w:p w:rsidR="00851BC9" w:rsidRPr="00445A6F" w:rsidRDefault="00851BC9" w:rsidP="00851BC9">
      <w:pPr>
        <w:pStyle w:val="SingleTxtG"/>
        <w:ind w:firstLine="567"/>
        <w:rPr>
          <w:b/>
          <w:bCs/>
        </w:rPr>
      </w:pPr>
      <w:r w:rsidRPr="00445A6F">
        <w:rPr>
          <w:lang w:val="fr-FR"/>
        </w:rPr>
        <w:t>b)</w:t>
      </w:r>
      <w:r w:rsidRPr="00445A6F">
        <w:rPr>
          <w:lang w:val="fr-FR"/>
        </w:rPr>
        <w:tab/>
      </w:r>
      <w:r w:rsidRPr="00445A6F">
        <w:rPr>
          <w:b/>
          <w:bCs/>
          <w:lang w:val="fr-FR"/>
        </w:rPr>
        <w:t xml:space="preserve">De faire figurer dans son rapport de suivi et dans son deuxième rapport périodique des informations détaillées et ventilées sur le nombre de travailleurs </w:t>
      </w:r>
      <w:r w:rsidRPr="00445A6F">
        <w:rPr>
          <w:b/>
          <w:bCs/>
          <w:lang w:val="fr-FR"/>
        </w:rPr>
        <w:lastRenderedPageBreak/>
        <w:t>migrants détenus pour des infractions à la législation relative à l</w:t>
      </w:r>
      <w:r w:rsidR="001D2961">
        <w:rPr>
          <w:b/>
          <w:bCs/>
          <w:lang w:val="fr-FR"/>
        </w:rPr>
        <w:t>’</w:t>
      </w:r>
      <w:r w:rsidRPr="00445A6F">
        <w:rPr>
          <w:b/>
          <w:bCs/>
          <w:lang w:val="fr-FR"/>
        </w:rPr>
        <w:t>immigration, ainsi que sur le lieu, la durée moyenne et les conditions de leur détention, de même que des informations sur l</w:t>
      </w:r>
      <w:r w:rsidR="001D2961">
        <w:rPr>
          <w:b/>
          <w:bCs/>
          <w:lang w:val="fr-FR"/>
        </w:rPr>
        <w:t>’</w:t>
      </w:r>
      <w:r w:rsidRPr="00445A6F">
        <w:rPr>
          <w:b/>
          <w:bCs/>
          <w:lang w:val="fr-FR"/>
        </w:rPr>
        <w:t>application des droits des travailleurs migrants eu égard à une procédure régulière et à l</w:t>
      </w:r>
      <w:r w:rsidR="001D2961">
        <w:rPr>
          <w:b/>
          <w:bCs/>
          <w:lang w:val="fr-FR"/>
        </w:rPr>
        <w:t>’</w:t>
      </w:r>
      <w:r w:rsidRPr="00445A6F">
        <w:rPr>
          <w:b/>
          <w:bCs/>
          <w:lang w:val="fr-FR"/>
        </w:rPr>
        <w:t>égalité devant les tribunaux</w:t>
      </w:r>
      <w:r w:rsidR="001D2961">
        <w:rPr>
          <w:b/>
          <w:bCs/>
          <w:lang w:val="fr-FR"/>
        </w:rPr>
        <w:t> </w:t>
      </w:r>
      <w:r w:rsidRPr="00445A6F">
        <w:rPr>
          <w:b/>
          <w:bCs/>
          <w:lang w:val="fr-FR"/>
        </w:rPr>
        <w:t>;</w:t>
      </w:r>
    </w:p>
    <w:p w:rsidR="00851BC9" w:rsidRPr="00445A6F" w:rsidRDefault="00851BC9" w:rsidP="00851BC9">
      <w:pPr>
        <w:pStyle w:val="SingleTxtG"/>
        <w:ind w:firstLine="567"/>
        <w:rPr>
          <w:b/>
          <w:bCs/>
        </w:rPr>
      </w:pPr>
      <w:r w:rsidRPr="00445A6F">
        <w:rPr>
          <w:lang w:val="fr-FR"/>
        </w:rPr>
        <w:t>c)</w:t>
      </w:r>
      <w:r w:rsidRPr="00445A6F">
        <w:rPr>
          <w:lang w:val="fr-FR"/>
        </w:rPr>
        <w:tab/>
      </w:r>
      <w:r w:rsidRPr="00445A6F">
        <w:rPr>
          <w:b/>
          <w:bCs/>
          <w:lang w:val="fr-FR"/>
        </w:rPr>
        <w:t>De veiller à ce que les garanties minimales consacrées dans la Convention soient respectées dans le cadre des procédures administratives et judiciaires engagées contre des travailleurs migrants et des membres de leur famille.</w:t>
      </w:r>
    </w:p>
    <w:p w:rsidR="00851BC9" w:rsidRPr="00445A6F" w:rsidRDefault="00851BC9" w:rsidP="00851BC9">
      <w:pPr>
        <w:pStyle w:val="H23G"/>
      </w:pPr>
      <w:r w:rsidRPr="00445A6F">
        <w:rPr>
          <w:lang w:val="fr-FR"/>
        </w:rPr>
        <w:tab/>
      </w:r>
      <w:r w:rsidRPr="00445A6F">
        <w:rPr>
          <w:lang w:val="fr-FR"/>
        </w:rPr>
        <w:tab/>
      </w:r>
      <w:r w:rsidRPr="00445A6F">
        <w:rPr>
          <w:bCs/>
          <w:lang w:val="fr-FR"/>
        </w:rPr>
        <w:t>Paragraphe 54 des observations finales</w:t>
      </w:r>
    </w:p>
    <w:p w:rsidR="00851BC9" w:rsidRPr="00445A6F" w:rsidRDefault="00851BC9" w:rsidP="00D243C5">
      <w:pPr>
        <w:pStyle w:val="SingleTxtG"/>
        <w:ind w:firstLine="567"/>
        <w:rPr>
          <w:b/>
          <w:bCs/>
        </w:rPr>
      </w:pPr>
      <w:r w:rsidRPr="00445A6F">
        <w:rPr>
          <w:b/>
          <w:bCs/>
          <w:lang w:val="fr-FR"/>
        </w:rPr>
        <w:t>Le Comité recommande à l</w:t>
      </w:r>
      <w:r w:rsidR="001D2961">
        <w:rPr>
          <w:b/>
          <w:bCs/>
          <w:lang w:val="fr-FR"/>
        </w:rPr>
        <w:t>’</w:t>
      </w:r>
      <w:r w:rsidRPr="00445A6F">
        <w:rPr>
          <w:b/>
          <w:bCs/>
          <w:lang w:val="fr-FR"/>
        </w:rPr>
        <w:t>État partie</w:t>
      </w:r>
      <w:r w:rsidR="001D2961">
        <w:rPr>
          <w:b/>
          <w:bCs/>
          <w:lang w:val="fr-FR"/>
        </w:rPr>
        <w:t> </w:t>
      </w:r>
      <w:r w:rsidRPr="00445A6F">
        <w:rPr>
          <w:b/>
          <w:bCs/>
          <w:lang w:val="fr-FR"/>
        </w:rPr>
        <w:t>:</w:t>
      </w:r>
    </w:p>
    <w:p w:rsidR="00851BC9" w:rsidRPr="00445A6F" w:rsidRDefault="00851BC9" w:rsidP="00851BC9">
      <w:pPr>
        <w:pStyle w:val="SingleTxtG"/>
        <w:ind w:firstLine="567"/>
        <w:rPr>
          <w:b/>
          <w:bCs/>
        </w:rPr>
      </w:pPr>
      <w:r w:rsidRPr="00445A6F">
        <w:rPr>
          <w:lang w:val="fr-FR"/>
        </w:rPr>
        <w:t>a)</w:t>
      </w:r>
      <w:r w:rsidRPr="00445A6F">
        <w:rPr>
          <w:lang w:val="fr-FR"/>
        </w:rPr>
        <w:tab/>
      </w:r>
      <w:r w:rsidRPr="00445A6F">
        <w:rPr>
          <w:b/>
          <w:bCs/>
          <w:lang w:val="fr-FR"/>
        </w:rPr>
        <w:t>D</w:t>
      </w:r>
      <w:r w:rsidR="001D2961">
        <w:rPr>
          <w:b/>
          <w:bCs/>
          <w:lang w:val="fr-FR"/>
        </w:rPr>
        <w:t>’</w:t>
      </w:r>
      <w:r w:rsidRPr="00445A6F">
        <w:rPr>
          <w:b/>
          <w:bCs/>
          <w:lang w:val="fr-FR"/>
        </w:rPr>
        <w:t>enquêter sur les cas présumés d</w:t>
      </w:r>
      <w:r w:rsidR="001D2961">
        <w:rPr>
          <w:b/>
          <w:bCs/>
          <w:lang w:val="fr-FR"/>
        </w:rPr>
        <w:t>’</w:t>
      </w:r>
      <w:r w:rsidRPr="00445A6F">
        <w:rPr>
          <w:b/>
          <w:bCs/>
          <w:lang w:val="fr-FR"/>
        </w:rPr>
        <w:t>expulsion collective de migrants syriens, afghans et iraquiens</w:t>
      </w:r>
      <w:r w:rsidR="001D2961">
        <w:rPr>
          <w:b/>
          <w:bCs/>
          <w:lang w:val="fr-FR"/>
        </w:rPr>
        <w:t> </w:t>
      </w:r>
      <w:r w:rsidRPr="00445A6F">
        <w:rPr>
          <w:b/>
          <w:bCs/>
          <w:lang w:val="fr-FR"/>
        </w:rPr>
        <w:t>;</w:t>
      </w:r>
    </w:p>
    <w:p w:rsidR="00851BC9" w:rsidRPr="00445A6F" w:rsidRDefault="00851BC9" w:rsidP="00851BC9">
      <w:pPr>
        <w:pStyle w:val="SingleTxtG"/>
      </w:pPr>
      <w:r w:rsidRPr="00445A6F">
        <w:rPr>
          <w:lang w:val="fr-FR"/>
        </w:rPr>
        <w:t>5.</w:t>
      </w:r>
      <w:r w:rsidRPr="00445A6F">
        <w:rPr>
          <w:lang w:val="fr-FR"/>
        </w:rPr>
        <w:tab/>
        <w:t xml:space="preserve">Conformément à la loi </w:t>
      </w:r>
      <w:r w:rsidR="00D1547E" w:rsidRPr="00D1547E">
        <w:rPr>
          <w:rFonts w:eastAsia="MS Mincho"/>
          <w:szCs w:val="22"/>
          <w:lang w:val="fr-FR"/>
        </w:rPr>
        <w:t>n</w:t>
      </w:r>
      <w:r w:rsidR="00D1547E" w:rsidRPr="00D1547E">
        <w:rPr>
          <w:rFonts w:eastAsia="MS Mincho"/>
          <w:szCs w:val="22"/>
          <w:vertAlign w:val="superscript"/>
          <w:lang w:val="fr-FR"/>
        </w:rPr>
        <w:t>o</w:t>
      </w:r>
      <w:r w:rsidR="00D1547E">
        <w:rPr>
          <w:lang w:val="fr-FR"/>
        </w:rPr>
        <w:t> </w:t>
      </w:r>
      <w:r w:rsidRPr="00445A6F">
        <w:rPr>
          <w:lang w:val="fr-FR"/>
        </w:rPr>
        <w:t>6458 relative aux étrangers et à la protection internationale, chaque migrant en situation irrégulière fait l</w:t>
      </w:r>
      <w:r w:rsidR="001D2961">
        <w:rPr>
          <w:lang w:val="fr-FR"/>
        </w:rPr>
        <w:t>’</w:t>
      </w:r>
      <w:r w:rsidRPr="00445A6F">
        <w:rPr>
          <w:lang w:val="fr-FR"/>
        </w:rPr>
        <w:t>objet d</w:t>
      </w:r>
      <w:r w:rsidR="001D2961">
        <w:rPr>
          <w:lang w:val="fr-FR"/>
        </w:rPr>
        <w:t>’</w:t>
      </w:r>
      <w:r w:rsidRPr="00445A6F">
        <w:rPr>
          <w:lang w:val="fr-FR"/>
        </w:rPr>
        <w:t>un examen individuel et d</w:t>
      </w:r>
      <w:r w:rsidR="001D2961">
        <w:rPr>
          <w:lang w:val="fr-FR"/>
        </w:rPr>
        <w:t>’</w:t>
      </w:r>
      <w:r w:rsidRPr="00445A6F">
        <w:rPr>
          <w:lang w:val="fr-FR"/>
        </w:rPr>
        <w:t>une décision distincte. Il n</w:t>
      </w:r>
      <w:r w:rsidR="001D2961">
        <w:rPr>
          <w:lang w:val="fr-FR"/>
        </w:rPr>
        <w:t>’</w:t>
      </w:r>
      <w:r w:rsidRPr="00445A6F">
        <w:rPr>
          <w:lang w:val="fr-FR"/>
        </w:rPr>
        <w:t>y a pas d</w:t>
      </w:r>
      <w:r w:rsidR="001D2961">
        <w:rPr>
          <w:lang w:val="fr-FR"/>
        </w:rPr>
        <w:t>’</w:t>
      </w:r>
      <w:r w:rsidRPr="00445A6F">
        <w:rPr>
          <w:lang w:val="fr-FR"/>
        </w:rPr>
        <w:t>expulsions collectives.</w:t>
      </w:r>
    </w:p>
    <w:p w:rsidR="00851BC9" w:rsidRPr="00445A6F" w:rsidRDefault="00851BC9" w:rsidP="00851BC9">
      <w:pPr>
        <w:pStyle w:val="SingleTxtG"/>
        <w:ind w:firstLine="567"/>
        <w:rPr>
          <w:b/>
          <w:bCs/>
        </w:rPr>
      </w:pPr>
      <w:r w:rsidRPr="00445A6F">
        <w:rPr>
          <w:lang w:val="fr-FR"/>
        </w:rPr>
        <w:t>b)</w:t>
      </w:r>
      <w:r w:rsidRPr="00445A6F">
        <w:rPr>
          <w:lang w:val="fr-FR"/>
        </w:rPr>
        <w:tab/>
      </w:r>
      <w:r w:rsidRPr="00445A6F">
        <w:rPr>
          <w:b/>
          <w:bCs/>
          <w:lang w:val="fr-FR"/>
        </w:rPr>
        <w:t>De prendre les mesures qui s</w:t>
      </w:r>
      <w:r w:rsidR="001D2961">
        <w:rPr>
          <w:b/>
          <w:bCs/>
          <w:lang w:val="fr-FR"/>
        </w:rPr>
        <w:t>’</w:t>
      </w:r>
      <w:r w:rsidRPr="00445A6F">
        <w:rPr>
          <w:b/>
          <w:bCs/>
          <w:lang w:val="fr-FR"/>
        </w:rPr>
        <w:t>imposent pour que les procédures administratives et judiciaires de reconduite à la frontière et/ou d</w:t>
      </w:r>
      <w:r w:rsidR="001D2961">
        <w:rPr>
          <w:b/>
          <w:bCs/>
          <w:lang w:val="fr-FR"/>
        </w:rPr>
        <w:t>’</w:t>
      </w:r>
      <w:r w:rsidRPr="00445A6F">
        <w:rPr>
          <w:b/>
          <w:bCs/>
          <w:lang w:val="fr-FR"/>
        </w:rPr>
        <w:t>expulsion soient pleinement régies par la loi et conformes à la Convention</w:t>
      </w:r>
      <w:r w:rsidR="001D2961">
        <w:rPr>
          <w:b/>
          <w:bCs/>
          <w:lang w:val="fr-FR"/>
        </w:rPr>
        <w:t> </w:t>
      </w:r>
      <w:r w:rsidRPr="00445A6F">
        <w:rPr>
          <w:b/>
          <w:bCs/>
          <w:lang w:val="fr-FR"/>
        </w:rPr>
        <w:t>;</w:t>
      </w:r>
    </w:p>
    <w:p w:rsidR="00851BC9" w:rsidRPr="00445A6F" w:rsidRDefault="00851BC9" w:rsidP="00851BC9">
      <w:pPr>
        <w:pStyle w:val="SingleTxtG"/>
      </w:pPr>
      <w:r w:rsidRPr="00445A6F">
        <w:rPr>
          <w:lang w:val="fr-FR"/>
        </w:rPr>
        <w:t>6.</w:t>
      </w:r>
      <w:r w:rsidRPr="00445A6F">
        <w:rPr>
          <w:lang w:val="fr-FR"/>
        </w:rPr>
        <w:tab/>
        <w:t>La loi n</w:t>
      </w:r>
      <w:r w:rsidRPr="00C20307">
        <w:rPr>
          <w:vertAlign w:val="superscript"/>
          <w:lang w:val="fr-FR"/>
        </w:rPr>
        <w:t>o</w:t>
      </w:r>
      <w:r w:rsidRPr="00445A6F">
        <w:rPr>
          <w:lang w:val="fr-FR"/>
        </w:rPr>
        <w:t xml:space="preserve"> 6458 relative aux étrangers et à la protection internationale et </w:t>
      </w:r>
      <w:r>
        <w:rPr>
          <w:lang w:val="fr-FR"/>
        </w:rPr>
        <w:t>ses textes d</w:t>
      </w:r>
      <w:r w:rsidR="001D2961">
        <w:rPr>
          <w:lang w:val="fr-FR"/>
        </w:rPr>
        <w:t>’</w:t>
      </w:r>
      <w:r>
        <w:rPr>
          <w:lang w:val="fr-FR"/>
        </w:rPr>
        <w:t xml:space="preserve">application </w:t>
      </w:r>
      <w:r w:rsidRPr="00445A6F">
        <w:rPr>
          <w:lang w:val="fr-FR"/>
        </w:rPr>
        <w:t>ont été élaborés dans le respect des normes internationales. Les procédures de reconduite à la frontière sont prévues par la loi</w:t>
      </w:r>
      <w:r>
        <w:rPr>
          <w:lang w:val="fr-FR"/>
        </w:rPr>
        <w:t xml:space="preserve"> et </w:t>
      </w:r>
      <w:r w:rsidRPr="00445A6F">
        <w:rPr>
          <w:lang w:val="fr-FR"/>
        </w:rPr>
        <w:t>conform</w:t>
      </w:r>
      <w:r>
        <w:rPr>
          <w:lang w:val="fr-FR"/>
        </w:rPr>
        <w:t>es au droit</w:t>
      </w:r>
      <w:r w:rsidRPr="00445A6F">
        <w:rPr>
          <w:lang w:val="fr-FR"/>
        </w:rPr>
        <w:t xml:space="preserve"> international. </w:t>
      </w:r>
    </w:p>
    <w:p w:rsidR="00851BC9" w:rsidRPr="00445A6F" w:rsidRDefault="00851BC9" w:rsidP="00851BC9">
      <w:pPr>
        <w:pStyle w:val="SingleTxtG"/>
        <w:ind w:firstLine="567"/>
        <w:rPr>
          <w:b/>
          <w:bCs/>
        </w:rPr>
      </w:pPr>
      <w:r w:rsidRPr="00445A6F">
        <w:rPr>
          <w:lang w:val="fr-FR"/>
        </w:rPr>
        <w:t>c)</w:t>
      </w:r>
      <w:r w:rsidRPr="00445A6F">
        <w:rPr>
          <w:lang w:val="fr-FR"/>
        </w:rPr>
        <w:tab/>
      </w:r>
      <w:r w:rsidRPr="00445A6F">
        <w:rPr>
          <w:b/>
          <w:bCs/>
          <w:lang w:val="fr-FR"/>
        </w:rPr>
        <w:t>De faire en sorte que les travailleurs migrants soumis à une mesure administrative de reconduite à la frontière ou d</w:t>
      </w:r>
      <w:r w:rsidR="001D2961">
        <w:rPr>
          <w:b/>
          <w:bCs/>
          <w:lang w:val="fr-FR"/>
        </w:rPr>
        <w:t>’</w:t>
      </w:r>
      <w:r w:rsidRPr="00445A6F">
        <w:rPr>
          <w:b/>
          <w:bCs/>
          <w:lang w:val="fr-FR"/>
        </w:rPr>
        <w:t>expulsion soient informés de leur droit de faire appel de cette mesure et exercent ce droit</w:t>
      </w:r>
      <w:r w:rsidR="001D2961">
        <w:rPr>
          <w:b/>
          <w:bCs/>
          <w:lang w:val="fr-FR"/>
        </w:rPr>
        <w:t> </w:t>
      </w:r>
      <w:r w:rsidRPr="00445A6F">
        <w:rPr>
          <w:b/>
          <w:bCs/>
          <w:lang w:val="fr-FR"/>
        </w:rPr>
        <w:t>;</w:t>
      </w:r>
    </w:p>
    <w:p w:rsidR="00851BC9" w:rsidRPr="00445A6F" w:rsidRDefault="00851BC9" w:rsidP="00851BC9">
      <w:pPr>
        <w:pStyle w:val="SingleTxtG"/>
      </w:pPr>
      <w:r w:rsidRPr="00445A6F">
        <w:rPr>
          <w:lang w:val="fr-FR"/>
        </w:rPr>
        <w:t>7.</w:t>
      </w:r>
      <w:r w:rsidRPr="00445A6F">
        <w:rPr>
          <w:lang w:val="fr-FR"/>
        </w:rPr>
        <w:tab/>
        <w:t>Les voies de recours et d</w:t>
      </w:r>
      <w:r w:rsidR="001D2961">
        <w:rPr>
          <w:lang w:val="fr-FR"/>
        </w:rPr>
        <w:t>’</w:t>
      </w:r>
      <w:r w:rsidRPr="00445A6F">
        <w:rPr>
          <w:lang w:val="fr-FR"/>
        </w:rPr>
        <w:t xml:space="preserve">opposition sont </w:t>
      </w:r>
      <w:r>
        <w:rPr>
          <w:lang w:val="fr-FR"/>
        </w:rPr>
        <w:t xml:space="preserve">notifiées </w:t>
      </w:r>
      <w:r w:rsidRPr="00445A6F">
        <w:rPr>
          <w:lang w:val="fr-FR"/>
        </w:rPr>
        <w:t>aux étrangers</w:t>
      </w:r>
      <w:r>
        <w:rPr>
          <w:lang w:val="fr-FR"/>
        </w:rPr>
        <w:t>, qui peuvent s</w:t>
      </w:r>
      <w:r w:rsidR="001D2961">
        <w:rPr>
          <w:lang w:val="fr-FR"/>
        </w:rPr>
        <w:t>’</w:t>
      </w:r>
      <w:r>
        <w:rPr>
          <w:lang w:val="fr-FR"/>
        </w:rPr>
        <w:t>en prévaloir</w:t>
      </w:r>
      <w:r w:rsidRPr="00445A6F">
        <w:rPr>
          <w:lang w:val="fr-FR"/>
        </w:rPr>
        <w:t>.</w:t>
      </w:r>
    </w:p>
    <w:p w:rsidR="00851BC9" w:rsidRPr="00445A6F" w:rsidRDefault="00851BC9" w:rsidP="00851BC9">
      <w:pPr>
        <w:pStyle w:val="SingleTxtG"/>
        <w:ind w:firstLine="567"/>
        <w:rPr>
          <w:b/>
          <w:bCs/>
        </w:rPr>
      </w:pPr>
      <w:r w:rsidRPr="00445A6F">
        <w:rPr>
          <w:lang w:val="fr-FR"/>
        </w:rPr>
        <w:t>d)</w:t>
      </w:r>
      <w:r w:rsidRPr="00445A6F">
        <w:rPr>
          <w:lang w:val="fr-FR"/>
        </w:rPr>
        <w:tab/>
      </w:r>
      <w:r w:rsidRPr="00445A6F">
        <w:rPr>
          <w:b/>
          <w:bCs/>
          <w:lang w:val="fr-FR"/>
        </w:rPr>
        <w:t>De concevoir des mécanismes pour empêcher l</w:t>
      </w:r>
      <w:r w:rsidR="001D2961">
        <w:rPr>
          <w:b/>
          <w:bCs/>
          <w:lang w:val="fr-FR"/>
        </w:rPr>
        <w:t>’</w:t>
      </w:r>
      <w:r w:rsidRPr="00445A6F">
        <w:rPr>
          <w:b/>
          <w:bCs/>
          <w:lang w:val="fr-FR"/>
        </w:rPr>
        <w:t>expulsion de migrants en transit tant que leur situation individuelle n</w:t>
      </w:r>
      <w:r w:rsidR="001D2961">
        <w:rPr>
          <w:b/>
          <w:bCs/>
          <w:lang w:val="fr-FR"/>
        </w:rPr>
        <w:t>’</w:t>
      </w:r>
      <w:r w:rsidRPr="00445A6F">
        <w:rPr>
          <w:b/>
          <w:bCs/>
          <w:lang w:val="fr-FR"/>
        </w:rPr>
        <w:t>a pas été compl</w:t>
      </w:r>
      <w:r w:rsidR="00D1547E">
        <w:rPr>
          <w:b/>
          <w:bCs/>
          <w:lang w:val="fr-FR"/>
        </w:rPr>
        <w:t>è</w:t>
      </w:r>
      <w:r w:rsidRPr="00445A6F">
        <w:rPr>
          <w:b/>
          <w:bCs/>
          <w:lang w:val="fr-FR"/>
        </w:rPr>
        <w:t>tement examinée afin de faire respecter les principes de non-refoulement et l</w:t>
      </w:r>
      <w:r w:rsidR="001D2961">
        <w:rPr>
          <w:b/>
          <w:bCs/>
          <w:lang w:val="fr-FR"/>
        </w:rPr>
        <w:t>’</w:t>
      </w:r>
      <w:r w:rsidRPr="00445A6F">
        <w:rPr>
          <w:b/>
          <w:bCs/>
          <w:lang w:val="fr-FR"/>
        </w:rPr>
        <w:t>interdiction des expulsions collectives, notamment</w:t>
      </w:r>
      <w:r w:rsidR="001D2961">
        <w:rPr>
          <w:b/>
          <w:bCs/>
          <w:lang w:val="fr-FR"/>
        </w:rPr>
        <w:t> </w:t>
      </w:r>
      <w:r w:rsidRPr="00445A6F">
        <w:rPr>
          <w:b/>
          <w:bCs/>
          <w:lang w:val="fr-FR"/>
        </w:rPr>
        <w:t>;</w:t>
      </w:r>
      <w:r w:rsidRPr="00445A6F">
        <w:rPr>
          <w:lang w:val="fr-FR"/>
        </w:rPr>
        <w:t xml:space="preserve"> </w:t>
      </w:r>
    </w:p>
    <w:p w:rsidR="00851BC9" w:rsidRPr="00445A6F" w:rsidRDefault="00851BC9" w:rsidP="00851BC9">
      <w:pPr>
        <w:pStyle w:val="SingleTxtG"/>
      </w:pPr>
      <w:r w:rsidRPr="00445A6F">
        <w:rPr>
          <w:lang w:val="fr-FR"/>
        </w:rPr>
        <w:t>8.</w:t>
      </w:r>
      <w:r w:rsidRPr="00445A6F">
        <w:rPr>
          <w:lang w:val="fr-FR"/>
        </w:rPr>
        <w:tab/>
      </w:r>
      <w:r w:rsidRPr="00AF7F4C">
        <w:rPr>
          <w:lang w:val="fr-FR"/>
        </w:rPr>
        <w:t>Conformément à la</w:t>
      </w:r>
      <w:r w:rsidRPr="00445A6F">
        <w:rPr>
          <w:lang w:val="fr-FR"/>
        </w:rPr>
        <w:t xml:space="preserve"> loi n</w:t>
      </w:r>
      <w:r w:rsidRPr="00C20307">
        <w:rPr>
          <w:vertAlign w:val="superscript"/>
          <w:lang w:val="fr-FR"/>
        </w:rPr>
        <w:t>o</w:t>
      </w:r>
      <w:r w:rsidRPr="00445A6F">
        <w:rPr>
          <w:lang w:val="fr-FR"/>
        </w:rPr>
        <w:t xml:space="preserve"> 6458, chaque migrant en situation irrégulière fait l</w:t>
      </w:r>
      <w:r w:rsidR="001D2961">
        <w:rPr>
          <w:lang w:val="fr-FR"/>
        </w:rPr>
        <w:t>’</w:t>
      </w:r>
      <w:r w:rsidRPr="00445A6F">
        <w:rPr>
          <w:lang w:val="fr-FR"/>
        </w:rPr>
        <w:t>objet d</w:t>
      </w:r>
      <w:r w:rsidR="001D2961">
        <w:rPr>
          <w:lang w:val="fr-FR"/>
        </w:rPr>
        <w:t>’</w:t>
      </w:r>
      <w:r w:rsidRPr="00445A6F">
        <w:rPr>
          <w:lang w:val="fr-FR"/>
        </w:rPr>
        <w:t>un examen individuel et d</w:t>
      </w:r>
      <w:r w:rsidR="001D2961">
        <w:rPr>
          <w:lang w:val="fr-FR"/>
        </w:rPr>
        <w:t>’</w:t>
      </w:r>
      <w:r w:rsidRPr="00445A6F">
        <w:rPr>
          <w:lang w:val="fr-FR"/>
        </w:rPr>
        <w:t>une décision distincte. Il n</w:t>
      </w:r>
      <w:r w:rsidR="001D2961">
        <w:rPr>
          <w:lang w:val="fr-FR"/>
        </w:rPr>
        <w:t>’</w:t>
      </w:r>
      <w:r w:rsidRPr="00445A6F">
        <w:rPr>
          <w:lang w:val="fr-FR"/>
        </w:rPr>
        <w:t>y a pas d</w:t>
      </w:r>
      <w:r w:rsidR="001D2961">
        <w:rPr>
          <w:lang w:val="fr-FR"/>
        </w:rPr>
        <w:t>’</w:t>
      </w:r>
      <w:r w:rsidRPr="00445A6F">
        <w:rPr>
          <w:lang w:val="fr-FR"/>
        </w:rPr>
        <w:t xml:space="preserve">expulsions collectives. </w:t>
      </w:r>
    </w:p>
    <w:p w:rsidR="00851BC9" w:rsidRPr="00445A6F" w:rsidRDefault="00851BC9" w:rsidP="00851BC9">
      <w:pPr>
        <w:pStyle w:val="SingleTxtG"/>
        <w:ind w:firstLine="567"/>
        <w:rPr>
          <w:b/>
          <w:bCs/>
        </w:rPr>
      </w:pPr>
      <w:r w:rsidRPr="00445A6F">
        <w:rPr>
          <w:lang w:val="fr-FR"/>
        </w:rPr>
        <w:t>e)</w:t>
      </w:r>
      <w:r w:rsidRPr="00445A6F">
        <w:rPr>
          <w:lang w:val="fr-FR"/>
        </w:rPr>
        <w:tab/>
      </w:r>
      <w:r w:rsidRPr="00445A6F">
        <w:rPr>
          <w:b/>
          <w:bCs/>
          <w:lang w:val="fr-FR"/>
        </w:rPr>
        <w:t>De faire figurer dans son rapport de suivi et dans son deuxième rapport périodique des informations, notamment des statistiques ventilées, sur le nombre d</w:t>
      </w:r>
      <w:r w:rsidR="001D2961">
        <w:rPr>
          <w:b/>
          <w:bCs/>
          <w:lang w:val="fr-FR"/>
        </w:rPr>
        <w:t>’</w:t>
      </w:r>
      <w:r w:rsidRPr="00445A6F">
        <w:rPr>
          <w:b/>
          <w:bCs/>
          <w:lang w:val="fr-FR"/>
        </w:rPr>
        <w:t>expulsions, les motifs invoqués et les procédures utilisées</w:t>
      </w:r>
      <w:r w:rsidR="001D2961">
        <w:rPr>
          <w:b/>
          <w:bCs/>
          <w:lang w:val="fr-FR"/>
        </w:rPr>
        <w:t> </w:t>
      </w:r>
      <w:r w:rsidRPr="00445A6F">
        <w:rPr>
          <w:b/>
          <w:bCs/>
          <w:lang w:val="fr-FR"/>
        </w:rPr>
        <w:t>;</w:t>
      </w:r>
      <w:r w:rsidRPr="00445A6F">
        <w:rPr>
          <w:lang w:val="fr-FR"/>
        </w:rPr>
        <w:t xml:space="preserve"> </w:t>
      </w:r>
    </w:p>
    <w:p w:rsidR="00851BC9" w:rsidRPr="00445A6F" w:rsidRDefault="00851BC9" w:rsidP="00851BC9">
      <w:pPr>
        <w:pStyle w:val="SingleTxtG"/>
      </w:pPr>
      <w:r w:rsidRPr="00445A6F">
        <w:rPr>
          <w:lang w:val="fr-FR"/>
        </w:rPr>
        <w:t>9.</w:t>
      </w:r>
      <w:r w:rsidRPr="00445A6F">
        <w:rPr>
          <w:lang w:val="fr-FR"/>
        </w:rPr>
        <w:tab/>
        <w:t>En 2018, le nombre d</w:t>
      </w:r>
      <w:r w:rsidR="001D2961">
        <w:rPr>
          <w:lang w:val="fr-FR"/>
        </w:rPr>
        <w:t>’</w:t>
      </w:r>
      <w:r w:rsidRPr="00445A6F">
        <w:rPr>
          <w:lang w:val="fr-FR"/>
        </w:rPr>
        <w:t>expulsions a augmenté de 59,9</w:t>
      </w:r>
      <w:r w:rsidR="001D2961">
        <w:rPr>
          <w:lang w:val="fr-FR"/>
        </w:rPr>
        <w:t> </w:t>
      </w:r>
      <w:r w:rsidRPr="00445A6F">
        <w:rPr>
          <w:lang w:val="fr-FR"/>
        </w:rPr>
        <w:t xml:space="preserve">% par rapport à 2017. </w:t>
      </w:r>
    </w:p>
    <w:p w:rsidR="00851BC9" w:rsidRPr="00445A6F" w:rsidRDefault="00851BC9" w:rsidP="001D2961">
      <w:pPr>
        <w:pStyle w:val="SingleTxtG"/>
      </w:pPr>
      <w:r w:rsidRPr="00445A6F">
        <w:rPr>
          <w:lang w:val="fr-FR"/>
        </w:rPr>
        <w:t>10.</w:t>
      </w:r>
      <w:r w:rsidRPr="00445A6F">
        <w:rPr>
          <w:lang w:val="fr-FR"/>
        </w:rPr>
        <w:tab/>
        <w:t>Les procédures de reconduite à la frontière sont régies par l</w:t>
      </w:r>
      <w:r w:rsidR="001D2961">
        <w:rPr>
          <w:lang w:val="fr-FR"/>
        </w:rPr>
        <w:t>’</w:t>
      </w:r>
      <w:r w:rsidRPr="00445A6F">
        <w:rPr>
          <w:lang w:val="fr-FR"/>
        </w:rPr>
        <w:t xml:space="preserve">article 54 de la loi </w:t>
      </w:r>
      <w:r w:rsidR="001D2961" w:rsidRPr="001D2961">
        <w:rPr>
          <w:rFonts w:eastAsia="MS Mincho"/>
          <w:szCs w:val="22"/>
          <w:lang w:val="fr-FR"/>
        </w:rPr>
        <w:t>n</w:t>
      </w:r>
      <w:r w:rsidR="001D2961" w:rsidRPr="001D2961">
        <w:rPr>
          <w:rFonts w:eastAsia="MS Mincho"/>
          <w:szCs w:val="22"/>
          <w:vertAlign w:val="superscript"/>
          <w:lang w:val="fr-FR"/>
        </w:rPr>
        <w:t>o</w:t>
      </w:r>
      <w:r w:rsidR="001D2961">
        <w:rPr>
          <w:lang w:val="fr-FR"/>
        </w:rPr>
        <w:t> </w:t>
      </w:r>
      <w:r w:rsidRPr="00445A6F">
        <w:rPr>
          <w:lang w:val="fr-FR"/>
        </w:rPr>
        <w:t xml:space="preserve">6458 relative </w:t>
      </w:r>
      <w:r w:rsidRPr="001D2961">
        <w:t>aux</w:t>
      </w:r>
      <w:r w:rsidRPr="00445A6F">
        <w:rPr>
          <w:lang w:val="fr-FR"/>
        </w:rPr>
        <w:t xml:space="preserve"> étrangers et à la protection internationale. Conformément à cette disposition</w:t>
      </w:r>
      <w:r w:rsidR="001D2961">
        <w:rPr>
          <w:lang w:val="fr-FR"/>
        </w:rPr>
        <w:t> </w:t>
      </w:r>
      <w:r w:rsidRPr="00445A6F">
        <w:rPr>
          <w:lang w:val="fr-FR"/>
        </w:rPr>
        <w:t>:</w:t>
      </w:r>
    </w:p>
    <w:p w:rsidR="00851BC9" w:rsidRPr="00445A6F" w:rsidRDefault="00851BC9" w:rsidP="001D2961">
      <w:pPr>
        <w:pStyle w:val="SingleTxtG"/>
        <w:ind w:firstLine="567"/>
      </w:pPr>
      <w:r w:rsidRPr="00445A6F">
        <w:rPr>
          <w:lang w:val="fr-FR"/>
        </w:rPr>
        <w:t>1)</w:t>
      </w:r>
      <w:r w:rsidRPr="00445A6F">
        <w:rPr>
          <w:lang w:val="fr-FR"/>
        </w:rPr>
        <w:tab/>
        <w:t>Une décision de reconduite à la frontière est prise à l</w:t>
      </w:r>
      <w:r w:rsidR="001D2961">
        <w:rPr>
          <w:lang w:val="fr-FR"/>
        </w:rPr>
        <w:t>’</w:t>
      </w:r>
      <w:r w:rsidRPr="00445A6F">
        <w:rPr>
          <w:lang w:val="fr-FR"/>
        </w:rPr>
        <w:t>égard des étrangers qui</w:t>
      </w:r>
      <w:r w:rsidR="001D2961">
        <w:rPr>
          <w:lang w:val="fr-FR"/>
        </w:rPr>
        <w:t> </w:t>
      </w:r>
      <w:r w:rsidRPr="00445A6F">
        <w:rPr>
          <w:lang w:val="fr-FR"/>
        </w:rPr>
        <w:t>:</w:t>
      </w:r>
    </w:p>
    <w:p w:rsidR="00851BC9" w:rsidRPr="00445A6F" w:rsidRDefault="00851BC9" w:rsidP="001D2961">
      <w:pPr>
        <w:pStyle w:val="Bullet1G"/>
      </w:pPr>
      <w:r w:rsidRPr="00445A6F">
        <w:rPr>
          <w:lang w:val="fr-FR"/>
        </w:rPr>
        <w:t>Sont réputés expulsés au regard de l</w:t>
      </w:r>
      <w:r w:rsidR="001D2961">
        <w:rPr>
          <w:lang w:val="fr-FR"/>
        </w:rPr>
        <w:t>’</w:t>
      </w:r>
      <w:r w:rsidRPr="00445A6F">
        <w:rPr>
          <w:lang w:val="fr-FR"/>
        </w:rPr>
        <w:t xml:space="preserve">article 559 </w:t>
      </w:r>
      <w:r>
        <w:rPr>
          <w:lang w:val="fr-FR"/>
        </w:rPr>
        <w:t>de la loi n</w:t>
      </w:r>
      <w:r w:rsidRPr="00C20307">
        <w:rPr>
          <w:vertAlign w:val="superscript"/>
          <w:lang w:val="fr-FR"/>
        </w:rPr>
        <w:t>o</w:t>
      </w:r>
      <w:r>
        <w:rPr>
          <w:lang w:val="fr-FR"/>
        </w:rPr>
        <w:t xml:space="preserve"> 5237 portant </w:t>
      </w:r>
      <w:r w:rsidRPr="00445A6F">
        <w:rPr>
          <w:lang w:val="fr-FR"/>
        </w:rPr>
        <w:t>Code pénal</w:t>
      </w:r>
      <w:r>
        <w:rPr>
          <w:lang w:val="fr-FR"/>
        </w:rPr>
        <w:t xml:space="preserve"> de la Turquie</w:t>
      </w:r>
      <w:r w:rsidR="001D2961">
        <w:rPr>
          <w:lang w:val="fr-FR"/>
        </w:rPr>
        <w:t> </w:t>
      </w:r>
      <w:r w:rsidRPr="00445A6F">
        <w:rPr>
          <w:lang w:val="fr-FR"/>
        </w:rPr>
        <w:t>;</w:t>
      </w:r>
    </w:p>
    <w:p w:rsidR="00851BC9" w:rsidRPr="00445A6F" w:rsidRDefault="00851BC9" w:rsidP="001D2961">
      <w:pPr>
        <w:pStyle w:val="Bullet1G"/>
      </w:pPr>
      <w:r w:rsidRPr="00445A6F">
        <w:rPr>
          <w:lang w:val="fr-FR"/>
        </w:rPr>
        <w:t>Sont dirigeants, membres ou sympathisants d</w:t>
      </w:r>
      <w:r w:rsidR="001D2961">
        <w:rPr>
          <w:lang w:val="fr-FR"/>
        </w:rPr>
        <w:t>’</w:t>
      </w:r>
      <w:r w:rsidRPr="00445A6F">
        <w:rPr>
          <w:lang w:val="fr-FR"/>
        </w:rPr>
        <w:t>une organisation terroriste ou d</w:t>
      </w:r>
      <w:r w:rsidR="001D2961">
        <w:rPr>
          <w:lang w:val="fr-FR"/>
        </w:rPr>
        <w:t>’</w:t>
      </w:r>
      <w:r w:rsidRPr="00445A6F">
        <w:rPr>
          <w:lang w:val="fr-FR"/>
        </w:rPr>
        <w:t>une organisation criminelle à but lucratif</w:t>
      </w:r>
      <w:r w:rsidR="001D2961">
        <w:rPr>
          <w:lang w:val="fr-FR"/>
        </w:rPr>
        <w:t> </w:t>
      </w:r>
      <w:r w:rsidRPr="00445A6F">
        <w:rPr>
          <w:lang w:val="fr-FR"/>
        </w:rPr>
        <w:t>;</w:t>
      </w:r>
    </w:p>
    <w:p w:rsidR="00851BC9" w:rsidRPr="00445A6F" w:rsidRDefault="00851BC9" w:rsidP="001D2961">
      <w:pPr>
        <w:pStyle w:val="Bullet1G"/>
      </w:pPr>
      <w:r w:rsidRPr="00445A6F">
        <w:rPr>
          <w:lang w:val="fr-FR"/>
        </w:rPr>
        <w:t>Soumettent des informations fausses et des faux documents lors des démarches d</w:t>
      </w:r>
      <w:r w:rsidR="001D2961">
        <w:rPr>
          <w:lang w:val="fr-FR"/>
        </w:rPr>
        <w:t>’</w:t>
      </w:r>
      <w:r w:rsidRPr="00445A6F">
        <w:rPr>
          <w:lang w:val="fr-FR"/>
        </w:rPr>
        <w:t>entrée, de demande de visa ou de permis de séjour</w:t>
      </w:r>
      <w:r w:rsidR="001D2961">
        <w:rPr>
          <w:lang w:val="fr-FR"/>
        </w:rPr>
        <w:t> </w:t>
      </w:r>
      <w:r w:rsidRPr="00445A6F">
        <w:rPr>
          <w:lang w:val="fr-FR"/>
        </w:rPr>
        <w:t>;</w:t>
      </w:r>
    </w:p>
    <w:p w:rsidR="00851BC9" w:rsidRPr="00445A6F" w:rsidRDefault="00851BC9" w:rsidP="001D2961">
      <w:pPr>
        <w:pStyle w:val="Bullet1G"/>
      </w:pPr>
      <w:r w:rsidRPr="001D2961">
        <w:t>Gagnent</w:t>
      </w:r>
      <w:r w:rsidRPr="00445A6F">
        <w:rPr>
          <w:lang w:val="fr-FR"/>
        </w:rPr>
        <w:t xml:space="preserve"> leur vie grâce à des moyens illégitimes pendant leur séjour en Turquie</w:t>
      </w:r>
      <w:r w:rsidR="001D2961">
        <w:rPr>
          <w:lang w:val="fr-FR"/>
        </w:rPr>
        <w:t> </w:t>
      </w:r>
      <w:r w:rsidRPr="00445A6F">
        <w:rPr>
          <w:lang w:val="fr-FR"/>
        </w:rPr>
        <w:t>;</w:t>
      </w:r>
    </w:p>
    <w:p w:rsidR="00851BC9" w:rsidRPr="00445A6F" w:rsidRDefault="00851BC9" w:rsidP="001D2961">
      <w:pPr>
        <w:pStyle w:val="Bullet1G"/>
      </w:pPr>
      <w:r w:rsidRPr="00445A6F">
        <w:rPr>
          <w:lang w:val="fr-FR"/>
        </w:rPr>
        <w:t>Représentent une menace pour l</w:t>
      </w:r>
      <w:r w:rsidR="001D2961">
        <w:rPr>
          <w:lang w:val="fr-FR"/>
        </w:rPr>
        <w:t>’</w:t>
      </w:r>
      <w:r w:rsidRPr="00445A6F">
        <w:rPr>
          <w:lang w:val="fr-FR"/>
        </w:rPr>
        <w:t>ordre public, la sécurité publique ou la santé publique</w:t>
      </w:r>
      <w:r w:rsidR="001D2961">
        <w:rPr>
          <w:lang w:val="fr-FR"/>
        </w:rPr>
        <w:t> </w:t>
      </w:r>
      <w:r w:rsidRPr="00445A6F">
        <w:rPr>
          <w:lang w:val="fr-FR"/>
        </w:rPr>
        <w:t>;</w:t>
      </w:r>
    </w:p>
    <w:p w:rsidR="00851BC9" w:rsidRPr="00445A6F" w:rsidRDefault="00851BC9" w:rsidP="001D2961">
      <w:pPr>
        <w:pStyle w:val="Bullet1G"/>
      </w:pPr>
      <w:r w:rsidRPr="00445A6F">
        <w:rPr>
          <w:lang w:val="fr-FR"/>
        </w:rPr>
        <w:lastRenderedPageBreak/>
        <w:t>Ont dépassé la durée de validité de leur visa ou de la période d</w:t>
      </w:r>
      <w:r w:rsidR="001D2961">
        <w:rPr>
          <w:lang w:val="fr-FR"/>
        </w:rPr>
        <w:t>’</w:t>
      </w:r>
      <w:r w:rsidRPr="00445A6F">
        <w:rPr>
          <w:lang w:val="fr-FR"/>
        </w:rPr>
        <w:t xml:space="preserve">exemption de visa de plus de dix </w:t>
      </w:r>
      <w:r w:rsidRPr="001D2961">
        <w:t>jours</w:t>
      </w:r>
      <w:r w:rsidRPr="00445A6F">
        <w:rPr>
          <w:lang w:val="fr-FR"/>
        </w:rPr>
        <w:t xml:space="preserve"> ou dont le visa a été annulé</w:t>
      </w:r>
      <w:r w:rsidR="001D2961">
        <w:rPr>
          <w:lang w:val="fr-FR"/>
        </w:rPr>
        <w:t> </w:t>
      </w:r>
      <w:r w:rsidRPr="00445A6F">
        <w:rPr>
          <w:lang w:val="fr-FR"/>
        </w:rPr>
        <w:t>;</w:t>
      </w:r>
    </w:p>
    <w:p w:rsidR="00851BC9" w:rsidRPr="00445A6F" w:rsidRDefault="00851BC9" w:rsidP="001D2961">
      <w:pPr>
        <w:pStyle w:val="Bullet1G"/>
      </w:pPr>
      <w:r w:rsidRPr="00445A6F">
        <w:rPr>
          <w:lang w:val="fr-FR"/>
        </w:rPr>
        <w:t xml:space="preserve">Ont vu </w:t>
      </w:r>
      <w:r w:rsidRPr="001D2961">
        <w:t>leur</w:t>
      </w:r>
      <w:r w:rsidRPr="00445A6F">
        <w:rPr>
          <w:lang w:val="fr-FR"/>
        </w:rPr>
        <w:t xml:space="preserve"> permis de séjour annulé</w:t>
      </w:r>
      <w:r w:rsidR="001D2961">
        <w:rPr>
          <w:lang w:val="fr-FR"/>
        </w:rPr>
        <w:t> </w:t>
      </w:r>
      <w:r w:rsidRPr="00445A6F">
        <w:rPr>
          <w:lang w:val="fr-FR"/>
        </w:rPr>
        <w:t>;</w:t>
      </w:r>
    </w:p>
    <w:p w:rsidR="00851BC9" w:rsidRPr="00445A6F" w:rsidRDefault="00851BC9" w:rsidP="001D2961">
      <w:pPr>
        <w:pStyle w:val="Bullet1G"/>
      </w:pPr>
      <w:r w:rsidRPr="00445A6F">
        <w:rPr>
          <w:lang w:val="fr-FR"/>
        </w:rPr>
        <w:t>Ont dépassé la date d</w:t>
      </w:r>
      <w:r w:rsidR="001D2961">
        <w:rPr>
          <w:lang w:val="fr-FR"/>
        </w:rPr>
        <w:t>’</w:t>
      </w:r>
      <w:r w:rsidRPr="00445A6F">
        <w:rPr>
          <w:lang w:val="fr-FR"/>
        </w:rPr>
        <w:t>expiration de leur permis de séjour de plus de dix jours sans raison valable</w:t>
      </w:r>
      <w:r w:rsidR="001D2961">
        <w:rPr>
          <w:lang w:val="fr-FR"/>
        </w:rPr>
        <w:t> </w:t>
      </w:r>
      <w:r w:rsidRPr="00445A6F">
        <w:rPr>
          <w:lang w:val="fr-FR"/>
        </w:rPr>
        <w:t>;</w:t>
      </w:r>
    </w:p>
    <w:p w:rsidR="00851BC9" w:rsidRPr="00445A6F" w:rsidRDefault="00851BC9" w:rsidP="001D2961">
      <w:pPr>
        <w:pStyle w:val="Bullet1G"/>
      </w:pPr>
      <w:r w:rsidRPr="00445A6F">
        <w:rPr>
          <w:lang w:val="fr-FR"/>
        </w:rPr>
        <w:t>D</w:t>
      </w:r>
      <w:r w:rsidR="001D2961">
        <w:rPr>
          <w:lang w:val="fr-FR"/>
        </w:rPr>
        <w:t>’</w:t>
      </w:r>
      <w:r w:rsidRPr="00445A6F">
        <w:rPr>
          <w:lang w:val="fr-FR"/>
        </w:rPr>
        <w:t>après les constats effectués travaillent sans permis</w:t>
      </w:r>
      <w:r w:rsidR="001D2961">
        <w:rPr>
          <w:lang w:val="fr-FR"/>
        </w:rPr>
        <w:t> </w:t>
      </w:r>
      <w:r w:rsidRPr="00445A6F">
        <w:rPr>
          <w:lang w:val="fr-FR"/>
        </w:rPr>
        <w:t>;</w:t>
      </w:r>
    </w:p>
    <w:p w:rsidR="00851BC9" w:rsidRPr="00445A6F" w:rsidRDefault="00851BC9" w:rsidP="001D2961">
      <w:pPr>
        <w:pStyle w:val="Bullet1G"/>
      </w:pPr>
      <w:r w:rsidRPr="00445A6F">
        <w:rPr>
          <w:lang w:val="fr-FR"/>
        </w:rPr>
        <w:t xml:space="preserve">Enfreignent les clauses et </w:t>
      </w:r>
      <w:r w:rsidRPr="001D2961">
        <w:t>conditions</w:t>
      </w:r>
      <w:r w:rsidRPr="00445A6F">
        <w:rPr>
          <w:lang w:val="fr-FR"/>
        </w:rPr>
        <w:t xml:space="preserve"> légales d</w:t>
      </w:r>
      <w:r w:rsidR="001D2961">
        <w:rPr>
          <w:lang w:val="fr-FR"/>
        </w:rPr>
        <w:t>’</w:t>
      </w:r>
      <w:r w:rsidRPr="00445A6F">
        <w:rPr>
          <w:lang w:val="fr-FR"/>
        </w:rPr>
        <w:t>entrée en Turquie ou de sortie du pays</w:t>
      </w:r>
      <w:r w:rsidR="001D2961">
        <w:rPr>
          <w:lang w:val="fr-FR"/>
        </w:rPr>
        <w:t> </w:t>
      </w:r>
      <w:r w:rsidRPr="00445A6F">
        <w:rPr>
          <w:lang w:val="fr-FR"/>
        </w:rPr>
        <w:t>;</w:t>
      </w:r>
    </w:p>
    <w:p w:rsidR="00851BC9" w:rsidRPr="00445A6F" w:rsidRDefault="00851BC9" w:rsidP="001D2961">
      <w:pPr>
        <w:pStyle w:val="Bullet1G"/>
      </w:pPr>
      <w:r w:rsidRPr="00445A6F">
        <w:rPr>
          <w:lang w:val="fr-FR"/>
        </w:rPr>
        <w:t>D</w:t>
      </w:r>
      <w:r w:rsidR="001D2961">
        <w:rPr>
          <w:lang w:val="fr-FR"/>
        </w:rPr>
        <w:t>’</w:t>
      </w:r>
      <w:r w:rsidRPr="00445A6F">
        <w:rPr>
          <w:lang w:val="fr-FR"/>
        </w:rPr>
        <w:t>après les constats effectués sont entrés en Turquie malgré une interdiction d</w:t>
      </w:r>
      <w:r w:rsidR="001D2961">
        <w:rPr>
          <w:lang w:val="fr-FR"/>
        </w:rPr>
        <w:t>’</w:t>
      </w:r>
      <w:r w:rsidRPr="00445A6F">
        <w:rPr>
          <w:lang w:val="fr-FR"/>
        </w:rPr>
        <w:t>entrée</w:t>
      </w:r>
      <w:r w:rsidR="001D2961">
        <w:rPr>
          <w:lang w:val="fr-FR"/>
        </w:rPr>
        <w:t> </w:t>
      </w:r>
      <w:r w:rsidRPr="00445A6F">
        <w:rPr>
          <w:lang w:val="fr-FR"/>
        </w:rPr>
        <w:t>;</w:t>
      </w:r>
    </w:p>
    <w:p w:rsidR="00851BC9" w:rsidRPr="00445A6F" w:rsidRDefault="00851BC9" w:rsidP="001D2961">
      <w:pPr>
        <w:pStyle w:val="Bullet1G"/>
      </w:pPr>
      <w:r w:rsidRPr="00445A6F">
        <w:rPr>
          <w:lang w:val="fr-FR"/>
        </w:rPr>
        <w:t>Ont vu leur demande de protection internationale refusée</w:t>
      </w:r>
      <w:r w:rsidR="001D2961">
        <w:rPr>
          <w:lang w:val="fr-FR"/>
        </w:rPr>
        <w:t> </w:t>
      </w:r>
      <w:r w:rsidRPr="00445A6F">
        <w:rPr>
          <w:lang w:val="fr-FR"/>
        </w:rPr>
        <w:t xml:space="preserve">; sont exclus de la </w:t>
      </w:r>
      <w:r w:rsidRPr="001D2961">
        <w:t>protection</w:t>
      </w:r>
      <w:r w:rsidRPr="00445A6F">
        <w:rPr>
          <w:lang w:val="fr-FR"/>
        </w:rPr>
        <w:t xml:space="preserve"> internationale</w:t>
      </w:r>
      <w:r w:rsidR="001D2961">
        <w:rPr>
          <w:lang w:val="fr-FR"/>
        </w:rPr>
        <w:t> </w:t>
      </w:r>
      <w:r w:rsidRPr="00445A6F">
        <w:rPr>
          <w:lang w:val="fr-FR"/>
        </w:rPr>
        <w:t>; ont fait une demande considérée comme irrecevable</w:t>
      </w:r>
      <w:r w:rsidR="001D2961">
        <w:rPr>
          <w:lang w:val="fr-FR"/>
        </w:rPr>
        <w:t> </w:t>
      </w:r>
      <w:r w:rsidRPr="00445A6F">
        <w:rPr>
          <w:lang w:val="fr-FR"/>
        </w:rPr>
        <w:t>; ont retiré leur demande ou dont la demande est considérée comme retirée</w:t>
      </w:r>
      <w:r w:rsidR="001D2961">
        <w:rPr>
          <w:lang w:val="fr-FR"/>
        </w:rPr>
        <w:t> </w:t>
      </w:r>
      <w:r w:rsidRPr="00445A6F">
        <w:rPr>
          <w:lang w:val="fr-FR"/>
        </w:rPr>
        <w:t xml:space="preserve">; ont vu leur protection internationale prendre fin ou être annulée, sous réserve que, conformément aux autres dispositions de la loi </w:t>
      </w:r>
      <w:r w:rsidR="001D2961" w:rsidRPr="001D2961">
        <w:rPr>
          <w:rFonts w:eastAsia="MS Mincho"/>
          <w:szCs w:val="22"/>
          <w:lang w:val="fr-FR"/>
        </w:rPr>
        <w:t>n</w:t>
      </w:r>
      <w:r w:rsidR="001D2961" w:rsidRPr="001D2961">
        <w:rPr>
          <w:rFonts w:eastAsia="MS Mincho"/>
          <w:szCs w:val="22"/>
          <w:vertAlign w:val="superscript"/>
          <w:lang w:val="fr-FR"/>
        </w:rPr>
        <w:t>o</w:t>
      </w:r>
      <w:r w:rsidR="001D2961">
        <w:rPr>
          <w:lang w:val="fr-FR"/>
        </w:rPr>
        <w:t> </w:t>
      </w:r>
      <w:r w:rsidRPr="00445A6F">
        <w:rPr>
          <w:lang w:val="fr-FR"/>
        </w:rPr>
        <w:t>6458, ils n</w:t>
      </w:r>
      <w:r w:rsidR="001D2961">
        <w:rPr>
          <w:lang w:val="fr-FR"/>
        </w:rPr>
        <w:t>’</w:t>
      </w:r>
      <w:r w:rsidRPr="00445A6F">
        <w:rPr>
          <w:lang w:val="fr-FR"/>
        </w:rPr>
        <w:t>aient plus le droit de rester en Turquie après la décision finale</w:t>
      </w:r>
      <w:r w:rsidR="001D2961">
        <w:rPr>
          <w:lang w:val="fr-FR"/>
        </w:rPr>
        <w:t> </w:t>
      </w:r>
      <w:r w:rsidRPr="00445A6F">
        <w:rPr>
          <w:lang w:val="fr-FR"/>
        </w:rPr>
        <w:t>;</w:t>
      </w:r>
    </w:p>
    <w:p w:rsidR="00851BC9" w:rsidRPr="00445A6F" w:rsidRDefault="00851BC9" w:rsidP="001D2961">
      <w:pPr>
        <w:pStyle w:val="Bullet1G"/>
      </w:pPr>
      <w:r w:rsidRPr="00445A6F">
        <w:rPr>
          <w:lang w:val="fr-FR"/>
        </w:rPr>
        <w:t>N</w:t>
      </w:r>
      <w:r w:rsidR="001D2961">
        <w:rPr>
          <w:lang w:val="fr-FR"/>
        </w:rPr>
        <w:t>’</w:t>
      </w:r>
      <w:r w:rsidRPr="00445A6F">
        <w:rPr>
          <w:lang w:val="fr-FR"/>
        </w:rPr>
        <w:t>ont pas quitté la Turquie dans les dix jours suivant le refus de renouvellement de leur permis de séjour</w:t>
      </w:r>
      <w:r w:rsidR="001D2961">
        <w:rPr>
          <w:lang w:val="fr-FR"/>
        </w:rPr>
        <w:t> </w:t>
      </w:r>
      <w:r w:rsidRPr="00445A6F">
        <w:rPr>
          <w:lang w:val="fr-FR"/>
        </w:rPr>
        <w:t>;</w:t>
      </w:r>
    </w:p>
    <w:p w:rsidR="00851BC9" w:rsidRPr="00445A6F" w:rsidRDefault="00851BC9" w:rsidP="001D2961">
      <w:pPr>
        <w:pStyle w:val="Bullet1G"/>
      </w:pPr>
      <w:r w:rsidRPr="00445A6F">
        <w:rPr>
          <w:lang w:val="fr-FR"/>
        </w:rPr>
        <w:t>(Annexe</w:t>
      </w:r>
      <w:r w:rsidR="001D2961">
        <w:rPr>
          <w:lang w:val="fr-FR"/>
        </w:rPr>
        <w:t> </w:t>
      </w:r>
      <w:r w:rsidRPr="00445A6F">
        <w:rPr>
          <w:lang w:val="fr-FR"/>
        </w:rPr>
        <w:t>: article 3/10/2016-KHK-676/36) sont considérés comme étant associés à des organisations qualifiées</w:t>
      </w:r>
      <w:r>
        <w:rPr>
          <w:lang w:val="fr-FR"/>
        </w:rPr>
        <w:t xml:space="preserve"> de</w:t>
      </w:r>
      <w:r w:rsidRPr="00445A6F">
        <w:rPr>
          <w:lang w:val="fr-FR"/>
        </w:rPr>
        <w:t xml:space="preserve"> </w:t>
      </w:r>
      <w:r w:rsidRPr="001F0F15">
        <w:rPr>
          <w:lang w:val="fr-FR"/>
        </w:rPr>
        <w:t xml:space="preserve">terroristes </w:t>
      </w:r>
      <w:r w:rsidRPr="00445A6F">
        <w:rPr>
          <w:lang w:val="fr-FR"/>
        </w:rPr>
        <w:t>par des institutions et organisations internationales</w:t>
      </w:r>
      <w:r w:rsidR="001D2961">
        <w:rPr>
          <w:lang w:val="fr-FR"/>
        </w:rPr>
        <w:t> </w:t>
      </w:r>
      <w:r w:rsidRPr="00445A6F">
        <w:rPr>
          <w:lang w:val="fr-FR"/>
        </w:rPr>
        <w:t>;</w:t>
      </w:r>
    </w:p>
    <w:p w:rsidR="00851BC9" w:rsidRPr="00445A6F" w:rsidRDefault="00851BC9" w:rsidP="001D2961">
      <w:pPr>
        <w:pStyle w:val="Bullet1G"/>
      </w:pPr>
      <w:r w:rsidRPr="00445A6F">
        <w:rPr>
          <w:lang w:val="fr-FR"/>
        </w:rPr>
        <w:t>(Modification</w:t>
      </w:r>
      <w:r w:rsidR="001D2961">
        <w:rPr>
          <w:lang w:val="fr-FR"/>
        </w:rPr>
        <w:t> </w:t>
      </w:r>
      <w:r w:rsidRPr="00445A6F">
        <w:rPr>
          <w:lang w:val="fr-FR"/>
        </w:rPr>
        <w:t>: article 3/10/2016-KHK-676/36) Une décision de reconduite à la frontière peut être rendue à tous les stades de la procédure de protection internationale à l</w:t>
      </w:r>
      <w:r w:rsidR="001D2961">
        <w:rPr>
          <w:lang w:val="fr-FR"/>
        </w:rPr>
        <w:t>’</w:t>
      </w:r>
      <w:r w:rsidRPr="00445A6F">
        <w:rPr>
          <w:lang w:val="fr-FR"/>
        </w:rPr>
        <w:t>égard des demandeurs ou bénéficiaires d</w:t>
      </w:r>
      <w:r w:rsidR="001D2961">
        <w:rPr>
          <w:lang w:val="fr-FR"/>
        </w:rPr>
        <w:t>’</w:t>
      </w:r>
      <w:r w:rsidRPr="00445A6F">
        <w:rPr>
          <w:lang w:val="fr-FR"/>
        </w:rPr>
        <w:t>une protection internationale qui sont considérés comme relevant des alinéas b), d) et k) du premier paragraphe de l</w:t>
      </w:r>
      <w:r w:rsidR="001D2961">
        <w:rPr>
          <w:lang w:val="fr-FR"/>
        </w:rPr>
        <w:t>’</w:t>
      </w:r>
      <w:r w:rsidRPr="00445A6F">
        <w:rPr>
          <w:lang w:val="fr-FR"/>
        </w:rPr>
        <w:t>article.</w:t>
      </w:r>
    </w:p>
    <w:p w:rsidR="00446FE5" w:rsidRDefault="00851BC9" w:rsidP="001D2961">
      <w:pPr>
        <w:pStyle w:val="SingleTxtG"/>
        <w:ind w:firstLine="567"/>
        <w:rPr>
          <w:b/>
          <w:bCs/>
          <w:lang w:val="fr-FR"/>
        </w:rPr>
      </w:pPr>
      <w:r w:rsidRPr="00445A6F">
        <w:rPr>
          <w:lang w:val="fr-FR"/>
        </w:rPr>
        <w:t>f)</w:t>
      </w:r>
      <w:r w:rsidRPr="00445A6F">
        <w:rPr>
          <w:lang w:val="fr-FR"/>
        </w:rPr>
        <w:tab/>
      </w:r>
      <w:r w:rsidRPr="00445A6F">
        <w:rPr>
          <w:b/>
          <w:bCs/>
          <w:lang w:val="fr-FR"/>
        </w:rPr>
        <w:t>De faire en sorte que toutes les garanties procédurales requises soient strictement respectées dans chaque procédure d</w:t>
      </w:r>
      <w:r w:rsidR="001D2961">
        <w:rPr>
          <w:b/>
          <w:bCs/>
          <w:lang w:val="fr-FR"/>
        </w:rPr>
        <w:t>’</w:t>
      </w:r>
      <w:r w:rsidRPr="00445A6F">
        <w:rPr>
          <w:b/>
          <w:bCs/>
          <w:lang w:val="fr-FR"/>
        </w:rPr>
        <w:t>expulsion, de façon à prévenir les expulsions arbitraires, notamment dans le cadre de l</w:t>
      </w:r>
      <w:r w:rsidR="001D2961">
        <w:rPr>
          <w:b/>
          <w:bCs/>
          <w:lang w:val="fr-FR"/>
        </w:rPr>
        <w:t>’</w:t>
      </w:r>
      <w:r w:rsidRPr="00445A6F">
        <w:rPr>
          <w:b/>
          <w:bCs/>
          <w:lang w:val="fr-FR"/>
        </w:rPr>
        <w:t>accord entre l</w:t>
      </w:r>
      <w:r w:rsidR="001D2961">
        <w:rPr>
          <w:b/>
          <w:bCs/>
          <w:lang w:val="fr-FR"/>
        </w:rPr>
        <w:t>’</w:t>
      </w:r>
      <w:r w:rsidRPr="00445A6F">
        <w:rPr>
          <w:b/>
          <w:bCs/>
          <w:lang w:val="fr-FR"/>
        </w:rPr>
        <w:t>Union européenne et l</w:t>
      </w:r>
      <w:r w:rsidR="001D2961">
        <w:rPr>
          <w:b/>
          <w:bCs/>
          <w:lang w:val="fr-FR"/>
        </w:rPr>
        <w:t>’</w:t>
      </w:r>
      <w:r w:rsidRPr="00445A6F">
        <w:rPr>
          <w:b/>
          <w:bCs/>
          <w:lang w:val="fr-FR"/>
        </w:rPr>
        <w:t>État partie, signé le 18</w:t>
      </w:r>
      <w:r w:rsidR="001D2961">
        <w:rPr>
          <w:b/>
          <w:bCs/>
          <w:lang w:val="fr-FR"/>
        </w:rPr>
        <w:t> </w:t>
      </w:r>
      <w:r w:rsidRPr="00445A6F">
        <w:rPr>
          <w:b/>
          <w:bCs/>
          <w:lang w:val="fr-FR"/>
        </w:rPr>
        <w:t>mars 2016.</w:t>
      </w:r>
    </w:p>
    <w:p w:rsidR="001D2961" w:rsidRPr="001D2961" w:rsidRDefault="001D2961" w:rsidP="001D2961">
      <w:pPr>
        <w:pStyle w:val="SingleTxtG"/>
        <w:spacing w:before="240" w:after="0"/>
        <w:jc w:val="center"/>
        <w:rPr>
          <w:u w:val="single"/>
        </w:rPr>
      </w:pPr>
      <w:r>
        <w:rPr>
          <w:u w:val="single"/>
        </w:rPr>
        <w:tab/>
      </w:r>
      <w:r>
        <w:rPr>
          <w:u w:val="single"/>
        </w:rPr>
        <w:tab/>
      </w:r>
      <w:r>
        <w:rPr>
          <w:u w:val="single"/>
        </w:rPr>
        <w:tab/>
      </w:r>
    </w:p>
    <w:sectPr w:rsidR="001D2961" w:rsidRPr="001D2961" w:rsidSect="00851BC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767" w:rsidRDefault="00626767" w:rsidP="00F95C08">
      <w:pPr>
        <w:spacing w:line="240" w:lineRule="auto"/>
      </w:pPr>
    </w:p>
  </w:endnote>
  <w:endnote w:type="continuationSeparator" w:id="0">
    <w:p w:rsidR="00626767" w:rsidRPr="00AC3823" w:rsidRDefault="00626767" w:rsidP="00AC3823">
      <w:pPr>
        <w:pStyle w:val="Pieddepage"/>
      </w:pPr>
    </w:p>
  </w:endnote>
  <w:endnote w:type="continuationNotice" w:id="1">
    <w:p w:rsidR="00626767" w:rsidRDefault="006267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BC9" w:rsidRPr="00851BC9" w:rsidRDefault="00851BC9" w:rsidP="00851BC9">
    <w:pPr>
      <w:pStyle w:val="Pieddepage"/>
      <w:tabs>
        <w:tab w:val="right" w:pos="9638"/>
      </w:tabs>
    </w:pPr>
    <w:r w:rsidRPr="00851BC9">
      <w:rPr>
        <w:b/>
        <w:sz w:val="18"/>
      </w:rPr>
      <w:fldChar w:fldCharType="begin"/>
    </w:r>
    <w:r w:rsidRPr="00851BC9">
      <w:rPr>
        <w:b/>
        <w:sz w:val="18"/>
      </w:rPr>
      <w:instrText xml:space="preserve"> PAGE  \* MERGEFORMAT </w:instrText>
    </w:r>
    <w:r w:rsidRPr="00851BC9">
      <w:rPr>
        <w:b/>
        <w:sz w:val="18"/>
      </w:rPr>
      <w:fldChar w:fldCharType="separate"/>
    </w:r>
    <w:r w:rsidRPr="00851BC9">
      <w:rPr>
        <w:b/>
        <w:noProof/>
        <w:sz w:val="18"/>
      </w:rPr>
      <w:t>2</w:t>
    </w:r>
    <w:r w:rsidRPr="00851BC9">
      <w:rPr>
        <w:b/>
        <w:sz w:val="18"/>
      </w:rPr>
      <w:fldChar w:fldCharType="end"/>
    </w:r>
    <w:r>
      <w:rPr>
        <w:b/>
        <w:sz w:val="18"/>
      </w:rPr>
      <w:tab/>
    </w:r>
    <w:r>
      <w:t>GE.19-13330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BC9" w:rsidRPr="00851BC9" w:rsidRDefault="00851BC9" w:rsidP="00851BC9">
    <w:pPr>
      <w:pStyle w:val="Pieddepage"/>
      <w:tabs>
        <w:tab w:val="right" w:pos="9638"/>
      </w:tabs>
      <w:rPr>
        <w:b/>
        <w:sz w:val="18"/>
      </w:rPr>
    </w:pPr>
    <w:r>
      <w:t>GE.19-13330</w:t>
    </w:r>
    <w:r>
      <w:tab/>
    </w:r>
    <w:r w:rsidRPr="00851BC9">
      <w:rPr>
        <w:b/>
        <w:sz w:val="18"/>
      </w:rPr>
      <w:fldChar w:fldCharType="begin"/>
    </w:r>
    <w:r w:rsidRPr="00851BC9">
      <w:rPr>
        <w:b/>
        <w:sz w:val="18"/>
      </w:rPr>
      <w:instrText xml:space="preserve"> PAGE  \* MERGEFORMAT </w:instrText>
    </w:r>
    <w:r w:rsidRPr="00851BC9">
      <w:rPr>
        <w:b/>
        <w:sz w:val="18"/>
      </w:rPr>
      <w:fldChar w:fldCharType="separate"/>
    </w:r>
    <w:r w:rsidRPr="00851BC9">
      <w:rPr>
        <w:b/>
        <w:noProof/>
        <w:sz w:val="18"/>
      </w:rPr>
      <w:t>3</w:t>
    </w:r>
    <w:r w:rsidRPr="00851B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914" w:rsidRPr="00851BC9" w:rsidRDefault="00851BC9" w:rsidP="00851BC9">
    <w:pPr>
      <w:pStyle w:val="Pieddepage"/>
      <w:spacing w:before="120"/>
      <w:rPr>
        <w:sz w:val="20"/>
      </w:rPr>
    </w:pPr>
    <w:r>
      <w:rPr>
        <w:sz w:val="20"/>
      </w:rPr>
      <w:t>GE.</w:t>
    </w:r>
    <w:r w:rsidR="003D7914">
      <w:rPr>
        <w:noProof/>
        <w:lang w:eastAsia="fr-CH"/>
      </w:rPr>
      <w:drawing>
        <wp:anchor distT="0" distB="0" distL="114300" distR="114300" simplePos="0" relativeHeight="251660288" behindDoc="0" locked="0" layoutInCell="1" allowOverlap="0" wp14:anchorId="16FFE34F" wp14:editId="71C0010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19-13330  (F)    031219    0</w:t>
    </w:r>
    <w:r w:rsidR="00AF7F6C">
      <w:rPr>
        <w:sz w:val="20"/>
      </w:rPr>
      <w:t>6</w:t>
    </w:r>
    <w:r>
      <w:rPr>
        <w:sz w:val="20"/>
      </w:rPr>
      <w:t>1219</w:t>
    </w:r>
    <w:r>
      <w:rPr>
        <w:sz w:val="20"/>
      </w:rPr>
      <w:br/>
    </w:r>
    <w:r w:rsidRPr="00851BC9">
      <w:rPr>
        <w:rFonts w:ascii="C39T30Lfz" w:hAnsi="C39T30Lfz"/>
        <w:sz w:val="56"/>
      </w:rPr>
      <w:t></w:t>
    </w:r>
    <w:r w:rsidRPr="00851BC9">
      <w:rPr>
        <w:rFonts w:ascii="C39T30Lfz" w:hAnsi="C39T30Lfz"/>
        <w:sz w:val="56"/>
      </w:rPr>
      <w:t></w:t>
    </w:r>
    <w:r w:rsidRPr="00851BC9">
      <w:rPr>
        <w:rFonts w:ascii="C39T30Lfz" w:hAnsi="C39T30Lfz"/>
        <w:sz w:val="56"/>
      </w:rPr>
      <w:t></w:t>
    </w:r>
    <w:r w:rsidRPr="00851BC9">
      <w:rPr>
        <w:rFonts w:ascii="C39T30Lfz" w:hAnsi="C39T30Lfz"/>
        <w:sz w:val="56"/>
      </w:rPr>
      <w:t></w:t>
    </w:r>
    <w:r w:rsidRPr="00851BC9">
      <w:rPr>
        <w:rFonts w:ascii="C39T30Lfz" w:hAnsi="C39T30Lfz"/>
        <w:sz w:val="56"/>
      </w:rPr>
      <w:t></w:t>
    </w:r>
    <w:r w:rsidRPr="00851BC9">
      <w:rPr>
        <w:rFonts w:ascii="C39T30Lfz" w:hAnsi="C39T30Lfz"/>
        <w:sz w:val="56"/>
      </w:rPr>
      <w:t></w:t>
    </w:r>
    <w:r w:rsidRPr="00851BC9">
      <w:rPr>
        <w:rFonts w:ascii="C39T30Lfz" w:hAnsi="C39T30Lfz"/>
        <w:sz w:val="56"/>
      </w:rPr>
      <w:t></w:t>
    </w:r>
    <w:r w:rsidRPr="00851BC9">
      <w:rPr>
        <w:rFonts w:ascii="C39T30Lfz" w:hAnsi="C39T30Lfz"/>
        <w:sz w:val="56"/>
      </w:rPr>
      <w:t></w:t>
    </w:r>
    <w:r w:rsidRPr="00851BC9">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MW/C/TUR/CO/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TUR/CO/1/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767" w:rsidRPr="00AC3823" w:rsidRDefault="00626767" w:rsidP="00AC3823">
      <w:pPr>
        <w:pStyle w:val="Pieddepage"/>
        <w:tabs>
          <w:tab w:val="right" w:pos="2155"/>
        </w:tabs>
        <w:spacing w:after="80" w:line="240" w:lineRule="atLeast"/>
        <w:ind w:left="680"/>
        <w:rPr>
          <w:u w:val="single"/>
        </w:rPr>
      </w:pPr>
      <w:r>
        <w:rPr>
          <w:u w:val="single"/>
        </w:rPr>
        <w:tab/>
      </w:r>
    </w:p>
  </w:footnote>
  <w:footnote w:type="continuationSeparator" w:id="0">
    <w:p w:rsidR="00626767" w:rsidRPr="00AC3823" w:rsidRDefault="00626767" w:rsidP="00AC3823">
      <w:pPr>
        <w:pStyle w:val="Pieddepage"/>
        <w:tabs>
          <w:tab w:val="right" w:pos="2155"/>
        </w:tabs>
        <w:spacing w:after="80" w:line="240" w:lineRule="atLeast"/>
        <w:ind w:left="680"/>
        <w:rPr>
          <w:u w:val="single"/>
        </w:rPr>
      </w:pPr>
      <w:r>
        <w:rPr>
          <w:u w:val="single"/>
        </w:rPr>
        <w:tab/>
      </w:r>
    </w:p>
  </w:footnote>
  <w:footnote w:type="continuationNotice" w:id="1">
    <w:p w:rsidR="00626767" w:rsidRPr="00AC3823" w:rsidRDefault="00626767">
      <w:pPr>
        <w:spacing w:line="240" w:lineRule="auto"/>
        <w:rPr>
          <w:sz w:val="2"/>
          <w:szCs w:val="2"/>
        </w:rPr>
      </w:pPr>
    </w:p>
  </w:footnote>
  <w:footnote w:id="2">
    <w:p w:rsidR="00D243C5" w:rsidRPr="00D243C5" w:rsidRDefault="00D243C5">
      <w:pPr>
        <w:pStyle w:val="Notedebasdepage"/>
      </w:pPr>
      <w:r>
        <w:rPr>
          <w:rStyle w:val="Appelnotedebasdep"/>
        </w:rPr>
        <w:tab/>
      </w:r>
      <w:r w:rsidRPr="00D243C5">
        <w:rPr>
          <w:rStyle w:val="Appelnotedebasdep"/>
          <w:sz w:val="20"/>
          <w:vertAlign w:val="baseline"/>
        </w:rPr>
        <w:t>*</w:t>
      </w:r>
      <w:r>
        <w:rPr>
          <w:rStyle w:val="Appelnotedebasdep"/>
          <w:sz w:val="20"/>
          <w:vertAlign w:val="baseline"/>
        </w:rPr>
        <w:tab/>
      </w:r>
      <w:r w:rsidRPr="00500CE2">
        <w:rPr>
          <w:szCs w:val="18"/>
        </w:rPr>
        <w:t>Le présent document n’a pas été revu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BC9" w:rsidRPr="00851BC9" w:rsidRDefault="00986AFD">
    <w:pPr>
      <w:pStyle w:val="En-tte"/>
    </w:pPr>
    <w:r>
      <w:fldChar w:fldCharType="begin"/>
    </w:r>
    <w:r>
      <w:instrText xml:space="preserve"> TITLE  \* MERGEFORMAT </w:instrText>
    </w:r>
    <w:r>
      <w:fldChar w:fldCharType="separate"/>
    </w:r>
    <w:r w:rsidR="000D22AA">
      <w:t>CMW/C/TUR/CO/1/Add.1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BC9" w:rsidRPr="00851BC9" w:rsidRDefault="00986AFD" w:rsidP="00851BC9">
    <w:pPr>
      <w:pStyle w:val="En-tte"/>
      <w:jc w:val="right"/>
    </w:pPr>
    <w:r>
      <w:fldChar w:fldCharType="begin"/>
    </w:r>
    <w:r>
      <w:instrText xml:space="preserve"> TITLE  \* MERGEFORMAT </w:instrText>
    </w:r>
    <w:r>
      <w:fldChar w:fldCharType="separate"/>
    </w:r>
    <w:r w:rsidR="000D22AA">
      <w:t>CMW/C/TUR/CO/1/Add.1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340E35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1A12325"/>
    <w:multiLevelType w:val="hybridMultilevel"/>
    <w:tmpl w:val="EB4EACCC"/>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F4EB2"/>
    <w:multiLevelType w:val="hybridMultilevel"/>
    <w:tmpl w:val="37F668D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94D89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3"/>
  </w:num>
  <w:num w:numId="18">
    <w:abstractNumId w:val="12"/>
  </w:num>
  <w:num w:numId="19">
    <w:abstractNumId w:val="10"/>
  </w:num>
  <w:num w:numId="20">
    <w:abstractNumId w:val="11"/>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26767"/>
    <w:rsid w:val="00017F94"/>
    <w:rsid w:val="00023842"/>
    <w:rsid w:val="000334F9"/>
    <w:rsid w:val="00045960"/>
    <w:rsid w:val="0007796D"/>
    <w:rsid w:val="000B7790"/>
    <w:rsid w:val="000D22AA"/>
    <w:rsid w:val="00111F2F"/>
    <w:rsid w:val="0014365E"/>
    <w:rsid w:val="00176178"/>
    <w:rsid w:val="001D2961"/>
    <w:rsid w:val="001F525A"/>
    <w:rsid w:val="002001BB"/>
    <w:rsid w:val="00223272"/>
    <w:rsid w:val="0024779E"/>
    <w:rsid w:val="003D7914"/>
    <w:rsid w:val="00446FE5"/>
    <w:rsid w:val="00452396"/>
    <w:rsid w:val="005505B7"/>
    <w:rsid w:val="00573BE5"/>
    <w:rsid w:val="00586ED3"/>
    <w:rsid w:val="00596AA9"/>
    <w:rsid w:val="00626767"/>
    <w:rsid w:val="006614EF"/>
    <w:rsid w:val="0071601D"/>
    <w:rsid w:val="007A62E6"/>
    <w:rsid w:val="0080684C"/>
    <w:rsid w:val="00851BC9"/>
    <w:rsid w:val="00871C75"/>
    <w:rsid w:val="008776DC"/>
    <w:rsid w:val="008F572B"/>
    <w:rsid w:val="0092121E"/>
    <w:rsid w:val="009705C8"/>
    <w:rsid w:val="00A10C74"/>
    <w:rsid w:val="00A30353"/>
    <w:rsid w:val="00AA06AE"/>
    <w:rsid w:val="00AC3823"/>
    <w:rsid w:val="00AE323C"/>
    <w:rsid w:val="00AF7F6C"/>
    <w:rsid w:val="00B00181"/>
    <w:rsid w:val="00B765F7"/>
    <w:rsid w:val="00BA0CA9"/>
    <w:rsid w:val="00C02897"/>
    <w:rsid w:val="00D1547E"/>
    <w:rsid w:val="00D243C5"/>
    <w:rsid w:val="00D3439C"/>
    <w:rsid w:val="00DB1831"/>
    <w:rsid w:val="00DD35CF"/>
    <w:rsid w:val="00DD3BFD"/>
    <w:rsid w:val="00DF6678"/>
    <w:rsid w:val="00E06211"/>
    <w:rsid w:val="00E85286"/>
    <w:rsid w:val="00F660DF"/>
    <w:rsid w:val="00F95C08"/>
    <w:rsid w:val="00FD0B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40A919"/>
  <w15:docId w15:val="{FD9B7861-F0F6-4028-BF24-90BDB72E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621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6211"/>
    <w:pPr>
      <w:keepNext/>
      <w:keepLines/>
      <w:spacing w:after="0" w:line="240" w:lineRule="auto"/>
      <w:ind w:right="0"/>
      <w:jc w:val="left"/>
      <w:outlineLvl w:val="0"/>
    </w:pPr>
  </w:style>
  <w:style w:type="paragraph" w:styleId="Titre2">
    <w:name w:val="heading 2"/>
    <w:basedOn w:val="Normal"/>
    <w:next w:val="Normal"/>
    <w:link w:val="Titre2Car"/>
    <w:semiHidden/>
    <w:qFormat/>
    <w:rsid w:val="00FD0BE6"/>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621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621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6211"/>
    <w:pPr>
      <w:spacing w:line="240" w:lineRule="auto"/>
    </w:pPr>
    <w:rPr>
      <w:sz w:val="16"/>
    </w:rPr>
  </w:style>
  <w:style w:type="character" w:customStyle="1" w:styleId="PieddepageCar">
    <w:name w:val="Pied de page Car"/>
    <w:aliases w:val="3_G Car"/>
    <w:basedOn w:val="Policepardfaut"/>
    <w:link w:val="Pieddepage"/>
    <w:rsid w:val="00E0621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62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621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62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62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62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621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6211"/>
    <w:pPr>
      <w:spacing w:after="120"/>
      <w:ind w:left="1134" w:right="1134"/>
      <w:jc w:val="both"/>
    </w:pPr>
  </w:style>
  <w:style w:type="paragraph" w:customStyle="1" w:styleId="SLG">
    <w:name w:val="__S_L_G"/>
    <w:basedOn w:val="Normal"/>
    <w:next w:val="Normal"/>
    <w:rsid w:val="00E06211"/>
    <w:pPr>
      <w:keepNext/>
      <w:keepLines/>
      <w:spacing w:before="240" w:after="240" w:line="580" w:lineRule="exact"/>
      <w:ind w:left="1134" w:right="1134"/>
    </w:pPr>
    <w:rPr>
      <w:b/>
      <w:sz w:val="56"/>
    </w:rPr>
  </w:style>
  <w:style w:type="paragraph" w:customStyle="1" w:styleId="SMG">
    <w:name w:val="__S_M_G"/>
    <w:basedOn w:val="Normal"/>
    <w:next w:val="Normal"/>
    <w:rsid w:val="00E06211"/>
    <w:pPr>
      <w:keepNext/>
      <w:keepLines/>
      <w:spacing w:before="240" w:after="240" w:line="420" w:lineRule="exact"/>
      <w:ind w:left="1134" w:right="1134"/>
    </w:pPr>
    <w:rPr>
      <w:b/>
      <w:sz w:val="40"/>
    </w:rPr>
  </w:style>
  <w:style w:type="paragraph" w:customStyle="1" w:styleId="SSG">
    <w:name w:val="__S_S_G"/>
    <w:basedOn w:val="Normal"/>
    <w:next w:val="Normal"/>
    <w:rsid w:val="00E06211"/>
    <w:pPr>
      <w:keepNext/>
      <w:keepLines/>
      <w:spacing w:before="240" w:after="240" w:line="300" w:lineRule="exact"/>
      <w:ind w:left="1134" w:right="1134"/>
    </w:pPr>
    <w:rPr>
      <w:b/>
      <w:sz w:val="28"/>
    </w:rPr>
  </w:style>
  <w:style w:type="paragraph" w:customStyle="1" w:styleId="XLargeG">
    <w:name w:val="__XLarge_G"/>
    <w:basedOn w:val="Normal"/>
    <w:next w:val="Normal"/>
    <w:rsid w:val="00E06211"/>
    <w:pPr>
      <w:keepNext/>
      <w:keepLines/>
      <w:spacing w:before="240" w:after="240" w:line="420" w:lineRule="exact"/>
      <w:ind w:left="1134" w:right="1134"/>
    </w:pPr>
    <w:rPr>
      <w:b/>
      <w:sz w:val="40"/>
    </w:rPr>
  </w:style>
  <w:style w:type="paragraph" w:customStyle="1" w:styleId="Bullet1G">
    <w:name w:val="_Bullet 1_G"/>
    <w:basedOn w:val="Normal"/>
    <w:qFormat/>
    <w:rsid w:val="00E06211"/>
    <w:pPr>
      <w:numPr>
        <w:numId w:val="17"/>
      </w:numPr>
      <w:spacing w:after="120"/>
      <w:ind w:right="1134"/>
      <w:jc w:val="both"/>
    </w:pPr>
  </w:style>
  <w:style w:type="paragraph" w:customStyle="1" w:styleId="Bullet2G">
    <w:name w:val="_Bullet 2_G"/>
    <w:basedOn w:val="Normal"/>
    <w:qFormat/>
    <w:rsid w:val="00E06211"/>
    <w:pPr>
      <w:numPr>
        <w:numId w:val="18"/>
      </w:numPr>
      <w:spacing w:after="120"/>
      <w:ind w:right="1134"/>
      <w:jc w:val="both"/>
    </w:pPr>
  </w:style>
  <w:style w:type="paragraph" w:customStyle="1" w:styleId="ParNoG">
    <w:name w:val="_ParNo_G"/>
    <w:basedOn w:val="Normal"/>
    <w:qFormat/>
    <w:rsid w:val="00E06211"/>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E06211"/>
    <w:rPr>
      <w:rFonts w:ascii="Times New Roman" w:hAnsi="Times New Roman"/>
      <w:sz w:val="18"/>
      <w:vertAlign w:val="superscript"/>
      <w:lang w:val="fr-CH"/>
    </w:rPr>
  </w:style>
  <w:style w:type="character" w:styleId="Appeldenotedefin">
    <w:name w:val="endnote reference"/>
    <w:aliases w:val="1_G"/>
    <w:basedOn w:val="Appelnotedebasdep"/>
    <w:qFormat/>
    <w:rsid w:val="00E06211"/>
    <w:rPr>
      <w:rFonts w:ascii="Times New Roman" w:hAnsi="Times New Roman"/>
      <w:sz w:val="18"/>
      <w:vertAlign w:val="superscript"/>
      <w:lang w:val="fr-CH"/>
    </w:rPr>
  </w:style>
  <w:style w:type="table" w:styleId="Grilledutableau">
    <w:name w:val="Table Grid"/>
    <w:basedOn w:val="TableauNormal"/>
    <w:rsid w:val="00E0621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6211"/>
    <w:rPr>
      <w:color w:val="0000FF"/>
      <w:u w:val="none"/>
    </w:rPr>
  </w:style>
  <w:style w:type="character" w:styleId="Lienhypertextesuivivisit">
    <w:name w:val="FollowedHyperlink"/>
    <w:basedOn w:val="Policepardfaut"/>
    <w:unhideWhenUsed/>
    <w:rsid w:val="00E06211"/>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E06211"/>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E0621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6211"/>
  </w:style>
  <w:style w:type="character" w:customStyle="1" w:styleId="NotedefinCar">
    <w:name w:val="Note de fin Car"/>
    <w:aliases w:val="2_G Car"/>
    <w:basedOn w:val="Policepardfaut"/>
    <w:link w:val="Notedefin"/>
    <w:rsid w:val="00E0621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6211"/>
    <w:rPr>
      <w:rFonts w:ascii="Times New Roman" w:hAnsi="Times New Roman"/>
      <w:b/>
      <w:sz w:val="18"/>
      <w:lang w:val="fr-CH"/>
    </w:rPr>
  </w:style>
  <w:style w:type="character" w:customStyle="1" w:styleId="Titre1Car">
    <w:name w:val="Titre 1 Car"/>
    <w:aliases w:val="Table_G Car"/>
    <w:basedOn w:val="Policepardfaut"/>
    <w:link w:val="Titre1"/>
    <w:rsid w:val="00E0621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4</Pages>
  <Words>1497</Words>
  <Characters>8238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CMW/C/TUR/CO/1/Add.1</vt:lpstr>
    </vt:vector>
  </TitlesOfParts>
  <Company>DCM</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CMW/C/TUR/CO/1/Add.1</dc:title>
  <dc:subject/>
  <dc:creator>Fabienne CRELIER</dc:creator>
  <cp:keywords/>
  <cp:lastModifiedBy>Fabienne CRELIER</cp:lastModifiedBy>
  <cp:revision>2</cp:revision>
  <cp:lastPrinted>2019-12-05T15:43:00Z</cp:lastPrinted>
  <dcterms:created xsi:type="dcterms:W3CDTF">2019-12-06T07:42:00Z</dcterms:created>
  <dcterms:modified xsi:type="dcterms:W3CDTF">2019-12-06T07:42:00Z</dcterms:modified>
</cp:coreProperties>
</file>